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hAnsi="方正小标宋简体" w:eastAsia="方正小标宋简体" w:cs="方正小标宋简体"/>
          <w:sz w:val="52"/>
          <w:szCs w:val="52"/>
          <w:lang w:eastAsia="zh-CN"/>
        </w:rPr>
      </w:pPr>
    </w:p>
    <w:p>
      <w:pPr>
        <w:ind w:left="0" w:leftChars="0" w:firstLine="0" w:firstLineChars="0"/>
        <w:jc w:val="center"/>
        <w:rPr>
          <w:rFonts w:hint="eastAsia" w:ascii="方正小标宋简体" w:hAnsi="方正小标宋简体" w:eastAsia="方正小标宋简体" w:cs="方正小标宋简体"/>
          <w:sz w:val="52"/>
          <w:szCs w:val="52"/>
          <w:lang w:eastAsia="zh-CN"/>
        </w:rPr>
      </w:pPr>
    </w:p>
    <w:p>
      <w:pPr>
        <w:ind w:left="0" w:leftChars="0" w:firstLine="0" w:firstLineChars="0"/>
        <w:jc w:val="center"/>
        <w:rPr>
          <w:rFonts w:hint="eastAsia" w:ascii="方正小标宋简体" w:hAnsi="方正小标宋简体" w:eastAsia="方正小标宋简体" w:cs="方正小标宋简体"/>
          <w:sz w:val="48"/>
          <w:szCs w:val="48"/>
          <w:lang w:val="en-US" w:eastAsia="zh-CN"/>
        </w:rPr>
      </w:pPr>
      <w:r>
        <w:rPr>
          <w:rFonts w:hint="eastAsia" w:ascii="方正小标宋简体" w:hAnsi="方正小标宋简体" w:eastAsia="方正小标宋简体" w:cs="方正小标宋简体"/>
          <w:sz w:val="48"/>
          <w:szCs w:val="48"/>
          <w:lang w:eastAsia="zh-CN"/>
        </w:rPr>
        <w:t>中国国民党革命委员会北京市委员会</w:t>
      </w:r>
      <w:r>
        <w:rPr>
          <w:rFonts w:hint="eastAsia" w:ascii="方正小标宋简体" w:hAnsi="方正小标宋简体" w:eastAsia="方正小标宋简体" w:cs="方正小标宋简体"/>
          <w:sz w:val="48"/>
          <w:szCs w:val="48"/>
          <w:lang w:val="en-US" w:eastAsia="zh-CN"/>
        </w:rPr>
        <w:t>2023年度部门整体绩效评价报告</w:t>
      </w: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pStyle w:val="2"/>
        <w:rPr>
          <w:rFonts w:hint="eastAsia" w:ascii="方正小标宋简体" w:hAnsi="方正小标宋简体" w:eastAsia="方正小标宋简体" w:cs="方正小标宋简体"/>
          <w:sz w:val="52"/>
          <w:szCs w:val="52"/>
          <w:lang w:val="en-US" w:eastAsia="zh-CN"/>
        </w:rPr>
      </w:pPr>
    </w:p>
    <w:p>
      <w:pPr>
        <w:pStyle w:val="2"/>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pStyle w:val="2"/>
        <w:rPr>
          <w:rFonts w:hint="eastAsia"/>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民革北京市委</w:t>
      </w:r>
    </w:p>
    <w:p>
      <w:pPr>
        <w:ind w:left="0" w:leftChars="0" w:firstLine="0" w:firstLineChars="0"/>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36"/>
          <w:szCs w:val="36"/>
          <w:lang w:val="en-US" w:eastAsia="zh-CN"/>
        </w:rPr>
        <w:t>2024年5月</w:t>
      </w:r>
    </w:p>
    <w:p>
      <w:pPr>
        <w:spacing w:line="560" w:lineRule="exact"/>
        <w:jc w:val="center"/>
        <w:outlineLvl w:val="0"/>
        <w:rPr>
          <w:rFonts w:hint="eastAsia" w:ascii="方正小标宋简体" w:eastAsia="方正小标宋简体"/>
          <w:sz w:val="36"/>
          <w:szCs w:val="36"/>
          <w:lang w:eastAsia="zh-CN"/>
        </w:rPr>
      </w:pPr>
    </w:p>
    <w:p>
      <w:pPr>
        <w:pStyle w:val="2"/>
        <w:rPr>
          <w:rFonts w:hint="eastAsia"/>
          <w:lang w:eastAsia="zh-CN"/>
        </w:rPr>
      </w:pPr>
    </w:p>
    <w:p>
      <w:pPr>
        <w:spacing w:line="560" w:lineRule="exact"/>
        <w:jc w:val="center"/>
        <w:rPr>
          <w:rFonts w:hint="eastAsia" w:ascii="方正小标宋简体" w:eastAsia="方正小标宋简体"/>
          <w:sz w:val="36"/>
          <w:szCs w:val="36"/>
          <w:highlight w:val="none"/>
        </w:rPr>
        <w:sectPr>
          <w:footerReference r:id="rId3" w:type="default"/>
          <w:pgSz w:w="11906" w:h="16838"/>
          <w:pgMar w:top="1440" w:right="1800" w:bottom="1440" w:left="1800" w:header="851" w:footer="964" w:gutter="0"/>
          <w:pgBorders>
            <w:top w:val="none" w:sz="0" w:space="0"/>
            <w:left w:val="none" w:sz="0" w:space="0"/>
            <w:bottom w:val="none" w:sz="0" w:space="0"/>
            <w:right w:val="none" w:sz="0" w:space="0"/>
          </w:pgBorders>
          <w:pgNumType w:fmt="decimal" w:start="0"/>
          <w:cols w:space="425" w:num="1"/>
          <w:docGrid w:type="lines" w:linePitch="435" w:charSpace="0"/>
        </w:sectPr>
      </w:pPr>
    </w:p>
    <w:p>
      <w:pPr>
        <w:spacing w:line="560" w:lineRule="exact"/>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中国国民党革命委员会北京市委员会</w:t>
      </w:r>
    </w:p>
    <w:p>
      <w:pPr>
        <w:spacing w:line="560" w:lineRule="exact"/>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部门整体绩效评价报告</w:t>
      </w:r>
    </w:p>
    <w:p>
      <w:pPr>
        <w:jc w:val="center"/>
        <w:rPr>
          <w:rFonts w:ascii="仿宋_GB2312"/>
          <w:szCs w:val="30"/>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一、部门概况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（一）机构设置及职责工作任务情况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中国国民党革命委员会北京市委员会为民主党派机关</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履行参政议政、民主监督、参加中国共产党领导的政治协商的基本政治职能。依据北京市机构编制委员会关于印发《八个民主党派市委机关和市工商联机关机构设置、人员编制方案》的通知(京编委〔1997〕2号)批准内设6个处室，分别为：办公室、组织处、宣传处、祖国统一工作联络处、经济建设和社会发展工作处、研究室。</w:t>
      </w:r>
    </w:p>
    <w:p>
      <w:pPr>
        <w:keepNext w:val="0"/>
        <w:keepLines w:val="0"/>
        <w:pageBreakBefore w:val="0"/>
        <w:widowControl w:val="0"/>
        <w:kinsoku/>
        <w:wordWrap/>
        <w:overflowPunct/>
        <w:topLinePunct w:val="0"/>
        <w:autoSpaceDE/>
        <w:autoSpaceDN/>
        <w:bidi w:val="0"/>
        <w:adjustRightInd/>
        <w:snapToGrid/>
        <w:spacing w:line="540" w:lineRule="exact"/>
        <w:ind w:firstLine="707" w:firstLineChars="221"/>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中国国民党革命委员会北京市委员会包括1个预算单位，即中国国民党革命委员会北京市委员会（本级）。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（二）部门整体绩效目标设立情况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整体支出绩效目标是依据机构设置及主要职责，结合年度工作计划</w:t>
      </w:r>
      <w:r>
        <w:rPr>
          <w:rFonts w:hint="eastAsia" w:ascii="仿宋_GB2312" w:hAnsi="仿宋_GB2312" w:eastAsia="仿宋_GB2312" w:cs="仿宋_GB2312"/>
          <w:kern w:val="0"/>
          <w:sz w:val="32"/>
          <w:szCs w:val="32"/>
          <w:highlight w:val="none"/>
          <w:lang w:eastAsia="zh-CN"/>
        </w:rPr>
        <w:t>及</w:t>
      </w:r>
      <w:r>
        <w:rPr>
          <w:rFonts w:hint="eastAsia" w:ascii="仿宋_GB2312" w:hAnsi="仿宋_GB2312" w:eastAsia="仿宋_GB2312" w:cs="仿宋_GB2312"/>
          <w:kern w:val="0"/>
          <w:sz w:val="32"/>
          <w:szCs w:val="32"/>
          <w:highlight w:val="none"/>
        </w:rPr>
        <w:t>主要任务设立，反映使用预算资金在年度履职中预期达到的总体产出和效果。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目标设立坚持以习近平新时代中国特色社会主义思想为指导，紧紧围绕市委、市政府中心工作和重点任务，从</w:t>
      </w:r>
      <w:r>
        <w:rPr>
          <w:rFonts w:hint="eastAsia" w:ascii="仿宋_GB2312" w:hAnsi="仿宋_GB2312" w:eastAsia="仿宋_GB2312" w:cs="仿宋_GB2312"/>
          <w:kern w:val="0"/>
          <w:sz w:val="32"/>
          <w:szCs w:val="32"/>
          <w:highlight w:val="none"/>
        </w:rPr>
        <w:t>加强思想政治引领</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夯实新发展阶段组织发展基础</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助力新时代首都高质量发展</w:t>
      </w:r>
      <w:r>
        <w:rPr>
          <w:rFonts w:hint="eastAsia" w:ascii="仿宋_GB2312" w:hAnsi="仿宋_GB2312" w:eastAsia="仿宋_GB2312" w:cs="仿宋_GB2312"/>
          <w:kern w:val="0"/>
          <w:sz w:val="32"/>
          <w:szCs w:val="32"/>
          <w:highlight w:val="none"/>
          <w:lang w:eastAsia="zh-CN"/>
        </w:rPr>
        <w:t>、提升</w:t>
      </w:r>
      <w:r>
        <w:rPr>
          <w:rFonts w:hint="eastAsia" w:ascii="仿宋_GB2312" w:hAnsi="仿宋_GB2312" w:eastAsia="仿宋_GB2312" w:cs="仿宋_GB2312"/>
          <w:kern w:val="0"/>
          <w:sz w:val="32"/>
          <w:szCs w:val="32"/>
          <w:highlight w:val="none"/>
        </w:rPr>
        <w:t>涉台参政议政能力</w:t>
      </w:r>
      <w:r>
        <w:rPr>
          <w:rFonts w:hint="eastAsia" w:ascii="仿宋_GB2312" w:hAnsi="仿宋_GB2312" w:eastAsia="仿宋_GB2312" w:cs="仿宋_GB2312"/>
          <w:kern w:val="0"/>
          <w:sz w:val="32"/>
          <w:szCs w:val="32"/>
          <w:highlight w:val="none"/>
          <w:lang w:eastAsia="zh-CN"/>
        </w:rPr>
        <w:t>和</w:t>
      </w:r>
      <w:r>
        <w:rPr>
          <w:rFonts w:hint="eastAsia" w:ascii="仿宋_GB2312" w:hAnsi="仿宋_GB2312" w:eastAsia="仿宋_GB2312" w:cs="仿宋_GB2312"/>
          <w:kern w:val="0"/>
          <w:sz w:val="32"/>
          <w:szCs w:val="32"/>
          <w:highlight w:val="none"/>
        </w:rPr>
        <w:t>社会服务品牌影响力</w:t>
      </w:r>
      <w:r>
        <w:rPr>
          <w:rFonts w:hint="eastAsia" w:ascii="仿宋_GB2312" w:hAnsi="仿宋_GB2312" w:eastAsia="仿宋_GB2312" w:cs="仿宋_GB2312"/>
          <w:kern w:val="0"/>
          <w:sz w:val="32"/>
          <w:szCs w:val="32"/>
          <w:highlight w:val="none"/>
          <w:lang w:eastAsia="zh-CN"/>
        </w:rPr>
        <w:t>等方面，以思想政治建设为核心、组织建设为基础、履职能力建设为支撑、作风建设为抓手、制度建设为保障，全面加强自身建设，切实提高履职能力。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2023年全年预算数2012.42万元，其中，基本支出预算数1805.88万元，项目支出预算数206.54万元。资金总体支出1937.01万元，其中，基本支出1776.76万元，项目支出160.25万元。预算执行率为96%。</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围绕思想政治建设、组织建设、参政议政、社会服务、联络交流、机关建设等方面开展工作，截至2023年底，各项指标均按年初设置指标值完成。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（一）产出完成情况分析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1.产出数量质量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思想政治建设。一是坚持首善标准推动主题教育，不断深化思想政治建设。按照“学思想、强根基、重履职、建新功”总要求，坚持政治导向、问题导向、目标导向、绩效导向，以“学思想”为牵引，用习近平新时代中国特色社会主义思想统一思想、统一意志、统一行动。第五次常委会议、第五次全体（扩大）会议专题研究主题教育，主委作主题教育宣讲报告，6个基层组织交流经验。领导班子成员开展6次集体学习研讨，交流发言10次，开展宣讲14次。各级组织和全市民革党员共开展学习培训78次，组织辅导报告18场，举办各类读书会、调研座谈、联办活动等77次。6人入选民革中央理论学习宣讲团，开展宣讲18场。二是有效运用宣传媒介，不断加强思想政治引领。举办特色活动，纪念“五一口号”发布75周年、全民族抗战爆发86周年、抗战胜利78周年、孙中山先生诞辰157周年。制作民革前辈史料转化利用视频，录制“文史动听忆先贤”音频节目，让承载优良传统的“活教材”走近民革党员。打造“书香民革”，举办民革党员之家同心读书会等活动，市区联动举办主题读书分享会4次。深化理论研究，向有关单位报送理论研究文章11篇。组织参加市政协“完善委员联系界别群众制度机制”主题研讨会征文活动，3篇理论文章入选论文集，入选数量居民主党派首位。加强平台建设，揭牌民革党员之家3家，新建4家。已建成民革党员之家24家，其中优秀民革党员之家6家。推进数字民革党员之家建设，民革昌平总支第三支部成为民革中央数字党员之家建设的试点单位。将发挥民革党员之家作用与政协委员工作室联系服务界别群众的要求有机统一。在东城民革党员之家成立市政协民革界委员工作室并开展首次主题活动，民革中央和市政协领导参加，并对工作室成立给予高度评价。三是建好管好意识形态阵地，讲好民革故事。网站发布文章402篇；“北京民革”微信公众号发稿492篇，开辟主题教育专栏；编发4期《北京民革》杂志、6期《民革市委宣传工作通讯》，形成网站、微信公众号、杂志及工作通讯“四位一体”宣传合力。不断深化与主流媒体合作，各类活动被人民政协报、团结报、北京日报、北京电视台等深入报道。向民革中央网站编辑报送信息279篇，报送数量和采用率都有显著提升。参加市政协和人民政协网联合举办的“讲好新型政党制度故事”网络采访活动，展现北京民革在服务首都高质量发展中的担当作为。</w:t>
      </w:r>
    </w:p>
    <w:p>
      <w:pPr>
        <w:pStyle w:val="7"/>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highlight w:val="none"/>
          <w:lang w:val="en-US" w:eastAsia="zh-CN"/>
        </w:rPr>
        <w:t>组织建设。</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注重领导班子建设，发挥示范引领作用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严格落实各项议事规则、理论学习中心组学习制度、领导班子成员联系基层工作制度等，不断健全科学民主决策制度体系。全年召开主委会</w:t>
      </w:r>
      <w:r>
        <w:rPr>
          <w:rFonts w:hint="eastAsia" w:ascii="仿宋_GB2312" w:hAnsi="仿宋_GB2312" w:eastAsia="仿宋_GB2312" w:cs="仿宋_GB2312"/>
          <w:sz w:val="32"/>
          <w:szCs w:val="32"/>
          <w:u w:val="none"/>
        </w:rPr>
        <w:t>议11次、主委办公会</w:t>
      </w:r>
      <w:r>
        <w:rPr>
          <w:rFonts w:hint="eastAsia" w:ascii="仿宋_GB2312" w:hAnsi="仿宋_GB2312" w:eastAsia="仿宋_GB2312" w:cs="仿宋_GB2312"/>
          <w:sz w:val="32"/>
          <w:szCs w:val="32"/>
          <w:u w:val="none"/>
          <w:lang w:eastAsia="zh-CN"/>
        </w:rPr>
        <w:t>议</w:t>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u w:val="none"/>
        </w:rPr>
        <w:t>次、常委</w:t>
      </w:r>
      <w:r>
        <w:rPr>
          <w:rFonts w:hint="eastAsia" w:ascii="仿宋_GB2312" w:hAnsi="仿宋_GB2312" w:eastAsia="仿宋_GB2312" w:cs="仿宋_GB2312"/>
          <w:sz w:val="32"/>
          <w:szCs w:val="32"/>
          <w:u w:val="none"/>
          <w:lang w:eastAsia="zh-CN"/>
        </w:rPr>
        <w:t>会</w:t>
      </w:r>
      <w:r>
        <w:rPr>
          <w:rFonts w:hint="eastAsia" w:ascii="仿宋_GB2312" w:hAnsi="仿宋_GB2312" w:eastAsia="仿宋_GB2312" w:cs="仿宋_GB2312"/>
          <w:sz w:val="32"/>
          <w:szCs w:val="32"/>
          <w:u w:val="none"/>
        </w:rPr>
        <w:t>会议4次、全委及全委（扩大）会议</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u w:val="none"/>
        </w:rPr>
        <w:t>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注重基层组织建设，增强基层活力和组织力</w:t>
      </w:r>
      <w:r>
        <w:rPr>
          <w:rFonts w:hint="eastAsia" w:ascii="仿宋_GB2312" w:hAnsi="仿宋_GB2312" w:eastAsia="仿宋_GB2312" w:cs="仿宋_GB2312"/>
          <w:sz w:val="32"/>
          <w:szCs w:val="32"/>
          <w:lang w:eastAsia="zh-CN"/>
        </w:rPr>
        <w:t>。组织召开基层组织负责人培训班，</w:t>
      </w:r>
      <w:r>
        <w:rPr>
          <w:rFonts w:hint="eastAsia" w:ascii="仿宋_GB2312" w:hAnsi="仿宋_GB2312" w:eastAsia="仿宋_GB2312" w:cs="仿宋_GB2312"/>
          <w:sz w:val="32"/>
          <w:szCs w:val="32"/>
          <w:lang w:val="en-US" w:eastAsia="zh-CN"/>
        </w:rPr>
        <w:t>200多人次参加。</w:t>
      </w:r>
      <w:r>
        <w:rPr>
          <w:rFonts w:hint="eastAsia" w:ascii="仿宋_GB2312" w:hAnsi="仿宋_GB2312" w:eastAsia="仿宋_GB2312" w:cs="仿宋_GB2312"/>
          <w:sz w:val="32"/>
          <w:szCs w:val="32"/>
        </w:rPr>
        <w:t>引导支持基层组织通过多种方式打造活动品牌，促进新老党员结对子互帮互助。开展示范支部“回头看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，精心设计调查问卷，对各区级组织、基层组织的支部活动情况、实职干部情况、示范支部创建工作等开展问卷调研。</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注重人才发现培养，加强</w:t>
      </w:r>
      <w:r>
        <w:rPr>
          <w:rFonts w:hint="eastAsia" w:ascii="仿宋_GB2312" w:hAnsi="仿宋_GB2312" w:eastAsia="仿宋_GB2312" w:cs="仿宋_GB2312"/>
          <w:sz w:val="32"/>
          <w:szCs w:val="32"/>
          <w:lang w:eastAsia="zh-CN"/>
        </w:rPr>
        <w:t>民革</w:t>
      </w:r>
      <w:r>
        <w:rPr>
          <w:rFonts w:hint="eastAsia" w:ascii="仿宋_GB2312" w:hAnsi="仿宋_GB2312" w:eastAsia="仿宋_GB2312" w:cs="仿宋_GB2312"/>
          <w:sz w:val="32"/>
          <w:szCs w:val="32"/>
        </w:rPr>
        <w:t>党员队伍建设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shd w:val="clear" w:color="auto" w:fill="FFFFFF"/>
          <w:lang w:eastAsia="zh-CN"/>
        </w:rPr>
        <w:t>全年</w:t>
      </w:r>
      <w:r>
        <w:rPr>
          <w:rFonts w:hint="eastAsia" w:ascii="仿宋_GB2312" w:hAnsi="仿宋_GB2312" w:eastAsia="仿宋_GB2312" w:cs="仿宋_GB2312"/>
          <w:sz w:val="32"/>
          <w:szCs w:val="32"/>
          <w:shd w:val="clear" w:color="auto" w:fill="FFFFFF"/>
        </w:rPr>
        <w:t>新发展</w:t>
      </w:r>
      <w:r>
        <w:rPr>
          <w:rFonts w:hint="eastAsia" w:ascii="仿宋_GB2312" w:hAnsi="仿宋_GB2312" w:eastAsia="仿宋_GB2312" w:cs="仿宋_GB2312"/>
          <w:sz w:val="32"/>
          <w:szCs w:val="32"/>
          <w:shd w:val="clear" w:color="auto" w:fill="FFFFFF"/>
          <w:lang w:eastAsia="zh-CN"/>
        </w:rPr>
        <w:t>民革</w:t>
      </w:r>
      <w:r>
        <w:rPr>
          <w:rFonts w:hint="eastAsia" w:ascii="仿宋_GB2312" w:hAnsi="仿宋_GB2312" w:eastAsia="仿宋_GB2312" w:cs="仿宋_GB2312"/>
          <w:sz w:val="32"/>
          <w:szCs w:val="32"/>
          <w:shd w:val="clear" w:color="auto" w:fill="FFFFFF"/>
        </w:rPr>
        <w:t>党员</w:t>
      </w:r>
      <w:r>
        <w:rPr>
          <w:rFonts w:hint="eastAsia" w:ascii="仿宋_GB2312" w:hAnsi="仿宋_GB2312" w:eastAsia="仿宋_GB2312" w:cs="仿宋_GB2312"/>
          <w:sz w:val="32"/>
          <w:szCs w:val="32"/>
          <w:shd w:val="clear" w:color="auto" w:fill="auto"/>
        </w:rPr>
        <w:t>305</w:t>
      </w:r>
      <w:r>
        <w:rPr>
          <w:rFonts w:hint="eastAsia" w:ascii="仿宋_GB2312" w:hAnsi="仿宋_GB2312" w:eastAsia="仿宋_GB2312" w:cs="仿宋_GB2312"/>
          <w:sz w:val="32"/>
          <w:szCs w:val="32"/>
          <w:shd w:val="clear" w:color="auto" w:fill="FFFFFF"/>
        </w:rPr>
        <w:t>人，具有民革特色的占</w:t>
      </w:r>
      <w:r>
        <w:rPr>
          <w:rFonts w:hint="eastAsia" w:ascii="仿宋_GB2312" w:hAnsi="仿宋_GB2312" w:eastAsia="仿宋_GB2312" w:cs="仿宋_GB2312"/>
          <w:sz w:val="32"/>
          <w:szCs w:val="32"/>
          <w:shd w:val="clear" w:color="auto" w:fill="auto"/>
        </w:rPr>
        <w:t>70%</w:t>
      </w:r>
      <w:r>
        <w:rPr>
          <w:rFonts w:hint="eastAsia" w:ascii="仿宋_GB2312" w:hAnsi="仿宋_GB2312" w:eastAsia="仿宋_GB2312" w:cs="仿宋_GB2312"/>
          <w:sz w:val="32"/>
          <w:szCs w:val="32"/>
          <w:shd w:val="clear" w:color="auto" w:fill="FFFFFF"/>
        </w:rPr>
        <w:t>，具有中高级职称的占29%；用好高层次人才发展绿色通道，发展高层次人才6人。</w:t>
      </w:r>
      <w:r>
        <w:rPr>
          <w:rFonts w:hint="eastAsia" w:ascii="仿宋_GB2312" w:hAnsi="仿宋_GB2312" w:eastAsia="仿宋_GB2312" w:cs="仿宋_GB2312"/>
          <w:color w:val="000000"/>
          <w:sz w:val="32"/>
          <w:szCs w:val="32"/>
          <w:shd w:val="clear" w:color="auto" w:fill="FFFFFF"/>
          <w:lang w:eastAsia="zh-CN"/>
        </w:rPr>
        <w:t>年内新增正局级实职干部</w:t>
      </w:r>
      <w:r>
        <w:rPr>
          <w:rFonts w:hint="eastAsia" w:ascii="仿宋_GB2312" w:hAnsi="仿宋_GB2312" w:eastAsia="仿宋_GB2312" w:cs="仿宋_GB2312"/>
          <w:color w:val="000000"/>
          <w:sz w:val="32"/>
          <w:szCs w:val="32"/>
          <w:shd w:val="clear" w:color="auto" w:fill="auto"/>
          <w:lang w:val="en-US" w:eastAsia="zh-CN"/>
        </w:rPr>
        <w:t>1</w:t>
      </w:r>
      <w:r>
        <w:rPr>
          <w:rFonts w:hint="eastAsia" w:ascii="仿宋_GB2312" w:hAnsi="仿宋_GB2312" w:eastAsia="仿宋_GB2312" w:cs="仿宋_GB2312"/>
          <w:color w:val="000000"/>
          <w:sz w:val="32"/>
          <w:szCs w:val="32"/>
          <w:shd w:val="clear" w:color="auto" w:fill="FFFFFF"/>
          <w:lang w:val="en-US" w:eastAsia="zh-CN"/>
        </w:rPr>
        <w:t>人、副局级实职干部</w:t>
      </w:r>
      <w:r>
        <w:rPr>
          <w:rFonts w:hint="eastAsia" w:ascii="仿宋_GB2312" w:hAnsi="仿宋_GB2312" w:eastAsia="仿宋_GB2312" w:cs="仿宋_GB2312"/>
          <w:color w:val="000000"/>
          <w:sz w:val="32"/>
          <w:szCs w:val="32"/>
          <w:shd w:val="clear" w:color="auto" w:fill="auto"/>
          <w:lang w:val="en-US" w:eastAsia="zh-CN"/>
        </w:rPr>
        <w:t>3</w:t>
      </w:r>
      <w:r>
        <w:rPr>
          <w:rFonts w:hint="eastAsia" w:ascii="仿宋_GB2312" w:hAnsi="仿宋_GB2312" w:eastAsia="仿宋_GB2312" w:cs="仿宋_GB2312"/>
          <w:color w:val="000000"/>
          <w:sz w:val="32"/>
          <w:szCs w:val="32"/>
          <w:shd w:val="clear" w:color="auto" w:fill="FFFFFF"/>
          <w:lang w:val="en-US" w:eastAsia="zh-CN"/>
        </w:rPr>
        <w:t>人。</w:t>
      </w:r>
      <w:r>
        <w:rPr>
          <w:rFonts w:hint="eastAsia" w:ascii="仿宋_GB2312" w:hAnsi="仿宋_GB2312" w:eastAsia="仿宋_GB2312" w:cs="仿宋_GB2312"/>
          <w:sz w:val="32"/>
          <w:szCs w:val="32"/>
          <w:shd w:val="clear" w:color="auto" w:fill="FFFFFF"/>
        </w:rPr>
        <w:t>以“不负韶华 青春担当”为主题，举办第二届“青年讲坛”。组织青年</w:t>
      </w:r>
      <w:r>
        <w:rPr>
          <w:rFonts w:hint="eastAsia" w:ascii="仿宋_GB2312" w:hAnsi="仿宋_GB2312" w:eastAsia="仿宋_GB2312" w:cs="仿宋_GB2312"/>
          <w:sz w:val="32"/>
          <w:szCs w:val="32"/>
          <w:shd w:val="clear" w:color="auto" w:fill="FFFFFF"/>
          <w:lang w:eastAsia="zh-CN"/>
        </w:rPr>
        <w:t>民革</w:t>
      </w:r>
      <w:r>
        <w:rPr>
          <w:rFonts w:hint="eastAsia" w:ascii="仿宋_GB2312" w:hAnsi="仿宋_GB2312" w:eastAsia="仿宋_GB2312" w:cs="仿宋_GB2312"/>
          <w:sz w:val="32"/>
          <w:szCs w:val="32"/>
          <w:shd w:val="clear" w:color="auto" w:fill="FFFFFF"/>
        </w:rPr>
        <w:t>党员参观香山革命纪念馆等活动5次。</w:t>
      </w:r>
      <w:r>
        <w:rPr>
          <w:rFonts w:hint="eastAsia" w:ascii="仿宋_GB2312" w:hAnsi="仿宋_GB2312" w:eastAsia="仿宋_GB2312" w:cs="仿宋_GB2312"/>
          <w:sz w:val="32"/>
          <w:szCs w:val="32"/>
        </w:rPr>
        <w:t>完善分层分级分类教育培训体系，</w:t>
      </w:r>
      <w:r>
        <w:rPr>
          <w:rFonts w:hint="eastAsia" w:ascii="仿宋_GB2312" w:hAnsi="仿宋_GB2312" w:eastAsia="仿宋_GB2312" w:cs="仿宋_GB2312"/>
          <w:sz w:val="32"/>
          <w:szCs w:val="32"/>
          <w:shd w:val="clear" w:color="auto" w:fill="FFFFFF"/>
        </w:rPr>
        <w:t>全年培训</w:t>
      </w:r>
      <w:r>
        <w:rPr>
          <w:rFonts w:hint="eastAsia" w:ascii="仿宋_GB2312" w:hAnsi="仿宋_GB2312" w:eastAsia="仿宋_GB2312" w:cs="仿宋_GB2312"/>
          <w:sz w:val="32"/>
          <w:szCs w:val="32"/>
          <w:shd w:val="clear" w:color="auto" w:fill="auto"/>
        </w:rPr>
        <w:t>400</w:t>
      </w:r>
      <w:r>
        <w:rPr>
          <w:rFonts w:hint="eastAsia" w:ascii="仿宋_GB2312" w:hAnsi="仿宋_GB2312" w:eastAsia="仿宋_GB2312" w:cs="仿宋_GB2312"/>
          <w:sz w:val="32"/>
          <w:szCs w:val="32"/>
          <w:shd w:val="clear" w:color="auto" w:fill="FFFFFF"/>
        </w:rPr>
        <w:t>余人次。推荐</w:t>
      </w:r>
      <w:r>
        <w:rPr>
          <w:rFonts w:hint="eastAsia" w:ascii="仿宋_GB2312" w:hAnsi="仿宋_GB2312" w:eastAsia="仿宋_GB2312" w:cs="仿宋_GB2312"/>
          <w:sz w:val="32"/>
          <w:szCs w:val="32"/>
          <w:shd w:val="clear" w:color="auto" w:fill="auto"/>
        </w:rPr>
        <w:t>53</w:t>
      </w:r>
      <w:r>
        <w:rPr>
          <w:rFonts w:hint="eastAsia" w:ascii="仿宋_GB2312" w:hAnsi="仿宋_GB2312" w:eastAsia="仿宋_GB2312" w:cs="仿宋_GB2312"/>
          <w:sz w:val="32"/>
          <w:szCs w:val="32"/>
          <w:shd w:val="clear" w:color="auto" w:fill="FFFFFF"/>
        </w:rPr>
        <w:t>人参加民革中央、市委统战部各类主体班和专题班。</w:t>
      </w:r>
      <w:r>
        <w:rPr>
          <w:rFonts w:hint="eastAsia" w:ascii="仿宋_GB2312" w:hAnsi="仿宋_GB2312" w:eastAsia="仿宋_GB2312" w:cs="仿宋_GB2312"/>
          <w:sz w:val="32"/>
          <w:szCs w:val="32"/>
          <w:shd w:val="clear" w:color="auto" w:fill="FFFFFF"/>
          <w:lang w:eastAsia="zh-CN"/>
        </w:rPr>
        <w:t>四是</w:t>
      </w:r>
      <w:r>
        <w:rPr>
          <w:rFonts w:hint="eastAsia" w:ascii="仿宋_GB2312" w:hAnsi="仿宋_GB2312" w:eastAsia="仿宋_GB2312" w:cs="仿宋_GB2312"/>
          <w:sz w:val="32"/>
          <w:szCs w:val="32"/>
        </w:rPr>
        <w:t>注重纪律建设，切实强化内部监督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各级领导班子</w:t>
      </w:r>
      <w:r>
        <w:rPr>
          <w:rFonts w:hint="eastAsia" w:ascii="仿宋_GB2312" w:hAnsi="仿宋_GB2312" w:eastAsia="仿宋_GB2312" w:cs="仿宋_GB2312"/>
          <w:sz w:val="32"/>
          <w:szCs w:val="32"/>
          <w:lang w:eastAsia="zh-CN"/>
        </w:rPr>
        <w:t>“一把手”责任制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落实主体责任和监督责任。</w:t>
      </w:r>
      <w:r>
        <w:rPr>
          <w:rFonts w:hint="eastAsia" w:ascii="仿宋_GB2312" w:hAnsi="仿宋_GB2312" w:eastAsia="仿宋_GB2312" w:cs="仿宋_GB2312"/>
          <w:sz w:val="32"/>
          <w:szCs w:val="32"/>
        </w:rPr>
        <w:t>健全内部监督工作体系和机制，召开2次内部监督委全体会议，持续加强对区级组织内部监督机构的工作指导。对实职干部开展常态化廉政警示教育，召开廉政警示教育大会，强化监督执纪“四种形态”。</w:t>
      </w:r>
    </w:p>
    <w:p>
      <w:pPr>
        <w:pStyle w:val="7"/>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32"/>
          <w:szCs w:val="32"/>
          <w:highlight w:val="none"/>
          <w:lang w:val="en-US" w:eastAsia="zh-CN"/>
        </w:rPr>
        <w:t>参政议政。</w:t>
      </w:r>
      <w:r>
        <w:rPr>
          <w:rFonts w:hint="eastAsia" w:ascii="仿宋_GB2312" w:hAnsi="仿宋_GB2312" w:eastAsia="仿宋_GB2312" w:cs="仿宋_GB2312"/>
          <w:sz w:val="32"/>
          <w:szCs w:val="40"/>
          <w:lang w:eastAsia="zh-CN"/>
        </w:rPr>
        <w:t>一是</w:t>
      </w:r>
      <w:r>
        <w:rPr>
          <w:rFonts w:hint="eastAsia" w:ascii="仿宋_GB2312" w:hAnsi="仿宋_GB2312" w:eastAsia="仿宋_GB2312" w:cs="仿宋_GB2312"/>
          <w:sz w:val="32"/>
          <w:szCs w:val="40"/>
        </w:rPr>
        <w:t>高层协商建言更加精准</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32"/>
        </w:rPr>
        <w:t>把高层协商作为参政议政首要任务，坚持高位统筹、精耕细作。</w:t>
      </w:r>
      <w:r>
        <w:rPr>
          <w:rFonts w:hint="eastAsia" w:ascii="仿宋_GB2312" w:hAnsi="仿宋_GB2312" w:eastAsia="仿宋_GB2312" w:cs="仿宋_GB2312"/>
          <w:sz w:val="32"/>
          <w:szCs w:val="40"/>
        </w:rPr>
        <w:t>主要领导带队赴平谷区、门头沟区考察调研座谈，深度提炼建言观点。在政党协商座谈会上，主委围绕生态产品价值实现的市场化机制提出建议，得到中共北京市委主要领导高度重视和充分肯定。在以“加强‘三条文化带’保护与发展”“打造企业主导的产学研深度融合新范式”为主题的两次议政会上，班子成员带头承担议政会调研、发言任务，提出高质量建言，均得到市委市政府主要领导积极回应。用好“直通车”，向中共北京市委报送关于农业中关村建设、国际科创中心建设等方面的</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40"/>
        </w:rPr>
        <w:t>篇建言专报。发挥界别优势提出高质量提案，关于打造国际一流种业之都、破解老旧小区治理难题的</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40"/>
        </w:rPr>
        <w:t>篇提案被确定为市领导重点督办提案。</w:t>
      </w:r>
      <w:r>
        <w:rPr>
          <w:rFonts w:hint="eastAsia" w:ascii="仿宋_GB2312" w:hAnsi="仿宋_GB2312" w:eastAsia="仿宋_GB2312" w:cs="仿宋_GB2312"/>
          <w:sz w:val="32"/>
          <w:szCs w:val="40"/>
          <w:lang w:eastAsia="zh-CN"/>
        </w:rPr>
        <w:t>二是</w:t>
      </w:r>
      <w:r>
        <w:rPr>
          <w:rFonts w:hint="eastAsia" w:ascii="仿宋_GB2312" w:hAnsi="仿宋_GB2312" w:eastAsia="仿宋_GB2312" w:cs="仿宋_GB2312"/>
          <w:sz w:val="32"/>
          <w:szCs w:val="40"/>
        </w:rPr>
        <w:t>参政议政成果更加丰硕</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在平谷区峪口镇西樊各庄村建立“民革中央助力乡村振兴调研基地”，成为民革中央支持首都</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三农</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工作的重要创新实践。</w:t>
      </w:r>
      <w:r>
        <w:rPr>
          <w:rFonts w:hint="eastAsia" w:ascii="仿宋_GB2312" w:hAnsi="仿宋_GB2312" w:eastAsia="仿宋_GB2312" w:cs="仿宋_GB2312"/>
          <w:spacing w:val="8"/>
          <w:sz w:val="32"/>
          <w:szCs w:val="32"/>
          <w:shd w:val="clear" w:color="auto" w:fill="FFFFFF"/>
        </w:rPr>
        <w:t>围绕“助力经济高质量发展”在</w:t>
      </w:r>
      <w:r>
        <w:rPr>
          <w:rFonts w:hint="eastAsia" w:ascii="仿宋_GB2312" w:hAnsi="仿宋_GB2312" w:eastAsia="仿宋_GB2312" w:cs="仿宋_GB2312"/>
          <w:spacing w:val="8"/>
          <w:sz w:val="32"/>
          <w:szCs w:val="32"/>
          <w:shd w:val="clear" w:color="auto" w:fill="FFFFFF"/>
          <w:lang w:eastAsia="zh-CN"/>
        </w:rPr>
        <w:t>东城区</w:t>
      </w:r>
      <w:r>
        <w:rPr>
          <w:rFonts w:hint="eastAsia" w:ascii="仿宋_GB2312" w:hAnsi="仿宋_GB2312" w:eastAsia="仿宋_GB2312" w:cs="仿宋_GB2312"/>
          <w:spacing w:val="8"/>
          <w:sz w:val="32"/>
          <w:szCs w:val="32"/>
          <w:shd w:val="clear" w:color="auto" w:fill="FFFFFF"/>
        </w:rPr>
        <w:t>考察调研，</w:t>
      </w:r>
      <w:r>
        <w:rPr>
          <w:rFonts w:hint="eastAsia" w:ascii="仿宋_GB2312" w:hAnsi="仿宋_GB2312" w:eastAsia="仿宋_GB2312" w:cs="仿宋_GB2312"/>
          <w:spacing w:val="0"/>
          <w:sz w:val="32"/>
          <w:szCs w:val="32"/>
          <w:shd w:val="clear" w:color="auto" w:fill="auto"/>
        </w:rPr>
        <w:t>7</w:t>
      </w:r>
      <w:r>
        <w:rPr>
          <w:rFonts w:hint="eastAsia" w:ascii="仿宋_GB2312" w:hAnsi="仿宋_GB2312" w:eastAsia="仿宋_GB2312" w:cs="仿宋_GB2312"/>
          <w:spacing w:val="8"/>
          <w:sz w:val="32"/>
          <w:szCs w:val="32"/>
          <w:shd w:val="clear" w:color="auto" w:fill="FFFFFF"/>
        </w:rPr>
        <w:t>位民革党员专家、企业家参加座谈发言，提出一系列切实可行的意见建议。</w:t>
      </w:r>
      <w:r>
        <w:rPr>
          <w:rFonts w:hint="eastAsia" w:ascii="仿宋_GB2312" w:hAnsi="仿宋_GB2312" w:eastAsia="仿宋_GB2312" w:cs="仿宋_GB2312"/>
          <w:spacing w:val="8"/>
          <w:sz w:val="32"/>
          <w:szCs w:val="32"/>
          <w:shd w:val="clear" w:color="auto" w:fill="FFFFFF"/>
          <w:lang w:eastAsia="zh-CN"/>
        </w:rPr>
        <w:t>主动</w:t>
      </w:r>
      <w:r>
        <w:rPr>
          <w:rFonts w:hint="eastAsia" w:ascii="仿宋_GB2312" w:hAnsi="仿宋_GB2312" w:eastAsia="仿宋_GB2312" w:cs="仿宋_GB2312"/>
          <w:sz w:val="32"/>
          <w:szCs w:val="40"/>
        </w:rPr>
        <w:t>对接民革中央重点调研任务，就“加快推动轨道交通产业高质量发展”开展调研，提供北京案例和北京建议，部分内容被吸纳进民革中央调研报告，通过“直通车”报送后得到中共中央、国务院有关领导同志批示。做好专题约稿，围绕中小企业数字化转型等专题，向</w:t>
      </w:r>
      <w:r>
        <w:rPr>
          <w:rFonts w:hint="eastAsia" w:ascii="仿宋_GB2312" w:hAnsi="仿宋_GB2312" w:eastAsia="仿宋_GB2312" w:cs="仿宋_GB2312"/>
          <w:sz w:val="32"/>
          <w:szCs w:val="40"/>
          <w:lang w:eastAsia="zh-CN"/>
        </w:rPr>
        <w:t>民革</w:t>
      </w:r>
      <w:r>
        <w:rPr>
          <w:rFonts w:hint="eastAsia" w:ascii="仿宋_GB2312" w:hAnsi="仿宋_GB2312" w:eastAsia="仿宋_GB2312" w:cs="仿宋_GB2312"/>
          <w:sz w:val="32"/>
          <w:szCs w:val="40"/>
        </w:rPr>
        <w:t>中央推荐建言</w:t>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40"/>
        </w:rPr>
        <w:t>篇。与平谷区等单位共同举办“土特产”发展大会，</w:t>
      </w:r>
      <w:r>
        <w:rPr>
          <w:rFonts w:hint="eastAsia" w:ascii="仿宋_GB2312" w:hAnsi="仿宋_GB2312" w:eastAsia="仿宋_GB2312" w:cs="仿宋_GB2312"/>
          <w:sz w:val="32"/>
          <w:szCs w:val="40"/>
          <w:lang w:eastAsia="zh-CN"/>
        </w:rPr>
        <w:t>打造“三农”新品牌。</w:t>
      </w:r>
      <w:r>
        <w:rPr>
          <w:rFonts w:hint="eastAsia" w:ascii="仿宋_GB2312" w:hAnsi="仿宋_GB2312" w:eastAsia="仿宋_GB2312" w:cs="仿宋_GB2312"/>
          <w:sz w:val="32"/>
          <w:szCs w:val="40"/>
        </w:rPr>
        <w:t>坚持建言资政和凝聚共识双向发力。充分利用市政协各类协商议政平台，组织</w:t>
      </w:r>
      <w:r>
        <w:rPr>
          <w:rFonts w:hint="eastAsia" w:ascii="仿宋_GB2312" w:hAnsi="仿宋_GB2312" w:eastAsia="仿宋_GB2312" w:cs="仿宋_GB2312"/>
          <w:sz w:val="32"/>
          <w:szCs w:val="40"/>
          <w:lang w:eastAsia="zh-CN"/>
        </w:rPr>
        <w:t>民革</w:t>
      </w:r>
      <w:r>
        <w:rPr>
          <w:rFonts w:hint="eastAsia" w:ascii="仿宋_GB2312" w:hAnsi="仿宋_GB2312" w:eastAsia="仿宋_GB2312" w:cs="仿宋_GB2312"/>
          <w:sz w:val="32"/>
          <w:szCs w:val="40"/>
        </w:rPr>
        <w:t>党员参与市政协农业中关村建设等</w:t>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40"/>
        </w:rPr>
        <w:t>个协商任务和《北京国际科创中心建设条例》立法协商，参加市政协知情明政会12次，联合调研68次，参与人数达177人次，在市政协各类议政性会议上发言12人次。与市检察院联合开展关于国际仲裁中心建设的课题调研，形成高质量成果。参加民革直辖市组织参政议政联席会议暨“激发文旅产业消费活力 培育国际消费中心城市”专题研讨会，从大兴机场的桥头堡作用发挥、消费韧性培育等角度提出建言。加强与区级组织的上下联动工作机制建设，完成市区联动课题29个。举办参政议政培训班，将专题辅导与现场教学、交流研讨相结合，60</w:t>
      </w:r>
      <w:r>
        <w:rPr>
          <w:rFonts w:hint="eastAsia" w:ascii="仿宋_GB2312" w:hAnsi="仿宋_GB2312" w:eastAsia="仿宋_GB2312" w:cs="仿宋_GB2312"/>
          <w:sz w:val="32"/>
          <w:szCs w:val="40"/>
          <w:lang w:eastAsia="zh-CN"/>
        </w:rPr>
        <w:t>余</w:t>
      </w:r>
      <w:r>
        <w:rPr>
          <w:rFonts w:hint="eastAsia" w:ascii="仿宋_GB2312" w:hAnsi="仿宋_GB2312" w:eastAsia="仿宋_GB2312" w:cs="仿宋_GB2312"/>
          <w:sz w:val="32"/>
          <w:szCs w:val="40"/>
        </w:rPr>
        <w:t>人参加，取得良好效果。</w:t>
      </w:r>
      <w:r>
        <w:rPr>
          <w:rFonts w:hint="eastAsia" w:ascii="仿宋_GB2312" w:hAnsi="仿宋_GB2312" w:eastAsia="仿宋_GB2312" w:cs="仿宋_GB2312"/>
          <w:sz w:val="32"/>
          <w:szCs w:val="40"/>
          <w:lang w:eastAsia="zh-CN"/>
        </w:rPr>
        <w:t>三是</w:t>
      </w:r>
      <w:r>
        <w:rPr>
          <w:rFonts w:hint="eastAsia" w:ascii="仿宋_GB2312" w:hAnsi="仿宋_GB2312" w:eastAsia="仿宋_GB2312" w:cs="仿宋_GB2312"/>
          <w:sz w:val="32"/>
          <w:szCs w:val="40"/>
        </w:rPr>
        <w:t>信息工作基础更加坚实</w:t>
      </w:r>
      <w:r>
        <w:rPr>
          <w:rFonts w:hint="eastAsia" w:ascii="仿宋_GB2312" w:hAnsi="仿宋_GB2312" w:eastAsia="仿宋_GB2312" w:cs="仿宋_GB2312"/>
          <w:sz w:val="32"/>
          <w:szCs w:val="40"/>
          <w:lang w:eastAsia="zh-CN"/>
        </w:rPr>
        <w:t>。组织</w:t>
      </w:r>
      <w:r>
        <w:rPr>
          <w:rFonts w:hint="eastAsia" w:ascii="仿宋_GB2312" w:hAnsi="仿宋_GB2312" w:eastAsia="仿宋_GB2312" w:cs="仿宋_GB2312"/>
          <w:sz w:val="32"/>
          <w:szCs w:val="32"/>
          <w:lang w:val="en-US" w:eastAsia="zh-CN"/>
        </w:rPr>
        <w:t>300余</w:t>
      </w:r>
      <w:r>
        <w:rPr>
          <w:rFonts w:hint="eastAsia" w:ascii="仿宋_GB2312" w:hAnsi="仿宋_GB2312" w:eastAsia="仿宋_GB2312" w:cs="仿宋_GB2312"/>
          <w:sz w:val="32"/>
          <w:szCs w:val="40"/>
          <w:lang w:val="en-US" w:eastAsia="zh-CN"/>
        </w:rPr>
        <w:t>名专委会委员线上参加市政协信息工作培训，邀请统战系统信息工作负责人作辅导报告。</w:t>
      </w:r>
      <w:r>
        <w:rPr>
          <w:rFonts w:hint="eastAsia" w:ascii="仿宋_GB2312" w:hAnsi="仿宋_GB2312" w:eastAsia="仿宋_GB2312" w:cs="仿宋_GB2312"/>
          <w:sz w:val="32"/>
          <w:szCs w:val="40"/>
        </w:rPr>
        <w:t>全年报送信息近</w:t>
      </w:r>
      <w:r>
        <w:rPr>
          <w:rFonts w:hint="eastAsia" w:ascii="仿宋_GB2312" w:hAnsi="仿宋_GB2312" w:eastAsia="仿宋_GB2312" w:cs="仿宋_GB2312"/>
          <w:sz w:val="32"/>
          <w:szCs w:val="32"/>
        </w:rPr>
        <w:t>900</w:t>
      </w:r>
      <w:r>
        <w:rPr>
          <w:rFonts w:hint="eastAsia" w:ascii="仿宋_GB2312" w:hAnsi="仿宋_GB2312" w:eastAsia="仿宋_GB2312" w:cs="仿宋_GB2312"/>
          <w:sz w:val="32"/>
          <w:szCs w:val="40"/>
        </w:rPr>
        <w:t>篇次，被民革中央和市级单位采用</w:t>
      </w:r>
      <w:r>
        <w:rPr>
          <w:rFonts w:hint="eastAsia" w:ascii="仿宋_GB2312" w:hAnsi="仿宋_GB2312" w:eastAsia="仿宋_GB2312" w:cs="仿宋_GB2312"/>
          <w:sz w:val="32"/>
          <w:szCs w:val="32"/>
        </w:rPr>
        <w:t>260</w:t>
      </w:r>
      <w:r>
        <w:rPr>
          <w:rFonts w:hint="eastAsia" w:ascii="仿宋_GB2312" w:hAnsi="仿宋_GB2312" w:eastAsia="仿宋_GB2312" w:cs="仿宋_GB2312"/>
          <w:sz w:val="32"/>
          <w:szCs w:val="40"/>
        </w:rPr>
        <w:t>篇次，关于专精特新企业发展等</w:t>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40"/>
        </w:rPr>
        <w:t>篇信息得到市领导重要批示。</w:t>
      </w:r>
      <w:r>
        <w:rPr>
          <w:rFonts w:hint="eastAsia" w:ascii="仿宋_GB2312" w:hAnsi="仿宋_GB2312" w:eastAsia="仿宋_GB2312" w:cs="仿宋_GB2312"/>
          <w:sz w:val="32"/>
          <w:szCs w:val="40"/>
          <w:lang w:eastAsia="zh-CN"/>
        </w:rPr>
        <w:t>四是</w:t>
      </w:r>
      <w:r>
        <w:rPr>
          <w:rFonts w:hint="eastAsia" w:ascii="仿宋_GB2312" w:hAnsi="仿宋_GB2312" w:eastAsia="仿宋_GB2312" w:cs="仿宋_GB2312"/>
          <w:sz w:val="32"/>
          <w:szCs w:val="40"/>
        </w:rPr>
        <w:t>品牌机制更加完善</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落实</w:t>
      </w:r>
      <w:r>
        <w:rPr>
          <w:rFonts w:hint="eastAsia" w:ascii="仿宋_GB2312" w:hAnsi="仿宋_GB2312" w:eastAsia="仿宋_GB2312" w:cs="仿宋_GB2312"/>
          <w:sz w:val="32"/>
          <w:szCs w:val="32"/>
        </w:rPr>
        <w:t>习近平总书记</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深入推进京津冀协同发展座谈会</w:t>
      </w:r>
      <w:r>
        <w:rPr>
          <w:rFonts w:hint="eastAsia" w:ascii="仿宋_GB2312" w:hAnsi="仿宋_GB2312" w:eastAsia="仿宋_GB2312" w:cs="仿宋_GB2312"/>
          <w:sz w:val="32"/>
          <w:szCs w:val="32"/>
          <w:lang w:eastAsia="zh-CN"/>
        </w:rPr>
        <w:t>上的重要讲话</w:t>
      </w:r>
      <w:r>
        <w:rPr>
          <w:rFonts w:hint="eastAsia" w:ascii="仿宋_GB2312" w:hAnsi="仿宋_GB2312" w:eastAsia="仿宋_GB2312" w:cs="仿宋_GB2312"/>
          <w:sz w:val="32"/>
          <w:szCs w:val="32"/>
        </w:rPr>
        <w:t>精神，聚焦创新协同和产业协作，</w:t>
      </w:r>
      <w:r>
        <w:rPr>
          <w:rFonts w:hint="eastAsia" w:ascii="仿宋_GB2312" w:hAnsi="仿宋_GB2312" w:eastAsia="仿宋_GB2312" w:cs="仿宋_GB2312"/>
          <w:sz w:val="32"/>
          <w:szCs w:val="40"/>
        </w:rPr>
        <w:t>联合天津民革、河北民革共同举办“</w:t>
      </w:r>
      <w:r>
        <w:rPr>
          <w:rFonts w:hint="eastAsia" w:ascii="仿宋_GB2312" w:hAnsi="仿宋_GB2312" w:eastAsia="仿宋_GB2312" w:cs="仿宋_GB2312"/>
          <w:sz w:val="32"/>
          <w:szCs w:val="32"/>
        </w:rPr>
        <w:t>深化互通共融  助力协同发展</w:t>
      </w:r>
      <w:r>
        <w:rPr>
          <w:rFonts w:hint="eastAsia" w:ascii="仿宋_GB2312" w:hAnsi="仿宋_GB2312" w:eastAsia="仿宋_GB2312" w:cs="仿宋_GB2312"/>
          <w:sz w:val="32"/>
          <w:szCs w:val="40"/>
        </w:rPr>
        <w:t>”第五届中山论坛，为打造中国式现代化建设的先行区、示范区建言献策，持续擦亮“中山论坛”品牌。举办“聚智微漫谈”研讨活动8期，为建言献策和发现培养人才拓宽渠道。</w:t>
      </w:r>
      <w:r>
        <w:rPr>
          <w:rFonts w:hint="eastAsia" w:ascii="仿宋_GB2312" w:hAnsi="仿宋_GB2312" w:eastAsia="仿宋_GB2312" w:cs="仿宋_GB2312"/>
          <w:sz w:val="32"/>
          <w:szCs w:val="40"/>
          <w:lang w:eastAsia="zh-CN"/>
        </w:rPr>
        <w:t>五是</w:t>
      </w:r>
      <w:r>
        <w:rPr>
          <w:rFonts w:hint="eastAsia" w:ascii="仿宋_GB2312" w:hAnsi="仿宋_GB2312" w:eastAsia="仿宋_GB2312" w:cs="仿宋_GB2312"/>
          <w:sz w:val="32"/>
          <w:szCs w:val="40"/>
        </w:rPr>
        <w:t>民主监督稳步推进</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坚持参政议政、民主监督和社会服务三者有机融合</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“三位一体”推进专项民主监督工作</w:t>
      </w:r>
      <w:r>
        <w:rPr>
          <w:rFonts w:hint="eastAsia" w:ascii="仿宋_GB2312" w:hAnsi="仿宋_GB2312" w:eastAsia="仿宋_GB2312" w:cs="仿宋_GB2312"/>
          <w:sz w:val="32"/>
          <w:szCs w:val="32"/>
        </w:rPr>
        <w:t>。主要领导率队赴平谷区开展调研</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32"/>
        </w:rPr>
        <w:t>次，专职领导带队调研</w:t>
      </w:r>
      <w:r>
        <w:rPr>
          <w:rFonts w:hint="eastAsia" w:ascii="仿宋_GB2312" w:hAnsi="仿宋_GB2312" w:eastAsia="仿宋_GB2312" w:cs="仿宋_GB2312"/>
          <w:sz w:val="32"/>
          <w:szCs w:val="40"/>
        </w:rPr>
        <w:t>3</w:t>
      </w:r>
      <w:r>
        <w:rPr>
          <w:rFonts w:hint="eastAsia" w:ascii="仿宋_GB2312" w:hAnsi="仿宋_GB2312" w:eastAsia="仿宋_GB2312" w:cs="仿宋_GB2312"/>
          <w:sz w:val="32"/>
          <w:szCs w:val="32"/>
        </w:rPr>
        <w:t>次，参与</w:t>
      </w:r>
      <w:r>
        <w:rPr>
          <w:rFonts w:hint="eastAsia" w:ascii="仿宋_GB2312" w:hAnsi="仿宋_GB2312" w:eastAsia="仿宋_GB2312" w:cs="仿宋_GB2312"/>
          <w:sz w:val="32"/>
          <w:szCs w:val="32"/>
          <w:lang w:eastAsia="zh-CN"/>
        </w:rPr>
        <w:t>民革</w:t>
      </w:r>
      <w:r>
        <w:rPr>
          <w:rFonts w:hint="eastAsia" w:ascii="仿宋_GB2312" w:hAnsi="仿宋_GB2312" w:eastAsia="仿宋_GB2312" w:cs="仿宋_GB2312"/>
          <w:sz w:val="32"/>
          <w:szCs w:val="32"/>
        </w:rPr>
        <w:t>党员</w:t>
      </w:r>
      <w:r>
        <w:rPr>
          <w:rFonts w:hint="eastAsia" w:ascii="仿宋_GB2312" w:hAnsi="仿宋_GB2312" w:eastAsia="仿宋_GB2312" w:cs="仿宋_GB2312"/>
          <w:sz w:val="32"/>
          <w:szCs w:val="40"/>
          <w:lang w:val="en-US" w:eastAsia="zh-CN"/>
        </w:rPr>
        <w:t>50</w:t>
      </w:r>
      <w:r>
        <w:rPr>
          <w:rFonts w:hint="eastAsia" w:ascii="仿宋_GB2312" w:hAnsi="仿宋_GB2312" w:eastAsia="仿宋_GB2312" w:cs="仿宋_GB2312"/>
          <w:sz w:val="32"/>
          <w:szCs w:val="32"/>
        </w:rPr>
        <w:t>余人次。与实地调研相结合，开展书面监督</w:t>
      </w:r>
      <w:r>
        <w:rPr>
          <w:rFonts w:hint="eastAsia" w:ascii="仿宋_GB2312" w:hAnsi="仿宋_GB2312" w:eastAsia="仿宋_GB2312" w:cs="仿宋_GB2312"/>
          <w:sz w:val="32"/>
          <w:szCs w:val="40"/>
        </w:rPr>
        <w:t>1</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40"/>
        </w:rPr>
        <w:t>在平谷调研获取的第一手资料转化相关涉农建议十余篇，有效支撑了政党协商、政协协商等建言，其中《着力破解度量难问题，健全我市生态产品价值评价体系》《关于营造农业科研生态的建议》2篇获得市领导批示。</w:t>
      </w:r>
      <w:r>
        <w:rPr>
          <w:rFonts w:hint="eastAsia" w:ascii="仿宋_GB2312" w:hAnsi="仿宋_GB2312" w:eastAsia="仿宋_GB2312" w:cs="仿宋_GB2312"/>
          <w:sz w:val="32"/>
          <w:szCs w:val="32"/>
        </w:rPr>
        <w:t>以三农技术力量助推主委基层联系点——南独乐河镇北独乐河村建设，建立“民革中国农业科学院支部专家技术服务站”。“</w:t>
      </w:r>
      <w:r>
        <w:rPr>
          <w:rFonts w:hint="eastAsia" w:ascii="仿宋_GB2312" w:hAnsi="仿宋_GB2312" w:eastAsia="仿宋_GB2312" w:cs="仿宋_GB2312"/>
          <w:sz w:val="32"/>
          <w:szCs w:val="40"/>
        </w:rPr>
        <w:t>2023</w:t>
      </w:r>
      <w:r>
        <w:rPr>
          <w:rFonts w:hint="eastAsia" w:ascii="仿宋_GB2312" w:hAnsi="仿宋_GB2312" w:eastAsia="仿宋_GB2312" w:cs="仿宋_GB2312"/>
          <w:sz w:val="32"/>
          <w:szCs w:val="32"/>
        </w:rPr>
        <w:t>年平谷区职业农民培训”项目培训农民</w:t>
      </w:r>
      <w:r>
        <w:rPr>
          <w:rFonts w:hint="eastAsia" w:ascii="仿宋_GB2312" w:hAnsi="仿宋_GB2312" w:eastAsia="仿宋_GB2312" w:cs="仿宋_GB2312"/>
          <w:sz w:val="32"/>
          <w:szCs w:val="40"/>
        </w:rPr>
        <w:t>1454</w:t>
      </w:r>
      <w:r>
        <w:rPr>
          <w:rFonts w:hint="eastAsia" w:ascii="仿宋_GB2312" w:hAnsi="仿宋_GB2312" w:eastAsia="仿宋_GB2312" w:cs="仿宋_GB2312"/>
          <w:sz w:val="32"/>
          <w:szCs w:val="32"/>
        </w:rPr>
        <w:t>人。申报建设“应用根区改良技术生产高品质风味番茄博士农场”，由中国农科院专家团队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在东高村镇赵家务村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开展日光温室高品质风味番茄新品种引进试验和根区改良高品质番茄栽培技术示范推广工作。</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color w:val="000000"/>
          <w:kern w:val="0"/>
          <w:sz w:val="32"/>
          <w:szCs w:val="32"/>
          <w:highlight w:val="none"/>
          <w:lang w:val="en-US" w:eastAsia="zh-CN"/>
        </w:rPr>
        <w:t>社会服务。</w:t>
      </w:r>
      <w:r>
        <w:rPr>
          <w:rFonts w:hint="eastAsia" w:ascii="仿宋_GB2312" w:hAnsi="仿宋_GB2312" w:eastAsia="仿宋_GB2312" w:cs="仿宋_GB2312"/>
          <w:b w:val="0"/>
          <w:bCs w:val="0"/>
          <w:sz w:val="32"/>
          <w:szCs w:val="32"/>
          <w:lang w:eastAsia="zh-CN"/>
        </w:rPr>
        <w:t>一是</w:t>
      </w:r>
      <w:r>
        <w:rPr>
          <w:rFonts w:hint="eastAsia" w:ascii="仿宋_GB2312" w:hAnsi="仿宋_GB2312" w:eastAsia="仿宋_GB2312" w:cs="仿宋_GB2312"/>
          <w:b w:val="0"/>
          <w:bCs w:val="0"/>
          <w:sz w:val="32"/>
          <w:szCs w:val="32"/>
        </w:rPr>
        <w:t>稳步提升纳雍县羊场乡结对帮扶成效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40"/>
        </w:rPr>
        <w:t>贯彻民革中央“三推进一落实”部署要求，强化帮扶顶层设计、突出首都资源特色、协同联动多方合力、抓实乡村振兴重点任务。主委带头</w:t>
      </w:r>
      <w:r>
        <w:rPr>
          <w:rFonts w:hint="eastAsia" w:ascii="仿宋_GB2312" w:hAnsi="仿宋_GB2312" w:eastAsia="仿宋_GB2312" w:cs="仿宋_GB2312"/>
          <w:b w:val="0"/>
          <w:bCs w:val="0"/>
          <w:sz w:val="32"/>
          <w:szCs w:val="40"/>
          <w:lang w:eastAsia="zh-CN"/>
        </w:rPr>
        <w:t>，</w:t>
      </w:r>
      <w:r>
        <w:rPr>
          <w:rFonts w:hint="eastAsia" w:ascii="仿宋_GB2312" w:hAnsi="仿宋_GB2312" w:eastAsia="仿宋_GB2312" w:cs="仿宋_GB2312"/>
          <w:b w:val="0"/>
          <w:bCs w:val="0"/>
          <w:sz w:val="32"/>
          <w:szCs w:val="40"/>
        </w:rPr>
        <w:t>4名班子成员带领</w:t>
      </w:r>
      <w:r>
        <w:rPr>
          <w:rFonts w:hint="eastAsia" w:ascii="仿宋_GB2312" w:hAnsi="仿宋_GB2312" w:eastAsia="仿宋_GB2312" w:cs="仿宋_GB2312"/>
          <w:b w:val="0"/>
          <w:bCs w:val="0"/>
          <w:sz w:val="32"/>
          <w:szCs w:val="40"/>
          <w:u w:val="none"/>
          <w:lang w:eastAsia="zh-CN"/>
        </w:rPr>
        <w:t>7</w:t>
      </w:r>
      <w:r>
        <w:rPr>
          <w:rFonts w:hint="eastAsia" w:ascii="仿宋_GB2312" w:hAnsi="仿宋_GB2312" w:eastAsia="仿宋_GB2312" w:cs="仿宋_GB2312"/>
          <w:b w:val="0"/>
          <w:bCs w:val="0"/>
          <w:sz w:val="32"/>
          <w:szCs w:val="40"/>
          <w:u w:val="none"/>
          <w:lang w:val="en-US" w:eastAsia="zh-CN"/>
        </w:rPr>
        <w:t>6</w:t>
      </w:r>
      <w:r>
        <w:rPr>
          <w:rFonts w:hint="eastAsia" w:ascii="仿宋_GB2312" w:hAnsi="仿宋_GB2312" w:eastAsia="仿宋_GB2312" w:cs="仿宋_GB2312"/>
          <w:b w:val="0"/>
          <w:bCs w:val="0"/>
          <w:sz w:val="32"/>
          <w:szCs w:val="40"/>
        </w:rPr>
        <w:t>名</w:t>
      </w:r>
      <w:r>
        <w:rPr>
          <w:rFonts w:hint="eastAsia" w:ascii="仿宋_GB2312" w:hAnsi="仿宋_GB2312" w:eastAsia="仿宋_GB2312" w:cs="仿宋_GB2312"/>
          <w:b w:val="0"/>
          <w:bCs w:val="0"/>
          <w:sz w:val="32"/>
          <w:szCs w:val="40"/>
          <w:lang w:eastAsia="zh-CN"/>
        </w:rPr>
        <w:t>民革</w:t>
      </w:r>
      <w:r>
        <w:rPr>
          <w:rFonts w:hint="eastAsia" w:ascii="仿宋_GB2312" w:hAnsi="仿宋_GB2312" w:eastAsia="仿宋_GB2312" w:cs="仿宋_GB2312"/>
          <w:b w:val="0"/>
          <w:bCs w:val="0"/>
          <w:sz w:val="32"/>
          <w:szCs w:val="40"/>
        </w:rPr>
        <w:t>党员专家三次赴纳雍实地帮扶。将曾底坝村纳入国家乡村振兴局“百校联百县兴千村”行动，启动清华大学乡村振兴工作站选址建站工作，首批15名学生组成的清华大学纳雍暑期实践支队开展为期两周的实践调研。</w:t>
      </w:r>
      <w:r>
        <w:rPr>
          <w:rFonts w:hint="eastAsia" w:ascii="仿宋_GB2312" w:hAnsi="仿宋_GB2312" w:eastAsia="仿宋_GB2312" w:cs="仿宋_GB2312"/>
          <w:b w:val="0"/>
          <w:bCs w:val="0"/>
          <w:sz w:val="32"/>
        </w:rPr>
        <w:t>牵线华润现代中药与纳雍县建立中草药产销合作。引入依文·中国手工坊，与县国企合作发展当地苗绣产业。捐建民革快手“幸福直播间”，开展“幸福乡村学堂”互联网技能培训，培养</w:t>
      </w:r>
      <w:r>
        <w:rPr>
          <w:rFonts w:hint="eastAsia" w:ascii="仿宋_GB2312" w:hAnsi="仿宋_GB2312" w:eastAsia="仿宋_GB2312" w:cs="仿宋_GB2312"/>
          <w:b w:val="0"/>
          <w:bCs w:val="0"/>
          <w:sz w:val="32"/>
          <w:szCs w:val="40"/>
        </w:rPr>
        <w:t>120</w:t>
      </w:r>
      <w:r>
        <w:rPr>
          <w:rFonts w:hint="eastAsia" w:ascii="仿宋_GB2312" w:hAnsi="仿宋_GB2312" w:eastAsia="仿宋_GB2312" w:cs="仿宋_GB2312"/>
          <w:b w:val="0"/>
          <w:bCs w:val="0"/>
          <w:sz w:val="32"/>
        </w:rPr>
        <w:t>余名“幸福乡村带头人”。携手中乔体育公司，促成三年公益捐赠，1万余套价值460万元秋冬服装已直达纳雍困难家庭。</w:t>
      </w:r>
      <w:r>
        <w:rPr>
          <w:rFonts w:hint="eastAsia" w:ascii="仿宋_GB2312" w:hAnsi="仿宋_GB2312" w:eastAsia="仿宋_GB2312" w:cs="仿宋_GB2312"/>
          <w:b w:val="0"/>
          <w:bCs w:val="0"/>
          <w:kern w:val="0"/>
          <w:sz w:val="32"/>
          <w:szCs w:val="32"/>
        </w:rPr>
        <w:t>与纳雍县卫健局共同提出《纳雍县借力民革北京市委帮扶资源提升二级医院服务水平实施方案（2023-2025年）》</w:t>
      </w:r>
      <w:r>
        <w:rPr>
          <w:rFonts w:hint="eastAsia" w:ascii="仿宋_GB2312" w:hAnsi="仿宋_GB2312" w:eastAsia="仿宋_GB2312" w:cs="仿宋_GB2312"/>
          <w:b w:val="0"/>
          <w:bCs w:val="0"/>
          <w:sz w:val="32"/>
          <w:szCs w:val="40"/>
        </w:rPr>
        <w:t>其中，“名医工作室”实现挂牌、收徒和开诊，“中山名医讲堂”完成首讲四场专题讲座，医疗专家团开展实地义诊38人。连续三年开展乡村干部培训120名基层干部。</w:t>
      </w:r>
      <w:r>
        <w:rPr>
          <w:rFonts w:hint="eastAsia" w:ascii="仿宋_GB2312" w:hAnsi="仿宋_GB2312" w:eastAsia="仿宋_GB2312" w:cs="仿宋_GB2312"/>
          <w:b w:val="0"/>
          <w:bCs w:val="0"/>
          <w:sz w:val="32"/>
          <w:szCs w:val="40"/>
          <w:lang w:eastAsia="zh-CN"/>
        </w:rPr>
        <w:t>二是</w:t>
      </w:r>
      <w:r>
        <w:rPr>
          <w:rFonts w:hint="eastAsia" w:ascii="仿宋_GB2312" w:hAnsi="仿宋_GB2312" w:eastAsia="仿宋_GB2312" w:cs="仿宋_GB2312"/>
          <w:b w:val="0"/>
          <w:bCs w:val="0"/>
          <w:sz w:val="32"/>
          <w:szCs w:val="32"/>
        </w:rPr>
        <w:t>持续推进助力门头沟“</w:t>
      </w:r>
      <w:r>
        <w:rPr>
          <w:rFonts w:hint="eastAsia" w:ascii="仿宋_GB2312" w:hAnsi="仿宋_GB2312" w:eastAsia="仿宋_GB2312" w:cs="仿宋_GB2312"/>
          <w:b w:val="0"/>
          <w:bCs w:val="0"/>
          <w:sz w:val="32"/>
          <w:szCs w:val="40"/>
        </w:rPr>
        <w:t>8+1</w:t>
      </w:r>
      <w:r>
        <w:rPr>
          <w:rFonts w:hint="eastAsia" w:ascii="仿宋_GB2312" w:hAnsi="仿宋_GB2312" w:eastAsia="仿宋_GB2312" w:cs="仿宋_GB2312"/>
          <w:b w:val="0"/>
          <w:bCs w:val="0"/>
          <w:sz w:val="32"/>
          <w:szCs w:val="32"/>
        </w:rPr>
        <w:t>”行动取得实效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建立“市委发动、基层支撑、履职机构领衔、全党参与”工作机制，与门头沟区</w:t>
      </w:r>
      <w:r>
        <w:rPr>
          <w:rFonts w:hint="eastAsia" w:ascii="仿宋_GB2312" w:hAnsi="仿宋_GB2312" w:eastAsia="仿宋_GB2312" w:cs="仿宋_GB2312"/>
          <w:b w:val="0"/>
          <w:bCs w:val="0"/>
          <w:sz w:val="32"/>
          <w:szCs w:val="32"/>
          <w:lang w:eastAsia="zh-CN"/>
        </w:rPr>
        <w:t>委统战部高效联动，与对口的</w:t>
      </w:r>
      <w:r>
        <w:rPr>
          <w:rFonts w:hint="eastAsia" w:ascii="仿宋_GB2312" w:hAnsi="仿宋_GB2312" w:eastAsia="仿宋_GB2312" w:cs="仿宋_GB2312"/>
          <w:b w:val="0"/>
          <w:bCs w:val="0"/>
          <w:sz w:val="32"/>
          <w:szCs w:val="32"/>
        </w:rPr>
        <w:t>镇街、委办局</w:t>
      </w:r>
      <w:r>
        <w:rPr>
          <w:rFonts w:hint="eastAsia" w:ascii="仿宋_GB2312" w:hAnsi="仿宋_GB2312" w:eastAsia="仿宋_GB2312" w:cs="仿宋_GB2312"/>
          <w:b w:val="0"/>
          <w:bCs w:val="0"/>
          <w:strike w:val="0"/>
          <w:sz w:val="32"/>
          <w:szCs w:val="32"/>
          <w:lang w:eastAsia="zh-CN"/>
        </w:rPr>
        <w:t>细化推进</w:t>
      </w:r>
      <w:r>
        <w:rPr>
          <w:rFonts w:hint="eastAsia" w:ascii="仿宋_GB2312" w:hAnsi="仿宋_GB2312" w:eastAsia="仿宋_GB2312" w:cs="仿宋_GB2312"/>
          <w:b w:val="0"/>
          <w:bCs w:val="0"/>
          <w:sz w:val="32"/>
          <w:szCs w:val="32"/>
        </w:rPr>
        <w:t>项目实施，协调解决突出问题</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推动“</w:t>
      </w:r>
      <w:r>
        <w:rPr>
          <w:rFonts w:hint="eastAsia" w:ascii="仿宋_GB2312" w:hAnsi="仿宋_GB2312" w:eastAsia="仿宋_GB2312" w:cs="仿宋_GB2312"/>
          <w:b w:val="0"/>
          <w:bCs w:val="0"/>
          <w:sz w:val="32"/>
          <w:szCs w:val="40"/>
        </w:rPr>
        <w:t>8+1</w:t>
      </w:r>
      <w:r>
        <w:rPr>
          <w:rFonts w:hint="eastAsia" w:ascii="仿宋_GB2312" w:hAnsi="仿宋_GB2312" w:eastAsia="仿宋_GB2312" w:cs="仿宋_GB2312"/>
          <w:b w:val="0"/>
          <w:bCs w:val="0"/>
          <w:sz w:val="32"/>
          <w:szCs w:val="32"/>
        </w:rPr>
        <w:t>”行动各项工作落地见效。深化基层依法治理，在城子街道蓝龙家园社区组建“灾后法律志愿服务团”开展“中山博爱法律服务”活动；在大峪街道滨河西区开展“中山博爱银龄夕阳红养老服务”提升项目；组织“三农”领域专家、企业调研斋堂镇秸秆产业化基础，启动生态循环农业发展可行性研究。</w:t>
      </w:r>
      <w:r>
        <w:rPr>
          <w:rFonts w:hint="eastAsia" w:ascii="仿宋_GB2312" w:hAnsi="仿宋_GB2312" w:eastAsia="仿宋_GB2312" w:cs="仿宋_GB2312"/>
          <w:b w:val="0"/>
          <w:bCs w:val="0"/>
          <w:sz w:val="32"/>
          <w:szCs w:val="32"/>
          <w:lang w:eastAsia="zh-CN"/>
        </w:rPr>
        <w:t>三是</w:t>
      </w:r>
      <w:r>
        <w:rPr>
          <w:rFonts w:hint="eastAsia" w:ascii="仿宋_GB2312" w:hAnsi="仿宋_GB2312" w:eastAsia="仿宋_GB2312" w:cs="仿宋_GB2312"/>
          <w:b w:val="0"/>
          <w:bCs w:val="0"/>
          <w:sz w:val="32"/>
          <w:szCs w:val="32"/>
        </w:rPr>
        <w:t>汇聚力量扶困救灾，彰显使命担当</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40"/>
        </w:rPr>
        <w:t>23·7</w:t>
      </w:r>
      <w:r>
        <w:rPr>
          <w:rFonts w:hint="eastAsia" w:ascii="仿宋_GB2312" w:hAnsi="仿宋_GB2312" w:eastAsia="仿宋_GB2312" w:cs="仿宋_GB2312"/>
          <w:b w:val="0"/>
          <w:bCs w:val="0"/>
          <w:sz w:val="32"/>
          <w:szCs w:val="32"/>
        </w:rPr>
        <w:t>”灾害发生后，筹集物资送往门头沟区、房山区、涿州等地，累计筹集善款物资</w:t>
      </w:r>
      <w:r>
        <w:rPr>
          <w:rFonts w:hint="eastAsia" w:ascii="仿宋_GB2312" w:hAnsi="仿宋_GB2312" w:eastAsia="仿宋_GB2312" w:cs="仿宋_GB2312"/>
          <w:b w:val="0"/>
          <w:bCs w:val="0"/>
          <w:sz w:val="32"/>
          <w:szCs w:val="40"/>
        </w:rPr>
        <w:t>481.6</w:t>
      </w:r>
      <w:r>
        <w:rPr>
          <w:rFonts w:hint="eastAsia" w:ascii="仿宋_GB2312" w:hAnsi="仿宋_GB2312" w:eastAsia="仿宋_GB2312" w:cs="仿宋_GB2312"/>
          <w:b w:val="0"/>
          <w:bCs w:val="0"/>
          <w:sz w:val="32"/>
          <w:szCs w:val="32"/>
        </w:rPr>
        <w:t>万余元。</w:t>
      </w:r>
      <w:r>
        <w:rPr>
          <w:rFonts w:hint="eastAsia" w:ascii="仿宋_GB2312" w:hAnsi="仿宋_GB2312" w:eastAsia="仿宋_GB2312" w:cs="仿宋_GB2312"/>
          <w:b w:val="0"/>
          <w:bCs w:val="0"/>
          <w:kern w:val="2"/>
          <w:sz w:val="32"/>
          <w:szCs w:val="32"/>
          <w:lang w:eastAsia="zh-CN"/>
        </w:rPr>
        <w:t>打造“中山</w:t>
      </w:r>
      <w:r>
        <w:rPr>
          <w:rFonts w:hint="eastAsia" w:ascii="仿宋_GB2312" w:hAnsi="仿宋_GB2312" w:eastAsia="仿宋_GB2312" w:cs="仿宋_GB2312"/>
          <w:b w:val="0"/>
          <w:bCs w:val="0"/>
          <w:sz w:val="32"/>
          <w:szCs w:val="40"/>
        </w:rPr>
        <w:t>·</w:t>
      </w:r>
      <w:r>
        <w:rPr>
          <w:rFonts w:hint="eastAsia" w:ascii="仿宋_GB2312" w:hAnsi="仿宋_GB2312" w:eastAsia="仿宋_GB2312" w:cs="仿宋_GB2312"/>
          <w:b w:val="0"/>
          <w:bCs w:val="0"/>
          <w:kern w:val="2"/>
          <w:sz w:val="32"/>
          <w:szCs w:val="32"/>
          <w:lang w:eastAsia="zh-CN"/>
        </w:rPr>
        <w:t>博爱”社会服务品牌。</w:t>
      </w:r>
      <w:r>
        <w:rPr>
          <w:rStyle w:val="14"/>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b w:val="0"/>
          <w:bCs w:val="0"/>
          <w:sz w:val="32"/>
          <w:szCs w:val="40"/>
        </w:rPr>
        <w:t>“中山·博爱”</w:t>
      </w:r>
      <w:r>
        <w:rPr>
          <w:rStyle w:val="14"/>
          <w:rFonts w:hint="eastAsia" w:ascii="仿宋_GB2312" w:hAnsi="仿宋_GB2312" w:eastAsia="仿宋_GB2312" w:cs="仿宋_GB2312"/>
          <w:b w:val="0"/>
          <w:bCs w:val="0"/>
          <w:sz w:val="32"/>
          <w:szCs w:val="32"/>
          <w:lang w:eastAsia="zh-CN"/>
        </w:rPr>
        <w:t>系列公益行动，</w:t>
      </w:r>
      <w:r>
        <w:rPr>
          <w:rFonts w:hint="eastAsia" w:ascii="仿宋_GB2312" w:hAnsi="仿宋_GB2312" w:eastAsia="仿宋_GB2312" w:cs="仿宋_GB2312"/>
          <w:b w:val="0"/>
          <w:bCs w:val="0"/>
          <w:sz w:val="32"/>
          <w:szCs w:val="40"/>
        </w:rPr>
        <w:t>实施三年累计1500万元的公益捐赠计划；</w:t>
      </w:r>
      <w:r>
        <w:rPr>
          <w:rStyle w:val="12"/>
          <w:rFonts w:hint="eastAsia" w:ascii="仿宋_GB2312" w:hAnsi="仿宋_GB2312" w:eastAsia="仿宋_GB2312" w:cs="仿宋_GB2312"/>
          <w:b w:val="0"/>
          <w:bCs w:val="0"/>
          <w:sz w:val="32"/>
          <w:szCs w:val="40"/>
          <w:lang w:val="en-US" w:eastAsia="zh-CN"/>
        </w:rPr>
        <w:t>12</w:t>
      </w:r>
      <w:r>
        <w:rPr>
          <w:rStyle w:val="14"/>
          <w:rFonts w:hint="eastAsia" w:ascii="仿宋_GB2312" w:hAnsi="仿宋_GB2312" w:eastAsia="仿宋_GB2312" w:cs="仿宋_GB2312"/>
          <w:b w:val="0"/>
          <w:bCs w:val="0"/>
          <w:sz w:val="32"/>
          <w:szCs w:val="32"/>
          <w:lang w:eastAsia="zh-CN"/>
        </w:rPr>
        <w:t>家</w:t>
      </w:r>
      <w:r>
        <w:rPr>
          <w:rFonts w:hint="eastAsia" w:ascii="仿宋_GB2312" w:hAnsi="仿宋_GB2312" w:eastAsia="仿宋_GB2312" w:cs="仿宋_GB2312"/>
          <w:b w:val="0"/>
          <w:bCs w:val="0"/>
          <w:sz w:val="32"/>
          <w:szCs w:val="40"/>
        </w:rPr>
        <w:t>“中山·博爱”</w:t>
      </w:r>
      <w:r>
        <w:rPr>
          <w:rStyle w:val="14"/>
          <w:rFonts w:hint="eastAsia" w:ascii="仿宋_GB2312" w:hAnsi="仿宋_GB2312" w:eastAsia="仿宋_GB2312" w:cs="仿宋_GB2312"/>
          <w:b w:val="0"/>
          <w:bCs w:val="0"/>
          <w:sz w:val="32"/>
          <w:szCs w:val="32"/>
          <w:lang w:eastAsia="zh-CN"/>
        </w:rPr>
        <w:t>民革书屋建成，近两万册图书上架；</w:t>
      </w:r>
      <w:r>
        <w:rPr>
          <w:rFonts w:hint="eastAsia" w:ascii="仿宋_GB2312" w:hAnsi="仿宋_GB2312" w:eastAsia="仿宋_GB2312" w:cs="仿宋_GB2312"/>
          <w:b w:val="0"/>
          <w:bCs w:val="0"/>
          <w:sz w:val="32"/>
          <w:szCs w:val="32"/>
          <w:shd w:val="clear" w:color="auto" w:fill="FFFFFF"/>
        </w:rPr>
        <w:t>启动</w:t>
      </w:r>
      <w:r>
        <w:rPr>
          <w:rFonts w:hint="eastAsia" w:ascii="仿宋_GB2312" w:hAnsi="仿宋_GB2312" w:eastAsia="仿宋_GB2312" w:cs="仿宋_GB2312"/>
          <w:b w:val="0"/>
          <w:bCs w:val="0"/>
          <w:sz w:val="32"/>
          <w:szCs w:val="40"/>
        </w:rPr>
        <w:t>“中山·博爱”</w:t>
      </w:r>
      <w:r>
        <w:rPr>
          <w:rFonts w:hint="eastAsia" w:ascii="仿宋_GB2312" w:hAnsi="仿宋_GB2312" w:eastAsia="仿宋_GB2312" w:cs="仿宋_GB2312"/>
          <w:b w:val="0"/>
          <w:bCs w:val="0"/>
          <w:sz w:val="32"/>
          <w:szCs w:val="32"/>
          <w:shd w:val="clear" w:color="auto" w:fill="FFFFFF"/>
        </w:rPr>
        <w:t>幸福天使红十字救护和医疗帮扶走基层服务项目，融入门头沟区公共应急救护体系建设。</w:t>
      </w:r>
      <w:r>
        <w:rPr>
          <w:rFonts w:hint="eastAsia" w:ascii="仿宋_GB2312" w:hAnsi="仿宋_GB2312" w:eastAsia="仿宋_GB2312" w:cs="仿宋_GB2312"/>
          <w:b w:val="0"/>
          <w:bCs w:val="0"/>
          <w:sz w:val="32"/>
          <w:szCs w:val="32"/>
          <w:shd w:val="clear" w:color="auto" w:fill="FFFFFF"/>
          <w:lang w:eastAsia="zh-CN"/>
        </w:rPr>
        <w:t>四是</w:t>
      </w:r>
      <w:r>
        <w:rPr>
          <w:rFonts w:hint="eastAsia" w:ascii="仿宋_GB2312" w:hAnsi="仿宋_GB2312" w:eastAsia="仿宋_GB2312" w:cs="仿宋_GB2312"/>
          <w:b w:val="0"/>
          <w:bCs w:val="0"/>
          <w:sz w:val="32"/>
          <w:szCs w:val="32"/>
        </w:rPr>
        <w:t>围绕</w:t>
      </w:r>
      <w:r>
        <w:rPr>
          <w:rFonts w:hint="eastAsia" w:ascii="仿宋_GB2312" w:hAnsi="仿宋_GB2312" w:eastAsia="仿宋_GB2312" w:cs="仿宋_GB2312"/>
          <w:b w:val="0"/>
          <w:bCs w:val="0"/>
          <w:sz w:val="32"/>
          <w:szCs w:val="32"/>
          <w:lang w:eastAsia="zh-CN"/>
        </w:rPr>
        <w:t>民革</w:t>
      </w:r>
      <w:r>
        <w:rPr>
          <w:rFonts w:hint="eastAsia" w:ascii="仿宋_GB2312" w:hAnsi="仿宋_GB2312" w:eastAsia="仿宋_GB2312" w:cs="仿宋_GB2312"/>
          <w:b w:val="0"/>
          <w:bCs w:val="0"/>
          <w:sz w:val="32"/>
          <w:szCs w:val="32"/>
        </w:rPr>
        <w:t>市委重点工作，履职机构亮点纷呈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shd w:val="clear" w:color="auto" w:fill="FFFFFF"/>
        </w:rPr>
        <w:t>中山书画社持续打造民革书画品牌，</w:t>
      </w:r>
      <w:r>
        <w:rPr>
          <w:rFonts w:hint="eastAsia" w:ascii="仿宋_GB2312" w:hAnsi="仿宋_GB2312" w:eastAsia="仿宋_GB2312" w:cs="仿宋_GB2312"/>
          <w:b w:val="0"/>
          <w:bCs w:val="0"/>
          <w:sz w:val="32"/>
          <w:szCs w:val="32"/>
        </w:rPr>
        <w:t>举办“福送万家”书画笔会，“凝心铸魂强根基</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团结奋进新征程”主题教育书画笔会；企业家联谊会在对口帮扶纳雍羊场乡，门头沟“</w:t>
      </w:r>
      <w:r>
        <w:rPr>
          <w:rFonts w:hint="eastAsia" w:ascii="仿宋_GB2312" w:hAnsi="仿宋_GB2312" w:eastAsia="仿宋_GB2312" w:cs="仿宋_GB2312"/>
          <w:b w:val="0"/>
          <w:bCs w:val="0"/>
          <w:sz w:val="32"/>
          <w:szCs w:val="40"/>
        </w:rPr>
        <w:t>8+1</w:t>
      </w:r>
      <w:r>
        <w:rPr>
          <w:rFonts w:hint="eastAsia" w:ascii="仿宋_GB2312" w:hAnsi="仿宋_GB2312" w:eastAsia="仿宋_GB2312" w:cs="仿宋_GB2312"/>
          <w:b w:val="0"/>
          <w:bCs w:val="0"/>
          <w:sz w:val="32"/>
          <w:szCs w:val="32"/>
        </w:rPr>
        <w:t>行动”、平谷</w:t>
      </w:r>
      <w:r>
        <w:rPr>
          <w:rFonts w:hint="eastAsia" w:ascii="仿宋_GB2312" w:hAnsi="仿宋_GB2312" w:eastAsia="仿宋_GB2312" w:cs="仿宋_GB2312"/>
          <w:b w:val="0"/>
          <w:bCs w:val="0"/>
          <w:sz w:val="32"/>
          <w:szCs w:val="32"/>
          <w:lang w:eastAsia="zh-CN"/>
        </w:rPr>
        <w:t>区</w:t>
      </w:r>
      <w:r>
        <w:rPr>
          <w:rFonts w:hint="eastAsia" w:ascii="仿宋_GB2312" w:hAnsi="仿宋_GB2312" w:eastAsia="仿宋_GB2312" w:cs="仿宋_GB2312"/>
          <w:b w:val="0"/>
          <w:bCs w:val="0"/>
          <w:sz w:val="32"/>
          <w:szCs w:val="32"/>
        </w:rPr>
        <w:t>乡村振兴战略专项民主监督等重点工作中接续发力；社会服务工作委员会深入参与社会服务各项重点工作；中山医学会组织开展“医疗帮扶走基层”行动；</w:t>
      </w:r>
      <w:r>
        <w:rPr>
          <w:rFonts w:hint="eastAsia" w:ascii="仿宋_GB2312" w:hAnsi="仿宋_GB2312" w:eastAsia="仿宋_GB2312" w:cs="仿宋_GB2312"/>
          <w:b w:val="0"/>
          <w:bCs w:val="0"/>
          <w:kern w:val="0"/>
          <w:sz w:val="32"/>
          <w:szCs w:val="32"/>
        </w:rPr>
        <w:t>法律服务志愿者联谊会发挥“法律明白人</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作用，开展“法律进社区”“法律进园区”活动。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val="0"/>
          <w:sz w:val="32"/>
          <w:szCs w:val="40"/>
        </w:rPr>
      </w:pPr>
      <w:r>
        <w:rPr>
          <w:rFonts w:hint="eastAsia" w:ascii="仿宋_GB2312" w:hAnsi="仿宋_GB2312" w:eastAsia="仿宋_GB2312" w:cs="仿宋_GB2312"/>
          <w:color w:val="000000"/>
          <w:kern w:val="0"/>
          <w:sz w:val="32"/>
          <w:szCs w:val="32"/>
          <w:highlight w:val="none"/>
          <w:lang w:val="en-US" w:eastAsia="zh-CN"/>
        </w:rPr>
        <w:t>联络交流。</w:t>
      </w:r>
      <w:r>
        <w:rPr>
          <w:rFonts w:hint="eastAsia" w:ascii="仿宋_GB2312" w:hAnsi="仿宋_GB2312" w:eastAsia="仿宋_GB2312" w:cs="仿宋_GB2312"/>
          <w:b w:val="0"/>
          <w:bCs w:val="0"/>
          <w:sz w:val="32"/>
          <w:szCs w:val="40"/>
          <w:lang w:eastAsia="zh-CN"/>
        </w:rPr>
        <w:t>一是</w:t>
      </w:r>
      <w:r>
        <w:rPr>
          <w:rFonts w:hint="eastAsia" w:ascii="仿宋_GB2312" w:hAnsi="仿宋_GB2312" w:eastAsia="仿宋_GB2312" w:cs="仿宋_GB2312"/>
          <w:b w:val="0"/>
          <w:bCs w:val="0"/>
          <w:sz w:val="32"/>
          <w:szCs w:val="40"/>
        </w:rPr>
        <w:t>加强祖统队伍建设</w:t>
      </w:r>
      <w:r>
        <w:rPr>
          <w:rFonts w:hint="eastAsia" w:ascii="仿宋_GB2312" w:hAnsi="仿宋_GB2312" w:eastAsia="仿宋_GB2312" w:cs="仿宋_GB2312"/>
          <w:b w:val="0"/>
          <w:bCs w:val="0"/>
          <w:sz w:val="32"/>
          <w:szCs w:val="40"/>
          <w:lang w:eastAsia="zh-CN"/>
        </w:rPr>
        <w:t>。</w:t>
      </w:r>
      <w:r>
        <w:rPr>
          <w:rFonts w:hint="eastAsia" w:ascii="仿宋_GB2312" w:hAnsi="仿宋_GB2312" w:eastAsia="仿宋_GB2312" w:cs="仿宋_GB2312"/>
          <w:b w:val="0"/>
          <w:bCs w:val="0"/>
          <w:sz w:val="32"/>
          <w:szCs w:val="40"/>
        </w:rPr>
        <w:t>学习宣传贯彻中央及北京市对台决策部署</w:t>
      </w:r>
      <w:r>
        <w:rPr>
          <w:rFonts w:hint="eastAsia" w:ascii="仿宋_GB2312" w:hAnsi="仿宋_GB2312" w:eastAsia="仿宋_GB2312" w:cs="仿宋_GB2312"/>
          <w:b w:val="0"/>
          <w:bCs w:val="0"/>
          <w:sz w:val="32"/>
          <w:szCs w:val="40"/>
          <w:lang w:eastAsia="zh-CN"/>
        </w:rPr>
        <w:t>，</w:t>
      </w:r>
      <w:r>
        <w:rPr>
          <w:rFonts w:hint="eastAsia" w:ascii="仿宋_GB2312" w:hAnsi="仿宋_GB2312" w:eastAsia="仿宋_GB2312" w:cs="仿宋_GB2312"/>
          <w:b w:val="0"/>
          <w:bCs w:val="0"/>
          <w:sz w:val="32"/>
          <w:szCs w:val="40"/>
        </w:rPr>
        <w:t>举办台情报告会，邀请专家作辅导报告。举行“两岸书信”朗读会暨全民族抗战爆发86周年纪念活动，两岸同胞共同缅怀先烈。举办“两岸共助乡村振兴”主题读书交流活动，围绕两岸乡村振兴的经验和成功案例开展交流研讨。</w:t>
      </w:r>
      <w:r>
        <w:rPr>
          <w:rFonts w:hint="eastAsia" w:ascii="仿宋_GB2312" w:hAnsi="仿宋_GB2312" w:eastAsia="仿宋_GB2312" w:cs="仿宋_GB2312"/>
          <w:b w:val="0"/>
          <w:bCs w:val="0"/>
          <w:sz w:val="32"/>
          <w:szCs w:val="40"/>
          <w:lang w:eastAsia="zh-CN"/>
        </w:rPr>
        <w:t>二是</w:t>
      </w:r>
      <w:r>
        <w:rPr>
          <w:rFonts w:hint="eastAsia" w:ascii="仿宋_GB2312" w:hAnsi="仿宋_GB2312" w:eastAsia="仿宋_GB2312" w:cs="仿宋_GB2312"/>
          <w:b w:val="0"/>
          <w:bCs w:val="0"/>
          <w:sz w:val="32"/>
          <w:szCs w:val="40"/>
        </w:rPr>
        <w:t>举办两岸交流活动</w:t>
      </w:r>
      <w:r>
        <w:rPr>
          <w:rFonts w:hint="eastAsia" w:ascii="仿宋_GB2312" w:hAnsi="仿宋_GB2312" w:eastAsia="仿宋_GB2312" w:cs="仿宋_GB2312"/>
          <w:b w:val="0"/>
          <w:bCs w:val="0"/>
          <w:sz w:val="32"/>
          <w:szCs w:val="40"/>
          <w:lang w:eastAsia="zh-CN"/>
        </w:rPr>
        <w:t>。</w:t>
      </w:r>
      <w:r>
        <w:rPr>
          <w:rFonts w:hint="eastAsia" w:ascii="仿宋_GB2312" w:hAnsi="仿宋_GB2312" w:eastAsia="仿宋_GB2312" w:cs="仿宋_GB2312"/>
          <w:b w:val="0"/>
          <w:bCs w:val="0"/>
          <w:sz w:val="32"/>
          <w:szCs w:val="32"/>
        </w:rPr>
        <w:t>完成</w:t>
      </w:r>
      <w:r>
        <w:rPr>
          <w:rFonts w:hint="eastAsia" w:ascii="仿宋_GB2312" w:hAnsi="仿宋_GB2312" w:eastAsia="仿宋_GB2312" w:cs="仿宋_GB2312"/>
          <w:b w:val="0"/>
          <w:bCs w:val="0"/>
          <w:sz w:val="32"/>
          <w:szCs w:val="40"/>
        </w:rPr>
        <w:t>两批共56名台湾青年在京参访任务。</w:t>
      </w:r>
      <w:r>
        <w:rPr>
          <w:rFonts w:hint="eastAsia" w:ascii="仿宋_GB2312" w:hAnsi="仿宋_GB2312" w:eastAsia="仿宋_GB2312" w:cs="仿宋_GB2312"/>
          <w:b w:val="0"/>
          <w:bCs w:val="0"/>
          <w:sz w:val="32"/>
          <w:szCs w:val="32"/>
        </w:rPr>
        <w:t>举办</w:t>
      </w:r>
      <w:r>
        <w:rPr>
          <w:rFonts w:hint="eastAsia" w:ascii="仿宋_GB2312" w:hAnsi="仿宋_GB2312" w:eastAsia="仿宋_GB2312" w:cs="仿宋_GB2312"/>
          <w:b w:val="0"/>
          <w:bCs w:val="0"/>
          <w:sz w:val="32"/>
          <w:szCs w:val="40"/>
        </w:rPr>
        <w:t>第十六次</w:t>
      </w:r>
      <w:r>
        <w:rPr>
          <w:rFonts w:hint="eastAsia" w:ascii="仿宋_GB2312" w:hAnsi="仿宋_GB2312" w:eastAsia="仿宋_GB2312" w:cs="仿宋_GB2312"/>
          <w:b w:val="0"/>
          <w:bCs w:val="0"/>
          <w:sz w:val="32"/>
          <w:szCs w:val="32"/>
        </w:rPr>
        <w:t>“台青之友沙龙”活动，</w:t>
      </w:r>
      <w:r>
        <w:rPr>
          <w:rFonts w:hint="eastAsia" w:ascii="仿宋_GB2312" w:hAnsi="仿宋_GB2312" w:eastAsia="仿宋_GB2312" w:cs="仿宋_GB2312"/>
          <w:b w:val="0"/>
          <w:bCs w:val="0"/>
          <w:sz w:val="32"/>
          <w:szCs w:val="40"/>
        </w:rPr>
        <w:t>16位在京台青观看讲述两岸故事的新创昆剧《人在草木间》，并与主创座谈交流。与有关单位联合举办以“中国式现代化与两岸融合发展”为主题的第八届京台学者共研会。海峡两岸90余位专家学者深入探讨和交流。举办“迎金秋赏红叶 忆先烈</w:t>
      </w:r>
      <w:r>
        <w:rPr>
          <w:rFonts w:hint="eastAsia" w:ascii="仿宋_GB2312" w:hAnsi="仿宋_GB2312" w:eastAsia="仿宋_GB2312" w:cs="仿宋_GB2312"/>
          <w:b w:val="0"/>
          <w:bCs w:val="0"/>
          <w:sz w:val="32"/>
          <w:szCs w:val="40"/>
          <w:lang w:val="en-US" w:eastAsia="zh-CN"/>
        </w:rPr>
        <w:t xml:space="preserve"> </w:t>
      </w:r>
      <w:r>
        <w:rPr>
          <w:rFonts w:hint="eastAsia" w:ascii="仿宋_GB2312" w:hAnsi="仿宋_GB2312" w:eastAsia="仿宋_GB2312" w:cs="仿宋_GB2312"/>
          <w:b w:val="0"/>
          <w:bCs w:val="0"/>
          <w:sz w:val="32"/>
          <w:szCs w:val="40"/>
        </w:rPr>
        <w:t>促统一”台胞台属联谊活动。</w:t>
      </w:r>
      <w:r>
        <w:rPr>
          <w:rFonts w:hint="eastAsia" w:ascii="仿宋_GB2312" w:hAnsi="仿宋_GB2312" w:eastAsia="仿宋_GB2312" w:cs="仿宋_GB2312"/>
          <w:b w:val="0"/>
          <w:bCs w:val="0"/>
          <w:sz w:val="32"/>
          <w:szCs w:val="32"/>
        </w:rPr>
        <w:t>举办“2023华灿点亮乡村论坛”，</w:t>
      </w:r>
      <w:r>
        <w:rPr>
          <w:rFonts w:hint="eastAsia" w:ascii="仿宋_GB2312" w:hAnsi="仿宋_GB2312" w:eastAsia="仿宋_GB2312" w:cs="仿宋_GB2312"/>
          <w:b w:val="0"/>
          <w:bCs w:val="0"/>
          <w:sz w:val="32"/>
          <w:szCs w:val="40"/>
        </w:rPr>
        <w:t>吸引更多的专家、台企和青年人才为平谷</w:t>
      </w:r>
      <w:r>
        <w:rPr>
          <w:rFonts w:hint="eastAsia" w:ascii="仿宋_GB2312" w:hAnsi="仿宋_GB2312" w:eastAsia="仿宋_GB2312" w:cs="仿宋_GB2312"/>
          <w:b w:val="0"/>
          <w:bCs w:val="0"/>
          <w:sz w:val="32"/>
          <w:szCs w:val="40"/>
          <w:lang w:eastAsia="zh-CN"/>
        </w:rPr>
        <w:t>区</w:t>
      </w:r>
      <w:r>
        <w:rPr>
          <w:rFonts w:hint="eastAsia" w:ascii="仿宋_GB2312" w:hAnsi="仿宋_GB2312" w:eastAsia="仿宋_GB2312" w:cs="仿宋_GB2312"/>
          <w:b w:val="0"/>
          <w:bCs w:val="0"/>
          <w:sz w:val="32"/>
          <w:szCs w:val="40"/>
        </w:rPr>
        <w:t>乡村振兴发展助力，推进北京城乡融合发展。</w:t>
      </w:r>
      <w:r>
        <w:rPr>
          <w:rFonts w:hint="eastAsia" w:ascii="仿宋_GB2312" w:hAnsi="仿宋_GB2312" w:eastAsia="仿宋_GB2312" w:cs="仿宋_GB2312"/>
          <w:b w:val="0"/>
          <w:bCs w:val="0"/>
          <w:sz w:val="32"/>
          <w:szCs w:val="40"/>
          <w:lang w:eastAsia="zh-CN"/>
        </w:rPr>
        <w:t>三是</w:t>
      </w:r>
      <w:r>
        <w:rPr>
          <w:rFonts w:hint="eastAsia" w:ascii="仿宋_GB2312" w:hAnsi="仿宋_GB2312" w:eastAsia="仿宋_GB2312" w:cs="仿宋_GB2312"/>
          <w:b w:val="0"/>
          <w:bCs w:val="0"/>
          <w:sz w:val="32"/>
          <w:szCs w:val="40"/>
        </w:rPr>
        <w:t>开展涉台参政议政工作</w:t>
      </w:r>
      <w:r>
        <w:rPr>
          <w:rFonts w:hint="eastAsia" w:ascii="仿宋_GB2312" w:hAnsi="仿宋_GB2312" w:eastAsia="仿宋_GB2312" w:cs="仿宋_GB2312"/>
          <w:b w:val="0"/>
          <w:bCs w:val="0"/>
          <w:sz w:val="32"/>
          <w:szCs w:val="40"/>
          <w:lang w:eastAsia="zh-CN"/>
        </w:rPr>
        <w:t>。组织</w:t>
      </w:r>
      <w:r>
        <w:rPr>
          <w:rFonts w:hint="eastAsia" w:ascii="仿宋_GB2312" w:hAnsi="仿宋_GB2312" w:eastAsia="仿宋_GB2312" w:cs="仿宋_GB2312"/>
          <w:b w:val="0"/>
          <w:bCs w:val="0"/>
          <w:sz w:val="32"/>
          <w:szCs w:val="40"/>
        </w:rPr>
        <w:t>开展</w:t>
      </w:r>
      <w:r>
        <w:rPr>
          <w:rFonts w:hint="eastAsia" w:ascii="仿宋_GB2312" w:hAnsi="仿宋_GB2312" w:eastAsia="仿宋_GB2312" w:cs="仿宋_GB2312"/>
          <w:b w:val="0"/>
          <w:bCs w:val="0"/>
          <w:sz w:val="32"/>
          <w:szCs w:val="32"/>
        </w:rPr>
        <w:t>11</w:t>
      </w:r>
      <w:r>
        <w:rPr>
          <w:rFonts w:hint="eastAsia" w:ascii="仿宋_GB2312" w:hAnsi="仿宋_GB2312" w:eastAsia="仿宋_GB2312" w:cs="仿宋_GB2312"/>
          <w:b w:val="0"/>
          <w:bCs w:val="0"/>
          <w:sz w:val="32"/>
          <w:szCs w:val="40"/>
        </w:rPr>
        <w:t>个涉台课题调研。定向征集两岸形势课题1项，被确定为市台办年度涉台调研重点课题。6篇调研成果在2022年度北京市涉台调研课题评审中获奖，其中一等奖1篇、二等奖1篇、优秀奖</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40"/>
        </w:rPr>
        <w:t>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机关建设。一是坚持正确政治方向，思想政治教育不断强化。强化政治机关意识，把思想政治引领落实到机关工作各方面和全过程。组织机关干部参加党的二十大精神知识答题、主题教育宣讲报告会等活动。制作主题教育活动专题展板、利用机关宣传栏和微信工作群，分享原著原文和重要讲话精神解读。采取线上讨论、现场教学、考察参观、自主学习等方式开展政治理论学习、业务能力培训、普法廉政教育、新知识学习等一系列教育培训活动。二是增强纪律意识，作风建设走深走实。巩固深化“三治三强”成果，健全机关作风建设长效机制。严格执行中央八项规定，开展廉政警示教育，筑牢拒腐防变的思想防线和纪律防线。线上线下开展法治宣传教育，联合基层社区开展主题普法宣传活动，提升机关干部法治意识。严抓制度规范提升，完善办文办会、信息编报、财务、公车管理等工作流程，强化制度执行刚性约束，严格按照制度程序办事决策。加大督办力度，狠抓重点工作落实。深化安全教育，开展机关安全生产和火灾隐患大排查大整治专项行动。三是增强履职本领，干部培养突出学习和担当。实施机关干部淬炼工程，不断提高队伍整体素质。强化岗位责任制，开展工作纪实考核。完善干部培养选拔使用机制，选派干部参加市委统战部机关干部培训班，参加市政协全会、暑期学习班等服务保障任务。发挥中共支部示范作用、工会纽带作用、民革支部引领作用，开展主题学习、谈心谈话、中医健康诊疗、三八妇女节巾帼建功、九九重阳节敬老爱老等活动，关心干部困难，营造团结和谐、严肃活泼、积极向上的机关氛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rPr>
        <w:t>.产出进度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32"/>
          <w:szCs w:val="32"/>
          <w:highlight w:val="none"/>
          <w:lang w:eastAsia="zh-CN"/>
        </w:rPr>
        <w:t>落实《</w:t>
      </w:r>
      <w:r>
        <w:rPr>
          <w:rFonts w:hint="eastAsia" w:ascii="仿宋_GB2312" w:hAnsi="仿宋_GB2312" w:eastAsia="仿宋_GB2312" w:cs="仿宋_GB2312"/>
          <w:color w:val="000000"/>
          <w:kern w:val="0"/>
          <w:sz w:val="32"/>
          <w:szCs w:val="32"/>
          <w:highlight w:val="none"/>
          <w:lang w:val="en-US" w:eastAsia="zh-CN"/>
        </w:rPr>
        <w:t>2023年折子任务清单</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rPr>
        <w:t>按照</w:t>
      </w:r>
      <w:r>
        <w:rPr>
          <w:rFonts w:hint="eastAsia" w:ascii="仿宋_GB2312" w:hAnsi="仿宋_GB2312" w:eastAsia="仿宋_GB2312" w:cs="仿宋_GB2312"/>
          <w:color w:val="000000"/>
          <w:kern w:val="0"/>
          <w:sz w:val="32"/>
          <w:szCs w:val="32"/>
          <w:highlight w:val="none"/>
          <w:lang w:eastAsia="zh-CN"/>
        </w:rPr>
        <w:t>年初预算批复及年中追加调整，合理把握时间进度，确保行政运行和项目执行</w:t>
      </w:r>
      <w:r>
        <w:rPr>
          <w:rFonts w:hint="eastAsia" w:ascii="仿宋_GB2312" w:hAnsi="仿宋_GB2312" w:eastAsia="仿宋_GB2312" w:cs="仿宋_GB2312"/>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3</w:t>
      </w:r>
      <w:r>
        <w:rPr>
          <w:rFonts w:hint="eastAsia" w:ascii="仿宋_GB2312" w:hAnsi="仿宋_GB2312" w:eastAsia="仿宋_GB2312" w:cs="仿宋_GB2312"/>
          <w:color w:val="000000"/>
          <w:kern w:val="0"/>
          <w:sz w:val="32"/>
          <w:szCs w:val="32"/>
          <w:highlight w:val="none"/>
        </w:rPr>
        <w:t>.产出成本</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落实过“紧日子”要求，保基本保运转，严控一般性支出。全年预算数2012.42万元，其中：基本支出预算数1805.88万元，项目支出预算数206.54万元。资金总体支出1937.01万元，整体支出控制在预算范围内，其中：基本支出1776.76万元，项目支出160.25万元。预算执行率为96%。</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（二）效果</w:t>
      </w:r>
      <w:r>
        <w:rPr>
          <w:rFonts w:ascii="楷体" w:hAnsi="楷体" w:eastAsia="楷体"/>
          <w:sz w:val="32"/>
          <w:szCs w:val="32"/>
          <w:highlight w:val="none"/>
        </w:rPr>
        <w:t>实现情况分析</w:t>
      </w:r>
    </w:p>
    <w:p>
      <w:pPr>
        <w:pStyle w:val="7"/>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rPr>
        <w:t>整体支出</w:t>
      </w:r>
      <w:r>
        <w:rPr>
          <w:rFonts w:hint="eastAsia" w:ascii="仿宋_GB2312" w:hAnsi="仿宋_GB2312" w:eastAsia="仿宋_GB2312" w:cs="仿宋_GB2312"/>
          <w:color w:val="000000"/>
          <w:kern w:val="0"/>
          <w:sz w:val="32"/>
          <w:szCs w:val="32"/>
          <w:highlight w:val="none"/>
        </w:rPr>
        <w:t>坚持</w:t>
      </w:r>
      <w:r>
        <w:rPr>
          <w:rFonts w:hint="eastAsia" w:ascii="仿宋_GB2312" w:hAnsi="仿宋_GB2312" w:eastAsia="仿宋_GB2312" w:cs="仿宋_GB2312"/>
          <w:color w:val="000000"/>
          <w:kern w:val="0"/>
          <w:sz w:val="32"/>
          <w:szCs w:val="32"/>
          <w:highlight w:val="none"/>
          <w:lang w:eastAsia="zh-CN"/>
        </w:rPr>
        <w:t>以</w:t>
      </w:r>
      <w:r>
        <w:rPr>
          <w:rFonts w:hint="eastAsia" w:ascii="仿宋_GB2312" w:hAnsi="仿宋_GB2312" w:eastAsia="仿宋_GB2312" w:cs="仿宋_GB2312"/>
          <w:color w:val="000000"/>
          <w:kern w:val="0"/>
          <w:sz w:val="32"/>
          <w:szCs w:val="32"/>
          <w:highlight w:val="none"/>
        </w:rPr>
        <w:t>首善标准推动主题教育，按照“学思想、强根基、重履职、建新功”总要求，将开展主题教育与学习贯彻民革中央主席讲话和指示精神相结合，与落实中共北京市委重点工作相结合，与推进年度重点任务相结合，与提升领导班子领导力和履职能力相结合</w:t>
      </w:r>
      <w:r>
        <w:rPr>
          <w:rFonts w:hint="eastAsia" w:ascii="仿宋_GB2312" w:hAnsi="仿宋_GB2312" w:eastAsia="仿宋_GB2312" w:cs="仿宋_GB2312"/>
          <w:color w:val="000000"/>
          <w:kern w:val="0"/>
          <w:sz w:val="32"/>
          <w:szCs w:val="32"/>
          <w:highlight w:val="none"/>
          <w:lang w:eastAsia="zh-CN"/>
        </w:rPr>
        <w:t>，在加强自身建设和积极履职尽责方面取得成效</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以主题教育为统领，共同思想政治基础进一步巩固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将“凝心铸魂强根基</w:t>
      </w:r>
      <w:r>
        <w:rPr>
          <w:rFonts w:hint="eastAsia" w:ascii="仿宋_GB2312" w:hAnsi="仿宋_GB2312" w:eastAsia="仿宋_GB2312" w:cs="仿宋_GB2312"/>
          <w:sz w:val="32"/>
          <w:szCs w:val="32"/>
          <w:lang w:val="en-US" w:eastAsia="zh-CN"/>
        </w:rPr>
        <w:t xml:space="preserve"> </w:t>
      </w:r>
      <w:bookmarkStart w:id="1" w:name="_GoBack"/>
      <w:bookmarkEnd w:id="1"/>
      <w:r>
        <w:rPr>
          <w:rFonts w:hint="eastAsia" w:ascii="仿宋_GB2312" w:hAnsi="仿宋_GB2312" w:eastAsia="仿宋_GB2312" w:cs="仿宋_GB2312"/>
          <w:sz w:val="32"/>
          <w:szCs w:val="32"/>
        </w:rPr>
        <w:t>团结奋进新征程”主题教育作为贯穿全年的重大政治任务，推动全市民革党员深入学习贯彻习近平新时代中国特色社会主义思想，深刻领悟“两个确立”的决定性意义、自觉增强“四个意识”、坚定“四个自信”、做到“两个维护”，团结奋斗的共同思想政治基础不断巩固。</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以筑牢</w:t>
      </w:r>
      <w:r>
        <w:rPr>
          <w:rFonts w:hint="eastAsia" w:ascii="仿宋_GB2312" w:hAnsi="仿宋_GB2312" w:eastAsia="仿宋_GB2312" w:cs="仿宋_GB2312"/>
          <w:sz w:val="32"/>
          <w:szCs w:val="32"/>
          <w:lang w:eastAsia="zh-CN"/>
        </w:rPr>
        <w:t>根基</w:t>
      </w:r>
      <w:r>
        <w:rPr>
          <w:rFonts w:hint="eastAsia" w:ascii="仿宋_GB2312" w:hAnsi="仿宋_GB2312" w:eastAsia="仿宋_GB2312" w:cs="仿宋_GB2312"/>
          <w:sz w:val="32"/>
          <w:szCs w:val="32"/>
        </w:rPr>
        <w:t>为重点，组织建设</w:t>
      </w:r>
      <w:r>
        <w:rPr>
          <w:rFonts w:hint="eastAsia" w:ascii="仿宋_GB2312" w:hAnsi="仿宋_GB2312" w:eastAsia="仿宋_GB2312" w:cs="仿宋_GB2312"/>
          <w:sz w:val="32"/>
          <w:szCs w:val="32"/>
          <w:lang w:eastAsia="zh-CN"/>
        </w:rPr>
        <w:t>基础进一步夯实。</w:t>
      </w:r>
      <w:r>
        <w:rPr>
          <w:rFonts w:hint="eastAsia" w:ascii="仿宋_GB2312" w:hAnsi="仿宋_GB2312" w:eastAsia="仿宋_GB2312" w:cs="仿宋_GB2312"/>
          <w:sz w:val="32"/>
          <w:szCs w:val="32"/>
        </w:rPr>
        <w:t>把“讲政治、重团结、干实事、守规矩”的要求落到实处，</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主题教育的成果转化为组织建设的效能，为民革事业提供坚强的组织保</w:t>
      </w:r>
      <w:r>
        <w:rPr>
          <w:rFonts w:hint="eastAsia" w:ascii="仿宋_GB2312" w:hAnsi="仿宋_GB2312" w:eastAsia="仿宋_GB2312" w:cs="仿宋_GB2312"/>
          <w:sz w:val="32"/>
          <w:szCs w:val="32"/>
          <w:lang w:eastAsia="zh-CN"/>
        </w:rPr>
        <w:t>障</w:t>
      </w:r>
      <w:r>
        <w:rPr>
          <w:rFonts w:hint="eastAsia" w:ascii="仿宋_GB2312" w:hAnsi="仿宋_GB2312" w:eastAsia="仿宋_GB2312" w:cs="仿宋_GB2312"/>
          <w:sz w:val="32"/>
          <w:szCs w:val="32"/>
        </w:rPr>
        <w:t>和人才支持。</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以提质增效为目标，参政议政工作成效进一步彰显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深入践行“举全党之力抓参政议政”要求，紧密结合多党合作所长与中心大局所需，找准履职尽责的切入点和突破口，不断提高履职实效。</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sz w:val="32"/>
          <w:szCs w:val="32"/>
        </w:rPr>
        <w:t>以精准高效为导向，社会服务贡献进一步突出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深入贯彻习近平总书记“三农”工作重要论述和对北京一系列重要讲话精神，落实民革中央定点帮扶纳雍县助力乡村振兴任务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积极参与门头沟“8+</w:t>
      </w:r>
      <w:r>
        <w:rPr>
          <w:rFonts w:hint="eastAsia" w:ascii="仿宋_GB2312" w:hAnsi="仿宋_GB2312" w:eastAsia="仿宋_GB2312" w:cs="仿宋_GB2312"/>
          <w:color w:val="auto"/>
          <w:sz w:val="32"/>
          <w:szCs w:val="32"/>
        </w:rPr>
        <w:t>1”行动，紧紧依靠各级组织和全市</w:t>
      </w:r>
      <w:r>
        <w:rPr>
          <w:rFonts w:hint="eastAsia" w:ascii="仿宋_GB2312" w:hAnsi="仿宋_GB2312" w:eastAsia="仿宋_GB2312" w:cs="仿宋_GB2312"/>
          <w:color w:val="auto"/>
          <w:sz w:val="32"/>
          <w:szCs w:val="32"/>
          <w:lang w:eastAsia="zh-CN"/>
        </w:rPr>
        <w:t>民革</w:t>
      </w:r>
      <w:r>
        <w:rPr>
          <w:rFonts w:hint="eastAsia" w:ascii="仿宋_GB2312" w:hAnsi="仿宋_GB2312" w:eastAsia="仿宋_GB2312" w:cs="仿宋_GB2312"/>
          <w:color w:val="auto"/>
          <w:sz w:val="32"/>
          <w:szCs w:val="32"/>
        </w:rPr>
        <w:t>党员，</w:t>
      </w:r>
      <w:r>
        <w:rPr>
          <w:rFonts w:hint="eastAsia" w:ascii="仿宋_GB2312" w:hAnsi="仿宋_GB2312" w:eastAsia="仿宋_GB2312" w:cs="仿宋_GB2312"/>
          <w:color w:val="auto"/>
          <w:sz w:val="32"/>
          <w:szCs w:val="32"/>
          <w:lang w:eastAsia="zh-CN"/>
        </w:rPr>
        <w:t>健全完善全市总动员、各级同行动的工作机制，</w:t>
      </w:r>
      <w:r>
        <w:rPr>
          <w:rFonts w:hint="eastAsia" w:ascii="仿宋_GB2312" w:hAnsi="仿宋_GB2312" w:eastAsia="仿宋_GB2312" w:cs="仿宋_GB2312"/>
          <w:color w:val="auto"/>
          <w:sz w:val="32"/>
          <w:szCs w:val="32"/>
        </w:rPr>
        <w:t>在大事要事中展现民革担当作</w:t>
      </w:r>
      <w:r>
        <w:rPr>
          <w:rFonts w:hint="eastAsia" w:ascii="仿宋_GB2312" w:hAnsi="仿宋_GB2312" w:eastAsia="仿宋_GB2312" w:cs="仿宋_GB2312"/>
          <w:sz w:val="32"/>
          <w:szCs w:val="32"/>
        </w:rPr>
        <w:t>为，不断擦亮“中山·博爱”品牌。</w:t>
      </w:r>
      <w:r>
        <w:rPr>
          <w:rFonts w:hint="eastAsia" w:ascii="仿宋_GB2312" w:hAnsi="仿宋_GB2312" w:eastAsia="仿宋_GB2312" w:cs="仿宋_GB2312"/>
          <w:sz w:val="32"/>
          <w:szCs w:val="32"/>
          <w:lang w:eastAsia="zh-CN"/>
        </w:rPr>
        <w:t>五是</w:t>
      </w:r>
      <w:r>
        <w:rPr>
          <w:rFonts w:hint="eastAsia" w:ascii="仿宋_GB2312" w:hAnsi="仿宋_GB2312" w:eastAsia="仿宋_GB2312" w:cs="仿宋_GB2312"/>
          <w:sz w:val="32"/>
          <w:szCs w:val="32"/>
        </w:rPr>
        <w:t>以增进两岸同胞心灵契合为着力点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坚决贯彻新时代中共中央解决台湾问题的总体方略和对台工作决策部署，结合民革中央对台工作部署和北京市对台工作大局，深化京台两地交流合作，加大涉台参政议政力度，为推动两岸关系和平发展做贡献。</w:t>
      </w:r>
      <w:r>
        <w:rPr>
          <w:rFonts w:hint="eastAsia" w:ascii="仿宋_GB2312" w:hAnsi="仿宋_GB2312" w:eastAsia="仿宋_GB2312" w:cs="仿宋_GB2312"/>
          <w:sz w:val="32"/>
          <w:szCs w:val="32"/>
          <w:lang w:eastAsia="zh-CN"/>
        </w:rPr>
        <w:t>六是</w:t>
      </w:r>
      <w:r>
        <w:rPr>
          <w:rFonts w:hint="eastAsia" w:ascii="仿宋_GB2312" w:hAnsi="仿宋_GB2312" w:eastAsia="仿宋_GB2312" w:cs="仿宋_GB2312"/>
          <w:sz w:val="32"/>
          <w:szCs w:val="32"/>
        </w:rPr>
        <w:t>以“新·好”机关建设为抓手，服务保障能力进一步增强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市委统战部工作部署，把开展“新·好”机关建设作为重要任务，以开展主题教育为牵引，完善制度机制，健全机关的管理体系，锻造政治过硬、适合新时代要求的高素质干部队伍，涵养风清气正、团结和谐的政治生态，树立务实进取、奉献争先的机关形象。学思践悟、精业笃行，机关工作质量、服务保障水平和干部素质能力稳步提升。</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（一）财务管理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落实</w:t>
      </w:r>
      <w:r>
        <w:rPr>
          <w:rFonts w:hint="eastAsia" w:ascii="仿宋_GB2312" w:hAnsi="仿宋_GB2312" w:eastAsia="仿宋_GB2312" w:cs="仿宋_GB2312"/>
          <w:color w:val="000000"/>
          <w:kern w:val="0"/>
          <w:sz w:val="32"/>
          <w:szCs w:val="32"/>
          <w:highlight w:val="none"/>
          <w:lang w:eastAsia="zh-CN"/>
        </w:rPr>
        <w:t>全市财政财务工作会议要求</w:t>
      </w:r>
      <w:r>
        <w:rPr>
          <w:rFonts w:hint="eastAsia" w:ascii="仿宋_GB2312" w:hAnsi="仿宋_GB2312" w:eastAsia="仿宋_GB2312" w:cs="仿宋_GB2312"/>
          <w:color w:val="000000"/>
          <w:kern w:val="0"/>
          <w:sz w:val="32"/>
          <w:szCs w:val="32"/>
          <w:highlight w:val="none"/>
        </w:rPr>
        <w:t>，按照</w:t>
      </w:r>
      <w:r>
        <w:rPr>
          <w:rFonts w:hint="eastAsia" w:ascii="仿宋_GB2312" w:hAnsi="仿宋_GB2312" w:eastAsia="仿宋_GB2312" w:cs="仿宋_GB2312"/>
          <w:color w:val="000000"/>
          <w:kern w:val="0"/>
          <w:sz w:val="32"/>
          <w:szCs w:val="32"/>
          <w:highlight w:val="none"/>
          <w:lang w:eastAsia="zh-CN"/>
        </w:rPr>
        <w:t>新修订的</w:t>
      </w:r>
      <w:r>
        <w:rPr>
          <w:rFonts w:hint="eastAsia" w:ascii="仿宋_GB2312" w:hAnsi="仿宋_GB2312" w:eastAsia="仿宋_GB2312" w:cs="仿宋_GB2312"/>
          <w:color w:val="000000"/>
          <w:kern w:val="0"/>
          <w:sz w:val="32"/>
          <w:szCs w:val="32"/>
          <w:highlight w:val="none"/>
        </w:rPr>
        <w:t>《行政单位财务规则》开展工作</w:t>
      </w:r>
      <w:r>
        <w:rPr>
          <w:rFonts w:hint="eastAsia" w:ascii="仿宋_GB2312" w:hAnsi="仿宋_GB2312" w:eastAsia="仿宋_GB2312" w:cs="仿宋_GB2312"/>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1.财务管理制度健全性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2020年</w:t>
      </w:r>
      <w:r>
        <w:rPr>
          <w:rFonts w:hint="eastAsia" w:ascii="仿宋_GB2312" w:hAnsi="仿宋_GB2312" w:eastAsia="仿宋_GB2312" w:cs="仿宋_GB2312"/>
          <w:color w:val="000000"/>
          <w:kern w:val="0"/>
          <w:sz w:val="32"/>
          <w:szCs w:val="32"/>
          <w:highlight w:val="none"/>
        </w:rPr>
        <w:t>依据《中华人民共和国会计法》《中华人民共和国预算法》</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rPr>
        <w:t>修订《民革北京市委财务管理办法》《民革北京市委经费支出管理办法》，</w:t>
      </w:r>
      <w:r>
        <w:rPr>
          <w:rFonts w:hint="eastAsia" w:ascii="仿宋_GB2312" w:hAnsi="仿宋_GB2312" w:eastAsia="仿宋_GB2312" w:cs="仿宋_GB2312"/>
          <w:color w:val="000000"/>
          <w:kern w:val="0"/>
          <w:sz w:val="32"/>
          <w:szCs w:val="32"/>
          <w:highlight w:val="none"/>
          <w:lang w:eastAsia="zh-CN"/>
        </w:rPr>
        <w:t>进一步完善和规范资金审批、预算管理、会计核算、资产管理、政府采购等制度机制</w:t>
      </w:r>
      <w:r>
        <w:rPr>
          <w:rFonts w:hint="eastAsia" w:ascii="仿宋_GB2312" w:hAnsi="仿宋_GB2312" w:eastAsia="仿宋_GB2312" w:cs="仿宋_GB2312"/>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2.资金使用合规性和安全性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eastAsia="zh-CN"/>
        </w:rPr>
        <w:t>严肃财经纪律，</w:t>
      </w:r>
      <w:r>
        <w:rPr>
          <w:rFonts w:hint="eastAsia" w:ascii="仿宋_GB2312" w:hAnsi="仿宋_GB2312" w:eastAsia="仿宋_GB2312" w:cs="仿宋_GB2312"/>
          <w:color w:val="000000"/>
          <w:kern w:val="0"/>
          <w:sz w:val="32"/>
          <w:szCs w:val="32"/>
          <w:highlight w:val="none"/>
        </w:rPr>
        <w:t>严格执行法律法规和财经纪律，严格执行国家和北京市规定的经费开支标准，严格执行财务管理制度</w:t>
      </w:r>
      <w:r>
        <w:rPr>
          <w:rFonts w:hint="eastAsia" w:ascii="仿宋_GB2312" w:hAnsi="仿宋_GB2312" w:eastAsia="仿宋_GB2312" w:cs="仿宋_GB2312"/>
          <w:color w:val="000000"/>
          <w:kern w:val="0"/>
          <w:sz w:val="32"/>
          <w:szCs w:val="32"/>
          <w:highlight w:val="none"/>
          <w:lang w:eastAsia="zh-CN"/>
        </w:rPr>
        <w:t>、资金支出管理办法</w:t>
      </w:r>
      <w:r>
        <w:rPr>
          <w:rFonts w:hint="eastAsia" w:ascii="仿宋_GB2312" w:hAnsi="仿宋_GB2312" w:eastAsia="仿宋_GB2312" w:cs="仿宋_GB2312"/>
          <w:color w:val="000000"/>
          <w:kern w:val="0"/>
          <w:sz w:val="32"/>
          <w:szCs w:val="32"/>
          <w:highlight w:val="none"/>
        </w:rPr>
        <w:t>和内控要求</w:t>
      </w:r>
      <w:r>
        <w:rPr>
          <w:rFonts w:hint="eastAsia" w:ascii="仿宋_GB2312" w:hAnsi="仿宋_GB2312" w:eastAsia="仿宋_GB2312" w:cs="仿宋_GB2312"/>
          <w:color w:val="000000"/>
          <w:kern w:val="0"/>
          <w:sz w:val="32"/>
          <w:szCs w:val="32"/>
          <w:highlight w:val="none"/>
          <w:lang w:eastAsia="zh-CN"/>
        </w:rPr>
        <w:t>。在资金使用监管上，落实重大支出集体研究制度。预算执行中，严格按照政府采购管理制度和流程执行。按照市财政局规定的公务卡强制结算目录，规范资金支付，提高财政资金支付透明度，加强预算执行监督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3.会计基础信息完善性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严格执行政府会计准则制度</w:t>
      </w:r>
      <w:r>
        <w:rPr>
          <w:rFonts w:hint="eastAsia" w:ascii="仿宋_GB2312" w:hAnsi="仿宋_GB2312" w:eastAsia="仿宋_GB2312" w:cs="仿宋_GB2312"/>
          <w:color w:val="000000"/>
          <w:kern w:val="0"/>
          <w:sz w:val="32"/>
          <w:szCs w:val="32"/>
          <w:highlight w:val="none"/>
          <w:lang w:eastAsia="zh-CN"/>
        </w:rPr>
        <w:t>和</w:t>
      </w:r>
      <w:r>
        <w:rPr>
          <w:rFonts w:hint="eastAsia" w:ascii="仿宋_GB2312" w:hAnsi="仿宋_GB2312" w:eastAsia="仿宋_GB2312" w:cs="仿宋_GB2312"/>
          <w:color w:val="000000"/>
          <w:kern w:val="0"/>
          <w:sz w:val="32"/>
          <w:szCs w:val="32"/>
          <w:highlight w:val="none"/>
        </w:rPr>
        <w:t>新修订的《行政单位财务规则》，按照实际发生的经济业务事项进行会计核算，及时规范账务处理，细化核算内容，加强日常对账，及时提供会计信息。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（二）资产管理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行政单位国有资产管理暂行办法》《行政事业单位固定资产管理暂行办法》等规定，结合北京市行政事业单位资产管理信息系统升级工作。按照《政府会计准则制度解释第6号》关于固定资产明细核算的要求。在“固定资产”“固定资产累计折旧”科目下按照固定资产类别设置“设备”“家具和用具”明细科目；将“固定资产”科目和对应的“固定资产累计折旧”科目原相关明细科目余额按规定转入新的明细科目。按照《政府会计准则第4号—无形资产》的规定，对无形资产进行摊销。严格按照以权责发生制为基础编报财务报告，做好财务报告与决算报告、行政事业性国有资产报告的数据衔接，同口径数据保持一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（三）绩效</w:t>
      </w:r>
      <w:r>
        <w:rPr>
          <w:rFonts w:ascii="楷体" w:hAnsi="楷体" w:eastAsia="楷体"/>
          <w:sz w:val="32"/>
          <w:szCs w:val="32"/>
          <w:highlight w:val="none"/>
        </w:rPr>
        <w:t>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sz w:val="32"/>
          <w:szCs w:val="32"/>
          <w:highlight w:val="none"/>
        </w:rPr>
      </w:pPr>
      <w:r>
        <w:rPr>
          <w:rFonts w:hint="eastAsia" w:ascii="仿宋_GB2312" w:hAnsi="仿宋_GB2312" w:eastAsia="仿宋_GB2312" w:cs="仿宋_GB2312"/>
          <w:sz w:val="32"/>
          <w:szCs w:val="32"/>
          <w:highlight w:val="none"/>
        </w:rPr>
        <w:t>落实《中共北京市委北京市人民政府关于全面实施预算绩效管理的实施意见》要求，发挥预算绩效管理主体责任，做好绩效管理工作，提高财政资金使用效益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预算编制时填报部门整体支出绩效目标，将全部项目支出纳入绩效管理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提高绩效意识，压实绩效责任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经第九次主委办公会议批准，按照《北京市财政局关于2023年推进全面实施预算绩效管理工作的预通知》要求，开展2022年度成本绩效分析、部门整体绩效评价、部门重点评价和单位自评</w:t>
      </w:r>
      <w:r>
        <w:rPr>
          <w:rFonts w:hint="eastAsia" w:ascii="仿宋_GB2312" w:hAnsi="仿宋_GB2312" w:eastAsia="仿宋_GB2312" w:cs="仿宋_GB2312"/>
          <w:sz w:val="32"/>
          <w:szCs w:val="32"/>
          <w:highlight w:val="none"/>
          <w:lang w:eastAsia="zh-CN"/>
        </w:rPr>
        <w:t>全覆盖</w:t>
      </w:r>
      <w:r>
        <w:rPr>
          <w:rFonts w:hint="eastAsia" w:ascii="仿宋_GB2312" w:hAnsi="仿宋_GB2312" w:eastAsia="仿宋_GB2312" w:cs="仿宋_GB2312"/>
          <w:sz w:val="32"/>
          <w:szCs w:val="32"/>
          <w:highlight w:val="none"/>
        </w:rPr>
        <w:t>。第九次、十一次、十二次主委办公会议分别听取了一至三季度预算执行情况，按照《市级部门预算绩效运行监控管理办法》（京财绩效〔2020〕2034号），对9个预算项目执行情况进行绩效监控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全方位把握整体预算执行、绩效目标实现和预算管理</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（四）结转结余率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年，年末结转和结余</w:t>
      </w:r>
      <w:r>
        <w:rPr>
          <w:rFonts w:hint="eastAsia" w:ascii="仿宋_GB2312" w:hAnsi="仿宋_GB2312" w:eastAsia="仿宋_GB2312" w:cs="仿宋_GB2312"/>
          <w:sz w:val="32"/>
          <w:szCs w:val="32"/>
          <w:highlight w:val="none"/>
          <w:lang w:val="en-US" w:eastAsia="zh-CN"/>
        </w:rPr>
        <w:t>75.42</w:t>
      </w:r>
      <w:r>
        <w:rPr>
          <w:rFonts w:hint="eastAsia" w:ascii="仿宋_GB2312" w:hAnsi="仿宋_GB2312" w:eastAsia="仿宋_GB2312" w:cs="仿宋_GB2312"/>
          <w:sz w:val="32"/>
          <w:szCs w:val="32"/>
          <w:highlight w:val="none"/>
        </w:rPr>
        <w:t>万元，支出调整预算数</w:t>
      </w:r>
      <w:r>
        <w:rPr>
          <w:rFonts w:hint="eastAsia" w:ascii="仿宋_GB2312" w:hAnsi="仿宋_GB2312" w:eastAsia="仿宋_GB2312" w:cs="仿宋_GB2312"/>
          <w:color w:val="000000"/>
          <w:kern w:val="0"/>
          <w:sz w:val="32"/>
          <w:szCs w:val="32"/>
          <w:highlight w:val="none"/>
          <w:lang w:val="en-US" w:eastAsia="zh-CN"/>
        </w:rPr>
        <w:t>2012.42</w:t>
      </w:r>
      <w:r>
        <w:rPr>
          <w:rFonts w:hint="eastAsia" w:ascii="仿宋_GB2312" w:hAnsi="仿宋_GB2312" w:eastAsia="仿宋_GB2312" w:cs="仿宋_GB2312"/>
          <w:sz w:val="32"/>
          <w:szCs w:val="32"/>
          <w:highlight w:val="none"/>
        </w:rPr>
        <w:t>万元，结转结余率为</w:t>
      </w:r>
      <w:r>
        <w:rPr>
          <w:rFonts w:hint="eastAsia" w:ascii="仿宋_GB2312" w:hAnsi="仿宋_GB2312" w:eastAsia="仿宋_GB2312" w:cs="仿宋_GB2312"/>
          <w:sz w:val="32"/>
          <w:szCs w:val="32"/>
          <w:highlight w:val="none"/>
          <w:lang w:val="en-US" w:eastAsia="zh-CN"/>
        </w:rPr>
        <w:t>3.75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，较上年下降</w:t>
      </w:r>
      <w:r>
        <w:rPr>
          <w:rFonts w:hint="eastAsia" w:ascii="仿宋_GB2312" w:hAnsi="仿宋_GB2312" w:eastAsia="仿宋_GB2312" w:cs="仿宋_GB2312"/>
          <w:sz w:val="32"/>
          <w:szCs w:val="32"/>
          <w:highlight w:val="none"/>
          <w:lang w:val="en-US" w:eastAsia="zh-CN"/>
        </w:rPr>
        <w:t>1.28%</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（五）部门</w:t>
      </w:r>
      <w:r>
        <w:rPr>
          <w:rFonts w:ascii="楷体" w:hAnsi="楷体" w:eastAsia="楷体"/>
          <w:sz w:val="32"/>
          <w:szCs w:val="32"/>
          <w:highlight w:val="none"/>
        </w:rPr>
        <w:t>预决算差异率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年，年初预算数</w:t>
      </w:r>
      <w:r>
        <w:rPr>
          <w:rFonts w:hint="eastAsia" w:ascii="仿宋_GB2312" w:hAnsi="仿宋_GB2312" w:eastAsia="仿宋_GB2312" w:cs="仿宋_GB2312"/>
          <w:sz w:val="32"/>
          <w:szCs w:val="32"/>
          <w:highlight w:val="none"/>
          <w:lang w:val="en-US" w:eastAsia="zh-CN"/>
        </w:rPr>
        <w:t>2014.38</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en-US" w:eastAsia="zh-CN"/>
        </w:rPr>
        <w:t>1937.01</w:t>
      </w:r>
      <w:r>
        <w:rPr>
          <w:rFonts w:hint="eastAsia" w:ascii="仿宋_GB2312" w:hAnsi="仿宋_GB2312" w:eastAsia="仿宋_GB2312" w:cs="仿宋_GB2312"/>
          <w:sz w:val="32"/>
          <w:szCs w:val="32"/>
          <w:highlight w:val="none"/>
        </w:rPr>
        <w:t>万元，部门预决算差异率为</w:t>
      </w:r>
      <w:r>
        <w:rPr>
          <w:rFonts w:hint="eastAsia" w:ascii="仿宋_GB2312" w:hAnsi="仿宋_GB2312" w:eastAsia="仿宋_GB2312" w:cs="仿宋_GB2312"/>
          <w:sz w:val="32"/>
          <w:szCs w:val="32"/>
          <w:highlight w:val="none"/>
          <w:lang w:val="en-US" w:eastAsia="zh-CN"/>
        </w:rPr>
        <w:t>-3.84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，低于市级平均差异率。</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（一）评价</w:t>
      </w:r>
      <w:r>
        <w:rPr>
          <w:rFonts w:ascii="楷体" w:hAnsi="楷体" w:eastAsia="楷体"/>
          <w:sz w:val="32"/>
          <w:szCs w:val="32"/>
          <w:highlight w:val="none"/>
        </w:rPr>
        <w:t>得分</w:t>
      </w:r>
      <w:r>
        <w:rPr>
          <w:rFonts w:hint="eastAsia" w:ascii="楷体" w:hAnsi="楷体" w:eastAsia="楷体"/>
          <w:sz w:val="32"/>
          <w:szCs w:val="32"/>
          <w:highlight w:val="none"/>
        </w:rPr>
        <w:t>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整体</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rPr>
        <w:t>绩效评价</w:t>
      </w:r>
      <w:r>
        <w:rPr>
          <w:rFonts w:hint="eastAsia" w:ascii="仿宋_GB2312" w:hAnsi="仿宋_GB2312" w:eastAsia="仿宋_GB2312" w:cs="仿宋_GB2312"/>
          <w:sz w:val="32"/>
          <w:szCs w:val="32"/>
          <w:highlight w:val="none"/>
          <w:lang w:eastAsia="zh-CN"/>
        </w:rPr>
        <w:t>综合得分</w:t>
      </w:r>
      <w:r>
        <w:rPr>
          <w:rFonts w:hint="eastAsia" w:ascii="仿宋_GB2312" w:hAnsi="仿宋_GB2312" w:eastAsia="仿宋_GB2312" w:cs="仿宋_GB2312"/>
          <w:sz w:val="32"/>
          <w:szCs w:val="32"/>
          <w:highlight w:val="none"/>
          <w:lang w:val="en-US" w:eastAsia="zh-CN"/>
        </w:rPr>
        <w:t>90.5</w:t>
      </w:r>
      <w:r>
        <w:rPr>
          <w:rFonts w:hint="eastAsia" w:ascii="仿宋_GB2312" w:hAnsi="仿宋_GB2312" w:eastAsia="仿宋_GB2312" w:cs="仿宋_GB2312"/>
          <w:sz w:val="32"/>
          <w:szCs w:val="32"/>
          <w:highlight w:val="none"/>
        </w:rPr>
        <w:t>分，其中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当年预算执行情况</w:t>
      </w: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rPr>
        <w:t>分，整体绩效目标实现情况</w:t>
      </w:r>
      <w:r>
        <w:rPr>
          <w:rFonts w:hint="eastAsia" w:ascii="仿宋_GB2312" w:hAnsi="仿宋_GB2312" w:eastAsia="仿宋_GB2312" w:cs="仿宋_GB2312"/>
          <w:sz w:val="32"/>
          <w:szCs w:val="32"/>
          <w:highlight w:val="none"/>
          <w:lang w:val="en-US" w:eastAsia="zh-CN"/>
        </w:rPr>
        <w:t>54</w:t>
      </w:r>
      <w:r>
        <w:rPr>
          <w:rFonts w:hint="eastAsia" w:ascii="仿宋_GB2312" w:hAnsi="仿宋_GB2312" w:eastAsia="仿宋_GB2312" w:cs="仿宋_GB2312"/>
          <w:sz w:val="32"/>
          <w:szCs w:val="32"/>
          <w:highlight w:val="none"/>
        </w:rPr>
        <w:t>分，预算管理情况</w:t>
      </w:r>
      <w:r>
        <w:rPr>
          <w:rFonts w:hint="eastAsia" w:ascii="仿宋_GB2312" w:hAnsi="仿宋_GB2312" w:eastAsia="仿宋_GB2312" w:cs="仿宋_GB2312"/>
          <w:sz w:val="32"/>
          <w:szCs w:val="32"/>
          <w:highlight w:val="none"/>
          <w:lang w:val="en-US" w:eastAsia="zh-CN"/>
        </w:rPr>
        <w:t>17.5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，绩效评定结论为“优”</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center"/>
        <w:textAlignment w:val="auto"/>
        <w:rPr>
          <w:rFonts w:hint="eastAsia" w:ascii="黑体" w:hAnsi="黑体" w:eastAsia="黑体" w:cs="黑体"/>
          <w:sz w:val="28"/>
          <w:szCs w:val="28"/>
        </w:rPr>
      </w:pPr>
      <w:r>
        <w:rPr>
          <w:rFonts w:hint="eastAsia" w:ascii="黑体" w:hAnsi="黑体" w:eastAsia="黑体" w:cs="黑体"/>
          <w:sz w:val="28"/>
          <w:szCs w:val="28"/>
          <w:highlight w:val="none"/>
        </w:rPr>
        <w:t>部门整体支出绩效评价结论一览表</w:t>
      </w:r>
    </w:p>
    <w:tbl>
      <w:tblPr>
        <w:tblStyle w:val="10"/>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
      <w:tblGrid>
        <w:gridCol w:w="3003"/>
        <w:gridCol w:w="2626"/>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评价内容</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分值</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当年预算执行情况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20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rPr>
              <w:t>整体绩效目标实现情况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60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rPr>
              <w:t>预算管理情况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20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综合得分</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100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绩效评定级别</w:t>
            </w:r>
          </w:p>
        </w:tc>
        <w:tc>
          <w:tcPr>
            <w:tcW w:w="5255" w:type="dxa"/>
            <w:gridSpan w:val="2"/>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优</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整体支出绩效目标</w:t>
      </w:r>
      <w:r>
        <w:rPr>
          <w:rFonts w:hint="eastAsia" w:ascii="仿宋_GB2312" w:hAnsi="仿宋_GB2312" w:eastAsia="仿宋_GB2312" w:cs="仿宋_GB2312"/>
          <w:sz w:val="32"/>
          <w:szCs w:val="32"/>
          <w:highlight w:val="none"/>
          <w:lang w:eastAsia="zh-CN"/>
        </w:rPr>
        <w:t>应清晰反映</w:t>
      </w:r>
      <w:r>
        <w:rPr>
          <w:rFonts w:hint="eastAsia" w:ascii="仿宋_GB2312" w:hAnsi="仿宋_GB2312" w:eastAsia="仿宋_GB2312" w:cs="仿宋_GB2312"/>
          <w:sz w:val="32"/>
          <w:szCs w:val="32"/>
          <w:highlight w:val="none"/>
        </w:rPr>
        <w:t>利用全部预算资金在一定期限内预期达到的总体产出和效果</w:t>
      </w:r>
      <w:r>
        <w:rPr>
          <w:rFonts w:hint="eastAsia" w:ascii="仿宋_GB2312" w:hAnsi="仿宋_GB2312" w:eastAsia="仿宋_GB2312" w:cs="仿宋_GB2312"/>
          <w:bCs/>
          <w:color w:val="auto"/>
          <w:kern w:val="44"/>
          <w:sz w:val="32"/>
          <w:szCs w:val="32"/>
          <w:highlight w:val="none"/>
          <w:lang w:val="en-US" w:eastAsia="zh-CN"/>
        </w:rPr>
        <w:t>；过程管理应进一步规范完善，形成长效机制。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依据《</w:t>
      </w:r>
      <w:r>
        <w:rPr>
          <w:rFonts w:hint="eastAsia" w:ascii="仿宋_GB2312" w:hAnsi="仿宋_GB2312" w:eastAsia="仿宋_GB2312" w:cs="仿宋_GB2312"/>
          <w:sz w:val="32"/>
          <w:szCs w:val="32"/>
          <w:highlight w:val="none"/>
        </w:rPr>
        <w:t>北京市项目支出绩效评价管理办法</w:t>
      </w:r>
      <w:r>
        <w:rPr>
          <w:rFonts w:hint="eastAsia" w:ascii="仿宋_GB2312" w:hAnsi="仿宋_GB2312" w:eastAsia="仿宋_GB2312" w:cs="仿宋_GB2312"/>
          <w:sz w:val="32"/>
          <w:szCs w:val="32"/>
          <w:highlight w:val="none"/>
          <w:lang w:eastAsia="zh-CN"/>
        </w:rPr>
        <w:t>》关于“年初指标值设定明显偏低的，要按照偏离度适度调减分值”的要求，</w:t>
      </w:r>
      <w:r>
        <w:rPr>
          <w:rFonts w:hint="eastAsia" w:ascii="仿宋_GB2312" w:hAnsi="仿宋_GB2312" w:eastAsia="仿宋_GB2312" w:cs="仿宋_GB2312"/>
          <w:sz w:val="32"/>
          <w:szCs w:val="32"/>
          <w:highlight w:val="none"/>
        </w:rPr>
        <w:t>绩效</w:t>
      </w:r>
      <w:r>
        <w:rPr>
          <w:rFonts w:hint="eastAsia" w:ascii="仿宋_GB2312" w:hAnsi="仿宋_GB2312" w:eastAsia="仿宋_GB2312" w:cs="仿宋_GB2312"/>
          <w:sz w:val="32"/>
          <w:szCs w:val="32"/>
          <w:highlight w:val="none"/>
          <w:lang w:eastAsia="zh-CN"/>
        </w:rPr>
        <w:t>目标、</w:t>
      </w:r>
      <w:r>
        <w:rPr>
          <w:rFonts w:hint="eastAsia" w:ascii="仿宋_GB2312" w:hAnsi="仿宋_GB2312" w:eastAsia="仿宋_GB2312" w:cs="仿宋_GB2312"/>
          <w:sz w:val="32"/>
          <w:szCs w:val="32"/>
          <w:highlight w:val="none"/>
        </w:rPr>
        <w:t>指标设定</w:t>
      </w: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bCs/>
          <w:color w:val="auto"/>
          <w:kern w:val="44"/>
          <w:sz w:val="32"/>
          <w:szCs w:val="32"/>
          <w:highlight w:val="none"/>
          <w:lang w:val="en-US" w:eastAsia="zh-CN"/>
        </w:rPr>
        <w:t>反映提升参政履职实效和自身建设质效方面</w:t>
      </w:r>
      <w:r>
        <w:rPr>
          <w:rFonts w:hint="eastAsia" w:ascii="仿宋_GB2312" w:hAnsi="仿宋_GB2312" w:eastAsia="仿宋_GB2312" w:cs="仿宋_GB2312"/>
          <w:sz w:val="32"/>
          <w:szCs w:val="32"/>
          <w:highlight w:val="none"/>
          <w:lang w:eastAsia="zh-CN"/>
        </w:rPr>
        <w:t>有待进一步细化量化、合理可行</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2.体现</w:t>
      </w:r>
      <w:r>
        <w:rPr>
          <w:rFonts w:hint="eastAsia" w:ascii="仿宋_GB2312" w:hAnsi="仿宋_GB2312" w:eastAsia="仿宋_GB2312" w:cs="仿宋_GB2312"/>
          <w:sz w:val="32"/>
          <w:szCs w:val="32"/>
          <w:highlight w:val="none"/>
          <w:lang w:eastAsia="zh-CN"/>
        </w:rPr>
        <w:t>部门整体</w:t>
      </w:r>
      <w:r>
        <w:rPr>
          <w:rFonts w:hint="eastAsia" w:ascii="仿宋_GB2312" w:hAnsi="仿宋_GB2312" w:eastAsia="仿宋_GB2312" w:cs="仿宋_GB2312"/>
          <w:sz w:val="32"/>
          <w:szCs w:val="32"/>
          <w:highlight w:val="none"/>
        </w:rPr>
        <w:t>绩效成果资料</w:t>
      </w:r>
      <w:r>
        <w:rPr>
          <w:rFonts w:hint="eastAsia" w:ascii="仿宋_GB2312" w:hAnsi="仿宋_GB2312" w:eastAsia="仿宋_GB2312" w:cs="仿宋_GB2312"/>
          <w:sz w:val="32"/>
          <w:szCs w:val="32"/>
          <w:highlight w:val="none"/>
          <w:lang w:eastAsia="zh-CN"/>
        </w:rPr>
        <w:t>有待</w:t>
      </w:r>
      <w:r>
        <w:rPr>
          <w:rFonts w:hint="eastAsia" w:ascii="仿宋_GB2312" w:hAnsi="仿宋_GB2312" w:eastAsia="仿宋_GB2312" w:cs="仿宋_GB2312"/>
          <w:sz w:val="32"/>
          <w:szCs w:val="32"/>
          <w:highlight w:val="none"/>
        </w:rPr>
        <w:t>丰富，</w:t>
      </w:r>
      <w:r>
        <w:rPr>
          <w:rFonts w:hint="eastAsia" w:ascii="仿宋_GB2312" w:hAnsi="仿宋_GB2312" w:eastAsia="仿宋_GB2312" w:cs="仿宋_GB2312"/>
          <w:sz w:val="32"/>
          <w:szCs w:val="32"/>
          <w:highlight w:val="none"/>
          <w:lang w:eastAsia="zh-CN"/>
        </w:rPr>
        <w:t>对反映思想政治建设、组织建设、参政议政、社会服务和联络交流等档案</w:t>
      </w:r>
      <w:r>
        <w:rPr>
          <w:rFonts w:hint="eastAsia" w:ascii="仿宋_GB2312" w:hAnsi="仿宋_GB2312" w:eastAsia="仿宋_GB2312" w:cs="仿宋_GB2312"/>
          <w:sz w:val="32"/>
          <w:szCs w:val="32"/>
          <w:highlight w:val="none"/>
        </w:rPr>
        <w:t>资料</w:t>
      </w:r>
      <w:r>
        <w:rPr>
          <w:rFonts w:hint="eastAsia" w:ascii="仿宋_GB2312" w:hAnsi="仿宋_GB2312" w:eastAsia="仿宋_GB2312" w:cs="仿宋_GB2312"/>
          <w:sz w:val="32"/>
          <w:szCs w:val="32"/>
          <w:highlight w:val="none"/>
          <w:lang w:eastAsia="zh-CN"/>
        </w:rPr>
        <w:t>的管理有待进一步</w:t>
      </w:r>
      <w:r>
        <w:rPr>
          <w:rFonts w:hint="eastAsia" w:ascii="仿宋_GB2312" w:hAnsi="仿宋_GB2312" w:eastAsia="仿宋_GB2312" w:cs="仿宋_GB2312"/>
          <w:sz w:val="32"/>
          <w:szCs w:val="32"/>
          <w:highlight w:val="none"/>
        </w:rPr>
        <w:t>完善。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color w:val="000000"/>
          <w:kern w:val="0"/>
          <w:sz w:val="32"/>
          <w:szCs w:val="32"/>
          <w:highlight w:val="none"/>
        </w:rPr>
      </w:pPr>
      <w:r>
        <w:rPr>
          <w:rFonts w:hint="eastAsia" w:ascii="黑体" w:hAnsi="黑体" w:eastAsia="黑体" w:cs="宋体"/>
          <w:color w:val="000000"/>
          <w:kern w:val="0"/>
          <w:sz w:val="32"/>
          <w:szCs w:val="32"/>
          <w:highlight w:val="none"/>
        </w:rPr>
        <w:t>六、措施建议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eastAsia="zh-CN"/>
        </w:rPr>
        <w:t>按照《</w:t>
      </w:r>
      <w:r>
        <w:rPr>
          <w:rFonts w:hint="eastAsia" w:ascii="仿宋_GB2312" w:hAnsi="仿宋_GB2312" w:eastAsia="仿宋_GB2312" w:cs="仿宋_GB2312"/>
          <w:color w:val="000000"/>
          <w:kern w:val="0"/>
          <w:sz w:val="32"/>
          <w:szCs w:val="32"/>
          <w:highlight w:val="none"/>
        </w:rPr>
        <w:t>北京市预算绩效目标管理办法</w:t>
      </w:r>
      <w:r>
        <w:rPr>
          <w:rFonts w:hint="eastAsia" w:ascii="仿宋_GB2312" w:hAnsi="仿宋_GB2312" w:eastAsia="仿宋_GB2312" w:cs="仿宋_GB2312"/>
          <w:color w:val="000000"/>
          <w:kern w:val="0"/>
          <w:sz w:val="32"/>
          <w:szCs w:val="32"/>
          <w:highlight w:val="none"/>
          <w:lang w:eastAsia="zh-CN"/>
        </w:rPr>
        <w:t>》关于“指向明确、细化量化、合理可行、相应匹配”的要求，科学合理设定绩效目标，概括、提炼出最能反映工作任务预期实现程度的关键性指标，切实提高财政资金使用效益</w:t>
      </w:r>
      <w:r>
        <w:rPr>
          <w:rFonts w:hint="eastAsia" w:ascii="仿宋_GB2312" w:hAnsi="仿宋_GB2312" w:eastAsia="仿宋_GB2312" w:cs="仿宋_GB2312"/>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2.制定具有可操作性的</w:t>
      </w:r>
      <w:r>
        <w:rPr>
          <w:rFonts w:hint="eastAsia" w:ascii="仿宋_GB2312" w:hAnsi="仿宋_GB2312" w:eastAsia="仿宋_GB2312" w:cs="仿宋_GB2312"/>
          <w:color w:val="000000"/>
          <w:kern w:val="0"/>
          <w:sz w:val="32"/>
          <w:szCs w:val="32"/>
          <w:highlight w:val="none"/>
          <w:lang w:eastAsia="zh-CN"/>
        </w:rPr>
        <w:t>项目</w:t>
      </w:r>
      <w:r>
        <w:rPr>
          <w:rFonts w:hint="eastAsia" w:ascii="仿宋_GB2312" w:hAnsi="仿宋_GB2312" w:eastAsia="仿宋_GB2312" w:cs="仿宋_GB2312"/>
          <w:color w:val="000000"/>
          <w:kern w:val="0"/>
          <w:sz w:val="32"/>
          <w:szCs w:val="32"/>
          <w:highlight w:val="none"/>
        </w:rPr>
        <w:t>实施方案，加强资料收集整理，注重绩效成果材料和评价资料累积，在突出“绩”</w:t>
      </w:r>
      <w:r>
        <w:rPr>
          <w:rFonts w:hint="eastAsia" w:ascii="仿宋_GB2312" w:hAnsi="仿宋_GB2312" w:eastAsia="仿宋_GB2312" w:cs="仿宋_GB2312"/>
          <w:color w:val="000000"/>
          <w:kern w:val="0"/>
          <w:sz w:val="32"/>
          <w:szCs w:val="32"/>
          <w:highlight w:val="none"/>
          <w:lang w:eastAsia="zh-CN"/>
        </w:rPr>
        <w:t>和</w:t>
      </w:r>
      <w:r>
        <w:rPr>
          <w:rFonts w:hint="eastAsia" w:ascii="仿宋_GB2312" w:hAnsi="仿宋_GB2312" w:eastAsia="仿宋_GB2312" w:cs="仿宋_GB2312"/>
          <w:color w:val="000000"/>
          <w:kern w:val="0"/>
          <w:sz w:val="32"/>
          <w:szCs w:val="32"/>
          <w:highlight w:val="none"/>
        </w:rPr>
        <w:t>“效”</w:t>
      </w:r>
      <w:r>
        <w:rPr>
          <w:rFonts w:hint="eastAsia" w:ascii="仿宋_GB2312" w:hAnsi="仿宋_GB2312" w:eastAsia="仿宋_GB2312" w:cs="仿宋_GB2312"/>
          <w:color w:val="000000"/>
          <w:kern w:val="0"/>
          <w:sz w:val="32"/>
          <w:szCs w:val="32"/>
          <w:highlight w:val="none"/>
          <w:lang w:eastAsia="zh-CN"/>
        </w:rPr>
        <w:t>上下功夫</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color w:val="000000"/>
          <w:kern w:val="0"/>
          <w:sz w:val="32"/>
          <w:szCs w:val="32"/>
          <w:highlight w:val="none"/>
          <w:lang w:eastAsia="zh-CN"/>
        </w:rPr>
        <w:t>更好</w:t>
      </w:r>
      <w:r>
        <w:rPr>
          <w:rFonts w:hint="eastAsia" w:ascii="仿宋_GB2312" w:hAnsi="仿宋_GB2312" w:eastAsia="仿宋_GB2312" w:cs="仿宋_GB2312"/>
          <w:color w:val="000000"/>
          <w:kern w:val="0"/>
          <w:sz w:val="32"/>
          <w:szCs w:val="32"/>
          <w:highlight w:val="none"/>
        </w:rPr>
        <w:t>体现</w:t>
      </w:r>
      <w:r>
        <w:rPr>
          <w:rFonts w:hint="eastAsia" w:ascii="仿宋_GB2312" w:hAnsi="仿宋_GB2312" w:eastAsia="仿宋_GB2312" w:cs="仿宋_GB2312"/>
          <w:bCs/>
          <w:kern w:val="44"/>
          <w:sz w:val="32"/>
          <w:szCs w:val="32"/>
          <w:lang w:eastAsia="zh-CN"/>
        </w:rPr>
        <w:t>管理效率、履职效能和实施效果</w:t>
      </w:r>
      <w:r>
        <w:rPr>
          <w:rFonts w:hint="eastAsia" w:ascii="仿宋_GB2312" w:hAnsi="仿宋_GB2312" w:eastAsia="仿宋_GB2312" w:cs="仿宋_GB2312"/>
          <w:color w:val="000000"/>
          <w:kern w:val="0"/>
          <w:sz w:val="32"/>
          <w:szCs w:val="32"/>
          <w:highlight w:val="none"/>
        </w:rPr>
        <w:t>。</w:t>
      </w:r>
    </w:p>
    <w:p>
      <w:pPr>
        <w:pStyle w:val="4"/>
        <w:keepNext w:val="0"/>
        <w:keepLines w:val="0"/>
        <w:pageBreakBefore w:val="0"/>
        <w:widowControl w:val="0"/>
        <w:kinsoku/>
        <w:wordWrap/>
        <w:overflowPunct/>
        <w:topLinePunct w:val="0"/>
        <w:autoSpaceDE/>
        <w:autoSpaceDN/>
        <w:bidi w:val="0"/>
        <w:adjustRightInd/>
        <w:snapToGrid/>
        <w:spacing w:line="540" w:lineRule="exact"/>
        <w:textAlignment w:val="auto"/>
        <w:rPr>
          <w:sz w:val="32"/>
          <w:szCs w:val="32"/>
          <w:highlight w:val="none"/>
        </w:rPr>
      </w:pPr>
      <w:bookmarkStart w:id="0" w:name="_Toc103006301"/>
      <w:r>
        <w:rPr>
          <w:rFonts w:hint="eastAsia"/>
          <w:sz w:val="32"/>
          <w:szCs w:val="32"/>
          <w:highlight w:val="none"/>
        </w:rPr>
        <w:t>七、附件</w:t>
      </w:r>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sectPr>
          <w:footerReference r:id="rId4" w:type="default"/>
          <w:pgSz w:w="11906" w:h="16838"/>
          <w:pgMar w:top="1440" w:right="1800" w:bottom="1440" w:left="1800" w:header="851" w:footer="964" w:gutter="0"/>
          <w:pgBorders>
            <w:top w:val="none" w:sz="0" w:space="0"/>
            <w:left w:val="none" w:sz="0" w:space="0"/>
            <w:bottom w:val="none" w:sz="0" w:space="0"/>
            <w:right w:val="none" w:sz="0" w:space="0"/>
          </w:pgBorders>
          <w:pgNumType w:fmt="decimal" w:start="1"/>
          <w:cols w:space="425"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年部门整体绩效评价指标体系评分表</w:t>
      </w:r>
    </w:p>
    <w:tbl>
      <w:tblPr>
        <w:tblStyle w:val="10"/>
        <w:tblW w:w="14174" w:type="dxa"/>
        <w:tblInd w:w="0" w:type="dxa"/>
        <w:tblLayout w:type="fixed"/>
        <w:tblCellMar>
          <w:top w:w="0" w:type="dxa"/>
          <w:left w:w="108" w:type="dxa"/>
          <w:bottom w:w="0" w:type="dxa"/>
          <w:right w:w="108" w:type="dxa"/>
        </w:tblCellMar>
      </w:tblPr>
      <w:tblGrid>
        <w:gridCol w:w="1114"/>
        <w:gridCol w:w="1114"/>
        <w:gridCol w:w="1997"/>
        <w:gridCol w:w="1630"/>
        <w:gridCol w:w="1480"/>
        <w:gridCol w:w="720"/>
        <w:gridCol w:w="730"/>
        <w:gridCol w:w="2537"/>
        <w:gridCol w:w="2852"/>
      </w:tblGrid>
      <w:tr>
        <w:tblPrEx>
          <w:tblLayout w:type="fixed"/>
          <w:tblCellMar>
            <w:top w:w="0" w:type="dxa"/>
            <w:left w:w="108" w:type="dxa"/>
            <w:bottom w:w="0" w:type="dxa"/>
            <w:right w:w="108" w:type="dxa"/>
          </w:tblCellMar>
        </w:tblPrEx>
        <w:trPr>
          <w:cantSplit/>
          <w:trHeight w:val="643" w:hRule="atLeast"/>
        </w:trPr>
        <w:tc>
          <w:tcPr>
            <w:tcW w:w="14174" w:type="dxa"/>
            <w:gridSpan w:val="9"/>
            <w:tcBorders>
              <w:top w:val="nil"/>
              <w:left w:val="nil"/>
              <w:bottom w:val="single" w:color="auto" w:sz="4" w:space="0"/>
              <w:right w:val="nil"/>
            </w:tcBorders>
            <w:noWrap/>
            <w:vAlign w:val="bottom"/>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ascii="方正小标宋简体" w:hAnsi="黑体" w:eastAsia="方正小标宋简体" w:cs="宋体"/>
                <w:color w:val="000000"/>
                <w:kern w:val="0"/>
                <w:sz w:val="44"/>
                <w:szCs w:val="44"/>
                <w:highlight w:val="none"/>
              </w:rPr>
            </w:pPr>
            <w:r>
              <w:rPr>
                <w:rFonts w:hint="eastAsia" w:ascii="方正小标宋简体" w:hAnsi="黑体" w:eastAsia="方正小标宋简体" w:cs="宋体"/>
                <w:color w:val="000000"/>
                <w:kern w:val="0"/>
                <w:sz w:val="44"/>
                <w:szCs w:val="44"/>
                <w:highlight w:val="none"/>
              </w:rPr>
              <w:t>202</w:t>
            </w:r>
            <w:r>
              <w:rPr>
                <w:rFonts w:hint="eastAsia" w:ascii="方正小标宋简体" w:hAnsi="黑体" w:eastAsia="方正小标宋简体" w:cs="宋体"/>
                <w:color w:val="000000"/>
                <w:kern w:val="0"/>
                <w:sz w:val="44"/>
                <w:szCs w:val="44"/>
                <w:highlight w:val="none"/>
                <w:lang w:val="en-US" w:eastAsia="zh-CN"/>
              </w:rPr>
              <w:t>3</w:t>
            </w:r>
            <w:r>
              <w:rPr>
                <w:rFonts w:hint="eastAsia" w:ascii="方正小标宋简体" w:hAnsi="黑体" w:eastAsia="方正小标宋简体" w:cs="宋体"/>
                <w:color w:val="000000"/>
                <w:kern w:val="0"/>
                <w:sz w:val="44"/>
                <w:szCs w:val="44"/>
                <w:highlight w:val="none"/>
              </w:rPr>
              <w:t>年部门整体绩效评价指标体系评分表</w:t>
            </w:r>
          </w:p>
        </w:tc>
      </w:tr>
      <w:tr>
        <w:tblPrEx>
          <w:tblLayout w:type="fixed"/>
          <w:tblCellMar>
            <w:top w:w="0" w:type="dxa"/>
            <w:left w:w="108" w:type="dxa"/>
            <w:bottom w:w="0" w:type="dxa"/>
            <w:right w:w="108" w:type="dxa"/>
          </w:tblCellMar>
        </w:tblPrEx>
        <w:trPr>
          <w:cantSplit/>
          <w:trHeight w:val="470"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一、当年预算执行情况（20分）</w:t>
            </w:r>
          </w:p>
        </w:tc>
      </w:tr>
      <w:tr>
        <w:tblPrEx>
          <w:tblLayout w:type="fixed"/>
          <w:tblCellMar>
            <w:top w:w="0" w:type="dxa"/>
            <w:left w:w="108" w:type="dxa"/>
            <w:bottom w:w="0" w:type="dxa"/>
            <w:right w:w="108" w:type="dxa"/>
          </w:tblCellMar>
        </w:tblPrEx>
        <w:trPr>
          <w:cantSplit/>
          <w:trHeight w:val="450"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一级指标　</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二级指标　</w:t>
            </w: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预算数（万元）</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执行数（万元）</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预算执行率</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分值</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指标解释</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评分标准</w:t>
            </w:r>
          </w:p>
        </w:tc>
      </w:tr>
      <w:tr>
        <w:tblPrEx>
          <w:tblLayout w:type="fixed"/>
          <w:tblCellMar>
            <w:top w:w="0" w:type="dxa"/>
            <w:left w:w="108" w:type="dxa"/>
            <w:bottom w:w="0" w:type="dxa"/>
            <w:right w:w="108" w:type="dxa"/>
          </w:tblCellMar>
        </w:tblPrEx>
        <w:trPr>
          <w:cantSplit/>
          <w:trHeight w:val="283" w:hRule="atLeast"/>
        </w:trPr>
        <w:tc>
          <w:tcPr>
            <w:tcW w:w="111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当年预算执行情况（20）</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资金总体</w:t>
            </w: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w:t>
            </w:r>
            <w:r>
              <w:rPr>
                <w:rFonts w:hint="eastAsia" w:asciiTheme="majorEastAsia" w:hAnsiTheme="majorEastAsia" w:eastAsiaTheme="majorEastAsia" w:cs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lang w:val="en-US" w:eastAsia="zh-CN"/>
              </w:rPr>
              <w:t>012</w:t>
            </w:r>
            <w:r>
              <w:rPr>
                <w:rFonts w:hint="eastAsia" w:asciiTheme="majorEastAsia" w:hAnsiTheme="majorEastAsia" w:eastAsiaTheme="majorEastAsia" w:cs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lang w:val="en-US" w:eastAsia="zh-CN"/>
              </w:rPr>
              <w:t>42</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r>
              <w:rPr>
                <w:rFonts w:hint="eastAsia" w:asciiTheme="majorEastAsia" w:hAnsiTheme="majorEastAsia" w:eastAsiaTheme="majorEastAsia" w:cs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lang w:val="en-US" w:eastAsia="zh-CN"/>
              </w:rPr>
              <w:t>937</w:t>
            </w:r>
            <w:r>
              <w:rPr>
                <w:rFonts w:hint="eastAsia" w:asciiTheme="majorEastAsia" w:hAnsiTheme="majorEastAsia" w:eastAsiaTheme="majorEastAsia" w:cs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lang w:val="en-US" w:eastAsia="zh-CN"/>
              </w:rPr>
              <w:t>01</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9</w:t>
            </w:r>
            <w:r>
              <w:rPr>
                <w:rFonts w:hint="eastAsia" w:asciiTheme="majorEastAsia" w:hAnsiTheme="majorEastAsia" w:eastAsiaTheme="majorEastAsia" w:cstheme="majorEastAsia"/>
                <w:color w:val="000000"/>
                <w:kern w:val="0"/>
                <w:sz w:val="20"/>
                <w:szCs w:val="20"/>
                <w:highlight w:val="none"/>
                <w:lang w:val="en-US" w:eastAsia="zh-CN"/>
              </w:rPr>
              <w:t>6</w:t>
            </w:r>
            <w:r>
              <w:rPr>
                <w:rFonts w:hint="eastAsia" w:asciiTheme="majorEastAsia" w:hAnsiTheme="majorEastAsia" w:eastAsiaTheme="majorEastAsia" w:cstheme="majorEastAsia"/>
                <w:color w:val="000000"/>
                <w:kern w:val="0"/>
                <w:sz w:val="20"/>
                <w:szCs w:val="20"/>
                <w:highlight w:val="none"/>
              </w:rPr>
              <w:t>%</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20</w:t>
            </w:r>
          </w:p>
        </w:tc>
        <w:tc>
          <w:tcPr>
            <w:tcW w:w="73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1</w:t>
            </w:r>
            <w:r>
              <w:rPr>
                <w:rFonts w:hint="eastAsia" w:asciiTheme="majorEastAsia" w:hAnsiTheme="majorEastAsia" w:eastAsiaTheme="majorEastAsia" w:cstheme="majorEastAsia"/>
                <w:color w:val="000000"/>
                <w:kern w:val="0"/>
                <w:sz w:val="20"/>
                <w:szCs w:val="20"/>
                <w:highlight w:val="none"/>
                <w:lang w:val="en-US" w:eastAsia="zh-CN"/>
              </w:rPr>
              <w:t>9</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部门全年执行数与全年预算数的比率。资金总体=基本支出+项目支出+其他</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得分一档最高不能超过该指标分值上限（20分）。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cantSplit/>
          <w:trHeight w:val="283" w:hRule="atLeast"/>
        </w:trPr>
        <w:tc>
          <w:tcPr>
            <w:tcW w:w="111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基本支出</w:t>
            </w: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1,</w:t>
            </w:r>
            <w:r>
              <w:rPr>
                <w:rFonts w:hint="eastAsia" w:asciiTheme="majorEastAsia" w:hAnsiTheme="majorEastAsia" w:eastAsiaTheme="majorEastAsia" w:cstheme="majorEastAsia"/>
                <w:color w:val="000000"/>
                <w:kern w:val="0"/>
                <w:sz w:val="20"/>
                <w:szCs w:val="20"/>
                <w:highlight w:val="none"/>
                <w:lang w:val="en-US" w:eastAsia="zh-CN"/>
              </w:rPr>
              <w:t>805</w:t>
            </w:r>
            <w:r>
              <w:rPr>
                <w:rFonts w:hint="eastAsia" w:asciiTheme="majorEastAsia" w:hAnsiTheme="majorEastAsia" w:eastAsiaTheme="majorEastAsia" w:cs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lang w:val="en-US" w:eastAsia="zh-CN"/>
              </w:rPr>
              <w:t>88</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1,</w:t>
            </w:r>
            <w:r>
              <w:rPr>
                <w:rFonts w:hint="eastAsia" w:asciiTheme="majorEastAsia" w:hAnsiTheme="majorEastAsia" w:eastAsiaTheme="majorEastAsia" w:cstheme="majorEastAsia"/>
                <w:color w:val="000000"/>
                <w:kern w:val="0"/>
                <w:sz w:val="20"/>
                <w:szCs w:val="20"/>
                <w:highlight w:val="none"/>
                <w:lang w:val="en-US" w:eastAsia="zh-CN"/>
              </w:rPr>
              <w:t>776</w:t>
            </w:r>
            <w:r>
              <w:rPr>
                <w:rFonts w:hint="eastAsia" w:asciiTheme="majorEastAsia" w:hAnsiTheme="majorEastAsia" w:eastAsiaTheme="majorEastAsia" w:cstheme="majorEastAsia"/>
                <w:color w:val="000000"/>
                <w:kern w:val="0"/>
                <w:sz w:val="20"/>
                <w:szCs w:val="20"/>
                <w:highlight w:val="none"/>
              </w:rPr>
              <w:t>.7</w:t>
            </w:r>
            <w:r>
              <w:rPr>
                <w:rFonts w:hint="eastAsia" w:asciiTheme="majorEastAsia" w:hAnsiTheme="majorEastAsia" w:eastAsiaTheme="majorEastAsia" w:cstheme="majorEastAsia"/>
                <w:color w:val="000000"/>
                <w:kern w:val="0"/>
                <w:sz w:val="20"/>
                <w:szCs w:val="20"/>
                <w:highlight w:val="none"/>
                <w:lang w:val="en-US" w:eastAsia="zh-CN"/>
              </w:rPr>
              <w:t>6</w:t>
            </w:r>
          </w:p>
        </w:tc>
        <w:tc>
          <w:tcPr>
            <w:tcW w:w="14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vMerge w:val="continue"/>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283" w:hRule="atLeast"/>
        </w:trPr>
        <w:tc>
          <w:tcPr>
            <w:tcW w:w="111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项目支出</w:t>
            </w: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206.54</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160.25</w:t>
            </w: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vMerge w:val="continue"/>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2708" w:hRule="atLeast"/>
        </w:trPr>
        <w:tc>
          <w:tcPr>
            <w:tcW w:w="111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其他</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　0.00</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　0.00</w:t>
            </w: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vMerge w:val="continue"/>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479"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二、整体绩效目标实现情况（60分）</w:t>
            </w:r>
          </w:p>
        </w:tc>
      </w:tr>
      <w:tr>
        <w:tblPrEx>
          <w:tblLayout w:type="fixed"/>
          <w:tblCellMar>
            <w:top w:w="0" w:type="dxa"/>
            <w:left w:w="108" w:type="dxa"/>
            <w:bottom w:w="0" w:type="dxa"/>
            <w:right w:w="108" w:type="dxa"/>
          </w:tblCellMar>
        </w:tblPrEx>
        <w:trPr>
          <w:cantSplit/>
          <w:trHeight w:val="499"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一级指标</w:t>
            </w:r>
          </w:p>
        </w:tc>
        <w:tc>
          <w:tcPr>
            <w:tcW w:w="111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二级指标　</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三级指标　</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指标值</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完成值</w:t>
            </w:r>
          </w:p>
        </w:tc>
        <w:tc>
          <w:tcPr>
            <w:tcW w:w="7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分值</w:t>
            </w:r>
          </w:p>
        </w:tc>
        <w:tc>
          <w:tcPr>
            <w:tcW w:w="730" w:type="dxa"/>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bCs/>
                <w:color w:val="000000"/>
                <w:kern w:val="0"/>
                <w:sz w:val="20"/>
                <w:szCs w:val="20"/>
                <w:highlight w:val="none"/>
              </w:rPr>
            </w:pPr>
            <w:r>
              <w:rPr>
                <w:rFonts w:hint="eastAsia" w:asciiTheme="majorEastAsia" w:hAnsiTheme="majorEastAsia" w:eastAsiaTheme="majorEastAsia" w:cstheme="majorEastAsia"/>
                <w:bCs/>
                <w:color w:val="000000"/>
                <w:kern w:val="0"/>
                <w:sz w:val="20"/>
                <w:szCs w:val="20"/>
                <w:highlight w:val="none"/>
              </w:rPr>
              <w:t>指标解释</w:t>
            </w:r>
          </w:p>
        </w:tc>
        <w:tc>
          <w:tcPr>
            <w:tcW w:w="28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评分标准</w:t>
            </w:r>
          </w:p>
        </w:tc>
      </w:tr>
      <w:tr>
        <w:tblPrEx>
          <w:tblLayout w:type="fixed"/>
          <w:tblCellMar>
            <w:top w:w="0" w:type="dxa"/>
            <w:left w:w="108" w:type="dxa"/>
            <w:bottom w:w="0" w:type="dxa"/>
            <w:right w:w="108" w:type="dxa"/>
          </w:tblCellMar>
        </w:tblPrEx>
        <w:trPr>
          <w:cantSplit/>
          <w:trHeight w:val="90"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整体绩效目标实现情况（60）</w:t>
            </w:r>
          </w:p>
        </w:tc>
        <w:tc>
          <w:tcPr>
            <w:tcW w:w="1114"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产出（30）</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信息</w:t>
            </w:r>
            <w:r>
              <w:rPr>
                <w:rFonts w:hint="eastAsia" w:asciiTheme="majorEastAsia" w:hAnsiTheme="majorEastAsia" w:eastAsiaTheme="majorEastAsia" w:cstheme="majorEastAsia"/>
                <w:color w:val="000000"/>
                <w:kern w:val="0"/>
                <w:sz w:val="20"/>
                <w:szCs w:val="20"/>
                <w:highlight w:val="none"/>
                <w:lang w:eastAsia="zh-CN"/>
              </w:rPr>
              <w:t>采用</w:t>
            </w:r>
            <w:r>
              <w:rPr>
                <w:rFonts w:hint="eastAsia" w:asciiTheme="majorEastAsia" w:hAnsiTheme="majorEastAsia" w:eastAsiaTheme="majorEastAsia" w:cstheme="majorEastAsia"/>
                <w:color w:val="000000"/>
                <w:kern w:val="0"/>
                <w:sz w:val="20"/>
                <w:szCs w:val="20"/>
                <w:highlight w:val="none"/>
              </w:rPr>
              <w:t>数</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1</w:t>
            </w:r>
            <w:r>
              <w:rPr>
                <w:rFonts w:hint="eastAsia" w:asciiTheme="majorEastAsia" w:hAnsiTheme="majorEastAsia" w:eastAsiaTheme="majorEastAsia" w:cstheme="majorEastAsia"/>
                <w:kern w:val="0"/>
                <w:sz w:val="20"/>
                <w:szCs w:val="20"/>
                <w:highlight w:val="none"/>
              </w:rPr>
              <w:t>00篇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260</w:t>
            </w:r>
            <w:r>
              <w:rPr>
                <w:rFonts w:hint="eastAsia" w:asciiTheme="majorEastAsia" w:hAnsiTheme="majorEastAsia" w:eastAsiaTheme="majorEastAsia" w:cstheme="majorEastAsia"/>
                <w:kern w:val="0"/>
                <w:sz w:val="20"/>
                <w:szCs w:val="20"/>
                <w:highlight w:val="none"/>
              </w:rPr>
              <w:t>篇</w:t>
            </w:r>
          </w:p>
        </w:tc>
        <w:tc>
          <w:tcPr>
            <w:tcW w:w="720"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30</w:t>
            </w: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产出数量</w:t>
            </w:r>
            <w:r>
              <w:rPr>
                <w:rFonts w:hint="eastAsia" w:asciiTheme="majorEastAsia" w:hAnsiTheme="majorEastAsia" w:eastAsiaTheme="majorEastAsia" w:cstheme="majorEastAsia"/>
                <w:color w:val="000000"/>
                <w:kern w:val="0"/>
                <w:sz w:val="20"/>
                <w:szCs w:val="20"/>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Theme="majorEastAsia" w:hAnsiTheme="majorEastAsia" w:eastAsiaTheme="majorEastAsia" w:cstheme="majorEastAsia"/>
                <w:b/>
                <w:bCs/>
                <w:color w:val="000000"/>
                <w:kern w:val="0"/>
                <w:sz w:val="20"/>
                <w:szCs w:val="20"/>
                <w:highlight w:val="none"/>
              </w:rPr>
              <w:t>产出质量</w:t>
            </w:r>
            <w:r>
              <w:rPr>
                <w:rFonts w:hint="eastAsia" w:asciiTheme="majorEastAsia" w:hAnsiTheme="majorEastAsia" w:eastAsiaTheme="majorEastAsia" w:cstheme="majorEastAsia"/>
                <w:color w:val="000000"/>
                <w:kern w:val="0"/>
                <w:sz w:val="20"/>
                <w:szCs w:val="20"/>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Theme="majorEastAsia" w:hAnsiTheme="majorEastAsia" w:eastAsiaTheme="majorEastAsia" w:cstheme="majorEastAsia"/>
                <w:b/>
                <w:bCs/>
                <w:color w:val="000000"/>
                <w:kern w:val="0"/>
                <w:sz w:val="20"/>
                <w:szCs w:val="20"/>
                <w:highlight w:val="none"/>
              </w:rPr>
              <w:t>产出进度：</w:t>
            </w:r>
            <w:r>
              <w:rPr>
                <w:rFonts w:hint="eastAsia" w:asciiTheme="majorEastAsia" w:hAnsiTheme="majorEastAsia" w:eastAsiaTheme="majorEastAsia" w:cstheme="majorEastAsia"/>
                <w:color w:val="000000"/>
                <w:kern w:val="0"/>
                <w:sz w:val="20"/>
                <w:szCs w:val="20"/>
                <w:highlight w:val="none"/>
              </w:rPr>
              <w:t>按时完成率=（按时完成工作数/实际完成工作数）×100%。按时完成工作数：部门（单位）按照整体绩效目标确定的时限实际完成的工作任务数量。</w:t>
            </w:r>
            <w:r>
              <w:rPr>
                <w:rFonts w:hint="eastAsia" w:asciiTheme="majorEastAsia" w:hAnsiTheme="majorEastAsia" w:eastAsiaTheme="majorEastAsia" w:cstheme="majorEastAsia"/>
                <w:b/>
                <w:bCs/>
                <w:color w:val="000000"/>
                <w:kern w:val="0"/>
                <w:sz w:val="20"/>
                <w:szCs w:val="20"/>
                <w:highlight w:val="none"/>
              </w:rPr>
              <w:t>产出成本</w:t>
            </w:r>
            <w:r>
              <w:rPr>
                <w:rFonts w:hint="eastAsia" w:asciiTheme="majorEastAsia" w:hAnsiTheme="majorEastAsia" w:eastAsiaTheme="majorEastAsia" w:cstheme="majorEastAsia"/>
                <w:color w:val="000000"/>
                <w:kern w:val="0"/>
                <w:sz w:val="20"/>
                <w:szCs w:val="20"/>
                <w:highlight w:val="none"/>
              </w:rPr>
              <w:t>：单位产出相对于上一年度的节约额；②单位产出相对于市场同类产出的节约额；③部门公用经费的控制情况。</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根据</w:t>
            </w:r>
            <w:r>
              <w:rPr>
                <w:rFonts w:hint="eastAsia" w:asciiTheme="majorEastAsia" w:hAnsiTheme="majorEastAsia" w:eastAsiaTheme="majorEastAsia" w:cstheme="majorEastAsia"/>
                <w:color w:val="000000"/>
                <w:kern w:val="0"/>
                <w:sz w:val="20"/>
                <w:szCs w:val="20"/>
                <w:highlight w:val="none"/>
                <w:lang w:eastAsia="zh-CN"/>
              </w:rPr>
              <w:t>实际</w:t>
            </w:r>
            <w:r>
              <w:rPr>
                <w:rFonts w:hint="eastAsia" w:asciiTheme="majorEastAsia" w:hAnsiTheme="majorEastAsia" w:eastAsiaTheme="majorEastAsia" w:cstheme="majorEastAsia"/>
                <w:color w:val="000000"/>
                <w:kern w:val="0"/>
                <w:sz w:val="20"/>
                <w:szCs w:val="20"/>
                <w:highlight w:val="none"/>
              </w:rPr>
              <w:t>情况确定并选择产出指标，合理确定各项指标权重。可量化的指标按照比率</w:t>
            </w:r>
            <w:r>
              <w:rPr>
                <w:rFonts w:hint="default" w:ascii="Arial" w:hAnsi="Arial" w:cs="Arial" w:eastAsiaTheme="majorEastAsia"/>
                <w:color w:val="000000"/>
                <w:kern w:val="0"/>
                <w:sz w:val="20"/>
                <w:szCs w:val="20"/>
                <w:highlight w:val="none"/>
              </w:rPr>
              <w:t>×</w:t>
            </w:r>
            <w:r>
              <w:rPr>
                <w:rFonts w:hint="eastAsia" w:asciiTheme="majorEastAsia" w:hAnsiTheme="majorEastAsia" w:eastAsiaTheme="majorEastAsia" w:cstheme="majorEastAsia"/>
                <w:color w:val="000000"/>
                <w:kern w:val="0"/>
                <w:sz w:val="20"/>
                <w:szCs w:val="20"/>
                <w:highlight w:val="none"/>
              </w:rPr>
              <w:t>单项指标分值即为该指标得分。如果不能定量评价，则以定性的方式进行自评。</w:t>
            </w: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完成政党协商、政协协商任务数量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3</w:t>
            </w:r>
            <w:r>
              <w:rPr>
                <w:rFonts w:hint="eastAsia" w:asciiTheme="majorEastAsia" w:hAnsiTheme="majorEastAsia" w:eastAsiaTheme="majorEastAsia" w:cstheme="majorEastAsia"/>
                <w:kern w:val="0"/>
                <w:sz w:val="20"/>
                <w:szCs w:val="20"/>
                <w:highlight w:val="none"/>
              </w:rPr>
              <w:t>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12</w:t>
            </w:r>
            <w:r>
              <w:rPr>
                <w:rFonts w:hint="eastAsia" w:asciiTheme="majorEastAsia" w:hAnsiTheme="majorEastAsia" w:eastAsiaTheme="majorEastAsia" w:cstheme="majorEastAsia"/>
                <w:kern w:val="0"/>
                <w:sz w:val="20"/>
                <w:szCs w:val="20"/>
                <w:highlight w:val="none"/>
              </w:rPr>
              <w:t>次</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信息报送数量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300篇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900篇</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lang w:eastAsia="zh-CN"/>
              </w:rPr>
              <w:t>各专委会</w:t>
            </w:r>
            <w:r>
              <w:rPr>
                <w:rFonts w:hint="eastAsia" w:asciiTheme="majorEastAsia" w:hAnsiTheme="majorEastAsia" w:eastAsiaTheme="majorEastAsia" w:cstheme="majorEastAsia"/>
                <w:color w:val="000000"/>
                <w:kern w:val="0"/>
                <w:sz w:val="20"/>
                <w:szCs w:val="20"/>
                <w:highlight w:val="none"/>
              </w:rPr>
              <w:t>专家论证、座谈及调研</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36</w:t>
            </w:r>
            <w:r>
              <w:rPr>
                <w:rFonts w:hint="eastAsia" w:asciiTheme="majorEastAsia" w:hAnsiTheme="majorEastAsia" w:eastAsiaTheme="majorEastAsia" w:cstheme="majorEastAsia"/>
                <w:kern w:val="0"/>
                <w:sz w:val="20"/>
                <w:szCs w:val="20"/>
                <w:highlight w:val="none"/>
              </w:rPr>
              <w:t>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110</w:t>
            </w:r>
            <w:r>
              <w:rPr>
                <w:rFonts w:hint="eastAsia" w:asciiTheme="majorEastAsia" w:hAnsiTheme="majorEastAsia" w:eastAsiaTheme="majorEastAsia" w:cstheme="majorEastAsia"/>
                <w:kern w:val="0"/>
                <w:sz w:val="20"/>
                <w:szCs w:val="20"/>
                <w:highlight w:val="none"/>
              </w:rPr>
              <w:t>次</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中山论坛</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1次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1次</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各专委会调研报告数量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14篇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53篇</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基层组织参政议政培训会</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1次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w:t>
            </w:r>
            <w:r>
              <w:rPr>
                <w:rFonts w:hint="eastAsia" w:asciiTheme="majorEastAsia" w:hAnsiTheme="majorEastAsia" w:eastAsiaTheme="majorEastAsia" w:cstheme="majorEastAsia"/>
                <w:kern w:val="0"/>
                <w:sz w:val="20"/>
                <w:szCs w:val="20"/>
                <w:highlight w:val="none"/>
              </w:rPr>
              <w:t>次</w:t>
            </w:r>
          </w:p>
        </w:tc>
        <w:tc>
          <w:tcPr>
            <w:tcW w:w="72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b/>
                <w:bCs/>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1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网站更新消息数量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800</w:t>
            </w:r>
            <w:r>
              <w:rPr>
                <w:rFonts w:hint="eastAsia" w:asciiTheme="majorEastAsia" w:hAnsiTheme="majorEastAsia" w:eastAsiaTheme="majorEastAsia" w:cstheme="majorEastAsia"/>
                <w:kern w:val="0"/>
                <w:sz w:val="20"/>
                <w:szCs w:val="20"/>
                <w:highlight w:val="none"/>
              </w:rPr>
              <w:t>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894</w:t>
            </w:r>
            <w:r>
              <w:rPr>
                <w:rFonts w:hint="eastAsia" w:asciiTheme="majorEastAsia" w:hAnsiTheme="majorEastAsia" w:eastAsiaTheme="majorEastAsia" w:cstheme="majorEastAsia"/>
                <w:kern w:val="0"/>
                <w:sz w:val="20"/>
                <w:szCs w:val="20"/>
                <w:highlight w:val="none"/>
              </w:rPr>
              <w:t>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发布宣传稿件数量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1500</w:t>
            </w:r>
            <w:r>
              <w:rPr>
                <w:rFonts w:hint="eastAsia" w:asciiTheme="majorEastAsia" w:hAnsiTheme="majorEastAsia" w:eastAsiaTheme="majorEastAsia" w:cstheme="majorEastAsia"/>
                <w:kern w:val="0"/>
                <w:sz w:val="20"/>
                <w:szCs w:val="20"/>
                <w:highlight w:val="none"/>
              </w:rPr>
              <w:t>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1575</w:t>
            </w:r>
            <w:r>
              <w:rPr>
                <w:rFonts w:hint="eastAsia" w:asciiTheme="majorEastAsia" w:hAnsiTheme="majorEastAsia" w:eastAsiaTheme="majorEastAsia" w:cstheme="majorEastAsia"/>
                <w:kern w:val="0"/>
                <w:sz w:val="20"/>
                <w:szCs w:val="20"/>
                <w:highlight w:val="none"/>
              </w:rPr>
              <w:t>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公众号发布消息数量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450</w:t>
            </w:r>
            <w:r>
              <w:rPr>
                <w:rFonts w:hint="eastAsia" w:asciiTheme="majorEastAsia" w:hAnsiTheme="majorEastAsia" w:eastAsiaTheme="majorEastAsia" w:cstheme="majorEastAsia"/>
                <w:kern w:val="0"/>
                <w:sz w:val="20"/>
                <w:szCs w:val="20"/>
                <w:highlight w:val="none"/>
              </w:rPr>
              <w:t>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492</w:t>
            </w:r>
            <w:r>
              <w:rPr>
                <w:rFonts w:hint="eastAsia" w:asciiTheme="majorEastAsia" w:hAnsiTheme="majorEastAsia" w:eastAsiaTheme="majorEastAsia" w:cstheme="majorEastAsia"/>
                <w:kern w:val="0"/>
                <w:sz w:val="20"/>
                <w:szCs w:val="20"/>
                <w:highlight w:val="none"/>
              </w:rPr>
              <w:t>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出版杂志数量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800</w:t>
            </w:r>
            <w:r>
              <w:rPr>
                <w:rFonts w:hint="eastAsia" w:asciiTheme="majorEastAsia" w:hAnsiTheme="majorEastAsia" w:eastAsiaTheme="majorEastAsia" w:cstheme="majorEastAsia"/>
                <w:kern w:val="0"/>
                <w:sz w:val="20"/>
                <w:szCs w:val="20"/>
                <w:highlight w:val="none"/>
              </w:rPr>
              <w:t>册/期</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800</w:t>
            </w:r>
            <w:r>
              <w:rPr>
                <w:rFonts w:hint="eastAsia" w:asciiTheme="majorEastAsia" w:hAnsiTheme="majorEastAsia" w:eastAsiaTheme="majorEastAsia" w:cstheme="majorEastAsia"/>
                <w:kern w:val="0"/>
                <w:sz w:val="20"/>
                <w:szCs w:val="20"/>
                <w:highlight w:val="none"/>
              </w:rPr>
              <w:t>册/期</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举办活动次数</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8次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8次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公众号订阅人数增长率</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3%</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3%</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举办活动出席率</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80%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80%</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研究成果评审合格率</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100%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100%</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培训人次</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200人次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200人次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宣传渠道数量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4个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4个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课题数量</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w:t>
            </w:r>
            <w:r>
              <w:rPr>
                <w:rFonts w:hint="eastAsia" w:asciiTheme="majorEastAsia" w:hAnsiTheme="majorEastAsia" w:eastAsiaTheme="majorEastAsia" w:cstheme="majorEastAsia"/>
                <w:kern w:val="0"/>
                <w:sz w:val="20"/>
                <w:szCs w:val="20"/>
                <w:highlight w:val="none"/>
              </w:rPr>
              <w:t>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w:t>
            </w:r>
            <w:r>
              <w:rPr>
                <w:rFonts w:hint="eastAsia" w:asciiTheme="majorEastAsia" w:hAnsiTheme="majorEastAsia" w:eastAsiaTheme="majorEastAsia" w:cstheme="majorEastAsia"/>
                <w:kern w:val="0"/>
                <w:sz w:val="20"/>
                <w:szCs w:val="20"/>
                <w:highlight w:val="none"/>
              </w:rPr>
              <w:t>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研究成果数量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4篇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11篇</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培训班次</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4次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培训人次</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200人次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500人次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提高参会人员履职能力水平</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≥90%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≥90%</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帮扶项目对接数量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≥3</w:t>
            </w:r>
            <w:r>
              <w:rPr>
                <w:rFonts w:hint="eastAsia" w:asciiTheme="majorEastAsia" w:hAnsiTheme="majorEastAsia" w:eastAsiaTheme="majorEastAsia" w:cstheme="majorEastAsia"/>
                <w:kern w:val="0"/>
                <w:sz w:val="20"/>
                <w:szCs w:val="20"/>
                <w:highlight w:val="none"/>
              </w:rPr>
              <w:t>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16个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帮扶项目</w:t>
            </w:r>
            <w:r>
              <w:rPr>
                <w:rFonts w:hint="eastAsia" w:asciiTheme="majorEastAsia" w:hAnsiTheme="majorEastAsia" w:eastAsiaTheme="majorEastAsia" w:cstheme="majorEastAsia"/>
                <w:color w:val="000000"/>
                <w:kern w:val="0"/>
                <w:sz w:val="20"/>
                <w:szCs w:val="20"/>
                <w:highlight w:val="none"/>
                <w:lang w:eastAsia="zh-CN"/>
              </w:rPr>
              <w:t>落地</w:t>
            </w:r>
            <w:r>
              <w:rPr>
                <w:rFonts w:hint="eastAsia" w:asciiTheme="majorEastAsia" w:hAnsiTheme="majorEastAsia" w:eastAsiaTheme="majorEastAsia" w:cstheme="majorEastAsia"/>
                <w:color w:val="000000"/>
                <w:kern w:val="0"/>
                <w:sz w:val="20"/>
                <w:szCs w:val="20"/>
                <w:highlight w:val="none"/>
              </w:rPr>
              <w:t>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≥3</w:t>
            </w:r>
            <w:r>
              <w:rPr>
                <w:rFonts w:hint="eastAsia" w:asciiTheme="majorEastAsia" w:hAnsiTheme="majorEastAsia" w:eastAsiaTheme="majorEastAsia" w:cstheme="majorEastAsia"/>
                <w:kern w:val="0"/>
                <w:sz w:val="20"/>
                <w:szCs w:val="20"/>
                <w:highlight w:val="none"/>
              </w:rPr>
              <w:t>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16</w:t>
            </w:r>
            <w:r>
              <w:rPr>
                <w:rFonts w:hint="eastAsia" w:asciiTheme="majorEastAsia" w:hAnsiTheme="majorEastAsia" w:eastAsiaTheme="majorEastAsia" w:cstheme="majorEastAsia"/>
                <w:kern w:val="0"/>
                <w:sz w:val="20"/>
                <w:szCs w:val="20"/>
                <w:highlight w:val="none"/>
              </w:rPr>
              <w:t>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组织帮扶次数</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≥5次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5次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召开</w:t>
            </w: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召开会议次数</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15次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18次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参与帮扶人次</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≥50人次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220人次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公益捐赠次数</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w:t>
            </w:r>
            <w:r>
              <w:rPr>
                <w:rFonts w:hint="eastAsia" w:asciiTheme="majorEastAsia" w:hAnsiTheme="majorEastAsia" w:eastAsiaTheme="majorEastAsia" w:cstheme="majorEastAsia"/>
                <w:kern w:val="0"/>
                <w:sz w:val="20"/>
                <w:szCs w:val="20"/>
                <w:highlight w:val="none"/>
              </w:rPr>
              <w:t>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5</w:t>
            </w:r>
            <w:r>
              <w:rPr>
                <w:rFonts w:hint="eastAsia" w:asciiTheme="majorEastAsia" w:hAnsiTheme="majorEastAsia" w:eastAsiaTheme="majorEastAsia" w:cstheme="majorEastAsia"/>
                <w:kern w:val="0"/>
                <w:sz w:val="20"/>
                <w:szCs w:val="20"/>
                <w:highlight w:val="none"/>
              </w:rPr>
              <w:t>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0.5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参加会议人次</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150人次</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kern w:val="0"/>
                <w:sz w:val="20"/>
                <w:szCs w:val="20"/>
                <w:highlight w:val="none"/>
                <w:lang w:val="en-US" w:eastAsia="zh-CN"/>
              </w:rPr>
            </w:pPr>
            <w:r>
              <w:rPr>
                <w:rFonts w:hint="eastAsia" w:asciiTheme="majorEastAsia" w:hAnsiTheme="majorEastAsia" w:eastAsiaTheme="majorEastAsia" w:cstheme="majorEastAsia"/>
                <w:kern w:val="0"/>
                <w:sz w:val="20"/>
                <w:szCs w:val="20"/>
                <w:highlight w:val="none"/>
                <w:lang w:val="en-US" w:eastAsia="zh-CN"/>
              </w:rPr>
              <w:t>165人次</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书画作品创作、参展数量</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≥20</w:t>
            </w:r>
            <w:r>
              <w:rPr>
                <w:rFonts w:hint="eastAsia" w:asciiTheme="majorEastAsia" w:hAnsiTheme="majorEastAsia" w:eastAsiaTheme="majorEastAsia" w:cstheme="majorEastAsia"/>
                <w:kern w:val="0"/>
                <w:sz w:val="20"/>
                <w:szCs w:val="20"/>
                <w:highlight w:val="none"/>
              </w:rPr>
              <w:t>个</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26</w:t>
            </w:r>
            <w:r>
              <w:rPr>
                <w:rFonts w:hint="eastAsia" w:asciiTheme="majorEastAsia" w:hAnsiTheme="majorEastAsia" w:eastAsiaTheme="majorEastAsia" w:cstheme="majorEastAsia"/>
                <w:kern w:val="0"/>
                <w:sz w:val="20"/>
                <w:szCs w:val="20"/>
                <w:highlight w:val="none"/>
              </w:rPr>
              <w:t>个</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43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效果（30）</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民革党员参政议政水平</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得到提升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得到提升</w:t>
            </w:r>
          </w:p>
        </w:tc>
        <w:tc>
          <w:tcPr>
            <w:tcW w:w="720"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30</w:t>
            </w: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经济效益</w:t>
            </w:r>
            <w:r>
              <w:rPr>
                <w:rFonts w:hint="eastAsia" w:asciiTheme="majorEastAsia" w:hAnsiTheme="majorEastAsia" w:eastAsiaTheme="majorEastAsia" w:cstheme="majorEastAsia"/>
                <w:color w:val="000000"/>
                <w:kern w:val="0"/>
                <w:sz w:val="20"/>
                <w:szCs w:val="20"/>
                <w:highlight w:val="none"/>
              </w:rPr>
              <w:t>：部门（单位）履行职责对经济发展所带来的直接或间接影响。</w:t>
            </w:r>
            <w:r>
              <w:rPr>
                <w:rFonts w:hint="eastAsia" w:asciiTheme="majorEastAsia" w:hAnsiTheme="majorEastAsia" w:eastAsiaTheme="majorEastAsia" w:cstheme="majorEastAsia"/>
                <w:b/>
                <w:bCs/>
                <w:color w:val="000000"/>
                <w:kern w:val="0"/>
                <w:sz w:val="20"/>
                <w:szCs w:val="20"/>
                <w:highlight w:val="none"/>
              </w:rPr>
              <w:t>社会效益</w:t>
            </w:r>
            <w:r>
              <w:rPr>
                <w:rFonts w:hint="eastAsia" w:asciiTheme="majorEastAsia" w:hAnsiTheme="majorEastAsia" w:eastAsiaTheme="majorEastAsia" w:cstheme="majorEastAsia"/>
                <w:color w:val="000000"/>
                <w:kern w:val="0"/>
                <w:sz w:val="20"/>
                <w:szCs w:val="20"/>
                <w:highlight w:val="none"/>
              </w:rPr>
              <w:t>：部门（单位）履行职责对社会发展所带来的直接或间接影响。</w:t>
            </w:r>
            <w:r>
              <w:rPr>
                <w:rFonts w:hint="eastAsia" w:asciiTheme="majorEastAsia" w:hAnsiTheme="majorEastAsia" w:eastAsiaTheme="majorEastAsia" w:cstheme="majorEastAsia"/>
                <w:b/>
                <w:bCs/>
                <w:color w:val="000000"/>
                <w:kern w:val="0"/>
                <w:sz w:val="20"/>
                <w:szCs w:val="20"/>
                <w:highlight w:val="none"/>
              </w:rPr>
              <w:t>环境效益</w:t>
            </w:r>
            <w:r>
              <w:rPr>
                <w:rFonts w:hint="eastAsia" w:asciiTheme="majorEastAsia" w:hAnsiTheme="majorEastAsia" w:eastAsiaTheme="majorEastAsia" w:cstheme="majorEastAsia"/>
                <w:color w:val="000000"/>
                <w:kern w:val="0"/>
                <w:sz w:val="20"/>
                <w:szCs w:val="20"/>
                <w:highlight w:val="none"/>
              </w:rPr>
              <w:t>：部门（单位）履行职责对环境所带来的直接或间接影响。</w:t>
            </w:r>
            <w:r>
              <w:rPr>
                <w:rFonts w:hint="eastAsia" w:asciiTheme="majorEastAsia" w:hAnsiTheme="majorEastAsia" w:eastAsiaTheme="majorEastAsia" w:cstheme="majorEastAsia"/>
                <w:b/>
                <w:bCs/>
                <w:color w:val="000000"/>
                <w:kern w:val="0"/>
                <w:sz w:val="20"/>
                <w:szCs w:val="20"/>
                <w:highlight w:val="none"/>
              </w:rPr>
              <w:t>可持续性影响：</w:t>
            </w:r>
            <w:r>
              <w:rPr>
                <w:rFonts w:hint="eastAsia" w:asciiTheme="majorEastAsia" w:hAnsiTheme="majorEastAsia" w:eastAsiaTheme="majorEastAsia" w:cstheme="majorEastAsia"/>
                <w:color w:val="000000"/>
                <w:kern w:val="0"/>
                <w:sz w:val="20"/>
                <w:szCs w:val="20"/>
                <w:highlight w:val="none"/>
              </w:rPr>
              <w:t>部门绩效目标实现的长效机制建设情况，部门工作效率提升措施的创新。</w:t>
            </w:r>
            <w:r>
              <w:rPr>
                <w:rFonts w:hint="eastAsia" w:asciiTheme="majorEastAsia" w:hAnsiTheme="majorEastAsia" w:eastAsiaTheme="majorEastAsia" w:cstheme="majorEastAsia"/>
                <w:b/>
                <w:bCs/>
                <w:color w:val="000000"/>
                <w:kern w:val="0"/>
                <w:sz w:val="20"/>
                <w:szCs w:val="20"/>
                <w:highlight w:val="none"/>
              </w:rPr>
              <w:t>服务对象满意度</w:t>
            </w:r>
            <w:r>
              <w:rPr>
                <w:rFonts w:hint="eastAsia" w:asciiTheme="majorEastAsia" w:hAnsiTheme="majorEastAsia" w:eastAsiaTheme="majorEastAsia" w:cstheme="majorEastAsia"/>
                <w:color w:val="000000"/>
                <w:kern w:val="0"/>
                <w:sz w:val="20"/>
                <w:szCs w:val="20"/>
                <w:highlight w:val="none"/>
              </w:rPr>
              <w:t>：部门（单位）的服务对象对部门履职效果的满意程度。</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cantSplit/>
          <w:trHeight w:val="42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高质量参政议政民革党员数量</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得到提升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得到提升</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43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参会人员对讲师满意度</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95</w:t>
            </w:r>
            <w:r>
              <w:rPr>
                <w:rFonts w:hint="eastAsia" w:asciiTheme="majorEastAsia" w:hAnsiTheme="majorEastAsia" w:eastAsiaTheme="majorEastAsia" w:cstheme="majorEastAsia"/>
                <w:kern w:val="0"/>
                <w:sz w:val="20"/>
                <w:szCs w:val="20"/>
                <w:highlight w:val="none"/>
              </w:rPr>
              <w:t>%</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满意</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34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民革党员满意度</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90</w:t>
            </w:r>
            <w:r>
              <w:rPr>
                <w:rFonts w:hint="eastAsia" w:asciiTheme="majorEastAsia" w:hAnsiTheme="majorEastAsia" w:eastAsiaTheme="majorEastAsia" w:cstheme="majorEastAsia"/>
                <w:kern w:val="0"/>
                <w:sz w:val="20"/>
                <w:szCs w:val="20"/>
                <w:highlight w:val="none"/>
              </w:rPr>
              <w:t>%</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90</w:t>
            </w:r>
            <w:r>
              <w:rPr>
                <w:rFonts w:hint="eastAsia" w:asciiTheme="majorEastAsia" w:hAnsiTheme="majorEastAsia" w:eastAsiaTheme="majorEastAsia" w:cstheme="majorEastAsia"/>
                <w:kern w:val="0"/>
                <w:sz w:val="20"/>
                <w:szCs w:val="20"/>
                <w:highlight w:val="none"/>
              </w:rPr>
              <w:t>%</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38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培训人员对培训组织满意度</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w:t>
            </w:r>
            <w:r>
              <w:rPr>
                <w:rFonts w:hint="eastAsia" w:asciiTheme="majorEastAsia" w:hAnsiTheme="majorEastAsia" w:eastAsiaTheme="majorEastAsia" w:cstheme="majorEastAsia"/>
                <w:kern w:val="0"/>
                <w:sz w:val="20"/>
                <w:szCs w:val="20"/>
                <w:highlight w:val="none"/>
                <w:lang w:val="en-US" w:eastAsia="zh-CN"/>
              </w:rPr>
              <w:t>8</w:t>
            </w:r>
            <w:r>
              <w:rPr>
                <w:rFonts w:hint="eastAsia" w:asciiTheme="majorEastAsia" w:hAnsiTheme="majorEastAsia" w:eastAsiaTheme="majorEastAsia" w:cstheme="majorEastAsia"/>
                <w:kern w:val="0"/>
                <w:sz w:val="20"/>
                <w:szCs w:val="20"/>
                <w:highlight w:val="none"/>
              </w:rPr>
              <w:t>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lang w:val="en-US" w:eastAsia="zh-CN"/>
              </w:rPr>
              <w:t>10</w:t>
            </w:r>
            <w:r>
              <w:rPr>
                <w:rFonts w:hint="eastAsia" w:asciiTheme="majorEastAsia" w:hAnsiTheme="majorEastAsia" w:eastAsiaTheme="majorEastAsia" w:cstheme="majorEastAsia"/>
                <w:kern w:val="0"/>
                <w:sz w:val="20"/>
                <w:szCs w:val="20"/>
                <w:highlight w:val="none"/>
              </w:rPr>
              <w:t>0%</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3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思想政治引领效果</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≥80%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≥80%</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54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履行参政党职能积极性</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≥80%</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kern w:val="0"/>
                <w:sz w:val="20"/>
                <w:szCs w:val="20"/>
                <w:highlight w:val="none"/>
              </w:rPr>
              <w:t>≥80%</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5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增强基层组织活力和责任感</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筑牢组织之基</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筑牢组织之基</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9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提高参培人员思想政治觉悟</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不断提升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不断提升</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283"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强化自身建设</w:t>
            </w:r>
          </w:p>
        </w:tc>
        <w:tc>
          <w:tcPr>
            <w:tcW w:w="16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不断提升</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不断提升</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283"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筑牢组织之家</w:t>
            </w: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eastAsia="zh-CN"/>
              </w:rPr>
            </w:pPr>
            <w:r>
              <w:rPr>
                <w:rFonts w:hint="eastAsia" w:asciiTheme="majorEastAsia" w:hAnsiTheme="majorEastAsia" w:eastAsiaTheme="majorEastAsia" w:cstheme="majorEastAsia"/>
                <w:color w:val="000000"/>
                <w:kern w:val="0"/>
                <w:sz w:val="20"/>
                <w:szCs w:val="20"/>
                <w:highlight w:val="none"/>
                <w:lang w:eastAsia="zh-CN"/>
              </w:rPr>
              <w:t>夯实组织建设基础</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加强基层组织建设</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加强基层组织建设</w:t>
            </w:r>
          </w:p>
        </w:tc>
        <w:tc>
          <w:tcPr>
            <w:tcW w:w="72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36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帮扶产生</w:t>
            </w:r>
            <w:r>
              <w:rPr>
                <w:rFonts w:hint="eastAsia" w:asciiTheme="majorEastAsia" w:hAnsiTheme="majorEastAsia" w:eastAsiaTheme="majorEastAsia" w:cstheme="majorEastAsia"/>
                <w:color w:val="000000"/>
                <w:kern w:val="0"/>
                <w:sz w:val="20"/>
                <w:szCs w:val="20"/>
                <w:highlight w:val="none"/>
                <w:lang w:eastAsia="zh-CN"/>
              </w:rPr>
              <w:t>的</w:t>
            </w:r>
            <w:r>
              <w:rPr>
                <w:rFonts w:hint="eastAsia" w:asciiTheme="majorEastAsia" w:hAnsiTheme="majorEastAsia" w:eastAsiaTheme="majorEastAsia" w:cstheme="majorEastAsia"/>
                <w:color w:val="000000"/>
                <w:kern w:val="0"/>
                <w:sz w:val="20"/>
                <w:szCs w:val="20"/>
                <w:highlight w:val="none"/>
              </w:rPr>
              <w:t>影响</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定性</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lang w:eastAsia="zh-CN"/>
              </w:rPr>
            </w:pPr>
            <w:r>
              <w:rPr>
                <w:rFonts w:hint="eastAsia" w:asciiTheme="majorEastAsia" w:hAnsiTheme="majorEastAsia" w:eastAsiaTheme="majorEastAsia" w:cstheme="majorEastAsia"/>
                <w:kern w:val="0"/>
                <w:sz w:val="20"/>
                <w:szCs w:val="20"/>
                <w:highlight w:val="none"/>
                <w:lang w:eastAsia="zh-CN"/>
              </w:rPr>
              <w:t>良好</w:t>
            </w:r>
          </w:p>
        </w:tc>
        <w:tc>
          <w:tcPr>
            <w:tcW w:w="72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rPr>
              <w:t>2</w:t>
            </w:r>
            <w:r>
              <w:rPr>
                <w:rFonts w:hint="eastAsia" w:asciiTheme="majorEastAsia" w:hAnsiTheme="majorEastAsia" w:eastAsiaTheme="majorEastAsia" w:cstheme="majorEastAsia"/>
                <w:color w:val="000000"/>
                <w:kern w:val="0"/>
                <w:sz w:val="20"/>
                <w:szCs w:val="20"/>
                <w:highlight w:val="none"/>
                <w:lang w:val="en-US" w:eastAsia="zh-CN"/>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r>
      <w:tr>
        <w:tblPrEx>
          <w:tblLayout w:type="fixed"/>
          <w:tblCellMar>
            <w:top w:w="0" w:type="dxa"/>
            <w:left w:w="108" w:type="dxa"/>
            <w:bottom w:w="0" w:type="dxa"/>
            <w:right w:w="108" w:type="dxa"/>
          </w:tblCellMar>
        </w:tblPrEx>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三、预算管理情况（20分）</w:t>
            </w:r>
          </w:p>
        </w:tc>
      </w:tr>
      <w:tr>
        <w:tblPrEx>
          <w:tblLayout w:type="fixed"/>
          <w:tblCellMar>
            <w:top w:w="0" w:type="dxa"/>
            <w:left w:w="108" w:type="dxa"/>
            <w:bottom w:w="0" w:type="dxa"/>
            <w:right w:w="108" w:type="dxa"/>
          </w:tblCellMar>
        </w:tblPrEx>
        <w:trPr>
          <w:cantSplit/>
          <w:trHeight w:val="352"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一级指标</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二级指标</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三级指标</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指标值</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完成值</w:t>
            </w:r>
          </w:p>
        </w:tc>
        <w:tc>
          <w:tcPr>
            <w:tcW w:w="7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分值</w:t>
            </w: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b/>
                <w:bCs/>
                <w:color w:val="000000"/>
                <w:kern w:val="0"/>
                <w:sz w:val="20"/>
                <w:szCs w:val="20"/>
                <w:highlight w:val="none"/>
              </w:rPr>
            </w:pPr>
            <w:r>
              <w:rPr>
                <w:rFonts w:hint="eastAsia" w:asciiTheme="majorEastAsia" w:hAnsiTheme="majorEastAsia" w:eastAsiaTheme="majorEastAsia" w:cstheme="majorEastAsia"/>
                <w:bCs/>
                <w:color w:val="000000"/>
                <w:kern w:val="0"/>
                <w:sz w:val="20"/>
                <w:szCs w:val="20"/>
                <w:highlight w:val="none"/>
              </w:rPr>
              <w:t>指标解释</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评分标准</w:t>
            </w:r>
          </w:p>
        </w:tc>
      </w:tr>
      <w:tr>
        <w:tblPrEx>
          <w:tblLayout w:type="fixed"/>
          <w:tblCellMar>
            <w:top w:w="0" w:type="dxa"/>
            <w:left w:w="108" w:type="dxa"/>
            <w:bottom w:w="0" w:type="dxa"/>
            <w:right w:w="108" w:type="dxa"/>
          </w:tblCellMar>
        </w:tblPrEx>
        <w:trPr>
          <w:cantSplit/>
          <w:trHeight w:val="1682"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预算管理情况（20）</w:t>
            </w: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财务管理（4）</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财务管理制度健全性</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财务管理制度是否健全，会计核算制度是否完整</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lang w:eastAsia="zh-CN"/>
              </w:rPr>
              <w:t>执行新修订的《行政单位财务规则》和</w:t>
            </w:r>
            <w:r>
              <w:rPr>
                <w:rFonts w:hint="eastAsia" w:asciiTheme="majorEastAsia" w:hAnsiTheme="majorEastAsia" w:eastAsiaTheme="majorEastAsia" w:cstheme="majorEastAsia"/>
                <w:color w:val="000000"/>
                <w:kern w:val="0"/>
                <w:sz w:val="20"/>
                <w:szCs w:val="20"/>
                <w:highlight w:val="none"/>
              </w:rPr>
              <w:t>修订</w:t>
            </w:r>
            <w:r>
              <w:rPr>
                <w:rFonts w:hint="eastAsia" w:asciiTheme="majorEastAsia" w:hAnsiTheme="majorEastAsia" w:eastAsiaTheme="majorEastAsia" w:cstheme="majorEastAsia"/>
                <w:color w:val="000000"/>
                <w:kern w:val="0"/>
                <w:sz w:val="20"/>
                <w:szCs w:val="20"/>
                <w:highlight w:val="none"/>
                <w:lang w:eastAsia="zh-CN"/>
              </w:rPr>
              <w:t>后</w:t>
            </w:r>
            <w:r>
              <w:rPr>
                <w:rFonts w:hint="eastAsia" w:asciiTheme="majorEastAsia" w:hAnsiTheme="majorEastAsia" w:eastAsiaTheme="majorEastAsia" w:cstheme="majorEastAsia"/>
                <w:color w:val="000000"/>
                <w:kern w:val="0"/>
                <w:sz w:val="20"/>
                <w:szCs w:val="20"/>
                <w:highlight w:val="none"/>
              </w:rPr>
              <w:t>的财务制度，内部制度</w:t>
            </w:r>
            <w:r>
              <w:rPr>
                <w:rFonts w:hint="eastAsia" w:asciiTheme="majorEastAsia" w:hAnsiTheme="majorEastAsia" w:eastAsiaTheme="majorEastAsia" w:cstheme="majorEastAsia"/>
                <w:color w:val="000000"/>
                <w:kern w:val="0"/>
                <w:sz w:val="20"/>
                <w:szCs w:val="20"/>
                <w:highlight w:val="none"/>
                <w:lang w:eastAsia="zh-CN"/>
              </w:rPr>
              <w:t>合规</w:t>
            </w:r>
            <w:r>
              <w:rPr>
                <w:rFonts w:hint="eastAsia" w:asciiTheme="majorEastAsia" w:hAnsiTheme="majorEastAsia" w:eastAsiaTheme="majorEastAsia" w:cstheme="majorEastAsia"/>
                <w:color w:val="000000"/>
                <w:kern w:val="0"/>
                <w:sz w:val="20"/>
                <w:szCs w:val="20"/>
                <w:highlight w:val="none"/>
              </w:rPr>
              <w:t>，会计核算制度完整</w:t>
            </w:r>
          </w:p>
        </w:tc>
        <w:tc>
          <w:tcPr>
            <w:tcW w:w="7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1</w:t>
            </w: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1</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财务管理制度健全性:</w:t>
            </w:r>
            <w:r>
              <w:rPr>
                <w:rFonts w:hint="eastAsia" w:asciiTheme="majorEastAsia" w:hAnsiTheme="majorEastAsia" w:eastAsiaTheme="majorEastAsia" w:cstheme="majorEastAsia"/>
                <w:color w:val="000000"/>
                <w:kern w:val="0"/>
                <w:sz w:val="20"/>
                <w:szCs w:val="20"/>
                <w:highlight w:val="none"/>
              </w:rPr>
              <w:t>部门（单位）为加强财务管理、规范财务行为而制定的管理制度。</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cantSplit/>
          <w:trHeight w:val="9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资金使用合规性和安全性</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资金是否符合预算资金相关规定，是否能够保证资金的安全性</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lang w:eastAsia="zh-CN"/>
              </w:rPr>
              <w:t>严肃财经纪律，</w:t>
            </w:r>
            <w:r>
              <w:rPr>
                <w:rFonts w:hint="eastAsia" w:asciiTheme="majorEastAsia" w:hAnsiTheme="majorEastAsia" w:eastAsiaTheme="majorEastAsia" w:cstheme="majorEastAsia"/>
                <w:color w:val="000000"/>
                <w:kern w:val="0"/>
                <w:sz w:val="20"/>
                <w:szCs w:val="20"/>
                <w:highlight w:val="none"/>
              </w:rPr>
              <w:t>资金使用按照国家财经法规和财务管理制度的规定，重大开支执行三重一大制度，</w:t>
            </w:r>
            <w:r>
              <w:rPr>
                <w:rFonts w:hint="eastAsia" w:asciiTheme="majorEastAsia" w:hAnsiTheme="majorEastAsia" w:eastAsiaTheme="majorEastAsia" w:cstheme="majorEastAsia"/>
                <w:color w:val="000000"/>
                <w:kern w:val="0"/>
                <w:sz w:val="20"/>
                <w:szCs w:val="20"/>
                <w:highlight w:val="none"/>
                <w:lang w:eastAsia="zh-CN"/>
              </w:rPr>
              <w:t>无</w:t>
            </w:r>
            <w:r>
              <w:rPr>
                <w:rFonts w:hint="eastAsia" w:asciiTheme="majorEastAsia" w:hAnsiTheme="majorEastAsia" w:eastAsiaTheme="majorEastAsia" w:cstheme="majorEastAsia"/>
                <w:color w:val="000000"/>
                <w:kern w:val="0"/>
                <w:sz w:val="20"/>
                <w:szCs w:val="20"/>
                <w:highlight w:val="none"/>
              </w:rPr>
              <w:t>截留挤占挪用情况，预算资金整体规范运行</w:t>
            </w:r>
          </w:p>
        </w:tc>
        <w:tc>
          <w:tcPr>
            <w:tcW w:w="7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2</w:t>
            </w: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1.5</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资金使用合规性和安全性:</w:t>
            </w:r>
            <w:r>
              <w:rPr>
                <w:rFonts w:hint="eastAsia" w:asciiTheme="majorEastAsia" w:hAnsiTheme="majorEastAsia" w:eastAsiaTheme="majorEastAsia" w:cstheme="majorEastAsia"/>
                <w:color w:val="000000"/>
                <w:kern w:val="0"/>
                <w:sz w:val="20"/>
                <w:szCs w:val="20"/>
                <w:highlight w:val="none"/>
              </w:rPr>
              <w:t>部门（单位）使用预算资金是否符合相关的预算财务管理制度的规定，是否符合相关规定的开支范围，用以反映考核部门（单位）预算资金的规范运行和安全运行情况。</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cantSplit/>
          <w:trHeight w:val="4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会计基础信息完善性</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会计基础信息是否真实、完整、准确</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严格执行政府会计准则制度</w:t>
            </w:r>
            <w:r>
              <w:rPr>
                <w:rFonts w:hint="eastAsia" w:asciiTheme="majorEastAsia" w:hAnsiTheme="majorEastAsia" w:eastAsiaTheme="majorEastAsia" w:cstheme="majorEastAsia"/>
                <w:color w:val="000000"/>
                <w:kern w:val="0"/>
                <w:sz w:val="20"/>
                <w:szCs w:val="20"/>
                <w:highlight w:val="none"/>
                <w:lang w:eastAsia="zh-CN"/>
              </w:rPr>
              <w:t>和新修订的《行政单位财务规则》</w:t>
            </w:r>
            <w:r>
              <w:rPr>
                <w:rFonts w:hint="eastAsia" w:asciiTheme="majorEastAsia" w:hAnsiTheme="majorEastAsia" w:eastAsiaTheme="majorEastAsia" w:cstheme="majorEastAsia"/>
                <w:color w:val="000000"/>
                <w:kern w:val="0"/>
                <w:sz w:val="20"/>
                <w:szCs w:val="20"/>
                <w:highlight w:val="none"/>
              </w:rPr>
              <w:t>，按照实际发生的事项进行会计核算</w:t>
            </w:r>
          </w:p>
        </w:tc>
        <w:tc>
          <w:tcPr>
            <w:tcW w:w="7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1</w:t>
            </w:r>
          </w:p>
        </w:tc>
        <w:tc>
          <w:tcPr>
            <w:tcW w:w="730"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1</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会计基础信息完善性:</w:t>
            </w:r>
            <w:r>
              <w:rPr>
                <w:rFonts w:hint="eastAsia" w:asciiTheme="majorEastAsia" w:hAnsiTheme="majorEastAsia" w:eastAsiaTheme="majorEastAsia" w:cstheme="majorEastAsia"/>
                <w:color w:val="000000"/>
                <w:kern w:val="0"/>
                <w:sz w:val="20"/>
                <w:szCs w:val="20"/>
                <w:highlight w:val="none"/>
              </w:rPr>
              <w:t>部门（单位）会计基础信息情况。</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cantSplit/>
          <w:trHeight w:val="263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资产管理（4）</w:t>
            </w:r>
          </w:p>
        </w:tc>
        <w:tc>
          <w:tcPr>
            <w:tcW w:w="1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资产管理规范性</w:t>
            </w:r>
          </w:p>
        </w:tc>
        <w:tc>
          <w:tcPr>
            <w:tcW w:w="16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资产购置、处置、配置是否合理、规范</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资产购置符合相关管理规定，按照预算资金和政府采购流程执行，资产处置按照资产管理办法执行。</w:t>
            </w:r>
            <w:r>
              <w:rPr>
                <w:rFonts w:hint="eastAsia" w:asciiTheme="majorEastAsia" w:hAnsiTheme="majorEastAsia" w:eastAsiaTheme="majorEastAsia" w:cstheme="majorEastAsia"/>
                <w:color w:val="000000"/>
                <w:kern w:val="0"/>
                <w:sz w:val="20"/>
                <w:szCs w:val="20"/>
                <w:highlight w:val="none"/>
                <w:lang w:eastAsia="zh-CN"/>
              </w:rPr>
              <w:t>无</w:t>
            </w:r>
            <w:r>
              <w:rPr>
                <w:rFonts w:hint="eastAsia" w:asciiTheme="majorEastAsia" w:hAnsiTheme="majorEastAsia" w:eastAsiaTheme="majorEastAsia" w:cstheme="majorEastAsia"/>
                <w:color w:val="000000"/>
                <w:kern w:val="0"/>
                <w:sz w:val="20"/>
                <w:szCs w:val="20"/>
                <w:highlight w:val="none"/>
              </w:rPr>
              <w:t>出租出借资产行为</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资产管理规范性:</w:t>
            </w:r>
            <w:r>
              <w:rPr>
                <w:rFonts w:hint="eastAsia" w:asciiTheme="majorEastAsia" w:hAnsiTheme="majorEastAsia" w:eastAsiaTheme="majorEastAsia" w:cstheme="majorEastAsia"/>
                <w:color w:val="000000"/>
                <w:kern w:val="0"/>
                <w:sz w:val="20"/>
                <w:szCs w:val="20"/>
                <w:highlight w:val="none"/>
              </w:rPr>
              <w:t>部门（单位）的资产是否保持安全完整，资产配置是否合理，资产使用和资产处理是否规范，用以反映和考核部门（单位）资产管理的整体水平。</w:t>
            </w:r>
          </w:p>
        </w:tc>
        <w:tc>
          <w:tcPr>
            <w:tcW w:w="28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是否有因管理不当发生严重资产损失和丢失情况；②是否存在超标准配置资产；③资产使用是否规范，是否存在未经批准擅自出租、出借资产行为；④资产处置是否规范，是否存在不按要求进行报批或资产不公开处置行为；⑤其它资产管理制度办法执行情况。每有一项不合格扣0.8分，扣完为止。</w:t>
            </w:r>
          </w:p>
        </w:tc>
      </w:tr>
      <w:tr>
        <w:tblPrEx>
          <w:tblLayout w:type="fixed"/>
          <w:tblCellMar>
            <w:top w:w="0" w:type="dxa"/>
            <w:left w:w="108" w:type="dxa"/>
            <w:bottom w:w="0" w:type="dxa"/>
            <w:right w:w="108" w:type="dxa"/>
          </w:tblCellMar>
        </w:tblPrEx>
        <w:trPr>
          <w:cantSplit/>
          <w:trHeight w:val="12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绩效管理（4）</w:t>
            </w:r>
          </w:p>
        </w:tc>
        <w:tc>
          <w:tcPr>
            <w:tcW w:w="19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绩效管理情况</w:t>
            </w:r>
          </w:p>
        </w:tc>
        <w:tc>
          <w:tcPr>
            <w:tcW w:w="16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绩效信息是否汇总，并加以运用</w:t>
            </w:r>
          </w:p>
        </w:tc>
        <w:tc>
          <w:tcPr>
            <w:tcW w:w="14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按照绩效目标开展工作，</w:t>
            </w:r>
            <w:r>
              <w:rPr>
                <w:rFonts w:hint="eastAsia" w:asciiTheme="majorEastAsia" w:hAnsiTheme="majorEastAsia" w:eastAsiaTheme="majorEastAsia" w:cstheme="majorEastAsia"/>
                <w:color w:val="000000"/>
                <w:kern w:val="0"/>
                <w:sz w:val="20"/>
                <w:szCs w:val="20"/>
                <w:highlight w:val="none"/>
                <w:lang w:eastAsia="zh-CN"/>
              </w:rPr>
              <w:t>结果应用有待加强，管理长效机制有待健全</w:t>
            </w:r>
          </w:p>
        </w:tc>
        <w:tc>
          <w:tcPr>
            <w:tcW w:w="7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730" w:type="dxa"/>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2</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
                <w:bCs/>
                <w:color w:val="000000"/>
                <w:kern w:val="0"/>
                <w:sz w:val="20"/>
                <w:szCs w:val="20"/>
                <w:highlight w:val="none"/>
              </w:rPr>
              <w:t>绩效管理情况:</w:t>
            </w:r>
            <w:r>
              <w:rPr>
                <w:rFonts w:hint="eastAsia" w:asciiTheme="majorEastAsia" w:hAnsiTheme="majorEastAsia" w:eastAsiaTheme="majorEastAsia" w:cstheme="majorEastAsia"/>
                <w:color w:val="000000"/>
                <w:kern w:val="0"/>
                <w:sz w:val="20"/>
                <w:szCs w:val="20"/>
                <w:highlight w:val="none"/>
              </w:rPr>
              <w:t>考核部门（单位）在绩效管理信息的汇总和应用情况。</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①是否及时对绩效信息进行汇总分析整理；②是否对绩效目标偏离情况及时进行矫正。每有一项不合格扣2分。</w:t>
            </w:r>
          </w:p>
        </w:tc>
      </w:tr>
      <w:tr>
        <w:tblPrEx>
          <w:tblLayout w:type="fixed"/>
          <w:tblCellMar>
            <w:top w:w="0" w:type="dxa"/>
            <w:left w:w="108" w:type="dxa"/>
            <w:bottom w:w="0" w:type="dxa"/>
            <w:right w:w="108" w:type="dxa"/>
          </w:tblCellMar>
        </w:tblPrEx>
        <w:trPr>
          <w:cantSplit/>
          <w:trHeight w:val="30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指标　</w:t>
            </w:r>
          </w:p>
        </w:tc>
        <w:tc>
          <w:tcPr>
            <w:tcW w:w="36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2022年</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2023年</w:t>
            </w:r>
          </w:p>
        </w:tc>
        <w:tc>
          <w:tcPr>
            <w:tcW w:w="7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分值</w:t>
            </w:r>
          </w:p>
        </w:tc>
        <w:tc>
          <w:tcPr>
            <w:tcW w:w="7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bCs/>
                <w:color w:val="000000"/>
                <w:kern w:val="0"/>
                <w:sz w:val="20"/>
                <w:szCs w:val="20"/>
                <w:highlight w:val="none"/>
              </w:rPr>
              <w:t>指标解释</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kern w:val="0"/>
                <w:sz w:val="20"/>
                <w:szCs w:val="20"/>
                <w:highlight w:val="none"/>
              </w:rPr>
            </w:pPr>
            <w:r>
              <w:rPr>
                <w:rFonts w:hint="eastAsia" w:asciiTheme="majorEastAsia" w:hAnsiTheme="majorEastAsia" w:eastAsiaTheme="majorEastAsia" w:cstheme="majorEastAsia"/>
                <w:color w:val="000000"/>
                <w:kern w:val="0"/>
                <w:sz w:val="20"/>
                <w:szCs w:val="20"/>
                <w:highlight w:val="none"/>
              </w:rPr>
              <w:t>评分标准</w:t>
            </w:r>
          </w:p>
        </w:tc>
      </w:tr>
      <w:tr>
        <w:tblPrEx>
          <w:tblLayout w:type="fixed"/>
          <w:tblCellMar>
            <w:top w:w="0" w:type="dxa"/>
            <w:left w:w="108" w:type="dxa"/>
            <w:bottom w:w="0" w:type="dxa"/>
            <w:right w:w="108" w:type="dxa"/>
          </w:tblCellMar>
        </w:tblPrEx>
        <w:trPr>
          <w:cantSplit/>
          <w:trHeight w:val="224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结转结余率（4）</w:t>
            </w:r>
          </w:p>
        </w:tc>
        <w:tc>
          <w:tcPr>
            <w:tcW w:w="36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5.03%</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3.75%</w:t>
            </w:r>
          </w:p>
        </w:tc>
        <w:tc>
          <w:tcPr>
            <w:tcW w:w="7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730" w:type="dxa"/>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结转结余率=结转结余总额/支出预算数×100%。</w:t>
            </w:r>
            <w:r>
              <w:rPr>
                <w:rFonts w:hint="eastAsia" w:asciiTheme="majorEastAsia" w:hAnsiTheme="majorEastAsia" w:eastAsiaTheme="majorEastAsia" w:cstheme="majorEastAsia"/>
                <w:color w:val="000000"/>
                <w:kern w:val="0"/>
                <w:sz w:val="20"/>
                <w:szCs w:val="20"/>
                <w:highlight w:val="none"/>
              </w:rPr>
              <w:br w:type="textWrapping"/>
            </w:r>
            <w:r>
              <w:rPr>
                <w:rFonts w:hint="eastAsia" w:asciiTheme="majorEastAsia" w:hAnsiTheme="majorEastAsia" w:eastAsiaTheme="majorEastAsia" w:cstheme="majorEastAsia"/>
                <w:color w:val="000000"/>
                <w:kern w:val="0"/>
                <w:sz w:val="20"/>
                <w:szCs w:val="20"/>
                <w:highlight w:val="none"/>
              </w:rPr>
              <w:t>结转结余总额：部门（单位）本年度的结转资金与结余资金之和。</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cantSplit/>
          <w:trHeight w:val="9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ajorEastAsia" w:hAnsiTheme="majorEastAsia" w:eastAsiaTheme="majorEastAsia" w:cstheme="majorEastAsia"/>
                <w:color w:val="000000"/>
                <w:kern w:val="0"/>
                <w:sz w:val="20"/>
                <w:szCs w:val="20"/>
                <w:highlight w:val="none"/>
              </w:rPr>
            </w:pPr>
          </w:p>
        </w:tc>
        <w:tc>
          <w:tcPr>
            <w:tcW w:w="111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部门预决算差异率（4）</w:t>
            </w:r>
          </w:p>
        </w:tc>
        <w:tc>
          <w:tcPr>
            <w:tcW w:w="3627" w:type="dxa"/>
            <w:gridSpan w:val="2"/>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w:t>
            </w:r>
          </w:p>
        </w:tc>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-3.84%</w:t>
            </w:r>
          </w:p>
        </w:tc>
        <w:tc>
          <w:tcPr>
            <w:tcW w:w="7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730" w:type="dxa"/>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4</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通过年度部门决算与年初部门预算对比，对部门的年度支出情况进行考核，衡量部门预算的约束力。</w:t>
            </w:r>
          </w:p>
        </w:tc>
        <w:tc>
          <w:tcPr>
            <w:tcW w:w="28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rPr>
              <w:t>部门预决算差异率高于市级平均差异率（28.3%）的，每高出10%（含），扣0.4分，扣完为止。</w:t>
            </w:r>
          </w:p>
        </w:tc>
      </w:tr>
      <w:tr>
        <w:tblPrEx>
          <w:tblLayout w:type="fixed"/>
          <w:tblCellMar>
            <w:top w:w="0" w:type="dxa"/>
            <w:left w:w="108" w:type="dxa"/>
            <w:bottom w:w="0" w:type="dxa"/>
            <w:right w:w="108" w:type="dxa"/>
          </w:tblCellMar>
        </w:tblPrEx>
        <w:trPr>
          <w:cantSplit/>
          <w:trHeight w:val="354" w:hRule="atLeast"/>
        </w:trPr>
        <w:tc>
          <w:tcPr>
            <w:tcW w:w="733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合计</w:t>
            </w:r>
          </w:p>
        </w:tc>
        <w:tc>
          <w:tcPr>
            <w:tcW w:w="7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100</w:t>
            </w:r>
          </w:p>
        </w:tc>
        <w:tc>
          <w:tcPr>
            <w:tcW w:w="730" w:type="dxa"/>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heme="majorEastAsia" w:hAnsiTheme="majorEastAsia" w:eastAsiaTheme="majorEastAsia" w:cstheme="majorEastAsia"/>
                <w:color w:val="000000"/>
                <w:kern w:val="0"/>
                <w:sz w:val="20"/>
                <w:szCs w:val="20"/>
                <w:highlight w:val="none"/>
                <w:lang w:val="en-US" w:eastAsia="zh-CN"/>
              </w:rPr>
            </w:pPr>
            <w:r>
              <w:rPr>
                <w:rFonts w:hint="eastAsia" w:asciiTheme="majorEastAsia" w:hAnsiTheme="majorEastAsia" w:eastAsiaTheme="majorEastAsia" w:cstheme="majorEastAsia"/>
                <w:color w:val="000000"/>
                <w:kern w:val="0"/>
                <w:sz w:val="20"/>
                <w:szCs w:val="20"/>
                <w:highlight w:val="none"/>
                <w:lang w:val="en-US" w:eastAsia="zh-CN"/>
              </w:rPr>
              <w:t>90.5</w:t>
            </w:r>
          </w:p>
        </w:tc>
        <w:tc>
          <w:tcPr>
            <w:tcW w:w="5389"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ajorEastAsia" w:hAnsiTheme="majorEastAsia" w:eastAsiaTheme="majorEastAsia" w:cstheme="majorEastAsia"/>
                <w:color w:val="000000"/>
                <w:kern w:val="0"/>
                <w:sz w:val="20"/>
                <w:szCs w:val="20"/>
                <w:highlight w:val="none"/>
              </w:rPr>
            </w:pPr>
            <w:r>
              <w:rPr>
                <w:rFonts w:hint="eastAsia" w:asciiTheme="majorEastAsia" w:hAnsiTheme="majorEastAsia" w:eastAsiaTheme="majorEastAsia" w:cstheme="majorEastAsia"/>
                <w:color w:val="000000"/>
                <w:kern w:val="0"/>
                <w:sz w:val="20"/>
                <w:szCs w:val="20"/>
                <w:highlight w:val="none"/>
              </w:rPr>
              <w:t>　</w:t>
            </w:r>
          </w:p>
        </w:tc>
      </w:tr>
    </w:tbl>
    <w:p>
      <w:pPr>
        <w:keepNext w:val="0"/>
        <w:keepLines w:val="0"/>
        <w:pageBreakBefore w:val="0"/>
        <w:kinsoku/>
        <w:wordWrap/>
        <w:overflowPunct/>
        <w:topLinePunct w:val="0"/>
        <w:autoSpaceDE/>
        <w:autoSpaceDN/>
        <w:bidi w:val="0"/>
        <w:adjustRightInd/>
        <w:snapToGrid/>
        <w:spacing w:line="260" w:lineRule="exact"/>
        <w:textAlignment w:val="auto"/>
        <w:rPr>
          <w:rFonts w:ascii="方正小标宋简体" w:eastAsia="方正小标宋简体"/>
          <w:sz w:val="36"/>
          <w:szCs w:val="36"/>
          <w:highlight w:val="none"/>
        </w:rPr>
      </w:pPr>
    </w:p>
    <w:sectPr>
      <w:footerReference r:id="rId5"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47B9B"/>
    <w:rsid w:val="00051A33"/>
    <w:rsid w:val="00054DA8"/>
    <w:rsid w:val="00077674"/>
    <w:rsid w:val="00090C0C"/>
    <w:rsid w:val="0010089B"/>
    <w:rsid w:val="00147376"/>
    <w:rsid w:val="0019344D"/>
    <w:rsid w:val="001B292E"/>
    <w:rsid w:val="001E55E6"/>
    <w:rsid w:val="00242384"/>
    <w:rsid w:val="00265DB6"/>
    <w:rsid w:val="00290B00"/>
    <w:rsid w:val="00292271"/>
    <w:rsid w:val="003173EC"/>
    <w:rsid w:val="00376D07"/>
    <w:rsid w:val="00382C65"/>
    <w:rsid w:val="003B2D80"/>
    <w:rsid w:val="00414392"/>
    <w:rsid w:val="00432584"/>
    <w:rsid w:val="004A208D"/>
    <w:rsid w:val="004A5721"/>
    <w:rsid w:val="004A636A"/>
    <w:rsid w:val="004B05C7"/>
    <w:rsid w:val="004B5994"/>
    <w:rsid w:val="004D4457"/>
    <w:rsid w:val="00527D2F"/>
    <w:rsid w:val="0059240C"/>
    <w:rsid w:val="00594160"/>
    <w:rsid w:val="005E523D"/>
    <w:rsid w:val="005F155E"/>
    <w:rsid w:val="00651409"/>
    <w:rsid w:val="00653620"/>
    <w:rsid w:val="006604CF"/>
    <w:rsid w:val="00663CE4"/>
    <w:rsid w:val="00673190"/>
    <w:rsid w:val="006B5DF9"/>
    <w:rsid w:val="006C48EF"/>
    <w:rsid w:val="006E18A7"/>
    <w:rsid w:val="006E4686"/>
    <w:rsid w:val="006F78C9"/>
    <w:rsid w:val="00702294"/>
    <w:rsid w:val="00752418"/>
    <w:rsid w:val="00780EF8"/>
    <w:rsid w:val="00792A8C"/>
    <w:rsid w:val="007B4193"/>
    <w:rsid w:val="00834D05"/>
    <w:rsid w:val="008B15D0"/>
    <w:rsid w:val="008B4F97"/>
    <w:rsid w:val="008C2108"/>
    <w:rsid w:val="00951117"/>
    <w:rsid w:val="00953322"/>
    <w:rsid w:val="009B3893"/>
    <w:rsid w:val="00A24E58"/>
    <w:rsid w:val="00A42525"/>
    <w:rsid w:val="00A458B0"/>
    <w:rsid w:val="00AB4E73"/>
    <w:rsid w:val="00AC5DE5"/>
    <w:rsid w:val="00B37830"/>
    <w:rsid w:val="00BE0EB3"/>
    <w:rsid w:val="00C10F47"/>
    <w:rsid w:val="00C25C43"/>
    <w:rsid w:val="00C31336"/>
    <w:rsid w:val="00C33D56"/>
    <w:rsid w:val="00C417F7"/>
    <w:rsid w:val="00C61C0E"/>
    <w:rsid w:val="00C87F39"/>
    <w:rsid w:val="00CB7642"/>
    <w:rsid w:val="00CD095B"/>
    <w:rsid w:val="00D0076F"/>
    <w:rsid w:val="00D05CA4"/>
    <w:rsid w:val="00D74097"/>
    <w:rsid w:val="00D96D11"/>
    <w:rsid w:val="00DF5C61"/>
    <w:rsid w:val="00E1481A"/>
    <w:rsid w:val="00E20AF2"/>
    <w:rsid w:val="00E659CF"/>
    <w:rsid w:val="00E802F5"/>
    <w:rsid w:val="00EB7D95"/>
    <w:rsid w:val="00F156A5"/>
    <w:rsid w:val="00F46D87"/>
    <w:rsid w:val="00F809AE"/>
    <w:rsid w:val="00FA64CA"/>
    <w:rsid w:val="00FE2D81"/>
    <w:rsid w:val="017D6A6C"/>
    <w:rsid w:val="020F4606"/>
    <w:rsid w:val="02434789"/>
    <w:rsid w:val="035E2D1A"/>
    <w:rsid w:val="046F650C"/>
    <w:rsid w:val="05726D73"/>
    <w:rsid w:val="06620A3C"/>
    <w:rsid w:val="07A13C94"/>
    <w:rsid w:val="08C350B3"/>
    <w:rsid w:val="094E38DD"/>
    <w:rsid w:val="095E49B5"/>
    <w:rsid w:val="09686B0D"/>
    <w:rsid w:val="0A400460"/>
    <w:rsid w:val="0B515780"/>
    <w:rsid w:val="0BD77734"/>
    <w:rsid w:val="0CAA6FE0"/>
    <w:rsid w:val="0E761C9E"/>
    <w:rsid w:val="109404AA"/>
    <w:rsid w:val="112F2975"/>
    <w:rsid w:val="113678B6"/>
    <w:rsid w:val="1156173F"/>
    <w:rsid w:val="11D24468"/>
    <w:rsid w:val="14353F04"/>
    <w:rsid w:val="14B902B9"/>
    <w:rsid w:val="14E03083"/>
    <w:rsid w:val="15EC5838"/>
    <w:rsid w:val="16500917"/>
    <w:rsid w:val="166A29AE"/>
    <w:rsid w:val="16811307"/>
    <w:rsid w:val="175F53D8"/>
    <w:rsid w:val="187D7EC5"/>
    <w:rsid w:val="188C6FA7"/>
    <w:rsid w:val="18E96690"/>
    <w:rsid w:val="18FE3977"/>
    <w:rsid w:val="19125012"/>
    <w:rsid w:val="1A85137A"/>
    <w:rsid w:val="1B102D7D"/>
    <w:rsid w:val="1C541D08"/>
    <w:rsid w:val="1DED7AFC"/>
    <w:rsid w:val="203A2F75"/>
    <w:rsid w:val="20E04A44"/>
    <w:rsid w:val="22F372CA"/>
    <w:rsid w:val="24453DB3"/>
    <w:rsid w:val="24F24959"/>
    <w:rsid w:val="257C3A23"/>
    <w:rsid w:val="25D1671F"/>
    <w:rsid w:val="261606A1"/>
    <w:rsid w:val="2735727C"/>
    <w:rsid w:val="298022B0"/>
    <w:rsid w:val="2A6B77A3"/>
    <w:rsid w:val="2C175302"/>
    <w:rsid w:val="2CBC69CB"/>
    <w:rsid w:val="2D2634BB"/>
    <w:rsid w:val="2D483788"/>
    <w:rsid w:val="2F092036"/>
    <w:rsid w:val="2F7C1090"/>
    <w:rsid w:val="2F9F45FF"/>
    <w:rsid w:val="2FEF747C"/>
    <w:rsid w:val="30433259"/>
    <w:rsid w:val="312A0EB0"/>
    <w:rsid w:val="31FE2E82"/>
    <w:rsid w:val="31FE3257"/>
    <w:rsid w:val="321C6AF0"/>
    <w:rsid w:val="32FC564E"/>
    <w:rsid w:val="34177AC7"/>
    <w:rsid w:val="34D550FE"/>
    <w:rsid w:val="352A74A3"/>
    <w:rsid w:val="3639596D"/>
    <w:rsid w:val="370E349A"/>
    <w:rsid w:val="37173543"/>
    <w:rsid w:val="37241943"/>
    <w:rsid w:val="38367D4B"/>
    <w:rsid w:val="387D0F89"/>
    <w:rsid w:val="39811375"/>
    <w:rsid w:val="3A3C2E70"/>
    <w:rsid w:val="3AAD6619"/>
    <w:rsid w:val="3C143882"/>
    <w:rsid w:val="3C25011B"/>
    <w:rsid w:val="3CDF3FBB"/>
    <w:rsid w:val="3D4C5B07"/>
    <w:rsid w:val="3DC92DE2"/>
    <w:rsid w:val="3F0625D5"/>
    <w:rsid w:val="3F075D75"/>
    <w:rsid w:val="3F4B6483"/>
    <w:rsid w:val="3FDBA076"/>
    <w:rsid w:val="3FDFB3F0"/>
    <w:rsid w:val="3FDFC9A6"/>
    <w:rsid w:val="3FF76880"/>
    <w:rsid w:val="405965CC"/>
    <w:rsid w:val="418A53F1"/>
    <w:rsid w:val="421E6633"/>
    <w:rsid w:val="43344FF3"/>
    <w:rsid w:val="43791E01"/>
    <w:rsid w:val="43B4100E"/>
    <w:rsid w:val="43F85863"/>
    <w:rsid w:val="440E2554"/>
    <w:rsid w:val="44631617"/>
    <w:rsid w:val="45B11689"/>
    <w:rsid w:val="462A6A20"/>
    <w:rsid w:val="477C604D"/>
    <w:rsid w:val="47D05996"/>
    <w:rsid w:val="4909646E"/>
    <w:rsid w:val="4BE1164E"/>
    <w:rsid w:val="4C151E98"/>
    <w:rsid w:val="4C77199A"/>
    <w:rsid w:val="4CA36475"/>
    <w:rsid w:val="4ED0283B"/>
    <w:rsid w:val="4F5C4AF4"/>
    <w:rsid w:val="506436FD"/>
    <w:rsid w:val="51205BB3"/>
    <w:rsid w:val="546F211D"/>
    <w:rsid w:val="54F07035"/>
    <w:rsid w:val="54FE7ADD"/>
    <w:rsid w:val="56AC3812"/>
    <w:rsid w:val="56C91614"/>
    <w:rsid w:val="57A66FC2"/>
    <w:rsid w:val="58317EBF"/>
    <w:rsid w:val="587B39CC"/>
    <w:rsid w:val="59D86743"/>
    <w:rsid w:val="5BE97123"/>
    <w:rsid w:val="5BFD4AC2"/>
    <w:rsid w:val="5D3455B2"/>
    <w:rsid w:val="5D4E480A"/>
    <w:rsid w:val="5DBA7C8D"/>
    <w:rsid w:val="5DF55CF4"/>
    <w:rsid w:val="5F092628"/>
    <w:rsid w:val="631A70FC"/>
    <w:rsid w:val="631D6E7D"/>
    <w:rsid w:val="646E16DE"/>
    <w:rsid w:val="64F25656"/>
    <w:rsid w:val="65430036"/>
    <w:rsid w:val="65A25CFD"/>
    <w:rsid w:val="65B43ABF"/>
    <w:rsid w:val="66B2378E"/>
    <w:rsid w:val="67759716"/>
    <w:rsid w:val="69A20A83"/>
    <w:rsid w:val="6B3861FC"/>
    <w:rsid w:val="6B9401FF"/>
    <w:rsid w:val="6C863F8C"/>
    <w:rsid w:val="6CE15739"/>
    <w:rsid w:val="6E3C47E3"/>
    <w:rsid w:val="6E680663"/>
    <w:rsid w:val="6F7ED27B"/>
    <w:rsid w:val="6FB96AAA"/>
    <w:rsid w:val="70C43964"/>
    <w:rsid w:val="71A301DD"/>
    <w:rsid w:val="725C2022"/>
    <w:rsid w:val="72EE3DF7"/>
    <w:rsid w:val="74D72798"/>
    <w:rsid w:val="75B17A7C"/>
    <w:rsid w:val="776A4C40"/>
    <w:rsid w:val="793E4BFD"/>
    <w:rsid w:val="7AB7FF50"/>
    <w:rsid w:val="7AD454DE"/>
    <w:rsid w:val="7AEAF641"/>
    <w:rsid w:val="7B507858"/>
    <w:rsid w:val="7B99703A"/>
    <w:rsid w:val="7BAD2729"/>
    <w:rsid w:val="7BFEB0DB"/>
    <w:rsid w:val="7C0A601D"/>
    <w:rsid w:val="7E505358"/>
    <w:rsid w:val="7F30608D"/>
    <w:rsid w:val="7FB439A4"/>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720"/>
    </w:pPr>
    <w:rPr>
      <w:rFonts w:eastAsia="仿宋_GB2312"/>
      <w:sz w:val="32"/>
      <w:szCs w:val="20"/>
    </w:rPr>
  </w:style>
  <w:style w:type="paragraph" w:styleId="6">
    <w:name w:val="Normal Indent"/>
    <w:basedOn w:val="1"/>
    <w:qFormat/>
    <w:uiPriority w:val="0"/>
    <w:pPr>
      <w:ind w:firstLine="200" w:firstLineChars="200"/>
    </w:pPr>
  </w:style>
  <w:style w:type="paragraph" w:styleId="7">
    <w:name w:val="Plain Text"/>
    <w:basedOn w:val="1"/>
    <w:next w:val="1"/>
    <w:qFormat/>
    <w:uiPriority w:val="0"/>
    <w:rPr>
      <w:rFonts w:ascii="宋体" w:hAnsi="Courier New"/>
      <w:szCs w:val="21"/>
    </w:r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出段落1"/>
    <w:basedOn w:val="1"/>
    <w:qFormat/>
    <w:uiPriority w:val="34"/>
    <w:pPr>
      <w:ind w:firstLine="420" w:firstLineChars="200"/>
    </w:pPr>
    <w:rPr>
      <w:rFonts w:ascii="Calibri" w:hAnsi="Calibri" w:cs="黑体"/>
      <w:szCs w:val="22"/>
    </w:rPr>
  </w:style>
  <w:style w:type="character" w:customStyle="1" w:styleId="14">
    <w:name w:val="正文文本 Char1"/>
    <w:basedOn w:val="12"/>
    <w:qFormat/>
    <w:uiPriority w:val="99"/>
    <w:rPr>
      <w:rFonts w:ascii="MingLiU" w:hAnsi="MingLiU" w:eastAsia="MingLiU" w:cs="MingLiU"/>
      <w:sz w:val="30"/>
      <w:szCs w:val="30"/>
      <w:shd w:val="clear" w:color="auto" w:fill="FFFFFF"/>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1607</Words>
  <Characters>9162</Characters>
  <Lines>76</Lines>
  <Paragraphs>21</Paragraphs>
  <TotalTime>120</TotalTime>
  <ScaleCrop>false</ScaleCrop>
  <LinksUpToDate>false</LinksUpToDate>
  <CharactersWithSpaces>10748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lenovo</cp:lastModifiedBy>
  <cp:lastPrinted>2023-08-11T06:53:00Z</cp:lastPrinted>
  <dcterms:modified xsi:type="dcterms:W3CDTF">2024-08-14T02:56:59Z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