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r>
        <w:rPr>
          <w:rFonts w:hint="eastAsia" w:ascii="黑体" w:hAnsi="黑体" w:eastAsia="黑体"/>
          <w:sz w:val="32"/>
          <w:szCs w:val="32"/>
        </w:rPr>
        <w:t>附件</w:t>
      </w:r>
      <w:r>
        <w:rPr>
          <w:rFonts w:ascii="黑体" w:hAnsi="黑体" w:eastAsia="黑体"/>
          <w:sz w:val="32"/>
          <w:szCs w:val="32"/>
        </w:rPr>
        <w:t>1</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 xml:space="preserve">（   </w:t>
      </w:r>
      <w:r>
        <w:rPr>
          <w:rFonts w:ascii="仿宋_GB2312" w:hAnsi="宋体" w:eastAsia="仿宋_GB2312"/>
          <w:sz w:val="28"/>
          <w:szCs w:val="28"/>
        </w:rPr>
        <w:t xml:space="preserve"> 202</w:t>
      </w:r>
      <w:r>
        <w:rPr>
          <w:rFonts w:hint="eastAsia" w:ascii="仿宋_GB2312" w:hAnsi="宋体" w:eastAsia="仿宋_GB2312"/>
          <w:sz w:val="28"/>
          <w:szCs w:val="28"/>
          <w:lang w:val="en-US" w:eastAsia="zh-CN"/>
        </w:rPr>
        <w:t>3</w:t>
      </w:r>
      <w:r>
        <w:rPr>
          <w:rFonts w:ascii="仿宋_GB2312" w:hAnsi="宋体" w:eastAsia="仿宋_GB2312"/>
          <w:sz w:val="28"/>
          <w:szCs w:val="28"/>
        </w:rPr>
        <w:t xml:space="preserve"> </w:t>
      </w:r>
      <w:r>
        <w:rPr>
          <w:rFonts w:hint="eastAsia" w:ascii="仿宋_GB2312" w:hAnsi="宋体" w:eastAsia="仿宋_GB2312"/>
          <w:sz w:val="28"/>
          <w:szCs w:val="28"/>
        </w:rPr>
        <w:t xml:space="preserve"> 年度）</w:t>
      </w:r>
    </w:p>
    <w:p>
      <w:pPr>
        <w:spacing w:line="240" w:lineRule="exact"/>
        <w:rPr>
          <w:rFonts w:ascii="仿宋_GB2312" w:hAnsi="宋体" w:eastAsia="仿宋_GB2312"/>
          <w:sz w:val="30"/>
          <w:szCs w:val="30"/>
        </w:rPr>
      </w:pPr>
    </w:p>
    <w:tbl>
      <w:tblPr>
        <w:tblStyle w:val="7"/>
        <w:tblW w:w="9255" w:type="dxa"/>
        <w:jc w:val="center"/>
        <w:tblLayout w:type="fixed"/>
        <w:tblCellMar>
          <w:top w:w="0" w:type="dxa"/>
          <w:left w:w="108" w:type="dxa"/>
          <w:bottom w:w="0" w:type="dxa"/>
          <w:right w:w="108" w:type="dxa"/>
        </w:tblCellMar>
      </w:tblPr>
      <w:tblGrid>
        <w:gridCol w:w="585"/>
        <w:gridCol w:w="570"/>
        <w:gridCol w:w="879"/>
        <w:gridCol w:w="891"/>
        <w:gridCol w:w="1120"/>
        <w:gridCol w:w="560"/>
        <w:gridCol w:w="712"/>
        <w:gridCol w:w="1182"/>
        <w:gridCol w:w="86"/>
        <w:gridCol w:w="477"/>
        <w:gridCol w:w="333"/>
        <w:gridCol w:w="230"/>
        <w:gridCol w:w="703"/>
        <w:gridCol w:w="927"/>
      </w:tblGrid>
      <w:tr>
        <w:tblPrEx>
          <w:tblCellMar>
            <w:top w:w="0" w:type="dxa"/>
            <w:left w:w="108" w:type="dxa"/>
            <w:bottom w:w="0" w:type="dxa"/>
            <w:right w:w="108" w:type="dxa"/>
          </w:tblCellMar>
        </w:tblPrEx>
        <w:trPr>
          <w:trHeight w:val="306" w:hRule="exact"/>
          <w:jc w:val="center"/>
        </w:trPr>
        <w:tc>
          <w:tcPr>
            <w:tcW w:w="115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8100"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“整村授信”服务模式研究</w:t>
            </w:r>
          </w:p>
        </w:tc>
      </w:tr>
      <w:tr>
        <w:tblPrEx>
          <w:tblCellMar>
            <w:top w:w="0" w:type="dxa"/>
            <w:left w:w="108" w:type="dxa"/>
            <w:bottom w:w="0" w:type="dxa"/>
            <w:right w:w="108" w:type="dxa"/>
          </w:tblCellMar>
        </w:tblPrEx>
        <w:trPr>
          <w:trHeight w:val="306" w:hRule="exact"/>
          <w:jc w:val="center"/>
        </w:trPr>
        <w:tc>
          <w:tcPr>
            <w:tcW w:w="115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16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北京市农村经济研究中心</w:t>
            </w:r>
          </w:p>
        </w:tc>
        <w:tc>
          <w:tcPr>
            <w:tcW w:w="126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67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金融处</w:t>
            </w:r>
          </w:p>
        </w:tc>
      </w:tr>
      <w:tr>
        <w:tblPrEx>
          <w:tblCellMar>
            <w:top w:w="0" w:type="dxa"/>
            <w:left w:w="108" w:type="dxa"/>
            <w:bottom w:w="0" w:type="dxa"/>
            <w:right w:w="108" w:type="dxa"/>
          </w:tblCellMar>
        </w:tblPrEx>
        <w:trPr>
          <w:trHeight w:val="306" w:hRule="exact"/>
          <w:jc w:val="center"/>
        </w:trPr>
        <w:tc>
          <w:tcPr>
            <w:tcW w:w="115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16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陈奕捷</w:t>
            </w:r>
          </w:p>
        </w:tc>
        <w:tc>
          <w:tcPr>
            <w:tcW w:w="126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67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64866046</w:t>
            </w:r>
          </w:p>
        </w:tc>
      </w:tr>
      <w:tr>
        <w:tblPrEx>
          <w:tblCellMar>
            <w:top w:w="0" w:type="dxa"/>
            <w:left w:w="108" w:type="dxa"/>
            <w:bottom w:w="0" w:type="dxa"/>
            <w:right w:w="108" w:type="dxa"/>
          </w:tblCellMar>
        </w:tblPrEx>
        <w:trPr>
          <w:trHeight w:val="567" w:hRule="exact"/>
          <w:jc w:val="center"/>
        </w:trPr>
        <w:tc>
          <w:tcPr>
            <w:tcW w:w="115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7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27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26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81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9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9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15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7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14.784</w:t>
            </w:r>
          </w:p>
        </w:tc>
        <w:tc>
          <w:tcPr>
            <w:tcW w:w="127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14.784</w:t>
            </w:r>
          </w:p>
        </w:tc>
        <w:tc>
          <w:tcPr>
            <w:tcW w:w="126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14.784</w:t>
            </w:r>
          </w:p>
        </w:tc>
        <w:tc>
          <w:tcPr>
            <w:tcW w:w="81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9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w:t>
            </w:r>
          </w:p>
        </w:tc>
        <w:tc>
          <w:tcPr>
            <w:tcW w:w="927"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r>
      <w:tr>
        <w:tblPrEx>
          <w:tblCellMar>
            <w:top w:w="0" w:type="dxa"/>
            <w:left w:w="108" w:type="dxa"/>
            <w:bottom w:w="0" w:type="dxa"/>
            <w:right w:w="108" w:type="dxa"/>
          </w:tblCellMar>
        </w:tblPrEx>
        <w:trPr>
          <w:trHeight w:val="601" w:hRule="exact"/>
          <w:jc w:val="center"/>
        </w:trPr>
        <w:tc>
          <w:tcPr>
            <w:tcW w:w="115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14.784</w:t>
            </w:r>
          </w:p>
        </w:tc>
        <w:tc>
          <w:tcPr>
            <w:tcW w:w="127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14.784</w:t>
            </w:r>
          </w:p>
        </w:tc>
        <w:tc>
          <w:tcPr>
            <w:tcW w:w="126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14.784</w:t>
            </w:r>
          </w:p>
        </w:tc>
        <w:tc>
          <w:tcPr>
            <w:tcW w:w="81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9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100%</w:t>
            </w:r>
          </w:p>
        </w:tc>
        <w:tc>
          <w:tcPr>
            <w:tcW w:w="9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10</w:t>
            </w:r>
          </w:p>
        </w:tc>
      </w:tr>
      <w:tr>
        <w:tblPrEx>
          <w:tblCellMar>
            <w:top w:w="0" w:type="dxa"/>
            <w:left w:w="108" w:type="dxa"/>
            <w:bottom w:w="0" w:type="dxa"/>
            <w:right w:w="108" w:type="dxa"/>
          </w:tblCellMar>
        </w:tblPrEx>
        <w:trPr>
          <w:trHeight w:val="567" w:hRule="exact"/>
          <w:jc w:val="center"/>
        </w:trPr>
        <w:tc>
          <w:tcPr>
            <w:tcW w:w="115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27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26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81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9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15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27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26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81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9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473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938"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409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p>
        </w:tc>
        <w:tc>
          <w:tcPr>
            <w:tcW w:w="4732"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1.提供乡村治理新手段，参考信用评定贷款额度，形成可复制的农村信用评价模型，完善以村为单位的建档评级信息，与乡村治理形成协同效应；2.改变资金使用方式，随用随取，解决了资金使用的时效性问题；3.改变金融服务方式，变被动求助服务为主动提供服务，提升金融服务水平；4.降低资金使用成本，“整村授信”享受银行在农村地区的普惠金融优惠利率，年化利率约为3%-4%；5.加强金融教育，将反洗钱、诚信意识、普惠金融政策等一并宣传，培养良好的金融消费习惯。</w:t>
            </w:r>
          </w:p>
        </w:tc>
        <w:tc>
          <w:tcPr>
            <w:tcW w:w="3938"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赴广东省、浙江省和黑龙江省调研整村整村授信经验做法，做到“走出去”和“带回来”有效结合，通过总结外省案例4篇并在《农村工作通讯》、《中国农村经营管理》等刊物发表，实现“跳出北京看北京”，努力以思想作风之变引领行动之变、发展之变。2.在京郊5区农村开展实地调研，了解金融惠农现状，帮助有整村授信需求的村庄设计可行性方案，与金融机构对接。3.与邮储银行北京分行共同推进北京市首笔“整村授信”在顺义区东乌鸡村落地，截至2023年底，北京市共在32个行政区完成“整村授信”工作，累积放款近千万元，获得《北京财经》等主流媒体的报道。</w:t>
            </w:r>
          </w:p>
          <w:p>
            <w:pPr>
              <w:widowControl/>
              <w:spacing w:line="240" w:lineRule="exact"/>
              <w:jc w:val="left"/>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933"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57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87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57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7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118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6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137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7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产出指标</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lang w:val="en-US" w:eastAsia="zh-CN"/>
              </w:rPr>
              <w:t>50分）</w:t>
            </w: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5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阶段性成果含发布信息、简报不少于5篇合计10分；总报告1篇4分；案例分析1篇3分；决策咨询报告1篇3分</w:t>
            </w:r>
          </w:p>
        </w:tc>
        <w:tc>
          <w:tcPr>
            <w:tcW w:w="7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118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eastAsia="zh-CN"/>
              </w:rPr>
              <w:t>简报</w:t>
            </w:r>
            <w:r>
              <w:rPr>
                <w:rFonts w:hint="eastAsia" w:ascii="仿宋_GB2312" w:hAnsi="宋体" w:eastAsia="仿宋_GB2312" w:cs="宋体"/>
                <w:kern w:val="0"/>
                <w:szCs w:val="21"/>
                <w:lang w:val="en-US" w:eastAsia="zh-CN"/>
              </w:rPr>
              <w:t>6篇，总报告1篇，案例分析4篇，决策咨询报告1篇</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20</w:t>
            </w:r>
          </w:p>
        </w:tc>
        <w:tc>
          <w:tcPr>
            <w:tcW w:w="16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7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5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按照农研中心研究成 果标准通过课题验收。</w:t>
            </w:r>
          </w:p>
        </w:tc>
        <w:tc>
          <w:tcPr>
            <w:tcW w:w="7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 w:eastAsia="zh-CN"/>
              </w:rPr>
            </w:pPr>
            <w:r>
              <w:rPr>
                <w:rFonts w:hint="eastAsia" w:ascii="仿宋_GB2312" w:hAnsi="宋体" w:eastAsia="仿宋_GB2312" w:cs="宋体"/>
                <w:kern w:val="0"/>
                <w:szCs w:val="21"/>
                <w:lang w:val="en" w:eastAsia="zh-CN"/>
              </w:rPr>
              <w:t>优</w:t>
            </w:r>
          </w:p>
        </w:tc>
        <w:tc>
          <w:tcPr>
            <w:tcW w:w="118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6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42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7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5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2023年月前完成课题前期调研 ，4-6月组织开展试点实施工 作，推进整村授信信用体系搭 建按期落实；7-12月完成课题</w:t>
            </w:r>
          </w:p>
        </w:tc>
        <w:tc>
          <w:tcPr>
            <w:tcW w:w="7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定性</w:t>
            </w:r>
          </w:p>
        </w:tc>
        <w:tc>
          <w:tcPr>
            <w:tcW w:w="118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6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59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7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25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课题研究总成本</w:t>
            </w:r>
          </w:p>
        </w:tc>
        <w:tc>
          <w:tcPr>
            <w:tcW w:w="7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default" w:ascii="Arial" w:hAnsi="Arial" w:eastAsia="仿宋_GB2312" w:cs="Arial"/>
                <w:kern w:val="0"/>
                <w:szCs w:val="21"/>
              </w:rPr>
              <w:t>≤</w:t>
            </w:r>
            <w:r>
              <w:rPr>
                <w:rFonts w:hint="eastAsia" w:ascii="仿宋_GB2312" w:hAnsi="宋体" w:eastAsia="仿宋_GB2312" w:cs="宋体"/>
                <w:color w:val="000000"/>
                <w:kern w:val="0"/>
                <w:szCs w:val="21"/>
                <w:lang w:val="en-US" w:eastAsia="zh-CN"/>
              </w:rPr>
              <w:t>14.784万元</w:t>
            </w:r>
          </w:p>
        </w:tc>
        <w:tc>
          <w:tcPr>
            <w:tcW w:w="118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6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9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7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效益指标</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lang w:val="en-US" w:eastAsia="zh-CN"/>
              </w:rPr>
              <w:t>30分</w:t>
            </w:r>
            <w:r>
              <w:rPr>
                <w:rFonts w:hint="eastAsia" w:ascii="仿宋_GB2312" w:hAnsi="宋体" w:eastAsia="仿宋_GB2312" w:cs="宋体"/>
                <w:kern w:val="0"/>
                <w:szCs w:val="21"/>
                <w:lang w:eastAsia="zh-CN"/>
              </w:rPr>
              <w:t>）</w:t>
            </w: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经济效益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5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尝试探索建设以行政村为单位的可供金融机构长期检测的信用体系；</w:t>
            </w:r>
            <w:r>
              <w:rPr>
                <w:rFonts w:hint="eastAsia" w:ascii="仿宋_GB2312" w:hAnsi="宋体" w:eastAsia="仿宋_GB2312" w:cs="宋体"/>
                <w:color w:val="000000"/>
                <w:kern w:val="0"/>
                <w:szCs w:val="21"/>
                <w:lang w:eastAsia="zh-CN"/>
              </w:rPr>
              <w:t>以</w:t>
            </w:r>
            <w:r>
              <w:rPr>
                <w:rFonts w:hint="eastAsia" w:ascii="仿宋_GB2312" w:hAnsi="宋体" w:eastAsia="仿宋_GB2312" w:cs="宋体"/>
                <w:color w:val="000000"/>
                <w:kern w:val="0"/>
                <w:szCs w:val="21"/>
              </w:rPr>
              <w:t>“ 整村授信”模式在课题筛选的行政村推行成功则能帮助农户与涉农经营主体享受普惠金融政策，获得融资。</w:t>
            </w:r>
          </w:p>
        </w:tc>
        <w:tc>
          <w:tcPr>
            <w:tcW w:w="7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定性</w:t>
            </w:r>
          </w:p>
        </w:tc>
        <w:tc>
          <w:tcPr>
            <w:tcW w:w="118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w:t>
            </w:r>
          </w:p>
        </w:tc>
        <w:tc>
          <w:tcPr>
            <w:tcW w:w="163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在行政村通过整村授虽信满足了大部分农户的金融需求，但仍需要提高服务的质效与渗透力。</w:t>
            </w:r>
          </w:p>
        </w:tc>
      </w:tr>
      <w:tr>
        <w:tblPrEx>
          <w:tblCellMar>
            <w:top w:w="0" w:type="dxa"/>
            <w:left w:w="108" w:type="dxa"/>
            <w:bottom w:w="0" w:type="dxa"/>
            <w:right w:w="108" w:type="dxa"/>
          </w:tblCellMar>
        </w:tblPrEx>
        <w:trPr>
          <w:trHeight w:val="1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7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5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提升金融服务乡村振兴的水平和能力，从而有效提高涉农经营主体金融服务的获得感，促进农村经济发展和社会和谐稳定。</w:t>
            </w:r>
          </w:p>
        </w:tc>
        <w:tc>
          <w:tcPr>
            <w:tcW w:w="7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定性</w:t>
            </w:r>
          </w:p>
        </w:tc>
        <w:tc>
          <w:tcPr>
            <w:tcW w:w="118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9</w:t>
            </w:r>
          </w:p>
        </w:tc>
        <w:tc>
          <w:tcPr>
            <w:tcW w:w="163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lang w:eastAsia="zh-CN"/>
              </w:rPr>
            </w:pPr>
            <w:r>
              <w:rPr>
                <w:rFonts w:hint="eastAsia" w:ascii="仿宋_GB2312" w:hAnsi="宋体" w:eastAsia="仿宋_GB2312" w:cs="宋体"/>
                <w:color w:val="000000"/>
                <w:kern w:val="0"/>
                <w:szCs w:val="21"/>
              </w:rPr>
              <w:t>金融服务乡村振兴的水平和能力</w:t>
            </w:r>
            <w:r>
              <w:rPr>
                <w:rFonts w:hint="eastAsia" w:ascii="仿宋_GB2312" w:hAnsi="宋体" w:eastAsia="仿宋_GB2312" w:cs="宋体"/>
                <w:color w:val="000000"/>
                <w:kern w:val="0"/>
                <w:szCs w:val="21"/>
                <w:lang w:eastAsia="zh-CN"/>
              </w:rPr>
              <w:t>有待进一步提高。</w:t>
            </w:r>
          </w:p>
        </w:tc>
      </w:tr>
      <w:tr>
        <w:tblPrEx>
          <w:tblCellMar>
            <w:top w:w="0" w:type="dxa"/>
            <w:left w:w="108" w:type="dxa"/>
            <w:bottom w:w="0" w:type="dxa"/>
            <w:right w:w="108" w:type="dxa"/>
          </w:tblCellMar>
        </w:tblPrEx>
        <w:trPr>
          <w:trHeight w:val="142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7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5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基于课题中筛选的行政村 探索的“整村授信”模式 ，提炼成功经验，为农村信用体系建设提供参考。</w:t>
            </w:r>
          </w:p>
        </w:tc>
        <w:tc>
          <w:tcPr>
            <w:tcW w:w="7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定性</w:t>
            </w:r>
          </w:p>
        </w:tc>
        <w:tc>
          <w:tcPr>
            <w:tcW w:w="118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w:t>
            </w:r>
          </w:p>
        </w:tc>
        <w:tc>
          <w:tcPr>
            <w:tcW w:w="163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eastAsia="zh-CN"/>
              </w:rPr>
              <w:t>目前推行的整村授信在信用体系建设方面有待进一步加强对信用修复的实践</w:t>
            </w:r>
            <w:r>
              <w:rPr>
                <w:rFonts w:hint="eastAsia" w:ascii="仿宋_GB2312" w:hAnsi="宋体" w:eastAsia="仿宋_GB2312" w:cs="宋体"/>
                <w:kern w:val="0"/>
                <w:szCs w:val="21"/>
                <w:lang w:val="en-US" w:eastAsia="zh-CN"/>
              </w:rPr>
              <w:t>.</w:t>
            </w:r>
          </w:p>
        </w:tc>
      </w:tr>
      <w:tr>
        <w:tblPrEx>
          <w:tblCellMar>
            <w:top w:w="0" w:type="dxa"/>
            <w:left w:w="108" w:type="dxa"/>
            <w:bottom w:w="0" w:type="dxa"/>
            <w:right w:w="108" w:type="dxa"/>
          </w:tblCellMar>
        </w:tblPrEx>
        <w:trPr>
          <w:trHeight w:val="101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7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指标</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lang w:val="en-US" w:eastAsia="zh-CN"/>
              </w:rPr>
              <w:t>10分</w:t>
            </w:r>
            <w:r>
              <w:rPr>
                <w:rFonts w:hint="eastAsia" w:ascii="仿宋_GB2312" w:hAnsi="宋体" w:eastAsia="仿宋_GB2312" w:cs="宋体"/>
                <w:kern w:val="0"/>
                <w:szCs w:val="21"/>
                <w:lang w:eastAsia="zh-CN"/>
              </w:rPr>
              <w:t>）</w:t>
            </w: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w:t>
            </w:r>
            <w:r>
              <w:rPr>
                <w:rFonts w:hint="eastAsia" w:ascii="仿宋_GB2312" w:hAnsi="宋体" w:eastAsia="仿宋_GB2312" w:cs="宋体"/>
                <w:kern w:val="0"/>
                <w:szCs w:val="21"/>
                <w:lang w:eastAsia="zh-CN"/>
              </w:rPr>
              <w:t>指</w:t>
            </w:r>
            <w:r>
              <w:rPr>
                <w:rFonts w:hint="eastAsia" w:ascii="仿宋_GB2312" w:hAnsi="宋体" w:eastAsia="仿宋_GB2312" w:cs="宋体"/>
                <w:kern w:val="0"/>
                <w:szCs w:val="21"/>
              </w:rPr>
              <w:t>标</w:t>
            </w:r>
          </w:p>
        </w:tc>
        <w:tc>
          <w:tcPr>
            <w:tcW w:w="25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课题成果使用主体满意度</w:t>
            </w:r>
          </w:p>
        </w:tc>
        <w:tc>
          <w:tcPr>
            <w:tcW w:w="7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default" w:ascii="Arial" w:hAnsi="Arial" w:eastAsia="仿宋_GB2312" w:cs="Arial"/>
                <w:kern w:val="0"/>
                <w:szCs w:val="21"/>
              </w:rPr>
              <w:t>≥</w:t>
            </w:r>
            <w:r>
              <w:rPr>
                <w:rFonts w:hint="eastAsia" w:ascii="仿宋_GB2312" w:hAnsi="宋体" w:eastAsia="仿宋_GB2312" w:cs="宋体"/>
                <w:kern w:val="0"/>
                <w:szCs w:val="21"/>
                <w:lang w:val="en-US" w:eastAsia="zh-CN"/>
              </w:rPr>
              <w:t>80%</w:t>
            </w:r>
          </w:p>
        </w:tc>
        <w:tc>
          <w:tcPr>
            <w:tcW w:w="118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8</w:t>
            </w:r>
          </w:p>
        </w:tc>
        <w:tc>
          <w:tcPr>
            <w:tcW w:w="16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95</w:t>
            </w:r>
            <w:bookmarkStart w:id="0" w:name="_GoBack"/>
            <w:bookmarkEnd w:id="0"/>
          </w:p>
        </w:tc>
        <w:tc>
          <w:tcPr>
            <w:tcW w:w="16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widowControl/>
        <w:jc w:val="left"/>
        <w:rPr>
          <w:rFonts w:ascii="仿宋_GB2312" w:hAnsi="宋体" w:eastAsia="仿宋_GB2312" w:cs="宋体"/>
          <w:color w:val="000000"/>
          <w:kern w:val="0"/>
          <w:sz w:val="32"/>
          <w:szCs w:val="32"/>
        </w:rPr>
      </w:pP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b/>
          <w:bCs/>
          <w:color w:val="000000"/>
          <w:kern w:val="0"/>
          <w:sz w:val="32"/>
          <w:szCs w:val="32"/>
        </w:rPr>
        <w:t>填报注意事项：</w:t>
      </w:r>
    </w:p>
    <w:p>
      <w:pPr>
        <w:widowControl/>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1.得分一档最高不能超过该指标分值上限。</w:t>
      </w: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3.请在“偏差原因分析及改进措施”中说明偏离目标、不能完成目标的原因及拟采取的措施。</w:t>
      </w:r>
    </w:p>
    <w:p>
      <w:pPr>
        <w:spacing w:line="520" w:lineRule="exact"/>
        <w:ind w:firstLine="640" w:firstLineChars="200"/>
        <w:rPr>
          <w:rFonts w:hint="eastAsia"/>
        </w:rPr>
      </w:pPr>
      <w:r>
        <w:rPr>
          <w:rFonts w:hint="eastAsia" w:ascii="仿宋_GB2312" w:hAnsi="宋体" w:eastAsia="仿宋_GB2312" w:cs="宋体"/>
          <w:color w:val="000000"/>
          <w:kern w:val="0"/>
          <w:sz w:val="32"/>
          <w:szCs w:val="32"/>
        </w:rPr>
        <w:t>4.90（含）-100分为优、80（含）-90分为良、60（含）-80分为中、60分以下为差。</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v:textbox>
            </v:shape>
          </w:pict>
        </mc:Fallback>
      </mc:AlternateContent>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F77F09F4"/>
    <w:rsid w:val="003A2F34"/>
    <w:rsid w:val="003B230E"/>
    <w:rsid w:val="005144BD"/>
    <w:rsid w:val="0055115B"/>
    <w:rsid w:val="00674D8E"/>
    <w:rsid w:val="006C3546"/>
    <w:rsid w:val="007D3315"/>
    <w:rsid w:val="009963DF"/>
    <w:rsid w:val="009A20EB"/>
    <w:rsid w:val="00A55148"/>
    <w:rsid w:val="00AB1224"/>
    <w:rsid w:val="00B52D8D"/>
    <w:rsid w:val="00F169A2"/>
    <w:rsid w:val="00F55688"/>
    <w:rsid w:val="00F85C32"/>
    <w:rsid w:val="045F845F"/>
    <w:rsid w:val="1DF42B5C"/>
    <w:rsid w:val="1DFFEB4B"/>
    <w:rsid w:val="1F294256"/>
    <w:rsid w:val="1F7F1794"/>
    <w:rsid w:val="2A931698"/>
    <w:rsid w:val="2E4FF566"/>
    <w:rsid w:val="3554A2B4"/>
    <w:rsid w:val="37173543"/>
    <w:rsid w:val="3FEF0EF7"/>
    <w:rsid w:val="3FF76880"/>
    <w:rsid w:val="3FFF3DB4"/>
    <w:rsid w:val="47DFEF98"/>
    <w:rsid w:val="4FBF6E6E"/>
    <w:rsid w:val="575F8384"/>
    <w:rsid w:val="57FDF1F7"/>
    <w:rsid w:val="5DEAEA7C"/>
    <w:rsid w:val="6FDB03B5"/>
    <w:rsid w:val="76FFB848"/>
    <w:rsid w:val="777730D4"/>
    <w:rsid w:val="77D3CA67"/>
    <w:rsid w:val="7AB7FF50"/>
    <w:rsid w:val="7BBF22B2"/>
    <w:rsid w:val="7BD85212"/>
    <w:rsid w:val="7BD9533A"/>
    <w:rsid w:val="7BFEB0DB"/>
    <w:rsid w:val="7C7CC571"/>
    <w:rsid w:val="7DFEA634"/>
    <w:rsid w:val="7F773FEC"/>
    <w:rsid w:val="7F7F55D3"/>
    <w:rsid w:val="7FE77CEC"/>
    <w:rsid w:val="7FF790BA"/>
    <w:rsid w:val="7FFF1F29"/>
    <w:rsid w:val="7FFF7AEB"/>
    <w:rsid w:val="93E744DC"/>
    <w:rsid w:val="94CF1ACC"/>
    <w:rsid w:val="9BFC536F"/>
    <w:rsid w:val="BA7B23C6"/>
    <w:rsid w:val="C4BF215A"/>
    <w:rsid w:val="CEFD3F3D"/>
    <w:rsid w:val="D7267F99"/>
    <w:rsid w:val="DFBE1438"/>
    <w:rsid w:val="DFBFC5D4"/>
    <w:rsid w:val="DFEB9591"/>
    <w:rsid w:val="E66DA861"/>
    <w:rsid w:val="EA3F77F2"/>
    <w:rsid w:val="EED7A031"/>
    <w:rsid w:val="EEFE5989"/>
    <w:rsid w:val="EFCF3EAE"/>
    <w:rsid w:val="EFFDFE04"/>
    <w:rsid w:val="EFFFF707"/>
    <w:rsid w:val="F1549F42"/>
    <w:rsid w:val="F3B76B02"/>
    <w:rsid w:val="F4F76A26"/>
    <w:rsid w:val="F5B764A2"/>
    <w:rsid w:val="F6FFC1ED"/>
    <w:rsid w:val="F72AA77F"/>
    <w:rsid w:val="F77F09F4"/>
    <w:rsid w:val="F7EB3099"/>
    <w:rsid w:val="F7F911D2"/>
    <w:rsid w:val="F7FB28B8"/>
    <w:rsid w:val="FA6DC4EE"/>
    <w:rsid w:val="FB746434"/>
    <w:rsid w:val="FBFB6298"/>
    <w:rsid w:val="FCF9C299"/>
    <w:rsid w:val="FD7F1DBF"/>
    <w:rsid w:val="FE734873"/>
    <w:rsid w:val="FEBE08A5"/>
    <w:rsid w:val="FF1E6B64"/>
    <w:rsid w:val="FFD7BFFC"/>
    <w:rsid w:val="FFDDC9ED"/>
    <w:rsid w:val="FFFE7CFC"/>
    <w:rsid w:val="FFFFEE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4"/>
    <w:qFormat/>
    <w:uiPriority w:val="0"/>
    <w:pPr>
      <w:ind w:firstLine="420"/>
    </w:pPr>
    <w:rPr>
      <w:rFonts w:ascii="Times New Roman" w:hAnsi="Times New Roman" w:eastAsia="宋体" w:cs="Times New Roman"/>
      <w:szCs w:val="20"/>
    </w:rPr>
  </w:style>
  <w:style w:type="paragraph" w:styleId="4">
    <w:name w:val="Body Text Indent"/>
    <w:basedOn w:val="1"/>
    <w:next w:val="3"/>
    <w:qFormat/>
    <w:uiPriority w:val="0"/>
    <w:pPr>
      <w:ind w:left="420" w:leftChars="200"/>
    </w:pPr>
    <w:rPr>
      <w:rFonts w:ascii="Calibri" w:hAnsi="Calibri" w:eastAsia="宋体" w:cs="Times New Roman"/>
    </w:rPr>
  </w:style>
  <w:style w:type="paragraph" w:styleId="5">
    <w:name w:val="footer"/>
    <w:basedOn w:val="1"/>
    <w:qFormat/>
    <w:uiPriority w:val="99"/>
    <w:pPr>
      <w:tabs>
        <w:tab w:val="center" w:pos="4153"/>
        <w:tab w:val="right" w:pos="8306"/>
      </w:tabs>
      <w:snapToGrid w:val="0"/>
      <w:jc w:val="left"/>
    </w:pPr>
    <w:rPr>
      <w:sz w:val="18"/>
      <w:szCs w:val="20"/>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9">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Pages>
  <Words>165</Words>
  <Characters>945</Characters>
  <Lines>7</Lines>
  <Paragraphs>2</Paragraphs>
  <TotalTime>1</TotalTime>
  <ScaleCrop>false</ScaleCrop>
  <LinksUpToDate>false</LinksUpToDate>
  <CharactersWithSpaces>1108</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2022-03-31T16:24:00Z</dcterms:created>
  <dc:creator>user</dc:creator>
  <cp:lastModifiedBy>nyncj</cp:lastModifiedBy>
  <cp:lastPrinted>2022-04-17T15:08:00Z</cp:lastPrinted>
  <dcterms:modified xsi:type="dcterms:W3CDTF">2024-04-30T13:24:07Z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ies>
</file>