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202</w:t>
      </w:r>
      <w:r>
        <w:rPr>
          <w:rFonts w:hint="eastAsia" w:ascii="仿宋_GB2312" w:hAnsi="宋体" w:eastAsia="仿宋_GB2312"/>
          <w:sz w:val="28"/>
          <w:szCs w:val="28"/>
          <w:lang w:val="en-US" w:eastAsia="zh-CN"/>
        </w:rPr>
        <w:t>3</w:t>
      </w:r>
      <w:r>
        <w:rPr>
          <w:rFonts w:ascii="仿宋_GB2312" w:hAnsi="宋体" w:eastAsia="仿宋_GB2312"/>
          <w:sz w:val="28"/>
          <w:szCs w:val="28"/>
        </w:rPr>
        <w:t xml:space="preserve"> </w:t>
      </w:r>
      <w:r>
        <w:rPr>
          <w:rFonts w:hint="eastAsia" w:ascii="仿宋_GB2312" w:hAnsi="宋体" w:eastAsia="仿宋_GB2312"/>
          <w:sz w:val="28"/>
          <w:szCs w:val="28"/>
        </w:rPr>
        <w:t xml:space="preserve"> 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北京市农业资源区划与农业绿色发展监测评价试点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陈奕捷</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64866046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115.4260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115.4260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rPr>
              <w:t>115</w:t>
            </w:r>
            <w:r>
              <w:rPr>
                <w:rFonts w:hint="eastAsia"/>
                <w:lang w:val="en-US" w:eastAsia="zh-CN"/>
              </w:rPr>
              <w:t>.</w:t>
            </w:r>
            <w:r>
              <w:rPr>
                <w:rFonts w:hint="eastAsia"/>
              </w:rPr>
              <w:t>4260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115.4260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191"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（1）面向新时代都市型现代农业的北京市农业资源区划及其应用（基于农业资源本底数据，分析各区资源环境及农业生产特点，开展农业资源适宜性评价，分析农业资源高效利用方向和路径，构建都市型现代 农业发展区域布局）；（2）北京市国家重要农业资源台账建设试点；（3）北京市国家农业绿色发展先行区监测与评价（4）参加全国农业资源区划相关学术交流、考察、培训活动。</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全部完成</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3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产出指标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50分）</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指标1：《北京市农业资源区划发展报告》1部 ；《北京市都市型现代农业布局及对 策建议研究报告》1部；国家重要农业资源台账试点建设数据汇总与评价报 告1篇；《北京市国家农业绿色发展先 行区农业绿色发展评价报告》1篇。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指标1：课题研究顺利通过专家验收</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指标2：报告专家评价打分</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高于</w:t>
            </w:r>
            <w:r>
              <w:rPr>
                <w:rFonts w:hint="eastAsia" w:ascii="仿宋_GB2312" w:hAnsi="宋体" w:eastAsia="仿宋_GB2312" w:cs="宋体"/>
                <w:kern w:val="0"/>
                <w:szCs w:val="21"/>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tabs>
                <w:tab w:val="left" w:pos="211"/>
              </w:tabs>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ab/>
            </w:r>
            <w:r>
              <w:rPr>
                <w:rFonts w:hint="eastAsia" w:ascii="仿宋_GB2312" w:hAnsi="宋体" w:eastAsia="仿宋_GB2312" w:cs="宋体"/>
                <w:kern w:val="0"/>
                <w:szCs w:val="21"/>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指标1：12月底前完成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tabs>
                <w:tab w:val="left" w:pos="332"/>
              </w:tabs>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7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ab/>
            </w:r>
            <w:r>
              <w:rPr>
                <w:rFonts w:hint="eastAsia" w:ascii="仿宋_GB2312" w:hAnsi="宋体" w:eastAsia="仿宋_GB2312" w:cs="宋体"/>
                <w:color w:val="000000"/>
                <w:kern w:val="0"/>
                <w:szCs w:val="21"/>
                <w:lang w:eastAsia="zh-CN"/>
              </w:rPr>
              <w:t>严格按照财政预算执行</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115.426</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115.426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2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ab/>
            </w:r>
            <w:r>
              <w:rPr>
                <w:rFonts w:hint="eastAsia" w:ascii="仿宋_GB2312" w:hAnsi="宋体" w:eastAsia="仿宋_GB2312" w:cs="宋体"/>
                <w:color w:val="000000"/>
                <w:kern w:val="0"/>
                <w:szCs w:val="21"/>
                <w:lang w:eastAsia="zh-CN"/>
              </w:rPr>
              <w:t>为北京市率先基本实现农业农村现代化提供基础支撑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直接或间接受益对象、服务单位的满意度调查不广泛，代表性不足。</w:t>
            </w:r>
          </w:p>
        </w:tc>
      </w:tr>
      <w:tr>
        <w:tblPrEx>
          <w:tblCellMar>
            <w:top w:w="0" w:type="dxa"/>
            <w:left w:w="108" w:type="dxa"/>
            <w:bottom w:w="0" w:type="dxa"/>
            <w:right w:w="108" w:type="dxa"/>
          </w:tblCellMar>
        </w:tblPrEx>
        <w:trPr>
          <w:trHeight w:val="9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为北京市厘清</w:t>
            </w:r>
            <w:r>
              <w:rPr>
                <w:rFonts w:hint="eastAsia" w:ascii="仿宋_GB2312" w:hAnsi="宋体" w:eastAsia="仿宋_GB2312" w:cs="宋体"/>
                <w:color w:val="000000"/>
                <w:kern w:val="0"/>
                <w:szCs w:val="21"/>
              </w:rPr>
              <w:t>农业资源台账</w:t>
            </w:r>
            <w:r>
              <w:rPr>
                <w:rFonts w:hint="eastAsia" w:ascii="仿宋_GB2312" w:hAnsi="宋体" w:eastAsia="仿宋_GB2312" w:cs="宋体"/>
                <w:color w:val="000000"/>
                <w:kern w:val="0"/>
                <w:szCs w:val="21"/>
                <w:lang w:eastAsia="zh-CN"/>
              </w:rPr>
              <w:t>、优化农业部局提供工作支撑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直接或间接受益对象、服务单位的满意度调查不广泛，代表性不足。</w:t>
            </w:r>
          </w:p>
        </w:tc>
      </w:tr>
      <w:tr>
        <w:tblPrEx>
          <w:tblCellMar>
            <w:top w:w="0" w:type="dxa"/>
            <w:left w:w="108" w:type="dxa"/>
            <w:bottom w:w="0" w:type="dxa"/>
            <w:right w:w="108" w:type="dxa"/>
          </w:tblCellMar>
        </w:tblPrEx>
        <w:trPr>
          <w:trHeight w:val="11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10分</w:t>
            </w:r>
            <w:r>
              <w:rPr>
                <w:rFonts w:hint="eastAsia" w:ascii="仿宋_GB2312" w:hAnsi="宋体" w:eastAsia="仿宋_GB2312" w:cs="宋体"/>
                <w:kern w:val="0"/>
                <w:szCs w:val="21"/>
                <w:lang w:eastAsia="zh-CN"/>
              </w:rPr>
              <w:t>）</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指标1：农业资源区划行政管理部门和相关区级主管部门满意度评价良好以上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良好以上</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95</w:t>
            </w:r>
            <w:bookmarkStart w:id="0" w:name="_GoBack"/>
            <w:bookmarkEnd w:id="0"/>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rPr>
      </w:pPr>
      <w:r>
        <w:rPr>
          <w:rFonts w:hint="eastAsia" w:ascii="仿宋_GB2312" w:hAnsi="宋体" w:eastAsia="仿宋_GB2312" w:cs="宋体"/>
          <w:color w:val="000000"/>
          <w:kern w:val="0"/>
          <w:sz w:val="32"/>
          <w:szCs w:val="32"/>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003A2F34"/>
    <w:rsid w:val="003B230E"/>
    <w:rsid w:val="005144BD"/>
    <w:rsid w:val="0055115B"/>
    <w:rsid w:val="00674D8E"/>
    <w:rsid w:val="006C3546"/>
    <w:rsid w:val="007D3315"/>
    <w:rsid w:val="009963DF"/>
    <w:rsid w:val="009A20EB"/>
    <w:rsid w:val="00A55148"/>
    <w:rsid w:val="00AB1224"/>
    <w:rsid w:val="00B52D8D"/>
    <w:rsid w:val="00F169A2"/>
    <w:rsid w:val="00F55688"/>
    <w:rsid w:val="00F85C32"/>
    <w:rsid w:val="0C5C5097"/>
    <w:rsid w:val="0EF3C8E9"/>
    <w:rsid w:val="17A01ED1"/>
    <w:rsid w:val="21DFF901"/>
    <w:rsid w:val="33BF5929"/>
    <w:rsid w:val="33FA7B0D"/>
    <w:rsid w:val="35FFDA71"/>
    <w:rsid w:val="37173543"/>
    <w:rsid w:val="373F4F66"/>
    <w:rsid w:val="38EE55D0"/>
    <w:rsid w:val="3ED7BACA"/>
    <w:rsid w:val="3F7F9FDE"/>
    <w:rsid w:val="3FF76880"/>
    <w:rsid w:val="3FFE6E88"/>
    <w:rsid w:val="439D08D5"/>
    <w:rsid w:val="53FE2C60"/>
    <w:rsid w:val="54FA4514"/>
    <w:rsid w:val="54FF7C5C"/>
    <w:rsid w:val="5BFC4A37"/>
    <w:rsid w:val="5C77BDE1"/>
    <w:rsid w:val="5EBF85A5"/>
    <w:rsid w:val="5EEB9B41"/>
    <w:rsid w:val="5FAFC688"/>
    <w:rsid w:val="5FFB785C"/>
    <w:rsid w:val="62DF6351"/>
    <w:rsid w:val="67D50801"/>
    <w:rsid w:val="6B1BFC29"/>
    <w:rsid w:val="6BFBF64E"/>
    <w:rsid w:val="6D715CB5"/>
    <w:rsid w:val="6E59B8F0"/>
    <w:rsid w:val="6E7B3D30"/>
    <w:rsid w:val="6EFF4CA4"/>
    <w:rsid w:val="6FBDDA66"/>
    <w:rsid w:val="75DD7829"/>
    <w:rsid w:val="75F81450"/>
    <w:rsid w:val="75FE260B"/>
    <w:rsid w:val="75FF2867"/>
    <w:rsid w:val="763B481A"/>
    <w:rsid w:val="76FFB848"/>
    <w:rsid w:val="77FD772F"/>
    <w:rsid w:val="79FF3105"/>
    <w:rsid w:val="7AB7FF50"/>
    <w:rsid w:val="7AFBDC73"/>
    <w:rsid w:val="7BBD7EBA"/>
    <w:rsid w:val="7BBF22B2"/>
    <w:rsid w:val="7BD85212"/>
    <w:rsid w:val="7BFEB0DB"/>
    <w:rsid w:val="7D4FD614"/>
    <w:rsid w:val="7E97E0D4"/>
    <w:rsid w:val="7EBA01F6"/>
    <w:rsid w:val="7F1F3972"/>
    <w:rsid w:val="7F67919F"/>
    <w:rsid w:val="7F773FE2"/>
    <w:rsid w:val="7F7FF622"/>
    <w:rsid w:val="7FB69144"/>
    <w:rsid w:val="7FCF7418"/>
    <w:rsid w:val="7FEE68F8"/>
    <w:rsid w:val="7FEF919F"/>
    <w:rsid w:val="7FFB4018"/>
    <w:rsid w:val="7FFD96E0"/>
    <w:rsid w:val="7FFE06EB"/>
    <w:rsid w:val="8DD76F6D"/>
    <w:rsid w:val="94CF1ACC"/>
    <w:rsid w:val="98799B00"/>
    <w:rsid w:val="9FEC63FB"/>
    <w:rsid w:val="ABFBB10C"/>
    <w:rsid w:val="B3F7ECD0"/>
    <w:rsid w:val="B5DFEF05"/>
    <w:rsid w:val="B6ED0087"/>
    <w:rsid w:val="B6FF0FA2"/>
    <w:rsid w:val="BA3FA570"/>
    <w:rsid w:val="BCDF10F5"/>
    <w:rsid w:val="BD1C058F"/>
    <w:rsid w:val="BE376DE6"/>
    <w:rsid w:val="BEBB63AD"/>
    <w:rsid w:val="BF3B8110"/>
    <w:rsid w:val="BFEB47BB"/>
    <w:rsid w:val="BFFBD61A"/>
    <w:rsid w:val="C79984CE"/>
    <w:rsid w:val="CEFD3F3D"/>
    <w:rsid w:val="D4751A4A"/>
    <w:rsid w:val="D6D75931"/>
    <w:rsid w:val="D7FFD2F5"/>
    <w:rsid w:val="DD3FA75F"/>
    <w:rsid w:val="DDDF8491"/>
    <w:rsid w:val="DE5DCEFC"/>
    <w:rsid w:val="DFA2FBF8"/>
    <w:rsid w:val="DFEB6BFB"/>
    <w:rsid w:val="DFF506F6"/>
    <w:rsid w:val="DFF91D5E"/>
    <w:rsid w:val="E6DFAC36"/>
    <w:rsid w:val="E6FF943C"/>
    <w:rsid w:val="E7969476"/>
    <w:rsid w:val="EA3F77F2"/>
    <w:rsid w:val="EBF6B214"/>
    <w:rsid w:val="EE9D5C25"/>
    <w:rsid w:val="EEDFF8B6"/>
    <w:rsid w:val="EEFE5989"/>
    <w:rsid w:val="EFCF3EAE"/>
    <w:rsid w:val="F37704F7"/>
    <w:rsid w:val="F3B76B02"/>
    <w:rsid w:val="F3BFD239"/>
    <w:rsid w:val="F5B764A2"/>
    <w:rsid w:val="F5CC9BE3"/>
    <w:rsid w:val="F77F09F4"/>
    <w:rsid w:val="F7AABB18"/>
    <w:rsid w:val="F7E6730F"/>
    <w:rsid w:val="F7EFD3BA"/>
    <w:rsid w:val="FAB75137"/>
    <w:rsid w:val="FB5F6432"/>
    <w:rsid w:val="FB77C50C"/>
    <w:rsid w:val="FC67BE95"/>
    <w:rsid w:val="FD748622"/>
    <w:rsid w:val="FDF931D9"/>
    <w:rsid w:val="FDFBE2BE"/>
    <w:rsid w:val="FE7FD691"/>
    <w:rsid w:val="FEEB7566"/>
    <w:rsid w:val="FEF9DBD9"/>
    <w:rsid w:val="FEFF3F1C"/>
    <w:rsid w:val="FEFF6027"/>
    <w:rsid w:val="FF5E2B8E"/>
    <w:rsid w:val="FF7989D9"/>
    <w:rsid w:val="FF9B595E"/>
    <w:rsid w:val="FFD5597E"/>
    <w:rsid w:val="FFD7BFFC"/>
    <w:rsid w:val="FFEF01CC"/>
    <w:rsid w:val="FFF3B26C"/>
    <w:rsid w:val="FFFA235E"/>
    <w:rsid w:val="FFFE7CFC"/>
    <w:rsid w:val="FFFF0A3B"/>
    <w:rsid w:val="FFFFF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165</Words>
  <Characters>945</Characters>
  <Lines>7</Lines>
  <Paragraphs>2</Paragraphs>
  <TotalTime>1</TotalTime>
  <ScaleCrop>false</ScaleCrop>
  <LinksUpToDate>false</LinksUpToDate>
  <CharactersWithSpaces>1108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2022-03-31T16:24:00Z</dcterms:created>
  <dc:creator>user</dc:creator>
  <cp:lastModifiedBy>nyncj</cp:lastModifiedBy>
  <cp:lastPrinted>2022-04-17T15:08:00Z</cp:lastPrinted>
  <dcterms:modified xsi:type="dcterms:W3CDTF">2024-04-30T13:11:42Z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