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hint="eastAsia" w:eastAsia="黑体"/>
          <w:color w:val="000000"/>
          <w:sz w:val="32"/>
          <w:szCs w:val="32"/>
        </w:rPr>
      </w:pPr>
    </w:p>
    <w:p>
      <w:pPr>
        <w:adjustRightInd w:val="0"/>
        <w:snapToGrid w:val="0"/>
        <w:spacing w:line="360" w:lineRule="auto"/>
        <w:jc w:val="center"/>
        <w:rPr>
          <w:rFonts w:eastAsia="楷体"/>
          <w:b/>
          <w:sz w:val="36"/>
          <w:szCs w:val="36"/>
          <w:lang w:val="zh-CN"/>
        </w:rPr>
      </w:pPr>
    </w:p>
    <w:p>
      <w:pPr>
        <w:adjustRightInd w:val="0"/>
        <w:snapToGrid w:val="0"/>
        <w:spacing w:line="360" w:lineRule="auto"/>
        <w:jc w:val="center"/>
        <w:rPr>
          <w:rFonts w:eastAsia="楷体"/>
          <w:b/>
          <w:sz w:val="36"/>
          <w:szCs w:val="36"/>
          <w:lang w:val="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eastAsia="楷体"/>
          <w:b/>
          <w:sz w:val="36"/>
          <w:szCs w:val="36"/>
          <w:lang w:val="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CESI楷体-GB2312" w:hAnsi="CESI楷体-GB2312" w:eastAsia="CESI楷体-GB2312" w:cs="CESI楷体-GB2312"/>
          <w:b/>
          <w:sz w:val="36"/>
          <w:szCs w:val="36"/>
        </w:rPr>
      </w:pPr>
      <w:r>
        <w:rPr>
          <w:rFonts w:hint="eastAsia" w:ascii="CESI楷体-GB2312" w:hAnsi="CESI楷体-GB2312" w:eastAsia="CESI楷体-GB2312" w:cs="CESI楷体-GB2312"/>
          <w:b/>
          <w:sz w:val="36"/>
          <w:szCs w:val="36"/>
        </w:rPr>
        <w:t>中国共产党北京市委员会市直属机关工作委员会</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CESI楷体-GB2312" w:hAnsi="CESI楷体-GB2312" w:eastAsia="CESI楷体-GB2312" w:cs="CESI楷体-GB2312"/>
          <w:b/>
          <w:sz w:val="36"/>
          <w:szCs w:val="36"/>
          <w:lang w:val="en-US" w:eastAsia="zh-CN"/>
        </w:rPr>
      </w:pPr>
      <w:r>
        <w:rPr>
          <w:rFonts w:hint="eastAsia" w:ascii="CESI楷体-GB2312" w:hAnsi="CESI楷体-GB2312" w:eastAsia="CESI楷体-GB2312" w:cs="CESI楷体-GB2312"/>
          <w:b/>
          <w:sz w:val="36"/>
          <w:szCs w:val="36"/>
        </w:rPr>
        <w:t>2023年</w:t>
      </w:r>
      <w:r>
        <w:rPr>
          <w:rFonts w:hint="eastAsia" w:ascii="CESI楷体-GB2312" w:hAnsi="CESI楷体-GB2312" w:eastAsia="CESI楷体-GB2312" w:cs="CESI楷体-GB2312"/>
          <w:b/>
          <w:sz w:val="36"/>
          <w:szCs w:val="36"/>
          <w:lang w:val="en-US" w:eastAsia="zh-CN"/>
        </w:rPr>
        <w:t>部门整体</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方正小标宋简体" w:hAnsi="方正小标宋简体" w:eastAsia="方正小标宋简体" w:cs="方正小标宋简体"/>
          <w:b w:val="0"/>
          <w:bCs/>
          <w:sz w:val="72"/>
          <w:szCs w:val="72"/>
          <w:lang w:val="zh-CN"/>
        </w:rPr>
      </w:pPr>
      <w:r>
        <w:rPr>
          <w:rFonts w:hint="eastAsia" w:ascii="方正小标宋简体" w:hAnsi="方正小标宋简体" w:eastAsia="方正小标宋简体" w:cs="方正小标宋简体"/>
          <w:b w:val="0"/>
          <w:bCs/>
          <w:sz w:val="72"/>
          <w:szCs w:val="72"/>
          <w:lang w:val="zh-CN"/>
        </w:rPr>
        <w:t>绩</w:t>
      </w:r>
      <w:r>
        <w:rPr>
          <w:rFonts w:hint="eastAsia" w:ascii="方正小标宋简体" w:hAnsi="方正小标宋简体" w:eastAsia="方正小标宋简体" w:cs="方正小标宋简体"/>
          <w:b w:val="0"/>
          <w:bCs/>
          <w:sz w:val="72"/>
          <w:szCs w:val="72"/>
          <w:lang w:val="en-US" w:eastAsia="zh-CN"/>
        </w:rPr>
        <w:t xml:space="preserve"> </w:t>
      </w:r>
      <w:r>
        <w:rPr>
          <w:rFonts w:hint="eastAsia" w:ascii="方正小标宋简体" w:hAnsi="方正小标宋简体" w:eastAsia="方正小标宋简体" w:cs="方正小标宋简体"/>
          <w:b w:val="0"/>
          <w:bCs/>
          <w:sz w:val="72"/>
          <w:szCs w:val="72"/>
          <w:lang w:val="zh-CN"/>
        </w:rPr>
        <w:t>效</w:t>
      </w:r>
      <w:r>
        <w:rPr>
          <w:rFonts w:hint="eastAsia" w:ascii="方正小标宋简体" w:hAnsi="方正小标宋简体" w:eastAsia="方正小标宋简体" w:cs="方正小标宋简体"/>
          <w:b w:val="0"/>
          <w:bCs/>
          <w:sz w:val="72"/>
          <w:szCs w:val="72"/>
          <w:lang w:val="en-US" w:eastAsia="zh-CN"/>
        </w:rPr>
        <w:t xml:space="preserve"> </w:t>
      </w:r>
      <w:r>
        <w:rPr>
          <w:rFonts w:hint="eastAsia" w:ascii="方正小标宋简体" w:hAnsi="方正小标宋简体" w:eastAsia="方正小标宋简体" w:cs="方正小标宋简体"/>
          <w:b w:val="0"/>
          <w:bCs/>
          <w:sz w:val="72"/>
          <w:szCs w:val="72"/>
          <w:lang w:val="zh-CN"/>
        </w:rPr>
        <w:t>评</w:t>
      </w:r>
      <w:r>
        <w:rPr>
          <w:rFonts w:hint="eastAsia" w:ascii="方正小标宋简体" w:hAnsi="方正小标宋简体" w:eastAsia="方正小标宋简体" w:cs="方正小标宋简体"/>
          <w:b w:val="0"/>
          <w:bCs/>
          <w:sz w:val="72"/>
          <w:szCs w:val="72"/>
          <w:lang w:val="en-US" w:eastAsia="zh-CN"/>
        </w:rPr>
        <w:t xml:space="preserve"> </w:t>
      </w:r>
      <w:r>
        <w:rPr>
          <w:rFonts w:hint="eastAsia" w:ascii="方正小标宋简体" w:hAnsi="方正小标宋简体" w:eastAsia="方正小标宋简体" w:cs="方正小标宋简体"/>
          <w:b w:val="0"/>
          <w:bCs/>
          <w:sz w:val="72"/>
          <w:szCs w:val="72"/>
          <w:lang w:val="zh-CN"/>
        </w:rPr>
        <w:t>价</w:t>
      </w:r>
      <w:r>
        <w:rPr>
          <w:rFonts w:hint="eastAsia" w:ascii="方正小标宋简体" w:hAnsi="方正小标宋简体" w:eastAsia="方正小标宋简体" w:cs="方正小标宋简体"/>
          <w:b w:val="0"/>
          <w:bCs/>
          <w:sz w:val="72"/>
          <w:szCs w:val="72"/>
          <w:lang w:val="en-US" w:eastAsia="zh-CN"/>
        </w:rPr>
        <w:t xml:space="preserve"> </w:t>
      </w:r>
      <w:r>
        <w:rPr>
          <w:rFonts w:hint="eastAsia" w:ascii="方正小标宋简体" w:hAnsi="方正小标宋简体" w:eastAsia="方正小标宋简体" w:cs="方正小标宋简体"/>
          <w:b w:val="0"/>
          <w:bCs/>
          <w:sz w:val="72"/>
          <w:szCs w:val="72"/>
          <w:lang w:val="zh-CN"/>
        </w:rPr>
        <w:t>报</w:t>
      </w:r>
      <w:r>
        <w:rPr>
          <w:rFonts w:hint="eastAsia" w:ascii="方正小标宋简体" w:hAnsi="方正小标宋简体" w:eastAsia="方正小标宋简体" w:cs="方正小标宋简体"/>
          <w:b w:val="0"/>
          <w:bCs/>
          <w:sz w:val="72"/>
          <w:szCs w:val="72"/>
          <w:lang w:val="en-US" w:eastAsia="zh-CN"/>
        </w:rPr>
        <w:t xml:space="preserve"> </w:t>
      </w:r>
      <w:r>
        <w:rPr>
          <w:rFonts w:hint="eastAsia" w:ascii="方正小标宋简体" w:hAnsi="方正小标宋简体" w:eastAsia="方正小标宋简体" w:cs="方正小标宋简体"/>
          <w:b w:val="0"/>
          <w:bCs/>
          <w:sz w:val="72"/>
          <w:szCs w:val="72"/>
          <w:lang w:val="zh-CN"/>
        </w:rPr>
        <w:t>告</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eastAsia="黑体"/>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eastAsia="黑体"/>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eastAsia="黑体"/>
          <w:sz w:val="32"/>
          <w:szCs w:val="32"/>
          <w:lang w:val="zh-CN"/>
        </w:rPr>
      </w:pPr>
    </w:p>
    <w:p>
      <w:pPr>
        <w:pStyle w:val="28"/>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eastAsia="黑体"/>
          <w:sz w:val="32"/>
          <w:szCs w:val="32"/>
          <w:lang w:val="zh-CN"/>
        </w:rPr>
      </w:pPr>
    </w:p>
    <w:p>
      <w:pPr>
        <w:pStyle w:val="28"/>
        <w:keepNext w:val="0"/>
        <w:keepLines w:val="0"/>
        <w:pageBreakBefore w:val="0"/>
        <w:widowControl w:val="0"/>
        <w:kinsoku/>
        <w:wordWrap/>
        <w:overflowPunct/>
        <w:topLinePunct w:val="0"/>
        <w:autoSpaceDE/>
        <w:autoSpaceDN/>
        <w:bidi w:val="0"/>
        <w:adjustRightInd w:val="0"/>
        <w:snapToGrid w:val="0"/>
        <w:ind w:firstLine="0" w:firstLineChars="0"/>
        <w:textAlignment w:val="auto"/>
        <w:rPr>
          <w:rFonts w:eastAsia="黑体"/>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黑体" w:hAnsi="黑体" w:eastAsia="黑体" w:cs="黑体"/>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黑体" w:hAnsi="黑体" w:eastAsia="黑体" w:cs="黑体"/>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黑体" w:hAnsi="黑体" w:eastAsia="黑体" w:cs="黑体"/>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黑体" w:hAnsi="黑体" w:eastAsia="黑体" w:cs="黑体"/>
          <w:szCs w:val="32"/>
        </w:rPr>
      </w:pPr>
    </w:p>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黑体" w:hAnsi="黑体" w:eastAsia="黑体" w:cs="黑体"/>
          <w:szCs w:val="32"/>
        </w:rPr>
      </w:pPr>
    </w:p>
    <w:sdt>
      <w:sdtPr>
        <w:rPr>
          <w:rFonts w:hint="eastAsia" w:ascii="黑体" w:hAnsi="黑体" w:eastAsia="黑体" w:cs="黑体"/>
          <w:szCs w:val="32"/>
        </w:rPr>
        <w:id w:val="147452953"/>
        <w:docPartObj>
          <w:docPartGallery w:val="Table of Contents"/>
          <w:docPartUnique/>
        </w:docPartObj>
      </w:sdtPr>
      <w:sdtEndPr>
        <w:rPr>
          <w:rFonts w:hint="eastAsia" w:ascii="华文中宋" w:hAnsi="华文中宋" w:eastAsia="华文中宋" w:cs="华文中宋"/>
          <w:szCs w:val="36"/>
        </w:rPr>
      </w:sdtEndPr>
      <w:sdtContent>
        <w:p>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ascii="黑体" w:hAnsi="黑体" w:eastAsia="黑体" w:cs="黑体"/>
              <w:szCs w:val="32"/>
              <w:highlight w:val="none"/>
            </w:rPr>
          </w:pPr>
          <w:bookmarkStart w:id="23" w:name="_GoBack"/>
          <w:bookmarkEnd w:id="23"/>
          <w:r>
            <w:rPr>
              <w:rFonts w:hint="eastAsia" w:ascii="黑体" w:hAnsi="黑体" w:eastAsia="黑体" w:cs="黑体"/>
              <w:szCs w:val="32"/>
              <w:highlight w:val="none"/>
            </w:rPr>
            <w:t>目</w:t>
          </w:r>
          <w:r>
            <w:rPr>
              <w:rFonts w:hint="eastAsia" w:ascii="黑体" w:hAnsi="黑体" w:eastAsia="黑体" w:cs="黑体"/>
              <w:szCs w:val="32"/>
              <w:highlight w:val="none"/>
              <w:lang w:val="en-US" w:eastAsia="zh-CN"/>
            </w:rPr>
            <w:t xml:space="preserve">  </w:t>
          </w:r>
          <w:r>
            <w:rPr>
              <w:rFonts w:hint="eastAsia" w:ascii="黑体" w:hAnsi="黑体" w:eastAsia="黑体" w:cs="黑体"/>
              <w:szCs w:val="32"/>
              <w:highlight w:val="none"/>
            </w:rPr>
            <w:t>录</w:t>
          </w:r>
        </w:p>
        <w:p>
          <w:pPr>
            <w:pStyle w:val="12"/>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TOC \o "1-3" \h \u </w:instrText>
          </w:r>
          <w:r>
            <w:rPr>
              <w:rFonts w:hint="eastAsia" w:cs="仿宋_GB2312"/>
              <w:szCs w:val="32"/>
            </w:rPr>
            <w:fldChar w:fldCharType="separate"/>
          </w:r>
        </w:p>
        <w:p>
          <w:pPr>
            <w:pStyle w:val="12"/>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rPr>
              <w:rFonts w:hint="eastAsia" w:ascii="CESI黑体-GB2312" w:hAnsi="CESI黑体-GB2312" w:eastAsia="CESI黑体-GB2312" w:cs="CESI黑体-GB2312"/>
            </w:rPr>
          </w:pPr>
          <w:r>
            <w:rPr>
              <w:rFonts w:hint="eastAsia" w:ascii="CESI黑体-GB2312" w:hAnsi="CESI黑体-GB2312" w:eastAsia="CESI黑体-GB2312" w:cs="CESI黑体-GB2312"/>
              <w:szCs w:val="32"/>
            </w:rPr>
            <w:fldChar w:fldCharType="begin"/>
          </w:r>
          <w:r>
            <w:rPr>
              <w:rFonts w:hint="eastAsia" w:ascii="CESI黑体-GB2312" w:hAnsi="CESI黑体-GB2312" w:eastAsia="CESI黑体-GB2312" w:cs="CESI黑体-GB2312"/>
              <w:szCs w:val="32"/>
            </w:rPr>
            <w:instrText xml:space="preserve"> HYPERLINK \l _Toc27658 </w:instrText>
          </w:r>
          <w:r>
            <w:rPr>
              <w:rFonts w:hint="eastAsia" w:ascii="CESI黑体-GB2312" w:hAnsi="CESI黑体-GB2312" w:eastAsia="CESI黑体-GB2312" w:cs="CESI黑体-GB2312"/>
              <w:szCs w:val="32"/>
            </w:rPr>
            <w:fldChar w:fldCharType="separate"/>
          </w:r>
          <w:r>
            <w:rPr>
              <w:rFonts w:hint="eastAsia" w:ascii="CESI黑体-GB2312" w:hAnsi="CESI黑体-GB2312" w:eastAsia="CESI黑体-GB2312" w:cs="CESI黑体-GB2312"/>
            </w:rPr>
            <w:t>一、</w:t>
          </w:r>
          <w:r>
            <w:rPr>
              <w:rFonts w:hint="eastAsia" w:ascii="CESI黑体-GB2312" w:hAnsi="CESI黑体-GB2312" w:eastAsia="CESI黑体-GB2312" w:cs="CESI黑体-GB2312"/>
              <w:lang w:val="en-US" w:eastAsia="zh-CN"/>
            </w:rPr>
            <w:t>部门</w:t>
          </w:r>
          <w:r>
            <w:rPr>
              <w:rFonts w:hint="eastAsia" w:ascii="CESI黑体-GB2312" w:hAnsi="CESI黑体-GB2312" w:eastAsia="CESI黑体-GB2312" w:cs="CESI黑体-GB2312"/>
            </w:rPr>
            <w:t>概况</w:t>
          </w:r>
          <w:r>
            <w:rPr>
              <w:rFonts w:hint="eastAsia" w:ascii="CESI黑体-GB2312" w:hAnsi="CESI黑体-GB2312" w:eastAsia="CESI黑体-GB2312" w:cs="CESI黑体-GB2312"/>
            </w:rPr>
            <w:tab/>
          </w:r>
          <w:r>
            <w:rPr>
              <w:rFonts w:hint="eastAsia" w:ascii="CESI黑体-GB2312" w:hAnsi="CESI黑体-GB2312" w:eastAsia="CESI黑体-GB2312" w:cs="CESI黑体-GB2312"/>
            </w:rPr>
            <w:fldChar w:fldCharType="begin"/>
          </w:r>
          <w:r>
            <w:rPr>
              <w:rFonts w:hint="eastAsia" w:ascii="CESI黑体-GB2312" w:hAnsi="CESI黑体-GB2312" w:eastAsia="CESI黑体-GB2312" w:cs="CESI黑体-GB2312"/>
            </w:rPr>
            <w:instrText xml:space="preserve"> PAGEREF _Toc27658 \h </w:instrText>
          </w:r>
          <w:r>
            <w:rPr>
              <w:rFonts w:hint="eastAsia" w:ascii="CESI黑体-GB2312" w:hAnsi="CESI黑体-GB2312" w:eastAsia="CESI黑体-GB2312" w:cs="CESI黑体-GB2312"/>
            </w:rPr>
            <w:fldChar w:fldCharType="separate"/>
          </w:r>
          <w:r>
            <w:rPr>
              <w:rFonts w:hint="eastAsia" w:ascii="CESI黑体-GB2312" w:hAnsi="CESI黑体-GB2312" w:eastAsia="CESI黑体-GB2312" w:cs="CESI黑体-GB2312"/>
            </w:rPr>
            <w:t>1</w:t>
          </w:r>
          <w:r>
            <w:rPr>
              <w:rFonts w:hint="eastAsia" w:ascii="CESI黑体-GB2312" w:hAnsi="CESI黑体-GB2312" w:eastAsia="CESI黑体-GB2312" w:cs="CESI黑体-GB2312"/>
            </w:rPr>
            <w:fldChar w:fldCharType="end"/>
          </w:r>
          <w:r>
            <w:rPr>
              <w:rFonts w:hint="eastAsia" w:ascii="CESI黑体-GB2312" w:hAnsi="CESI黑体-GB2312" w:eastAsia="CESI黑体-GB2312" w:cs="CESI黑体-GB2312"/>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_Toc1290 </w:instrText>
          </w:r>
          <w:r>
            <w:rPr>
              <w:rFonts w:hint="eastAsia" w:cs="仿宋_GB2312"/>
              <w:szCs w:val="32"/>
            </w:rPr>
            <w:fldChar w:fldCharType="separate"/>
          </w:r>
          <w:r>
            <w:rPr>
              <w:rFonts w:hint="eastAsia"/>
            </w:rPr>
            <w:t>（一）机构设置及职责工作任务情况</w:t>
          </w:r>
          <w:r>
            <w:tab/>
          </w:r>
          <w:r>
            <w:fldChar w:fldCharType="begin"/>
          </w:r>
          <w:r>
            <w:instrText xml:space="preserve"> PAGEREF _Toc1290 \h </w:instrText>
          </w:r>
          <w:r>
            <w:fldChar w:fldCharType="separate"/>
          </w:r>
          <w:r>
            <w:t>1</w:t>
          </w:r>
          <w:r>
            <w:fldChar w:fldCharType="end"/>
          </w:r>
          <w:r>
            <w:rPr>
              <w:rFonts w:hint="eastAsia" w:cs="仿宋_GB2312"/>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_Toc5458 </w:instrText>
          </w:r>
          <w:r>
            <w:rPr>
              <w:rFonts w:hint="eastAsia" w:cs="仿宋_GB2312"/>
              <w:szCs w:val="32"/>
            </w:rPr>
            <w:fldChar w:fldCharType="separate"/>
          </w:r>
          <w:r>
            <w:rPr>
              <w:rFonts w:hint="eastAsia"/>
            </w:rPr>
            <w:t>（二）</w:t>
          </w:r>
          <w:r>
            <w:rPr>
              <w:rFonts w:hint="eastAsia"/>
              <w:lang w:val="en-US" w:eastAsia="zh-CN"/>
            </w:rPr>
            <w:t>部门</w:t>
          </w:r>
          <w:r>
            <w:rPr>
              <w:rFonts w:hint="eastAsia"/>
            </w:rPr>
            <w:t>整体绩效目标设立情况</w:t>
          </w:r>
          <w:r>
            <w:tab/>
          </w:r>
          <w:r>
            <w:fldChar w:fldCharType="begin"/>
          </w:r>
          <w:r>
            <w:instrText xml:space="preserve"> PAGEREF _Toc5458 \h </w:instrText>
          </w:r>
          <w:r>
            <w:fldChar w:fldCharType="separate"/>
          </w:r>
          <w:r>
            <w:t>3</w:t>
          </w:r>
          <w:r>
            <w:fldChar w:fldCharType="end"/>
          </w:r>
          <w:r>
            <w:rPr>
              <w:rFonts w:hint="eastAsia" w:cs="仿宋_GB2312"/>
              <w:szCs w:val="32"/>
            </w:rPr>
            <w:fldChar w:fldCharType="end"/>
          </w:r>
        </w:p>
        <w:p>
          <w:pPr>
            <w:pStyle w:val="12"/>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rPr>
              <w:rFonts w:hint="eastAsia" w:ascii="CESI黑体-GB2312" w:hAnsi="CESI黑体-GB2312" w:eastAsia="CESI黑体-GB2312" w:cs="CESI黑体-GB2312"/>
              <w:b w:val="0"/>
              <w:bCs w:val="0"/>
            </w:rPr>
          </w:pPr>
          <w:r>
            <w:rPr>
              <w:rFonts w:hint="eastAsia" w:ascii="CESI黑体-GB2312" w:hAnsi="CESI黑体-GB2312" w:eastAsia="CESI黑体-GB2312" w:cs="CESI黑体-GB2312"/>
              <w:b w:val="0"/>
              <w:bCs w:val="0"/>
              <w:szCs w:val="32"/>
            </w:rPr>
            <w:fldChar w:fldCharType="begin"/>
          </w:r>
          <w:r>
            <w:rPr>
              <w:rFonts w:hint="eastAsia" w:ascii="CESI黑体-GB2312" w:hAnsi="CESI黑体-GB2312" w:eastAsia="CESI黑体-GB2312" w:cs="CESI黑体-GB2312"/>
              <w:b w:val="0"/>
              <w:bCs w:val="0"/>
              <w:szCs w:val="32"/>
            </w:rPr>
            <w:instrText xml:space="preserve"> HYPERLINK \l _Toc14668 </w:instrText>
          </w:r>
          <w:r>
            <w:rPr>
              <w:rFonts w:hint="eastAsia" w:ascii="CESI黑体-GB2312" w:hAnsi="CESI黑体-GB2312" w:eastAsia="CESI黑体-GB2312" w:cs="CESI黑体-GB2312"/>
              <w:b w:val="0"/>
              <w:bCs w:val="0"/>
              <w:szCs w:val="32"/>
            </w:rPr>
            <w:fldChar w:fldCharType="separate"/>
          </w:r>
          <w:r>
            <w:rPr>
              <w:rFonts w:hint="eastAsia" w:ascii="CESI黑体-GB2312" w:hAnsi="CESI黑体-GB2312" w:eastAsia="CESI黑体-GB2312" w:cs="CESI黑体-GB2312"/>
              <w:b w:val="0"/>
              <w:bCs w:val="0"/>
            </w:rPr>
            <w:t>二、当年预算执行情况</w:t>
          </w:r>
          <w:r>
            <w:rPr>
              <w:rFonts w:hint="eastAsia" w:ascii="CESI黑体-GB2312" w:hAnsi="CESI黑体-GB2312" w:eastAsia="CESI黑体-GB2312" w:cs="CESI黑体-GB2312"/>
              <w:b w:val="0"/>
              <w:bCs w:val="0"/>
            </w:rPr>
            <w:tab/>
          </w:r>
          <w:r>
            <w:rPr>
              <w:rFonts w:hint="eastAsia" w:ascii="CESI黑体-GB2312" w:hAnsi="CESI黑体-GB2312" w:eastAsia="CESI黑体-GB2312" w:cs="CESI黑体-GB2312"/>
              <w:b w:val="0"/>
              <w:bCs w:val="0"/>
            </w:rPr>
            <w:fldChar w:fldCharType="begin"/>
          </w:r>
          <w:r>
            <w:rPr>
              <w:rFonts w:hint="eastAsia" w:ascii="CESI黑体-GB2312" w:hAnsi="CESI黑体-GB2312" w:eastAsia="CESI黑体-GB2312" w:cs="CESI黑体-GB2312"/>
              <w:b w:val="0"/>
              <w:bCs w:val="0"/>
            </w:rPr>
            <w:instrText xml:space="preserve"> PAGEREF _Toc14668 \h </w:instrText>
          </w:r>
          <w:r>
            <w:rPr>
              <w:rFonts w:hint="eastAsia" w:ascii="CESI黑体-GB2312" w:hAnsi="CESI黑体-GB2312" w:eastAsia="CESI黑体-GB2312" w:cs="CESI黑体-GB2312"/>
              <w:b w:val="0"/>
              <w:bCs w:val="0"/>
            </w:rPr>
            <w:fldChar w:fldCharType="separate"/>
          </w:r>
          <w:r>
            <w:rPr>
              <w:rFonts w:hint="eastAsia" w:ascii="CESI黑体-GB2312" w:hAnsi="CESI黑体-GB2312" w:eastAsia="CESI黑体-GB2312" w:cs="CESI黑体-GB2312"/>
              <w:b w:val="0"/>
              <w:bCs w:val="0"/>
            </w:rPr>
            <w:t>4</w:t>
          </w:r>
          <w:r>
            <w:rPr>
              <w:rFonts w:hint="eastAsia" w:ascii="CESI黑体-GB2312" w:hAnsi="CESI黑体-GB2312" w:eastAsia="CESI黑体-GB2312" w:cs="CESI黑体-GB2312"/>
              <w:b w:val="0"/>
              <w:bCs w:val="0"/>
            </w:rPr>
            <w:fldChar w:fldCharType="end"/>
          </w:r>
          <w:r>
            <w:rPr>
              <w:rFonts w:hint="eastAsia" w:ascii="CESI黑体-GB2312" w:hAnsi="CESI黑体-GB2312" w:eastAsia="CESI黑体-GB2312" w:cs="CESI黑体-GB2312"/>
              <w:b w:val="0"/>
              <w:bCs w:val="0"/>
              <w:szCs w:val="32"/>
            </w:rPr>
            <w:fldChar w:fldCharType="end"/>
          </w:r>
        </w:p>
        <w:p>
          <w:pPr>
            <w:pStyle w:val="12"/>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rPr>
              <w:b/>
              <w:bCs/>
            </w:rPr>
          </w:pPr>
          <w:r>
            <w:rPr>
              <w:rFonts w:hint="eastAsia" w:cs="仿宋_GB2312"/>
              <w:b/>
              <w:bCs/>
              <w:szCs w:val="32"/>
            </w:rPr>
            <w:fldChar w:fldCharType="begin"/>
          </w:r>
          <w:r>
            <w:rPr>
              <w:rFonts w:hint="eastAsia" w:cs="仿宋_GB2312"/>
              <w:b/>
              <w:bCs/>
              <w:szCs w:val="32"/>
            </w:rPr>
            <w:instrText xml:space="preserve"> HYPERLINK \l _Toc23257 </w:instrText>
          </w:r>
          <w:r>
            <w:rPr>
              <w:rFonts w:hint="eastAsia" w:cs="仿宋_GB2312"/>
              <w:b/>
              <w:bCs/>
              <w:szCs w:val="32"/>
            </w:rPr>
            <w:fldChar w:fldCharType="separate"/>
          </w:r>
          <w:r>
            <w:rPr>
              <w:rFonts w:hint="eastAsia"/>
              <w:b/>
              <w:bCs/>
            </w:rPr>
            <w:t>三</w:t>
          </w:r>
          <w:r>
            <w:rPr>
              <w:b/>
              <w:bCs/>
            </w:rPr>
            <w:t>、整体绩效目标实现情况</w:t>
          </w:r>
          <w:r>
            <w:rPr>
              <w:b/>
              <w:bCs/>
            </w:rPr>
            <w:tab/>
          </w:r>
          <w:r>
            <w:rPr>
              <w:b/>
              <w:bCs/>
            </w:rPr>
            <w:fldChar w:fldCharType="begin"/>
          </w:r>
          <w:r>
            <w:rPr>
              <w:b/>
              <w:bCs/>
            </w:rPr>
            <w:instrText xml:space="preserve"> PAGEREF _Toc23257 \h </w:instrText>
          </w:r>
          <w:r>
            <w:rPr>
              <w:b/>
              <w:bCs/>
            </w:rPr>
            <w:fldChar w:fldCharType="separate"/>
          </w:r>
          <w:r>
            <w:rPr>
              <w:b/>
              <w:bCs/>
            </w:rPr>
            <w:t>5</w:t>
          </w:r>
          <w:r>
            <w:rPr>
              <w:b/>
              <w:bCs/>
            </w:rPr>
            <w:fldChar w:fldCharType="end"/>
          </w:r>
          <w:r>
            <w:rPr>
              <w:rFonts w:hint="eastAsia" w:cs="仿宋_GB2312"/>
              <w:b/>
              <w:bCs/>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_Toc27127 </w:instrText>
          </w:r>
          <w:r>
            <w:rPr>
              <w:rFonts w:hint="eastAsia" w:cs="仿宋_GB2312"/>
              <w:szCs w:val="32"/>
            </w:rPr>
            <w:fldChar w:fldCharType="separate"/>
          </w:r>
          <w:r>
            <w:rPr>
              <w:rFonts w:hint="eastAsia"/>
            </w:rPr>
            <w:t>（一）产出完成情况分析</w:t>
          </w:r>
          <w:r>
            <w:tab/>
          </w:r>
          <w:r>
            <w:fldChar w:fldCharType="begin"/>
          </w:r>
          <w:r>
            <w:instrText xml:space="preserve"> PAGEREF _Toc27127 \h </w:instrText>
          </w:r>
          <w:r>
            <w:fldChar w:fldCharType="separate"/>
          </w:r>
          <w:r>
            <w:t>5</w:t>
          </w:r>
          <w:r>
            <w:fldChar w:fldCharType="end"/>
          </w:r>
          <w:r>
            <w:rPr>
              <w:rFonts w:hint="eastAsia" w:cs="仿宋_GB2312"/>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_Toc19647 </w:instrText>
          </w:r>
          <w:r>
            <w:rPr>
              <w:rFonts w:hint="eastAsia" w:cs="仿宋_GB2312"/>
              <w:szCs w:val="32"/>
            </w:rPr>
            <w:fldChar w:fldCharType="separate"/>
          </w:r>
          <w:r>
            <w:rPr>
              <w:rFonts w:hint="eastAsia"/>
            </w:rPr>
            <w:t>（二）效果</w:t>
          </w:r>
          <w:r>
            <w:t>实现情况分析</w:t>
          </w:r>
          <w:r>
            <w:tab/>
          </w:r>
          <w:r>
            <w:fldChar w:fldCharType="begin"/>
          </w:r>
          <w:r>
            <w:instrText xml:space="preserve"> PAGEREF _Toc19647 \h </w:instrText>
          </w:r>
          <w:r>
            <w:fldChar w:fldCharType="separate"/>
          </w:r>
          <w:r>
            <w:t>8</w:t>
          </w:r>
          <w:r>
            <w:fldChar w:fldCharType="end"/>
          </w:r>
          <w:r>
            <w:rPr>
              <w:rFonts w:hint="eastAsia" w:cs="仿宋_GB2312"/>
              <w:szCs w:val="32"/>
            </w:rPr>
            <w:fldChar w:fldCharType="end"/>
          </w:r>
        </w:p>
        <w:p>
          <w:pPr>
            <w:pStyle w:val="12"/>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rPr>
              <w:rFonts w:hint="eastAsia" w:ascii="CESI黑体-GB2312" w:hAnsi="CESI黑体-GB2312" w:eastAsia="CESI黑体-GB2312" w:cs="CESI黑体-GB2312"/>
              <w:b w:val="0"/>
              <w:bCs w:val="0"/>
            </w:rPr>
          </w:pPr>
          <w:r>
            <w:rPr>
              <w:rFonts w:hint="eastAsia" w:ascii="CESI黑体-GB2312" w:hAnsi="CESI黑体-GB2312" w:eastAsia="CESI黑体-GB2312" w:cs="CESI黑体-GB2312"/>
              <w:b w:val="0"/>
              <w:bCs w:val="0"/>
              <w:szCs w:val="32"/>
            </w:rPr>
            <w:fldChar w:fldCharType="begin"/>
          </w:r>
          <w:r>
            <w:rPr>
              <w:rFonts w:hint="eastAsia" w:ascii="CESI黑体-GB2312" w:hAnsi="CESI黑体-GB2312" w:eastAsia="CESI黑体-GB2312" w:cs="CESI黑体-GB2312"/>
              <w:b w:val="0"/>
              <w:bCs w:val="0"/>
              <w:szCs w:val="32"/>
            </w:rPr>
            <w:instrText xml:space="preserve"> HYPERLINK \l _Toc29100 </w:instrText>
          </w:r>
          <w:r>
            <w:rPr>
              <w:rFonts w:hint="eastAsia" w:ascii="CESI黑体-GB2312" w:hAnsi="CESI黑体-GB2312" w:eastAsia="CESI黑体-GB2312" w:cs="CESI黑体-GB2312"/>
              <w:b w:val="0"/>
              <w:bCs w:val="0"/>
              <w:szCs w:val="32"/>
            </w:rPr>
            <w:fldChar w:fldCharType="separate"/>
          </w:r>
          <w:r>
            <w:rPr>
              <w:rFonts w:hint="eastAsia" w:ascii="CESI黑体-GB2312" w:hAnsi="CESI黑体-GB2312" w:eastAsia="CESI黑体-GB2312" w:cs="CESI黑体-GB2312"/>
              <w:b w:val="0"/>
              <w:bCs w:val="0"/>
            </w:rPr>
            <w:t>四、预算管理情况分析</w:t>
          </w:r>
          <w:r>
            <w:rPr>
              <w:rFonts w:hint="eastAsia" w:ascii="CESI黑体-GB2312" w:hAnsi="CESI黑体-GB2312" w:eastAsia="CESI黑体-GB2312" w:cs="CESI黑体-GB2312"/>
              <w:b w:val="0"/>
              <w:bCs w:val="0"/>
            </w:rPr>
            <w:tab/>
          </w:r>
          <w:r>
            <w:rPr>
              <w:rFonts w:hint="eastAsia" w:ascii="CESI黑体-GB2312" w:hAnsi="CESI黑体-GB2312" w:eastAsia="CESI黑体-GB2312" w:cs="CESI黑体-GB2312"/>
              <w:b w:val="0"/>
              <w:bCs w:val="0"/>
            </w:rPr>
            <w:fldChar w:fldCharType="begin"/>
          </w:r>
          <w:r>
            <w:rPr>
              <w:rFonts w:hint="eastAsia" w:ascii="CESI黑体-GB2312" w:hAnsi="CESI黑体-GB2312" w:eastAsia="CESI黑体-GB2312" w:cs="CESI黑体-GB2312"/>
              <w:b w:val="0"/>
              <w:bCs w:val="0"/>
            </w:rPr>
            <w:instrText xml:space="preserve"> PAGEREF _Toc29100 \h </w:instrText>
          </w:r>
          <w:r>
            <w:rPr>
              <w:rFonts w:hint="eastAsia" w:ascii="CESI黑体-GB2312" w:hAnsi="CESI黑体-GB2312" w:eastAsia="CESI黑体-GB2312" w:cs="CESI黑体-GB2312"/>
              <w:b w:val="0"/>
              <w:bCs w:val="0"/>
            </w:rPr>
            <w:fldChar w:fldCharType="separate"/>
          </w:r>
          <w:r>
            <w:rPr>
              <w:rFonts w:hint="eastAsia" w:ascii="CESI黑体-GB2312" w:hAnsi="CESI黑体-GB2312" w:eastAsia="CESI黑体-GB2312" w:cs="CESI黑体-GB2312"/>
              <w:b w:val="0"/>
              <w:bCs w:val="0"/>
            </w:rPr>
            <w:t>12</w:t>
          </w:r>
          <w:r>
            <w:rPr>
              <w:rFonts w:hint="eastAsia" w:ascii="CESI黑体-GB2312" w:hAnsi="CESI黑体-GB2312" w:eastAsia="CESI黑体-GB2312" w:cs="CESI黑体-GB2312"/>
              <w:b w:val="0"/>
              <w:bCs w:val="0"/>
            </w:rPr>
            <w:fldChar w:fldCharType="end"/>
          </w:r>
          <w:r>
            <w:rPr>
              <w:rFonts w:hint="eastAsia" w:ascii="CESI黑体-GB2312" w:hAnsi="CESI黑体-GB2312" w:eastAsia="CESI黑体-GB2312" w:cs="CESI黑体-GB2312"/>
              <w:b w:val="0"/>
              <w:bCs w:val="0"/>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_Toc25096 </w:instrText>
          </w:r>
          <w:r>
            <w:rPr>
              <w:rFonts w:hint="eastAsia" w:cs="仿宋_GB2312"/>
              <w:szCs w:val="32"/>
            </w:rPr>
            <w:fldChar w:fldCharType="separate"/>
          </w:r>
          <w:r>
            <w:rPr>
              <w:rFonts w:hint="eastAsia"/>
            </w:rPr>
            <w:t>（一）财务管理</w:t>
          </w:r>
          <w:r>
            <w:tab/>
          </w:r>
          <w:r>
            <w:fldChar w:fldCharType="begin"/>
          </w:r>
          <w:r>
            <w:instrText xml:space="preserve"> PAGEREF _Toc25096 \h </w:instrText>
          </w:r>
          <w:r>
            <w:fldChar w:fldCharType="separate"/>
          </w:r>
          <w:r>
            <w:t>12</w:t>
          </w:r>
          <w:r>
            <w:fldChar w:fldCharType="end"/>
          </w:r>
          <w:r>
            <w:rPr>
              <w:rFonts w:hint="eastAsia" w:cs="仿宋_GB2312"/>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_Toc24257 </w:instrText>
          </w:r>
          <w:r>
            <w:rPr>
              <w:rFonts w:hint="eastAsia" w:cs="仿宋_GB2312"/>
              <w:szCs w:val="32"/>
            </w:rPr>
            <w:fldChar w:fldCharType="separate"/>
          </w:r>
          <w:r>
            <w:rPr>
              <w:rFonts w:hint="eastAsia"/>
            </w:rPr>
            <w:t>（二）资产管理</w:t>
          </w:r>
          <w:r>
            <w:tab/>
          </w:r>
          <w:r>
            <w:fldChar w:fldCharType="begin"/>
          </w:r>
          <w:r>
            <w:instrText xml:space="preserve"> PAGEREF _Toc24257 \h </w:instrText>
          </w:r>
          <w:r>
            <w:fldChar w:fldCharType="separate"/>
          </w:r>
          <w:r>
            <w:t>13</w:t>
          </w:r>
          <w:r>
            <w:fldChar w:fldCharType="end"/>
          </w:r>
          <w:r>
            <w:rPr>
              <w:rFonts w:hint="eastAsia" w:cs="仿宋_GB2312"/>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_Toc32159 </w:instrText>
          </w:r>
          <w:r>
            <w:rPr>
              <w:rFonts w:hint="eastAsia" w:cs="仿宋_GB2312"/>
              <w:szCs w:val="32"/>
            </w:rPr>
            <w:fldChar w:fldCharType="separate"/>
          </w:r>
          <w:r>
            <w:rPr>
              <w:rFonts w:hint="eastAsia"/>
            </w:rPr>
            <w:t>（三）绩效</w:t>
          </w:r>
          <w:r>
            <w:t>管理</w:t>
          </w:r>
          <w:r>
            <w:tab/>
          </w:r>
          <w:r>
            <w:fldChar w:fldCharType="begin"/>
          </w:r>
          <w:r>
            <w:instrText xml:space="preserve"> PAGEREF _Toc32159 \h </w:instrText>
          </w:r>
          <w:r>
            <w:fldChar w:fldCharType="separate"/>
          </w:r>
          <w:r>
            <w:t>13</w:t>
          </w:r>
          <w:r>
            <w:fldChar w:fldCharType="end"/>
          </w:r>
          <w:r>
            <w:rPr>
              <w:rFonts w:hint="eastAsia" w:cs="仿宋_GB2312"/>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_Toc9879 </w:instrText>
          </w:r>
          <w:r>
            <w:rPr>
              <w:rFonts w:hint="eastAsia" w:cs="仿宋_GB2312"/>
              <w:szCs w:val="32"/>
            </w:rPr>
            <w:fldChar w:fldCharType="separate"/>
          </w:r>
          <w:r>
            <w:rPr>
              <w:rFonts w:hint="eastAsia"/>
              <w:highlight w:val="none"/>
            </w:rPr>
            <w:t>（四）结转结余率</w:t>
          </w:r>
          <w:r>
            <w:tab/>
          </w:r>
          <w:r>
            <w:fldChar w:fldCharType="begin"/>
          </w:r>
          <w:r>
            <w:instrText xml:space="preserve"> PAGEREF _Toc9879 \h </w:instrText>
          </w:r>
          <w:r>
            <w:fldChar w:fldCharType="separate"/>
          </w:r>
          <w:r>
            <w:t>14</w:t>
          </w:r>
          <w:r>
            <w:fldChar w:fldCharType="end"/>
          </w:r>
          <w:r>
            <w:rPr>
              <w:rFonts w:hint="eastAsia" w:cs="仿宋_GB2312"/>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_Toc3299 </w:instrText>
          </w:r>
          <w:r>
            <w:rPr>
              <w:rFonts w:hint="eastAsia" w:cs="仿宋_GB2312"/>
              <w:szCs w:val="32"/>
            </w:rPr>
            <w:fldChar w:fldCharType="separate"/>
          </w:r>
          <w:r>
            <w:rPr>
              <w:rFonts w:hint="eastAsia"/>
            </w:rPr>
            <w:t>（五）</w:t>
          </w:r>
          <w:r>
            <w:rPr>
              <w:rFonts w:hint="eastAsia"/>
              <w:lang w:eastAsia="zh-CN"/>
            </w:rPr>
            <w:t>部门</w:t>
          </w:r>
          <w:r>
            <w:t>预决算差异率</w:t>
          </w:r>
          <w:r>
            <w:tab/>
          </w:r>
          <w:r>
            <w:fldChar w:fldCharType="begin"/>
          </w:r>
          <w:r>
            <w:instrText xml:space="preserve"> PAGEREF _Toc3299 \h </w:instrText>
          </w:r>
          <w:r>
            <w:fldChar w:fldCharType="separate"/>
          </w:r>
          <w:r>
            <w:t>15</w:t>
          </w:r>
          <w:r>
            <w:fldChar w:fldCharType="end"/>
          </w:r>
          <w:r>
            <w:rPr>
              <w:rFonts w:hint="eastAsia" w:cs="仿宋_GB2312"/>
              <w:szCs w:val="32"/>
            </w:rPr>
            <w:fldChar w:fldCharType="end"/>
          </w:r>
        </w:p>
        <w:p>
          <w:pPr>
            <w:pStyle w:val="12"/>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rPr>
              <w:rFonts w:hint="eastAsia" w:ascii="CESI黑体-GB2312" w:hAnsi="CESI黑体-GB2312" w:eastAsia="CESI黑体-GB2312" w:cs="CESI黑体-GB2312"/>
              <w:b w:val="0"/>
              <w:bCs w:val="0"/>
            </w:rPr>
          </w:pPr>
          <w:r>
            <w:rPr>
              <w:rFonts w:hint="eastAsia" w:ascii="CESI黑体-GB2312" w:hAnsi="CESI黑体-GB2312" w:eastAsia="CESI黑体-GB2312" w:cs="CESI黑体-GB2312"/>
              <w:b w:val="0"/>
              <w:bCs w:val="0"/>
              <w:szCs w:val="32"/>
            </w:rPr>
            <w:fldChar w:fldCharType="begin"/>
          </w:r>
          <w:r>
            <w:rPr>
              <w:rFonts w:hint="eastAsia" w:ascii="CESI黑体-GB2312" w:hAnsi="CESI黑体-GB2312" w:eastAsia="CESI黑体-GB2312" w:cs="CESI黑体-GB2312"/>
              <w:b w:val="0"/>
              <w:bCs w:val="0"/>
              <w:szCs w:val="32"/>
            </w:rPr>
            <w:instrText xml:space="preserve"> HYPERLINK \l _Toc8337 </w:instrText>
          </w:r>
          <w:r>
            <w:rPr>
              <w:rFonts w:hint="eastAsia" w:ascii="CESI黑体-GB2312" w:hAnsi="CESI黑体-GB2312" w:eastAsia="CESI黑体-GB2312" w:cs="CESI黑体-GB2312"/>
              <w:b w:val="0"/>
              <w:bCs w:val="0"/>
              <w:szCs w:val="32"/>
            </w:rPr>
            <w:fldChar w:fldCharType="separate"/>
          </w:r>
          <w:r>
            <w:rPr>
              <w:rFonts w:hint="eastAsia" w:ascii="CESI黑体-GB2312" w:hAnsi="CESI黑体-GB2312" w:eastAsia="CESI黑体-GB2312" w:cs="CESI黑体-GB2312"/>
              <w:b w:val="0"/>
              <w:bCs w:val="0"/>
            </w:rPr>
            <w:t>五、总体评价结论</w:t>
          </w:r>
          <w:r>
            <w:rPr>
              <w:rFonts w:hint="eastAsia" w:ascii="CESI黑体-GB2312" w:hAnsi="CESI黑体-GB2312" w:eastAsia="CESI黑体-GB2312" w:cs="CESI黑体-GB2312"/>
              <w:b w:val="0"/>
              <w:bCs w:val="0"/>
            </w:rPr>
            <w:tab/>
          </w:r>
          <w:r>
            <w:rPr>
              <w:rFonts w:hint="eastAsia" w:ascii="CESI黑体-GB2312" w:hAnsi="CESI黑体-GB2312" w:eastAsia="CESI黑体-GB2312" w:cs="CESI黑体-GB2312"/>
              <w:b w:val="0"/>
              <w:bCs w:val="0"/>
            </w:rPr>
            <w:fldChar w:fldCharType="begin"/>
          </w:r>
          <w:r>
            <w:rPr>
              <w:rFonts w:hint="eastAsia" w:ascii="CESI黑体-GB2312" w:hAnsi="CESI黑体-GB2312" w:eastAsia="CESI黑体-GB2312" w:cs="CESI黑体-GB2312"/>
              <w:b w:val="0"/>
              <w:bCs w:val="0"/>
            </w:rPr>
            <w:instrText xml:space="preserve"> PAGEREF _Toc8337 \h </w:instrText>
          </w:r>
          <w:r>
            <w:rPr>
              <w:rFonts w:hint="eastAsia" w:ascii="CESI黑体-GB2312" w:hAnsi="CESI黑体-GB2312" w:eastAsia="CESI黑体-GB2312" w:cs="CESI黑体-GB2312"/>
              <w:b w:val="0"/>
              <w:bCs w:val="0"/>
            </w:rPr>
            <w:fldChar w:fldCharType="separate"/>
          </w:r>
          <w:r>
            <w:rPr>
              <w:rFonts w:hint="eastAsia" w:ascii="CESI黑体-GB2312" w:hAnsi="CESI黑体-GB2312" w:eastAsia="CESI黑体-GB2312" w:cs="CESI黑体-GB2312"/>
              <w:b w:val="0"/>
              <w:bCs w:val="0"/>
            </w:rPr>
            <w:t>15</w:t>
          </w:r>
          <w:r>
            <w:rPr>
              <w:rFonts w:hint="eastAsia" w:ascii="CESI黑体-GB2312" w:hAnsi="CESI黑体-GB2312" w:eastAsia="CESI黑体-GB2312" w:cs="CESI黑体-GB2312"/>
              <w:b w:val="0"/>
              <w:bCs w:val="0"/>
            </w:rPr>
            <w:fldChar w:fldCharType="end"/>
          </w:r>
          <w:r>
            <w:rPr>
              <w:rFonts w:hint="eastAsia" w:ascii="CESI黑体-GB2312" w:hAnsi="CESI黑体-GB2312" w:eastAsia="CESI黑体-GB2312" w:cs="CESI黑体-GB2312"/>
              <w:b w:val="0"/>
              <w:bCs w:val="0"/>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_Toc4930 </w:instrText>
          </w:r>
          <w:r>
            <w:rPr>
              <w:rFonts w:hint="eastAsia" w:cs="仿宋_GB2312"/>
              <w:szCs w:val="32"/>
            </w:rPr>
            <w:fldChar w:fldCharType="separate"/>
          </w:r>
          <w:r>
            <w:rPr>
              <w:rFonts w:hint="eastAsia"/>
            </w:rPr>
            <w:t>（一）评价</w:t>
          </w:r>
          <w:r>
            <w:t>得分</w:t>
          </w:r>
          <w:r>
            <w:rPr>
              <w:rFonts w:hint="eastAsia"/>
            </w:rPr>
            <w:t>情况</w:t>
          </w:r>
          <w:r>
            <w:tab/>
          </w:r>
          <w:r>
            <w:fldChar w:fldCharType="begin"/>
          </w:r>
          <w:r>
            <w:instrText xml:space="preserve"> PAGEREF _Toc4930 \h </w:instrText>
          </w:r>
          <w:r>
            <w:fldChar w:fldCharType="separate"/>
          </w:r>
          <w:r>
            <w:t>15</w:t>
          </w:r>
          <w:r>
            <w:fldChar w:fldCharType="end"/>
          </w:r>
          <w:r>
            <w:rPr>
              <w:rFonts w:hint="eastAsia" w:cs="仿宋_GB2312"/>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_Toc28077 </w:instrText>
          </w:r>
          <w:r>
            <w:rPr>
              <w:rFonts w:hint="eastAsia" w:cs="仿宋_GB2312"/>
              <w:szCs w:val="32"/>
            </w:rPr>
            <w:fldChar w:fldCharType="separate"/>
          </w:r>
          <w:r>
            <w:rPr>
              <w:rFonts w:hint="eastAsia"/>
            </w:rPr>
            <w:t>（二）存在的问题及原因分析</w:t>
          </w:r>
          <w:r>
            <w:tab/>
          </w:r>
          <w:r>
            <w:fldChar w:fldCharType="begin"/>
          </w:r>
          <w:r>
            <w:instrText xml:space="preserve"> PAGEREF _Toc28077 \h </w:instrText>
          </w:r>
          <w:r>
            <w:fldChar w:fldCharType="separate"/>
          </w:r>
          <w:r>
            <w:t>15</w:t>
          </w:r>
          <w:r>
            <w:fldChar w:fldCharType="end"/>
          </w:r>
          <w:r>
            <w:rPr>
              <w:rFonts w:hint="eastAsia" w:cs="仿宋_GB2312"/>
              <w:szCs w:val="32"/>
            </w:rPr>
            <w:fldChar w:fldCharType="end"/>
          </w:r>
        </w:p>
        <w:p>
          <w:pPr>
            <w:pStyle w:val="12"/>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rPr>
              <w:rFonts w:hint="eastAsia" w:ascii="CESI黑体-GB2312" w:hAnsi="CESI黑体-GB2312" w:eastAsia="CESI黑体-GB2312" w:cs="CESI黑体-GB2312"/>
              <w:b w:val="0"/>
              <w:bCs w:val="0"/>
            </w:rPr>
          </w:pPr>
          <w:r>
            <w:rPr>
              <w:rFonts w:hint="eastAsia" w:ascii="CESI黑体-GB2312" w:hAnsi="CESI黑体-GB2312" w:eastAsia="CESI黑体-GB2312" w:cs="CESI黑体-GB2312"/>
              <w:b w:val="0"/>
              <w:bCs w:val="0"/>
              <w:szCs w:val="32"/>
            </w:rPr>
            <w:fldChar w:fldCharType="begin"/>
          </w:r>
          <w:r>
            <w:rPr>
              <w:rFonts w:hint="eastAsia" w:ascii="CESI黑体-GB2312" w:hAnsi="CESI黑体-GB2312" w:eastAsia="CESI黑体-GB2312" w:cs="CESI黑体-GB2312"/>
              <w:b w:val="0"/>
              <w:bCs w:val="0"/>
              <w:szCs w:val="32"/>
            </w:rPr>
            <w:instrText xml:space="preserve"> HYPERLINK \l _Toc21473 </w:instrText>
          </w:r>
          <w:r>
            <w:rPr>
              <w:rFonts w:hint="eastAsia" w:ascii="CESI黑体-GB2312" w:hAnsi="CESI黑体-GB2312" w:eastAsia="CESI黑体-GB2312" w:cs="CESI黑体-GB2312"/>
              <w:b w:val="0"/>
              <w:bCs w:val="0"/>
              <w:szCs w:val="32"/>
            </w:rPr>
            <w:fldChar w:fldCharType="separate"/>
          </w:r>
          <w:r>
            <w:rPr>
              <w:rFonts w:hint="eastAsia" w:ascii="CESI黑体-GB2312" w:hAnsi="CESI黑体-GB2312" w:eastAsia="CESI黑体-GB2312" w:cs="CESI黑体-GB2312"/>
              <w:b w:val="0"/>
              <w:bCs w:val="0"/>
            </w:rPr>
            <w:t>六、措施建议</w:t>
          </w:r>
          <w:r>
            <w:rPr>
              <w:rFonts w:hint="eastAsia" w:ascii="CESI黑体-GB2312" w:hAnsi="CESI黑体-GB2312" w:eastAsia="CESI黑体-GB2312" w:cs="CESI黑体-GB2312"/>
              <w:b w:val="0"/>
              <w:bCs w:val="0"/>
            </w:rPr>
            <w:tab/>
          </w:r>
          <w:r>
            <w:rPr>
              <w:rFonts w:hint="eastAsia" w:ascii="CESI黑体-GB2312" w:hAnsi="CESI黑体-GB2312" w:eastAsia="CESI黑体-GB2312" w:cs="CESI黑体-GB2312"/>
              <w:b w:val="0"/>
              <w:bCs w:val="0"/>
            </w:rPr>
            <w:fldChar w:fldCharType="begin"/>
          </w:r>
          <w:r>
            <w:rPr>
              <w:rFonts w:hint="eastAsia" w:ascii="CESI黑体-GB2312" w:hAnsi="CESI黑体-GB2312" w:eastAsia="CESI黑体-GB2312" w:cs="CESI黑体-GB2312"/>
              <w:b w:val="0"/>
              <w:bCs w:val="0"/>
            </w:rPr>
            <w:instrText xml:space="preserve"> PAGEREF _Toc21473 \h </w:instrText>
          </w:r>
          <w:r>
            <w:rPr>
              <w:rFonts w:hint="eastAsia" w:ascii="CESI黑体-GB2312" w:hAnsi="CESI黑体-GB2312" w:eastAsia="CESI黑体-GB2312" w:cs="CESI黑体-GB2312"/>
              <w:b w:val="0"/>
              <w:bCs w:val="0"/>
            </w:rPr>
            <w:fldChar w:fldCharType="separate"/>
          </w:r>
          <w:r>
            <w:rPr>
              <w:rFonts w:hint="eastAsia" w:ascii="CESI黑体-GB2312" w:hAnsi="CESI黑体-GB2312" w:eastAsia="CESI黑体-GB2312" w:cs="CESI黑体-GB2312"/>
              <w:b w:val="0"/>
              <w:bCs w:val="0"/>
            </w:rPr>
            <w:t>16</w:t>
          </w:r>
          <w:r>
            <w:rPr>
              <w:rFonts w:hint="eastAsia" w:ascii="CESI黑体-GB2312" w:hAnsi="CESI黑体-GB2312" w:eastAsia="CESI黑体-GB2312" w:cs="CESI黑体-GB2312"/>
              <w:b w:val="0"/>
              <w:bCs w:val="0"/>
            </w:rPr>
            <w:fldChar w:fldCharType="end"/>
          </w:r>
          <w:r>
            <w:rPr>
              <w:rFonts w:hint="eastAsia" w:ascii="CESI黑体-GB2312" w:hAnsi="CESI黑体-GB2312" w:eastAsia="CESI黑体-GB2312" w:cs="CESI黑体-GB2312"/>
              <w:b w:val="0"/>
              <w:bCs w:val="0"/>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_Toc23064 </w:instrText>
          </w:r>
          <w:r>
            <w:rPr>
              <w:rFonts w:hint="eastAsia" w:cs="仿宋_GB2312"/>
              <w:szCs w:val="32"/>
            </w:rPr>
            <w:fldChar w:fldCharType="separate"/>
          </w:r>
          <w:r>
            <w:rPr>
              <w:rFonts w:hint="eastAsia"/>
            </w:rPr>
            <w:t>（一）</w:t>
          </w:r>
          <w:r>
            <w:rPr>
              <w:rFonts w:hint="eastAsia"/>
              <w:lang w:val="en-US" w:eastAsia="zh-CN"/>
            </w:rPr>
            <w:t>科学编制绩效目标，重视服务对象满意度调查</w:t>
          </w:r>
          <w:r>
            <w:tab/>
          </w:r>
          <w:r>
            <w:fldChar w:fldCharType="begin"/>
          </w:r>
          <w:r>
            <w:instrText xml:space="preserve"> PAGEREF _Toc23064 \h </w:instrText>
          </w:r>
          <w:r>
            <w:fldChar w:fldCharType="separate"/>
          </w:r>
          <w:r>
            <w:t>16</w:t>
          </w:r>
          <w:r>
            <w:fldChar w:fldCharType="end"/>
          </w:r>
          <w:r>
            <w:rPr>
              <w:rFonts w:hint="eastAsia" w:cs="仿宋_GB2312"/>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_Toc4461 </w:instrText>
          </w:r>
          <w:r>
            <w:rPr>
              <w:rFonts w:hint="eastAsia" w:cs="仿宋_GB2312"/>
              <w:szCs w:val="32"/>
            </w:rPr>
            <w:fldChar w:fldCharType="separate"/>
          </w:r>
          <w:r>
            <w:rPr>
              <w:rFonts w:hint="eastAsia"/>
            </w:rPr>
            <w:t>（二）</w:t>
          </w:r>
          <w:r>
            <w:rPr>
              <w:rFonts w:hint="eastAsia"/>
              <w:lang w:val="en-US" w:eastAsia="zh-CN"/>
            </w:rPr>
            <w:t>加快工作节奏，及时完成合同签订、支出报销等工作</w:t>
          </w:r>
          <w:r>
            <w:tab/>
          </w:r>
          <w:r>
            <w:fldChar w:fldCharType="begin"/>
          </w:r>
          <w:r>
            <w:instrText xml:space="preserve"> PAGEREF _Toc4461 \h </w:instrText>
          </w:r>
          <w:r>
            <w:fldChar w:fldCharType="separate"/>
          </w:r>
          <w:r>
            <w:t>16</w:t>
          </w:r>
          <w:r>
            <w:fldChar w:fldCharType="end"/>
          </w:r>
          <w:r>
            <w:rPr>
              <w:rFonts w:hint="eastAsia" w:cs="仿宋_GB2312"/>
              <w:szCs w:val="32"/>
            </w:rPr>
            <w:fldChar w:fldCharType="end"/>
          </w:r>
        </w:p>
        <w:p>
          <w:pPr>
            <w:pStyle w:val="13"/>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pPr>
          <w:r>
            <w:rPr>
              <w:rFonts w:hint="eastAsia" w:cs="仿宋_GB2312"/>
              <w:szCs w:val="32"/>
            </w:rPr>
            <w:fldChar w:fldCharType="begin"/>
          </w:r>
          <w:r>
            <w:rPr>
              <w:rFonts w:hint="eastAsia" w:cs="仿宋_GB2312"/>
              <w:szCs w:val="32"/>
            </w:rPr>
            <w:instrText xml:space="preserve"> HYPERLINK \l _Toc28722 </w:instrText>
          </w:r>
          <w:r>
            <w:rPr>
              <w:rFonts w:hint="eastAsia" w:cs="仿宋_GB2312"/>
              <w:szCs w:val="32"/>
            </w:rPr>
            <w:fldChar w:fldCharType="separate"/>
          </w:r>
          <w:r>
            <w:rPr>
              <w:rFonts w:hint="eastAsia"/>
              <w:lang w:eastAsia="zh-CN"/>
            </w:rPr>
            <w:t>（</w:t>
          </w:r>
          <w:r>
            <w:rPr>
              <w:rFonts w:hint="eastAsia"/>
              <w:lang w:val="en-US" w:eastAsia="zh-CN"/>
            </w:rPr>
            <w:t>三</w:t>
          </w:r>
          <w:r>
            <w:rPr>
              <w:rFonts w:hint="eastAsia"/>
              <w:lang w:eastAsia="zh-CN"/>
            </w:rPr>
            <w:t>）</w:t>
          </w:r>
          <w:r>
            <w:rPr>
              <w:rFonts w:hint="eastAsia"/>
              <w:lang w:val="en-US" w:eastAsia="zh-CN"/>
            </w:rPr>
            <w:t>细化履约验收方案，规范验收程序</w:t>
          </w:r>
          <w:r>
            <w:tab/>
          </w:r>
          <w:r>
            <w:fldChar w:fldCharType="begin"/>
          </w:r>
          <w:r>
            <w:instrText xml:space="preserve"> PAGEREF _Toc28722 \h </w:instrText>
          </w:r>
          <w:r>
            <w:fldChar w:fldCharType="separate"/>
          </w:r>
          <w:r>
            <w:t>17</w:t>
          </w:r>
          <w:r>
            <w:fldChar w:fldCharType="end"/>
          </w:r>
          <w:r>
            <w:rPr>
              <w:rFonts w:hint="eastAsia" w:cs="仿宋_GB2312"/>
              <w:szCs w:val="32"/>
            </w:rPr>
            <w:fldChar w:fldCharType="end"/>
          </w:r>
        </w:p>
        <w:p>
          <w:pPr>
            <w:pStyle w:val="12"/>
            <w:keepNext w:val="0"/>
            <w:keepLines w:val="0"/>
            <w:pageBreakBefore w:val="0"/>
            <w:widowControl w:val="0"/>
            <w:tabs>
              <w:tab w:val="right" w:leader="dot" w:pos="8575"/>
            </w:tabs>
            <w:kinsoku/>
            <w:wordWrap/>
            <w:overflowPunct/>
            <w:topLinePunct w:val="0"/>
            <w:autoSpaceDE/>
            <w:autoSpaceDN/>
            <w:bidi w:val="0"/>
            <w:adjustRightInd w:val="0"/>
            <w:snapToGrid w:val="0"/>
            <w:spacing w:line="520" w:lineRule="exact"/>
            <w:ind w:left="0" w:leftChars="0" w:firstLine="0" w:firstLineChars="0"/>
            <w:jc w:val="left"/>
            <w:textAlignment w:val="auto"/>
            <w:rPr>
              <w:rFonts w:hint="eastAsia" w:ascii="CESI黑体-GB2312" w:hAnsi="CESI黑体-GB2312" w:eastAsia="CESI黑体-GB2312" w:cs="CESI黑体-GB2312"/>
              <w:b w:val="0"/>
              <w:bCs w:val="0"/>
            </w:rPr>
          </w:pPr>
          <w:r>
            <w:rPr>
              <w:rFonts w:hint="eastAsia" w:ascii="CESI黑体-GB2312" w:hAnsi="CESI黑体-GB2312" w:eastAsia="CESI黑体-GB2312" w:cs="CESI黑体-GB2312"/>
              <w:b w:val="0"/>
              <w:bCs w:val="0"/>
              <w:szCs w:val="32"/>
            </w:rPr>
            <w:fldChar w:fldCharType="begin"/>
          </w:r>
          <w:r>
            <w:rPr>
              <w:rFonts w:hint="eastAsia" w:ascii="CESI黑体-GB2312" w:hAnsi="CESI黑体-GB2312" w:eastAsia="CESI黑体-GB2312" w:cs="CESI黑体-GB2312"/>
              <w:b w:val="0"/>
              <w:bCs w:val="0"/>
              <w:szCs w:val="32"/>
            </w:rPr>
            <w:instrText xml:space="preserve"> HYPERLINK \l _Toc23941 </w:instrText>
          </w:r>
          <w:r>
            <w:rPr>
              <w:rFonts w:hint="eastAsia" w:ascii="CESI黑体-GB2312" w:hAnsi="CESI黑体-GB2312" w:eastAsia="CESI黑体-GB2312" w:cs="CESI黑体-GB2312"/>
              <w:b w:val="0"/>
              <w:bCs w:val="0"/>
              <w:szCs w:val="32"/>
            </w:rPr>
            <w:fldChar w:fldCharType="separate"/>
          </w:r>
          <w:r>
            <w:rPr>
              <w:rFonts w:hint="eastAsia" w:ascii="CESI黑体-GB2312" w:hAnsi="CESI黑体-GB2312" w:eastAsia="CESI黑体-GB2312" w:cs="CESI黑体-GB2312"/>
              <w:b w:val="0"/>
              <w:bCs w:val="0"/>
            </w:rPr>
            <w:t>七、附件</w:t>
          </w:r>
          <w:r>
            <w:rPr>
              <w:rFonts w:hint="eastAsia" w:ascii="CESI黑体-GB2312" w:hAnsi="CESI黑体-GB2312" w:eastAsia="CESI黑体-GB2312" w:cs="CESI黑体-GB2312"/>
              <w:b w:val="0"/>
              <w:bCs w:val="0"/>
            </w:rPr>
            <w:tab/>
          </w:r>
          <w:r>
            <w:rPr>
              <w:rFonts w:hint="eastAsia" w:ascii="CESI黑体-GB2312" w:hAnsi="CESI黑体-GB2312" w:eastAsia="CESI黑体-GB2312" w:cs="CESI黑体-GB2312"/>
              <w:b w:val="0"/>
              <w:bCs w:val="0"/>
            </w:rPr>
            <w:fldChar w:fldCharType="begin"/>
          </w:r>
          <w:r>
            <w:rPr>
              <w:rFonts w:hint="eastAsia" w:ascii="CESI黑体-GB2312" w:hAnsi="CESI黑体-GB2312" w:eastAsia="CESI黑体-GB2312" w:cs="CESI黑体-GB2312"/>
              <w:b w:val="0"/>
              <w:bCs w:val="0"/>
            </w:rPr>
            <w:instrText xml:space="preserve"> PAGEREF _Toc23941 \h </w:instrText>
          </w:r>
          <w:r>
            <w:rPr>
              <w:rFonts w:hint="eastAsia" w:ascii="CESI黑体-GB2312" w:hAnsi="CESI黑体-GB2312" w:eastAsia="CESI黑体-GB2312" w:cs="CESI黑体-GB2312"/>
              <w:b w:val="0"/>
              <w:bCs w:val="0"/>
            </w:rPr>
            <w:fldChar w:fldCharType="separate"/>
          </w:r>
          <w:r>
            <w:rPr>
              <w:rFonts w:hint="eastAsia" w:ascii="CESI黑体-GB2312" w:hAnsi="CESI黑体-GB2312" w:eastAsia="CESI黑体-GB2312" w:cs="CESI黑体-GB2312"/>
              <w:b w:val="0"/>
              <w:bCs w:val="0"/>
            </w:rPr>
            <w:t>17</w:t>
          </w:r>
          <w:r>
            <w:rPr>
              <w:rFonts w:hint="eastAsia" w:ascii="CESI黑体-GB2312" w:hAnsi="CESI黑体-GB2312" w:eastAsia="CESI黑体-GB2312" w:cs="CESI黑体-GB2312"/>
              <w:b w:val="0"/>
              <w:bCs w:val="0"/>
            </w:rPr>
            <w:fldChar w:fldCharType="end"/>
          </w:r>
          <w:r>
            <w:rPr>
              <w:rFonts w:hint="eastAsia" w:ascii="CESI黑体-GB2312" w:hAnsi="CESI黑体-GB2312" w:eastAsia="CESI黑体-GB2312" w:cs="CESI黑体-GB2312"/>
              <w:b w:val="0"/>
              <w:bCs w:val="0"/>
              <w:szCs w:val="32"/>
            </w:rPr>
            <w:fldChar w:fldCharType="end"/>
          </w:r>
        </w:p>
        <w:p>
          <w:pPr>
            <w:pStyle w:val="12"/>
            <w:keepNext w:val="0"/>
            <w:keepLines w:val="0"/>
            <w:pageBreakBefore w:val="0"/>
            <w:widowControl w:val="0"/>
            <w:tabs>
              <w:tab w:val="right" w:leader="dot" w:pos="8306"/>
            </w:tabs>
            <w:kinsoku/>
            <w:wordWrap/>
            <w:overflowPunct/>
            <w:topLinePunct w:val="0"/>
            <w:autoSpaceDE/>
            <w:autoSpaceDN/>
            <w:bidi w:val="0"/>
            <w:adjustRightInd w:val="0"/>
            <w:snapToGrid w:val="0"/>
            <w:spacing w:line="520" w:lineRule="exact"/>
            <w:ind w:firstLine="0" w:firstLineChars="0"/>
            <w:jc w:val="left"/>
            <w:textAlignment w:val="auto"/>
            <w:rPr>
              <w:rFonts w:ascii="华文中宋" w:hAnsi="华文中宋" w:eastAsia="华文中宋" w:cs="华文中宋"/>
              <w:sz w:val="36"/>
              <w:szCs w:val="36"/>
            </w:rPr>
            <w:sectPr>
              <w:headerReference r:id="rId5" w:type="default"/>
              <w:footerReference r:id="rId6" w:type="default"/>
              <w:pgSz w:w="11906" w:h="16838"/>
              <w:pgMar w:top="2098" w:right="1800" w:bottom="1984" w:left="1531" w:header="851" w:footer="1417" w:gutter="0"/>
              <w:cols w:space="425" w:num="1"/>
              <w:docGrid w:type="lines" w:linePitch="312" w:charSpace="0"/>
            </w:sectPr>
          </w:pPr>
          <w:r>
            <w:rPr>
              <w:rFonts w:hint="eastAsia" w:cs="仿宋_GB2312"/>
              <w:szCs w:val="32"/>
            </w:rPr>
            <w:fldChar w:fldCharType="end"/>
          </w:r>
        </w:p>
      </w:sdtContent>
    </w:sdt>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简体" w:hAnsi="方正小标宋简体" w:eastAsia="方正小标宋简体" w:cs="方正小标宋简体"/>
          <w:spacing w:val="-20"/>
          <w:sz w:val="44"/>
          <w:szCs w:val="44"/>
        </w:rPr>
      </w:pPr>
      <w:r>
        <w:rPr>
          <w:rFonts w:hint="eastAsia" w:ascii="方正小标宋简体" w:hAnsi="方正小标宋简体" w:eastAsia="方正小标宋简体" w:cs="方正小标宋简体"/>
          <w:spacing w:val="-20"/>
          <w:sz w:val="44"/>
          <w:szCs w:val="44"/>
        </w:rPr>
        <w:t>中国共产党北京市委员会市直属机关工作委员会</w:t>
      </w: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hint="eastAsia" w:ascii="方正小标宋简体" w:hAnsi="方正小标宋简体" w:eastAsia="方正小标宋简体" w:cs="方正小标宋简体"/>
          <w:spacing w:val="-20"/>
          <w:sz w:val="44"/>
          <w:szCs w:val="44"/>
        </w:rPr>
      </w:pPr>
      <w:r>
        <w:rPr>
          <w:rFonts w:hint="eastAsia" w:ascii="方正小标宋简体" w:hAnsi="方正小标宋简体" w:eastAsia="方正小标宋简体" w:cs="方正小标宋简体"/>
          <w:spacing w:val="-20"/>
          <w:sz w:val="44"/>
          <w:szCs w:val="44"/>
        </w:rPr>
        <w:t>2023年</w:t>
      </w:r>
      <w:r>
        <w:rPr>
          <w:rFonts w:hint="eastAsia" w:ascii="方正小标宋简体" w:hAnsi="方正小标宋简体" w:eastAsia="方正小标宋简体" w:cs="方正小标宋简体"/>
          <w:spacing w:val="-20"/>
          <w:sz w:val="44"/>
          <w:szCs w:val="44"/>
          <w:lang w:val="en-US" w:eastAsia="zh-CN"/>
        </w:rPr>
        <w:t>部门</w:t>
      </w:r>
      <w:r>
        <w:rPr>
          <w:rFonts w:hint="eastAsia" w:ascii="方正小标宋简体" w:hAnsi="方正小标宋简体" w:eastAsia="方正小标宋简体" w:cs="方正小标宋简体"/>
          <w:spacing w:val="-20"/>
          <w:sz w:val="44"/>
          <w:szCs w:val="44"/>
        </w:rPr>
        <w:t>整体绩效评价报告</w:t>
      </w:r>
    </w:p>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center"/>
        <w:textAlignment w:val="auto"/>
        <w:rPr>
          <w:rFonts w:ascii="华文中宋" w:hAnsi="华文中宋" w:eastAsia="华文中宋" w:cs="华文中宋"/>
          <w:sz w:val="36"/>
          <w:szCs w:val="36"/>
        </w:rPr>
      </w:pPr>
    </w:p>
    <w:p>
      <w:pPr>
        <w:pStyle w:val="2"/>
        <w:pageBreakBefore w:val="0"/>
        <w:widowControl w:val="0"/>
        <w:kinsoku/>
        <w:wordWrap/>
        <w:overflowPunct/>
        <w:topLinePunct w:val="0"/>
        <w:autoSpaceDE/>
        <w:autoSpaceDN/>
        <w:bidi w:val="0"/>
        <w:adjustRightInd w:val="0"/>
        <w:snapToGrid w:val="0"/>
        <w:spacing w:line="560" w:lineRule="exact"/>
        <w:ind w:firstLine="640"/>
        <w:jc w:val="left"/>
        <w:textAlignment w:val="auto"/>
      </w:pPr>
      <w:bookmarkStart w:id="0" w:name="_Toc27658"/>
      <w:bookmarkStart w:id="1" w:name="_Toc15195"/>
      <w:r>
        <w:rPr>
          <w:rFonts w:hint="eastAsia"/>
        </w:rPr>
        <w:t>一、</w:t>
      </w:r>
      <w:r>
        <w:rPr>
          <w:rFonts w:hint="eastAsia"/>
          <w:lang w:val="en-US" w:eastAsia="zh-CN"/>
        </w:rPr>
        <w:t>部门</w:t>
      </w:r>
      <w:r>
        <w:rPr>
          <w:rFonts w:hint="eastAsia"/>
        </w:rPr>
        <w:t>概况</w:t>
      </w:r>
      <w:bookmarkEnd w:id="0"/>
      <w:bookmarkEnd w:id="1"/>
    </w:p>
    <w:p>
      <w:pPr>
        <w:pStyle w:val="3"/>
        <w:pageBreakBefore w:val="0"/>
        <w:widowControl w:val="0"/>
        <w:kinsoku/>
        <w:wordWrap/>
        <w:overflowPunct/>
        <w:topLinePunct w:val="0"/>
        <w:autoSpaceDE/>
        <w:autoSpaceDN/>
        <w:bidi w:val="0"/>
        <w:adjustRightInd w:val="0"/>
        <w:snapToGrid w:val="0"/>
        <w:spacing w:line="560" w:lineRule="exact"/>
        <w:ind w:firstLine="640"/>
        <w:jc w:val="left"/>
        <w:textAlignment w:val="auto"/>
      </w:pPr>
      <w:bookmarkStart w:id="2" w:name="_Toc1290"/>
      <w:r>
        <w:rPr>
          <w:rFonts w:hint="eastAsia"/>
        </w:rPr>
        <w:t>（一）机构设置及职责工作任务情况</w:t>
      </w:r>
      <w:bookmarkEnd w:id="2"/>
    </w:p>
    <w:p>
      <w:pPr>
        <w:pageBreakBefore w:val="0"/>
        <w:widowControl w:val="0"/>
        <w:kinsoku/>
        <w:wordWrap/>
        <w:overflowPunct/>
        <w:topLinePunct w:val="0"/>
        <w:autoSpaceDE/>
        <w:autoSpaceDN/>
        <w:bidi w:val="0"/>
        <w:adjustRightInd w:val="0"/>
        <w:snapToGrid w:val="0"/>
        <w:spacing w:line="560" w:lineRule="exact"/>
        <w:jc w:val="left"/>
        <w:textAlignment w:val="auto"/>
      </w:pPr>
      <w:r>
        <w:t>1</w:t>
      </w:r>
      <w:r>
        <w:rPr>
          <w:rFonts w:hint="eastAsia"/>
        </w:rPr>
        <w:t>.部门职责</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rPr>
        <w:t>中国共产党北京市委员会市直属机关工作委员会（</w:t>
      </w:r>
      <w:r>
        <w:rPr>
          <w:rFonts w:hint="eastAsia"/>
          <w:lang w:val="en-US" w:eastAsia="zh-CN"/>
        </w:rPr>
        <w:t>以下</w:t>
      </w:r>
      <w:r>
        <w:rPr>
          <w:rFonts w:hint="eastAsia"/>
        </w:rPr>
        <w:t>简称</w:t>
      </w:r>
      <w:r>
        <w:rPr>
          <w:rFonts w:hint="eastAsia"/>
          <w:lang w:eastAsia="zh-CN"/>
        </w:rPr>
        <w:t>“</w:t>
      </w:r>
      <w:r>
        <w:rPr>
          <w:rFonts w:hint="eastAsia"/>
        </w:rPr>
        <w:t>市直机关工委</w:t>
      </w:r>
      <w:r>
        <w:rPr>
          <w:rFonts w:hint="eastAsia"/>
          <w:lang w:eastAsia="zh-CN"/>
        </w:rPr>
        <w:t>”</w:t>
      </w:r>
      <w:r>
        <w:rPr>
          <w:rFonts w:hint="eastAsia"/>
        </w:rPr>
        <w:t>）是中国共产党北京市委员会</w:t>
      </w:r>
      <w:r>
        <w:rPr>
          <w:rFonts w:hint="eastAsia"/>
          <w:lang w:eastAsia="zh-CN"/>
        </w:rPr>
        <w:t>（</w:t>
      </w:r>
      <w:r>
        <w:rPr>
          <w:rFonts w:hint="eastAsia"/>
          <w:lang w:val="en-US" w:eastAsia="zh-CN"/>
        </w:rPr>
        <w:t>以下简称“</w:t>
      </w:r>
      <w:r>
        <w:rPr>
          <w:rFonts w:hint="eastAsia"/>
        </w:rPr>
        <w:t>市委</w:t>
      </w:r>
      <w:r>
        <w:rPr>
          <w:rFonts w:hint="eastAsia"/>
          <w:lang w:val="en-US" w:eastAsia="zh-CN"/>
        </w:rPr>
        <w:t>”</w:t>
      </w:r>
      <w:r>
        <w:rPr>
          <w:rFonts w:hint="eastAsia"/>
          <w:lang w:eastAsia="zh-CN"/>
        </w:rPr>
        <w:t>）</w:t>
      </w:r>
      <w:r>
        <w:rPr>
          <w:rFonts w:hint="eastAsia"/>
        </w:rPr>
        <w:t>派出机构。</w:t>
      </w:r>
      <w:r>
        <w:rPr>
          <w:rFonts w:hint="eastAsia"/>
          <w:lang w:val="en-US" w:eastAsia="zh-CN"/>
        </w:rPr>
        <w:t>其</w:t>
      </w:r>
      <w:r>
        <w:rPr>
          <w:rFonts w:hint="eastAsia"/>
        </w:rPr>
        <w:t>主要职责是：</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1</w:t>
      </w:r>
      <w:r>
        <w:rPr>
          <w:rFonts w:hint="eastAsia"/>
          <w:lang w:eastAsia="zh-CN"/>
        </w:rPr>
        <w:t>）</w:t>
      </w:r>
      <w:r>
        <w:rPr>
          <w:rFonts w:hint="eastAsia"/>
        </w:rPr>
        <w:t>统一组织、规划、部署市直机关党的工作，提出加强和改进机关党的建设的意见和建议</w:t>
      </w:r>
      <w:r>
        <w:rPr>
          <w:rFonts w:hint="eastAsia"/>
          <w:lang w:eastAsia="zh-CN"/>
        </w:rPr>
        <w:t>，</w:t>
      </w:r>
      <w:r>
        <w:rPr>
          <w:rFonts w:hint="eastAsia"/>
        </w:rPr>
        <w:t>研究制定工作规划</w:t>
      </w:r>
      <w:r>
        <w:rPr>
          <w:rFonts w:hint="eastAsia"/>
          <w:lang w:eastAsia="zh-CN"/>
        </w:rPr>
        <w:t>，</w:t>
      </w:r>
      <w:r>
        <w:rPr>
          <w:rFonts w:hint="eastAsia"/>
        </w:rPr>
        <w:t>并抓好组织实施。</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2</w:t>
      </w:r>
      <w:r>
        <w:rPr>
          <w:rFonts w:hint="eastAsia"/>
          <w:lang w:eastAsia="zh-CN"/>
        </w:rPr>
        <w:t>）</w:t>
      </w:r>
      <w:r>
        <w:rPr>
          <w:rFonts w:hint="eastAsia"/>
        </w:rPr>
        <w:t>指导市直机关党的政治建设、思想建设、组织建设、作风建设、纪律建设，把制度建设贯穿其中，深入推进反腐败斗争。</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3</w:t>
      </w:r>
      <w:r>
        <w:rPr>
          <w:rFonts w:hint="eastAsia"/>
          <w:lang w:eastAsia="zh-CN"/>
        </w:rPr>
        <w:t>）</w:t>
      </w:r>
      <w:r>
        <w:rPr>
          <w:rFonts w:hint="eastAsia"/>
        </w:rPr>
        <w:t>指导市直机关各级党组织和广大党员学习马克思列宁主义、毛泽东思想、邓小平理论、“三个代表”重要思想、科学发展观、习近平新时代中国特色社会主义思想。</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4</w:t>
      </w:r>
      <w:r>
        <w:rPr>
          <w:rFonts w:hint="eastAsia"/>
          <w:lang w:eastAsia="zh-CN"/>
        </w:rPr>
        <w:t>）</w:t>
      </w:r>
      <w:r>
        <w:rPr>
          <w:rFonts w:hint="eastAsia"/>
        </w:rPr>
        <w:t>指导督促市直机关各部门党组（党委）（包括不设党组、党委的部门领导班子，下同）落实机关党建主体责任，定期对市直机关各部门党组（党委）、机关基层党组织、党员领导干部落实机关党建工作责任制、机关党建重点工作和重要制度情况进行督查，及时向市委报告有关情况。</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5</w:t>
      </w:r>
      <w:r>
        <w:rPr>
          <w:rFonts w:hint="eastAsia"/>
          <w:lang w:eastAsia="zh-CN"/>
        </w:rPr>
        <w:t>）</w:t>
      </w:r>
      <w:r>
        <w:rPr>
          <w:rFonts w:hint="eastAsia"/>
        </w:rPr>
        <w:t>指导市直机关各级党组织实施对党员特别是党员领导干部的监督和管理</w:t>
      </w:r>
      <w:r>
        <w:rPr>
          <w:rFonts w:hint="eastAsia"/>
          <w:lang w:eastAsia="zh-CN"/>
        </w:rPr>
        <w:t>，</w:t>
      </w:r>
      <w:r>
        <w:rPr>
          <w:rFonts w:hint="eastAsia"/>
        </w:rPr>
        <w:t>及时向市委反映各部门领导班子、领导干部的情况。</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6</w:t>
      </w:r>
      <w:r>
        <w:rPr>
          <w:rFonts w:hint="eastAsia"/>
          <w:lang w:eastAsia="zh-CN"/>
        </w:rPr>
        <w:t>）</w:t>
      </w:r>
      <w:r>
        <w:rPr>
          <w:rFonts w:hint="eastAsia"/>
        </w:rPr>
        <w:t>配合市委有关部门抓好市直机关各部门领导班子思想政治建设</w:t>
      </w:r>
      <w:r>
        <w:rPr>
          <w:rFonts w:hint="eastAsia"/>
          <w:lang w:eastAsia="zh-CN"/>
        </w:rPr>
        <w:t>，</w:t>
      </w:r>
      <w:r>
        <w:rPr>
          <w:rFonts w:hint="eastAsia"/>
        </w:rPr>
        <w:t>参与对党员领导干部民主生活会和各部门党组（党委）理论学习中心组学习的督促检查和指导，了解掌握情况</w:t>
      </w:r>
      <w:r>
        <w:rPr>
          <w:rFonts w:hint="eastAsia"/>
          <w:lang w:eastAsia="zh-CN"/>
        </w:rPr>
        <w:t>，</w:t>
      </w:r>
      <w:r>
        <w:rPr>
          <w:rFonts w:hint="eastAsia"/>
        </w:rPr>
        <w:t>按规定报送情况报告。</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7</w:t>
      </w:r>
      <w:r>
        <w:rPr>
          <w:rFonts w:hint="eastAsia"/>
          <w:lang w:eastAsia="zh-CN"/>
        </w:rPr>
        <w:t>）</w:t>
      </w:r>
      <w:r>
        <w:rPr>
          <w:rFonts w:hint="eastAsia"/>
        </w:rPr>
        <w:t>督促指导市直机关各部门机关党委（包括不设机关党委的党总支、党支部，下同）按期换届</w:t>
      </w:r>
      <w:r>
        <w:rPr>
          <w:rFonts w:hint="eastAsia"/>
          <w:lang w:eastAsia="zh-CN"/>
        </w:rPr>
        <w:t>，</w:t>
      </w:r>
      <w:r>
        <w:rPr>
          <w:rFonts w:hint="eastAsia"/>
        </w:rPr>
        <w:t>审批关于召开党员大会或党员代表大会的请示</w:t>
      </w:r>
      <w:r>
        <w:rPr>
          <w:rFonts w:hint="eastAsia"/>
          <w:lang w:eastAsia="zh-CN"/>
        </w:rPr>
        <w:t>，</w:t>
      </w:r>
      <w:r>
        <w:rPr>
          <w:rFonts w:hint="eastAsia"/>
        </w:rPr>
        <w:t>审批市直机关各部门机关党委和机关纪委领导班子的组成及书记、副书记的任免。</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8</w:t>
      </w:r>
      <w:r>
        <w:rPr>
          <w:rFonts w:hint="eastAsia"/>
          <w:lang w:eastAsia="zh-CN"/>
        </w:rPr>
        <w:t>）</w:t>
      </w:r>
      <w:r>
        <w:rPr>
          <w:rFonts w:hint="eastAsia"/>
        </w:rPr>
        <w:t>指导市直机关各级党组织加强基层组织建设，做好党员发展、教育和管理等工作。</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9</w:t>
      </w:r>
      <w:r>
        <w:rPr>
          <w:rFonts w:hint="eastAsia"/>
          <w:lang w:eastAsia="zh-CN"/>
        </w:rPr>
        <w:t>）</w:t>
      </w:r>
      <w:r>
        <w:rPr>
          <w:rFonts w:hint="eastAsia"/>
        </w:rPr>
        <w:t>领导市直机关各部门机关党的纪律检查工作。</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10</w:t>
      </w:r>
      <w:r>
        <w:rPr>
          <w:rFonts w:hint="eastAsia"/>
          <w:lang w:eastAsia="zh-CN"/>
        </w:rPr>
        <w:t>）</w:t>
      </w:r>
      <w:r>
        <w:rPr>
          <w:rFonts w:hint="eastAsia"/>
        </w:rPr>
        <w:t>了解掌握市直机关工作人员的思想状况</w:t>
      </w:r>
      <w:r>
        <w:rPr>
          <w:rFonts w:hint="eastAsia"/>
          <w:lang w:eastAsia="zh-CN"/>
        </w:rPr>
        <w:t>，</w:t>
      </w:r>
      <w:r>
        <w:rPr>
          <w:rFonts w:hint="eastAsia"/>
        </w:rPr>
        <w:t>指导市直机关各级党组织加强思想政治工作和精神文明建设。</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11</w:t>
      </w:r>
      <w:r>
        <w:rPr>
          <w:rFonts w:hint="eastAsia"/>
          <w:lang w:eastAsia="zh-CN"/>
        </w:rPr>
        <w:t>）</w:t>
      </w:r>
      <w:r>
        <w:rPr>
          <w:rFonts w:hint="eastAsia"/>
        </w:rPr>
        <w:t>领导市直机关工会、共青团、妇联等群团组织的工作，指导市直机关各级党组织做好党的群众工作和统一战线工作。</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12</w:t>
      </w:r>
      <w:r>
        <w:rPr>
          <w:rFonts w:hint="eastAsia"/>
          <w:lang w:eastAsia="zh-CN"/>
        </w:rPr>
        <w:t>）</w:t>
      </w:r>
      <w:r>
        <w:rPr>
          <w:rFonts w:hint="eastAsia"/>
        </w:rPr>
        <w:t>协同有关部门指导、规划、协调、监督、检查市直机关党员干部理论学习和教育培训工作，培训轮训市直机关党务干部。</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13</w:t>
      </w:r>
      <w:r>
        <w:rPr>
          <w:rFonts w:hint="eastAsia"/>
          <w:lang w:eastAsia="zh-CN"/>
        </w:rPr>
        <w:t>）</w:t>
      </w:r>
      <w:r>
        <w:rPr>
          <w:rFonts w:hint="eastAsia"/>
        </w:rPr>
        <w:t>协助有关部门协调市直机关各部门做好维护稳定、离退休干部和老龄等工作。</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lang w:eastAsia="zh-CN"/>
        </w:rPr>
        <w:t>（</w:t>
      </w:r>
      <w:r>
        <w:rPr>
          <w:rFonts w:hint="eastAsia"/>
          <w:lang w:val="en-US" w:eastAsia="zh-CN"/>
        </w:rPr>
        <w:t>14</w:t>
      </w:r>
      <w:r>
        <w:rPr>
          <w:rFonts w:hint="eastAsia"/>
          <w:lang w:eastAsia="zh-CN"/>
        </w:rPr>
        <w:t>）</w:t>
      </w:r>
      <w:r>
        <w:rPr>
          <w:rFonts w:hint="eastAsia"/>
        </w:rPr>
        <w:t>完成市委交办的其他任务。</w:t>
      </w:r>
    </w:p>
    <w:p>
      <w:pPr>
        <w:pageBreakBefore w:val="0"/>
        <w:widowControl w:val="0"/>
        <w:kinsoku/>
        <w:wordWrap/>
        <w:overflowPunct/>
        <w:topLinePunct w:val="0"/>
        <w:autoSpaceDE/>
        <w:autoSpaceDN/>
        <w:bidi w:val="0"/>
        <w:adjustRightInd w:val="0"/>
        <w:snapToGrid w:val="0"/>
        <w:spacing w:line="560" w:lineRule="exact"/>
        <w:jc w:val="left"/>
        <w:textAlignment w:val="auto"/>
      </w:pPr>
      <w:r>
        <w:rPr>
          <w:rFonts w:hint="eastAsia"/>
        </w:rPr>
        <w:t>2.机构设置情况</w:t>
      </w:r>
    </w:p>
    <w:p>
      <w:pPr>
        <w:pageBreakBefore w:val="0"/>
        <w:widowControl w:val="0"/>
        <w:kinsoku/>
        <w:wordWrap/>
        <w:overflowPunct/>
        <w:topLinePunct w:val="0"/>
        <w:autoSpaceDE/>
        <w:autoSpaceDN/>
        <w:bidi w:val="0"/>
        <w:adjustRightInd w:val="0"/>
        <w:snapToGrid w:val="0"/>
        <w:spacing w:line="560" w:lineRule="exact"/>
        <w:jc w:val="left"/>
        <w:textAlignment w:val="auto"/>
      </w:pPr>
      <w:r>
        <w:rPr>
          <w:rFonts w:hint="eastAsia"/>
          <w:lang w:val="en-US" w:eastAsia="zh-CN"/>
        </w:rPr>
        <w:t>市直机关工委</w:t>
      </w:r>
      <w:r>
        <w:rPr>
          <w:rFonts w:hint="eastAsia"/>
        </w:rPr>
        <w:t>内设办公室、研究室、组织部、宣传部、党建督查室、统战部、北京市直属机关工会（北京市直属机关妇女工作委员会）、共青团北京市直属机关工作委员会、机关党委（人事处）、离退休干部处</w:t>
      </w:r>
      <w:r>
        <w:rPr>
          <w:rFonts w:hint="eastAsia"/>
          <w:lang w:eastAsia="zh-CN"/>
        </w:rPr>
        <w:t>，</w:t>
      </w:r>
      <w:r>
        <w:rPr>
          <w:rFonts w:hint="eastAsia"/>
        </w:rPr>
        <w:t>同时按规定</w:t>
      </w:r>
      <w:r>
        <w:rPr>
          <w:rFonts w:hint="eastAsia"/>
          <w:lang w:eastAsia="zh-CN"/>
        </w:rPr>
        <w:t>设立</w:t>
      </w:r>
      <w:r>
        <w:rPr>
          <w:rFonts w:hint="eastAsia"/>
        </w:rPr>
        <w:t>市直机关纪检监察工作委员会。</w:t>
      </w:r>
    </w:p>
    <w:p>
      <w:pPr>
        <w:pageBreakBefore w:val="0"/>
        <w:widowControl w:val="0"/>
        <w:kinsoku/>
        <w:wordWrap/>
        <w:overflowPunct/>
        <w:topLinePunct w:val="0"/>
        <w:autoSpaceDE/>
        <w:autoSpaceDN/>
        <w:bidi w:val="0"/>
        <w:adjustRightInd w:val="0"/>
        <w:snapToGrid w:val="0"/>
        <w:spacing w:line="560" w:lineRule="exact"/>
        <w:jc w:val="left"/>
        <w:textAlignment w:val="auto"/>
      </w:pPr>
      <w:r>
        <w:rPr>
          <w:rFonts w:hint="eastAsia"/>
        </w:rPr>
        <w:t>3.</w:t>
      </w:r>
      <w:r>
        <w:rPr>
          <w:rFonts w:hint="eastAsia"/>
          <w:lang w:val="en-US" w:eastAsia="zh-CN"/>
        </w:rPr>
        <w:t>部门</w:t>
      </w:r>
      <w:r>
        <w:rPr>
          <w:rFonts w:hint="eastAsia"/>
        </w:rPr>
        <w:t>人员构成</w:t>
      </w:r>
    </w:p>
    <w:p>
      <w:pPr>
        <w:pageBreakBefore w:val="0"/>
        <w:widowControl w:val="0"/>
        <w:kinsoku/>
        <w:wordWrap/>
        <w:overflowPunct/>
        <w:topLinePunct w:val="0"/>
        <w:autoSpaceDE/>
        <w:autoSpaceDN/>
        <w:bidi w:val="0"/>
        <w:adjustRightInd w:val="0"/>
        <w:snapToGrid w:val="0"/>
        <w:spacing w:line="560" w:lineRule="exact"/>
        <w:jc w:val="left"/>
        <w:textAlignment w:val="auto"/>
      </w:pPr>
      <w:r>
        <w:t>截至2023年12月31日，</w:t>
      </w:r>
      <w:r>
        <w:rPr>
          <w:rFonts w:hint="eastAsia"/>
          <w:lang w:val="en-US" w:eastAsia="zh-CN"/>
        </w:rPr>
        <w:t>市直机关工委</w:t>
      </w:r>
      <w:r>
        <w:t>实有</w:t>
      </w:r>
      <w:r>
        <w:rPr>
          <w:rFonts w:hint="eastAsia"/>
          <w:lang w:val="en-US" w:eastAsia="zh-CN"/>
        </w:rPr>
        <w:t>人数106人，其中在职104人，离休2人</w:t>
      </w:r>
      <w:r>
        <w:t>。</w:t>
      </w:r>
    </w:p>
    <w:p>
      <w:pPr>
        <w:pStyle w:val="3"/>
        <w:pageBreakBefore w:val="0"/>
        <w:widowControl w:val="0"/>
        <w:kinsoku/>
        <w:wordWrap/>
        <w:overflowPunct/>
        <w:topLinePunct w:val="0"/>
        <w:autoSpaceDE/>
        <w:autoSpaceDN/>
        <w:bidi w:val="0"/>
        <w:adjustRightInd w:val="0"/>
        <w:snapToGrid w:val="0"/>
        <w:spacing w:line="560" w:lineRule="exact"/>
        <w:ind w:firstLine="640"/>
        <w:jc w:val="left"/>
        <w:textAlignment w:val="auto"/>
      </w:pPr>
      <w:bookmarkStart w:id="3" w:name="_Toc5458"/>
      <w:r>
        <w:rPr>
          <w:rFonts w:hint="eastAsia"/>
        </w:rPr>
        <w:t>（二）</w:t>
      </w:r>
      <w:r>
        <w:rPr>
          <w:rFonts w:hint="eastAsia"/>
          <w:lang w:val="en-US" w:eastAsia="zh-CN"/>
        </w:rPr>
        <w:t>部门</w:t>
      </w:r>
      <w:r>
        <w:rPr>
          <w:rFonts w:hint="eastAsia"/>
        </w:rPr>
        <w:t>整体绩效目标设立情况</w:t>
      </w:r>
      <w:bookmarkEnd w:id="3"/>
    </w:p>
    <w:p>
      <w:pPr>
        <w:pageBreakBefore w:val="0"/>
        <w:widowControl w:val="0"/>
        <w:kinsoku/>
        <w:wordWrap/>
        <w:overflowPunct/>
        <w:topLinePunct w:val="0"/>
        <w:autoSpaceDE/>
        <w:autoSpaceDN/>
        <w:bidi w:val="0"/>
        <w:adjustRightInd w:val="0"/>
        <w:snapToGrid w:val="0"/>
        <w:spacing w:line="560" w:lineRule="exact"/>
        <w:jc w:val="left"/>
        <w:textAlignment w:val="auto"/>
      </w:pPr>
      <w:r>
        <w:t>2023</w:t>
      </w:r>
      <w:r>
        <w:rPr>
          <w:rFonts w:hint="eastAsia"/>
        </w:rPr>
        <w:t>年</w:t>
      </w:r>
      <w:r>
        <w:rPr>
          <w:rFonts w:hint="eastAsia"/>
          <w:lang w:val="en-US" w:eastAsia="zh-CN"/>
        </w:rPr>
        <w:t>市直机关工委</w:t>
      </w:r>
      <w:r>
        <w:rPr>
          <w:rFonts w:hint="eastAsia"/>
        </w:rPr>
        <w:t>围绕</w:t>
      </w:r>
      <w:r>
        <w:rPr>
          <w:rFonts w:hint="eastAsia"/>
          <w:lang w:val="en-US" w:eastAsia="zh-CN"/>
        </w:rPr>
        <w:t>部门职能</w:t>
      </w:r>
      <w:r>
        <w:rPr>
          <w:rFonts w:hint="eastAsia"/>
        </w:rPr>
        <w:t>设置了</w:t>
      </w:r>
      <w:r>
        <w:rPr>
          <w:rFonts w:hint="eastAsia"/>
          <w:lang w:eastAsia="zh-CN"/>
        </w:rPr>
        <w:t>部门</w:t>
      </w:r>
      <w:r>
        <w:rPr>
          <w:rFonts w:hint="eastAsia"/>
        </w:rPr>
        <w:t>整体绩效目标</w:t>
      </w:r>
      <w:r>
        <w:rPr>
          <w:rFonts w:hint="eastAsia"/>
          <w:lang w:val="en-US" w:eastAsia="zh-CN"/>
        </w:rPr>
        <w:t>，按照</w:t>
      </w:r>
      <w:r>
        <w:rPr>
          <w:rFonts w:hint="eastAsia"/>
        </w:rPr>
        <w:t>“统战工作”“老干部工作”“妇女工作”</w:t>
      </w:r>
      <w:r>
        <w:rPr>
          <w:rFonts w:hint="eastAsia"/>
          <w:lang w:val="en-US" w:eastAsia="zh-CN"/>
        </w:rPr>
        <w:t>等8</w:t>
      </w:r>
      <w:r>
        <w:rPr>
          <w:rFonts w:hint="eastAsia"/>
        </w:rPr>
        <w:t>个活动方向</w:t>
      </w:r>
      <w:r>
        <w:rPr>
          <w:rFonts w:hint="eastAsia"/>
          <w:lang w:val="en-US" w:eastAsia="zh-CN"/>
        </w:rPr>
        <w:t>分解了</w:t>
      </w:r>
      <w:r>
        <w:rPr>
          <w:rFonts w:hint="eastAsia"/>
        </w:rPr>
        <w:t>绩效指标。</w:t>
      </w:r>
      <w:r>
        <w:rPr>
          <w:rFonts w:hint="eastAsia"/>
          <w:lang w:eastAsia="zh-CN"/>
        </w:rPr>
        <w:t>部门</w:t>
      </w:r>
      <w:r>
        <w:rPr>
          <w:rFonts w:hint="eastAsia"/>
        </w:rPr>
        <w:t>整体绩效目标与</w:t>
      </w:r>
      <w:r>
        <w:rPr>
          <w:rFonts w:hint="eastAsia"/>
          <w:lang w:val="en-US" w:eastAsia="zh-CN"/>
        </w:rPr>
        <w:t>市直机关工委</w:t>
      </w:r>
      <w:r>
        <w:rPr>
          <w:rFonts w:hint="eastAsia"/>
        </w:rPr>
        <w:t>“领导市直机关各部门机关党的纪律检查工作”</w:t>
      </w:r>
      <w:r>
        <w:rPr>
          <w:rFonts w:hint="eastAsia"/>
          <w:lang w:eastAsia="zh-CN"/>
        </w:rPr>
        <w:t>“</w:t>
      </w:r>
      <w:r>
        <w:rPr>
          <w:rFonts w:hint="eastAsia"/>
        </w:rPr>
        <w:t>领导市直机关工会、共青团、妇联等群团组织的工作，指导市直机关各级党组织做好党的群众工作和统一战线工作</w:t>
      </w:r>
      <w:r>
        <w:rPr>
          <w:rFonts w:hint="eastAsia"/>
          <w:lang w:eastAsia="zh-CN"/>
        </w:rPr>
        <w:t>”</w:t>
      </w:r>
      <w:r>
        <w:rPr>
          <w:rFonts w:hint="eastAsia"/>
        </w:rPr>
        <w:t>等职责定位较为相符。</w:t>
      </w:r>
    </w:p>
    <w:p>
      <w:pPr>
        <w:pageBreakBefore w:val="0"/>
        <w:widowControl w:val="0"/>
        <w:kinsoku/>
        <w:wordWrap/>
        <w:overflowPunct/>
        <w:topLinePunct w:val="0"/>
        <w:autoSpaceDE/>
        <w:autoSpaceDN/>
        <w:bidi w:val="0"/>
        <w:adjustRightInd w:val="0"/>
        <w:snapToGrid w:val="0"/>
        <w:spacing w:line="560" w:lineRule="exact"/>
        <w:jc w:val="left"/>
        <w:textAlignment w:val="auto"/>
      </w:pPr>
      <w:r>
        <w:rPr>
          <w:rFonts w:hint="eastAsia"/>
          <w:lang w:eastAsia="zh-CN"/>
        </w:rPr>
        <w:t>部门</w:t>
      </w:r>
      <w:r>
        <w:rPr>
          <w:rFonts w:hint="eastAsia"/>
        </w:rPr>
        <w:t>整体绩效目标为：以习近平新时代中国特色社会主义思想为指导，深入学习宣传贯彻党的二十大精神，按照市委统一部署，以党的政治建设为统领，着力深化理论武装、着力夯实基层基础、着力推进正风肃纪，全面提高机关党建质量，打造让党中央和市委放心、让全市人民满意的政治机关、首善机关、模范机关，教育引导机关党员干部牢记首都肩负的重大职责使命，为推动新时代首都发展作出更大贡献。</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r>
        <w:rPr>
          <w:rFonts w:hint="eastAsia"/>
        </w:rPr>
        <w:t>绩效指标详见表</w:t>
      </w:r>
      <w:r>
        <w:rPr>
          <w:rFonts w:hint="eastAsia"/>
          <w:lang w:val="en-US" w:eastAsia="zh-CN"/>
        </w:rPr>
        <w:t>1</w:t>
      </w:r>
      <w:r>
        <w:rPr>
          <w:rFonts w:hint="eastAsia"/>
        </w:rPr>
        <w:t>：</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rPr>
      </w:pPr>
    </w:p>
    <w:p>
      <w:pPr>
        <w:ind w:firstLine="0" w:firstLineChars="0"/>
        <w:jc w:val="center"/>
        <w:rPr>
          <w:rFonts w:ascii="黑体" w:hAnsi="黑体" w:eastAsia="黑体" w:cs="黑体"/>
          <w:b w:val="0"/>
          <w:bCs w:val="0"/>
          <w:sz w:val="28"/>
          <w:szCs w:val="28"/>
        </w:rPr>
      </w:pPr>
      <w:r>
        <w:rPr>
          <w:rFonts w:hint="eastAsia" w:ascii="黑体" w:hAnsi="黑体" w:eastAsia="黑体" w:cs="黑体"/>
          <w:b w:val="0"/>
          <w:bCs w:val="0"/>
          <w:sz w:val="28"/>
          <w:szCs w:val="28"/>
        </w:rPr>
        <w:t>表1：</w:t>
      </w:r>
      <w:r>
        <w:rPr>
          <w:rFonts w:hint="eastAsia" w:ascii="黑体" w:hAnsi="黑体" w:eastAsia="黑体" w:cs="黑体"/>
          <w:b w:val="0"/>
          <w:bCs w:val="0"/>
          <w:sz w:val="28"/>
          <w:szCs w:val="28"/>
          <w:lang w:eastAsia="zh-CN"/>
        </w:rPr>
        <w:t>市直机关工委</w:t>
      </w:r>
      <w:r>
        <w:rPr>
          <w:rFonts w:hint="eastAsia" w:ascii="黑体" w:hAnsi="黑体" w:eastAsia="黑体" w:cs="黑体"/>
          <w:b w:val="0"/>
          <w:bCs w:val="0"/>
          <w:sz w:val="28"/>
          <w:szCs w:val="28"/>
        </w:rPr>
        <w:t>2023年</w:t>
      </w:r>
      <w:r>
        <w:rPr>
          <w:rFonts w:hint="eastAsia" w:ascii="黑体" w:hAnsi="黑体" w:eastAsia="黑体" w:cs="黑体"/>
          <w:b w:val="0"/>
          <w:bCs w:val="0"/>
          <w:sz w:val="28"/>
          <w:szCs w:val="28"/>
          <w:lang w:eastAsia="zh-CN"/>
        </w:rPr>
        <w:t>部门</w:t>
      </w:r>
      <w:r>
        <w:rPr>
          <w:rFonts w:hint="eastAsia" w:ascii="黑体" w:hAnsi="黑体" w:eastAsia="黑体" w:cs="黑体"/>
          <w:b w:val="0"/>
          <w:bCs w:val="0"/>
          <w:sz w:val="28"/>
          <w:szCs w:val="28"/>
        </w:rPr>
        <w:t>整体绩效指标表</w:t>
      </w:r>
    </w:p>
    <w:tbl>
      <w:tblPr>
        <w:tblStyle w:val="16"/>
        <w:tblW w:w="4997" w:type="pct"/>
        <w:tblInd w:w="0" w:type="dxa"/>
        <w:tblLayout w:type="autofit"/>
        <w:tblCellMar>
          <w:top w:w="0" w:type="dxa"/>
          <w:left w:w="108" w:type="dxa"/>
          <w:bottom w:w="0" w:type="dxa"/>
          <w:right w:w="108" w:type="dxa"/>
        </w:tblCellMar>
      </w:tblPr>
      <w:tblGrid>
        <w:gridCol w:w="1737"/>
        <w:gridCol w:w="4910"/>
        <w:gridCol w:w="1265"/>
        <w:gridCol w:w="1200"/>
      </w:tblGrid>
      <w:tr>
        <w:tblPrEx>
          <w:tblCellMar>
            <w:top w:w="0" w:type="dxa"/>
            <w:left w:w="108" w:type="dxa"/>
            <w:bottom w:w="0" w:type="dxa"/>
            <w:right w:w="108" w:type="dxa"/>
          </w:tblCellMar>
        </w:tblPrEx>
        <w:trPr>
          <w:trHeight w:val="454" w:hRule="exact"/>
          <w:tblHeader/>
        </w:trPr>
        <w:tc>
          <w:tcPr>
            <w:tcW w:w="95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b/>
                <w:bCs/>
                <w:color w:val="000000"/>
                <w:sz w:val="24"/>
                <w:szCs w:val="24"/>
              </w:rPr>
            </w:pPr>
            <w:r>
              <w:rPr>
                <w:rFonts w:hint="eastAsia" w:ascii="CESI楷体-GB2312" w:hAnsi="CESI楷体-GB2312" w:eastAsia="CESI楷体-GB2312" w:cs="CESI楷体-GB2312"/>
                <w:b/>
                <w:bCs/>
                <w:color w:val="000000"/>
                <w:kern w:val="0"/>
                <w:sz w:val="24"/>
                <w:szCs w:val="24"/>
                <w:lang w:bidi="ar"/>
              </w:rPr>
              <w:t>活动</w:t>
            </w:r>
          </w:p>
        </w:tc>
        <w:tc>
          <w:tcPr>
            <w:tcW w:w="269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b/>
                <w:bCs/>
                <w:color w:val="000000"/>
                <w:sz w:val="24"/>
                <w:szCs w:val="24"/>
              </w:rPr>
            </w:pPr>
            <w:r>
              <w:rPr>
                <w:rFonts w:hint="eastAsia" w:ascii="CESI楷体-GB2312" w:hAnsi="CESI楷体-GB2312" w:eastAsia="CESI楷体-GB2312" w:cs="CESI楷体-GB2312"/>
                <w:b/>
                <w:bCs/>
                <w:color w:val="000000"/>
                <w:kern w:val="0"/>
                <w:sz w:val="24"/>
                <w:szCs w:val="24"/>
                <w:lang w:bidi="ar"/>
              </w:rPr>
              <w:t>绩效指标</w:t>
            </w:r>
          </w:p>
        </w:tc>
        <w:tc>
          <w:tcPr>
            <w:tcW w:w="694"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b/>
                <w:bCs/>
                <w:color w:val="000000"/>
                <w:sz w:val="24"/>
                <w:szCs w:val="24"/>
              </w:rPr>
            </w:pPr>
            <w:r>
              <w:rPr>
                <w:rFonts w:hint="eastAsia" w:ascii="CESI楷体-GB2312" w:hAnsi="CESI楷体-GB2312" w:eastAsia="CESI楷体-GB2312" w:cs="CESI楷体-GB2312"/>
                <w:b/>
                <w:bCs/>
                <w:color w:val="000000"/>
                <w:kern w:val="0"/>
                <w:sz w:val="24"/>
                <w:szCs w:val="24"/>
                <w:lang w:bidi="ar"/>
              </w:rPr>
              <w:t>指标性质</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b/>
                <w:bCs/>
                <w:color w:val="000000"/>
                <w:sz w:val="24"/>
                <w:szCs w:val="24"/>
              </w:rPr>
            </w:pPr>
            <w:r>
              <w:rPr>
                <w:rFonts w:hint="eastAsia" w:ascii="CESI楷体-GB2312" w:hAnsi="CESI楷体-GB2312" w:eastAsia="CESI楷体-GB2312" w:cs="CESI楷体-GB2312"/>
                <w:b/>
                <w:bCs/>
                <w:color w:val="000000"/>
                <w:kern w:val="0"/>
                <w:sz w:val="24"/>
                <w:szCs w:val="24"/>
                <w:lang w:bidi="ar"/>
              </w:rPr>
              <w:t>指标值</w:t>
            </w:r>
          </w:p>
        </w:tc>
      </w:tr>
      <w:tr>
        <w:tblPrEx>
          <w:tblCellMar>
            <w:top w:w="0" w:type="dxa"/>
            <w:left w:w="108" w:type="dxa"/>
            <w:bottom w:w="0" w:type="dxa"/>
            <w:right w:w="108" w:type="dxa"/>
          </w:tblCellMar>
        </w:tblPrEx>
        <w:trPr>
          <w:trHeight w:val="680" w:hRule="exact"/>
        </w:trPr>
        <w:tc>
          <w:tcPr>
            <w:tcW w:w="95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统战工作</w:t>
            </w:r>
          </w:p>
        </w:tc>
        <w:tc>
          <w:tcPr>
            <w:tcW w:w="269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left"/>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产出指标质量指标筑牢统战意识，推动统战工作高质量发展</w:t>
            </w:r>
          </w:p>
        </w:tc>
        <w:tc>
          <w:tcPr>
            <w:tcW w:w="6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定性</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sz w:val="24"/>
                <w:szCs w:val="24"/>
                <w:lang w:val="en-US" w:eastAsia="zh-CN"/>
              </w:rPr>
              <w:t>优良</w:t>
            </w:r>
          </w:p>
        </w:tc>
      </w:tr>
      <w:tr>
        <w:tblPrEx>
          <w:tblCellMar>
            <w:top w:w="0" w:type="dxa"/>
            <w:left w:w="108" w:type="dxa"/>
            <w:bottom w:w="0" w:type="dxa"/>
            <w:right w:w="108" w:type="dxa"/>
          </w:tblCellMar>
        </w:tblPrEx>
        <w:trPr>
          <w:trHeight w:val="680" w:hRule="exact"/>
        </w:trPr>
        <w:tc>
          <w:tcPr>
            <w:tcW w:w="95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老干部工作</w:t>
            </w:r>
          </w:p>
        </w:tc>
        <w:tc>
          <w:tcPr>
            <w:tcW w:w="269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left"/>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产出指标质量指标关心关爱离退休干部，提升老干部工作质量</w:t>
            </w:r>
          </w:p>
        </w:tc>
        <w:tc>
          <w:tcPr>
            <w:tcW w:w="6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定性</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优良</w:t>
            </w:r>
          </w:p>
        </w:tc>
      </w:tr>
      <w:tr>
        <w:tblPrEx>
          <w:tblCellMar>
            <w:top w:w="0" w:type="dxa"/>
            <w:left w:w="108" w:type="dxa"/>
            <w:bottom w:w="0" w:type="dxa"/>
            <w:right w:w="108" w:type="dxa"/>
          </w:tblCellMar>
        </w:tblPrEx>
        <w:trPr>
          <w:trHeight w:val="680" w:hRule="exact"/>
        </w:trPr>
        <w:tc>
          <w:tcPr>
            <w:tcW w:w="95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妇女工作</w:t>
            </w:r>
          </w:p>
        </w:tc>
        <w:tc>
          <w:tcPr>
            <w:tcW w:w="269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left"/>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产出指标质量指标推动家庭家教家风建设等，提高妇女工作质量</w:t>
            </w:r>
          </w:p>
        </w:tc>
        <w:tc>
          <w:tcPr>
            <w:tcW w:w="6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定性</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优良</w:t>
            </w:r>
          </w:p>
        </w:tc>
      </w:tr>
      <w:tr>
        <w:tblPrEx>
          <w:tblCellMar>
            <w:top w:w="0" w:type="dxa"/>
            <w:left w:w="108" w:type="dxa"/>
            <w:bottom w:w="0" w:type="dxa"/>
            <w:right w:w="108" w:type="dxa"/>
          </w:tblCellMar>
        </w:tblPrEx>
        <w:trPr>
          <w:trHeight w:val="1131" w:hRule="exact"/>
        </w:trPr>
        <w:tc>
          <w:tcPr>
            <w:tcW w:w="95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共青团工作</w:t>
            </w:r>
          </w:p>
        </w:tc>
        <w:tc>
          <w:tcPr>
            <w:tcW w:w="269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left"/>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产出指标质量指标开展主题活动，教育引导团员青年加强理论修养、坚定理想信念、牢记初心使命、主动担当作为</w:t>
            </w:r>
          </w:p>
        </w:tc>
        <w:tc>
          <w:tcPr>
            <w:tcW w:w="6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定性</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优良</w:t>
            </w:r>
          </w:p>
        </w:tc>
      </w:tr>
      <w:tr>
        <w:tblPrEx>
          <w:tblCellMar>
            <w:top w:w="0" w:type="dxa"/>
            <w:left w:w="108" w:type="dxa"/>
            <w:bottom w:w="0" w:type="dxa"/>
            <w:right w:w="108" w:type="dxa"/>
          </w:tblCellMar>
        </w:tblPrEx>
        <w:trPr>
          <w:trHeight w:val="454" w:hRule="exact"/>
        </w:trPr>
        <w:tc>
          <w:tcPr>
            <w:tcW w:w="95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sz w:val="24"/>
                <w:szCs w:val="24"/>
                <w:lang w:val="en-US" w:eastAsia="zh-CN"/>
              </w:rPr>
              <w:t>纪检监察</w:t>
            </w:r>
          </w:p>
        </w:tc>
        <w:tc>
          <w:tcPr>
            <w:tcW w:w="269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left"/>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产出指标质量指标促进纪检工作质效提升</w:t>
            </w:r>
          </w:p>
        </w:tc>
        <w:tc>
          <w:tcPr>
            <w:tcW w:w="6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定性</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优良</w:t>
            </w:r>
          </w:p>
        </w:tc>
      </w:tr>
      <w:tr>
        <w:tblPrEx>
          <w:tblCellMar>
            <w:top w:w="0" w:type="dxa"/>
            <w:left w:w="108" w:type="dxa"/>
            <w:bottom w:w="0" w:type="dxa"/>
            <w:right w:w="108" w:type="dxa"/>
          </w:tblCellMar>
        </w:tblPrEx>
        <w:trPr>
          <w:trHeight w:val="680" w:hRule="exact"/>
        </w:trPr>
        <w:tc>
          <w:tcPr>
            <w:tcW w:w="95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基层党组织建设</w:t>
            </w:r>
          </w:p>
        </w:tc>
        <w:tc>
          <w:tcPr>
            <w:tcW w:w="269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left"/>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产出指标质量指标深化基层党组织建设提高机关党的建设质量</w:t>
            </w:r>
          </w:p>
        </w:tc>
        <w:tc>
          <w:tcPr>
            <w:tcW w:w="6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定性</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优良</w:t>
            </w:r>
          </w:p>
        </w:tc>
      </w:tr>
      <w:tr>
        <w:tblPrEx>
          <w:tblCellMar>
            <w:top w:w="0" w:type="dxa"/>
            <w:left w:w="108" w:type="dxa"/>
            <w:bottom w:w="0" w:type="dxa"/>
            <w:right w:w="108" w:type="dxa"/>
          </w:tblCellMar>
        </w:tblPrEx>
        <w:trPr>
          <w:trHeight w:val="680" w:hRule="exact"/>
        </w:trPr>
        <w:tc>
          <w:tcPr>
            <w:tcW w:w="95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党建督查</w:t>
            </w:r>
          </w:p>
        </w:tc>
        <w:tc>
          <w:tcPr>
            <w:tcW w:w="269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left"/>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产出指标质量指标指导督促各单位党组（党委）落实机关党建主体责任</w:t>
            </w:r>
          </w:p>
        </w:tc>
        <w:tc>
          <w:tcPr>
            <w:tcW w:w="6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定性</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优良</w:t>
            </w:r>
          </w:p>
        </w:tc>
      </w:tr>
      <w:tr>
        <w:tblPrEx>
          <w:tblCellMar>
            <w:top w:w="0" w:type="dxa"/>
            <w:left w:w="108" w:type="dxa"/>
            <w:bottom w:w="0" w:type="dxa"/>
            <w:right w:w="108" w:type="dxa"/>
          </w:tblCellMar>
        </w:tblPrEx>
        <w:trPr>
          <w:trHeight w:val="680" w:hRule="exact"/>
        </w:trPr>
        <w:tc>
          <w:tcPr>
            <w:tcW w:w="95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党建宣传</w:t>
            </w:r>
          </w:p>
        </w:tc>
        <w:tc>
          <w:tcPr>
            <w:tcW w:w="2693"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left"/>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产出指标质量指标聚焦党的二十大等重要会议精神，营造良好的学习宣传氛围</w:t>
            </w:r>
          </w:p>
        </w:tc>
        <w:tc>
          <w:tcPr>
            <w:tcW w:w="69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sz w:val="24"/>
                <w:szCs w:val="24"/>
                <w:lang w:val="en-US" w:eastAsia="zh-CN"/>
              </w:rPr>
              <w:t>定性</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5"/>
              <w:suppressLineNumbers w:val="0"/>
              <w:bidi w:val="0"/>
              <w:spacing w:before="0" w:after="0"/>
              <w:ind w:left="0" w:right="0"/>
              <w:jc w:val="center"/>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sz w:val="24"/>
                <w:szCs w:val="24"/>
                <w:lang w:val="en-US" w:eastAsia="zh-CN"/>
              </w:rPr>
              <w:t>优良</w:t>
            </w:r>
          </w:p>
        </w:tc>
      </w:tr>
    </w:tbl>
    <w:p/>
    <w:p>
      <w:pPr>
        <w:pStyle w:val="2"/>
        <w:pageBreakBefore w:val="0"/>
        <w:widowControl w:val="0"/>
        <w:kinsoku/>
        <w:wordWrap/>
        <w:overflowPunct/>
        <w:topLinePunct w:val="0"/>
        <w:autoSpaceDE/>
        <w:autoSpaceDN/>
        <w:bidi w:val="0"/>
        <w:adjustRightInd w:val="0"/>
        <w:snapToGrid w:val="0"/>
        <w:spacing w:line="560" w:lineRule="exact"/>
        <w:ind w:firstLine="640"/>
        <w:textAlignment w:val="auto"/>
      </w:pPr>
      <w:bookmarkStart w:id="4" w:name="_Toc14668"/>
      <w:r>
        <w:rPr>
          <w:rFonts w:hint="eastAsia"/>
        </w:rPr>
        <w:t>二</w:t>
      </w:r>
      <w:r>
        <w:t>、</w:t>
      </w:r>
      <w:r>
        <w:rPr>
          <w:rFonts w:hint="eastAsia"/>
        </w:rPr>
        <w:t>当年</w:t>
      </w:r>
      <w:r>
        <w:t>预算执行情况</w:t>
      </w:r>
      <w:bookmarkEnd w:id="4"/>
    </w:p>
    <w:p>
      <w:pPr>
        <w:pageBreakBefore w:val="0"/>
        <w:widowControl w:val="0"/>
        <w:kinsoku/>
        <w:wordWrap/>
        <w:overflowPunct/>
        <w:topLinePunct w:val="0"/>
        <w:autoSpaceDE/>
        <w:autoSpaceDN/>
        <w:bidi w:val="0"/>
        <w:adjustRightInd w:val="0"/>
        <w:snapToGrid w:val="0"/>
        <w:spacing w:line="560" w:lineRule="exact"/>
        <w:textAlignment w:val="auto"/>
        <w:rPr>
          <w:rFonts w:hint="eastAsia"/>
        </w:rPr>
      </w:pPr>
      <w:r>
        <w:rPr>
          <w:rFonts w:hint="eastAsia"/>
        </w:rPr>
        <w:t>2023年</w:t>
      </w:r>
      <w:r>
        <w:t>全年</w:t>
      </w:r>
      <w:r>
        <w:rPr>
          <w:rFonts w:hint="eastAsia"/>
        </w:rPr>
        <w:t>预算数5523</w:t>
      </w:r>
      <w:r>
        <w:rPr>
          <w:rFonts w:hint="eastAsia"/>
          <w:lang w:val="en-US" w:eastAsia="zh-CN"/>
        </w:rPr>
        <w:t>.</w:t>
      </w:r>
      <w:r>
        <w:rPr>
          <w:rFonts w:hint="eastAsia"/>
        </w:rPr>
        <w:t>77</w:t>
      </w:r>
      <w:r>
        <w:rPr>
          <w:rFonts w:hint="eastAsia"/>
          <w:lang w:val="en-US" w:eastAsia="zh-CN"/>
        </w:rPr>
        <w:t>万元</w:t>
      </w:r>
      <w:r>
        <w:t>，</w:t>
      </w:r>
      <w:r>
        <w:rPr>
          <w:rFonts w:hint="eastAsia"/>
        </w:rPr>
        <w:t>其中</w:t>
      </w:r>
      <w:r>
        <w:t>，基本</w:t>
      </w:r>
      <w:r>
        <w:rPr>
          <w:rFonts w:hint="eastAsia"/>
        </w:rPr>
        <w:t>支出</w:t>
      </w:r>
      <w:r>
        <w:t>预算数</w:t>
      </w:r>
      <w:r>
        <w:rPr>
          <w:rFonts w:hint="eastAsia"/>
        </w:rPr>
        <w:t>4736</w:t>
      </w:r>
      <w:r>
        <w:rPr>
          <w:rFonts w:hint="eastAsia"/>
          <w:lang w:val="en-US" w:eastAsia="zh-CN"/>
        </w:rPr>
        <w:t>.</w:t>
      </w:r>
      <w:r>
        <w:rPr>
          <w:rFonts w:hint="eastAsia"/>
        </w:rPr>
        <w:t>51</w:t>
      </w:r>
      <w:r>
        <w:t>万元，</w:t>
      </w:r>
      <w:r>
        <w:rPr>
          <w:rFonts w:hint="eastAsia"/>
        </w:rPr>
        <w:t>项目支出预算数787</w:t>
      </w:r>
      <w:r>
        <w:rPr>
          <w:rFonts w:hint="eastAsia"/>
          <w:lang w:val="en-US" w:eastAsia="zh-CN"/>
        </w:rPr>
        <w:t>.</w:t>
      </w:r>
      <w:r>
        <w:rPr>
          <w:rFonts w:hint="eastAsia"/>
        </w:rPr>
        <w:t>26</w:t>
      </w:r>
      <w:r>
        <w:t>万元</w:t>
      </w:r>
      <w:r>
        <w:rPr>
          <w:rFonts w:hint="eastAsia"/>
        </w:rPr>
        <w:t>。</w:t>
      </w:r>
      <w:r>
        <w:t>资金总体</w:t>
      </w:r>
      <w:r>
        <w:rPr>
          <w:rFonts w:hint="eastAsia"/>
        </w:rPr>
        <w:t>支出</w:t>
      </w:r>
      <w:r>
        <w:rPr>
          <w:rFonts w:hint="eastAsia"/>
          <w:lang w:val="en-US" w:eastAsia="zh-CN"/>
        </w:rPr>
        <w:t>5222.98</w:t>
      </w:r>
      <w:r>
        <w:t>万元，其中，基本支出</w:t>
      </w:r>
      <w:r>
        <w:rPr>
          <w:rFonts w:hint="eastAsia"/>
          <w:lang w:val="en-US" w:eastAsia="zh-CN"/>
        </w:rPr>
        <w:t>4481.07</w:t>
      </w:r>
      <w:r>
        <w:t>万元，项目</w:t>
      </w:r>
      <w:r>
        <w:rPr>
          <w:rFonts w:hint="eastAsia"/>
        </w:rPr>
        <w:t>支出</w:t>
      </w:r>
      <w:r>
        <w:rPr>
          <w:rFonts w:hint="eastAsia"/>
          <w:lang w:val="en-US" w:eastAsia="zh-CN"/>
        </w:rPr>
        <w:t>741.91</w:t>
      </w:r>
      <w:r>
        <w:t>万元。</w:t>
      </w:r>
      <w:r>
        <w:rPr>
          <w:rFonts w:hint="eastAsia"/>
        </w:rPr>
        <w:t>预算</w:t>
      </w:r>
      <w:r>
        <w:t>执行率为</w:t>
      </w:r>
      <w:r>
        <w:rPr>
          <w:rFonts w:hint="eastAsia"/>
          <w:lang w:val="en-US" w:eastAsia="zh-CN"/>
        </w:rPr>
        <w:t>94.55</w:t>
      </w:r>
      <w:r>
        <w:t>%</w:t>
      </w:r>
      <w:r>
        <w:rPr>
          <w:rFonts w:hint="eastAsia"/>
        </w:rPr>
        <w:t>，执行情况详见表2。</w:t>
      </w:r>
    </w:p>
    <w:p>
      <w:pPr>
        <w:pageBreakBefore w:val="0"/>
        <w:widowControl w:val="0"/>
        <w:kinsoku/>
        <w:wordWrap/>
        <w:overflowPunct/>
        <w:topLinePunct w:val="0"/>
        <w:autoSpaceDE/>
        <w:autoSpaceDN/>
        <w:bidi w:val="0"/>
        <w:adjustRightInd w:val="0"/>
        <w:snapToGrid w:val="0"/>
        <w:spacing w:line="560" w:lineRule="exact"/>
        <w:textAlignment w:val="auto"/>
        <w:rPr>
          <w:rFonts w:hint="eastAsia"/>
        </w:rPr>
      </w:pPr>
    </w:p>
    <w:p>
      <w:pPr>
        <w:ind w:firstLine="0" w:firstLineChars="0"/>
        <w:jc w:val="center"/>
        <w:rPr>
          <w:rFonts w:ascii="黑体" w:hAnsi="黑体" w:eastAsia="黑体" w:cs="黑体"/>
          <w:sz w:val="28"/>
          <w:szCs w:val="28"/>
        </w:rPr>
      </w:pPr>
      <w:r>
        <w:rPr>
          <w:rFonts w:hint="eastAsia" w:ascii="黑体" w:hAnsi="黑体" w:eastAsia="黑体" w:cs="黑体"/>
          <w:sz w:val="28"/>
          <w:szCs w:val="28"/>
        </w:rPr>
        <w:t>表2：</w:t>
      </w:r>
      <w:r>
        <w:rPr>
          <w:rFonts w:hint="eastAsia" w:ascii="黑体" w:hAnsi="黑体" w:eastAsia="黑体" w:cs="黑体"/>
          <w:sz w:val="28"/>
          <w:szCs w:val="28"/>
          <w:lang w:eastAsia="zh-CN"/>
        </w:rPr>
        <w:t>市直机关工委</w:t>
      </w:r>
      <w:r>
        <w:rPr>
          <w:rFonts w:hint="eastAsia" w:ascii="黑体" w:hAnsi="黑体" w:eastAsia="黑体" w:cs="黑体"/>
          <w:sz w:val="28"/>
          <w:szCs w:val="28"/>
        </w:rPr>
        <w:t>2023年预算执行情况表</w:t>
      </w:r>
    </w:p>
    <w:p>
      <w:pPr>
        <w:ind w:firstLine="0" w:firstLineChars="0"/>
        <w:jc w:val="right"/>
        <w:rPr>
          <w:rFonts w:ascii="黑体" w:hAnsi="黑体" w:eastAsia="黑体" w:cs="黑体"/>
          <w:sz w:val="28"/>
          <w:szCs w:val="28"/>
        </w:rPr>
      </w:pPr>
      <w:r>
        <w:rPr>
          <w:rFonts w:hint="eastAsia" w:ascii="黑体" w:hAnsi="黑体" w:eastAsia="黑体" w:cs="黑体"/>
          <w:sz w:val="28"/>
          <w:szCs w:val="28"/>
        </w:rPr>
        <w:t>单位：万元</w:t>
      </w:r>
    </w:p>
    <w:tbl>
      <w:tblPr>
        <w:tblStyle w:val="16"/>
        <w:tblW w:w="5000" w:type="pct"/>
        <w:jc w:val="center"/>
        <w:tblLayout w:type="fixed"/>
        <w:tblCellMar>
          <w:top w:w="0" w:type="dxa"/>
          <w:left w:w="108" w:type="dxa"/>
          <w:bottom w:w="0" w:type="dxa"/>
          <w:right w:w="108" w:type="dxa"/>
        </w:tblCellMar>
      </w:tblPr>
      <w:tblGrid>
        <w:gridCol w:w="2923"/>
        <w:gridCol w:w="1765"/>
        <w:gridCol w:w="1620"/>
        <w:gridCol w:w="1412"/>
        <w:gridCol w:w="1397"/>
      </w:tblGrid>
      <w:tr>
        <w:tblPrEx>
          <w:tblCellMar>
            <w:top w:w="0" w:type="dxa"/>
            <w:left w:w="108" w:type="dxa"/>
            <w:bottom w:w="0" w:type="dxa"/>
            <w:right w:w="108" w:type="dxa"/>
          </w:tblCellMar>
        </w:tblPrEx>
        <w:trPr>
          <w:cantSplit/>
          <w:trHeight w:val="454" w:hRule="exact"/>
          <w:tblHeader/>
          <w:jc w:val="center"/>
        </w:trPr>
        <w:tc>
          <w:tcPr>
            <w:tcW w:w="16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b/>
                <w:bCs/>
                <w:kern w:val="30"/>
                <w:sz w:val="24"/>
                <w:szCs w:val="24"/>
              </w:rPr>
            </w:pPr>
            <w:r>
              <w:rPr>
                <w:rFonts w:hint="eastAsia" w:ascii="CESI楷体-GB2312" w:hAnsi="CESI楷体-GB2312" w:eastAsia="CESI楷体-GB2312" w:cs="CESI楷体-GB2312"/>
                <w:b/>
                <w:bCs/>
                <w:kern w:val="0"/>
                <w:sz w:val="24"/>
                <w:szCs w:val="24"/>
              </w:rPr>
              <w:t>支出性质</w:t>
            </w:r>
          </w:p>
        </w:tc>
        <w:tc>
          <w:tcPr>
            <w:tcW w:w="968"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b/>
                <w:bCs/>
                <w:sz w:val="24"/>
                <w:szCs w:val="24"/>
              </w:rPr>
            </w:pPr>
            <w:r>
              <w:rPr>
                <w:rFonts w:hint="eastAsia" w:ascii="CESI楷体-GB2312" w:hAnsi="CESI楷体-GB2312" w:eastAsia="CESI楷体-GB2312" w:cs="CESI楷体-GB2312"/>
                <w:b/>
                <w:bCs/>
                <w:kern w:val="0"/>
                <w:sz w:val="24"/>
                <w:szCs w:val="24"/>
              </w:rPr>
              <w:t>年初预算数</w:t>
            </w:r>
          </w:p>
        </w:tc>
        <w:tc>
          <w:tcPr>
            <w:tcW w:w="888"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b/>
                <w:bCs/>
                <w:sz w:val="24"/>
                <w:szCs w:val="24"/>
              </w:rPr>
            </w:pPr>
            <w:r>
              <w:rPr>
                <w:rFonts w:hint="eastAsia" w:ascii="CESI楷体-GB2312" w:hAnsi="CESI楷体-GB2312" w:eastAsia="CESI楷体-GB2312" w:cs="CESI楷体-GB2312"/>
                <w:b/>
                <w:bCs/>
                <w:kern w:val="0"/>
                <w:sz w:val="24"/>
                <w:szCs w:val="24"/>
              </w:rPr>
              <w:t>全年预算数</w:t>
            </w:r>
          </w:p>
        </w:tc>
        <w:tc>
          <w:tcPr>
            <w:tcW w:w="774"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b/>
                <w:bCs/>
                <w:sz w:val="24"/>
                <w:szCs w:val="24"/>
              </w:rPr>
            </w:pPr>
            <w:r>
              <w:rPr>
                <w:rFonts w:hint="eastAsia" w:ascii="CESI楷体-GB2312" w:hAnsi="CESI楷体-GB2312" w:eastAsia="CESI楷体-GB2312" w:cs="CESI楷体-GB2312"/>
                <w:b/>
                <w:bCs/>
                <w:kern w:val="0"/>
                <w:sz w:val="24"/>
                <w:szCs w:val="24"/>
              </w:rPr>
              <w:t>决算数</w:t>
            </w:r>
          </w:p>
        </w:tc>
        <w:tc>
          <w:tcPr>
            <w:tcW w:w="766"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b/>
                <w:bCs/>
                <w:kern w:val="0"/>
                <w:sz w:val="24"/>
                <w:szCs w:val="24"/>
              </w:rPr>
            </w:pPr>
            <w:r>
              <w:rPr>
                <w:rFonts w:hint="eastAsia" w:ascii="CESI楷体-GB2312" w:hAnsi="CESI楷体-GB2312" w:eastAsia="CESI楷体-GB2312" w:cs="CESI楷体-GB2312"/>
                <w:b/>
                <w:bCs/>
                <w:kern w:val="0"/>
                <w:sz w:val="24"/>
                <w:szCs w:val="24"/>
              </w:rPr>
              <w:t>预算执行率</w:t>
            </w:r>
          </w:p>
        </w:tc>
      </w:tr>
      <w:tr>
        <w:tblPrEx>
          <w:tblCellMar>
            <w:top w:w="0" w:type="dxa"/>
            <w:left w:w="108" w:type="dxa"/>
            <w:bottom w:w="0" w:type="dxa"/>
            <w:right w:w="108" w:type="dxa"/>
          </w:tblCellMar>
        </w:tblPrEx>
        <w:trPr>
          <w:cantSplit/>
          <w:trHeight w:val="454" w:hRule="exact"/>
          <w:jc w:val="center"/>
        </w:trPr>
        <w:tc>
          <w:tcPr>
            <w:tcW w:w="160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0" w:firstLineChars="0"/>
              <w:jc w:val="left"/>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kern w:val="0"/>
                <w:sz w:val="24"/>
                <w:szCs w:val="24"/>
              </w:rPr>
              <w:t>一、基本支出</w:t>
            </w:r>
          </w:p>
        </w:tc>
        <w:tc>
          <w:tcPr>
            <w:tcW w:w="1754"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lang w:eastAsia="zh-CN"/>
              </w:rPr>
            </w:pPr>
            <w:r>
              <w:rPr>
                <w:rFonts w:hint="eastAsia" w:ascii="CESI楷体-GB2312" w:hAnsi="CESI楷体-GB2312" w:eastAsia="CESI楷体-GB2312" w:cs="CESI楷体-GB2312"/>
                <w:i w:val="0"/>
                <w:iCs w:val="0"/>
                <w:color w:val="000000"/>
                <w:kern w:val="0"/>
                <w:sz w:val="24"/>
                <w:szCs w:val="24"/>
                <w:u w:val="none"/>
                <w:lang w:val="en-US" w:eastAsia="zh-CN" w:bidi="ar"/>
              </w:rPr>
              <w:t>4411.91</w:t>
            </w:r>
          </w:p>
        </w:tc>
        <w:tc>
          <w:tcPr>
            <w:tcW w:w="1610"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4736.51</w:t>
            </w:r>
          </w:p>
        </w:tc>
        <w:tc>
          <w:tcPr>
            <w:tcW w:w="1403"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4481.07</w:t>
            </w:r>
          </w:p>
        </w:tc>
        <w:tc>
          <w:tcPr>
            <w:tcW w:w="1388"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94.61%</w:t>
            </w:r>
          </w:p>
        </w:tc>
      </w:tr>
      <w:tr>
        <w:tblPrEx>
          <w:tblCellMar>
            <w:top w:w="0" w:type="dxa"/>
            <w:left w:w="108" w:type="dxa"/>
            <w:bottom w:w="0" w:type="dxa"/>
            <w:right w:w="108" w:type="dxa"/>
          </w:tblCellMar>
        </w:tblPrEx>
        <w:trPr>
          <w:cantSplit/>
          <w:trHeight w:val="454" w:hRule="exact"/>
          <w:jc w:val="center"/>
        </w:trPr>
        <w:tc>
          <w:tcPr>
            <w:tcW w:w="160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00"/>
              <w:jc w:val="left"/>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kern w:val="0"/>
                <w:sz w:val="24"/>
                <w:szCs w:val="24"/>
              </w:rPr>
              <w:t>人员经费</w:t>
            </w:r>
          </w:p>
        </w:tc>
        <w:tc>
          <w:tcPr>
            <w:tcW w:w="1754"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4071.59</w:t>
            </w:r>
          </w:p>
        </w:tc>
        <w:tc>
          <w:tcPr>
            <w:tcW w:w="1610"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4396.19</w:t>
            </w:r>
          </w:p>
        </w:tc>
        <w:tc>
          <w:tcPr>
            <w:tcW w:w="1403"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4212.9</w:t>
            </w:r>
          </w:p>
        </w:tc>
        <w:tc>
          <w:tcPr>
            <w:tcW w:w="1388"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95.83%</w:t>
            </w:r>
          </w:p>
        </w:tc>
      </w:tr>
      <w:tr>
        <w:tblPrEx>
          <w:tblCellMar>
            <w:top w:w="0" w:type="dxa"/>
            <w:left w:w="108" w:type="dxa"/>
            <w:bottom w:w="0" w:type="dxa"/>
            <w:right w:w="108" w:type="dxa"/>
          </w:tblCellMar>
        </w:tblPrEx>
        <w:trPr>
          <w:cantSplit/>
          <w:trHeight w:val="454" w:hRule="exact"/>
          <w:jc w:val="center"/>
        </w:trPr>
        <w:tc>
          <w:tcPr>
            <w:tcW w:w="160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00"/>
              <w:jc w:val="left"/>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kern w:val="0"/>
                <w:sz w:val="24"/>
                <w:szCs w:val="24"/>
              </w:rPr>
              <w:t>公用经费</w:t>
            </w:r>
          </w:p>
        </w:tc>
        <w:tc>
          <w:tcPr>
            <w:tcW w:w="1754"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340.32</w:t>
            </w:r>
          </w:p>
        </w:tc>
        <w:tc>
          <w:tcPr>
            <w:tcW w:w="1610"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340.32</w:t>
            </w:r>
          </w:p>
        </w:tc>
        <w:tc>
          <w:tcPr>
            <w:tcW w:w="1403"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268.17</w:t>
            </w:r>
          </w:p>
        </w:tc>
        <w:tc>
          <w:tcPr>
            <w:tcW w:w="1388"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78.80%</w:t>
            </w:r>
          </w:p>
        </w:tc>
      </w:tr>
      <w:tr>
        <w:tblPrEx>
          <w:tblCellMar>
            <w:top w:w="0" w:type="dxa"/>
            <w:left w:w="108" w:type="dxa"/>
            <w:bottom w:w="0" w:type="dxa"/>
            <w:right w:w="108" w:type="dxa"/>
          </w:tblCellMar>
        </w:tblPrEx>
        <w:trPr>
          <w:cantSplit/>
          <w:trHeight w:val="454" w:hRule="exact"/>
          <w:jc w:val="center"/>
        </w:trPr>
        <w:tc>
          <w:tcPr>
            <w:tcW w:w="160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0" w:firstLineChars="0"/>
              <w:jc w:val="left"/>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kern w:val="0"/>
                <w:sz w:val="24"/>
                <w:szCs w:val="24"/>
              </w:rPr>
              <w:t>二、项目支出</w:t>
            </w:r>
          </w:p>
        </w:tc>
        <w:tc>
          <w:tcPr>
            <w:tcW w:w="1754"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930.09</w:t>
            </w:r>
          </w:p>
        </w:tc>
        <w:tc>
          <w:tcPr>
            <w:tcW w:w="1610"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787.26</w:t>
            </w:r>
          </w:p>
        </w:tc>
        <w:tc>
          <w:tcPr>
            <w:tcW w:w="1403"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741.91</w:t>
            </w:r>
          </w:p>
        </w:tc>
        <w:tc>
          <w:tcPr>
            <w:tcW w:w="1388"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94.24%</w:t>
            </w:r>
          </w:p>
        </w:tc>
      </w:tr>
      <w:tr>
        <w:tblPrEx>
          <w:tblCellMar>
            <w:top w:w="0" w:type="dxa"/>
            <w:left w:w="108" w:type="dxa"/>
            <w:bottom w:w="0" w:type="dxa"/>
            <w:right w:w="108" w:type="dxa"/>
          </w:tblCellMar>
        </w:tblPrEx>
        <w:trPr>
          <w:cantSplit/>
          <w:trHeight w:val="454" w:hRule="exact"/>
          <w:jc w:val="center"/>
        </w:trPr>
        <w:tc>
          <w:tcPr>
            <w:tcW w:w="160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00"/>
              <w:jc w:val="left"/>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kern w:val="0"/>
                <w:sz w:val="24"/>
                <w:szCs w:val="24"/>
              </w:rPr>
              <w:t>其中：基本建设类项目</w:t>
            </w:r>
          </w:p>
        </w:tc>
        <w:tc>
          <w:tcPr>
            <w:tcW w:w="1754"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jc w:val="right"/>
              <w:rPr>
                <w:rFonts w:hint="eastAsia" w:ascii="CESI楷体-GB2312" w:hAnsi="CESI楷体-GB2312" w:eastAsia="CESI楷体-GB2312" w:cs="CESI楷体-GB2312"/>
                <w:sz w:val="24"/>
                <w:szCs w:val="24"/>
                <w:lang w:eastAsia="zh-CN"/>
              </w:rPr>
            </w:pPr>
            <w:r>
              <w:rPr>
                <w:rFonts w:hint="eastAsia" w:ascii="CESI楷体-GB2312" w:hAnsi="CESI楷体-GB2312" w:eastAsia="CESI楷体-GB2312" w:cs="CESI楷体-GB2312"/>
                <w:color w:val="000000"/>
                <w:kern w:val="0"/>
                <w:sz w:val="24"/>
                <w:szCs w:val="24"/>
                <w:lang w:val="en-US" w:eastAsia="zh-CN" w:bidi="ar"/>
              </w:rPr>
              <w:t>——</w:t>
            </w:r>
          </w:p>
        </w:tc>
        <w:tc>
          <w:tcPr>
            <w:tcW w:w="1610"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95.48</w:t>
            </w:r>
          </w:p>
        </w:tc>
        <w:tc>
          <w:tcPr>
            <w:tcW w:w="1403"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95.48</w:t>
            </w:r>
          </w:p>
        </w:tc>
        <w:tc>
          <w:tcPr>
            <w:tcW w:w="1388"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sz w:val="24"/>
                <w:szCs w:val="24"/>
              </w:rPr>
            </w:pPr>
            <w:r>
              <w:rPr>
                <w:rFonts w:hint="eastAsia" w:ascii="CESI楷体-GB2312" w:hAnsi="CESI楷体-GB2312" w:eastAsia="CESI楷体-GB2312" w:cs="CESI楷体-GB2312"/>
                <w:i w:val="0"/>
                <w:iCs w:val="0"/>
                <w:color w:val="000000"/>
                <w:kern w:val="0"/>
                <w:sz w:val="24"/>
                <w:szCs w:val="24"/>
                <w:u w:val="none"/>
                <w:lang w:val="en-US" w:eastAsia="zh-CN" w:bidi="ar"/>
              </w:rPr>
              <w:t>100.00%</w:t>
            </w:r>
          </w:p>
        </w:tc>
      </w:tr>
      <w:tr>
        <w:tblPrEx>
          <w:tblCellMar>
            <w:top w:w="0" w:type="dxa"/>
            <w:left w:w="108" w:type="dxa"/>
            <w:bottom w:w="0" w:type="dxa"/>
            <w:right w:w="108" w:type="dxa"/>
          </w:tblCellMar>
        </w:tblPrEx>
        <w:trPr>
          <w:cantSplit/>
          <w:trHeight w:val="454" w:hRule="exact"/>
          <w:jc w:val="center"/>
        </w:trPr>
        <w:tc>
          <w:tcPr>
            <w:tcW w:w="160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0" w:firstLineChars="0"/>
              <w:jc w:val="left"/>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kern w:val="0"/>
                <w:sz w:val="24"/>
                <w:szCs w:val="24"/>
              </w:rPr>
              <w:t>三、上缴上级支出</w:t>
            </w:r>
          </w:p>
        </w:tc>
        <w:tc>
          <w:tcPr>
            <w:tcW w:w="1754"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c>
          <w:tcPr>
            <w:tcW w:w="1610"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c>
          <w:tcPr>
            <w:tcW w:w="1403"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c>
          <w:tcPr>
            <w:tcW w:w="1388"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r>
      <w:tr>
        <w:tblPrEx>
          <w:tblCellMar>
            <w:top w:w="0" w:type="dxa"/>
            <w:left w:w="108" w:type="dxa"/>
            <w:bottom w:w="0" w:type="dxa"/>
            <w:right w:w="108" w:type="dxa"/>
          </w:tblCellMar>
        </w:tblPrEx>
        <w:trPr>
          <w:cantSplit/>
          <w:trHeight w:val="454" w:hRule="exact"/>
          <w:jc w:val="center"/>
        </w:trPr>
        <w:tc>
          <w:tcPr>
            <w:tcW w:w="160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0" w:firstLineChars="0"/>
              <w:jc w:val="left"/>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kern w:val="0"/>
                <w:sz w:val="24"/>
                <w:szCs w:val="24"/>
              </w:rPr>
              <w:t>四、经营支出</w:t>
            </w:r>
          </w:p>
        </w:tc>
        <w:tc>
          <w:tcPr>
            <w:tcW w:w="1754"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c>
          <w:tcPr>
            <w:tcW w:w="1610"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c>
          <w:tcPr>
            <w:tcW w:w="1403"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c>
          <w:tcPr>
            <w:tcW w:w="1388"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r>
      <w:tr>
        <w:tblPrEx>
          <w:tblCellMar>
            <w:top w:w="0" w:type="dxa"/>
            <w:left w:w="108" w:type="dxa"/>
            <w:bottom w:w="0" w:type="dxa"/>
            <w:right w:w="108" w:type="dxa"/>
          </w:tblCellMar>
        </w:tblPrEx>
        <w:trPr>
          <w:cantSplit/>
          <w:trHeight w:val="454" w:hRule="exact"/>
          <w:jc w:val="center"/>
        </w:trPr>
        <w:tc>
          <w:tcPr>
            <w:tcW w:w="160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0" w:firstLineChars="0"/>
              <w:jc w:val="left"/>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kern w:val="0"/>
                <w:sz w:val="24"/>
                <w:szCs w:val="24"/>
              </w:rPr>
              <w:t>五、对附属单位补助支出</w:t>
            </w:r>
          </w:p>
        </w:tc>
        <w:tc>
          <w:tcPr>
            <w:tcW w:w="1754"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c>
          <w:tcPr>
            <w:tcW w:w="1610"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c>
          <w:tcPr>
            <w:tcW w:w="1403"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c>
          <w:tcPr>
            <w:tcW w:w="1388" w:type="dxa"/>
            <w:tcBorders>
              <w:top w:val="single" w:color="000000" w:sz="4" w:space="0"/>
              <w:left w:val="nil"/>
              <w:bottom w:val="single" w:color="000000" w:sz="4" w:space="0"/>
              <w:right w:val="single" w:color="000000" w:sz="4" w:space="0"/>
            </w:tcBorders>
            <w:noWrap/>
            <w:vAlign w:val="center"/>
          </w:tcPr>
          <w:p>
            <w:pPr>
              <w:keepNext w:val="0"/>
              <w:keepLines w:val="0"/>
              <w:suppressLineNumbers w:val="0"/>
              <w:spacing w:before="0" w:beforeAutospacing="0" w:after="0" w:afterAutospacing="0" w:line="240" w:lineRule="auto"/>
              <w:ind w:left="0" w:right="0" w:firstLine="480" w:firstLineChars="200"/>
              <w:jc w:val="right"/>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val="en-US" w:eastAsia="zh-CN" w:bidi="ar"/>
              </w:rPr>
              <w:t>——</w:t>
            </w:r>
          </w:p>
        </w:tc>
      </w:tr>
      <w:tr>
        <w:tblPrEx>
          <w:tblCellMar>
            <w:top w:w="0" w:type="dxa"/>
            <w:left w:w="108" w:type="dxa"/>
            <w:bottom w:w="0" w:type="dxa"/>
            <w:right w:w="108" w:type="dxa"/>
          </w:tblCellMar>
        </w:tblPrEx>
        <w:trPr>
          <w:cantSplit/>
          <w:trHeight w:val="454" w:hRule="exact"/>
          <w:jc w:val="center"/>
        </w:trPr>
        <w:tc>
          <w:tcPr>
            <w:tcW w:w="1602"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b/>
                <w:bCs/>
                <w:sz w:val="24"/>
                <w:szCs w:val="24"/>
              </w:rPr>
            </w:pPr>
            <w:r>
              <w:rPr>
                <w:rFonts w:hint="eastAsia" w:ascii="CESI楷体-GB2312" w:hAnsi="CESI楷体-GB2312" w:eastAsia="CESI楷体-GB2312" w:cs="CESI楷体-GB2312"/>
                <w:b/>
                <w:bCs/>
                <w:kern w:val="0"/>
                <w:sz w:val="24"/>
                <w:szCs w:val="24"/>
              </w:rPr>
              <w:t>合计</w:t>
            </w:r>
          </w:p>
        </w:tc>
        <w:tc>
          <w:tcPr>
            <w:tcW w:w="1754"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b/>
                <w:bCs/>
                <w:sz w:val="24"/>
                <w:szCs w:val="24"/>
                <w:lang w:val="en-US"/>
              </w:rPr>
            </w:pPr>
            <w:r>
              <w:rPr>
                <w:rFonts w:hint="eastAsia" w:ascii="CESI楷体-GB2312" w:hAnsi="CESI楷体-GB2312" w:eastAsia="CESI楷体-GB2312" w:cs="CESI楷体-GB2312"/>
                <w:b/>
                <w:bCs/>
                <w:i w:val="0"/>
                <w:iCs w:val="0"/>
                <w:color w:val="000000"/>
                <w:kern w:val="0"/>
                <w:sz w:val="24"/>
                <w:szCs w:val="24"/>
                <w:u w:val="none"/>
                <w:lang w:val="en-US" w:eastAsia="zh-CN" w:bidi="ar"/>
              </w:rPr>
              <w:t>5342.00</w:t>
            </w:r>
          </w:p>
        </w:tc>
        <w:tc>
          <w:tcPr>
            <w:tcW w:w="1610"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b/>
                <w:bCs/>
                <w:sz w:val="24"/>
                <w:szCs w:val="24"/>
                <w:lang w:val="en-US"/>
              </w:rPr>
            </w:pPr>
            <w:r>
              <w:rPr>
                <w:rFonts w:hint="eastAsia" w:ascii="CESI楷体-GB2312" w:hAnsi="CESI楷体-GB2312" w:eastAsia="CESI楷体-GB2312" w:cs="CESI楷体-GB2312"/>
                <w:b/>
                <w:bCs/>
                <w:i w:val="0"/>
                <w:iCs w:val="0"/>
                <w:color w:val="000000"/>
                <w:kern w:val="0"/>
                <w:sz w:val="24"/>
                <w:szCs w:val="24"/>
                <w:u w:val="none"/>
                <w:lang w:val="en-US" w:eastAsia="zh-CN" w:bidi="ar"/>
              </w:rPr>
              <w:t>5523.77</w:t>
            </w:r>
          </w:p>
        </w:tc>
        <w:tc>
          <w:tcPr>
            <w:tcW w:w="1403"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b/>
                <w:bCs/>
                <w:sz w:val="24"/>
                <w:szCs w:val="24"/>
                <w:lang w:val="en-US"/>
              </w:rPr>
            </w:pPr>
            <w:r>
              <w:rPr>
                <w:rFonts w:hint="eastAsia" w:ascii="CESI楷体-GB2312" w:hAnsi="CESI楷体-GB2312" w:eastAsia="CESI楷体-GB2312" w:cs="CESI楷体-GB2312"/>
                <w:b/>
                <w:bCs/>
                <w:i w:val="0"/>
                <w:iCs w:val="0"/>
                <w:color w:val="000000"/>
                <w:kern w:val="0"/>
                <w:sz w:val="24"/>
                <w:szCs w:val="24"/>
                <w:u w:val="none"/>
                <w:lang w:val="en-US" w:eastAsia="zh-CN" w:bidi="ar"/>
              </w:rPr>
              <w:t>5222.98</w:t>
            </w:r>
          </w:p>
        </w:tc>
        <w:tc>
          <w:tcPr>
            <w:tcW w:w="1388" w:type="dxa"/>
            <w:tcBorders>
              <w:top w:val="single" w:color="000000" w:sz="4" w:space="0"/>
              <w:left w:val="nil"/>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line="240" w:lineRule="auto"/>
              <w:ind w:left="0" w:right="0" w:firstLine="480" w:firstLineChars="200"/>
              <w:jc w:val="right"/>
              <w:textAlignment w:val="bottom"/>
              <w:rPr>
                <w:rFonts w:hint="eastAsia" w:ascii="CESI楷体-GB2312" w:hAnsi="CESI楷体-GB2312" w:eastAsia="CESI楷体-GB2312" w:cs="CESI楷体-GB2312"/>
                <w:b/>
                <w:bCs/>
                <w:sz w:val="24"/>
                <w:szCs w:val="24"/>
                <w:lang w:val="en-US"/>
              </w:rPr>
            </w:pPr>
            <w:r>
              <w:rPr>
                <w:rFonts w:hint="eastAsia" w:ascii="CESI楷体-GB2312" w:hAnsi="CESI楷体-GB2312" w:eastAsia="CESI楷体-GB2312" w:cs="CESI楷体-GB2312"/>
                <w:b/>
                <w:bCs/>
                <w:i w:val="0"/>
                <w:iCs w:val="0"/>
                <w:color w:val="000000"/>
                <w:kern w:val="0"/>
                <w:sz w:val="24"/>
                <w:szCs w:val="24"/>
                <w:u w:val="none"/>
                <w:lang w:val="en-US" w:eastAsia="zh-CN" w:bidi="ar"/>
              </w:rPr>
              <w:t>94.55%</w:t>
            </w:r>
          </w:p>
        </w:tc>
      </w:tr>
    </w:tbl>
    <w:p>
      <w:pPr>
        <w:pageBreakBefore w:val="0"/>
        <w:widowControl w:val="0"/>
        <w:kinsoku/>
        <w:wordWrap/>
        <w:overflowPunct/>
        <w:topLinePunct w:val="0"/>
        <w:autoSpaceDE/>
        <w:autoSpaceDN/>
        <w:bidi w:val="0"/>
        <w:adjustRightInd w:val="0"/>
        <w:snapToGrid w:val="0"/>
        <w:textAlignment w:val="auto"/>
      </w:pPr>
    </w:p>
    <w:p>
      <w:pPr>
        <w:pStyle w:val="2"/>
        <w:pageBreakBefore w:val="0"/>
        <w:widowControl w:val="0"/>
        <w:kinsoku/>
        <w:wordWrap/>
        <w:overflowPunct/>
        <w:topLinePunct w:val="0"/>
        <w:autoSpaceDE/>
        <w:autoSpaceDN/>
        <w:bidi w:val="0"/>
        <w:adjustRightInd w:val="0"/>
        <w:snapToGrid w:val="0"/>
        <w:spacing w:line="560" w:lineRule="exact"/>
        <w:ind w:firstLine="640"/>
        <w:textAlignment w:val="auto"/>
      </w:pPr>
      <w:bookmarkStart w:id="5" w:name="_Toc23257"/>
      <w:r>
        <w:rPr>
          <w:rFonts w:hint="eastAsia"/>
        </w:rPr>
        <w:t>三</w:t>
      </w:r>
      <w:r>
        <w:t>、整体绩效目标实现情况</w:t>
      </w:r>
      <w:bookmarkEnd w:id="5"/>
    </w:p>
    <w:p>
      <w:pPr>
        <w:pStyle w:val="3"/>
        <w:pageBreakBefore w:val="0"/>
        <w:widowControl w:val="0"/>
        <w:kinsoku/>
        <w:wordWrap/>
        <w:overflowPunct/>
        <w:topLinePunct w:val="0"/>
        <w:autoSpaceDE/>
        <w:autoSpaceDN/>
        <w:bidi w:val="0"/>
        <w:adjustRightInd w:val="0"/>
        <w:snapToGrid w:val="0"/>
        <w:spacing w:line="560" w:lineRule="exact"/>
        <w:ind w:firstLine="640"/>
        <w:textAlignment w:val="auto"/>
      </w:pPr>
      <w:bookmarkStart w:id="6" w:name="_Toc27127"/>
      <w:r>
        <w:rPr>
          <w:rFonts w:hint="eastAsia"/>
        </w:rPr>
        <w:t>（一）产出完成情况分析</w:t>
      </w:r>
      <w:bookmarkEnd w:id="6"/>
    </w:p>
    <w:p>
      <w:pPr>
        <w:pageBreakBefore w:val="0"/>
        <w:widowControl w:val="0"/>
        <w:kinsoku/>
        <w:wordWrap/>
        <w:overflowPunct/>
        <w:topLinePunct w:val="0"/>
        <w:autoSpaceDE/>
        <w:autoSpaceDN/>
        <w:bidi w:val="0"/>
        <w:adjustRightInd w:val="0"/>
        <w:snapToGrid w:val="0"/>
        <w:spacing w:line="560" w:lineRule="exact"/>
        <w:textAlignment w:val="auto"/>
      </w:pPr>
      <w:r>
        <w:rPr>
          <w:rFonts w:hint="eastAsia"/>
        </w:rPr>
        <w:t>1.产出数量</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rPr>
      </w:pPr>
      <w:r>
        <w:rPr>
          <w:rFonts w:hint="eastAsia" w:cs="Times New Roman"/>
          <w:lang w:val="en-US" w:eastAsia="zh-CN"/>
        </w:rPr>
        <w:t>2023年市直机关工委产出数量基本达成预期目标：召开2023年市直机关党的工作会1次；召开基层党组织书记抓基层党建述职评议考核会1次；组织机关党委专职副书记培训班1次；召开</w:t>
      </w:r>
      <w:r>
        <w:rPr>
          <w:rFonts w:hint="eastAsia" w:cs="Times New Roman"/>
        </w:rPr>
        <w:t>机关党委（总支、支部）书记联席会议2次</w:t>
      </w:r>
      <w:r>
        <w:rPr>
          <w:rFonts w:hint="eastAsia" w:cs="Times New Roman"/>
          <w:lang w:eastAsia="zh-CN"/>
        </w:rPr>
        <w:t>；</w:t>
      </w:r>
      <w:r>
        <w:rPr>
          <w:rFonts w:hint="eastAsia" w:cs="Times New Roman"/>
          <w:lang w:val="en-US" w:eastAsia="zh-CN"/>
        </w:rPr>
        <w:t>组织青联委员履职能力培训、党建督查业务培训等</w:t>
      </w:r>
      <w:r>
        <w:rPr>
          <w:rFonts w:hint="eastAsia" w:cs="Times New Roman"/>
        </w:rPr>
        <w:t>培训</w:t>
      </w:r>
      <w:r>
        <w:rPr>
          <w:rFonts w:hint="eastAsia" w:cs="Times New Roman"/>
          <w:lang w:val="en-US" w:eastAsia="zh-CN"/>
        </w:rPr>
        <w:t>工作，年度合计参与培训1535人</w:t>
      </w:r>
      <w:r>
        <w:rPr>
          <w:rFonts w:hint="eastAsia" w:cs="Times New Roman"/>
        </w:rPr>
        <w:t>次</w:t>
      </w:r>
      <w:r>
        <w:rPr>
          <w:rFonts w:hint="eastAsia" w:cs="Times New Roman"/>
          <w:lang w:eastAsia="zh-CN"/>
        </w:rPr>
        <w:t>；</w:t>
      </w:r>
      <w:r>
        <w:rPr>
          <w:rFonts w:hint="eastAsia" w:cs="Times New Roman"/>
        </w:rPr>
        <w:t>组织市直机关统一战线大讲堂次数4次</w:t>
      </w:r>
      <w:r>
        <w:rPr>
          <w:rFonts w:hint="eastAsia" w:cs="Times New Roman"/>
          <w:lang w:eastAsia="zh-CN"/>
        </w:rPr>
        <w:t>；</w:t>
      </w:r>
      <w:r>
        <w:rPr>
          <w:rFonts w:hint="eastAsia" w:cs="Times New Roman"/>
          <w:lang w:val="en-US" w:eastAsia="zh-CN"/>
        </w:rPr>
        <w:t>开展</w:t>
      </w:r>
      <w:r>
        <w:rPr>
          <w:rFonts w:hint="eastAsia" w:cs="Times New Roman"/>
        </w:rPr>
        <w:t>群团主题活动</w:t>
      </w:r>
      <w:r>
        <w:rPr>
          <w:rFonts w:hint="eastAsia" w:cs="Times New Roman"/>
          <w:lang w:eastAsia="zh-CN"/>
        </w:rPr>
        <w:t>，</w:t>
      </w:r>
      <w:r>
        <w:rPr>
          <w:rFonts w:hint="eastAsia" w:cs="Times New Roman"/>
          <w:lang w:val="en-US" w:eastAsia="zh-CN"/>
        </w:rPr>
        <w:t>包含三八妇女手工艺技能比赛、向人民英雄纪念碑敬献花篮、共青团志愿服务等活动共计12</w:t>
      </w:r>
      <w:r>
        <w:rPr>
          <w:rFonts w:hint="eastAsia" w:cs="Times New Roman"/>
        </w:rPr>
        <w:t>次</w:t>
      </w:r>
      <w:r>
        <w:rPr>
          <w:rFonts w:hint="eastAsia" w:cs="Times New Roman"/>
          <w:lang w:val="en-US" w:eastAsia="zh-CN"/>
        </w:rPr>
        <w:t>；编制刊发</w:t>
      </w:r>
      <w:r>
        <w:rPr>
          <w:rFonts w:hint="eastAsia" w:cs="Times New Roman"/>
        </w:rPr>
        <w:t>《北京机关党建》杂志编刊期数12期</w:t>
      </w:r>
      <w:r>
        <w:rPr>
          <w:rFonts w:hint="eastAsia" w:cs="Times New Roman"/>
          <w:lang w:eastAsia="zh-CN"/>
        </w:rPr>
        <w:t>；</w:t>
      </w:r>
      <w:r>
        <w:rPr>
          <w:rFonts w:hint="eastAsia" w:cs="Times New Roman"/>
          <w:lang w:val="en-US" w:eastAsia="zh-CN"/>
        </w:rPr>
        <w:t>举办北京市机关第六届青年技能大赛，参赛单位达99</w:t>
      </w:r>
      <w:r>
        <w:rPr>
          <w:rFonts w:hint="eastAsia" w:cs="Times New Roman"/>
        </w:rPr>
        <w:t>家。</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rPr>
      </w:pPr>
      <w:r>
        <w:rPr>
          <w:rFonts w:hint="eastAsia" w:cs="Times New Roman"/>
        </w:rPr>
        <w:t>2.产出质量</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会议、培训等工作活动方面。2023年市直机关工委按照年度工作计划及上级安排开展多项工作活动，活动质量基本符合工作要求。组织机关党委专职副书记培训、市直机关纪委书记培训、党建督查业务培训，与市委组织部联合举办2023年度北京市机关党务干部培训示范班，以强化党务干部作用发挥、提升工作能力为重点，综合运用理论辅导、形势政策、专题辅导、经验交流、分组研讨等方式开展培训，培训质量良好。</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系统运维等基础运转方面。2023年市直机关工委主要通过市直机关党建网运行维护（二期）、市直机关工委网络维护项目对相关系统开展运行维护工作，全年网络运行稳定，未发生网络安全事件，运维质量良好。</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rPr>
      </w:pPr>
      <w:r>
        <w:rPr>
          <w:rFonts w:hint="eastAsia" w:cs="Times New Roman"/>
        </w:rPr>
        <w:t>3.产出进度</w:t>
      </w:r>
    </w:p>
    <w:p>
      <w:pPr>
        <w:pageBreakBefore w:val="0"/>
        <w:widowControl w:val="0"/>
        <w:kinsoku/>
        <w:wordWrap/>
        <w:overflowPunct/>
        <w:topLinePunct w:val="0"/>
        <w:autoSpaceDE/>
        <w:autoSpaceDN/>
        <w:bidi w:val="0"/>
        <w:adjustRightInd w:val="0"/>
        <w:snapToGrid w:val="0"/>
        <w:spacing w:line="560" w:lineRule="exact"/>
        <w:textAlignment w:val="auto"/>
        <w:rPr>
          <w:rFonts w:hint="default" w:cs="Times New Roman"/>
          <w:lang w:val="en-US" w:eastAsia="zh-CN"/>
        </w:rPr>
      </w:pPr>
      <w:r>
        <w:rPr>
          <w:rFonts w:hint="eastAsia" w:cs="Times New Roman"/>
          <w:lang w:val="en-US" w:eastAsia="zh-CN"/>
        </w:rPr>
        <w:t>2023年市直机关工委按照上级工作安排及实际工作需求及时制定相关工作方案，细化工作实施进度。如全面从严治党责任考核工作，市直机关工委制定印发《2023年全面从严治党责任考核动态抽查工作方案》，明确了抽查的时间安排、重点内容与工作步骤，稳步推进工作开展</w:t>
      </w:r>
      <w:r>
        <w:rPr>
          <w:rFonts w:hint="eastAsia" w:cs="Times New Roman"/>
        </w:rPr>
        <w:t>。</w:t>
      </w:r>
      <w:r>
        <w:rPr>
          <w:rFonts w:hint="eastAsia" w:cs="Times New Roman"/>
          <w:lang w:val="en-US" w:eastAsia="zh-CN"/>
        </w:rPr>
        <w:t>又如北京市机关第六届青年技能大赛项目针对不同竞赛方向细化了竞赛内容与时间节点，其中“建言新时代——调研报告写作评比竞赛”以围绕中心、建设队伍、服务群众3个方向开展调研报告写作评比竞赛，实施时间为6月至9月；“奋进新时代——青年成长成才项目案例评比竞赛”以能力提升、风采展示、创新创造3个方向开展技能实务比赛、演讲比赛、科研攻关比赛等青年成长成才案例评比，实施时间为6月至7月；“歌唱新时代——机关文化创作竞赛”以情景剧、动画视频、原创歌曲3个方向开展机关文化创作竞赛，实施时间为6月至9月。2023年各项工作活动基本按计划执行，实施进度情况良好。</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rPr>
      </w:pPr>
      <w:r>
        <w:rPr>
          <w:rFonts w:hint="eastAsia" w:cs="Times New Roman"/>
        </w:rPr>
        <w:t>4.产出成本</w:t>
      </w:r>
    </w:p>
    <w:p>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cs="Times New Roman"/>
          <w:lang w:val="en-US" w:eastAsia="zh-CN"/>
        </w:rPr>
      </w:pPr>
      <w:r>
        <w:rPr>
          <w:rFonts w:hint="eastAsia" w:cs="Times New Roman"/>
          <w:lang w:val="en-US" w:eastAsia="zh-CN"/>
        </w:rPr>
        <w:t>2023年市直机关工委严格按照《市直机关工委采购管理办法》等制度进行支出成本控制，其中：政府采购集中采购目录内，货物和服务采购单项或批量小于100万元的，采用协议采购方式执行，100万元（含）以上的，采用公开招标方式执行。政府采购目录以外，货物和服务采购单项或批量金额不足1万元的，采取直接采购方式，由经办处室直接选取具有实施能力的供应商进行采购；1万元（含）以上，不足20万元的，采取不少于三家供应商比选方式采购；20万元（含）以上，不足50万元的，采取询价方式采购；50万元（含）以上的，采取公开招标方式采购。年度成本控制情况良好。</w:t>
      </w:r>
    </w:p>
    <w:p>
      <w:pPr>
        <w:pStyle w:val="3"/>
        <w:pageBreakBefore w:val="0"/>
        <w:widowControl w:val="0"/>
        <w:kinsoku/>
        <w:wordWrap/>
        <w:overflowPunct/>
        <w:topLinePunct w:val="0"/>
        <w:autoSpaceDE/>
        <w:autoSpaceDN/>
        <w:bidi w:val="0"/>
        <w:adjustRightInd w:val="0"/>
        <w:snapToGrid w:val="0"/>
        <w:spacing w:line="560" w:lineRule="exact"/>
        <w:ind w:firstLine="640"/>
        <w:textAlignment w:val="auto"/>
      </w:pPr>
      <w:bookmarkStart w:id="7" w:name="_Toc19647"/>
      <w:r>
        <w:rPr>
          <w:rFonts w:hint="eastAsia"/>
        </w:rPr>
        <w:t>（二）效果</w:t>
      </w:r>
      <w:r>
        <w:t>实现情况分析</w:t>
      </w:r>
      <w:bookmarkEnd w:id="7"/>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1</w:t>
      </w:r>
      <w:r>
        <w:rPr>
          <w:rFonts w:hint="eastAsia" w:cs="Times New Roman"/>
        </w:rPr>
        <w:t>.</w:t>
      </w:r>
      <w:r>
        <w:rPr>
          <w:rFonts w:hint="eastAsia" w:cs="Times New Roman"/>
          <w:lang w:val="en-US" w:eastAsia="zh-CN"/>
        </w:rPr>
        <w:t>社会效益</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（1）学习宣传贯彻党的二十大精神</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2023年市直机关工委成立由市直机关出席党的二十大代表组成的党代表宣讲团，到基层一线宣讲党的二十大精神，累计举办700余场，受众15万人次；组建市直机关“强国复兴有我”百姓宣讲团，开展10余场巡回宣讲，引导机关党员干部把学习贯彻党的二十大精神成果转化为履职尽责的实际行动。</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（2）服务推动新时代首都发展</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2023年市直机关工委主要从以下四个方面服务推动新时代首都发展。一是全力服务保障第三届“一带一路”国际合作高峰论坛等党和国家重大活动，把临时党组织建在任务一线，选派干部到专班，开展发倡议、作承诺等活动。二是下发通知，做好思想政治工作，做实做细第二批市直机关向城市副中心搬迁各项任务。三是制定实施市直机关岗位建功三年行动计划，广泛开展建言献策活动，各市直机关在推动京津冀协同发展、首都经济高质量发展、城市治理和服务民生等方面出台制度机制1300余项。四是联合举办第五届京津冀机关党建工作研讨会，签订合作协议、发出倡议书，研究制定若干措施，以高质量机关党建服务推动京津冀协同发展走深走实。</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（3）增强党组织政治功能和组织功能</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2023年市直机关工委在增强党组织政治功能和组织功能方面主要开展以下七个方面工作：一是建强抓实基层党组织，指导用好党支部使用手册和工作指引，联合市委组织部对7000多个党支部开展全面体检，推进“四强”党支部建设。二是加强党员教育管理，严把党员发展政治标准，发展党员824名，对1600余名党员发展对象、新党员进行培训，提高党员经常性教育的针对性和实效性，严格规范党员网络言行。三是选优配强机关党务干部，制定机关党委和机关纪委换届选举工作指引，指导21家机关党委换届，届中调整74名机关党委负责人，开展新任机关党委书记、机关纪委书记任职谈话。举办机关党委书记抓党建专题培训班等班次，示范培训轮训490余名党务干部，推动实现培训全覆盖。四是推进机关党建品牌建设，举办4场“机关党建高质量发展”现场会，广泛开展“机关党建高质量发展大家谈”活动。在《旗帜》杂志社举办的“第四届党建创新成果展示交流活动”中，获评1项“十佳案例”、3项“百优案例”。五是持续加强纪检监察工作。制定市直机关纪检监察工委监督执纪工作细则，开展“析案·释纪·说法”实践活动，审理审核干部违纪违法案件144件，编印违纪违法典型案例分析暨警示教育读本。六是关心关爱干部职工。统筹党费、工会会费1140余万元开展困难帮扶、服务职工工作，筹备资金1170余万元建设第二批向城市副中心搬迁单位职工之家。开展工间操展示、京津冀市（省）直机关干部职工乒乓球和羽毛球友谊赛、心理健康服务等活动，丰富干部职工生活。七是进一步加强对机关统战、老干部和群团工作的领导。举办市直机关党外代表人士培训班和统战工作大讲堂，分级分类举办720余个离退休干部培训、轮训、读书班，修订印发《北京市直属机关工会工作规则》等9项规章制度，举办北京市机关第六届青年技能大赛，选树“首都最美巾帼奋斗者”，55个家庭入选全国（首都）最美家庭。</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（4）压实管党治党政治责任</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2023年市直机关工委主要通过以下4方面工作压实管党治党责任，推动机关党建高质量发展。一是召开市直机关党的工作会议对全年机关党建工作进行全面部署，向市政府党组会议汇报市政府系统机关党建情况。召开2次市直机关各机关党委（总支、支部）书记联席会议，推动机关党建各项任务落实。指导督促部门党组（党委）落实机关党建主体责任。首次召开党组（党委）落实机关党建主体责任座谈交流会，分析市直机关全面从严治党情况，形成报告上报市委，并印发各党组（党委）。二是全覆盖开展党组（党委）落实机关党建主体责任集中督查、全面从严治党责任考核动态抽查、机关党建专项调研和落实《关于以党的政治建设为统领进一步加强市直机关党的建设的若干措施》情况督察，进一步压实党建责任。三是全覆盖开展机关党组织书记述职评议考核，建立述职评议考核负面清单，强化述职评议结果运用，督促问题整改。四是发挥市机关党建研究会平台作用，围绕增强党组织政治功能和组织功能、加强机关党建品牌建设等开展研究。相关研究成果荣获全国机关党建优秀研究成果二等奖、北京市优秀调研成果一等奖、北京市党建研究会智库课题成果转化特别奖等奖项。</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（5）深化模范机关创建</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2023年市直机关工委积极推动模范机关创建工作，主要通过召开现场会议、开展专项督查、组织课题调研等方式推动任务落实，如制定《关于深化市直机关模范机关创建的若干措施》，组织开展市直机关模范机关创建示范单位（处室）认定工作，汇编典型案例，有效引导市直机关争做“五个模范”，营造对标先进、学习先进、争做先进的共创共建氛围，以先进典型推动模范机关建设持续深化。</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rPr>
      </w:pPr>
      <w:r>
        <w:rPr>
          <w:rFonts w:hint="eastAsia" w:cs="Times New Roman"/>
          <w:lang w:val="en-US" w:eastAsia="zh-CN"/>
        </w:rPr>
        <w:t>3.</w:t>
      </w:r>
      <w:r>
        <w:rPr>
          <w:rFonts w:hint="eastAsia" w:cs="Times New Roman"/>
        </w:rPr>
        <w:t>服务对象满意度</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上级主管部门满意度方面。2023年中国共产党中央委员会中央和国家机关工作委员会（以下简称“中央和国家机关工作委员会”）主要领导到北京调研机关党建工作时，对市直机关工委党建工作及研究成果给予充分肯定；2023年中央和国家机关工作委员会《机关党建研究》杂志编发增刊，宣传推广中央和国家机关、部分省市机关工委指导督促党组（党委）落实机关党建主体责任的制度文件、经验做法，刊登了市直机关工委印发的《市直机关工委关于指导督促各单位党组（党委）落实机关党建主体责任的实施办法（试行）》及解读文章。</w:t>
      </w:r>
    </w:p>
    <w:p>
      <w:pPr>
        <w:pageBreakBefore w:val="0"/>
        <w:widowControl w:val="0"/>
        <w:kinsoku/>
        <w:wordWrap/>
        <w:overflowPunct/>
        <w:topLinePunct w:val="0"/>
        <w:autoSpaceDE/>
        <w:autoSpaceDN/>
        <w:bidi w:val="0"/>
        <w:adjustRightInd w:val="0"/>
        <w:snapToGrid w:val="0"/>
        <w:spacing w:line="560" w:lineRule="exact"/>
        <w:textAlignment w:val="auto"/>
        <w:rPr>
          <w:rFonts w:hint="default" w:cs="Times New Roman"/>
          <w:lang w:val="en-US" w:eastAsia="zh-CN"/>
        </w:rPr>
      </w:pPr>
      <w:r>
        <w:rPr>
          <w:rFonts w:hint="eastAsia" w:cs="Times New Roman"/>
          <w:lang w:val="en-US" w:eastAsia="zh-CN"/>
        </w:rPr>
        <w:t>市直机关满意度方面。2023年市直机关工委部分项目满意度调查结果较好，如各市直机关对纪检监察工作经费项目综合满意度得分100.00分，北京市机关第六届青年技能大赛项目综合满意度得分95.07分。但部分项目如培训类项目、共青团工作经费项目、政工职评工作经费项目等未开展满意度调查。</w:t>
      </w:r>
    </w:p>
    <w:p>
      <w:pPr>
        <w:pStyle w:val="2"/>
        <w:pageBreakBefore w:val="0"/>
        <w:widowControl w:val="0"/>
        <w:kinsoku/>
        <w:wordWrap/>
        <w:overflowPunct/>
        <w:topLinePunct w:val="0"/>
        <w:autoSpaceDE/>
        <w:autoSpaceDN/>
        <w:bidi w:val="0"/>
        <w:adjustRightInd w:val="0"/>
        <w:snapToGrid w:val="0"/>
        <w:spacing w:line="560" w:lineRule="exact"/>
        <w:ind w:firstLine="640"/>
        <w:textAlignment w:val="auto"/>
      </w:pPr>
      <w:bookmarkStart w:id="8" w:name="_Toc29100"/>
      <w:r>
        <w:rPr>
          <w:rFonts w:hint="eastAsia"/>
        </w:rPr>
        <w:t>四</w:t>
      </w:r>
      <w:r>
        <w:t>、预算管理</w:t>
      </w:r>
      <w:r>
        <w:rPr>
          <w:rFonts w:hint="eastAsia"/>
        </w:rPr>
        <w:t>情况分</w:t>
      </w:r>
      <w:r>
        <w:t>析</w:t>
      </w:r>
      <w:bookmarkEnd w:id="8"/>
    </w:p>
    <w:p>
      <w:pPr>
        <w:pStyle w:val="3"/>
        <w:pageBreakBefore w:val="0"/>
        <w:widowControl w:val="0"/>
        <w:kinsoku/>
        <w:wordWrap/>
        <w:overflowPunct/>
        <w:topLinePunct w:val="0"/>
        <w:autoSpaceDE/>
        <w:autoSpaceDN/>
        <w:bidi w:val="0"/>
        <w:adjustRightInd w:val="0"/>
        <w:snapToGrid w:val="0"/>
        <w:spacing w:line="560" w:lineRule="exact"/>
        <w:ind w:firstLine="640"/>
        <w:textAlignment w:val="auto"/>
      </w:pPr>
      <w:bookmarkStart w:id="9" w:name="_Toc25096"/>
      <w:r>
        <w:rPr>
          <w:rFonts w:hint="eastAsia"/>
        </w:rPr>
        <w:t>（一）财务管理</w:t>
      </w:r>
      <w:bookmarkEnd w:id="9"/>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1.财务管理制度健全性</w:t>
      </w:r>
    </w:p>
    <w:p>
      <w:pPr>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cs="Times New Roman"/>
          <w:lang w:val="en-US" w:eastAsia="zh-CN"/>
        </w:rPr>
      </w:pPr>
      <w:r>
        <w:rPr>
          <w:rFonts w:hint="eastAsia" w:cs="Times New Roman"/>
          <w:lang w:val="en-US" w:eastAsia="zh-CN"/>
        </w:rPr>
        <w:t>为规范财务行为，加强财务管理和监督，提高资金使用效益，市直机关工委制定了《市直机关工委经费支出管理制度》《市直机关工委预算管理制度》《市直机关工委预算绩效管理办法》《市直机关工委采购管理办法》等，业务流程清晰，财务管理制度较为健全。</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2.资金使用合规性和安全性</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2023年资金使用过程中，市直机关工委按照《市直机关工委财务工作管理办法》等制度，落实了资金审批、报销、支出等工作要求。经办处室取得并核验发票后，填写《市直机关工委经费支出审批报销单》，并附相关票据和附件，履行报销手续。会议费、差旅费等资金支出符合规定标准。评价过程中未发现资金截留、挤占、挪用的情况，资金使用较为合理、规范。</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3.会计基础信息完善性</w:t>
      </w:r>
    </w:p>
    <w:p>
      <w:pPr>
        <w:pageBreakBefore w:val="0"/>
        <w:widowControl w:val="0"/>
        <w:kinsoku/>
        <w:wordWrap/>
        <w:overflowPunct/>
        <w:topLinePunct w:val="0"/>
        <w:autoSpaceDE/>
        <w:autoSpaceDN/>
        <w:bidi w:val="0"/>
        <w:adjustRightInd w:val="0"/>
        <w:snapToGrid w:val="0"/>
        <w:spacing w:line="560" w:lineRule="exact"/>
        <w:textAlignment w:val="auto"/>
      </w:pPr>
      <w:r>
        <w:rPr>
          <w:rFonts w:hint="eastAsia" w:cs="Times New Roman"/>
          <w:lang w:val="en-US" w:eastAsia="zh-CN"/>
        </w:rPr>
        <w:t>市直机关工委按照《市直机关工委会计档案管理办法》执行会计档案的立卷、归档、保管、查阅等工作，从凭证抽查结果来看，市直机关工委2023年度会计档案存放有序，基础数据信息和会计信息资料较为真实、完整、正确。</w:t>
      </w:r>
    </w:p>
    <w:p>
      <w:pPr>
        <w:pStyle w:val="3"/>
        <w:pageBreakBefore w:val="0"/>
        <w:widowControl w:val="0"/>
        <w:kinsoku/>
        <w:wordWrap/>
        <w:overflowPunct/>
        <w:topLinePunct w:val="0"/>
        <w:autoSpaceDE/>
        <w:autoSpaceDN/>
        <w:bidi w:val="0"/>
        <w:adjustRightInd w:val="0"/>
        <w:snapToGrid w:val="0"/>
        <w:spacing w:line="560" w:lineRule="exact"/>
        <w:ind w:firstLine="640"/>
        <w:textAlignment w:val="auto"/>
      </w:pPr>
      <w:bookmarkStart w:id="10" w:name="_Toc24257"/>
      <w:r>
        <w:rPr>
          <w:rFonts w:hint="eastAsia"/>
        </w:rPr>
        <w:t>（二）资产管理</w:t>
      </w:r>
      <w:bookmarkEnd w:id="10"/>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为进一步规范和完善部门内部固定资产管理，市直机关工委制定了《市直机关工委固定资产管理办法》《市直机关工委低值易耗品管理办法》，从职责分工、配置标准、日常管理等方面明确了管理标准；并于2023年底进行了资产盘点，2624条资产均为在用状态，盘点结果无盈亏。从本次评价抽查结果来看，市直机关工委资产管理台账信息完备、资产配置符合相关标准、调配使用合规，资产管理情况较好。</w:t>
      </w:r>
    </w:p>
    <w:p>
      <w:pPr>
        <w:pStyle w:val="3"/>
        <w:pageBreakBefore w:val="0"/>
        <w:widowControl w:val="0"/>
        <w:kinsoku/>
        <w:wordWrap/>
        <w:overflowPunct/>
        <w:topLinePunct w:val="0"/>
        <w:autoSpaceDE/>
        <w:autoSpaceDN/>
        <w:bidi w:val="0"/>
        <w:adjustRightInd w:val="0"/>
        <w:snapToGrid w:val="0"/>
        <w:spacing w:line="560" w:lineRule="exact"/>
        <w:ind w:firstLine="640"/>
        <w:textAlignment w:val="auto"/>
      </w:pPr>
      <w:bookmarkStart w:id="11" w:name="_Toc32159"/>
      <w:r>
        <w:rPr>
          <w:rFonts w:hint="eastAsia"/>
        </w:rPr>
        <w:t>（三）绩效</w:t>
      </w:r>
      <w:r>
        <w:t>管理</w:t>
      </w:r>
      <w:bookmarkEnd w:id="11"/>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2023年市直机关工委根据北京市财政局相关要求开展了绩效目标编制、绩效运行监控、绩效自评等预算绩效管理工作，具体开展情况如下：</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1.绩效目标编制</w:t>
      </w:r>
    </w:p>
    <w:p>
      <w:pPr>
        <w:pageBreakBefore w:val="0"/>
        <w:widowControl w:val="0"/>
        <w:kinsoku/>
        <w:wordWrap/>
        <w:overflowPunct/>
        <w:topLinePunct w:val="0"/>
        <w:autoSpaceDE/>
        <w:autoSpaceDN/>
        <w:bidi w:val="0"/>
        <w:adjustRightInd w:val="0"/>
        <w:snapToGrid w:val="0"/>
        <w:spacing w:line="560" w:lineRule="exact"/>
        <w:textAlignment w:val="auto"/>
        <w:rPr>
          <w:rFonts w:hint="default" w:cs="Times New Roman"/>
          <w:lang w:val="en-US" w:eastAsia="zh-CN"/>
        </w:rPr>
      </w:pPr>
      <w:r>
        <w:rPr>
          <w:rFonts w:hint="eastAsia" w:cs="Times New Roman"/>
          <w:lang w:val="en-US" w:eastAsia="zh-CN"/>
        </w:rPr>
        <w:t>市直机关工委编制了部门整体绩效目标与宣传工作经费等16个项目绩效目标并随预算公开，实现了预算公开项目绩效目标全覆盖，但绩效目标设置不够完善。部门整体目标方面，各活动仅分别设置1条质量指标，均为定性指标，欠缺可衡量性，缺少数量指标、效益指标、服务对象满意度指标等体现部门履职效果的指标内容。项目绩效目标方面，个别项目数量指标不全面、个别项目绩效指标表述不够规范。如政工职评工作经费项目数量指标仅设置“评定高级职称人数”“评定中级职称人数”，缺少初级职称评定工作相应指标；老干部工作经费项目时效指标三级指标设置为“按工作计划”、年度指标值设置为“贯穿全年，年底前集中走访慰问”，三级指标与年度指标值杂糅。</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2.绩效运行监控</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2023年市直机关工委对北京市机关第六届青年技能大赛、后勤综合保障经费、老干部工作经费等16个项目进行了全面绩效运行监控，“目前完成情况”填报清晰，“目标执行偏差原因分析及对策”总结完整、规范。</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3.绩效评价</w:t>
      </w:r>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2023年，市直机关工委针对2022年度部门履职产出和效果实现情况，开展了部门整体绩效评价，评价得分96.20分，评价等级为优；对2022年度办公设备更新、妇女工作经费、后勤综合保障经费等13个项目开展了单位自评，自评结果平均94.69分，评价等级为优；对市直机关党建网运行维护（二期）项目开展了部门评价，评价得分96.00分，评价等级为优。各项评价工作开展情况较好，指标完成值偏差原因、项目问题点等归纳清晰、填报完整。</w:t>
      </w:r>
    </w:p>
    <w:p>
      <w:pPr>
        <w:pStyle w:val="3"/>
        <w:pageBreakBefore w:val="0"/>
        <w:widowControl w:val="0"/>
        <w:kinsoku/>
        <w:wordWrap/>
        <w:overflowPunct/>
        <w:topLinePunct w:val="0"/>
        <w:autoSpaceDE/>
        <w:autoSpaceDN/>
        <w:bidi w:val="0"/>
        <w:adjustRightInd w:val="0"/>
        <w:snapToGrid w:val="0"/>
        <w:spacing w:line="560" w:lineRule="exact"/>
        <w:ind w:firstLine="640"/>
        <w:textAlignment w:val="auto"/>
        <w:rPr>
          <w:highlight w:val="none"/>
        </w:rPr>
      </w:pPr>
      <w:bookmarkStart w:id="12" w:name="_Toc9879"/>
      <w:r>
        <w:rPr>
          <w:rFonts w:hint="eastAsia"/>
          <w:highlight w:val="none"/>
        </w:rPr>
        <w:t>（四）结转结余率</w:t>
      </w:r>
      <w:bookmarkEnd w:id="12"/>
    </w:p>
    <w:p>
      <w:pPr>
        <w:pageBreakBefore w:val="0"/>
        <w:widowControl w:val="0"/>
        <w:kinsoku/>
        <w:wordWrap/>
        <w:overflowPunct/>
        <w:topLinePunct w:val="0"/>
        <w:autoSpaceDE/>
        <w:autoSpaceDN/>
        <w:bidi w:val="0"/>
        <w:adjustRightInd w:val="0"/>
        <w:snapToGrid w:val="0"/>
        <w:spacing w:line="560" w:lineRule="exact"/>
        <w:textAlignment w:val="auto"/>
        <w:rPr>
          <w:rFonts w:hint="eastAsia" w:cs="Times New Roman"/>
          <w:lang w:val="en-US" w:eastAsia="zh-CN"/>
        </w:rPr>
      </w:pPr>
      <w:r>
        <w:rPr>
          <w:rFonts w:hint="eastAsia" w:cs="Times New Roman"/>
          <w:lang w:val="en-US" w:eastAsia="zh-CN"/>
        </w:rPr>
        <w:t>2023年市直机关工委全年支出预算5523.77万元，年末结转结余资金300.79万元，资金结转结余率5.45%，相较2022年资金结转结余率2.38%控制效果不佳。</w:t>
      </w:r>
    </w:p>
    <w:p>
      <w:pPr>
        <w:pStyle w:val="3"/>
        <w:pageBreakBefore w:val="0"/>
        <w:widowControl w:val="0"/>
        <w:kinsoku/>
        <w:wordWrap/>
        <w:overflowPunct/>
        <w:topLinePunct w:val="0"/>
        <w:autoSpaceDE/>
        <w:autoSpaceDN/>
        <w:bidi w:val="0"/>
        <w:adjustRightInd w:val="0"/>
        <w:snapToGrid w:val="0"/>
        <w:spacing w:line="560" w:lineRule="exact"/>
        <w:ind w:firstLine="640"/>
        <w:textAlignment w:val="auto"/>
      </w:pPr>
      <w:bookmarkStart w:id="13" w:name="_Toc3299"/>
      <w:r>
        <w:rPr>
          <w:rFonts w:hint="eastAsia"/>
        </w:rPr>
        <w:t>（五）</w:t>
      </w:r>
      <w:r>
        <w:rPr>
          <w:rFonts w:hint="eastAsia"/>
          <w:lang w:eastAsia="zh-CN"/>
        </w:rPr>
        <w:t>部门</w:t>
      </w:r>
      <w:r>
        <w:t>预决算差异率</w:t>
      </w:r>
      <w:bookmarkEnd w:id="13"/>
    </w:p>
    <w:p>
      <w:pPr>
        <w:pageBreakBefore w:val="0"/>
        <w:widowControl w:val="0"/>
        <w:kinsoku/>
        <w:wordWrap/>
        <w:overflowPunct/>
        <w:topLinePunct w:val="0"/>
        <w:autoSpaceDE/>
        <w:autoSpaceDN/>
        <w:bidi w:val="0"/>
        <w:adjustRightInd w:val="0"/>
        <w:snapToGrid w:val="0"/>
        <w:spacing w:line="560" w:lineRule="exact"/>
        <w:textAlignment w:val="auto"/>
      </w:pPr>
      <w:r>
        <w:rPr>
          <w:rFonts w:hint="eastAsia" w:cs="Times New Roman"/>
          <w:lang w:val="en-US" w:eastAsia="zh-CN"/>
        </w:rPr>
        <w:t>2023年市直机关工委年初预算5342.00万元，年度决算5222.98万元，部门预决算差异率为2.23%，低于市级平均差异率（28.30%），预决算控制情况较好。</w:t>
      </w:r>
    </w:p>
    <w:p>
      <w:pPr>
        <w:pStyle w:val="2"/>
        <w:pageBreakBefore w:val="0"/>
        <w:widowControl w:val="0"/>
        <w:kinsoku/>
        <w:wordWrap/>
        <w:overflowPunct/>
        <w:topLinePunct w:val="0"/>
        <w:autoSpaceDE/>
        <w:autoSpaceDN/>
        <w:bidi w:val="0"/>
        <w:adjustRightInd w:val="0"/>
        <w:snapToGrid w:val="0"/>
        <w:spacing w:line="560" w:lineRule="exact"/>
        <w:ind w:firstLine="640"/>
        <w:textAlignment w:val="auto"/>
      </w:pPr>
      <w:bookmarkStart w:id="14" w:name="_Toc8337"/>
      <w:r>
        <w:rPr>
          <w:rFonts w:hint="eastAsia"/>
        </w:rPr>
        <w:t>五、总体</w:t>
      </w:r>
      <w:r>
        <w:t>评价结论</w:t>
      </w:r>
      <w:bookmarkEnd w:id="14"/>
    </w:p>
    <w:p>
      <w:pPr>
        <w:pStyle w:val="3"/>
        <w:pageBreakBefore w:val="0"/>
        <w:widowControl w:val="0"/>
        <w:kinsoku/>
        <w:wordWrap/>
        <w:overflowPunct/>
        <w:topLinePunct w:val="0"/>
        <w:autoSpaceDE/>
        <w:autoSpaceDN/>
        <w:bidi w:val="0"/>
        <w:adjustRightInd w:val="0"/>
        <w:snapToGrid w:val="0"/>
        <w:spacing w:line="560" w:lineRule="exact"/>
        <w:ind w:firstLine="640"/>
        <w:textAlignment w:val="auto"/>
      </w:pPr>
      <w:bookmarkStart w:id="15" w:name="_Toc4930"/>
      <w:r>
        <w:rPr>
          <w:rFonts w:hint="eastAsia"/>
        </w:rPr>
        <w:t>（一）评价</w:t>
      </w:r>
      <w:r>
        <w:t>得分</w:t>
      </w:r>
      <w:r>
        <w:rPr>
          <w:rFonts w:hint="eastAsia"/>
        </w:rPr>
        <w:t>情况</w:t>
      </w:r>
      <w:bookmarkEnd w:id="15"/>
    </w:p>
    <w:p>
      <w:pPr>
        <w:pageBreakBefore w:val="0"/>
        <w:widowControl w:val="0"/>
        <w:kinsoku/>
        <w:wordWrap/>
        <w:overflowPunct/>
        <w:topLinePunct w:val="0"/>
        <w:autoSpaceDE/>
        <w:autoSpaceDN/>
        <w:bidi w:val="0"/>
        <w:adjustRightInd w:val="0"/>
        <w:snapToGrid w:val="0"/>
        <w:spacing w:line="560" w:lineRule="exact"/>
        <w:textAlignment w:val="auto"/>
        <w:rPr>
          <w:rFonts w:hint="eastAsia"/>
        </w:rPr>
      </w:pPr>
      <w:r>
        <w:rPr>
          <w:rFonts w:hint="eastAsia"/>
          <w:lang w:eastAsia="zh-CN"/>
        </w:rPr>
        <w:t>市直机关工委</w:t>
      </w:r>
      <w:r>
        <w:rPr>
          <w:rFonts w:hint="eastAsia"/>
        </w:rPr>
        <w:t>2023年</w:t>
      </w:r>
      <w:r>
        <w:rPr>
          <w:rFonts w:hint="eastAsia"/>
          <w:lang w:eastAsia="zh-CN"/>
        </w:rPr>
        <w:t>部门</w:t>
      </w:r>
      <w:r>
        <w:rPr>
          <w:rFonts w:hint="eastAsia"/>
        </w:rPr>
        <w:t>整体绩效评价得分</w:t>
      </w:r>
      <w:r>
        <w:rPr>
          <w:rFonts w:hint="eastAsia"/>
          <w:lang w:val="en-US" w:eastAsia="zh-CN"/>
        </w:rPr>
        <w:t>95.91</w:t>
      </w:r>
      <w:r>
        <w:rPr>
          <w:rFonts w:hint="eastAsia"/>
        </w:rPr>
        <w:t>分，综合评价等级为“优”，各部分得分情况</w:t>
      </w:r>
      <w:r>
        <w:rPr>
          <w:rFonts w:hint="eastAsia"/>
          <w:lang w:eastAsia="zh-CN"/>
        </w:rPr>
        <w:t>见</w:t>
      </w:r>
      <w:r>
        <w:rPr>
          <w:rFonts w:hint="eastAsia"/>
        </w:rPr>
        <w:t>表</w:t>
      </w:r>
      <w:r>
        <w:rPr>
          <w:rFonts w:hint="eastAsia"/>
          <w:lang w:val="en-US" w:eastAsia="zh-CN"/>
        </w:rPr>
        <w:t>3</w:t>
      </w:r>
      <w:r>
        <w:rPr>
          <w:rFonts w:hint="eastAsia"/>
        </w:rPr>
        <w:t>：</w:t>
      </w:r>
    </w:p>
    <w:p>
      <w:pPr>
        <w:pageBreakBefore w:val="0"/>
        <w:widowControl w:val="0"/>
        <w:kinsoku/>
        <w:wordWrap/>
        <w:overflowPunct/>
        <w:topLinePunct w:val="0"/>
        <w:autoSpaceDE/>
        <w:autoSpaceDN/>
        <w:bidi w:val="0"/>
        <w:adjustRightInd w:val="0"/>
        <w:snapToGrid w:val="0"/>
        <w:spacing w:line="560" w:lineRule="exact"/>
        <w:textAlignment w:val="auto"/>
        <w:rPr>
          <w:rFonts w:hint="eastAsia"/>
        </w:rPr>
      </w:pPr>
    </w:p>
    <w:p>
      <w:pPr>
        <w:ind w:firstLine="0" w:firstLineChars="0"/>
        <w:jc w:val="center"/>
        <w:rPr>
          <w:rFonts w:ascii="黑体" w:hAnsi="黑体" w:eastAsia="黑体" w:cs="黑体"/>
          <w:sz w:val="28"/>
          <w:szCs w:val="28"/>
        </w:rPr>
      </w:pPr>
      <w:r>
        <w:rPr>
          <w:rFonts w:hint="eastAsia" w:ascii="黑体" w:hAnsi="黑体" w:eastAsia="黑体" w:cs="黑体"/>
          <w:sz w:val="28"/>
          <w:szCs w:val="28"/>
        </w:rPr>
        <w:t>表3：</w:t>
      </w:r>
      <w:r>
        <w:rPr>
          <w:rFonts w:hint="eastAsia" w:ascii="黑体" w:hAnsi="黑体" w:eastAsia="黑体" w:cs="黑体"/>
          <w:sz w:val="28"/>
          <w:szCs w:val="28"/>
          <w:lang w:eastAsia="zh-CN"/>
        </w:rPr>
        <w:t>市直机关工委</w:t>
      </w:r>
      <w:r>
        <w:rPr>
          <w:rFonts w:hint="eastAsia" w:ascii="黑体" w:hAnsi="黑体" w:eastAsia="黑体" w:cs="黑体"/>
          <w:sz w:val="28"/>
          <w:szCs w:val="28"/>
        </w:rPr>
        <w:t>2023年</w:t>
      </w:r>
      <w:r>
        <w:rPr>
          <w:rFonts w:hint="eastAsia" w:ascii="黑体" w:hAnsi="黑体" w:eastAsia="黑体" w:cs="黑体"/>
          <w:sz w:val="28"/>
          <w:szCs w:val="28"/>
          <w:lang w:eastAsia="zh-CN"/>
        </w:rPr>
        <w:t>部门</w:t>
      </w:r>
      <w:r>
        <w:rPr>
          <w:rFonts w:hint="eastAsia" w:ascii="黑体" w:hAnsi="黑体" w:eastAsia="黑体" w:cs="黑体"/>
          <w:sz w:val="28"/>
          <w:szCs w:val="28"/>
        </w:rPr>
        <w:t>整体绩效评价得分情况表</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5"/>
        <w:gridCol w:w="1972"/>
        <w:gridCol w:w="2280"/>
        <w:gridCol w:w="2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blHeader/>
        </w:trPr>
        <w:tc>
          <w:tcPr>
            <w:tcW w:w="1418" w:type="pct"/>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b/>
                <w:bCs/>
                <w:color w:val="000000"/>
                <w:kern w:val="0"/>
                <w:sz w:val="24"/>
                <w:szCs w:val="24"/>
                <w:lang w:bidi="ar"/>
              </w:rPr>
              <w:t>一级指标</w:t>
            </w:r>
          </w:p>
        </w:tc>
        <w:tc>
          <w:tcPr>
            <w:tcW w:w="1081" w:type="pct"/>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b/>
                <w:bCs/>
                <w:color w:val="000000"/>
                <w:kern w:val="0"/>
                <w:sz w:val="24"/>
                <w:szCs w:val="24"/>
                <w:lang w:bidi="ar"/>
              </w:rPr>
              <w:t>分值</w:t>
            </w:r>
          </w:p>
        </w:tc>
        <w:tc>
          <w:tcPr>
            <w:tcW w:w="1250" w:type="pct"/>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b/>
                <w:bCs/>
                <w:color w:val="000000"/>
                <w:kern w:val="0"/>
                <w:sz w:val="24"/>
                <w:szCs w:val="24"/>
                <w:lang w:bidi="ar"/>
              </w:rPr>
              <w:t>得分</w:t>
            </w:r>
          </w:p>
        </w:tc>
        <w:tc>
          <w:tcPr>
            <w:tcW w:w="1250" w:type="pct"/>
            <w:shd w:val="clear" w:color="auto" w:fill="auto"/>
            <w:vAlign w:val="center"/>
          </w:tcPr>
          <w:p>
            <w:pPr>
              <w:keepNext w:val="0"/>
              <w:keepLines w:val="0"/>
              <w:widowControl/>
              <w:suppressLineNumbers w:val="0"/>
              <w:spacing w:before="0" w:beforeAutospacing="0" w:after="0" w:afterAutospacing="0" w:line="240" w:lineRule="auto"/>
              <w:ind w:left="0" w:right="0" w:firstLine="0" w:firstLineChars="0"/>
              <w:jc w:val="center"/>
              <w:textAlignment w:val="center"/>
              <w:rPr>
                <w:rFonts w:hint="eastAsia" w:ascii="CESI楷体-GB2312" w:hAnsi="CESI楷体-GB2312" w:eastAsia="CESI楷体-GB2312" w:cs="CESI楷体-GB2312"/>
                <w:sz w:val="24"/>
                <w:szCs w:val="24"/>
              </w:rPr>
            </w:pPr>
            <w:r>
              <w:rPr>
                <w:rFonts w:hint="eastAsia" w:ascii="CESI楷体-GB2312" w:hAnsi="CESI楷体-GB2312" w:eastAsia="CESI楷体-GB2312" w:cs="CESI楷体-GB2312"/>
                <w:b/>
                <w:bCs/>
                <w:color w:val="000000"/>
                <w:kern w:val="0"/>
                <w:sz w:val="24"/>
                <w:szCs w:val="24"/>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18"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bidi="ar"/>
              </w:rPr>
              <w:t>当年预算执行情况</w:t>
            </w:r>
          </w:p>
        </w:tc>
        <w:tc>
          <w:tcPr>
            <w:tcW w:w="1081"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color w:val="000000"/>
                <w:kern w:val="0"/>
                <w:sz w:val="24"/>
                <w:szCs w:val="24"/>
                <w:lang w:bidi="ar"/>
              </w:rPr>
              <w:t>20</w:t>
            </w:r>
            <w:r>
              <w:rPr>
                <w:rFonts w:hint="eastAsia" w:ascii="CESI楷体-GB2312" w:hAnsi="CESI楷体-GB2312" w:eastAsia="CESI楷体-GB2312" w:cs="CESI楷体-GB2312"/>
                <w:color w:val="000000"/>
                <w:kern w:val="0"/>
                <w:sz w:val="24"/>
                <w:szCs w:val="24"/>
                <w:lang w:val="en-US" w:eastAsia="zh-CN" w:bidi="ar"/>
              </w:rPr>
              <w:t>.00</w:t>
            </w:r>
          </w:p>
        </w:tc>
        <w:tc>
          <w:tcPr>
            <w:tcW w:w="1250"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sz w:val="24"/>
                <w:szCs w:val="24"/>
                <w:lang w:val="en-US" w:eastAsia="zh-CN"/>
              </w:rPr>
              <w:t>18.91</w:t>
            </w:r>
          </w:p>
        </w:tc>
        <w:tc>
          <w:tcPr>
            <w:tcW w:w="1250"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sz w:val="24"/>
                <w:szCs w:val="24"/>
                <w:lang w:val="en-US" w:eastAsia="zh-CN"/>
              </w:rPr>
              <w:t>94.55%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18"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bidi="ar"/>
              </w:rPr>
              <w:t>整体绩效目标实现情况</w:t>
            </w:r>
          </w:p>
        </w:tc>
        <w:tc>
          <w:tcPr>
            <w:tcW w:w="1081"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color w:val="000000"/>
                <w:kern w:val="0"/>
                <w:sz w:val="24"/>
                <w:szCs w:val="24"/>
                <w:lang w:bidi="ar"/>
              </w:rPr>
              <w:t>60</w:t>
            </w:r>
            <w:r>
              <w:rPr>
                <w:rFonts w:hint="eastAsia" w:ascii="CESI楷体-GB2312" w:hAnsi="CESI楷体-GB2312" w:eastAsia="CESI楷体-GB2312" w:cs="CESI楷体-GB2312"/>
                <w:color w:val="000000"/>
                <w:kern w:val="0"/>
                <w:sz w:val="24"/>
                <w:szCs w:val="24"/>
                <w:lang w:val="en-US" w:eastAsia="zh-CN" w:bidi="ar"/>
              </w:rPr>
              <w:t>.00</w:t>
            </w:r>
          </w:p>
        </w:tc>
        <w:tc>
          <w:tcPr>
            <w:tcW w:w="1250"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sz w:val="24"/>
                <w:szCs w:val="24"/>
                <w:lang w:val="en-US" w:eastAsia="zh-CN"/>
              </w:rPr>
              <w:t>59.10</w:t>
            </w:r>
          </w:p>
        </w:tc>
        <w:tc>
          <w:tcPr>
            <w:tcW w:w="1250"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sz w:val="24"/>
                <w:szCs w:val="24"/>
                <w:lang w:val="en-US" w:eastAsia="zh-CN"/>
              </w:rPr>
              <w:t>98.50%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18"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rPr>
            </w:pPr>
            <w:r>
              <w:rPr>
                <w:rFonts w:hint="eastAsia" w:ascii="CESI楷体-GB2312" w:hAnsi="CESI楷体-GB2312" w:eastAsia="CESI楷体-GB2312" w:cs="CESI楷体-GB2312"/>
                <w:color w:val="000000"/>
                <w:kern w:val="0"/>
                <w:sz w:val="24"/>
                <w:szCs w:val="24"/>
                <w:lang w:bidi="ar"/>
              </w:rPr>
              <w:t>预算管理情况</w:t>
            </w:r>
          </w:p>
        </w:tc>
        <w:tc>
          <w:tcPr>
            <w:tcW w:w="1081"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color w:val="000000"/>
                <w:kern w:val="0"/>
                <w:sz w:val="24"/>
                <w:szCs w:val="24"/>
                <w:lang w:bidi="ar"/>
              </w:rPr>
              <w:t>20</w:t>
            </w:r>
            <w:r>
              <w:rPr>
                <w:rFonts w:hint="eastAsia" w:ascii="CESI楷体-GB2312" w:hAnsi="CESI楷体-GB2312" w:eastAsia="CESI楷体-GB2312" w:cs="CESI楷体-GB2312"/>
                <w:color w:val="000000"/>
                <w:kern w:val="0"/>
                <w:sz w:val="24"/>
                <w:szCs w:val="24"/>
                <w:lang w:val="en-US" w:eastAsia="zh-CN" w:bidi="ar"/>
              </w:rPr>
              <w:t>.00</w:t>
            </w:r>
          </w:p>
        </w:tc>
        <w:tc>
          <w:tcPr>
            <w:tcW w:w="2131" w:type="dxa"/>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sz w:val="24"/>
                <w:szCs w:val="24"/>
                <w:lang w:val="en-US" w:eastAsia="zh-CN"/>
              </w:rPr>
              <w:t>17.90</w:t>
            </w:r>
          </w:p>
        </w:tc>
        <w:tc>
          <w:tcPr>
            <w:tcW w:w="2131" w:type="dxa"/>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sz w:val="24"/>
                <w:szCs w:val="24"/>
                <w:lang w:val="en-US" w:eastAsia="zh-CN"/>
              </w:rPr>
            </w:pPr>
            <w:r>
              <w:rPr>
                <w:rFonts w:hint="eastAsia" w:ascii="CESI楷体-GB2312" w:hAnsi="CESI楷体-GB2312" w:eastAsia="CESI楷体-GB2312" w:cs="CESI楷体-GB2312"/>
                <w:sz w:val="24"/>
                <w:szCs w:val="24"/>
                <w:lang w:val="en-US" w:eastAsia="zh-CN"/>
              </w:rPr>
              <w:t>89.50%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418"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b/>
                <w:bCs/>
                <w:sz w:val="24"/>
                <w:szCs w:val="24"/>
              </w:rPr>
            </w:pPr>
            <w:r>
              <w:rPr>
                <w:rFonts w:hint="eastAsia" w:ascii="CESI楷体-GB2312" w:hAnsi="CESI楷体-GB2312" w:eastAsia="CESI楷体-GB2312" w:cs="CESI楷体-GB2312"/>
                <w:b/>
                <w:bCs/>
                <w:color w:val="000000"/>
                <w:kern w:val="0"/>
                <w:sz w:val="24"/>
                <w:szCs w:val="24"/>
                <w:lang w:bidi="ar"/>
              </w:rPr>
              <w:t>合计</w:t>
            </w:r>
          </w:p>
        </w:tc>
        <w:tc>
          <w:tcPr>
            <w:tcW w:w="1081" w:type="pct"/>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b/>
                <w:bCs/>
                <w:sz w:val="24"/>
                <w:szCs w:val="24"/>
                <w:lang w:val="en-US" w:eastAsia="zh-CN"/>
              </w:rPr>
            </w:pPr>
            <w:r>
              <w:rPr>
                <w:rFonts w:hint="eastAsia" w:ascii="CESI楷体-GB2312" w:hAnsi="CESI楷体-GB2312" w:eastAsia="CESI楷体-GB2312" w:cs="CESI楷体-GB2312"/>
                <w:b/>
                <w:bCs/>
                <w:color w:val="000000"/>
                <w:kern w:val="0"/>
                <w:sz w:val="24"/>
                <w:szCs w:val="24"/>
                <w:lang w:bidi="ar"/>
              </w:rPr>
              <w:t>100</w:t>
            </w:r>
            <w:r>
              <w:rPr>
                <w:rFonts w:hint="eastAsia" w:ascii="CESI楷体-GB2312" w:hAnsi="CESI楷体-GB2312" w:eastAsia="CESI楷体-GB2312" w:cs="CESI楷体-GB2312"/>
                <w:b/>
                <w:bCs/>
                <w:color w:val="000000"/>
                <w:kern w:val="0"/>
                <w:sz w:val="24"/>
                <w:szCs w:val="24"/>
                <w:lang w:val="en-US" w:eastAsia="zh-CN" w:bidi="ar"/>
              </w:rPr>
              <w:t>.00</w:t>
            </w:r>
          </w:p>
        </w:tc>
        <w:tc>
          <w:tcPr>
            <w:tcW w:w="2131" w:type="dxa"/>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b/>
                <w:bCs/>
                <w:sz w:val="24"/>
                <w:szCs w:val="24"/>
                <w:lang w:val="en-US" w:eastAsia="zh-CN"/>
              </w:rPr>
            </w:pPr>
            <w:r>
              <w:rPr>
                <w:rFonts w:hint="eastAsia" w:ascii="CESI楷体-GB2312" w:hAnsi="CESI楷体-GB2312" w:eastAsia="CESI楷体-GB2312" w:cs="CESI楷体-GB2312"/>
                <w:b/>
                <w:bCs/>
                <w:sz w:val="24"/>
                <w:szCs w:val="24"/>
                <w:lang w:val="en-US" w:eastAsia="zh-CN"/>
              </w:rPr>
              <w:t>95.91</w:t>
            </w:r>
          </w:p>
        </w:tc>
        <w:tc>
          <w:tcPr>
            <w:tcW w:w="2131" w:type="dxa"/>
            <w:vAlign w:val="center"/>
          </w:tcPr>
          <w:p>
            <w:pPr>
              <w:keepNext w:val="0"/>
              <w:keepLines w:val="0"/>
              <w:widowControl/>
              <w:suppressLineNumbers w:val="0"/>
              <w:spacing w:before="0" w:beforeAutospacing="0" w:after="0" w:afterAutospacing="0" w:line="240" w:lineRule="auto"/>
              <w:ind w:left="0" w:right="0" w:firstLine="0" w:firstLineChars="0"/>
              <w:jc w:val="center"/>
              <w:textAlignment w:val="top"/>
              <w:rPr>
                <w:rFonts w:hint="eastAsia" w:ascii="CESI楷体-GB2312" w:hAnsi="CESI楷体-GB2312" w:eastAsia="CESI楷体-GB2312" w:cs="CESI楷体-GB2312"/>
                <w:b/>
                <w:bCs/>
                <w:sz w:val="24"/>
                <w:szCs w:val="24"/>
                <w:lang w:val="en-US" w:eastAsia="zh-CN"/>
              </w:rPr>
            </w:pPr>
            <w:r>
              <w:rPr>
                <w:rFonts w:hint="eastAsia" w:ascii="CESI楷体-GB2312" w:hAnsi="CESI楷体-GB2312" w:eastAsia="CESI楷体-GB2312" w:cs="CESI楷体-GB2312"/>
                <w:b/>
                <w:bCs/>
                <w:sz w:val="24"/>
                <w:szCs w:val="24"/>
                <w:lang w:val="en-US" w:eastAsia="zh-CN"/>
              </w:rPr>
              <w:t>95.91%</w:t>
            </w:r>
          </w:p>
        </w:tc>
      </w:tr>
    </w:tbl>
    <w:p/>
    <w:p>
      <w:pPr>
        <w:pStyle w:val="3"/>
        <w:pageBreakBefore w:val="0"/>
        <w:widowControl w:val="0"/>
        <w:kinsoku/>
        <w:wordWrap/>
        <w:overflowPunct/>
        <w:topLinePunct w:val="0"/>
        <w:autoSpaceDE/>
        <w:autoSpaceDN/>
        <w:bidi w:val="0"/>
        <w:adjustRightInd w:val="0"/>
        <w:snapToGrid w:val="0"/>
        <w:spacing w:line="560" w:lineRule="exact"/>
        <w:ind w:firstLine="640"/>
        <w:jc w:val="left"/>
        <w:textAlignment w:val="auto"/>
      </w:pPr>
      <w:bookmarkStart w:id="16" w:name="_Toc28077"/>
      <w:r>
        <w:rPr>
          <w:rFonts w:hint="eastAsia"/>
        </w:rPr>
        <w:t>（二）存在的问题及原因分析</w:t>
      </w:r>
      <w:bookmarkEnd w:id="16"/>
    </w:p>
    <w:p>
      <w:pPr>
        <w:pStyle w:val="7"/>
        <w:pageBreakBefore w:val="0"/>
        <w:widowControl w:val="0"/>
        <w:kinsoku/>
        <w:wordWrap/>
        <w:overflowPunct/>
        <w:topLinePunct w:val="0"/>
        <w:autoSpaceDE/>
        <w:autoSpaceDN/>
        <w:bidi w:val="0"/>
        <w:adjustRightInd w:val="0"/>
        <w:snapToGrid w:val="0"/>
        <w:spacing w:line="560" w:lineRule="exact"/>
        <w:jc w:val="left"/>
        <w:textAlignment w:val="auto"/>
        <w:rPr>
          <w:rFonts w:hint="eastAsia" w:ascii="仿宋_GB2312" w:hAnsi="仿宋_GB2312" w:eastAsia="仿宋_GB2312" w:cs="Times New Roman"/>
          <w:kern w:val="2"/>
          <w:sz w:val="32"/>
          <w:szCs w:val="24"/>
          <w:lang w:val="en-US" w:eastAsia="zh-CN" w:bidi="ar-SA"/>
        </w:rPr>
      </w:pPr>
      <w:r>
        <w:rPr>
          <w:rFonts w:hint="eastAsia" w:ascii="仿宋_GB2312" w:hAnsi="仿宋_GB2312" w:eastAsia="仿宋_GB2312" w:cs="Times New Roman"/>
          <w:kern w:val="2"/>
          <w:sz w:val="32"/>
          <w:szCs w:val="24"/>
          <w:lang w:val="en-US" w:eastAsia="zh-CN" w:bidi="ar-SA"/>
        </w:rPr>
        <w:t>1.绩效目标设置不够合理，项目满意度调查不全面</w:t>
      </w:r>
      <w:r>
        <w:rPr>
          <w:rFonts w:hint="eastAsia" w:cs="Times New Roman"/>
          <w:kern w:val="2"/>
          <w:sz w:val="32"/>
          <w:szCs w:val="24"/>
          <w:lang w:val="en-US" w:eastAsia="zh-CN" w:bidi="ar-SA"/>
        </w:rPr>
        <w:t>：</w:t>
      </w:r>
      <w:r>
        <w:rPr>
          <w:rFonts w:hint="eastAsia" w:ascii="仿宋_GB2312" w:hAnsi="仿宋_GB2312" w:eastAsia="仿宋_GB2312" w:cs="Times New Roman"/>
          <w:kern w:val="2"/>
          <w:sz w:val="32"/>
          <w:szCs w:val="24"/>
          <w:lang w:val="en-US" w:eastAsia="zh-CN" w:bidi="ar-SA"/>
        </w:rPr>
        <w:t>一是绩效目标设置不够合理。部门整体绩效目标仅设置定性的质量指标不具备可衡量性，缺少数量指标、效益指标、服务对象满意度指标等体现部门履职效果的指标内容。项目绩效目标中个别项目数量指标不全面、个别项目绩效指标表述不够规范。二是部分项目未开展满意度调查，服务对象对部门履职满意度佐证材料不够充分。</w:t>
      </w:r>
    </w:p>
    <w:p>
      <w:pPr>
        <w:pStyle w:val="7"/>
        <w:pageBreakBefore w:val="0"/>
        <w:widowControl w:val="0"/>
        <w:kinsoku/>
        <w:wordWrap/>
        <w:overflowPunct/>
        <w:topLinePunct w:val="0"/>
        <w:autoSpaceDE/>
        <w:autoSpaceDN/>
        <w:bidi w:val="0"/>
        <w:adjustRightInd w:val="0"/>
        <w:snapToGrid w:val="0"/>
        <w:spacing w:line="560" w:lineRule="exact"/>
        <w:jc w:val="left"/>
        <w:textAlignment w:val="auto"/>
        <w:rPr>
          <w:rFonts w:hint="eastAsia" w:cs="Times New Roman"/>
          <w:kern w:val="2"/>
          <w:sz w:val="32"/>
          <w:szCs w:val="24"/>
          <w:lang w:val="en-US" w:eastAsia="zh-CN" w:bidi="ar-SA"/>
        </w:rPr>
      </w:pPr>
      <w:r>
        <w:rPr>
          <w:rFonts w:hint="eastAsia" w:cs="Times New Roman"/>
          <w:kern w:val="2"/>
          <w:sz w:val="32"/>
          <w:szCs w:val="24"/>
          <w:lang w:val="en-US" w:eastAsia="zh-CN" w:bidi="ar-SA"/>
        </w:rPr>
        <w:t>2.</w:t>
      </w:r>
      <w:r>
        <w:rPr>
          <w:rFonts w:hint="eastAsia" w:ascii="仿宋_GB2312" w:hAnsi="仿宋_GB2312" w:eastAsia="仿宋_GB2312" w:cs="Times New Roman"/>
          <w:kern w:val="2"/>
          <w:sz w:val="32"/>
          <w:szCs w:val="24"/>
          <w:lang w:val="en-US" w:eastAsia="zh-CN" w:bidi="ar-SA"/>
        </w:rPr>
        <w:t>个别服务合同</w:t>
      </w:r>
      <w:r>
        <w:rPr>
          <w:rFonts w:hint="eastAsia" w:cs="Times New Roman"/>
          <w:kern w:val="2"/>
          <w:sz w:val="32"/>
          <w:szCs w:val="24"/>
          <w:lang w:val="en-US" w:eastAsia="zh-CN" w:bidi="ar-SA"/>
        </w:rPr>
        <w:t>存在签署不及时、</w:t>
      </w:r>
      <w:r>
        <w:rPr>
          <w:rFonts w:hint="eastAsia" w:ascii="仿宋_GB2312" w:hAnsi="仿宋_GB2312" w:eastAsia="仿宋_GB2312" w:cs="Times New Roman"/>
          <w:kern w:val="2"/>
          <w:sz w:val="32"/>
          <w:szCs w:val="24"/>
          <w:lang w:val="en-US" w:eastAsia="zh-CN" w:bidi="ar-SA"/>
        </w:rPr>
        <w:t>质量要求不明确、支出报销不及时</w:t>
      </w:r>
      <w:r>
        <w:rPr>
          <w:rFonts w:hint="eastAsia" w:cs="Times New Roman"/>
          <w:kern w:val="2"/>
          <w:sz w:val="32"/>
          <w:szCs w:val="24"/>
          <w:lang w:val="en-US" w:eastAsia="zh-CN" w:bidi="ar-SA"/>
        </w:rPr>
        <w:t>等问题。如个别合同未约定采购</w:t>
      </w:r>
      <w:r>
        <w:rPr>
          <w:rFonts w:hint="eastAsia" w:ascii="仿宋_GB2312" w:hAnsi="仿宋_GB2312" w:eastAsia="仿宋_GB2312" w:cs="Times New Roman"/>
          <w:kern w:val="2"/>
          <w:sz w:val="32"/>
          <w:szCs w:val="24"/>
          <w:lang w:val="en-US" w:eastAsia="zh-CN" w:bidi="ar-SA"/>
        </w:rPr>
        <w:t>物品的材质、工艺、颜色和外观质量标准</w:t>
      </w:r>
      <w:r>
        <w:rPr>
          <w:rFonts w:hint="eastAsia" w:cs="Times New Roman"/>
          <w:kern w:val="2"/>
          <w:sz w:val="32"/>
          <w:szCs w:val="24"/>
          <w:lang w:val="en-US" w:eastAsia="zh-CN" w:bidi="ar-SA"/>
        </w:rPr>
        <w:t>，个别项目</w:t>
      </w:r>
      <w:r>
        <w:rPr>
          <w:rFonts w:hint="eastAsia" w:ascii="仿宋_GB2312" w:hAnsi="仿宋_GB2312" w:eastAsia="仿宋_GB2312" w:cs="Times New Roman"/>
          <w:kern w:val="2"/>
          <w:sz w:val="32"/>
          <w:szCs w:val="24"/>
          <w:lang w:val="en-US" w:eastAsia="zh-CN" w:bidi="ar-SA"/>
        </w:rPr>
        <w:t>经办处室报销申请时间已超出合同约定付款日期，导致资金支付时间晚于合同要求。</w:t>
      </w:r>
    </w:p>
    <w:p>
      <w:pPr>
        <w:pStyle w:val="2"/>
        <w:pageBreakBefore w:val="0"/>
        <w:widowControl w:val="0"/>
        <w:kinsoku/>
        <w:wordWrap/>
        <w:overflowPunct/>
        <w:topLinePunct w:val="0"/>
        <w:autoSpaceDE/>
        <w:autoSpaceDN/>
        <w:bidi w:val="0"/>
        <w:adjustRightInd w:val="0"/>
        <w:snapToGrid w:val="0"/>
        <w:spacing w:line="560" w:lineRule="exact"/>
        <w:ind w:firstLine="640"/>
        <w:jc w:val="left"/>
        <w:textAlignment w:val="auto"/>
      </w:pPr>
      <w:bookmarkStart w:id="17" w:name="_Toc21473"/>
      <w:r>
        <w:rPr>
          <w:rFonts w:hint="eastAsia"/>
        </w:rPr>
        <w:t>六、措施建议</w:t>
      </w:r>
      <w:bookmarkEnd w:id="17"/>
    </w:p>
    <w:p>
      <w:pPr>
        <w:pStyle w:val="3"/>
        <w:pageBreakBefore w:val="0"/>
        <w:widowControl w:val="0"/>
        <w:kinsoku/>
        <w:wordWrap/>
        <w:overflowPunct/>
        <w:topLinePunct w:val="0"/>
        <w:autoSpaceDE/>
        <w:autoSpaceDN/>
        <w:bidi w:val="0"/>
        <w:adjustRightInd w:val="0"/>
        <w:snapToGrid w:val="0"/>
        <w:spacing w:line="560" w:lineRule="exact"/>
        <w:ind w:firstLine="640"/>
        <w:jc w:val="left"/>
        <w:textAlignment w:val="auto"/>
        <w:rPr>
          <w:rFonts w:hint="default" w:eastAsia="楷体_GB2312"/>
          <w:highlight w:val="none"/>
          <w:lang w:val="en-US" w:eastAsia="zh-CN"/>
        </w:rPr>
      </w:pPr>
      <w:bookmarkStart w:id="18" w:name="_Toc23064"/>
      <w:r>
        <w:rPr>
          <w:rFonts w:hint="eastAsia"/>
        </w:rPr>
        <w:t>（一）</w:t>
      </w:r>
      <w:r>
        <w:rPr>
          <w:rFonts w:hint="eastAsia"/>
          <w:lang w:val="en-US" w:eastAsia="zh-CN"/>
        </w:rPr>
        <w:t>科学编制绩效目标，重视服务对象满意度调查</w:t>
      </w:r>
      <w:bookmarkEnd w:id="18"/>
    </w:p>
    <w:p>
      <w:pPr>
        <w:pageBreakBefore w:val="0"/>
        <w:widowControl w:val="0"/>
        <w:kinsoku/>
        <w:wordWrap/>
        <w:overflowPunct/>
        <w:topLinePunct w:val="0"/>
        <w:autoSpaceDE/>
        <w:autoSpaceDN/>
        <w:bidi w:val="0"/>
        <w:adjustRightInd w:val="0"/>
        <w:snapToGrid w:val="0"/>
        <w:spacing w:line="560" w:lineRule="exact"/>
        <w:jc w:val="left"/>
        <w:textAlignment w:val="auto"/>
      </w:pPr>
      <w:r>
        <w:rPr>
          <w:rFonts w:hint="eastAsia"/>
        </w:rPr>
        <w:t>建议</w:t>
      </w:r>
      <w:r>
        <w:rPr>
          <w:rFonts w:hint="eastAsia"/>
          <w:lang w:val="en-US" w:eastAsia="zh-CN"/>
        </w:rPr>
        <w:t>市直机关工委编制部门整体绩效目标时，充分参考部门职责、年度重点工作任务与预算投入重点情况，增加如“慰问离退休干部人数”“组织青年大讲堂次数”“</w:t>
      </w:r>
      <w:r>
        <w:rPr>
          <w:rFonts w:hint="eastAsia"/>
        </w:rPr>
        <w:t>市直机关</w:t>
      </w:r>
      <w:r>
        <w:rPr>
          <w:rFonts w:hint="eastAsia"/>
          <w:lang w:val="en-US" w:eastAsia="zh-CN"/>
        </w:rPr>
        <w:t>活动覆盖率”等绩效指标，参考工作计划量化设置绩效指标值</w:t>
      </w:r>
      <w:r>
        <w:rPr>
          <w:rFonts w:hint="eastAsia"/>
          <w:lang w:eastAsia="zh-CN"/>
        </w:rPr>
        <w:t>。</w:t>
      </w:r>
      <w:r>
        <w:rPr>
          <w:rFonts w:hint="eastAsia"/>
          <w:lang w:val="en-US" w:eastAsia="zh-CN"/>
        </w:rPr>
        <w:t>建议项目绩效目标编制时结合工作需求进一步细化绩效指标，确保数量指标完整覆盖重点工作内容</w:t>
      </w:r>
      <w:r>
        <w:rPr>
          <w:rFonts w:hint="eastAsia"/>
          <w:highlight w:val="none"/>
          <w:lang w:val="en-US" w:eastAsia="zh-CN"/>
        </w:rPr>
        <w:t>；优化三级指标与指标值，保证绩效指标表述精炼、指向明确。同时，建议市直机关工委</w:t>
      </w:r>
      <w:r>
        <w:rPr>
          <w:rFonts w:hint="eastAsia"/>
          <w:highlight w:val="none"/>
          <w:lang w:eastAsia="zh-CN"/>
        </w:rPr>
        <w:t>结合</w:t>
      </w:r>
      <w:r>
        <w:rPr>
          <w:rFonts w:hint="eastAsia"/>
          <w:highlight w:val="none"/>
          <w:lang w:val="en-US" w:eastAsia="zh-CN"/>
        </w:rPr>
        <w:t>年度工作开展情况，及时、</w:t>
      </w:r>
      <w:r>
        <w:rPr>
          <w:rFonts w:hint="eastAsia"/>
          <w:highlight w:val="none"/>
          <w:lang w:eastAsia="zh-CN"/>
        </w:rPr>
        <w:t>全面开展</w:t>
      </w:r>
      <w:r>
        <w:rPr>
          <w:rFonts w:hint="eastAsia"/>
          <w:highlight w:val="none"/>
          <w:lang w:val="en-US" w:eastAsia="zh-CN"/>
        </w:rPr>
        <w:t>服务对象</w:t>
      </w:r>
      <w:r>
        <w:rPr>
          <w:rFonts w:hint="eastAsia"/>
          <w:highlight w:val="none"/>
          <w:lang w:eastAsia="zh-CN"/>
        </w:rPr>
        <w:t>满意度调查，</w:t>
      </w:r>
      <w:r>
        <w:rPr>
          <w:rFonts w:hint="eastAsia"/>
          <w:highlight w:val="none"/>
          <w:lang w:val="en-US" w:eastAsia="zh-CN"/>
        </w:rPr>
        <w:t>参考服务对象反馈的</w:t>
      </w:r>
      <w:r>
        <w:rPr>
          <w:rFonts w:hint="eastAsia"/>
          <w:highlight w:val="none"/>
          <w:lang w:eastAsia="zh-CN"/>
        </w:rPr>
        <w:t>意见和建议，</w:t>
      </w:r>
      <w:r>
        <w:rPr>
          <w:rFonts w:hint="eastAsia"/>
          <w:highlight w:val="none"/>
          <w:lang w:val="en-US" w:eastAsia="zh-CN"/>
        </w:rPr>
        <w:t>优化后续工作方式，提高部门履职效果，如培训类项目应在培训结束时充分征求培训对象、培训单位对课程设置、培训时长等方面的满意度情况</w:t>
      </w:r>
      <w:r>
        <w:rPr>
          <w:rFonts w:hint="eastAsia"/>
        </w:rPr>
        <w:t>。</w:t>
      </w:r>
    </w:p>
    <w:p>
      <w:pPr>
        <w:pStyle w:val="3"/>
        <w:pageBreakBefore w:val="0"/>
        <w:widowControl w:val="0"/>
        <w:kinsoku/>
        <w:wordWrap/>
        <w:overflowPunct/>
        <w:topLinePunct w:val="0"/>
        <w:autoSpaceDE/>
        <w:autoSpaceDN/>
        <w:bidi w:val="0"/>
        <w:adjustRightInd w:val="0"/>
        <w:snapToGrid w:val="0"/>
        <w:spacing w:line="560" w:lineRule="exact"/>
        <w:ind w:firstLine="640"/>
        <w:jc w:val="left"/>
        <w:textAlignment w:val="auto"/>
        <w:rPr>
          <w:rFonts w:hint="default" w:eastAsia="楷体_GB2312"/>
          <w:lang w:val="en-US" w:eastAsia="zh-CN"/>
        </w:rPr>
      </w:pPr>
      <w:bookmarkStart w:id="19" w:name="_Toc4461"/>
      <w:r>
        <w:rPr>
          <w:rFonts w:hint="eastAsia"/>
        </w:rPr>
        <w:t>（二）</w:t>
      </w:r>
      <w:r>
        <w:rPr>
          <w:rFonts w:hint="eastAsia"/>
          <w:lang w:val="en-US" w:eastAsia="zh-CN"/>
        </w:rPr>
        <w:t>加快工作节奏，及时完成合同签订、支出报销等工作</w:t>
      </w:r>
      <w:bookmarkEnd w:id="19"/>
    </w:p>
    <w:p>
      <w:pPr>
        <w:pageBreakBefore w:val="0"/>
        <w:widowControl w:val="0"/>
        <w:kinsoku/>
        <w:wordWrap/>
        <w:overflowPunct/>
        <w:topLinePunct w:val="0"/>
        <w:autoSpaceDE/>
        <w:autoSpaceDN/>
        <w:bidi w:val="0"/>
        <w:adjustRightInd w:val="0"/>
        <w:snapToGrid w:val="0"/>
        <w:spacing w:line="560" w:lineRule="exact"/>
        <w:jc w:val="left"/>
        <w:textAlignment w:val="auto"/>
        <w:rPr>
          <w:rFonts w:hint="default"/>
          <w:lang w:val="en-US"/>
        </w:rPr>
      </w:pPr>
      <w:r>
        <w:rPr>
          <w:rFonts w:hint="eastAsia"/>
        </w:rPr>
        <w:t>建议</w:t>
      </w:r>
      <w:r>
        <w:rPr>
          <w:rFonts w:hint="eastAsia"/>
          <w:lang w:val="en-US" w:eastAsia="zh-CN"/>
        </w:rPr>
        <w:t>市直机关工委严格执行合同管理、政府采购等相关管理制度，及时签署相关合同，避免合同空白期的规范风险与财务风险；</w:t>
      </w:r>
      <w:r>
        <w:rPr>
          <w:rFonts w:hint="eastAsia"/>
          <w:highlight w:val="none"/>
          <w:lang w:val="en-US" w:eastAsia="zh-CN"/>
        </w:rPr>
        <w:t>及时整理提交相关票据和材料，</w:t>
      </w:r>
      <w:r>
        <w:rPr>
          <w:rFonts w:hint="eastAsia" w:cs="仿宋_GB2312"/>
          <w:highlight w:val="none"/>
          <w:lang w:val="en-US" w:eastAsia="zh-CN"/>
        </w:rPr>
        <w:t>履行报销手续</w:t>
      </w:r>
      <w:r>
        <w:rPr>
          <w:rFonts w:hint="eastAsia"/>
          <w:highlight w:val="none"/>
          <w:lang w:val="en-US" w:eastAsia="zh-CN"/>
        </w:rPr>
        <w:t>，按合同约定期限完成资金支付。</w:t>
      </w:r>
    </w:p>
    <w:p>
      <w:pPr>
        <w:pStyle w:val="3"/>
        <w:pageBreakBefore w:val="0"/>
        <w:widowControl w:val="0"/>
        <w:kinsoku/>
        <w:wordWrap/>
        <w:overflowPunct/>
        <w:topLinePunct w:val="0"/>
        <w:autoSpaceDE/>
        <w:autoSpaceDN/>
        <w:bidi w:val="0"/>
        <w:adjustRightInd w:val="0"/>
        <w:snapToGrid w:val="0"/>
        <w:spacing w:line="560" w:lineRule="exact"/>
        <w:ind w:firstLine="640"/>
        <w:jc w:val="left"/>
        <w:textAlignment w:val="auto"/>
        <w:rPr>
          <w:rFonts w:hint="default"/>
          <w:lang w:val="en-US" w:eastAsia="zh-CN"/>
        </w:rPr>
      </w:pPr>
      <w:bookmarkStart w:id="20" w:name="_Toc28722"/>
      <w:r>
        <w:rPr>
          <w:rFonts w:hint="eastAsia"/>
          <w:lang w:eastAsia="zh-CN"/>
        </w:rPr>
        <w:t>（</w:t>
      </w:r>
      <w:r>
        <w:rPr>
          <w:rFonts w:hint="eastAsia"/>
          <w:lang w:val="en-US" w:eastAsia="zh-CN"/>
        </w:rPr>
        <w:t>三</w:t>
      </w:r>
      <w:r>
        <w:rPr>
          <w:rFonts w:hint="eastAsia"/>
          <w:lang w:eastAsia="zh-CN"/>
        </w:rPr>
        <w:t>）</w:t>
      </w:r>
      <w:r>
        <w:rPr>
          <w:rFonts w:hint="eastAsia"/>
          <w:lang w:val="en-US" w:eastAsia="zh-CN"/>
        </w:rPr>
        <w:t>细化履约验收方案，规范验收程序</w:t>
      </w:r>
      <w:bookmarkEnd w:id="20"/>
    </w:p>
    <w:p>
      <w:pPr>
        <w:pageBreakBefore w:val="0"/>
        <w:widowControl w:val="0"/>
        <w:kinsoku/>
        <w:wordWrap/>
        <w:overflowPunct/>
        <w:topLinePunct w:val="0"/>
        <w:autoSpaceDE/>
        <w:autoSpaceDN/>
        <w:bidi w:val="0"/>
        <w:adjustRightInd w:val="0"/>
        <w:snapToGrid w:val="0"/>
        <w:spacing w:line="560" w:lineRule="exact"/>
        <w:jc w:val="left"/>
        <w:textAlignment w:val="auto"/>
        <w:rPr>
          <w:rFonts w:hint="default"/>
          <w:lang w:val="en-US" w:eastAsia="zh-CN"/>
        </w:rPr>
      </w:pPr>
      <w:r>
        <w:rPr>
          <w:rFonts w:hint="eastAsia"/>
        </w:rPr>
        <w:t>建议</w:t>
      </w:r>
      <w:r>
        <w:rPr>
          <w:rFonts w:hint="eastAsia"/>
          <w:lang w:val="en-US" w:eastAsia="zh-CN"/>
        </w:rPr>
        <w:t>市直机关工委在合同签署时进一步细化履约验收方案，明确履约验收的主体、时间、方式、程序等事项，参考《财政部关于印发〈政府采购需求管理办法〉的通知》（财库〔2021〕22号）“验收内容要包括每一项技术和商务要求的履约情况，验收标准要包括所有客观、量化指标。不能明确客观标准、涉及主观判断的，可以通过在采购人、使用人中开展问卷调查等方式，转化为客观、量化的验收标准”等要求约定验收内容与标准。在合同履约完成后，按方案约定规范开展验收工作，服务类应就服务内容或产出成果逐项验收，货物类应确保验收单日期、货物质量合格情况等要素完整。</w:t>
      </w:r>
    </w:p>
    <w:p>
      <w:pPr>
        <w:pStyle w:val="2"/>
        <w:pageBreakBefore w:val="0"/>
        <w:widowControl w:val="0"/>
        <w:kinsoku/>
        <w:wordWrap/>
        <w:overflowPunct/>
        <w:topLinePunct w:val="0"/>
        <w:autoSpaceDE/>
        <w:autoSpaceDN/>
        <w:bidi w:val="0"/>
        <w:adjustRightInd w:val="0"/>
        <w:snapToGrid w:val="0"/>
        <w:spacing w:line="560" w:lineRule="exact"/>
        <w:ind w:firstLine="640"/>
        <w:jc w:val="left"/>
        <w:textAlignment w:val="auto"/>
        <w:rPr>
          <w:rFonts w:hint="eastAsia"/>
        </w:rPr>
      </w:pPr>
      <w:bookmarkStart w:id="21" w:name="_Toc23941"/>
      <w:bookmarkStart w:id="22" w:name="_Toc103006301"/>
      <w:r>
        <w:rPr>
          <w:rFonts w:hint="eastAsia"/>
        </w:rPr>
        <w:t>七、附件</w:t>
      </w:r>
      <w:bookmarkEnd w:id="21"/>
      <w:bookmarkEnd w:id="22"/>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lang w:val="en-US" w:eastAsia="zh-CN"/>
        </w:rPr>
      </w:pPr>
      <w:r>
        <w:rPr>
          <w:rFonts w:hint="eastAsia"/>
          <w:lang w:val="en-US" w:eastAsia="zh-CN"/>
        </w:rPr>
        <w:t>中国共产党北京市委员会市直属机关工作委员会2023年部门整体绩效评价指标体系评分表</w:t>
      </w:r>
    </w:p>
    <w:p>
      <w:pPr>
        <w:pageBreakBefore w:val="0"/>
        <w:widowControl w:val="0"/>
        <w:kinsoku/>
        <w:wordWrap/>
        <w:overflowPunct/>
        <w:topLinePunct w:val="0"/>
        <w:autoSpaceDE/>
        <w:autoSpaceDN/>
        <w:bidi w:val="0"/>
        <w:adjustRightInd w:val="0"/>
        <w:snapToGrid w:val="0"/>
        <w:spacing w:line="560" w:lineRule="exact"/>
        <w:jc w:val="left"/>
        <w:textAlignment w:val="auto"/>
        <w:rPr>
          <w:rFonts w:hint="eastAsia"/>
          <w:lang w:val="en-US" w:eastAsia="zh-CN"/>
        </w:rPr>
      </w:pPr>
    </w:p>
    <w:p>
      <w:pPr>
        <w:spacing w:line="600" w:lineRule="exact"/>
      </w:pPr>
    </w:p>
    <w:sectPr>
      <w:footerReference r:id="rId7" w:type="default"/>
      <w:pgSz w:w="11906" w:h="16838"/>
      <w:pgMar w:top="2098" w:right="1474" w:bottom="1984" w:left="1531" w:header="851" w:footer="1417"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altName w:val="方正楷体_GBK"/>
    <w:panose1 w:val="02010609030101010101"/>
    <w:charset w:val="86"/>
    <w:family w:val="auto"/>
    <w:pitch w:val="default"/>
    <w:sig w:usb0="00000000" w:usb1="00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楷体">
    <w:altName w:val="方正楷体_GBK"/>
    <w:panose1 w:val="02010609060101010101"/>
    <w:charset w:val="86"/>
    <w:family w:val="modern"/>
    <w:pitch w:val="default"/>
    <w:sig w:usb0="00000000" w:usb1="00000000" w:usb2="00000016" w:usb3="00000000" w:csb0="00040001" w:csb1="00000000"/>
  </w:font>
  <w:font w:name="CESI楷体-GB2312">
    <w:panose1 w:val="02000500000000000000"/>
    <w:charset w:val="86"/>
    <w:family w:val="auto"/>
    <w:pitch w:val="default"/>
    <w:sig w:usb0="800002BF" w:usb1="184F6CF8" w:usb2="00000012"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CESI黑体-GB2312">
    <w:panose1 w:val="02000500000000000000"/>
    <w:charset w:val="86"/>
    <w:family w:val="auto"/>
    <w:pitch w:val="default"/>
    <w:sig w:usb0="800002BF" w:usb1="184F6CF8" w:usb2="00000012" w:usb3="00000000" w:csb0="0004000F" w:csb1="00000000"/>
  </w:font>
  <w:font w:name="文泉驿正黑">
    <w:panose1 w:val="02000603000000000000"/>
    <w:charset w:val="86"/>
    <w:family w:val="auto"/>
    <w:pitch w:val="default"/>
    <w:sig w:usb0="900002BF" w:usb1="2BDF7DFB" w:usb2="00000036" w:usb3="00000000" w:csb0="603E000D" w:csb1="D2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420"/>
      <w:jc w:val="center"/>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420"/>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ind w:firstLine="560"/>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ind w:firstLine="560"/>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6</w:t>
                    </w:r>
                    <w:r>
                      <w:rPr>
                        <w:rFonts w:hint="eastAsia" w:ascii="宋体" w:hAnsi="宋体" w:eastAsia="宋体" w:cs="宋体"/>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7567"/>
        <w:tab w:val="clear" w:pos="4153"/>
      </w:tabs>
      <w:rPr>
        <w:rFonts w:hint="eastAsia" w:eastAsia="仿宋_GB2312"/>
        <w:lang w:eastAsia="zh-CN"/>
      </w:rPr>
    </w:pPr>
    <w:r>
      <w:rPr>
        <w:rFonts w:hint="eastAsia"/>
        <w:lang w:eastAsia="zh-CN"/>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GJjYzNhYzg1YzY3NzA4MTkxNzYwOGFlMTE5NmQifQ=="/>
  </w:docVars>
  <w:rsids>
    <w:rsidRoot w:val="08D82720"/>
    <w:rsid w:val="0003159B"/>
    <w:rsid w:val="001847BA"/>
    <w:rsid w:val="001E3EC2"/>
    <w:rsid w:val="00246E83"/>
    <w:rsid w:val="003A5796"/>
    <w:rsid w:val="004910F5"/>
    <w:rsid w:val="004B0D73"/>
    <w:rsid w:val="004B36D0"/>
    <w:rsid w:val="00540E36"/>
    <w:rsid w:val="00556988"/>
    <w:rsid w:val="005C3918"/>
    <w:rsid w:val="00620B18"/>
    <w:rsid w:val="006A6EA1"/>
    <w:rsid w:val="006C5F90"/>
    <w:rsid w:val="00704A68"/>
    <w:rsid w:val="0071431D"/>
    <w:rsid w:val="0072411B"/>
    <w:rsid w:val="00727EB3"/>
    <w:rsid w:val="0084353C"/>
    <w:rsid w:val="008A0A6F"/>
    <w:rsid w:val="00962860"/>
    <w:rsid w:val="00B2507E"/>
    <w:rsid w:val="00B31A91"/>
    <w:rsid w:val="00B3281B"/>
    <w:rsid w:val="00B44338"/>
    <w:rsid w:val="00C107D2"/>
    <w:rsid w:val="00C612DB"/>
    <w:rsid w:val="00C90593"/>
    <w:rsid w:val="00C93998"/>
    <w:rsid w:val="00CA65A4"/>
    <w:rsid w:val="00CF1F59"/>
    <w:rsid w:val="00D84C47"/>
    <w:rsid w:val="00E3267E"/>
    <w:rsid w:val="00EF6331"/>
    <w:rsid w:val="00F146E0"/>
    <w:rsid w:val="00F2080B"/>
    <w:rsid w:val="00FE73BD"/>
    <w:rsid w:val="0103164E"/>
    <w:rsid w:val="010431B8"/>
    <w:rsid w:val="023D293E"/>
    <w:rsid w:val="02CE5187"/>
    <w:rsid w:val="03045209"/>
    <w:rsid w:val="03082F4B"/>
    <w:rsid w:val="03393105"/>
    <w:rsid w:val="03490A17"/>
    <w:rsid w:val="037E4FBC"/>
    <w:rsid w:val="03A33AD5"/>
    <w:rsid w:val="03B86720"/>
    <w:rsid w:val="03D1333D"/>
    <w:rsid w:val="03E02AA0"/>
    <w:rsid w:val="04D56EB3"/>
    <w:rsid w:val="04F55751"/>
    <w:rsid w:val="055A7363"/>
    <w:rsid w:val="05A131E3"/>
    <w:rsid w:val="05A625A8"/>
    <w:rsid w:val="05B9677F"/>
    <w:rsid w:val="05ED671A"/>
    <w:rsid w:val="062A55EA"/>
    <w:rsid w:val="069B779E"/>
    <w:rsid w:val="06AB60C8"/>
    <w:rsid w:val="073A569E"/>
    <w:rsid w:val="075E313A"/>
    <w:rsid w:val="076369A2"/>
    <w:rsid w:val="077961C6"/>
    <w:rsid w:val="078F59E9"/>
    <w:rsid w:val="07AD5E6F"/>
    <w:rsid w:val="07B436A2"/>
    <w:rsid w:val="07D17DB0"/>
    <w:rsid w:val="07D433FC"/>
    <w:rsid w:val="07D93108"/>
    <w:rsid w:val="07ED2A9D"/>
    <w:rsid w:val="081E6D6D"/>
    <w:rsid w:val="0848751E"/>
    <w:rsid w:val="085E53BC"/>
    <w:rsid w:val="08907C6B"/>
    <w:rsid w:val="08AF79C5"/>
    <w:rsid w:val="08D82720"/>
    <w:rsid w:val="08E65ADD"/>
    <w:rsid w:val="092D1499"/>
    <w:rsid w:val="093E76C7"/>
    <w:rsid w:val="099C619C"/>
    <w:rsid w:val="09C73D6D"/>
    <w:rsid w:val="09E10052"/>
    <w:rsid w:val="0A2F0DBE"/>
    <w:rsid w:val="0A6A0048"/>
    <w:rsid w:val="0ABA0FCF"/>
    <w:rsid w:val="0AC57974"/>
    <w:rsid w:val="0AF425AB"/>
    <w:rsid w:val="0B1D330C"/>
    <w:rsid w:val="0B286BC5"/>
    <w:rsid w:val="0BAE0408"/>
    <w:rsid w:val="0BB2689A"/>
    <w:rsid w:val="0BBE4CCD"/>
    <w:rsid w:val="0BCF2858"/>
    <w:rsid w:val="0BEA7692"/>
    <w:rsid w:val="0BFB189F"/>
    <w:rsid w:val="0C48085D"/>
    <w:rsid w:val="0C6F1945"/>
    <w:rsid w:val="0C71390F"/>
    <w:rsid w:val="0C963376"/>
    <w:rsid w:val="0DA81515"/>
    <w:rsid w:val="0DB25F8E"/>
    <w:rsid w:val="0DE34399"/>
    <w:rsid w:val="0E527771"/>
    <w:rsid w:val="0E80608C"/>
    <w:rsid w:val="0EB75826"/>
    <w:rsid w:val="0ED32660"/>
    <w:rsid w:val="0F2033CB"/>
    <w:rsid w:val="0F2904D1"/>
    <w:rsid w:val="0F462D02"/>
    <w:rsid w:val="0F5202E9"/>
    <w:rsid w:val="0F966920"/>
    <w:rsid w:val="0FBD4467"/>
    <w:rsid w:val="0FDF5034"/>
    <w:rsid w:val="104F3F68"/>
    <w:rsid w:val="10DF7048"/>
    <w:rsid w:val="10E63386"/>
    <w:rsid w:val="11286567"/>
    <w:rsid w:val="112E1DCF"/>
    <w:rsid w:val="11692E07"/>
    <w:rsid w:val="117F087D"/>
    <w:rsid w:val="125F420A"/>
    <w:rsid w:val="129C0FBA"/>
    <w:rsid w:val="12AF6F40"/>
    <w:rsid w:val="134E49AB"/>
    <w:rsid w:val="13632714"/>
    <w:rsid w:val="13705C9D"/>
    <w:rsid w:val="14184FB8"/>
    <w:rsid w:val="14956609"/>
    <w:rsid w:val="14A971FD"/>
    <w:rsid w:val="14C03686"/>
    <w:rsid w:val="150B51D4"/>
    <w:rsid w:val="152139F9"/>
    <w:rsid w:val="156F6E5A"/>
    <w:rsid w:val="163D4862"/>
    <w:rsid w:val="16730284"/>
    <w:rsid w:val="167C538B"/>
    <w:rsid w:val="16954F75"/>
    <w:rsid w:val="16BE1E47"/>
    <w:rsid w:val="16FF7D6A"/>
    <w:rsid w:val="175E42B2"/>
    <w:rsid w:val="179B7A92"/>
    <w:rsid w:val="18194E5B"/>
    <w:rsid w:val="182E0907"/>
    <w:rsid w:val="18FA6135"/>
    <w:rsid w:val="19203961"/>
    <w:rsid w:val="197902A7"/>
    <w:rsid w:val="19924EC5"/>
    <w:rsid w:val="19B968F6"/>
    <w:rsid w:val="1A366198"/>
    <w:rsid w:val="1A3D12D5"/>
    <w:rsid w:val="1A8011C2"/>
    <w:rsid w:val="1ABD5F72"/>
    <w:rsid w:val="1B1D4C62"/>
    <w:rsid w:val="1B3E3557"/>
    <w:rsid w:val="1BAF4AA0"/>
    <w:rsid w:val="1BDA5312"/>
    <w:rsid w:val="1C7E0F2C"/>
    <w:rsid w:val="1D1207F7"/>
    <w:rsid w:val="1D30633E"/>
    <w:rsid w:val="1D391569"/>
    <w:rsid w:val="1D660B43"/>
    <w:rsid w:val="1D6D7456"/>
    <w:rsid w:val="1D880AB9"/>
    <w:rsid w:val="1D884F5D"/>
    <w:rsid w:val="1DFD1595"/>
    <w:rsid w:val="1E7A2AF8"/>
    <w:rsid w:val="1ED57D2E"/>
    <w:rsid w:val="1EE00481"/>
    <w:rsid w:val="1F2B5BA0"/>
    <w:rsid w:val="1F3F5AEF"/>
    <w:rsid w:val="1F444EB4"/>
    <w:rsid w:val="1F570348"/>
    <w:rsid w:val="1F6E3CDF"/>
    <w:rsid w:val="1FA140B4"/>
    <w:rsid w:val="20291E05"/>
    <w:rsid w:val="20670E5A"/>
    <w:rsid w:val="20684BD2"/>
    <w:rsid w:val="207D2C09"/>
    <w:rsid w:val="20C55B80"/>
    <w:rsid w:val="20CC33B3"/>
    <w:rsid w:val="20D65FDF"/>
    <w:rsid w:val="2130749E"/>
    <w:rsid w:val="213276BA"/>
    <w:rsid w:val="21F66F98"/>
    <w:rsid w:val="222114DC"/>
    <w:rsid w:val="2297614E"/>
    <w:rsid w:val="22AB401E"/>
    <w:rsid w:val="22E42C35"/>
    <w:rsid w:val="234C2589"/>
    <w:rsid w:val="23C245F9"/>
    <w:rsid w:val="23DC56BB"/>
    <w:rsid w:val="23E24378"/>
    <w:rsid w:val="24092228"/>
    <w:rsid w:val="2419690F"/>
    <w:rsid w:val="24247062"/>
    <w:rsid w:val="24A24B56"/>
    <w:rsid w:val="25290DD3"/>
    <w:rsid w:val="25C1100C"/>
    <w:rsid w:val="25F413E1"/>
    <w:rsid w:val="26323CB8"/>
    <w:rsid w:val="265B26B4"/>
    <w:rsid w:val="26647BE9"/>
    <w:rsid w:val="26E86A6C"/>
    <w:rsid w:val="26EB3C06"/>
    <w:rsid w:val="27213CDD"/>
    <w:rsid w:val="272E26D1"/>
    <w:rsid w:val="28180C8B"/>
    <w:rsid w:val="28747240"/>
    <w:rsid w:val="28983C59"/>
    <w:rsid w:val="28B9421C"/>
    <w:rsid w:val="28EE405D"/>
    <w:rsid w:val="28FC05AD"/>
    <w:rsid w:val="298E4C92"/>
    <w:rsid w:val="299802D6"/>
    <w:rsid w:val="2A0C2A72"/>
    <w:rsid w:val="2A500BB0"/>
    <w:rsid w:val="2A7F3244"/>
    <w:rsid w:val="2B142E74"/>
    <w:rsid w:val="2BD33847"/>
    <w:rsid w:val="2C032E40"/>
    <w:rsid w:val="2C11436F"/>
    <w:rsid w:val="2C4138D6"/>
    <w:rsid w:val="2CB573F1"/>
    <w:rsid w:val="2E1F2D74"/>
    <w:rsid w:val="2E385BE3"/>
    <w:rsid w:val="2E3A0F5A"/>
    <w:rsid w:val="2EB01C1E"/>
    <w:rsid w:val="2EC658E5"/>
    <w:rsid w:val="2EF064BE"/>
    <w:rsid w:val="2F1E302B"/>
    <w:rsid w:val="2F432A92"/>
    <w:rsid w:val="2F6EB0E5"/>
    <w:rsid w:val="2F837375"/>
    <w:rsid w:val="2F8B146B"/>
    <w:rsid w:val="2FAA0D63"/>
    <w:rsid w:val="2FAA2D25"/>
    <w:rsid w:val="2FEF03F7"/>
    <w:rsid w:val="2FF87D20"/>
    <w:rsid w:val="30085A89"/>
    <w:rsid w:val="305B3E0B"/>
    <w:rsid w:val="30B005FB"/>
    <w:rsid w:val="30B67293"/>
    <w:rsid w:val="30D50061"/>
    <w:rsid w:val="31271F3F"/>
    <w:rsid w:val="314E571E"/>
    <w:rsid w:val="31B01FC3"/>
    <w:rsid w:val="31BC4D7D"/>
    <w:rsid w:val="322425CE"/>
    <w:rsid w:val="328C0BF4"/>
    <w:rsid w:val="333470B7"/>
    <w:rsid w:val="338813BB"/>
    <w:rsid w:val="342A2472"/>
    <w:rsid w:val="34441786"/>
    <w:rsid w:val="34525525"/>
    <w:rsid w:val="34752EC7"/>
    <w:rsid w:val="34A51AF9"/>
    <w:rsid w:val="34E22105"/>
    <w:rsid w:val="34E97C37"/>
    <w:rsid w:val="351849C1"/>
    <w:rsid w:val="351D3D85"/>
    <w:rsid w:val="355A28E3"/>
    <w:rsid w:val="35DB7EC8"/>
    <w:rsid w:val="35F84D2D"/>
    <w:rsid w:val="361231BE"/>
    <w:rsid w:val="36462E68"/>
    <w:rsid w:val="365E28A7"/>
    <w:rsid w:val="366D2324"/>
    <w:rsid w:val="36A540C5"/>
    <w:rsid w:val="36C84394"/>
    <w:rsid w:val="371B60A2"/>
    <w:rsid w:val="37646A08"/>
    <w:rsid w:val="37667C65"/>
    <w:rsid w:val="37BA58BB"/>
    <w:rsid w:val="37FCCF80"/>
    <w:rsid w:val="381256F7"/>
    <w:rsid w:val="38635F53"/>
    <w:rsid w:val="388A7983"/>
    <w:rsid w:val="3962226B"/>
    <w:rsid w:val="396E4BAF"/>
    <w:rsid w:val="397D1296"/>
    <w:rsid w:val="397D4DF2"/>
    <w:rsid w:val="39B06F76"/>
    <w:rsid w:val="39B747A8"/>
    <w:rsid w:val="39BF540B"/>
    <w:rsid w:val="39F7609C"/>
    <w:rsid w:val="3A00614F"/>
    <w:rsid w:val="3A10210A"/>
    <w:rsid w:val="3A176FF5"/>
    <w:rsid w:val="3A281202"/>
    <w:rsid w:val="3A295C8E"/>
    <w:rsid w:val="3ABE3914"/>
    <w:rsid w:val="3AC23405"/>
    <w:rsid w:val="3AC85F3C"/>
    <w:rsid w:val="3ADB2718"/>
    <w:rsid w:val="3AF64E5C"/>
    <w:rsid w:val="3AFD443D"/>
    <w:rsid w:val="3B4E4C98"/>
    <w:rsid w:val="3BDBB8CB"/>
    <w:rsid w:val="3BF05D4F"/>
    <w:rsid w:val="3C0C7271"/>
    <w:rsid w:val="3C123F18"/>
    <w:rsid w:val="3C1E28BD"/>
    <w:rsid w:val="3C5F1138"/>
    <w:rsid w:val="3C7921CD"/>
    <w:rsid w:val="3CA31014"/>
    <w:rsid w:val="3CDB450B"/>
    <w:rsid w:val="3D0E2705"/>
    <w:rsid w:val="3D125759"/>
    <w:rsid w:val="3D3E2AEA"/>
    <w:rsid w:val="3D406863"/>
    <w:rsid w:val="3D4E5423"/>
    <w:rsid w:val="3DEE4511"/>
    <w:rsid w:val="3DF02037"/>
    <w:rsid w:val="3DFDD4DF"/>
    <w:rsid w:val="3E3F4D6C"/>
    <w:rsid w:val="3E6260D1"/>
    <w:rsid w:val="3E654C08"/>
    <w:rsid w:val="3EA13331"/>
    <w:rsid w:val="3EA64DEB"/>
    <w:rsid w:val="3EDE358B"/>
    <w:rsid w:val="3F5910AE"/>
    <w:rsid w:val="3FBB6674"/>
    <w:rsid w:val="3FCE71E1"/>
    <w:rsid w:val="3FEC0F24"/>
    <w:rsid w:val="40420B44"/>
    <w:rsid w:val="40503261"/>
    <w:rsid w:val="40730CFD"/>
    <w:rsid w:val="40B7508E"/>
    <w:rsid w:val="41313092"/>
    <w:rsid w:val="41984EBF"/>
    <w:rsid w:val="41CA7043"/>
    <w:rsid w:val="421D53C4"/>
    <w:rsid w:val="42660B19"/>
    <w:rsid w:val="42935686"/>
    <w:rsid w:val="42AD50EE"/>
    <w:rsid w:val="42D33CD5"/>
    <w:rsid w:val="432F3601"/>
    <w:rsid w:val="434A78B9"/>
    <w:rsid w:val="438C2802"/>
    <w:rsid w:val="43FD725B"/>
    <w:rsid w:val="44123DA4"/>
    <w:rsid w:val="445A46AE"/>
    <w:rsid w:val="44AE49FA"/>
    <w:rsid w:val="44B518E4"/>
    <w:rsid w:val="44BD7A79"/>
    <w:rsid w:val="452A22D2"/>
    <w:rsid w:val="45AC718B"/>
    <w:rsid w:val="45DB02B5"/>
    <w:rsid w:val="460A3EB2"/>
    <w:rsid w:val="461A0599"/>
    <w:rsid w:val="46AE21EA"/>
    <w:rsid w:val="47016A64"/>
    <w:rsid w:val="472C45CF"/>
    <w:rsid w:val="47841A42"/>
    <w:rsid w:val="47E250E6"/>
    <w:rsid w:val="48082673"/>
    <w:rsid w:val="4812704D"/>
    <w:rsid w:val="491D5CAA"/>
    <w:rsid w:val="496B110B"/>
    <w:rsid w:val="49EF227E"/>
    <w:rsid w:val="49FA694B"/>
    <w:rsid w:val="4A4D46B0"/>
    <w:rsid w:val="4A4F6337"/>
    <w:rsid w:val="4AA85A47"/>
    <w:rsid w:val="4AE922E8"/>
    <w:rsid w:val="4B1650A7"/>
    <w:rsid w:val="4B8D35BB"/>
    <w:rsid w:val="4B9F6E4A"/>
    <w:rsid w:val="4BB40B47"/>
    <w:rsid w:val="4BD05255"/>
    <w:rsid w:val="4BD411EA"/>
    <w:rsid w:val="4CE216E4"/>
    <w:rsid w:val="4D3D2DBF"/>
    <w:rsid w:val="4D5C1497"/>
    <w:rsid w:val="4DD86643"/>
    <w:rsid w:val="4DF23BA9"/>
    <w:rsid w:val="4E015B9A"/>
    <w:rsid w:val="4E435AC0"/>
    <w:rsid w:val="4E7B3867"/>
    <w:rsid w:val="4EA330F5"/>
    <w:rsid w:val="4EC210ED"/>
    <w:rsid w:val="4EC63D8E"/>
    <w:rsid w:val="4ECC264C"/>
    <w:rsid w:val="4ED41501"/>
    <w:rsid w:val="4F0D0E79"/>
    <w:rsid w:val="4F495A4B"/>
    <w:rsid w:val="4F980780"/>
    <w:rsid w:val="503A35E5"/>
    <w:rsid w:val="50A70C7B"/>
    <w:rsid w:val="510B7C45"/>
    <w:rsid w:val="511E6A63"/>
    <w:rsid w:val="512978E2"/>
    <w:rsid w:val="512C5624"/>
    <w:rsid w:val="51743B15"/>
    <w:rsid w:val="51A258E6"/>
    <w:rsid w:val="51B71D57"/>
    <w:rsid w:val="51B7D3A4"/>
    <w:rsid w:val="51F31C9E"/>
    <w:rsid w:val="51FB0B52"/>
    <w:rsid w:val="522E2CD6"/>
    <w:rsid w:val="52676D10"/>
    <w:rsid w:val="5272350A"/>
    <w:rsid w:val="52972F71"/>
    <w:rsid w:val="529E1C09"/>
    <w:rsid w:val="52ED493F"/>
    <w:rsid w:val="531D3476"/>
    <w:rsid w:val="534A1D91"/>
    <w:rsid w:val="53682217"/>
    <w:rsid w:val="5386726D"/>
    <w:rsid w:val="53A2397B"/>
    <w:rsid w:val="53A72D40"/>
    <w:rsid w:val="53D578AD"/>
    <w:rsid w:val="53F87A3F"/>
    <w:rsid w:val="54436F0C"/>
    <w:rsid w:val="545A6004"/>
    <w:rsid w:val="54E3424B"/>
    <w:rsid w:val="55050666"/>
    <w:rsid w:val="55264138"/>
    <w:rsid w:val="55833339"/>
    <w:rsid w:val="559B4B26"/>
    <w:rsid w:val="55DB3175"/>
    <w:rsid w:val="55F304BE"/>
    <w:rsid w:val="560B1CAC"/>
    <w:rsid w:val="567F6C3E"/>
    <w:rsid w:val="56BD6492"/>
    <w:rsid w:val="56C1680E"/>
    <w:rsid w:val="57160908"/>
    <w:rsid w:val="57770808"/>
    <w:rsid w:val="57835872"/>
    <w:rsid w:val="57AC3204"/>
    <w:rsid w:val="57BB325E"/>
    <w:rsid w:val="57C2639A"/>
    <w:rsid w:val="57CE2F91"/>
    <w:rsid w:val="57D63BF4"/>
    <w:rsid w:val="58315A42"/>
    <w:rsid w:val="58550FBC"/>
    <w:rsid w:val="58620690"/>
    <w:rsid w:val="590B2CC4"/>
    <w:rsid w:val="59284B5A"/>
    <w:rsid w:val="5AA601F5"/>
    <w:rsid w:val="5AB346C0"/>
    <w:rsid w:val="5B323837"/>
    <w:rsid w:val="5B445318"/>
    <w:rsid w:val="5BB10BFF"/>
    <w:rsid w:val="5BB16E51"/>
    <w:rsid w:val="5BB95D06"/>
    <w:rsid w:val="5BDE39BF"/>
    <w:rsid w:val="5BF1724E"/>
    <w:rsid w:val="5C2D3FFE"/>
    <w:rsid w:val="5C4C26D6"/>
    <w:rsid w:val="5C5B6DBD"/>
    <w:rsid w:val="5C6C2D78"/>
    <w:rsid w:val="5C7D31D8"/>
    <w:rsid w:val="5CCB5CF1"/>
    <w:rsid w:val="5D0A200E"/>
    <w:rsid w:val="5D3949FA"/>
    <w:rsid w:val="5DA86032"/>
    <w:rsid w:val="5DAB78D0"/>
    <w:rsid w:val="5DB786EE"/>
    <w:rsid w:val="5E772E96"/>
    <w:rsid w:val="5EAE7678"/>
    <w:rsid w:val="5ECE1AC8"/>
    <w:rsid w:val="5F1C6CD8"/>
    <w:rsid w:val="5F3D27AA"/>
    <w:rsid w:val="5FAD5B82"/>
    <w:rsid w:val="5FEF006F"/>
    <w:rsid w:val="5FFF729E"/>
    <w:rsid w:val="604C0EF7"/>
    <w:rsid w:val="60820DBC"/>
    <w:rsid w:val="6089214B"/>
    <w:rsid w:val="60F01468"/>
    <w:rsid w:val="62084322"/>
    <w:rsid w:val="624A590A"/>
    <w:rsid w:val="62BD60DC"/>
    <w:rsid w:val="632C3261"/>
    <w:rsid w:val="63930A8A"/>
    <w:rsid w:val="63A36AA3"/>
    <w:rsid w:val="63D95197"/>
    <w:rsid w:val="645C36D2"/>
    <w:rsid w:val="650D2C1F"/>
    <w:rsid w:val="65180DC6"/>
    <w:rsid w:val="654F3237"/>
    <w:rsid w:val="65646CE3"/>
    <w:rsid w:val="656A1E1F"/>
    <w:rsid w:val="65865B9A"/>
    <w:rsid w:val="65BC6B1F"/>
    <w:rsid w:val="65D1387D"/>
    <w:rsid w:val="65FF2D1E"/>
    <w:rsid w:val="66263F98"/>
    <w:rsid w:val="6659611C"/>
    <w:rsid w:val="66807B4C"/>
    <w:rsid w:val="66811B16"/>
    <w:rsid w:val="672A3F5C"/>
    <w:rsid w:val="67310E46"/>
    <w:rsid w:val="67472418"/>
    <w:rsid w:val="674D024D"/>
    <w:rsid w:val="674E4AFF"/>
    <w:rsid w:val="67582877"/>
    <w:rsid w:val="675F2990"/>
    <w:rsid w:val="67BF46A4"/>
    <w:rsid w:val="67C223E6"/>
    <w:rsid w:val="683F57E5"/>
    <w:rsid w:val="6864524C"/>
    <w:rsid w:val="688A2F04"/>
    <w:rsid w:val="688D6550"/>
    <w:rsid w:val="68D24D2E"/>
    <w:rsid w:val="68F760C0"/>
    <w:rsid w:val="694330B3"/>
    <w:rsid w:val="698F62F8"/>
    <w:rsid w:val="69E76134"/>
    <w:rsid w:val="69F745C9"/>
    <w:rsid w:val="6A2B2667"/>
    <w:rsid w:val="6A6B466F"/>
    <w:rsid w:val="6B7314EF"/>
    <w:rsid w:val="6BC06C3D"/>
    <w:rsid w:val="6C16685D"/>
    <w:rsid w:val="6C215B5D"/>
    <w:rsid w:val="6C4F0192"/>
    <w:rsid w:val="6CA36342"/>
    <w:rsid w:val="6D800432"/>
    <w:rsid w:val="6DB8406F"/>
    <w:rsid w:val="6DDD7632"/>
    <w:rsid w:val="6DF619F8"/>
    <w:rsid w:val="6F0137F4"/>
    <w:rsid w:val="6F0B01CF"/>
    <w:rsid w:val="6F2B6AC3"/>
    <w:rsid w:val="6F5558EE"/>
    <w:rsid w:val="6F7C731F"/>
    <w:rsid w:val="6FDB2297"/>
    <w:rsid w:val="6FDD11EB"/>
    <w:rsid w:val="6FED3D79"/>
    <w:rsid w:val="703674CE"/>
    <w:rsid w:val="70455963"/>
    <w:rsid w:val="70B34D87"/>
    <w:rsid w:val="70CB7626"/>
    <w:rsid w:val="70E55776"/>
    <w:rsid w:val="713F0888"/>
    <w:rsid w:val="71722787"/>
    <w:rsid w:val="719BD759"/>
    <w:rsid w:val="71B96608"/>
    <w:rsid w:val="71CF3736"/>
    <w:rsid w:val="71E01DE7"/>
    <w:rsid w:val="71E847F7"/>
    <w:rsid w:val="71F47640"/>
    <w:rsid w:val="72B55021"/>
    <w:rsid w:val="736F39C1"/>
    <w:rsid w:val="739C1D3D"/>
    <w:rsid w:val="73D43285"/>
    <w:rsid w:val="73FBF799"/>
    <w:rsid w:val="740356D3"/>
    <w:rsid w:val="744F0B5E"/>
    <w:rsid w:val="74BB2FF2"/>
    <w:rsid w:val="74DF0134"/>
    <w:rsid w:val="75097F22"/>
    <w:rsid w:val="75526B58"/>
    <w:rsid w:val="75706FDE"/>
    <w:rsid w:val="75A03D67"/>
    <w:rsid w:val="75CF63FA"/>
    <w:rsid w:val="764A2E10"/>
    <w:rsid w:val="764E2556"/>
    <w:rsid w:val="76522B87"/>
    <w:rsid w:val="77075720"/>
    <w:rsid w:val="77756B2D"/>
    <w:rsid w:val="77876861"/>
    <w:rsid w:val="77B77146"/>
    <w:rsid w:val="77CE4490"/>
    <w:rsid w:val="77FA7033"/>
    <w:rsid w:val="77FC3BA7"/>
    <w:rsid w:val="781F4CEB"/>
    <w:rsid w:val="78C338C8"/>
    <w:rsid w:val="790A14F7"/>
    <w:rsid w:val="79226841"/>
    <w:rsid w:val="79334EF2"/>
    <w:rsid w:val="794762A8"/>
    <w:rsid w:val="79515378"/>
    <w:rsid w:val="795804B5"/>
    <w:rsid w:val="79D55FA9"/>
    <w:rsid w:val="79E461EC"/>
    <w:rsid w:val="79F62C23"/>
    <w:rsid w:val="7A232871"/>
    <w:rsid w:val="7A6D4434"/>
    <w:rsid w:val="7ADB75EF"/>
    <w:rsid w:val="7AE65481"/>
    <w:rsid w:val="7AEA5A84"/>
    <w:rsid w:val="7AF72273"/>
    <w:rsid w:val="7B1B3E90"/>
    <w:rsid w:val="7B5D3CC6"/>
    <w:rsid w:val="7B9B28DB"/>
    <w:rsid w:val="7BB816DF"/>
    <w:rsid w:val="7C4D1E27"/>
    <w:rsid w:val="7C705B15"/>
    <w:rsid w:val="7C9351E6"/>
    <w:rsid w:val="7CBE2D25"/>
    <w:rsid w:val="7D761851"/>
    <w:rsid w:val="7D7B69A5"/>
    <w:rsid w:val="7DF76239"/>
    <w:rsid w:val="7E002EC9"/>
    <w:rsid w:val="7E0D1944"/>
    <w:rsid w:val="7E1B852D"/>
    <w:rsid w:val="7E384232"/>
    <w:rsid w:val="7E3C03A5"/>
    <w:rsid w:val="7E7C0075"/>
    <w:rsid w:val="7E7D6408"/>
    <w:rsid w:val="7E885398"/>
    <w:rsid w:val="7E941F8F"/>
    <w:rsid w:val="7EA146AC"/>
    <w:rsid w:val="7EA321D2"/>
    <w:rsid w:val="7ED46E76"/>
    <w:rsid w:val="7EE03426"/>
    <w:rsid w:val="7F3DEEB0"/>
    <w:rsid w:val="7F5B2AAD"/>
    <w:rsid w:val="7F637647"/>
    <w:rsid w:val="7F791185"/>
    <w:rsid w:val="7F7DD982"/>
    <w:rsid w:val="7FB623D9"/>
    <w:rsid w:val="7FC83A7F"/>
    <w:rsid w:val="7FC923EA"/>
    <w:rsid w:val="7FE80F32"/>
    <w:rsid w:val="7FFDD610"/>
    <w:rsid w:val="97D7ACA6"/>
    <w:rsid w:val="AAC76843"/>
    <w:rsid w:val="BBDF6695"/>
    <w:rsid w:val="BFBC6DEC"/>
    <w:rsid w:val="D9F32D55"/>
    <w:rsid w:val="DB7FBB5D"/>
    <w:rsid w:val="DEDF743D"/>
    <w:rsid w:val="DF7D1186"/>
    <w:rsid w:val="DF9B521B"/>
    <w:rsid w:val="EFFB1EB6"/>
    <w:rsid w:val="F39BD7BA"/>
    <w:rsid w:val="F49B385F"/>
    <w:rsid w:val="F58E33D2"/>
    <w:rsid w:val="F79FBB40"/>
    <w:rsid w:val="F7FD164C"/>
    <w:rsid w:val="F7FD8829"/>
    <w:rsid w:val="F9FEA4CC"/>
    <w:rsid w:val="FC7B867E"/>
    <w:rsid w:val="FCBFE3BC"/>
    <w:rsid w:val="FCF7200F"/>
    <w:rsid w:val="FD97C0A0"/>
    <w:rsid w:val="FD9DF68A"/>
    <w:rsid w:val="FDD258A0"/>
    <w:rsid w:val="FEECB247"/>
    <w:rsid w:val="FEF789C9"/>
    <w:rsid w:val="FF9FD7D6"/>
    <w:rsid w:val="FFDF543A"/>
    <w:rsid w:val="FFDF6F02"/>
    <w:rsid w:val="FFF81E74"/>
    <w:rsid w:val="FFFFC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640" w:firstLineChars="200"/>
      <w:jc w:val="both"/>
    </w:pPr>
    <w:rPr>
      <w:rFonts w:ascii="仿宋_GB2312" w:hAnsi="仿宋_GB2312" w:eastAsia="仿宋_GB2312" w:cs="Times New Roman"/>
      <w:kern w:val="2"/>
      <w:sz w:val="32"/>
      <w:szCs w:val="24"/>
      <w:lang w:val="en-US" w:eastAsia="zh-CN" w:bidi="ar-SA"/>
    </w:rPr>
  </w:style>
  <w:style w:type="paragraph" w:styleId="2">
    <w:name w:val="heading 1"/>
    <w:basedOn w:val="1"/>
    <w:next w:val="1"/>
    <w:link w:val="21"/>
    <w:qFormat/>
    <w:uiPriority w:val="0"/>
    <w:pPr>
      <w:keepNext/>
      <w:keepLines/>
      <w:ind w:firstLine="720"/>
      <w:outlineLvl w:val="0"/>
    </w:pPr>
    <w:rPr>
      <w:rFonts w:ascii="黑体" w:hAnsi="黑体" w:eastAsia="黑体"/>
      <w:kern w:val="44"/>
    </w:rPr>
  </w:style>
  <w:style w:type="paragraph" w:styleId="3">
    <w:name w:val="heading 2"/>
    <w:basedOn w:val="1"/>
    <w:next w:val="1"/>
    <w:unhideWhenUsed/>
    <w:qFormat/>
    <w:uiPriority w:val="0"/>
    <w:pPr>
      <w:keepNext/>
      <w:keepLines/>
      <w:ind w:firstLine="720"/>
      <w:outlineLvl w:val="1"/>
    </w:pPr>
    <w:rPr>
      <w:rFonts w:ascii="楷体_GB2312" w:hAnsi="楷体_GB2312" w:eastAsia="楷体_GB2312"/>
    </w:rPr>
  </w:style>
  <w:style w:type="paragraph" w:styleId="4">
    <w:name w:val="heading 3"/>
    <w:basedOn w:val="1"/>
    <w:next w:val="1"/>
    <w:unhideWhenUsed/>
    <w:qFormat/>
    <w:uiPriority w:val="0"/>
    <w:pPr>
      <w:keepNext/>
      <w:keepLines/>
      <w:spacing w:before="260" w:after="260" w:line="413" w:lineRule="auto"/>
      <w:outlineLvl w:val="2"/>
    </w:pPr>
    <w:rPr>
      <w:b/>
    </w:rPr>
  </w:style>
  <w:style w:type="paragraph" w:styleId="5">
    <w:name w:val="heading 4"/>
    <w:basedOn w:val="1"/>
    <w:next w:val="1"/>
    <w:unhideWhenUsed/>
    <w:qFormat/>
    <w:uiPriority w:val="0"/>
    <w:pPr>
      <w:keepNext w:val="0"/>
      <w:keepLines w:val="0"/>
      <w:spacing w:beforeLines="0" w:beforeAutospacing="0" w:afterLines="0" w:afterAutospacing="0" w:line="240" w:lineRule="auto"/>
      <w:ind w:firstLine="0" w:firstLineChars="0"/>
      <w:outlineLvl w:val="3"/>
    </w:pPr>
    <w:rPr>
      <w:rFonts w:ascii="宋体" w:hAnsi="宋体" w:eastAsia="宋体"/>
      <w:sz w:val="20"/>
    </w:rPr>
  </w:style>
  <w:style w:type="character" w:default="1" w:styleId="18">
    <w:name w:val="Default Paragraph Font"/>
    <w:semiHidden/>
    <w:unhideWhenUsed/>
    <w:qFormat/>
    <w:uiPriority w:val="1"/>
  </w:style>
  <w:style w:type="table" w:default="1" w:styleId="1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annotation text"/>
    <w:basedOn w:val="1"/>
    <w:link w:val="25"/>
    <w:unhideWhenUsed/>
    <w:qFormat/>
    <w:uiPriority w:val="0"/>
    <w:pPr>
      <w:jc w:val="left"/>
    </w:pPr>
  </w:style>
  <w:style w:type="paragraph" w:styleId="7">
    <w:name w:val="Body Text"/>
    <w:basedOn w:val="1"/>
    <w:next w:val="1"/>
    <w:link w:val="27"/>
    <w:unhideWhenUsed/>
    <w:qFormat/>
    <w:uiPriority w:val="99"/>
    <w:pPr>
      <w:spacing w:after="120"/>
    </w:pPr>
  </w:style>
  <w:style w:type="paragraph" w:styleId="8">
    <w:name w:val="Body Text Indent 2"/>
    <w:basedOn w:val="1"/>
    <w:qFormat/>
    <w:uiPriority w:val="0"/>
    <w:pPr>
      <w:spacing w:after="120" w:line="480" w:lineRule="auto"/>
      <w:ind w:left="420" w:leftChars="200"/>
    </w:pPr>
  </w:style>
  <w:style w:type="paragraph" w:styleId="9">
    <w:name w:val="Balloon Text"/>
    <w:basedOn w:val="1"/>
    <w:link w:val="24"/>
    <w:qFormat/>
    <w:uiPriority w:val="0"/>
    <w:pPr>
      <w:spacing w:line="240" w:lineRule="auto"/>
    </w:pPr>
    <w:rPr>
      <w:sz w:val="18"/>
      <w:szCs w:val="18"/>
    </w:rPr>
  </w:style>
  <w:style w:type="paragraph" w:styleId="10">
    <w:name w:val="footer"/>
    <w:basedOn w:val="1"/>
    <w:qFormat/>
    <w:uiPriority w:val="99"/>
    <w:pPr>
      <w:tabs>
        <w:tab w:val="center" w:pos="4153"/>
        <w:tab w:val="right" w:pos="8306"/>
      </w:tabs>
      <w:jc w:val="left"/>
    </w:pPr>
    <w:rPr>
      <w:sz w:val="18"/>
      <w:szCs w:val="20"/>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pacing w:line="240" w:lineRule="auto"/>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semiHidden/>
    <w:unhideWhenUsed/>
    <w:qFormat/>
    <w:uiPriority w:val="99"/>
    <w:pPr>
      <w:spacing w:beforeAutospacing="1" w:afterAutospacing="1"/>
      <w:jc w:val="left"/>
    </w:pPr>
    <w:rPr>
      <w:kern w:val="0"/>
      <w:sz w:val="24"/>
    </w:rPr>
  </w:style>
  <w:style w:type="paragraph" w:styleId="15">
    <w:name w:val="annotation subject"/>
    <w:basedOn w:val="6"/>
    <w:next w:val="6"/>
    <w:link w:val="26"/>
    <w:qFormat/>
    <w:uiPriority w:val="0"/>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annotation reference"/>
    <w:basedOn w:val="18"/>
    <w:semiHidden/>
    <w:unhideWhenUsed/>
    <w:qFormat/>
    <w:uiPriority w:val="0"/>
    <w:rPr>
      <w:sz w:val="21"/>
      <w:szCs w:val="21"/>
    </w:rPr>
  </w:style>
  <w:style w:type="character" w:customStyle="1" w:styleId="21">
    <w:name w:val="标题 1 Char"/>
    <w:link w:val="2"/>
    <w:qFormat/>
    <w:uiPriority w:val="0"/>
    <w:rPr>
      <w:rFonts w:ascii="黑体" w:hAnsi="黑体" w:eastAsia="黑体"/>
      <w:kern w:val="44"/>
      <w:sz w:val="32"/>
    </w:rPr>
  </w:style>
  <w:style w:type="paragraph" w:customStyle="1" w:styleId="22">
    <w:name w:val="无间隔1"/>
    <w:qFormat/>
    <w:uiPriority w:val="1"/>
    <w:pPr>
      <w:widowControl w:val="0"/>
      <w:jc w:val="both"/>
    </w:pPr>
    <w:rPr>
      <w:rFonts w:ascii="Times New Roman" w:hAnsi="Times New Roman" w:eastAsia="宋体" w:cs="Times New Roman"/>
      <w:kern w:val="2"/>
      <w:sz w:val="21"/>
      <w:lang w:val="en-US" w:eastAsia="zh-CN" w:bidi="ar-SA"/>
    </w:rPr>
  </w:style>
  <w:style w:type="character" w:customStyle="1" w:styleId="23">
    <w:name w:val="font21"/>
    <w:basedOn w:val="18"/>
    <w:qFormat/>
    <w:uiPriority w:val="0"/>
    <w:rPr>
      <w:rFonts w:hint="eastAsia" w:ascii="宋体" w:hAnsi="宋体" w:eastAsia="宋体" w:cs="宋体"/>
      <w:color w:val="000000"/>
      <w:sz w:val="18"/>
      <w:szCs w:val="18"/>
      <w:u w:val="none"/>
    </w:rPr>
  </w:style>
  <w:style w:type="character" w:customStyle="1" w:styleId="24">
    <w:name w:val="批注框文本 Char"/>
    <w:basedOn w:val="18"/>
    <w:link w:val="9"/>
    <w:qFormat/>
    <w:uiPriority w:val="0"/>
    <w:rPr>
      <w:rFonts w:ascii="仿宋_GB2312" w:hAnsi="仿宋_GB2312" w:eastAsia="仿宋_GB2312"/>
      <w:kern w:val="2"/>
      <w:sz w:val="18"/>
      <w:szCs w:val="18"/>
    </w:rPr>
  </w:style>
  <w:style w:type="character" w:customStyle="1" w:styleId="25">
    <w:name w:val="批注文字 Char"/>
    <w:basedOn w:val="18"/>
    <w:link w:val="6"/>
    <w:qFormat/>
    <w:uiPriority w:val="0"/>
    <w:rPr>
      <w:rFonts w:ascii="仿宋_GB2312" w:hAnsi="仿宋_GB2312" w:eastAsia="仿宋_GB2312"/>
      <w:kern w:val="2"/>
      <w:sz w:val="32"/>
      <w:szCs w:val="24"/>
    </w:rPr>
  </w:style>
  <w:style w:type="character" w:customStyle="1" w:styleId="26">
    <w:name w:val="批注主题 Char"/>
    <w:basedOn w:val="25"/>
    <w:link w:val="15"/>
    <w:qFormat/>
    <w:uiPriority w:val="0"/>
    <w:rPr>
      <w:rFonts w:ascii="仿宋_GB2312" w:hAnsi="仿宋_GB2312" w:eastAsia="仿宋_GB2312"/>
      <w:b/>
      <w:bCs/>
      <w:kern w:val="2"/>
      <w:sz w:val="32"/>
      <w:szCs w:val="24"/>
    </w:rPr>
  </w:style>
  <w:style w:type="character" w:customStyle="1" w:styleId="27">
    <w:name w:val="正文文本 字符"/>
    <w:basedOn w:val="18"/>
    <w:link w:val="7"/>
    <w:qFormat/>
    <w:uiPriority w:val="0"/>
    <w:rPr>
      <w:rFonts w:hint="eastAsia" w:ascii="仿宋_GB2312" w:hAnsi="仿宋_GB2312" w:eastAsia="仿宋_GB2312" w:cs="仿宋_GB2312"/>
      <w:kern w:val="2"/>
      <w:sz w:val="32"/>
      <w:szCs w:val="24"/>
    </w:rPr>
  </w:style>
  <w:style w:type="paragraph" w:customStyle="1" w:styleId="28">
    <w:name w:val="列表段落1"/>
    <w:basedOn w:val="1"/>
    <w:qFormat/>
    <w:uiPriority w:val="34"/>
    <w:pPr>
      <w:ind w:firstLine="420" w:firstLineChars="200"/>
    </w:pPr>
    <w:rPr>
      <w:rFonts w:ascii="等线" w:hAnsi="等线" w:eastAsia="等线"/>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2160</Words>
  <Characters>12317</Characters>
  <Lines>102</Lines>
  <Paragraphs>28</Paragraphs>
  <TotalTime>34</TotalTime>
  <ScaleCrop>false</ScaleCrop>
  <LinksUpToDate>false</LinksUpToDate>
  <CharactersWithSpaces>14449</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2024-03-24T22:40:00Z</dcterms:created>
  <dc:creator>工作组</dc:creator>
  <cp:lastModifiedBy>wangly</cp:lastModifiedBy>
  <cp:lastPrinted>2024-06-04T17:55:00Z</cp:lastPrinted>
  <dcterms:modified xsi:type="dcterms:W3CDTF">2024-08-16T15:15:40Z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FB35AD66E61145A295205C1EF36C4AE0_13</vt:lpwstr>
  </property>
</Properties>
</file>