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52"/>
          <w:szCs w:val="52"/>
        </w:rPr>
      </w:pPr>
    </w:p>
    <w:p>
      <w:pPr>
        <w:jc w:val="center"/>
        <w:rPr>
          <w:sz w:val="52"/>
          <w:szCs w:val="52"/>
        </w:rPr>
      </w:pPr>
    </w:p>
    <w:p>
      <w:pPr>
        <w:jc w:val="center"/>
        <w:rPr>
          <w:rFonts w:ascii="黑体" w:hAnsi="黑体" w:eastAsia="黑体" w:cs="黑体"/>
          <w:b/>
          <w:bCs/>
          <w:sz w:val="52"/>
          <w:szCs w:val="52"/>
        </w:rPr>
      </w:pPr>
      <w:r>
        <w:rPr>
          <w:rFonts w:hint="eastAsia" w:ascii="黑体" w:hAnsi="黑体" w:eastAsia="黑体" w:cs="黑体"/>
          <w:b/>
          <w:bCs/>
          <w:sz w:val="52"/>
          <w:szCs w:val="52"/>
        </w:rPr>
        <w:t>北京市大兴区人民检察院</w:t>
      </w:r>
    </w:p>
    <w:p>
      <w:pPr>
        <w:jc w:val="center"/>
        <w:rPr>
          <w:rFonts w:ascii="黑体" w:hAnsi="黑体" w:eastAsia="黑体" w:cs="黑体"/>
          <w:b/>
          <w:bCs/>
          <w:sz w:val="52"/>
          <w:szCs w:val="52"/>
        </w:rPr>
      </w:pPr>
      <w:bookmarkStart w:id="0" w:name="_Hlk166049803"/>
      <w:r>
        <w:rPr>
          <w:rFonts w:hint="eastAsia" w:ascii="黑体" w:hAnsi="黑体" w:eastAsia="黑体" w:cs="黑体"/>
          <w:b/>
          <w:bCs/>
          <w:sz w:val="52"/>
          <w:szCs w:val="52"/>
        </w:rPr>
        <w:t>2023年部门整体绩效报告</w:t>
      </w:r>
    </w:p>
    <w:bookmarkEnd w:id="0"/>
    <w:p>
      <w:pPr>
        <w:jc w:val="left"/>
        <w:rPr>
          <w:rFonts w:ascii="黑体" w:hAnsi="黑体" w:eastAsia="黑体" w:cs="黑体"/>
          <w:sz w:val="52"/>
          <w:szCs w:val="52"/>
        </w:rPr>
      </w:pPr>
    </w:p>
    <w:p>
      <w:pPr>
        <w:jc w:val="left"/>
        <w:rPr>
          <w:sz w:val="32"/>
          <w:szCs w:val="32"/>
        </w:rPr>
      </w:pPr>
    </w:p>
    <w:p>
      <w:pPr>
        <w:jc w:val="left"/>
        <w:rPr>
          <w:sz w:val="32"/>
          <w:szCs w:val="32"/>
        </w:rPr>
      </w:pPr>
    </w:p>
    <w:p>
      <w:pPr>
        <w:jc w:val="left"/>
        <w:rPr>
          <w:sz w:val="32"/>
          <w:szCs w:val="32"/>
        </w:rPr>
      </w:pPr>
    </w:p>
    <w:p>
      <w:pPr>
        <w:jc w:val="left"/>
        <w:rPr>
          <w:sz w:val="32"/>
          <w:szCs w:val="32"/>
        </w:rPr>
      </w:pPr>
    </w:p>
    <w:p>
      <w:pPr>
        <w:pStyle w:val="5"/>
      </w:pPr>
    </w:p>
    <w:p>
      <w:pPr>
        <w:jc w:val="left"/>
        <w:rPr>
          <w:rFonts w:ascii="宋体" w:hAnsi="宋体" w:cs="宋体"/>
          <w:sz w:val="32"/>
          <w:szCs w:val="32"/>
        </w:rPr>
      </w:pPr>
    </w:p>
    <w:p>
      <w:pPr>
        <w:pStyle w:val="7"/>
      </w:pPr>
    </w:p>
    <w:p>
      <w:pPr>
        <w:pStyle w:val="7"/>
      </w:pPr>
    </w:p>
    <w:p>
      <w:pPr>
        <w:pStyle w:val="7"/>
      </w:pPr>
    </w:p>
    <w:p>
      <w:pPr>
        <w:ind w:firstLine="626" w:firstLineChars="195"/>
        <w:rPr>
          <w:sz w:val="32"/>
          <w:szCs w:val="22"/>
          <w:u w:val="single"/>
        </w:rPr>
      </w:pPr>
      <w:r>
        <w:rPr>
          <w:rFonts w:hint="eastAsia"/>
          <w:b/>
          <w:sz w:val="32"/>
          <w:szCs w:val="22"/>
        </w:rPr>
        <w:t>部门</w:t>
      </w:r>
      <w:r>
        <w:rPr>
          <w:b/>
          <w:sz w:val="32"/>
          <w:szCs w:val="22"/>
        </w:rPr>
        <w:t>单位</w:t>
      </w:r>
      <w:r>
        <w:rPr>
          <w:rFonts w:hint="eastAsia"/>
          <w:b/>
          <w:sz w:val="32"/>
          <w:szCs w:val="22"/>
        </w:rPr>
        <w:t xml:space="preserve"> </w:t>
      </w:r>
      <w:r>
        <w:rPr>
          <w:bCs/>
          <w:sz w:val="32"/>
          <w:szCs w:val="22"/>
          <w:u w:val="single"/>
        </w:rPr>
        <w:t xml:space="preserve">  </w:t>
      </w:r>
      <w:r>
        <w:rPr>
          <w:rFonts w:hint="eastAsia"/>
          <w:bCs/>
          <w:sz w:val="32"/>
          <w:szCs w:val="22"/>
          <w:u w:val="single"/>
        </w:rPr>
        <w:t>北京市大兴区人民检察院</w:t>
      </w:r>
      <w:r>
        <w:rPr>
          <w:sz w:val="32"/>
          <w:szCs w:val="22"/>
          <w:u w:val="single"/>
        </w:rPr>
        <w:t xml:space="preserve">           </w:t>
      </w:r>
    </w:p>
    <w:p>
      <w:pPr>
        <w:spacing w:line="340" w:lineRule="exact"/>
        <w:ind w:firstLine="643" w:firstLineChars="200"/>
        <w:jc w:val="left"/>
        <w:rPr>
          <w:b/>
          <w:sz w:val="32"/>
          <w:szCs w:val="32"/>
        </w:rPr>
      </w:pPr>
    </w:p>
    <w:p>
      <w:pPr>
        <w:spacing w:line="340" w:lineRule="exact"/>
        <w:ind w:firstLine="643" w:firstLineChars="200"/>
        <w:jc w:val="left"/>
        <w:rPr>
          <w:b/>
          <w:sz w:val="32"/>
          <w:szCs w:val="32"/>
        </w:rPr>
      </w:pPr>
      <w:r>
        <w:rPr>
          <w:rFonts w:hint="eastAsia"/>
          <w:b/>
          <w:sz w:val="32"/>
          <w:szCs w:val="32"/>
        </w:rPr>
        <w:t>参与评价</w:t>
      </w:r>
    </w:p>
    <w:p>
      <w:pPr>
        <w:spacing w:line="340" w:lineRule="exact"/>
        <w:ind w:firstLine="643" w:firstLineChars="200"/>
        <w:jc w:val="left"/>
        <w:rPr>
          <w:b/>
          <w:sz w:val="32"/>
          <w:szCs w:val="20"/>
        </w:rPr>
      </w:pPr>
      <w:r>
        <w:rPr>
          <w:b/>
          <w:sz w:val="32"/>
          <w:szCs w:val="32"/>
        </w:rPr>
        <w:t xml:space="preserve">中介机构 </w:t>
      </w:r>
      <w:r>
        <w:rPr>
          <w:rFonts w:hint="eastAsia"/>
          <w:sz w:val="32"/>
          <w:szCs w:val="32"/>
          <w:u w:val="single"/>
        </w:rPr>
        <w:t xml:space="preserve">北京正衡东亚会计师事务所有限公司   </w:t>
      </w:r>
    </w:p>
    <w:p>
      <w:pPr>
        <w:rPr>
          <w:sz w:val="30"/>
          <w:szCs w:val="22"/>
          <w:u w:val="single"/>
        </w:rPr>
      </w:pPr>
    </w:p>
    <w:p>
      <w:pPr>
        <w:rPr>
          <w:sz w:val="30"/>
          <w:szCs w:val="22"/>
          <w:u w:val="single"/>
        </w:rPr>
      </w:pPr>
    </w:p>
    <w:p>
      <w:pPr>
        <w:rPr>
          <w:sz w:val="30"/>
          <w:szCs w:val="22"/>
          <w:u w:val="single"/>
        </w:rPr>
      </w:pPr>
    </w:p>
    <w:p>
      <w:pPr>
        <w:rPr>
          <w:sz w:val="30"/>
          <w:szCs w:val="22"/>
          <w:u w:val="single"/>
        </w:rPr>
      </w:pPr>
    </w:p>
    <w:p>
      <w:pPr>
        <w:rPr>
          <w:sz w:val="30"/>
          <w:szCs w:val="22"/>
          <w:u w:val="single"/>
        </w:rPr>
      </w:pPr>
    </w:p>
    <w:p>
      <w:pPr>
        <w:spacing w:line="360" w:lineRule="auto"/>
        <w:ind w:firstLine="2570" w:firstLineChars="800"/>
        <w:rPr>
          <w:b/>
          <w:sz w:val="32"/>
          <w:szCs w:val="32"/>
        </w:rPr>
        <w:sectPr>
          <w:footerReference r:id="rId5" w:type="first"/>
          <w:footerReference r:id="rId3" w:type="default"/>
          <w:footerReference r:id="rId4" w:type="even"/>
          <w:pgSz w:w="11906" w:h="16838"/>
          <w:pgMar w:top="1440" w:right="1800" w:bottom="1440" w:left="1800" w:header="851" w:footer="992" w:gutter="0"/>
          <w:cols w:space="720" w:num="1"/>
          <w:docGrid w:type="lines" w:linePitch="381" w:charSpace="0"/>
        </w:sectPr>
      </w:pPr>
      <w:r>
        <w:rPr>
          <w:b/>
          <w:sz w:val="32"/>
          <w:szCs w:val="32"/>
        </w:rPr>
        <w:t>二〇</w:t>
      </w:r>
      <w:r>
        <w:rPr>
          <w:rFonts w:hint="eastAsia"/>
          <w:b/>
          <w:sz w:val="32"/>
          <w:szCs w:val="32"/>
        </w:rPr>
        <w:t>二四</w:t>
      </w:r>
      <w:r>
        <w:rPr>
          <w:b/>
          <w:sz w:val="32"/>
          <w:szCs w:val="32"/>
        </w:rPr>
        <w:t>年</w:t>
      </w:r>
      <w:r>
        <w:rPr>
          <w:rFonts w:hint="eastAsia"/>
          <w:b/>
          <w:sz w:val="32"/>
          <w:szCs w:val="32"/>
        </w:rPr>
        <w:t>五</w:t>
      </w:r>
      <w:r>
        <w:rPr>
          <w:b/>
          <w:sz w:val="32"/>
          <w:szCs w:val="32"/>
        </w:rPr>
        <w:t>月</w:t>
      </w:r>
      <w:r>
        <w:rPr>
          <w:rFonts w:hint="eastAsia"/>
          <w:b/>
          <w:sz w:val="32"/>
          <w:szCs w:val="32"/>
        </w:rPr>
        <w:t>一十七</w:t>
      </w:r>
      <w:r>
        <w:rPr>
          <w:b/>
          <w:sz w:val="32"/>
          <w:szCs w:val="32"/>
        </w:rPr>
        <w:t>日</w:t>
      </w:r>
    </w:p>
    <w:p>
      <w:pPr>
        <w:spacing w:line="560" w:lineRule="exact"/>
        <w:jc w:val="center"/>
      </w:pPr>
      <w:r>
        <w:rPr>
          <w:rFonts w:hint="eastAsia" w:ascii="黑体" w:hAnsi="黑体" w:eastAsia="黑体" w:cs="黑体"/>
          <w:sz w:val="32"/>
          <w:szCs w:val="32"/>
        </w:rPr>
        <w:t>目 录</w:t>
      </w:r>
      <w:r>
        <w:fldChar w:fldCharType="begin"/>
      </w:r>
      <w:r>
        <w:instrText xml:space="preserve">TOC \o "1-3" \h \u </w:instrText>
      </w:r>
      <w:r>
        <w:fldChar w:fldCharType="separate"/>
      </w:r>
    </w:p>
    <w:sdt>
      <w:sdtPr>
        <w:rPr>
          <w:rFonts w:ascii="宋体" w:hAnsi="宋体"/>
          <w:b/>
        </w:rPr>
        <w:id w:val="147466136"/>
        <w15:color w:val="DBDBDB"/>
      </w:sdtPr>
      <w:sdtEndPr>
        <w:rPr>
          <w:rFonts w:ascii="宋体" w:hAnsi="宋体"/>
          <w:b/>
        </w:rPr>
      </w:sdtEndPr>
      <w:sdtContent>
        <w:p>
          <w:pPr>
            <w:jc w:val="center"/>
          </w:pPr>
        </w:p>
        <w:p>
          <w:pPr>
            <w:pStyle w:val="12"/>
            <w:tabs>
              <w:tab w:val="right" w:leader="dot" w:pos="8306"/>
              <w:tab w:val="clear" w:pos="8296"/>
            </w:tabs>
            <w:rPr>
              <w:sz w:val="32"/>
              <w:szCs w:val="32"/>
            </w:rPr>
          </w:pPr>
          <w:r>
            <w:fldChar w:fldCharType="begin"/>
          </w:r>
          <w:r>
            <w:instrText xml:space="preserve">TOC \o "1-3" \h \u </w:instrText>
          </w:r>
          <w:r>
            <w:fldChar w:fldCharType="separate"/>
          </w:r>
          <w:r>
            <w:fldChar w:fldCharType="begin"/>
          </w:r>
          <w:r>
            <w:instrText xml:space="preserve"> HYPERLINK \l "_Toc15997" </w:instrText>
          </w:r>
          <w:r>
            <w:fldChar w:fldCharType="separate"/>
          </w:r>
          <w:r>
            <w:rPr>
              <w:rFonts w:hint="eastAsia" w:ascii="楷体_GB2312" w:hAnsi="楷体_GB2312" w:eastAsia="楷体_GB2312" w:cs="楷体_GB2312"/>
              <w:kern w:val="0"/>
              <w:sz w:val="32"/>
              <w:szCs w:val="32"/>
            </w:rPr>
            <w:t>一、部门概况</w:t>
          </w:r>
          <w:r>
            <w:rPr>
              <w:rFonts w:hint="eastAsia" w:ascii="楷体_GB2312" w:hAnsi="楷体_GB2312" w:eastAsia="楷体_GB2312" w:cs="楷体_GB2312"/>
              <w:sz w:val="32"/>
              <w:szCs w:val="32"/>
            </w:rPr>
            <w:tab/>
          </w:r>
          <w:r>
            <w:rPr>
              <w:rFonts w:ascii="Times New Roman" w:hAnsi="Times New Roman" w:eastAsia="楷体_GB2312"/>
              <w:b w:val="0"/>
              <w:bCs/>
              <w:sz w:val="32"/>
              <w:szCs w:val="32"/>
            </w:rPr>
            <w:fldChar w:fldCharType="begin"/>
          </w:r>
          <w:r>
            <w:rPr>
              <w:rFonts w:ascii="Times New Roman" w:hAnsi="Times New Roman" w:eastAsia="楷体_GB2312"/>
              <w:b w:val="0"/>
              <w:bCs/>
              <w:sz w:val="32"/>
              <w:szCs w:val="32"/>
            </w:rPr>
            <w:instrText xml:space="preserve"> PAGEREF _Toc15997 \h </w:instrText>
          </w:r>
          <w:r>
            <w:rPr>
              <w:rFonts w:ascii="Times New Roman" w:hAnsi="Times New Roman" w:eastAsia="楷体_GB2312"/>
              <w:b w:val="0"/>
              <w:bCs/>
              <w:sz w:val="32"/>
              <w:szCs w:val="32"/>
            </w:rPr>
            <w:fldChar w:fldCharType="separate"/>
          </w:r>
          <w:r>
            <w:rPr>
              <w:rFonts w:ascii="Times New Roman" w:hAnsi="Times New Roman" w:eastAsia="楷体_GB2312"/>
              <w:b w:val="0"/>
              <w:bCs/>
              <w:sz w:val="32"/>
              <w:szCs w:val="32"/>
            </w:rPr>
            <w:t>1</w:t>
          </w:r>
          <w:r>
            <w:rPr>
              <w:rFonts w:ascii="Times New Roman" w:hAnsi="Times New Roman" w:eastAsia="楷体_GB2312"/>
              <w:b w:val="0"/>
              <w:bCs/>
              <w:sz w:val="32"/>
              <w:szCs w:val="32"/>
            </w:rPr>
            <w:fldChar w:fldCharType="end"/>
          </w:r>
          <w:r>
            <w:rPr>
              <w:rFonts w:ascii="Times New Roman" w:hAnsi="Times New Roman" w:eastAsia="楷体_GB2312"/>
              <w:b w:val="0"/>
              <w:bCs/>
              <w:sz w:val="32"/>
              <w:szCs w:val="32"/>
            </w:rPr>
            <w:fldChar w:fldCharType="end"/>
          </w:r>
        </w:p>
        <w:p>
          <w:pPr>
            <w:pStyle w:val="14"/>
            <w:tabs>
              <w:tab w:val="right" w:leader="dot" w:pos="8306"/>
            </w:tabs>
            <w:rPr>
              <w:rFonts w:ascii="仿宋_GB2312" w:hAnsi="仿宋_GB2312" w:eastAsia="仿宋_GB2312" w:cs="仿宋_GB2312"/>
              <w:sz w:val="32"/>
              <w:szCs w:val="32"/>
            </w:rPr>
          </w:pPr>
          <w:r>
            <w:fldChar w:fldCharType="begin"/>
          </w:r>
          <w:r>
            <w:instrText xml:space="preserve"> HYPERLINK \l "_Toc4119" </w:instrText>
          </w:r>
          <w:r>
            <w:fldChar w:fldCharType="separate"/>
          </w:r>
          <w:r>
            <w:rPr>
              <w:rFonts w:hint="eastAsia" w:ascii="仿宋_GB2312" w:hAnsi="仿宋_GB2312" w:eastAsia="仿宋_GB2312" w:cs="仿宋_GB2312"/>
              <w:sz w:val="32"/>
              <w:szCs w:val="32"/>
            </w:rPr>
            <w:t>（一）机构设置及职责工作任务情况</w:t>
          </w:r>
          <w:r>
            <w:rPr>
              <w:rFonts w:hint="eastAsia" w:ascii="仿宋_GB2312" w:hAnsi="仿宋_GB2312" w:eastAsia="仿宋_GB2312" w:cs="仿宋_GB2312"/>
              <w:sz w:val="32"/>
              <w:szCs w:val="32"/>
            </w:rPr>
            <w:tab/>
          </w:r>
          <w:r>
            <w:rPr>
              <w:rFonts w:eastAsia="仿宋_GB2312"/>
              <w:sz w:val="32"/>
              <w:szCs w:val="32"/>
            </w:rPr>
            <w:fldChar w:fldCharType="begin"/>
          </w:r>
          <w:r>
            <w:rPr>
              <w:rFonts w:eastAsia="仿宋_GB2312"/>
              <w:sz w:val="32"/>
              <w:szCs w:val="32"/>
            </w:rPr>
            <w:instrText xml:space="preserve"> PAGEREF _Toc4119 \h </w:instrText>
          </w:r>
          <w:r>
            <w:rPr>
              <w:rFonts w:eastAsia="仿宋_GB2312"/>
              <w:sz w:val="32"/>
              <w:szCs w:val="32"/>
            </w:rPr>
            <w:fldChar w:fldCharType="separate"/>
          </w:r>
          <w:r>
            <w:rPr>
              <w:rFonts w:eastAsia="仿宋_GB2312"/>
              <w:sz w:val="32"/>
              <w:szCs w:val="32"/>
            </w:rPr>
            <w:t>1</w:t>
          </w:r>
          <w:r>
            <w:rPr>
              <w:rFonts w:eastAsia="仿宋_GB2312"/>
              <w:sz w:val="32"/>
              <w:szCs w:val="32"/>
            </w:rPr>
            <w:fldChar w:fldCharType="end"/>
          </w:r>
          <w:r>
            <w:rPr>
              <w:rFonts w:eastAsia="仿宋_GB2312"/>
              <w:sz w:val="32"/>
              <w:szCs w:val="32"/>
            </w:rPr>
            <w:fldChar w:fldCharType="end"/>
          </w:r>
        </w:p>
        <w:p>
          <w:pPr>
            <w:pStyle w:val="14"/>
            <w:tabs>
              <w:tab w:val="right" w:leader="dot" w:pos="8306"/>
            </w:tabs>
            <w:rPr>
              <w:sz w:val="32"/>
              <w:szCs w:val="32"/>
            </w:rPr>
          </w:pPr>
          <w:r>
            <w:fldChar w:fldCharType="begin"/>
          </w:r>
          <w:r>
            <w:instrText xml:space="preserve"> HYPERLINK \l "_Toc11319" </w:instrText>
          </w:r>
          <w:r>
            <w:fldChar w:fldCharType="separate"/>
          </w:r>
          <w:r>
            <w:rPr>
              <w:rFonts w:hint="eastAsia" w:ascii="仿宋_GB2312" w:hAnsi="仿宋_GB2312" w:eastAsia="仿宋_GB2312" w:cs="仿宋_GB2312"/>
              <w:sz w:val="32"/>
              <w:szCs w:val="32"/>
            </w:rPr>
            <w:t>（二）部门整体绩效目标设立情况</w:t>
          </w:r>
          <w:r>
            <w:rPr>
              <w:rFonts w:hint="eastAsia" w:ascii="仿宋_GB2312" w:hAnsi="仿宋_GB2312" w:eastAsia="仿宋_GB2312" w:cs="仿宋_GB2312"/>
              <w:sz w:val="32"/>
              <w:szCs w:val="32"/>
            </w:rPr>
            <w:tab/>
          </w:r>
          <w:r>
            <w:rPr>
              <w:rFonts w:eastAsia="仿宋_GB2312"/>
              <w:sz w:val="32"/>
              <w:szCs w:val="32"/>
            </w:rPr>
            <w:fldChar w:fldCharType="begin"/>
          </w:r>
          <w:r>
            <w:rPr>
              <w:rFonts w:eastAsia="仿宋_GB2312"/>
              <w:sz w:val="32"/>
              <w:szCs w:val="32"/>
            </w:rPr>
            <w:instrText xml:space="preserve"> PAGEREF _Toc11319 \h </w:instrText>
          </w:r>
          <w:r>
            <w:rPr>
              <w:rFonts w:eastAsia="仿宋_GB2312"/>
              <w:sz w:val="32"/>
              <w:szCs w:val="32"/>
            </w:rPr>
            <w:fldChar w:fldCharType="separate"/>
          </w:r>
          <w:r>
            <w:rPr>
              <w:rFonts w:eastAsia="仿宋_GB2312"/>
              <w:sz w:val="32"/>
              <w:szCs w:val="32"/>
            </w:rPr>
            <w:t>2</w:t>
          </w:r>
          <w:r>
            <w:rPr>
              <w:rFonts w:eastAsia="仿宋_GB2312"/>
              <w:sz w:val="32"/>
              <w:szCs w:val="32"/>
            </w:rPr>
            <w:fldChar w:fldCharType="end"/>
          </w:r>
          <w:r>
            <w:rPr>
              <w:rFonts w:eastAsia="仿宋_GB2312"/>
              <w:sz w:val="32"/>
              <w:szCs w:val="32"/>
            </w:rPr>
            <w:fldChar w:fldCharType="end"/>
          </w:r>
        </w:p>
        <w:p>
          <w:pPr>
            <w:pStyle w:val="12"/>
            <w:tabs>
              <w:tab w:val="right" w:leader="dot" w:pos="8306"/>
              <w:tab w:val="clear" w:pos="8296"/>
            </w:tabs>
            <w:rPr>
              <w:rFonts w:ascii="楷体_GB2312" w:hAnsi="楷体_GB2312" w:eastAsia="楷体_GB2312" w:cs="楷体_GB2312"/>
              <w:sz w:val="32"/>
              <w:szCs w:val="32"/>
            </w:rPr>
          </w:pPr>
          <w:r>
            <w:fldChar w:fldCharType="begin"/>
          </w:r>
          <w:r>
            <w:instrText xml:space="preserve"> HYPERLINK \l "_Toc3771" </w:instrText>
          </w:r>
          <w:r>
            <w:fldChar w:fldCharType="separate"/>
          </w:r>
          <w:r>
            <w:rPr>
              <w:rFonts w:hint="eastAsia" w:ascii="楷体_GB2312" w:hAnsi="楷体_GB2312" w:eastAsia="楷体_GB2312" w:cs="楷体_GB2312"/>
              <w:kern w:val="0"/>
              <w:sz w:val="32"/>
              <w:szCs w:val="32"/>
            </w:rPr>
            <w:t>二、当年预算执行情况</w:t>
          </w:r>
          <w:r>
            <w:rPr>
              <w:rFonts w:hint="eastAsia" w:ascii="楷体_GB2312" w:hAnsi="楷体_GB2312" w:eastAsia="楷体_GB2312" w:cs="楷体_GB2312"/>
              <w:sz w:val="32"/>
              <w:szCs w:val="32"/>
            </w:rPr>
            <w:tab/>
          </w:r>
          <w:r>
            <w:rPr>
              <w:rFonts w:ascii="Times New Roman" w:hAnsi="Times New Roman" w:eastAsia="楷体_GB2312"/>
              <w:b w:val="0"/>
              <w:bCs/>
              <w:sz w:val="32"/>
              <w:szCs w:val="32"/>
            </w:rPr>
            <w:fldChar w:fldCharType="begin"/>
          </w:r>
          <w:r>
            <w:rPr>
              <w:rFonts w:ascii="Times New Roman" w:hAnsi="Times New Roman" w:eastAsia="楷体_GB2312"/>
              <w:b w:val="0"/>
              <w:bCs/>
              <w:sz w:val="32"/>
              <w:szCs w:val="32"/>
            </w:rPr>
            <w:instrText xml:space="preserve"> PAGEREF _Toc3771 \h </w:instrText>
          </w:r>
          <w:r>
            <w:rPr>
              <w:rFonts w:ascii="Times New Roman" w:hAnsi="Times New Roman" w:eastAsia="楷体_GB2312"/>
              <w:b w:val="0"/>
              <w:bCs/>
              <w:sz w:val="32"/>
              <w:szCs w:val="32"/>
            </w:rPr>
            <w:fldChar w:fldCharType="separate"/>
          </w:r>
          <w:r>
            <w:rPr>
              <w:rFonts w:ascii="Times New Roman" w:hAnsi="Times New Roman" w:eastAsia="楷体_GB2312"/>
              <w:b w:val="0"/>
              <w:bCs/>
              <w:sz w:val="32"/>
              <w:szCs w:val="32"/>
            </w:rPr>
            <w:t>5</w:t>
          </w:r>
          <w:r>
            <w:rPr>
              <w:rFonts w:ascii="Times New Roman" w:hAnsi="Times New Roman" w:eastAsia="楷体_GB2312"/>
              <w:b w:val="0"/>
              <w:bCs/>
              <w:sz w:val="32"/>
              <w:szCs w:val="32"/>
            </w:rPr>
            <w:fldChar w:fldCharType="end"/>
          </w:r>
          <w:r>
            <w:rPr>
              <w:rFonts w:ascii="Times New Roman" w:hAnsi="Times New Roman" w:eastAsia="楷体_GB2312"/>
              <w:b w:val="0"/>
              <w:bCs/>
              <w:sz w:val="32"/>
              <w:szCs w:val="32"/>
            </w:rPr>
            <w:fldChar w:fldCharType="end"/>
          </w:r>
        </w:p>
        <w:p>
          <w:pPr>
            <w:pStyle w:val="12"/>
            <w:tabs>
              <w:tab w:val="right" w:leader="dot" w:pos="8306"/>
              <w:tab w:val="clear" w:pos="8296"/>
            </w:tabs>
            <w:rPr>
              <w:sz w:val="32"/>
              <w:szCs w:val="32"/>
            </w:rPr>
          </w:pPr>
          <w:r>
            <w:fldChar w:fldCharType="begin"/>
          </w:r>
          <w:r>
            <w:instrText xml:space="preserve"> HYPERLINK \l "_Toc17780" </w:instrText>
          </w:r>
          <w:r>
            <w:fldChar w:fldCharType="separate"/>
          </w:r>
          <w:r>
            <w:rPr>
              <w:rFonts w:hint="eastAsia" w:ascii="楷体_GB2312" w:hAnsi="楷体_GB2312" w:eastAsia="楷体_GB2312" w:cs="楷体_GB2312"/>
              <w:kern w:val="0"/>
              <w:sz w:val="32"/>
              <w:szCs w:val="32"/>
            </w:rPr>
            <w:t>三、整体绩效目标实现情况</w:t>
          </w:r>
          <w:r>
            <w:rPr>
              <w:rFonts w:hint="eastAsia" w:ascii="楷体_GB2312" w:hAnsi="楷体_GB2312" w:eastAsia="楷体_GB2312" w:cs="楷体_GB2312"/>
              <w:sz w:val="32"/>
              <w:szCs w:val="32"/>
            </w:rPr>
            <w:tab/>
          </w:r>
          <w:r>
            <w:rPr>
              <w:rFonts w:ascii="Times New Roman" w:hAnsi="Times New Roman" w:eastAsia="楷体_GB2312"/>
              <w:b w:val="0"/>
              <w:bCs/>
              <w:sz w:val="32"/>
              <w:szCs w:val="32"/>
            </w:rPr>
            <w:fldChar w:fldCharType="begin"/>
          </w:r>
          <w:r>
            <w:rPr>
              <w:rFonts w:ascii="Times New Roman" w:hAnsi="Times New Roman" w:eastAsia="楷体_GB2312"/>
              <w:b w:val="0"/>
              <w:bCs/>
              <w:sz w:val="32"/>
              <w:szCs w:val="32"/>
            </w:rPr>
            <w:instrText xml:space="preserve"> PAGEREF _Toc17780 \h </w:instrText>
          </w:r>
          <w:r>
            <w:rPr>
              <w:rFonts w:ascii="Times New Roman" w:hAnsi="Times New Roman" w:eastAsia="楷体_GB2312"/>
              <w:b w:val="0"/>
              <w:bCs/>
              <w:sz w:val="32"/>
              <w:szCs w:val="32"/>
            </w:rPr>
            <w:fldChar w:fldCharType="separate"/>
          </w:r>
          <w:r>
            <w:rPr>
              <w:rFonts w:ascii="Times New Roman" w:hAnsi="Times New Roman" w:eastAsia="楷体_GB2312"/>
              <w:b w:val="0"/>
              <w:bCs/>
              <w:sz w:val="32"/>
              <w:szCs w:val="32"/>
            </w:rPr>
            <w:t>5</w:t>
          </w:r>
          <w:r>
            <w:rPr>
              <w:rFonts w:ascii="Times New Roman" w:hAnsi="Times New Roman" w:eastAsia="楷体_GB2312"/>
              <w:b w:val="0"/>
              <w:bCs/>
              <w:sz w:val="32"/>
              <w:szCs w:val="32"/>
            </w:rPr>
            <w:fldChar w:fldCharType="end"/>
          </w:r>
          <w:r>
            <w:rPr>
              <w:rFonts w:ascii="Times New Roman" w:hAnsi="Times New Roman" w:eastAsia="楷体_GB2312"/>
              <w:b w:val="0"/>
              <w:bCs/>
              <w:sz w:val="32"/>
              <w:szCs w:val="32"/>
            </w:rPr>
            <w:fldChar w:fldCharType="end"/>
          </w:r>
        </w:p>
        <w:p>
          <w:pPr>
            <w:pStyle w:val="14"/>
            <w:tabs>
              <w:tab w:val="right" w:leader="dot" w:pos="8306"/>
            </w:tabs>
            <w:rPr>
              <w:rFonts w:ascii="仿宋_GB2312" w:hAnsi="仿宋_GB2312" w:eastAsia="仿宋_GB2312" w:cs="仿宋_GB2312"/>
              <w:sz w:val="32"/>
              <w:szCs w:val="32"/>
            </w:rPr>
          </w:pPr>
          <w:r>
            <w:fldChar w:fldCharType="begin"/>
          </w:r>
          <w:r>
            <w:instrText xml:space="preserve"> HYPERLINK \l "_Toc15790" </w:instrText>
          </w:r>
          <w:r>
            <w:fldChar w:fldCharType="separate"/>
          </w:r>
          <w:r>
            <w:rPr>
              <w:rFonts w:hint="eastAsia" w:ascii="仿宋_GB2312" w:hAnsi="仿宋_GB2312" w:eastAsia="仿宋_GB2312" w:cs="仿宋_GB2312"/>
              <w:sz w:val="32"/>
              <w:szCs w:val="32"/>
            </w:rPr>
            <w:t>（一）产出完成情况分析</w:t>
          </w:r>
          <w:r>
            <w:rPr>
              <w:rFonts w:hint="eastAsia" w:ascii="仿宋_GB2312" w:hAnsi="仿宋_GB2312" w:eastAsia="仿宋_GB2312" w:cs="仿宋_GB2312"/>
              <w:sz w:val="32"/>
              <w:szCs w:val="32"/>
            </w:rPr>
            <w:tab/>
          </w:r>
          <w:r>
            <w:rPr>
              <w:rFonts w:eastAsia="仿宋_GB2312"/>
              <w:sz w:val="32"/>
              <w:szCs w:val="32"/>
            </w:rPr>
            <w:fldChar w:fldCharType="begin"/>
          </w:r>
          <w:r>
            <w:rPr>
              <w:rFonts w:eastAsia="仿宋_GB2312"/>
              <w:sz w:val="32"/>
              <w:szCs w:val="32"/>
            </w:rPr>
            <w:instrText xml:space="preserve"> PAGEREF _Toc15790 \h </w:instrText>
          </w:r>
          <w:r>
            <w:rPr>
              <w:rFonts w:eastAsia="仿宋_GB2312"/>
              <w:sz w:val="32"/>
              <w:szCs w:val="32"/>
            </w:rPr>
            <w:fldChar w:fldCharType="separate"/>
          </w:r>
          <w:r>
            <w:rPr>
              <w:rFonts w:eastAsia="仿宋_GB2312"/>
              <w:sz w:val="32"/>
              <w:szCs w:val="32"/>
            </w:rPr>
            <w:t>6</w:t>
          </w:r>
          <w:r>
            <w:rPr>
              <w:rFonts w:eastAsia="仿宋_GB2312"/>
              <w:sz w:val="32"/>
              <w:szCs w:val="32"/>
            </w:rPr>
            <w:fldChar w:fldCharType="end"/>
          </w:r>
          <w:r>
            <w:rPr>
              <w:rFonts w:eastAsia="仿宋_GB2312"/>
              <w:sz w:val="32"/>
              <w:szCs w:val="32"/>
            </w:rPr>
            <w:fldChar w:fldCharType="end"/>
          </w:r>
        </w:p>
        <w:p>
          <w:pPr>
            <w:pStyle w:val="14"/>
            <w:tabs>
              <w:tab w:val="right" w:leader="dot" w:pos="8306"/>
            </w:tabs>
            <w:rPr>
              <w:sz w:val="32"/>
              <w:szCs w:val="32"/>
            </w:rPr>
          </w:pPr>
          <w:r>
            <w:fldChar w:fldCharType="begin"/>
          </w:r>
          <w:r>
            <w:instrText xml:space="preserve"> HYPERLINK \l "_Toc6725" </w:instrText>
          </w:r>
          <w:r>
            <w:fldChar w:fldCharType="separate"/>
          </w:r>
          <w:r>
            <w:rPr>
              <w:rFonts w:hint="eastAsia" w:ascii="仿宋_GB2312" w:hAnsi="仿宋_GB2312" w:eastAsia="仿宋_GB2312" w:cs="仿宋_GB2312"/>
              <w:sz w:val="32"/>
              <w:szCs w:val="32"/>
            </w:rPr>
            <w:t>（二）效果实现情况分析</w:t>
          </w:r>
          <w:r>
            <w:rPr>
              <w:rFonts w:hint="eastAsia" w:ascii="仿宋_GB2312" w:hAnsi="仿宋_GB2312" w:eastAsia="仿宋_GB2312" w:cs="仿宋_GB2312"/>
              <w:sz w:val="32"/>
              <w:szCs w:val="32"/>
            </w:rPr>
            <w:tab/>
          </w:r>
          <w:r>
            <w:rPr>
              <w:rFonts w:eastAsia="仿宋_GB2312"/>
              <w:sz w:val="32"/>
              <w:szCs w:val="32"/>
            </w:rPr>
            <w:fldChar w:fldCharType="begin"/>
          </w:r>
          <w:r>
            <w:rPr>
              <w:rFonts w:eastAsia="仿宋_GB2312"/>
              <w:sz w:val="32"/>
              <w:szCs w:val="32"/>
            </w:rPr>
            <w:instrText xml:space="preserve"> PAGEREF _Toc6725 \h </w:instrText>
          </w:r>
          <w:r>
            <w:rPr>
              <w:rFonts w:eastAsia="仿宋_GB2312"/>
              <w:sz w:val="32"/>
              <w:szCs w:val="32"/>
            </w:rPr>
            <w:fldChar w:fldCharType="separate"/>
          </w:r>
          <w:r>
            <w:rPr>
              <w:rFonts w:eastAsia="仿宋_GB2312"/>
              <w:sz w:val="32"/>
              <w:szCs w:val="32"/>
            </w:rPr>
            <w:t>10</w:t>
          </w:r>
          <w:r>
            <w:rPr>
              <w:rFonts w:eastAsia="仿宋_GB2312"/>
              <w:sz w:val="32"/>
              <w:szCs w:val="32"/>
            </w:rPr>
            <w:fldChar w:fldCharType="end"/>
          </w:r>
          <w:r>
            <w:rPr>
              <w:rFonts w:eastAsia="仿宋_GB2312"/>
              <w:sz w:val="32"/>
              <w:szCs w:val="32"/>
            </w:rPr>
            <w:fldChar w:fldCharType="end"/>
          </w:r>
        </w:p>
        <w:p>
          <w:pPr>
            <w:pStyle w:val="12"/>
            <w:tabs>
              <w:tab w:val="right" w:leader="dot" w:pos="8306"/>
              <w:tab w:val="clear" w:pos="8296"/>
            </w:tabs>
            <w:rPr>
              <w:rFonts w:ascii="楷体_GB2312" w:hAnsi="楷体_GB2312" w:eastAsia="楷体_GB2312" w:cs="楷体_GB2312"/>
              <w:sz w:val="32"/>
              <w:szCs w:val="32"/>
            </w:rPr>
          </w:pPr>
          <w:r>
            <w:fldChar w:fldCharType="begin"/>
          </w:r>
          <w:r>
            <w:instrText xml:space="preserve"> HYPERLINK \l "_Toc9570" </w:instrText>
          </w:r>
          <w:r>
            <w:fldChar w:fldCharType="separate"/>
          </w:r>
          <w:r>
            <w:rPr>
              <w:rFonts w:hint="eastAsia" w:ascii="楷体_GB2312" w:hAnsi="楷体_GB2312" w:eastAsia="楷体_GB2312" w:cs="楷体_GB2312"/>
              <w:kern w:val="0"/>
              <w:sz w:val="32"/>
              <w:szCs w:val="32"/>
            </w:rPr>
            <w:t>四、预算管理情况分析</w:t>
          </w:r>
          <w:r>
            <w:rPr>
              <w:rFonts w:hint="eastAsia" w:ascii="楷体_GB2312" w:hAnsi="楷体_GB2312" w:eastAsia="楷体_GB2312" w:cs="楷体_GB2312"/>
              <w:sz w:val="32"/>
              <w:szCs w:val="32"/>
            </w:rPr>
            <w:tab/>
          </w:r>
          <w:r>
            <w:rPr>
              <w:rFonts w:ascii="Times New Roman" w:hAnsi="Times New Roman" w:eastAsia="楷体_GB2312"/>
              <w:b w:val="0"/>
              <w:bCs/>
              <w:sz w:val="32"/>
              <w:szCs w:val="32"/>
            </w:rPr>
            <w:fldChar w:fldCharType="begin"/>
          </w:r>
          <w:r>
            <w:rPr>
              <w:rFonts w:ascii="Times New Roman" w:hAnsi="Times New Roman" w:eastAsia="楷体_GB2312"/>
              <w:b w:val="0"/>
              <w:bCs/>
              <w:sz w:val="32"/>
              <w:szCs w:val="32"/>
            </w:rPr>
            <w:instrText xml:space="preserve"> PAGEREF _Toc9570 \h </w:instrText>
          </w:r>
          <w:r>
            <w:rPr>
              <w:rFonts w:ascii="Times New Roman" w:hAnsi="Times New Roman" w:eastAsia="楷体_GB2312"/>
              <w:b w:val="0"/>
              <w:bCs/>
              <w:sz w:val="32"/>
              <w:szCs w:val="32"/>
            </w:rPr>
            <w:fldChar w:fldCharType="separate"/>
          </w:r>
          <w:r>
            <w:rPr>
              <w:rFonts w:ascii="Times New Roman" w:hAnsi="Times New Roman" w:eastAsia="楷体_GB2312"/>
              <w:b w:val="0"/>
              <w:bCs/>
              <w:sz w:val="32"/>
              <w:szCs w:val="32"/>
            </w:rPr>
            <w:t>12</w:t>
          </w:r>
          <w:r>
            <w:rPr>
              <w:rFonts w:ascii="Times New Roman" w:hAnsi="Times New Roman" w:eastAsia="楷体_GB2312"/>
              <w:b w:val="0"/>
              <w:bCs/>
              <w:sz w:val="32"/>
              <w:szCs w:val="32"/>
            </w:rPr>
            <w:fldChar w:fldCharType="end"/>
          </w:r>
          <w:r>
            <w:rPr>
              <w:rFonts w:ascii="Times New Roman" w:hAnsi="Times New Roman" w:eastAsia="楷体_GB2312"/>
              <w:b w:val="0"/>
              <w:bCs/>
              <w:sz w:val="32"/>
              <w:szCs w:val="32"/>
            </w:rPr>
            <w:fldChar w:fldCharType="end"/>
          </w:r>
        </w:p>
        <w:p>
          <w:pPr>
            <w:pStyle w:val="14"/>
            <w:tabs>
              <w:tab w:val="right" w:leader="dot" w:pos="8306"/>
            </w:tabs>
            <w:rPr>
              <w:rFonts w:ascii="仿宋_GB2312" w:hAnsi="仿宋_GB2312" w:eastAsia="仿宋_GB2312" w:cs="仿宋_GB2312"/>
              <w:sz w:val="32"/>
              <w:szCs w:val="32"/>
            </w:rPr>
          </w:pPr>
          <w:r>
            <w:fldChar w:fldCharType="begin"/>
          </w:r>
          <w:r>
            <w:instrText xml:space="preserve"> HYPERLINK \l "_Toc3921" </w:instrText>
          </w:r>
          <w:r>
            <w:fldChar w:fldCharType="separate"/>
          </w:r>
          <w:r>
            <w:rPr>
              <w:rFonts w:hint="eastAsia" w:ascii="仿宋_GB2312" w:hAnsi="仿宋_GB2312" w:eastAsia="仿宋_GB2312" w:cs="仿宋_GB2312"/>
              <w:sz w:val="32"/>
              <w:szCs w:val="32"/>
            </w:rPr>
            <w:t>（一）财务管理</w:t>
          </w:r>
          <w:r>
            <w:rPr>
              <w:rFonts w:hint="eastAsia" w:ascii="仿宋_GB2312" w:hAnsi="仿宋_GB2312" w:eastAsia="仿宋_GB2312" w:cs="仿宋_GB2312"/>
              <w:sz w:val="32"/>
              <w:szCs w:val="32"/>
            </w:rPr>
            <w:tab/>
          </w:r>
          <w:r>
            <w:rPr>
              <w:rFonts w:eastAsia="仿宋_GB2312"/>
              <w:sz w:val="32"/>
              <w:szCs w:val="32"/>
            </w:rPr>
            <w:fldChar w:fldCharType="begin"/>
          </w:r>
          <w:r>
            <w:rPr>
              <w:rFonts w:eastAsia="仿宋_GB2312"/>
              <w:sz w:val="32"/>
              <w:szCs w:val="32"/>
            </w:rPr>
            <w:instrText xml:space="preserve"> PAGEREF _Toc3921 \h </w:instrText>
          </w:r>
          <w:r>
            <w:rPr>
              <w:rFonts w:eastAsia="仿宋_GB2312"/>
              <w:sz w:val="32"/>
              <w:szCs w:val="32"/>
            </w:rPr>
            <w:fldChar w:fldCharType="separate"/>
          </w:r>
          <w:r>
            <w:rPr>
              <w:rFonts w:eastAsia="仿宋_GB2312"/>
              <w:sz w:val="32"/>
              <w:szCs w:val="32"/>
            </w:rPr>
            <w:t>12</w:t>
          </w:r>
          <w:r>
            <w:rPr>
              <w:rFonts w:eastAsia="仿宋_GB2312"/>
              <w:sz w:val="32"/>
              <w:szCs w:val="32"/>
            </w:rPr>
            <w:fldChar w:fldCharType="end"/>
          </w:r>
          <w:r>
            <w:rPr>
              <w:rFonts w:eastAsia="仿宋_GB2312"/>
              <w:sz w:val="32"/>
              <w:szCs w:val="32"/>
            </w:rPr>
            <w:fldChar w:fldCharType="end"/>
          </w:r>
        </w:p>
        <w:p>
          <w:pPr>
            <w:pStyle w:val="14"/>
            <w:tabs>
              <w:tab w:val="right" w:leader="dot" w:pos="8306"/>
            </w:tabs>
            <w:rPr>
              <w:rFonts w:ascii="仿宋_GB2312" w:hAnsi="仿宋_GB2312" w:eastAsia="仿宋_GB2312" w:cs="仿宋_GB2312"/>
              <w:sz w:val="32"/>
              <w:szCs w:val="32"/>
            </w:rPr>
          </w:pPr>
          <w:r>
            <w:fldChar w:fldCharType="begin"/>
          </w:r>
          <w:r>
            <w:instrText xml:space="preserve"> HYPERLINK \l "_Toc9694" </w:instrText>
          </w:r>
          <w:r>
            <w:fldChar w:fldCharType="separate"/>
          </w:r>
          <w:r>
            <w:rPr>
              <w:rFonts w:hint="eastAsia" w:ascii="仿宋_GB2312" w:hAnsi="仿宋_GB2312" w:eastAsia="仿宋_GB2312" w:cs="仿宋_GB2312"/>
              <w:sz w:val="32"/>
              <w:szCs w:val="32"/>
            </w:rPr>
            <w:t>（二）资产管理</w:t>
          </w:r>
          <w:r>
            <w:rPr>
              <w:rFonts w:hint="eastAsia" w:ascii="仿宋_GB2312" w:hAnsi="仿宋_GB2312" w:eastAsia="仿宋_GB2312" w:cs="仿宋_GB2312"/>
              <w:sz w:val="32"/>
              <w:szCs w:val="32"/>
            </w:rPr>
            <w:tab/>
          </w:r>
          <w:r>
            <w:rPr>
              <w:rFonts w:eastAsia="仿宋_GB2312"/>
              <w:sz w:val="32"/>
              <w:szCs w:val="32"/>
            </w:rPr>
            <w:fldChar w:fldCharType="begin"/>
          </w:r>
          <w:r>
            <w:rPr>
              <w:rFonts w:eastAsia="仿宋_GB2312"/>
              <w:sz w:val="32"/>
              <w:szCs w:val="32"/>
            </w:rPr>
            <w:instrText xml:space="preserve"> PAGEREF _Toc9694 \h </w:instrText>
          </w:r>
          <w:r>
            <w:rPr>
              <w:rFonts w:eastAsia="仿宋_GB2312"/>
              <w:sz w:val="32"/>
              <w:szCs w:val="32"/>
            </w:rPr>
            <w:fldChar w:fldCharType="separate"/>
          </w:r>
          <w:r>
            <w:rPr>
              <w:rFonts w:eastAsia="仿宋_GB2312"/>
              <w:sz w:val="32"/>
              <w:szCs w:val="32"/>
            </w:rPr>
            <w:t>13</w:t>
          </w:r>
          <w:r>
            <w:rPr>
              <w:rFonts w:eastAsia="仿宋_GB2312"/>
              <w:sz w:val="32"/>
              <w:szCs w:val="32"/>
            </w:rPr>
            <w:fldChar w:fldCharType="end"/>
          </w:r>
          <w:r>
            <w:rPr>
              <w:rFonts w:eastAsia="仿宋_GB2312"/>
              <w:sz w:val="32"/>
              <w:szCs w:val="32"/>
            </w:rPr>
            <w:fldChar w:fldCharType="end"/>
          </w:r>
        </w:p>
        <w:p>
          <w:pPr>
            <w:pStyle w:val="14"/>
            <w:tabs>
              <w:tab w:val="right" w:leader="dot" w:pos="8306"/>
            </w:tabs>
            <w:rPr>
              <w:sz w:val="32"/>
              <w:szCs w:val="32"/>
            </w:rPr>
          </w:pPr>
          <w:r>
            <w:fldChar w:fldCharType="begin"/>
          </w:r>
          <w:r>
            <w:instrText xml:space="preserve"> HYPERLINK \l "_Toc17054" </w:instrText>
          </w:r>
          <w:r>
            <w:fldChar w:fldCharType="separate"/>
          </w:r>
          <w:r>
            <w:rPr>
              <w:rFonts w:hint="eastAsia" w:ascii="仿宋_GB2312" w:hAnsi="仿宋_GB2312" w:eastAsia="仿宋_GB2312" w:cs="仿宋_GB2312"/>
              <w:sz w:val="32"/>
              <w:szCs w:val="32"/>
            </w:rPr>
            <w:t>（三）绩效管理</w:t>
          </w:r>
          <w:r>
            <w:rPr>
              <w:rFonts w:hint="eastAsia" w:ascii="仿宋_GB2312" w:hAnsi="仿宋_GB2312" w:eastAsia="仿宋_GB2312" w:cs="仿宋_GB2312"/>
              <w:sz w:val="32"/>
              <w:szCs w:val="32"/>
            </w:rPr>
            <w:tab/>
          </w:r>
          <w:r>
            <w:rPr>
              <w:rFonts w:eastAsia="仿宋_GB2312"/>
              <w:sz w:val="32"/>
              <w:szCs w:val="32"/>
            </w:rPr>
            <w:fldChar w:fldCharType="begin"/>
          </w:r>
          <w:r>
            <w:rPr>
              <w:rFonts w:eastAsia="仿宋_GB2312"/>
              <w:sz w:val="32"/>
              <w:szCs w:val="32"/>
            </w:rPr>
            <w:instrText xml:space="preserve"> PAGEREF _Toc17054 \h </w:instrText>
          </w:r>
          <w:r>
            <w:rPr>
              <w:rFonts w:eastAsia="仿宋_GB2312"/>
              <w:sz w:val="32"/>
              <w:szCs w:val="32"/>
            </w:rPr>
            <w:fldChar w:fldCharType="separate"/>
          </w:r>
          <w:r>
            <w:rPr>
              <w:rFonts w:eastAsia="仿宋_GB2312"/>
              <w:sz w:val="32"/>
              <w:szCs w:val="32"/>
            </w:rPr>
            <w:t>14</w:t>
          </w:r>
          <w:r>
            <w:rPr>
              <w:rFonts w:eastAsia="仿宋_GB2312"/>
              <w:sz w:val="32"/>
              <w:szCs w:val="32"/>
            </w:rPr>
            <w:fldChar w:fldCharType="end"/>
          </w:r>
          <w:r>
            <w:rPr>
              <w:rFonts w:eastAsia="仿宋_GB2312"/>
              <w:sz w:val="32"/>
              <w:szCs w:val="32"/>
            </w:rPr>
            <w:fldChar w:fldCharType="end"/>
          </w:r>
        </w:p>
        <w:p>
          <w:pPr>
            <w:pStyle w:val="12"/>
            <w:tabs>
              <w:tab w:val="right" w:leader="dot" w:pos="8306"/>
              <w:tab w:val="clear" w:pos="8296"/>
            </w:tabs>
            <w:rPr>
              <w:sz w:val="32"/>
              <w:szCs w:val="32"/>
            </w:rPr>
          </w:pPr>
          <w:r>
            <w:fldChar w:fldCharType="begin"/>
          </w:r>
          <w:r>
            <w:instrText xml:space="preserve"> HYPERLINK \l "_Toc29403" </w:instrText>
          </w:r>
          <w:r>
            <w:fldChar w:fldCharType="separate"/>
          </w:r>
          <w:r>
            <w:rPr>
              <w:rFonts w:hint="eastAsia" w:ascii="楷体_GB2312" w:hAnsi="楷体_GB2312" w:eastAsia="楷体_GB2312" w:cs="楷体_GB2312"/>
              <w:sz w:val="32"/>
              <w:szCs w:val="32"/>
            </w:rPr>
            <w:t>五、总体评价结论</w:t>
          </w:r>
          <w:r>
            <w:rPr>
              <w:rFonts w:hint="eastAsia" w:ascii="楷体_GB2312" w:hAnsi="楷体_GB2312" w:eastAsia="楷体_GB2312" w:cs="楷体_GB2312"/>
              <w:sz w:val="32"/>
              <w:szCs w:val="32"/>
            </w:rPr>
            <w:tab/>
          </w:r>
          <w:r>
            <w:rPr>
              <w:rFonts w:ascii="Times New Roman" w:hAnsi="Times New Roman" w:eastAsia="楷体_GB2312"/>
              <w:b w:val="0"/>
              <w:bCs/>
              <w:sz w:val="32"/>
              <w:szCs w:val="32"/>
            </w:rPr>
            <w:fldChar w:fldCharType="begin"/>
          </w:r>
          <w:r>
            <w:rPr>
              <w:rFonts w:ascii="Times New Roman" w:hAnsi="Times New Roman" w:eastAsia="楷体_GB2312"/>
              <w:b w:val="0"/>
              <w:bCs/>
              <w:sz w:val="32"/>
              <w:szCs w:val="32"/>
            </w:rPr>
            <w:instrText xml:space="preserve"> PAGEREF _Toc29403 \h </w:instrText>
          </w:r>
          <w:r>
            <w:rPr>
              <w:rFonts w:ascii="Times New Roman" w:hAnsi="Times New Roman" w:eastAsia="楷体_GB2312"/>
              <w:b w:val="0"/>
              <w:bCs/>
              <w:sz w:val="32"/>
              <w:szCs w:val="32"/>
            </w:rPr>
            <w:fldChar w:fldCharType="separate"/>
          </w:r>
          <w:r>
            <w:rPr>
              <w:rFonts w:ascii="Times New Roman" w:hAnsi="Times New Roman" w:eastAsia="楷体_GB2312"/>
              <w:b w:val="0"/>
              <w:bCs/>
              <w:sz w:val="32"/>
              <w:szCs w:val="32"/>
            </w:rPr>
            <w:t>15</w:t>
          </w:r>
          <w:r>
            <w:rPr>
              <w:rFonts w:ascii="Times New Roman" w:hAnsi="Times New Roman" w:eastAsia="楷体_GB2312"/>
              <w:b w:val="0"/>
              <w:bCs/>
              <w:sz w:val="32"/>
              <w:szCs w:val="32"/>
            </w:rPr>
            <w:fldChar w:fldCharType="end"/>
          </w:r>
          <w:r>
            <w:rPr>
              <w:rFonts w:ascii="Times New Roman" w:hAnsi="Times New Roman" w:eastAsia="楷体_GB2312"/>
              <w:b w:val="0"/>
              <w:bCs/>
              <w:sz w:val="32"/>
              <w:szCs w:val="32"/>
            </w:rPr>
            <w:fldChar w:fldCharType="end"/>
          </w:r>
        </w:p>
        <w:p>
          <w:pPr>
            <w:pStyle w:val="14"/>
            <w:tabs>
              <w:tab w:val="right" w:leader="dot" w:pos="8306"/>
            </w:tabs>
            <w:rPr>
              <w:rFonts w:ascii="仿宋_GB2312" w:hAnsi="仿宋_GB2312" w:eastAsia="仿宋_GB2312" w:cs="仿宋_GB2312"/>
              <w:sz w:val="32"/>
              <w:szCs w:val="32"/>
            </w:rPr>
          </w:pPr>
          <w:r>
            <w:fldChar w:fldCharType="begin"/>
          </w:r>
          <w:r>
            <w:instrText xml:space="preserve"> HYPERLINK \l "_Toc6043" </w:instrText>
          </w:r>
          <w:r>
            <w:fldChar w:fldCharType="separate"/>
          </w:r>
          <w:r>
            <w:rPr>
              <w:rFonts w:hint="eastAsia" w:ascii="仿宋_GB2312" w:hAnsi="仿宋_GB2312" w:eastAsia="仿宋_GB2312" w:cs="仿宋_GB2312"/>
              <w:sz w:val="32"/>
              <w:szCs w:val="32"/>
            </w:rPr>
            <w:t>（一）评价得分情况</w:t>
          </w:r>
          <w:r>
            <w:rPr>
              <w:rFonts w:hint="eastAsia" w:ascii="仿宋_GB2312" w:hAnsi="仿宋_GB2312" w:eastAsia="仿宋_GB2312" w:cs="仿宋_GB2312"/>
              <w:sz w:val="32"/>
              <w:szCs w:val="32"/>
            </w:rPr>
            <w:tab/>
          </w:r>
          <w:r>
            <w:rPr>
              <w:rFonts w:eastAsia="仿宋_GB2312"/>
              <w:sz w:val="32"/>
              <w:szCs w:val="32"/>
            </w:rPr>
            <w:fldChar w:fldCharType="begin"/>
          </w:r>
          <w:r>
            <w:rPr>
              <w:rFonts w:eastAsia="仿宋_GB2312"/>
              <w:sz w:val="32"/>
              <w:szCs w:val="32"/>
            </w:rPr>
            <w:instrText xml:space="preserve"> PAGEREF _Toc6043 \h </w:instrText>
          </w:r>
          <w:r>
            <w:rPr>
              <w:rFonts w:eastAsia="仿宋_GB2312"/>
              <w:sz w:val="32"/>
              <w:szCs w:val="32"/>
            </w:rPr>
            <w:fldChar w:fldCharType="separate"/>
          </w:r>
          <w:r>
            <w:rPr>
              <w:rFonts w:eastAsia="仿宋_GB2312"/>
              <w:sz w:val="32"/>
              <w:szCs w:val="32"/>
            </w:rPr>
            <w:t>15</w:t>
          </w:r>
          <w:r>
            <w:rPr>
              <w:rFonts w:eastAsia="仿宋_GB2312"/>
              <w:sz w:val="32"/>
              <w:szCs w:val="32"/>
            </w:rPr>
            <w:fldChar w:fldCharType="end"/>
          </w:r>
          <w:r>
            <w:rPr>
              <w:rFonts w:eastAsia="仿宋_GB2312"/>
              <w:sz w:val="32"/>
              <w:szCs w:val="32"/>
            </w:rPr>
            <w:fldChar w:fldCharType="end"/>
          </w:r>
        </w:p>
        <w:p>
          <w:pPr>
            <w:pStyle w:val="14"/>
            <w:tabs>
              <w:tab w:val="right" w:leader="dot" w:pos="8306"/>
            </w:tabs>
            <w:rPr>
              <w:sz w:val="32"/>
              <w:szCs w:val="32"/>
            </w:rPr>
          </w:pPr>
          <w:r>
            <w:fldChar w:fldCharType="begin"/>
          </w:r>
          <w:r>
            <w:instrText xml:space="preserve"> HYPERLINK \l "_Toc28195" </w:instrText>
          </w:r>
          <w:r>
            <w:fldChar w:fldCharType="separate"/>
          </w:r>
          <w:r>
            <w:rPr>
              <w:rFonts w:hint="eastAsia" w:ascii="仿宋_GB2312" w:hAnsi="仿宋_GB2312" w:eastAsia="仿宋_GB2312" w:cs="仿宋_GB2312"/>
              <w:sz w:val="32"/>
              <w:szCs w:val="32"/>
            </w:rPr>
            <w:t>（二）存在的问题及原因分析</w:t>
          </w:r>
          <w:r>
            <w:rPr>
              <w:rFonts w:hint="eastAsia" w:ascii="仿宋_GB2312" w:hAnsi="仿宋_GB2312" w:eastAsia="仿宋_GB2312" w:cs="仿宋_GB2312"/>
              <w:sz w:val="32"/>
              <w:szCs w:val="32"/>
            </w:rPr>
            <w:tab/>
          </w:r>
          <w:r>
            <w:rPr>
              <w:rFonts w:eastAsia="仿宋_GB2312"/>
              <w:sz w:val="32"/>
              <w:szCs w:val="32"/>
            </w:rPr>
            <w:fldChar w:fldCharType="begin"/>
          </w:r>
          <w:r>
            <w:rPr>
              <w:rFonts w:eastAsia="仿宋_GB2312"/>
              <w:sz w:val="32"/>
              <w:szCs w:val="32"/>
            </w:rPr>
            <w:instrText xml:space="preserve"> PAGEREF _Toc28195 \h </w:instrText>
          </w:r>
          <w:r>
            <w:rPr>
              <w:rFonts w:eastAsia="仿宋_GB2312"/>
              <w:sz w:val="32"/>
              <w:szCs w:val="32"/>
            </w:rPr>
            <w:fldChar w:fldCharType="separate"/>
          </w:r>
          <w:r>
            <w:rPr>
              <w:rFonts w:eastAsia="仿宋_GB2312"/>
              <w:sz w:val="32"/>
              <w:szCs w:val="32"/>
            </w:rPr>
            <w:t>15</w:t>
          </w:r>
          <w:r>
            <w:rPr>
              <w:rFonts w:eastAsia="仿宋_GB2312"/>
              <w:sz w:val="32"/>
              <w:szCs w:val="32"/>
            </w:rPr>
            <w:fldChar w:fldCharType="end"/>
          </w:r>
          <w:r>
            <w:rPr>
              <w:rFonts w:eastAsia="仿宋_GB2312"/>
              <w:sz w:val="32"/>
              <w:szCs w:val="32"/>
            </w:rPr>
            <w:fldChar w:fldCharType="end"/>
          </w:r>
        </w:p>
        <w:p>
          <w:pPr>
            <w:pStyle w:val="12"/>
            <w:tabs>
              <w:tab w:val="right" w:leader="dot" w:pos="8306"/>
              <w:tab w:val="clear" w:pos="8296"/>
            </w:tabs>
            <w:rPr>
              <w:rFonts w:ascii="楷体_GB2312" w:hAnsi="楷体_GB2312" w:eastAsia="楷体_GB2312" w:cs="楷体_GB2312"/>
              <w:sz w:val="32"/>
              <w:szCs w:val="32"/>
            </w:rPr>
          </w:pPr>
          <w:r>
            <w:fldChar w:fldCharType="begin"/>
          </w:r>
          <w:r>
            <w:instrText xml:space="preserve"> HYPERLINK \l "_Toc11424" </w:instrText>
          </w:r>
          <w:r>
            <w:fldChar w:fldCharType="separate"/>
          </w:r>
          <w:r>
            <w:rPr>
              <w:rFonts w:hint="eastAsia" w:ascii="楷体_GB2312" w:hAnsi="楷体_GB2312" w:eastAsia="楷体_GB2312" w:cs="楷体_GB2312"/>
              <w:kern w:val="0"/>
              <w:sz w:val="32"/>
              <w:szCs w:val="32"/>
            </w:rPr>
            <w:t>六、措施建议</w:t>
          </w:r>
          <w:r>
            <w:rPr>
              <w:rFonts w:hint="eastAsia" w:ascii="楷体_GB2312" w:hAnsi="楷体_GB2312" w:eastAsia="楷体_GB2312" w:cs="楷体_GB2312"/>
              <w:sz w:val="32"/>
              <w:szCs w:val="32"/>
            </w:rPr>
            <w:tab/>
          </w:r>
          <w:r>
            <w:rPr>
              <w:rFonts w:ascii="Times New Roman" w:hAnsi="Times New Roman" w:eastAsia="楷体_GB2312"/>
              <w:b w:val="0"/>
              <w:bCs/>
              <w:sz w:val="32"/>
              <w:szCs w:val="32"/>
            </w:rPr>
            <w:fldChar w:fldCharType="begin"/>
          </w:r>
          <w:r>
            <w:rPr>
              <w:rFonts w:ascii="Times New Roman" w:hAnsi="Times New Roman" w:eastAsia="楷体_GB2312"/>
              <w:b w:val="0"/>
              <w:bCs/>
              <w:sz w:val="32"/>
              <w:szCs w:val="32"/>
            </w:rPr>
            <w:instrText xml:space="preserve"> PAGEREF _Toc11424 \h </w:instrText>
          </w:r>
          <w:r>
            <w:rPr>
              <w:rFonts w:ascii="Times New Roman" w:hAnsi="Times New Roman" w:eastAsia="楷体_GB2312"/>
              <w:b w:val="0"/>
              <w:bCs/>
              <w:sz w:val="32"/>
              <w:szCs w:val="32"/>
            </w:rPr>
            <w:fldChar w:fldCharType="separate"/>
          </w:r>
          <w:r>
            <w:rPr>
              <w:rFonts w:ascii="Times New Roman" w:hAnsi="Times New Roman" w:eastAsia="楷体_GB2312"/>
              <w:b w:val="0"/>
              <w:bCs/>
              <w:sz w:val="32"/>
              <w:szCs w:val="32"/>
            </w:rPr>
            <w:t>16</w:t>
          </w:r>
          <w:r>
            <w:rPr>
              <w:rFonts w:ascii="Times New Roman" w:hAnsi="Times New Roman" w:eastAsia="楷体_GB2312"/>
              <w:b w:val="0"/>
              <w:bCs/>
              <w:sz w:val="32"/>
              <w:szCs w:val="32"/>
            </w:rPr>
            <w:fldChar w:fldCharType="end"/>
          </w:r>
          <w:r>
            <w:rPr>
              <w:rFonts w:ascii="Times New Roman" w:hAnsi="Times New Roman" w:eastAsia="楷体_GB2312"/>
              <w:b w:val="0"/>
              <w:bCs/>
              <w:sz w:val="32"/>
              <w:szCs w:val="32"/>
            </w:rPr>
            <w:fldChar w:fldCharType="end"/>
          </w:r>
        </w:p>
        <w:p>
          <w:pPr>
            <w:pStyle w:val="12"/>
            <w:tabs>
              <w:tab w:val="right" w:leader="dot" w:pos="8306"/>
              <w:tab w:val="clear" w:pos="8296"/>
            </w:tabs>
          </w:pPr>
          <w:r>
            <w:fldChar w:fldCharType="begin"/>
          </w:r>
          <w:r>
            <w:instrText xml:space="preserve"> HYPERLINK \l "_Toc14750" </w:instrText>
          </w:r>
          <w:r>
            <w:fldChar w:fldCharType="separate"/>
          </w:r>
          <w:r>
            <w:rPr>
              <w:rFonts w:hint="eastAsia" w:ascii="楷体_GB2312" w:hAnsi="楷体_GB2312" w:eastAsia="楷体_GB2312" w:cs="楷体_GB2312"/>
              <w:kern w:val="0"/>
              <w:sz w:val="32"/>
              <w:szCs w:val="32"/>
            </w:rPr>
            <w:t>七、附件</w:t>
          </w:r>
          <w:r>
            <w:rPr>
              <w:rFonts w:hint="eastAsia" w:ascii="楷体_GB2312" w:hAnsi="楷体_GB2312" w:eastAsia="楷体_GB2312" w:cs="楷体_GB2312"/>
              <w:sz w:val="32"/>
              <w:szCs w:val="32"/>
            </w:rPr>
            <w:tab/>
          </w:r>
          <w:r>
            <w:rPr>
              <w:rFonts w:ascii="Times New Roman" w:hAnsi="Times New Roman" w:eastAsia="楷体_GB2312"/>
              <w:b w:val="0"/>
              <w:bCs/>
              <w:sz w:val="32"/>
              <w:szCs w:val="32"/>
            </w:rPr>
            <w:fldChar w:fldCharType="begin"/>
          </w:r>
          <w:r>
            <w:rPr>
              <w:rFonts w:ascii="Times New Roman" w:hAnsi="Times New Roman" w:eastAsia="楷体_GB2312"/>
              <w:b w:val="0"/>
              <w:bCs/>
              <w:sz w:val="32"/>
              <w:szCs w:val="32"/>
            </w:rPr>
            <w:instrText xml:space="preserve"> PAGEREF _Toc14750 \h </w:instrText>
          </w:r>
          <w:r>
            <w:rPr>
              <w:rFonts w:ascii="Times New Roman" w:hAnsi="Times New Roman" w:eastAsia="楷体_GB2312"/>
              <w:b w:val="0"/>
              <w:bCs/>
              <w:sz w:val="32"/>
              <w:szCs w:val="32"/>
            </w:rPr>
            <w:fldChar w:fldCharType="separate"/>
          </w:r>
          <w:r>
            <w:rPr>
              <w:rFonts w:ascii="Times New Roman" w:hAnsi="Times New Roman" w:eastAsia="楷体_GB2312"/>
              <w:b w:val="0"/>
              <w:bCs/>
              <w:sz w:val="32"/>
              <w:szCs w:val="32"/>
            </w:rPr>
            <w:t>17</w:t>
          </w:r>
          <w:r>
            <w:rPr>
              <w:rFonts w:ascii="Times New Roman" w:hAnsi="Times New Roman" w:eastAsia="楷体_GB2312"/>
              <w:b w:val="0"/>
              <w:bCs/>
              <w:sz w:val="32"/>
              <w:szCs w:val="32"/>
            </w:rPr>
            <w:fldChar w:fldCharType="end"/>
          </w:r>
          <w:r>
            <w:rPr>
              <w:rFonts w:ascii="Times New Roman" w:hAnsi="Times New Roman" w:eastAsia="楷体_GB2312"/>
              <w:b w:val="0"/>
              <w:bCs/>
              <w:sz w:val="32"/>
              <w:szCs w:val="32"/>
            </w:rPr>
            <w:fldChar w:fldCharType="end"/>
          </w:r>
        </w:p>
        <w:p>
          <w:pPr>
            <w:pStyle w:val="12"/>
            <w:tabs>
              <w:tab w:val="right" w:leader="dot" w:pos="8306"/>
              <w:tab w:val="clear" w:pos="8296"/>
            </w:tabs>
            <w:rPr>
              <w:rFonts w:ascii="宋体" w:hAnsi="宋体" w:eastAsia="宋体"/>
              <w:sz w:val="21"/>
              <w:szCs w:val="24"/>
            </w:rPr>
          </w:pPr>
          <w:r>
            <w:fldChar w:fldCharType="end"/>
          </w:r>
        </w:p>
      </w:sdtContent>
    </w:sdt>
    <w:p/>
    <w:p>
      <w:pPr>
        <w:widowControl/>
        <w:spacing w:line="500" w:lineRule="exact"/>
        <w:jc w:val="left"/>
        <w:sectPr>
          <w:footerReference r:id="rId6" w:type="default"/>
          <w:pgSz w:w="11906" w:h="16838"/>
          <w:pgMar w:top="1440" w:right="1800" w:bottom="1440" w:left="1800" w:header="851" w:footer="992" w:gutter="0"/>
          <w:cols w:space="425" w:num="1"/>
          <w:docGrid w:type="lines" w:linePitch="312" w:charSpace="0"/>
        </w:sectPr>
      </w:pPr>
    </w:p>
    <w:p>
      <w:pPr>
        <w:widowControl/>
        <w:spacing w:line="500" w:lineRule="exact"/>
        <w:jc w:val="left"/>
        <w:rPr>
          <w:rFonts w:ascii="宋体" w:hAnsi="宋体"/>
        </w:rPr>
      </w:pPr>
      <w:r>
        <w:fldChar w:fldCharType="end"/>
      </w:r>
    </w:p>
    <w:p>
      <w:pPr>
        <w:spacing w:line="560" w:lineRule="exact"/>
        <w:jc w:val="center"/>
        <w:rPr>
          <w:rFonts w:ascii="黑体" w:hAnsi="黑体" w:eastAsia="黑体"/>
          <w:sz w:val="44"/>
          <w:szCs w:val="44"/>
        </w:rPr>
      </w:pPr>
      <w:r>
        <w:rPr>
          <w:rFonts w:hint="eastAsia" w:ascii="黑体" w:hAnsi="黑体" w:eastAsia="黑体"/>
          <w:sz w:val="44"/>
          <w:szCs w:val="44"/>
        </w:rPr>
        <w:t>北京市大兴区人民检察院</w:t>
      </w:r>
    </w:p>
    <w:p>
      <w:pPr>
        <w:spacing w:before="156" w:beforeLines="50" w:line="360" w:lineRule="auto"/>
        <w:jc w:val="center"/>
        <w:rPr>
          <w:rFonts w:ascii="黑体" w:hAnsi="黑体" w:eastAsia="黑体"/>
          <w:sz w:val="44"/>
          <w:szCs w:val="44"/>
        </w:rPr>
      </w:pPr>
      <w:r>
        <w:rPr>
          <w:rFonts w:hint="eastAsia" w:ascii="黑体" w:hAnsi="黑体" w:eastAsia="黑体"/>
          <w:sz w:val="44"/>
          <w:szCs w:val="44"/>
        </w:rPr>
        <w:t>2023年部门整体绩效报告</w:t>
      </w:r>
    </w:p>
    <w:p>
      <w:bookmarkStart w:id="1" w:name="_Toc7377"/>
    </w:p>
    <w:p>
      <w:pPr>
        <w:spacing w:before="156" w:beforeLines="50" w:line="560" w:lineRule="exact"/>
        <w:ind w:firstLine="640" w:firstLineChars="200"/>
        <w:outlineLvl w:val="0"/>
        <w:rPr>
          <w:rFonts w:ascii="黑体" w:hAnsi="黑体" w:eastAsia="黑体" w:cs="宋体"/>
          <w:color w:val="000000"/>
          <w:kern w:val="0"/>
          <w:sz w:val="32"/>
          <w:szCs w:val="32"/>
        </w:rPr>
      </w:pPr>
      <w:bookmarkStart w:id="2" w:name="_Toc15997"/>
      <w:r>
        <w:rPr>
          <w:rFonts w:hint="eastAsia" w:ascii="黑体" w:hAnsi="黑体" w:eastAsia="黑体" w:cs="宋体"/>
          <w:color w:val="000000"/>
          <w:kern w:val="0"/>
          <w:sz w:val="32"/>
          <w:szCs w:val="32"/>
        </w:rPr>
        <w:t>一、部门概况</w:t>
      </w:r>
      <w:bookmarkEnd w:id="1"/>
      <w:bookmarkEnd w:id="2"/>
    </w:p>
    <w:p>
      <w:pPr>
        <w:spacing w:line="560" w:lineRule="exact"/>
        <w:ind w:firstLine="640" w:firstLineChars="200"/>
        <w:outlineLvl w:val="1"/>
        <w:rPr>
          <w:rFonts w:ascii="楷体_GB2312" w:eastAsia="楷体_GB2312"/>
          <w:sz w:val="32"/>
          <w:szCs w:val="32"/>
        </w:rPr>
      </w:pPr>
      <w:bookmarkStart w:id="3" w:name="_Toc4119"/>
      <w:bookmarkStart w:id="4" w:name="_Toc27027"/>
      <w:r>
        <w:rPr>
          <w:rFonts w:hint="eastAsia" w:ascii="楷体_GB2312" w:eastAsia="楷体_GB2312"/>
          <w:sz w:val="32"/>
          <w:szCs w:val="32"/>
        </w:rPr>
        <w:t>（一）机构设置及职责工作任务情况</w:t>
      </w:r>
      <w:bookmarkEnd w:id="3"/>
      <w:bookmarkEnd w:id="4"/>
    </w:p>
    <w:p>
      <w:pPr>
        <w:adjustRightInd w:val="0"/>
        <w:snapToGrid w:val="0"/>
        <w:spacing w:line="560" w:lineRule="exact"/>
        <w:ind w:firstLine="640" w:firstLineChars="200"/>
        <w:rPr>
          <w:rFonts w:ascii="仿宋" w:hAnsi="仿宋" w:eastAsia="仿宋" w:cs="仿宋"/>
          <w:sz w:val="32"/>
          <w:szCs w:val="32"/>
        </w:rPr>
      </w:pPr>
      <w:r>
        <w:rPr>
          <w:rFonts w:hint="eastAsia" w:ascii="仿宋_GB2312" w:hAnsi="仿宋_GB2312" w:eastAsia="仿宋_GB2312" w:cs="仿宋_GB2312"/>
          <w:sz w:val="32"/>
          <w:szCs w:val="32"/>
        </w:rPr>
        <w:t>1.</w:t>
      </w:r>
      <w:r>
        <w:rPr>
          <w:rFonts w:hint="eastAsia" w:ascii="仿宋" w:hAnsi="仿宋" w:eastAsia="仿宋" w:cs="仿宋"/>
          <w:sz w:val="32"/>
          <w:szCs w:val="32"/>
        </w:rPr>
        <w:t>机构设置</w:t>
      </w:r>
    </w:p>
    <w:p>
      <w:pPr>
        <w:spacing w:line="560" w:lineRule="exact"/>
        <w:ind w:firstLine="640" w:firstLineChars="200"/>
        <w:rPr>
          <w:rFonts w:ascii="仿宋" w:hAnsi="仿宋" w:eastAsia="仿宋" w:cs="仿宋"/>
          <w:sz w:val="32"/>
          <w:szCs w:val="32"/>
        </w:rPr>
      </w:pPr>
      <w:bookmarkStart w:id="5" w:name="_Hlk128659689"/>
      <w:r>
        <w:rPr>
          <w:rFonts w:hint="eastAsia" w:ascii="仿宋" w:hAnsi="仿宋" w:eastAsia="仿宋" w:cs="仿宋"/>
          <w:sz w:val="32"/>
          <w:szCs w:val="32"/>
        </w:rPr>
        <w:t>北京市大兴区人民检察院为市一级预算单位。按照最高人民检察院批复，北京市大兴区人民检察院目前设置十三个机构：办公室（行政事务管理部）、政治部（机关党委、机关纪委）、第一检察部、第二检察部、第三检察部、第四检察部、第五检察部、第六检察部、第七检察部、第八检察部、检务督察部、经济技术开发区检察处、驻大兴区看守所检察室。</w:t>
      </w:r>
    </w:p>
    <w:bookmarkEnd w:id="5"/>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北京市大兴区人民检察院2023年度行政政法编制201人，实际184人；事业编制13人，实际10人；聘用人员（检察院聘任书记员、聘用制司法警察）编制49人，实际47人。离退休人员72人，其中：离休1人，退休71人。年末实有人数195人，其中在职194人，离休1人，年初在职人数194人，年度净增加0人，其中在职增加13人，属于正常招录11人、调入2人，在职减少13人，属于正常调出人员4人，辞职1人，到龄办理退休8人。</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2.职责工作任务</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大兴区人民检察院在本辖区内独立行使检察权，接受北京市人民检察院和中国共产党北京市大兴区委的领导，对本区人民代表大会及其常务委员会负责并报告工作。主要职责工作有：</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（1）负责受理审查本院管辖提请逮捕的案件。</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（2）负责受理本院管辖提起公诉的案件，并出庭支持公诉。</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（3）负责对辖区内的民事、行政诉讼实行法律监督。</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（4）负责对辖区内公安机关侦查工作的法律监督。</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（5）负责对辖区内看守所、司法行政部门的刑事执行和监管活动进行法律监督。</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（6）负责辖区内民事、行政公益诉讼。</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（7）负责本院的党建工作和干部管理、教育培训及思想政治工作。</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（8）负责本院党的纪律检查和监察工作。</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（9）负责本院的财务、资产装备和后勤保障工作。</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（10）负责由上级人民检察院交办的其他工作。</w:t>
      </w:r>
    </w:p>
    <w:p>
      <w:pPr>
        <w:spacing w:line="560" w:lineRule="exact"/>
        <w:ind w:firstLine="640" w:firstLineChars="200"/>
        <w:outlineLvl w:val="1"/>
        <w:rPr>
          <w:rFonts w:ascii="楷体_GB2312" w:eastAsia="楷体_GB2312"/>
          <w:sz w:val="32"/>
          <w:szCs w:val="32"/>
        </w:rPr>
      </w:pPr>
      <w:bookmarkStart w:id="6" w:name="_Toc11319"/>
      <w:bookmarkStart w:id="7" w:name="_Toc2753"/>
      <w:r>
        <w:rPr>
          <w:rFonts w:hint="eastAsia" w:ascii="楷体_GB2312" w:eastAsia="楷体_GB2312"/>
          <w:sz w:val="32"/>
          <w:szCs w:val="32"/>
        </w:rPr>
        <w:t>（二）部门整体绩效目标设立情况</w:t>
      </w:r>
      <w:bookmarkEnd w:id="6"/>
      <w:bookmarkEnd w:id="7"/>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大兴区人民检察院2023年度部门整体绩效目标设置为：</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2023年大兴区人民检察院将在区委和市院的正确领导下，区人大及其常委会有力监督下，坚持以全面学习贯彻党的二十大精神为首要任务，以落实中央《意见》及市委《实施意见》为主要内容，以贯彻执行区委《关于充分发挥新时代检察机关法律监督职能服务保障“两区”建设的若干措施》为工作重点，以高质量检察履职实效服务区域经济社会高质量发展。</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全面学习贯彻党的二十大精神。把深入学习宣传贯彻党的二十大精神作为当前和今后一个时期首要政治任务，全面准确学习领会党的二十大精神，坚持学思用贯通，知信行统一，认真贯彻落实党的二十大做出的重大决策部署。</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全面服务区域经济社会高质量发展。依法打击各类刑事犯罪，维护国家安全和社会稳定。用心用情办好每一件司法案件，让人民群众切实感受到公平正义就在身边。依法打击破坏社会主义市场经济犯罪，全力保护知识产权，促进优化法治化营商环境。认真落实“接诉即办”和最高检“群众来信件件有回复”工作，妥善化解矛盾纠纷，积极参与社会治理。</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全面推进检察工作高质量发展。深入贯彻落实中央《意见》及市委《实施意见》，细化落实区委《关于充分发挥新时代检察机关法律监督职能服务保障“两区”建设的若干措施》，以业务绩效考评为抓手，全面履行检察监督职能，努力做优刑事检察，做强民事检察，做实行政检察，做好公益诉讼检察。</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全面加强检察队伍建设。坚持以党的政治建设为统领，坚持党对检察工作的绝对领导，坚决落实全面从严治党主体责任，全面落实党风廉政建设责任制，不断加强队伍建设，着力打造一支忠诚干净担当的检察队伍。</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检察办案、检察监督和检察业务活动绩效指标：为履行检察业务职责，开展各项检察办案和检察监督工作，包括境内外办案出差、调查取证、协助办案、技术检验鉴定评估、文书印刷、邮寄通讯、交通装备消耗、业务装备和武器消耗、材料消耗、特情人员管理、业务会议、业务租赁、业务维修（护）、业务奖励、派驻机构运行、举报控申、司法协助、资料购置、物证管理、司法救助、国家赔偿、邀请第三方参与涉检信访工作、通过社会购买服务的方式加强办公办案场所的安全检查和安全保卫等；开展各项与业务相关的综合工作，包括对外合作交流和司法协作、检察政策理论研究和实务研究、检察普法宣传和检务公开、检察舆情监测、代表联络、检察业务培训和技能竞赛、召开检察系统会议、电子卷宗扫描与制作等相关工作。</w:t>
      </w:r>
      <w:r>
        <w:rPr>
          <w:rFonts w:hint="eastAsia" w:ascii="仿宋" w:hAnsi="仿宋" w:eastAsia="仿宋" w:cs="仿宋"/>
          <w:sz w:val="32"/>
          <w:szCs w:val="32"/>
        </w:rPr>
        <w:tab/>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检察装备配备绩效指标：根据业务履职需要，购置和更新检察业务技术装备、检察业务综合保障装备（含车辆购置）、司法警察装备等各类检察装备相关工作。</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两房”建设绩效指标：1.根据《人民检察院办案用房和专业技术用房建设标准》（建标[2010]140号）和相关政策，开展人民检察院业务用房和专业技术用房及其附属设施的建设工作。2.根据工作需要，开展办公办案用房的维修、改造、租赁工作。</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信息化系统建设和运维绩效指标：开展全院检察机关信息化建设、运行、维护等工作，租用必要的互联网线路和专用线路，开展检察科技和信息化技术研发应用工作，做好保障服务。</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综合检察政务绩效指标：开展本院思想政治建设、队伍建设、综合培训、会计审计购买服务、预算绩效管理和内部控制购买服务、后勤保障、机要保密、档案管理和数字化加工、派驻纪检监察及其他本院履职必须的综合管理事务，提升整体管理水平。</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大兴区人民检察院按照国家相关法律、法规和规章制度，结合国民经济和社会发展规划，立足单位职能、检察业务中长期发展规划、年度工作计划及北京市财政局预算绩效管理要求等，编报了</w:t>
      </w:r>
      <w:bookmarkStart w:id="8" w:name="_Hlk128660131"/>
      <w:r>
        <w:rPr>
          <w:rFonts w:hint="eastAsia" w:ascii="仿宋" w:hAnsi="仿宋" w:eastAsia="仿宋" w:cs="仿宋"/>
          <w:sz w:val="32"/>
          <w:szCs w:val="32"/>
        </w:rPr>
        <w:t>部门整体绩效目标</w:t>
      </w:r>
      <w:bookmarkEnd w:id="8"/>
      <w:r>
        <w:rPr>
          <w:rFonts w:hint="eastAsia" w:ascii="仿宋" w:hAnsi="仿宋" w:eastAsia="仿宋" w:cs="仿宋"/>
          <w:sz w:val="32"/>
          <w:szCs w:val="32"/>
        </w:rPr>
        <w:t>，设置了绩效指标，并对具体工作任务进行明确。绩效目标符合国家、主管部门的相关文件精神，符合社会及行业的现实需求，与大兴区人民检察院职责任务匹配、定位相符。但</w:t>
      </w:r>
      <w:bookmarkStart w:id="9" w:name="_Hlk135149230"/>
      <w:r>
        <w:rPr>
          <w:rFonts w:hint="eastAsia" w:ascii="仿宋" w:hAnsi="仿宋" w:eastAsia="仿宋" w:cs="仿宋"/>
          <w:sz w:val="32"/>
          <w:szCs w:val="32"/>
        </w:rPr>
        <w:t>绩效指标设置不够规范，不够细化量化，整体绩效指标的可考量性不足。</w:t>
      </w:r>
    </w:p>
    <w:bookmarkEnd w:id="9"/>
    <w:p>
      <w:pPr>
        <w:numPr>
          <w:ilvl w:val="0"/>
          <w:numId w:val="1"/>
        </w:numPr>
        <w:spacing w:line="560" w:lineRule="exact"/>
        <w:ind w:firstLine="640" w:firstLineChars="200"/>
        <w:outlineLvl w:val="0"/>
        <w:rPr>
          <w:rFonts w:ascii="黑体" w:hAnsi="黑体" w:eastAsia="黑体" w:cs="宋体"/>
          <w:color w:val="000000"/>
          <w:kern w:val="0"/>
          <w:sz w:val="32"/>
          <w:szCs w:val="32"/>
        </w:rPr>
      </w:pPr>
      <w:bookmarkStart w:id="10" w:name="_Toc3771"/>
      <w:bookmarkStart w:id="11" w:name="_Toc22792"/>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bookmarkEnd w:id="10"/>
      <w:bookmarkEnd w:id="11"/>
    </w:p>
    <w:p>
      <w:pPr>
        <w:spacing w:line="560" w:lineRule="exact"/>
        <w:ind w:firstLine="640" w:firstLineChars="200"/>
        <w:rPr>
          <w:rFonts w:ascii="仿宋" w:hAnsi="仿宋" w:eastAsia="仿宋" w:cs="仿宋"/>
          <w:sz w:val="32"/>
          <w:szCs w:val="32"/>
        </w:rPr>
      </w:pPr>
      <w:bookmarkStart w:id="12" w:name="_Hlk128660157"/>
      <w:r>
        <w:rPr>
          <w:rFonts w:hint="eastAsia" w:ascii="仿宋" w:hAnsi="仿宋" w:eastAsia="仿宋" w:cs="仿宋"/>
          <w:sz w:val="32"/>
          <w:szCs w:val="32"/>
        </w:rPr>
        <w:t>2023年度全年支出预算数</w:t>
      </w:r>
      <w:r>
        <w:rPr>
          <w:rFonts w:ascii="仿宋" w:hAnsi="仿宋" w:eastAsia="仿宋" w:cs="仿宋"/>
          <w:sz w:val="32"/>
          <w:szCs w:val="32"/>
        </w:rPr>
        <w:t>10,589.90</w:t>
      </w:r>
      <w:r>
        <w:rPr>
          <w:rFonts w:hint="eastAsia" w:ascii="仿宋" w:hAnsi="仿宋" w:eastAsia="仿宋" w:cs="仿宋"/>
          <w:sz w:val="32"/>
          <w:szCs w:val="32"/>
        </w:rPr>
        <w:t>万元，其中，基本经费支出预算数</w:t>
      </w:r>
      <w:r>
        <w:rPr>
          <w:rFonts w:ascii="仿宋" w:hAnsi="仿宋" w:eastAsia="仿宋" w:cs="仿宋"/>
          <w:sz w:val="32"/>
          <w:szCs w:val="32"/>
        </w:rPr>
        <w:t>9,827.52</w:t>
      </w:r>
      <w:r>
        <w:rPr>
          <w:rFonts w:hint="eastAsia" w:ascii="仿宋" w:hAnsi="仿宋" w:eastAsia="仿宋" w:cs="仿宋"/>
          <w:sz w:val="32"/>
          <w:szCs w:val="32"/>
        </w:rPr>
        <w:t>万元，项目经费支出预算数</w:t>
      </w:r>
      <w:r>
        <w:rPr>
          <w:rFonts w:ascii="仿宋" w:hAnsi="仿宋" w:eastAsia="仿宋" w:cs="仿宋"/>
          <w:sz w:val="32"/>
          <w:szCs w:val="32"/>
        </w:rPr>
        <w:t>762.38</w:t>
      </w:r>
      <w:r>
        <w:rPr>
          <w:rFonts w:hint="eastAsia" w:ascii="仿宋" w:hAnsi="仿宋" w:eastAsia="仿宋" w:cs="仿宋"/>
          <w:sz w:val="32"/>
          <w:szCs w:val="32"/>
        </w:rPr>
        <w:t>万元，其他支出预算数0万元。资金总体支出</w:t>
      </w:r>
      <w:r>
        <w:rPr>
          <w:rFonts w:ascii="仿宋" w:hAnsi="仿宋" w:eastAsia="仿宋" w:cs="仿宋"/>
          <w:sz w:val="32"/>
          <w:szCs w:val="32"/>
        </w:rPr>
        <w:t>10</w:t>
      </w:r>
      <w:r>
        <w:rPr>
          <w:rFonts w:hint="eastAsia" w:ascii="仿宋" w:hAnsi="仿宋" w:eastAsia="仿宋" w:cs="仿宋"/>
          <w:sz w:val="32"/>
          <w:szCs w:val="32"/>
        </w:rPr>
        <w:t>,</w:t>
      </w:r>
      <w:r>
        <w:rPr>
          <w:rFonts w:ascii="仿宋" w:hAnsi="仿宋" w:eastAsia="仿宋" w:cs="仿宋"/>
          <w:sz w:val="32"/>
          <w:szCs w:val="32"/>
        </w:rPr>
        <w:t>301.30</w:t>
      </w:r>
      <w:r>
        <w:rPr>
          <w:rFonts w:hint="eastAsia" w:ascii="仿宋" w:hAnsi="仿宋" w:eastAsia="仿宋" w:cs="仿宋"/>
          <w:sz w:val="32"/>
          <w:szCs w:val="32"/>
        </w:rPr>
        <w:t>万元，其中，基本支出</w:t>
      </w:r>
      <w:r>
        <w:rPr>
          <w:rFonts w:ascii="仿宋" w:hAnsi="仿宋" w:eastAsia="仿宋" w:cs="仿宋"/>
          <w:sz w:val="32"/>
          <w:szCs w:val="32"/>
        </w:rPr>
        <w:t>9</w:t>
      </w:r>
      <w:r>
        <w:rPr>
          <w:rFonts w:hint="eastAsia" w:ascii="仿宋" w:hAnsi="仿宋" w:eastAsia="仿宋" w:cs="仿宋"/>
          <w:sz w:val="32"/>
          <w:szCs w:val="32"/>
        </w:rPr>
        <w:t>,</w:t>
      </w:r>
      <w:r>
        <w:rPr>
          <w:rFonts w:ascii="仿宋" w:hAnsi="仿宋" w:eastAsia="仿宋" w:cs="仿宋"/>
          <w:sz w:val="32"/>
          <w:szCs w:val="32"/>
        </w:rPr>
        <w:t>655.64</w:t>
      </w:r>
      <w:r>
        <w:rPr>
          <w:rFonts w:hint="eastAsia" w:ascii="仿宋" w:hAnsi="仿宋" w:eastAsia="仿宋" w:cs="仿宋"/>
          <w:sz w:val="32"/>
          <w:szCs w:val="32"/>
        </w:rPr>
        <w:t>万元，项目支出</w:t>
      </w:r>
      <w:r>
        <w:rPr>
          <w:rFonts w:ascii="仿宋" w:hAnsi="仿宋" w:eastAsia="仿宋" w:cs="仿宋"/>
          <w:sz w:val="32"/>
          <w:szCs w:val="32"/>
        </w:rPr>
        <w:t>645.66</w:t>
      </w:r>
      <w:r>
        <w:rPr>
          <w:rFonts w:hint="eastAsia" w:ascii="仿宋" w:hAnsi="仿宋" w:eastAsia="仿宋" w:cs="仿宋"/>
          <w:sz w:val="32"/>
          <w:szCs w:val="32"/>
        </w:rPr>
        <w:t>万元，其他支出0万元。预算执行率</w:t>
      </w:r>
      <w:r>
        <w:rPr>
          <w:rFonts w:ascii="仿宋" w:hAnsi="仿宋" w:eastAsia="仿宋" w:cs="仿宋"/>
          <w:sz w:val="32"/>
          <w:szCs w:val="32"/>
        </w:rPr>
        <w:t>97.27%</w:t>
      </w:r>
      <w:r>
        <w:rPr>
          <w:rFonts w:hint="eastAsia" w:ascii="仿宋" w:hAnsi="仿宋" w:eastAsia="仿宋" w:cs="仿宋"/>
          <w:sz w:val="32"/>
          <w:szCs w:val="32"/>
        </w:rPr>
        <w:t>。</w:t>
      </w:r>
    </w:p>
    <w:bookmarkEnd w:id="12"/>
    <w:p>
      <w:pPr>
        <w:spacing w:line="560" w:lineRule="exact"/>
        <w:ind w:firstLine="640" w:firstLineChars="200"/>
        <w:outlineLvl w:val="0"/>
        <w:rPr>
          <w:rFonts w:ascii="黑体" w:hAnsi="黑体" w:eastAsia="黑体" w:cs="宋体"/>
          <w:color w:val="000000"/>
          <w:kern w:val="0"/>
          <w:sz w:val="32"/>
          <w:szCs w:val="32"/>
        </w:rPr>
      </w:pPr>
      <w:bookmarkStart w:id="13" w:name="_Toc17780"/>
      <w:bookmarkStart w:id="14" w:name="_Toc16426"/>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bookmarkEnd w:id="13"/>
      <w:bookmarkEnd w:id="14"/>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2023年，大兴区人民检察院严格按照北京市财政局相关工作安排，对2023年度部门整体及项目支出进行了绩效评价，部门决策流程明确，申报程序合乎规范；预算资金分配与部门绩效目标一致，分配结果合理，部门整体的成本费用控制在预算范围内，完成情况较好；相关项目自评均实现了项目绩效目标。具体分析如下：</w:t>
      </w:r>
    </w:p>
    <w:p>
      <w:pPr>
        <w:spacing w:line="560" w:lineRule="exact"/>
        <w:ind w:firstLine="640" w:firstLineChars="200"/>
        <w:outlineLvl w:val="1"/>
        <w:rPr>
          <w:rFonts w:ascii="楷体" w:hAnsi="楷体" w:eastAsia="楷体"/>
          <w:sz w:val="32"/>
          <w:szCs w:val="32"/>
        </w:rPr>
      </w:pPr>
      <w:bookmarkStart w:id="15" w:name="_Toc7824"/>
      <w:bookmarkStart w:id="16" w:name="_Toc15790"/>
      <w:r>
        <w:rPr>
          <w:rFonts w:hint="eastAsia" w:ascii="楷体" w:hAnsi="楷体" w:eastAsia="楷体"/>
          <w:sz w:val="32"/>
          <w:szCs w:val="32"/>
        </w:rPr>
        <w:t>（一）</w:t>
      </w:r>
      <w:bookmarkEnd w:id="15"/>
      <w:r>
        <w:rPr>
          <w:rFonts w:hint="eastAsia" w:ascii="楷体" w:hAnsi="楷体" w:eastAsia="楷体"/>
          <w:sz w:val="32"/>
          <w:szCs w:val="32"/>
        </w:rPr>
        <w:t>产</w:t>
      </w:r>
      <w:r>
        <w:rPr>
          <w:rFonts w:hint="eastAsia" w:ascii="楷体" w:hAnsi="楷体" w:eastAsia="楷体" w:cs="微软雅黑"/>
          <w:sz w:val="32"/>
          <w:szCs w:val="32"/>
        </w:rPr>
        <w:t>出完成</w:t>
      </w:r>
      <w:r>
        <w:rPr>
          <w:rFonts w:hint="eastAsia" w:ascii="楷体" w:hAnsi="楷体" w:eastAsia="楷体" w:cs="___WRD_EMBED_SUB_44"/>
          <w:sz w:val="32"/>
          <w:szCs w:val="32"/>
        </w:rPr>
        <w:t>情况分析</w:t>
      </w:r>
      <w:bookmarkEnd w:id="16"/>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w:t>
      </w:r>
      <w:r>
        <w:rPr>
          <w:rFonts w:ascii="仿宋" w:hAnsi="仿宋" w:eastAsia="仿宋" w:cs="仿宋"/>
          <w:sz w:val="32"/>
          <w:szCs w:val="32"/>
        </w:rPr>
        <w:t>.</w:t>
      </w:r>
      <w:r>
        <w:rPr>
          <w:rFonts w:hint="eastAsia" w:ascii="仿宋" w:hAnsi="仿宋" w:eastAsia="仿宋" w:cs="仿宋"/>
          <w:sz w:val="32"/>
          <w:szCs w:val="32"/>
        </w:rPr>
        <w:t>产出数量</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（1）大兴区人民检察院2023年度共申报8个项目，实际完成8个项目。计划完成率=（实际完成工作数/计划工作数）×100%= </w:t>
      </w:r>
      <w:r>
        <w:rPr>
          <w:rFonts w:ascii="仿宋" w:hAnsi="仿宋" w:eastAsia="仿宋" w:cs="仿宋"/>
          <w:sz w:val="32"/>
          <w:szCs w:val="32"/>
        </w:rPr>
        <w:t>100</w:t>
      </w:r>
      <w:r>
        <w:rPr>
          <w:rFonts w:hint="eastAsia" w:ascii="仿宋" w:hAnsi="仿宋" w:eastAsia="仿宋" w:cs="仿宋"/>
          <w:sz w:val="32"/>
          <w:szCs w:val="32"/>
        </w:rPr>
        <w:t>.</w:t>
      </w:r>
      <w:r>
        <w:rPr>
          <w:rFonts w:ascii="仿宋" w:hAnsi="仿宋" w:eastAsia="仿宋" w:cs="仿宋"/>
          <w:sz w:val="32"/>
          <w:szCs w:val="32"/>
        </w:rPr>
        <w:t>00</w:t>
      </w:r>
      <w:r>
        <w:rPr>
          <w:rFonts w:hint="eastAsia" w:ascii="仿宋" w:hAnsi="仿宋" w:eastAsia="仿宋" w:cs="仿宋"/>
          <w:sz w:val="32"/>
          <w:szCs w:val="32"/>
        </w:rPr>
        <w:t>%。实际完成工作数：一定时期（年度或规划期）内部门（单位）实际完成工作任务的数量。计划工作数：部门（单位）整体绩效目标确定的一定时期（年度或规划期）内预计完成工作任务的数量。</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2023年依法惩治各类危害国家安全和社会公共安全的刑事犯罪案件477件。依法准确适用宽严相济的刑事政策，从严惩治严重危害人民群众生命财产安全的各类刑事犯罪案件101件。着力办好群众“身边小案”，办理常发性刑事案件1295件。重点办理了涉案被害人众多、涉案金额超1000万元的王某招摇撞骗案，办理涉寻衅滋事、聚众斗殴等社会扰序类犯罪案件509件。严厉打击各类网络犯罪，办理涉网络电信诈骗及其关联犯罪案件294件。围绕办案履职发现的社会治理问题，向政府部门、企事业单位等制发综合治理检察建议101份。</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3）助力优化营商环境，办理各类危害市场秩序案件189件，危害企业内部治理的涉企行受贿犯罪案件20件。切实加大产权司法保护力度，办理涉企职务侵占、诈骗犯罪案件130件。依法办理涉非法吸收公众存款、网络金融传销等危害区域金融安全的案件308件。妥善办理了涉案金额达77亿元的“博康艾馨”系列案168件，涉案金额高达200亿元的“正联安信”网络金融传销系列案53件。依法推进公益诉讼检察履职，办理案件227件，制发诉前检察建议108份。积极推进国有财产保护领域检察履职，督促11家民营加油站补缴税款3400余万元，推动多家耕地占用单位补缴耕地占用税款1280万元。</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4）办理各类未成年检察案件162件，对17名涉案未成年人依法适用附条件不起诉，积极助力涉案未成年人回归社会。针对家庭监护不到位问题，制发督促监护令30份、家庭教育指导令9份。成立“兴光”团队，选任50名干警担任法治副校长，授课59次，覆盖20个街镇的1.9万余人。践行新时代“枫桥经验”，处理各类信访事项1812项，开展检察长接待日活动24次，办理领导包案化解信访案件101件，开展各类检察听证81件次。深度融入“根治欠薪”专项工作行动，妥善办理农民工讨薪案件230件。</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5）办理各类刑事监督案件2518件。办理侦查活动监督案件1519件。开展涉安全生产和虚假诉讼专项监督履职，推进公安机关刑事立案51件。深入推进“判实未执”专项监督，推动收监执行33人。针对财产刑执行、社区矫正、刑事审判监督等领域问题，向相关机关制发纠正违法通知书159份。着力提升民事检察监督质效，办理案件1160件。针对公租房违规使用问题，开展专项监督，立案办理164件，督促主管部门清退违规使用公租房64套。聚焦交通安全和运输执法领域突出问题整治，立案办理行政违法行为监督案件501件。推进强制隔离戒毒检察履职，立案办理61件。</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6）通过党组会“第一议题”、党组理论学习中心组学习等制度，不断加强对中国特色社会主义根本制度、基本制度、重要制度的学习，不断增强政治认同、思想认同、理论认同、情感认同。坚持请示报告制度，紧紧依靠党的领导破解检察发展难题，认真执行重大问题、重大事项请示报告，2023年向区委和市检察院等上级单位主动报告55次。2023年研究检察业务、党建和组织人事等工作317项。不断加强队伍建设，扎实做好检察人员分类管理，高效完成39名检察人员的等级晋升工作，9名检察人员通过检察官初任遴选计入员额。</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7）自觉接受人大监督和政协民主监督，切实加强代表委员联络工作，积极邀请市区两级人大代表、政协委员监督检察履职，参加各类案件公开听证50余人次，参与检察开放日、征求意见建议座谈会等活动20余次。</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8）深入实施数字检察战略，充分激发大数据赋能法律监督效能。运用大数据法律监督模型44个，发现线索4047条，成案3714件，占所办监督案件的比重达67.91%。研发的“民间藏品鉴定诈骗案件大数据监督治理模型”、“工程建设行业敲诈施工费涉黑恶线索研判模型”等4个模型被纳入全市推广应用，相关模型应用成效显著，推动监督立案74件，积极运用销假销劣模型推动公安机关刑事立案25件，查获涉案人员74人。</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w:t>
      </w:r>
      <w:r>
        <w:rPr>
          <w:rFonts w:ascii="仿宋" w:hAnsi="仿宋" w:eastAsia="仿宋" w:cs="仿宋"/>
          <w:sz w:val="32"/>
          <w:szCs w:val="32"/>
        </w:rPr>
        <w:t>.</w:t>
      </w:r>
      <w:r>
        <w:rPr>
          <w:rFonts w:hint="eastAsia" w:ascii="仿宋" w:hAnsi="仿宋" w:eastAsia="仿宋" w:cs="仿宋"/>
          <w:sz w:val="32"/>
          <w:szCs w:val="32"/>
        </w:rPr>
        <w:t>产出质量</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大兴区人民检察院2023年度实际完成8个项目，8个项目质量全部达标。质量达标率=质量达标工作数/实际完成工作数×100%=100%。质量达标工作数：一定时期（年度或规划期）内部门（单位）实际完成工作数中达到部门绩效目标要求（绩效标准值）的工作任务数量。</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（2）大兴区人民检察院2023年度基本经费支出保障了机关正常运转和日常工作任务的完成；各项目根据项目管理办法均有效完成，基本达到了设定的绩效目标质量标准。</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3</w:t>
      </w:r>
      <w:r>
        <w:rPr>
          <w:rFonts w:ascii="仿宋" w:hAnsi="仿宋" w:eastAsia="仿宋" w:cs="仿宋"/>
          <w:sz w:val="32"/>
          <w:szCs w:val="32"/>
        </w:rPr>
        <w:t>.</w:t>
      </w:r>
      <w:r>
        <w:rPr>
          <w:rFonts w:hint="eastAsia" w:ascii="仿宋" w:hAnsi="仿宋" w:eastAsia="仿宋" w:cs="仿宋"/>
          <w:sz w:val="32"/>
          <w:szCs w:val="32"/>
        </w:rPr>
        <w:t>产出进度</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大兴区人民检察院2023年实际完成8个项目，8个项目全部按时完成。按时完成率=（按时完成工作数/实际完成工作数）×100%=100%。按时完成工作数：部门（单位）按照整体绩效目标确定的时限实际完成的工作任务数量。</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（2）大兴区人民检察院2023年度人员经费均按月及时发放，日常公用支出以及项目支出均已按时完成。</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4</w:t>
      </w:r>
      <w:r>
        <w:rPr>
          <w:rFonts w:ascii="仿宋" w:hAnsi="仿宋" w:eastAsia="仿宋" w:cs="仿宋"/>
          <w:sz w:val="32"/>
          <w:szCs w:val="32"/>
        </w:rPr>
        <w:t>.</w:t>
      </w:r>
      <w:r>
        <w:rPr>
          <w:rFonts w:hint="eastAsia" w:ascii="仿宋" w:hAnsi="仿宋" w:eastAsia="仿宋" w:cs="仿宋"/>
          <w:sz w:val="32"/>
          <w:szCs w:val="32"/>
        </w:rPr>
        <w:t>产出成本</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（1）2023年度支出全年预算数</w:t>
      </w:r>
      <w:r>
        <w:rPr>
          <w:rFonts w:ascii="仿宋" w:hAnsi="仿宋" w:eastAsia="仿宋" w:cs="仿宋"/>
          <w:sz w:val="32"/>
          <w:szCs w:val="32"/>
        </w:rPr>
        <w:t>10,589.90</w:t>
      </w:r>
      <w:r>
        <w:rPr>
          <w:rFonts w:hint="eastAsia" w:ascii="仿宋" w:hAnsi="仿宋" w:eastAsia="仿宋" w:cs="仿宋"/>
          <w:sz w:val="32"/>
          <w:szCs w:val="32"/>
        </w:rPr>
        <w:t>万元，决算支出数</w:t>
      </w:r>
      <w:r>
        <w:rPr>
          <w:rFonts w:ascii="仿宋" w:hAnsi="仿宋" w:eastAsia="仿宋" w:cs="仿宋"/>
          <w:sz w:val="32"/>
          <w:szCs w:val="32"/>
        </w:rPr>
        <w:t>10,301.30</w:t>
      </w:r>
      <w:r>
        <w:rPr>
          <w:rFonts w:hint="eastAsia" w:ascii="仿宋" w:hAnsi="仿宋" w:eastAsia="仿宋" w:cs="仿宋"/>
          <w:sz w:val="32"/>
          <w:szCs w:val="32"/>
        </w:rPr>
        <w:t>万元，比全年支出预算数减少</w:t>
      </w:r>
      <w:r>
        <w:rPr>
          <w:rFonts w:ascii="仿宋" w:hAnsi="仿宋" w:eastAsia="仿宋" w:cs="仿宋"/>
          <w:sz w:val="32"/>
          <w:szCs w:val="32"/>
        </w:rPr>
        <w:t>288.60</w:t>
      </w:r>
      <w:r>
        <w:rPr>
          <w:rFonts w:hint="eastAsia" w:ascii="仿宋" w:hAnsi="仿宋" w:eastAsia="仿宋" w:cs="仿宋"/>
          <w:sz w:val="32"/>
          <w:szCs w:val="32"/>
        </w:rPr>
        <w:t>万元。公用经费支出全年预算数</w:t>
      </w:r>
      <w:r>
        <w:rPr>
          <w:rFonts w:ascii="仿宋" w:hAnsi="仿宋" w:eastAsia="仿宋" w:cs="仿宋"/>
          <w:sz w:val="32"/>
          <w:szCs w:val="32"/>
        </w:rPr>
        <w:t>1,168.23</w:t>
      </w:r>
      <w:r>
        <w:rPr>
          <w:rFonts w:hint="eastAsia" w:ascii="仿宋" w:hAnsi="仿宋" w:eastAsia="仿宋" w:cs="仿宋"/>
          <w:sz w:val="32"/>
          <w:szCs w:val="32"/>
        </w:rPr>
        <w:t>万元，2023年度公用经费支出决算数1,136.36万元，部分经费实现成本节约，如：公务接待费2023年决算数0.03万元，比2023年年初预算数0.50万元减少0.47万元，主要原因为根据厉行节约要求，减少公务接待费支出。</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2023年度项目支出645.66万元，比上年度支出608.88万元，增加36.78万元，增长6.04%，变化原因主要为：2023年按照市院统一要求进行相关办案业务保障，并进行相应办案工作区修缮等改造工作支出，为充分发挥办案经费保障作用及体现国家司法救助的温度，国家赔偿及司法救助工作方面在执法办案中支出也比上年有所增长，综合造成上述增幅。</w:t>
      </w:r>
    </w:p>
    <w:p>
      <w:pPr>
        <w:spacing w:line="560" w:lineRule="exact"/>
        <w:ind w:firstLine="640" w:firstLineChars="200"/>
        <w:outlineLvl w:val="1"/>
        <w:rPr>
          <w:rFonts w:ascii="楷体_GB2312" w:eastAsia="楷体_GB2312"/>
          <w:sz w:val="32"/>
          <w:szCs w:val="32"/>
        </w:rPr>
      </w:pPr>
      <w:bookmarkStart w:id="17" w:name="_Toc27371"/>
      <w:bookmarkStart w:id="18" w:name="_Toc6725"/>
      <w:r>
        <w:rPr>
          <w:rFonts w:hint="eastAsia" w:ascii="楷体_GB2312" w:eastAsia="楷体_GB2312"/>
          <w:sz w:val="32"/>
          <w:szCs w:val="32"/>
        </w:rPr>
        <w:t>（二）效果</w:t>
      </w:r>
      <w:r>
        <w:rPr>
          <w:rFonts w:ascii="楷体_GB2312" w:eastAsia="楷体_GB2312"/>
          <w:sz w:val="32"/>
          <w:szCs w:val="32"/>
        </w:rPr>
        <w:t>实现情况分析</w:t>
      </w:r>
      <w:bookmarkEnd w:id="17"/>
      <w:bookmarkEnd w:id="18"/>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1.经济效益</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精准助力区域经济社会高质量发展，办理各类危害市场秩序案件189件，危害企业内部治理的涉企行受贿犯罪案件20件。依法办理涉非法吸收公众存款、网络金融传销等危害区域金融安全的案件308件。妥善办理了涉案金额达77亿元的“博康艾馨”系列案168件，涉案金额高达200亿元的“正联安信”网络金融传销系列案53件。</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（2）积极推进国有财产保护领域检察履职，督促11家民营加油站补缴税款3400余万元，推动多家耕地占用单位补缴耕地占用税款1280万元。</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w:t>
      </w:r>
      <w:r>
        <w:rPr>
          <w:rFonts w:ascii="仿宋" w:hAnsi="仿宋" w:eastAsia="仿宋" w:cs="仿宋"/>
          <w:sz w:val="32"/>
          <w:szCs w:val="32"/>
        </w:rPr>
        <w:t>.</w:t>
      </w:r>
      <w:r>
        <w:rPr>
          <w:rFonts w:hint="eastAsia" w:ascii="仿宋" w:hAnsi="仿宋" w:eastAsia="仿宋" w:cs="仿宋"/>
          <w:sz w:val="32"/>
          <w:szCs w:val="32"/>
        </w:rPr>
        <w:t>社会效益</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聚焦区域治理需要，积极助力平安大兴建设，依法惩治各类危害国家安全和社会公共安全的刑事犯罪案件477件。着力办好群众“身边小案”，办理常发性刑事案件1295件。重点办理了涉寻衅滋事、聚众斗殴等社会扰序类犯罪案件509件。严厉打击各类网络犯罪，办理涉网络电信诈骗及其关联犯罪案件294件。围绕办案履职发现的社会治理问题，向政府部门、企事业单位等制发综合治理检察建议101份。</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积极推进司法为民，着力保障民生福祉。把为民司法落到检察监督办案的全过程各环节。深入推进“最有利于未成年人”的履职原则，将四大检察履职融入“六大保护”。对17名涉案未成年人依法适用附条件不起诉，积极助力涉案未成年人回归社会。针对家庭监护不到位问题，制发督促监护令30份、家庭教育指导令9份。践行新时代“枫桥经验”，处理各类信访事项1812项，开展检察长接待日活动24次，办理领导包案化解信访案件101件，开展各类检察听证81件次。深度融入“根治欠薪”专项工作行动，妥善办理农民工讨薪案件230件。</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3.环境效益</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大兴区人民检察院2023年度部门整体绩效目标完成情况不涉及环境效益指标，部门履行职责未对环境带来直接影响。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4</w:t>
      </w:r>
      <w:r>
        <w:rPr>
          <w:rFonts w:ascii="仿宋" w:hAnsi="仿宋" w:eastAsia="仿宋" w:cs="仿宋"/>
          <w:sz w:val="32"/>
          <w:szCs w:val="32"/>
        </w:rPr>
        <w:t>.</w:t>
      </w:r>
      <w:r>
        <w:rPr>
          <w:rFonts w:hint="eastAsia" w:ascii="仿宋" w:hAnsi="仿宋" w:eastAsia="仿宋" w:cs="仿宋"/>
          <w:sz w:val="32"/>
          <w:szCs w:val="32"/>
        </w:rPr>
        <w:t>可持续影响</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深入实施数字检察战略，充分激发大数据赋能法律监督效能，提升社会治理的综合效能。运用大数据法律监督模型44个，发现线索4047条，成案3714件，占所办监督案件的比重达67.91%。研发的“民间藏品鉴定诈骗案件大数据监督治理模型”、“工程建设行业敲诈施工费涉黑恶线索研判模型”等4个模型被纳入全市推广应用，相关模型应用成效显著，推动监督立案74件，积极运用销假销劣模型推动公安机关刑事立案25件，查获涉案人员74人。</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5.服务对象满意度</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大兴区人民检察院2023年度未对部门整体进行满意度调查。根据各部门项目支出绩效自评表，各部门对项目服务对象进行了满意度调查，社会公众及服务对象满意度预期整体达到目标。</w:t>
      </w:r>
    </w:p>
    <w:p>
      <w:pPr>
        <w:spacing w:line="560" w:lineRule="exact"/>
        <w:ind w:firstLine="640" w:firstLineChars="200"/>
        <w:outlineLvl w:val="0"/>
        <w:rPr>
          <w:rFonts w:ascii="黑体" w:hAnsi="黑体" w:eastAsia="黑体" w:cs="宋体"/>
          <w:color w:val="000000"/>
          <w:kern w:val="0"/>
          <w:sz w:val="32"/>
          <w:szCs w:val="32"/>
        </w:rPr>
      </w:pPr>
      <w:bookmarkStart w:id="19" w:name="_Toc9570"/>
      <w:bookmarkStart w:id="20" w:name="_Toc9828"/>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bookmarkEnd w:id="19"/>
      <w:bookmarkEnd w:id="20"/>
    </w:p>
    <w:p>
      <w:pPr>
        <w:spacing w:line="560" w:lineRule="exact"/>
        <w:ind w:firstLine="640" w:firstLineChars="200"/>
        <w:outlineLvl w:val="1"/>
        <w:rPr>
          <w:rFonts w:ascii="楷体_GB2312" w:eastAsia="楷体_GB2312"/>
          <w:sz w:val="32"/>
          <w:szCs w:val="32"/>
        </w:rPr>
      </w:pPr>
      <w:bookmarkStart w:id="21" w:name="_Toc19654"/>
      <w:bookmarkStart w:id="22" w:name="_Toc3921"/>
      <w:r>
        <w:rPr>
          <w:rFonts w:hint="eastAsia" w:ascii="楷体_GB2312" w:eastAsia="楷体_GB2312"/>
          <w:sz w:val="32"/>
          <w:szCs w:val="32"/>
        </w:rPr>
        <w:t>（一）财务管理</w:t>
      </w:r>
      <w:bookmarkEnd w:id="21"/>
      <w:bookmarkEnd w:id="22"/>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1.财务管理制度健全性</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为规范财务管理，加强财政资金使用，大兴区人民检察院严格执行各项财政财务政策，积极推进财务标准化、信息化管理，持续完善修订单位内部控制手册相关内容。大兴区人民检察院建立了《北京市大兴区人民检察院财务管理规定》、《大兴区人民检察院固定资产管理办法》、《大兴区人民检察院合同管理办法》、《大兴区人民检察院公务卡管理使用办法》、《大兴区人民检察院差旅费管理规定》等多项财务管理制度，各项财务管理制度比较健全，但未建立绩效跟踪管理办法。</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2.资金使用合规性和安全性</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大兴区人民检察院严格遵守《中华人民共和国预算法》、《中华人民共和国采购法》及市财政主管部门的要求，严守财经法规纪律，积极推进预算一体化系统的规范使用，严格按照项目资金用途使用资金，资金使用整体合规且安全，能够按照规定内容规定时间公开预算信息，基础信息和会计信息资料完整、真实和准确。审批权限实行分级审批与集体审定相结合。一般性支出由主管检察长与财务部门负责人按一定的经费支出限额分级审批，避免多头审批，一万元以内的（含一万元）由分管财务院领导审批，一万元以上的一般性支出及其他重大的大额项目支出由院党组集体研究决定。</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大兴区人民检察院严格遵守现金、银行存款、支票、财务印章等与资金安全相关的各项管理规定；涉及资金收支的重要岗位，制定并严格遵守资金管理的不相容职务分离控制规定；每月核对银行对账单和账面银行存款余额，并编制银行调节表，定期进行现金盘点。以上各项措施的切实落实，有效保障了资金的安全。</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3.会计基础信息完善性</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在评价工作过程中，大兴区人民检察院向绩效评价工作组提供了部门整体绩效目标申报表、内控管理制度、会计账簿、支出凭证等资料，在一定程度上反映部门基础信息的完整有效。大兴区人民检察院相关会计资料准确、完整，部门基础信息管理较好，符合国家财经法规和财务管理制度以及有关专项资金管理办法的规定。形成的会计档案按类别统一格式和规格装订，定期归档。</w:t>
      </w:r>
    </w:p>
    <w:p>
      <w:pPr>
        <w:spacing w:line="560" w:lineRule="exact"/>
        <w:ind w:firstLine="640" w:firstLineChars="200"/>
        <w:outlineLvl w:val="1"/>
        <w:rPr>
          <w:rFonts w:ascii="楷体_GB2312" w:eastAsia="楷体_GB2312"/>
          <w:sz w:val="32"/>
          <w:szCs w:val="32"/>
        </w:rPr>
      </w:pPr>
      <w:bookmarkStart w:id="23" w:name="_Toc9694"/>
      <w:bookmarkStart w:id="24" w:name="_Toc24557"/>
      <w:r>
        <w:rPr>
          <w:rFonts w:hint="eastAsia" w:ascii="楷体_GB2312" w:eastAsia="楷体_GB2312"/>
          <w:sz w:val="32"/>
          <w:szCs w:val="32"/>
        </w:rPr>
        <w:t>（二）资产管理</w:t>
      </w:r>
      <w:bookmarkEnd w:id="23"/>
      <w:bookmarkEnd w:id="24"/>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大兴区人民检察院2023年末资产合计2,044.60万元，其中流动资产 502.58万元，非流动资产1,542.02万元。</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为加强资产管理，大兴区人民检察院制定了《固定资产管理办法》，从管理职责、标准及分类、配置及验收、日常管理、清查盘点、处置等方面对固定资产管理进行了细化，明确资产范围、实物管理部门职责及各部门对资产日常管理承担的保管责任。实行资产动态管理机制，在资产发生内部转移时办理固定资产内部调拨手续，以便及时更新资产信息，保证固定资产账账、账实、账表相符。</w:t>
      </w:r>
    </w:p>
    <w:p>
      <w:pPr>
        <w:spacing w:line="560" w:lineRule="exact"/>
        <w:ind w:firstLine="640" w:firstLineChars="200"/>
        <w:rPr>
          <w:rFonts w:ascii="仿宋" w:hAnsi="仿宋" w:eastAsia="仿宋" w:cs="仿宋"/>
          <w:sz w:val="32"/>
          <w:szCs w:val="32"/>
        </w:rPr>
      </w:pPr>
      <w:bookmarkStart w:id="25" w:name="_Hlk135151570"/>
      <w:r>
        <w:rPr>
          <w:rFonts w:hint="eastAsia" w:ascii="仿宋" w:hAnsi="仿宋" w:eastAsia="仿宋" w:cs="仿宋"/>
          <w:sz w:val="32"/>
          <w:szCs w:val="32"/>
        </w:rPr>
        <w:t>大兴区人民检察院能够按照市财政局统一部署，根据有关文件规定，按时保质保量完成资产年报等相关工作，日常固定资产管理、新增、报废等工作均严格按照市财政局的规定程序办理，资产动态系统与会计账簿系统总额保持一致。</w:t>
      </w:r>
    </w:p>
    <w:bookmarkEnd w:id="25"/>
    <w:p>
      <w:pPr>
        <w:spacing w:line="560" w:lineRule="exact"/>
        <w:ind w:firstLine="640" w:firstLineChars="200"/>
        <w:rPr>
          <w:rFonts w:ascii="仿宋" w:hAnsi="仿宋" w:eastAsia="仿宋" w:cs="仿宋"/>
          <w:sz w:val="32"/>
          <w:szCs w:val="32"/>
        </w:rPr>
      </w:pPr>
      <w:bookmarkStart w:id="26" w:name="_Hlk135150199"/>
      <w:r>
        <w:rPr>
          <w:rFonts w:hint="eastAsia" w:ascii="仿宋" w:hAnsi="仿宋" w:eastAsia="仿宋" w:cs="仿宋"/>
          <w:sz w:val="32"/>
          <w:szCs w:val="32"/>
        </w:rPr>
        <w:t>2023年度，大兴区人民检察院在资产管理方面，主要存在固定资产部分超标准配置、个别达到固定资产标准未按固定资产进行核算的问题。</w:t>
      </w:r>
    </w:p>
    <w:bookmarkEnd w:id="26"/>
    <w:p>
      <w:pPr>
        <w:spacing w:line="560" w:lineRule="exact"/>
        <w:ind w:firstLine="640" w:firstLineChars="200"/>
        <w:outlineLvl w:val="1"/>
        <w:rPr>
          <w:rFonts w:ascii="楷体_GB2312" w:eastAsia="楷体_GB2312"/>
          <w:sz w:val="32"/>
          <w:szCs w:val="32"/>
        </w:rPr>
      </w:pPr>
      <w:bookmarkStart w:id="27" w:name="_Toc17054"/>
      <w:bookmarkStart w:id="28" w:name="_Toc8583"/>
      <w:r>
        <w:rPr>
          <w:rFonts w:hint="eastAsia" w:ascii="楷体_GB2312" w:eastAsia="楷体_GB2312"/>
          <w:sz w:val="32"/>
          <w:szCs w:val="32"/>
        </w:rPr>
        <w:t>（三）绩效</w:t>
      </w:r>
      <w:r>
        <w:rPr>
          <w:rFonts w:ascii="楷体_GB2312" w:eastAsia="楷体_GB2312"/>
          <w:sz w:val="32"/>
          <w:szCs w:val="32"/>
        </w:rPr>
        <w:t>管理</w:t>
      </w:r>
      <w:bookmarkEnd w:id="27"/>
      <w:bookmarkEnd w:id="28"/>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2023年，大兴区人民检察院开展了部门整体绩效评价，并形成《部门整体绩效评价报告》，全方位把握单位整体预算执行、整体绩效目标实现和预算管理情况。</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2023年，大兴区人民检察院按照《北京市项目支出绩效评价管理办法》（京财绩效〔2020〕2146号）文件要求，在做好项目支出事前申报、事中监管的基础上，对2023年度所有填报绩效目标的项目支出开展自评工作，对8个项目支出实施了绩效评价，并形成《项目支出绩效自评表》。</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（四）结转结余</w:t>
      </w:r>
      <w:r>
        <w:rPr>
          <w:rFonts w:ascii="楷体_GB2312" w:eastAsia="楷体_GB2312"/>
          <w:sz w:val="32"/>
          <w:szCs w:val="32"/>
        </w:rPr>
        <w:t>率</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大兴区人民检察院2023年全年支出预算数10,589.90万元，决算支出10,301.30万元，年末结转结余资金288.60万元，结转结余率2.73%。</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（五）部门</w:t>
      </w:r>
      <w:r>
        <w:rPr>
          <w:rFonts w:ascii="楷体_GB2312" w:eastAsia="楷体_GB2312"/>
          <w:sz w:val="32"/>
          <w:szCs w:val="32"/>
        </w:rPr>
        <w:t>预决算差异率</w:t>
      </w:r>
    </w:p>
    <w:p>
      <w:pPr>
        <w:spacing w:line="560" w:lineRule="exact"/>
        <w:ind w:firstLine="640" w:firstLineChars="200"/>
        <w:rPr>
          <w:rFonts w:ascii="仿宋" w:hAnsi="仿宋" w:eastAsia="仿宋" w:cs="仿宋"/>
          <w:color w:val="FF0000"/>
          <w:sz w:val="32"/>
          <w:szCs w:val="32"/>
        </w:rPr>
      </w:pPr>
      <w:r>
        <w:rPr>
          <w:rFonts w:hint="eastAsia" w:ascii="仿宋" w:hAnsi="仿宋" w:eastAsia="仿宋" w:cs="仿宋"/>
          <w:sz w:val="32"/>
          <w:szCs w:val="32"/>
        </w:rPr>
        <w:t>大兴区人民检察院2023年支出年初预算数</w:t>
      </w:r>
      <w:r>
        <w:rPr>
          <w:rFonts w:ascii="仿宋" w:hAnsi="仿宋" w:eastAsia="仿宋" w:cs="仿宋"/>
          <w:sz w:val="32"/>
          <w:szCs w:val="32"/>
        </w:rPr>
        <w:t>10,626.42</w:t>
      </w:r>
      <w:r>
        <w:rPr>
          <w:rFonts w:hint="eastAsia" w:ascii="仿宋" w:hAnsi="仿宋" w:eastAsia="仿宋" w:cs="仿宋"/>
          <w:sz w:val="32"/>
          <w:szCs w:val="32"/>
        </w:rPr>
        <w:t>万元，决算支出</w:t>
      </w:r>
      <w:r>
        <w:rPr>
          <w:rFonts w:ascii="仿宋" w:hAnsi="仿宋" w:eastAsia="仿宋" w:cs="仿宋"/>
          <w:sz w:val="32"/>
          <w:szCs w:val="32"/>
        </w:rPr>
        <w:t>10,301.30</w:t>
      </w:r>
      <w:r>
        <w:rPr>
          <w:rFonts w:hint="eastAsia" w:ascii="仿宋" w:hAnsi="仿宋" w:eastAsia="仿宋" w:cs="仿宋"/>
          <w:sz w:val="32"/>
          <w:szCs w:val="32"/>
        </w:rPr>
        <w:t>万元，部门预决算差异率3</w:t>
      </w:r>
      <w:r>
        <w:rPr>
          <w:rFonts w:ascii="仿宋" w:hAnsi="仿宋" w:eastAsia="仿宋" w:cs="仿宋"/>
          <w:sz w:val="32"/>
          <w:szCs w:val="32"/>
        </w:rPr>
        <w:t>.</w:t>
      </w:r>
      <w:r>
        <w:rPr>
          <w:rFonts w:hint="eastAsia" w:ascii="仿宋" w:hAnsi="仿宋" w:eastAsia="仿宋" w:cs="仿宋"/>
          <w:sz w:val="32"/>
          <w:szCs w:val="32"/>
        </w:rPr>
        <w:t>06%，低于市级平均差异率。</w:t>
      </w:r>
    </w:p>
    <w:p>
      <w:pPr>
        <w:spacing w:line="560" w:lineRule="exact"/>
        <w:ind w:firstLine="640" w:firstLineChars="200"/>
        <w:outlineLvl w:val="0"/>
        <w:rPr>
          <w:rFonts w:ascii="黑体" w:hAnsi="黑体" w:eastAsia="黑体"/>
          <w:sz w:val="32"/>
          <w:szCs w:val="32"/>
        </w:rPr>
      </w:pPr>
      <w:bookmarkStart w:id="29" w:name="_Toc16996"/>
      <w:bookmarkStart w:id="30" w:name="_Toc29403"/>
      <w:r>
        <w:rPr>
          <w:rFonts w:hint="eastAsia" w:ascii="黑体" w:hAnsi="黑体" w:eastAsia="黑体"/>
          <w:sz w:val="32"/>
          <w:szCs w:val="32"/>
        </w:rPr>
        <w:t>五、总体</w:t>
      </w:r>
      <w:r>
        <w:rPr>
          <w:rFonts w:ascii="黑体" w:hAnsi="黑体" w:eastAsia="黑体"/>
          <w:sz w:val="32"/>
          <w:szCs w:val="32"/>
        </w:rPr>
        <w:t>评价结论</w:t>
      </w:r>
      <w:bookmarkEnd w:id="29"/>
      <w:bookmarkEnd w:id="30"/>
    </w:p>
    <w:p>
      <w:pPr>
        <w:spacing w:line="560" w:lineRule="exact"/>
        <w:ind w:firstLine="640" w:firstLineChars="200"/>
        <w:outlineLvl w:val="1"/>
        <w:rPr>
          <w:rFonts w:ascii="楷体_GB2312" w:eastAsia="楷体_GB2312"/>
          <w:sz w:val="32"/>
          <w:szCs w:val="32"/>
        </w:rPr>
      </w:pPr>
      <w:bookmarkStart w:id="31" w:name="_Toc23988"/>
      <w:bookmarkStart w:id="32" w:name="_Toc6043"/>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bookmarkEnd w:id="31"/>
      <w:bookmarkEnd w:id="32"/>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根据2023年度部门整体绩效目标申报表，大兴区人民检察院各项年度工作任务均已按照部署要求和时间进度完成，整体工作产出完成情况较好。大兴区人民检察院部门整体综合评价得分93.85分，其中当年预算执行情况得分1</w:t>
      </w:r>
      <w:r>
        <w:rPr>
          <w:rFonts w:ascii="仿宋" w:hAnsi="仿宋" w:eastAsia="仿宋" w:cs="仿宋"/>
          <w:sz w:val="32"/>
          <w:szCs w:val="32"/>
        </w:rPr>
        <w:t>9</w:t>
      </w:r>
      <w:r>
        <w:rPr>
          <w:rFonts w:hint="eastAsia" w:ascii="仿宋" w:hAnsi="仿宋" w:eastAsia="仿宋" w:cs="仿宋"/>
          <w:sz w:val="32"/>
          <w:szCs w:val="32"/>
        </w:rPr>
        <w:t>.45分，整体绩效目标实现情况得分58.50分，预算管理情况得分15.90分。具体得分情况见下表：</w:t>
      </w:r>
    </w:p>
    <w:tbl>
      <w:tblPr>
        <w:tblStyle w:val="19"/>
        <w:tblW w:w="78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4"/>
        <w:gridCol w:w="1812"/>
        <w:gridCol w:w="2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exact"/>
          <w:tblHeader/>
          <w:jc w:val="center"/>
        </w:trPr>
        <w:tc>
          <w:tcPr>
            <w:tcW w:w="3244" w:type="dxa"/>
            <w:shd w:val="clear" w:color="auto" w:fill="BEBEBE"/>
            <w:vAlign w:val="center"/>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评价内容</w:t>
            </w:r>
          </w:p>
        </w:tc>
        <w:tc>
          <w:tcPr>
            <w:tcW w:w="1812" w:type="dxa"/>
            <w:shd w:val="clear" w:color="auto" w:fill="BEBEBE"/>
            <w:vAlign w:val="center"/>
          </w:tcPr>
          <w:p>
            <w:pPr>
              <w:widowControl/>
              <w:spacing w:line="360" w:lineRule="auto"/>
              <w:jc w:val="center"/>
              <w:rPr>
                <w:rFonts w:ascii="宋体" w:hAnsi="宋体" w:cs="宋体"/>
                <w:b/>
                <w:bCs/>
                <w:color w:val="000000"/>
                <w:kern w:val="0"/>
                <w:szCs w:val="21"/>
              </w:rPr>
            </w:pPr>
            <w:r>
              <w:rPr>
                <w:rFonts w:hint="eastAsia" w:ascii="宋体" w:hAnsi="宋体" w:cs="宋体"/>
                <w:b/>
                <w:bCs/>
                <w:color w:val="000000"/>
                <w:kern w:val="0"/>
                <w:szCs w:val="21"/>
              </w:rPr>
              <w:t>分值</w:t>
            </w:r>
          </w:p>
        </w:tc>
        <w:tc>
          <w:tcPr>
            <w:tcW w:w="2759" w:type="dxa"/>
            <w:shd w:val="clear" w:color="auto" w:fill="BEBEBE"/>
            <w:vAlign w:val="center"/>
          </w:tcPr>
          <w:p>
            <w:pPr>
              <w:widowControl/>
              <w:spacing w:line="360" w:lineRule="auto"/>
              <w:jc w:val="center"/>
              <w:rPr>
                <w:rFonts w:ascii="宋体" w:hAnsi="宋体" w:cs="宋体"/>
                <w:b/>
                <w:bCs/>
                <w:color w:val="000000"/>
                <w:kern w:val="0"/>
                <w:szCs w:val="21"/>
              </w:rPr>
            </w:pPr>
            <w:r>
              <w:rPr>
                <w:rFonts w:hint="eastAsia" w:ascii="宋体" w:hAnsi="宋体" w:cs="宋体"/>
                <w:b/>
                <w:bCs/>
                <w:color w:val="000000"/>
                <w:kern w:val="0"/>
                <w:szCs w:val="21"/>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244" w:type="dxa"/>
            <w:vAlign w:val="center"/>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当年预算执行情况</w:t>
            </w:r>
          </w:p>
        </w:tc>
        <w:tc>
          <w:tcPr>
            <w:tcW w:w="1812" w:type="dxa"/>
            <w:vAlign w:val="center"/>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20</w:t>
            </w:r>
          </w:p>
        </w:tc>
        <w:tc>
          <w:tcPr>
            <w:tcW w:w="2759" w:type="dxa"/>
            <w:vAlign w:val="center"/>
          </w:tcPr>
          <w:p>
            <w:pPr>
              <w:widowControl/>
              <w:spacing w:line="360" w:lineRule="auto"/>
              <w:jc w:val="center"/>
              <w:rPr>
                <w:rFonts w:ascii="宋体" w:hAnsi="宋体" w:cs="宋体"/>
                <w:color w:val="000000"/>
                <w:kern w:val="0"/>
                <w:szCs w:val="21"/>
              </w:rPr>
            </w:pPr>
            <w:r>
              <w:rPr>
                <w:rFonts w:ascii="宋体" w:hAnsi="宋体" w:cs="宋体"/>
                <w:color w:val="000000"/>
                <w:kern w:val="0"/>
                <w:szCs w:val="21"/>
              </w:rPr>
              <w:t>19.</w:t>
            </w:r>
            <w:r>
              <w:rPr>
                <w:rFonts w:hint="eastAsia" w:ascii="宋体" w:hAnsi="宋体" w:cs="宋体"/>
                <w:color w:val="000000"/>
                <w:kern w:val="0"/>
                <w:szCs w:val="21"/>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244" w:type="dxa"/>
            <w:vAlign w:val="center"/>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整体绩效目标实现情况</w:t>
            </w:r>
          </w:p>
        </w:tc>
        <w:tc>
          <w:tcPr>
            <w:tcW w:w="1812" w:type="dxa"/>
            <w:vAlign w:val="center"/>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60</w:t>
            </w:r>
          </w:p>
        </w:tc>
        <w:tc>
          <w:tcPr>
            <w:tcW w:w="2759" w:type="dxa"/>
            <w:vAlign w:val="center"/>
          </w:tcPr>
          <w:p>
            <w:pPr>
              <w:widowControl/>
              <w:spacing w:line="360" w:lineRule="auto"/>
              <w:jc w:val="center"/>
              <w:rPr>
                <w:rFonts w:hint="eastAsia" w:ascii="宋体" w:hAnsi="宋体" w:cs="宋体"/>
                <w:color w:val="000000"/>
                <w:kern w:val="0"/>
                <w:szCs w:val="21"/>
              </w:rPr>
            </w:pPr>
            <w:r>
              <w:rPr>
                <w:rFonts w:hint="eastAsia" w:ascii="宋体" w:hAnsi="宋体" w:cs="宋体"/>
                <w:color w:val="000000"/>
                <w:kern w:val="0"/>
                <w:szCs w:val="21"/>
              </w:rPr>
              <w:t>58.50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244" w:type="dxa"/>
            <w:vAlign w:val="center"/>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预算管理情况</w:t>
            </w:r>
          </w:p>
        </w:tc>
        <w:tc>
          <w:tcPr>
            <w:tcW w:w="1812" w:type="dxa"/>
            <w:vAlign w:val="center"/>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20</w:t>
            </w:r>
          </w:p>
        </w:tc>
        <w:tc>
          <w:tcPr>
            <w:tcW w:w="2759" w:type="dxa"/>
            <w:vAlign w:val="center"/>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15</w:t>
            </w:r>
            <w:r>
              <w:rPr>
                <w:rFonts w:ascii="宋体" w:hAnsi="宋体" w:cs="宋体"/>
                <w:color w:val="000000"/>
                <w:kern w:val="0"/>
                <w:szCs w:val="21"/>
              </w:rPr>
              <w:t>.</w:t>
            </w:r>
            <w:r>
              <w:rPr>
                <w:rFonts w:hint="eastAsia" w:ascii="宋体" w:hAnsi="宋体" w:cs="宋体"/>
                <w:color w:val="000000"/>
                <w:kern w:val="0"/>
                <w:szCs w:val="21"/>
              </w:rPr>
              <w:t>9</w:t>
            </w:r>
            <w:r>
              <w:rPr>
                <w:rFonts w:ascii="宋体" w:hAnsi="宋体" w:cs="宋体"/>
                <w:color w:val="000000"/>
                <w:kern w:val="0"/>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244" w:type="dxa"/>
            <w:vAlign w:val="center"/>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综合得分</w:t>
            </w:r>
          </w:p>
        </w:tc>
        <w:tc>
          <w:tcPr>
            <w:tcW w:w="1812" w:type="dxa"/>
            <w:vAlign w:val="center"/>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100</w:t>
            </w:r>
          </w:p>
        </w:tc>
        <w:tc>
          <w:tcPr>
            <w:tcW w:w="2759" w:type="dxa"/>
            <w:vAlign w:val="center"/>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93</w:t>
            </w:r>
            <w:r>
              <w:rPr>
                <w:rFonts w:ascii="宋体" w:hAnsi="宋体" w:cs="宋体"/>
                <w:color w:val="000000"/>
                <w:kern w:val="0"/>
                <w:szCs w:val="21"/>
              </w:rPr>
              <w:t>.</w:t>
            </w:r>
            <w:r>
              <w:rPr>
                <w:rFonts w:hint="eastAsia" w:ascii="宋体" w:hAnsi="宋体" w:cs="宋体"/>
                <w:color w:val="000000"/>
                <w:kern w:val="0"/>
                <w:szCs w:val="21"/>
              </w:rPr>
              <w:t>85</w:t>
            </w:r>
          </w:p>
        </w:tc>
      </w:tr>
    </w:tbl>
    <w:p>
      <w:pPr>
        <w:spacing w:line="560" w:lineRule="exact"/>
        <w:ind w:firstLine="640" w:firstLineChars="200"/>
        <w:outlineLvl w:val="1"/>
        <w:rPr>
          <w:rFonts w:ascii="楷体_GB2312" w:eastAsia="楷体_GB2312"/>
          <w:sz w:val="32"/>
          <w:szCs w:val="32"/>
        </w:rPr>
      </w:pPr>
      <w:bookmarkStart w:id="33" w:name="_Toc21942"/>
      <w:bookmarkStart w:id="34" w:name="_Toc28195"/>
      <w:r>
        <w:rPr>
          <w:rFonts w:hint="eastAsia" w:ascii="楷体_GB2312" w:eastAsia="楷体_GB2312"/>
          <w:sz w:val="32"/>
          <w:szCs w:val="32"/>
        </w:rPr>
        <w:t>（二）存在的问题及原因分析</w:t>
      </w:r>
      <w:bookmarkEnd w:id="33"/>
      <w:bookmarkEnd w:id="34"/>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1.部门整体绩效目标申报表填写不够细化，缺少资金使用计划、实施进度安排，指标的可考量性不足。如：未填写产出数量、质量、成本等指标，各项活动绩效指标均为定性指标。</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w:t>
      </w:r>
      <w:r>
        <w:rPr>
          <w:rFonts w:ascii="仿宋" w:hAnsi="仿宋" w:eastAsia="仿宋" w:cs="仿宋"/>
          <w:sz w:val="32"/>
          <w:szCs w:val="32"/>
        </w:rPr>
        <w:t>.</w:t>
      </w:r>
      <w:r>
        <w:rPr>
          <w:rFonts w:hint="eastAsia" w:ascii="仿宋" w:hAnsi="仿宋" w:eastAsia="仿宋" w:cs="仿宋"/>
          <w:sz w:val="32"/>
          <w:szCs w:val="32"/>
          <w:lang w:eastAsia="zh-CN"/>
        </w:rPr>
        <w:t>暂</w:t>
      </w:r>
      <w:r>
        <w:rPr>
          <w:rFonts w:hint="eastAsia" w:ascii="仿宋" w:hAnsi="仿宋" w:eastAsia="仿宋" w:cs="仿宋"/>
          <w:sz w:val="32"/>
          <w:szCs w:val="32"/>
        </w:rPr>
        <w:t>未建立绩效跟踪管理办法，对资金支出和项目实施过程中与财政预算绩效管理有关的资金到位、资金支出、项目进程、目标实现等动态情况进行跟踪管理。未及时对财政支出的绩效目标实现程度、项目实施进度、资金支出进度等情况进行汇总分析整理。</w:t>
      </w:r>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3.</w:t>
      </w:r>
      <w:r>
        <w:rPr>
          <w:rFonts w:hint="eastAsia" w:ascii="仿宋" w:hAnsi="仿宋" w:eastAsia="仿宋" w:cs="仿宋"/>
          <w:sz w:val="32"/>
          <w:szCs w:val="32"/>
        </w:rPr>
        <w:t>大兴区人民检察院在资产管理方面，存在固定资产部分超标准配置、个别达到固定资产标准未按固定资产进行管理和核算的问题。</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4</w:t>
      </w:r>
      <w:r>
        <w:rPr>
          <w:rFonts w:ascii="仿宋" w:hAnsi="仿宋" w:eastAsia="仿宋" w:cs="仿宋"/>
          <w:sz w:val="32"/>
          <w:szCs w:val="32"/>
        </w:rPr>
        <w:t>.</w:t>
      </w:r>
      <w:r>
        <w:rPr>
          <w:rFonts w:hint="eastAsia"/>
        </w:rPr>
        <w:t xml:space="preserve"> </w:t>
      </w:r>
      <w:r>
        <w:rPr>
          <w:rFonts w:hint="eastAsia" w:ascii="仿宋" w:hAnsi="仿宋" w:eastAsia="仿宋" w:cs="仿宋"/>
          <w:sz w:val="32"/>
          <w:szCs w:val="32"/>
        </w:rPr>
        <w:t>2023年部门整体绩效目标关于效果实现情况的资料呈现不足，缺少相关资料的收集和统计分析；未对部门整体进行满意度调查。</w:t>
      </w:r>
    </w:p>
    <w:p>
      <w:pPr>
        <w:pStyle w:val="8"/>
        <w:spacing w:after="0" w:line="560" w:lineRule="exact"/>
        <w:ind w:left="0" w:leftChars="0" w:firstLine="640" w:firstLineChars="200"/>
        <w:outlineLvl w:val="0"/>
        <w:rPr>
          <w:rFonts w:ascii="仿宋_GB2312" w:hAnsi="宋体" w:eastAsia="仿宋_GB2312" w:cs="宋体"/>
          <w:color w:val="000000"/>
          <w:kern w:val="0"/>
          <w:sz w:val="32"/>
          <w:szCs w:val="32"/>
        </w:rPr>
      </w:pPr>
      <w:bookmarkStart w:id="35" w:name="_Toc11424"/>
      <w:bookmarkStart w:id="36" w:name="_Toc16460"/>
      <w:r>
        <w:rPr>
          <w:rFonts w:hint="eastAsia" w:ascii="黑体" w:hAnsi="黑体" w:eastAsia="黑体" w:cs="宋体"/>
          <w:color w:val="000000"/>
          <w:kern w:val="0"/>
          <w:sz w:val="32"/>
          <w:szCs w:val="32"/>
        </w:rPr>
        <w:t>六、措施建议</w:t>
      </w:r>
      <w:bookmarkEnd w:id="35"/>
      <w:bookmarkEnd w:id="36"/>
    </w:p>
    <w:p>
      <w:pPr>
        <w:spacing w:line="560" w:lineRule="exact"/>
        <w:ind w:firstLine="640" w:firstLineChars="200"/>
        <w:rPr>
          <w:rFonts w:ascii="仿宋" w:hAnsi="仿宋" w:eastAsia="仿宋" w:cs="仿宋"/>
          <w:sz w:val="32"/>
          <w:szCs w:val="32"/>
        </w:rPr>
      </w:pPr>
      <w:bookmarkStart w:id="37" w:name="_Toc24942"/>
      <w:r>
        <w:rPr>
          <w:rFonts w:ascii="仿宋" w:hAnsi="仿宋" w:eastAsia="仿宋" w:cs="仿宋"/>
          <w:sz w:val="32"/>
          <w:szCs w:val="32"/>
        </w:rPr>
        <w:t>1.</w:t>
      </w:r>
      <w:r>
        <w:rPr>
          <w:rFonts w:hint="eastAsia" w:ascii="仿宋" w:hAnsi="仿宋" w:eastAsia="仿宋" w:cs="仿宋"/>
          <w:sz w:val="32"/>
          <w:szCs w:val="32"/>
        </w:rPr>
        <w:t>建议大兴区人民检察院结合部门职能、年度工作计划和重点工作任务，梳理部门主要产出和绩效，合理设置部门年度绩效目标和绩效指标，保证各项指标细化、量化和准确；提高绩效意识，强化绩效资料归集，加强绩效结果应用。</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w:t>
      </w:r>
      <w:r>
        <w:rPr>
          <w:rFonts w:ascii="仿宋" w:hAnsi="仿宋" w:eastAsia="仿宋" w:cs="仿宋"/>
          <w:sz w:val="32"/>
          <w:szCs w:val="32"/>
        </w:rPr>
        <w:t>.</w:t>
      </w:r>
      <w:r>
        <w:rPr>
          <w:rFonts w:hint="eastAsia" w:ascii="仿宋" w:hAnsi="仿宋" w:eastAsia="仿宋" w:cs="仿宋"/>
          <w:sz w:val="32"/>
          <w:szCs w:val="32"/>
        </w:rPr>
        <w:t>建议建立绩效跟踪管理办法，根据确定的绩效目标，运用科学、合理的绩效信息汇总分析方法，对财政支出的绩效目标实现程度、项目实施进度、资金支出进度等情况进行阶段性跟踪管理和督促检查，及时发现问题并采取有效的措施纠正偏离绩效目标情况的管理活动。</w:t>
      </w:r>
      <w:bookmarkEnd w:id="37"/>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3.</w:t>
      </w:r>
      <w:r>
        <w:rPr>
          <w:rFonts w:hint="eastAsia" w:ascii="仿宋" w:hAnsi="仿宋" w:eastAsia="仿宋" w:cs="仿宋"/>
          <w:sz w:val="32"/>
          <w:szCs w:val="32"/>
        </w:rPr>
        <w:t>规范固定资产管理，对于达到固定资产标准的应及时增加固定资产，切实做到账面资产与实物资产保持一致，真实有效的反映实际资产信息。对固定资产定期盘点、监管及清理，按需购买，严格执行相关采购政策，避免出现超标准配置的情况。</w:t>
      </w:r>
    </w:p>
    <w:p>
      <w:pPr>
        <w:pStyle w:val="8"/>
        <w:spacing w:after="0" w:line="560" w:lineRule="exact"/>
        <w:ind w:left="0" w:leftChars="0" w:firstLine="640" w:firstLineChars="200"/>
        <w:rPr>
          <w:rFonts w:ascii="仿宋" w:hAnsi="仿宋" w:eastAsia="仿宋" w:cs="仿宋"/>
          <w:sz w:val="32"/>
          <w:szCs w:val="32"/>
        </w:rPr>
      </w:pPr>
      <w:bookmarkStart w:id="38" w:name="_Toc25191"/>
      <w:r>
        <w:rPr>
          <w:rFonts w:hint="eastAsia" w:ascii="仿宋" w:hAnsi="仿宋" w:eastAsia="仿宋" w:cs="仿宋"/>
          <w:sz w:val="32"/>
          <w:szCs w:val="32"/>
        </w:rPr>
        <w:t>4.建议牢固树立绩效管理理念，加强绩效成果和项目效益的挖掘，注重收集绩效成果资料和效益支撑材料，充分展示项目效果和效益。加强对项目成果利用的满意度调查，合理设计问卷，并对调查结果进行统计分析。</w:t>
      </w:r>
    </w:p>
    <w:p>
      <w:pPr>
        <w:pStyle w:val="8"/>
        <w:spacing w:after="0" w:line="560" w:lineRule="exact"/>
        <w:ind w:left="0" w:leftChars="0" w:firstLine="640" w:firstLineChars="200"/>
        <w:outlineLvl w:val="0"/>
        <w:rPr>
          <w:rFonts w:ascii="黑体" w:hAnsi="黑体" w:eastAsia="黑体" w:cs="宋体"/>
          <w:color w:val="000000"/>
          <w:kern w:val="0"/>
          <w:sz w:val="32"/>
          <w:szCs w:val="32"/>
        </w:rPr>
      </w:pPr>
      <w:bookmarkStart w:id="39" w:name="_Toc14750"/>
      <w:r>
        <w:rPr>
          <w:rFonts w:hint="eastAsia" w:ascii="黑体" w:hAnsi="黑体" w:eastAsia="黑体" w:cs="宋体"/>
          <w:color w:val="000000"/>
          <w:kern w:val="0"/>
          <w:sz w:val="32"/>
          <w:szCs w:val="32"/>
        </w:rPr>
        <w:t>七、附件</w:t>
      </w:r>
      <w:bookmarkEnd w:id="38"/>
      <w:bookmarkEnd w:id="39"/>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2023年部门整体绩效评价指标体系评分表</w:t>
      </w:r>
    </w:p>
    <w:p>
      <w:pPr>
        <w:jc w:val="left"/>
        <w:rPr>
          <w:sz w:val="32"/>
          <w:szCs w:val="32"/>
          <w:u w:val="single"/>
        </w:rPr>
      </w:pPr>
    </w:p>
    <w:p>
      <w:pPr>
        <w:spacing w:line="560" w:lineRule="exact"/>
        <w:outlineLvl w:val="0"/>
        <w:rPr>
          <w:rFonts w:ascii="黑体" w:hAnsi="黑体" w:eastAsia="黑体" w:cs="黑体"/>
          <w:bCs/>
          <w:color w:val="000000"/>
          <w:kern w:val="0"/>
          <w:sz w:val="32"/>
          <w:szCs w:val="32"/>
        </w:rPr>
      </w:pPr>
    </w:p>
    <w:p>
      <w:pPr>
        <w:pStyle w:val="5"/>
        <w:sectPr>
          <w:footerReference r:id="rId7" w:type="default"/>
          <w:pgSz w:w="11906" w:h="16838"/>
          <w:pgMar w:top="1440" w:right="1800" w:bottom="1440" w:left="1800" w:header="851" w:footer="992" w:gutter="0"/>
          <w:pgNumType w:start="1"/>
          <w:cols w:space="425" w:num="1"/>
          <w:docGrid w:type="lines" w:linePitch="312" w:charSpace="0"/>
        </w:sectPr>
      </w:pPr>
    </w:p>
    <w:p>
      <w:pPr>
        <w:spacing w:line="560" w:lineRule="exact"/>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附件：2023年部门整体绩效评价</w:t>
      </w:r>
      <w:r>
        <w:rPr>
          <w:rFonts w:hint="eastAsia" w:ascii="仿宋" w:hAnsi="仿宋" w:eastAsia="仿宋" w:cs="微软雅黑"/>
          <w:color w:val="000000"/>
          <w:kern w:val="0"/>
          <w:sz w:val="32"/>
          <w:szCs w:val="32"/>
        </w:rPr>
        <w:t>指标</w:t>
      </w:r>
      <w:r>
        <w:rPr>
          <w:rFonts w:hint="eastAsia" w:ascii="仿宋" w:hAnsi="仿宋" w:eastAsia="仿宋" w:cs="___WRD_EMBED_SUB_47"/>
          <w:color w:val="000000"/>
          <w:kern w:val="0"/>
          <w:sz w:val="32"/>
          <w:szCs w:val="32"/>
        </w:rPr>
        <w:t>体</w:t>
      </w:r>
      <w:r>
        <w:rPr>
          <w:rFonts w:hint="eastAsia" w:ascii="仿宋" w:hAnsi="仿宋" w:eastAsia="仿宋" w:cs="微软雅黑"/>
          <w:color w:val="000000"/>
          <w:kern w:val="0"/>
          <w:sz w:val="32"/>
          <w:szCs w:val="32"/>
        </w:rPr>
        <w:t>系</w:t>
      </w:r>
      <w:r>
        <w:rPr>
          <w:rFonts w:hint="eastAsia" w:ascii="仿宋" w:hAnsi="仿宋" w:eastAsia="仿宋" w:cs="___WRD_EMBED_SUB_47"/>
          <w:color w:val="000000"/>
          <w:kern w:val="0"/>
          <w:sz w:val="32"/>
          <w:szCs w:val="32"/>
        </w:rPr>
        <w:t>评</w:t>
      </w:r>
      <w:r>
        <w:rPr>
          <w:rFonts w:hint="eastAsia" w:ascii="仿宋" w:hAnsi="仿宋" w:eastAsia="仿宋" w:cs="微软雅黑"/>
          <w:color w:val="000000"/>
          <w:kern w:val="0"/>
          <w:sz w:val="32"/>
          <w:szCs w:val="32"/>
        </w:rPr>
        <w:t>分</w:t>
      </w:r>
      <w:r>
        <w:rPr>
          <w:rFonts w:hint="eastAsia" w:ascii="仿宋" w:hAnsi="仿宋" w:eastAsia="仿宋" w:cs="___WRD_EMBED_SUB_47"/>
          <w:color w:val="000000"/>
          <w:kern w:val="0"/>
          <w:sz w:val="32"/>
          <w:szCs w:val="32"/>
        </w:rPr>
        <w:t>表</w:t>
      </w:r>
    </w:p>
    <w:tbl>
      <w:tblPr>
        <w:tblStyle w:val="19"/>
        <w:tblW w:w="15482" w:type="dxa"/>
        <w:tblInd w:w="-601" w:type="dxa"/>
        <w:tblLayout w:type="fixed"/>
        <w:tblCellMar>
          <w:top w:w="0" w:type="dxa"/>
          <w:left w:w="108" w:type="dxa"/>
          <w:bottom w:w="0" w:type="dxa"/>
          <w:right w:w="108" w:type="dxa"/>
        </w:tblCellMar>
      </w:tblPr>
      <w:tblGrid>
        <w:gridCol w:w="1206"/>
        <w:gridCol w:w="1070"/>
        <w:gridCol w:w="1268"/>
        <w:gridCol w:w="1306"/>
        <w:gridCol w:w="8"/>
        <w:gridCol w:w="3711"/>
        <w:gridCol w:w="8"/>
        <w:gridCol w:w="755"/>
        <w:gridCol w:w="8"/>
        <w:gridCol w:w="725"/>
        <w:gridCol w:w="3548"/>
        <w:gridCol w:w="1837"/>
        <w:gridCol w:w="32"/>
      </w:tblGrid>
      <w:tr>
        <w:tblPrEx>
          <w:tblCellMar>
            <w:top w:w="0" w:type="dxa"/>
            <w:left w:w="108" w:type="dxa"/>
            <w:bottom w:w="0" w:type="dxa"/>
            <w:right w:w="108" w:type="dxa"/>
          </w:tblCellMar>
        </w:tblPrEx>
        <w:trPr>
          <w:cantSplit/>
          <w:trHeight w:val="90" w:hRule="atLeast"/>
        </w:trPr>
        <w:tc>
          <w:tcPr>
            <w:tcW w:w="15482" w:type="dxa"/>
            <w:gridSpan w:val="13"/>
            <w:tcBorders>
              <w:top w:val="nil"/>
              <w:left w:val="nil"/>
              <w:bottom w:val="single" w:color="auto" w:sz="4" w:space="0"/>
              <w:right w:val="nil"/>
            </w:tcBorders>
            <w:vAlign w:val="bottom"/>
          </w:tcPr>
          <w:p>
            <w:pPr>
              <w:widowControl/>
              <w:jc w:val="center"/>
              <w:rPr>
                <w:rFonts w:ascii="微软雅黑" w:hAnsi="黑体" w:eastAsia="微软雅黑" w:cs="宋体"/>
                <w:color w:val="000000"/>
                <w:kern w:val="0"/>
                <w:sz w:val="44"/>
                <w:szCs w:val="44"/>
              </w:rPr>
            </w:pPr>
            <w:r>
              <w:rPr>
                <w:rFonts w:hint="eastAsia" w:ascii="微软雅黑" w:hAnsi="黑体" w:eastAsia="微软雅黑" w:cs="宋体"/>
                <w:color w:val="000000"/>
                <w:kern w:val="0"/>
                <w:sz w:val="44"/>
                <w:szCs w:val="44"/>
              </w:rPr>
              <w:t>2023年部门整体绩效评价指标体系评分表</w:t>
            </w:r>
          </w:p>
        </w:tc>
      </w:tr>
      <w:tr>
        <w:tblPrEx>
          <w:tblCellMar>
            <w:top w:w="0" w:type="dxa"/>
            <w:left w:w="108" w:type="dxa"/>
            <w:bottom w:w="0" w:type="dxa"/>
            <w:right w:w="108" w:type="dxa"/>
          </w:tblCellMar>
        </w:tblPrEx>
        <w:trPr>
          <w:cantSplit/>
          <w:trHeight w:val="470" w:hRule="atLeast"/>
        </w:trPr>
        <w:tc>
          <w:tcPr>
            <w:tcW w:w="15482" w:type="dxa"/>
            <w:gridSpan w:val="13"/>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一、</w:t>
            </w:r>
            <w:r>
              <w:rPr>
                <w:rFonts w:hint="eastAsia" w:ascii="宋体" w:hAnsi="宋体" w:cs="宋体"/>
                <w:color w:val="000000"/>
                <w:kern w:val="0"/>
                <w:sz w:val="20"/>
                <w:szCs w:val="20"/>
              </w:rPr>
              <w:t>当年预算执行情况（20分）</w:t>
            </w:r>
          </w:p>
        </w:tc>
      </w:tr>
      <w:tr>
        <w:tblPrEx>
          <w:tblCellMar>
            <w:top w:w="0" w:type="dxa"/>
            <w:left w:w="108" w:type="dxa"/>
            <w:bottom w:w="0" w:type="dxa"/>
            <w:right w:w="108" w:type="dxa"/>
          </w:tblCellMar>
        </w:tblPrEx>
        <w:trPr>
          <w:gridAfter w:val="1"/>
          <w:wAfter w:w="32" w:type="dxa"/>
          <w:cantSplit/>
          <w:trHeight w:val="660" w:hRule="atLeast"/>
        </w:trPr>
        <w:tc>
          <w:tcPr>
            <w:tcW w:w="120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107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12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预算数（万元）</w:t>
            </w:r>
          </w:p>
        </w:tc>
        <w:tc>
          <w:tcPr>
            <w:tcW w:w="130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执行数（万元）</w:t>
            </w:r>
          </w:p>
        </w:tc>
        <w:tc>
          <w:tcPr>
            <w:tcW w:w="3719"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预算执行率</w:t>
            </w:r>
          </w:p>
        </w:tc>
        <w:tc>
          <w:tcPr>
            <w:tcW w:w="7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73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35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指标解释</w:t>
            </w:r>
          </w:p>
        </w:tc>
        <w:tc>
          <w:tcPr>
            <w:tcW w:w="183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评分标准</w:t>
            </w:r>
          </w:p>
        </w:tc>
      </w:tr>
      <w:tr>
        <w:tblPrEx>
          <w:tblCellMar>
            <w:top w:w="0" w:type="dxa"/>
            <w:left w:w="108" w:type="dxa"/>
            <w:bottom w:w="0" w:type="dxa"/>
            <w:right w:w="108" w:type="dxa"/>
          </w:tblCellMar>
        </w:tblPrEx>
        <w:trPr>
          <w:gridAfter w:val="1"/>
          <w:wAfter w:w="32" w:type="dxa"/>
          <w:cantSplit/>
          <w:trHeight w:val="630" w:hRule="atLeast"/>
        </w:trPr>
        <w:tc>
          <w:tcPr>
            <w:tcW w:w="1206" w:type="dxa"/>
            <w:vMerge w:val="restart"/>
            <w:tcBorders>
              <w:top w:val="nil"/>
              <w:left w:val="single" w:color="auto" w:sz="4" w:space="0"/>
              <w:bottom w:val="single" w:color="000000"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当年预算执行情况（20）</w:t>
            </w:r>
          </w:p>
        </w:tc>
        <w:tc>
          <w:tcPr>
            <w:tcW w:w="107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资金总体</w:t>
            </w:r>
          </w:p>
        </w:tc>
        <w:tc>
          <w:tcPr>
            <w:tcW w:w="1268" w:type="dxa"/>
            <w:tcBorders>
              <w:top w:val="single" w:color="auto" w:sz="4" w:space="0"/>
              <w:left w:val="single" w:color="auto" w:sz="4" w:space="0"/>
              <w:bottom w:val="single" w:color="auto" w:sz="4" w:space="0"/>
              <w:right w:val="single" w:color="auto" w:sz="4" w:space="0"/>
            </w:tcBorders>
            <w:vAlign w:val="center"/>
          </w:tcPr>
          <w:p>
            <w:pPr>
              <w:widowControl/>
              <w:jc w:val="right"/>
              <w:rPr>
                <w:rFonts w:cs="宋体" w:asciiTheme="minorEastAsia" w:hAnsiTheme="minorEastAsia" w:eastAsiaTheme="minorEastAsia"/>
                <w:color w:val="000000"/>
                <w:kern w:val="0"/>
                <w:sz w:val="20"/>
                <w:szCs w:val="20"/>
              </w:rPr>
            </w:pPr>
            <w:r>
              <w:rPr>
                <w:rFonts w:asciiTheme="minorEastAsia" w:hAnsiTheme="minorEastAsia" w:eastAsiaTheme="minorEastAsia"/>
              </w:rPr>
              <w:t>10,589.90</w:t>
            </w:r>
          </w:p>
        </w:tc>
        <w:tc>
          <w:tcPr>
            <w:tcW w:w="1306" w:type="dxa"/>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0"/>
                <w:szCs w:val="20"/>
              </w:rPr>
            </w:pPr>
            <w:r>
              <w:rPr>
                <w:rFonts w:asciiTheme="minorEastAsia" w:hAnsiTheme="minorEastAsia" w:eastAsiaTheme="minorEastAsia"/>
              </w:rPr>
              <w:t>10,301.30</w:t>
            </w:r>
          </w:p>
        </w:tc>
        <w:tc>
          <w:tcPr>
            <w:tcW w:w="3719"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97.27%</w:t>
            </w:r>
          </w:p>
        </w:tc>
        <w:tc>
          <w:tcPr>
            <w:tcW w:w="763"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733"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19.45</w:t>
            </w:r>
          </w:p>
        </w:tc>
        <w:tc>
          <w:tcPr>
            <w:tcW w:w="3548"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部门全年执行数与全年预算数的比率。资金总体=基本支出+项目支出+其他</w:t>
            </w:r>
          </w:p>
        </w:tc>
        <w:tc>
          <w:tcPr>
            <w:tcW w:w="1837" w:type="dxa"/>
            <w:vMerge w:val="restart"/>
            <w:tcBorders>
              <w:top w:val="nil"/>
              <w:left w:val="single" w:color="auto" w:sz="4" w:space="0"/>
              <w:bottom w:val="single" w:color="auto" w:sz="4" w:space="0"/>
              <w:right w:val="single" w:color="auto" w:sz="4" w:space="0"/>
            </w:tcBorders>
            <w:vAlign w:val="center"/>
          </w:tcPr>
          <w:p>
            <w:pPr>
              <w:widowControl/>
              <w:ind w:left="-99" w:leftChars="-47" w:firstLine="99" w:firstLineChars="55"/>
              <w:jc w:val="left"/>
              <w:rPr>
                <w:rFonts w:ascii="宋体" w:hAnsi="宋体" w:cs="宋体"/>
                <w:color w:val="000000"/>
                <w:kern w:val="0"/>
                <w:sz w:val="18"/>
                <w:szCs w:val="18"/>
              </w:rPr>
            </w:pPr>
            <w:r>
              <w:rPr>
                <w:rFonts w:hint="eastAsia" w:ascii="宋体" w:hAnsi="宋体" w:cs="宋体"/>
                <w:color w:val="000000"/>
                <w:kern w:val="0"/>
                <w:sz w:val="18"/>
                <w:szCs w:val="18"/>
              </w:rPr>
              <w:t>①得分一档最高不能超过该指标分值上限（20分）。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w:t>
            </w:r>
          </w:p>
        </w:tc>
      </w:tr>
      <w:tr>
        <w:tblPrEx>
          <w:tblCellMar>
            <w:top w:w="0" w:type="dxa"/>
            <w:left w:w="108" w:type="dxa"/>
            <w:bottom w:w="0" w:type="dxa"/>
            <w:right w:w="108" w:type="dxa"/>
          </w:tblCellMar>
        </w:tblPrEx>
        <w:trPr>
          <w:gridAfter w:val="1"/>
          <w:wAfter w:w="32" w:type="dxa"/>
          <w:cantSplit/>
          <w:trHeight w:val="600" w:hRule="atLeast"/>
        </w:trPr>
        <w:tc>
          <w:tcPr>
            <w:tcW w:w="120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70" w:type="dxa"/>
            <w:tcBorders>
              <w:top w:val="single" w:color="auto" w:sz="4" w:space="0"/>
              <w:left w:val="single" w:color="auto" w:sz="4" w:space="0"/>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基本支出</w:t>
            </w:r>
          </w:p>
        </w:tc>
        <w:tc>
          <w:tcPr>
            <w:tcW w:w="1268" w:type="dxa"/>
            <w:tcBorders>
              <w:top w:val="single" w:color="auto" w:sz="4" w:space="0"/>
              <w:left w:val="single" w:color="auto" w:sz="4" w:space="0"/>
              <w:bottom w:val="single" w:color="auto" w:sz="4" w:space="0"/>
              <w:right w:val="single" w:color="auto" w:sz="4" w:space="0"/>
            </w:tcBorders>
            <w:vAlign w:val="center"/>
          </w:tcPr>
          <w:p>
            <w:pPr>
              <w:widowControl/>
              <w:jc w:val="right"/>
              <w:rPr>
                <w:rFonts w:cs="宋体" w:asciiTheme="minorEastAsia" w:hAnsiTheme="minorEastAsia" w:eastAsiaTheme="minorEastAsia"/>
                <w:color w:val="000000"/>
                <w:kern w:val="0"/>
                <w:sz w:val="20"/>
                <w:szCs w:val="20"/>
              </w:rPr>
            </w:pPr>
            <w:r>
              <w:rPr>
                <w:rFonts w:asciiTheme="minorEastAsia" w:hAnsiTheme="minorEastAsia" w:eastAsiaTheme="minorEastAsia"/>
              </w:rPr>
              <w:t>9,827.52</w:t>
            </w:r>
          </w:p>
        </w:tc>
        <w:tc>
          <w:tcPr>
            <w:tcW w:w="1306" w:type="dxa"/>
            <w:tcBorders>
              <w:top w:val="single" w:color="auto" w:sz="4" w:space="0"/>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0"/>
                <w:szCs w:val="20"/>
              </w:rPr>
            </w:pPr>
            <w:r>
              <w:rPr>
                <w:rFonts w:asciiTheme="minorEastAsia" w:hAnsiTheme="minorEastAsia" w:eastAsiaTheme="minorEastAsia"/>
              </w:rPr>
              <w:t>9,655.64</w:t>
            </w:r>
          </w:p>
        </w:tc>
        <w:tc>
          <w:tcPr>
            <w:tcW w:w="3719"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76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33" w:type="dxa"/>
            <w:gridSpan w:val="2"/>
            <w:vMerge w:val="continue"/>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20"/>
                <w:szCs w:val="20"/>
              </w:rPr>
            </w:pPr>
          </w:p>
        </w:tc>
        <w:tc>
          <w:tcPr>
            <w:tcW w:w="354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83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gridAfter w:val="1"/>
          <w:wAfter w:w="32" w:type="dxa"/>
          <w:cantSplit/>
          <w:trHeight w:val="615" w:hRule="atLeast"/>
        </w:trPr>
        <w:tc>
          <w:tcPr>
            <w:tcW w:w="120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70" w:type="dxa"/>
            <w:tcBorders>
              <w:top w:val="single" w:color="auto" w:sz="4" w:space="0"/>
              <w:left w:val="single" w:color="auto" w:sz="4" w:space="0"/>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项目支出</w:t>
            </w:r>
          </w:p>
        </w:tc>
        <w:tc>
          <w:tcPr>
            <w:tcW w:w="1268" w:type="dxa"/>
            <w:tcBorders>
              <w:top w:val="single" w:color="auto" w:sz="4" w:space="0"/>
              <w:left w:val="single" w:color="auto" w:sz="4" w:space="0"/>
              <w:bottom w:val="single" w:color="auto" w:sz="4" w:space="0"/>
              <w:right w:val="single" w:color="auto" w:sz="4" w:space="0"/>
            </w:tcBorders>
            <w:vAlign w:val="center"/>
          </w:tcPr>
          <w:p>
            <w:pPr>
              <w:widowControl/>
              <w:jc w:val="right"/>
              <w:rPr>
                <w:rFonts w:cs="宋体" w:asciiTheme="minorEastAsia" w:hAnsiTheme="minorEastAsia" w:eastAsiaTheme="minorEastAsia"/>
                <w:color w:val="000000"/>
                <w:kern w:val="0"/>
                <w:sz w:val="20"/>
                <w:szCs w:val="20"/>
              </w:rPr>
            </w:pPr>
            <w:r>
              <w:rPr>
                <w:rFonts w:asciiTheme="minorEastAsia" w:hAnsiTheme="minorEastAsia" w:eastAsiaTheme="minorEastAsia"/>
              </w:rPr>
              <w:t>762.38</w:t>
            </w:r>
          </w:p>
        </w:tc>
        <w:tc>
          <w:tcPr>
            <w:tcW w:w="1306" w:type="dxa"/>
            <w:tcBorders>
              <w:top w:val="single" w:color="auto" w:sz="4" w:space="0"/>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0"/>
                <w:szCs w:val="20"/>
              </w:rPr>
            </w:pPr>
            <w:r>
              <w:rPr>
                <w:rFonts w:asciiTheme="minorEastAsia" w:hAnsiTheme="minorEastAsia" w:eastAsiaTheme="minorEastAsia"/>
              </w:rPr>
              <w:t>645.66</w:t>
            </w:r>
          </w:p>
        </w:tc>
        <w:tc>
          <w:tcPr>
            <w:tcW w:w="371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6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33" w:type="dxa"/>
            <w:gridSpan w:val="2"/>
            <w:vMerge w:val="continue"/>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20"/>
                <w:szCs w:val="20"/>
              </w:rPr>
            </w:pPr>
          </w:p>
        </w:tc>
        <w:tc>
          <w:tcPr>
            <w:tcW w:w="354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83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gridAfter w:val="1"/>
          <w:wAfter w:w="32" w:type="dxa"/>
          <w:cantSplit/>
          <w:trHeight w:val="3133" w:hRule="atLeast"/>
        </w:trPr>
        <w:tc>
          <w:tcPr>
            <w:tcW w:w="120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7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w:t>
            </w:r>
          </w:p>
        </w:tc>
        <w:tc>
          <w:tcPr>
            <w:tcW w:w="126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r>
              <w:rPr>
                <w:rFonts w:ascii="宋体" w:hAnsi="宋体" w:cs="宋体"/>
                <w:color w:val="000000"/>
                <w:kern w:val="0"/>
                <w:sz w:val="20"/>
                <w:szCs w:val="20"/>
              </w:rPr>
              <w:t>.00</w:t>
            </w:r>
          </w:p>
        </w:tc>
        <w:tc>
          <w:tcPr>
            <w:tcW w:w="130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r>
              <w:rPr>
                <w:rFonts w:ascii="宋体" w:hAnsi="宋体" w:cs="宋体"/>
                <w:color w:val="000000"/>
                <w:kern w:val="0"/>
                <w:sz w:val="20"/>
                <w:szCs w:val="20"/>
              </w:rPr>
              <w:t>.00</w:t>
            </w:r>
          </w:p>
        </w:tc>
        <w:tc>
          <w:tcPr>
            <w:tcW w:w="371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6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33" w:type="dxa"/>
            <w:gridSpan w:val="2"/>
            <w:vMerge w:val="continue"/>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20"/>
                <w:szCs w:val="20"/>
              </w:rPr>
            </w:pPr>
          </w:p>
        </w:tc>
        <w:tc>
          <w:tcPr>
            <w:tcW w:w="354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83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479" w:hRule="atLeast"/>
        </w:trPr>
        <w:tc>
          <w:tcPr>
            <w:tcW w:w="15482" w:type="dxa"/>
            <w:gridSpan w:val="13"/>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二</w:t>
            </w:r>
            <w:r>
              <w:rPr>
                <w:rFonts w:ascii="宋体" w:hAnsi="宋体" w:cs="宋体"/>
                <w:color w:val="000000"/>
                <w:kern w:val="0"/>
                <w:sz w:val="18"/>
                <w:szCs w:val="18"/>
              </w:rPr>
              <w:t>、</w:t>
            </w:r>
            <w:r>
              <w:rPr>
                <w:rFonts w:hint="eastAsia" w:ascii="宋体" w:hAnsi="宋体" w:cs="宋体"/>
                <w:color w:val="000000"/>
                <w:kern w:val="0"/>
                <w:sz w:val="20"/>
                <w:szCs w:val="20"/>
              </w:rPr>
              <w:t>整体绩效目标实现情况（60分）</w:t>
            </w:r>
          </w:p>
        </w:tc>
      </w:tr>
      <w:tr>
        <w:tblPrEx>
          <w:tblCellMar>
            <w:top w:w="0" w:type="dxa"/>
            <w:left w:w="108" w:type="dxa"/>
            <w:bottom w:w="0" w:type="dxa"/>
            <w:right w:w="108" w:type="dxa"/>
          </w:tblCellMar>
        </w:tblPrEx>
        <w:trPr>
          <w:gridAfter w:val="1"/>
          <w:wAfter w:w="32" w:type="dxa"/>
          <w:cantSplit/>
          <w:trHeight w:val="499" w:hRule="atLeast"/>
        </w:trPr>
        <w:tc>
          <w:tcPr>
            <w:tcW w:w="120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107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126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130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371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完成值</w:t>
            </w:r>
          </w:p>
        </w:tc>
        <w:tc>
          <w:tcPr>
            <w:tcW w:w="763"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733" w:type="dxa"/>
            <w:gridSpan w:val="2"/>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35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83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gridAfter w:val="1"/>
          <w:wAfter w:w="32" w:type="dxa"/>
          <w:cantSplit/>
          <w:trHeight w:val="1477" w:hRule="atLeast"/>
        </w:trPr>
        <w:tc>
          <w:tcPr>
            <w:tcW w:w="120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整体绩效目标实现情况（60）</w:t>
            </w:r>
          </w:p>
        </w:tc>
        <w:tc>
          <w:tcPr>
            <w:tcW w:w="1070" w:type="dxa"/>
            <w:vMerge w:val="restar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p>
            <w:pPr>
              <w:jc w:val="center"/>
              <w:rPr>
                <w:rFonts w:ascii="宋体" w:hAnsi="宋体" w:cs="宋体"/>
                <w:color w:val="000000"/>
                <w:kern w:val="0"/>
                <w:sz w:val="20"/>
                <w:szCs w:val="20"/>
              </w:rPr>
            </w:pPr>
            <w:r>
              <w:rPr>
                <w:rFonts w:hint="eastAsia" w:ascii="宋体" w:hAnsi="宋体" w:cs="宋体"/>
                <w:color w:val="000000"/>
                <w:kern w:val="0"/>
                <w:sz w:val="20"/>
                <w:szCs w:val="20"/>
              </w:rPr>
              <w:t>产出（30）</w:t>
            </w:r>
          </w:p>
        </w:tc>
        <w:tc>
          <w:tcPr>
            <w:tcW w:w="1268"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宋体" w:hAnsi="宋体" w:cs="宋体"/>
                <w:color w:val="000000"/>
                <w:kern w:val="0"/>
                <w:sz w:val="20"/>
                <w:szCs w:val="20"/>
              </w:rPr>
              <w:t>产出数量</w:t>
            </w:r>
          </w:p>
        </w:tc>
        <w:tc>
          <w:tcPr>
            <w:tcW w:w="1306" w:type="dxa"/>
            <w:tcBorders>
              <w:top w:val="single" w:color="auto" w:sz="4" w:space="0"/>
              <w:left w:val="nil"/>
              <w:bottom w:val="single" w:color="auto" w:sz="4" w:space="0"/>
              <w:right w:val="single" w:color="auto" w:sz="4" w:space="0"/>
            </w:tcBorders>
            <w:vAlign w:val="center"/>
          </w:tcPr>
          <w:p>
            <w:pPr>
              <w:jc w:val="left"/>
              <w:rPr>
                <w:rFonts w:ascii="宋体" w:hAnsi="宋体" w:cs="宋体"/>
                <w:color w:val="000000"/>
                <w:kern w:val="0"/>
                <w:sz w:val="20"/>
                <w:szCs w:val="20"/>
              </w:rPr>
            </w:pPr>
            <w:r>
              <w:rPr>
                <w:rFonts w:hint="eastAsia" w:ascii="宋体" w:hAnsi="宋体" w:cs="宋体"/>
                <w:color w:val="000000"/>
                <w:kern w:val="0"/>
                <w:sz w:val="20"/>
                <w:szCs w:val="20"/>
              </w:rPr>
              <w:t>8个项目</w:t>
            </w:r>
          </w:p>
        </w:tc>
        <w:tc>
          <w:tcPr>
            <w:tcW w:w="3719"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实际完成8个项目：专用设备及材料购置项目、专业咨询类项目、办案业务费项目、检察工作经费项目、安检安保工作经费、互联网接入费（开发区检察处）、本院运维经费项目、业务装备费（专用设备购置）项目。</w:t>
            </w:r>
          </w:p>
        </w:tc>
        <w:tc>
          <w:tcPr>
            <w:tcW w:w="763"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p>
            <w:pPr>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733" w:type="dxa"/>
            <w:gridSpan w:val="2"/>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0"/>
                <w:szCs w:val="20"/>
              </w:rPr>
            </w:pPr>
          </w:p>
          <w:p>
            <w:pPr>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3548"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产出数量</w:t>
            </w:r>
            <w:r>
              <w:rPr>
                <w:rFonts w:hint="eastAsia" w:ascii="宋体" w:hAnsi="宋体" w:cs="宋体"/>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color w:val="000000"/>
                <w:kern w:val="0"/>
                <w:sz w:val="18"/>
                <w:szCs w:val="18"/>
              </w:rPr>
              <w:t>产出质量</w:t>
            </w:r>
            <w:r>
              <w:rPr>
                <w:rFonts w:hint="eastAsia" w:ascii="宋体" w:hAnsi="宋体" w:cs="宋体"/>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color w:val="000000"/>
                <w:kern w:val="0"/>
                <w:sz w:val="18"/>
                <w:szCs w:val="18"/>
              </w:rPr>
              <w:t>产出进度：</w:t>
            </w:r>
            <w:r>
              <w:rPr>
                <w:rFonts w:hint="eastAsia" w:ascii="宋体" w:hAnsi="宋体" w:cs="宋体"/>
                <w:color w:val="000000"/>
                <w:kern w:val="0"/>
                <w:sz w:val="18"/>
                <w:szCs w:val="18"/>
              </w:rPr>
              <w:t>按时完成率=（按时完成工作数/实际完成工作数）×100%。按时完成工作数：部门（单位）按照整体绩效目标确定的时限实际完成的工作任务数量。</w:t>
            </w:r>
            <w:r>
              <w:rPr>
                <w:rFonts w:hint="eastAsia" w:ascii="宋体" w:hAnsi="宋体" w:cs="宋体"/>
                <w:b/>
                <w:bCs/>
                <w:color w:val="000000"/>
                <w:kern w:val="0"/>
                <w:sz w:val="18"/>
                <w:szCs w:val="18"/>
              </w:rPr>
              <w:t>产出成本</w:t>
            </w:r>
            <w:r>
              <w:rPr>
                <w:rFonts w:hint="eastAsia" w:ascii="宋体" w:hAnsi="宋体" w:cs="宋体"/>
                <w:color w:val="000000"/>
                <w:kern w:val="0"/>
                <w:sz w:val="18"/>
                <w:szCs w:val="18"/>
              </w:rPr>
              <w:t>：单位产出相对于上一年度的节约额；②单位产出相对于市场同类产出的节约额；③部门公用经费的控制情况。</w:t>
            </w:r>
          </w:p>
        </w:tc>
        <w:tc>
          <w:tcPr>
            <w:tcW w:w="183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tblPrEx>
          <w:tblCellMar>
            <w:top w:w="0" w:type="dxa"/>
            <w:left w:w="108" w:type="dxa"/>
            <w:bottom w:w="0" w:type="dxa"/>
            <w:right w:w="108" w:type="dxa"/>
          </w:tblCellMar>
        </w:tblPrEx>
        <w:trPr>
          <w:gridAfter w:val="1"/>
          <w:wAfter w:w="32" w:type="dxa"/>
          <w:cantSplit/>
          <w:trHeight w:val="1412" w:hRule="atLeast"/>
        </w:trPr>
        <w:tc>
          <w:tcPr>
            <w:tcW w:w="12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7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6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产出质量</w:t>
            </w:r>
          </w:p>
        </w:tc>
        <w:tc>
          <w:tcPr>
            <w:tcW w:w="1306"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质量达标率1</w:t>
            </w:r>
            <w:r>
              <w:rPr>
                <w:rFonts w:ascii="宋体" w:hAnsi="宋体" w:cs="宋体"/>
                <w:color w:val="000000"/>
                <w:kern w:val="0"/>
                <w:sz w:val="20"/>
                <w:szCs w:val="20"/>
              </w:rPr>
              <w:t>00</w:t>
            </w:r>
            <w:r>
              <w:rPr>
                <w:rFonts w:hint="eastAsia" w:ascii="宋体" w:hAnsi="宋体" w:cs="宋体"/>
                <w:color w:val="000000"/>
                <w:kern w:val="0"/>
                <w:sz w:val="20"/>
                <w:szCs w:val="20"/>
              </w:rPr>
              <w:t>%</w:t>
            </w:r>
          </w:p>
        </w:tc>
        <w:tc>
          <w:tcPr>
            <w:tcW w:w="371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8个项目质量全部达标。</w:t>
            </w:r>
          </w:p>
        </w:tc>
        <w:tc>
          <w:tcPr>
            <w:tcW w:w="7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733" w:type="dxa"/>
            <w:gridSpan w:val="2"/>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354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83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gridAfter w:val="1"/>
          <w:wAfter w:w="32" w:type="dxa"/>
          <w:cantSplit/>
          <w:trHeight w:val="1547" w:hRule="atLeast"/>
        </w:trPr>
        <w:tc>
          <w:tcPr>
            <w:tcW w:w="12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7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6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产出进度</w:t>
            </w:r>
          </w:p>
        </w:tc>
        <w:tc>
          <w:tcPr>
            <w:tcW w:w="1306"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按照规定时限完成</w:t>
            </w:r>
          </w:p>
        </w:tc>
        <w:tc>
          <w:tcPr>
            <w:tcW w:w="371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8个项目全部在规定时限内完成。</w:t>
            </w:r>
          </w:p>
        </w:tc>
        <w:tc>
          <w:tcPr>
            <w:tcW w:w="7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733" w:type="dxa"/>
            <w:gridSpan w:val="2"/>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354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83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gridAfter w:val="1"/>
          <w:wAfter w:w="32" w:type="dxa"/>
          <w:cantSplit/>
          <w:trHeight w:val="1837" w:hRule="atLeast"/>
        </w:trPr>
        <w:tc>
          <w:tcPr>
            <w:tcW w:w="12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7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68" w:type="dxa"/>
            <w:tcBorders>
              <w:top w:val="single" w:color="auto" w:sz="4" w:space="0"/>
              <w:left w:val="nil"/>
              <w:bottom w:val="single" w:color="auto" w:sz="4" w:space="0"/>
              <w:right w:val="single" w:color="auto" w:sz="4" w:space="0"/>
            </w:tcBorders>
            <w:vAlign w:val="center"/>
          </w:tcPr>
          <w:p>
            <w:pPr>
              <w:widowControl/>
              <w:jc w:val="center"/>
            </w:pPr>
            <w:r>
              <w:rPr>
                <w:rFonts w:hint="eastAsia"/>
              </w:rPr>
              <w:t>产出成本</w:t>
            </w:r>
          </w:p>
        </w:tc>
        <w:tc>
          <w:tcPr>
            <w:tcW w:w="1306" w:type="dxa"/>
            <w:tcBorders>
              <w:top w:val="single" w:color="auto" w:sz="4" w:space="0"/>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公用经费支出全年预算数1,168.23万元</w:t>
            </w:r>
          </w:p>
        </w:tc>
        <w:tc>
          <w:tcPr>
            <w:tcW w:w="3719" w:type="dxa"/>
            <w:gridSpan w:val="2"/>
            <w:tcBorders>
              <w:top w:val="single" w:color="auto" w:sz="4" w:space="0"/>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2023年度公用经费支出全年预算数1,168.23万元，决算数1,136.36万元，部分经费实现成本节约，如：公务接待费2023年决算数0.03万元，比2023年年初预算数0.50万元减少0.47万元，主要原因为根据厉行节约要求，减少公务接待费支出。</w:t>
            </w:r>
          </w:p>
        </w:tc>
        <w:tc>
          <w:tcPr>
            <w:tcW w:w="7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733" w:type="dxa"/>
            <w:gridSpan w:val="2"/>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354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83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gridAfter w:val="1"/>
          <w:wAfter w:w="32" w:type="dxa"/>
          <w:cantSplit/>
          <w:trHeight w:val="6509" w:hRule="atLeast"/>
        </w:trPr>
        <w:tc>
          <w:tcPr>
            <w:tcW w:w="12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7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效果（30）</w:t>
            </w:r>
          </w:p>
        </w:tc>
        <w:tc>
          <w:tcPr>
            <w:tcW w:w="126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经济效益</w:t>
            </w:r>
          </w:p>
        </w:tc>
        <w:tc>
          <w:tcPr>
            <w:tcW w:w="1306"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单位履行职责对经济发展所带来的直接或间接影响</w:t>
            </w:r>
          </w:p>
        </w:tc>
        <w:tc>
          <w:tcPr>
            <w:tcW w:w="3719"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主动融入发展大局，精准助力区域经济社会高质量发展。助力优化营商环境，办理各类危害市场秩序案件189件，危害企业内部治理的涉企行受贿犯罪案件20件。依法办理涉非法吸收公众存款、网络金融传销等危害区域金融安全的案件308件。妥善办理了涉案金额达77亿元的“博康艾馨”系列案168件，涉案金额高达200亿元的“正联安信”网络金融传销系列案53件。</w:t>
            </w:r>
          </w:p>
          <w:p>
            <w:pPr>
              <w:widowControl/>
              <w:jc w:val="left"/>
              <w:rPr>
                <w:rFonts w:ascii="宋体" w:hAnsi="宋体" w:cs="宋体"/>
                <w:color w:val="000000"/>
                <w:kern w:val="0"/>
                <w:sz w:val="20"/>
                <w:szCs w:val="20"/>
              </w:rPr>
            </w:pPr>
            <w:r>
              <w:rPr>
                <w:rFonts w:hint="eastAsia" w:ascii="宋体" w:hAnsi="宋体" w:cs="宋体"/>
                <w:color w:val="000000"/>
                <w:kern w:val="0"/>
                <w:sz w:val="20"/>
                <w:szCs w:val="20"/>
              </w:rPr>
              <w:t>（2）积极推进国有财产保护领域检察履职，督促11家民营加油站补缴税款3400余万元，推动多家耕地占用单位补缴耕地占用税款1280万元。</w:t>
            </w:r>
          </w:p>
        </w:tc>
        <w:tc>
          <w:tcPr>
            <w:tcW w:w="7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733" w:type="dxa"/>
            <w:gridSpan w:val="2"/>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3548"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经济效益</w:t>
            </w:r>
            <w:r>
              <w:rPr>
                <w:rFonts w:hint="eastAsia" w:ascii="宋体" w:hAnsi="宋体" w:cs="宋体"/>
                <w:color w:val="000000"/>
                <w:kern w:val="0"/>
                <w:sz w:val="18"/>
                <w:szCs w:val="18"/>
              </w:rPr>
              <w:t>：部门（单位）履行职责对经济发展所带来的直接或间接影响。</w:t>
            </w:r>
            <w:r>
              <w:rPr>
                <w:rFonts w:hint="eastAsia" w:ascii="宋体" w:hAnsi="宋体" w:cs="宋体"/>
                <w:b/>
                <w:bCs/>
                <w:color w:val="000000"/>
                <w:kern w:val="0"/>
                <w:sz w:val="18"/>
                <w:szCs w:val="18"/>
              </w:rPr>
              <w:t>社会效益</w:t>
            </w:r>
            <w:r>
              <w:rPr>
                <w:rFonts w:hint="eastAsia" w:ascii="宋体" w:hAnsi="宋体" w:cs="宋体"/>
                <w:color w:val="000000"/>
                <w:kern w:val="0"/>
                <w:sz w:val="18"/>
                <w:szCs w:val="18"/>
              </w:rPr>
              <w:t>：部门（单位）履行职责对社会发展所带来的直接或间接影响。</w:t>
            </w:r>
            <w:r>
              <w:rPr>
                <w:rFonts w:hint="eastAsia" w:ascii="宋体" w:hAnsi="宋体" w:cs="宋体"/>
                <w:b/>
                <w:bCs/>
                <w:color w:val="000000"/>
                <w:kern w:val="0"/>
                <w:sz w:val="18"/>
                <w:szCs w:val="18"/>
              </w:rPr>
              <w:t>环境效益</w:t>
            </w:r>
            <w:r>
              <w:rPr>
                <w:rFonts w:hint="eastAsia" w:ascii="宋体" w:hAnsi="宋体" w:cs="宋体"/>
                <w:color w:val="000000"/>
                <w:kern w:val="0"/>
                <w:sz w:val="18"/>
                <w:szCs w:val="18"/>
              </w:rPr>
              <w:t>：部门（单位）履行职责对环境所带来的直接或间接影响。</w:t>
            </w:r>
            <w:r>
              <w:rPr>
                <w:rFonts w:hint="eastAsia" w:ascii="宋体" w:hAnsi="宋体" w:cs="宋体"/>
                <w:b/>
                <w:bCs/>
                <w:color w:val="000000"/>
                <w:kern w:val="0"/>
                <w:sz w:val="18"/>
                <w:szCs w:val="18"/>
              </w:rPr>
              <w:t>可持续性影响：</w:t>
            </w:r>
            <w:r>
              <w:rPr>
                <w:rFonts w:hint="eastAsia" w:ascii="宋体" w:hAnsi="宋体" w:cs="宋体"/>
                <w:color w:val="000000"/>
                <w:kern w:val="0"/>
                <w:sz w:val="18"/>
                <w:szCs w:val="18"/>
              </w:rPr>
              <w:t>部门绩效目标实现的长效机制建设情况，部门工作效率提升措施的创新。</w:t>
            </w:r>
            <w:r>
              <w:rPr>
                <w:rFonts w:hint="eastAsia" w:ascii="宋体" w:hAnsi="宋体" w:cs="宋体"/>
                <w:b/>
                <w:bCs/>
                <w:color w:val="000000"/>
                <w:kern w:val="0"/>
                <w:sz w:val="18"/>
                <w:szCs w:val="18"/>
              </w:rPr>
              <w:t>服务对象满意度</w:t>
            </w:r>
            <w:r>
              <w:rPr>
                <w:rFonts w:hint="eastAsia" w:ascii="宋体" w:hAnsi="宋体" w:cs="宋体"/>
                <w:color w:val="000000"/>
                <w:kern w:val="0"/>
                <w:sz w:val="18"/>
                <w:szCs w:val="18"/>
              </w:rPr>
              <w:t>：部门（单位）的服务对象对部门履职效果的满意程度。</w:t>
            </w:r>
          </w:p>
        </w:tc>
        <w:tc>
          <w:tcPr>
            <w:tcW w:w="183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部门根据实际情况选择指标进行填写，并将其细化为相应的个性化指标。对于效益类指标可从受益对象瞄准度、受益广度和受益深度上进行设计分析。</w:t>
            </w:r>
          </w:p>
        </w:tc>
      </w:tr>
      <w:tr>
        <w:tblPrEx>
          <w:tblCellMar>
            <w:top w:w="0" w:type="dxa"/>
            <w:left w:w="108" w:type="dxa"/>
            <w:bottom w:w="0" w:type="dxa"/>
            <w:right w:w="108" w:type="dxa"/>
          </w:tblCellMar>
        </w:tblPrEx>
        <w:trPr>
          <w:gridAfter w:val="1"/>
          <w:wAfter w:w="32" w:type="dxa"/>
          <w:cantSplit/>
          <w:trHeight w:val="1173" w:hRule="atLeast"/>
        </w:trPr>
        <w:tc>
          <w:tcPr>
            <w:tcW w:w="12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7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26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w:t>
            </w:r>
          </w:p>
        </w:tc>
        <w:tc>
          <w:tcPr>
            <w:tcW w:w="130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单位履行职责对社会发展所带来的直接或间接影响</w:t>
            </w:r>
          </w:p>
        </w:tc>
        <w:tc>
          <w:tcPr>
            <w:tcW w:w="3719"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聚焦区域治理需要，积极助力平安大兴建设。认真贯彻落实总体国家安全观，依法惩治各类危害国家安全和社会公共安全的刑事犯罪案件477件。着力办好群众“身边小案”，办理常发性刑事案件1295件。重点办理了涉寻衅滋事、聚众斗殴等社会扰序类犯罪案件509件。严厉打击各类网络犯罪，办理涉网络电信诈骗及其关联犯罪案件294件。围绕办案履职发现的社会治理问题，向政府部门、企事业单位等制发综合治理检察建议101份。</w:t>
            </w:r>
          </w:p>
          <w:p>
            <w:pPr>
              <w:widowControl/>
              <w:jc w:val="left"/>
              <w:rPr>
                <w:rFonts w:ascii="宋体" w:hAnsi="宋体" w:cs="宋体"/>
                <w:color w:val="000000"/>
                <w:kern w:val="0"/>
                <w:sz w:val="20"/>
                <w:szCs w:val="20"/>
              </w:rPr>
            </w:pPr>
            <w:r>
              <w:rPr>
                <w:rFonts w:hint="eastAsia" w:ascii="宋体" w:hAnsi="宋体" w:cs="宋体"/>
                <w:color w:val="000000"/>
                <w:kern w:val="0"/>
                <w:sz w:val="20"/>
                <w:szCs w:val="20"/>
              </w:rPr>
              <w:t>（2）积极推进司法为民，着力保障民生福祉。把为民司法落到检察监督办案的全过程各环节。深入推进“最有利于未成年人”的履职原则，将四大检察履职融入“六大保护”。对17名涉案未成年人依法适用附条件不起诉，积极助力涉案未成年人回归社会。针对家庭监护不到位问题，制发督促监护令30份、家庭教育指导令9份。践行新时代“枫桥经验”，处理各类信访事项1812项，开展检察长接待日活动24次，办理领导包案化解信访案件101件，开展各类检察听证81件次。深度融入“根治欠薪”专项工作行动，妥善办理农民工讨薪案件230件。</w:t>
            </w:r>
          </w:p>
        </w:tc>
        <w:tc>
          <w:tcPr>
            <w:tcW w:w="7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733" w:type="dxa"/>
            <w:gridSpan w:val="2"/>
            <w:tcBorders>
              <w:top w:val="single" w:color="auto" w:sz="4" w:space="0"/>
              <w:left w:val="nil"/>
              <w:bottom w:val="single" w:color="auto" w:sz="4" w:space="0"/>
              <w:right w:val="nil"/>
            </w:tcBorders>
            <w:vAlign w:val="center"/>
          </w:tcPr>
          <w:p>
            <w:pPr>
              <w:pStyle w:val="2"/>
              <w:ind w:firstLine="210" w:firstLineChars="100"/>
              <w:rPr>
                <w:rFonts w:ascii="仿宋" w:hAnsi="仿宋" w:eastAsia="仿宋"/>
                <w:b w:val="0"/>
                <w:bCs w:val="0"/>
              </w:rPr>
            </w:pPr>
            <w:bookmarkStart w:id="40" w:name="_Toc19767"/>
            <w:r>
              <w:rPr>
                <w:rFonts w:hint="eastAsia" w:ascii="仿宋" w:hAnsi="仿宋" w:eastAsia="仿宋"/>
                <w:b w:val="0"/>
                <w:bCs w:val="0"/>
              </w:rPr>
              <w:t>8</w:t>
            </w:r>
            <w:bookmarkEnd w:id="40"/>
          </w:p>
        </w:tc>
        <w:tc>
          <w:tcPr>
            <w:tcW w:w="354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18"/>
                <w:szCs w:val="18"/>
              </w:rPr>
            </w:pPr>
          </w:p>
        </w:tc>
        <w:tc>
          <w:tcPr>
            <w:tcW w:w="183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gridAfter w:val="1"/>
          <w:wAfter w:w="32" w:type="dxa"/>
          <w:cantSplit/>
          <w:trHeight w:val="1173" w:hRule="atLeast"/>
        </w:trPr>
        <w:tc>
          <w:tcPr>
            <w:tcW w:w="1206"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7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26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w:t>
            </w:r>
          </w:p>
        </w:tc>
        <w:tc>
          <w:tcPr>
            <w:tcW w:w="130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全力服务经济社会高质量发展</w:t>
            </w:r>
          </w:p>
        </w:tc>
        <w:tc>
          <w:tcPr>
            <w:tcW w:w="3719" w:type="dxa"/>
            <w:gridSpan w:val="2"/>
            <w:tcBorders>
              <w:top w:val="single" w:color="auto" w:sz="4" w:space="0"/>
              <w:left w:val="nil"/>
              <w:bottom w:val="single" w:color="auto" w:sz="4" w:space="0"/>
              <w:right w:val="single" w:color="auto" w:sz="4" w:space="0"/>
            </w:tcBorders>
            <w:vAlign w:val="center"/>
          </w:tcPr>
          <w:p>
            <w:pPr>
              <w:widowControl/>
              <w:jc w:val="left"/>
            </w:pPr>
            <w:bookmarkStart w:id="43" w:name="_GoBack"/>
            <w:bookmarkEnd w:id="43"/>
            <w:r>
              <w:rPr>
                <w:rFonts w:hint="eastAsia" w:ascii="宋体" w:hAnsi="宋体" w:cs="宋体"/>
                <w:color w:val="000000"/>
                <w:kern w:val="0"/>
                <w:sz w:val="20"/>
                <w:szCs w:val="20"/>
              </w:rPr>
              <w:t>深入实施数字检察战略，充分激发大数据赋能法律监督效能，提升社会治理的综合效能。运用大数据法律监督模型44个，发现线索4047条，成案3714件，占所办监督案件的比重达67.91%。研发的“民间藏品鉴定诈骗案件大数据监督治理模型”、“工程建设行业敲诈施工费涉黑恶线索研判模型”等4个模型被纳入全市推广应用，相关模型应用成效显著，推动监督立案74件，积极运用销假销劣模型推动公安机关刑事立案25件，查获涉案人员74人。</w:t>
            </w:r>
          </w:p>
        </w:tc>
        <w:tc>
          <w:tcPr>
            <w:tcW w:w="7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733" w:type="dxa"/>
            <w:gridSpan w:val="2"/>
            <w:tcBorders>
              <w:top w:val="single" w:color="auto" w:sz="4" w:space="0"/>
              <w:left w:val="nil"/>
              <w:bottom w:val="single" w:color="auto" w:sz="4" w:space="0"/>
              <w:right w:val="nil"/>
            </w:tcBorders>
            <w:vAlign w:val="center"/>
          </w:tcPr>
          <w:p>
            <w:pPr>
              <w:pStyle w:val="2"/>
              <w:jc w:val="center"/>
              <w:rPr>
                <w:rFonts w:asciiTheme="minorEastAsia" w:hAnsiTheme="minorEastAsia" w:eastAsiaTheme="minorEastAsia"/>
                <w:b w:val="0"/>
                <w:bCs w:val="0"/>
              </w:rPr>
            </w:pPr>
            <w:bookmarkStart w:id="41" w:name="_Toc26338"/>
            <w:r>
              <w:rPr>
                <w:rFonts w:hint="eastAsia" w:asciiTheme="minorEastAsia" w:hAnsiTheme="minorEastAsia" w:eastAsiaTheme="minorEastAsia"/>
                <w:b w:val="0"/>
                <w:bCs w:val="0"/>
              </w:rPr>
              <w:t>8</w:t>
            </w:r>
            <w:bookmarkEnd w:id="41"/>
          </w:p>
        </w:tc>
        <w:tc>
          <w:tcPr>
            <w:tcW w:w="3548" w:type="dxa"/>
            <w:vMerge w:val="continue"/>
            <w:tcBorders>
              <w:left w:val="single" w:color="auto" w:sz="4" w:space="0"/>
              <w:right w:val="single" w:color="auto" w:sz="4" w:space="0"/>
            </w:tcBorders>
            <w:vAlign w:val="center"/>
          </w:tcPr>
          <w:p>
            <w:pPr>
              <w:widowControl/>
              <w:jc w:val="left"/>
              <w:rPr>
                <w:rFonts w:ascii="宋体" w:hAnsi="宋体" w:cs="宋体"/>
                <w:b/>
                <w:bCs/>
                <w:color w:val="000000"/>
                <w:kern w:val="0"/>
                <w:sz w:val="18"/>
                <w:szCs w:val="18"/>
              </w:rPr>
            </w:pPr>
          </w:p>
        </w:tc>
        <w:tc>
          <w:tcPr>
            <w:tcW w:w="1837"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gridAfter w:val="1"/>
          <w:wAfter w:w="32" w:type="dxa"/>
          <w:cantSplit/>
          <w:trHeight w:val="1173" w:hRule="atLeast"/>
        </w:trPr>
        <w:tc>
          <w:tcPr>
            <w:tcW w:w="1206"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7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26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服务对象满意度</w:t>
            </w:r>
          </w:p>
        </w:tc>
        <w:tc>
          <w:tcPr>
            <w:tcW w:w="1306"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服务对象对部门履职效果的满意程度</w:t>
            </w:r>
          </w:p>
        </w:tc>
        <w:tc>
          <w:tcPr>
            <w:tcW w:w="3719" w:type="dxa"/>
            <w:gridSpan w:val="2"/>
            <w:tcBorders>
              <w:top w:val="single" w:color="auto" w:sz="4" w:space="0"/>
              <w:left w:val="nil"/>
              <w:bottom w:val="single" w:color="auto" w:sz="4" w:space="0"/>
              <w:right w:val="single" w:color="auto" w:sz="4" w:space="0"/>
            </w:tcBorders>
            <w:vAlign w:val="center"/>
          </w:tcPr>
          <w:p>
            <w:pPr>
              <w:pStyle w:val="2"/>
              <w:spacing w:line="240" w:lineRule="atLeast"/>
              <w:jc w:val="left"/>
            </w:pPr>
            <w:bookmarkStart w:id="42" w:name="_Toc20463"/>
            <w:r>
              <w:rPr>
                <w:rFonts w:hint="eastAsia" w:ascii="宋体" w:hAnsi="宋体" w:cs="宋体"/>
                <w:b w:val="0"/>
                <w:bCs w:val="0"/>
                <w:color w:val="000000"/>
                <w:kern w:val="0"/>
                <w:sz w:val="20"/>
                <w:szCs w:val="20"/>
              </w:rPr>
              <w:t>2023年未对部门整体进行满意度调查分析。根据各部门项目支出绩效自评表，各部门对项目服务对象进行了满意度调查，社会公众及服务对象满意度预期整体达到目标。</w:t>
            </w:r>
            <w:bookmarkEnd w:id="42"/>
          </w:p>
        </w:tc>
        <w:tc>
          <w:tcPr>
            <w:tcW w:w="7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733" w:type="dxa"/>
            <w:gridSpan w:val="2"/>
            <w:tcBorders>
              <w:top w:val="single" w:color="auto" w:sz="4" w:space="0"/>
              <w:left w:val="nil"/>
              <w:bottom w:val="single" w:color="auto" w:sz="4" w:space="0"/>
              <w:right w:val="nil"/>
            </w:tcBorders>
            <w:vAlign w:val="center"/>
          </w:tcPr>
          <w:p>
            <w:pPr>
              <w:pStyle w:val="2"/>
              <w:jc w:val="center"/>
              <w:rPr>
                <w:rFonts w:hint="eastAsia" w:ascii="仿宋" w:hAnsi="仿宋" w:eastAsia="仿宋"/>
                <w:b w:val="0"/>
                <w:bCs w:val="0"/>
              </w:rPr>
            </w:pPr>
            <w:r>
              <w:rPr>
                <w:rFonts w:hint="eastAsia" w:ascii="仿宋" w:hAnsi="仿宋" w:eastAsia="仿宋"/>
                <w:b w:val="0"/>
                <w:bCs w:val="0"/>
              </w:rPr>
              <w:t>4.5</w:t>
            </w:r>
          </w:p>
        </w:tc>
        <w:tc>
          <w:tcPr>
            <w:tcW w:w="3548"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18"/>
                <w:szCs w:val="18"/>
              </w:rPr>
            </w:pPr>
          </w:p>
        </w:tc>
        <w:tc>
          <w:tcPr>
            <w:tcW w:w="1837"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487" w:hRule="atLeast"/>
        </w:trPr>
        <w:tc>
          <w:tcPr>
            <w:tcW w:w="15482" w:type="dxa"/>
            <w:gridSpan w:val="1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三</w:t>
            </w:r>
            <w:r>
              <w:rPr>
                <w:rFonts w:ascii="宋体" w:hAnsi="宋体" w:cs="宋体"/>
                <w:color w:val="000000"/>
                <w:kern w:val="0"/>
                <w:sz w:val="18"/>
                <w:szCs w:val="18"/>
              </w:rPr>
              <w:t>、</w:t>
            </w:r>
            <w:r>
              <w:rPr>
                <w:rFonts w:hint="eastAsia" w:ascii="宋体" w:hAnsi="宋体" w:cs="宋体"/>
                <w:color w:val="000000"/>
                <w:kern w:val="0"/>
                <w:sz w:val="20"/>
                <w:szCs w:val="20"/>
              </w:rPr>
              <w:t>预算管理情况（20分）</w:t>
            </w:r>
          </w:p>
        </w:tc>
      </w:tr>
      <w:tr>
        <w:tblPrEx>
          <w:tblCellMar>
            <w:top w:w="0" w:type="dxa"/>
            <w:left w:w="108" w:type="dxa"/>
            <w:bottom w:w="0" w:type="dxa"/>
            <w:right w:w="108" w:type="dxa"/>
          </w:tblCellMar>
        </w:tblPrEx>
        <w:trPr>
          <w:gridAfter w:val="1"/>
          <w:wAfter w:w="32" w:type="dxa"/>
          <w:cantSplit/>
          <w:trHeight w:val="702" w:hRule="atLeast"/>
        </w:trPr>
        <w:tc>
          <w:tcPr>
            <w:tcW w:w="120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107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p>
        </w:tc>
        <w:tc>
          <w:tcPr>
            <w:tcW w:w="126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p>
        </w:tc>
        <w:tc>
          <w:tcPr>
            <w:tcW w:w="130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值</w:t>
            </w:r>
          </w:p>
        </w:tc>
        <w:tc>
          <w:tcPr>
            <w:tcW w:w="371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w:t>
            </w:r>
            <w:r>
              <w:rPr>
                <w:rFonts w:ascii="宋体" w:hAnsi="宋体" w:cs="宋体"/>
                <w:color w:val="000000"/>
                <w:kern w:val="0"/>
                <w:sz w:val="20"/>
                <w:szCs w:val="20"/>
              </w:rPr>
              <w:t>值</w:t>
            </w:r>
          </w:p>
        </w:tc>
        <w:tc>
          <w:tcPr>
            <w:tcW w:w="763"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w:t>
            </w:r>
            <w:r>
              <w:rPr>
                <w:rFonts w:ascii="宋体" w:hAnsi="宋体" w:cs="宋体"/>
                <w:color w:val="000000"/>
                <w:kern w:val="0"/>
                <w:sz w:val="20"/>
                <w:szCs w:val="20"/>
              </w:rPr>
              <w:t>值</w:t>
            </w:r>
          </w:p>
        </w:tc>
        <w:tc>
          <w:tcPr>
            <w:tcW w:w="733" w:type="dxa"/>
            <w:gridSpan w:val="2"/>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w:t>
            </w:r>
            <w:r>
              <w:rPr>
                <w:rFonts w:ascii="宋体" w:hAnsi="宋体" w:cs="宋体"/>
                <w:color w:val="000000"/>
                <w:kern w:val="0"/>
                <w:sz w:val="20"/>
                <w:szCs w:val="20"/>
              </w:rPr>
              <w:t>分</w:t>
            </w:r>
          </w:p>
        </w:tc>
        <w:tc>
          <w:tcPr>
            <w:tcW w:w="35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83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gridAfter w:val="1"/>
          <w:wAfter w:w="32" w:type="dxa"/>
          <w:cantSplit/>
          <w:trHeight w:val="1230" w:hRule="atLeast"/>
        </w:trPr>
        <w:tc>
          <w:tcPr>
            <w:tcW w:w="120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预算管理情况（20）</w:t>
            </w:r>
          </w:p>
        </w:tc>
        <w:tc>
          <w:tcPr>
            <w:tcW w:w="107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财务管理（4）</w:t>
            </w:r>
          </w:p>
        </w:tc>
        <w:tc>
          <w:tcPr>
            <w:tcW w:w="126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财务管理制度健全性</w:t>
            </w:r>
          </w:p>
        </w:tc>
        <w:tc>
          <w:tcPr>
            <w:tcW w:w="1306" w:type="dxa"/>
            <w:tcBorders>
              <w:top w:val="single" w:color="auto" w:sz="4" w:space="0"/>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建立完整的预算管理、财务管理、会计核算制度</w:t>
            </w:r>
          </w:p>
        </w:tc>
        <w:tc>
          <w:tcPr>
            <w:tcW w:w="3719" w:type="dxa"/>
            <w:gridSpan w:val="2"/>
            <w:tcBorders>
              <w:top w:val="single" w:color="auto" w:sz="4" w:space="0"/>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已建立完整的预算管理、财务管理、会计核算制度，并不断结合实际情况修订完善。未建立绩效跟踪管理办法。</w:t>
            </w:r>
          </w:p>
        </w:tc>
        <w:tc>
          <w:tcPr>
            <w:tcW w:w="763"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733" w:type="dxa"/>
            <w:gridSpan w:val="2"/>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r>
              <w:rPr>
                <w:rFonts w:ascii="宋体" w:hAnsi="宋体" w:cs="宋体"/>
                <w:color w:val="000000"/>
                <w:kern w:val="0"/>
                <w:sz w:val="20"/>
                <w:szCs w:val="20"/>
              </w:rPr>
              <w:t>.5</w:t>
            </w:r>
          </w:p>
        </w:tc>
        <w:tc>
          <w:tcPr>
            <w:tcW w:w="3548"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财务管理制度健全性:</w:t>
            </w:r>
            <w:r>
              <w:rPr>
                <w:rFonts w:hint="eastAsia" w:ascii="宋体" w:hAnsi="宋体" w:cs="宋体"/>
                <w:color w:val="000000"/>
                <w:kern w:val="0"/>
                <w:sz w:val="18"/>
                <w:szCs w:val="18"/>
              </w:rPr>
              <w:t>部门（单位）为加强财务管理、规范财务行为而制定的管理制度。</w:t>
            </w:r>
          </w:p>
        </w:tc>
        <w:tc>
          <w:tcPr>
            <w:tcW w:w="1837"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tblPrEx>
          <w:tblCellMar>
            <w:top w:w="0" w:type="dxa"/>
            <w:left w:w="108" w:type="dxa"/>
            <w:bottom w:w="0" w:type="dxa"/>
            <w:right w:w="108" w:type="dxa"/>
          </w:tblCellMar>
        </w:tblPrEx>
        <w:trPr>
          <w:gridAfter w:val="1"/>
          <w:wAfter w:w="32" w:type="dxa"/>
          <w:cantSplit/>
          <w:trHeight w:val="2220" w:hRule="atLeast"/>
        </w:trPr>
        <w:tc>
          <w:tcPr>
            <w:tcW w:w="1206"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7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6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资金使用合规性和安全性</w:t>
            </w:r>
          </w:p>
        </w:tc>
        <w:tc>
          <w:tcPr>
            <w:tcW w:w="130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使用预算资金符合相关的预算财务管理制度的规定，符合相关规定的开支范围。</w:t>
            </w:r>
          </w:p>
        </w:tc>
        <w:tc>
          <w:tcPr>
            <w:tcW w:w="3719" w:type="dxa"/>
            <w:gridSpan w:val="2"/>
            <w:tcBorders>
              <w:top w:val="single" w:color="auto" w:sz="4" w:space="0"/>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2023年能够合理安排资金支出进度，资金使用整体合规且安全，能够按照规定内容规定时间公开预算信息。</w:t>
            </w:r>
          </w:p>
        </w:tc>
        <w:tc>
          <w:tcPr>
            <w:tcW w:w="763"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733" w:type="dxa"/>
            <w:gridSpan w:val="2"/>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3548"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资金使用合规性和安全性:</w:t>
            </w:r>
            <w:r>
              <w:rPr>
                <w:rFonts w:hint="eastAsia" w:ascii="宋体" w:hAnsi="宋体" w:cs="宋体"/>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837"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CellMar>
            <w:top w:w="0" w:type="dxa"/>
            <w:left w:w="108" w:type="dxa"/>
            <w:bottom w:w="0" w:type="dxa"/>
            <w:right w:w="108" w:type="dxa"/>
          </w:tblCellMar>
        </w:tblPrEx>
        <w:trPr>
          <w:gridAfter w:val="1"/>
          <w:wAfter w:w="32" w:type="dxa"/>
          <w:cantSplit/>
          <w:trHeight w:val="410" w:hRule="atLeast"/>
        </w:trPr>
        <w:tc>
          <w:tcPr>
            <w:tcW w:w="120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7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68"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会计基础信息完善性</w:t>
            </w:r>
          </w:p>
        </w:tc>
        <w:tc>
          <w:tcPr>
            <w:tcW w:w="130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会计基础信息完善　</w:t>
            </w:r>
          </w:p>
        </w:tc>
        <w:tc>
          <w:tcPr>
            <w:tcW w:w="3719"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2023年会计基础信息和会计信息资料完整、真实和准确。</w:t>
            </w:r>
          </w:p>
        </w:tc>
        <w:tc>
          <w:tcPr>
            <w:tcW w:w="763"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733" w:type="dxa"/>
            <w:gridSpan w:val="2"/>
            <w:tcBorders>
              <w:top w:val="nil"/>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3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会计基础信息完善性:</w:t>
            </w:r>
            <w:r>
              <w:rPr>
                <w:rFonts w:hint="eastAsia" w:ascii="宋体" w:hAnsi="宋体" w:cs="宋体"/>
                <w:color w:val="000000"/>
                <w:kern w:val="0"/>
                <w:sz w:val="18"/>
                <w:szCs w:val="18"/>
              </w:rPr>
              <w:t>部门（单位）会计基础信息情况。</w:t>
            </w:r>
          </w:p>
        </w:tc>
        <w:tc>
          <w:tcPr>
            <w:tcW w:w="183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tblPrEx>
          <w:tblCellMar>
            <w:top w:w="0" w:type="dxa"/>
            <w:left w:w="108" w:type="dxa"/>
            <w:bottom w:w="0" w:type="dxa"/>
            <w:right w:w="108" w:type="dxa"/>
          </w:tblCellMar>
        </w:tblPrEx>
        <w:trPr>
          <w:gridAfter w:val="1"/>
          <w:wAfter w:w="32" w:type="dxa"/>
          <w:cantSplit/>
          <w:trHeight w:val="2220" w:hRule="atLeast"/>
        </w:trPr>
        <w:tc>
          <w:tcPr>
            <w:tcW w:w="120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7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资产管理（4）</w:t>
            </w:r>
          </w:p>
        </w:tc>
        <w:tc>
          <w:tcPr>
            <w:tcW w:w="12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资产管理规范性</w:t>
            </w:r>
          </w:p>
        </w:tc>
        <w:tc>
          <w:tcPr>
            <w:tcW w:w="1306"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资产保持安全完整，资产配置合理，资产使用和资产处理规范</w:t>
            </w:r>
          </w:p>
        </w:tc>
        <w:tc>
          <w:tcPr>
            <w:tcW w:w="3719"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资产日常管理、新增、报废等工作均严格按照市财政局的规定程序办理，资产动态系统与会计账簿系统总额保持一致。但存在固定资产部分超标准配置、个别达到固定资产标准未按固定资产进行管理和核算问题。</w:t>
            </w:r>
          </w:p>
        </w:tc>
        <w:tc>
          <w:tcPr>
            <w:tcW w:w="7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73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2.4</w:t>
            </w:r>
          </w:p>
        </w:tc>
        <w:tc>
          <w:tcPr>
            <w:tcW w:w="3548"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资产管理规范性:</w:t>
            </w:r>
            <w:r>
              <w:rPr>
                <w:rFonts w:hint="eastAsia" w:ascii="宋体" w:hAnsi="宋体" w:cs="宋体"/>
                <w:color w:val="000000"/>
                <w:kern w:val="0"/>
                <w:sz w:val="18"/>
                <w:szCs w:val="18"/>
              </w:rPr>
              <w:t>部门（单位）的资产是否保持安全完整，资产配置是否合理，资产使用和资产处理是否规范，用以反映和考核部门（单位）资产管理的整体水平。</w:t>
            </w:r>
          </w:p>
        </w:tc>
        <w:tc>
          <w:tcPr>
            <w:tcW w:w="183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CellMar>
            <w:top w:w="0" w:type="dxa"/>
            <w:left w:w="108" w:type="dxa"/>
            <w:bottom w:w="0" w:type="dxa"/>
            <w:right w:w="108" w:type="dxa"/>
          </w:tblCellMar>
        </w:tblPrEx>
        <w:trPr>
          <w:gridAfter w:val="1"/>
          <w:wAfter w:w="32" w:type="dxa"/>
          <w:cantSplit/>
          <w:trHeight w:val="1210" w:hRule="atLeast"/>
        </w:trPr>
        <w:tc>
          <w:tcPr>
            <w:tcW w:w="120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7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绩效管理（4）</w:t>
            </w:r>
          </w:p>
        </w:tc>
        <w:tc>
          <w:tcPr>
            <w:tcW w:w="126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绩效管理情况</w:t>
            </w:r>
          </w:p>
        </w:tc>
        <w:tc>
          <w:tcPr>
            <w:tcW w:w="1306"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绩效管理信息的汇总和应用情况</w:t>
            </w:r>
          </w:p>
        </w:tc>
        <w:tc>
          <w:tcPr>
            <w:tcW w:w="3719"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全方位把握部门整体预算执行、整体绩效目标实现和预算管理情况，但未及时对绩效信息进行汇总分析整理。</w:t>
            </w:r>
          </w:p>
        </w:tc>
        <w:tc>
          <w:tcPr>
            <w:tcW w:w="763"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733" w:type="dxa"/>
            <w:gridSpan w:val="2"/>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w:t>
            </w:r>
          </w:p>
        </w:tc>
        <w:tc>
          <w:tcPr>
            <w:tcW w:w="3548"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绩效管理情况:</w:t>
            </w:r>
            <w:r>
              <w:rPr>
                <w:rFonts w:hint="eastAsia" w:ascii="宋体" w:hAnsi="宋体" w:cs="宋体"/>
                <w:color w:val="000000"/>
                <w:kern w:val="0"/>
                <w:sz w:val="18"/>
                <w:szCs w:val="18"/>
              </w:rPr>
              <w:t>考核部门（单位）在绩效管理信息的汇总和应用情况。</w:t>
            </w:r>
          </w:p>
        </w:tc>
        <w:tc>
          <w:tcPr>
            <w:tcW w:w="1837"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①部门（单位）是否及时对绩效信息进行汇总分析整理；②部门（单位）是否对绩效目标偏离情况及时进行矫正。每有一项不合格扣2分。</w:t>
            </w:r>
          </w:p>
        </w:tc>
      </w:tr>
      <w:tr>
        <w:tblPrEx>
          <w:tblCellMar>
            <w:top w:w="0" w:type="dxa"/>
            <w:left w:w="108" w:type="dxa"/>
            <w:bottom w:w="0" w:type="dxa"/>
            <w:right w:w="108" w:type="dxa"/>
          </w:tblCellMar>
        </w:tblPrEx>
        <w:trPr>
          <w:gridAfter w:val="1"/>
          <w:wAfter w:w="32" w:type="dxa"/>
          <w:cantSplit/>
          <w:trHeight w:val="394" w:hRule="atLeast"/>
        </w:trPr>
        <w:tc>
          <w:tcPr>
            <w:tcW w:w="120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7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　</w:t>
            </w:r>
          </w:p>
        </w:tc>
        <w:tc>
          <w:tcPr>
            <w:tcW w:w="2582" w:type="dxa"/>
            <w:gridSpan w:val="3"/>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w:t>
            </w:r>
          </w:p>
        </w:tc>
        <w:tc>
          <w:tcPr>
            <w:tcW w:w="371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w:t>
            </w:r>
          </w:p>
        </w:tc>
        <w:tc>
          <w:tcPr>
            <w:tcW w:w="763"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72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35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837" w:type="dxa"/>
            <w:tcBorders>
              <w:top w:val="single" w:color="auto" w:sz="4" w:space="0"/>
              <w:left w:val="nil"/>
              <w:bottom w:val="single" w:color="auto" w:sz="4" w:space="0"/>
              <w:right w:val="single" w:color="auto" w:sz="4" w:space="0"/>
            </w:tcBorders>
            <w:vAlign w:val="center"/>
          </w:tcPr>
          <w:p>
            <w:pPr>
              <w:widowControl/>
              <w:jc w:val="center"/>
              <w:rPr>
                <w:rFonts w:eastAsia="Times New Roman"/>
                <w:kern w:val="0"/>
                <w:sz w:val="20"/>
                <w:szCs w:val="20"/>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gridAfter w:val="1"/>
          <w:wAfter w:w="32" w:type="dxa"/>
          <w:cantSplit/>
          <w:trHeight w:val="2229" w:hRule="atLeast"/>
        </w:trPr>
        <w:tc>
          <w:tcPr>
            <w:tcW w:w="120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70" w:type="dxa"/>
            <w:tcBorders>
              <w:top w:val="nil"/>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结转结余率（4）</w:t>
            </w:r>
          </w:p>
        </w:tc>
        <w:tc>
          <w:tcPr>
            <w:tcW w:w="2582" w:type="dxa"/>
            <w:gridSpan w:val="3"/>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4.90%</w:t>
            </w:r>
          </w:p>
        </w:tc>
        <w:tc>
          <w:tcPr>
            <w:tcW w:w="3719"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r>
              <w:rPr>
                <w:rFonts w:ascii="宋体" w:hAnsi="宋体" w:cs="宋体"/>
                <w:color w:val="000000"/>
                <w:kern w:val="0"/>
                <w:sz w:val="20"/>
                <w:szCs w:val="20"/>
              </w:rPr>
              <w:t>.</w:t>
            </w:r>
            <w:r>
              <w:rPr>
                <w:rFonts w:hint="eastAsia" w:ascii="宋体" w:hAnsi="宋体" w:cs="宋体"/>
                <w:color w:val="000000"/>
                <w:kern w:val="0"/>
                <w:sz w:val="20"/>
                <w:szCs w:val="20"/>
              </w:rPr>
              <w:t>73%</w:t>
            </w:r>
          </w:p>
        </w:tc>
        <w:tc>
          <w:tcPr>
            <w:tcW w:w="763"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725" w:type="dxa"/>
            <w:tcBorders>
              <w:top w:val="nil"/>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3548"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结转结余率=结转结余总额/支出预算数×100%。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结转结余总额：部门（单位）本年度的结转资金与结余资金之和。</w:t>
            </w:r>
          </w:p>
        </w:tc>
        <w:tc>
          <w:tcPr>
            <w:tcW w:w="1837"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CellMar>
            <w:top w:w="0" w:type="dxa"/>
            <w:left w:w="108" w:type="dxa"/>
            <w:bottom w:w="0" w:type="dxa"/>
            <w:right w:w="108" w:type="dxa"/>
          </w:tblCellMar>
        </w:tblPrEx>
        <w:trPr>
          <w:gridAfter w:val="1"/>
          <w:wAfter w:w="32" w:type="dxa"/>
          <w:cantSplit/>
          <w:trHeight w:val="981" w:hRule="atLeast"/>
        </w:trPr>
        <w:tc>
          <w:tcPr>
            <w:tcW w:w="120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70" w:type="dxa"/>
            <w:tcBorders>
              <w:top w:val="nil"/>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部门预决算差异率（4）</w:t>
            </w:r>
          </w:p>
        </w:tc>
        <w:tc>
          <w:tcPr>
            <w:tcW w:w="2582" w:type="dxa"/>
            <w:gridSpan w:val="3"/>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 xml:space="preserve">  3.55%</w:t>
            </w:r>
          </w:p>
        </w:tc>
        <w:tc>
          <w:tcPr>
            <w:tcW w:w="3719" w:type="dxa"/>
            <w:gridSpan w:val="2"/>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r>
              <w:rPr>
                <w:rFonts w:ascii="宋体" w:hAnsi="宋体" w:cs="宋体"/>
                <w:color w:val="000000"/>
                <w:kern w:val="0"/>
                <w:sz w:val="20"/>
                <w:szCs w:val="20"/>
              </w:rPr>
              <w:t xml:space="preserve">            3.06%</w:t>
            </w:r>
          </w:p>
        </w:tc>
        <w:tc>
          <w:tcPr>
            <w:tcW w:w="763"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725" w:type="dxa"/>
            <w:tcBorders>
              <w:top w:val="nil"/>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3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通过年度部门决算与年初部门预算对比，对部门的年度支出情况进行考核，衡量部门预算的约束力。</w:t>
            </w:r>
          </w:p>
        </w:tc>
        <w:tc>
          <w:tcPr>
            <w:tcW w:w="183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部门预决算差异率高于市级平均差异率（28.3%）的，每高出10%（含），扣0.4分，扣完为止。</w:t>
            </w:r>
          </w:p>
        </w:tc>
      </w:tr>
      <w:tr>
        <w:tblPrEx>
          <w:tblCellMar>
            <w:top w:w="0" w:type="dxa"/>
            <w:left w:w="108" w:type="dxa"/>
            <w:bottom w:w="0" w:type="dxa"/>
            <w:right w:w="108" w:type="dxa"/>
          </w:tblCellMar>
        </w:tblPrEx>
        <w:trPr>
          <w:gridAfter w:val="1"/>
          <w:wAfter w:w="32" w:type="dxa"/>
          <w:cantSplit/>
          <w:trHeight w:val="484" w:hRule="atLeast"/>
        </w:trPr>
        <w:tc>
          <w:tcPr>
            <w:tcW w:w="8577"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763"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25" w:type="dxa"/>
            <w:tcBorders>
              <w:top w:val="nil"/>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93.85</w:t>
            </w:r>
          </w:p>
        </w:tc>
        <w:tc>
          <w:tcPr>
            <w:tcW w:w="5385"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18"/>
                <w:szCs w:val="18"/>
              </w:rPr>
            </w:pPr>
          </w:p>
        </w:tc>
      </w:tr>
    </w:tbl>
    <w:p>
      <w:pPr>
        <w:spacing w:line="20" w:lineRule="exact"/>
        <w:rPr>
          <w:rFonts w:ascii="微软雅黑" w:eastAsia="微软雅黑"/>
          <w:sz w:val="36"/>
          <w:szCs w:val="36"/>
        </w:rPr>
      </w:pPr>
    </w:p>
    <w:p/>
    <w:sectPr>
      <w:pgSz w:w="16838" w:h="11906" w:orient="landscape"/>
      <w:pgMar w:top="1418" w:right="1440" w:bottom="1349"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1560A4B-0A38-4DF8-A355-DFAB0D435E2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embedRegular r:id="rId2" w:fontKey="{5506F8A8-D5D1-4145-82F9-B6C02BA016BD}"/>
  </w:font>
  <w:font w:name="仿宋_GB2312">
    <w:panose1 w:val="02010609030101010101"/>
    <w:charset w:val="86"/>
    <w:family w:val="modern"/>
    <w:pitch w:val="default"/>
    <w:sig w:usb0="00000001" w:usb1="080E0000" w:usb2="00000000" w:usb3="00000000" w:csb0="00040000" w:csb1="00000000"/>
    <w:embedRegular r:id="rId3" w:fontKey="{E118BD1E-C464-435B-9912-8312AF413A01}"/>
  </w:font>
  <w:font w:name="仿宋">
    <w:panose1 w:val="02010609060101010101"/>
    <w:charset w:val="86"/>
    <w:family w:val="modern"/>
    <w:pitch w:val="default"/>
    <w:sig w:usb0="800002BF" w:usb1="38CF7CFA" w:usb2="00000016" w:usb3="00000000" w:csb0="00040001" w:csb1="00000000"/>
    <w:embedRegular r:id="rId4" w:fontKey="{B000CD0C-7BB6-4B9C-8D19-5D1445259F77}"/>
  </w:font>
  <w:font w:name="Verdana">
    <w:panose1 w:val="020B0604030504040204"/>
    <w:charset w:val="00"/>
    <w:family w:val="swiss"/>
    <w:pitch w:val="default"/>
    <w:sig w:usb0="A10006FF" w:usb1="4000205B" w:usb2="00000010" w:usb3="00000000" w:csb0="2000019F" w:csb1="00000000"/>
  </w:font>
  <w:font w:name="楷体">
    <w:panose1 w:val="02010609060101010101"/>
    <w:charset w:val="86"/>
    <w:family w:val="modern"/>
    <w:pitch w:val="default"/>
    <w:sig w:usb0="800002BF" w:usb1="38CF7CFA" w:usb2="00000016" w:usb3="00000000" w:csb0="00040001" w:csb1="00000000"/>
    <w:embedRegular r:id="rId5" w:fontKey="{0B7A3012-5828-4916-B2FE-8B205C2CDA0B}"/>
  </w:font>
  <w:font w:name="微软雅黑">
    <w:panose1 w:val="020B0503020204020204"/>
    <w:charset w:val="86"/>
    <w:family w:val="swiss"/>
    <w:pitch w:val="default"/>
    <w:sig w:usb0="80000287" w:usb1="280F3C52" w:usb2="00000016" w:usb3="00000000" w:csb0="0004001F" w:csb1="00000000"/>
    <w:embedRegular r:id="rId6" w:fontKey="{7135855F-A6F3-423C-A085-E6FAF1F79E38}"/>
  </w:font>
  <w:font w:name="___WRD_EMBED_SUB_44">
    <w:altName w:val="宋体"/>
    <w:panose1 w:val="00000000000000000000"/>
    <w:charset w:val="86"/>
    <w:family w:val="modern"/>
    <w:pitch w:val="default"/>
    <w:sig w:usb0="00000000" w:usb1="00000000" w:usb2="00000010" w:usb3="00000000" w:csb0="00040000" w:csb1="00000000"/>
    <w:embedRegular r:id="rId7" w:fontKey="{015D98FE-D80D-4BD7-8A3C-34CEF0372429}"/>
  </w:font>
  <w:font w:name="___WRD_EMBED_SUB_47">
    <w:altName w:val="宋体"/>
    <w:panose1 w:val="00000000000000000000"/>
    <w:charset w:val="86"/>
    <w:family w:val="modern"/>
    <w:pitch w:val="default"/>
    <w:sig w:usb0="00000000" w:usb1="00000000" w:usb2="00000010" w:usb3="00000000" w:csb0="00040000" w:csb1="00000000"/>
    <w:embedRegular r:id="rId8" w:fontKey="{2517D3EC-353B-4B85-8B9F-4248B87F950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sz w:val="28"/>
                              <w:szCs w:val="28"/>
                            </w:rPr>
                            <w:id w:val="904951890"/>
                          </w:sdtPr>
                          <w:sdtEndPr>
                            <w:rPr>
                              <w:sz w:val="28"/>
                              <w:szCs w:val="28"/>
                            </w:rPr>
                          </w:sdtEndPr>
                          <w:sdtContent>
                            <w:p>
                              <w:pPr>
                                <w:pStyle w:val="10"/>
                                <w:jc w:val="center"/>
                              </w:pPr>
                            </w:p>
                          </w:sdtContent>
                        </w:sdt>
                        <w:p>
                          <w:pPr>
                            <w:pStyle w:val="8"/>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sdt>
                    <w:sdtPr>
                      <w:rPr>
                        <w:sz w:val="28"/>
                        <w:szCs w:val="28"/>
                      </w:rPr>
                      <w:id w:val="904951890"/>
                    </w:sdtPr>
                    <w:sdtEndPr>
                      <w:rPr>
                        <w:sz w:val="28"/>
                        <w:szCs w:val="28"/>
                      </w:rPr>
                    </w:sdtEndPr>
                    <w:sdtContent>
                      <w:p>
                        <w:pPr>
                          <w:pStyle w:val="10"/>
                          <w:jc w:val="center"/>
                        </w:pPr>
                      </w:p>
                    </w:sdtContent>
                  </w:sdt>
                  <w:p>
                    <w:pPr>
                      <w:pStyle w:val="8"/>
                    </w:pP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sz w:val="28"/>
                              <w:szCs w:val="28"/>
                            </w:rPr>
                            <w:id w:val="139863101"/>
                          </w:sdtPr>
                          <w:sdtEndPr>
                            <w:rPr>
                              <w:sz w:val="28"/>
                              <w:szCs w:val="28"/>
                            </w:rPr>
                          </w:sdtEndPr>
                          <w:sdtContent>
                            <w:p>
                              <w:pPr>
                                <w:pStyle w:val="10"/>
                                <w:jc w:val="cente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5</w:t>
                              </w:r>
                              <w:r>
                                <w:rPr>
                                  <w:sz w:val="28"/>
                                  <w:szCs w:val="28"/>
                                </w:rPr>
                                <w:fldChar w:fldCharType="end"/>
                              </w:r>
                            </w:p>
                          </w:sdtContent>
                        </w:sdt>
                        <w:p>
                          <w:pPr>
                            <w:pStyle w:val="8"/>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sdt>
                    <w:sdtPr>
                      <w:rPr>
                        <w:sz w:val="28"/>
                        <w:szCs w:val="28"/>
                      </w:rPr>
                      <w:id w:val="139863101"/>
                    </w:sdtPr>
                    <w:sdtEndPr>
                      <w:rPr>
                        <w:sz w:val="28"/>
                        <w:szCs w:val="28"/>
                      </w:rPr>
                    </w:sdtEndPr>
                    <w:sdtContent>
                      <w:p>
                        <w:pPr>
                          <w:pStyle w:val="10"/>
                          <w:jc w:val="cente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5</w:t>
                        </w:r>
                        <w:r>
                          <w:rPr>
                            <w:sz w:val="28"/>
                            <w:szCs w:val="28"/>
                          </w:rPr>
                          <w:fldChar w:fldCharType="end"/>
                        </w:r>
                      </w:p>
                    </w:sdtContent>
                  </w:sdt>
                  <w:p>
                    <w:pPr>
                      <w:pStyle w:val="8"/>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404FB2"/>
    <w:multiLevelType w:val="singleLevel"/>
    <w:tmpl w:val="FA404FB2"/>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5YTk1MjQ0N2QzM2VjZDRiODQ1YTk0NWQwODU4MTAifQ=="/>
  </w:docVars>
  <w:rsids>
    <w:rsidRoot w:val="00C32925"/>
    <w:rsid w:val="00001E02"/>
    <w:rsid w:val="00007C5A"/>
    <w:rsid w:val="00020D40"/>
    <w:rsid w:val="00021C3A"/>
    <w:rsid w:val="000253D1"/>
    <w:rsid w:val="0003381F"/>
    <w:rsid w:val="000353F4"/>
    <w:rsid w:val="00036AEA"/>
    <w:rsid w:val="000414F7"/>
    <w:rsid w:val="000531A9"/>
    <w:rsid w:val="0005432B"/>
    <w:rsid w:val="00054366"/>
    <w:rsid w:val="00060FFA"/>
    <w:rsid w:val="00066406"/>
    <w:rsid w:val="00073675"/>
    <w:rsid w:val="000837BD"/>
    <w:rsid w:val="00096001"/>
    <w:rsid w:val="00096154"/>
    <w:rsid w:val="000C3B46"/>
    <w:rsid w:val="000C6CB6"/>
    <w:rsid w:val="001265C6"/>
    <w:rsid w:val="00131FF6"/>
    <w:rsid w:val="00136C0E"/>
    <w:rsid w:val="0014028C"/>
    <w:rsid w:val="00145BB7"/>
    <w:rsid w:val="00152B40"/>
    <w:rsid w:val="00157285"/>
    <w:rsid w:val="001677E3"/>
    <w:rsid w:val="00182FE6"/>
    <w:rsid w:val="0019195D"/>
    <w:rsid w:val="00192C17"/>
    <w:rsid w:val="0019346E"/>
    <w:rsid w:val="001966B7"/>
    <w:rsid w:val="001A23DF"/>
    <w:rsid w:val="001B2701"/>
    <w:rsid w:val="001B4249"/>
    <w:rsid w:val="001B44E8"/>
    <w:rsid w:val="001B6C38"/>
    <w:rsid w:val="001C203F"/>
    <w:rsid w:val="001E5F3D"/>
    <w:rsid w:val="001E670C"/>
    <w:rsid w:val="001F47DD"/>
    <w:rsid w:val="001F720D"/>
    <w:rsid w:val="002054F6"/>
    <w:rsid w:val="002064D9"/>
    <w:rsid w:val="00215D54"/>
    <w:rsid w:val="00226698"/>
    <w:rsid w:val="0024355D"/>
    <w:rsid w:val="00253F12"/>
    <w:rsid w:val="00272030"/>
    <w:rsid w:val="00294BB4"/>
    <w:rsid w:val="002A42E8"/>
    <w:rsid w:val="002B1D2D"/>
    <w:rsid w:val="002B65F7"/>
    <w:rsid w:val="002B705C"/>
    <w:rsid w:val="002C32D2"/>
    <w:rsid w:val="00303294"/>
    <w:rsid w:val="00303FAB"/>
    <w:rsid w:val="0030560C"/>
    <w:rsid w:val="003175C5"/>
    <w:rsid w:val="003220C6"/>
    <w:rsid w:val="0032418C"/>
    <w:rsid w:val="003246F5"/>
    <w:rsid w:val="00327633"/>
    <w:rsid w:val="00327FB0"/>
    <w:rsid w:val="003330B8"/>
    <w:rsid w:val="00342979"/>
    <w:rsid w:val="00353EFA"/>
    <w:rsid w:val="00371246"/>
    <w:rsid w:val="0038279A"/>
    <w:rsid w:val="003910F6"/>
    <w:rsid w:val="00392AF6"/>
    <w:rsid w:val="00395C53"/>
    <w:rsid w:val="00396318"/>
    <w:rsid w:val="003A61CC"/>
    <w:rsid w:val="003B5AF3"/>
    <w:rsid w:val="003C6681"/>
    <w:rsid w:val="003C7C4F"/>
    <w:rsid w:val="003D37AB"/>
    <w:rsid w:val="003E0671"/>
    <w:rsid w:val="003F17E1"/>
    <w:rsid w:val="003F63FF"/>
    <w:rsid w:val="004035EC"/>
    <w:rsid w:val="00413BA8"/>
    <w:rsid w:val="00417425"/>
    <w:rsid w:val="0042154D"/>
    <w:rsid w:val="00427E7F"/>
    <w:rsid w:val="00427E87"/>
    <w:rsid w:val="00435CE2"/>
    <w:rsid w:val="00442D75"/>
    <w:rsid w:val="00444104"/>
    <w:rsid w:val="004526F9"/>
    <w:rsid w:val="00461E1B"/>
    <w:rsid w:val="00473804"/>
    <w:rsid w:val="00484B04"/>
    <w:rsid w:val="0049192E"/>
    <w:rsid w:val="00492AA0"/>
    <w:rsid w:val="00495671"/>
    <w:rsid w:val="00496C3F"/>
    <w:rsid w:val="00497CBC"/>
    <w:rsid w:val="004A4E47"/>
    <w:rsid w:val="004C4E64"/>
    <w:rsid w:val="004C50CF"/>
    <w:rsid w:val="004D3780"/>
    <w:rsid w:val="004E7C98"/>
    <w:rsid w:val="00501E50"/>
    <w:rsid w:val="00506656"/>
    <w:rsid w:val="00506730"/>
    <w:rsid w:val="005130EF"/>
    <w:rsid w:val="00515F64"/>
    <w:rsid w:val="005204FD"/>
    <w:rsid w:val="00531AD8"/>
    <w:rsid w:val="005407C5"/>
    <w:rsid w:val="00545BDB"/>
    <w:rsid w:val="0056140C"/>
    <w:rsid w:val="00567DDA"/>
    <w:rsid w:val="00567E0D"/>
    <w:rsid w:val="00575269"/>
    <w:rsid w:val="005827F1"/>
    <w:rsid w:val="005A169F"/>
    <w:rsid w:val="005A2169"/>
    <w:rsid w:val="005A5D54"/>
    <w:rsid w:val="005B0BFD"/>
    <w:rsid w:val="005C011E"/>
    <w:rsid w:val="005D40E3"/>
    <w:rsid w:val="005E0AA6"/>
    <w:rsid w:val="005E144C"/>
    <w:rsid w:val="00604D89"/>
    <w:rsid w:val="00615F37"/>
    <w:rsid w:val="00627007"/>
    <w:rsid w:val="00633EEF"/>
    <w:rsid w:val="00640CC6"/>
    <w:rsid w:val="00657F19"/>
    <w:rsid w:val="00661851"/>
    <w:rsid w:val="00663687"/>
    <w:rsid w:val="00665826"/>
    <w:rsid w:val="00666581"/>
    <w:rsid w:val="00685F69"/>
    <w:rsid w:val="006B2ABE"/>
    <w:rsid w:val="006C162B"/>
    <w:rsid w:val="006C50B3"/>
    <w:rsid w:val="006C5E1F"/>
    <w:rsid w:val="006D42CB"/>
    <w:rsid w:val="006F5800"/>
    <w:rsid w:val="00704EFA"/>
    <w:rsid w:val="00717606"/>
    <w:rsid w:val="00723B6F"/>
    <w:rsid w:val="0072530F"/>
    <w:rsid w:val="00730E11"/>
    <w:rsid w:val="007471A3"/>
    <w:rsid w:val="00752750"/>
    <w:rsid w:val="00766997"/>
    <w:rsid w:val="0079639A"/>
    <w:rsid w:val="007A1678"/>
    <w:rsid w:val="007B3277"/>
    <w:rsid w:val="007B57B8"/>
    <w:rsid w:val="007C23F5"/>
    <w:rsid w:val="007C3322"/>
    <w:rsid w:val="007C60A0"/>
    <w:rsid w:val="007E209C"/>
    <w:rsid w:val="007E2647"/>
    <w:rsid w:val="007E5775"/>
    <w:rsid w:val="007E6B87"/>
    <w:rsid w:val="007F5994"/>
    <w:rsid w:val="00801031"/>
    <w:rsid w:val="00804002"/>
    <w:rsid w:val="00805857"/>
    <w:rsid w:val="008247EC"/>
    <w:rsid w:val="00836099"/>
    <w:rsid w:val="0083775A"/>
    <w:rsid w:val="00840A3B"/>
    <w:rsid w:val="008420B8"/>
    <w:rsid w:val="008465EA"/>
    <w:rsid w:val="00847B71"/>
    <w:rsid w:val="00850537"/>
    <w:rsid w:val="00852F37"/>
    <w:rsid w:val="008609BD"/>
    <w:rsid w:val="00886AD0"/>
    <w:rsid w:val="008A2470"/>
    <w:rsid w:val="008A6D6D"/>
    <w:rsid w:val="008A7CCA"/>
    <w:rsid w:val="008C1D78"/>
    <w:rsid w:val="008C2E48"/>
    <w:rsid w:val="008C3112"/>
    <w:rsid w:val="008C3E66"/>
    <w:rsid w:val="008C4051"/>
    <w:rsid w:val="008C5189"/>
    <w:rsid w:val="008D1DA2"/>
    <w:rsid w:val="008D298F"/>
    <w:rsid w:val="008E14C8"/>
    <w:rsid w:val="008E1D18"/>
    <w:rsid w:val="008F2DEE"/>
    <w:rsid w:val="008F2E20"/>
    <w:rsid w:val="008F35DA"/>
    <w:rsid w:val="008F45DC"/>
    <w:rsid w:val="00903AA4"/>
    <w:rsid w:val="0090571B"/>
    <w:rsid w:val="00911BAB"/>
    <w:rsid w:val="00915D63"/>
    <w:rsid w:val="009253CC"/>
    <w:rsid w:val="00927AEE"/>
    <w:rsid w:val="009359E2"/>
    <w:rsid w:val="00940FCB"/>
    <w:rsid w:val="0096136A"/>
    <w:rsid w:val="00970366"/>
    <w:rsid w:val="009728EB"/>
    <w:rsid w:val="009B1964"/>
    <w:rsid w:val="009C111A"/>
    <w:rsid w:val="009C3A75"/>
    <w:rsid w:val="009D546D"/>
    <w:rsid w:val="009F2033"/>
    <w:rsid w:val="00A006D3"/>
    <w:rsid w:val="00A06707"/>
    <w:rsid w:val="00A15A9C"/>
    <w:rsid w:val="00A17242"/>
    <w:rsid w:val="00A27A60"/>
    <w:rsid w:val="00A31F0E"/>
    <w:rsid w:val="00A326DB"/>
    <w:rsid w:val="00A35447"/>
    <w:rsid w:val="00A4395B"/>
    <w:rsid w:val="00A43C29"/>
    <w:rsid w:val="00A4582E"/>
    <w:rsid w:val="00A45C15"/>
    <w:rsid w:val="00A478F7"/>
    <w:rsid w:val="00A61359"/>
    <w:rsid w:val="00A61963"/>
    <w:rsid w:val="00A61ADE"/>
    <w:rsid w:val="00A61FDB"/>
    <w:rsid w:val="00A644C6"/>
    <w:rsid w:val="00A65DB2"/>
    <w:rsid w:val="00A7221D"/>
    <w:rsid w:val="00A82B16"/>
    <w:rsid w:val="00A82F40"/>
    <w:rsid w:val="00A913BA"/>
    <w:rsid w:val="00A957FE"/>
    <w:rsid w:val="00A95920"/>
    <w:rsid w:val="00A95C57"/>
    <w:rsid w:val="00AA564B"/>
    <w:rsid w:val="00AB3B42"/>
    <w:rsid w:val="00AC46DB"/>
    <w:rsid w:val="00AC58E1"/>
    <w:rsid w:val="00AC6D02"/>
    <w:rsid w:val="00AE242D"/>
    <w:rsid w:val="00AE71C9"/>
    <w:rsid w:val="00AF3E84"/>
    <w:rsid w:val="00AF46D0"/>
    <w:rsid w:val="00B0358E"/>
    <w:rsid w:val="00B056AE"/>
    <w:rsid w:val="00B17553"/>
    <w:rsid w:val="00B260E8"/>
    <w:rsid w:val="00B265E7"/>
    <w:rsid w:val="00B26B1F"/>
    <w:rsid w:val="00B32080"/>
    <w:rsid w:val="00B442B4"/>
    <w:rsid w:val="00B563D2"/>
    <w:rsid w:val="00B573A4"/>
    <w:rsid w:val="00B82AA5"/>
    <w:rsid w:val="00BA096D"/>
    <w:rsid w:val="00BB00A1"/>
    <w:rsid w:val="00BB0450"/>
    <w:rsid w:val="00BB7DC1"/>
    <w:rsid w:val="00BC290E"/>
    <w:rsid w:val="00BC2D33"/>
    <w:rsid w:val="00BE1404"/>
    <w:rsid w:val="00BE2751"/>
    <w:rsid w:val="00BF3A54"/>
    <w:rsid w:val="00BF4558"/>
    <w:rsid w:val="00BF602A"/>
    <w:rsid w:val="00C03872"/>
    <w:rsid w:val="00C07B99"/>
    <w:rsid w:val="00C1135D"/>
    <w:rsid w:val="00C232FE"/>
    <w:rsid w:val="00C31D6D"/>
    <w:rsid w:val="00C32925"/>
    <w:rsid w:val="00C361FE"/>
    <w:rsid w:val="00C42D6B"/>
    <w:rsid w:val="00C52934"/>
    <w:rsid w:val="00C560F9"/>
    <w:rsid w:val="00C60C8F"/>
    <w:rsid w:val="00C61FD6"/>
    <w:rsid w:val="00C7480C"/>
    <w:rsid w:val="00C75970"/>
    <w:rsid w:val="00C75CFD"/>
    <w:rsid w:val="00C777B1"/>
    <w:rsid w:val="00C82C27"/>
    <w:rsid w:val="00C86AD0"/>
    <w:rsid w:val="00C87A59"/>
    <w:rsid w:val="00C91231"/>
    <w:rsid w:val="00CA1163"/>
    <w:rsid w:val="00CB3FA9"/>
    <w:rsid w:val="00CC1DA7"/>
    <w:rsid w:val="00CC54E6"/>
    <w:rsid w:val="00CD44DE"/>
    <w:rsid w:val="00CF0FF1"/>
    <w:rsid w:val="00CF11A1"/>
    <w:rsid w:val="00CF295E"/>
    <w:rsid w:val="00CF5F3E"/>
    <w:rsid w:val="00D008BB"/>
    <w:rsid w:val="00D06C00"/>
    <w:rsid w:val="00D10F33"/>
    <w:rsid w:val="00D13B59"/>
    <w:rsid w:val="00D24AB2"/>
    <w:rsid w:val="00D313F2"/>
    <w:rsid w:val="00D43D20"/>
    <w:rsid w:val="00D56E34"/>
    <w:rsid w:val="00D735FD"/>
    <w:rsid w:val="00D74C60"/>
    <w:rsid w:val="00D84610"/>
    <w:rsid w:val="00D85FD9"/>
    <w:rsid w:val="00DA0B53"/>
    <w:rsid w:val="00DA299A"/>
    <w:rsid w:val="00DA52A5"/>
    <w:rsid w:val="00DA6C5B"/>
    <w:rsid w:val="00DB36E4"/>
    <w:rsid w:val="00DB57A6"/>
    <w:rsid w:val="00DC032C"/>
    <w:rsid w:val="00DC4CA0"/>
    <w:rsid w:val="00DC6BCC"/>
    <w:rsid w:val="00DF29A2"/>
    <w:rsid w:val="00DF4B14"/>
    <w:rsid w:val="00E00C12"/>
    <w:rsid w:val="00E07C8A"/>
    <w:rsid w:val="00E409C6"/>
    <w:rsid w:val="00E463B3"/>
    <w:rsid w:val="00E46E8F"/>
    <w:rsid w:val="00E51992"/>
    <w:rsid w:val="00E60D2B"/>
    <w:rsid w:val="00E637B9"/>
    <w:rsid w:val="00E65C1C"/>
    <w:rsid w:val="00E77483"/>
    <w:rsid w:val="00E8341E"/>
    <w:rsid w:val="00E84511"/>
    <w:rsid w:val="00E91095"/>
    <w:rsid w:val="00E95946"/>
    <w:rsid w:val="00E96157"/>
    <w:rsid w:val="00E9688A"/>
    <w:rsid w:val="00E97D5C"/>
    <w:rsid w:val="00EC0606"/>
    <w:rsid w:val="00EC2585"/>
    <w:rsid w:val="00EC4CAF"/>
    <w:rsid w:val="00ED67DD"/>
    <w:rsid w:val="00ED6DC1"/>
    <w:rsid w:val="00EF521F"/>
    <w:rsid w:val="00F02F3A"/>
    <w:rsid w:val="00F03DB2"/>
    <w:rsid w:val="00F07BD4"/>
    <w:rsid w:val="00F13B0F"/>
    <w:rsid w:val="00F16E4C"/>
    <w:rsid w:val="00F26CC6"/>
    <w:rsid w:val="00F44304"/>
    <w:rsid w:val="00F44C75"/>
    <w:rsid w:val="00F45E56"/>
    <w:rsid w:val="00F461A3"/>
    <w:rsid w:val="00F511E1"/>
    <w:rsid w:val="00F5172E"/>
    <w:rsid w:val="00F560A3"/>
    <w:rsid w:val="00F56433"/>
    <w:rsid w:val="00F56ECC"/>
    <w:rsid w:val="00F6090B"/>
    <w:rsid w:val="00F703B1"/>
    <w:rsid w:val="00F72A18"/>
    <w:rsid w:val="00F734D7"/>
    <w:rsid w:val="00F77099"/>
    <w:rsid w:val="00F772EE"/>
    <w:rsid w:val="00F80ADC"/>
    <w:rsid w:val="00F82DAD"/>
    <w:rsid w:val="00F90832"/>
    <w:rsid w:val="00FB0E35"/>
    <w:rsid w:val="00FC08EE"/>
    <w:rsid w:val="00FD3431"/>
    <w:rsid w:val="00FE5EB0"/>
    <w:rsid w:val="00FF0DC9"/>
    <w:rsid w:val="00FF54D7"/>
    <w:rsid w:val="019609A9"/>
    <w:rsid w:val="023F2212"/>
    <w:rsid w:val="05FB46B0"/>
    <w:rsid w:val="070A2FBC"/>
    <w:rsid w:val="0883119F"/>
    <w:rsid w:val="0A283ED3"/>
    <w:rsid w:val="0A86035E"/>
    <w:rsid w:val="0AA55410"/>
    <w:rsid w:val="0B037E51"/>
    <w:rsid w:val="0B534F80"/>
    <w:rsid w:val="0B6176BE"/>
    <w:rsid w:val="0C3B22A3"/>
    <w:rsid w:val="0D6214AA"/>
    <w:rsid w:val="0D7F205C"/>
    <w:rsid w:val="0DA059F5"/>
    <w:rsid w:val="0E451893"/>
    <w:rsid w:val="0E6F3E7F"/>
    <w:rsid w:val="0F0C5A70"/>
    <w:rsid w:val="11E77A07"/>
    <w:rsid w:val="12295B18"/>
    <w:rsid w:val="12C11953"/>
    <w:rsid w:val="132C232D"/>
    <w:rsid w:val="134D7DA8"/>
    <w:rsid w:val="13F54E26"/>
    <w:rsid w:val="14507354"/>
    <w:rsid w:val="146B333A"/>
    <w:rsid w:val="14761F24"/>
    <w:rsid w:val="15AA79D9"/>
    <w:rsid w:val="17095AE2"/>
    <w:rsid w:val="17D81BBE"/>
    <w:rsid w:val="1B001029"/>
    <w:rsid w:val="1B512096"/>
    <w:rsid w:val="1B5F5790"/>
    <w:rsid w:val="1D6D2E22"/>
    <w:rsid w:val="1E807DB1"/>
    <w:rsid w:val="1E85148C"/>
    <w:rsid w:val="1EA04511"/>
    <w:rsid w:val="1FA4324B"/>
    <w:rsid w:val="1FCE3F40"/>
    <w:rsid w:val="205F3620"/>
    <w:rsid w:val="208D334A"/>
    <w:rsid w:val="20A774A8"/>
    <w:rsid w:val="21750684"/>
    <w:rsid w:val="219507C9"/>
    <w:rsid w:val="219759BF"/>
    <w:rsid w:val="2316568F"/>
    <w:rsid w:val="23A67EEB"/>
    <w:rsid w:val="25681E8D"/>
    <w:rsid w:val="25967434"/>
    <w:rsid w:val="26CC5EBA"/>
    <w:rsid w:val="26DD103B"/>
    <w:rsid w:val="2A6308E4"/>
    <w:rsid w:val="2B1B1944"/>
    <w:rsid w:val="2B314DBC"/>
    <w:rsid w:val="2B654C0F"/>
    <w:rsid w:val="2D764CC2"/>
    <w:rsid w:val="2E7A444E"/>
    <w:rsid w:val="2E7E596A"/>
    <w:rsid w:val="2FCE2CA3"/>
    <w:rsid w:val="30592E90"/>
    <w:rsid w:val="307B7BCB"/>
    <w:rsid w:val="30F11CB3"/>
    <w:rsid w:val="321725F9"/>
    <w:rsid w:val="32343183"/>
    <w:rsid w:val="33037924"/>
    <w:rsid w:val="33D67D32"/>
    <w:rsid w:val="36557856"/>
    <w:rsid w:val="377834F5"/>
    <w:rsid w:val="38E0637F"/>
    <w:rsid w:val="38F350EB"/>
    <w:rsid w:val="39754C6C"/>
    <w:rsid w:val="3A1273C6"/>
    <w:rsid w:val="3AB17B7A"/>
    <w:rsid w:val="3AC14625"/>
    <w:rsid w:val="3B0B27DC"/>
    <w:rsid w:val="3D792B22"/>
    <w:rsid w:val="3EBA6941"/>
    <w:rsid w:val="40101DFE"/>
    <w:rsid w:val="41CF0949"/>
    <w:rsid w:val="43FB613F"/>
    <w:rsid w:val="44501A81"/>
    <w:rsid w:val="44BD4C3D"/>
    <w:rsid w:val="468368A1"/>
    <w:rsid w:val="48B40105"/>
    <w:rsid w:val="49B46387"/>
    <w:rsid w:val="49BD4DC7"/>
    <w:rsid w:val="4AD53338"/>
    <w:rsid w:val="4B544FAC"/>
    <w:rsid w:val="4BCF2A83"/>
    <w:rsid w:val="4C36438F"/>
    <w:rsid w:val="4CEE78AF"/>
    <w:rsid w:val="4D1F6494"/>
    <w:rsid w:val="4D341EAC"/>
    <w:rsid w:val="4E70055B"/>
    <w:rsid w:val="4EFF54A1"/>
    <w:rsid w:val="514D4A7F"/>
    <w:rsid w:val="51E270AC"/>
    <w:rsid w:val="525653AD"/>
    <w:rsid w:val="526967E8"/>
    <w:rsid w:val="52764596"/>
    <w:rsid w:val="52923265"/>
    <w:rsid w:val="535E29A3"/>
    <w:rsid w:val="53640B20"/>
    <w:rsid w:val="54042454"/>
    <w:rsid w:val="544B7B6F"/>
    <w:rsid w:val="54E22DEA"/>
    <w:rsid w:val="56041754"/>
    <w:rsid w:val="58335D58"/>
    <w:rsid w:val="59E80594"/>
    <w:rsid w:val="59F64A21"/>
    <w:rsid w:val="5A1F62D7"/>
    <w:rsid w:val="5CD22E02"/>
    <w:rsid w:val="5DA75773"/>
    <w:rsid w:val="5F48540F"/>
    <w:rsid w:val="60324543"/>
    <w:rsid w:val="603364C5"/>
    <w:rsid w:val="6288754D"/>
    <w:rsid w:val="62D67E3F"/>
    <w:rsid w:val="63933A29"/>
    <w:rsid w:val="639B4E00"/>
    <w:rsid w:val="6523025F"/>
    <w:rsid w:val="663E5660"/>
    <w:rsid w:val="6658247E"/>
    <w:rsid w:val="66813FDF"/>
    <w:rsid w:val="68EB739B"/>
    <w:rsid w:val="69076CB6"/>
    <w:rsid w:val="69F740AB"/>
    <w:rsid w:val="6C305B70"/>
    <w:rsid w:val="707838B4"/>
    <w:rsid w:val="70FB1883"/>
    <w:rsid w:val="73716D78"/>
    <w:rsid w:val="753E53F8"/>
    <w:rsid w:val="75B91F62"/>
    <w:rsid w:val="764845E6"/>
    <w:rsid w:val="76D257BC"/>
    <w:rsid w:val="77647450"/>
    <w:rsid w:val="77CF38D2"/>
    <w:rsid w:val="78F60349"/>
    <w:rsid w:val="793E1645"/>
    <w:rsid w:val="79B17BC5"/>
    <w:rsid w:val="7B875081"/>
    <w:rsid w:val="7C821233"/>
    <w:rsid w:val="7D7B0C16"/>
    <w:rsid w:val="7DFC2364"/>
    <w:rsid w:val="7F2969B9"/>
    <w:rsid w:val="BFFFC6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9"/>
    <w:pPr>
      <w:spacing w:line="560" w:lineRule="exact"/>
      <w:ind w:firstLine="640" w:firstLineChars="200"/>
      <w:outlineLvl w:val="1"/>
    </w:pPr>
    <w:rPr>
      <w:rFonts w:ascii="楷体_GB2312" w:hAnsi="楷体_GB2312" w:eastAsia="楷体_GB2312" w:cs="楷体_GB2312"/>
      <w:color w:val="000000"/>
      <w:kern w:val="0"/>
      <w:sz w:val="32"/>
      <w:szCs w:val="32"/>
    </w:rPr>
  </w:style>
  <w:style w:type="paragraph" w:styleId="2">
    <w:name w:val="heading 3"/>
    <w:basedOn w:val="1"/>
    <w:next w:val="1"/>
    <w:unhideWhenUsed/>
    <w:qFormat/>
    <w:uiPriority w:val="9"/>
    <w:pPr>
      <w:keepNext/>
      <w:keepLines/>
      <w:spacing w:before="260" w:after="260" w:line="416" w:lineRule="auto"/>
      <w:outlineLvl w:val="2"/>
    </w:pPr>
    <w:rPr>
      <w:b/>
      <w:bCs/>
      <w:szCs w:val="32"/>
    </w:rPr>
  </w:style>
  <w:style w:type="character" w:default="1" w:styleId="21">
    <w:name w:val="Default Paragraph Font"/>
    <w:unhideWhenUsed/>
    <w:uiPriority w:val="1"/>
  </w:style>
  <w:style w:type="table" w:default="1" w:styleId="19">
    <w:name w:val="Normal Table"/>
    <w:unhideWhenUsed/>
    <w:uiPriority w:val="99"/>
    <w:tblPr>
      <w:tblCellMar>
        <w:top w:w="0" w:type="dxa"/>
        <w:left w:w="108" w:type="dxa"/>
        <w:bottom w:w="0" w:type="dxa"/>
        <w:right w:w="108" w:type="dxa"/>
      </w:tblCellMar>
    </w:tblPr>
  </w:style>
  <w:style w:type="paragraph" w:styleId="4">
    <w:name w:val="annotation text"/>
    <w:basedOn w:val="1"/>
    <w:link w:val="29"/>
    <w:qFormat/>
    <w:uiPriority w:val="0"/>
    <w:pPr>
      <w:jc w:val="left"/>
    </w:pPr>
  </w:style>
  <w:style w:type="paragraph" w:styleId="5">
    <w:name w:val="Body Text"/>
    <w:basedOn w:val="1"/>
    <w:next w:val="1"/>
    <w:qFormat/>
    <w:uiPriority w:val="0"/>
    <w:pPr>
      <w:spacing w:line="640" w:lineRule="exact"/>
      <w:ind w:firstLine="960"/>
    </w:pPr>
  </w:style>
  <w:style w:type="paragraph" w:styleId="6">
    <w:name w:val="toc 3"/>
    <w:basedOn w:val="1"/>
    <w:next w:val="1"/>
    <w:qFormat/>
    <w:uiPriority w:val="39"/>
    <w:pPr>
      <w:ind w:left="840" w:leftChars="400"/>
    </w:pPr>
  </w:style>
  <w:style w:type="paragraph" w:styleId="7">
    <w:name w:val="Plain Text"/>
    <w:basedOn w:val="1"/>
    <w:unhideWhenUsed/>
    <w:qFormat/>
    <w:uiPriority w:val="99"/>
    <w:rPr>
      <w:rFonts w:ascii="宋体" w:hAnsi="Courier New"/>
      <w:szCs w:val="21"/>
    </w:rPr>
  </w:style>
  <w:style w:type="paragraph" w:styleId="8">
    <w:name w:val="Body Text Indent 2"/>
    <w:basedOn w:val="1"/>
    <w:qFormat/>
    <w:uiPriority w:val="0"/>
    <w:pPr>
      <w:spacing w:after="120" w:line="480" w:lineRule="auto"/>
      <w:ind w:left="420" w:leftChars="200"/>
    </w:pPr>
  </w:style>
  <w:style w:type="paragraph" w:styleId="9">
    <w:name w:val="Balloon Text"/>
    <w:basedOn w:val="1"/>
    <w:link w:val="31"/>
    <w:qFormat/>
    <w:uiPriority w:val="0"/>
    <w:rPr>
      <w:sz w:val="18"/>
      <w:szCs w:val="18"/>
    </w:rPr>
  </w:style>
  <w:style w:type="paragraph" w:styleId="10">
    <w:name w:val="footer"/>
    <w:basedOn w:val="1"/>
    <w:qFormat/>
    <w:uiPriority w:val="99"/>
    <w:pPr>
      <w:tabs>
        <w:tab w:val="center" w:pos="4153"/>
        <w:tab w:val="right" w:pos="8306"/>
      </w:tabs>
      <w:snapToGrid w:val="0"/>
      <w:jc w:val="left"/>
    </w:pPr>
    <w:rPr>
      <w:sz w:val="18"/>
      <w:szCs w:val="20"/>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toc 1"/>
    <w:basedOn w:val="1"/>
    <w:next w:val="1"/>
    <w:unhideWhenUsed/>
    <w:qFormat/>
    <w:uiPriority w:val="39"/>
    <w:pPr>
      <w:tabs>
        <w:tab w:val="right" w:leader="dot" w:pos="8296"/>
      </w:tabs>
    </w:pPr>
    <w:rPr>
      <w:rFonts w:ascii="仿宋" w:hAnsi="仿宋" w:eastAsia="仿宋"/>
      <w:b/>
      <w:sz w:val="28"/>
      <w:szCs w:val="28"/>
    </w:rPr>
  </w:style>
  <w:style w:type="paragraph" w:styleId="13">
    <w:name w:val="footnote text"/>
    <w:basedOn w:val="1"/>
    <w:unhideWhenUsed/>
    <w:qFormat/>
    <w:uiPriority w:val="99"/>
    <w:pPr>
      <w:snapToGrid w:val="0"/>
      <w:jc w:val="left"/>
    </w:pPr>
    <w:rPr>
      <w:sz w:val="18"/>
      <w:szCs w:val="18"/>
    </w:rPr>
  </w:style>
  <w:style w:type="paragraph" w:styleId="14">
    <w:name w:val="toc 2"/>
    <w:basedOn w:val="1"/>
    <w:next w:val="1"/>
    <w:unhideWhenUsed/>
    <w:qFormat/>
    <w:uiPriority w:val="39"/>
    <w:pPr>
      <w:ind w:left="420" w:leftChars="200"/>
    </w:pPr>
  </w:style>
  <w:style w:type="paragraph" w:styleId="15">
    <w:name w:val="Normal (Web)"/>
    <w:basedOn w:val="1"/>
    <w:qFormat/>
    <w:uiPriority w:val="0"/>
    <w:pPr>
      <w:spacing w:beforeAutospacing="1" w:afterAutospacing="1"/>
      <w:jc w:val="left"/>
    </w:pPr>
    <w:rPr>
      <w:kern w:val="0"/>
      <w:sz w:val="24"/>
    </w:rPr>
  </w:style>
  <w:style w:type="paragraph" w:styleId="16">
    <w:name w:val="annotation subject"/>
    <w:basedOn w:val="4"/>
    <w:next w:val="4"/>
    <w:link w:val="30"/>
    <w:qFormat/>
    <w:uiPriority w:val="0"/>
    <w:rPr>
      <w:b/>
      <w:bCs/>
    </w:rPr>
  </w:style>
  <w:style w:type="paragraph" w:styleId="17">
    <w:name w:val="Body Text First Indent"/>
    <w:basedOn w:val="5"/>
    <w:qFormat/>
    <w:uiPriority w:val="0"/>
    <w:pPr>
      <w:ind w:firstLine="420" w:firstLineChars="100"/>
    </w:pPr>
  </w:style>
  <w:style w:type="paragraph" w:styleId="18">
    <w:name w:val="Body Text First Indent 2"/>
    <w:next w:val="1"/>
    <w:qFormat/>
    <w:uiPriority w:val="0"/>
    <w:pPr>
      <w:widowControl w:val="0"/>
      <w:suppressAutoHyphens/>
      <w:spacing w:line="580" w:lineRule="exact"/>
      <w:ind w:firstLine="420" w:firstLineChars="200"/>
      <w:jc w:val="both"/>
    </w:pPr>
    <w:rPr>
      <w:rFonts w:ascii="仿宋_GB2312" w:hAnsi="Calibri" w:eastAsia="仿宋_GB2312" w:cs="Times New Roman"/>
      <w:kern w:val="2"/>
      <w:sz w:val="32"/>
      <w:szCs w:val="24"/>
      <w:lang w:val="en-US" w:eastAsia="zh-CN" w:bidi="ar-SA"/>
    </w:rPr>
  </w:style>
  <w:style w:type="table" w:styleId="20">
    <w:name w:val="Table Grid"/>
    <w:basedOn w:val="19"/>
    <w:qFormat/>
    <w:uiPriority w:val="59"/>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Hyperlink"/>
    <w:unhideWhenUsed/>
    <w:qFormat/>
    <w:uiPriority w:val="99"/>
    <w:rPr>
      <w:color w:val="0000FF"/>
      <w:u w:val="single"/>
    </w:rPr>
  </w:style>
  <w:style w:type="character" w:styleId="23">
    <w:name w:val="annotation reference"/>
    <w:basedOn w:val="21"/>
    <w:qFormat/>
    <w:uiPriority w:val="0"/>
    <w:rPr>
      <w:sz w:val="21"/>
      <w:szCs w:val="21"/>
    </w:rPr>
  </w:style>
  <w:style w:type="character" w:styleId="24">
    <w:name w:val="footnote reference"/>
    <w:basedOn w:val="21"/>
    <w:unhideWhenUsed/>
    <w:qFormat/>
    <w:uiPriority w:val="99"/>
    <w:rPr>
      <w:vertAlign w:val="superscript"/>
    </w:rPr>
  </w:style>
  <w:style w:type="paragraph" w:customStyle="1" w:styleId="25">
    <w:name w:val="表格"/>
    <w:basedOn w:val="1"/>
    <w:qFormat/>
    <w:uiPriority w:val="0"/>
    <w:pPr>
      <w:jc w:val="center"/>
    </w:pPr>
    <w:rPr>
      <w:rFonts w:ascii="Verdana" w:hAnsi="Verdana" w:eastAsia="仿宋_GB2312"/>
      <w:sz w:val="24"/>
      <w:lang w:eastAsia="en-US"/>
    </w:rPr>
  </w:style>
  <w:style w:type="paragraph" w:customStyle="1" w:styleId="26">
    <w:name w:val="WPSOffice手动目录 1"/>
    <w:qFormat/>
    <w:uiPriority w:val="0"/>
    <w:rPr>
      <w:rFonts w:ascii="Times New Roman" w:hAnsi="Times New Roman" w:eastAsia="宋体" w:cs="Times New Roman"/>
      <w:lang w:val="en-US" w:eastAsia="zh-CN" w:bidi="ar-SA"/>
    </w:rPr>
  </w:style>
  <w:style w:type="paragraph" w:customStyle="1" w:styleId="27">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8">
    <w:name w:val="WPSOffice手动目录 3"/>
    <w:qFormat/>
    <w:uiPriority w:val="0"/>
    <w:pPr>
      <w:ind w:left="400" w:leftChars="400"/>
    </w:pPr>
    <w:rPr>
      <w:rFonts w:ascii="Times New Roman" w:hAnsi="Times New Roman" w:eastAsia="宋体" w:cs="Times New Roman"/>
      <w:lang w:val="en-US" w:eastAsia="zh-CN" w:bidi="ar-SA"/>
    </w:rPr>
  </w:style>
  <w:style w:type="character" w:customStyle="1" w:styleId="29">
    <w:name w:val="批注文字 字符"/>
    <w:basedOn w:val="21"/>
    <w:link w:val="4"/>
    <w:qFormat/>
    <w:uiPriority w:val="0"/>
    <w:rPr>
      <w:kern w:val="2"/>
      <w:sz w:val="21"/>
      <w:szCs w:val="24"/>
    </w:rPr>
  </w:style>
  <w:style w:type="character" w:customStyle="1" w:styleId="30">
    <w:name w:val="批注主题 字符"/>
    <w:basedOn w:val="29"/>
    <w:link w:val="16"/>
    <w:qFormat/>
    <w:uiPriority w:val="0"/>
    <w:rPr>
      <w:b/>
      <w:bCs/>
      <w:kern w:val="2"/>
      <w:sz w:val="21"/>
      <w:szCs w:val="24"/>
    </w:rPr>
  </w:style>
  <w:style w:type="character" w:customStyle="1" w:styleId="31">
    <w:name w:val="批注框文本 字符"/>
    <w:basedOn w:val="21"/>
    <w:link w:val="9"/>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27</Pages>
  <Words>12548</Words>
  <Characters>13352</Characters>
  <Lines>104</Lines>
  <Paragraphs>29</Paragraphs>
  <TotalTime>3</TotalTime>
  <ScaleCrop>false</ScaleCrop>
  <LinksUpToDate>false</LinksUpToDate>
  <CharactersWithSpaces>13446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2022-06-11T18:19:00Z</dcterms:created>
  <dc:creator>zxj</dc:creator>
  <cp:lastModifiedBy>贾海波</cp:lastModifiedBy>
  <cp:lastPrinted>2024-05-09T08:13:00Z</cp:lastPrinted>
  <dcterms:modified xsi:type="dcterms:W3CDTF">2024-08-13T09:29:22Z</dcterms:modified>
  <cp:revision>316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F1548AB2EA5B4FE78DD5552CFDF61B5C</vt:lpwstr>
  </property>
</Properties>
</file>