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黑体" w:hAnsi="黑体" w:eastAsia="黑体" w:cs="黑体"/>
          <w:color w:val="auto"/>
          <w:sz w:val="32"/>
          <w:szCs w:val="32"/>
          <w:highlight w:val="none"/>
        </w:rPr>
      </w:pPr>
    </w:p>
    <w:p>
      <w:pPr>
        <w:spacing w:line="560" w:lineRule="exact"/>
        <w:jc w:val="center"/>
        <w:rPr>
          <w:rFonts w:ascii="方正小标宋简体" w:eastAsia="方正小标宋简体"/>
          <w:color w:val="auto"/>
          <w:sz w:val="36"/>
          <w:szCs w:val="36"/>
          <w:highlight w:val="none"/>
        </w:rPr>
      </w:pPr>
      <w:r>
        <w:rPr>
          <w:rFonts w:hint="eastAsia" w:ascii="方正小标宋简体" w:eastAsia="方正小标宋简体"/>
          <w:color w:val="auto"/>
          <w:sz w:val="36"/>
          <w:szCs w:val="36"/>
          <w:highlight w:val="none"/>
        </w:rPr>
        <w:t>北京市延庆区人民法院部门整体绩效评价报告</w:t>
      </w:r>
    </w:p>
    <w:p>
      <w:pPr>
        <w:spacing w:line="600" w:lineRule="exact"/>
        <w:ind w:firstLine="960" w:firstLineChars="30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一、部门概况</w:t>
      </w:r>
    </w:p>
    <w:p>
      <w:pPr>
        <w:spacing w:line="600" w:lineRule="exact"/>
        <w:ind w:firstLine="640" w:firstLineChars="200"/>
        <w:rPr>
          <w:rFonts w:ascii="楷体_GB2312" w:eastAsia="楷体_GB2312"/>
          <w:color w:val="auto"/>
          <w:sz w:val="32"/>
          <w:szCs w:val="32"/>
          <w:highlight w:val="none"/>
        </w:rPr>
      </w:pPr>
      <w:r>
        <w:rPr>
          <w:rFonts w:hint="eastAsia" w:ascii="楷体_GB2312" w:eastAsia="楷体_GB2312"/>
          <w:color w:val="auto"/>
          <w:sz w:val="32"/>
          <w:szCs w:val="32"/>
          <w:highlight w:val="none"/>
        </w:rPr>
        <w:t>（一）机构设置及职责工作任务情况</w:t>
      </w:r>
    </w:p>
    <w:p>
      <w:pPr>
        <w:spacing w:line="560" w:lineRule="exact"/>
        <w:ind w:firstLine="640" w:firstLineChars="200"/>
        <w:jc w:val="left"/>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北京市延庆区人民法院（以下简称“延庆区法院”）是国家的审判机关，依照法律规定独立行使审判权。通过行使国家审判权，惩办犯罪分子，解决民事纠纷、经济纠纷、行政纠纷，保护社会主义的全民所有制财产、集体所有制财产和公民合法的私有财产，保护公民的人身权利、民主权利和其他权利，维护社会主义法治和社会秩序，保障社会主义建设事业的顺利进行。</w:t>
      </w:r>
    </w:p>
    <w:p>
      <w:pPr>
        <w:spacing w:line="560" w:lineRule="exact"/>
        <w:ind w:firstLine="660" w:firstLineChars="200"/>
        <w:rPr>
          <w:rFonts w:ascii="仿宋_GB2312" w:eastAsia="仿宋_GB2312"/>
          <w:color w:val="auto"/>
          <w:sz w:val="33"/>
          <w:szCs w:val="33"/>
          <w:highlight w:val="none"/>
        </w:rPr>
      </w:pPr>
      <w:r>
        <w:rPr>
          <w:rFonts w:hint="eastAsia" w:ascii="仿宋_GB2312" w:eastAsia="仿宋_GB2312"/>
          <w:color w:val="auto"/>
          <w:sz w:val="33"/>
          <w:szCs w:val="33"/>
          <w:highlight w:val="none"/>
        </w:rPr>
        <w:t>主要职责为：负责审理辖区内的刑事、民商事、行政一审案件；负责本院已生效的判决书、调解书、裁定书和有强制执行效力的非诉讼法律文书的执行；受理和审查各类告诉、申诉案件，处理来信来访，对其中确有错误的已发生法律效力的判决、裁定，根据审判监督程序进行再审。</w:t>
      </w:r>
    </w:p>
    <w:p>
      <w:pPr>
        <w:spacing w:line="560" w:lineRule="exact"/>
        <w:ind w:firstLine="640" w:firstLineChars="200"/>
        <w:jc w:val="left"/>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延庆区法院内设机构14个，分别为：立案庭（诉讼服务中心）、刑事审判庭、民事审判</w:t>
      </w:r>
      <w:r>
        <w:rPr>
          <w:rFonts w:ascii="仿宋_GB2312" w:hAnsi="宋体" w:eastAsia="仿宋_GB2312"/>
          <w:color w:val="auto"/>
          <w:sz w:val="32"/>
          <w:szCs w:val="32"/>
          <w:highlight w:val="none"/>
        </w:rPr>
        <w:t>一庭</w:t>
      </w:r>
      <w:r>
        <w:rPr>
          <w:rFonts w:hint="eastAsia" w:ascii="仿宋_GB2312" w:hAnsi="宋体" w:eastAsia="仿宋_GB2312"/>
          <w:color w:val="auto"/>
          <w:sz w:val="32"/>
          <w:szCs w:val="32"/>
          <w:highlight w:val="none"/>
        </w:rPr>
        <w:t>、综合</w:t>
      </w:r>
      <w:r>
        <w:rPr>
          <w:rFonts w:ascii="仿宋_GB2312" w:hAnsi="宋体" w:eastAsia="仿宋_GB2312"/>
          <w:color w:val="auto"/>
          <w:sz w:val="32"/>
          <w:szCs w:val="32"/>
          <w:highlight w:val="none"/>
        </w:rPr>
        <w:t>办公室</w:t>
      </w:r>
      <w:r>
        <w:rPr>
          <w:rFonts w:hint="eastAsia" w:ascii="仿宋_GB2312" w:hAnsi="宋体" w:eastAsia="仿宋_GB2312"/>
          <w:color w:val="auto"/>
          <w:sz w:val="32"/>
          <w:szCs w:val="32"/>
          <w:highlight w:val="none"/>
        </w:rPr>
        <w:t>、民事</w:t>
      </w:r>
      <w:r>
        <w:rPr>
          <w:rFonts w:ascii="仿宋_GB2312" w:hAnsi="宋体" w:eastAsia="仿宋_GB2312"/>
          <w:color w:val="auto"/>
          <w:sz w:val="32"/>
          <w:szCs w:val="32"/>
          <w:highlight w:val="none"/>
        </w:rPr>
        <w:t>审判二庭</w:t>
      </w:r>
      <w:r>
        <w:rPr>
          <w:rFonts w:hint="eastAsia" w:ascii="仿宋_GB2312" w:hAnsi="宋体" w:eastAsia="仿宋_GB2312"/>
          <w:color w:val="auto"/>
          <w:sz w:val="32"/>
          <w:szCs w:val="32"/>
          <w:highlight w:val="none"/>
        </w:rPr>
        <w:t>、行政</w:t>
      </w:r>
      <w:r>
        <w:rPr>
          <w:rFonts w:ascii="仿宋_GB2312" w:hAnsi="宋体" w:eastAsia="仿宋_GB2312"/>
          <w:color w:val="auto"/>
          <w:sz w:val="32"/>
          <w:szCs w:val="32"/>
          <w:highlight w:val="none"/>
        </w:rPr>
        <w:t>审判庭（</w:t>
      </w:r>
      <w:r>
        <w:rPr>
          <w:rFonts w:hint="eastAsia" w:ascii="仿宋_GB2312" w:hAnsi="宋体" w:eastAsia="仿宋_GB2312"/>
          <w:color w:val="auto"/>
          <w:sz w:val="32"/>
          <w:szCs w:val="32"/>
          <w:highlight w:val="none"/>
        </w:rPr>
        <w:t>综合</w:t>
      </w:r>
      <w:r>
        <w:rPr>
          <w:rFonts w:ascii="仿宋_GB2312" w:hAnsi="宋体" w:eastAsia="仿宋_GB2312"/>
          <w:color w:val="auto"/>
          <w:sz w:val="32"/>
          <w:szCs w:val="32"/>
          <w:highlight w:val="none"/>
        </w:rPr>
        <w:t>审判庭）</w:t>
      </w:r>
      <w:r>
        <w:rPr>
          <w:rFonts w:hint="eastAsia" w:ascii="仿宋_GB2312" w:hAnsi="宋体" w:eastAsia="仿宋_GB2312"/>
          <w:color w:val="auto"/>
          <w:sz w:val="32"/>
          <w:szCs w:val="32"/>
          <w:highlight w:val="none"/>
        </w:rPr>
        <w:t>、执行局、审判</w:t>
      </w:r>
      <w:r>
        <w:rPr>
          <w:rFonts w:ascii="仿宋_GB2312" w:hAnsi="宋体" w:eastAsia="仿宋_GB2312"/>
          <w:color w:val="auto"/>
          <w:sz w:val="32"/>
          <w:szCs w:val="32"/>
          <w:highlight w:val="none"/>
        </w:rPr>
        <w:t>管理办公室（</w:t>
      </w:r>
      <w:r>
        <w:rPr>
          <w:rFonts w:hint="eastAsia" w:ascii="仿宋_GB2312" w:hAnsi="宋体" w:eastAsia="仿宋_GB2312"/>
          <w:color w:val="auto"/>
          <w:sz w:val="32"/>
          <w:szCs w:val="32"/>
          <w:highlight w:val="none"/>
        </w:rPr>
        <w:t>研究室</w:t>
      </w:r>
      <w:r>
        <w:rPr>
          <w:rFonts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、八达岭</w:t>
      </w:r>
      <w:r>
        <w:rPr>
          <w:rFonts w:ascii="仿宋_GB2312" w:hAnsi="宋体" w:eastAsia="仿宋_GB2312"/>
          <w:color w:val="auto"/>
          <w:sz w:val="32"/>
          <w:szCs w:val="32"/>
          <w:highlight w:val="none"/>
        </w:rPr>
        <w:t>人民法庭（环境资源审判庭）</w:t>
      </w:r>
      <w:r>
        <w:rPr>
          <w:rFonts w:hint="eastAsia" w:ascii="仿宋_GB2312" w:hAnsi="宋体" w:eastAsia="仿宋_GB2312"/>
          <w:color w:val="auto"/>
          <w:sz w:val="32"/>
          <w:szCs w:val="32"/>
          <w:highlight w:val="none"/>
        </w:rPr>
        <w:t>、永宁</w:t>
      </w:r>
      <w:r>
        <w:rPr>
          <w:rFonts w:ascii="仿宋_GB2312" w:hAnsi="宋体" w:eastAsia="仿宋_GB2312"/>
          <w:color w:val="auto"/>
          <w:sz w:val="32"/>
          <w:szCs w:val="32"/>
          <w:highlight w:val="none"/>
        </w:rPr>
        <w:t>人民法庭</w:t>
      </w:r>
      <w:r>
        <w:rPr>
          <w:rFonts w:hint="eastAsia" w:ascii="仿宋_GB2312" w:hAnsi="宋体" w:eastAsia="仿宋_GB2312"/>
          <w:color w:val="auto"/>
          <w:sz w:val="32"/>
          <w:szCs w:val="32"/>
          <w:highlight w:val="none"/>
        </w:rPr>
        <w:t>、沈家营</w:t>
      </w:r>
      <w:r>
        <w:rPr>
          <w:rFonts w:ascii="仿宋_GB2312" w:hAnsi="宋体" w:eastAsia="仿宋_GB2312"/>
          <w:color w:val="auto"/>
          <w:sz w:val="32"/>
          <w:szCs w:val="32"/>
          <w:highlight w:val="none"/>
        </w:rPr>
        <w:t>人民法庭</w:t>
      </w:r>
      <w:r>
        <w:rPr>
          <w:rFonts w:hint="eastAsia" w:ascii="仿宋_GB2312" w:hAnsi="宋体" w:eastAsia="仿宋_GB2312"/>
          <w:color w:val="auto"/>
          <w:sz w:val="32"/>
          <w:szCs w:val="32"/>
          <w:highlight w:val="none"/>
        </w:rPr>
        <w:t>、政治部（机关</w:t>
      </w:r>
      <w:r>
        <w:rPr>
          <w:rFonts w:ascii="仿宋_GB2312" w:hAnsi="宋体" w:eastAsia="仿宋_GB2312"/>
          <w:color w:val="auto"/>
          <w:sz w:val="32"/>
          <w:szCs w:val="32"/>
          <w:highlight w:val="none"/>
        </w:rPr>
        <w:t>党委、机</w:t>
      </w:r>
      <w:r>
        <w:rPr>
          <w:rFonts w:hint="eastAsia" w:ascii="仿宋_GB2312" w:hAnsi="宋体" w:eastAsia="仿宋_GB2312"/>
          <w:color w:val="auto"/>
          <w:sz w:val="32"/>
          <w:szCs w:val="32"/>
          <w:highlight w:val="none"/>
        </w:rPr>
        <w:t>关</w:t>
      </w:r>
      <w:r>
        <w:rPr>
          <w:rFonts w:ascii="仿宋_GB2312" w:hAnsi="宋体" w:eastAsia="仿宋_GB2312"/>
          <w:color w:val="auto"/>
          <w:sz w:val="32"/>
          <w:szCs w:val="32"/>
          <w:highlight w:val="none"/>
        </w:rPr>
        <w:t>纪委</w:t>
      </w:r>
      <w:r>
        <w:rPr>
          <w:rFonts w:hint="eastAsia" w:ascii="仿宋_GB2312" w:hAnsi="宋体" w:eastAsia="仿宋_GB2312"/>
          <w:color w:val="auto"/>
          <w:sz w:val="32"/>
          <w:szCs w:val="32"/>
          <w:highlight w:val="none"/>
        </w:rPr>
        <w:t>）、司法</w:t>
      </w:r>
      <w:r>
        <w:rPr>
          <w:rFonts w:ascii="仿宋_GB2312" w:hAnsi="宋体" w:eastAsia="仿宋_GB2312"/>
          <w:color w:val="auto"/>
          <w:sz w:val="32"/>
          <w:szCs w:val="32"/>
          <w:highlight w:val="none"/>
        </w:rPr>
        <w:t>警察大队</w:t>
      </w:r>
      <w:r>
        <w:rPr>
          <w:rFonts w:hint="eastAsia" w:ascii="仿宋_GB2312" w:hAnsi="宋体" w:eastAsia="仿宋_GB2312"/>
          <w:color w:val="auto"/>
          <w:sz w:val="32"/>
          <w:szCs w:val="32"/>
          <w:highlight w:val="none"/>
        </w:rPr>
        <w:t>、综合事务中心。</w:t>
      </w:r>
    </w:p>
    <w:p>
      <w:pPr>
        <w:spacing w:line="600" w:lineRule="exact"/>
        <w:ind w:firstLine="640" w:firstLineChars="200"/>
        <w:rPr>
          <w:rFonts w:ascii="楷体_GB2312" w:eastAsia="楷体_GB2312"/>
          <w:color w:val="auto"/>
          <w:sz w:val="32"/>
          <w:szCs w:val="32"/>
          <w:highlight w:val="none"/>
        </w:rPr>
      </w:pPr>
      <w:r>
        <w:rPr>
          <w:rFonts w:hint="eastAsia" w:ascii="楷体_GB2312" w:eastAsia="楷体_GB2312"/>
          <w:color w:val="auto"/>
          <w:sz w:val="32"/>
          <w:szCs w:val="32"/>
          <w:highlight w:val="none"/>
        </w:rPr>
        <w:t>（二）部门整体绩效目标设立情况。</w:t>
      </w:r>
    </w:p>
    <w:p>
      <w:pPr>
        <w:spacing w:line="60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绩效目标设立依据</w:t>
      </w:r>
    </w:p>
    <w:p>
      <w:pPr>
        <w:spacing w:line="6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延庆区法院整体绩效目标的设立依据为单位职能职责和202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度主要工作任务。总体绩效目标是坚持以习近平新时代中国特色社会主义思想为指导，深入学习贯彻落实党的二十大精神，习近平法治思想，市十三次党代会精神，坚持服务大局、司法为民、公正司法，忠实履行宪法法律赋予的职责，认真落实市委、区委部署要求，高效有序完成各项任务。</w:t>
      </w:r>
    </w:p>
    <w:p>
      <w:pPr>
        <w:spacing w:line="60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目标与职责任务匹配情况</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延庆区法院绩效目标与职责任务匹配情况从以下六个方面体现：</w:t>
      </w:r>
    </w:p>
    <w:p>
      <w:pPr>
        <w:spacing w:line="600" w:lineRule="exact"/>
        <w:ind w:firstLine="640" w:firstLineChars="200"/>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b w:val="0"/>
          <w:bCs w:val="0"/>
          <w:color w:val="auto"/>
          <w:kern w:val="0"/>
          <w:sz w:val="32"/>
          <w:szCs w:val="32"/>
          <w:highlight w:val="none"/>
        </w:rPr>
        <w:fldChar w:fldCharType="begin"/>
      </w:r>
      <w:r>
        <w:rPr>
          <w:rFonts w:hint="eastAsia" w:ascii="仿宋_GB2312" w:hAnsi="宋体" w:eastAsia="仿宋_GB2312" w:cs="宋体"/>
          <w:b w:val="0"/>
          <w:bCs w:val="0"/>
          <w:color w:val="auto"/>
          <w:kern w:val="0"/>
          <w:sz w:val="32"/>
          <w:szCs w:val="32"/>
          <w:highlight w:val="none"/>
        </w:rPr>
        <w:instrText xml:space="preserve"> = 1 \* GB2 </w:instrText>
      </w:r>
      <w:r>
        <w:rPr>
          <w:rFonts w:hint="eastAsia" w:ascii="仿宋_GB2312" w:hAnsi="宋体" w:eastAsia="仿宋_GB2312" w:cs="宋体"/>
          <w:b w:val="0"/>
          <w:bCs w:val="0"/>
          <w:color w:val="auto"/>
          <w:kern w:val="0"/>
          <w:sz w:val="32"/>
          <w:szCs w:val="32"/>
          <w:highlight w:val="none"/>
        </w:rPr>
        <w:fldChar w:fldCharType="separate"/>
      </w:r>
      <w:r>
        <w:rPr>
          <w:rFonts w:hint="eastAsia" w:ascii="仿宋_GB2312" w:hAnsi="宋体" w:eastAsia="仿宋_GB2312" w:cs="宋体"/>
          <w:b w:val="0"/>
          <w:bCs w:val="0"/>
          <w:color w:val="auto"/>
          <w:kern w:val="0"/>
          <w:sz w:val="32"/>
          <w:szCs w:val="32"/>
          <w:highlight w:val="none"/>
        </w:rPr>
        <w:t>⑴</w:t>
      </w:r>
      <w:r>
        <w:rPr>
          <w:rFonts w:hint="eastAsia" w:ascii="仿宋_GB2312" w:hAnsi="宋体" w:eastAsia="仿宋_GB2312" w:cs="宋体"/>
          <w:b w:val="0"/>
          <w:bCs w:val="0"/>
          <w:color w:val="auto"/>
          <w:kern w:val="0"/>
          <w:sz w:val="32"/>
          <w:szCs w:val="32"/>
          <w:highlight w:val="none"/>
        </w:rPr>
        <w:fldChar w:fldCharType="end"/>
      </w:r>
      <w:r>
        <w:rPr>
          <w:rFonts w:hint="eastAsia" w:ascii="仿宋_GB2312" w:hAnsi="宋体" w:eastAsia="仿宋_GB2312" w:cs="宋体"/>
          <w:color w:val="auto"/>
          <w:kern w:val="0"/>
          <w:sz w:val="32"/>
          <w:szCs w:val="32"/>
          <w:highlight w:val="none"/>
        </w:rPr>
        <w:t>围绕区中心工作履职担当，服务区高质量绿色发展</w:t>
      </w:r>
      <w:r>
        <w:rPr>
          <w:rFonts w:hint="eastAsia" w:ascii="仿宋_GB2312" w:hAnsi="宋体" w:eastAsia="仿宋_GB2312" w:cs="宋体"/>
          <w:color w:val="auto"/>
          <w:kern w:val="0"/>
          <w:sz w:val="32"/>
          <w:szCs w:val="32"/>
          <w:highlight w:val="none"/>
          <w:lang w:eastAsia="zh-CN"/>
        </w:rPr>
        <w:t>。</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一是服务法治政府建设。</w:t>
      </w:r>
      <w:r>
        <w:rPr>
          <w:rFonts w:hint="eastAsia" w:ascii="仿宋_GB2312" w:hAnsi="宋体" w:eastAsia="仿宋_GB2312" w:cs="宋体"/>
          <w:color w:val="auto"/>
          <w:kern w:val="0"/>
          <w:sz w:val="32"/>
          <w:szCs w:val="32"/>
          <w:highlight w:val="none"/>
        </w:rPr>
        <w:t>建立矛盾纠纷联合预防协调化解机制，强化风险联防联控，加大行政调解力度，助力辖区政府依法行政</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深入推进行政机关负责人出庭应诉机制，提升出庭应诉质效。行政机关负责人出庭应诉率为100%，其中行政机关正职出庭应诉率为30.77%，同比增长26.46</w:t>
      </w:r>
      <w:r>
        <w:rPr>
          <w:rFonts w:hint="eastAsia" w:ascii="仿宋_GB2312" w:hAnsi="宋体" w:eastAsia="仿宋_GB2312" w:cs="宋体"/>
          <w:color w:val="auto"/>
          <w:kern w:val="0"/>
          <w:sz w:val="32"/>
          <w:szCs w:val="32"/>
          <w:highlight w:val="none"/>
          <w:lang w:val="en-US" w:eastAsia="zh-CN"/>
        </w:rPr>
        <w:t>%</w:t>
      </w:r>
      <w:r>
        <w:rPr>
          <w:rFonts w:hint="eastAsia" w:ascii="仿宋_GB2312" w:hAnsi="宋体" w:eastAsia="仿宋_GB2312" w:cs="宋体"/>
          <w:color w:val="auto"/>
          <w:kern w:val="0"/>
          <w:sz w:val="32"/>
          <w:szCs w:val="32"/>
          <w:highlight w:val="none"/>
          <w:lang w:eastAsia="zh-CN"/>
        </w:rPr>
        <w:t>，行政机关</w:t>
      </w:r>
      <w:r>
        <w:rPr>
          <w:rFonts w:hint="eastAsia" w:ascii="仿宋_GB2312" w:hAnsi="宋体" w:eastAsia="仿宋_GB2312" w:cs="宋体"/>
          <w:color w:val="auto"/>
          <w:kern w:val="0"/>
          <w:sz w:val="32"/>
          <w:szCs w:val="32"/>
          <w:highlight w:val="none"/>
        </w:rPr>
        <w:t>败诉率为26.61%，同比下降8.97</w:t>
      </w:r>
      <w:r>
        <w:rPr>
          <w:rFonts w:hint="eastAsia" w:ascii="仿宋_GB2312" w:hAnsi="宋体" w:eastAsia="仿宋_GB2312" w:cs="宋体"/>
          <w:color w:val="auto"/>
          <w:kern w:val="0"/>
          <w:sz w:val="32"/>
          <w:szCs w:val="32"/>
          <w:highlight w:val="none"/>
          <w:lang w:val="en-US" w:eastAsia="zh-CN"/>
        </w:rPr>
        <w:t>%</w:t>
      </w:r>
      <w:r>
        <w:rPr>
          <w:rFonts w:hint="eastAsia" w:ascii="仿宋_GB2312" w:hAnsi="宋体" w:eastAsia="仿宋_GB2312" w:cs="宋体"/>
          <w:color w:val="auto"/>
          <w:kern w:val="0"/>
          <w:sz w:val="32"/>
          <w:szCs w:val="32"/>
          <w:highlight w:val="none"/>
        </w:rPr>
        <w:t>。发布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行政</w:t>
      </w:r>
      <w:r>
        <w:rPr>
          <w:rFonts w:hint="eastAsia" w:ascii="仿宋_GB2312" w:hAnsi="宋体" w:eastAsia="仿宋_GB2312" w:cs="宋体"/>
          <w:color w:val="auto"/>
          <w:kern w:val="0"/>
          <w:sz w:val="32"/>
          <w:szCs w:val="32"/>
          <w:highlight w:val="none"/>
          <w:lang w:eastAsia="zh-CN"/>
        </w:rPr>
        <w:t>案件司法</w:t>
      </w:r>
      <w:r>
        <w:rPr>
          <w:rFonts w:hint="eastAsia" w:ascii="仿宋_GB2312" w:hAnsi="宋体" w:eastAsia="仿宋_GB2312" w:cs="宋体"/>
          <w:color w:val="auto"/>
          <w:kern w:val="0"/>
          <w:sz w:val="32"/>
          <w:szCs w:val="32"/>
          <w:highlight w:val="none"/>
        </w:rPr>
        <w:t>审判年度报告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，梳理行政机关在应诉及执法中存在的问题并提出建议。</w:t>
      </w:r>
    </w:p>
    <w:p>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二是服务平安延庆建设。</w:t>
      </w:r>
      <w:r>
        <w:rPr>
          <w:rFonts w:hint="eastAsia" w:ascii="仿宋_GB2312" w:hAnsi="宋体" w:eastAsia="仿宋_GB2312" w:cs="宋体"/>
          <w:color w:val="auto"/>
          <w:kern w:val="0"/>
          <w:sz w:val="32"/>
          <w:szCs w:val="32"/>
          <w:highlight w:val="none"/>
        </w:rPr>
        <w:t>扫黑除恶专项斗争以来受理的32件抢栽抢种案件目前审结31件。2023年共审结抢栽抢种案件15件，其中4·17专案依法审结，11名被告人全部获刑</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判处罚金132万元、责令退赔7300余万元。审结的其他14件抢栽抢种案件，49名被告人获刑，判处罚金400余万元，责令退赔6000余万元。</w:t>
      </w:r>
      <w:r>
        <w:rPr>
          <w:rFonts w:hint="eastAsia" w:ascii="仿宋_GB2312" w:hAnsi="宋体" w:eastAsia="仿宋_GB2312" w:cs="宋体"/>
          <w:color w:val="auto"/>
          <w:kern w:val="0"/>
          <w:sz w:val="32"/>
          <w:szCs w:val="32"/>
          <w:highlight w:val="none"/>
          <w:lang w:eastAsia="zh-CN"/>
        </w:rPr>
        <w:t>从严惩处电信网络诈骗犯罪，</w:t>
      </w:r>
      <w:r>
        <w:rPr>
          <w:rFonts w:hint="eastAsia" w:ascii="仿宋_GB2312" w:hAnsi="宋体" w:eastAsia="仿宋_GB2312" w:cs="宋体"/>
          <w:color w:val="auto"/>
          <w:kern w:val="0"/>
          <w:sz w:val="32"/>
          <w:szCs w:val="32"/>
          <w:highlight w:val="none"/>
          <w:lang w:val="en-US" w:eastAsia="zh-CN"/>
        </w:rPr>
        <w:t>审结涉电信诈骗类犯罪案件8件，11名被告人被判处刑罚。守护老年人的“钱袋子”，审结王某某涉嫌集资诈骗罪一案。服务保障金融安全，审结我区首例洗钱犯罪案件。</w:t>
      </w:r>
      <w:r>
        <w:rPr>
          <w:rFonts w:hint="eastAsia" w:ascii="仿宋_GB2312" w:hAnsi="宋体" w:eastAsia="仿宋_GB2312" w:cs="宋体"/>
          <w:color w:val="auto"/>
          <w:kern w:val="0"/>
          <w:sz w:val="32"/>
          <w:szCs w:val="32"/>
          <w:highlight w:val="none"/>
        </w:rPr>
        <w:t>坚持有腐必惩、有贪必肃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审结贪污贿赂、渎职等犯罪案件3件</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坚持行贿受贿一起打，审结行贿案件</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rPr>
        <w:t>件。</w:t>
      </w:r>
      <w:r>
        <w:rPr>
          <w:rFonts w:hint="eastAsia" w:ascii="仿宋_GB2312" w:hAnsi="宋体" w:eastAsia="仿宋_GB2312" w:cs="宋体"/>
          <w:color w:val="auto"/>
          <w:kern w:val="0"/>
          <w:sz w:val="32"/>
          <w:szCs w:val="32"/>
          <w:highlight w:val="none"/>
          <w:lang w:val="en-US" w:eastAsia="zh-CN"/>
        </w:rPr>
        <w:t xml:space="preserve">      </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三是服务生态文明建设。</w:t>
      </w:r>
      <w:r>
        <w:rPr>
          <w:rFonts w:hint="eastAsia" w:ascii="仿宋_GB2312" w:hAnsi="宋体" w:eastAsia="仿宋_GB2312" w:cs="宋体"/>
          <w:color w:val="auto"/>
          <w:kern w:val="0"/>
          <w:sz w:val="32"/>
          <w:szCs w:val="32"/>
          <w:highlight w:val="none"/>
        </w:rPr>
        <w:t>我院环境资源审判庭在八达岭法庭正式挂牌，继2010年成立全市首家环保法庭后再次踏上新征程。着力打造“四大平台”，筑牢京西北生态安全屏障。</w:t>
      </w:r>
      <w:r>
        <w:rPr>
          <w:rFonts w:hint="eastAsia" w:ascii="仿宋_GB2312" w:hAnsi="宋体" w:eastAsia="仿宋_GB2312" w:cs="宋体"/>
          <w:color w:val="auto"/>
          <w:kern w:val="0"/>
          <w:sz w:val="32"/>
          <w:szCs w:val="32"/>
          <w:highlight w:val="none"/>
          <w:lang w:eastAsia="zh-CN"/>
        </w:rPr>
        <w:t>审结区首例非法采矿以及非法猎捕野生鸟类刑事附带民事公益诉讼案。</w:t>
      </w:r>
      <w:r>
        <w:rPr>
          <w:rFonts w:hint="eastAsia" w:ascii="仿宋_GB2312" w:hAnsi="宋体" w:eastAsia="仿宋_GB2312" w:cs="宋体"/>
          <w:color w:val="auto"/>
          <w:kern w:val="0"/>
          <w:sz w:val="32"/>
          <w:szCs w:val="32"/>
          <w:highlight w:val="none"/>
        </w:rPr>
        <w:t>在野鸭湖国家湿地公园建立“鸟粮田保护基地”</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召开“助力冰雪产业发展 防范化解风险”新闻通报会，提示冰雪运动潜藏</w:t>
      </w:r>
      <w:r>
        <w:rPr>
          <w:rFonts w:hint="eastAsia" w:ascii="仿宋_GB2312" w:hAnsi="宋体" w:eastAsia="仿宋_GB2312" w:cs="宋体"/>
          <w:color w:val="auto"/>
          <w:kern w:val="0"/>
          <w:sz w:val="32"/>
          <w:szCs w:val="32"/>
          <w:highlight w:val="none"/>
          <w:lang w:eastAsia="zh-CN"/>
        </w:rPr>
        <w:t>的</w:t>
      </w:r>
      <w:r>
        <w:rPr>
          <w:rFonts w:hint="eastAsia" w:ascii="仿宋_GB2312" w:hAnsi="宋体" w:eastAsia="仿宋_GB2312" w:cs="宋体"/>
          <w:color w:val="auto"/>
          <w:kern w:val="0"/>
          <w:sz w:val="32"/>
          <w:szCs w:val="32"/>
          <w:highlight w:val="none"/>
        </w:rPr>
        <w:t>高频风险。《光明日报》等推介我院环资审判亮点举措。</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四是服务乡村振兴</w:t>
      </w:r>
      <w:r>
        <w:rPr>
          <w:rFonts w:hint="eastAsia" w:ascii="仿宋_GB2312" w:hAnsi="宋体" w:eastAsia="仿宋_GB2312" w:cs="宋体"/>
          <w:color w:val="auto"/>
          <w:kern w:val="0"/>
          <w:sz w:val="32"/>
          <w:szCs w:val="32"/>
          <w:highlight w:val="none"/>
        </w:rPr>
        <w:t>。围绕“延庆东南山·九沟十八湾”乡村振兴品牌开展调查研究，</w:t>
      </w:r>
      <w:r>
        <w:rPr>
          <w:rFonts w:hint="eastAsia" w:ascii="仿宋_GB2312" w:hAnsi="宋体" w:eastAsia="仿宋_GB2312" w:cs="宋体"/>
          <w:color w:val="auto"/>
          <w:kern w:val="0"/>
          <w:sz w:val="32"/>
          <w:szCs w:val="32"/>
          <w:highlight w:val="none"/>
          <w:lang w:eastAsia="zh-CN"/>
        </w:rPr>
        <w:t>提出对策建议</w:t>
      </w:r>
      <w:r>
        <w:rPr>
          <w:rFonts w:hint="eastAsia" w:ascii="仿宋_GB2312" w:hAnsi="宋体" w:eastAsia="仿宋_GB2312" w:cs="宋体"/>
          <w:color w:val="auto"/>
          <w:kern w:val="0"/>
          <w:sz w:val="32"/>
          <w:szCs w:val="32"/>
          <w:highlight w:val="none"/>
        </w:rPr>
        <w:t>。对辖区支柱、特色产业建立“重点企业名单”，常态化</w:t>
      </w:r>
      <w:r>
        <w:rPr>
          <w:rFonts w:hint="eastAsia" w:ascii="仿宋_GB2312" w:hAnsi="宋体" w:eastAsia="仿宋_GB2312" w:cs="宋体"/>
          <w:color w:val="auto"/>
          <w:kern w:val="0"/>
          <w:sz w:val="32"/>
          <w:szCs w:val="32"/>
          <w:highlight w:val="none"/>
          <w:lang w:eastAsia="zh-CN"/>
        </w:rPr>
        <w:t>开展</w:t>
      </w:r>
      <w:r>
        <w:rPr>
          <w:rFonts w:hint="eastAsia" w:ascii="仿宋_GB2312" w:hAnsi="宋体" w:eastAsia="仿宋_GB2312" w:cs="宋体"/>
          <w:color w:val="auto"/>
          <w:kern w:val="0"/>
          <w:sz w:val="32"/>
          <w:szCs w:val="32"/>
          <w:highlight w:val="none"/>
        </w:rPr>
        <w:t>司法服务。挂牌成立服务乡村振兴司法实践基地，为乡村振兴提供新的支撑。扩充农村建房纠纷专业咨询员队伍，为农村建房纠纷提供专业咨询意见，引入专业咨询员意见的案件调撤率71%，通过一审程序即解决纠纷案件占比91%，近4年累计为当事人节省费用180余万元。针对农村常见法律纠纷，编写《送给父母的法律课堂-老年人权益保护案例精析》普法书籍，以司法服务乡村振兴。</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五是服务京津冀协同发展</w:t>
      </w:r>
      <w:r>
        <w:rPr>
          <w:rFonts w:hint="eastAsia" w:ascii="仿宋_GB2312" w:hAnsi="宋体" w:eastAsia="仿宋_GB2312" w:cs="宋体"/>
          <w:color w:val="auto"/>
          <w:kern w:val="0"/>
          <w:sz w:val="32"/>
          <w:szCs w:val="32"/>
          <w:highlight w:val="none"/>
        </w:rPr>
        <w:t>。成功举办京张生态环境跨域司法保护研讨会，发布《环境资源审判白皮书》、典型案例、新时代环境资源审判十项措施。签订</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“延怀赤”三地法院司法协作框架协议书</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《官厅水库跨域司法保护协作协议》</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推动司法资源跨区域高效协同。强化京张两地执行联动，</w:t>
      </w:r>
      <w:r>
        <w:rPr>
          <w:rFonts w:hint="eastAsia" w:ascii="仿宋_GB2312" w:hAnsi="宋体" w:eastAsia="仿宋_GB2312" w:cs="宋体"/>
          <w:color w:val="auto"/>
          <w:kern w:val="0"/>
          <w:sz w:val="32"/>
          <w:szCs w:val="32"/>
          <w:highlight w:val="none"/>
          <w:lang w:eastAsia="zh-CN"/>
        </w:rPr>
        <w:t>签署《建立执行联动机制与友好交流备忘录》，</w:t>
      </w:r>
      <w:r>
        <w:rPr>
          <w:rFonts w:hint="eastAsia" w:ascii="仿宋_GB2312" w:hAnsi="宋体" w:eastAsia="仿宋_GB2312" w:cs="宋体"/>
          <w:color w:val="auto"/>
          <w:kern w:val="0"/>
          <w:sz w:val="32"/>
          <w:szCs w:val="32"/>
          <w:highlight w:val="none"/>
        </w:rPr>
        <w:t>进一步扩大两地法院之间</w:t>
      </w:r>
      <w:r>
        <w:rPr>
          <w:rFonts w:hint="eastAsia" w:ascii="仿宋_GB2312" w:hAnsi="宋体" w:eastAsia="仿宋_GB2312" w:cs="宋体"/>
          <w:color w:val="auto"/>
          <w:kern w:val="0"/>
          <w:sz w:val="32"/>
          <w:szCs w:val="32"/>
          <w:highlight w:val="none"/>
          <w:lang w:eastAsia="zh-CN"/>
        </w:rPr>
        <w:t>执行联动</w:t>
      </w:r>
      <w:r>
        <w:rPr>
          <w:rFonts w:hint="eastAsia" w:ascii="仿宋_GB2312" w:hAnsi="宋体" w:eastAsia="仿宋_GB2312" w:cs="宋体"/>
          <w:color w:val="auto"/>
          <w:kern w:val="0"/>
          <w:sz w:val="32"/>
          <w:szCs w:val="32"/>
          <w:highlight w:val="none"/>
        </w:rPr>
        <w:t>范围。</w:t>
      </w:r>
    </w:p>
    <w:p>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fldChar w:fldCharType="begin"/>
      </w:r>
      <w:r>
        <w:rPr>
          <w:rFonts w:hint="eastAsia" w:ascii="仿宋_GB2312" w:hAnsi="宋体" w:eastAsia="仿宋_GB2312" w:cs="宋体"/>
          <w:color w:val="auto"/>
          <w:kern w:val="0"/>
          <w:sz w:val="32"/>
          <w:szCs w:val="32"/>
          <w:highlight w:val="none"/>
        </w:rPr>
        <w:instrText xml:space="preserve"> = 2 \* GB2 </w:instrText>
      </w:r>
      <w:r>
        <w:rPr>
          <w:rFonts w:hint="eastAsia" w:ascii="仿宋_GB2312" w:hAnsi="宋体" w:eastAsia="仿宋_GB2312" w:cs="宋体"/>
          <w:color w:val="auto"/>
          <w:kern w:val="0"/>
          <w:sz w:val="32"/>
          <w:szCs w:val="32"/>
          <w:highlight w:val="none"/>
        </w:rPr>
        <w:fldChar w:fldCharType="separate"/>
      </w:r>
      <w:r>
        <w:rPr>
          <w:rFonts w:hint="eastAsia" w:ascii="仿宋_GB2312" w:hAnsi="宋体" w:eastAsia="仿宋_GB2312" w:cs="宋体"/>
          <w:color w:val="auto"/>
          <w:kern w:val="0"/>
          <w:sz w:val="32"/>
          <w:szCs w:val="32"/>
          <w:highlight w:val="none"/>
        </w:rPr>
        <w:t>⑵</w:t>
      </w:r>
      <w:r>
        <w:rPr>
          <w:rFonts w:hint="eastAsia" w:ascii="仿宋_GB2312" w:hAnsi="宋体" w:eastAsia="仿宋_GB2312" w:cs="宋体"/>
          <w:color w:val="auto"/>
          <w:kern w:val="0"/>
          <w:sz w:val="32"/>
          <w:szCs w:val="32"/>
          <w:highlight w:val="none"/>
        </w:rPr>
        <w:fldChar w:fldCharType="end"/>
      </w:r>
      <w:r>
        <w:rPr>
          <w:rFonts w:hint="eastAsia" w:ascii="仿宋_GB2312" w:hAnsi="宋体" w:eastAsia="仿宋_GB2312" w:cs="宋体"/>
          <w:color w:val="auto"/>
          <w:kern w:val="0"/>
          <w:sz w:val="32"/>
          <w:szCs w:val="32"/>
          <w:highlight w:val="none"/>
          <w:lang w:val="en-US" w:eastAsia="zh-CN"/>
        </w:rPr>
        <w:t>聚焦重点工作，推动全面落实。</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一是持续深化诉源治理。打造诉源治理“九宫格”矩阵，万人起诉率被纳入平安建设考核，每季度向区委政法委汇报万人起诉率情况，万人起诉率两年下降七成。我院新收一审民事案件同比下降</w:t>
      </w:r>
      <w:r>
        <w:rPr>
          <w:rFonts w:hint="eastAsia" w:ascii="仿宋_GB2312" w:hAnsi="宋体" w:eastAsia="仿宋_GB2312" w:cs="宋体"/>
          <w:color w:val="auto"/>
          <w:kern w:val="0"/>
          <w:sz w:val="32"/>
          <w:szCs w:val="32"/>
          <w:highlight w:val="none"/>
          <w:lang w:val="en"/>
        </w:rPr>
        <w:t>2.3</w:t>
      </w:r>
      <w:r>
        <w:rPr>
          <w:rFonts w:hint="eastAsia" w:ascii="仿宋_GB2312" w:hAnsi="宋体" w:eastAsia="仿宋_GB2312" w:cs="宋体"/>
          <w:color w:val="auto"/>
          <w:kern w:val="0"/>
          <w:sz w:val="32"/>
          <w:szCs w:val="32"/>
          <w:highlight w:val="none"/>
        </w:rPr>
        <w:t>%，诉源治理成果持续巩固。与区城指中心建立热线衔接机制，实现12368“一号响应”与12345政务服务热线联动对接。聚焦重点纠纷、重点领域，定向解纷。针对多发的物业纠纷，形成以区住建委牵头、三街七镇落实、法院保障的“三级联动”诉源治理机制，该类纠纷数量同比下降64.88%。与区公安局、民政局、教委、妇联等部门形成合力，涉未成年人案件数量同比下降55.88%。实现普法驿站街乡镇全覆盖、重点产业行业全覆盖。</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二是强化未成年人审判工作。在全市法院率先探索实践“融合式”未成年人审判模式。进一步落实家庭教育指导职责，发出163份《家庭教育责任告知书》，均收到监护人的《主动履责承诺书》。积极推进法治副校长工作，31名法治副校长累计开展普法授课50余次，受众3万余人，11名干警获评区优秀法治副校长。《法治日报》头版头条推介我院法治副校长工作经验。我院家庭教育指导中心被确定为我区三大家庭教育指导中心之一。在我区青少年法治教育基地设立“法融青春”法官工作室，少年法庭被确定为2023-2024年度全国维护青少年权益岗创建单位，获评北京法院少年法庭工作先进集体，2017-2022年度北京市未成年人保护工作先进集体。最高人民法院《少年法庭工作动态》两次专题介绍我院工作机制。</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三是加大执行工作力度。全面推行执行团队化办案模式，提升执行效率。聚焦八项重点执行指标，开展“百日攻坚”专项执行活动，执行质效得到进一步提升。发放案款4.25亿，同比增长63.46%，在账案款0.77亿，同比缩减47.6%。贯彻善意执行理念，妥善处置养老院腾退案件，让180余位老人老有所居。首次采用预处罚措施，取得良好的法律效果和社会效果。</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四是持续推进“法融+”共建品牌矩阵建设。在“法融未来”司法服务品牌辐射带动下，“法融青春”“法融万家”共建品牌取得初步成效。与区妇联共建“法融万家”品牌，建立婚姻家庭纠纷预防化解工作机制，家事纠纷人民调解委员会调解成功率100%。我院共调解家事案件2924件，调解成功2264件，调解成功案件数同比增长4.6%。法融文旅、法融健康等共建品牌持续创建中。我院获评全国维护妇女儿童权益先进集体。</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五是扎实推进司法建议工作。依法履行好司法建议职责，预防和减少社会矛盾纠纷。发出司法建议书17份，同比增长88.9%，回函率100%。综合治理类司法建议工作方面，发布冰雪运动风险防范综合治理类司法建议书，为冰雪体育产业健康发展提供司法助力。针对私拉粘网设施、野生动物致害补偿等问题向区园林绿化局发出司法建议书，实现生态环境保护与果农收益“双赢”。针对未成年人文身问题，向区市场监督管理局发出司法建议书，建议加强对</w:t>
      </w:r>
      <w:r>
        <w:rPr>
          <w:rFonts w:hint="eastAsia" w:ascii="仿宋_GB2312" w:hAnsi="宋体" w:eastAsia="仿宋_GB2312" w:cs="宋体"/>
          <w:color w:val="auto"/>
          <w:kern w:val="0"/>
          <w:sz w:val="32"/>
          <w:szCs w:val="32"/>
          <w:highlight w:val="none"/>
          <w:lang w:eastAsia="zh-CN"/>
        </w:rPr>
        <w:t>纹</w:t>
      </w:r>
      <w:r>
        <w:rPr>
          <w:rFonts w:hint="eastAsia" w:ascii="仿宋_GB2312" w:hAnsi="宋体" w:eastAsia="仿宋_GB2312" w:cs="宋体"/>
          <w:color w:val="auto"/>
          <w:kern w:val="0"/>
          <w:sz w:val="32"/>
          <w:szCs w:val="32"/>
          <w:highlight w:val="none"/>
        </w:rPr>
        <w:t>身店的监管力度。</w:t>
      </w:r>
    </w:p>
    <w:p>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fldChar w:fldCharType="begin"/>
      </w:r>
      <w:r>
        <w:rPr>
          <w:rFonts w:hint="eastAsia" w:ascii="仿宋_GB2312" w:hAnsi="宋体" w:eastAsia="仿宋_GB2312" w:cs="宋体"/>
          <w:color w:val="auto"/>
          <w:kern w:val="0"/>
          <w:sz w:val="32"/>
          <w:szCs w:val="32"/>
          <w:highlight w:val="none"/>
        </w:rPr>
        <w:instrText xml:space="preserve"> = 3 \* GB2 </w:instrText>
      </w:r>
      <w:r>
        <w:rPr>
          <w:rFonts w:hint="eastAsia" w:ascii="仿宋_GB2312" w:hAnsi="宋体" w:eastAsia="仿宋_GB2312" w:cs="宋体"/>
          <w:color w:val="auto"/>
          <w:kern w:val="0"/>
          <w:sz w:val="32"/>
          <w:szCs w:val="32"/>
          <w:highlight w:val="none"/>
        </w:rPr>
        <w:fldChar w:fldCharType="separate"/>
      </w:r>
      <w:r>
        <w:rPr>
          <w:rFonts w:hint="eastAsia" w:ascii="仿宋_GB2312" w:hAnsi="宋体" w:eastAsia="仿宋_GB2312" w:cs="宋体"/>
          <w:color w:val="auto"/>
          <w:kern w:val="0"/>
          <w:sz w:val="32"/>
          <w:szCs w:val="32"/>
          <w:highlight w:val="none"/>
        </w:rPr>
        <w:t>⑶</w:t>
      </w:r>
      <w:r>
        <w:rPr>
          <w:rFonts w:hint="eastAsia" w:ascii="仿宋_GB2312" w:hAnsi="宋体" w:eastAsia="仿宋_GB2312" w:cs="宋体"/>
          <w:color w:val="auto"/>
          <w:kern w:val="0"/>
          <w:sz w:val="32"/>
          <w:szCs w:val="32"/>
          <w:highlight w:val="none"/>
        </w:rPr>
        <w:fldChar w:fldCharType="end"/>
      </w:r>
      <w:r>
        <w:rPr>
          <w:rFonts w:hint="eastAsia" w:ascii="仿宋_GB2312" w:hAnsi="宋体" w:eastAsia="仿宋_GB2312" w:cs="宋体"/>
          <w:color w:val="auto"/>
          <w:kern w:val="0"/>
          <w:sz w:val="32"/>
          <w:szCs w:val="32"/>
          <w:highlight w:val="none"/>
        </w:rPr>
        <w:t xml:space="preserve"> 深化司法体制改革，促进案件质效和司法公信力提升</w:t>
      </w:r>
      <w:r>
        <w:rPr>
          <w:rFonts w:hint="eastAsia" w:ascii="仿宋_GB2312" w:hAnsi="宋体" w:eastAsia="仿宋_GB2312" w:cs="宋体"/>
          <w:color w:val="auto"/>
          <w:kern w:val="0"/>
          <w:sz w:val="32"/>
          <w:szCs w:val="32"/>
          <w:highlight w:val="none"/>
          <w:lang w:eastAsia="zh-CN"/>
        </w:rPr>
        <w:t>。</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一是加强司法权力监督制约。进一步完善权责清晰、监管有效、保障有力的司法责任体系。采取审执案件专项评查、长期未结案件清理、优秀裁判文书评比、优秀案例评比等提升审执质效的“组合拳”，一年以上长期未结案数量同比减少74.03%，审判质效有较大提升。建立“点穴式”督办机制，设置“红黄绿”三色督查台账，发送督办函30期，实现“四个一新”的效果。</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二是深化司法责任制综合配套改革。不断深化多元解纷机制改革，诉前调解分流率71.78%，在全市基层法院排名第</w:t>
      </w:r>
      <w:r>
        <w:rPr>
          <w:rFonts w:hint="eastAsia" w:ascii="仿宋_GB2312" w:hAnsi="宋体" w:eastAsia="仿宋_GB2312" w:cs="宋体"/>
          <w:color w:val="auto"/>
          <w:kern w:val="0"/>
          <w:sz w:val="32"/>
          <w:szCs w:val="32"/>
          <w:highlight w:val="none"/>
          <w:lang w:eastAsia="zh-CN"/>
        </w:rPr>
        <w:t>一</w:t>
      </w:r>
      <w:r>
        <w:rPr>
          <w:rFonts w:hint="eastAsia" w:ascii="仿宋_GB2312" w:hAnsi="宋体" w:eastAsia="仿宋_GB2312" w:cs="宋体"/>
          <w:color w:val="auto"/>
          <w:kern w:val="0"/>
          <w:sz w:val="32"/>
          <w:szCs w:val="32"/>
          <w:highlight w:val="none"/>
        </w:rPr>
        <w:t>。不断推进合议制落实，制定合议要素，促进合议工作规范化、实质化。设置具备录音录像的合议场所，确保合议实质开展。</w:t>
      </w:r>
    </w:p>
    <w:p>
      <w:pPr>
        <w:spacing w:line="600" w:lineRule="exact"/>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三是深化外部监督，进一步增强司法公开度。主动接受人大及其常委会监督，向区人大汇报执行工作情况，书面汇报抢栽抢种案件办理情况，率先在全市法院邀请人大代表列席审委会，听取审判运行态势分析汇报。每季度向区人大、区政府、区政协、区委政法委报送季度工作简报，自觉接受监督。积极接受检察院监督，收到检察建议书12份，全部在规定期限内回函。聘请涵盖全区各领域的特约监督员17名，不断拓宽外部监督渠道。</w:t>
      </w:r>
    </w:p>
    <w:p>
      <w:pPr>
        <w:spacing w:line="60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目标合理性</w:t>
      </w:r>
    </w:p>
    <w:p>
      <w:pPr>
        <w:spacing w:line="60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延庆区法院部门整体绩效目标以习近平新时代中国特色社会主义思想为指导，紧密联系部门职能职责设置，与</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年度工作任务匹配度较高，</w:t>
      </w:r>
      <w:r>
        <w:rPr>
          <w:rFonts w:hint="eastAsia" w:ascii="仿宋_GB2312" w:hAnsi="宋体" w:eastAsia="仿宋_GB2312" w:cs="宋体"/>
          <w:color w:val="auto"/>
          <w:kern w:val="0"/>
          <w:sz w:val="32"/>
          <w:szCs w:val="32"/>
          <w:highlight w:val="none"/>
        </w:rPr>
        <w:t>目标设置合理，与职责任务相匹配。</w:t>
      </w:r>
    </w:p>
    <w:p>
      <w:pPr>
        <w:spacing w:line="600" w:lineRule="exact"/>
        <w:ind w:firstLine="640" w:firstLineChars="20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二</w:t>
      </w:r>
      <w:r>
        <w:rPr>
          <w:rFonts w:ascii="黑体" w:hAnsi="黑体" w:eastAsia="黑体" w:cs="宋体"/>
          <w:color w:val="auto"/>
          <w:kern w:val="0"/>
          <w:sz w:val="32"/>
          <w:szCs w:val="32"/>
          <w:highlight w:val="none"/>
        </w:rPr>
        <w:t>、</w:t>
      </w:r>
      <w:r>
        <w:rPr>
          <w:rFonts w:hint="eastAsia" w:ascii="黑体" w:hAnsi="黑体" w:eastAsia="黑体" w:cs="宋体"/>
          <w:color w:val="auto"/>
          <w:kern w:val="0"/>
          <w:sz w:val="32"/>
          <w:szCs w:val="32"/>
          <w:highlight w:val="none"/>
        </w:rPr>
        <w:t>当年</w:t>
      </w:r>
      <w:r>
        <w:rPr>
          <w:rFonts w:ascii="黑体" w:hAnsi="黑体" w:eastAsia="黑体" w:cs="宋体"/>
          <w:color w:val="auto"/>
          <w:kern w:val="0"/>
          <w:sz w:val="32"/>
          <w:szCs w:val="32"/>
          <w:highlight w:val="none"/>
        </w:rPr>
        <w:t>预算执行情况</w:t>
      </w:r>
    </w:p>
    <w:p>
      <w:pPr>
        <w:spacing w:line="60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w:t>
      </w:r>
      <w:r>
        <w:rPr>
          <w:rFonts w:ascii="仿宋_GB2312" w:hAnsi="宋体" w:eastAsia="仿宋_GB2312" w:cs="宋体"/>
          <w:color w:val="auto"/>
          <w:kern w:val="0"/>
          <w:sz w:val="32"/>
          <w:szCs w:val="32"/>
          <w:highlight w:val="none"/>
        </w:rPr>
        <w:t>全年</w:t>
      </w:r>
      <w:r>
        <w:rPr>
          <w:rFonts w:hint="eastAsia" w:ascii="仿宋_GB2312" w:hAnsi="宋体" w:eastAsia="仿宋_GB2312" w:cs="宋体"/>
          <w:color w:val="auto"/>
          <w:kern w:val="0"/>
          <w:sz w:val="32"/>
          <w:szCs w:val="32"/>
          <w:highlight w:val="none"/>
        </w:rPr>
        <w:t>预算数</w:t>
      </w:r>
      <w:r>
        <w:rPr>
          <w:rFonts w:hint="eastAsia" w:ascii="仿宋_GB2312" w:hAnsi="宋体" w:eastAsia="仿宋_GB2312" w:cs="宋体"/>
          <w:color w:val="auto"/>
          <w:kern w:val="0"/>
          <w:sz w:val="32"/>
          <w:szCs w:val="32"/>
          <w:highlight w:val="none"/>
          <w:lang w:val="en-US" w:eastAsia="zh-CN"/>
        </w:rPr>
        <w:t>12483.94</w:t>
      </w:r>
      <w:r>
        <w:rPr>
          <w:rFonts w:hint="eastAsia" w:ascii="仿宋_GB2312" w:hAnsi="宋体" w:eastAsia="仿宋_GB2312" w:cs="宋体"/>
          <w:color w:val="auto"/>
          <w:kern w:val="0"/>
          <w:sz w:val="32"/>
          <w:szCs w:val="32"/>
          <w:highlight w:val="none"/>
        </w:rPr>
        <w:t>万元</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其中</w:t>
      </w:r>
      <w:r>
        <w:rPr>
          <w:rFonts w:ascii="仿宋_GB2312" w:hAnsi="宋体" w:eastAsia="仿宋_GB2312" w:cs="宋体"/>
          <w:color w:val="auto"/>
          <w:kern w:val="0"/>
          <w:sz w:val="32"/>
          <w:szCs w:val="32"/>
          <w:highlight w:val="none"/>
        </w:rPr>
        <w:t>，基本</w:t>
      </w:r>
      <w:r>
        <w:rPr>
          <w:rFonts w:hint="eastAsia" w:ascii="仿宋_GB2312" w:hAnsi="宋体" w:eastAsia="仿宋_GB2312" w:cs="宋体"/>
          <w:color w:val="auto"/>
          <w:kern w:val="0"/>
          <w:sz w:val="32"/>
          <w:szCs w:val="32"/>
          <w:highlight w:val="none"/>
        </w:rPr>
        <w:t>支出</w:t>
      </w:r>
      <w:r>
        <w:rPr>
          <w:rFonts w:ascii="仿宋_GB2312" w:hAnsi="宋体" w:eastAsia="仿宋_GB2312" w:cs="宋体"/>
          <w:color w:val="auto"/>
          <w:kern w:val="0"/>
          <w:sz w:val="32"/>
          <w:szCs w:val="32"/>
          <w:highlight w:val="none"/>
        </w:rPr>
        <w:t>预算数</w:t>
      </w:r>
      <w:r>
        <w:rPr>
          <w:rFonts w:hint="eastAsia" w:ascii="仿宋_GB2312" w:hAnsi="宋体" w:eastAsia="仿宋_GB2312" w:cs="宋体"/>
          <w:color w:val="auto"/>
          <w:kern w:val="0"/>
          <w:sz w:val="32"/>
          <w:szCs w:val="32"/>
          <w:highlight w:val="none"/>
          <w:lang w:val="en-US" w:eastAsia="zh-CN"/>
        </w:rPr>
        <w:t>10159.75</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项目支出预算数</w:t>
      </w:r>
      <w:r>
        <w:rPr>
          <w:rFonts w:hint="eastAsia" w:ascii="仿宋_GB2312" w:hAnsi="宋体" w:eastAsia="仿宋_GB2312" w:cs="宋体"/>
          <w:color w:val="auto"/>
          <w:kern w:val="0"/>
          <w:sz w:val="32"/>
          <w:szCs w:val="32"/>
          <w:highlight w:val="none"/>
          <w:lang w:val="en-US" w:eastAsia="zh-CN"/>
        </w:rPr>
        <w:t>2324.19</w:t>
      </w:r>
      <w:r>
        <w:rPr>
          <w:rFonts w:ascii="仿宋_GB2312" w:hAnsi="宋体" w:eastAsia="仿宋_GB2312" w:cs="宋体"/>
          <w:color w:val="auto"/>
          <w:kern w:val="0"/>
          <w:sz w:val="32"/>
          <w:szCs w:val="32"/>
          <w:highlight w:val="none"/>
        </w:rPr>
        <w:t>万元，其他支出</w:t>
      </w:r>
      <w:r>
        <w:rPr>
          <w:rFonts w:hint="eastAsia" w:ascii="仿宋_GB2312" w:hAnsi="宋体" w:eastAsia="仿宋_GB2312" w:cs="宋体"/>
          <w:color w:val="auto"/>
          <w:kern w:val="0"/>
          <w:sz w:val="32"/>
          <w:szCs w:val="32"/>
          <w:highlight w:val="none"/>
        </w:rPr>
        <w:t>预算数0</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资金总体</w:t>
      </w:r>
      <w:r>
        <w:rPr>
          <w:rFonts w:hint="eastAsia" w:ascii="仿宋_GB2312" w:hAnsi="宋体" w:eastAsia="仿宋_GB2312" w:cs="宋体"/>
          <w:color w:val="auto"/>
          <w:kern w:val="0"/>
          <w:sz w:val="32"/>
          <w:szCs w:val="32"/>
          <w:highlight w:val="none"/>
        </w:rPr>
        <w:t>支出</w:t>
      </w:r>
      <w:r>
        <w:rPr>
          <w:rFonts w:hint="eastAsia" w:ascii="仿宋_GB2312" w:hAnsi="宋体" w:eastAsia="仿宋_GB2312" w:cs="宋体"/>
          <w:color w:val="auto"/>
          <w:kern w:val="0"/>
          <w:sz w:val="32"/>
          <w:szCs w:val="32"/>
          <w:highlight w:val="none"/>
          <w:lang w:val="en-US" w:eastAsia="zh-CN"/>
        </w:rPr>
        <w:t>12333.85</w:t>
      </w:r>
      <w:r>
        <w:rPr>
          <w:rFonts w:ascii="仿宋_GB2312" w:hAnsi="宋体" w:eastAsia="仿宋_GB2312" w:cs="宋体"/>
          <w:color w:val="auto"/>
          <w:kern w:val="0"/>
          <w:sz w:val="32"/>
          <w:szCs w:val="32"/>
          <w:highlight w:val="none"/>
        </w:rPr>
        <w:t>万元，其中，基本支出</w:t>
      </w:r>
      <w:r>
        <w:rPr>
          <w:rFonts w:hint="eastAsia" w:ascii="仿宋_GB2312" w:hAnsi="宋体" w:eastAsia="仿宋_GB2312" w:cs="宋体"/>
          <w:color w:val="auto"/>
          <w:kern w:val="0"/>
          <w:sz w:val="32"/>
          <w:szCs w:val="32"/>
          <w:highlight w:val="none"/>
          <w:lang w:val="en-US" w:eastAsia="zh-CN"/>
        </w:rPr>
        <w:t>10083.46</w:t>
      </w:r>
      <w:r>
        <w:rPr>
          <w:rFonts w:ascii="仿宋_GB2312" w:hAnsi="宋体" w:eastAsia="仿宋_GB2312" w:cs="宋体"/>
          <w:color w:val="auto"/>
          <w:kern w:val="0"/>
          <w:sz w:val="32"/>
          <w:szCs w:val="32"/>
          <w:highlight w:val="none"/>
        </w:rPr>
        <w:t>万元，项目</w:t>
      </w:r>
      <w:r>
        <w:rPr>
          <w:rFonts w:hint="eastAsia" w:ascii="仿宋_GB2312" w:hAnsi="宋体" w:eastAsia="仿宋_GB2312" w:cs="宋体"/>
          <w:color w:val="auto"/>
          <w:kern w:val="0"/>
          <w:sz w:val="32"/>
          <w:szCs w:val="32"/>
          <w:highlight w:val="none"/>
        </w:rPr>
        <w:t>支出</w:t>
      </w:r>
      <w:r>
        <w:rPr>
          <w:rFonts w:hint="eastAsia" w:ascii="仿宋_GB2312" w:hAnsi="宋体" w:eastAsia="仿宋_GB2312" w:cs="宋体"/>
          <w:color w:val="auto"/>
          <w:kern w:val="0"/>
          <w:sz w:val="32"/>
          <w:szCs w:val="32"/>
          <w:highlight w:val="none"/>
          <w:lang w:val="en-US" w:eastAsia="zh-CN"/>
        </w:rPr>
        <w:t>2250.39</w:t>
      </w:r>
      <w:r>
        <w:rPr>
          <w:rFonts w:ascii="仿宋_GB2312" w:hAnsi="宋体" w:eastAsia="仿宋_GB2312" w:cs="宋体"/>
          <w:color w:val="auto"/>
          <w:kern w:val="0"/>
          <w:sz w:val="32"/>
          <w:szCs w:val="32"/>
          <w:highlight w:val="none"/>
        </w:rPr>
        <w:t>万元，其他支出</w:t>
      </w:r>
      <w:r>
        <w:rPr>
          <w:rFonts w:hint="eastAsia" w:ascii="仿宋_GB2312" w:hAnsi="宋体" w:eastAsia="仿宋_GB2312" w:cs="宋体"/>
          <w:color w:val="auto"/>
          <w:kern w:val="0"/>
          <w:sz w:val="32"/>
          <w:szCs w:val="32"/>
          <w:highlight w:val="none"/>
        </w:rPr>
        <w:t>0</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预算</w:t>
      </w:r>
      <w:r>
        <w:rPr>
          <w:rFonts w:ascii="仿宋_GB2312" w:hAnsi="宋体" w:eastAsia="仿宋_GB2312" w:cs="宋体"/>
          <w:color w:val="auto"/>
          <w:kern w:val="0"/>
          <w:sz w:val="32"/>
          <w:szCs w:val="32"/>
          <w:highlight w:val="none"/>
        </w:rPr>
        <w:t>执行率为</w:t>
      </w:r>
      <w:r>
        <w:rPr>
          <w:rFonts w:hint="eastAsia" w:ascii="仿宋_GB2312" w:hAnsi="宋体" w:eastAsia="仿宋_GB2312" w:cs="宋体"/>
          <w:color w:val="auto"/>
          <w:kern w:val="0"/>
          <w:sz w:val="32"/>
          <w:szCs w:val="32"/>
          <w:highlight w:val="none"/>
          <w:lang w:val="en-US" w:eastAsia="zh-CN"/>
        </w:rPr>
        <w:t>98.8</w:t>
      </w:r>
      <w:r>
        <w:rPr>
          <w:rFonts w:hint="eastAsia" w:ascii="仿宋_GB2312" w:hAnsi="宋体" w:eastAsia="仿宋_GB2312" w:cs="宋体"/>
          <w:color w:val="auto"/>
          <w:kern w:val="0"/>
          <w:sz w:val="32"/>
          <w:szCs w:val="32"/>
          <w:highlight w:val="none"/>
        </w:rPr>
        <w:t>%。</w:t>
      </w:r>
    </w:p>
    <w:p>
      <w:pPr>
        <w:spacing w:line="600" w:lineRule="exact"/>
        <w:ind w:left="105" w:leftChars="50" w:firstLine="480" w:firstLineChars="15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三</w:t>
      </w:r>
      <w:r>
        <w:rPr>
          <w:rFonts w:ascii="黑体" w:hAnsi="黑体" w:eastAsia="黑体" w:cs="宋体"/>
          <w:color w:val="auto"/>
          <w:kern w:val="0"/>
          <w:sz w:val="32"/>
          <w:szCs w:val="32"/>
          <w:highlight w:val="none"/>
        </w:rPr>
        <w:t>、整体绩效目标实现情况</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（一）产出完成情况分析</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1.产出数量</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年数量指标为结案数；指标值</w:t>
      </w:r>
      <w:r>
        <w:rPr>
          <w:rFonts w:hint="eastAsia" w:ascii="仿宋_GB2312" w:hAnsi="宋体" w:eastAsia="仿宋_GB2312" w:cs="宋体"/>
          <w:color w:val="auto"/>
          <w:kern w:val="0"/>
          <w:sz w:val="32"/>
          <w:szCs w:val="32"/>
          <w:highlight w:val="none"/>
          <w:lang w:val="en-US" w:eastAsia="zh-CN"/>
        </w:rPr>
        <w:t>12000</w:t>
      </w:r>
      <w:r>
        <w:rPr>
          <w:rFonts w:hint="eastAsia" w:ascii="仿宋_GB2312" w:hAnsi="宋体" w:eastAsia="仿宋_GB2312" w:cs="宋体"/>
          <w:color w:val="auto"/>
          <w:kern w:val="0"/>
          <w:sz w:val="32"/>
          <w:szCs w:val="32"/>
          <w:highlight w:val="none"/>
        </w:rPr>
        <w:t>件；完成值为</w:t>
      </w:r>
      <w:r>
        <w:rPr>
          <w:rFonts w:hint="eastAsia" w:ascii="仿宋_GB2312" w:hAnsi="宋体" w:eastAsia="仿宋_GB2312" w:cs="宋体"/>
          <w:color w:val="auto"/>
          <w:kern w:val="0"/>
          <w:sz w:val="32"/>
          <w:szCs w:val="32"/>
          <w:highlight w:val="none"/>
          <w:lang w:val="en-US" w:eastAsia="zh-CN"/>
        </w:rPr>
        <w:t>12571</w:t>
      </w:r>
      <w:r>
        <w:rPr>
          <w:rFonts w:hint="eastAsia" w:ascii="仿宋_GB2312" w:hAnsi="宋体" w:eastAsia="仿宋_GB2312" w:cs="宋体"/>
          <w:color w:val="auto"/>
          <w:kern w:val="0"/>
          <w:sz w:val="32"/>
          <w:szCs w:val="32"/>
          <w:highlight w:val="none"/>
        </w:rPr>
        <w:t>件。</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2.产出</w:t>
      </w:r>
      <w:r>
        <w:rPr>
          <w:rFonts w:ascii="仿宋_GB2312" w:hAnsi="宋体" w:eastAsia="仿宋_GB2312" w:cs="宋体"/>
          <w:color w:val="auto"/>
          <w:kern w:val="0"/>
          <w:sz w:val="32"/>
          <w:szCs w:val="32"/>
          <w:highlight w:val="none"/>
        </w:rPr>
        <w:t>质量</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年质量指标为一审</w:t>
      </w:r>
      <w:r>
        <w:rPr>
          <w:rFonts w:hint="eastAsia" w:ascii="仿宋_GB2312" w:hAnsi="宋体" w:eastAsia="仿宋_GB2312" w:cs="宋体"/>
          <w:color w:val="auto"/>
          <w:kern w:val="0"/>
          <w:sz w:val="32"/>
          <w:szCs w:val="32"/>
          <w:highlight w:val="none"/>
          <w:lang w:eastAsia="zh-CN"/>
        </w:rPr>
        <w:t>服判息诉率</w:t>
      </w:r>
      <w:r>
        <w:rPr>
          <w:rFonts w:hint="eastAsia" w:ascii="仿宋_GB2312" w:hAnsi="宋体" w:eastAsia="仿宋_GB2312" w:cs="宋体"/>
          <w:color w:val="auto"/>
          <w:kern w:val="0"/>
          <w:sz w:val="32"/>
          <w:szCs w:val="32"/>
          <w:highlight w:val="none"/>
        </w:rPr>
        <w:t>；指标值</w:t>
      </w:r>
      <w:r>
        <w:rPr>
          <w:rFonts w:hint="eastAsia" w:ascii="仿宋_GB2312" w:hAnsi="宋体" w:eastAsia="仿宋_GB2312" w:cs="宋体"/>
          <w:color w:val="auto"/>
          <w:kern w:val="0"/>
          <w:sz w:val="32"/>
          <w:szCs w:val="32"/>
          <w:highlight w:val="none"/>
          <w:lang w:val="en-US" w:eastAsia="zh-CN"/>
        </w:rPr>
        <w:t>88.04%-91.71</w:t>
      </w:r>
      <w:r>
        <w:rPr>
          <w:rFonts w:hint="eastAsia" w:ascii="仿宋_GB2312" w:hAnsi="宋体" w:eastAsia="仿宋_GB2312" w:cs="宋体"/>
          <w:color w:val="auto"/>
          <w:kern w:val="0"/>
          <w:sz w:val="32"/>
          <w:szCs w:val="32"/>
          <w:highlight w:val="none"/>
        </w:rPr>
        <w:t>%；完成值为</w:t>
      </w:r>
      <w:r>
        <w:rPr>
          <w:rFonts w:hint="eastAsia" w:ascii="仿宋_GB2312" w:hAnsi="宋体" w:eastAsia="仿宋_GB2312" w:cs="宋体"/>
          <w:color w:val="auto"/>
          <w:kern w:val="0"/>
          <w:sz w:val="32"/>
          <w:szCs w:val="32"/>
          <w:highlight w:val="none"/>
          <w:lang w:val="en-US" w:eastAsia="zh-CN"/>
        </w:rPr>
        <w:t>84.38</w:t>
      </w:r>
      <w:r>
        <w:rPr>
          <w:rFonts w:hint="eastAsia" w:ascii="仿宋_GB2312" w:hAnsi="宋体" w:eastAsia="仿宋_GB2312" w:cs="宋体"/>
          <w:color w:val="auto"/>
          <w:kern w:val="0"/>
          <w:sz w:val="32"/>
          <w:szCs w:val="32"/>
          <w:highlight w:val="none"/>
        </w:rPr>
        <w:t>%。</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3.产出进度</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年进度指标为审限内结案率；指标值</w:t>
      </w:r>
      <w:r>
        <w:rPr>
          <w:rFonts w:hint="eastAsia" w:ascii="仿宋_GB2312" w:hAnsi="宋体" w:eastAsia="仿宋_GB2312" w:cs="宋体"/>
          <w:color w:val="auto"/>
          <w:kern w:val="0"/>
          <w:sz w:val="32"/>
          <w:szCs w:val="32"/>
          <w:highlight w:val="none"/>
          <w:lang w:val="en-US" w:eastAsia="zh-CN"/>
        </w:rPr>
        <w:t>90</w:t>
      </w:r>
      <w:r>
        <w:rPr>
          <w:rFonts w:hint="eastAsia" w:ascii="仿宋_GB2312" w:hAnsi="宋体" w:eastAsia="仿宋_GB2312" w:cs="宋体"/>
          <w:color w:val="auto"/>
          <w:kern w:val="0"/>
          <w:sz w:val="32"/>
          <w:szCs w:val="32"/>
          <w:highlight w:val="none"/>
        </w:rPr>
        <w:t>%；完成值为</w:t>
      </w:r>
      <w:r>
        <w:rPr>
          <w:rFonts w:hint="eastAsia" w:ascii="仿宋_GB2312" w:hAnsi="宋体" w:eastAsia="仿宋_GB2312" w:cs="宋体"/>
          <w:color w:val="auto"/>
          <w:kern w:val="0"/>
          <w:sz w:val="32"/>
          <w:szCs w:val="32"/>
          <w:highlight w:val="none"/>
          <w:lang w:val="en-US" w:eastAsia="zh-CN"/>
        </w:rPr>
        <w:t>86.68</w:t>
      </w:r>
      <w:r>
        <w:rPr>
          <w:rFonts w:hint="eastAsia" w:ascii="仿宋_GB2312" w:hAnsi="宋体" w:eastAsia="仿宋_GB2312" w:cs="宋体"/>
          <w:color w:val="auto"/>
          <w:kern w:val="0"/>
          <w:sz w:val="32"/>
          <w:szCs w:val="32"/>
          <w:highlight w:val="none"/>
        </w:rPr>
        <w:t>%。</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4.</w:t>
      </w:r>
      <w:r>
        <w:rPr>
          <w:rFonts w:hint="eastAsia" w:ascii="仿宋_GB2312" w:hAnsi="宋体" w:eastAsia="仿宋_GB2312" w:cs="宋体"/>
          <w:color w:val="auto"/>
          <w:kern w:val="0"/>
          <w:sz w:val="32"/>
          <w:szCs w:val="32"/>
          <w:highlight w:val="none"/>
        </w:rPr>
        <w:t>产出</w:t>
      </w:r>
      <w:r>
        <w:rPr>
          <w:rFonts w:ascii="仿宋_GB2312" w:hAnsi="宋体" w:eastAsia="仿宋_GB2312" w:cs="宋体"/>
          <w:color w:val="auto"/>
          <w:kern w:val="0"/>
          <w:sz w:val="32"/>
          <w:szCs w:val="32"/>
          <w:highlight w:val="none"/>
        </w:rPr>
        <w:t>成本</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年成本指标为案均成本；指标值</w:t>
      </w:r>
      <w:r>
        <w:rPr>
          <w:rFonts w:hint="eastAsia" w:ascii="仿宋_GB2312" w:hAnsi="宋体" w:eastAsia="仿宋_GB2312" w:cs="宋体"/>
          <w:color w:val="auto"/>
          <w:kern w:val="0"/>
          <w:sz w:val="32"/>
          <w:szCs w:val="32"/>
          <w:highlight w:val="none"/>
          <w:lang w:val="en-US" w:eastAsia="zh-CN"/>
        </w:rPr>
        <w:t>0.9</w:t>
      </w:r>
      <w:r>
        <w:rPr>
          <w:rFonts w:hint="eastAsia" w:ascii="仿宋_GB2312" w:hAnsi="宋体" w:eastAsia="仿宋_GB2312" w:cs="宋体"/>
          <w:color w:val="auto"/>
          <w:kern w:val="0"/>
          <w:sz w:val="32"/>
          <w:szCs w:val="32"/>
          <w:highlight w:val="none"/>
        </w:rPr>
        <w:t>万元；完成值为</w:t>
      </w:r>
      <w:r>
        <w:rPr>
          <w:rFonts w:hint="eastAsia" w:ascii="仿宋_GB2312" w:hAnsi="宋体" w:eastAsia="仿宋_GB2312" w:cs="宋体"/>
          <w:color w:val="auto"/>
          <w:kern w:val="0"/>
          <w:sz w:val="32"/>
          <w:szCs w:val="32"/>
          <w:highlight w:val="none"/>
          <w:lang w:val="en-US" w:eastAsia="zh-CN"/>
        </w:rPr>
        <w:t>0.98</w:t>
      </w:r>
      <w:r>
        <w:rPr>
          <w:rFonts w:hint="eastAsia" w:ascii="仿宋_GB2312" w:hAnsi="宋体" w:eastAsia="仿宋_GB2312" w:cs="宋体"/>
          <w:color w:val="auto"/>
          <w:kern w:val="0"/>
          <w:sz w:val="32"/>
          <w:szCs w:val="32"/>
          <w:highlight w:val="none"/>
        </w:rPr>
        <w:t>万元。</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（二）效果</w:t>
      </w:r>
      <w:r>
        <w:rPr>
          <w:rFonts w:ascii="楷体_GB2312" w:eastAsia="楷体_GB2312"/>
          <w:color w:val="auto"/>
          <w:sz w:val="32"/>
          <w:szCs w:val="32"/>
          <w:highlight w:val="none"/>
        </w:rPr>
        <w:t>实现情况分析</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1.社会效益</w:t>
      </w:r>
    </w:p>
    <w:p>
      <w:pPr>
        <w:widowControl/>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社会效益指标为围绕大局履职尽责，服务区域内高质量绿色发展；指标值为围绕大局履职尽责，服务区域内高质量绿色发展；完成值为服务法治政府建设、服务美丽延庆建设、服务乡村振兴，强化民生司法保障、维护社会安全稳定。</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2.经济</w:t>
      </w:r>
      <w:r>
        <w:rPr>
          <w:rFonts w:ascii="仿宋_GB2312" w:hAnsi="宋体" w:eastAsia="仿宋_GB2312" w:cs="宋体"/>
          <w:color w:val="auto"/>
          <w:kern w:val="0"/>
          <w:sz w:val="32"/>
          <w:szCs w:val="32"/>
          <w:highlight w:val="none"/>
        </w:rPr>
        <w:t>效益</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经济效益指标为保证首都经济运转和维护营商环境；指标值为围绕优化营商环境重点工作，优化窗口服务环境，积极营造法治化、便利化营商环境；完成值围绕优化窗口服务环境，严格规范司法审判行为，切实有效提升审判质效，主动对接辖区内重点民营企业，依法保障企业合法经营。</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 服务对象</w:t>
      </w:r>
      <w:r>
        <w:rPr>
          <w:rFonts w:ascii="仿宋_GB2312" w:hAnsi="宋体" w:eastAsia="仿宋_GB2312" w:cs="宋体"/>
          <w:color w:val="auto"/>
          <w:kern w:val="0"/>
          <w:sz w:val="32"/>
          <w:szCs w:val="32"/>
          <w:highlight w:val="none"/>
        </w:rPr>
        <w:t>满意度</w:t>
      </w:r>
    </w:p>
    <w:p>
      <w:pPr>
        <w:spacing w:line="600" w:lineRule="exact"/>
        <w:ind w:left="105" w:leftChars="50" w:firstLine="480" w:firstLineChars="15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年服务对象满意度指标值为</w:t>
      </w:r>
      <w:r>
        <w:rPr>
          <w:rFonts w:hint="eastAsia" w:ascii="仿宋_GB2312" w:hAnsi="宋体" w:eastAsia="仿宋_GB2312" w:cs="宋体"/>
          <w:color w:val="auto"/>
          <w:kern w:val="0"/>
          <w:sz w:val="32"/>
          <w:szCs w:val="32"/>
          <w:highlight w:val="none"/>
          <w:lang w:eastAsia="zh-CN"/>
        </w:rPr>
        <w:t>审判执行工作整体满意度</w:t>
      </w:r>
      <w:r>
        <w:rPr>
          <w:rFonts w:hint="eastAsia" w:ascii="仿宋_GB2312" w:hAnsi="宋体" w:eastAsia="仿宋_GB2312" w:cs="宋体"/>
          <w:color w:val="auto"/>
          <w:kern w:val="0"/>
          <w:sz w:val="32"/>
          <w:szCs w:val="32"/>
          <w:highlight w:val="none"/>
        </w:rPr>
        <w:t>；指标值为坚持以人民群众的满意度、获得感检验改革成效，抓住改革重点，聚焦突出问题，统筹推进司法体制综合配套改革；完成值</w:t>
      </w:r>
      <w:r>
        <w:rPr>
          <w:rFonts w:hint="eastAsia" w:ascii="仿宋_GB2312" w:hAnsi="宋体" w:eastAsia="仿宋_GB2312" w:cs="宋体"/>
          <w:color w:val="auto"/>
          <w:kern w:val="0"/>
          <w:sz w:val="32"/>
          <w:szCs w:val="32"/>
          <w:highlight w:val="none"/>
          <w:lang w:eastAsia="zh-CN"/>
        </w:rPr>
        <w:t>为</w:t>
      </w:r>
      <w:r>
        <w:rPr>
          <w:rFonts w:hint="eastAsia" w:ascii="仿宋_GB2312" w:hAnsi="宋体" w:eastAsia="仿宋_GB2312" w:cs="宋体"/>
          <w:color w:val="auto"/>
          <w:kern w:val="0"/>
          <w:sz w:val="32"/>
          <w:szCs w:val="32"/>
          <w:highlight w:val="none"/>
        </w:rPr>
        <w:t>坚持服务大局、司法为民、公正司法，认真落实市委、区委部署要求，各项工作均取得预期成效。持续巩固司法体制改革成果，全面落实司法责任制，严格落实随机分案、阅核制等制度，加强对审判权的监督制约。推进诉讼服务全流程改革，坚持能动司法，探索部分民事案件诉前鉴定工作，促进矛盾纠纷高效化解。开展集约送达改革，缩短案件办理周期，推进诉讼服务提档升级，让公平正义更“快一步”。</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4. 环境效益</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年环境效益指标为环保案件结案数；指标值</w:t>
      </w:r>
      <w:r>
        <w:rPr>
          <w:rFonts w:hint="eastAsia" w:ascii="仿宋_GB2312" w:hAnsi="宋体" w:eastAsia="仿宋_GB2312" w:cs="宋体"/>
          <w:color w:val="auto"/>
          <w:kern w:val="0"/>
          <w:sz w:val="32"/>
          <w:szCs w:val="32"/>
          <w:highlight w:val="none"/>
          <w:lang w:val="en-US" w:eastAsia="zh-CN"/>
        </w:rPr>
        <w:t>7</w:t>
      </w:r>
      <w:r>
        <w:rPr>
          <w:rFonts w:hint="eastAsia" w:ascii="仿宋_GB2312" w:hAnsi="宋体" w:eastAsia="仿宋_GB2312" w:cs="宋体"/>
          <w:color w:val="auto"/>
          <w:kern w:val="0"/>
          <w:sz w:val="32"/>
          <w:szCs w:val="32"/>
          <w:highlight w:val="none"/>
        </w:rPr>
        <w:t>件；完成值为</w:t>
      </w:r>
      <w:r>
        <w:rPr>
          <w:rFonts w:hint="eastAsia" w:ascii="仿宋_GB2312" w:hAnsi="宋体" w:eastAsia="仿宋_GB2312" w:cs="宋体"/>
          <w:color w:val="auto"/>
          <w:kern w:val="0"/>
          <w:sz w:val="32"/>
          <w:szCs w:val="32"/>
          <w:highlight w:val="none"/>
          <w:lang w:val="en-US" w:eastAsia="zh-CN"/>
        </w:rPr>
        <w:t>7</w:t>
      </w:r>
      <w:r>
        <w:rPr>
          <w:rFonts w:hint="eastAsia" w:ascii="仿宋_GB2312" w:hAnsi="宋体" w:eastAsia="仿宋_GB2312" w:cs="宋体"/>
          <w:color w:val="auto"/>
          <w:kern w:val="0"/>
          <w:sz w:val="32"/>
          <w:szCs w:val="32"/>
          <w:highlight w:val="none"/>
        </w:rPr>
        <w:t>件。</w:t>
      </w:r>
    </w:p>
    <w:p>
      <w:pPr>
        <w:spacing w:line="600" w:lineRule="exact"/>
        <w:ind w:left="105" w:leftChars="50" w:firstLine="480" w:firstLineChars="15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四</w:t>
      </w:r>
      <w:r>
        <w:rPr>
          <w:rFonts w:ascii="黑体" w:hAnsi="黑体" w:eastAsia="黑体" w:cs="宋体"/>
          <w:color w:val="auto"/>
          <w:kern w:val="0"/>
          <w:sz w:val="32"/>
          <w:szCs w:val="32"/>
          <w:highlight w:val="none"/>
        </w:rPr>
        <w:t>、预算管理</w:t>
      </w:r>
      <w:r>
        <w:rPr>
          <w:rFonts w:hint="eastAsia" w:ascii="黑体" w:hAnsi="黑体" w:eastAsia="黑体" w:cs="宋体"/>
          <w:color w:val="auto"/>
          <w:kern w:val="0"/>
          <w:sz w:val="32"/>
          <w:szCs w:val="32"/>
          <w:highlight w:val="none"/>
        </w:rPr>
        <w:t>情况分</w:t>
      </w:r>
      <w:r>
        <w:rPr>
          <w:rFonts w:ascii="黑体" w:hAnsi="黑体" w:eastAsia="黑体" w:cs="宋体"/>
          <w:color w:val="auto"/>
          <w:kern w:val="0"/>
          <w:sz w:val="32"/>
          <w:szCs w:val="32"/>
          <w:highlight w:val="none"/>
        </w:rPr>
        <w:t>析</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（一）财务管理</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1.财务</w:t>
      </w:r>
      <w:r>
        <w:rPr>
          <w:rFonts w:ascii="仿宋_GB2312" w:hAnsi="宋体" w:eastAsia="仿宋_GB2312" w:cs="宋体"/>
          <w:color w:val="auto"/>
          <w:kern w:val="0"/>
          <w:sz w:val="32"/>
          <w:szCs w:val="32"/>
          <w:highlight w:val="none"/>
        </w:rPr>
        <w:t>管理制度健全性</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北京市延庆区人民法院制定了较为完备的财务管理制度，预算资金管理办法、资产管理办法等各项制度健全；内部财务管理制度完整、合规；会计核算制度完整、合规。但目前尚未制定相关绩效跟踪管理办法。</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2.资金使用合规性</w:t>
      </w:r>
      <w:r>
        <w:rPr>
          <w:rFonts w:ascii="仿宋_GB2312" w:hAnsi="宋体" w:eastAsia="仿宋_GB2312" w:cs="宋体"/>
          <w:color w:val="auto"/>
          <w:kern w:val="0"/>
          <w:sz w:val="32"/>
          <w:szCs w:val="32"/>
          <w:highlight w:val="none"/>
        </w:rPr>
        <w:t>和安全性</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北京市延庆区人民法院严格按照国家财经法规和财务管理制度规定以及有关专项资金管理办法的规定管理使用财政资金，资金的拨付有完整的审批程序和手续；项目的重大开支均经过评估论证；按照部门预算批复的用途使用预算资金，不存在截留、挤占、挪用情况；需要履行政府采购程序的支出严格执行政府采购的程序和流程；资金支付符合公务卡结算相关制度和规定。</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会计</w:t>
      </w:r>
      <w:r>
        <w:rPr>
          <w:rFonts w:ascii="仿宋_GB2312" w:hAnsi="宋体" w:eastAsia="仿宋_GB2312" w:cs="宋体"/>
          <w:color w:val="auto"/>
          <w:kern w:val="0"/>
          <w:sz w:val="32"/>
          <w:szCs w:val="32"/>
          <w:highlight w:val="none"/>
        </w:rPr>
        <w:t>基础信息完善性</w:t>
      </w:r>
    </w:p>
    <w:p>
      <w:pPr>
        <w:spacing w:line="600" w:lineRule="exact"/>
        <w:ind w:left="105" w:leftChars="50"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北京市延庆区人民法院基础数据信息和会计信息资料真实、完整、准确。</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（二）资产管理</w:t>
      </w:r>
    </w:p>
    <w:p>
      <w:pPr>
        <w:spacing w:line="600" w:lineRule="exact"/>
        <w:ind w:left="105" w:leftChars="50" w:firstLine="480" w:firstLineChars="150"/>
        <w:rPr>
          <w:rFonts w:ascii="仿宋_GB2312" w:eastAsia="仿宋_GB2312"/>
          <w:color w:val="auto"/>
          <w:sz w:val="32"/>
          <w:szCs w:val="32"/>
          <w:highlight w:val="none"/>
        </w:rPr>
      </w:pPr>
      <w:r>
        <w:rPr>
          <w:rFonts w:hint="eastAsia" w:ascii="仿宋_GB2312" w:hAnsi="宋体" w:eastAsia="仿宋_GB2312" w:cs="宋体"/>
          <w:color w:val="auto"/>
          <w:kern w:val="0"/>
          <w:sz w:val="32"/>
          <w:szCs w:val="32"/>
          <w:highlight w:val="none"/>
        </w:rPr>
        <w:t>北京市延庆区人民法院的资产安全完整，资产使用和资产处理规范、及时，但存在个别资产配置数量超标的情况。</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（三）绩效</w:t>
      </w:r>
      <w:r>
        <w:rPr>
          <w:rFonts w:ascii="楷体_GB2312" w:eastAsia="楷体_GB2312"/>
          <w:color w:val="auto"/>
          <w:sz w:val="32"/>
          <w:szCs w:val="32"/>
          <w:highlight w:val="none"/>
        </w:rPr>
        <w:t>管理</w:t>
      </w:r>
    </w:p>
    <w:p>
      <w:pPr>
        <w:spacing w:line="600" w:lineRule="exact"/>
        <w:ind w:left="105" w:leftChars="50" w:firstLine="480" w:firstLineChars="150"/>
        <w:rPr>
          <w:rFonts w:ascii="仿宋_GB2312" w:eastAsia="仿宋_GB2312"/>
          <w:color w:val="auto"/>
          <w:sz w:val="32"/>
          <w:szCs w:val="32"/>
          <w:highlight w:val="none"/>
        </w:rPr>
      </w:pPr>
      <w:r>
        <w:rPr>
          <w:rFonts w:hint="eastAsia" w:ascii="仿宋_GB2312" w:hAnsi="宋体" w:eastAsia="仿宋_GB2312" w:cs="宋体"/>
          <w:color w:val="auto"/>
          <w:kern w:val="0"/>
          <w:sz w:val="32"/>
          <w:szCs w:val="32"/>
          <w:highlight w:val="none"/>
        </w:rPr>
        <w:t>北京市延庆区人民法院定期对绩效信息进行汇总分析整理</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但对绩效目标偏离情况的矫正还有待进一步加强。</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（四）结转结余率</w:t>
      </w:r>
    </w:p>
    <w:p>
      <w:pPr>
        <w:spacing w:line="600" w:lineRule="exact"/>
        <w:ind w:left="105" w:leftChars="50" w:firstLine="480" w:firstLineChars="150"/>
        <w:rPr>
          <w:rFonts w:hint="eastAsia" w:ascii="仿宋_GB2312" w:eastAsia="仿宋_GB2312"/>
          <w:color w:val="auto"/>
          <w:sz w:val="32"/>
          <w:szCs w:val="32"/>
          <w:highlight w:val="none"/>
          <w:lang w:val="en-US" w:eastAsia="zh-CN"/>
        </w:rPr>
      </w:pPr>
      <w:r>
        <w:rPr>
          <w:rFonts w:hint="eastAsia" w:ascii="仿宋_GB2312" w:hAnsi="宋体" w:eastAsia="仿宋_GB2312" w:cs="宋体"/>
          <w:color w:val="auto"/>
          <w:kern w:val="0"/>
          <w:sz w:val="32"/>
          <w:szCs w:val="32"/>
          <w:highlight w:val="none"/>
        </w:rPr>
        <w:t>北京市延庆区人民法院202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年度结转结余率</w:t>
      </w:r>
      <w:r>
        <w:rPr>
          <w:rFonts w:hint="eastAsia" w:ascii="仿宋_GB2312" w:hAnsi="宋体" w:eastAsia="仿宋_GB2312" w:cs="宋体"/>
          <w:color w:val="auto"/>
          <w:kern w:val="0"/>
          <w:sz w:val="32"/>
          <w:szCs w:val="32"/>
          <w:highlight w:val="none"/>
          <w:lang w:val="en-US" w:eastAsia="zh-CN"/>
        </w:rPr>
        <w:t>1.2</w:t>
      </w:r>
      <w:r>
        <w:rPr>
          <w:rFonts w:hint="eastAsia" w:ascii="仿宋_GB2312" w:hAnsi="宋体" w:eastAsia="仿宋_GB2312" w:cs="宋体"/>
          <w:color w:val="auto"/>
          <w:kern w:val="0"/>
          <w:sz w:val="32"/>
          <w:szCs w:val="32"/>
          <w:highlight w:val="none"/>
        </w:rPr>
        <w:t>%，低于202</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年的结转结余率</w:t>
      </w:r>
      <w:r>
        <w:rPr>
          <w:rFonts w:hint="eastAsia" w:ascii="仿宋_GB2312" w:hAnsi="宋体" w:eastAsia="仿宋_GB2312" w:cs="宋体"/>
          <w:color w:val="auto"/>
          <w:kern w:val="0"/>
          <w:sz w:val="32"/>
          <w:szCs w:val="32"/>
          <w:highlight w:val="none"/>
          <w:lang w:val="en-US" w:eastAsia="zh-CN"/>
        </w:rPr>
        <w:t>2.83</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w:t>
      </w:r>
    </w:p>
    <w:p>
      <w:pPr>
        <w:spacing w:line="600" w:lineRule="exact"/>
        <w:ind w:left="105" w:leftChars="50" w:firstLine="480" w:firstLineChars="150"/>
        <w:rPr>
          <w:rFonts w:ascii="楷体_GB2312" w:eastAsia="楷体_GB2312"/>
          <w:color w:val="auto"/>
          <w:sz w:val="32"/>
          <w:szCs w:val="32"/>
          <w:highlight w:val="none"/>
        </w:rPr>
      </w:pPr>
      <w:r>
        <w:rPr>
          <w:rFonts w:hint="eastAsia" w:ascii="楷体_GB2312" w:eastAsia="楷体_GB2312"/>
          <w:color w:val="auto"/>
          <w:sz w:val="32"/>
          <w:szCs w:val="32"/>
          <w:highlight w:val="none"/>
        </w:rPr>
        <w:t>（五）部门</w:t>
      </w:r>
      <w:r>
        <w:rPr>
          <w:rFonts w:ascii="楷体_GB2312" w:eastAsia="楷体_GB2312"/>
          <w:color w:val="auto"/>
          <w:sz w:val="32"/>
          <w:szCs w:val="32"/>
          <w:highlight w:val="none"/>
        </w:rPr>
        <w:t>预决算差异率</w:t>
      </w:r>
    </w:p>
    <w:p>
      <w:pPr>
        <w:spacing w:line="600" w:lineRule="exact"/>
        <w:ind w:left="105" w:leftChars="50" w:firstLine="640" w:firstLineChars="200"/>
        <w:rPr>
          <w:rFonts w:ascii="仿宋_GB2312" w:eastAsia="仿宋_GB2312"/>
          <w:color w:val="auto"/>
          <w:sz w:val="32"/>
          <w:szCs w:val="32"/>
          <w:highlight w:val="none"/>
        </w:rPr>
      </w:pPr>
      <w:r>
        <w:rPr>
          <w:rFonts w:hint="eastAsia" w:ascii="仿宋_GB2312" w:hAnsi="宋体" w:eastAsia="仿宋_GB2312" w:cs="宋体"/>
          <w:color w:val="auto"/>
          <w:kern w:val="0"/>
          <w:sz w:val="32"/>
          <w:szCs w:val="32"/>
          <w:highlight w:val="none"/>
        </w:rPr>
        <w:t>北京市延庆区人民法院202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年预决算差异率为</w:t>
      </w:r>
      <w:r>
        <w:rPr>
          <w:rFonts w:hint="eastAsia" w:ascii="仿宋_GB2312" w:hAnsi="宋体" w:eastAsia="仿宋_GB2312" w:cs="宋体"/>
          <w:color w:val="auto"/>
          <w:kern w:val="0"/>
          <w:sz w:val="32"/>
          <w:szCs w:val="32"/>
          <w:highlight w:val="none"/>
          <w:lang w:val="en-US" w:eastAsia="zh-CN"/>
        </w:rPr>
        <w:t>-0.78</w:t>
      </w:r>
      <w:r>
        <w:rPr>
          <w:rFonts w:hint="eastAsia" w:ascii="仿宋_GB2312" w:hAnsi="宋体" w:eastAsia="仿宋_GB2312" w:cs="宋体"/>
          <w:color w:val="auto"/>
          <w:kern w:val="0"/>
          <w:sz w:val="32"/>
          <w:szCs w:val="32"/>
          <w:highlight w:val="none"/>
        </w:rPr>
        <w:t>%，低于市级平均差异率。</w:t>
      </w:r>
    </w:p>
    <w:p>
      <w:pPr>
        <w:spacing w:line="600" w:lineRule="exact"/>
        <w:ind w:left="5" w:firstLine="579" w:firstLineChars="181"/>
        <w:rPr>
          <w:rFonts w:ascii="黑体" w:hAnsi="黑体" w:eastAsia="黑体"/>
          <w:color w:val="auto"/>
          <w:sz w:val="32"/>
          <w:szCs w:val="32"/>
          <w:highlight w:val="none"/>
        </w:rPr>
      </w:pPr>
      <w:r>
        <w:rPr>
          <w:rFonts w:hint="eastAsia" w:ascii="黑体" w:hAnsi="黑体" w:eastAsia="黑体"/>
          <w:color w:val="auto"/>
          <w:sz w:val="32"/>
          <w:szCs w:val="32"/>
          <w:highlight w:val="none"/>
        </w:rPr>
        <w:t>五、总体</w:t>
      </w:r>
      <w:r>
        <w:rPr>
          <w:rFonts w:ascii="黑体" w:hAnsi="黑体" w:eastAsia="黑体"/>
          <w:color w:val="auto"/>
          <w:sz w:val="32"/>
          <w:szCs w:val="32"/>
          <w:highlight w:val="none"/>
        </w:rPr>
        <w:t>评价结论</w:t>
      </w:r>
    </w:p>
    <w:p>
      <w:pPr>
        <w:spacing w:line="600" w:lineRule="exact"/>
        <w:ind w:left="5" w:firstLine="579" w:firstLineChars="181"/>
        <w:rPr>
          <w:rFonts w:ascii="楷体_GB2312" w:eastAsia="楷体_GB2312"/>
          <w:color w:val="auto"/>
          <w:sz w:val="32"/>
          <w:szCs w:val="32"/>
          <w:highlight w:val="none"/>
        </w:rPr>
      </w:pPr>
      <w:r>
        <w:rPr>
          <w:rFonts w:hint="eastAsia" w:ascii="楷体_GB2312" w:eastAsia="楷体_GB2312"/>
          <w:color w:val="auto"/>
          <w:sz w:val="32"/>
          <w:szCs w:val="32"/>
          <w:highlight w:val="none"/>
        </w:rPr>
        <w:t>（一）评价</w:t>
      </w:r>
      <w:r>
        <w:rPr>
          <w:rFonts w:ascii="楷体_GB2312" w:eastAsia="楷体_GB2312"/>
          <w:color w:val="auto"/>
          <w:sz w:val="32"/>
          <w:szCs w:val="32"/>
          <w:highlight w:val="none"/>
        </w:rPr>
        <w:t>得分</w:t>
      </w:r>
      <w:r>
        <w:rPr>
          <w:rFonts w:hint="eastAsia" w:ascii="楷体_GB2312" w:eastAsia="楷体_GB2312"/>
          <w:color w:val="auto"/>
          <w:sz w:val="32"/>
          <w:szCs w:val="32"/>
          <w:highlight w:val="none"/>
        </w:rPr>
        <w:t>情况</w:t>
      </w:r>
    </w:p>
    <w:p>
      <w:pPr>
        <w:spacing w:line="6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延庆区法院部门整体绩效评价得分为</w:t>
      </w:r>
      <w:r>
        <w:rPr>
          <w:rFonts w:hint="eastAsia" w:ascii="仿宋_GB2312" w:eastAsia="仿宋_GB2312"/>
          <w:color w:val="auto"/>
          <w:sz w:val="32"/>
          <w:szCs w:val="32"/>
          <w:highlight w:val="none"/>
          <w:lang w:val="en-US" w:eastAsia="zh-CN"/>
        </w:rPr>
        <w:t>94.26</w:t>
      </w:r>
      <w:r>
        <w:rPr>
          <w:rFonts w:hint="eastAsia" w:ascii="仿宋_GB2312" w:eastAsia="仿宋_GB2312"/>
          <w:color w:val="auto"/>
          <w:sz w:val="32"/>
          <w:szCs w:val="32"/>
          <w:highlight w:val="none"/>
        </w:rPr>
        <w:t>分。其中当年预算执行情况满分20分，预算执行率</w:t>
      </w:r>
      <w:r>
        <w:rPr>
          <w:rFonts w:hint="eastAsia" w:ascii="仿宋_GB2312" w:hAnsi="宋体" w:eastAsia="仿宋_GB2312" w:cs="宋体"/>
          <w:color w:val="auto"/>
          <w:kern w:val="0"/>
          <w:sz w:val="32"/>
          <w:szCs w:val="32"/>
          <w:highlight w:val="none"/>
          <w:lang w:val="en-US" w:eastAsia="zh-CN"/>
        </w:rPr>
        <w:t>98.8</w:t>
      </w:r>
      <w:r>
        <w:rPr>
          <w:rFonts w:hint="eastAsia" w:ascii="仿宋_GB2312" w:eastAsia="仿宋_GB2312"/>
          <w:color w:val="auto"/>
          <w:sz w:val="32"/>
          <w:szCs w:val="32"/>
          <w:highlight w:val="none"/>
        </w:rPr>
        <w:t>%，得分</w:t>
      </w:r>
      <w:r>
        <w:rPr>
          <w:rFonts w:hint="eastAsia" w:ascii="仿宋_GB2312" w:eastAsia="仿宋_GB2312"/>
          <w:color w:val="auto"/>
          <w:sz w:val="32"/>
          <w:szCs w:val="32"/>
          <w:highlight w:val="none"/>
          <w:lang w:val="en-US" w:eastAsia="zh-CN"/>
        </w:rPr>
        <w:t>19.76</w:t>
      </w:r>
      <w:r>
        <w:rPr>
          <w:rFonts w:hint="eastAsia" w:ascii="仿宋_GB2312" w:eastAsia="仿宋_GB2312"/>
          <w:color w:val="auto"/>
          <w:sz w:val="32"/>
          <w:szCs w:val="32"/>
          <w:highlight w:val="none"/>
        </w:rPr>
        <w:t>分，得分率</w:t>
      </w:r>
      <w:r>
        <w:rPr>
          <w:rFonts w:hint="eastAsia" w:ascii="仿宋_GB2312" w:eastAsia="仿宋_GB2312"/>
          <w:color w:val="auto"/>
          <w:sz w:val="32"/>
          <w:szCs w:val="32"/>
          <w:highlight w:val="none"/>
          <w:lang w:val="en-US" w:eastAsia="zh-CN"/>
        </w:rPr>
        <w:t>98.8</w:t>
      </w:r>
      <w:r>
        <w:rPr>
          <w:rFonts w:hint="eastAsia" w:ascii="仿宋_GB2312" w:eastAsia="仿宋_GB2312"/>
          <w:color w:val="auto"/>
          <w:sz w:val="32"/>
          <w:szCs w:val="32"/>
          <w:highlight w:val="none"/>
        </w:rPr>
        <w:t>%。；整体绩效目标实现情况满分60分，得分</w:t>
      </w:r>
      <w:r>
        <w:rPr>
          <w:rFonts w:hint="eastAsia" w:ascii="仿宋_GB2312" w:eastAsia="仿宋_GB2312"/>
          <w:color w:val="auto"/>
          <w:sz w:val="32"/>
          <w:szCs w:val="32"/>
          <w:highlight w:val="none"/>
          <w:lang w:val="en-US" w:eastAsia="zh-CN"/>
        </w:rPr>
        <w:t>57</w:t>
      </w:r>
      <w:r>
        <w:rPr>
          <w:rFonts w:hint="eastAsia" w:ascii="仿宋_GB2312" w:eastAsia="仿宋_GB2312"/>
          <w:color w:val="auto"/>
          <w:sz w:val="32"/>
          <w:szCs w:val="32"/>
          <w:highlight w:val="none"/>
        </w:rPr>
        <w:t>分，得分率</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%；预算管理情况满分20分，得分</w:t>
      </w:r>
      <w:r>
        <w:rPr>
          <w:rFonts w:hint="eastAsia" w:ascii="仿宋_GB2312" w:eastAsia="仿宋_GB2312"/>
          <w:color w:val="auto"/>
          <w:sz w:val="32"/>
          <w:szCs w:val="32"/>
          <w:highlight w:val="none"/>
          <w:lang w:val="en-US" w:eastAsia="zh-CN"/>
        </w:rPr>
        <w:t>17.5</w:t>
      </w:r>
      <w:r>
        <w:rPr>
          <w:rFonts w:hint="eastAsia" w:ascii="仿宋_GB2312" w:eastAsia="仿宋_GB2312"/>
          <w:color w:val="auto"/>
          <w:sz w:val="32"/>
          <w:szCs w:val="32"/>
          <w:highlight w:val="none"/>
        </w:rPr>
        <w:t>分，得分率</w:t>
      </w:r>
      <w:r>
        <w:rPr>
          <w:rFonts w:hint="eastAsia" w:ascii="仿宋_GB2312" w:eastAsia="仿宋_GB2312"/>
          <w:color w:val="auto"/>
          <w:sz w:val="32"/>
          <w:szCs w:val="32"/>
          <w:highlight w:val="none"/>
          <w:lang w:val="en-US" w:eastAsia="zh-CN"/>
        </w:rPr>
        <w:t>87.5</w:t>
      </w:r>
      <w:r>
        <w:rPr>
          <w:rFonts w:hint="eastAsia" w:ascii="仿宋_GB2312" w:eastAsia="仿宋_GB2312"/>
          <w:color w:val="auto"/>
          <w:sz w:val="32"/>
          <w:szCs w:val="32"/>
          <w:highlight w:val="none"/>
        </w:rPr>
        <w:t>%。</w:t>
      </w:r>
    </w:p>
    <w:p>
      <w:pPr>
        <w:spacing w:line="600" w:lineRule="exact"/>
        <w:ind w:left="5" w:firstLine="579" w:firstLineChars="181"/>
        <w:rPr>
          <w:rFonts w:ascii="楷体_GB2312" w:eastAsia="楷体_GB2312"/>
          <w:color w:val="auto"/>
          <w:sz w:val="32"/>
          <w:szCs w:val="32"/>
          <w:highlight w:val="none"/>
        </w:rPr>
      </w:pPr>
      <w:r>
        <w:rPr>
          <w:rFonts w:hint="eastAsia" w:ascii="楷体_GB2312" w:eastAsia="楷体_GB2312"/>
          <w:color w:val="auto"/>
          <w:sz w:val="32"/>
          <w:szCs w:val="32"/>
          <w:highlight w:val="none"/>
        </w:rPr>
        <w:t>（二）存在的问题及原因分析</w:t>
      </w:r>
    </w:p>
    <w:p>
      <w:pPr>
        <w:spacing w:line="600" w:lineRule="exact"/>
        <w:ind w:left="5" w:firstLine="633" w:firstLineChars="198"/>
        <w:rPr>
          <w:rFonts w:ascii="楷体_GB2312" w:eastAsia="楷体_GB2312"/>
          <w:color w:val="auto"/>
          <w:sz w:val="32"/>
          <w:szCs w:val="32"/>
          <w:highlight w:val="none"/>
        </w:rPr>
      </w:pPr>
      <w:r>
        <w:rPr>
          <w:rFonts w:hint="eastAsia" w:ascii="仿宋_GB2312" w:eastAsia="仿宋_GB2312"/>
          <w:color w:val="auto"/>
          <w:sz w:val="32"/>
          <w:szCs w:val="32"/>
          <w:highlight w:val="none"/>
          <w:lang w:eastAsia="zh-CN"/>
        </w:rPr>
        <w:t>一是</w:t>
      </w:r>
      <w:r>
        <w:rPr>
          <w:rFonts w:hint="eastAsia" w:ascii="仿宋_GB2312" w:eastAsia="仿宋_GB2312"/>
          <w:color w:val="auto"/>
          <w:sz w:val="32"/>
          <w:szCs w:val="32"/>
          <w:highlight w:val="none"/>
        </w:rPr>
        <w:t>预算管理过程中，对绩效目标偏离情况未及时采取措施矫正。</w:t>
      </w:r>
    </w:p>
    <w:p>
      <w:pPr>
        <w:spacing w:line="600" w:lineRule="exact"/>
        <w:ind w:firstLine="640" w:firstLineChars="200"/>
        <w:rPr>
          <w:rFonts w:ascii="楷体_GB2312" w:eastAsia="楷体_GB2312"/>
          <w:color w:val="auto"/>
          <w:sz w:val="32"/>
          <w:szCs w:val="32"/>
          <w:highlight w:val="none"/>
        </w:rPr>
      </w:pPr>
      <w:r>
        <w:rPr>
          <w:rFonts w:hint="eastAsia" w:ascii="仿宋_GB2312" w:eastAsia="仿宋_GB2312"/>
          <w:color w:val="auto"/>
          <w:sz w:val="32"/>
          <w:szCs w:val="32"/>
          <w:highlight w:val="none"/>
          <w:lang w:eastAsia="zh-CN"/>
        </w:rPr>
        <w:t>二是</w:t>
      </w:r>
      <w:r>
        <w:rPr>
          <w:rFonts w:hint="eastAsia" w:ascii="仿宋_GB2312" w:eastAsia="仿宋_GB2312"/>
          <w:color w:val="auto"/>
          <w:sz w:val="32"/>
          <w:szCs w:val="32"/>
          <w:highlight w:val="none"/>
        </w:rPr>
        <w:t>个别领域，如</w:t>
      </w:r>
      <w:r>
        <w:rPr>
          <w:rFonts w:hint="eastAsia" w:ascii="仿宋_GB2312" w:eastAsia="仿宋_GB2312"/>
          <w:color w:val="auto"/>
          <w:sz w:val="32"/>
          <w:szCs w:val="32"/>
          <w:highlight w:val="none"/>
          <w:lang w:eastAsia="zh-CN"/>
        </w:rPr>
        <w:t>质量指标</w:t>
      </w:r>
      <w:r>
        <w:rPr>
          <w:rFonts w:hint="eastAsia" w:ascii="仿宋_GB2312" w:eastAsia="仿宋_GB2312"/>
          <w:color w:val="auto"/>
          <w:sz w:val="32"/>
          <w:szCs w:val="32"/>
          <w:highlight w:val="none"/>
        </w:rPr>
        <w:t>未完成指标值，需进一步加强</w:t>
      </w:r>
      <w:r>
        <w:rPr>
          <w:rFonts w:hint="eastAsia" w:ascii="仿宋_GB2312" w:eastAsia="仿宋_GB2312"/>
          <w:color w:val="auto"/>
          <w:sz w:val="32"/>
          <w:szCs w:val="32"/>
          <w:highlight w:val="none"/>
          <w:lang w:eastAsia="zh-CN"/>
        </w:rPr>
        <w:t>审判执行质效</w:t>
      </w:r>
      <w:r>
        <w:rPr>
          <w:rFonts w:hint="eastAsia" w:ascii="仿宋_GB2312" w:eastAsia="仿宋_GB2312"/>
          <w:color w:val="auto"/>
          <w:sz w:val="32"/>
          <w:szCs w:val="32"/>
          <w:highlight w:val="none"/>
        </w:rPr>
        <w:t>管理。</w:t>
      </w:r>
    </w:p>
    <w:p>
      <w:pPr>
        <w:spacing w:line="600" w:lineRule="exact"/>
        <w:ind w:firstLine="640" w:firstLineChars="20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六、措施建议</w:t>
      </w:r>
    </w:p>
    <w:p>
      <w:pPr>
        <w:spacing w:line="6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一是强化</w:t>
      </w:r>
      <w:r>
        <w:rPr>
          <w:rFonts w:hint="eastAsia" w:ascii="仿宋_GB2312" w:eastAsia="仿宋_GB2312"/>
          <w:color w:val="auto"/>
          <w:sz w:val="32"/>
          <w:szCs w:val="32"/>
          <w:highlight w:val="none"/>
        </w:rPr>
        <w:t>对项目的事中绩效监控，</w:t>
      </w:r>
      <w:r>
        <w:rPr>
          <w:rFonts w:hint="eastAsia" w:ascii="仿宋_GB2312" w:hAnsi="宋体" w:eastAsia="仿宋_GB2312" w:cs="宋体"/>
          <w:color w:val="auto"/>
          <w:kern w:val="0"/>
          <w:sz w:val="32"/>
          <w:szCs w:val="32"/>
          <w:highlight w:val="none"/>
        </w:rPr>
        <w:t>对绩效目标偏离情况及时进行矫正。</w:t>
      </w:r>
    </w:p>
    <w:p>
      <w:pPr>
        <w:spacing w:line="600" w:lineRule="exact"/>
        <w:ind w:firstLine="640" w:firstLineChars="200"/>
        <w:rPr>
          <w:rFonts w:hint="eastAsia" w:ascii="仿宋_GB2312" w:eastAsia="仿宋_GB2312"/>
          <w:color w:val="auto"/>
          <w:sz w:val="32"/>
          <w:szCs w:val="32"/>
          <w:highlight w:val="none"/>
        </w:rPr>
      </w:pPr>
      <w:r>
        <w:rPr>
          <w:rFonts w:hint="eastAsia" w:ascii="仿宋_GB2312" w:hAnsi="宋体" w:eastAsia="仿宋_GB2312" w:cs="宋体"/>
          <w:color w:val="auto"/>
          <w:kern w:val="0"/>
          <w:sz w:val="32"/>
          <w:szCs w:val="32"/>
          <w:highlight w:val="none"/>
          <w:lang w:eastAsia="zh-CN"/>
        </w:rPr>
        <w:t>二是</w:t>
      </w:r>
      <w:r>
        <w:rPr>
          <w:rFonts w:hint="eastAsia" w:ascii="仿宋_GB2312" w:eastAsia="仿宋_GB2312"/>
          <w:color w:val="auto"/>
          <w:sz w:val="32"/>
          <w:szCs w:val="32"/>
          <w:highlight w:val="none"/>
          <w:lang w:eastAsia="zh-CN"/>
        </w:rPr>
        <w:t>强化对</w:t>
      </w:r>
      <w:r>
        <w:rPr>
          <w:rFonts w:hint="eastAsia" w:ascii="仿宋_GB2312" w:eastAsia="仿宋_GB2312"/>
          <w:color w:val="auto"/>
          <w:sz w:val="32"/>
          <w:szCs w:val="32"/>
          <w:highlight w:val="none"/>
        </w:rPr>
        <w:t>个别领域考核和管理，推动整体绩效目标中各项任务按照确定的时限、要求完成。</w:t>
      </w:r>
    </w:p>
    <w:p>
      <w:pPr>
        <w:pStyle w:val="2"/>
        <w:rPr>
          <w:rFonts w:hint="eastAsia" w:ascii="仿宋_GB2312" w:eastAsia="仿宋_GB2312"/>
          <w:color w:val="auto"/>
          <w:sz w:val="32"/>
          <w:szCs w:val="32"/>
          <w:highlight w:val="none"/>
        </w:rPr>
      </w:pPr>
    </w:p>
    <w:p>
      <w:pPr>
        <w:rPr>
          <w:rFonts w:hint="eastAsia" w:ascii="仿宋_GB2312" w:eastAsia="仿宋_GB2312"/>
          <w:color w:val="auto"/>
          <w:sz w:val="32"/>
          <w:szCs w:val="32"/>
          <w:highlight w:val="none"/>
        </w:rPr>
      </w:pPr>
    </w:p>
    <w:p>
      <w:pPr>
        <w:pStyle w:val="2"/>
        <w:rPr>
          <w:rFonts w:hint="eastAsia" w:ascii="仿宋_GB2312" w:eastAsia="仿宋_GB2312"/>
          <w:color w:val="auto"/>
          <w:sz w:val="32"/>
          <w:szCs w:val="32"/>
          <w:highlight w:val="none"/>
        </w:rPr>
      </w:pPr>
    </w:p>
    <w:p>
      <w:pPr>
        <w:rPr>
          <w:rFonts w:hint="eastAsia" w:ascii="仿宋_GB2312" w:eastAsia="仿宋_GB2312"/>
          <w:color w:val="auto"/>
          <w:sz w:val="32"/>
          <w:szCs w:val="32"/>
          <w:highlight w:val="none"/>
        </w:rPr>
      </w:pPr>
    </w:p>
    <w:p>
      <w:pPr>
        <w:pStyle w:val="2"/>
        <w:rPr>
          <w:rFonts w:hint="eastAsia" w:ascii="仿宋_GB2312" w:eastAsia="仿宋_GB2312"/>
          <w:color w:val="auto"/>
          <w:sz w:val="32"/>
          <w:szCs w:val="32"/>
          <w:highlight w:val="none"/>
        </w:rPr>
      </w:pPr>
    </w:p>
    <w:tbl>
      <w:tblPr>
        <w:tblStyle w:val="10"/>
        <w:tblW w:w="5000" w:type="pct"/>
        <w:tblInd w:w="0" w:type="dxa"/>
        <w:tblLayout w:type="fixed"/>
        <w:tblCellMar>
          <w:top w:w="0" w:type="dxa"/>
          <w:left w:w="108" w:type="dxa"/>
          <w:bottom w:w="0" w:type="dxa"/>
          <w:right w:w="108" w:type="dxa"/>
        </w:tblCellMar>
      </w:tblPr>
      <w:tblGrid>
        <w:gridCol w:w="433"/>
        <w:gridCol w:w="391"/>
        <w:gridCol w:w="417"/>
        <w:gridCol w:w="428"/>
        <w:gridCol w:w="54"/>
        <w:gridCol w:w="938"/>
        <w:gridCol w:w="850"/>
        <w:gridCol w:w="128"/>
        <w:gridCol w:w="14"/>
        <w:gridCol w:w="556"/>
        <w:gridCol w:w="2146"/>
        <w:gridCol w:w="669"/>
        <w:gridCol w:w="28"/>
        <w:gridCol w:w="9"/>
        <w:gridCol w:w="561"/>
        <w:gridCol w:w="48"/>
        <w:gridCol w:w="386"/>
        <w:gridCol w:w="2662"/>
        <w:gridCol w:w="23"/>
        <w:gridCol w:w="153"/>
        <w:gridCol w:w="3280"/>
      </w:tblGrid>
      <w:tr>
        <w:tblPrEx>
          <w:tblCellMar>
            <w:top w:w="0" w:type="dxa"/>
            <w:left w:w="108" w:type="dxa"/>
            <w:bottom w:w="0" w:type="dxa"/>
            <w:right w:w="108" w:type="dxa"/>
          </w:tblCellMar>
        </w:tblPrEx>
        <w:trPr>
          <w:trHeight w:val="499" w:hRule="atLeast"/>
        </w:trPr>
        <w:tc>
          <w:tcPr>
            <w:tcW w:w="5000" w:type="pct"/>
            <w:gridSpan w:val="21"/>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auto"/>
                <w:kern w:val="0"/>
                <w:sz w:val="44"/>
                <w:szCs w:val="44"/>
                <w:highlight w:val="none"/>
              </w:rPr>
            </w:pPr>
            <w:r>
              <w:rPr>
                <w:rFonts w:hint="eastAsia" w:ascii="方正小标宋简体" w:hAnsi="黑体" w:eastAsia="方正小标宋简体" w:cs="宋体"/>
                <w:color w:val="auto"/>
                <w:kern w:val="0"/>
                <w:sz w:val="44"/>
                <w:szCs w:val="44"/>
                <w:highlight w:val="none"/>
              </w:rPr>
              <w:t>北京市延庆区人民法院202</w:t>
            </w:r>
            <w:r>
              <w:rPr>
                <w:rFonts w:hint="eastAsia" w:ascii="方正小标宋简体" w:hAnsi="黑体" w:eastAsia="方正小标宋简体" w:cs="宋体"/>
                <w:color w:val="auto"/>
                <w:kern w:val="0"/>
                <w:sz w:val="44"/>
                <w:szCs w:val="44"/>
                <w:highlight w:val="none"/>
                <w:lang w:val="en-US" w:eastAsia="zh-CN"/>
              </w:rPr>
              <w:t>3</w:t>
            </w:r>
            <w:r>
              <w:rPr>
                <w:rFonts w:hint="eastAsia" w:ascii="方正小标宋简体" w:hAnsi="黑体" w:eastAsia="方正小标宋简体" w:cs="宋体"/>
                <w:color w:val="auto"/>
                <w:kern w:val="0"/>
                <w:sz w:val="44"/>
                <w:szCs w:val="44"/>
                <w:highlight w:val="none"/>
              </w:rPr>
              <w:t>年</w:t>
            </w:r>
            <w:r>
              <w:rPr>
                <w:rFonts w:hint="eastAsia" w:ascii="方正小标宋简体" w:hAnsi="黑体" w:eastAsia="方正小标宋简体" w:cs="宋体"/>
                <w:color w:val="auto"/>
                <w:kern w:val="0"/>
                <w:sz w:val="44"/>
                <w:szCs w:val="44"/>
                <w:highlight w:val="none"/>
                <w:lang w:eastAsia="zh-CN"/>
              </w:rPr>
              <w:t>度</w:t>
            </w:r>
            <w:r>
              <w:rPr>
                <w:rFonts w:hint="eastAsia" w:ascii="方正小标宋简体" w:hAnsi="黑体" w:eastAsia="方正小标宋简体" w:cs="宋体"/>
                <w:color w:val="auto"/>
                <w:kern w:val="0"/>
                <w:sz w:val="44"/>
                <w:szCs w:val="44"/>
                <w:highlight w:val="none"/>
              </w:rPr>
              <w:t>部门整体绩效评价指标体系评分表</w:t>
            </w:r>
          </w:p>
        </w:tc>
      </w:tr>
      <w:tr>
        <w:tblPrEx>
          <w:tblCellMar>
            <w:top w:w="0" w:type="dxa"/>
            <w:left w:w="108" w:type="dxa"/>
            <w:bottom w:w="0" w:type="dxa"/>
            <w:right w:w="108" w:type="dxa"/>
          </w:tblCellMar>
        </w:tblPrEx>
        <w:trPr>
          <w:trHeight w:val="470" w:hRule="atLeast"/>
        </w:trPr>
        <w:tc>
          <w:tcPr>
            <w:tcW w:w="5000" w:type="pct"/>
            <w:gridSpan w:val="21"/>
            <w:tcBorders>
              <w:top w:val="single" w:color="auto" w:sz="4" w:space="0"/>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一、</w:t>
            </w:r>
            <w:r>
              <w:rPr>
                <w:rFonts w:hint="eastAsia" w:ascii="宋体" w:hAnsi="宋体" w:cs="宋体"/>
                <w:color w:val="auto"/>
                <w:kern w:val="0"/>
                <w:sz w:val="20"/>
                <w:szCs w:val="20"/>
                <w:highlight w:val="none"/>
              </w:rPr>
              <w:t>当年预算执行情况（20分）</w:t>
            </w:r>
          </w:p>
        </w:tc>
      </w:tr>
      <w:tr>
        <w:tblPrEx>
          <w:tblCellMar>
            <w:top w:w="0" w:type="dxa"/>
            <w:left w:w="108" w:type="dxa"/>
            <w:bottom w:w="0" w:type="dxa"/>
            <w:right w:w="108" w:type="dxa"/>
          </w:tblCellMar>
        </w:tblPrEx>
        <w:trPr>
          <w:trHeight w:val="660" w:hRule="atLeast"/>
        </w:trPr>
        <w:tc>
          <w:tcPr>
            <w:tcW w:w="15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一</w:t>
            </w:r>
            <w:r>
              <w:rPr>
                <w:rFonts w:ascii="宋体" w:hAnsi="宋体" w:cs="宋体"/>
                <w:color w:val="auto"/>
                <w:kern w:val="0"/>
                <w:sz w:val="20"/>
                <w:szCs w:val="20"/>
                <w:highlight w:val="none"/>
              </w:rPr>
              <w:t>级指标</w:t>
            </w:r>
            <w:r>
              <w:rPr>
                <w:rFonts w:hint="eastAsia" w:ascii="宋体" w:hAnsi="宋体" w:cs="宋体"/>
                <w:color w:val="auto"/>
                <w:kern w:val="0"/>
                <w:sz w:val="20"/>
                <w:szCs w:val="20"/>
                <w:highlight w:val="none"/>
              </w:rPr>
              <w:t>　</w:t>
            </w:r>
          </w:p>
        </w:tc>
        <w:tc>
          <w:tcPr>
            <w:tcW w:w="285"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二</w:t>
            </w:r>
            <w:r>
              <w:rPr>
                <w:rFonts w:ascii="宋体" w:hAnsi="宋体" w:cs="宋体"/>
                <w:color w:val="auto"/>
                <w:kern w:val="0"/>
                <w:sz w:val="20"/>
                <w:szCs w:val="20"/>
                <w:highlight w:val="none"/>
              </w:rPr>
              <w:t>级指标</w:t>
            </w:r>
            <w:r>
              <w:rPr>
                <w:rFonts w:hint="eastAsia" w:ascii="宋体" w:hAnsi="宋体" w:cs="宋体"/>
                <w:color w:val="auto"/>
                <w:kern w:val="0"/>
                <w:sz w:val="20"/>
                <w:szCs w:val="20"/>
                <w:highlight w:val="none"/>
              </w:rPr>
              <w:t>　</w:t>
            </w:r>
          </w:p>
        </w:tc>
        <w:tc>
          <w:tcPr>
            <w:tcW w:w="500"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预算数（万元）</w:t>
            </w:r>
          </w:p>
        </w:tc>
        <w:tc>
          <w:tcPr>
            <w:tcW w:w="349"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执行数（万元）</w:t>
            </w:r>
          </w:p>
        </w:tc>
        <w:tc>
          <w:tcPr>
            <w:tcW w:w="19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预算执行率</w:t>
            </w:r>
          </w:p>
        </w:tc>
        <w:tc>
          <w:tcPr>
            <w:tcW w:w="75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分值</w:t>
            </w:r>
          </w:p>
        </w:tc>
        <w:tc>
          <w:tcPr>
            <w:tcW w:w="600" w:type="pct"/>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得分</w:t>
            </w:r>
          </w:p>
        </w:tc>
        <w:tc>
          <w:tcPr>
            <w:tcW w:w="1001"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指标解释</w:t>
            </w:r>
          </w:p>
        </w:tc>
        <w:tc>
          <w:tcPr>
            <w:tcW w:w="115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评分标准</w:t>
            </w:r>
          </w:p>
        </w:tc>
      </w:tr>
      <w:tr>
        <w:tblPrEx>
          <w:tblCellMar>
            <w:top w:w="0" w:type="dxa"/>
            <w:left w:w="108" w:type="dxa"/>
            <w:bottom w:w="0" w:type="dxa"/>
            <w:right w:w="108" w:type="dxa"/>
          </w:tblCellMar>
        </w:tblPrEx>
        <w:trPr>
          <w:trHeight w:val="630" w:hRule="atLeast"/>
        </w:trPr>
        <w:tc>
          <w:tcPr>
            <w:tcW w:w="152" w:type="pct"/>
            <w:vMerge w:val="restart"/>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当年预算执行情况（20）</w:t>
            </w:r>
          </w:p>
        </w:tc>
        <w:tc>
          <w:tcPr>
            <w:tcW w:w="285"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资金总体</w:t>
            </w:r>
          </w:p>
        </w:tc>
        <w:tc>
          <w:tcPr>
            <w:tcW w:w="500" w:type="pct"/>
            <w:gridSpan w:val="3"/>
            <w:tcBorders>
              <w:top w:val="single" w:color="auto" w:sz="4" w:space="0"/>
              <w:left w:val="single" w:color="auto" w:sz="4" w:space="0"/>
              <w:bottom w:val="single" w:color="auto" w:sz="4" w:space="0"/>
              <w:right w:val="single" w:color="auto" w:sz="4" w:space="0"/>
            </w:tcBorders>
            <w:noWrap/>
            <w:vAlign w:val="center"/>
          </w:tcPr>
          <w:p>
            <w:pPr>
              <w:widowControl/>
              <w:ind w:firstLine="200" w:firstLineChars="100"/>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12483.94</w:t>
            </w:r>
          </w:p>
        </w:tc>
        <w:tc>
          <w:tcPr>
            <w:tcW w:w="349"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12333.85</w:t>
            </w:r>
            <w:r>
              <w:rPr>
                <w:rFonts w:hint="eastAsia" w:ascii="宋体" w:hAnsi="宋体" w:cs="宋体"/>
                <w:color w:val="auto"/>
                <w:kern w:val="0"/>
                <w:sz w:val="20"/>
                <w:szCs w:val="20"/>
                <w:highlight w:val="none"/>
              </w:rPr>
              <w:t>　</w:t>
            </w:r>
          </w:p>
        </w:tc>
        <w:tc>
          <w:tcPr>
            <w:tcW w:w="19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98.8</w:t>
            </w:r>
            <w:r>
              <w:rPr>
                <w:rFonts w:hint="eastAsia" w:ascii="宋体" w:hAnsi="宋体" w:cs="宋体"/>
                <w:color w:val="auto"/>
                <w:kern w:val="0"/>
                <w:sz w:val="20"/>
                <w:szCs w:val="20"/>
                <w:highlight w:val="none"/>
              </w:rPr>
              <w:t>%　</w:t>
            </w:r>
          </w:p>
        </w:tc>
        <w:tc>
          <w:tcPr>
            <w:tcW w:w="75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20</w:t>
            </w:r>
          </w:p>
        </w:tc>
        <w:tc>
          <w:tcPr>
            <w:tcW w:w="600" w:type="pct"/>
            <w:gridSpan w:val="6"/>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19.76</w:t>
            </w:r>
            <w:r>
              <w:rPr>
                <w:rFonts w:hint="eastAsia" w:ascii="宋体" w:hAnsi="宋体" w:cs="宋体"/>
                <w:color w:val="auto"/>
                <w:kern w:val="0"/>
                <w:sz w:val="20"/>
                <w:szCs w:val="20"/>
                <w:highlight w:val="none"/>
              </w:rPr>
              <w:t>　</w:t>
            </w:r>
          </w:p>
        </w:tc>
        <w:tc>
          <w:tcPr>
            <w:tcW w:w="1001" w:type="pct"/>
            <w:gridSpan w:val="3"/>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部门全年执行数与全年预算数的比率。</w:t>
            </w:r>
          </w:p>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资金总体=基本支出+项目支出+其他</w:t>
            </w:r>
          </w:p>
        </w:tc>
        <w:tc>
          <w:tcPr>
            <w:tcW w:w="1157" w:type="pct"/>
            <w:vMerge w:val="restar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①得分一档最高不能超过该指标分值上限（20分）。</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285" w:type="pct"/>
            <w:gridSpan w:val="2"/>
            <w:tcBorders>
              <w:top w:val="single" w:color="auto" w:sz="4" w:space="0"/>
              <w:left w:val="single" w:color="auto" w:sz="4" w:space="0"/>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基本支出</w:t>
            </w:r>
          </w:p>
        </w:tc>
        <w:tc>
          <w:tcPr>
            <w:tcW w:w="500"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10159.75</w:t>
            </w:r>
          </w:p>
        </w:tc>
        <w:tc>
          <w:tcPr>
            <w:tcW w:w="349" w:type="pct"/>
            <w:gridSpan w:val="3"/>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10083.46</w:t>
            </w:r>
          </w:p>
        </w:tc>
        <w:tc>
          <w:tcPr>
            <w:tcW w:w="19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w:t>
            </w:r>
          </w:p>
        </w:tc>
        <w:tc>
          <w:tcPr>
            <w:tcW w:w="757"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600" w:type="pct"/>
            <w:gridSpan w:val="6"/>
            <w:vMerge w:val="continue"/>
            <w:tcBorders>
              <w:top w:val="single" w:color="auto" w:sz="4" w:space="0"/>
              <w:left w:val="nil"/>
              <w:bottom w:val="single" w:color="auto" w:sz="4" w:space="0"/>
              <w:right w:val="nil"/>
            </w:tcBorders>
            <w:noWrap/>
            <w:vAlign w:val="center"/>
          </w:tcPr>
          <w:p>
            <w:pPr>
              <w:widowControl/>
              <w:jc w:val="left"/>
              <w:rPr>
                <w:rFonts w:ascii="宋体" w:hAnsi="宋体" w:cs="宋体"/>
                <w:color w:val="auto"/>
                <w:kern w:val="0"/>
                <w:sz w:val="20"/>
                <w:szCs w:val="20"/>
                <w:highlight w:val="none"/>
              </w:rPr>
            </w:pPr>
          </w:p>
        </w:tc>
        <w:tc>
          <w:tcPr>
            <w:tcW w:w="1001" w:type="pct"/>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157"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615"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285" w:type="pct"/>
            <w:gridSpan w:val="2"/>
            <w:tcBorders>
              <w:top w:val="single" w:color="auto" w:sz="4" w:space="0"/>
              <w:left w:val="single" w:color="auto" w:sz="4" w:space="0"/>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项目支出</w:t>
            </w:r>
          </w:p>
        </w:tc>
        <w:tc>
          <w:tcPr>
            <w:tcW w:w="500"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2324.19</w:t>
            </w:r>
          </w:p>
        </w:tc>
        <w:tc>
          <w:tcPr>
            <w:tcW w:w="349" w:type="pct"/>
            <w:gridSpan w:val="3"/>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2250.39</w:t>
            </w:r>
          </w:p>
        </w:tc>
        <w:tc>
          <w:tcPr>
            <w:tcW w:w="196"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757"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600" w:type="pct"/>
            <w:gridSpan w:val="6"/>
            <w:vMerge w:val="continue"/>
            <w:tcBorders>
              <w:top w:val="single" w:color="auto" w:sz="4" w:space="0"/>
              <w:left w:val="nil"/>
              <w:bottom w:val="single" w:color="auto" w:sz="4" w:space="0"/>
              <w:right w:val="nil"/>
            </w:tcBorders>
            <w:noWrap/>
            <w:vAlign w:val="center"/>
          </w:tcPr>
          <w:p>
            <w:pPr>
              <w:widowControl/>
              <w:jc w:val="left"/>
              <w:rPr>
                <w:rFonts w:ascii="宋体" w:hAnsi="宋体" w:cs="宋体"/>
                <w:color w:val="auto"/>
                <w:kern w:val="0"/>
                <w:sz w:val="20"/>
                <w:szCs w:val="20"/>
                <w:highlight w:val="none"/>
              </w:rPr>
            </w:pPr>
          </w:p>
        </w:tc>
        <w:tc>
          <w:tcPr>
            <w:tcW w:w="1001" w:type="pct"/>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157"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136"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285"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其他</w:t>
            </w:r>
          </w:p>
        </w:tc>
        <w:tc>
          <w:tcPr>
            <w:tcW w:w="500"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349"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96"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757"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600" w:type="pct"/>
            <w:gridSpan w:val="6"/>
            <w:vMerge w:val="continue"/>
            <w:tcBorders>
              <w:top w:val="single" w:color="auto" w:sz="4" w:space="0"/>
              <w:left w:val="nil"/>
              <w:bottom w:val="single" w:color="auto" w:sz="4" w:space="0"/>
              <w:right w:val="nil"/>
            </w:tcBorders>
            <w:noWrap/>
            <w:vAlign w:val="center"/>
          </w:tcPr>
          <w:p>
            <w:pPr>
              <w:widowControl/>
              <w:jc w:val="left"/>
              <w:rPr>
                <w:rFonts w:ascii="宋体" w:hAnsi="宋体" w:cs="宋体"/>
                <w:color w:val="auto"/>
                <w:kern w:val="0"/>
                <w:sz w:val="20"/>
                <w:szCs w:val="20"/>
                <w:highlight w:val="none"/>
              </w:rPr>
            </w:pPr>
          </w:p>
        </w:tc>
        <w:tc>
          <w:tcPr>
            <w:tcW w:w="1001" w:type="pct"/>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157"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569" w:hRule="atLeast"/>
        </w:trPr>
        <w:tc>
          <w:tcPr>
            <w:tcW w:w="5000" w:type="pct"/>
            <w:gridSpan w:val="21"/>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二</w:t>
            </w:r>
            <w:r>
              <w:rPr>
                <w:rFonts w:ascii="宋体" w:hAnsi="宋体" w:cs="宋体"/>
                <w:color w:val="auto"/>
                <w:kern w:val="0"/>
                <w:sz w:val="18"/>
                <w:szCs w:val="18"/>
                <w:highlight w:val="none"/>
              </w:rPr>
              <w:t>、</w:t>
            </w:r>
            <w:r>
              <w:rPr>
                <w:rFonts w:hint="eastAsia" w:ascii="宋体" w:hAnsi="宋体" w:cs="宋体"/>
                <w:color w:val="auto"/>
                <w:kern w:val="0"/>
                <w:sz w:val="20"/>
                <w:szCs w:val="20"/>
                <w:highlight w:val="none"/>
              </w:rPr>
              <w:t>整体绩效目标实现情况（60分）</w:t>
            </w:r>
          </w:p>
        </w:tc>
      </w:tr>
      <w:tr>
        <w:tblPrEx>
          <w:tblCellMar>
            <w:top w:w="0" w:type="dxa"/>
            <w:left w:w="108" w:type="dxa"/>
            <w:bottom w:w="0" w:type="dxa"/>
            <w:right w:w="108" w:type="dxa"/>
          </w:tblCellMar>
        </w:tblPrEx>
        <w:trPr>
          <w:trHeight w:val="499" w:hRule="atLeast"/>
        </w:trPr>
        <w:tc>
          <w:tcPr>
            <w:tcW w:w="15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一</w:t>
            </w:r>
            <w:r>
              <w:rPr>
                <w:rFonts w:ascii="宋体" w:hAnsi="宋体" w:cs="宋体"/>
                <w:color w:val="auto"/>
                <w:kern w:val="0"/>
                <w:sz w:val="20"/>
                <w:szCs w:val="20"/>
                <w:highlight w:val="none"/>
              </w:rPr>
              <w:t>级指标</w:t>
            </w:r>
          </w:p>
        </w:tc>
        <w:tc>
          <w:tcPr>
            <w:tcW w:w="13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二</w:t>
            </w:r>
            <w:r>
              <w:rPr>
                <w:rFonts w:ascii="宋体" w:hAnsi="宋体" w:cs="宋体"/>
                <w:color w:val="auto"/>
                <w:kern w:val="0"/>
                <w:sz w:val="20"/>
                <w:szCs w:val="20"/>
                <w:highlight w:val="none"/>
              </w:rPr>
              <w:t>级指标</w:t>
            </w:r>
            <w:r>
              <w:rPr>
                <w:rFonts w:hint="eastAsia" w:ascii="宋体" w:hAnsi="宋体" w:cs="宋体"/>
                <w:color w:val="auto"/>
                <w:kern w:val="0"/>
                <w:sz w:val="20"/>
                <w:szCs w:val="20"/>
                <w:highlight w:val="none"/>
              </w:rPr>
              <w:t>　</w:t>
            </w:r>
          </w:p>
        </w:tc>
        <w:tc>
          <w:tcPr>
            <w:tcW w:w="317"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三</w:t>
            </w:r>
            <w:r>
              <w:rPr>
                <w:rFonts w:ascii="宋体" w:hAnsi="宋体" w:cs="宋体"/>
                <w:color w:val="auto"/>
                <w:kern w:val="0"/>
                <w:sz w:val="20"/>
                <w:szCs w:val="20"/>
                <w:highlight w:val="none"/>
              </w:rPr>
              <w:t>级指标</w:t>
            </w:r>
            <w:r>
              <w:rPr>
                <w:rFonts w:hint="eastAsia" w:ascii="宋体" w:hAnsi="宋体" w:cs="宋体"/>
                <w:color w:val="auto"/>
                <w:kern w:val="0"/>
                <w:sz w:val="20"/>
                <w:szCs w:val="20"/>
                <w:highlight w:val="none"/>
              </w:rPr>
              <w:t>　</w:t>
            </w:r>
          </w:p>
        </w:tc>
        <w:tc>
          <w:tcPr>
            <w:tcW w:w="675"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指标值</w:t>
            </w:r>
          </w:p>
        </w:tc>
        <w:tc>
          <w:tcPr>
            <w:tcW w:w="958"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完成值</w:t>
            </w:r>
          </w:p>
        </w:tc>
        <w:tc>
          <w:tcPr>
            <w:tcW w:w="235"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分值</w:t>
            </w:r>
          </w:p>
        </w:tc>
        <w:tc>
          <w:tcPr>
            <w:tcW w:w="227" w:type="pct"/>
            <w:gridSpan w:val="4"/>
            <w:tcBorders>
              <w:top w:val="single" w:color="auto" w:sz="4" w:space="0"/>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得分</w:t>
            </w:r>
          </w:p>
        </w:tc>
        <w:tc>
          <w:tcPr>
            <w:tcW w:w="1075"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Cs/>
                <w:color w:val="auto"/>
                <w:kern w:val="0"/>
                <w:sz w:val="18"/>
                <w:szCs w:val="18"/>
                <w:highlight w:val="none"/>
              </w:rPr>
            </w:pPr>
            <w:r>
              <w:rPr>
                <w:rFonts w:hint="eastAsia" w:ascii="宋体" w:hAnsi="宋体" w:cs="宋体"/>
                <w:bCs/>
                <w:color w:val="auto"/>
                <w:kern w:val="0"/>
                <w:sz w:val="18"/>
                <w:szCs w:val="18"/>
                <w:highlight w:val="none"/>
              </w:rPr>
              <w:t>指标</w:t>
            </w:r>
            <w:r>
              <w:rPr>
                <w:rFonts w:ascii="宋体" w:hAnsi="宋体" w:cs="宋体"/>
                <w:bCs/>
                <w:color w:val="auto"/>
                <w:kern w:val="0"/>
                <w:sz w:val="18"/>
                <w:szCs w:val="18"/>
                <w:highlight w:val="none"/>
              </w:rPr>
              <w:t>解释</w:t>
            </w:r>
          </w:p>
        </w:tc>
        <w:tc>
          <w:tcPr>
            <w:tcW w:w="1219"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评</w:t>
            </w:r>
            <w:r>
              <w:rPr>
                <w:rFonts w:ascii="宋体" w:hAnsi="宋体" w:cs="宋体"/>
                <w:color w:val="auto"/>
                <w:kern w:val="0"/>
                <w:sz w:val="18"/>
                <w:szCs w:val="18"/>
                <w:highlight w:val="none"/>
              </w:rPr>
              <w:t>分标准</w:t>
            </w:r>
          </w:p>
        </w:tc>
      </w:tr>
      <w:tr>
        <w:tblPrEx>
          <w:tblCellMar>
            <w:top w:w="0" w:type="dxa"/>
            <w:left w:w="108" w:type="dxa"/>
            <w:bottom w:w="0" w:type="dxa"/>
            <w:right w:w="108" w:type="dxa"/>
          </w:tblCellMar>
        </w:tblPrEx>
        <w:trPr>
          <w:trHeight w:val="1196" w:hRule="atLeast"/>
        </w:trPr>
        <w:tc>
          <w:tcPr>
            <w:tcW w:w="15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整体绩效目标实现情况（60）</w:t>
            </w:r>
          </w:p>
        </w:tc>
        <w:tc>
          <w:tcPr>
            <w:tcW w:w="137" w:type="pct"/>
            <w:vMerge w:val="restart"/>
            <w:tcBorders>
              <w:top w:val="single" w:color="auto" w:sz="4" w:space="0"/>
              <w:left w:val="nil"/>
              <w:right w:val="single" w:color="auto" w:sz="4" w:space="0"/>
            </w:tcBorders>
            <w:noWrap/>
            <w:vAlign w:val="center"/>
          </w:tcPr>
          <w:p>
            <w:pPr>
              <w:widowControl/>
              <w:jc w:val="center"/>
              <w:rPr>
                <w:rFonts w:ascii="宋体" w:hAnsi="宋体" w:cs="宋体"/>
                <w:color w:val="auto"/>
                <w:kern w:val="0"/>
                <w:sz w:val="20"/>
                <w:szCs w:val="20"/>
                <w:highlight w:val="none"/>
              </w:rPr>
            </w:pPr>
          </w:p>
          <w:p>
            <w:pPr>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产出（30）</w:t>
            </w:r>
          </w:p>
        </w:tc>
        <w:tc>
          <w:tcPr>
            <w:tcW w:w="317"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p>
          <w:p>
            <w:pPr>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数量指标：结案数</w:t>
            </w:r>
          </w:p>
        </w:tc>
        <w:tc>
          <w:tcPr>
            <w:tcW w:w="675" w:type="pct"/>
            <w:gridSpan w:val="3"/>
            <w:tcBorders>
              <w:top w:val="single" w:color="auto" w:sz="4" w:space="0"/>
              <w:left w:val="nil"/>
              <w:bottom w:val="single" w:color="auto" w:sz="4" w:space="0"/>
              <w:right w:val="single" w:color="auto" w:sz="4" w:space="0"/>
            </w:tcBorders>
            <w:noWrap/>
            <w:vAlign w:val="center"/>
          </w:tcPr>
          <w:p>
            <w:pPr>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12000</w:t>
            </w:r>
          </w:p>
        </w:tc>
        <w:tc>
          <w:tcPr>
            <w:tcW w:w="958" w:type="pct"/>
            <w:gridSpan w:val="3"/>
            <w:tcBorders>
              <w:top w:val="single" w:color="auto" w:sz="4" w:space="0"/>
              <w:left w:val="nil"/>
              <w:bottom w:val="single" w:color="auto" w:sz="4" w:space="0"/>
              <w:right w:val="single" w:color="auto" w:sz="4" w:space="0"/>
            </w:tcBorders>
            <w:noWrap/>
            <w:vAlign w:val="center"/>
          </w:tcPr>
          <w:p>
            <w:pPr>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12571</w:t>
            </w:r>
          </w:p>
        </w:tc>
        <w:tc>
          <w:tcPr>
            <w:tcW w:w="235"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p>
            <w:pPr>
              <w:jc w:val="center"/>
              <w:rPr>
                <w:rFonts w:ascii="宋体" w:hAnsi="宋体" w:cs="宋体"/>
                <w:color w:val="auto"/>
                <w:kern w:val="0"/>
                <w:sz w:val="20"/>
                <w:szCs w:val="20"/>
                <w:highlight w:val="none"/>
              </w:rPr>
            </w:pPr>
          </w:p>
        </w:tc>
        <w:tc>
          <w:tcPr>
            <w:tcW w:w="227" w:type="pct"/>
            <w:gridSpan w:val="4"/>
            <w:tcBorders>
              <w:top w:val="single" w:color="auto" w:sz="4" w:space="0"/>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p>
            <w:pPr>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075" w:type="pct"/>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b/>
                <w:bCs/>
                <w:color w:val="auto"/>
                <w:kern w:val="0"/>
                <w:sz w:val="18"/>
                <w:szCs w:val="18"/>
                <w:highlight w:val="none"/>
              </w:rPr>
              <w:t>产出数量</w:t>
            </w:r>
            <w:r>
              <w:rPr>
                <w:rFonts w:hint="eastAsia" w:ascii="宋体" w:hAnsi="宋体" w:cs="宋体"/>
                <w:color w:val="auto"/>
                <w:kern w:val="0"/>
                <w:sz w:val="18"/>
                <w:szCs w:val="18"/>
                <w:highlight w:val="none"/>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auto"/>
                <w:kern w:val="0"/>
                <w:sz w:val="18"/>
                <w:szCs w:val="18"/>
                <w:highlight w:val="none"/>
              </w:rPr>
              <w:t>产出质量</w:t>
            </w:r>
            <w:r>
              <w:rPr>
                <w:rFonts w:hint="eastAsia" w:ascii="宋体" w:hAnsi="宋体" w:cs="宋体"/>
                <w:color w:val="auto"/>
                <w:kern w:val="0"/>
                <w:sz w:val="18"/>
                <w:szCs w:val="18"/>
                <w:highlight w:val="none"/>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auto"/>
                <w:kern w:val="0"/>
                <w:sz w:val="18"/>
                <w:szCs w:val="18"/>
                <w:highlight w:val="none"/>
              </w:rPr>
              <w:t>产出进度：</w:t>
            </w:r>
            <w:r>
              <w:rPr>
                <w:rFonts w:hint="eastAsia" w:ascii="宋体" w:hAnsi="宋体" w:cs="宋体"/>
                <w:color w:val="auto"/>
                <w:kern w:val="0"/>
                <w:sz w:val="18"/>
                <w:szCs w:val="18"/>
                <w:highlight w:val="none"/>
              </w:rPr>
              <w:t>按时完成率=（按时完成工作数/实际完成工作数）×100%。按时完成工作数：部门（单位）按照整体绩效目标确定的时限实际完成的工作任务数量。</w:t>
            </w:r>
            <w:r>
              <w:rPr>
                <w:rFonts w:hint="eastAsia" w:ascii="宋体" w:hAnsi="宋体" w:cs="宋体"/>
                <w:b/>
                <w:bCs/>
                <w:color w:val="auto"/>
                <w:kern w:val="0"/>
                <w:sz w:val="18"/>
                <w:szCs w:val="18"/>
                <w:highlight w:val="none"/>
              </w:rPr>
              <w:t>产出成本</w:t>
            </w:r>
            <w:r>
              <w:rPr>
                <w:rFonts w:hint="eastAsia" w:ascii="宋体" w:hAnsi="宋体" w:cs="宋体"/>
                <w:color w:val="auto"/>
                <w:kern w:val="0"/>
                <w:sz w:val="18"/>
                <w:szCs w:val="18"/>
                <w:highlight w:val="none"/>
              </w:rPr>
              <w:t>：单位产出相对于上一年度的节约额；②单位产出相对于市场同类产出的节约额；③部门公用经费的控制情况。</w:t>
            </w:r>
          </w:p>
        </w:tc>
        <w:tc>
          <w:tcPr>
            <w:tcW w:w="1219" w:type="pct"/>
            <w:gridSpan w:val="3"/>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continue"/>
            <w:tcBorders>
              <w:left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317" w:type="pct"/>
            <w:gridSpan w:val="3"/>
            <w:tcBorders>
              <w:top w:val="single" w:color="auto" w:sz="4" w:space="0"/>
              <w:left w:val="nil"/>
              <w:bottom w:val="single" w:color="auto" w:sz="4" w:space="0"/>
              <w:right w:val="single" w:color="auto" w:sz="4" w:space="0"/>
            </w:tcBorders>
            <w:noWrap/>
            <w:vAlign w:val="center"/>
          </w:tcPr>
          <w:p>
            <w:pPr>
              <w:widowControl/>
              <w:rPr>
                <w:rFonts w:ascii="宋体" w:hAnsi="宋体" w:cs="宋体"/>
                <w:color w:val="auto"/>
                <w:kern w:val="0"/>
                <w:sz w:val="20"/>
                <w:szCs w:val="20"/>
                <w:highlight w:val="none"/>
              </w:rPr>
            </w:pPr>
            <w:r>
              <w:rPr>
                <w:rFonts w:hint="eastAsia" w:ascii="宋体" w:hAnsi="宋体" w:cs="宋体"/>
                <w:color w:val="auto"/>
                <w:kern w:val="0"/>
                <w:sz w:val="20"/>
                <w:szCs w:val="20"/>
                <w:highlight w:val="none"/>
              </w:rPr>
              <w:t>质量指标：</w:t>
            </w:r>
          </w:p>
          <w:p>
            <w:pPr>
              <w:widowControl/>
              <w:rPr>
                <w:rFonts w:hint="eastAsia" w:ascii="宋体" w:hAnsi="宋体" w:eastAsia="宋体" w:cs="宋体"/>
                <w:color w:val="auto"/>
                <w:kern w:val="0"/>
                <w:sz w:val="20"/>
                <w:szCs w:val="20"/>
                <w:highlight w:val="none"/>
                <w:lang w:eastAsia="zh-CN"/>
              </w:rPr>
            </w:pPr>
            <w:r>
              <w:rPr>
                <w:color w:val="auto"/>
                <w:sz w:val="20"/>
                <w:szCs w:val="20"/>
                <w:highlight w:val="none"/>
              </w:rPr>
              <w:t>一审</w:t>
            </w:r>
            <w:r>
              <w:rPr>
                <w:rFonts w:hint="eastAsia"/>
                <w:color w:val="auto"/>
                <w:sz w:val="20"/>
                <w:szCs w:val="20"/>
                <w:highlight w:val="none"/>
                <w:lang w:eastAsia="zh-CN"/>
              </w:rPr>
              <w:t>服判息诉率</w:t>
            </w:r>
          </w:p>
        </w:tc>
        <w:tc>
          <w:tcPr>
            <w:tcW w:w="675"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88.04%-91.71</w:t>
            </w:r>
            <w:r>
              <w:rPr>
                <w:rFonts w:hint="eastAsia" w:ascii="宋体" w:hAnsi="宋体" w:cs="宋体"/>
                <w:color w:val="auto"/>
                <w:kern w:val="0"/>
                <w:sz w:val="20"/>
                <w:szCs w:val="20"/>
                <w:highlight w:val="none"/>
              </w:rPr>
              <w:t>%</w:t>
            </w:r>
          </w:p>
        </w:tc>
        <w:tc>
          <w:tcPr>
            <w:tcW w:w="958"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84.38</w:t>
            </w:r>
            <w:r>
              <w:rPr>
                <w:rFonts w:hint="eastAsia" w:ascii="宋体" w:hAnsi="宋体" w:cs="宋体"/>
                <w:color w:val="auto"/>
                <w:kern w:val="0"/>
                <w:sz w:val="20"/>
                <w:szCs w:val="20"/>
                <w:highlight w:val="none"/>
              </w:rPr>
              <w:t>%</w:t>
            </w:r>
          </w:p>
        </w:tc>
        <w:tc>
          <w:tcPr>
            <w:tcW w:w="235" w:type="pct"/>
            <w:tcBorders>
              <w:top w:val="single" w:color="auto" w:sz="4" w:space="0"/>
              <w:left w:val="single" w:color="auto" w:sz="4" w:space="0"/>
              <w:bottom w:val="single" w:color="auto" w:sz="4" w:space="0"/>
              <w:right w:val="single" w:color="auto" w:sz="4" w:space="0"/>
            </w:tcBorders>
            <w:noWrap/>
            <w:vAlign w:val="center"/>
          </w:tcPr>
          <w:p>
            <w:pPr>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8</w:t>
            </w:r>
          </w:p>
        </w:tc>
        <w:tc>
          <w:tcPr>
            <w:tcW w:w="227" w:type="pct"/>
            <w:gridSpan w:val="4"/>
            <w:tcBorders>
              <w:top w:val="single" w:color="auto" w:sz="4" w:space="0"/>
              <w:left w:val="nil"/>
              <w:bottom w:val="single" w:color="auto" w:sz="4" w:space="0"/>
              <w:right w:val="nil"/>
            </w:tcBorders>
            <w:noWrap/>
            <w:vAlign w:val="center"/>
          </w:tcPr>
          <w:p>
            <w:pPr>
              <w:widowControl/>
              <w:jc w:val="center"/>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lang w:val="en-US" w:eastAsia="zh-CN"/>
              </w:rPr>
              <w:t>7</w:t>
            </w:r>
          </w:p>
        </w:tc>
        <w:tc>
          <w:tcPr>
            <w:tcW w:w="1075" w:type="pct"/>
            <w:gridSpan w:val="2"/>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219" w:type="pct"/>
            <w:gridSpan w:val="3"/>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1258"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continue"/>
            <w:tcBorders>
              <w:left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317"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进度指标：</w:t>
            </w:r>
          </w:p>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审限内结案率</w:t>
            </w:r>
          </w:p>
        </w:tc>
        <w:tc>
          <w:tcPr>
            <w:tcW w:w="675"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90</w:t>
            </w:r>
            <w:r>
              <w:rPr>
                <w:rFonts w:hint="eastAsia" w:ascii="宋体" w:hAnsi="宋体" w:cs="宋体"/>
                <w:color w:val="auto"/>
                <w:kern w:val="0"/>
                <w:sz w:val="20"/>
                <w:szCs w:val="20"/>
                <w:highlight w:val="none"/>
              </w:rPr>
              <w:t>%</w:t>
            </w:r>
          </w:p>
        </w:tc>
        <w:tc>
          <w:tcPr>
            <w:tcW w:w="958"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86.68</w:t>
            </w:r>
            <w:r>
              <w:rPr>
                <w:rFonts w:hint="eastAsia" w:ascii="宋体" w:hAnsi="宋体" w:cs="宋体"/>
                <w:color w:val="auto"/>
                <w:kern w:val="0"/>
                <w:sz w:val="20"/>
                <w:szCs w:val="20"/>
                <w:highlight w:val="none"/>
              </w:rPr>
              <w:t>%　</w:t>
            </w:r>
          </w:p>
        </w:tc>
        <w:tc>
          <w:tcPr>
            <w:tcW w:w="235"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8</w:t>
            </w:r>
          </w:p>
        </w:tc>
        <w:tc>
          <w:tcPr>
            <w:tcW w:w="227" w:type="pct"/>
            <w:gridSpan w:val="4"/>
            <w:tcBorders>
              <w:top w:val="nil"/>
              <w:left w:val="nil"/>
              <w:bottom w:val="single" w:color="auto" w:sz="4" w:space="0"/>
              <w:right w:val="nil"/>
            </w:tcBorders>
            <w:noWrap/>
            <w:vAlign w:val="center"/>
          </w:tcPr>
          <w:p>
            <w:pPr>
              <w:widowControl/>
              <w:jc w:val="center"/>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lang w:val="en-US" w:eastAsia="zh-CN"/>
              </w:rPr>
              <w:t>7</w:t>
            </w:r>
          </w:p>
        </w:tc>
        <w:tc>
          <w:tcPr>
            <w:tcW w:w="1075" w:type="pct"/>
            <w:gridSpan w:val="2"/>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219" w:type="pct"/>
            <w:gridSpan w:val="3"/>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975"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continue"/>
            <w:tcBorders>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317" w:type="pct"/>
            <w:gridSpan w:val="3"/>
            <w:tcBorders>
              <w:top w:val="nil"/>
              <w:left w:val="nil"/>
              <w:bottom w:val="single" w:color="auto" w:sz="4" w:space="0"/>
              <w:right w:val="single" w:color="auto" w:sz="4" w:space="0"/>
            </w:tcBorders>
            <w:noWrap/>
            <w:vAlign w:val="center"/>
          </w:tcPr>
          <w:p>
            <w:pPr>
              <w:widowControl/>
              <w:rPr>
                <w:rFonts w:ascii="宋体" w:hAnsi="宋体" w:cs="宋体"/>
                <w:color w:val="auto"/>
                <w:kern w:val="0"/>
                <w:sz w:val="20"/>
                <w:szCs w:val="20"/>
                <w:highlight w:val="none"/>
              </w:rPr>
            </w:pPr>
            <w:r>
              <w:rPr>
                <w:rFonts w:hint="eastAsia" w:ascii="宋体" w:hAnsi="宋体" w:cs="宋体"/>
                <w:color w:val="auto"/>
                <w:kern w:val="0"/>
                <w:sz w:val="20"/>
                <w:szCs w:val="20"/>
                <w:highlight w:val="none"/>
              </w:rPr>
              <w:t>成本指标：</w:t>
            </w:r>
          </w:p>
          <w:p>
            <w:pPr>
              <w:widowControl/>
              <w:rPr>
                <w:rFonts w:ascii="宋体" w:hAnsi="宋体" w:cs="宋体"/>
                <w:color w:val="auto"/>
                <w:kern w:val="0"/>
                <w:sz w:val="20"/>
                <w:szCs w:val="20"/>
                <w:highlight w:val="none"/>
              </w:rPr>
            </w:pPr>
            <w:r>
              <w:rPr>
                <w:rFonts w:hint="eastAsia" w:ascii="宋体" w:hAnsi="宋体" w:cs="宋体"/>
                <w:color w:val="auto"/>
                <w:kern w:val="0"/>
                <w:sz w:val="20"/>
                <w:szCs w:val="20"/>
                <w:highlight w:val="none"/>
              </w:rPr>
              <w:t>案均成本</w:t>
            </w:r>
          </w:p>
        </w:tc>
        <w:tc>
          <w:tcPr>
            <w:tcW w:w="675"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0.9</w:t>
            </w:r>
            <w:r>
              <w:rPr>
                <w:rFonts w:hint="eastAsia" w:ascii="宋体" w:hAnsi="宋体" w:cs="宋体"/>
                <w:color w:val="auto"/>
                <w:kern w:val="0"/>
                <w:sz w:val="20"/>
                <w:szCs w:val="20"/>
                <w:highlight w:val="none"/>
              </w:rPr>
              <w:t>万元</w:t>
            </w:r>
          </w:p>
        </w:tc>
        <w:tc>
          <w:tcPr>
            <w:tcW w:w="958"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0.98</w:t>
            </w:r>
            <w:r>
              <w:rPr>
                <w:rFonts w:hint="eastAsia" w:ascii="宋体" w:hAnsi="宋体" w:cs="宋体"/>
                <w:color w:val="auto"/>
                <w:kern w:val="0"/>
                <w:sz w:val="20"/>
                <w:szCs w:val="20"/>
                <w:highlight w:val="none"/>
              </w:rPr>
              <w:t>万元</w:t>
            </w:r>
          </w:p>
        </w:tc>
        <w:tc>
          <w:tcPr>
            <w:tcW w:w="235"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tc>
        <w:tc>
          <w:tcPr>
            <w:tcW w:w="227" w:type="pct"/>
            <w:gridSpan w:val="4"/>
            <w:tcBorders>
              <w:top w:val="nil"/>
              <w:left w:val="nil"/>
              <w:bottom w:val="single" w:color="auto" w:sz="4" w:space="0"/>
              <w:right w:val="nil"/>
            </w:tcBorders>
            <w:noWrap/>
            <w:vAlign w:val="center"/>
          </w:tcPr>
          <w:p>
            <w:pPr>
              <w:widowControl/>
              <w:jc w:val="center"/>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lang w:val="en-US" w:eastAsia="zh-CN"/>
              </w:rPr>
              <w:t>6</w:t>
            </w:r>
          </w:p>
        </w:tc>
        <w:tc>
          <w:tcPr>
            <w:tcW w:w="1075" w:type="pct"/>
            <w:gridSpan w:val="2"/>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219" w:type="pct"/>
            <w:gridSpan w:val="3"/>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675"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restart"/>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效果（30）</w:t>
            </w:r>
          </w:p>
        </w:tc>
        <w:tc>
          <w:tcPr>
            <w:tcW w:w="317"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社会效益：</w:t>
            </w:r>
          </w:p>
        </w:tc>
        <w:tc>
          <w:tcPr>
            <w:tcW w:w="675" w:type="pct"/>
            <w:gridSpan w:val="3"/>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0"/>
                <w:szCs w:val="20"/>
                <w:highlight w:val="none"/>
              </w:rPr>
            </w:pPr>
          </w:p>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围绕大局履职尽责，服务区域内高质量绿色发展</w:t>
            </w:r>
          </w:p>
          <w:p>
            <w:pPr>
              <w:widowControl/>
              <w:jc w:val="center"/>
              <w:rPr>
                <w:rFonts w:ascii="宋体" w:hAnsi="宋体" w:cs="宋体"/>
                <w:color w:val="auto"/>
                <w:kern w:val="0"/>
                <w:sz w:val="20"/>
                <w:szCs w:val="20"/>
                <w:highlight w:val="none"/>
              </w:rPr>
            </w:pPr>
          </w:p>
        </w:tc>
        <w:tc>
          <w:tcPr>
            <w:tcW w:w="958"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20"/>
                <w:szCs w:val="20"/>
                <w:highlight w:val="none"/>
              </w:rPr>
              <w:t>服务法治政府建设、服务美丽延庆建设、服务乡村振兴，强化民生司法保障、维护社会安全稳定</w:t>
            </w:r>
          </w:p>
        </w:tc>
        <w:tc>
          <w:tcPr>
            <w:tcW w:w="23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tc>
        <w:tc>
          <w:tcPr>
            <w:tcW w:w="227" w:type="pct"/>
            <w:gridSpan w:val="4"/>
            <w:tcBorders>
              <w:top w:val="nil"/>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tc>
        <w:tc>
          <w:tcPr>
            <w:tcW w:w="1075" w:type="pct"/>
            <w:gridSpan w:val="2"/>
            <w:vMerge w:val="restar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b/>
                <w:bCs/>
                <w:color w:val="auto"/>
                <w:kern w:val="0"/>
                <w:sz w:val="18"/>
                <w:szCs w:val="18"/>
                <w:highlight w:val="none"/>
              </w:rPr>
              <w:t>经济效益</w:t>
            </w:r>
            <w:r>
              <w:rPr>
                <w:rFonts w:hint="eastAsia" w:ascii="宋体" w:hAnsi="宋体" w:cs="宋体"/>
                <w:color w:val="auto"/>
                <w:kern w:val="0"/>
                <w:sz w:val="18"/>
                <w:szCs w:val="18"/>
                <w:highlight w:val="none"/>
              </w:rPr>
              <w:t>：部门（单位）履行职责对经济发展所带来的直接或间接影响。</w:t>
            </w:r>
            <w:r>
              <w:rPr>
                <w:rFonts w:hint="eastAsia" w:ascii="宋体" w:hAnsi="宋体" w:cs="宋体"/>
                <w:b/>
                <w:bCs/>
                <w:color w:val="auto"/>
                <w:kern w:val="0"/>
                <w:sz w:val="18"/>
                <w:szCs w:val="18"/>
                <w:highlight w:val="none"/>
              </w:rPr>
              <w:t>社会效益</w:t>
            </w:r>
            <w:r>
              <w:rPr>
                <w:rFonts w:hint="eastAsia" w:ascii="宋体" w:hAnsi="宋体" w:cs="宋体"/>
                <w:color w:val="auto"/>
                <w:kern w:val="0"/>
                <w:sz w:val="18"/>
                <w:szCs w:val="18"/>
                <w:highlight w:val="none"/>
              </w:rPr>
              <w:t>：部门（单位）履行职责对社会发展所带来的直接或间接影响。</w:t>
            </w:r>
            <w:r>
              <w:rPr>
                <w:rFonts w:hint="eastAsia" w:ascii="宋体" w:hAnsi="宋体" w:cs="宋体"/>
                <w:b/>
                <w:bCs/>
                <w:color w:val="auto"/>
                <w:kern w:val="0"/>
                <w:sz w:val="18"/>
                <w:szCs w:val="18"/>
                <w:highlight w:val="none"/>
              </w:rPr>
              <w:t>环境效益</w:t>
            </w:r>
            <w:r>
              <w:rPr>
                <w:rFonts w:hint="eastAsia" w:ascii="宋体" w:hAnsi="宋体" w:cs="宋体"/>
                <w:color w:val="auto"/>
                <w:kern w:val="0"/>
                <w:sz w:val="18"/>
                <w:szCs w:val="18"/>
                <w:highlight w:val="none"/>
              </w:rPr>
              <w:t>：部门（单位）履行职责对环境所带来的直接或间接影响。</w:t>
            </w:r>
            <w:r>
              <w:rPr>
                <w:rFonts w:hint="eastAsia" w:ascii="宋体" w:hAnsi="宋体" w:cs="宋体"/>
                <w:b/>
                <w:bCs/>
                <w:color w:val="auto"/>
                <w:kern w:val="0"/>
                <w:sz w:val="18"/>
                <w:szCs w:val="18"/>
                <w:highlight w:val="none"/>
              </w:rPr>
              <w:t>可持续性影响：</w:t>
            </w:r>
            <w:r>
              <w:rPr>
                <w:rFonts w:hint="eastAsia" w:ascii="宋体" w:hAnsi="宋体" w:cs="宋体"/>
                <w:color w:val="auto"/>
                <w:kern w:val="0"/>
                <w:sz w:val="18"/>
                <w:szCs w:val="18"/>
                <w:highlight w:val="none"/>
              </w:rPr>
              <w:t>部门绩效目标实现的长效机制建设情况，部门工作效率提升措施的创新。</w:t>
            </w:r>
            <w:r>
              <w:rPr>
                <w:rFonts w:hint="eastAsia" w:ascii="宋体" w:hAnsi="宋体" w:cs="宋体"/>
                <w:b/>
                <w:bCs/>
                <w:color w:val="auto"/>
                <w:kern w:val="0"/>
                <w:sz w:val="18"/>
                <w:szCs w:val="18"/>
                <w:highlight w:val="none"/>
              </w:rPr>
              <w:t>服务对象满意度</w:t>
            </w:r>
            <w:r>
              <w:rPr>
                <w:rFonts w:hint="eastAsia" w:ascii="宋体" w:hAnsi="宋体" w:cs="宋体"/>
                <w:color w:val="auto"/>
                <w:kern w:val="0"/>
                <w:sz w:val="18"/>
                <w:szCs w:val="18"/>
                <w:highlight w:val="none"/>
              </w:rPr>
              <w:t>：部门（单位）的服务对象对部门履职效果的满意程度。</w:t>
            </w:r>
          </w:p>
        </w:tc>
        <w:tc>
          <w:tcPr>
            <w:tcW w:w="1219" w:type="pct"/>
            <w:gridSpan w:val="3"/>
            <w:vMerge w:val="restart"/>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317" w:type="pct"/>
            <w:gridSpan w:val="3"/>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服务对象满意度：</w:t>
            </w:r>
            <w:r>
              <w:rPr>
                <w:rFonts w:hint="eastAsia" w:ascii="宋体" w:hAnsi="宋体" w:cs="宋体"/>
                <w:color w:val="auto"/>
                <w:kern w:val="0"/>
                <w:sz w:val="20"/>
                <w:szCs w:val="20"/>
                <w:highlight w:val="none"/>
                <w:lang w:eastAsia="zh-CN"/>
              </w:rPr>
              <w:t>审判执行工作整体满意度</w:t>
            </w:r>
          </w:p>
        </w:tc>
        <w:tc>
          <w:tcPr>
            <w:tcW w:w="675"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坚持以人民群众的满意度、获得感检验改革成效，抓住改革重点，聚焦突出问题，统筹推进司法体制综合配套改革。　</w:t>
            </w:r>
          </w:p>
        </w:tc>
        <w:tc>
          <w:tcPr>
            <w:tcW w:w="958"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坚持服务大局、司法为民、公正司法，认真落实市委、区委部署要求，各项工作均取得预期成效。持续巩固司法体制改革成果，全面落实司法责任制，严格落实随机分案、阅核制等制度，加强对审判权的监督制约。推进诉讼服务全流程改革，坚持能动司法，探索部分民事案件诉前鉴定工作，促进矛盾纠纷高效化解。开展集约送达改革，缩短案件办理周期，推进诉讼服务提档升级，让公平正义更“快一步”。　</w:t>
            </w:r>
          </w:p>
        </w:tc>
        <w:tc>
          <w:tcPr>
            <w:tcW w:w="235" w:type="pct"/>
            <w:tcBorders>
              <w:top w:val="single" w:color="auto" w:sz="4" w:space="0"/>
              <w:left w:val="single" w:color="auto" w:sz="4" w:space="0"/>
              <w:bottom w:val="single" w:color="auto" w:sz="4" w:space="0"/>
              <w:right w:val="single" w:color="auto" w:sz="4" w:space="0"/>
            </w:tcBorders>
            <w:noWrap/>
            <w:vAlign w:val="center"/>
          </w:tcPr>
          <w:p>
            <w:pPr>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8</w:t>
            </w:r>
          </w:p>
        </w:tc>
        <w:tc>
          <w:tcPr>
            <w:tcW w:w="227" w:type="pct"/>
            <w:gridSpan w:val="4"/>
            <w:tcBorders>
              <w:top w:val="nil"/>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8　</w:t>
            </w:r>
          </w:p>
        </w:tc>
        <w:tc>
          <w:tcPr>
            <w:tcW w:w="1075" w:type="pct"/>
            <w:gridSpan w:val="2"/>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219" w:type="pct"/>
            <w:gridSpan w:val="3"/>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690"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317"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经济效益：</w:t>
            </w:r>
          </w:p>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保证首都经济运转和维护营商环境情况</w:t>
            </w:r>
          </w:p>
        </w:tc>
        <w:tc>
          <w:tcPr>
            <w:tcW w:w="675"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围绕优化营商环境重点工作，优化窗口服务环境，积极营造法治化、便利化营商环境。　</w:t>
            </w:r>
          </w:p>
        </w:tc>
        <w:tc>
          <w:tcPr>
            <w:tcW w:w="958"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优化窗口服务环境，严格规范司法审判行为，切实有效提升审判质效，主动对接辖区内重点民营企业，依法保障企业合法经营。</w:t>
            </w:r>
          </w:p>
          <w:p>
            <w:pPr>
              <w:widowControl/>
              <w:jc w:val="center"/>
              <w:rPr>
                <w:rFonts w:ascii="宋体" w:hAnsi="宋体" w:cs="宋体"/>
                <w:color w:val="auto"/>
                <w:kern w:val="0"/>
                <w:sz w:val="20"/>
                <w:szCs w:val="20"/>
                <w:highlight w:val="none"/>
              </w:rPr>
            </w:pPr>
          </w:p>
        </w:tc>
        <w:tc>
          <w:tcPr>
            <w:tcW w:w="235"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8</w:t>
            </w:r>
          </w:p>
        </w:tc>
        <w:tc>
          <w:tcPr>
            <w:tcW w:w="227" w:type="pct"/>
            <w:gridSpan w:val="4"/>
            <w:tcBorders>
              <w:top w:val="nil"/>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8　</w:t>
            </w:r>
          </w:p>
        </w:tc>
        <w:tc>
          <w:tcPr>
            <w:tcW w:w="1075" w:type="pct"/>
            <w:gridSpan w:val="2"/>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219" w:type="pct"/>
            <w:gridSpan w:val="3"/>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675" w:hRule="atLeast"/>
        </w:trPr>
        <w:tc>
          <w:tcPr>
            <w:tcW w:w="152"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317" w:type="pct"/>
            <w:gridSpan w:val="3"/>
            <w:tcBorders>
              <w:top w:val="nil"/>
              <w:left w:val="nil"/>
              <w:bottom w:val="single" w:color="auto" w:sz="4" w:space="0"/>
              <w:right w:val="single" w:color="auto" w:sz="4" w:space="0"/>
            </w:tcBorders>
            <w:noWrap/>
            <w:vAlign w:val="center"/>
          </w:tcPr>
          <w:p>
            <w:pPr>
              <w:widowControl/>
              <w:rPr>
                <w:rFonts w:ascii="宋体" w:hAnsi="宋体" w:cs="宋体"/>
                <w:color w:val="auto"/>
                <w:kern w:val="0"/>
                <w:sz w:val="20"/>
                <w:szCs w:val="20"/>
                <w:highlight w:val="none"/>
              </w:rPr>
            </w:pPr>
            <w:r>
              <w:rPr>
                <w:rFonts w:hint="eastAsia" w:ascii="宋体" w:hAnsi="宋体" w:cs="宋体"/>
                <w:color w:val="auto"/>
                <w:kern w:val="0"/>
                <w:sz w:val="20"/>
                <w:szCs w:val="20"/>
                <w:highlight w:val="none"/>
              </w:rPr>
              <w:t>环境效益</w:t>
            </w:r>
          </w:p>
        </w:tc>
        <w:tc>
          <w:tcPr>
            <w:tcW w:w="675"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　环保案件结案预计数</w:t>
            </w:r>
            <w:r>
              <w:rPr>
                <w:rFonts w:hint="eastAsia" w:ascii="宋体" w:hAnsi="宋体" w:cs="宋体"/>
                <w:color w:val="auto"/>
                <w:kern w:val="0"/>
                <w:sz w:val="20"/>
                <w:szCs w:val="20"/>
                <w:highlight w:val="none"/>
                <w:lang w:val="en-US" w:eastAsia="zh-CN"/>
              </w:rPr>
              <w:t>7</w:t>
            </w:r>
            <w:r>
              <w:rPr>
                <w:rFonts w:hint="eastAsia" w:ascii="宋体" w:hAnsi="宋体" w:cs="宋体"/>
                <w:color w:val="auto"/>
                <w:kern w:val="0"/>
                <w:sz w:val="20"/>
                <w:szCs w:val="20"/>
                <w:highlight w:val="none"/>
              </w:rPr>
              <w:t>件</w:t>
            </w:r>
          </w:p>
        </w:tc>
        <w:tc>
          <w:tcPr>
            <w:tcW w:w="958"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环保案件实际结案数</w:t>
            </w:r>
            <w:r>
              <w:rPr>
                <w:rFonts w:hint="eastAsia" w:ascii="宋体" w:hAnsi="宋体" w:cs="宋体"/>
                <w:color w:val="auto"/>
                <w:kern w:val="0"/>
                <w:sz w:val="20"/>
                <w:szCs w:val="20"/>
                <w:highlight w:val="none"/>
                <w:lang w:val="en-US" w:eastAsia="zh-CN"/>
              </w:rPr>
              <w:t>7</w:t>
            </w:r>
            <w:r>
              <w:rPr>
                <w:rFonts w:hint="eastAsia" w:ascii="宋体" w:hAnsi="宋体" w:cs="宋体"/>
                <w:color w:val="auto"/>
                <w:kern w:val="0"/>
                <w:sz w:val="20"/>
                <w:szCs w:val="20"/>
                <w:highlight w:val="none"/>
              </w:rPr>
              <w:t>件　</w:t>
            </w:r>
          </w:p>
        </w:tc>
        <w:tc>
          <w:tcPr>
            <w:tcW w:w="235" w:type="pc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tc>
        <w:tc>
          <w:tcPr>
            <w:tcW w:w="227" w:type="pct"/>
            <w:gridSpan w:val="4"/>
            <w:tcBorders>
              <w:top w:val="nil"/>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tc>
        <w:tc>
          <w:tcPr>
            <w:tcW w:w="1075" w:type="pct"/>
            <w:gridSpan w:val="2"/>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c>
          <w:tcPr>
            <w:tcW w:w="1219" w:type="pct"/>
            <w:gridSpan w:val="3"/>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699" w:hRule="atLeast"/>
        </w:trPr>
        <w:tc>
          <w:tcPr>
            <w:tcW w:w="5000" w:type="pct"/>
            <w:gridSpan w:val="21"/>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三</w:t>
            </w:r>
            <w:r>
              <w:rPr>
                <w:rFonts w:ascii="宋体" w:hAnsi="宋体" w:cs="宋体"/>
                <w:color w:val="auto"/>
                <w:kern w:val="0"/>
                <w:sz w:val="18"/>
                <w:szCs w:val="18"/>
                <w:highlight w:val="none"/>
              </w:rPr>
              <w:t>、</w:t>
            </w:r>
            <w:r>
              <w:rPr>
                <w:rFonts w:hint="eastAsia" w:ascii="宋体" w:hAnsi="宋体" w:cs="宋体"/>
                <w:color w:val="auto"/>
                <w:kern w:val="0"/>
                <w:sz w:val="20"/>
                <w:szCs w:val="20"/>
                <w:highlight w:val="none"/>
              </w:rPr>
              <w:t>预算管理情况（20分）</w:t>
            </w:r>
          </w:p>
        </w:tc>
      </w:tr>
      <w:tr>
        <w:tblPrEx>
          <w:tblCellMar>
            <w:top w:w="0" w:type="dxa"/>
            <w:left w:w="108" w:type="dxa"/>
            <w:bottom w:w="0" w:type="dxa"/>
            <w:right w:w="108" w:type="dxa"/>
          </w:tblCellMar>
        </w:tblPrEx>
        <w:trPr>
          <w:trHeight w:val="702" w:hRule="atLeast"/>
        </w:trPr>
        <w:tc>
          <w:tcPr>
            <w:tcW w:w="15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一</w:t>
            </w:r>
            <w:r>
              <w:rPr>
                <w:rFonts w:ascii="宋体" w:hAnsi="宋体" w:cs="宋体"/>
                <w:color w:val="auto"/>
                <w:kern w:val="0"/>
                <w:sz w:val="20"/>
                <w:szCs w:val="20"/>
                <w:highlight w:val="none"/>
              </w:rPr>
              <w:t>级指标</w:t>
            </w:r>
          </w:p>
        </w:tc>
        <w:tc>
          <w:tcPr>
            <w:tcW w:w="13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二</w:t>
            </w:r>
            <w:r>
              <w:rPr>
                <w:rFonts w:ascii="宋体" w:hAnsi="宋体" w:cs="宋体"/>
                <w:color w:val="auto"/>
                <w:kern w:val="0"/>
                <w:sz w:val="20"/>
                <w:szCs w:val="20"/>
                <w:highlight w:val="none"/>
              </w:rPr>
              <w:t>级指标</w:t>
            </w:r>
          </w:p>
        </w:tc>
        <w:tc>
          <w:tcPr>
            <w:tcW w:w="317"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三</w:t>
            </w:r>
            <w:r>
              <w:rPr>
                <w:rFonts w:ascii="宋体" w:hAnsi="宋体" w:cs="宋体"/>
                <w:color w:val="auto"/>
                <w:kern w:val="0"/>
                <w:sz w:val="20"/>
                <w:szCs w:val="20"/>
                <w:highlight w:val="none"/>
              </w:rPr>
              <w:t>级指标</w:t>
            </w:r>
          </w:p>
        </w:tc>
        <w:tc>
          <w:tcPr>
            <w:tcW w:w="630"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指标</w:t>
            </w:r>
            <w:r>
              <w:rPr>
                <w:rFonts w:ascii="宋体" w:hAnsi="宋体" w:cs="宋体"/>
                <w:color w:val="auto"/>
                <w:kern w:val="0"/>
                <w:sz w:val="20"/>
                <w:szCs w:val="20"/>
                <w:highlight w:val="none"/>
              </w:rPr>
              <w:t>值</w:t>
            </w:r>
          </w:p>
        </w:tc>
        <w:tc>
          <w:tcPr>
            <w:tcW w:w="1003" w:type="pct"/>
            <w:gridSpan w:val="4"/>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完成</w:t>
            </w:r>
            <w:r>
              <w:rPr>
                <w:rFonts w:ascii="宋体" w:hAnsi="宋体" w:cs="宋体"/>
                <w:color w:val="auto"/>
                <w:kern w:val="0"/>
                <w:sz w:val="20"/>
                <w:szCs w:val="20"/>
                <w:highlight w:val="none"/>
              </w:rPr>
              <w:t>值</w:t>
            </w:r>
          </w:p>
        </w:tc>
        <w:tc>
          <w:tcPr>
            <w:tcW w:w="249"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分</w:t>
            </w:r>
            <w:r>
              <w:rPr>
                <w:rFonts w:ascii="宋体" w:hAnsi="宋体" w:cs="宋体"/>
                <w:color w:val="auto"/>
                <w:kern w:val="0"/>
                <w:sz w:val="20"/>
                <w:szCs w:val="20"/>
                <w:highlight w:val="none"/>
              </w:rPr>
              <w:t>值</w:t>
            </w:r>
          </w:p>
        </w:tc>
        <w:tc>
          <w:tcPr>
            <w:tcW w:w="214" w:type="pct"/>
            <w:gridSpan w:val="2"/>
            <w:tcBorders>
              <w:top w:val="single" w:color="auto" w:sz="4" w:space="0"/>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得</w:t>
            </w:r>
            <w:r>
              <w:rPr>
                <w:rFonts w:ascii="宋体" w:hAnsi="宋体" w:cs="宋体"/>
                <w:color w:val="auto"/>
                <w:kern w:val="0"/>
                <w:sz w:val="20"/>
                <w:szCs w:val="20"/>
                <w:highlight w:val="none"/>
              </w:rPr>
              <w:t>分</w:t>
            </w:r>
          </w:p>
        </w:tc>
        <w:tc>
          <w:tcPr>
            <w:tcW w:w="1083"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auto"/>
                <w:kern w:val="0"/>
                <w:sz w:val="18"/>
                <w:szCs w:val="18"/>
                <w:highlight w:val="none"/>
              </w:rPr>
            </w:pPr>
            <w:r>
              <w:rPr>
                <w:rFonts w:hint="eastAsia" w:ascii="宋体" w:hAnsi="宋体" w:cs="宋体"/>
                <w:bCs/>
                <w:color w:val="auto"/>
                <w:kern w:val="0"/>
                <w:sz w:val="18"/>
                <w:szCs w:val="18"/>
                <w:highlight w:val="none"/>
              </w:rPr>
              <w:t>指标</w:t>
            </w:r>
            <w:r>
              <w:rPr>
                <w:rFonts w:ascii="宋体" w:hAnsi="宋体" w:cs="宋体"/>
                <w:bCs/>
                <w:color w:val="auto"/>
                <w:kern w:val="0"/>
                <w:sz w:val="18"/>
                <w:szCs w:val="18"/>
                <w:highlight w:val="none"/>
              </w:rPr>
              <w:t>解释</w:t>
            </w:r>
          </w:p>
        </w:tc>
        <w:tc>
          <w:tcPr>
            <w:tcW w:w="1211"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评</w:t>
            </w:r>
            <w:r>
              <w:rPr>
                <w:rFonts w:ascii="宋体" w:hAnsi="宋体" w:cs="宋体"/>
                <w:color w:val="auto"/>
                <w:kern w:val="0"/>
                <w:sz w:val="18"/>
                <w:szCs w:val="18"/>
                <w:highlight w:val="none"/>
              </w:rPr>
              <w:t>分标准</w:t>
            </w:r>
          </w:p>
        </w:tc>
      </w:tr>
      <w:tr>
        <w:tblPrEx>
          <w:tblCellMar>
            <w:top w:w="0" w:type="dxa"/>
            <w:left w:w="108" w:type="dxa"/>
            <w:bottom w:w="0" w:type="dxa"/>
            <w:right w:w="108" w:type="dxa"/>
          </w:tblCellMar>
        </w:tblPrEx>
        <w:trPr>
          <w:trHeight w:val="1991" w:hRule="atLeast"/>
        </w:trPr>
        <w:tc>
          <w:tcPr>
            <w:tcW w:w="15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预算管理情况（20）</w:t>
            </w:r>
          </w:p>
        </w:tc>
        <w:tc>
          <w:tcPr>
            <w:tcW w:w="13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财务管理（4）</w:t>
            </w:r>
          </w:p>
        </w:tc>
        <w:tc>
          <w:tcPr>
            <w:tcW w:w="317"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财务管理制度健全性</w:t>
            </w:r>
          </w:p>
        </w:tc>
        <w:tc>
          <w:tcPr>
            <w:tcW w:w="630"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预算资金管理办法、绩效跟踪管理办法、资产管理办法等各项制度健全；部门内部财务管理制度完整、合规；会计核算制度完整、合规。</w:t>
            </w:r>
          </w:p>
        </w:tc>
        <w:tc>
          <w:tcPr>
            <w:tcW w:w="1003" w:type="pct"/>
            <w:gridSpan w:val="4"/>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预算资金管理办法、资产管理办法等各项制度健全；部门内部财务管理制度完整、合规；会计核算制度完整、合规。但缺少绩效跟踪管理办法　</w:t>
            </w:r>
          </w:p>
        </w:tc>
        <w:tc>
          <w:tcPr>
            <w:tcW w:w="245"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w:t>
            </w:r>
          </w:p>
        </w:tc>
        <w:tc>
          <w:tcPr>
            <w:tcW w:w="218" w:type="pct"/>
            <w:gridSpan w:val="3"/>
            <w:tcBorders>
              <w:top w:val="single" w:color="auto" w:sz="4" w:space="0"/>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0.5　</w:t>
            </w:r>
          </w:p>
        </w:tc>
        <w:tc>
          <w:tcPr>
            <w:tcW w:w="1083" w:type="pct"/>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b/>
                <w:bCs/>
                <w:color w:val="auto"/>
                <w:kern w:val="0"/>
                <w:sz w:val="18"/>
                <w:szCs w:val="18"/>
                <w:highlight w:val="none"/>
              </w:rPr>
              <w:t>财务管理制度健全性:</w:t>
            </w:r>
            <w:r>
              <w:rPr>
                <w:rFonts w:hint="eastAsia" w:ascii="宋体" w:hAnsi="宋体" w:cs="宋体"/>
                <w:color w:val="auto"/>
                <w:kern w:val="0"/>
                <w:sz w:val="18"/>
                <w:szCs w:val="18"/>
                <w:highlight w:val="none"/>
              </w:rPr>
              <w:t>部门（单位）为加强财务管理、规范财务行为而制定的管理制度。</w:t>
            </w:r>
          </w:p>
        </w:tc>
        <w:tc>
          <w:tcPr>
            <w:tcW w:w="1211" w:type="pct"/>
            <w:gridSpan w:val="2"/>
            <w:tcBorders>
              <w:top w:val="single" w:color="auto" w:sz="4" w:space="0"/>
              <w:left w:val="nil"/>
              <w:bottom w:val="single" w:color="auto" w:sz="4" w:space="0"/>
              <w:right w:val="single" w:color="auto" w:sz="4" w:space="0"/>
            </w:tcBorders>
            <w:noWrap/>
            <w:vAlign w:val="center"/>
          </w:tcPr>
          <w:p>
            <w:pPr>
              <w:widowControl/>
              <w:rPr>
                <w:rFonts w:ascii="宋体" w:hAnsi="宋体" w:cs="宋体"/>
                <w:color w:val="auto"/>
                <w:kern w:val="0"/>
                <w:sz w:val="18"/>
                <w:szCs w:val="18"/>
                <w:highlight w:val="none"/>
              </w:rPr>
            </w:pPr>
            <w:r>
              <w:rPr>
                <w:rFonts w:hint="eastAsia" w:ascii="宋体" w:hAnsi="宋体" w:cs="宋体"/>
                <w:color w:val="auto"/>
                <w:kern w:val="0"/>
                <w:sz w:val="18"/>
                <w:szCs w:val="18"/>
                <w:highlight w:val="none"/>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152" w:type="pct"/>
            <w:vMerge w:val="continue"/>
            <w:tcBorders>
              <w:top w:val="single" w:color="auto" w:sz="4" w:space="0"/>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317"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资金使用合规性和安全性</w:t>
            </w:r>
          </w:p>
        </w:tc>
        <w:tc>
          <w:tcPr>
            <w:tcW w:w="630"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18"/>
                <w:szCs w:val="18"/>
                <w:highlight w:val="none"/>
              </w:rPr>
              <w:t>资金使用符合国家财经法规和财务管理制度规定，拨付有完整的审批程序和手续，项目的重大开支经过评估论证，符合部门预算批复的用途，无截留、挤占、挪用情况，符合政府采购的程序和流程，资金使用严格遵照公务卡结算相关制度</w:t>
            </w:r>
          </w:p>
        </w:tc>
        <w:tc>
          <w:tcPr>
            <w:tcW w:w="1003" w:type="pct"/>
            <w:gridSpan w:val="4"/>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18"/>
                <w:szCs w:val="18"/>
                <w:highlight w:val="none"/>
              </w:rPr>
              <w:t>资金使用符合国家财经法规和财务管理制度规定，拨付有完整的审批程序和手续，项目的重大开支经过评估论证，符合部门预算批复的用途，无截留、挤占、挪用情况，预算经费的使用符合政府采购的程序、流程和公务卡结算相关制度</w:t>
            </w:r>
          </w:p>
        </w:tc>
        <w:tc>
          <w:tcPr>
            <w:tcW w:w="245"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2</w:t>
            </w:r>
          </w:p>
        </w:tc>
        <w:tc>
          <w:tcPr>
            <w:tcW w:w="218" w:type="pct"/>
            <w:gridSpan w:val="3"/>
            <w:tcBorders>
              <w:top w:val="single" w:color="auto" w:sz="4" w:space="0"/>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2　</w:t>
            </w:r>
          </w:p>
        </w:tc>
        <w:tc>
          <w:tcPr>
            <w:tcW w:w="1083" w:type="pct"/>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b/>
                <w:bCs/>
                <w:color w:val="auto"/>
                <w:kern w:val="0"/>
                <w:sz w:val="18"/>
                <w:szCs w:val="18"/>
                <w:highlight w:val="none"/>
              </w:rPr>
              <w:t>资金使用合规性和安全性:</w:t>
            </w:r>
            <w:r>
              <w:rPr>
                <w:rFonts w:hint="eastAsia" w:ascii="宋体" w:hAnsi="宋体" w:cs="宋体"/>
                <w:color w:val="auto"/>
                <w:kern w:val="0"/>
                <w:sz w:val="18"/>
                <w:szCs w:val="18"/>
                <w:highlight w:val="none"/>
              </w:rPr>
              <w:t>部门（单位）使用预算资金是否符合相关的预算财务管理制度的规定，是否符合相关规定的开支范围，用以反映考核部门（单位）预算资金的规范运行和安全运行情况。</w:t>
            </w:r>
          </w:p>
        </w:tc>
        <w:tc>
          <w:tcPr>
            <w:tcW w:w="1211" w:type="pct"/>
            <w:gridSpan w:val="2"/>
            <w:tcBorders>
              <w:top w:val="single" w:color="auto" w:sz="4" w:space="0"/>
              <w:left w:val="nil"/>
              <w:bottom w:val="single" w:color="auto" w:sz="4" w:space="0"/>
              <w:right w:val="single" w:color="auto" w:sz="4" w:space="0"/>
            </w:tcBorders>
            <w:noWrap/>
            <w:vAlign w:val="center"/>
          </w:tcPr>
          <w:p>
            <w:pPr>
              <w:widowControl/>
              <w:rPr>
                <w:rFonts w:ascii="宋体" w:hAnsi="宋体" w:cs="宋体"/>
                <w:color w:val="auto"/>
                <w:kern w:val="0"/>
                <w:sz w:val="18"/>
                <w:szCs w:val="18"/>
                <w:highlight w:val="none"/>
              </w:rPr>
            </w:pPr>
            <w:r>
              <w:rPr>
                <w:rFonts w:hint="eastAsia" w:ascii="宋体" w:hAnsi="宋体" w:cs="宋体"/>
                <w:color w:val="auto"/>
                <w:kern w:val="0"/>
                <w:sz w:val="18"/>
                <w:szCs w:val="18"/>
                <w:highlight w:val="none"/>
              </w:rPr>
              <w:t>①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317"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会计基础信息完善性</w:t>
            </w:r>
          </w:p>
        </w:tc>
        <w:tc>
          <w:tcPr>
            <w:tcW w:w="630" w:type="pct"/>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18"/>
                <w:szCs w:val="18"/>
                <w:highlight w:val="none"/>
              </w:rPr>
              <w:t>基础数据信息和会计信息资料真实、准确、完整</w:t>
            </w:r>
            <w:r>
              <w:rPr>
                <w:rFonts w:hint="eastAsia" w:ascii="宋体" w:hAnsi="宋体" w:cs="宋体"/>
                <w:color w:val="auto"/>
                <w:kern w:val="0"/>
                <w:sz w:val="20"/>
                <w:szCs w:val="20"/>
                <w:highlight w:val="none"/>
              </w:rPr>
              <w:t>　</w:t>
            </w:r>
          </w:p>
        </w:tc>
        <w:tc>
          <w:tcPr>
            <w:tcW w:w="1003" w:type="pct"/>
            <w:gridSpan w:val="4"/>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18"/>
                <w:szCs w:val="18"/>
                <w:highlight w:val="none"/>
              </w:rPr>
              <w:t>基础数据信息和会计信息资料真实、准确、完整</w:t>
            </w:r>
            <w:r>
              <w:rPr>
                <w:rFonts w:hint="eastAsia" w:ascii="宋体" w:hAnsi="宋体" w:cs="宋体"/>
                <w:color w:val="auto"/>
                <w:kern w:val="0"/>
                <w:sz w:val="20"/>
                <w:szCs w:val="20"/>
                <w:highlight w:val="none"/>
              </w:rPr>
              <w:t>　　</w:t>
            </w:r>
          </w:p>
        </w:tc>
        <w:tc>
          <w:tcPr>
            <w:tcW w:w="245" w:type="pct"/>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w:t>
            </w:r>
          </w:p>
        </w:tc>
        <w:tc>
          <w:tcPr>
            <w:tcW w:w="218" w:type="pct"/>
            <w:gridSpan w:val="3"/>
            <w:tcBorders>
              <w:top w:val="nil"/>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　</w:t>
            </w:r>
          </w:p>
        </w:tc>
        <w:tc>
          <w:tcPr>
            <w:tcW w:w="1083" w:type="pct"/>
            <w:gridSpan w:val="3"/>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b/>
                <w:bCs/>
                <w:color w:val="auto"/>
                <w:kern w:val="0"/>
                <w:sz w:val="18"/>
                <w:szCs w:val="18"/>
                <w:highlight w:val="none"/>
              </w:rPr>
              <w:t>会计基础信息完善性:</w:t>
            </w:r>
            <w:r>
              <w:rPr>
                <w:rFonts w:hint="eastAsia" w:ascii="宋体" w:hAnsi="宋体" w:cs="宋体"/>
                <w:color w:val="auto"/>
                <w:kern w:val="0"/>
                <w:sz w:val="18"/>
                <w:szCs w:val="18"/>
                <w:highlight w:val="none"/>
              </w:rPr>
              <w:t>部门（单位）会计基础信息情况。</w:t>
            </w:r>
          </w:p>
        </w:tc>
        <w:tc>
          <w:tcPr>
            <w:tcW w:w="1211" w:type="pct"/>
            <w:gridSpan w:val="2"/>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资产管理（4）</w:t>
            </w:r>
          </w:p>
        </w:tc>
        <w:tc>
          <w:tcPr>
            <w:tcW w:w="317"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资产管理规范性</w:t>
            </w:r>
          </w:p>
        </w:tc>
        <w:tc>
          <w:tcPr>
            <w:tcW w:w="630" w:type="pct"/>
            <w:gridSpan w:val="2"/>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r>
              <w:rPr>
                <w:rFonts w:hint="eastAsia" w:ascii="宋体" w:hAnsi="宋体" w:cs="宋体"/>
                <w:color w:val="auto"/>
                <w:kern w:val="0"/>
                <w:sz w:val="18"/>
                <w:szCs w:val="18"/>
                <w:highlight w:val="none"/>
              </w:rPr>
              <w:t>无因管理不当发生严重资产损失和丢失情况；无超标准配置资产；资产使用规范，不存在未经批准擅自出租、出借资产行为；资产处置规范，无不按要求进行报批或资产不公开处置行为</w:t>
            </w:r>
          </w:p>
        </w:tc>
        <w:tc>
          <w:tcPr>
            <w:tcW w:w="1003" w:type="pct"/>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资产管理规范，但存在超标配置资产情况</w:t>
            </w:r>
          </w:p>
        </w:tc>
        <w:tc>
          <w:tcPr>
            <w:tcW w:w="245"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4</w:t>
            </w:r>
          </w:p>
        </w:tc>
        <w:tc>
          <w:tcPr>
            <w:tcW w:w="218"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　3</w:t>
            </w:r>
          </w:p>
        </w:tc>
        <w:tc>
          <w:tcPr>
            <w:tcW w:w="1083" w:type="pct"/>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b/>
                <w:bCs/>
                <w:color w:val="auto"/>
                <w:kern w:val="0"/>
                <w:sz w:val="18"/>
                <w:szCs w:val="18"/>
                <w:highlight w:val="none"/>
              </w:rPr>
              <w:t>资产管理规范性:</w:t>
            </w:r>
            <w:r>
              <w:rPr>
                <w:rFonts w:hint="eastAsia" w:ascii="宋体" w:hAnsi="宋体" w:cs="宋体"/>
                <w:color w:val="auto"/>
                <w:kern w:val="0"/>
                <w:sz w:val="18"/>
                <w:szCs w:val="18"/>
                <w:highlight w:val="none"/>
              </w:rPr>
              <w:t>部门（单位）的资产是否保持安全完整，资产配置是否合理，资产使用和资产处理是否规范，用以反映和考核部门（单位）资产管理的整体水平。</w:t>
            </w:r>
          </w:p>
        </w:tc>
        <w:tc>
          <w:tcPr>
            <w:tcW w:w="1211" w:type="pct"/>
            <w:gridSpan w:val="2"/>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①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绩效管理（4）</w:t>
            </w:r>
          </w:p>
        </w:tc>
        <w:tc>
          <w:tcPr>
            <w:tcW w:w="317"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绩效管理情况</w:t>
            </w:r>
          </w:p>
        </w:tc>
        <w:tc>
          <w:tcPr>
            <w:tcW w:w="630" w:type="pct"/>
            <w:gridSpan w:val="2"/>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r>
              <w:rPr>
                <w:rFonts w:hint="eastAsia" w:ascii="宋体" w:hAnsi="宋体" w:cs="宋体"/>
                <w:color w:val="auto"/>
                <w:kern w:val="0"/>
                <w:sz w:val="18"/>
                <w:szCs w:val="18"/>
                <w:highlight w:val="none"/>
              </w:rPr>
              <w:t>及时对绩效信息进行汇总分析整理；对绩效目标偏离情况在规定时限内进行矫正</w:t>
            </w:r>
          </w:p>
        </w:tc>
        <w:tc>
          <w:tcPr>
            <w:tcW w:w="1003" w:type="pct"/>
            <w:gridSpan w:val="4"/>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r>
              <w:rPr>
                <w:rFonts w:hint="eastAsia" w:ascii="宋体" w:hAnsi="宋体" w:cs="宋体"/>
                <w:color w:val="auto"/>
                <w:kern w:val="0"/>
                <w:sz w:val="18"/>
                <w:szCs w:val="18"/>
                <w:highlight w:val="none"/>
              </w:rPr>
              <w:t>对绩效信息进行了汇总分析整理，但对绩效目标偏离情况的矫正工作应进一步加强。</w:t>
            </w:r>
          </w:p>
        </w:tc>
        <w:tc>
          <w:tcPr>
            <w:tcW w:w="245"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4</w:t>
            </w:r>
          </w:p>
        </w:tc>
        <w:tc>
          <w:tcPr>
            <w:tcW w:w="218" w:type="pct"/>
            <w:gridSpan w:val="3"/>
            <w:tcBorders>
              <w:top w:val="single" w:color="auto" w:sz="4" w:space="0"/>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3</w:t>
            </w:r>
            <w:r>
              <w:rPr>
                <w:rFonts w:hint="eastAsia" w:ascii="宋体" w:hAnsi="宋体" w:cs="宋体"/>
                <w:color w:val="auto"/>
                <w:kern w:val="0"/>
                <w:sz w:val="20"/>
                <w:szCs w:val="20"/>
                <w:highlight w:val="none"/>
              </w:rPr>
              <w:t>　</w:t>
            </w:r>
          </w:p>
        </w:tc>
        <w:tc>
          <w:tcPr>
            <w:tcW w:w="1083" w:type="pct"/>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b/>
                <w:bCs/>
                <w:color w:val="auto"/>
                <w:kern w:val="0"/>
                <w:sz w:val="18"/>
                <w:szCs w:val="18"/>
                <w:highlight w:val="none"/>
              </w:rPr>
              <w:t>绩效管理情况:</w:t>
            </w:r>
            <w:r>
              <w:rPr>
                <w:rFonts w:hint="eastAsia" w:ascii="宋体" w:hAnsi="宋体" w:cs="宋体"/>
                <w:color w:val="auto"/>
                <w:kern w:val="0"/>
                <w:sz w:val="18"/>
                <w:szCs w:val="18"/>
                <w:highlight w:val="none"/>
              </w:rPr>
              <w:t>考核部门（单位）在绩效管理信息的汇总和应用情况。</w:t>
            </w:r>
          </w:p>
        </w:tc>
        <w:tc>
          <w:tcPr>
            <w:tcW w:w="1211" w:type="pct"/>
            <w:gridSpan w:val="2"/>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634"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指标　</w:t>
            </w:r>
          </w:p>
        </w:tc>
        <w:tc>
          <w:tcPr>
            <w:tcW w:w="298" w:type="pct"/>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202</w:t>
            </w:r>
            <w:r>
              <w:rPr>
                <w:rFonts w:hint="eastAsia" w:ascii="宋体" w:hAnsi="宋体" w:cs="宋体"/>
                <w:color w:val="auto"/>
                <w:kern w:val="0"/>
                <w:sz w:val="20"/>
                <w:szCs w:val="20"/>
                <w:highlight w:val="none"/>
                <w:lang w:val="en-US" w:eastAsia="zh-CN"/>
              </w:rPr>
              <w:t>2</w:t>
            </w:r>
            <w:r>
              <w:rPr>
                <w:rFonts w:hint="eastAsia" w:ascii="宋体" w:hAnsi="宋体" w:cs="宋体"/>
                <w:color w:val="auto"/>
                <w:kern w:val="0"/>
                <w:sz w:val="20"/>
                <w:szCs w:val="20"/>
                <w:highlight w:val="none"/>
              </w:rPr>
              <w:t>年</w:t>
            </w:r>
          </w:p>
        </w:tc>
        <w:tc>
          <w:tcPr>
            <w:tcW w:w="649" w:type="pct"/>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202</w:t>
            </w:r>
            <w:r>
              <w:rPr>
                <w:rFonts w:hint="eastAsia" w:ascii="宋体" w:hAnsi="宋体" w:cs="宋体"/>
                <w:color w:val="auto"/>
                <w:kern w:val="0"/>
                <w:sz w:val="20"/>
                <w:szCs w:val="20"/>
                <w:highlight w:val="none"/>
                <w:lang w:val="en-US" w:eastAsia="zh-CN"/>
              </w:rPr>
              <w:t>3</w:t>
            </w:r>
            <w:r>
              <w:rPr>
                <w:rFonts w:hint="eastAsia" w:ascii="宋体" w:hAnsi="宋体" w:cs="宋体"/>
                <w:color w:val="auto"/>
                <w:kern w:val="0"/>
                <w:sz w:val="20"/>
                <w:szCs w:val="20"/>
                <w:highlight w:val="none"/>
              </w:rPr>
              <w:t>年</w:t>
            </w:r>
          </w:p>
        </w:tc>
        <w:tc>
          <w:tcPr>
            <w:tcW w:w="1003" w:type="pct"/>
            <w:gridSpan w:val="4"/>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分值</w:t>
            </w:r>
          </w:p>
        </w:tc>
        <w:tc>
          <w:tcPr>
            <w:tcW w:w="446" w:type="pct"/>
            <w:gridSpan w:val="4"/>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得分</w:t>
            </w:r>
          </w:p>
        </w:tc>
        <w:tc>
          <w:tcPr>
            <w:tcW w:w="1092"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bCs/>
                <w:color w:val="auto"/>
                <w:kern w:val="0"/>
                <w:sz w:val="18"/>
                <w:szCs w:val="18"/>
                <w:highlight w:val="none"/>
              </w:rPr>
              <w:t>指标</w:t>
            </w:r>
            <w:r>
              <w:rPr>
                <w:rFonts w:ascii="宋体" w:hAnsi="宋体" w:cs="宋体"/>
                <w:bCs/>
                <w:color w:val="auto"/>
                <w:kern w:val="0"/>
                <w:sz w:val="18"/>
                <w:szCs w:val="18"/>
                <w:highlight w:val="none"/>
              </w:rPr>
              <w:t>解释</w:t>
            </w:r>
          </w:p>
        </w:tc>
        <w:tc>
          <w:tcPr>
            <w:tcW w:w="1219" w:type="pct"/>
            <w:gridSpan w:val="3"/>
            <w:tcBorders>
              <w:top w:val="single" w:color="auto" w:sz="4" w:space="0"/>
              <w:left w:val="nil"/>
              <w:bottom w:val="single" w:color="auto" w:sz="4" w:space="0"/>
              <w:right w:val="single" w:color="auto" w:sz="4" w:space="0"/>
            </w:tcBorders>
            <w:noWrap/>
            <w:vAlign w:val="center"/>
          </w:tcPr>
          <w:p>
            <w:pPr>
              <w:widowControl/>
              <w:jc w:val="center"/>
              <w:rPr>
                <w:rFonts w:eastAsia="Times New Roman"/>
                <w:color w:val="auto"/>
                <w:kern w:val="0"/>
                <w:sz w:val="20"/>
                <w:szCs w:val="20"/>
                <w:highlight w:val="none"/>
              </w:rPr>
            </w:pPr>
            <w:r>
              <w:rPr>
                <w:rFonts w:hint="eastAsia" w:ascii="宋体" w:hAnsi="宋体" w:cs="宋体"/>
                <w:color w:val="auto"/>
                <w:kern w:val="0"/>
                <w:sz w:val="18"/>
                <w:szCs w:val="18"/>
                <w:highlight w:val="none"/>
              </w:rPr>
              <w:t>评</w:t>
            </w:r>
            <w:r>
              <w:rPr>
                <w:rFonts w:ascii="宋体" w:hAnsi="宋体" w:cs="宋体"/>
                <w:color w:val="auto"/>
                <w:kern w:val="0"/>
                <w:sz w:val="18"/>
                <w:szCs w:val="18"/>
                <w:highlight w:val="none"/>
              </w:rPr>
              <w:t>分标准</w:t>
            </w:r>
          </w:p>
        </w:tc>
      </w:tr>
      <w:tr>
        <w:tblPrEx>
          <w:tblCellMar>
            <w:top w:w="0" w:type="dxa"/>
            <w:left w:w="108" w:type="dxa"/>
            <w:bottom w:w="0" w:type="dxa"/>
            <w:right w:w="108" w:type="dxa"/>
          </w:tblCellMar>
        </w:tblPrEx>
        <w:trPr>
          <w:trHeight w:val="2235"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tcBorders>
              <w:top w:val="nil"/>
              <w:left w:val="nil"/>
              <w:bottom w:val="single" w:color="auto" w:sz="4" w:space="0"/>
              <w:right w:val="single" w:color="auto" w:sz="4" w:space="0"/>
            </w:tcBorders>
            <w:noWrap/>
            <w:vAlign w:val="center"/>
          </w:tcPr>
          <w:p>
            <w:pPr>
              <w:widowControl/>
              <w:rPr>
                <w:rFonts w:ascii="宋体" w:hAnsi="宋体" w:cs="宋体"/>
                <w:color w:val="auto"/>
                <w:kern w:val="0"/>
                <w:sz w:val="20"/>
                <w:szCs w:val="20"/>
                <w:highlight w:val="none"/>
              </w:rPr>
            </w:pPr>
            <w:r>
              <w:rPr>
                <w:rFonts w:hint="eastAsia" w:ascii="宋体" w:hAnsi="宋体" w:cs="宋体"/>
                <w:color w:val="auto"/>
                <w:kern w:val="0"/>
                <w:sz w:val="20"/>
                <w:szCs w:val="20"/>
                <w:highlight w:val="none"/>
              </w:rPr>
              <w:t>结转结余率（4）</w:t>
            </w:r>
          </w:p>
        </w:tc>
        <w:tc>
          <w:tcPr>
            <w:tcW w:w="298" w:type="pct"/>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2.83</w:t>
            </w:r>
            <w:r>
              <w:rPr>
                <w:rFonts w:hint="eastAsia" w:ascii="宋体" w:hAnsi="宋体" w:cs="宋体"/>
                <w:color w:val="auto"/>
                <w:kern w:val="0"/>
                <w:sz w:val="20"/>
                <w:szCs w:val="20"/>
                <w:highlight w:val="none"/>
              </w:rPr>
              <w:t>%　</w:t>
            </w:r>
          </w:p>
        </w:tc>
        <w:tc>
          <w:tcPr>
            <w:tcW w:w="649" w:type="pct"/>
            <w:gridSpan w:val="3"/>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1.2</w:t>
            </w:r>
            <w:r>
              <w:rPr>
                <w:rFonts w:hint="eastAsia" w:ascii="宋体" w:hAnsi="宋体" w:cs="宋体"/>
                <w:color w:val="auto"/>
                <w:kern w:val="0"/>
                <w:sz w:val="20"/>
                <w:szCs w:val="20"/>
                <w:highlight w:val="none"/>
              </w:rPr>
              <w:t>%　</w:t>
            </w:r>
          </w:p>
        </w:tc>
        <w:tc>
          <w:tcPr>
            <w:tcW w:w="1003" w:type="pct"/>
            <w:gridSpan w:val="4"/>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4</w:t>
            </w:r>
          </w:p>
        </w:tc>
        <w:tc>
          <w:tcPr>
            <w:tcW w:w="446" w:type="pct"/>
            <w:gridSpan w:val="4"/>
            <w:tcBorders>
              <w:top w:val="nil"/>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4　</w:t>
            </w:r>
          </w:p>
        </w:tc>
        <w:tc>
          <w:tcPr>
            <w:tcW w:w="1092" w:type="pct"/>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结转结余率=结转结余总额/支出</w:t>
            </w:r>
            <w:r>
              <w:rPr>
                <w:rFonts w:hint="eastAsia" w:ascii="宋体" w:hAnsi="宋体" w:cs="宋体"/>
                <w:color w:val="auto"/>
                <w:kern w:val="0"/>
                <w:sz w:val="18"/>
                <w:szCs w:val="18"/>
                <w:highlight w:val="none"/>
                <w:lang w:eastAsia="zh-CN"/>
              </w:rPr>
              <w:t>全年</w:t>
            </w:r>
            <w:r>
              <w:rPr>
                <w:rFonts w:hint="eastAsia" w:ascii="宋体" w:hAnsi="宋体" w:cs="宋体"/>
                <w:color w:val="auto"/>
                <w:kern w:val="0"/>
                <w:sz w:val="18"/>
                <w:szCs w:val="18"/>
                <w:highlight w:val="none"/>
              </w:rPr>
              <w:t>预算数×100%。</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结转结余总额：部门（单位）本年度的结转资金与结余资金之和。</w:t>
            </w:r>
          </w:p>
        </w:tc>
        <w:tc>
          <w:tcPr>
            <w:tcW w:w="1219" w:type="pct"/>
            <w:gridSpan w:val="3"/>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560" w:hRule="atLeast"/>
        </w:trPr>
        <w:tc>
          <w:tcPr>
            <w:tcW w:w="152" w:type="pct"/>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auto"/>
                <w:kern w:val="0"/>
                <w:sz w:val="20"/>
                <w:szCs w:val="20"/>
                <w:highlight w:val="none"/>
              </w:rPr>
            </w:pPr>
          </w:p>
        </w:tc>
        <w:tc>
          <w:tcPr>
            <w:tcW w:w="137" w:type="pct"/>
            <w:tcBorders>
              <w:top w:val="nil"/>
              <w:left w:val="nil"/>
              <w:bottom w:val="single" w:color="auto" w:sz="4" w:space="0"/>
              <w:right w:val="single" w:color="auto" w:sz="4" w:space="0"/>
            </w:tcBorders>
            <w:noWrap/>
            <w:vAlign w:val="center"/>
          </w:tcPr>
          <w:p>
            <w:pPr>
              <w:widowControl/>
              <w:rPr>
                <w:rFonts w:ascii="宋体" w:hAnsi="宋体" w:cs="宋体"/>
                <w:color w:val="auto"/>
                <w:kern w:val="0"/>
                <w:sz w:val="20"/>
                <w:szCs w:val="20"/>
                <w:highlight w:val="none"/>
              </w:rPr>
            </w:pPr>
            <w:r>
              <w:rPr>
                <w:rFonts w:hint="eastAsia" w:ascii="宋体" w:hAnsi="宋体" w:cs="宋体"/>
                <w:color w:val="auto"/>
                <w:kern w:val="0"/>
                <w:sz w:val="20"/>
                <w:szCs w:val="20"/>
                <w:highlight w:val="none"/>
              </w:rPr>
              <w:t>部门预决算差异率（4）</w:t>
            </w:r>
          </w:p>
        </w:tc>
        <w:tc>
          <w:tcPr>
            <w:tcW w:w="298" w:type="pct"/>
            <w:gridSpan w:val="2"/>
            <w:tcBorders>
              <w:top w:val="single" w:color="auto" w:sz="4" w:space="0"/>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w:t>
            </w:r>
          </w:p>
        </w:tc>
        <w:tc>
          <w:tcPr>
            <w:tcW w:w="649" w:type="pct"/>
            <w:gridSpan w:val="3"/>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auto"/>
                <w:kern w:val="0"/>
                <w:sz w:val="20"/>
                <w:szCs w:val="20"/>
                <w:highlight w:val="none"/>
                <w:lang w:val="en-US" w:eastAsia="zh-CN"/>
              </w:rPr>
            </w:pPr>
          </w:p>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-0.78</w:t>
            </w:r>
            <w:r>
              <w:rPr>
                <w:rFonts w:hint="eastAsia" w:ascii="宋体" w:hAnsi="宋体" w:cs="宋体"/>
                <w:color w:val="auto"/>
                <w:kern w:val="0"/>
                <w:sz w:val="20"/>
                <w:szCs w:val="20"/>
                <w:highlight w:val="none"/>
              </w:rPr>
              <w:t>%</w:t>
            </w:r>
          </w:p>
          <w:p>
            <w:pPr>
              <w:widowControl/>
              <w:jc w:val="center"/>
              <w:rPr>
                <w:rFonts w:ascii="宋体" w:hAnsi="宋体" w:cs="宋体"/>
                <w:color w:val="auto"/>
                <w:kern w:val="0"/>
                <w:sz w:val="20"/>
                <w:szCs w:val="20"/>
                <w:highlight w:val="none"/>
              </w:rPr>
            </w:pPr>
          </w:p>
        </w:tc>
        <w:tc>
          <w:tcPr>
            <w:tcW w:w="1003" w:type="pct"/>
            <w:gridSpan w:val="4"/>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4</w:t>
            </w:r>
          </w:p>
        </w:tc>
        <w:tc>
          <w:tcPr>
            <w:tcW w:w="446" w:type="pct"/>
            <w:gridSpan w:val="4"/>
            <w:tcBorders>
              <w:top w:val="nil"/>
              <w:left w:val="nil"/>
              <w:bottom w:val="single" w:color="auto" w:sz="4" w:space="0"/>
              <w:right w:val="nil"/>
            </w:tcBorders>
            <w:noWrap/>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4　</w:t>
            </w:r>
          </w:p>
        </w:tc>
        <w:tc>
          <w:tcPr>
            <w:tcW w:w="1092" w:type="pct"/>
            <w:gridSpan w:val="3"/>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rPr>
              <w:t>通过年度部门决算与年初部门预算对比，对部门的年度支出情况进行考核，衡量部门预算的约束力。</w:t>
            </w:r>
            <w:r>
              <w:rPr>
                <w:rFonts w:hint="eastAsia" w:ascii="宋体" w:hAnsi="宋体" w:cs="宋体"/>
                <w:color w:val="auto"/>
                <w:kern w:val="0"/>
                <w:sz w:val="18"/>
                <w:szCs w:val="18"/>
                <w:highlight w:val="none"/>
                <w:lang w:eastAsia="zh-CN"/>
              </w:rPr>
              <w:t>年初预算数与全年预算数比较</w:t>
            </w:r>
          </w:p>
        </w:tc>
        <w:tc>
          <w:tcPr>
            <w:tcW w:w="1219" w:type="pct"/>
            <w:gridSpan w:val="3"/>
            <w:tcBorders>
              <w:top w:val="nil"/>
              <w:left w:val="nil"/>
              <w:bottom w:val="single" w:color="auto" w:sz="4" w:space="0"/>
              <w:right w:val="single" w:color="auto" w:sz="4" w:space="0"/>
            </w:tcBorders>
            <w:noWrap/>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238" w:type="pct"/>
            <w:gridSpan w:val="7"/>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003" w:type="pct"/>
            <w:gridSpan w:val="4"/>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446" w:type="pct"/>
            <w:gridSpan w:val="4"/>
            <w:tcBorders>
              <w:top w:val="nil"/>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94.26</w:t>
            </w:r>
          </w:p>
        </w:tc>
        <w:tc>
          <w:tcPr>
            <w:tcW w:w="2311" w:type="pct"/>
            <w:gridSpan w:val="6"/>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spacing w:line="20" w:lineRule="exact"/>
        <w:ind w:left="-21" w:leftChars="-10" w:right="42" w:rightChars="20"/>
      </w:pPr>
    </w:p>
    <w:p/>
    <w:p>
      <w:pPr>
        <w:spacing w:line="600" w:lineRule="exact"/>
        <w:ind w:firstLine="640" w:firstLineChars="200"/>
        <w:rPr>
          <w:rFonts w:ascii="仿宋_GB2312" w:hAnsi="宋体" w:eastAsia="仿宋_GB2312" w:cs="宋体"/>
          <w:color w:val="auto"/>
          <w:kern w:val="0"/>
          <w:sz w:val="32"/>
          <w:szCs w:val="32"/>
          <w:highlight w:val="none"/>
        </w:rPr>
      </w:pPr>
    </w:p>
    <w:p>
      <w:pPr>
        <w:spacing w:line="600" w:lineRule="exact"/>
        <w:ind w:firstLine="640" w:firstLineChars="200"/>
        <w:rPr>
          <w:rFonts w:ascii="仿宋_GB2312" w:hAnsi="宋体" w:eastAsia="仿宋_GB2312" w:cs="宋体"/>
          <w:color w:val="auto"/>
          <w:kern w:val="0"/>
          <w:sz w:val="32"/>
          <w:szCs w:val="32"/>
          <w:highlight w:val="none"/>
        </w:rPr>
      </w:pPr>
    </w:p>
    <w:p>
      <w:pPr>
        <w:spacing w:line="600" w:lineRule="exact"/>
        <w:ind w:firstLine="640" w:firstLineChars="200"/>
        <w:rPr>
          <w:rFonts w:ascii="仿宋_GB2312" w:hAnsi="宋体" w:eastAsia="仿宋_GB2312" w:cs="宋体"/>
          <w:color w:val="auto"/>
          <w:kern w:val="0"/>
          <w:sz w:val="32"/>
          <w:szCs w:val="32"/>
          <w:highlight w:val="none"/>
        </w:rPr>
      </w:pPr>
    </w:p>
    <w:p>
      <w:pPr>
        <w:spacing w:line="600" w:lineRule="exact"/>
        <w:ind w:firstLine="640" w:firstLineChars="200"/>
        <w:rPr>
          <w:rFonts w:ascii="仿宋_GB2312" w:hAnsi="宋体" w:eastAsia="仿宋_GB2312" w:cs="宋体"/>
          <w:color w:val="auto"/>
          <w:kern w:val="0"/>
          <w:sz w:val="32"/>
          <w:szCs w:val="32"/>
          <w:highlight w:val="none"/>
        </w:rPr>
      </w:pPr>
    </w:p>
    <w:p>
      <w:pPr>
        <w:spacing w:line="600" w:lineRule="exact"/>
        <w:ind w:firstLine="640" w:firstLineChars="200"/>
        <w:rPr>
          <w:rFonts w:ascii="仿宋_GB2312" w:hAnsi="宋体" w:eastAsia="仿宋_GB2312" w:cs="宋体"/>
          <w:color w:val="auto"/>
          <w:kern w:val="0"/>
          <w:sz w:val="32"/>
          <w:szCs w:val="32"/>
          <w:highlight w:val="none"/>
        </w:rPr>
      </w:pPr>
    </w:p>
    <w:p>
      <w:pPr>
        <w:spacing w:line="600" w:lineRule="exact"/>
        <w:ind w:firstLine="640" w:firstLineChars="200"/>
        <w:rPr>
          <w:rFonts w:ascii="仿宋_GB2312" w:hAnsi="宋体" w:eastAsia="仿宋_GB2312" w:cs="宋体"/>
          <w:color w:val="auto"/>
          <w:kern w:val="0"/>
          <w:sz w:val="32"/>
          <w:szCs w:val="32"/>
          <w:highlight w:val="none"/>
        </w:rPr>
      </w:pPr>
    </w:p>
    <w:p>
      <w:pPr>
        <w:widowControl/>
        <w:jc w:val="both"/>
        <w:rPr>
          <w:rFonts w:ascii="方正小标宋简体" w:hAnsi="黑体" w:eastAsia="方正小标宋简体" w:cs="宋体"/>
          <w:color w:val="auto"/>
          <w:kern w:val="0"/>
          <w:sz w:val="44"/>
          <w:szCs w:val="44"/>
          <w:highlight w:val="none"/>
        </w:rPr>
        <w:sectPr>
          <w:footerReference r:id="rId3" w:type="default"/>
          <w:pgSz w:w="16838" w:h="11906" w:orient="landscape"/>
          <w:pgMar w:top="1803" w:right="1440" w:bottom="1803" w:left="1440" w:header="851" w:footer="992" w:gutter="0"/>
          <w:pgNumType w:fmt="numberInDash"/>
          <w:cols w:space="0" w:num="1"/>
          <w:rtlGutter w:val="0"/>
          <w:docGrid w:type="lines" w:linePitch="319" w:charSpace="0"/>
        </w:sectPr>
      </w:pPr>
      <w:bookmarkStart w:id="0" w:name="_GoBack"/>
      <w:bookmarkEnd w:id="0"/>
    </w:p>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FZFangSong-Z02">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w:pict>
        <v:shape id="_x0000_s1027" o:spid="_x0000_s1027"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path/>
          <v:fill on="f" focussize="0,0"/>
          <v:stroke on="f" weight="0.5pt" joinstyle="miter"/>
          <v:imagedata o:title=""/>
          <o:lock v:ext="edit"/>
          <v:textbox inset="0mm,0mm,0mm,0mm" style="mso-fit-shape-to-text:t;">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15 -</w:t>
                </w:r>
                <w:r>
                  <w:rPr>
                    <w:rFonts w:ascii="宋体" w:hAnsi="宋体"/>
                    <w:sz w:val="28"/>
                    <w:szCs w:val="28"/>
                  </w:rPr>
                  <w:fldChar w:fldCharType="end"/>
                </w:r>
              </w:p>
            </w:txbxContent>
          </v:textbox>
        </v:shape>
      </w:pic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bordersDoNotSurroundHeader w:val="true"/>
  <w:bordersDoNotSurroundFooter w:val="true"/>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F77F09F4"/>
    <w:rsid w:val="00006BEE"/>
    <w:rsid w:val="0002597E"/>
    <w:rsid w:val="00033C6A"/>
    <w:rsid w:val="00050BEB"/>
    <w:rsid w:val="000516E7"/>
    <w:rsid w:val="0006349B"/>
    <w:rsid w:val="00093F8A"/>
    <w:rsid w:val="000D00B6"/>
    <w:rsid w:val="000D14C8"/>
    <w:rsid w:val="000F1A60"/>
    <w:rsid w:val="0010287D"/>
    <w:rsid w:val="00106500"/>
    <w:rsid w:val="0012395C"/>
    <w:rsid w:val="00125A94"/>
    <w:rsid w:val="00130F67"/>
    <w:rsid w:val="001310E3"/>
    <w:rsid w:val="00131A54"/>
    <w:rsid w:val="00136928"/>
    <w:rsid w:val="00172121"/>
    <w:rsid w:val="001C6432"/>
    <w:rsid w:val="001F4D65"/>
    <w:rsid w:val="001F5DBB"/>
    <w:rsid w:val="00210D13"/>
    <w:rsid w:val="002312A1"/>
    <w:rsid w:val="00244A5E"/>
    <w:rsid w:val="00246150"/>
    <w:rsid w:val="0024715E"/>
    <w:rsid w:val="00255D9E"/>
    <w:rsid w:val="00256103"/>
    <w:rsid w:val="002569E6"/>
    <w:rsid w:val="0025767B"/>
    <w:rsid w:val="00260F6D"/>
    <w:rsid w:val="00262896"/>
    <w:rsid w:val="002713D5"/>
    <w:rsid w:val="00280E24"/>
    <w:rsid w:val="002A2000"/>
    <w:rsid w:val="002D0051"/>
    <w:rsid w:val="002F42C1"/>
    <w:rsid w:val="003158A1"/>
    <w:rsid w:val="003261E7"/>
    <w:rsid w:val="003576B9"/>
    <w:rsid w:val="003753F6"/>
    <w:rsid w:val="00380AC4"/>
    <w:rsid w:val="0039462A"/>
    <w:rsid w:val="003A5E1B"/>
    <w:rsid w:val="003B008E"/>
    <w:rsid w:val="003B1779"/>
    <w:rsid w:val="003E67BC"/>
    <w:rsid w:val="003F735B"/>
    <w:rsid w:val="00407AFF"/>
    <w:rsid w:val="00411859"/>
    <w:rsid w:val="0041639B"/>
    <w:rsid w:val="00416D78"/>
    <w:rsid w:val="00437B44"/>
    <w:rsid w:val="00441EDF"/>
    <w:rsid w:val="0046753E"/>
    <w:rsid w:val="0047342E"/>
    <w:rsid w:val="00487357"/>
    <w:rsid w:val="00495B68"/>
    <w:rsid w:val="004B1067"/>
    <w:rsid w:val="004E44E5"/>
    <w:rsid w:val="004E4B1D"/>
    <w:rsid w:val="00502E8F"/>
    <w:rsid w:val="005074F5"/>
    <w:rsid w:val="00516FED"/>
    <w:rsid w:val="00542DCC"/>
    <w:rsid w:val="00567495"/>
    <w:rsid w:val="0056774E"/>
    <w:rsid w:val="0057054B"/>
    <w:rsid w:val="005B4C4F"/>
    <w:rsid w:val="005D5C33"/>
    <w:rsid w:val="005E35FE"/>
    <w:rsid w:val="005F0638"/>
    <w:rsid w:val="00617847"/>
    <w:rsid w:val="006223B6"/>
    <w:rsid w:val="00645F7A"/>
    <w:rsid w:val="0069736D"/>
    <w:rsid w:val="006A0D9A"/>
    <w:rsid w:val="006A5852"/>
    <w:rsid w:val="006C1178"/>
    <w:rsid w:val="006D446B"/>
    <w:rsid w:val="006D4B3F"/>
    <w:rsid w:val="006F1D54"/>
    <w:rsid w:val="006F3652"/>
    <w:rsid w:val="00732710"/>
    <w:rsid w:val="00737C82"/>
    <w:rsid w:val="00767B4F"/>
    <w:rsid w:val="00770301"/>
    <w:rsid w:val="00772135"/>
    <w:rsid w:val="00773E71"/>
    <w:rsid w:val="0079738E"/>
    <w:rsid w:val="007A3DA1"/>
    <w:rsid w:val="007D0D28"/>
    <w:rsid w:val="007D7034"/>
    <w:rsid w:val="007F2855"/>
    <w:rsid w:val="00805250"/>
    <w:rsid w:val="00851866"/>
    <w:rsid w:val="008705C8"/>
    <w:rsid w:val="00877B37"/>
    <w:rsid w:val="00896FA8"/>
    <w:rsid w:val="008B0DE6"/>
    <w:rsid w:val="008B56C9"/>
    <w:rsid w:val="008C0063"/>
    <w:rsid w:val="008F032E"/>
    <w:rsid w:val="008F3732"/>
    <w:rsid w:val="00901174"/>
    <w:rsid w:val="00902236"/>
    <w:rsid w:val="009266CF"/>
    <w:rsid w:val="00931C07"/>
    <w:rsid w:val="00933C5C"/>
    <w:rsid w:val="0095067B"/>
    <w:rsid w:val="00951F63"/>
    <w:rsid w:val="00952535"/>
    <w:rsid w:val="00960258"/>
    <w:rsid w:val="009811EF"/>
    <w:rsid w:val="009A2484"/>
    <w:rsid w:val="009A4DEA"/>
    <w:rsid w:val="009B2930"/>
    <w:rsid w:val="009B47F8"/>
    <w:rsid w:val="009E1A43"/>
    <w:rsid w:val="00A30CB5"/>
    <w:rsid w:val="00A313F9"/>
    <w:rsid w:val="00A414AE"/>
    <w:rsid w:val="00A46C02"/>
    <w:rsid w:val="00A61D2E"/>
    <w:rsid w:val="00A8238E"/>
    <w:rsid w:val="00A91FA4"/>
    <w:rsid w:val="00A959B2"/>
    <w:rsid w:val="00AB67D0"/>
    <w:rsid w:val="00AC30DF"/>
    <w:rsid w:val="00B37E24"/>
    <w:rsid w:val="00B444D2"/>
    <w:rsid w:val="00B5459C"/>
    <w:rsid w:val="00B5666F"/>
    <w:rsid w:val="00B63B5D"/>
    <w:rsid w:val="00B96D94"/>
    <w:rsid w:val="00BB41EC"/>
    <w:rsid w:val="00BB725C"/>
    <w:rsid w:val="00BE7361"/>
    <w:rsid w:val="00C20FA5"/>
    <w:rsid w:val="00C32878"/>
    <w:rsid w:val="00C35CFB"/>
    <w:rsid w:val="00C67330"/>
    <w:rsid w:val="00C737BE"/>
    <w:rsid w:val="00C83D26"/>
    <w:rsid w:val="00C87FE5"/>
    <w:rsid w:val="00CA3121"/>
    <w:rsid w:val="00CD75A4"/>
    <w:rsid w:val="00CE2EAA"/>
    <w:rsid w:val="00CF0978"/>
    <w:rsid w:val="00D06D59"/>
    <w:rsid w:val="00D57D67"/>
    <w:rsid w:val="00D831A9"/>
    <w:rsid w:val="00D84802"/>
    <w:rsid w:val="00DB567B"/>
    <w:rsid w:val="00DC1E33"/>
    <w:rsid w:val="00E0616A"/>
    <w:rsid w:val="00E2619D"/>
    <w:rsid w:val="00E43ED6"/>
    <w:rsid w:val="00E45CEB"/>
    <w:rsid w:val="00EA5F1D"/>
    <w:rsid w:val="00EC0005"/>
    <w:rsid w:val="00EC5F15"/>
    <w:rsid w:val="00EF56B0"/>
    <w:rsid w:val="00F06A95"/>
    <w:rsid w:val="00F13A1F"/>
    <w:rsid w:val="00F27DAE"/>
    <w:rsid w:val="00F367F9"/>
    <w:rsid w:val="00F8482C"/>
    <w:rsid w:val="00FA0A45"/>
    <w:rsid w:val="00FB0EDC"/>
    <w:rsid w:val="00FB3386"/>
    <w:rsid w:val="00FC31E7"/>
    <w:rsid w:val="0ECF9C51"/>
    <w:rsid w:val="1EBF88BA"/>
    <w:rsid w:val="2BFD75F2"/>
    <w:rsid w:val="35FF2FFA"/>
    <w:rsid w:val="36BFD4EC"/>
    <w:rsid w:val="37173543"/>
    <w:rsid w:val="379E2BF3"/>
    <w:rsid w:val="3FDC58D9"/>
    <w:rsid w:val="3FF76880"/>
    <w:rsid w:val="4DB62169"/>
    <w:rsid w:val="5ABFCBDD"/>
    <w:rsid w:val="777EE2E9"/>
    <w:rsid w:val="78AF7C79"/>
    <w:rsid w:val="7AB7FF50"/>
    <w:rsid w:val="7BFEB0DB"/>
    <w:rsid w:val="7DF6858C"/>
    <w:rsid w:val="7EBDD1F4"/>
    <w:rsid w:val="7F6B0512"/>
    <w:rsid w:val="7F7ECD21"/>
    <w:rsid w:val="7FAEFAEE"/>
    <w:rsid w:val="7FD7A52F"/>
    <w:rsid w:val="7FFF3306"/>
    <w:rsid w:val="9FEE6BB8"/>
    <w:rsid w:val="B3DFA827"/>
    <w:rsid w:val="B3FBB058"/>
    <w:rsid w:val="B5BD11FE"/>
    <w:rsid w:val="BBEEF296"/>
    <w:rsid w:val="BDBD8C3B"/>
    <w:rsid w:val="BF7B38EF"/>
    <w:rsid w:val="BFBF23E9"/>
    <w:rsid w:val="BFCCA0B7"/>
    <w:rsid w:val="C36F37B1"/>
    <w:rsid w:val="CEFD3F3D"/>
    <w:rsid w:val="D5EBDFC4"/>
    <w:rsid w:val="DBFDB99B"/>
    <w:rsid w:val="DDBF4103"/>
    <w:rsid w:val="DEFA29DF"/>
    <w:rsid w:val="DF7E0247"/>
    <w:rsid w:val="DFF8DD38"/>
    <w:rsid w:val="E3F71357"/>
    <w:rsid w:val="E9BFD0D3"/>
    <w:rsid w:val="EA3F77F2"/>
    <w:rsid w:val="EDB8F44D"/>
    <w:rsid w:val="EEFE5989"/>
    <w:rsid w:val="EFCF3EAE"/>
    <w:rsid w:val="F5B764A2"/>
    <w:rsid w:val="F77F09F4"/>
    <w:rsid w:val="FB69B8A8"/>
    <w:rsid w:val="FBAF3F0C"/>
    <w:rsid w:val="FEAF9A49"/>
    <w:rsid w:val="FF98CE20"/>
    <w:rsid w:val="FFD7BFFC"/>
    <w:rsid w:val="FFFBE6C9"/>
    <w:rsid w:val="FFFF6AB7"/>
    <w:rsid w:val="FFFFA8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4">
    <w:name w:val="Normal Indent"/>
    <w:basedOn w:val="1"/>
    <w:next w:val="5"/>
    <w:qFormat/>
    <w:uiPriority w:val="0"/>
    <w:pPr>
      <w:ind w:firstLine="880" w:firstLineChars="200"/>
    </w:pPr>
    <w:rPr>
      <w:rFonts w:ascii="Calibri" w:hAnsi="Calibri"/>
    </w:rPr>
  </w:style>
  <w:style w:type="paragraph" w:styleId="5">
    <w:name w:val="Body Text Indent"/>
    <w:basedOn w:val="1"/>
    <w:next w:val="4"/>
    <w:unhideWhenUsed/>
    <w:qFormat/>
    <w:uiPriority w:val="99"/>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unhideWhenUsed/>
    <w:qFormat/>
    <w:uiPriority w:val="99"/>
    <w:rPr>
      <w:sz w:val="24"/>
    </w:rPr>
  </w:style>
  <w:style w:type="character" w:styleId="12">
    <w:name w:val="page number"/>
    <w:basedOn w:val="11"/>
    <w:qFormat/>
    <w:uiPriority w:val="0"/>
  </w:style>
  <w:style w:type="paragraph" w:customStyle="1" w:styleId="13">
    <w:name w:val="列出段落1"/>
    <w:basedOn w:val="1"/>
    <w:qFormat/>
    <w:uiPriority w:val="34"/>
    <w:pPr>
      <w:ind w:firstLine="420" w:firstLineChars="200"/>
    </w:pPr>
    <w:rPr>
      <w:rFonts w:ascii="Calibri" w:hAnsi="Calibri" w:cs="黑体"/>
      <w:szCs w:val="22"/>
    </w:rPr>
  </w:style>
  <w:style w:type="paragraph" w:styleId="14">
    <w:name w:val="List Paragraph"/>
    <w:basedOn w:val="1"/>
    <w:unhideWhenUsed/>
    <w:qFormat/>
    <w:uiPriority w:val="99"/>
    <w:pPr>
      <w:ind w:firstLine="420" w:firstLineChars="200"/>
    </w:pPr>
  </w:style>
  <w:style w:type="paragraph" w:customStyle="1" w:styleId="15">
    <w:name w:val="Default"/>
    <w:basedOn w:val="1"/>
    <w:qFormat/>
    <w:uiPriority w:val="99"/>
    <w:pPr>
      <w:autoSpaceDE w:val="0"/>
      <w:autoSpaceDN w:val="0"/>
      <w:adjustRightInd w:val="0"/>
      <w:jc w:val="left"/>
    </w:pPr>
    <w:rPr>
      <w:rFonts w:ascii="FZFangSong-Z02" w:hAnsi="FZFangSong-Z02" w:cs="宋体"/>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1590</Words>
  <Characters>9066</Characters>
  <Lines>75</Lines>
  <Paragraphs>21</Paragraphs>
  <TotalTime>4</TotalTime>
  <ScaleCrop>false</ScaleCrop>
  <LinksUpToDate>false</LinksUpToDate>
  <CharactersWithSpaces>10635</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2022-03-13T03:16:00Z</dcterms:created>
  <dc:creator>user</dc:creator>
  <cp:lastModifiedBy>user</cp:lastModifiedBy>
  <cp:lastPrinted>2024-05-18T09:15:00Z</cp:lastPrinted>
  <dcterms:modified xsi:type="dcterms:W3CDTF">2024-08-14T10:12:42Z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ies>
</file>