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AE3" w:rsidRDefault="00444AE3">
      <w:pPr>
        <w:tabs>
          <w:tab w:val="center" w:pos="4153"/>
        </w:tabs>
        <w:adjustRightInd w:val="0"/>
        <w:snapToGrid w:val="0"/>
        <w:spacing w:line="360" w:lineRule="auto"/>
        <w:jc w:val="center"/>
        <w:rPr>
          <w:rFonts w:ascii="楷体" w:eastAsia="楷体" w:hAnsi="楷体"/>
          <w:b/>
          <w:sz w:val="36"/>
          <w:szCs w:val="36"/>
        </w:rPr>
      </w:pPr>
      <w:bookmarkStart w:id="0" w:name="_Hlk102901000"/>
    </w:p>
    <w:p w:rsidR="00444AE3" w:rsidRDefault="00444AE3">
      <w:pPr>
        <w:tabs>
          <w:tab w:val="center" w:pos="4153"/>
        </w:tabs>
        <w:adjustRightInd w:val="0"/>
        <w:snapToGrid w:val="0"/>
        <w:spacing w:line="360" w:lineRule="auto"/>
        <w:jc w:val="center"/>
        <w:rPr>
          <w:rFonts w:ascii="楷体" w:eastAsia="楷体" w:hAnsi="楷体"/>
          <w:b/>
          <w:sz w:val="36"/>
          <w:szCs w:val="36"/>
        </w:rPr>
      </w:pPr>
    </w:p>
    <w:p w:rsidR="00444AE3" w:rsidRDefault="00C93113">
      <w:pPr>
        <w:tabs>
          <w:tab w:val="center" w:pos="4153"/>
        </w:tabs>
        <w:adjustRightInd w:val="0"/>
        <w:snapToGrid w:val="0"/>
        <w:spacing w:line="360" w:lineRule="auto"/>
        <w:jc w:val="center"/>
        <w:rPr>
          <w:rFonts w:ascii="宋体" w:hAnsi="宋体"/>
          <w:b/>
          <w:sz w:val="44"/>
          <w:szCs w:val="44"/>
          <w:lang w:val="zh-CN"/>
        </w:rPr>
      </w:pPr>
      <w:r>
        <w:rPr>
          <w:rFonts w:ascii="宋体" w:hAnsi="宋体" w:hint="eastAsia"/>
          <w:b/>
          <w:sz w:val="44"/>
          <w:szCs w:val="44"/>
        </w:rPr>
        <w:t>北京市机关事务管理中心</w:t>
      </w:r>
    </w:p>
    <w:bookmarkEnd w:id="0"/>
    <w:p w:rsidR="00444AE3" w:rsidRDefault="00C93113">
      <w:pPr>
        <w:adjustRightInd w:val="0"/>
        <w:snapToGrid w:val="0"/>
        <w:spacing w:line="360" w:lineRule="auto"/>
        <w:jc w:val="center"/>
        <w:rPr>
          <w:rFonts w:ascii="宋体" w:hAnsi="宋体"/>
          <w:b/>
          <w:sz w:val="44"/>
          <w:szCs w:val="44"/>
        </w:rPr>
      </w:pPr>
      <w:r>
        <w:rPr>
          <w:rFonts w:ascii="宋体" w:hAnsi="宋体"/>
          <w:b/>
          <w:sz w:val="44"/>
          <w:szCs w:val="44"/>
        </w:rPr>
        <w:t>202</w:t>
      </w:r>
      <w:r>
        <w:rPr>
          <w:rFonts w:ascii="宋体" w:hAnsi="宋体" w:hint="eastAsia"/>
          <w:b/>
          <w:sz w:val="44"/>
          <w:szCs w:val="44"/>
        </w:rPr>
        <w:t>3年度部门整</w:t>
      </w:r>
      <w:bookmarkStart w:id="1" w:name="_GoBack"/>
      <w:bookmarkEnd w:id="1"/>
      <w:r>
        <w:rPr>
          <w:rFonts w:ascii="宋体" w:hAnsi="宋体" w:hint="eastAsia"/>
          <w:b/>
          <w:sz w:val="44"/>
          <w:szCs w:val="44"/>
        </w:rPr>
        <w:t>体绩效评价报告</w:t>
      </w:r>
    </w:p>
    <w:p w:rsidR="00444AE3" w:rsidRDefault="00444AE3" w:rsidP="007B53CE">
      <w:pPr>
        <w:adjustRightInd w:val="0"/>
        <w:snapToGrid w:val="0"/>
        <w:spacing w:beforeLines="50" w:afterLines="50" w:line="360" w:lineRule="auto"/>
        <w:jc w:val="center"/>
        <w:rPr>
          <w:rFonts w:eastAsia="黑体"/>
          <w:sz w:val="52"/>
          <w:szCs w:val="36"/>
        </w:rPr>
      </w:pPr>
    </w:p>
    <w:p w:rsidR="00444AE3" w:rsidRDefault="00444AE3" w:rsidP="007B53CE">
      <w:pPr>
        <w:adjustRightInd w:val="0"/>
        <w:snapToGrid w:val="0"/>
        <w:spacing w:beforeLines="50" w:afterLines="50" w:line="360" w:lineRule="auto"/>
        <w:jc w:val="center"/>
        <w:rPr>
          <w:rFonts w:eastAsia="黑体"/>
          <w:sz w:val="52"/>
          <w:szCs w:val="36"/>
        </w:rPr>
      </w:pPr>
    </w:p>
    <w:p w:rsidR="00444AE3" w:rsidRDefault="00444AE3" w:rsidP="007B53CE">
      <w:pPr>
        <w:adjustRightInd w:val="0"/>
        <w:snapToGrid w:val="0"/>
        <w:spacing w:beforeLines="50" w:afterLines="50" w:line="360" w:lineRule="auto"/>
        <w:jc w:val="center"/>
        <w:rPr>
          <w:rFonts w:eastAsia="黑体"/>
          <w:sz w:val="52"/>
          <w:szCs w:val="36"/>
        </w:rPr>
      </w:pPr>
    </w:p>
    <w:p w:rsidR="00444AE3" w:rsidRDefault="00444AE3" w:rsidP="007B53CE">
      <w:pPr>
        <w:adjustRightInd w:val="0"/>
        <w:snapToGrid w:val="0"/>
        <w:spacing w:beforeLines="50" w:afterLines="50" w:line="360" w:lineRule="auto"/>
        <w:jc w:val="center"/>
        <w:rPr>
          <w:rFonts w:eastAsia="黑体"/>
          <w:sz w:val="52"/>
          <w:szCs w:val="36"/>
        </w:rPr>
      </w:pPr>
    </w:p>
    <w:p w:rsidR="00444AE3" w:rsidRDefault="00444AE3" w:rsidP="007B53CE">
      <w:pPr>
        <w:adjustRightInd w:val="0"/>
        <w:snapToGrid w:val="0"/>
        <w:spacing w:beforeLines="50" w:afterLines="50" w:line="360" w:lineRule="auto"/>
        <w:jc w:val="center"/>
        <w:rPr>
          <w:rFonts w:eastAsia="黑体"/>
          <w:sz w:val="52"/>
          <w:szCs w:val="36"/>
        </w:rPr>
      </w:pPr>
    </w:p>
    <w:p w:rsidR="00444AE3" w:rsidRDefault="00444AE3" w:rsidP="007B53CE">
      <w:pPr>
        <w:adjustRightInd w:val="0"/>
        <w:snapToGrid w:val="0"/>
        <w:spacing w:beforeLines="50" w:afterLines="50" w:line="360" w:lineRule="auto"/>
        <w:jc w:val="center"/>
        <w:rPr>
          <w:rFonts w:eastAsia="黑体"/>
          <w:sz w:val="52"/>
          <w:szCs w:val="36"/>
        </w:rPr>
      </w:pPr>
    </w:p>
    <w:p w:rsidR="00444AE3" w:rsidRDefault="00444AE3" w:rsidP="007B53CE">
      <w:pPr>
        <w:adjustRightInd w:val="0"/>
        <w:snapToGrid w:val="0"/>
        <w:spacing w:beforeLines="50" w:afterLines="50" w:line="360" w:lineRule="auto"/>
        <w:jc w:val="center"/>
        <w:rPr>
          <w:rFonts w:eastAsia="黑体"/>
          <w:sz w:val="52"/>
          <w:szCs w:val="36"/>
        </w:rPr>
      </w:pPr>
    </w:p>
    <w:p w:rsidR="00444AE3" w:rsidRDefault="00444AE3">
      <w:pPr>
        <w:adjustRightInd w:val="0"/>
        <w:snapToGrid w:val="0"/>
        <w:spacing w:line="360" w:lineRule="auto"/>
        <w:jc w:val="center"/>
        <w:rPr>
          <w:rFonts w:ascii="仿宋_GB2312" w:eastAsia="仿宋_GB2312" w:hAnsi="楷体" w:hint="eastAsia"/>
          <w:b/>
          <w:sz w:val="32"/>
          <w:szCs w:val="32"/>
        </w:rPr>
      </w:pPr>
    </w:p>
    <w:p w:rsidR="007B53CE" w:rsidRDefault="007B53CE">
      <w:pPr>
        <w:adjustRightInd w:val="0"/>
        <w:snapToGrid w:val="0"/>
        <w:spacing w:line="360" w:lineRule="auto"/>
        <w:jc w:val="center"/>
        <w:rPr>
          <w:rFonts w:ascii="楷体" w:eastAsia="楷体" w:hAnsi="楷体"/>
          <w:b/>
          <w:sz w:val="20"/>
          <w:szCs w:val="20"/>
          <w:lang w:val="zh-CN"/>
        </w:rPr>
      </w:pPr>
    </w:p>
    <w:p w:rsidR="00444AE3" w:rsidRDefault="00C93113">
      <w:pPr>
        <w:adjustRightInd w:val="0"/>
        <w:snapToGrid w:val="0"/>
        <w:spacing w:line="360" w:lineRule="auto"/>
        <w:jc w:val="center"/>
        <w:rPr>
          <w:rFonts w:ascii="仿宋_GB2312" w:eastAsia="仿宋_GB2312" w:hAnsi="仿宋"/>
          <w:b/>
          <w:sz w:val="32"/>
          <w:szCs w:val="32"/>
          <w:lang w:val="zh-CN"/>
        </w:rPr>
      </w:pPr>
      <w:r>
        <w:rPr>
          <w:rFonts w:ascii="仿宋_GB2312" w:eastAsia="仿宋_GB2312" w:hAnsi="仿宋"/>
          <w:b/>
          <w:sz w:val="32"/>
          <w:szCs w:val="32"/>
          <w:lang w:val="zh-CN"/>
        </w:rPr>
        <w:t>202</w:t>
      </w:r>
      <w:r>
        <w:rPr>
          <w:rFonts w:ascii="仿宋_GB2312" w:eastAsia="仿宋_GB2312" w:hAnsi="仿宋" w:hint="eastAsia"/>
          <w:b/>
          <w:sz w:val="32"/>
          <w:szCs w:val="32"/>
        </w:rPr>
        <w:t>4</w:t>
      </w:r>
      <w:r>
        <w:rPr>
          <w:rFonts w:ascii="仿宋_GB2312" w:eastAsia="仿宋_GB2312" w:hAnsi="仿宋" w:hint="eastAsia"/>
          <w:b/>
          <w:sz w:val="32"/>
          <w:szCs w:val="32"/>
          <w:lang w:val="zh-CN"/>
        </w:rPr>
        <w:t>年</w:t>
      </w:r>
      <w:r>
        <w:rPr>
          <w:rFonts w:ascii="仿宋_GB2312" w:eastAsia="仿宋_GB2312" w:hAnsi="仿宋"/>
          <w:b/>
          <w:sz w:val="32"/>
          <w:szCs w:val="32"/>
        </w:rPr>
        <w:t>5</w:t>
      </w:r>
      <w:r>
        <w:rPr>
          <w:rFonts w:ascii="仿宋_GB2312" w:eastAsia="仿宋_GB2312" w:hAnsi="仿宋" w:hint="eastAsia"/>
          <w:b/>
          <w:sz w:val="32"/>
          <w:szCs w:val="32"/>
          <w:lang w:val="zh-CN"/>
        </w:rPr>
        <w:t>月</w:t>
      </w:r>
    </w:p>
    <w:p w:rsidR="00444AE3" w:rsidRDefault="00C93113">
      <w:pPr>
        <w:spacing w:line="560" w:lineRule="exact"/>
        <w:jc w:val="center"/>
        <w:rPr>
          <w:rFonts w:eastAsia="黑体"/>
          <w:sz w:val="36"/>
          <w:szCs w:val="36"/>
        </w:rPr>
        <w:sectPr w:rsidR="00444AE3">
          <w:footerReference w:type="default" r:id="rId7"/>
          <w:pgSz w:w="11906" w:h="16838"/>
          <w:pgMar w:top="1440" w:right="1800" w:bottom="1440" w:left="1800" w:header="851" w:footer="992" w:gutter="0"/>
          <w:pgNumType w:fmt="numberInDash"/>
          <w:cols w:space="425"/>
          <w:docGrid w:type="lines" w:linePitch="312"/>
        </w:sectPr>
      </w:pPr>
      <w:r>
        <w:rPr>
          <w:rFonts w:eastAsia="黑体"/>
          <w:sz w:val="36"/>
          <w:szCs w:val="36"/>
        </w:rPr>
        <w:br w:type="page"/>
      </w:r>
    </w:p>
    <w:p w:rsidR="00444AE3" w:rsidRDefault="00C93113">
      <w:pPr>
        <w:spacing w:line="360" w:lineRule="auto"/>
        <w:jc w:val="center"/>
        <w:rPr>
          <w:rFonts w:ascii="黑体" w:eastAsia="黑体" w:hAnsi="黑体"/>
          <w:sz w:val="32"/>
          <w:szCs w:val="32"/>
        </w:rPr>
      </w:pPr>
      <w:r>
        <w:rPr>
          <w:rFonts w:ascii="黑体" w:eastAsia="黑体" w:hAnsi="黑体" w:hint="eastAsia"/>
          <w:sz w:val="32"/>
          <w:szCs w:val="32"/>
        </w:rPr>
        <w:lastRenderedPageBreak/>
        <w:t>目 录</w:t>
      </w:r>
    </w:p>
    <w:p w:rsidR="00444AE3" w:rsidRDefault="00444AE3">
      <w:pPr>
        <w:adjustRightInd w:val="0"/>
        <w:snapToGrid w:val="0"/>
        <w:spacing w:line="560" w:lineRule="exact"/>
        <w:rPr>
          <w:rFonts w:ascii="仿宋_GB2312" w:eastAsia="仿宋_GB2312" w:hAnsi="华文中宋"/>
          <w:sz w:val="20"/>
          <w:szCs w:val="20"/>
        </w:rPr>
      </w:pPr>
    </w:p>
    <w:p w:rsidR="00444AE3" w:rsidRDefault="00647007">
      <w:pPr>
        <w:pStyle w:val="1"/>
        <w:tabs>
          <w:tab w:val="clear" w:pos="8296"/>
          <w:tab w:val="right" w:leader="dot" w:pos="8306"/>
        </w:tabs>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TOC \o "1-2" \h \z \u </w:instrText>
      </w:r>
      <w:r>
        <w:rPr>
          <w:rFonts w:ascii="仿宋_GB2312" w:eastAsia="仿宋_GB2312" w:hAnsi="仿宋_GB2312" w:cs="仿宋_GB2312" w:hint="eastAsia"/>
          <w:sz w:val="32"/>
          <w:szCs w:val="32"/>
        </w:rPr>
        <w:fldChar w:fldCharType="separate"/>
      </w:r>
      <w:hyperlink w:anchor="_Toc31725" w:history="1">
        <w:r w:rsidR="00C93113">
          <w:rPr>
            <w:rFonts w:ascii="仿宋_GB2312" w:eastAsia="仿宋_GB2312" w:hAnsi="仿宋_GB2312" w:cs="仿宋_GB2312" w:hint="eastAsia"/>
            <w:kern w:val="0"/>
            <w:sz w:val="32"/>
            <w:szCs w:val="32"/>
          </w:rPr>
          <w:t>一、部门概况</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_Toc31725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4401" w:history="1">
        <w:r w:rsidR="00C93113">
          <w:rPr>
            <w:rFonts w:ascii="仿宋_GB2312" w:eastAsia="仿宋_GB2312" w:hAnsi="仿宋_GB2312" w:cs="仿宋_GB2312" w:hint="eastAsia"/>
            <w:sz w:val="32"/>
            <w:szCs w:val="32"/>
          </w:rPr>
          <w:t>（一）机构设置及职责工作任务情况</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_Toc24401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3766" w:history="1">
        <w:r w:rsidR="00C93113">
          <w:rPr>
            <w:rFonts w:ascii="仿宋_GB2312" w:eastAsia="仿宋_GB2312" w:hAnsi="仿宋_GB2312" w:cs="仿宋_GB2312" w:hint="eastAsia"/>
            <w:sz w:val="32"/>
            <w:szCs w:val="32"/>
          </w:rPr>
          <w:t>（二）部门整体绩效目标设立情况</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_Toc3766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fldChar w:fldCharType="end"/>
        </w:r>
      </w:hyperlink>
    </w:p>
    <w:p w:rsidR="00444AE3" w:rsidRDefault="00647007">
      <w:pPr>
        <w:pStyle w:val="1"/>
        <w:tabs>
          <w:tab w:val="clear" w:pos="8296"/>
          <w:tab w:val="right" w:leader="dot" w:pos="8306"/>
        </w:tabs>
        <w:rPr>
          <w:rFonts w:ascii="仿宋_GB2312" w:eastAsia="仿宋_GB2312" w:hAnsi="仿宋_GB2312" w:cs="仿宋_GB2312"/>
          <w:sz w:val="32"/>
          <w:szCs w:val="32"/>
        </w:rPr>
      </w:pPr>
      <w:hyperlink w:anchor="_Toc582" w:history="1">
        <w:r w:rsidR="00C93113">
          <w:rPr>
            <w:rFonts w:ascii="仿宋_GB2312" w:eastAsia="仿宋_GB2312" w:hAnsi="仿宋_GB2312" w:cs="仿宋_GB2312" w:hint="eastAsia"/>
            <w:kern w:val="0"/>
            <w:sz w:val="32"/>
            <w:szCs w:val="32"/>
          </w:rPr>
          <w:t>二、当年预算执行情况</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_Toc582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fldChar w:fldCharType="end"/>
        </w:r>
      </w:hyperlink>
    </w:p>
    <w:p w:rsidR="00444AE3" w:rsidRDefault="00647007">
      <w:pPr>
        <w:pStyle w:val="1"/>
        <w:tabs>
          <w:tab w:val="clear" w:pos="8296"/>
          <w:tab w:val="right" w:leader="dot" w:pos="8306"/>
        </w:tabs>
        <w:rPr>
          <w:rFonts w:ascii="仿宋_GB2312" w:eastAsia="仿宋_GB2312" w:hAnsi="仿宋_GB2312" w:cs="仿宋_GB2312"/>
          <w:sz w:val="32"/>
          <w:szCs w:val="32"/>
        </w:rPr>
      </w:pPr>
      <w:hyperlink w:anchor="_Toc14095" w:history="1">
        <w:r w:rsidR="00C93113">
          <w:rPr>
            <w:rFonts w:ascii="仿宋_GB2312" w:eastAsia="仿宋_GB2312" w:hAnsi="仿宋_GB2312" w:cs="仿宋_GB2312" w:hint="eastAsia"/>
            <w:kern w:val="0"/>
            <w:sz w:val="32"/>
            <w:szCs w:val="32"/>
          </w:rPr>
          <w:t>三、整体绩效目标实现情况</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_Toc14095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7709" w:history="1">
        <w:r w:rsidR="00C93113">
          <w:rPr>
            <w:rFonts w:ascii="仿宋_GB2312" w:eastAsia="仿宋_GB2312" w:hAnsi="仿宋_GB2312" w:cs="仿宋_GB2312" w:hint="eastAsia"/>
            <w:sz w:val="32"/>
            <w:szCs w:val="32"/>
          </w:rPr>
          <w:t>（一）产出完成情况分析</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_Toc27709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3144" w:history="1">
        <w:r w:rsidR="00C93113">
          <w:rPr>
            <w:rFonts w:ascii="仿宋_GB2312" w:eastAsia="仿宋_GB2312" w:hAnsi="仿宋_GB2312" w:cs="仿宋_GB2312" w:hint="eastAsia"/>
            <w:sz w:val="32"/>
            <w:szCs w:val="32"/>
          </w:rPr>
          <w:t>（二）效果实现情况分析</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_Toc3144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fldChar w:fldCharType="end"/>
        </w:r>
      </w:hyperlink>
    </w:p>
    <w:p w:rsidR="00444AE3" w:rsidRDefault="00647007">
      <w:pPr>
        <w:pStyle w:val="1"/>
        <w:tabs>
          <w:tab w:val="clear" w:pos="8296"/>
          <w:tab w:val="right" w:leader="dot" w:pos="8306"/>
        </w:tabs>
        <w:rPr>
          <w:rFonts w:ascii="仿宋_GB2312" w:eastAsia="仿宋_GB2312" w:hAnsi="仿宋_GB2312" w:cs="仿宋_GB2312"/>
          <w:sz w:val="32"/>
          <w:szCs w:val="32"/>
        </w:rPr>
      </w:pPr>
      <w:hyperlink w:anchor="_Toc32471" w:history="1">
        <w:r w:rsidR="00C93113">
          <w:rPr>
            <w:rFonts w:ascii="仿宋_GB2312" w:eastAsia="仿宋_GB2312" w:hAnsi="仿宋_GB2312" w:cs="仿宋_GB2312" w:hint="eastAsia"/>
            <w:kern w:val="0"/>
            <w:sz w:val="32"/>
            <w:szCs w:val="32"/>
          </w:rPr>
          <w:t>四、预算管理情况分析</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_Toc32471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15052" w:history="1">
        <w:r w:rsidR="00C93113">
          <w:rPr>
            <w:rFonts w:ascii="仿宋_GB2312" w:eastAsia="仿宋_GB2312" w:hAnsi="仿宋_GB2312" w:cs="仿宋_GB2312" w:hint="eastAsia"/>
            <w:sz w:val="32"/>
            <w:szCs w:val="32"/>
          </w:rPr>
          <w:t>（一）财务管理</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_Toc15052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6869" w:history="1">
        <w:r w:rsidR="00C93113">
          <w:rPr>
            <w:rFonts w:ascii="仿宋_GB2312" w:eastAsia="仿宋_GB2312" w:hAnsi="仿宋_GB2312" w:cs="仿宋_GB2312" w:hint="eastAsia"/>
            <w:sz w:val="32"/>
            <w:szCs w:val="32"/>
          </w:rPr>
          <w:t>（二）资产管理</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_Toc26869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8591" w:history="1">
        <w:r w:rsidR="00C93113">
          <w:rPr>
            <w:rFonts w:ascii="仿宋_GB2312" w:eastAsia="仿宋_GB2312" w:hAnsi="仿宋_GB2312" w:cs="仿宋_GB2312" w:hint="eastAsia"/>
            <w:sz w:val="32"/>
            <w:szCs w:val="32"/>
          </w:rPr>
          <w:t>（三）绩效管理</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_Toc8591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13040" w:history="1">
        <w:r w:rsidR="00C93113">
          <w:rPr>
            <w:rFonts w:ascii="仿宋_GB2312" w:eastAsia="仿宋_GB2312" w:hAnsi="仿宋_GB2312" w:cs="仿宋_GB2312" w:hint="eastAsia"/>
            <w:sz w:val="32"/>
            <w:szCs w:val="32"/>
          </w:rPr>
          <w:t>（四）结转结余率</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_Toc13040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32757" w:history="1">
        <w:r w:rsidR="00C93113">
          <w:rPr>
            <w:rFonts w:ascii="仿宋_GB2312" w:eastAsia="仿宋_GB2312" w:hAnsi="仿宋_GB2312" w:cs="仿宋_GB2312" w:hint="eastAsia"/>
            <w:sz w:val="32"/>
            <w:szCs w:val="32"/>
          </w:rPr>
          <w:t>（五）部门预决算差异率</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_Toc32757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fldChar w:fldCharType="end"/>
        </w:r>
      </w:hyperlink>
    </w:p>
    <w:p w:rsidR="00444AE3" w:rsidRDefault="00647007">
      <w:pPr>
        <w:pStyle w:val="1"/>
        <w:tabs>
          <w:tab w:val="clear" w:pos="8296"/>
          <w:tab w:val="right" w:leader="dot" w:pos="8306"/>
        </w:tabs>
        <w:rPr>
          <w:rFonts w:ascii="仿宋_GB2312" w:eastAsia="仿宋_GB2312" w:hAnsi="仿宋_GB2312" w:cs="仿宋_GB2312"/>
          <w:sz w:val="32"/>
          <w:szCs w:val="32"/>
        </w:rPr>
      </w:pPr>
      <w:hyperlink w:anchor="_Toc15706" w:history="1">
        <w:r w:rsidR="00C93113">
          <w:rPr>
            <w:rFonts w:ascii="仿宋_GB2312" w:eastAsia="仿宋_GB2312" w:hAnsi="仿宋_GB2312" w:cs="仿宋_GB2312" w:hint="eastAsia"/>
            <w:sz w:val="32"/>
            <w:szCs w:val="32"/>
          </w:rPr>
          <w:t>五、总体评价结论</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_Toc15706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4574" w:history="1">
        <w:r w:rsidR="00C93113">
          <w:rPr>
            <w:rFonts w:ascii="仿宋_GB2312" w:eastAsia="仿宋_GB2312" w:hAnsi="仿宋_GB2312" w:cs="仿宋_GB2312" w:hint="eastAsia"/>
            <w:sz w:val="32"/>
            <w:szCs w:val="32"/>
          </w:rPr>
          <w:t>（一）评价得分情况</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_Toc24574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fldChar w:fldCharType="end"/>
        </w:r>
      </w:hyperlink>
    </w:p>
    <w:p w:rsidR="00444AE3" w:rsidRDefault="00647007">
      <w:pPr>
        <w:pStyle w:val="2"/>
        <w:tabs>
          <w:tab w:val="right" w:leader="dot" w:pos="8306"/>
        </w:tabs>
        <w:adjustRightInd w:val="0"/>
        <w:snapToGrid w:val="0"/>
        <w:spacing w:line="360" w:lineRule="auto"/>
        <w:ind w:leftChars="0" w:left="0"/>
        <w:rPr>
          <w:rFonts w:ascii="仿宋_GB2312" w:eastAsia="仿宋_GB2312" w:hAnsi="仿宋_GB2312" w:cs="仿宋_GB2312"/>
          <w:sz w:val="32"/>
          <w:szCs w:val="32"/>
        </w:rPr>
      </w:pPr>
      <w:hyperlink w:anchor="_Toc20233" w:history="1">
        <w:r w:rsidR="00C93113">
          <w:rPr>
            <w:rFonts w:ascii="仿宋_GB2312" w:eastAsia="仿宋_GB2312" w:hAnsi="仿宋_GB2312" w:cs="仿宋_GB2312" w:hint="eastAsia"/>
            <w:sz w:val="32"/>
            <w:szCs w:val="32"/>
          </w:rPr>
          <w:t>（二）存在的问题及原因分析</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_Toc20233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fldChar w:fldCharType="end"/>
        </w:r>
      </w:hyperlink>
    </w:p>
    <w:p w:rsidR="00444AE3" w:rsidRDefault="00647007">
      <w:pPr>
        <w:pStyle w:val="1"/>
        <w:tabs>
          <w:tab w:val="clear" w:pos="8296"/>
          <w:tab w:val="right" w:leader="dot" w:pos="8306"/>
        </w:tabs>
        <w:rPr>
          <w:rFonts w:ascii="仿宋_GB2312" w:eastAsia="仿宋_GB2312" w:hAnsi="仿宋_GB2312" w:cs="仿宋_GB2312"/>
          <w:sz w:val="32"/>
          <w:szCs w:val="32"/>
        </w:rPr>
      </w:pPr>
      <w:hyperlink w:anchor="_Toc1717" w:history="1">
        <w:r w:rsidR="00C93113">
          <w:rPr>
            <w:rFonts w:ascii="仿宋_GB2312" w:eastAsia="仿宋_GB2312" w:hAnsi="仿宋_GB2312" w:cs="仿宋_GB2312" w:hint="eastAsia"/>
            <w:kern w:val="0"/>
            <w:sz w:val="32"/>
            <w:szCs w:val="32"/>
          </w:rPr>
          <w:t>六、措施建议</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_Toc1717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fldChar w:fldCharType="end"/>
        </w:r>
      </w:hyperlink>
    </w:p>
    <w:p w:rsidR="00444AE3" w:rsidRDefault="00647007">
      <w:pPr>
        <w:pStyle w:val="1"/>
        <w:tabs>
          <w:tab w:val="clear" w:pos="8296"/>
          <w:tab w:val="right" w:leader="dot" w:pos="8306"/>
        </w:tabs>
        <w:rPr>
          <w:rFonts w:ascii="仿宋_GB2312" w:eastAsia="仿宋_GB2312" w:hAnsi="仿宋_GB2312" w:cs="仿宋_GB2312"/>
          <w:sz w:val="32"/>
          <w:szCs w:val="32"/>
        </w:rPr>
      </w:pPr>
      <w:hyperlink w:anchor="_Toc29755" w:history="1">
        <w:r w:rsidR="00C93113">
          <w:rPr>
            <w:rFonts w:ascii="仿宋_GB2312" w:eastAsia="仿宋_GB2312" w:hAnsi="仿宋_GB2312" w:cs="仿宋_GB2312" w:hint="eastAsia"/>
            <w:kern w:val="0"/>
            <w:sz w:val="32"/>
            <w:szCs w:val="32"/>
          </w:rPr>
          <w:t>七、附件</w:t>
        </w:r>
        <w:r w:rsidR="00C93113">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C93113">
          <w:rPr>
            <w:rFonts w:ascii="仿宋_GB2312" w:eastAsia="仿宋_GB2312" w:hAnsi="仿宋_GB2312" w:cs="仿宋_GB2312" w:hint="eastAsia"/>
            <w:sz w:val="32"/>
            <w:szCs w:val="32"/>
          </w:rPr>
          <w:instrText xml:space="preserve"> PAGEREF _Toc29755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C93113">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fldChar w:fldCharType="end"/>
        </w:r>
      </w:hyperlink>
    </w:p>
    <w:p w:rsidR="00444AE3" w:rsidRDefault="00647007">
      <w:pPr>
        <w:adjustRightInd w:val="0"/>
        <w:snapToGrid w:val="0"/>
        <w:spacing w:line="360" w:lineRule="auto"/>
        <w:jc w:val="center"/>
        <w:rPr>
          <w:rFonts w:ascii="华文中宋" w:eastAsia="华文中宋" w:hAnsi="华文中宋"/>
          <w:sz w:val="36"/>
          <w:szCs w:val="36"/>
        </w:rPr>
      </w:pPr>
      <w:r>
        <w:rPr>
          <w:rFonts w:ascii="仿宋_GB2312" w:eastAsia="仿宋_GB2312" w:hAnsi="仿宋_GB2312" w:cs="仿宋_GB2312" w:hint="eastAsia"/>
          <w:sz w:val="32"/>
          <w:szCs w:val="32"/>
        </w:rPr>
        <w:fldChar w:fldCharType="end"/>
      </w:r>
    </w:p>
    <w:p w:rsidR="00444AE3" w:rsidRDefault="00444AE3">
      <w:pPr>
        <w:spacing w:line="360" w:lineRule="auto"/>
        <w:jc w:val="center"/>
        <w:rPr>
          <w:rFonts w:ascii="华文中宋" w:eastAsia="华文中宋" w:hAnsi="华文中宋"/>
          <w:sz w:val="36"/>
          <w:szCs w:val="36"/>
        </w:rPr>
      </w:pPr>
    </w:p>
    <w:p w:rsidR="00444AE3" w:rsidRDefault="00444AE3">
      <w:pPr>
        <w:spacing w:line="360" w:lineRule="auto"/>
        <w:jc w:val="center"/>
        <w:rPr>
          <w:rFonts w:ascii="华文中宋" w:eastAsia="华文中宋" w:hAnsi="华文中宋"/>
          <w:sz w:val="36"/>
          <w:szCs w:val="36"/>
        </w:rPr>
        <w:sectPr w:rsidR="00444AE3">
          <w:footerReference w:type="default" r:id="rId8"/>
          <w:pgSz w:w="11906" w:h="16838"/>
          <w:pgMar w:top="1440" w:right="1800" w:bottom="1440" w:left="1800" w:header="851" w:footer="992" w:gutter="0"/>
          <w:pgNumType w:fmt="upperRoman" w:start="1"/>
          <w:cols w:space="425"/>
          <w:docGrid w:type="lines" w:linePitch="312"/>
        </w:sectPr>
      </w:pPr>
    </w:p>
    <w:p w:rsidR="00444AE3" w:rsidRDefault="00C93113">
      <w:pPr>
        <w:spacing w:line="360" w:lineRule="auto"/>
        <w:jc w:val="center"/>
        <w:rPr>
          <w:rFonts w:ascii="华文中宋" w:eastAsia="华文中宋" w:hAnsi="华文中宋"/>
          <w:sz w:val="36"/>
          <w:szCs w:val="36"/>
        </w:rPr>
      </w:pPr>
      <w:r>
        <w:rPr>
          <w:rFonts w:ascii="华文中宋" w:eastAsia="华文中宋" w:hAnsi="华文中宋" w:hint="eastAsia"/>
          <w:sz w:val="36"/>
          <w:szCs w:val="36"/>
        </w:rPr>
        <w:lastRenderedPageBreak/>
        <w:t>北京市机关事务管理中心</w:t>
      </w:r>
    </w:p>
    <w:p w:rsidR="00444AE3" w:rsidRDefault="00C93113">
      <w:pPr>
        <w:spacing w:line="360" w:lineRule="auto"/>
        <w:jc w:val="center"/>
        <w:rPr>
          <w:rFonts w:ascii="华文中宋" w:eastAsia="华文中宋" w:hAnsi="华文中宋"/>
          <w:sz w:val="36"/>
          <w:szCs w:val="36"/>
        </w:rPr>
      </w:pPr>
      <w:r>
        <w:rPr>
          <w:rFonts w:ascii="华文中宋" w:eastAsia="华文中宋" w:hAnsi="华文中宋"/>
          <w:sz w:val="36"/>
          <w:szCs w:val="36"/>
        </w:rPr>
        <w:t>202</w:t>
      </w:r>
      <w:r>
        <w:rPr>
          <w:rFonts w:ascii="华文中宋" w:eastAsia="华文中宋" w:hAnsi="华文中宋" w:hint="eastAsia"/>
          <w:sz w:val="36"/>
          <w:szCs w:val="36"/>
        </w:rPr>
        <w:t>3年度部门整体绩效评价报告</w:t>
      </w:r>
    </w:p>
    <w:p w:rsidR="00444AE3" w:rsidRDefault="00444AE3">
      <w:pPr>
        <w:jc w:val="center"/>
        <w:rPr>
          <w:rFonts w:ascii="仿宋_GB2312"/>
          <w:szCs w:val="30"/>
        </w:rPr>
      </w:pPr>
    </w:p>
    <w:p w:rsidR="00444AE3" w:rsidRDefault="00C93113">
      <w:pPr>
        <w:adjustRightInd w:val="0"/>
        <w:snapToGrid w:val="0"/>
        <w:spacing w:line="360" w:lineRule="auto"/>
        <w:ind w:firstLineChars="200" w:firstLine="640"/>
        <w:outlineLvl w:val="0"/>
        <w:rPr>
          <w:rFonts w:ascii="黑体" w:eastAsia="黑体" w:hAnsi="黑体" w:cs="宋体"/>
          <w:color w:val="000000"/>
          <w:kern w:val="0"/>
          <w:sz w:val="32"/>
          <w:szCs w:val="32"/>
        </w:rPr>
      </w:pPr>
      <w:bookmarkStart w:id="2" w:name="_Toc31725"/>
      <w:r>
        <w:rPr>
          <w:rFonts w:ascii="黑体" w:eastAsia="黑体" w:hAnsi="黑体" w:cs="宋体" w:hint="eastAsia"/>
          <w:color w:val="000000"/>
          <w:kern w:val="0"/>
          <w:sz w:val="32"/>
          <w:szCs w:val="32"/>
        </w:rPr>
        <w:t>一、部门概况</w:t>
      </w:r>
      <w:bookmarkEnd w:id="2"/>
    </w:p>
    <w:p w:rsidR="00444AE3" w:rsidRDefault="00C93113">
      <w:pPr>
        <w:adjustRightInd w:val="0"/>
        <w:snapToGrid w:val="0"/>
        <w:spacing w:line="360" w:lineRule="auto"/>
        <w:ind w:firstLineChars="200" w:firstLine="640"/>
        <w:outlineLvl w:val="1"/>
        <w:rPr>
          <w:rFonts w:ascii="楷体_GB2312" w:eastAsia="楷体_GB2312"/>
          <w:sz w:val="32"/>
          <w:szCs w:val="32"/>
        </w:rPr>
      </w:pPr>
      <w:bookmarkStart w:id="3" w:name="_Toc24401"/>
      <w:r>
        <w:rPr>
          <w:rFonts w:ascii="楷体_GB2312" w:eastAsia="楷体_GB2312" w:hint="eastAsia"/>
          <w:sz w:val="32"/>
          <w:szCs w:val="32"/>
        </w:rPr>
        <w:t>（一）机构设置及职责工作任务情况</w:t>
      </w:r>
      <w:bookmarkEnd w:id="3"/>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r>
        <w:rPr>
          <w:rFonts w:ascii="仿宋_GB2312" w:eastAsia="仿宋_GB2312" w:hint="eastAsia"/>
          <w:bCs/>
          <w:sz w:val="32"/>
          <w:szCs w:val="32"/>
        </w:rPr>
        <w:t>部门组织架构与职能职责</w:t>
      </w:r>
    </w:p>
    <w:p w:rsidR="00444AE3" w:rsidRDefault="00C93113">
      <w:pPr>
        <w:widowControl/>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021</w:t>
      </w:r>
      <w:r>
        <w:rPr>
          <w:rFonts w:ascii="仿宋_GB2312" w:eastAsia="仿宋_GB2312" w:hAnsi="宋体" w:cs="宋体" w:hint="eastAsia"/>
          <w:color w:val="000000"/>
          <w:kern w:val="0"/>
          <w:sz w:val="32"/>
          <w:szCs w:val="32"/>
        </w:rPr>
        <w:t>年9月，原</w:t>
      </w:r>
      <w:r>
        <w:rPr>
          <w:rFonts w:ascii="仿宋_GB2312" w:eastAsia="仿宋_GB2312" w:cs="仿宋_GB2312" w:hint="eastAsia"/>
          <w:sz w:val="32"/>
          <w:szCs w:val="32"/>
        </w:rPr>
        <w:t>北京</w:t>
      </w:r>
      <w:r>
        <w:rPr>
          <w:rFonts w:ascii="仿宋_GB2312" w:eastAsia="仿宋_GB2312" w:hAnsi="宋体" w:cs="宋体" w:hint="eastAsia"/>
          <w:kern w:val="0"/>
          <w:sz w:val="32"/>
          <w:szCs w:val="32"/>
        </w:rPr>
        <w:t>市人民政府机关事务管理办公室</w:t>
      </w:r>
      <w:r>
        <w:rPr>
          <w:rFonts w:ascii="仿宋_GB2312" w:eastAsia="仿宋_GB2312" w:hAnsi="宋体" w:cs="宋体" w:hint="eastAsia"/>
          <w:color w:val="000000"/>
          <w:kern w:val="0"/>
          <w:sz w:val="32"/>
          <w:szCs w:val="32"/>
        </w:rPr>
        <w:t>根据中共北京市委机构编制委员会《关于印发北京市机关事务管理中心机构职能编制规定的通知》（京编委发〔2021〕14号）、中共北京市委机构编制委员会《关于市机关事务局所属事业单位改革有关事项的批复》（京编委〔2021〕139号）文件要求，改编为北京市机关事务管理中心（以下简称“市机关事务管理中心”）</w:t>
      </w:r>
      <w:r>
        <w:rPr>
          <w:rFonts w:ascii="仿宋_GB2312" w:eastAsia="仿宋_GB2312" w:hAnsi="宋体" w:cs="宋体" w:hint="eastAsia"/>
          <w:kern w:val="0"/>
          <w:sz w:val="32"/>
          <w:szCs w:val="32"/>
        </w:rPr>
        <w:t>，</w:t>
      </w:r>
      <w:r>
        <w:rPr>
          <w:rFonts w:ascii="仿宋_GB2312" w:eastAsia="仿宋_GB2312" w:hAnsi="宋体" w:cs="宋体" w:hint="eastAsia"/>
          <w:color w:val="000000"/>
          <w:kern w:val="0"/>
          <w:sz w:val="32"/>
          <w:szCs w:val="32"/>
        </w:rPr>
        <w:t>隶属于北京市机关事务管理局,</w:t>
      </w:r>
      <w:r>
        <w:rPr>
          <w:rFonts w:ascii="仿宋_GB2312" w:eastAsia="仿宋_GB2312" w:hAnsi="宋体" w:cs="宋体" w:hint="eastAsia"/>
          <w:kern w:val="0"/>
          <w:sz w:val="32"/>
          <w:szCs w:val="32"/>
        </w:rPr>
        <w:t>主要负责槐柏树街办公区、中环办公区、六里桥办公区及南礼士路办公区等办公地点的机关行政事务管理和后勤保障服务工作。其内设机构共1</w:t>
      </w:r>
      <w:r>
        <w:rPr>
          <w:rFonts w:ascii="仿宋_GB2312" w:eastAsia="仿宋_GB2312" w:hAnsi="宋体" w:cs="宋体"/>
          <w:kern w:val="0"/>
          <w:sz w:val="32"/>
          <w:szCs w:val="32"/>
        </w:rPr>
        <w:t>4</w:t>
      </w:r>
      <w:r>
        <w:rPr>
          <w:rFonts w:ascii="仿宋_GB2312" w:eastAsia="仿宋_GB2312" w:hAnsi="宋体" w:cs="宋体" w:hint="eastAsia"/>
          <w:kern w:val="0"/>
          <w:sz w:val="32"/>
          <w:szCs w:val="32"/>
        </w:rPr>
        <w:t>个，分别为：办公室、物业保障处、安全保卫处、槐柏树街办公区管理处、中环办公区管理处、六里桥办公区管理处、南礼士路办公区管理处、东四六条办公区管理处、东交民巷办公区管理处、台基厂大街办公区管理处、雅宝大楼管理处、财务处、人事处、党群工作处（纪检办公室）。</w:t>
      </w:r>
    </w:p>
    <w:p w:rsidR="00444AE3" w:rsidRDefault="00C93113">
      <w:pPr>
        <w:widowControl/>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color w:val="000000"/>
          <w:kern w:val="0"/>
          <w:sz w:val="32"/>
          <w:szCs w:val="32"/>
        </w:rPr>
        <w:lastRenderedPageBreak/>
        <w:t>市机关事务管理中心</w:t>
      </w:r>
      <w:r>
        <w:rPr>
          <w:rFonts w:ascii="仿宋_GB2312" w:eastAsia="仿宋_GB2312" w:hint="eastAsia"/>
          <w:sz w:val="32"/>
          <w:szCs w:val="32"/>
        </w:rPr>
        <w:t>设北京市机关事务管理中心（本级）</w:t>
      </w:r>
      <w:r>
        <w:rPr>
          <w:rFonts w:ascii="仿宋_GB2312" w:eastAsia="仿宋_GB2312" w:cs="仿宋_GB2312" w:hint="eastAsia"/>
          <w:sz w:val="32"/>
          <w:szCs w:val="32"/>
        </w:rPr>
        <w:t>及5个二级预算单位</w:t>
      </w:r>
      <w:r>
        <w:rPr>
          <w:rStyle w:val="ad"/>
          <w:rFonts w:ascii="仿宋_GB2312" w:eastAsia="仿宋_GB2312" w:cs="仿宋_GB2312" w:hint="eastAsia"/>
          <w:sz w:val="32"/>
          <w:szCs w:val="32"/>
        </w:rPr>
        <w:footnoteReference w:id="2"/>
      </w:r>
      <w:r>
        <w:rPr>
          <w:rFonts w:ascii="仿宋_GB2312" w:eastAsia="仿宋_GB2312" w:hint="eastAsia"/>
          <w:sz w:val="32"/>
          <w:szCs w:val="32"/>
        </w:rPr>
        <w:t>，分别为：</w:t>
      </w:r>
      <w:bookmarkStart w:id="4" w:name="_Hlk114143251"/>
      <w:r>
        <w:rPr>
          <w:rFonts w:ascii="仿宋_GB2312" w:eastAsia="仿宋_GB2312" w:hAnsi="宋体" w:cs="宋体" w:hint="eastAsia"/>
          <w:kern w:val="0"/>
          <w:sz w:val="32"/>
          <w:szCs w:val="32"/>
        </w:rPr>
        <w:t>北京市</w:t>
      </w:r>
      <w:bookmarkEnd w:id="4"/>
      <w:r>
        <w:rPr>
          <w:rFonts w:ascii="仿宋_GB2312" w:eastAsia="仿宋_GB2312" w:hAnsi="宋体" w:cs="宋体" w:hint="eastAsia"/>
          <w:kern w:val="0"/>
          <w:sz w:val="32"/>
          <w:szCs w:val="32"/>
        </w:rPr>
        <w:t>行政服务中心、北京花市服务中心、北京市机关事务管理局雅宝大楼管理处、市机关事务局第一幼儿园、市机关事务局第二幼儿园。</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市机关事务管理中心</w:t>
      </w:r>
      <w:r>
        <w:rPr>
          <w:rFonts w:ascii="仿宋_GB2312" w:eastAsia="仿宋_GB2312" w:hint="eastAsia"/>
          <w:sz w:val="32"/>
          <w:szCs w:val="32"/>
        </w:rPr>
        <w:t>内设机构、二级预算单位情况</w:t>
      </w:r>
      <w:r>
        <w:rPr>
          <w:rFonts w:ascii="仿宋_GB2312" w:eastAsia="仿宋_GB2312" w:hAnsi="宋体" w:cs="宋体" w:hint="eastAsia"/>
          <w:color w:val="000000"/>
          <w:kern w:val="0"/>
          <w:sz w:val="32"/>
          <w:szCs w:val="32"/>
        </w:rPr>
        <w:t>见图1。相应宗旨和业务范围、本级职能职责情况见表1。</w:t>
      </w:r>
    </w:p>
    <w:p w:rsidR="00444AE3" w:rsidRDefault="00444AE3">
      <w:pPr>
        <w:adjustRightInd w:val="0"/>
        <w:snapToGrid w:val="0"/>
        <w:spacing w:line="360" w:lineRule="auto"/>
        <w:jc w:val="center"/>
        <w:rPr>
          <w:rFonts w:ascii="黑体" w:eastAsia="黑体" w:hAnsi="黑体"/>
          <w:sz w:val="28"/>
          <w:szCs w:val="28"/>
        </w:rPr>
      </w:pPr>
      <w:r w:rsidRPr="00444AE3">
        <w:rPr>
          <w:rFonts w:ascii="仿宋_GB2312" w:eastAsia="仿宋_GB2312" w:hAnsi="宋体" w:cs="宋体" w:hint="eastAsia"/>
          <w:color w:val="000000"/>
          <w:kern w:val="0"/>
          <w:sz w:val="32"/>
          <w:szCs w:val="32"/>
        </w:rPr>
        <w:object w:dxaOrig="19608" w:dyaOrig="11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05pt;height:236.55pt" o:ole="">
            <v:imagedata r:id="rId9" o:title=""/>
            <o:lock v:ext="edit" aspectratio="f"/>
          </v:shape>
          <o:OLEObject Type="Embed" ProgID="Visio.Drawing.15" ShapeID="_x0000_i1025" DrawAspect="Content" ObjectID="_1779692121" r:id="rId10"/>
        </w:object>
      </w:r>
      <w:r w:rsidR="00C93113">
        <w:rPr>
          <w:rFonts w:ascii="黑体" w:eastAsia="黑体" w:hAnsi="黑体" w:hint="eastAsia"/>
          <w:sz w:val="28"/>
          <w:szCs w:val="28"/>
        </w:rPr>
        <w:t>图</w:t>
      </w:r>
      <w:r w:rsidR="00C93113">
        <w:rPr>
          <w:rFonts w:ascii="黑体" w:eastAsia="黑体" w:hAnsi="黑体"/>
          <w:sz w:val="28"/>
          <w:szCs w:val="28"/>
        </w:rPr>
        <w:t>1：部门内设机构</w:t>
      </w:r>
      <w:r w:rsidR="00C93113">
        <w:rPr>
          <w:rFonts w:ascii="黑体" w:eastAsia="黑体" w:hAnsi="黑体" w:hint="eastAsia"/>
          <w:sz w:val="28"/>
          <w:szCs w:val="28"/>
        </w:rPr>
        <w:t>和二级预算单位图</w:t>
      </w:r>
    </w:p>
    <w:p w:rsidR="00444AE3" w:rsidRDefault="00444AE3">
      <w:pPr>
        <w:adjustRightInd w:val="0"/>
        <w:snapToGrid w:val="0"/>
        <w:spacing w:line="360" w:lineRule="auto"/>
        <w:ind w:firstLineChars="200" w:firstLine="400"/>
        <w:rPr>
          <w:rFonts w:ascii="仿宋_GB2312" w:eastAsia="仿宋_GB2312" w:hAnsi="宋体" w:cs="宋体"/>
          <w:color w:val="000000"/>
          <w:kern w:val="0"/>
          <w:sz w:val="20"/>
          <w:szCs w:val="20"/>
        </w:rPr>
      </w:pPr>
    </w:p>
    <w:p w:rsidR="00444AE3" w:rsidRDefault="00C93113">
      <w:pPr>
        <w:adjustRightInd w:val="0"/>
        <w:snapToGrid w:val="0"/>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1</w:t>
      </w:r>
      <w:r>
        <w:rPr>
          <w:rFonts w:ascii="黑体" w:eastAsia="黑体" w:hAnsi="黑体" w:hint="eastAsia"/>
          <w:sz w:val="28"/>
          <w:szCs w:val="28"/>
        </w:rPr>
        <w:t>：部门职能职责情况</w:t>
      </w:r>
      <w:r>
        <w:rPr>
          <w:rFonts w:ascii="黑体" w:eastAsia="黑体" w:hAnsi="黑体"/>
          <w:sz w:val="28"/>
          <w:szCs w:val="28"/>
        </w:rPr>
        <w:t>表</w:t>
      </w:r>
    </w:p>
    <w:tbl>
      <w:tblPr>
        <w:tblStyle w:val="aa"/>
        <w:tblW w:w="5000" w:type="pct"/>
        <w:tblCellMar>
          <w:left w:w="28" w:type="dxa"/>
          <w:right w:w="28" w:type="dxa"/>
        </w:tblCellMar>
        <w:tblLook w:val="04A0"/>
      </w:tblPr>
      <w:tblGrid>
        <w:gridCol w:w="1075"/>
        <w:gridCol w:w="7287"/>
      </w:tblGrid>
      <w:tr w:rsidR="00444AE3">
        <w:trPr>
          <w:trHeight w:val="397"/>
          <w:tblHeader/>
        </w:trPr>
        <w:tc>
          <w:tcPr>
            <w:tcW w:w="643" w:type="pct"/>
            <w:vAlign w:val="center"/>
          </w:tcPr>
          <w:p w:rsidR="00444AE3" w:rsidRDefault="00C93113">
            <w:pPr>
              <w:adjustRightInd w:val="0"/>
              <w:jc w:val="center"/>
              <w:rPr>
                <w:rFonts w:ascii="宋体" w:hAnsi="宋体" w:cs="仿宋"/>
                <w:b/>
                <w:kern w:val="0"/>
                <w:sz w:val="20"/>
                <w:szCs w:val="20"/>
              </w:rPr>
            </w:pPr>
            <w:r>
              <w:rPr>
                <w:rFonts w:ascii="宋体" w:hAnsi="宋体" w:cs="仿宋" w:hint="eastAsia"/>
                <w:b/>
                <w:kern w:val="0"/>
                <w:sz w:val="20"/>
                <w:szCs w:val="20"/>
              </w:rPr>
              <w:t>类别</w:t>
            </w:r>
          </w:p>
        </w:tc>
        <w:tc>
          <w:tcPr>
            <w:tcW w:w="4356" w:type="pct"/>
            <w:vAlign w:val="center"/>
          </w:tcPr>
          <w:p w:rsidR="00444AE3" w:rsidRDefault="00C93113">
            <w:pPr>
              <w:adjustRightInd w:val="0"/>
              <w:jc w:val="center"/>
              <w:rPr>
                <w:rFonts w:ascii="宋体" w:hAnsi="宋体" w:cs="仿宋"/>
                <w:b/>
                <w:kern w:val="0"/>
                <w:sz w:val="20"/>
                <w:szCs w:val="20"/>
              </w:rPr>
            </w:pPr>
            <w:r>
              <w:rPr>
                <w:rFonts w:ascii="宋体" w:hAnsi="宋体" w:cs="仿宋" w:hint="eastAsia"/>
                <w:b/>
                <w:kern w:val="0"/>
                <w:sz w:val="20"/>
                <w:szCs w:val="20"/>
              </w:rPr>
              <w:t>市机关事务管理中心</w:t>
            </w:r>
          </w:p>
        </w:tc>
      </w:tr>
      <w:tr w:rsidR="00444AE3">
        <w:trPr>
          <w:trHeight w:val="2220"/>
        </w:trPr>
        <w:tc>
          <w:tcPr>
            <w:tcW w:w="643" w:type="pct"/>
            <w:vAlign w:val="center"/>
          </w:tcPr>
          <w:p w:rsidR="00444AE3" w:rsidRDefault="00C93113">
            <w:pPr>
              <w:adjustRightInd w:val="0"/>
              <w:jc w:val="center"/>
              <w:rPr>
                <w:rFonts w:ascii="宋体" w:hAnsi="宋体" w:cs="仿宋"/>
                <w:b/>
                <w:kern w:val="0"/>
                <w:sz w:val="20"/>
                <w:szCs w:val="20"/>
              </w:rPr>
            </w:pPr>
            <w:r>
              <w:rPr>
                <w:rFonts w:ascii="宋体" w:hAnsi="宋体" w:cs="仿宋" w:hint="eastAsia"/>
                <w:b/>
                <w:kern w:val="0"/>
                <w:sz w:val="20"/>
                <w:szCs w:val="20"/>
              </w:rPr>
              <w:t>宗旨和业务范围</w:t>
            </w:r>
          </w:p>
        </w:tc>
        <w:tc>
          <w:tcPr>
            <w:tcW w:w="4356" w:type="pct"/>
            <w:vAlign w:val="center"/>
          </w:tcPr>
          <w:p w:rsidR="00444AE3" w:rsidRDefault="00C93113">
            <w:pPr>
              <w:adjustRightInd w:val="0"/>
              <w:rPr>
                <w:rFonts w:ascii="宋体" w:hAnsi="宋体" w:cs="仿宋"/>
                <w:bCs/>
                <w:kern w:val="0"/>
                <w:sz w:val="20"/>
                <w:szCs w:val="20"/>
              </w:rPr>
            </w:pPr>
            <w:r>
              <w:rPr>
                <w:rFonts w:ascii="宋体" w:hAnsi="宋体" w:cs="仿宋" w:hint="eastAsia"/>
                <w:bCs/>
                <w:kern w:val="0"/>
                <w:sz w:val="20"/>
                <w:szCs w:val="20"/>
              </w:rPr>
              <w:t>1.负责核心区集中办公区国有资产管理、办公用房管理、经费管理、节能等工作。2.承担核心区集中办公区服务保障、安全保卫、相关社会事务协调等工作。</w:t>
            </w:r>
          </w:p>
          <w:p w:rsidR="00444AE3" w:rsidRDefault="00C93113">
            <w:pPr>
              <w:adjustRightInd w:val="0"/>
              <w:rPr>
                <w:rFonts w:ascii="宋体" w:hAnsi="宋体" w:cs="仿宋"/>
                <w:bCs/>
                <w:kern w:val="0"/>
                <w:sz w:val="20"/>
                <w:szCs w:val="20"/>
              </w:rPr>
            </w:pPr>
            <w:r>
              <w:rPr>
                <w:rFonts w:ascii="宋体" w:hAnsi="宋体" w:cs="仿宋" w:hint="eastAsia"/>
                <w:bCs/>
                <w:kern w:val="0"/>
                <w:sz w:val="20"/>
                <w:szCs w:val="20"/>
              </w:rPr>
              <w:t>3.按要求为中央国家机关、北京市在核心区的重要会议，重要活动提供相关服务保障。</w:t>
            </w:r>
          </w:p>
          <w:p w:rsidR="00444AE3" w:rsidRDefault="00C93113">
            <w:pPr>
              <w:adjustRightInd w:val="0"/>
              <w:rPr>
                <w:rFonts w:ascii="宋体" w:hAnsi="宋体" w:cs="仿宋"/>
                <w:bCs/>
                <w:kern w:val="0"/>
                <w:sz w:val="20"/>
                <w:szCs w:val="20"/>
              </w:rPr>
            </w:pPr>
            <w:r>
              <w:rPr>
                <w:rFonts w:ascii="宋体" w:hAnsi="宋体" w:cs="仿宋" w:hint="eastAsia"/>
                <w:bCs/>
                <w:kern w:val="0"/>
                <w:sz w:val="20"/>
                <w:szCs w:val="20"/>
              </w:rPr>
              <w:t>4.完成北京市机关事务管理局交办的其他任务。</w:t>
            </w:r>
          </w:p>
        </w:tc>
      </w:tr>
      <w:tr w:rsidR="00444AE3">
        <w:trPr>
          <w:trHeight w:val="23"/>
        </w:trPr>
        <w:tc>
          <w:tcPr>
            <w:tcW w:w="643" w:type="pct"/>
            <w:vAlign w:val="center"/>
          </w:tcPr>
          <w:p w:rsidR="00444AE3" w:rsidRDefault="00C93113">
            <w:pPr>
              <w:adjustRightInd w:val="0"/>
              <w:jc w:val="center"/>
              <w:rPr>
                <w:rFonts w:ascii="宋体" w:hAnsi="宋体" w:cs="仿宋"/>
                <w:b/>
                <w:kern w:val="0"/>
                <w:sz w:val="20"/>
                <w:szCs w:val="20"/>
              </w:rPr>
            </w:pPr>
            <w:r>
              <w:rPr>
                <w:rFonts w:ascii="宋体" w:hAnsi="宋体" w:cs="仿宋" w:hint="eastAsia"/>
                <w:b/>
                <w:kern w:val="0"/>
                <w:sz w:val="20"/>
                <w:szCs w:val="20"/>
              </w:rPr>
              <w:lastRenderedPageBreak/>
              <w:t>本级职能职责</w:t>
            </w:r>
          </w:p>
        </w:tc>
        <w:tc>
          <w:tcPr>
            <w:tcW w:w="4356" w:type="pct"/>
            <w:vAlign w:val="center"/>
          </w:tcPr>
          <w:p w:rsidR="00444AE3" w:rsidRDefault="00C93113">
            <w:pPr>
              <w:adjustRightInd w:val="0"/>
              <w:rPr>
                <w:rFonts w:ascii="宋体" w:hAnsi="宋体" w:cs="仿宋"/>
                <w:bCs/>
                <w:kern w:val="0"/>
                <w:sz w:val="20"/>
                <w:szCs w:val="20"/>
              </w:rPr>
            </w:pPr>
            <w:r>
              <w:rPr>
                <w:rFonts w:ascii="宋体" w:hAnsi="宋体" w:cs="仿宋"/>
                <w:bCs/>
                <w:kern w:val="0"/>
                <w:sz w:val="20"/>
                <w:szCs w:val="20"/>
              </w:rPr>
              <w:t>1.</w:t>
            </w:r>
            <w:r>
              <w:rPr>
                <w:rFonts w:ascii="宋体" w:hAnsi="宋体" w:cs="仿宋" w:hint="eastAsia"/>
                <w:bCs/>
                <w:kern w:val="0"/>
                <w:sz w:val="20"/>
                <w:szCs w:val="20"/>
              </w:rPr>
              <w:t>负责为在中环办公楼、槐柏树街办公区、六里桥办公区和南礼士路办公区办公的部门和单位提供机关事务服务保障。</w:t>
            </w:r>
          </w:p>
          <w:p w:rsidR="00444AE3" w:rsidRDefault="00C93113">
            <w:pPr>
              <w:adjustRightInd w:val="0"/>
              <w:rPr>
                <w:rFonts w:ascii="宋体" w:hAnsi="宋体" w:cs="仿宋"/>
                <w:bCs/>
                <w:kern w:val="0"/>
                <w:sz w:val="20"/>
                <w:szCs w:val="20"/>
              </w:rPr>
            </w:pPr>
            <w:r>
              <w:rPr>
                <w:rFonts w:ascii="宋体" w:hAnsi="宋体" w:cs="仿宋"/>
                <w:bCs/>
                <w:kern w:val="0"/>
                <w:sz w:val="20"/>
                <w:szCs w:val="20"/>
              </w:rPr>
              <w:t>2.</w:t>
            </w:r>
            <w:r>
              <w:rPr>
                <w:rFonts w:ascii="宋体" w:hAnsi="宋体" w:cs="仿宋" w:hint="eastAsia"/>
                <w:bCs/>
                <w:kern w:val="0"/>
                <w:sz w:val="20"/>
                <w:szCs w:val="20"/>
              </w:rPr>
              <w:t>负责管理办的经费管理、资产管理等工作。</w:t>
            </w:r>
          </w:p>
          <w:p w:rsidR="00444AE3" w:rsidRDefault="00C93113">
            <w:pPr>
              <w:adjustRightInd w:val="0"/>
              <w:rPr>
                <w:rFonts w:ascii="宋体" w:hAnsi="宋体" w:cs="仿宋"/>
                <w:bCs/>
                <w:kern w:val="0"/>
                <w:sz w:val="20"/>
                <w:szCs w:val="20"/>
              </w:rPr>
            </w:pPr>
            <w:r>
              <w:rPr>
                <w:rFonts w:ascii="宋体" w:hAnsi="宋体" w:cs="仿宋"/>
                <w:bCs/>
                <w:kern w:val="0"/>
                <w:sz w:val="20"/>
                <w:szCs w:val="20"/>
              </w:rPr>
              <w:t>3.</w:t>
            </w:r>
            <w:r>
              <w:rPr>
                <w:rFonts w:ascii="宋体" w:hAnsi="宋体" w:cs="仿宋" w:hint="eastAsia"/>
                <w:bCs/>
                <w:kern w:val="0"/>
                <w:sz w:val="20"/>
                <w:szCs w:val="20"/>
              </w:rPr>
              <w:t>协助做好局离退休人员事务管理工作。</w:t>
            </w:r>
          </w:p>
          <w:p w:rsidR="00444AE3" w:rsidRDefault="00C93113">
            <w:pPr>
              <w:adjustRightInd w:val="0"/>
              <w:rPr>
                <w:rFonts w:ascii="宋体" w:hAnsi="宋体" w:cs="仿宋"/>
                <w:bCs/>
                <w:kern w:val="0"/>
                <w:sz w:val="20"/>
                <w:szCs w:val="20"/>
              </w:rPr>
            </w:pPr>
            <w:r>
              <w:rPr>
                <w:rFonts w:ascii="宋体" w:hAnsi="宋体" w:cs="仿宋"/>
                <w:bCs/>
                <w:kern w:val="0"/>
                <w:sz w:val="20"/>
                <w:szCs w:val="20"/>
              </w:rPr>
              <w:t>4.</w:t>
            </w:r>
            <w:r>
              <w:rPr>
                <w:rFonts w:ascii="宋体" w:hAnsi="宋体" w:cs="仿宋" w:hint="eastAsia"/>
                <w:bCs/>
                <w:kern w:val="0"/>
                <w:sz w:val="20"/>
                <w:szCs w:val="20"/>
              </w:rPr>
              <w:t>承担局机关交办的其他事项。</w:t>
            </w:r>
          </w:p>
        </w:tc>
      </w:tr>
    </w:tbl>
    <w:p w:rsidR="00444AE3" w:rsidRDefault="00444AE3">
      <w:pPr>
        <w:adjustRightInd w:val="0"/>
        <w:snapToGrid w:val="0"/>
        <w:spacing w:line="360" w:lineRule="auto"/>
        <w:ind w:firstLineChars="200" w:firstLine="400"/>
        <w:rPr>
          <w:rFonts w:ascii="仿宋_GB2312" w:eastAsia="仿宋_GB2312" w:hAnsi="宋体" w:cs="宋体"/>
          <w:color w:val="FF0000"/>
          <w:kern w:val="0"/>
          <w:sz w:val="20"/>
          <w:szCs w:val="20"/>
        </w:rPr>
      </w:pP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w:t>
      </w:r>
      <w:r>
        <w:rPr>
          <w:rFonts w:ascii="仿宋_GB2312" w:eastAsia="仿宋_GB2312" w:hint="eastAsia"/>
          <w:bCs/>
          <w:sz w:val="32"/>
          <w:szCs w:val="32"/>
        </w:rPr>
        <w:t>部门2</w:t>
      </w:r>
      <w:r>
        <w:rPr>
          <w:rFonts w:ascii="仿宋_GB2312" w:eastAsia="仿宋_GB2312"/>
          <w:bCs/>
          <w:sz w:val="32"/>
          <w:szCs w:val="32"/>
        </w:rPr>
        <w:t>02</w:t>
      </w:r>
      <w:r>
        <w:rPr>
          <w:rFonts w:ascii="仿宋_GB2312" w:eastAsia="仿宋_GB2312" w:hint="eastAsia"/>
          <w:bCs/>
          <w:sz w:val="32"/>
          <w:szCs w:val="32"/>
        </w:rPr>
        <w:t>3年工作任务情况</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市机关事务管理中心结合履职需求，围绕拟开展的工作，制定了《管理中心2023年重点工作安排》</w:t>
      </w:r>
      <w:r>
        <w:rPr>
          <w:rFonts w:ascii="仿宋_GB2312" w:eastAsia="仿宋_GB2312" w:hAnsi="宋体" w:cs="宋体" w:hint="eastAsia"/>
          <w:kern w:val="0"/>
          <w:sz w:val="32"/>
          <w:szCs w:val="32"/>
        </w:rPr>
        <w:t>，</w:t>
      </w:r>
      <w:r>
        <w:rPr>
          <w:rFonts w:ascii="仿宋_GB2312" w:eastAsia="仿宋_GB2312" w:hAnsi="宋体" w:cs="宋体"/>
          <w:kern w:val="0"/>
          <w:sz w:val="32"/>
          <w:szCs w:val="32"/>
        </w:rPr>
        <w:t>202</w:t>
      </w:r>
      <w:r>
        <w:rPr>
          <w:rFonts w:ascii="仿宋_GB2312" w:eastAsia="仿宋_GB2312" w:hAnsi="宋体" w:cs="宋体" w:hint="eastAsia"/>
          <w:kern w:val="0"/>
          <w:sz w:val="32"/>
          <w:szCs w:val="32"/>
        </w:rPr>
        <w:t>3年度围绕</w:t>
      </w:r>
      <w:r>
        <w:rPr>
          <w:rFonts w:ascii="仿宋_GB2312" w:eastAsia="仿宋_GB2312" w:hAnsi="宋体" w:cs="宋体"/>
          <w:kern w:val="0"/>
          <w:sz w:val="32"/>
          <w:szCs w:val="32"/>
        </w:rPr>
        <w:t>14</w:t>
      </w:r>
      <w:r>
        <w:rPr>
          <w:rFonts w:ascii="仿宋_GB2312" w:eastAsia="仿宋_GB2312" w:hAnsi="宋体" w:cs="宋体" w:hint="eastAsia"/>
          <w:kern w:val="0"/>
          <w:sz w:val="32"/>
          <w:szCs w:val="32"/>
        </w:rPr>
        <w:t>类、</w:t>
      </w:r>
      <w:r>
        <w:rPr>
          <w:rFonts w:ascii="仿宋_GB2312" w:eastAsia="仿宋_GB2312" w:hAnsi="宋体" w:cs="宋体"/>
          <w:kern w:val="0"/>
          <w:sz w:val="32"/>
          <w:szCs w:val="32"/>
        </w:rPr>
        <w:t>123</w:t>
      </w:r>
      <w:r>
        <w:rPr>
          <w:rFonts w:ascii="仿宋_GB2312" w:eastAsia="仿宋_GB2312" w:hAnsi="宋体" w:cs="宋体" w:hint="eastAsia"/>
          <w:kern w:val="0"/>
          <w:sz w:val="32"/>
          <w:szCs w:val="32"/>
        </w:rPr>
        <w:t>项重点任务开展相关工作（见表2）。</w:t>
      </w:r>
    </w:p>
    <w:p w:rsidR="00444AE3" w:rsidRDefault="00C93113">
      <w:pPr>
        <w:adjustRightInd w:val="0"/>
        <w:snapToGrid w:val="0"/>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2</w:t>
      </w:r>
      <w:r>
        <w:rPr>
          <w:rFonts w:ascii="黑体" w:eastAsia="黑体" w:hAnsi="黑体" w:hint="eastAsia"/>
          <w:sz w:val="28"/>
          <w:szCs w:val="28"/>
        </w:rPr>
        <w:t>：市机关事务管理中心2</w:t>
      </w:r>
      <w:r>
        <w:rPr>
          <w:rFonts w:ascii="黑体" w:eastAsia="黑体" w:hAnsi="黑体"/>
          <w:sz w:val="28"/>
          <w:szCs w:val="28"/>
        </w:rPr>
        <w:t>0</w:t>
      </w:r>
      <w:r>
        <w:rPr>
          <w:rFonts w:ascii="黑体" w:eastAsia="黑体" w:hAnsi="黑体" w:hint="eastAsia"/>
          <w:sz w:val="28"/>
          <w:szCs w:val="28"/>
        </w:rPr>
        <w:t>23年重点工作安排情况表</w:t>
      </w:r>
    </w:p>
    <w:tbl>
      <w:tblPr>
        <w:tblW w:w="4998" w:type="pct"/>
        <w:jc w:val="center"/>
        <w:tblCellMar>
          <w:left w:w="28" w:type="dxa"/>
          <w:right w:w="28" w:type="dxa"/>
        </w:tblCellMar>
        <w:tblLook w:val="04A0"/>
      </w:tblPr>
      <w:tblGrid>
        <w:gridCol w:w="490"/>
        <w:gridCol w:w="1433"/>
        <w:gridCol w:w="6436"/>
      </w:tblGrid>
      <w:tr w:rsidR="00444AE3">
        <w:trPr>
          <w:trHeight w:val="460"/>
          <w:tblHeader/>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序号</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分类</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任务</w:t>
            </w:r>
          </w:p>
        </w:tc>
      </w:tr>
      <w:tr w:rsidR="00444AE3">
        <w:trPr>
          <w:trHeight w:val="1020"/>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深入学习习近平新时代中国特色社会主义思想，持续深化党史学习教育</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1.学习传达“两会”精神。</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2.开展学习贯彻习近平新时代中国特色社会主义思想主题教育。</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3.两级党组织书记讲党课。</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4.召开管理中心学习贯彻习近平新时代中国特色社会主义思想主题教育调研成果交流会。</w:t>
            </w:r>
          </w:p>
        </w:tc>
      </w:tr>
      <w:tr w:rsidR="00444AE3">
        <w:trPr>
          <w:trHeight w:val="2605"/>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进一步压紧压实管党治党政治责任，抓好全面从严治党工作</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1.“找差距、抓整改、开新局”专项工作推进。</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2.各支部书记述职、民主评议党员、组织生活会。</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3.2022年年终考核工作，领导个人事项报告。</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4.党委筹建、各支部改选、两委委员选举、两委换届选举、两委成立。</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5.保密工作、值班、公务用车检查。</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6.做好巡视迎检工作。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7.做好全面从严治党检查工作。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8.迎接局全面从严治党（党建工作）检查考核。</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9.2023年度党组织书记述职评议考核工作。</w:t>
            </w:r>
          </w:p>
        </w:tc>
      </w:tr>
      <w:tr w:rsidR="00444AE3">
        <w:trPr>
          <w:trHeight w:val="2295"/>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扎实做好事业单位改革相关后续工作</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1.制定绩效考评整改措施。</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2.市档案馆移交、做好原管理办2001年至2005年档案移交市档案馆相关工作。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3.机关招待所关联企业吊销转注销工作。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4.大郊亭宿舍分配办法、职工宿舍配租工作。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5.清算注销管理中心所办企业。</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6.普通岗位聘用、工勤人员转岗工作。</w:t>
            </w:r>
          </w:p>
          <w:p w:rsidR="00444AE3" w:rsidRDefault="00C93113">
            <w:pPr>
              <w:widowControl/>
              <w:adjustRightInd w:val="0"/>
              <w:snapToGrid w:val="0"/>
              <w:textAlignment w:val="center"/>
              <w:rPr>
                <w:rFonts w:ascii="宋体" w:hAnsi="宋体" w:cs="宋体"/>
                <w:color w:val="000000"/>
                <w:sz w:val="20"/>
                <w:szCs w:val="20"/>
              </w:rPr>
            </w:pPr>
            <w:r>
              <w:rPr>
                <w:rFonts w:ascii="宋体" w:hAnsi="宋体" w:cs="宋体" w:hint="eastAsia"/>
                <w:color w:val="000000"/>
                <w:kern w:val="0"/>
                <w:sz w:val="20"/>
                <w:szCs w:val="20"/>
              </w:rPr>
              <w:t>7.公开招聘人员入职手续办理、工资核定和有关绩效工资发放，接收安置军转干部和随军家属，二幼副园长选任。</w:t>
            </w:r>
          </w:p>
        </w:tc>
      </w:tr>
      <w:tr w:rsidR="00444AE3">
        <w:trPr>
          <w:trHeight w:val="2550"/>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4</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加强队伍建设</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sz w:val="20"/>
                <w:szCs w:val="20"/>
              </w:rPr>
              <w:t>1.管理中心总结会。</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sz w:val="20"/>
                <w:szCs w:val="20"/>
              </w:rPr>
              <w:t>2.局党组听取工作汇报。</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sz w:val="20"/>
                <w:szCs w:val="20"/>
              </w:rPr>
              <w:t>3.招聘人员准备工作和干部调整后交接。</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sz w:val="20"/>
                <w:szCs w:val="20"/>
              </w:rPr>
              <w:t>4.组织干部职工签订事业单位聘用合同事宜。</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sz w:val="20"/>
                <w:szCs w:val="20"/>
              </w:rPr>
              <w:t>5.退休人员划转至局离退休人员服务中心。</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color w:val="000000"/>
                <w:sz w:val="20"/>
                <w:szCs w:val="20"/>
              </w:rPr>
              <w:t>6</w:t>
            </w:r>
            <w:r>
              <w:rPr>
                <w:rFonts w:ascii="宋体" w:hAnsi="宋体" w:cs="宋体" w:hint="eastAsia"/>
                <w:color w:val="000000"/>
                <w:sz w:val="20"/>
                <w:szCs w:val="20"/>
              </w:rPr>
              <w:t>.青年干部讲座。</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color w:val="000000"/>
                <w:sz w:val="20"/>
                <w:szCs w:val="20"/>
              </w:rPr>
              <w:t>7</w:t>
            </w:r>
            <w:r>
              <w:rPr>
                <w:rFonts w:ascii="宋体" w:hAnsi="宋体" w:cs="宋体" w:hint="eastAsia"/>
                <w:color w:val="000000"/>
                <w:sz w:val="20"/>
                <w:szCs w:val="20"/>
              </w:rPr>
              <w:t>.联系赴外省（区）管理局参观学习。</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color w:val="000000"/>
                <w:sz w:val="20"/>
                <w:szCs w:val="20"/>
              </w:rPr>
              <w:t>8</w:t>
            </w:r>
            <w:r>
              <w:rPr>
                <w:rFonts w:ascii="宋体" w:hAnsi="宋体" w:cs="宋体" w:hint="eastAsia"/>
                <w:color w:val="000000"/>
                <w:sz w:val="20"/>
                <w:szCs w:val="20"/>
              </w:rPr>
              <w:t>.召开管理中心2023年上半年工作总结及下半年工作布置会。</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color w:val="000000"/>
                <w:sz w:val="20"/>
                <w:szCs w:val="20"/>
              </w:rPr>
              <w:t>9</w:t>
            </w:r>
            <w:r>
              <w:rPr>
                <w:rFonts w:ascii="宋体" w:hAnsi="宋体" w:cs="宋体" w:hint="eastAsia"/>
                <w:color w:val="000000"/>
                <w:sz w:val="20"/>
                <w:szCs w:val="20"/>
              </w:rPr>
              <w:t>.统筹管理中心2023年度工作总结和2024年度工作安排计划。</w:t>
            </w:r>
          </w:p>
        </w:tc>
      </w:tr>
      <w:tr w:rsidR="00444AE3">
        <w:trPr>
          <w:trHeight w:val="784"/>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继续做好常态化疫情防控工作</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1.防疫专班办公用房腾退。</w:t>
            </w:r>
          </w:p>
        </w:tc>
      </w:tr>
      <w:tr w:rsidR="00444AE3">
        <w:trPr>
          <w:trHeight w:val="1275"/>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统筹做好各办公区驻院单位、专班和工作机构进驻及重要会议的服务保障</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1.市金融局相关需求。</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2.市投促中心进驻。</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3.市政务局市民热线中心进驻。</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4.首都之窗运行管理中心进驻。</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5.北池子35号院进驻运行保障。</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6.市政务服务局牵头成立的“京策”平台建设工作专班、“一业一证”工作专班、政府网站能力提升专班3个工作专班的进驻。</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7.市公共卫生应急管理中心进驻。</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8.台基厂大街西侧院开办准备。</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9.做好参加局第一届物业服务技能比赛前期准备工作。</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10.“一带一路”志愿者专班进驻工作。</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11.城区相关院落调研准备。</w:t>
            </w:r>
          </w:p>
          <w:p w:rsidR="00444AE3" w:rsidRDefault="00C93113">
            <w:pPr>
              <w:widowControl/>
              <w:adjustRightInd w:val="0"/>
              <w:snapToGrid w:val="0"/>
              <w:textAlignment w:val="center"/>
              <w:rPr>
                <w:rFonts w:ascii="宋体" w:hAnsi="宋体" w:cs="宋体"/>
                <w:color w:val="000000"/>
                <w:kern w:val="0"/>
                <w:sz w:val="20"/>
                <w:szCs w:val="20"/>
              </w:rPr>
            </w:pPr>
            <w:r>
              <w:rPr>
                <w:rFonts w:ascii="宋体" w:hAnsi="宋体" w:cs="宋体" w:hint="eastAsia"/>
                <w:color w:val="000000"/>
                <w:kern w:val="0"/>
                <w:sz w:val="20"/>
                <w:szCs w:val="20"/>
              </w:rPr>
              <w:t>12.做好驻院单位搬迁前期准备工作、搬迁后房屋修缮摸底，市级机关第二批搬迁服务保障工作。</w:t>
            </w:r>
          </w:p>
          <w:p w:rsidR="00444AE3" w:rsidRDefault="00C93113">
            <w:pPr>
              <w:widowControl/>
              <w:adjustRightInd w:val="0"/>
              <w:snapToGrid w:val="0"/>
              <w:textAlignment w:val="center"/>
              <w:rPr>
                <w:rFonts w:ascii="宋体" w:hAnsi="宋体" w:cs="宋体"/>
                <w:color w:val="000000"/>
                <w:sz w:val="20"/>
                <w:szCs w:val="20"/>
              </w:rPr>
            </w:pPr>
            <w:r>
              <w:rPr>
                <w:rFonts w:ascii="宋体" w:hAnsi="宋体" w:cs="宋体" w:hint="eastAsia"/>
                <w:color w:val="000000"/>
                <w:kern w:val="0"/>
                <w:sz w:val="20"/>
                <w:szCs w:val="20"/>
              </w:rPr>
              <w:t>13.光明日报社进驻。</w:t>
            </w:r>
          </w:p>
        </w:tc>
      </w:tr>
      <w:tr w:rsidR="00444AE3">
        <w:trPr>
          <w:trHeight w:val="1901"/>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加强机关事务工作标准化和规范化建设，按照法定程序做好集中办公区社会化服务项目的招标</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1.六里桥办公区会议室改造工程相关工作。</w:t>
            </w:r>
          </w:p>
        </w:tc>
      </w:tr>
      <w:tr w:rsidR="00444AE3">
        <w:trPr>
          <w:trHeight w:val="510"/>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加大改善和优化服务保障环境</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1.研究北车库有关工作。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2.北池子35号院运行保障。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3.为“两会”住地公安部门提供用电服务。</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4.停暖后供暖设施设备维护保养。</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5.西松树15号院管理工作。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6.台基厂8号院老干部活动配套场所开办工作。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7.做好供暖前相关准备工作、冬季供暖工作。</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8.市政务中心内部和周边交通标线优化提升。</w:t>
            </w:r>
          </w:p>
        </w:tc>
      </w:tr>
      <w:tr w:rsidR="00444AE3">
        <w:trPr>
          <w:trHeight w:val="1408"/>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提升安全供餐的品质</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1.机关食堂餐饮服务保障情况调研汇报。</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2.做好中秋、国庆节日布置、食品展示展卖和节日期间服务保障工作。</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3.做好集中办公区食堂就餐卡增加非现金充值方式功能。</w:t>
            </w:r>
          </w:p>
        </w:tc>
      </w:tr>
      <w:tr w:rsidR="00444AE3">
        <w:trPr>
          <w:trHeight w:val="4590"/>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10</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加强安全管理力度</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1.做好“两会”期间安全工作。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2.监控、消防报警系统维修改造及调试验收。</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3.清扫变电所设备，高压用具耐压、避雷设施检测。</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4.东交民巷员工宿舍修缮改造、竣工验收。</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5.东四六条办公区配电室改造工程。</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6.继续推进北车库危楼整改工作。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7.清明节、劳动节、端午节、中秋节、国庆节、元旦节前安全检查和节日期间安全工作。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8.布置平安北京建设工作计划、消防安全专项整治深化年行动实施方案。</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9.更新外围及地下停车场监控设备。</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10.消防安全大排查和消防安全专项整治深化年工作。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11.台基厂大街2号院、8号院修缮改造、竣工验收，以及相关院落消防设备更换及维修。</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12.4号楼部分办公室空调电气线路改造。</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13.防汛工作检查及防汛应急抢险。</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14.安全生产和火灾隐患大排查大整治和消防安全专项整治深化年工作。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15.对礼堂裂缝进行安全鉴定。</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16.开展涉密网络运维管理突出问题专项整治。</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17.为中环、六里桥办公区安装人脸识别系统。</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18.东四六条67号院阳光棚通风降温配套设施维修改造、电动户外遮阳帘安装工程。</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19.开展有限空间作业“双防一推进”（防止违规作业、防止盲目施救、推进企业落实主体责任）安全检查专项行动。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20.完成南礼士路办公区监控系统改造。</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21.东四六条67、71号院门楼古建修复工程。</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22.台基厂5号院电梯更换工作、8号院1号楼电梯加装工作。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23.开展119消防宣传月主题活动。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24.南礼士路办公区南楼北楼房屋安全鉴定。</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25.六里桥办公区部分屋面退台防水维修施工、部分墙体套管漏水维修工作。</w:t>
            </w:r>
          </w:p>
        </w:tc>
      </w:tr>
      <w:tr w:rsidR="00444AE3">
        <w:trPr>
          <w:trHeight w:val="4335"/>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加大预算管理和资产管理力度</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1.研究预算执行审计情况报告中整改措施和经营性资产划转、运行保障等情况。</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2.听取食堂财务集中核算管理情况。</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3.政务中心大楼产权交接、资产移交接收。</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4.信息公开大厅搬迁。</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5.清产核资、注销事业单位法人。</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6.经营性资产划转。</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7.资产清查盘点，督促清查盘点问题整改落实工作，上报2022年资产年报。</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8.2022年度预算执行审计、编制2022年决算草案。</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9.国有经营性资产划转。</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10.财务审计整改。</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11.市档案馆（旧馆）移交工作申请开办预算。</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12.编制2024年预算。</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13.管理中心产权登记年度检查、集中办公区资产清查盘点工作。</w:t>
            </w:r>
          </w:p>
        </w:tc>
      </w:tr>
      <w:tr w:rsidR="00444AE3">
        <w:trPr>
          <w:trHeight w:val="765"/>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医疗服务保障工作</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1.将退休人员纳入市级补充医疗保险事宜。</w:t>
            </w:r>
          </w:p>
        </w:tc>
      </w:tr>
      <w:tr w:rsidR="00444AE3">
        <w:trPr>
          <w:trHeight w:val="1020"/>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13</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以党建带群建促团建，加强群团工作</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1.班子民主生活会（谈心谈话）。</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2.组织“三八”妇女节活动。</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3.与民盟中央文化委举办中轴线申遗相关活动、大美中轴百米长卷观摩展活动。</w:t>
            </w:r>
          </w:p>
        </w:tc>
      </w:tr>
      <w:tr w:rsidR="00444AE3">
        <w:trPr>
          <w:trHeight w:val="3825"/>
          <w:jc w:val="center"/>
        </w:trPr>
        <w:tc>
          <w:tcPr>
            <w:tcW w:w="2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textAlignment w:val="center"/>
              <w:rPr>
                <w:rFonts w:ascii="宋体" w:hAnsi="宋体" w:cs="宋体"/>
                <w:color w:val="000000"/>
                <w:sz w:val="20"/>
                <w:szCs w:val="20"/>
              </w:rPr>
            </w:pPr>
            <w:r>
              <w:rPr>
                <w:rFonts w:ascii="宋体" w:hAnsi="宋体" w:cs="宋体" w:hint="eastAsia"/>
                <w:color w:val="000000"/>
                <w:kern w:val="0"/>
                <w:sz w:val="20"/>
                <w:szCs w:val="20"/>
              </w:rPr>
              <w:t>幼儿教育工作</w:t>
            </w:r>
          </w:p>
        </w:tc>
        <w:tc>
          <w:tcPr>
            <w:tcW w:w="38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1.托幼机构筹建情况汇报。</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2.开展“巧手慧童心  传播中华情”主题环创活动。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3.开展“二十四节气”园本视频拍摄活动。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4.组织教师参加美育教育、创造教育征文活动。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5.开展“西城杯”幼儿园教师实践评优活动。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6.副中心行政办公区朗清园托幼班试运行、开班。</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7.组织“六一”儿童节暨大班毕业典礼和文艺汇演。</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8.开展中轴线传统文化活动。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9.购置幼儿园操场音响设备、音体室灯光设备、备课室一体机。</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10.组织幼小衔接系列活动。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11.组织幼儿讲故事大赛。</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12.组织幼儿体能测试。</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13.参加区教委师德专题教育集中学习和大班幼小衔接总结会。</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14.做好幼儿园区级教研活动展示、组织新入职教师培训、新学期岗前培训工作。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15.新学期开学、新生入园准备工作。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16.组织新学期开学典礼、新生入园亲子半日活动和开学第一课活动。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17.开展教师节主题庆祝活动。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18.配合西城区教委做好挂牌督学之星拍摄纪录片工作。</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19.做好东城区幼儿园卫生保健综合评价迎检准备工作，迎接综合评价检查。</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20.开展“共读经典故事，传承红色文化”爱国主义教育宣传月活动。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21.开展幼儿园亲子运动会活动。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22.开展幼儿冬季锻炼启动仪式及系列活动。</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23.开展朗清园托班秋季亲子运动会。</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24.开展24节气传统文化教育活动教研。</w:t>
            </w:r>
          </w:p>
          <w:p w:rsidR="00444AE3" w:rsidRDefault="00C93113">
            <w:pPr>
              <w:widowControl/>
              <w:adjustRightInd w:val="0"/>
              <w:snapToGrid w:val="0"/>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25.开展集体舞和武术操展示活动。</w:t>
            </w:r>
          </w:p>
          <w:p w:rsidR="00444AE3" w:rsidRDefault="00C93113">
            <w:pPr>
              <w:widowControl/>
              <w:adjustRightInd w:val="0"/>
              <w:snapToGrid w:val="0"/>
              <w:jc w:val="left"/>
              <w:textAlignment w:val="center"/>
              <w:rPr>
                <w:rFonts w:ascii="宋体" w:hAnsi="宋体" w:cs="宋体"/>
                <w:color w:val="000000"/>
                <w:sz w:val="20"/>
                <w:szCs w:val="20"/>
              </w:rPr>
            </w:pPr>
            <w:r>
              <w:rPr>
                <w:rFonts w:ascii="宋体" w:hAnsi="宋体" w:cs="宋体" w:hint="eastAsia"/>
                <w:color w:val="000000"/>
                <w:kern w:val="0"/>
                <w:sz w:val="20"/>
                <w:szCs w:val="20"/>
              </w:rPr>
              <w:t>26.开展迎新年主题活动。</w:t>
            </w:r>
          </w:p>
        </w:tc>
      </w:tr>
    </w:tbl>
    <w:p w:rsidR="00444AE3" w:rsidRDefault="00444AE3">
      <w:pPr>
        <w:adjustRightInd w:val="0"/>
        <w:snapToGrid w:val="0"/>
        <w:spacing w:line="360" w:lineRule="auto"/>
        <w:ind w:firstLineChars="200" w:firstLine="400"/>
        <w:rPr>
          <w:rFonts w:ascii="楷体_GB2312" w:eastAsia="楷体_GB2312"/>
          <w:sz w:val="20"/>
          <w:szCs w:val="20"/>
        </w:rPr>
      </w:pPr>
    </w:p>
    <w:p w:rsidR="00444AE3" w:rsidRDefault="00C93113">
      <w:pPr>
        <w:adjustRightInd w:val="0"/>
        <w:snapToGrid w:val="0"/>
        <w:spacing w:line="360" w:lineRule="auto"/>
        <w:ind w:firstLineChars="200" w:firstLine="640"/>
        <w:outlineLvl w:val="1"/>
        <w:rPr>
          <w:rFonts w:ascii="楷体_GB2312" w:eastAsia="楷体_GB2312"/>
          <w:sz w:val="32"/>
          <w:szCs w:val="32"/>
        </w:rPr>
      </w:pPr>
      <w:bookmarkStart w:id="5" w:name="_Toc3766"/>
      <w:r>
        <w:rPr>
          <w:rFonts w:ascii="楷体_GB2312" w:eastAsia="楷体_GB2312" w:hint="eastAsia"/>
          <w:sz w:val="32"/>
          <w:szCs w:val="32"/>
        </w:rPr>
        <w:t>（二）部门整体绩效目标设立情况</w:t>
      </w:r>
      <w:bookmarkEnd w:id="5"/>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r>
        <w:rPr>
          <w:rFonts w:ascii="仿宋_GB2312" w:eastAsia="仿宋_GB2312" w:hint="eastAsia"/>
          <w:bCs/>
          <w:sz w:val="32"/>
          <w:szCs w:val="32"/>
        </w:rPr>
        <w:t>绩效目标设立依据</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市机关事务管理中心根据2023年度部门预算编制要求、围绕部门职能职责、结合2023年度重点工作，设置了部门整体绩效目标，主要设立依据如下：</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（1）《中华人民共和国预算法》；</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（2）《国务院关于进一步深化预算管理制度改革的意</w:t>
      </w:r>
      <w:r>
        <w:rPr>
          <w:rFonts w:ascii="仿宋_GB2312" w:eastAsia="仿宋_GB2312" w:hAnsi="宋体" w:cs="宋体" w:hint="eastAsia"/>
          <w:color w:val="000000"/>
          <w:kern w:val="0"/>
          <w:sz w:val="32"/>
          <w:szCs w:val="32"/>
        </w:rPr>
        <w:lastRenderedPageBreak/>
        <w:t>见》（国发</w:t>
      </w:r>
      <w:r>
        <w:rPr>
          <w:rFonts w:ascii="仿宋_GB2312" w:eastAsia="仿宋_GB2312" w:hAnsi="宋体" w:cs="宋体"/>
          <w:color w:val="000000"/>
          <w:kern w:val="0"/>
          <w:sz w:val="32"/>
          <w:szCs w:val="32"/>
        </w:rPr>
        <w:t>〔20</w:t>
      </w:r>
      <w:r>
        <w:rPr>
          <w:rFonts w:ascii="仿宋_GB2312" w:eastAsia="仿宋_GB2312" w:hAnsi="宋体" w:cs="宋体" w:hint="eastAsia"/>
          <w:color w:val="000000"/>
          <w:kern w:val="0"/>
          <w:sz w:val="32"/>
          <w:szCs w:val="32"/>
        </w:rPr>
        <w:t>21</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5</w:t>
      </w:r>
      <w:r>
        <w:rPr>
          <w:rFonts w:ascii="仿宋_GB2312" w:eastAsia="仿宋_GB2312" w:hAnsi="宋体" w:cs="宋体"/>
          <w:color w:val="000000"/>
          <w:kern w:val="0"/>
          <w:sz w:val="32"/>
          <w:szCs w:val="32"/>
        </w:rPr>
        <w:t>号</w:t>
      </w:r>
      <w:r>
        <w:rPr>
          <w:rFonts w:ascii="仿宋_GB2312" w:eastAsia="仿宋_GB2312" w:hAnsi="宋体" w:cs="宋体" w:hint="eastAsia"/>
          <w:color w:val="000000"/>
          <w:kern w:val="0"/>
          <w:sz w:val="32"/>
          <w:szCs w:val="32"/>
        </w:rPr>
        <w:t>）；</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《中共北京市委 北京市人民政府关于全面实施预算绩效管理的实施意见》（京发〔2019〕12号）</w:t>
      </w:r>
      <w:r>
        <w:rPr>
          <w:rFonts w:ascii="仿宋_GB2312" w:eastAsia="仿宋_GB2312" w:hAnsi="宋体" w:cs="宋体" w:hint="eastAsia"/>
          <w:color w:val="000000"/>
          <w:kern w:val="0"/>
          <w:sz w:val="32"/>
          <w:szCs w:val="32"/>
        </w:rPr>
        <w:t>；</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（4）《北京市财政局关于编制2023年市级部门预算的通知》</w:t>
      </w:r>
      <w:r>
        <w:rPr>
          <w:rFonts w:ascii="仿宋_GB2312" w:eastAsia="仿宋_GB2312" w:hAnsi="宋体" w:cs="宋体"/>
          <w:color w:val="000000"/>
          <w:kern w:val="0"/>
          <w:sz w:val="32"/>
          <w:szCs w:val="32"/>
        </w:rPr>
        <w:t>（京财</w:t>
      </w:r>
      <w:r>
        <w:rPr>
          <w:rFonts w:ascii="仿宋_GB2312" w:eastAsia="仿宋_GB2312" w:hAnsi="宋体" w:cs="宋体" w:hint="eastAsia"/>
          <w:color w:val="000000"/>
          <w:kern w:val="0"/>
          <w:sz w:val="32"/>
          <w:szCs w:val="32"/>
        </w:rPr>
        <w:t>预</w:t>
      </w:r>
      <w:r>
        <w:rPr>
          <w:rFonts w:ascii="仿宋_GB2312" w:eastAsia="仿宋_GB2312" w:hAnsi="宋体" w:cs="宋体"/>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2133</w:t>
      </w:r>
      <w:r>
        <w:rPr>
          <w:rFonts w:ascii="仿宋_GB2312" w:eastAsia="仿宋_GB2312" w:hAnsi="宋体" w:cs="宋体"/>
          <w:color w:val="000000"/>
          <w:kern w:val="0"/>
          <w:sz w:val="32"/>
          <w:szCs w:val="32"/>
        </w:rPr>
        <w:t>号)</w:t>
      </w:r>
      <w:r>
        <w:rPr>
          <w:rFonts w:ascii="仿宋_GB2312" w:eastAsia="仿宋_GB2312" w:hAnsi="宋体" w:cs="宋体" w:hint="eastAsia"/>
          <w:color w:val="000000"/>
          <w:kern w:val="0"/>
          <w:sz w:val="32"/>
          <w:szCs w:val="32"/>
        </w:rPr>
        <w:t>；</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（5）《北京市财政局关于2023年推进全面实施预算绩效管理工作的通知》；</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）《中共北京市委机构编制委员会关于印发北京市机关事务管理中心机构职能编制规定的通知》（京编委发〔2021〕14号）；</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7</w:t>
      </w:r>
      <w:r>
        <w:rPr>
          <w:rFonts w:ascii="仿宋_GB2312" w:eastAsia="仿宋_GB2312" w:hAnsi="宋体" w:cs="宋体" w:hint="eastAsia"/>
          <w:color w:val="000000"/>
          <w:kern w:val="0"/>
          <w:sz w:val="32"/>
          <w:szCs w:val="32"/>
        </w:rPr>
        <w:t>）《中共北京市委机构编制委员会关于市机关事务局所属事业单位改革有关事项的批复》（京编委〔2021〕139号）；</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8</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《北京市机关事务管理中心内设机构岗位说明书》</w:t>
      </w:r>
      <w:r>
        <w:rPr>
          <w:rFonts w:ascii="仿宋_GB2312" w:eastAsia="仿宋_GB2312" w:hAnsi="宋体" w:cs="宋体" w:hint="eastAsia"/>
          <w:color w:val="000000"/>
          <w:kern w:val="0"/>
          <w:sz w:val="32"/>
          <w:szCs w:val="32"/>
        </w:rPr>
        <w:t>；</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《管理中心202</w:t>
      </w:r>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年重点工作安排》</w:t>
      </w:r>
      <w:r>
        <w:rPr>
          <w:rFonts w:ascii="仿宋_GB2312" w:eastAsia="仿宋_GB2312" w:hAnsi="宋体" w:cs="宋体" w:hint="eastAsia"/>
          <w:color w:val="000000"/>
          <w:kern w:val="0"/>
          <w:sz w:val="32"/>
          <w:szCs w:val="32"/>
        </w:rPr>
        <w:t>；</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10</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各处室202</w:t>
      </w:r>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年度工作计划</w:t>
      </w:r>
      <w:r>
        <w:rPr>
          <w:rFonts w:ascii="仿宋_GB2312" w:eastAsia="仿宋_GB2312" w:hAnsi="宋体" w:cs="宋体" w:hint="eastAsia"/>
          <w:color w:val="000000"/>
          <w:kern w:val="0"/>
          <w:sz w:val="32"/>
          <w:szCs w:val="32"/>
        </w:rPr>
        <w:t>；</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11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各预算项目申报文本及绩效目标</w:t>
      </w:r>
      <w:r>
        <w:rPr>
          <w:rFonts w:ascii="仿宋_GB2312" w:eastAsia="仿宋_GB2312" w:hAnsi="宋体" w:cs="宋体" w:hint="eastAsia"/>
          <w:color w:val="000000"/>
          <w:kern w:val="0"/>
          <w:sz w:val="32"/>
          <w:szCs w:val="32"/>
        </w:rPr>
        <w:t>；</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12</w:t>
      </w:r>
      <w:r>
        <w:rPr>
          <w:rFonts w:ascii="仿宋_GB2312" w:eastAsia="仿宋_GB2312" w:hAnsi="宋体" w:cs="宋体" w:hint="eastAsia"/>
          <w:color w:val="000000"/>
          <w:kern w:val="0"/>
          <w:sz w:val="32"/>
          <w:szCs w:val="32"/>
        </w:rPr>
        <w:t>）其他相关资料；</w:t>
      </w: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部门整体</w:t>
      </w:r>
      <w:r>
        <w:rPr>
          <w:rFonts w:ascii="仿宋_GB2312" w:eastAsia="仿宋_GB2312" w:hint="eastAsia"/>
          <w:bCs/>
          <w:sz w:val="32"/>
          <w:szCs w:val="32"/>
        </w:rPr>
        <w:t>年度绩效目标及分项绩效指标</w:t>
      </w:r>
    </w:p>
    <w:p w:rsidR="00444AE3" w:rsidRDefault="00C93113">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市机关事务管理中心结合部门职能职责、年度工作计划及相关预算绩效管理文件要求，设置了部门整体年度绩效目标。围绕部门整体年度绩效目标、年度重点工作，从后勤服</w:t>
      </w:r>
      <w:r>
        <w:rPr>
          <w:rFonts w:ascii="仿宋_GB2312" w:eastAsia="仿宋_GB2312" w:hint="eastAsia"/>
          <w:sz w:val="32"/>
          <w:szCs w:val="32"/>
        </w:rPr>
        <w:lastRenderedPageBreak/>
        <w:t>务、后勤管理、日常运转等方面分解制定了部门具体绩效指标（见表3）。</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int="eastAsia"/>
          <w:sz w:val="32"/>
          <w:szCs w:val="32"/>
        </w:rPr>
        <w:t>部门整体年度绩效目标：结合市机关事务管理中心部门职能职责及实际工作需要，认真履行好核心区集中办公区的行政管理和服务保障工作，包含“维修改造、设备更新、房屋管理、安保管理、财务及资产管理”等后勤服务保障工作，“文件办理、会议组织与保障、人事管理、节能节水及环境改善”等行政服务工作，“环境及治安整治、精神文明建设、交通安全、防疫防控、信访安全”等社会事务管理工作。通过年度各项重点工作的开展，创造良好办公环境、推动机关事务管理效率和服务水平的提升。</w:t>
      </w:r>
    </w:p>
    <w:p w:rsidR="00444AE3" w:rsidRDefault="00C93113">
      <w:pPr>
        <w:adjustRightInd w:val="0"/>
        <w:snapToGrid w:val="0"/>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3</w:t>
      </w:r>
      <w:r>
        <w:rPr>
          <w:rFonts w:ascii="黑体" w:eastAsia="黑体" w:hAnsi="黑体" w:hint="eastAsia"/>
          <w:sz w:val="28"/>
          <w:szCs w:val="28"/>
        </w:rPr>
        <w:t>：市机关事务管理中心2</w:t>
      </w:r>
      <w:r>
        <w:rPr>
          <w:rFonts w:ascii="黑体" w:eastAsia="黑体" w:hAnsi="黑体"/>
          <w:sz w:val="28"/>
          <w:szCs w:val="28"/>
        </w:rPr>
        <w:t>02</w:t>
      </w:r>
      <w:r>
        <w:rPr>
          <w:rFonts w:ascii="黑体" w:eastAsia="黑体" w:hAnsi="黑体" w:hint="eastAsia"/>
          <w:sz w:val="28"/>
          <w:szCs w:val="28"/>
        </w:rPr>
        <w:t>3</w:t>
      </w:r>
      <w:r>
        <w:rPr>
          <w:rFonts w:ascii="黑体" w:eastAsia="黑体" w:hAnsi="黑体"/>
          <w:sz w:val="28"/>
          <w:szCs w:val="28"/>
        </w:rPr>
        <w:t>年度</w:t>
      </w:r>
      <w:r>
        <w:rPr>
          <w:rFonts w:ascii="黑体" w:eastAsia="黑体" w:hAnsi="黑体" w:hint="eastAsia"/>
          <w:sz w:val="28"/>
          <w:szCs w:val="28"/>
        </w:rPr>
        <w:t>部门分项绩效指标</w:t>
      </w:r>
    </w:p>
    <w:tbl>
      <w:tblPr>
        <w:tblW w:w="5000" w:type="pct"/>
        <w:tblCellMar>
          <w:left w:w="28" w:type="dxa"/>
          <w:right w:w="28" w:type="dxa"/>
        </w:tblCellMar>
        <w:tblLook w:val="04A0"/>
      </w:tblPr>
      <w:tblGrid>
        <w:gridCol w:w="707"/>
        <w:gridCol w:w="880"/>
        <w:gridCol w:w="6775"/>
      </w:tblGrid>
      <w:tr w:rsidR="00444AE3">
        <w:trPr>
          <w:trHeight w:val="534"/>
          <w:tblHeader/>
        </w:trPr>
        <w:tc>
          <w:tcPr>
            <w:tcW w:w="423" w:type="pct"/>
            <w:tcBorders>
              <w:top w:val="single" w:sz="4" w:space="0" w:color="000000"/>
              <w:left w:val="single" w:sz="4" w:space="0" w:color="000000"/>
              <w:bottom w:val="single" w:sz="4" w:space="0" w:color="000000"/>
              <w:right w:val="single" w:sz="4" w:space="0" w:color="000000"/>
            </w:tcBorders>
            <w:vAlign w:val="center"/>
          </w:tcPr>
          <w:p w:rsidR="00444AE3" w:rsidRDefault="00C93113">
            <w:pPr>
              <w:widowControl/>
              <w:jc w:val="center"/>
              <w:rPr>
                <w:rFonts w:ascii="宋体" w:hAnsi="宋体" w:cs="Arial"/>
                <w:b/>
                <w:bCs/>
                <w:color w:val="000000"/>
                <w:kern w:val="0"/>
                <w:sz w:val="20"/>
                <w:szCs w:val="20"/>
              </w:rPr>
            </w:pPr>
            <w:r>
              <w:rPr>
                <w:rFonts w:ascii="宋体" w:hAnsi="宋体" w:cs="Arial" w:hint="eastAsia"/>
                <w:b/>
                <w:bCs/>
                <w:color w:val="000000"/>
                <w:kern w:val="0"/>
                <w:sz w:val="20"/>
                <w:szCs w:val="20"/>
              </w:rPr>
              <w:t>序号</w:t>
            </w:r>
          </w:p>
        </w:tc>
        <w:tc>
          <w:tcPr>
            <w:tcW w:w="5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rPr>
                <w:rFonts w:ascii="宋体" w:hAnsi="宋体" w:cs="Arial"/>
                <w:b/>
                <w:bCs/>
                <w:color w:val="000000"/>
                <w:kern w:val="0"/>
                <w:sz w:val="20"/>
                <w:szCs w:val="20"/>
              </w:rPr>
            </w:pPr>
            <w:r>
              <w:rPr>
                <w:rFonts w:ascii="宋体" w:hAnsi="宋体" w:cs="Arial" w:hint="eastAsia"/>
                <w:b/>
                <w:bCs/>
                <w:color w:val="000000"/>
                <w:kern w:val="0"/>
                <w:sz w:val="20"/>
                <w:szCs w:val="20"/>
              </w:rPr>
              <w:t>分项绩效指标</w:t>
            </w:r>
          </w:p>
        </w:tc>
        <w:tc>
          <w:tcPr>
            <w:tcW w:w="40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rPr>
                <w:rFonts w:ascii="宋体" w:hAnsi="宋体" w:cs="Arial"/>
                <w:b/>
                <w:bCs/>
                <w:color w:val="000000"/>
                <w:kern w:val="0"/>
                <w:sz w:val="20"/>
                <w:szCs w:val="20"/>
              </w:rPr>
            </w:pPr>
            <w:r>
              <w:rPr>
                <w:rFonts w:ascii="宋体" w:hAnsi="宋体" w:cs="Arial" w:hint="eastAsia"/>
                <w:b/>
                <w:bCs/>
                <w:color w:val="000000"/>
                <w:kern w:val="0"/>
                <w:sz w:val="20"/>
                <w:szCs w:val="20"/>
              </w:rPr>
              <w:t>分项指标具体内容</w:t>
            </w:r>
          </w:p>
        </w:tc>
      </w:tr>
      <w:tr w:rsidR="00444AE3">
        <w:trPr>
          <w:trHeight w:val="1740"/>
        </w:trPr>
        <w:tc>
          <w:tcPr>
            <w:tcW w:w="423" w:type="pct"/>
            <w:tcBorders>
              <w:top w:val="single" w:sz="4" w:space="0" w:color="000000"/>
              <w:left w:val="single" w:sz="4" w:space="0" w:color="000000"/>
              <w:bottom w:val="single" w:sz="4" w:space="0" w:color="000000"/>
              <w:right w:val="single" w:sz="4" w:space="0" w:color="000000"/>
            </w:tcBorders>
            <w:vAlign w:val="center"/>
          </w:tcPr>
          <w:p w:rsidR="00444AE3" w:rsidRDefault="00C93113">
            <w:pPr>
              <w:widowControl/>
              <w:jc w:val="center"/>
              <w:rPr>
                <w:rFonts w:ascii="宋体" w:hAnsi="宋体" w:cs="Arial"/>
                <w:color w:val="000000"/>
                <w:kern w:val="0"/>
                <w:sz w:val="20"/>
                <w:szCs w:val="20"/>
              </w:rPr>
            </w:pPr>
            <w:r>
              <w:rPr>
                <w:rFonts w:ascii="宋体" w:hAnsi="宋体" w:cs="Arial" w:hint="eastAsia"/>
                <w:color w:val="000000"/>
                <w:kern w:val="0"/>
                <w:sz w:val="20"/>
                <w:szCs w:val="20"/>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rPr>
                <w:rFonts w:ascii="宋体" w:hAnsi="宋体" w:cs="Arial"/>
                <w:color w:val="000000"/>
                <w:kern w:val="0"/>
                <w:sz w:val="20"/>
                <w:szCs w:val="20"/>
              </w:rPr>
            </w:pPr>
            <w:r>
              <w:rPr>
                <w:rFonts w:ascii="宋体" w:hAnsi="宋体" w:cs="Arial" w:hint="eastAsia"/>
                <w:color w:val="000000"/>
                <w:kern w:val="0"/>
                <w:sz w:val="20"/>
                <w:szCs w:val="20"/>
              </w:rPr>
              <w:t>后勤服务</w:t>
            </w:r>
          </w:p>
        </w:tc>
        <w:tc>
          <w:tcPr>
            <w:tcW w:w="40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left"/>
              <w:rPr>
                <w:rFonts w:ascii="宋体" w:hAnsi="宋体" w:cs="Arial"/>
                <w:color w:val="000000"/>
                <w:kern w:val="0"/>
                <w:sz w:val="20"/>
                <w:szCs w:val="20"/>
              </w:rPr>
            </w:pPr>
            <w:r>
              <w:rPr>
                <w:rFonts w:ascii="宋体" w:hAnsi="宋体" w:cs="宋体" w:hint="eastAsia"/>
                <w:color w:val="000000"/>
                <w:kern w:val="0"/>
                <w:sz w:val="20"/>
                <w:szCs w:val="20"/>
              </w:rPr>
              <w:t>维修改造、设备更新等后勤服务工作保障月数＝12月；及时开展后勤服务工作，并及时支出相应费用≤11月；办公区内工作人员对后勤服务工作满意度≥90%；购置、更新及维修等工作均符合相应的工程质量标准，能够满足办公区内工作需求；做好维修、更新设备设施工作，满足日常办公对办公用品及设施的需求，支撑日常工作的开展。</w:t>
            </w:r>
          </w:p>
        </w:tc>
      </w:tr>
      <w:tr w:rsidR="00444AE3">
        <w:trPr>
          <w:trHeight w:val="1600"/>
        </w:trPr>
        <w:tc>
          <w:tcPr>
            <w:tcW w:w="423" w:type="pct"/>
            <w:tcBorders>
              <w:top w:val="single" w:sz="4" w:space="0" w:color="000000"/>
              <w:left w:val="single" w:sz="4" w:space="0" w:color="000000"/>
              <w:bottom w:val="single" w:sz="4" w:space="0" w:color="000000"/>
              <w:right w:val="single" w:sz="4" w:space="0" w:color="000000"/>
            </w:tcBorders>
            <w:vAlign w:val="center"/>
          </w:tcPr>
          <w:p w:rsidR="00444AE3" w:rsidRDefault="00C93113">
            <w:pPr>
              <w:widowControl/>
              <w:jc w:val="center"/>
              <w:rPr>
                <w:rFonts w:ascii="宋体" w:hAnsi="宋体" w:cs="Arial"/>
                <w:color w:val="000000"/>
                <w:kern w:val="0"/>
                <w:sz w:val="20"/>
                <w:szCs w:val="20"/>
              </w:rPr>
            </w:pPr>
            <w:r>
              <w:rPr>
                <w:rFonts w:ascii="宋体" w:hAnsi="宋体" w:cs="Arial" w:hint="eastAsia"/>
                <w:color w:val="000000"/>
                <w:kern w:val="0"/>
                <w:sz w:val="20"/>
                <w:szCs w:val="20"/>
              </w:rPr>
              <w:t>2</w:t>
            </w:r>
          </w:p>
        </w:tc>
        <w:tc>
          <w:tcPr>
            <w:tcW w:w="5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rPr>
                <w:rFonts w:ascii="宋体" w:hAnsi="宋体" w:cs="Arial"/>
                <w:color w:val="000000"/>
                <w:kern w:val="0"/>
                <w:sz w:val="20"/>
                <w:szCs w:val="20"/>
              </w:rPr>
            </w:pPr>
            <w:r>
              <w:rPr>
                <w:rFonts w:ascii="宋体" w:hAnsi="宋体" w:cs="Arial" w:hint="eastAsia"/>
                <w:color w:val="000000"/>
                <w:kern w:val="0"/>
                <w:sz w:val="20"/>
                <w:szCs w:val="20"/>
              </w:rPr>
              <w:t>后勤管理</w:t>
            </w:r>
          </w:p>
        </w:tc>
        <w:tc>
          <w:tcPr>
            <w:tcW w:w="40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left"/>
              <w:rPr>
                <w:rFonts w:ascii="宋体" w:hAnsi="宋体" w:cs="Arial"/>
                <w:color w:val="000000"/>
                <w:kern w:val="0"/>
                <w:sz w:val="20"/>
                <w:szCs w:val="20"/>
              </w:rPr>
            </w:pPr>
            <w:r>
              <w:rPr>
                <w:rFonts w:ascii="宋体" w:hAnsi="宋体" w:cs="Arial" w:hint="eastAsia"/>
                <w:color w:val="000000"/>
                <w:kern w:val="0"/>
                <w:sz w:val="20"/>
                <w:szCs w:val="20"/>
              </w:rPr>
              <w:t>食品安全事故＝0次；及时完成后勤保障工作相应的合同签订≤11月；有效完成全年供餐、物业管理、互联网接入等后勤管理工作≥3项；办公区内工作人员对后勤管理工作满意度≥90%；保障办公区物业环境，消除安全隐患，提供办公区的物业保障。</w:t>
            </w:r>
          </w:p>
        </w:tc>
      </w:tr>
      <w:tr w:rsidR="00444AE3">
        <w:trPr>
          <w:trHeight w:val="936"/>
        </w:trPr>
        <w:tc>
          <w:tcPr>
            <w:tcW w:w="423" w:type="pct"/>
            <w:tcBorders>
              <w:top w:val="single" w:sz="4" w:space="0" w:color="000000"/>
              <w:left w:val="single" w:sz="4" w:space="0" w:color="000000"/>
              <w:bottom w:val="single" w:sz="4" w:space="0" w:color="000000"/>
              <w:right w:val="single" w:sz="4" w:space="0" w:color="000000"/>
            </w:tcBorders>
            <w:vAlign w:val="center"/>
          </w:tcPr>
          <w:p w:rsidR="00444AE3" w:rsidRDefault="00C93113">
            <w:pPr>
              <w:widowControl/>
              <w:jc w:val="center"/>
              <w:rPr>
                <w:rFonts w:ascii="宋体" w:hAnsi="宋体" w:cs="Arial"/>
                <w:color w:val="000000"/>
                <w:kern w:val="0"/>
                <w:sz w:val="20"/>
                <w:szCs w:val="20"/>
              </w:rPr>
            </w:pPr>
            <w:r>
              <w:rPr>
                <w:rFonts w:ascii="宋体" w:hAnsi="宋体" w:cs="Arial" w:hint="eastAsia"/>
                <w:color w:val="000000"/>
                <w:kern w:val="0"/>
                <w:sz w:val="20"/>
                <w:szCs w:val="20"/>
              </w:rPr>
              <w:t>3</w:t>
            </w:r>
          </w:p>
        </w:tc>
        <w:tc>
          <w:tcPr>
            <w:tcW w:w="52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rPr>
                <w:rFonts w:ascii="宋体" w:hAnsi="宋体" w:cs="Arial"/>
                <w:color w:val="000000"/>
                <w:kern w:val="0"/>
                <w:sz w:val="20"/>
                <w:szCs w:val="20"/>
              </w:rPr>
            </w:pPr>
            <w:r>
              <w:rPr>
                <w:rFonts w:ascii="宋体" w:hAnsi="宋体" w:cs="Arial" w:hint="eastAsia"/>
                <w:color w:val="000000"/>
                <w:kern w:val="0"/>
                <w:sz w:val="20"/>
                <w:szCs w:val="20"/>
              </w:rPr>
              <w:t>日常运转</w:t>
            </w:r>
          </w:p>
        </w:tc>
        <w:tc>
          <w:tcPr>
            <w:tcW w:w="40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left"/>
              <w:rPr>
                <w:rFonts w:ascii="宋体" w:hAnsi="宋体" w:cs="Arial"/>
                <w:color w:val="000000"/>
                <w:kern w:val="0"/>
                <w:sz w:val="20"/>
                <w:szCs w:val="20"/>
              </w:rPr>
            </w:pPr>
            <w:r>
              <w:rPr>
                <w:rFonts w:ascii="宋体" w:hAnsi="宋体" w:cs="Arial" w:hint="eastAsia"/>
                <w:color w:val="000000"/>
                <w:kern w:val="0"/>
                <w:sz w:val="20"/>
                <w:szCs w:val="20"/>
              </w:rPr>
              <w:t>及时完成全年日常运转工作≤12月；做好节约用水、保护环境宣传工作的核心区集中办公区个数≥10处；宣传工作文字可读性强，图文清晰；支撑各办公区日常工作的开展，保障各项工作的有效运转；办公区内工作人员对日常运转工作满意度≥90%。</w:t>
            </w:r>
          </w:p>
        </w:tc>
      </w:tr>
    </w:tbl>
    <w:p w:rsidR="00444AE3" w:rsidRDefault="00444AE3">
      <w:pPr>
        <w:adjustRightInd w:val="0"/>
        <w:snapToGrid w:val="0"/>
        <w:ind w:firstLineChars="200" w:firstLine="400"/>
        <w:rPr>
          <w:rFonts w:ascii="仿宋_GB2312" w:eastAsia="仿宋_GB2312" w:hAnsi="宋体" w:cs="宋体"/>
          <w:color w:val="000000"/>
          <w:kern w:val="0"/>
          <w:sz w:val="20"/>
          <w:szCs w:val="20"/>
        </w:rPr>
      </w:pP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绩效目标与职责任务匹配情况及绩效目标合理性</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一是绩效目标围绕后勤服务保障工作、后勤管理工作、</w:t>
      </w:r>
      <w:r>
        <w:rPr>
          <w:rFonts w:ascii="仿宋_GB2312" w:eastAsia="仿宋_GB2312" w:hAnsi="宋体" w:cs="宋体" w:hint="eastAsia"/>
          <w:color w:val="000000"/>
          <w:kern w:val="0"/>
          <w:sz w:val="32"/>
          <w:szCs w:val="32"/>
        </w:rPr>
        <w:lastRenderedPageBreak/>
        <w:t>日常运转工作3方面进行设置，与市机关事务管理中心“负责核心区集中办公区国有资产管理、办公用房管理、经费管理、节能等工作。承担核心区集中办公区服务保障、安全保卫、相关社会事务协调等工作……重要会议，重要活动提供相关服务保障”的职能相符，且覆盖较为全面、能够涵盖部门重点工作内容。</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二是绩效指标细化分解为了数量、时效、质量等产出指标，结合年度拟达成的效益，设置了可持续影响指标、满意度指标，绩效指标分解情况较好、设置较为合理。</w:t>
      </w:r>
    </w:p>
    <w:p w:rsidR="00444AE3" w:rsidRDefault="00C93113">
      <w:pPr>
        <w:adjustRightInd w:val="0"/>
        <w:snapToGrid w:val="0"/>
        <w:spacing w:line="360" w:lineRule="auto"/>
        <w:ind w:firstLineChars="200" w:firstLine="640"/>
        <w:rPr>
          <w:rFonts w:ascii="仿宋_GB2312" w:eastAsia="仿宋_GB2312"/>
          <w:sz w:val="32"/>
          <w:szCs w:val="32"/>
        </w:rPr>
      </w:pPr>
      <w:r>
        <w:rPr>
          <w:rFonts w:ascii="仿宋_GB2312" w:eastAsia="仿宋_GB2312" w:hAnsi="宋体" w:cs="宋体" w:hint="eastAsia"/>
          <w:color w:val="000000"/>
          <w:kern w:val="0"/>
          <w:sz w:val="32"/>
          <w:szCs w:val="32"/>
        </w:rPr>
        <w:t>三是绩效指标值设置具有一定可考核性，除产出质量指标、效益指标定性设置外，其他指标均定量设置，便于后期考核、衡量，绩效指标值设置合理。</w:t>
      </w:r>
    </w:p>
    <w:p w:rsidR="00444AE3" w:rsidRDefault="00C93113">
      <w:pPr>
        <w:adjustRightInd w:val="0"/>
        <w:snapToGrid w:val="0"/>
        <w:spacing w:line="360" w:lineRule="auto"/>
        <w:ind w:firstLineChars="200" w:firstLine="640"/>
        <w:rPr>
          <w:rFonts w:ascii="仿宋_GB2312" w:eastAsia="仿宋_GB2312"/>
          <w:sz w:val="32"/>
          <w:szCs w:val="32"/>
        </w:rPr>
      </w:pPr>
      <w:r>
        <w:rPr>
          <w:rFonts w:ascii="仿宋_GB2312" w:eastAsia="仿宋_GB2312" w:hAnsi="宋体" w:cs="宋体" w:hint="eastAsia"/>
          <w:color w:val="000000"/>
          <w:kern w:val="0"/>
          <w:sz w:val="32"/>
          <w:szCs w:val="32"/>
        </w:rPr>
        <w:t>整体上，市机关事务管理中心</w:t>
      </w:r>
      <w:r>
        <w:rPr>
          <w:rFonts w:ascii="仿宋_GB2312" w:eastAsia="仿宋_GB2312" w:hint="eastAsia"/>
          <w:sz w:val="32"/>
          <w:szCs w:val="32"/>
        </w:rPr>
        <w:t>设置的2</w:t>
      </w:r>
      <w:r>
        <w:rPr>
          <w:rFonts w:ascii="仿宋_GB2312" w:eastAsia="仿宋_GB2312"/>
          <w:sz w:val="32"/>
          <w:szCs w:val="32"/>
        </w:rPr>
        <w:t>02</w:t>
      </w:r>
      <w:r>
        <w:rPr>
          <w:rFonts w:ascii="仿宋_GB2312" w:eastAsia="仿宋_GB2312" w:hint="eastAsia"/>
          <w:sz w:val="32"/>
          <w:szCs w:val="32"/>
        </w:rPr>
        <w:t>3年度部门整体绩效目标与</w:t>
      </w:r>
      <w:r>
        <w:rPr>
          <w:rFonts w:ascii="仿宋_GB2312" w:eastAsia="仿宋_GB2312" w:hAnsi="仿宋" w:hint="eastAsia"/>
          <w:sz w:val="32"/>
          <w:szCs w:val="32"/>
        </w:rPr>
        <w:t>其</w:t>
      </w:r>
      <w:r>
        <w:rPr>
          <w:rFonts w:ascii="仿宋_GB2312" w:eastAsia="仿宋_GB2312" w:hint="eastAsia"/>
          <w:sz w:val="32"/>
          <w:szCs w:val="32"/>
        </w:rPr>
        <w:t>内设机构及相关二级预算单位的职责任务相匹配，绩效目标及指标设置合理。</w:t>
      </w:r>
    </w:p>
    <w:p w:rsidR="00444AE3" w:rsidRDefault="00C93113">
      <w:pPr>
        <w:adjustRightInd w:val="0"/>
        <w:snapToGrid w:val="0"/>
        <w:spacing w:line="360" w:lineRule="auto"/>
        <w:ind w:firstLineChars="200" w:firstLine="640"/>
        <w:outlineLvl w:val="0"/>
        <w:rPr>
          <w:rFonts w:ascii="黑体" w:eastAsia="黑体" w:hAnsi="黑体" w:cs="宋体"/>
          <w:color w:val="000000"/>
          <w:kern w:val="0"/>
          <w:sz w:val="32"/>
          <w:szCs w:val="32"/>
        </w:rPr>
      </w:pPr>
      <w:bookmarkStart w:id="6" w:name="_Toc582"/>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bookmarkEnd w:id="6"/>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3年度</w:t>
      </w:r>
      <w:r>
        <w:rPr>
          <w:rFonts w:ascii="仿宋_GB2312" w:eastAsia="仿宋_GB2312" w:hAnsi="宋体" w:cs="宋体" w:hint="eastAsia"/>
          <w:kern w:val="0"/>
          <w:sz w:val="32"/>
          <w:szCs w:val="32"/>
        </w:rPr>
        <w:t>，</w:t>
      </w:r>
      <w:r>
        <w:rPr>
          <w:rFonts w:ascii="仿宋_GB2312" w:eastAsia="仿宋_GB2312" w:hAnsi="宋体" w:cs="宋体" w:hint="eastAsia"/>
          <w:color w:val="000000"/>
          <w:kern w:val="0"/>
          <w:sz w:val="32"/>
          <w:szCs w:val="32"/>
        </w:rPr>
        <w:t>市机关事务管理中心年初预算数为34182.377848万元，其中</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基本经费年初</w:t>
      </w:r>
      <w:r>
        <w:rPr>
          <w:rFonts w:ascii="仿宋_GB2312" w:eastAsia="仿宋_GB2312" w:hAnsi="宋体" w:cs="宋体"/>
          <w:color w:val="000000"/>
          <w:kern w:val="0"/>
          <w:sz w:val="32"/>
          <w:szCs w:val="32"/>
        </w:rPr>
        <w:t>预算数</w:t>
      </w:r>
      <w:r>
        <w:rPr>
          <w:rFonts w:ascii="仿宋_GB2312" w:eastAsia="仿宋_GB2312" w:hAnsi="宋体" w:cs="宋体" w:hint="eastAsia"/>
          <w:color w:val="000000"/>
          <w:kern w:val="0"/>
          <w:sz w:val="32"/>
          <w:szCs w:val="32"/>
        </w:rPr>
        <w:t>24586.178347万元，项目经费年初</w:t>
      </w:r>
      <w:r>
        <w:rPr>
          <w:rFonts w:ascii="仿宋_GB2312" w:eastAsia="仿宋_GB2312" w:hAnsi="宋体" w:cs="宋体"/>
          <w:color w:val="000000"/>
          <w:kern w:val="0"/>
          <w:sz w:val="32"/>
          <w:szCs w:val="32"/>
        </w:rPr>
        <w:t>预算数</w:t>
      </w:r>
      <w:r>
        <w:rPr>
          <w:rFonts w:ascii="仿宋_GB2312" w:eastAsia="仿宋_GB2312" w:hAnsi="宋体" w:cs="宋体" w:hint="eastAsia"/>
          <w:color w:val="000000"/>
          <w:kern w:val="0"/>
          <w:sz w:val="32"/>
          <w:szCs w:val="32"/>
        </w:rPr>
        <w:t>7986.891369万元，经营支出预算1609.308132万元。</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经过年中调整，20</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3年度市机关事务管理中心全年预算数34074.028599万元，其中</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基本经费全年</w:t>
      </w:r>
      <w:r>
        <w:rPr>
          <w:rFonts w:ascii="仿宋_GB2312" w:eastAsia="仿宋_GB2312" w:hAnsi="宋体" w:cs="宋体"/>
          <w:color w:val="000000"/>
          <w:kern w:val="0"/>
          <w:sz w:val="32"/>
          <w:szCs w:val="32"/>
        </w:rPr>
        <w:t>预算数</w:t>
      </w:r>
      <w:r>
        <w:rPr>
          <w:rFonts w:ascii="仿宋_GB2312" w:eastAsia="仿宋_GB2312" w:hAnsi="宋体" w:cs="宋体" w:hint="eastAsia"/>
          <w:color w:val="000000"/>
          <w:kern w:val="0"/>
          <w:sz w:val="32"/>
          <w:szCs w:val="32"/>
        </w:rPr>
        <w:lastRenderedPageBreak/>
        <w:t>23781.703457万元，项目经费全年</w:t>
      </w:r>
      <w:r>
        <w:rPr>
          <w:rFonts w:ascii="仿宋_GB2312" w:eastAsia="仿宋_GB2312" w:hAnsi="宋体" w:cs="宋体"/>
          <w:color w:val="000000"/>
          <w:kern w:val="0"/>
          <w:sz w:val="32"/>
          <w:szCs w:val="32"/>
        </w:rPr>
        <w:t>预算数</w:t>
      </w:r>
      <w:r>
        <w:rPr>
          <w:rFonts w:ascii="仿宋_GB2312" w:eastAsia="仿宋_GB2312" w:hAnsi="宋体" w:cs="宋体" w:hint="eastAsia"/>
          <w:color w:val="000000"/>
          <w:kern w:val="0"/>
          <w:sz w:val="32"/>
          <w:szCs w:val="32"/>
        </w:rPr>
        <w:t>8815.902482万元，经营支出预算1476.422660万元。</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截至2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3年1</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月3</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日，部门实际执行31956.777362万元，部门整体预算执行率</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79</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。其中，基本经费实际执行23396.098878万元，基本经费预算执行率98.38</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；项目经费实际执行8354.408992万元，项目经费预算执行率94.77</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；经营支出预算实际执行206.269492万元，经营支出预算执行率13.97</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（见表4）。</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从单位预算收支情况（见表5）来看，北京市机关事务管理中心（本级）的单位资金额度相对较大，全年预算收入28285.552195万元，占部门年度收入32597.605939万元的86.77</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。从单位预算执行情况来看，预算执行率在9</w:t>
      </w:r>
      <w:r>
        <w:rPr>
          <w:rFonts w:ascii="仿宋_GB2312" w:eastAsia="仿宋_GB2312" w:hAnsi="宋体" w:cs="宋体"/>
          <w:color w:val="000000"/>
          <w:kern w:val="0"/>
          <w:sz w:val="32"/>
          <w:szCs w:val="32"/>
        </w:rPr>
        <w:t>5.00</w:t>
      </w:r>
      <w:r>
        <w:rPr>
          <w:rFonts w:ascii="仿宋_GB2312" w:eastAsia="仿宋_GB2312" w:hAnsi="宋体" w:cs="宋体" w:hint="eastAsia"/>
          <w:color w:val="000000"/>
          <w:kern w:val="0"/>
          <w:sz w:val="32"/>
          <w:szCs w:val="32"/>
        </w:rPr>
        <w:t>%以上的有4个，单位预算执行率在8</w:t>
      </w:r>
      <w:r>
        <w:rPr>
          <w:rFonts w:ascii="仿宋_GB2312" w:eastAsia="仿宋_GB2312" w:hAnsi="宋体" w:cs="宋体"/>
          <w:color w:val="000000"/>
          <w:kern w:val="0"/>
          <w:sz w:val="32"/>
          <w:szCs w:val="32"/>
        </w:rPr>
        <w:t>0.00</w:t>
      </w:r>
      <w:r>
        <w:rPr>
          <w:rFonts w:ascii="仿宋_GB2312" w:eastAsia="仿宋_GB2312" w:hAnsi="宋体" w:cs="宋体" w:hint="eastAsia"/>
          <w:color w:val="000000"/>
          <w:kern w:val="0"/>
          <w:sz w:val="32"/>
          <w:szCs w:val="32"/>
        </w:rPr>
        <w:t>%至9</w:t>
      </w:r>
      <w:r>
        <w:rPr>
          <w:rFonts w:ascii="仿宋_GB2312" w:eastAsia="仿宋_GB2312" w:hAnsi="宋体" w:cs="宋体"/>
          <w:color w:val="000000"/>
          <w:kern w:val="0"/>
          <w:sz w:val="32"/>
          <w:szCs w:val="32"/>
        </w:rPr>
        <w:t>0.00</w:t>
      </w:r>
      <w:r>
        <w:rPr>
          <w:rFonts w:ascii="仿宋_GB2312" w:eastAsia="仿宋_GB2312" w:hAnsi="宋体" w:cs="宋体" w:hint="eastAsia"/>
          <w:color w:val="000000"/>
          <w:kern w:val="0"/>
          <w:sz w:val="32"/>
          <w:szCs w:val="32"/>
        </w:rPr>
        <w:t>%的有1个；其中，单位预算执行率最高的是北京花市服务中心，达100.00</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，其次是北京市机关事务管理中心（本级），单位预算执行率为</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7.67</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；不涉及预算执行率在8</w:t>
      </w:r>
      <w:r>
        <w:rPr>
          <w:rFonts w:ascii="仿宋_GB2312" w:eastAsia="仿宋_GB2312" w:hAnsi="宋体" w:cs="宋体"/>
          <w:color w:val="000000"/>
          <w:kern w:val="0"/>
          <w:sz w:val="32"/>
          <w:szCs w:val="32"/>
        </w:rPr>
        <w:t>0.00</w:t>
      </w:r>
      <w:r>
        <w:rPr>
          <w:rFonts w:ascii="仿宋_GB2312" w:eastAsia="仿宋_GB2312" w:hAnsi="宋体" w:cs="宋体" w:hint="eastAsia"/>
          <w:color w:val="000000"/>
          <w:kern w:val="0"/>
          <w:sz w:val="32"/>
          <w:szCs w:val="32"/>
        </w:rPr>
        <w:t>%以下的预算单位。</w:t>
      </w:r>
    </w:p>
    <w:p w:rsidR="00444AE3" w:rsidRDefault="00C93113">
      <w:pPr>
        <w:adjustRightInd w:val="0"/>
        <w:snapToGrid w:val="0"/>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4</w:t>
      </w:r>
      <w:r>
        <w:rPr>
          <w:rFonts w:ascii="黑体" w:eastAsia="黑体" w:hAnsi="黑体" w:hint="eastAsia"/>
          <w:sz w:val="28"/>
          <w:szCs w:val="28"/>
        </w:rPr>
        <w:t>：</w:t>
      </w:r>
      <w:r>
        <w:rPr>
          <w:rFonts w:ascii="黑体" w:eastAsia="黑体" w:hAnsi="黑体"/>
          <w:sz w:val="28"/>
          <w:szCs w:val="28"/>
        </w:rPr>
        <w:t>202</w:t>
      </w:r>
      <w:r>
        <w:rPr>
          <w:rFonts w:ascii="黑体" w:eastAsia="黑体" w:hAnsi="黑体" w:hint="eastAsia"/>
          <w:sz w:val="28"/>
          <w:szCs w:val="28"/>
        </w:rPr>
        <w:t>3</w:t>
      </w:r>
      <w:r>
        <w:rPr>
          <w:rFonts w:ascii="黑体" w:eastAsia="黑体" w:hAnsi="黑体"/>
          <w:sz w:val="28"/>
          <w:szCs w:val="28"/>
        </w:rPr>
        <w:t>年度</w:t>
      </w:r>
      <w:r>
        <w:rPr>
          <w:rFonts w:ascii="黑体" w:eastAsia="黑体" w:hAnsi="黑体" w:hint="eastAsia"/>
          <w:sz w:val="28"/>
          <w:szCs w:val="28"/>
        </w:rPr>
        <w:t>部门整体</w:t>
      </w:r>
      <w:r>
        <w:rPr>
          <w:rStyle w:val="ad"/>
          <w:rFonts w:ascii="黑体" w:eastAsia="黑体" w:hAnsi="黑体" w:hint="eastAsia"/>
          <w:sz w:val="28"/>
          <w:szCs w:val="28"/>
        </w:rPr>
        <w:footnoteReference w:id="3"/>
      </w:r>
      <w:r>
        <w:rPr>
          <w:rFonts w:ascii="黑体" w:eastAsia="黑体" w:hAnsi="黑体" w:hint="eastAsia"/>
          <w:sz w:val="28"/>
          <w:szCs w:val="28"/>
        </w:rPr>
        <w:t>预算收支情况表</w:t>
      </w:r>
    </w:p>
    <w:p w:rsidR="00444AE3" w:rsidRDefault="00C93113">
      <w:pPr>
        <w:adjustRightInd w:val="0"/>
        <w:snapToGrid w:val="0"/>
        <w:spacing w:line="360" w:lineRule="auto"/>
        <w:jc w:val="right"/>
        <w:rPr>
          <w:rFonts w:ascii="宋体" w:hAnsi="宋体" w:cs="宋体"/>
          <w:color w:val="000000"/>
          <w:kern w:val="0"/>
          <w:sz w:val="20"/>
          <w:szCs w:val="20"/>
        </w:rPr>
      </w:pPr>
      <w:r>
        <w:rPr>
          <w:rFonts w:ascii="宋体" w:hAnsi="宋体" w:cs="宋体" w:hint="eastAsia"/>
          <w:color w:val="000000"/>
          <w:kern w:val="0"/>
          <w:sz w:val="20"/>
          <w:szCs w:val="20"/>
        </w:rPr>
        <w:t>单位：万元</w:t>
      </w:r>
    </w:p>
    <w:tbl>
      <w:tblPr>
        <w:tblW w:w="4998" w:type="pct"/>
        <w:jc w:val="center"/>
        <w:tblCellMar>
          <w:left w:w="28" w:type="dxa"/>
          <w:right w:w="28" w:type="dxa"/>
        </w:tblCellMar>
        <w:tblLook w:val="04A0"/>
      </w:tblPr>
      <w:tblGrid>
        <w:gridCol w:w="1713"/>
        <w:gridCol w:w="1815"/>
        <w:gridCol w:w="1740"/>
        <w:gridCol w:w="1815"/>
        <w:gridCol w:w="1276"/>
      </w:tblGrid>
      <w:tr w:rsidR="00444AE3">
        <w:trPr>
          <w:trHeight w:val="329"/>
          <w:jc w:val="center"/>
        </w:trPr>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adjustRightInd w:val="0"/>
              <w:snapToGrid w:val="0"/>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费用类别</w:t>
            </w:r>
          </w:p>
        </w:tc>
        <w:tc>
          <w:tcPr>
            <w:tcW w:w="10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adjustRightInd w:val="0"/>
              <w:snapToGrid w:val="0"/>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年初预算数</w:t>
            </w:r>
          </w:p>
        </w:tc>
        <w:tc>
          <w:tcPr>
            <w:tcW w:w="10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adjustRightInd w:val="0"/>
              <w:snapToGrid w:val="0"/>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全年预算数</w:t>
            </w:r>
          </w:p>
        </w:tc>
        <w:tc>
          <w:tcPr>
            <w:tcW w:w="10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adjustRightInd w:val="0"/>
              <w:snapToGrid w:val="0"/>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全年执行数</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adjustRightInd w:val="0"/>
              <w:snapToGrid w:val="0"/>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预算执行率</w:t>
            </w:r>
          </w:p>
        </w:tc>
      </w:tr>
      <w:tr w:rsidR="00444AE3">
        <w:trPr>
          <w:trHeight w:val="329"/>
          <w:jc w:val="center"/>
        </w:trPr>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adjustRightInd w:val="0"/>
              <w:snapToGrid w:val="0"/>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基本经费</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color w:val="000000"/>
                <w:sz w:val="20"/>
                <w:szCs w:val="20"/>
              </w:rPr>
            </w:pPr>
            <w:r>
              <w:rPr>
                <w:rFonts w:ascii="宋体" w:hAnsi="宋体" w:cs="宋体" w:hint="eastAsia"/>
                <w:color w:val="000000"/>
                <w:kern w:val="0"/>
                <w:sz w:val="20"/>
                <w:szCs w:val="20"/>
              </w:rPr>
              <w:t xml:space="preserve">24586.178347 </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color w:val="000000"/>
                <w:sz w:val="20"/>
                <w:szCs w:val="20"/>
              </w:rPr>
            </w:pPr>
            <w:r>
              <w:rPr>
                <w:rFonts w:ascii="宋体" w:hAnsi="宋体" w:cs="宋体" w:hint="eastAsia"/>
                <w:color w:val="000000"/>
                <w:kern w:val="0"/>
                <w:sz w:val="20"/>
                <w:szCs w:val="20"/>
              </w:rPr>
              <w:t xml:space="preserve">23781.703457 </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color w:val="000000"/>
                <w:sz w:val="20"/>
                <w:szCs w:val="20"/>
              </w:rPr>
            </w:pPr>
            <w:r>
              <w:rPr>
                <w:rFonts w:ascii="宋体" w:hAnsi="宋体" w:cs="宋体" w:hint="eastAsia"/>
                <w:color w:val="000000"/>
                <w:kern w:val="0"/>
                <w:sz w:val="20"/>
                <w:szCs w:val="20"/>
              </w:rPr>
              <w:t xml:space="preserve">23396.098878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98.38%</w:t>
            </w:r>
          </w:p>
        </w:tc>
      </w:tr>
      <w:tr w:rsidR="00444AE3">
        <w:trPr>
          <w:trHeight w:val="329"/>
          <w:jc w:val="center"/>
        </w:trPr>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adjustRightInd w:val="0"/>
              <w:snapToGrid w:val="0"/>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项目经费</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color w:val="000000"/>
                <w:sz w:val="20"/>
                <w:szCs w:val="20"/>
              </w:rPr>
            </w:pPr>
            <w:r>
              <w:rPr>
                <w:rFonts w:ascii="宋体" w:hAnsi="宋体" w:cs="宋体" w:hint="eastAsia"/>
                <w:color w:val="000000"/>
                <w:kern w:val="0"/>
                <w:sz w:val="20"/>
                <w:szCs w:val="20"/>
              </w:rPr>
              <w:t xml:space="preserve">7986.891369 </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color w:val="000000"/>
                <w:sz w:val="20"/>
                <w:szCs w:val="20"/>
              </w:rPr>
            </w:pPr>
            <w:r>
              <w:rPr>
                <w:rFonts w:ascii="宋体" w:hAnsi="宋体" w:cs="宋体" w:hint="eastAsia"/>
                <w:color w:val="000000"/>
                <w:kern w:val="0"/>
                <w:sz w:val="20"/>
                <w:szCs w:val="20"/>
              </w:rPr>
              <w:t xml:space="preserve">8815.902482 </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color w:val="000000"/>
                <w:sz w:val="20"/>
                <w:szCs w:val="20"/>
              </w:rPr>
            </w:pPr>
            <w:r>
              <w:rPr>
                <w:rFonts w:ascii="宋体" w:hAnsi="宋体" w:cs="宋体" w:hint="eastAsia"/>
                <w:color w:val="000000"/>
                <w:kern w:val="0"/>
                <w:sz w:val="20"/>
                <w:szCs w:val="20"/>
              </w:rPr>
              <w:t xml:space="preserve">8354.408992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94.77%</w:t>
            </w:r>
          </w:p>
        </w:tc>
      </w:tr>
      <w:tr w:rsidR="00444AE3">
        <w:trPr>
          <w:trHeight w:val="329"/>
          <w:jc w:val="center"/>
        </w:trPr>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adjustRightInd w:val="0"/>
              <w:snapToGrid w:val="0"/>
              <w:jc w:val="center"/>
              <w:textAlignment w:val="bottom"/>
              <w:rPr>
                <w:rFonts w:ascii="宋体" w:hAnsi="宋体" w:cs="宋体"/>
                <w:color w:val="000000"/>
                <w:sz w:val="20"/>
                <w:szCs w:val="20"/>
              </w:rPr>
            </w:pPr>
            <w:r>
              <w:rPr>
                <w:rFonts w:ascii="宋体" w:hAnsi="宋体" w:cs="宋体" w:hint="eastAsia"/>
                <w:b/>
                <w:bCs/>
                <w:color w:val="000000"/>
                <w:kern w:val="0"/>
                <w:sz w:val="20"/>
                <w:szCs w:val="20"/>
              </w:rPr>
              <w:t>经营支出</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color w:val="000000"/>
                <w:sz w:val="20"/>
                <w:szCs w:val="20"/>
              </w:rPr>
            </w:pPr>
            <w:r>
              <w:rPr>
                <w:rFonts w:ascii="宋体" w:hAnsi="宋体" w:cs="宋体" w:hint="eastAsia"/>
                <w:color w:val="000000"/>
                <w:kern w:val="0"/>
                <w:sz w:val="20"/>
                <w:szCs w:val="20"/>
              </w:rPr>
              <w:t xml:space="preserve">1609.308132 </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color w:val="000000"/>
                <w:sz w:val="20"/>
                <w:szCs w:val="20"/>
              </w:rPr>
            </w:pPr>
            <w:r>
              <w:rPr>
                <w:rFonts w:ascii="宋体" w:hAnsi="宋体" w:cs="宋体" w:hint="eastAsia"/>
                <w:color w:val="000000"/>
                <w:kern w:val="0"/>
                <w:sz w:val="20"/>
                <w:szCs w:val="20"/>
              </w:rPr>
              <w:t xml:space="preserve">1476.422660 </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color w:val="000000"/>
                <w:sz w:val="20"/>
                <w:szCs w:val="20"/>
              </w:rPr>
            </w:pPr>
            <w:r>
              <w:rPr>
                <w:rFonts w:ascii="宋体" w:hAnsi="宋体" w:cs="宋体" w:hint="eastAsia"/>
                <w:color w:val="000000"/>
                <w:kern w:val="0"/>
                <w:sz w:val="20"/>
                <w:szCs w:val="20"/>
              </w:rPr>
              <w:t xml:space="preserve">206.269492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13.97%</w:t>
            </w:r>
          </w:p>
        </w:tc>
      </w:tr>
      <w:tr w:rsidR="00444AE3">
        <w:trPr>
          <w:trHeight w:val="329"/>
          <w:jc w:val="center"/>
        </w:trPr>
        <w:tc>
          <w:tcPr>
            <w:tcW w:w="10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adjustRightInd w:val="0"/>
              <w:snapToGrid w:val="0"/>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合计</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b/>
                <w:bCs/>
                <w:color w:val="000000"/>
                <w:sz w:val="20"/>
                <w:szCs w:val="20"/>
              </w:rPr>
            </w:pPr>
            <w:r>
              <w:rPr>
                <w:rFonts w:ascii="宋体" w:hAnsi="宋体" w:cs="宋体" w:hint="eastAsia"/>
                <w:b/>
                <w:bCs/>
                <w:color w:val="000000"/>
                <w:kern w:val="0"/>
                <w:sz w:val="20"/>
                <w:szCs w:val="20"/>
              </w:rPr>
              <w:t xml:space="preserve">34182.377848 </w:t>
            </w:r>
          </w:p>
        </w:tc>
        <w:tc>
          <w:tcPr>
            <w:tcW w:w="17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b/>
                <w:bCs/>
                <w:color w:val="000000"/>
                <w:sz w:val="20"/>
                <w:szCs w:val="20"/>
              </w:rPr>
            </w:pPr>
            <w:r>
              <w:rPr>
                <w:rFonts w:ascii="宋体" w:hAnsi="宋体" w:cs="宋体" w:hint="eastAsia"/>
                <w:b/>
                <w:bCs/>
                <w:color w:val="000000"/>
                <w:kern w:val="0"/>
                <w:sz w:val="20"/>
                <w:szCs w:val="20"/>
              </w:rPr>
              <w:t xml:space="preserve">34074.028599 </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right"/>
              <w:textAlignment w:val="bottom"/>
              <w:rPr>
                <w:rFonts w:ascii="宋体" w:hAnsi="宋体" w:cs="宋体"/>
                <w:b/>
                <w:bCs/>
                <w:color w:val="000000"/>
                <w:sz w:val="20"/>
                <w:szCs w:val="20"/>
              </w:rPr>
            </w:pPr>
            <w:r>
              <w:rPr>
                <w:rFonts w:ascii="宋体" w:hAnsi="宋体" w:cs="宋体" w:hint="eastAsia"/>
                <w:b/>
                <w:bCs/>
                <w:color w:val="000000"/>
                <w:kern w:val="0"/>
                <w:sz w:val="20"/>
                <w:szCs w:val="20"/>
              </w:rPr>
              <w:t xml:space="preserve">31956.777362 </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44AE3" w:rsidRDefault="00C93113">
            <w:pPr>
              <w:widowControl/>
              <w:jc w:val="center"/>
              <w:textAlignment w:val="bottom"/>
              <w:rPr>
                <w:rFonts w:ascii="宋体" w:hAnsi="宋体" w:cs="宋体"/>
                <w:b/>
                <w:bCs/>
                <w:color w:val="000000"/>
                <w:sz w:val="20"/>
                <w:szCs w:val="20"/>
              </w:rPr>
            </w:pPr>
            <w:r>
              <w:rPr>
                <w:rFonts w:ascii="宋体" w:hAnsi="宋体" w:cs="宋体" w:hint="eastAsia"/>
                <w:b/>
                <w:bCs/>
                <w:color w:val="000000"/>
                <w:kern w:val="0"/>
                <w:sz w:val="20"/>
                <w:szCs w:val="20"/>
              </w:rPr>
              <w:t>93.79%</w:t>
            </w:r>
          </w:p>
        </w:tc>
      </w:tr>
    </w:tbl>
    <w:p w:rsidR="00444AE3" w:rsidRDefault="00444AE3">
      <w:pPr>
        <w:adjustRightInd w:val="0"/>
        <w:snapToGrid w:val="0"/>
        <w:spacing w:line="360" w:lineRule="auto"/>
        <w:ind w:firstLineChars="200" w:firstLine="400"/>
        <w:rPr>
          <w:rFonts w:ascii="仿宋_GB2312" w:eastAsia="仿宋_GB2312" w:hAnsi="宋体" w:cs="宋体"/>
          <w:color w:val="000000"/>
          <w:kern w:val="0"/>
          <w:sz w:val="20"/>
          <w:szCs w:val="20"/>
        </w:rPr>
      </w:pPr>
    </w:p>
    <w:p w:rsidR="00444AE3" w:rsidRDefault="00444AE3">
      <w:pPr>
        <w:adjustRightInd w:val="0"/>
        <w:snapToGrid w:val="0"/>
        <w:spacing w:line="360" w:lineRule="auto"/>
        <w:rPr>
          <w:rFonts w:ascii="仿宋_GB2312" w:eastAsia="仿宋_GB2312" w:hAnsi="宋体" w:cs="宋体"/>
          <w:color w:val="000000"/>
          <w:kern w:val="0"/>
          <w:sz w:val="32"/>
          <w:szCs w:val="32"/>
        </w:rPr>
        <w:sectPr w:rsidR="00444AE3">
          <w:footerReference w:type="default" r:id="rId11"/>
          <w:pgSz w:w="11906" w:h="16838"/>
          <w:pgMar w:top="1440" w:right="1800" w:bottom="1440" w:left="1800" w:header="851" w:footer="992" w:gutter="0"/>
          <w:pgNumType w:start="1"/>
          <w:cols w:space="425"/>
          <w:docGrid w:type="lines" w:linePitch="312"/>
        </w:sectPr>
      </w:pPr>
    </w:p>
    <w:p w:rsidR="00444AE3" w:rsidRDefault="00C93113">
      <w:pPr>
        <w:adjustRightInd w:val="0"/>
        <w:snapToGrid w:val="0"/>
        <w:spacing w:line="360" w:lineRule="auto"/>
        <w:jc w:val="center"/>
        <w:rPr>
          <w:rFonts w:ascii="黑体" w:eastAsia="黑体" w:hAnsi="黑体"/>
          <w:sz w:val="28"/>
          <w:szCs w:val="28"/>
        </w:rPr>
      </w:pPr>
      <w:r>
        <w:rPr>
          <w:rFonts w:ascii="黑体" w:eastAsia="黑体" w:hAnsi="黑体" w:hint="eastAsia"/>
          <w:sz w:val="28"/>
          <w:szCs w:val="28"/>
        </w:rPr>
        <w:lastRenderedPageBreak/>
        <w:t>表</w:t>
      </w:r>
      <w:r>
        <w:rPr>
          <w:rFonts w:ascii="黑体" w:eastAsia="黑体" w:hAnsi="黑体"/>
          <w:sz w:val="28"/>
          <w:szCs w:val="28"/>
        </w:rPr>
        <w:t>5</w:t>
      </w:r>
      <w:r>
        <w:rPr>
          <w:rFonts w:ascii="黑体" w:eastAsia="黑体" w:hAnsi="黑体" w:hint="eastAsia"/>
          <w:sz w:val="28"/>
          <w:szCs w:val="28"/>
        </w:rPr>
        <w:t>：</w:t>
      </w:r>
      <w:r>
        <w:rPr>
          <w:rFonts w:ascii="黑体" w:eastAsia="黑体" w:hAnsi="黑体"/>
          <w:sz w:val="28"/>
          <w:szCs w:val="28"/>
        </w:rPr>
        <w:t>202</w:t>
      </w:r>
      <w:r>
        <w:rPr>
          <w:rFonts w:ascii="黑体" w:eastAsia="黑体" w:hAnsi="黑体" w:hint="eastAsia"/>
          <w:sz w:val="28"/>
          <w:szCs w:val="28"/>
        </w:rPr>
        <w:t>3</w:t>
      </w:r>
      <w:r>
        <w:rPr>
          <w:rFonts w:ascii="黑体" w:eastAsia="黑体" w:hAnsi="黑体"/>
          <w:sz w:val="28"/>
          <w:szCs w:val="28"/>
        </w:rPr>
        <w:t>年度</w:t>
      </w:r>
      <w:r>
        <w:rPr>
          <w:rFonts w:ascii="黑体" w:eastAsia="黑体" w:hAnsi="黑体" w:hint="eastAsia"/>
          <w:sz w:val="28"/>
          <w:szCs w:val="28"/>
        </w:rPr>
        <w:t>各二级预算单位预算收支情况表</w:t>
      </w:r>
    </w:p>
    <w:p w:rsidR="00444AE3" w:rsidRDefault="00C93113">
      <w:pPr>
        <w:adjustRightInd w:val="0"/>
        <w:snapToGrid w:val="0"/>
        <w:spacing w:line="360" w:lineRule="auto"/>
        <w:jc w:val="right"/>
        <w:rPr>
          <w:rFonts w:ascii="宋体" w:hAnsi="宋体" w:cs="宋体"/>
          <w:color w:val="000000"/>
          <w:kern w:val="0"/>
          <w:sz w:val="20"/>
          <w:szCs w:val="20"/>
        </w:rPr>
      </w:pPr>
      <w:r>
        <w:rPr>
          <w:rFonts w:ascii="宋体" w:hAnsi="宋体" w:cs="宋体" w:hint="eastAsia"/>
          <w:color w:val="000000"/>
          <w:kern w:val="0"/>
          <w:sz w:val="20"/>
          <w:szCs w:val="20"/>
        </w:rPr>
        <w:t>单位：万元</w:t>
      </w:r>
    </w:p>
    <w:tbl>
      <w:tblPr>
        <w:tblW w:w="5058" w:type="pct"/>
        <w:tblCellMar>
          <w:left w:w="28" w:type="dxa"/>
          <w:right w:w="28" w:type="dxa"/>
        </w:tblCellMar>
        <w:tblLook w:val="04A0"/>
      </w:tblPr>
      <w:tblGrid>
        <w:gridCol w:w="386"/>
        <w:gridCol w:w="1341"/>
        <w:gridCol w:w="1279"/>
        <w:gridCol w:w="1282"/>
        <w:gridCol w:w="1279"/>
        <w:gridCol w:w="1282"/>
        <w:gridCol w:w="1290"/>
        <w:gridCol w:w="1279"/>
        <w:gridCol w:w="1182"/>
        <w:gridCol w:w="1287"/>
        <w:gridCol w:w="762"/>
        <w:gridCol w:w="762"/>
        <w:gridCol w:w="766"/>
      </w:tblGrid>
      <w:tr w:rsidR="00444AE3">
        <w:trPr>
          <w:trHeight w:val="283"/>
          <w:tblHeader/>
        </w:trPr>
        <w:tc>
          <w:tcPr>
            <w:tcW w:w="1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序号</w:t>
            </w:r>
          </w:p>
        </w:tc>
        <w:tc>
          <w:tcPr>
            <w:tcW w:w="47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单位</w:t>
            </w:r>
          </w:p>
        </w:tc>
        <w:tc>
          <w:tcPr>
            <w:tcW w:w="2261"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收入</w:t>
            </w:r>
          </w:p>
        </w:tc>
        <w:tc>
          <w:tcPr>
            <w:tcW w:w="132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支出</w:t>
            </w:r>
          </w:p>
        </w:tc>
        <w:tc>
          <w:tcPr>
            <w:tcW w:w="80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预算执行率</w:t>
            </w:r>
          </w:p>
        </w:tc>
      </w:tr>
      <w:tr w:rsidR="00444AE3">
        <w:trPr>
          <w:trHeight w:val="283"/>
          <w:tblHeader/>
        </w:trPr>
        <w:tc>
          <w:tcPr>
            <w:tcW w:w="1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47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基本经费</w:t>
            </w:r>
          </w:p>
        </w:tc>
        <w:tc>
          <w:tcPr>
            <w:tcW w:w="9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项目经费</w:t>
            </w:r>
          </w:p>
        </w:tc>
        <w:tc>
          <w:tcPr>
            <w:tcW w:w="45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小计</w:t>
            </w:r>
          </w:p>
        </w:tc>
        <w:tc>
          <w:tcPr>
            <w:tcW w:w="45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基本经费</w:t>
            </w:r>
          </w:p>
        </w:tc>
        <w:tc>
          <w:tcPr>
            <w:tcW w:w="41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项目经费</w:t>
            </w:r>
          </w:p>
        </w:tc>
        <w:tc>
          <w:tcPr>
            <w:tcW w:w="45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小计</w:t>
            </w:r>
          </w:p>
        </w:tc>
        <w:tc>
          <w:tcPr>
            <w:tcW w:w="26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rPr>
              <w:t>基本</w:t>
            </w:r>
          </w:p>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经费</w:t>
            </w:r>
          </w:p>
        </w:tc>
        <w:tc>
          <w:tcPr>
            <w:tcW w:w="26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kern w:val="0"/>
                <w:sz w:val="20"/>
                <w:szCs w:val="20"/>
              </w:rPr>
            </w:pPr>
            <w:r>
              <w:rPr>
                <w:rFonts w:ascii="宋体" w:hAnsi="宋体" w:cs="宋体" w:hint="eastAsia"/>
                <w:b/>
                <w:bCs/>
                <w:color w:val="000000"/>
                <w:kern w:val="0"/>
                <w:sz w:val="20"/>
                <w:szCs w:val="20"/>
              </w:rPr>
              <w:t>项目</w:t>
            </w:r>
          </w:p>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经费</w:t>
            </w:r>
          </w:p>
        </w:tc>
        <w:tc>
          <w:tcPr>
            <w:tcW w:w="26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合计</w:t>
            </w:r>
          </w:p>
        </w:tc>
      </w:tr>
      <w:tr w:rsidR="00444AE3">
        <w:trPr>
          <w:trHeight w:val="283"/>
          <w:tblHeader/>
        </w:trPr>
        <w:tc>
          <w:tcPr>
            <w:tcW w:w="1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47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年初预算数</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全年预算数</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年初预算数</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全年预算数</w:t>
            </w:r>
          </w:p>
        </w:tc>
        <w:tc>
          <w:tcPr>
            <w:tcW w:w="45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45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41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45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26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26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26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r>
      <w:tr w:rsidR="00444AE3">
        <w:trPr>
          <w:trHeight w:val="283"/>
          <w:tblHeader/>
        </w:trPr>
        <w:tc>
          <w:tcPr>
            <w:tcW w:w="1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47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444AE3">
            <w:pPr>
              <w:jc w:val="center"/>
              <w:rPr>
                <w:rFonts w:ascii="宋体" w:hAnsi="宋体" w:cs="宋体"/>
                <w:b/>
                <w:bCs/>
                <w:color w:val="000000"/>
                <w:sz w:val="20"/>
                <w:szCs w:val="20"/>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1</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2</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3</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4</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5=2+4</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6</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7</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8=6+7</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9=6/2</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10=7/4</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11=8/5</w:t>
            </w:r>
          </w:p>
        </w:tc>
      </w:tr>
      <w:tr w:rsidR="00444AE3">
        <w:trPr>
          <w:trHeight w:val="860"/>
        </w:trPr>
        <w:tc>
          <w:tcPr>
            <w:tcW w:w="1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1</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本北京市机关服务管理中心（本级）</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21301.861981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20542.977181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7540.500000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7742.575014 </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28285.552195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20345.636866 </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7281.677572 </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27627.314438 </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99.04%</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94.05%</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97.67%</w:t>
            </w:r>
          </w:p>
        </w:tc>
      </w:tr>
      <w:tr w:rsidR="00444AE3">
        <w:trPr>
          <w:trHeight w:val="860"/>
        </w:trPr>
        <w:tc>
          <w:tcPr>
            <w:tcW w:w="1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2</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市机关事务局第一幼儿园</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1947.476463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1977.821294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202.847900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388.957900 </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2366.779194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1911.938504 </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388.957900 </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2300.896404 </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96.67%</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100.00%</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97.22%</w:t>
            </w:r>
          </w:p>
        </w:tc>
      </w:tr>
      <w:tr w:rsidR="00444AE3">
        <w:trPr>
          <w:trHeight w:val="860"/>
        </w:trPr>
        <w:tc>
          <w:tcPr>
            <w:tcW w:w="1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3</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市机关事务局第二幼儿园</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1110.973436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1039.686208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243.543469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211.543469 </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1251.229677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1007.996602 </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210.947421 </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1218.944023 </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96.95%</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99.72%</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97.42%</w:t>
            </w:r>
          </w:p>
        </w:tc>
      </w:tr>
      <w:tr w:rsidR="00444AE3">
        <w:trPr>
          <w:trHeight w:val="340"/>
        </w:trPr>
        <w:tc>
          <w:tcPr>
            <w:tcW w:w="1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4</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北京市行政服务中心</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90.691868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90.691868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472.826099 </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563.517967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472.826099 </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472.826099 </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0.00%</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100.00%</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83.91%</w:t>
            </w:r>
          </w:p>
        </w:tc>
      </w:tr>
      <w:tr w:rsidR="00444AE3">
        <w:trPr>
          <w:trHeight w:val="340"/>
        </w:trPr>
        <w:tc>
          <w:tcPr>
            <w:tcW w:w="1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5</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北京花市服务中心</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135.174599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130.526906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130.526906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130.526906 </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130.526906 </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100.00%</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100.00%</w:t>
            </w:r>
          </w:p>
        </w:tc>
      </w:tr>
      <w:tr w:rsidR="00444AE3">
        <w:trPr>
          <w:trHeight w:val="860"/>
        </w:trPr>
        <w:tc>
          <w:tcPr>
            <w:tcW w:w="1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6</w:t>
            </w:r>
          </w:p>
        </w:tc>
        <w:tc>
          <w:tcPr>
            <w:tcW w:w="4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北京市机关事务管理局雅宝大楼管理处</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0.000000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rPr>
              <w:t xml:space="preserve">0.000000 </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0.000000 </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w:t>
            </w:r>
          </w:p>
        </w:tc>
      </w:tr>
      <w:tr w:rsidR="00444AE3">
        <w:trPr>
          <w:trHeight w:val="340"/>
        </w:trPr>
        <w:tc>
          <w:tcPr>
            <w:tcW w:w="60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合计</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24586.178347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23781.703457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7986.891369 </w:t>
            </w:r>
          </w:p>
        </w:tc>
        <w:tc>
          <w:tcPr>
            <w:tcW w:w="4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8815.902482 </w:t>
            </w: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32597.605939 </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23396.098878 </w:t>
            </w:r>
          </w:p>
        </w:tc>
        <w:tc>
          <w:tcPr>
            <w:tcW w:w="4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8354.408992 </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right"/>
              <w:textAlignment w:val="center"/>
              <w:rPr>
                <w:rFonts w:ascii="宋体" w:hAnsi="宋体" w:cs="宋体"/>
                <w:b/>
                <w:bCs/>
                <w:color w:val="000000"/>
                <w:sz w:val="20"/>
                <w:szCs w:val="20"/>
              </w:rPr>
            </w:pPr>
            <w:r>
              <w:rPr>
                <w:rFonts w:ascii="宋体" w:hAnsi="宋体" w:cs="宋体" w:hint="eastAsia"/>
                <w:b/>
                <w:bCs/>
                <w:color w:val="000000"/>
                <w:kern w:val="0"/>
                <w:sz w:val="20"/>
                <w:szCs w:val="20"/>
              </w:rPr>
              <w:t xml:space="preserve">31750.507870 </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98.38%</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94.77%</w:t>
            </w:r>
          </w:p>
        </w:tc>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97.40%</w:t>
            </w:r>
          </w:p>
        </w:tc>
      </w:tr>
    </w:tbl>
    <w:p w:rsidR="00444AE3" w:rsidRDefault="00C93113">
      <w:pPr>
        <w:adjustRightInd w:val="0"/>
        <w:snapToGrid w:val="0"/>
        <w:spacing w:line="360" w:lineRule="auto"/>
        <w:rPr>
          <w:rFonts w:ascii="宋体" w:hAnsi="宋体" w:cs="宋体"/>
          <w:color w:val="000000"/>
          <w:kern w:val="0"/>
          <w:sz w:val="20"/>
          <w:szCs w:val="20"/>
        </w:rPr>
      </w:pPr>
      <w:r>
        <w:rPr>
          <w:rFonts w:ascii="宋体" w:hAnsi="宋体" w:cs="宋体" w:hint="eastAsia"/>
          <w:color w:val="000000"/>
          <w:kern w:val="0"/>
          <w:sz w:val="20"/>
          <w:szCs w:val="20"/>
        </w:rPr>
        <w:t>注：北京市机关事务管理局雅宝大楼管理处为自收自支单位，预算资金均为经营支出预算。</w:t>
      </w:r>
    </w:p>
    <w:p w:rsidR="00444AE3" w:rsidRDefault="00444AE3">
      <w:pPr>
        <w:adjustRightInd w:val="0"/>
        <w:snapToGrid w:val="0"/>
        <w:spacing w:line="360" w:lineRule="auto"/>
        <w:outlineLvl w:val="0"/>
        <w:rPr>
          <w:rFonts w:ascii="黑体" w:eastAsia="黑体" w:hAnsi="黑体" w:cs="宋体"/>
          <w:color w:val="000000"/>
          <w:kern w:val="0"/>
          <w:sz w:val="20"/>
          <w:szCs w:val="20"/>
        </w:rPr>
        <w:sectPr w:rsidR="00444AE3">
          <w:pgSz w:w="16838" w:h="11906" w:orient="landscape"/>
          <w:pgMar w:top="1800" w:right="1440" w:bottom="1800" w:left="1440" w:header="851" w:footer="992" w:gutter="0"/>
          <w:cols w:space="425"/>
          <w:docGrid w:type="lines" w:linePitch="312"/>
        </w:sectPr>
      </w:pPr>
    </w:p>
    <w:p w:rsidR="00444AE3" w:rsidRDefault="00C93113">
      <w:pPr>
        <w:adjustRightInd w:val="0"/>
        <w:snapToGrid w:val="0"/>
        <w:spacing w:line="360" w:lineRule="auto"/>
        <w:ind w:firstLineChars="200" w:firstLine="640"/>
        <w:outlineLvl w:val="0"/>
        <w:rPr>
          <w:rFonts w:ascii="黑体" w:eastAsia="黑体" w:hAnsi="黑体" w:cs="宋体"/>
          <w:color w:val="000000"/>
          <w:kern w:val="0"/>
          <w:sz w:val="32"/>
          <w:szCs w:val="32"/>
        </w:rPr>
      </w:pPr>
      <w:bookmarkStart w:id="7" w:name="_Toc14095"/>
      <w:r>
        <w:rPr>
          <w:rFonts w:ascii="黑体" w:eastAsia="黑体" w:hAnsi="黑体" w:cs="宋体" w:hint="eastAsia"/>
          <w:color w:val="000000"/>
          <w:kern w:val="0"/>
          <w:sz w:val="32"/>
          <w:szCs w:val="32"/>
        </w:rPr>
        <w:lastRenderedPageBreak/>
        <w:t>三</w:t>
      </w:r>
      <w:r>
        <w:rPr>
          <w:rFonts w:ascii="黑体" w:eastAsia="黑体" w:hAnsi="黑体" w:cs="宋体"/>
          <w:color w:val="000000"/>
          <w:kern w:val="0"/>
          <w:sz w:val="32"/>
          <w:szCs w:val="32"/>
        </w:rPr>
        <w:t>、整体绩效目标实现情况</w:t>
      </w:r>
      <w:bookmarkEnd w:id="7"/>
    </w:p>
    <w:p w:rsidR="00444AE3" w:rsidRDefault="00C93113">
      <w:pPr>
        <w:adjustRightInd w:val="0"/>
        <w:snapToGrid w:val="0"/>
        <w:spacing w:line="360" w:lineRule="auto"/>
        <w:ind w:firstLineChars="150" w:firstLine="480"/>
        <w:outlineLvl w:val="1"/>
        <w:rPr>
          <w:rFonts w:ascii="楷体_GB2312" w:eastAsia="楷体_GB2312"/>
          <w:sz w:val="32"/>
          <w:szCs w:val="32"/>
        </w:rPr>
      </w:pPr>
      <w:bookmarkStart w:id="8" w:name="_Toc27709"/>
      <w:r>
        <w:rPr>
          <w:rFonts w:ascii="楷体_GB2312" w:eastAsia="楷体_GB2312" w:hint="eastAsia"/>
          <w:sz w:val="32"/>
          <w:szCs w:val="32"/>
        </w:rPr>
        <w:t>（一）产出完成情况分析</w:t>
      </w:r>
      <w:bookmarkEnd w:id="8"/>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2023年度，市机关事务管理中心结合自身职能职责和年度工作需求，主要开展了包含“维修改造、设备更新、房屋管理、安保管理、财务及资产管理”等</w:t>
      </w:r>
      <w:r>
        <w:rPr>
          <w:rFonts w:ascii="仿宋_GB2312" w:eastAsia="仿宋_GB2312" w:hAnsi="宋体" w:cs="宋体" w:hint="eastAsia"/>
          <w:b/>
          <w:bCs/>
          <w:color w:val="000000"/>
          <w:kern w:val="0"/>
          <w:sz w:val="32"/>
          <w:szCs w:val="32"/>
        </w:rPr>
        <w:t>后勤服务保障</w:t>
      </w:r>
      <w:r>
        <w:rPr>
          <w:rFonts w:ascii="仿宋_GB2312" w:eastAsia="仿宋_GB2312" w:hAnsi="宋体" w:cs="宋体" w:hint="eastAsia"/>
          <w:color w:val="000000"/>
          <w:kern w:val="0"/>
          <w:sz w:val="32"/>
          <w:szCs w:val="32"/>
        </w:rPr>
        <w:t>工作，“环境及治安整治、精神文明建设、交通安全、信访安全”等</w:t>
      </w:r>
      <w:r>
        <w:rPr>
          <w:rFonts w:ascii="仿宋_GB2312" w:eastAsia="仿宋_GB2312" w:hAnsi="宋体" w:cs="宋体" w:hint="eastAsia"/>
          <w:b/>
          <w:bCs/>
          <w:color w:val="000000"/>
          <w:kern w:val="0"/>
          <w:sz w:val="32"/>
          <w:szCs w:val="32"/>
        </w:rPr>
        <w:t>后勤管理</w:t>
      </w:r>
      <w:r>
        <w:rPr>
          <w:rFonts w:ascii="仿宋_GB2312" w:eastAsia="仿宋_GB2312" w:hAnsi="宋体" w:cs="宋体" w:hint="eastAsia"/>
          <w:color w:val="000000"/>
          <w:kern w:val="0"/>
          <w:sz w:val="32"/>
          <w:szCs w:val="32"/>
        </w:rPr>
        <w:t>工作，“文件办理、会议组织与保障、人事管理、节能节水及环境改善”等</w:t>
      </w:r>
      <w:r>
        <w:rPr>
          <w:rFonts w:ascii="仿宋_GB2312" w:eastAsia="仿宋_GB2312" w:hAnsi="宋体" w:cs="宋体" w:hint="eastAsia"/>
          <w:b/>
          <w:bCs/>
          <w:color w:val="000000"/>
          <w:kern w:val="0"/>
          <w:sz w:val="32"/>
          <w:szCs w:val="32"/>
        </w:rPr>
        <w:t>日常运转</w:t>
      </w:r>
      <w:r>
        <w:rPr>
          <w:rFonts w:ascii="仿宋_GB2312" w:eastAsia="仿宋_GB2312" w:hAnsi="宋体" w:cs="宋体" w:hint="eastAsia"/>
          <w:color w:val="000000"/>
          <w:kern w:val="0"/>
          <w:sz w:val="32"/>
          <w:szCs w:val="32"/>
        </w:rPr>
        <w:t>工作</w:t>
      </w:r>
      <w:r>
        <w:rPr>
          <w:rFonts w:ascii="仿宋_GB2312" w:eastAsia="仿宋_GB2312" w:hint="eastAsia"/>
          <w:sz w:val="32"/>
          <w:szCs w:val="32"/>
        </w:rPr>
        <w:t>，</w:t>
      </w:r>
      <w:r>
        <w:rPr>
          <w:rFonts w:ascii="仿宋_GB2312" w:eastAsia="仿宋_GB2312" w:hAnsi="宋体" w:cs="宋体" w:hint="eastAsia"/>
          <w:b/>
          <w:bCs/>
          <w:color w:val="000000"/>
          <w:kern w:val="0"/>
          <w:sz w:val="32"/>
          <w:szCs w:val="32"/>
        </w:rPr>
        <w:t>部门及相关单位积极主动履职履责，目标无偏离</w:t>
      </w:r>
      <w:r>
        <w:rPr>
          <w:rFonts w:ascii="仿宋_GB2312" w:eastAsia="仿宋_GB2312" w:hAnsi="宋体" w:cs="宋体" w:hint="eastAsia"/>
          <w:color w:val="000000"/>
          <w:kern w:val="0"/>
          <w:sz w:val="32"/>
          <w:szCs w:val="32"/>
        </w:rPr>
        <w:t>。此外，市机关事务管理中心2023年度开展了机关党建、机关工会、幼儿教育等方面工作，年度内工作产出情况较好。具体如下：</w:t>
      </w:r>
    </w:p>
    <w:p w:rsidR="00444AE3" w:rsidRDefault="00C93113">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color w:val="000000"/>
          <w:kern w:val="0"/>
          <w:sz w:val="32"/>
          <w:szCs w:val="32"/>
        </w:rPr>
        <w:t>一是后勤服务保障工作。2023年度，</w:t>
      </w:r>
      <w:r>
        <w:rPr>
          <w:rFonts w:ascii="仿宋_GB2312" w:eastAsia="仿宋_GB2312" w:hAnsi="宋体" w:cs="宋体" w:hint="eastAsia"/>
          <w:kern w:val="0"/>
          <w:sz w:val="32"/>
          <w:szCs w:val="32"/>
        </w:rPr>
        <w:t>完成了各办公地点的维修维护、设备更新保障等工作；设备更新保障工作对中环办公区内损坏的地砖、防水等进行维修，对消防报警系统进行设备设施更新，保障房屋正常使用；同时，依据各办公区实际需求，对槐柏树街办公区、东四六条办公区等办公地点有关设备进行更新，满足了各单位日常办公及生活需求；对台基厂办公区2号院进行室内室外维修改造，有效延长了办公楼使用期限。</w:t>
      </w:r>
    </w:p>
    <w:p w:rsidR="00444AE3" w:rsidRDefault="00C93113">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二是后勤管理工作。年度内完成了全年供餐、物业管理、互联网接入等后勤管理工作；组织开展预算评审、预算申报</w:t>
      </w:r>
      <w:r>
        <w:rPr>
          <w:rFonts w:ascii="仿宋_GB2312" w:eastAsia="仿宋_GB2312" w:hAnsi="宋体" w:cs="宋体" w:hint="eastAsia"/>
          <w:kern w:val="0"/>
          <w:sz w:val="32"/>
          <w:szCs w:val="32"/>
        </w:rPr>
        <w:lastRenderedPageBreak/>
        <w:t>及相关政府采购工作，确定服务商后及时签订委托服务合同，保障相关工作的正常开展。餐饮、物业等后勤保障工作2023年度能够按照合同约定内容推进工作，如，槐柏树街办公区提供了59名厨师及服务人员，保障每天约1700余人次就餐需求；六里桥办公区保障了13名在职职工的餐饮补助，提供132名厨师及服务人员，保障每天3500余人次的就餐；南礼士路办公区2023年各类服务人员共计43人，全年不间断提供餐饮保障服务及包括设备设施维护、检查，保洁等16项物业服务。互联网接入服务保障工作2023年度组织实施了相关的合同签订、并按月收集巡检报告，为槐柏树街办公区和中环办公区均提供了1条200MB互联网接入服务、为南礼士路办公区提供了1条100MB互联网接入服务、六里桥办公区提供2条1GB互联网接入服务、台基厂办公区提供1条50MB互联网接入服务、东交民巷办公区提供1条100MB互联网接入服务等工作,保障各办公区连续、安全、可靠的互联网络，保障电子政务办公的网络环境安全。</w:t>
      </w:r>
    </w:p>
    <w:p w:rsidR="00444AE3" w:rsidRDefault="00C93113">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三是日常运转工作。完成了年度内各办公地点的安全保卫、节约用水、保护环境宣传等工作，如，年度内制发1500份《十六查十六看安全提示卡》，对照14项86条量化检查清单，先后开展了18项安全检查和专项排查活动，现场下发《安全检查问题记录单》31份；组织应急救援演练2次；组织开展消防设施检测并督导各办公区完成了42个不合格</w:t>
      </w:r>
      <w:r>
        <w:rPr>
          <w:rFonts w:ascii="仿宋_GB2312" w:eastAsia="仿宋_GB2312" w:hAnsi="宋体" w:cs="宋体" w:hint="eastAsia"/>
          <w:kern w:val="0"/>
          <w:sz w:val="32"/>
          <w:szCs w:val="32"/>
        </w:rPr>
        <w:lastRenderedPageBreak/>
        <w:t>项的整改工作；全年累计发现268个安全隐患，已完成整改266项，2个项目仍在整改中，有效保障了各办公地点的消防安全及生产安全。</w:t>
      </w:r>
    </w:p>
    <w:p w:rsidR="00444AE3" w:rsidRDefault="00C93113">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四是市机关事务管理中心围绕部门职能职责开展</w:t>
      </w:r>
      <w:r>
        <w:rPr>
          <w:rFonts w:ascii="仿宋_GB2312" w:eastAsia="仿宋_GB2312" w:hAnsi="宋体" w:cs="宋体" w:hint="eastAsia"/>
          <w:color w:val="000000"/>
          <w:kern w:val="0"/>
          <w:sz w:val="32"/>
          <w:szCs w:val="32"/>
        </w:rPr>
        <w:t>后勤服务保障、</w:t>
      </w:r>
      <w:r>
        <w:rPr>
          <w:rFonts w:ascii="仿宋_GB2312" w:eastAsia="仿宋_GB2312" w:hAnsi="宋体" w:cs="宋体" w:hint="eastAsia"/>
          <w:kern w:val="0"/>
          <w:sz w:val="32"/>
          <w:szCs w:val="32"/>
        </w:rPr>
        <w:t>后勤管理、日常运转等工作的同时，同步推进</w:t>
      </w:r>
      <w:r>
        <w:rPr>
          <w:rFonts w:ascii="仿宋_GB2312" w:eastAsia="仿宋_GB2312" w:hAnsi="宋体" w:cs="宋体" w:hint="eastAsia"/>
          <w:color w:val="000000"/>
          <w:kern w:val="0"/>
          <w:sz w:val="32"/>
          <w:szCs w:val="32"/>
        </w:rPr>
        <w:t>机关党建</w:t>
      </w:r>
      <w:r>
        <w:rPr>
          <w:rFonts w:ascii="仿宋_GB2312" w:eastAsia="仿宋_GB2312" w:hAnsi="宋体" w:cs="宋体" w:hint="eastAsia"/>
          <w:kern w:val="0"/>
          <w:sz w:val="32"/>
          <w:szCs w:val="32"/>
        </w:rPr>
        <w:t>、资产梳理、幼儿教育等工作，如，组织两级党组织纪检人员学习教育培训工作，不断增强党员干部的政治责任感、政治敏锐性；</w:t>
      </w:r>
      <w:r>
        <w:rPr>
          <w:rFonts w:ascii="仿宋_GB2312" w:eastAsia="仿宋_GB2312" w:hAnsi="仿宋" w:hint="eastAsia"/>
          <w:sz w:val="32"/>
          <w:szCs w:val="32"/>
        </w:rPr>
        <w:t>配合完成3名班子成员及8名正处长试用期满一年的考察，协助局人事处完成7名副处长和局第二幼儿园副园长的民主推荐、考察测评等工作；突出对敏感岗位、敏感工作人员的风险防控，特别是有针对性地对财务经费、工程建设、固定资产、公务用车、政府采购、项目评审等重要岗位加强了执纪监督，不断提升市机关事务管理中心责任意识及人员队伍的专业素质；加强2个幼儿园的日常管理，保障园内日常用餐、物业、设备维修等，不断研究创新教学方法，拓宽家教共育新途径，做好新生入园、开学典礼、教师节庆祝慰问、毕业典礼等活动</w:t>
      </w:r>
      <w:r>
        <w:rPr>
          <w:rFonts w:ascii="仿宋_GB2312" w:eastAsia="仿宋_GB2312" w:hAnsi="宋体" w:cs="宋体" w:hint="eastAsia"/>
          <w:kern w:val="0"/>
          <w:sz w:val="32"/>
          <w:szCs w:val="32"/>
        </w:rPr>
        <w:t>，提升</w:t>
      </w:r>
      <w:r>
        <w:rPr>
          <w:rFonts w:ascii="仿宋_GB2312" w:eastAsia="仿宋_GB2312" w:hAnsi="宋体" w:cs="宋体"/>
          <w:kern w:val="0"/>
          <w:sz w:val="32"/>
          <w:szCs w:val="32"/>
        </w:rPr>
        <w:t>幼儿教育</w:t>
      </w:r>
      <w:r>
        <w:rPr>
          <w:rFonts w:ascii="仿宋_GB2312" w:eastAsia="仿宋_GB2312" w:hAnsi="宋体" w:cs="宋体" w:hint="eastAsia"/>
          <w:kern w:val="0"/>
          <w:sz w:val="32"/>
          <w:szCs w:val="32"/>
        </w:rPr>
        <w:t>水平。</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根据年度工作安排，市机关事务管理中心将</w:t>
      </w:r>
      <w:r>
        <w:rPr>
          <w:rFonts w:ascii="仿宋_GB2312" w:eastAsia="仿宋_GB2312" w:hint="eastAsia"/>
          <w:sz w:val="32"/>
          <w:szCs w:val="32"/>
        </w:rPr>
        <w:t>部门整体产出分解至各处室及二级预算单位的相关项目中，除各办公区公共区域专用设备购置、市机关事务局第二幼儿园教育教学设备购置等4个项目（见表6）产出数量存在一定偏差外，其他项目均按照计划完成。产出数量存在偏差的主要原因主</w:t>
      </w:r>
      <w:r>
        <w:rPr>
          <w:rFonts w:ascii="仿宋_GB2312" w:eastAsia="仿宋_GB2312" w:hint="eastAsia"/>
          <w:sz w:val="32"/>
          <w:szCs w:val="32"/>
        </w:rPr>
        <w:lastRenderedPageBreak/>
        <w:t>要是实际工作受年度需求、合同内容的变化而动态调整。</w:t>
      </w:r>
    </w:p>
    <w:p w:rsidR="00444AE3" w:rsidRDefault="00C93113">
      <w:pPr>
        <w:adjustRightInd w:val="0"/>
        <w:snapToGrid w:val="0"/>
        <w:spacing w:line="360" w:lineRule="auto"/>
        <w:jc w:val="center"/>
        <w:rPr>
          <w:rFonts w:ascii="黑体" w:eastAsia="黑体" w:hAnsi="黑体"/>
          <w:sz w:val="28"/>
          <w:szCs w:val="28"/>
        </w:rPr>
      </w:pPr>
      <w:r>
        <w:rPr>
          <w:rFonts w:ascii="黑体" w:eastAsia="黑体" w:hAnsi="黑体" w:hint="eastAsia"/>
          <w:sz w:val="28"/>
          <w:szCs w:val="28"/>
        </w:rPr>
        <w:t>表6：产出数量偏差统计</w:t>
      </w:r>
    </w:p>
    <w:tbl>
      <w:tblPr>
        <w:tblW w:w="5000" w:type="pct"/>
        <w:tblCellMar>
          <w:left w:w="28" w:type="dxa"/>
          <w:right w:w="28" w:type="dxa"/>
        </w:tblCellMar>
        <w:tblLook w:val="04A0"/>
      </w:tblPr>
      <w:tblGrid>
        <w:gridCol w:w="662"/>
        <w:gridCol w:w="1477"/>
        <w:gridCol w:w="1856"/>
        <w:gridCol w:w="1430"/>
        <w:gridCol w:w="2937"/>
      </w:tblGrid>
      <w:tr w:rsidR="00444AE3">
        <w:trPr>
          <w:trHeight w:val="460"/>
          <w:tblHeader/>
        </w:trPr>
        <w:tc>
          <w:tcPr>
            <w:tcW w:w="3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序号</w:t>
            </w:r>
          </w:p>
        </w:tc>
        <w:tc>
          <w:tcPr>
            <w:tcW w:w="8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项目名称</w:t>
            </w:r>
          </w:p>
        </w:tc>
        <w:tc>
          <w:tcPr>
            <w:tcW w:w="11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计划产出数量</w:t>
            </w:r>
          </w:p>
        </w:tc>
        <w:tc>
          <w:tcPr>
            <w:tcW w:w="8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实际产出数量</w:t>
            </w:r>
          </w:p>
        </w:tc>
        <w:tc>
          <w:tcPr>
            <w:tcW w:w="17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b/>
                <w:bCs/>
                <w:color w:val="000000"/>
                <w:kern w:val="0"/>
                <w:sz w:val="20"/>
                <w:szCs w:val="20"/>
              </w:rPr>
              <w:t>偏差原因</w:t>
            </w:r>
          </w:p>
        </w:tc>
      </w:tr>
      <w:tr w:rsidR="00444AE3">
        <w:trPr>
          <w:trHeight w:val="740"/>
        </w:trPr>
        <w:tc>
          <w:tcPr>
            <w:tcW w:w="3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8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各办公区公共区域专用设备购置</w:t>
            </w:r>
          </w:p>
        </w:tc>
        <w:tc>
          <w:tcPr>
            <w:tcW w:w="11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年度内购置设备数量≥17个（台、套、件、辆）</w:t>
            </w:r>
          </w:p>
        </w:tc>
        <w:tc>
          <w:tcPr>
            <w:tcW w:w="8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76个（台、套、件、辆）</w:t>
            </w:r>
          </w:p>
        </w:tc>
        <w:tc>
          <w:tcPr>
            <w:tcW w:w="17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根据实际需求采购，与计划数存在一定偏差，项目需求摸底和项目计划性有待进一步加强</w:t>
            </w:r>
          </w:p>
        </w:tc>
      </w:tr>
      <w:tr w:rsidR="00444AE3">
        <w:trPr>
          <w:trHeight w:val="740"/>
        </w:trPr>
        <w:tc>
          <w:tcPr>
            <w:tcW w:w="3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8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市档案馆旧馆开办项目</w:t>
            </w:r>
          </w:p>
        </w:tc>
        <w:tc>
          <w:tcPr>
            <w:tcW w:w="11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购置公共区域设备=7类</w:t>
            </w:r>
          </w:p>
        </w:tc>
        <w:tc>
          <w:tcPr>
            <w:tcW w:w="8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6类</w:t>
            </w:r>
          </w:p>
        </w:tc>
        <w:tc>
          <w:tcPr>
            <w:tcW w:w="17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按照实际需求购置6类</w:t>
            </w:r>
          </w:p>
        </w:tc>
      </w:tr>
      <w:tr w:rsidR="00444AE3">
        <w:trPr>
          <w:trHeight w:val="850"/>
        </w:trPr>
        <w:tc>
          <w:tcPr>
            <w:tcW w:w="3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幼儿园物业管理服务保障类项目</w:t>
            </w:r>
          </w:p>
        </w:tc>
        <w:tc>
          <w:tcPr>
            <w:tcW w:w="11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物业约定服务次数=6次</w:t>
            </w:r>
          </w:p>
        </w:tc>
        <w:tc>
          <w:tcPr>
            <w:tcW w:w="8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7次</w:t>
            </w:r>
          </w:p>
        </w:tc>
        <w:tc>
          <w:tcPr>
            <w:tcW w:w="17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基于合同条款约定及实际需求进行调整</w:t>
            </w:r>
          </w:p>
        </w:tc>
      </w:tr>
      <w:tr w:rsidR="00444AE3">
        <w:trPr>
          <w:trHeight w:val="880"/>
        </w:trPr>
        <w:tc>
          <w:tcPr>
            <w:tcW w:w="39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8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市机关事务局第二幼儿园教育教学设备购置</w:t>
            </w:r>
          </w:p>
        </w:tc>
        <w:tc>
          <w:tcPr>
            <w:tcW w:w="11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购入便携式打印机=6套</w:t>
            </w:r>
          </w:p>
        </w:tc>
        <w:tc>
          <w:tcPr>
            <w:tcW w:w="8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6台教学用钢琴</w:t>
            </w:r>
          </w:p>
        </w:tc>
        <w:tc>
          <w:tcPr>
            <w:tcW w:w="17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因教学用钢琴的实际情况及现实需求较强进行调整</w:t>
            </w:r>
          </w:p>
        </w:tc>
      </w:tr>
    </w:tbl>
    <w:p w:rsidR="00444AE3" w:rsidRDefault="00444AE3">
      <w:pPr>
        <w:adjustRightInd w:val="0"/>
        <w:snapToGrid w:val="0"/>
        <w:rPr>
          <w:rFonts w:ascii="仿宋_GB2312" w:eastAsia="仿宋_GB2312" w:hAnsi="宋体" w:cs="宋体"/>
          <w:color w:val="000000"/>
          <w:kern w:val="0"/>
          <w:sz w:val="20"/>
          <w:szCs w:val="20"/>
        </w:rPr>
      </w:pP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rsidR="00444AE3" w:rsidRDefault="00C93113">
      <w:pPr>
        <w:adjustRightInd w:val="0"/>
        <w:snapToGrid w:val="0"/>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20</w:t>
      </w:r>
      <w:r>
        <w:rPr>
          <w:rFonts w:ascii="仿宋_GB2312" w:eastAsia="仿宋_GB2312"/>
          <w:color w:val="000000"/>
          <w:sz w:val="32"/>
          <w:szCs w:val="32"/>
        </w:rPr>
        <w:t>2</w:t>
      </w:r>
      <w:r>
        <w:rPr>
          <w:rFonts w:ascii="仿宋_GB2312" w:eastAsia="仿宋_GB2312" w:hint="eastAsia"/>
          <w:color w:val="000000"/>
          <w:sz w:val="32"/>
          <w:szCs w:val="32"/>
        </w:rPr>
        <w:t>3年度，</w:t>
      </w:r>
      <w:r>
        <w:rPr>
          <w:rFonts w:ascii="仿宋_GB2312" w:eastAsia="仿宋_GB2312" w:hAnsi="宋体" w:cs="宋体" w:hint="eastAsia"/>
          <w:color w:val="000000"/>
          <w:kern w:val="0"/>
          <w:sz w:val="32"/>
          <w:szCs w:val="32"/>
        </w:rPr>
        <w:t>市机关事务管理中心</w:t>
      </w:r>
      <w:r>
        <w:rPr>
          <w:rFonts w:ascii="仿宋_GB2312" w:eastAsia="仿宋_GB2312" w:hint="eastAsia"/>
          <w:color w:val="000000"/>
          <w:sz w:val="32"/>
          <w:szCs w:val="32"/>
        </w:rPr>
        <w:t>各项产出基本按照预期质量要求完成，以部门主要职能职责活动对应的工作开展质量情况为分析对象，具体情况如下：</w:t>
      </w:r>
    </w:p>
    <w:p w:rsidR="00444AE3" w:rsidRDefault="00C93113">
      <w:pPr>
        <w:adjustRightInd w:val="0"/>
        <w:snapToGrid w:val="0"/>
        <w:spacing w:line="360" w:lineRule="auto"/>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后勤服务保障工作方面</w:t>
      </w:r>
      <w:r>
        <w:rPr>
          <w:rFonts w:ascii="仿宋_GB2312" w:eastAsia="仿宋_GB2312" w:hAnsi="宋体" w:cs="宋体" w:hint="eastAsia"/>
          <w:color w:val="000000"/>
          <w:kern w:val="0"/>
          <w:sz w:val="32"/>
          <w:szCs w:val="32"/>
        </w:rPr>
        <w:t>。年度内定期或不定期开展维修、巡检等工作，积极响应维修需求；且年度内开展的购置、更新及维修等工作均符合相应的工程质量标准，能够满足办公区内工作需求。如，东四六条办公区管理处配电室改造工程全部验收通过，消防系统改造工作完全符合《火灾自动报警系统设计规范》相关要求；依据各办公区实际需求更新购置的排污泵、热力站树脂罐、供纸工作台、厨房设备、食堂补风系统、标签打印机等设备均符合需求，且质量符合相关要求；台基厂2号院等相关维修改造工作均符合行业质量要求，保障了各办公区环境、资产安全，较好的完成了运维等工作。</w:t>
      </w:r>
    </w:p>
    <w:p w:rsidR="00444AE3" w:rsidRDefault="00C93113">
      <w:pPr>
        <w:adjustRightInd w:val="0"/>
        <w:snapToGrid w:val="0"/>
        <w:spacing w:line="360" w:lineRule="auto"/>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bCs/>
          <w:kern w:val="0"/>
          <w:sz w:val="32"/>
          <w:szCs w:val="32"/>
        </w:rPr>
        <w:lastRenderedPageBreak/>
        <w:t>后勤管理工作</w:t>
      </w:r>
      <w:r>
        <w:rPr>
          <w:rFonts w:ascii="仿宋_GB2312" w:eastAsia="仿宋_GB2312" w:hAnsi="宋体" w:cs="宋体" w:hint="eastAsia"/>
          <w:b/>
          <w:bCs/>
          <w:color w:val="000000"/>
          <w:kern w:val="0"/>
          <w:sz w:val="32"/>
          <w:szCs w:val="32"/>
        </w:rPr>
        <w:t>方面</w:t>
      </w:r>
      <w:r>
        <w:rPr>
          <w:rFonts w:ascii="仿宋_GB2312" w:eastAsia="仿宋_GB2312" w:hAnsi="宋体" w:cs="宋体" w:hint="eastAsia"/>
          <w:color w:val="000000"/>
          <w:kern w:val="0"/>
          <w:sz w:val="32"/>
          <w:szCs w:val="32"/>
        </w:rPr>
        <w:t>。物业、餐饮后勤管理工作完成全年各办公区的卫生、简单维修以及供餐工作，全年内未发生食品安全事故；年度内物业服务商资质水平符合要求，物业、餐饮提供服务人员符合合同约定的资质，能够满足办公区物业管理需求，并做到及时响应，相应的服务标准均在政府采购环节、签订的委托服务合同中做出了规定，一定程度上产出质量具有可控性。</w:t>
      </w:r>
    </w:p>
    <w:p w:rsidR="00444AE3" w:rsidRDefault="00C93113">
      <w:pPr>
        <w:adjustRightInd w:val="0"/>
        <w:snapToGrid w:val="0"/>
        <w:spacing w:line="360" w:lineRule="auto"/>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bCs/>
          <w:kern w:val="0"/>
          <w:sz w:val="32"/>
          <w:szCs w:val="32"/>
        </w:rPr>
        <w:t>日常运转</w:t>
      </w:r>
      <w:r>
        <w:rPr>
          <w:rFonts w:ascii="仿宋_GB2312" w:eastAsia="仿宋_GB2312" w:hAnsi="宋体" w:cs="宋体" w:hint="eastAsia"/>
          <w:b/>
          <w:bCs/>
          <w:color w:val="000000"/>
          <w:kern w:val="0"/>
          <w:sz w:val="32"/>
          <w:szCs w:val="32"/>
        </w:rPr>
        <w:t>工作方面</w:t>
      </w:r>
      <w:r>
        <w:rPr>
          <w:rFonts w:ascii="仿宋_GB2312" w:eastAsia="仿宋_GB2312" w:hAnsi="宋体" w:cs="宋体" w:hint="eastAsia"/>
          <w:color w:val="000000"/>
          <w:kern w:val="0"/>
          <w:sz w:val="32"/>
          <w:szCs w:val="32"/>
        </w:rPr>
        <w:t>。开展了宣传思想文化工作，通过电子屏、宣传栏等形式开展办公区内的节能、环保、安全生产等宣传工作，严格落实意识形态工作责任制，培育和践行社会主义核心价值观，持续开展“五史”宣传教育；保证宣传工作文字可读性强，图文清晰，保障了传达室、门岗等重要岗位的日常运转，提升办公区内安全性。</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整体上，部门整体2023年度工作达到了年初计划的质量要求，质量完成情况无偏离。</w:t>
      </w: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3.产出进度</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int="eastAsia"/>
          <w:color w:val="000000"/>
          <w:sz w:val="32"/>
          <w:szCs w:val="32"/>
        </w:rPr>
        <w:t>20</w:t>
      </w:r>
      <w:r>
        <w:rPr>
          <w:rFonts w:ascii="仿宋_GB2312" w:eastAsia="仿宋_GB2312"/>
          <w:color w:val="000000"/>
          <w:sz w:val="32"/>
          <w:szCs w:val="32"/>
        </w:rPr>
        <w:t>2</w:t>
      </w:r>
      <w:r>
        <w:rPr>
          <w:rFonts w:ascii="仿宋_GB2312" w:eastAsia="仿宋_GB2312" w:hint="eastAsia"/>
          <w:color w:val="000000"/>
          <w:sz w:val="32"/>
          <w:szCs w:val="32"/>
        </w:rPr>
        <w:t>3年度，</w:t>
      </w:r>
      <w:r>
        <w:rPr>
          <w:rFonts w:ascii="仿宋_GB2312" w:eastAsia="仿宋_GB2312" w:hAnsi="宋体" w:cs="宋体" w:hint="eastAsia"/>
          <w:color w:val="000000"/>
          <w:kern w:val="0"/>
          <w:sz w:val="32"/>
          <w:szCs w:val="32"/>
        </w:rPr>
        <w:t>市机关事务管理中心基本按完成全年日常运转工作、后勤服务工作以及后勤保障工作，并及时完成相应的合同签订、支出相应费用；除综合服务保障经费、各办公区后勤服务保障、北京花市服务中心日常类运转项目3个项目（见表7）工作进度与年初计划存在一定偏差外，其他项目工作与年初计划进度无偏离。产出进度存在偏差的主要原</w:t>
      </w:r>
      <w:r>
        <w:rPr>
          <w:rFonts w:ascii="仿宋_GB2312" w:eastAsia="仿宋_GB2312" w:hAnsi="宋体" w:cs="宋体" w:hint="eastAsia"/>
          <w:color w:val="000000"/>
          <w:kern w:val="0"/>
          <w:sz w:val="32"/>
          <w:szCs w:val="32"/>
        </w:rPr>
        <w:lastRenderedPageBreak/>
        <w:t>因是产出计划指标值设置定位与实际工作存在偏差、部分工作受年度需求的变化而进行调整。</w:t>
      </w:r>
    </w:p>
    <w:p w:rsidR="00444AE3" w:rsidRDefault="00C93113">
      <w:pPr>
        <w:adjustRightInd w:val="0"/>
        <w:snapToGrid w:val="0"/>
        <w:spacing w:line="360" w:lineRule="auto"/>
        <w:jc w:val="center"/>
        <w:rPr>
          <w:rFonts w:ascii="黑体" w:eastAsia="黑体" w:hAnsi="黑体"/>
          <w:sz w:val="28"/>
          <w:szCs w:val="28"/>
        </w:rPr>
      </w:pPr>
      <w:r>
        <w:rPr>
          <w:rFonts w:ascii="黑体" w:eastAsia="黑体" w:hAnsi="黑体" w:hint="eastAsia"/>
          <w:sz w:val="28"/>
          <w:szCs w:val="28"/>
        </w:rPr>
        <w:t>表7：产出进度偏差统计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662"/>
        <w:gridCol w:w="1105"/>
        <w:gridCol w:w="1736"/>
        <w:gridCol w:w="2636"/>
        <w:gridCol w:w="2223"/>
      </w:tblGrid>
      <w:tr w:rsidR="00444AE3">
        <w:trPr>
          <w:trHeight w:val="580"/>
          <w:tblHeader/>
          <w:jc w:val="center"/>
        </w:trPr>
        <w:tc>
          <w:tcPr>
            <w:tcW w:w="396" w:type="pct"/>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序号</w:t>
            </w:r>
          </w:p>
        </w:tc>
        <w:tc>
          <w:tcPr>
            <w:tcW w:w="661" w:type="pct"/>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项目名称</w:t>
            </w:r>
          </w:p>
        </w:tc>
        <w:tc>
          <w:tcPr>
            <w:tcW w:w="1038" w:type="pct"/>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计划产出进度</w:t>
            </w:r>
          </w:p>
        </w:tc>
        <w:tc>
          <w:tcPr>
            <w:tcW w:w="1576" w:type="pct"/>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实际产出进度</w:t>
            </w:r>
          </w:p>
        </w:tc>
        <w:tc>
          <w:tcPr>
            <w:tcW w:w="1329" w:type="pct"/>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偏差原因</w:t>
            </w:r>
          </w:p>
        </w:tc>
      </w:tr>
      <w:tr w:rsidR="00444AE3">
        <w:trPr>
          <w:trHeight w:val="1226"/>
          <w:jc w:val="center"/>
        </w:trPr>
        <w:tc>
          <w:tcPr>
            <w:tcW w:w="396" w:type="pct"/>
            <w:vMerge w:val="restar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661" w:type="pct"/>
            <w:vMerge w:val="restar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综合服务保障经费</w:t>
            </w:r>
          </w:p>
        </w:tc>
        <w:tc>
          <w:tcPr>
            <w:tcW w:w="1038"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完成上半年餐饮补助发放工作≤6月</w:t>
            </w:r>
          </w:p>
        </w:tc>
        <w:tc>
          <w:tcPr>
            <w:tcW w:w="1576"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6月完成台基厂和东四六条办公区全年就餐补助发放工作</w:t>
            </w:r>
          </w:p>
        </w:tc>
        <w:tc>
          <w:tcPr>
            <w:tcW w:w="1329" w:type="pct"/>
            <w:vMerge w:val="restar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根据实际工作需求发放就餐补助，与原计划的分两次发放存在一定差异</w:t>
            </w:r>
          </w:p>
        </w:tc>
      </w:tr>
      <w:tr w:rsidR="00444AE3">
        <w:trPr>
          <w:trHeight w:val="1226"/>
          <w:jc w:val="center"/>
        </w:trPr>
        <w:tc>
          <w:tcPr>
            <w:tcW w:w="396" w:type="pct"/>
            <w:vMerge/>
            <w:shd w:val="clear" w:color="auto" w:fill="auto"/>
            <w:vAlign w:val="center"/>
          </w:tcPr>
          <w:p w:rsidR="00444AE3" w:rsidRDefault="00444AE3">
            <w:pPr>
              <w:widowControl/>
              <w:adjustRightInd w:val="0"/>
              <w:snapToGrid w:val="0"/>
              <w:jc w:val="center"/>
              <w:rPr>
                <w:rFonts w:ascii="宋体" w:hAnsi="宋体" w:cs="宋体"/>
                <w:color w:val="000000"/>
                <w:kern w:val="0"/>
                <w:sz w:val="20"/>
                <w:szCs w:val="20"/>
              </w:rPr>
            </w:pPr>
          </w:p>
        </w:tc>
        <w:tc>
          <w:tcPr>
            <w:tcW w:w="661" w:type="pct"/>
            <w:vMerge/>
            <w:shd w:val="clear" w:color="auto" w:fill="auto"/>
            <w:vAlign w:val="center"/>
          </w:tcPr>
          <w:p w:rsidR="00444AE3" w:rsidRDefault="00444AE3">
            <w:pPr>
              <w:widowControl/>
              <w:adjustRightInd w:val="0"/>
              <w:snapToGrid w:val="0"/>
              <w:jc w:val="center"/>
              <w:rPr>
                <w:rFonts w:ascii="宋体" w:hAnsi="宋体" w:cs="宋体"/>
                <w:color w:val="000000"/>
                <w:kern w:val="0"/>
                <w:sz w:val="20"/>
                <w:szCs w:val="20"/>
              </w:rPr>
            </w:pPr>
          </w:p>
        </w:tc>
        <w:tc>
          <w:tcPr>
            <w:tcW w:w="1038"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完成下半年餐饮补助发放工作≤11月</w:t>
            </w:r>
          </w:p>
        </w:tc>
        <w:tc>
          <w:tcPr>
            <w:tcW w:w="1576"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7月发放中环办公区餐饮补助，8月发放南礼士路办公区就餐补助，9月完成槐柏树街、六里桥、东交民巷就餐补助发放；12月发放新入职人员就餐补助</w:t>
            </w:r>
          </w:p>
        </w:tc>
        <w:tc>
          <w:tcPr>
            <w:tcW w:w="1329" w:type="pct"/>
            <w:vMerge/>
            <w:shd w:val="clear" w:color="auto" w:fill="auto"/>
            <w:vAlign w:val="center"/>
          </w:tcPr>
          <w:p w:rsidR="00444AE3" w:rsidRDefault="00444AE3">
            <w:pPr>
              <w:widowControl/>
              <w:adjustRightInd w:val="0"/>
              <w:snapToGrid w:val="0"/>
              <w:jc w:val="center"/>
              <w:rPr>
                <w:rFonts w:ascii="宋体" w:hAnsi="宋体" w:cs="宋体"/>
                <w:color w:val="000000"/>
                <w:kern w:val="0"/>
                <w:sz w:val="20"/>
                <w:szCs w:val="20"/>
              </w:rPr>
            </w:pPr>
          </w:p>
        </w:tc>
      </w:tr>
      <w:tr w:rsidR="00444AE3">
        <w:trPr>
          <w:trHeight w:val="740"/>
          <w:jc w:val="center"/>
        </w:trPr>
        <w:tc>
          <w:tcPr>
            <w:tcW w:w="396"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661"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各办公区后勤服务保障</w:t>
            </w:r>
          </w:p>
        </w:tc>
        <w:tc>
          <w:tcPr>
            <w:tcW w:w="1038"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及时确定物业、餐饮服务商≤6月</w:t>
            </w:r>
          </w:p>
        </w:tc>
        <w:tc>
          <w:tcPr>
            <w:tcW w:w="1576"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7月</w:t>
            </w:r>
          </w:p>
        </w:tc>
        <w:tc>
          <w:tcPr>
            <w:tcW w:w="1329"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按照实际服务期限需求签订合同付款，需求摸底有待进一步加强</w:t>
            </w:r>
          </w:p>
        </w:tc>
      </w:tr>
      <w:tr w:rsidR="00444AE3">
        <w:trPr>
          <w:trHeight w:val="1105"/>
          <w:jc w:val="center"/>
        </w:trPr>
        <w:tc>
          <w:tcPr>
            <w:tcW w:w="396"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661"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北京花市服务中心日常类运转项目</w:t>
            </w:r>
          </w:p>
        </w:tc>
        <w:tc>
          <w:tcPr>
            <w:tcW w:w="1038"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及时完成年度内相关工作≤11月</w:t>
            </w:r>
          </w:p>
        </w:tc>
        <w:tc>
          <w:tcPr>
            <w:tcW w:w="1576"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12月</w:t>
            </w:r>
          </w:p>
        </w:tc>
        <w:tc>
          <w:tcPr>
            <w:tcW w:w="1329"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项目为按月定期发放工资、缴纳保险、税金等，因此实际完成工作时间较晚</w:t>
            </w:r>
          </w:p>
        </w:tc>
      </w:tr>
    </w:tbl>
    <w:p w:rsidR="00444AE3" w:rsidRDefault="00444AE3">
      <w:pPr>
        <w:adjustRightInd w:val="0"/>
        <w:snapToGrid w:val="0"/>
        <w:rPr>
          <w:rFonts w:ascii="仿宋_GB2312" w:eastAsia="仿宋_GB2312" w:hAnsi="宋体" w:cs="宋体"/>
          <w:color w:val="000000"/>
          <w:kern w:val="0"/>
          <w:sz w:val="20"/>
          <w:szCs w:val="20"/>
        </w:rPr>
      </w:pP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444AE3" w:rsidRDefault="00C93113">
      <w:pPr>
        <w:adjustRightInd w:val="0"/>
        <w:snapToGrid w:val="0"/>
        <w:spacing w:line="360" w:lineRule="auto"/>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基本经费方面</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3年度，市机关事务管理中心基本经费实际执行23396.098878万元，占基本经费全年预算数23781.703457万元的98.38%，不存在超支现象。</w:t>
      </w:r>
    </w:p>
    <w:p w:rsidR="00444AE3" w:rsidRDefault="00C93113">
      <w:pPr>
        <w:adjustRightInd w:val="0"/>
        <w:snapToGrid w:val="0"/>
        <w:spacing w:line="360" w:lineRule="auto"/>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项目经费方面</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3年度，市机关事务管理中心项目经费实际执行8354.408992万元，占项目经费全年预算数8815.902482万元的94.77</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，不存在超支现象。</w:t>
      </w:r>
    </w:p>
    <w:p w:rsidR="00444AE3" w:rsidRDefault="00C93113">
      <w:pPr>
        <w:adjustRightInd w:val="0"/>
        <w:snapToGrid w:val="0"/>
        <w:spacing w:line="360" w:lineRule="auto"/>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经营支出预算方面</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3年度，市机关事务管理中心经营支出预算执行206.269492万元，占经营支出预算全年预算1476.42266万元的13.97</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，不存在超支现象。</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整体上，</w:t>
      </w:r>
      <w:r>
        <w:rPr>
          <w:rFonts w:ascii="仿宋_GB2312" w:eastAsia="仿宋_GB2312" w:hAnsi="宋体" w:cs="宋体"/>
          <w:color w:val="000000"/>
          <w:kern w:val="0"/>
          <w:sz w:val="32"/>
          <w:szCs w:val="32"/>
        </w:rPr>
        <w:t>各项产出活动均在财政批复的资金范围内开展，</w:t>
      </w:r>
      <w:r>
        <w:rPr>
          <w:rFonts w:ascii="仿宋_GB2312" w:eastAsia="仿宋_GB2312" w:hAnsi="宋体" w:cs="宋体" w:hint="eastAsia"/>
          <w:color w:val="000000"/>
          <w:kern w:val="0"/>
          <w:sz w:val="32"/>
          <w:szCs w:val="32"/>
        </w:rPr>
        <w:t>并通过公开招标等政府采购节约财政资金，</w:t>
      </w:r>
      <w:r>
        <w:rPr>
          <w:rFonts w:ascii="仿宋_GB2312" w:eastAsia="仿宋_GB2312" w:hAnsi="宋体" w:cs="宋体"/>
          <w:color w:val="000000"/>
          <w:kern w:val="0"/>
          <w:sz w:val="32"/>
          <w:szCs w:val="32"/>
        </w:rPr>
        <w:t>支出控制在预算内</w:t>
      </w:r>
      <w:r>
        <w:rPr>
          <w:rFonts w:ascii="仿宋_GB2312" w:eastAsia="仿宋_GB2312" w:hAnsi="宋体" w:cs="宋体" w:hint="eastAsia"/>
          <w:color w:val="000000"/>
          <w:kern w:val="0"/>
          <w:sz w:val="32"/>
          <w:szCs w:val="32"/>
        </w:rPr>
        <w:t>，项目支出成本控制较好。但部分项目应加强前期需求调研、细化预算测算，夯实预算测算依据，提高预算资金精细化管理水平。</w:t>
      </w:r>
    </w:p>
    <w:p w:rsidR="00444AE3" w:rsidRDefault="00C93113">
      <w:pPr>
        <w:adjustRightInd w:val="0"/>
        <w:snapToGrid w:val="0"/>
        <w:spacing w:line="360" w:lineRule="auto"/>
        <w:ind w:firstLineChars="150" w:firstLine="480"/>
        <w:outlineLvl w:val="1"/>
        <w:rPr>
          <w:rFonts w:ascii="楷体_GB2312" w:eastAsia="楷体_GB2312"/>
          <w:sz w:val="32"/>
          <w:szCs w:val="32"/>
        </w:rPr>
      </w:pPr>
      <w:bookmarkStart w:id="9" w:name="_Toc3144"/>
      <w:r>
        <w:rPr>
          <w:rFonts w:ascii="楷体_GB2312" w:eastAsia="楷体_GB2312" w:hint="eastAsia"/>
          <w:sz w:val="32"/>
          <w:szCs w:val="32"/>
        </w:rPr>
        <w:t>（二）效果</w:t>
      </w:r>
      <w:r>
        <w:rPr>
          <w:rFonts w:ascii="楷体_GB2312" w:eastAsia="楷体_GB2312"/>
          <w:sz w:val="32"/>
          <w:szCs w:val="32"/>
        </w:rPr>
        <w:t>实现情况分析</w:t>
      </w:r>
      <w:bookmarkEnd w:id="9"/>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3年度，市机关事务管理中心围绕后勤保障、后勤管理、日常运转3类内容开展相关工作，并取得了较好的效果，积极开展维修、设备设施更新工作，有效满足了各办公区餐饮、物业等方面的需求，做好日常运转工作，获得有关领导及各办公区工作人员的一致好评，充分</w:t>
      </w:r>
      <w:r>
        <w:rPr>
          <w:rFonts w:ascii="仿宋_GB2312" w:eastAsia="仿宋_GB2312" w:hint="eastAsia"/>
          <w:sz w:val="32"/>
          <w:szCs w:val="32"/>
        </w:rPr>
        <w:t>展现了北京市集中办公区服务保障风采</w:t>
      </w:r>
      <w:r>
        <w:rPr>
          <w:rFonts w:ascii="仿宋_GB2312" w:eastAsia="仿宋_GB2312" w:hAnsi="宋体" w:cs="宋体" w:hint="eastAsia"/>
          <w:color w:val="000000"/>
          <w:kern w:val="0"/>
          <w:sz w:val="32"/>
          <w:szCs w:val="32"/>
        </w:rPr>
        <w:t>。</w:t>
      </w: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为各办公区提供后勤保障，支撑日常工作开展</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度，管理中心积极开展维修、设备设施更新工作，有效满足了各办公区日常办公对办公用品及设施的需求，支撑日常工作的开展。一是高效完成槐柏树街办公区和南礼士路办公区人脸识别系统改造项目，增设部署人脸识别终端及网络设备58台，顺利完成管理中心10个处室政务内网终端安装工作，完成管理中心干部收入系统升级改造;二是做好宿舍楼和锦鹏大厦的维修维护服务，及时更换损坏的水管、电梯监控、地下室污水泵等老旧设施设备；三是对六里桥办公区6层会议室进行升级改造，设立贵宾室、视频会议室、</w:t>
      </w:r>
      <w:r>
        <w:rPr>
          <w:rFonts w:ascii="仿宋_GB2312" w:eastAsia="仿宋_GB2312" w:hAnsi="宋体" w:cs="宋体" w:hint="eastAsia"/>
          <w:color w:val="000000"/>
          <w:kern w:val="0"/>
          <w:sz w:val="32"/>
          <w:szCs w:val="32"/>
        </w:rPr>
        <w:lastRenderedPageBreak/>
        <w:t>网络会议室和多功能国际会议室，为提供高质量的会议服务保障打下基础。但是，对各办公区房屋修缮改造及专用设施设备购置更新工作未开展专门的满意度调查工作，后续需进一步加强。</w:t>
      </w: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做好后勤管理工作，高质量提供物业、餐饮服务</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2023年度，管理中心为各办公区提供的高水平、高水准餐饮及物业保障，消除安全隐患。一是</w:t>
      </w:r>
      <w:r>
        <w:rPr>
          <w:rFonts w:ascii="仿宋_GB2312" w:eastAsia="仿宋_GB2312" w:hint="eastAsia"/>
          <w:sz w:val="32"/>
          <w:szCs w:val="32"/>
        </w:rPr>
        <w:t>制定《管理中心各办公区餐饮工作提升任务清单》并督促落实，不断提高食堂餐饮管理服务规范化、精细化水平，全年供餐服务约95万余人次；二是</w:t>
      </w:r>
      <w:r>
        <w:rPr>
          <w:rFonts w:ascii="仿宋_GB2312" w:eastAsia="仿宋_GB2312" w:hAnsi="楷体" w:hint="eastAsia"/>
          <w:sz w:val="32"/>
          <w:szCs w:val="32"/>
        </w:rPr>
        <w:t>邀请专业人员对服务保障队伍进行培训，不断提高</w:t>
      </w:r>
      <w:r>
        <w:rPr>
          <w:rFonts w:ascii="仿宋_GB2312" w:eastAsia="仿宋_GB2312" w:hint="eastAsia"/>
          <w:color w:val="000000"/>
          <w:sz w:val="32"/>
          <w:szCs w:val="32"/>
        </w:rPr>
        <w:t>整体业务能力，在局第一届物业服务技能比赛中取得了设施设备技能服务第一名，会议服务第二名，保洁服务第二名，综合排名第二名；各办公区后勤服务保障平均满意度水平达98%，整体满意度水平较高，但存在</w:t>
      </w:r>
      <w:r>
        <w:rPr>
          <w:rFonts w:ascii="仿宋_GB2312" w:eastAsia="仿宋_GB2312" w:hAnsi="宋体" w:cs="宋体" w:hint="eastAsia"/>
          <w:color w:val="000000"/>
          <w:kern w:val="0"/>
          <w:sz w:val="32"/>
          <w:szCs w:val="32"/>
        </w:rPr>
        <w:t>部分办公区满意度调查样本量相对较少，满意度收集反馈机制有待进一步完善。</w:t>
      </w: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坚持政治统领，确保</w:t>
      </w:r>
      <w:r>
        <w:rPr>
          <w:rFonts w:ascii="仿宋_GB2312" w:eastAsia="仿宋_GB2312" w:hAnsi="宋体" w:cs="宋体" w:hint="eastAsia"/>
          <w:kern w:val="0"/>
          <w:sz w:val="32"/>
          <w:szCs w:val="32"/>
        </w:rPr>
        <w:t>日常</w:t>
      </w:r>
      <w:r>
        <w:rPr>
          <w:rFonts w:ascii="仿宋_GB2312" w:eastAsia="仿宋_GB2312" w:hAnsi="宋体" w:cs="宋体" w:hint="eastAsia"/>
          <w:color w:val="000000"/>
          <w:kern w:val="0"/>
          <w:sz w:val="32"/>
          <w:szCs w:val="32"/>
        </w:rPr>
        <w:t>工作正常运转</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认真学习、宣传、贯彻党的二十大精神教育,抓好“光盘行动”宣传、消防宣传等工作；二是办文办会办事细致规范，加强值班管理，严格绩效督查督办，综合协调成效明显；三是两个幼儿园认真落实教学内容和招生计划，不断提升教师业务素质和教保服务水平。</w:t>
      </w:r>
    </w:p>
    <w:p w:rsidR="00444AE3" w:rsidRDefault="00C93113">
      <w:pPr>
        <w:adjustRightInd w:val="0"/>
        <w:snapToGrid w:val="0"/>
        <w:spacing w:line="360" w:lineRule="auto"/>
        <w:ind w:firstLineChars="200" w:firstLine="640"/>
        <w:outlineLvl w:val="0"/>
        <w:rPr>
          <w:rFonts w:ascii="黑体" w:eastAsia="黑体" w:hAnsi="黑体" w:cs="宋体"/>
          <w:color w:val="000000"/>
          <w:kern w:val="0"/>
          <w:sz w:val="32"/>
          <w:szCs w:val="32"/>
        </w:rPr>
      </w:pPr>
      <w:bookmarkStart w:id="10" w:name="_Toc32471"/>
      <w:bookmarkStart w:id="11" w:name="_Toc135231101"/>
      <w:bookmarkStart w:id="12" w:name="_Toc135402103"/>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bookmarkEnd w:id="10"/>
      <w:bookmarkEnd w:id="11"/>
      <w:bookmarkEnd w:id="12"/>
    </w:p>
    <w:p w:rsidR="00444AE3" w:rsidRDefault="00C93113">
      <w:pPr>
        <w:adjustRightInd w:val="0"/>
        <w:snapToGrid w:val="0"/>
        <w:spacing w:line="360" w:lineRule="auto"/>
        <w:ind w:firstLineChars="200" w:firstLine="640"/>
        <w:outlineLvl w:val="1"/>
        <w:rPr>
          <w:rFonts w:ascii="楷体_GB2312" w:eastAsia="楷体_GB2312"/>
          <w:sz w:val="32"/>
          <w:szCs w:val="32"/>
        </w:rPr>
      </w:pPr>
      <w:bookmarkStart w:id="13" w:name="_Toc15052"/>
      <w:bookmarkStart w:id="14" w:name="_Toc135231102"/>
      <w:bookmarkStart w:id="15" w:name="_Toc135402104"/>
      <w:r>
        <w:rPr>
          <w:rFonts w:ascii="楷体_GB2312" w:eastAsia="楷体_GB2312" w:hint="eastAsia"/>
          <w:sz w:val="32"/>
          <w:szCs w:val="32"/>
        </w:rPr>
        <w:lastRenderedPageBreak/>
        <w:t>（一）财务管理</w:t>
      </w:r>
      <w:bookmarkEnd w:id="13"/>
      <w:bookmarkEnd w:id="14"/>
      <w:bookmarkEnd w:id="15"/>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bookmarkStart w:id="16" w:name="_Toc135231103"/>
      <w:r>
        <w:rPr>
          <w:rFonts w:ascii="仿宋_GB2312" w:eastAsia="仿宋_GB2312" w:hAnsi="宋体" w:cs="宋体"/>
          <w:color w:val="000000"/>
          <w:kern w:val="0"/>
          <w:sz w:val="32"/>
          <w:szCs w:val="32"/>
        </w:rPr>
        <w:t>1.财务管理制度健全性</w:t>
      </w:r>
      <w:bookmarkEnd w:id="16"/>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为规范部门内部资金使用规范性和安全性，市机关事务管理中心2</w:t>
      </w:r>
      <w:r>
        <w:rPr>
          <w:rFonts w:ascii="仿宋_GB2312" w:eastAsia="仿宋_GB2312" w:hAnsi="宋体" w:cs="宋体"/>
          <w:color w:val="000000"/>
          <w:kern w:val="0"/>
          <w:sz w:val="32"/>
          <w:szCs w:val="32"/>
        </w:rPr>
        <w:t>022</w:t>
      </w:r>
      <w:r>
        <w:rPr>
          <w:rFonts w:ascii="仿宋_GB2312" w:eastAsia="仿宋_GB2312" w:hAnsi="宋体" w:cs="宋体" w:hint="eastAsia"/>
          <w:color w:val="000000"/>
          <w:kern w:val="0"/>
          <w:sz w:val="32"/>
          <w:szCs w:val="32"/>
        </w:rPr>
        <w:t>年1</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月印发了《北京市机关事务管理中心内部控制制度汇编》，制定了一套较为完备的内控管理制度，涵盖预算资金管理、预算绩效管理、资产管理、内部财务管理制度、会计核算制度等共计</w:t>
      </w:r>
      <w:r>
        <w:rPr>
          <w:rFonts w:ascii="仿宋_GB2312" w:eastAsia="仿宋_GB2312" w:hAnsi="宋体" w:cs="宋体"/>
          <w:color w:val="000000"/>
          <w:kern w:val="0"/>
          <w:sz w:val="32"/>
          <w:szCs w:val="32"/>
        </w:rPr>
        <w:t>19</w:t>
      </w:r>
      <w:r>
        <w:rPr>
          <w:rFonts w:ascii="仿宋_GB2312" w:eastAsia="仿宋_GB2312" w:hAnsi="宋体" w:cs="宋体" w:hint="eastAsia"/>
          <w:color w:val="000000"/>
          <w:kern w:val="0"/>
          <w:sz w:val="32"/>
          <w:szCs w:val="32"/>
        </w:rPr>
        <w:t>项关键性财务管理制度文件（见表</w:t>
      </w:r>
      <w:r>
        <w:rPr>
          <w:rFonts w:ascii="仿宋_GB2312" w:eastAsia="仿宋_GB2312" w:hAnsi="宋体" w:cs="宋体"/>
          <w:color w:val="000000"/>
          <w:kern w:val="0"/>
          <w:sz w:val="32"/>
          <w:szCs w:val="32"/>
        </w:rPr>
        <w:t>8</w:t>
      </w:r>
      <w:r>
        <w:rPr>
          <w:rFonts w:ascii="仿宋_GB2312" w:eastAsia="仿宋_GB2312" w:hAnsi="宋体" w:cs="宋体" w:hint="eastAsia"/>
          <w:color w:val="000000"/>
          <w:kern w:val="0"/>
          <w:sz w:val="32"/>
          <w:szCs w:val="32"/>
        </w:rPr>
        <w:t>），能够为部门2023年度履职工作的顺利开展提供支撑。但是个别制度办法更新不够及时，如，《北京市机关事务管理中心信息化项目管理办法》所依据的法规“</w:t>
      </w:r>
      <w:r>
        <w:rPr>
          <w:rFonts w:ascii="仿宋_GB2312" w:eastAsia="仿宋_GB2312" w:hint="eastAsia"/>
          <w:sz w:val="32"/>
          <w:szCs w:val="32"/>
        </w:rPr>
        <w:t>《中华人民共和国合同法》</w:t>
      </w:r>
      <w:r>
        <w:rPr>
          <w:rFonts w:ascii="仿宋_GB2312" w:eastAsia="仿宋_GB2312" w:hAnsi="宋体" w:cs="宋体" w:hint="eastAsia"/>
          <w:color w:val="000000"/>
          <w:kern w:val="0"/>
          <w:sz w:val="32"/>
          <w:szCs w:val="32"/>
        </w:rPr>
        <w:t>”已废止，办法依据性文件未及时更新为《中华人民共和国民法典》。</w:t>
      </w:r>
    </w:p>
    <w:p w:rsidR="00444AE3" w:rsidRDefault="00C93113">
      <w:pPr>
        <w:adjustRightInd w:val="0"/>
        <w:snapToGrid w:val="0"/>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8</w:t>
      </w:r>
      <w:r>
        <w:rPr>
          <w:rFonts w:ascii="黑体" w:eastAsia="黑体" w:hAnsi="黑体" w:hint="eastAsia"/>
          <w:sz w:val="28"/>
          <w:szCs w:val="28"/>
        </w:rPr>
        <w:t>：市机关事务管理中心关键性财务管理制度一览表</w:t>
      </w:r>
    </w:p>
    <w:tbl>
      <w:tblPr>
        <w:tblW w:w="50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849"/>
        <w:gridCol w:w="1000"/>
        <w:gridCol w:w="2669"/>
        <w:gridCol w:w="3911"/>
      </w:tblGrid>
      <w:tr w:rsidR="00444AE3">
        <w:trPr>
          <w:trHeight w:val="397"/>
          <w:tblHeader/>
          <w:jc w:val="center"/>
        </w:trPr>
        <w:tc>
          <w:tcPr>
            <w:tcW w:w="504" w:type="pct"/>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序号</w:t>
            </w:r>
          </w:p>
        </w:tc>
        <w:tc>
          <w:tcPr>
            <w:tcW w:w="593" w:type="pct"/>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分类</w:t>
            </w:r>
          </w:p>
        </w:tc>
        <w:tc>
          <w:tcPr>
            <w:tcW w:w="1582" w:type="pct"/>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制度文件名称</w:t>
            </w:r>
          </w:p>
        </w:tc>
        <w:tc>
          <w:tcPr>
            <w:tcW w:w="2319" w:type="pct"/>
            <w:shd w:val="clear" w:color="auto" w:fill="auto"/>
            <w:vAlign w:val="center"/>
          </w:tcPr>
          <w:p w:rsidR="00444AE3" w:rsidRDefault="00C93113">
            <w:pPr>
              <w:widowControl/>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具体内容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593"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预算资金管理办法</w:t>
            </w: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《北京市机关事务管理中心预算管理办法》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明确了预算管理职责、预算收支范围、预算编制、预算执行、预算调整等方面内容。</w:t>
            </w:r>
          </w:p>
        </w:tc>
      </w:tr>
      <w:tr w:rsidR="00444AE3">
        <w:trPr>
          <w:trHeight w:val="886"/>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593"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预算绩效管理办法（含绩效运行监控）</w:t>
            </w: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《北京市机关事务管理中心预算绩效管理办法》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明确了预算绩效管理的职责分工、预算编制管理、预算执行管理、决算阶段等方面内容。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593" w:type="pct"/>
            <w:vMerge w:val="restar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资产管理办法</w:t>
            </w: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《北京市机关事务管理中心固定资产管理办法》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明确了管理职责、资产配置、资产使用、资产处置等方面内容。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593" w:type="pct"/>
            <w:vMerge/>
            <w:vAlign w:val="center"/>
          </w:tcPr>
          <w:p w:rsidR="00444AE3" w:rsidRDefault="00444AE3">
            <w:pPr>
              <w:widowControl/>
              <w:adjustRightInd w:val="0"/>
              <w:snapToGrid w:val="0"/>
              <w:jc w:val="left"/>
              <w:rPr>
                <w:rFonts w:ascii="宋体" w:hAnsi="宋体" w:cs="宋体"/>
                <w:color w:val="000000"/>
                <w:kern w:val="0"/>
                <w:sz w:val="20"/>
                <w:szCs w:val="20"/>
              </w:rPr>
            </w:pP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《北京市机关事务管理中心无形资产管理办法》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明确了职责分工、无形资产形成与取得、无形资产使用与处置无形资产使用与处置等方面内容。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593" w:type="pct"/>
            <w:vMerge w:val="restar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内部财务管理制度</w:t>
            </w: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《北京市机关事务管理中心内部审计工作办法》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对于内部审计工作职责、审计事项、基本流程及报审资料进行了规定。</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593" w:type="pct"/>
            <w:vMerge/>
            <w:shd w:val="clear" w:color="auto" w:fill="auto"/>
            <w:vAlign w:val="center"/>
          </w:tcPr>
          <w:p w:rsidR="00444AE3" w:rsidRDefault="00444AE3">
            <w:pPr>
              <w:adjustRightInd w:val="0"/>
              <w:snapToGrid w:val="0"/>
              <w:jc w:val="center"/>
              <w:rPr>
                <w:rFonts w:ascii="宋体" w:hAnsi="宋体" w:cs="宋体"/>
                <w:color w:val="000000"/>
                <w:kern w:val="0"/>
                <w:sz w:val="20"/>
                <w:szCs w:val="20"/>
              </w:rPr>
            </w:pP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《北京市机关事务管理中心内部控制评价与监督办法》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对职责分工、内部监督内容、内部监督的频率、内部监督的程序与方法等方面进行了规定。</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593" w:type="pct"/>
            <w:vMerge/>
            <w:shd w:val="clear" w:color="auto" w:fill="auto"/>
            <w:vAlign w:val="center"/>
          </w:tcPr>
          <w:p w:rsidR="00444AE3" w:rsidRDefault="00444AE3">
            <w:pPr>
              <w:adjustRightInd w:val="0"/>
              <w:snapToGrid w:val="0"/>
              <w:jc w:val="center"/>
              <w:rPr>
                <w:rFonts w:ascii="宋体" w:hAnsi="宋体" w:cs="宋体"/>
                <w:color w:val="000000"/>
                <w:kern w:val="0"/>
                <w:sz w:val="20"/>
                <w:szCs w:val="20"/>
              </w:rPr>
            </w:pP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《北京市机关事务管理中心风险评估管理办法》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对于风险评估原则、风险评估、评估内容、评估程序进行了规定。</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593" w:type="pct"/>
            <w:vMerge/>
            <w:shd w:val="clear" w:color="auto" w:fill="auto"/>
            <w:vAlign w:val="center"/>
          </w:tcPr>
          <w:p w:rsidR="00444AE3" w:rsidRDefault="00444AE3">
            <w:pPr>
              <w:adjustRightInd w:val="0"/>
              <w:snapToGrid w:val="0"/>
              <w:jc w:val="center"/>
              <w:rPr>
                <w:rFonts w:ascii="宋体" w:hAnsi="宋体" w:cs="宋体"/>
                <w:color w:val="000000"/>
                <w:kern w:val="0"/>
                <w:sz w:val="20"/>
                <w:szCs w:val="20"/>
              </w:rPr>
            </w:pP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《北京市机关事务管理中心部门评审管理办法》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明确了部门评审的工作职责、工作流程等方面内容。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w:t>
            </w:r>
          </w:p>
        </w:tc>
        <w:tc>
          <w:tcPr>
            <w:tcW w:w="593" w:type="pct"/>
            <w:vMerge w:val="restart"/>
            <w:shd w:val="clear" w:color="auto" w:fill="auto"/>
            <w:vAlign w:val="center"/>
          </w:tcPr>
          <w:p w:rsidR="00444AE3" w:rsidRDefault="00C93113">
            <w:pPr>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续上页</w:t>
            </w: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《北京市机关事务管理中心差旅费管理办法》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明确了城市间交通费、住宿费、伙食补助费、市内交通费等费用报销标准。</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593" w:type="pct"/>
            <w:vMerge/>
            <w:shd w:val="clear" w:color="auto" w:fill="auto"/>
            <w:vAlign w:val="center"/>
          </w:tcPr>
          <w:p w:rsidR="00444AE3" w:rsidRDefault="00444AE3">
            <w:pPr>
              <w:adjustRightInd w:val="0"/>
              <w:snapToGrid w:val="0"/>
              <w:jc w:val="center"/>
              <w:rPr>
                <w:rFonts w:ascii="宋体" w:hAnsi="宋体" w:cs="宋体"/>
                <w:color w:val="000000"/>
                <w:kern w:val="0"/>
                <w:sz w:val="20"/>
                <w:szCs w:val="20"/>
              </w:rPr>
            </w:pP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《北京市机关事务管理中心采购管理办法》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明确了管理职责、采购方式、采购工作程序等方面内容。</w:t>
            </w:r>
          </w:p>
        </w:tc>
      </w:tr>
      <w:tr w:rsidR="00444AE3">
        <w:trPr>
          <w:trHeight w:val="71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593" w:type="pct"/>
            <w:vMerge/>
            <w:shd w:val="clear" w:color="auto" w:fill="auto"/>
            <w:vAlign w:val="center"/>
          </w:tcPr>
          <w:p w:rsidR="00444AE3" w:rsidRDefault="00444AE3">
            <w:pPr>
              <w:adjustRightInd w:val="0"/>
              <w:snapToGrid w:val="0"/>
              <w:jc w:val="center"/>
              <w:rPr>
                <w:rFonts w:ascii="宋体" w:hAnsi="宋体" w:cs="宋体"/>
                <w:color w:val="000000"/>
                <w:kern w:val="0"/>
                <w:sz w:val="20"/>
                <w:szCs w:val="20"/>
              </w:rPr>
            </w:pP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《北京市机关事务管理中心采购监督办法（试行）》</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明确了采购原则、适用范围、组织机构、采购审核内容等方面内容。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593" w:type="pct"/>
            <w:vMerge/>
            <w:shd w:val="clear" w:color="auto" w:fill="auto"/>
            <w:vAlign w:val="center"/>
          </w:tcPr>
          <w:p w:rsidR="00444AE3" w:rsidRDefault="00444AE3">
            <w:pPr>
              <w:widowControl/>
              <w:adjustRightInd w:val="0"/>
              <w:snapToGrid w:val="0"/>
              <w:jc w:val="center"/>
              <w:rPr>
                <w:rFonts w:ascii="宋体" w:hAnsi="宋体" w:cs="宋体"/>
                <w:color w:val="000000"/>
                <w:kern w:val="0"/>
                <w:sz w:val="20"/>
                <w:szCs w:val="20"/>
              </w:rPr>
            </w:pP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《北京市机关事务管理中心办公用品管理办法》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明确了职责分工、办公用品标准及经费管理、办公用品的申领、采购及结算、办公用品的使用等方面内容。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593" w:type="pct"/>
            <w:vMerge/>
            <w:shd w:val="clear" w:color="auto" w:fill="auto"/>
            <w:vAlign w:val="center"/>
          </w:tcPr>
          <w:p w:rsidR="00444AE3" w:rsidRDefault="00444AE3">
            <w:pPr>
              <w:widowControl/>
              <w:adjustRightInd w:val="0"/>
              <w:snapToGrid w:val="0"/>
              <w:jc w:val="left"/>
              <w:rPr>
                <w:rFonts w:ascii="宋体" w:hAnsi="宋体" w:cs="宋体"/>
                <w:color w:val="000000"/>
                <w:kern w:val="0"/>
                <w:sz w:val="20"/>
                <w:szCs w:val="20"/>
              </w:rPr>
            </w:pP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《北京市机关事务管理中心机关编内工作人员办公设备及物品配备标准》</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明确了各个职级机关编内工作人员办公设备及物品配备标准等方面内容。</w:t>
            </w:r>
          </w:p>
        </w:tc>
      </w:tr>
      <w:tr w:rsidR="00444AE3">
        <w:trPr>
          <w:trHeight w:val="613"/>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14</w:t>
            </w:r>
          </w:p>
        </w:tc>
        <w:tc>
          <w:tcPr>
            <w:tcW w:w="593" w:type="pct"/>
            <w:vMerge/>
            <w:shd w:val="clear" w:color="auto" w:fill="auto"/>
            <w:vAlign w:val="center"/>
          </w:tcPr>
          <w:p w:rsidR="00444AE3" w:rsidRDefault="00444AE3">
            <w:pPr>
              <w:widowControl/>
              <w:adjustRightInd w:val="0"/>
              <w:snapToGrid w:val="0"/>
              <w:jc w:val="left"/>
              <w:rPr>
                <w:rFonts w:ascii="宋体" w:hAnsi="宋体" w:cs="宋体"/>
                <w:color w:val="000000"/>
                <w:kern w:val="0"/>
                <w:sz w:val="20"/>
                <w:szCs w:val="20"/>
              </w:rPr>
            </w:pPr>
          </w:p>
        </w:tc>
        <w:tc>
          <w:tcPr>
            <w:tcW w:w="1582" w:type="pc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《北京市机关事务管理中心合同管理办法》</w:t>
            </w:r>
          </w:p>
        </w:tc>
        <w:tc>
          <w:tcPr>
            <w:tcW w:w="2319" w:type="pct"/>
            <w:shd w:val="clear" w:color="auto" w:fill="auto"/>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明确了合同的管理职责、合同的签订、合同的履行、合同纠纷的处理等方面内容。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593" w:type="pct"/>
            <w:vMerge w:val="restart"/>
            <w:shd w:val="clear" w:color="auto" w:fill="auto"/>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会计核算制度</w:t>
            </w:r>
          </w:p>
        </w:tc>
        <w:tc>
          <w:tcPr>
            <w:tcW w:w="1582" w:type="pct"/>
            <w:shd w:val="clear" w:color="000000" w:fill="FFFFFF"/>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《北京市机关事务管理中心财务管理办法》</w:t>
            </w:r>
          </w:p>
        </w:tc>
        <w:tc>
          <w:tcPr>
            <w:tcW w:w="2319" w:type="pct"/>
            <w:shd w:val="clear" w:color="000000" w:fill="FFFFFF"/>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明确了会计核算管理、会计凭证的编制、会计记账管理、财务报表和预算会计报表等方面内容。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16</w:t>
            </w:r>
          </w:p>
        </w:tc>
        <w:tc>
          <w:tcPr>
            <w:tcW w:w="593" w:type="pct"/>
            <w:vMerge/>
            <w:vAlign w:val="center"/>
          </w:tcPr>
          <w:p w:rsidR="00444AE3" w:rsidRDefault="00444AE3">
            <w:pPr>
              <w:widowControl/>
              <w:adjustRightInd w:val="0"/>
              <w:snapToGrid w:val="0"/>
              <w:jc w:val="left"/>
              <w:rPr>
                <w:rFonts w:ascii="宋体" w:hAnsi="宋体" w:cs="宋体"/>
                <w:color w:val="000000"/>
                <w:kern w:val="0"/>
                <w:sz w:val="20"/>
                <w:szCs w:val="20"/>
              </w:rPr>
            </w:pPr>
          </w:p>
        </w:tc>
        <w:tc>
          <w:tcPr>
            <w:tcW w:w="1582" w:type="pct"/>
            <w:shd w:val="clear" w:color="000000" w:fill="FFFFFF"/>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《北京市机关事务管理中心银行账户管理规定》</w:t>
            </w:r>
          </w:p>
        </w:tc>
        <w:tc>
          <w:tcPr>
            <w:tcW w:w="2319" w:type="pct"/>
            <w:shd w:val="clear" w:color="000000" w:fill="FFFFFF"/>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明确了账户开立、账户使用与管理、账户变更与撤销等方面内容。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17</w:t>
            </w:r>
          </w:p>
        </w:tc>
        <w:tc>
          <w:tcPr>
            <w:tcW w:w="593" w:type="pct"/>
            <w:vMerge/>
            <w:vAlign w:val="center"/>
          </w:tcPr>
          <w:p w:rsidR="00444AE3" w:rsidRDefault="00444AE3">
            <w:pPr>
              <w:widowControl/>
              <w:adjustRightInd w:val="0"/>
              <w:snapToGrid w:val="0"/>
              <w:jc w:val="left"/>
              <w:rPr>
                <w:rFonts w:ascii="宋体" w:hAnsi="宋体" w:cs="宋体"/>
                <w:color w:val="000000"/>
                <w:kern w:val="0"/>
                <w:sz w:val="20"/>
                <w:szCs w:val="20"/>
              </w:rPr>
            </w:pPr>
          </w:p>
        </w:tc>
        <w:tc>
          <w:tcPr>
            <w:tcW w:w="1582" w:type="pct"/>
            <w:shd w:val="clear" w:color="000000" w:fill="FFFFFF"/>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《北京市机关事务管理中心现金提取和使用管理办法》</w:t>
            </w:r>
          </w:p>
        </w:tc>
        <w:tc>
          <w:tcPr>
            <w:tcW w:w="2319" w:type="pct"/>
            <w:shd w:val="clear" w:color="000000" w:fill="FFFFFF"/>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明确了现金提取和使用、大额现金提取和使用、现金管理等方面内容。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18</w:t>
            </w:r>
          </w:p>
        </w:tc>
        <w:tc>
          <w:tcPr>
            <w:tcW w:w="593" w:type="pct"/>
            <w:vMerge/>
            <w:vAlign w:val="center"/>
          </w:tcPr>
          <w:p w:rsidR="00444AE3" w:rsidRDefault="00444AE3">
            <w:pPr>
              <w:widowControl/>
              <w:adjustRightInd w:val="0"/>
              <w:snapToGrid w:val="0"/>
              <w:jc w:val="left"/>
              <w:rPr>
                <w:rFonts w:ascii="宋体" w:hAnsi="宋体" w:cs="宋体"/>
                <w:color w:val="000000"/>
                <w:kern w:val="0"/>
                <w:sz w:val="20"/>
                <w:szCs w:val="20"/>
              </w:rPr>
            </w:pPr>
          </w:p>
        </w:tc>
        <w:tc>
          <w:tcPr>
            <w:tcW w:w="1582" w:type="pct"/>
            <w:shd w:val="clear" w:color="000000" w:fill="FFFFFF"/>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《北京市机关事务管理中心非税收入管理办法》</w:t>
            </w:r>
          </w:p>
        </w:tc>
        <w:tc>
          <w:tcPr>
            <w:tcW w:w="2319" w:type="pct"/>
            <w:shd w:val="clear" w:color="000000" w:fill="FFFFFF"/>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明确了非税收入管理的职责分工、征收管理、票据管理、监督管理等方面内容。</w:t>
            </w:r>
          </w:p>
        </w:tc>
      </w:tr>
      <w:tr w:rsidR="00444AE3">
        <w:trPr>
          <w:trHeight w:val="397"/>
          <w:jc w:val="center"/>
        </w:trPr>
        <w:tc>
          <w:tcPr>
            <w:tcW w:w="504" w:type="pct"/>
            <w:shd w:val="clear" w:color="auto" w:fill="auto"/>
            <w:noWrap/>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19</w:t>
            </w:r>
          </w:p>
        </w:tc>
        <w:tc>
          <w:tcPr>
            <w:tcW w:w="593" w:type="pct"/>
            <w:vMerge/>
            <w:vAlign w:val="center"/>
          </w:tcPr>
          <w:p w:rsidR="00444AE3" w:rsidRDefault="00444AE3">
            <w:pPr>
              <w:widowControl/>
              <w:adjustRightInd w:val="0"/>
              <w:snapToGrid w:val="0"/>
              <w:jc w:val="left"/>
              <w:rPr>
                <w:rFonts w:ascii="宋体" w:hAnsi="宋体" w:cs="宋体"/>
                <w:color w:val="000000"/>
                <w:kern w:val="0"/>
                <w:sz w:val="20"/>
                <w:szCs w:val="20"/>
              </w:rPr>
            </w:pPr>
          </w:p>
        </w:tc>
        <w:tc>
          <w:tcPr>
            <w:tcW w:w="1582" w:type="pct"/>
            <w:shd w:val="clear" w:color="000000" w:fill="FFFFFF"/>
            <w:vAlign w:val="center"/>
          </w:tcPr>
          <w:p w:rsidR="00444AE3" w:rsidRDefault="00C93113">
            <w:pPr>
              <w:widowControl/>
              <w:adjustRightInd w:val="0"/>
              <w:snapToGrid w:val="0"/>
              <w:jc w:val="center"/>
              <w:rPr>
                <w:rFonts w:ascii="宋体" w:hAnsi="宋体" w:cs="宋体"/>
                <w:color w:val="000000"/>
                <w:kern w:val="0"/>
                <w:sz w:val="20"/>
                <w:szCs w:val="20"/>
              </w:rPr>
            </w:pPr>
            <w:r>
              <w:rPr>
                <w:rFonts w:ascii="宋体" w:hAnsi="宋体" w:cs="宋体" w:hint="eastAsia"/>
                <w:color w:val="000000"/>
                <w:kern w:val="0"/>
                <w:sz w:val="20"/>
                <w:szCs w:val="20"/>
              </w:rPr>
              <w:t>《北京市机关事务管理中心经费支出和报销管理办法》</w:t>
            </w:r>
          </w:p>
        </w:tc>
        <w:tc>
          <w:tcPr>
            <w:tcW w:w="2319" w:type="pct"/>
            <w:shd w:val="clear" w:color="000000" w:fill="FFFFFF"/>
            <w:vAlign w:val="center"/>
          </w:tcPr>
          <w:p w:rsidR="00444AE3" w:rsidRDefault="00C93113">
            <w:pPr>
              <w:widowControl/>
              <w:adjustRightInd w:val="0"/>
              <w:snapToGrid w:val="0"/>
              <w:jc w:val="left"/>
              <w:rPr>
                <w:rFonts w:ascii="宋体" w:hAnsi="宋体" w:cs="宋体"/>
                <w:color w:val="000000"/>
                <w:kern w:val="0"/>
                <w:sz w:val="20"/>
                <w:szCs w:val="20"/>
              </w:rPr>
            </w:pPr>
            <w:r>
              <w:rPr>
                <w:rFonts w:ascii="宋体" w:hAnsi="宋体" w:cs="宋体" w:hint="eastAsia"/>
                <w:color w:val="000000"/>
                <w:kern w:val="0"/>
                <w:sz w:val="20"/>
                <w:szCs w:val="20"/>
              </w:rPr>
              <w:t>明确了审批权限、资金支付、票据报销、财务审核等方面内容。</w:t>
            </w:r>
          </w:p>
        </w:tc>
      </w:tr>
    </w:tbl>
    <w:p w:rsidR="00444AE3" w:rsidRDefault="00444AE3">
      <w:pPr>
        <w:adjustRightInd w:val="0"/>
        <w:snapToGrid w:val="0"/>
        <w:spacing w:line="360" w:lineRule="auto"/>
        <w:rPr>
          <w:rFonts w:ascii="仿宋_GB2312" w:eastAsia="仿宋_GB2312" w:hAnsi="宋体" w:cs="宋体"/>
          <w:color w:val="000000"/>
          <w:kern w:val="0"/>
          <w:sz w:val="20"/>
          <w:szCs w:val="20"/>
        </w:rPr>
      </w:pP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bookmarkStart w:id="17" w:name="_Toc135231104"/>
      <w:r>
        <w:rPr>
          <w:rFonts w:ascii="仿宋_GB2312" w:eastAsia="仿宋_GB2312" w:hAnsi="宋体" w:cs="宋体"/>
          <w:color w:val="000000"/>
          <w:kern w:val="0"/>
          <w:sz w:val="32"/>
          <w:szCs w:val="32"/>
        </w:rPr>
        <w:t>2.资金使用合</w:t>
      </w:r>
      <w:r>
        <w:rPr>
          <w:rFonts w:ascii="仿宋_GB2312" w:eastAsia="仿宋_GB2312" w:hAnsi="宋体" w:cs="宋体" w:hint="eastAsia"/>
          <w:color w:val="000000"/>
          <w:kern w:val="0"/>
          <w:sz w:val="32"/>
          <w:szCs w:val="32"/>
        </w:rPr>
        <w:t>规性</w:t>
      </w:r>
      <w:r>
        <w:rPr>
          <w:rFonts w:ascii="仿宋_GB2312" w:eastAsia="仿宋_GB2312" w:hAnsi="宋体" w:cs="宋体"/>
          <w:color w:val="000000"/>
          <w:kern w:val="0"/>
          <w:sz w:val="32"/>
          <w:szCs w:val="32"/>
        </w:rPr>
        <w:t>和安全性</w:t>
      </w:r>
      <w:bookmarkEnd w:id="17"/>
    </w:p>
    <w:p w:rsidR="00444AE3" w:rsidRDefault="00C93113">
      <w:pPr>
        <w:adjustRightInd w:val="0"/>
        <w:snapToGrid w:val="0"/>
        <w:spacing w:line="360" w:lineRule="auto"/>
        <w:ind w:firstLineChars="200" w:firstLine="640"/>
        <w:rPr>
          <w:rFonts w:ascii="仿宋_GB2312" w:eastAsia="仿宋_GB2312" w:cs="仿宋_GB2312"/>
          <w:sz w:val="32"/>
          <w:szCs w:val="32"/>
        </w:rPr>
      </w:pPr>
      <w:r>
        <w:rPr>
          <w:rFonts w:ascii="仿宋_GB2312" w:eastAsia="仿宋_GB2312" w:hAnsi="宋体" w:cs="宋体"/>
          <w:color w:val="000000"/>
          <w:kern w:val="0"/>
          <w:sz w:val="32"/>
          <w:szCs w:val="32"/>
        </w:rPr>
        <w:t>202</w:t>
      </w:r>
      <w:r>
        <w:rPr>
          <w:rFonts w:ascii="仿宋_GB2312" w:eastAsia="仿宋_GB2312" w:hAnsi="宋体" w:cs="宋体" w:hint="eastAsia"/>
          <w:color w:val="000000"/>
          <w:kern w:val="0"/>
          <w:sz w:val="32"/>
          <w:szCs w:val="32"/>
        </w:rPr>
        <w:t>3</w:t>
      </w:r>
      <w:r>
        <w:rPr>
          <w:rFonts w:ascii="仿宋_GB2312" w:eastAsia="仿宋_GB2312" w:hAnsi="宋体" w:cs="宋体"/>
          <w:color w:val="000000"/>
          <w:kern w:val="0"/>
          <w:sz w:val="32"/>
          <w:szCs w:val="32"/>
        </w:rPr>
        <w:t>年度工作推进过程中，</w:t>
      </w:r>
      <w:r>
        <w:rPr>
          <w:rFonts w:ascii="仿宋_GB2312" w:eastAsia="仿宋_GB2312" w:hAnsi="宋体" w:cs="宋体" w:hint="eastAsia"/>
          <w:color w:val="000000"/>
          <w:kern w:val="0"/>
          <w:sz w:val="32"/>
          <w:szCs w:val="32"/>
        </w:rPr>
        <w:t>市机关事务管理中心内部工作的开展均参照相关国家、北京市及单位内部财务制度执行，未出现违反财务管理制度和有关专项资金管理办法的情况。资金拨付均履行了相应的审批手续，大额资金使用均经过“三重一大”事项决策程序，一般经济事项呈报处长、主管主任、主任办公会等逐级报批，特殊经济事项由经办处室逐级报批，资金拨付履行完整的审批程序和手续。项目的重大开支经过评估论证，由财务处每年执行采购流程选取专业评审机构，对当年纳入部门评审项目开展评审，</w:t>
      </w:r>
      <w:r>
        <w:rPr>
          <w:rFonts w:ascii="仿宋_GB2312" w:eastAsia="仿宋_GB2312" w:hAnsi="宋体" w:hint="eastAsia"/>
          <w:sz w:val="32"/>
          <w:szCs w:val="32"/>
        </w:rPr>
        <w:t>加强部门预算</w:t>
      </w:r>
      <w:r>
        <w:rPr>
          <w:rFonts w:ascii="仿宋_GB2312" w:eastAsia="仿宋_GB2312" w:hAnsi="宋体" w:hint="eastAsia"/>
          <w:sz w:val="32"/>
          <w:szCs w:val="32"/>
        </w:rPr>
        <w:lastRenderedPageBreak/>
        <w:t>项目预算资金管理。</w:t>
      </w:r>
      <w:r>
        <w:rPr>
          <w:rFonts w:ascii="仿宋_GB2312" w:eastAsia="仿宋_GB2312" w:hAnsi="宋体" w:cs="宋体" w:hint="eastAsia"/>
          <w:color w:val="000000"/>
          <w:kern w:val="0"/>
          <w:sz w:val="32"/>
          <w:szCs w:val="32"/>
        </w:rPr>
        <w:t>资金支出均符合部门预算批复的用途，与年度重点工作方向相一致，各资金根据年度用款计划及合同约定支出，不存在截留、挤占、挪用情况。资金使用符合政府采购的程序和流程，由</w:t>
      </w:r>
      <w:r>
        <w:rPr>
          <w:rFonts w:ascii="仿宋_GB2312" w:eastAsia="仿宋_GB2312" w:hAnsi="宋体" w:hint="eastAsia"/>
          <w:sz w:val="32"/>
          <w:szCs w:val="32"/>
        </w:rPr>
        <w:t>各处室在实施采购程序之前以请示件的形式提出采购申请，经党委会审议通过报主任办公会审定后执行采购。</w:t>
      </w:r>
      <w:r>
        <w:rPr>
          <w:rFonts w:ascii="仿宋_GB2312" w:eastAsia="仿宋_GB2312" w:hAnsi="宋体" w:cs="宋体" w:hint="eastAsia"/>
          <w:color w:val="000000"/>
          <w:kern w:val="0"/>
          <w:sz w:val="32"/>
          <w:szCs w:val="32"/>
        </w:rPr>
        <w:t>政府采购目录的事项均按照</w:t>
      </w:r>
      <w:r>
        <w:rPr>
          <w:rFonts w:ascii="仿宋_GB2312" w:eastAsia="仿宋_GB2312" w:hint="eastAsia"/>
          <w:sz w:val="32"/>
          <w:szCs w:val="32"/>
        </w:rPr>
        <w:t>《中华人民共和国政府采购法》《中华人民共和国招标投标法》《政府采购货物和服务招标投标管理办法》</w:t>
      </w:r>
      <w:r>
        <w:rPr>
          <w:rFonts w:ascii="仿宋_GB2312" w:eastAsia="仿宋_GB2312" w:hAnsi="宋体" w:cs="宋体" w:hint="eastAsia"/>
          <w:color w:val="000000"/>
          <w:kern w:val="0"/>
          <w:sz w:val="32"/>
          <w:szCs w:val="32"/>
        </w:rPr>
        <w:t>执行，相关公开招标、竞争性磋商、三方询价等工作流程均履行了必要的政府采购程序，</w:t>
      </w:r>
      <w:r>
        <w:rPr>
          <w:rFonts w:ascii="仿宋_GB2312" w:eastAsia="仿宋_GB2312" w:hint="eastAsia"/>
          <w:sz w:val="32"/>
          <w:szCs w:val="32"/>
        </w:rPr>
        <w:t>保证了项目质量，提高了资金使用效益。</w:t>
      </w:r>
      <w:r>
        <w:rPr>
          <w:rFonts w:ascii="仿宋_GB2312" w:eastAsia="仿宋_GB2312" w:hAnsi="宋体" w:cs="宋体" w:hint="eastAsia"/>
          <w:color w:val="000000"/>
          <w:kern w:val="0"/>
          <w:sz w:val="32"/>
          <w:szCs w:val="32"/>
        </w:rPr>
        <w:t>市机关事务管理中心按照《北京市机关事务管理中心公务卡管理办法》相关要求，</w:t>
      </w:r>
      <w:r>
        <w:rPr>
          <w:rFonts w:ascii="仿宋_GB2312" w:eastAsia="仿宋_GB2312" w:cs="仿宋_GB2312" w:hint="eastAsia"/>
          <w:sz w:val="32"/>
          <w:szCs w:val="32"/>
        </w:rPr>
        <w:t>对于纳入公务卡结算范围，使用公务卡结算公务支出，且公务卡支出均履行相关审批手续，资金使用符合公务卡结算相关制度和规定。</w:t>
      </w:r>
    </w:p>
    <w:p w:rsidR="00444AE3" w:rsidRDefault="00C93113">
      <w:pPr>
        <w:adjustRightInd w:val="0"/>
        <w:snapToGrid w:val="0"/>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整体上，资金使用合规、安全，但存在个别项目因需求优先级变更，实际支出内容与预算测算相比有略微出入，如，市机关事务局第二幼儿园教育教学设备购置项目，原计划购置的6套便携式打印机，因教学用钢琴设施陈旧、使用年限久、现实需求较强，调整为优先购置6台教学用钢琴。</w:t>
      </w:r>
    </w:p>
    <w:p w:rsidR="00444AE3" w:rsidRDefault="00C93113">
      <w:pPr>
        <w:adjustRightInd w:val="0"/>
        <w:snapToGrid w:val="0"/>
        <w:spacing w:line="360" w:lineRule="auto"/>
        <w:ind w:firstLineChars="200"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市机关事务管理中心按照</w:t>
      </w:r>
      <w:r>
        <w:rPr>
          <w:rFonts w:ascii="仿宋_GB2312" w:eastAsia="仿宋_GB2312" w:hAnsi="宋体" w:hint="eastAsia"/>
          <w:sz w:val="32"/>
          <w:szCs w:val="32"/>
        </w:rPr>
        <w:t>《中华人民共和国会计法》《中华人民共和国预算法》《政府会计准则—基本准则》《政府</w:t>
      </w:r>
      <w:r>
        <w:rPr>
          <w:rFonts w:ascii="仿宋_GB2312" w:eastAsia="仿宋_GB2312" w:hAnsi="宋体" w:hint="eastAsia"/>
          <w:sz w:val="32"/>
          <w:szCs w:val="32"/>
        </w:rPr>
        <w:lastRenderedPageBreak/>
        <w:t>会计制度—行政事业单位会计科目和报表》和《会计基础工作规范》等要求，管理中心财务会计核算实行权责发生制，预算会计核算实行收付实现制，单位设置明细科目或进行明细核算，按照政府部门财务报告和政府综合财务报告等规定，编制部门财务报表和预算会计报表编制，部门会计基础数据信息和会计信息资料真实、完整、准确。</w:t>
      </w:r>
    </w:p>
    <w:p w:rsidR="00444AE3" w:rsidRDefault="00C93113">
      <w:pPr>
        <w:adjustRightInd w:val="0"/>
        <w:snapToGrid w:val="0"/>
        <w:spacing w:line="360" w:lineRule="auto"/>
        <w:ind w:firstLineChars="200" w:firstLine="640"/>
        <w:outlineLvl w:val="1"/>
        <w:rPr>
          <w:rFonts w:ascii="楷体_GB2312" w:eastAsia="楷体_GB2312"/>
          <w:sz w:val="32"/>
          <w:szCs w:val="32"/>
        </w:rPr>
      </w:pPr>
      <w:bookmarkStart w:id="18" w:name="_Toc26869"/>
      <w:r>
        <w:rPr>
          <w:rFonts w:ascii="楷体_GB2312" w:eastAsia="楷体_GB2312" w:hint="eastAsia"/>
          <w:sz w:val="32"/>
          <w:szCs w:val="32"/>
        </w:rPr>
        <w:t>（二）资产管理</w:t>
      </w:r>
      <w:bookmarkEnd w:id="18"/>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市机关事务管理中心本级及所属二级预算单位均能够参照资产管理规范制度开展工作，资产新增、减少及时登记并形成固定资产台账，未出现资产损失和丢失的情况。</w:t>
      </w:r>
      <w:r>
        <w:rPr>
          <w:rFonts w:ascii="仿宋_GB2312" w:eastAsia="仿宋_GB2312" w:hAnsi="仿宋_GB2312" w:cs="仿宋_GB2312" w:hint="eastAsia"/>
          <w:sz w:val="32"/>
          <w:szCs w:val="32"/>
        </w:rPr>
        <w:t>资产配置坚持“充分利旧、不足补新”原则，</w:t>
      </w:r>
      <w:r>
        <w:rPr>
          <w:rFonts w:ascii="仿宋_GB2312" w:eastAsia="仿宋_GB2312" w:hAnsi="仿宋_GB2312" w:cs="仿宋_GB2312" w:hint="eastAsia"/>
          <w:sz w:val="32"/>
          <w:szCs w:val="40"/>
        </w:rPr>
        <w:t>全年实现资产利旧18次，资产303件，价值106.53万元；</w:t>
      </w:r>
      <w:r>
        <w:rPr>
          <w:rFonts w:ascii="仿宋_GB2312" w:eastAsia="仿宋_GB2312" w:hAnsi="宋体" w:cs="宋体" w:hint="eastAsia"/>
          <w:color w:val="000000"/>
          <w:kern w:val="0"/>
          <w:sz w:val="32"/>
          <w:szCs w:val="32"/>
        </w:rPr>
        <w:t>相关配置均符合《北京市财政局&lt;关于调整北京市市级行政单位日常办公设备配置和最低使用年限标准</w:t>
      </w:r>
      <w:r>
        <w:rPr>
          <w:rFonts w:ascii="仿宋_GB2312" w:eastAsia="仿宋_GB2312" w:hAnsi="宋体" w:cs="宋体"/>
          <w:color w:val="000000"/>
          <w:kern w:val="0"/>
          <w:sz w:val="32"/>
          <w:szCs w:val="32"/>
        </w:rPr>
        <w:t>&gt;</w:t>
      </w:r>
      <w:r>
        <w:rPr>
          <w:rFonts w:ascii="仿宋_GB2312" w:eastAsia="仿宋_GB2312" w:hAnsi="宋体" w:cs="宋体" w:hint="eastAsia"/>
          <w:color w:val="000000"/>
          <w:kern w:val="0"/>
          <w:sz w:val="32"/>
          <w:szCs w:val="32"/>
        </w:rPr>
        <w:t>的通知》（京财资产〔2</w:t>
      </w:r>
      <w:r>
        <w:rPr>
          <w:rFonts w:ascii="仿宋_GB2312" w:eastAsia="仿宋_GB2312" w:hAnsi="宋体" w:cs="宋体"/>
          <w:color w:val="000000"/>
          <w:kern w:val="0"/>
          <w:sz w:val="32"/>
          <w:szCs w:val="32"/>
        </w:rPr>
        <w:t>011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1714</w:t>
      </w:r>
      <w:r>
        <w:rPr>
          <w:rFonts w:ascii="仿宋_GB2312" w:eastAsia="仿宋_GB2312" w:hAnsi="宋体" w:cs="宋体" w:hint="eastAsia"/>
          <w:color w:val="000000"/>
          <w:kern w:val="0"/>
          <w:sz w:val="32"/>
          <w:szCs w:val="32"/>
        </w:rPr>
        <w:t>号）、《北京市财政局&lt;关于调整打印机等3类办公设备配置标准</w:t>
      </w:r>
      <w:r>
        <w:rPr>
          <w:rFonts w:ascii="仿宋_GB2312" w:eastAsia="仿宋_GB2312" w:hAnsi="宋体" w:cs="宋体"/>
          <w:color w:val="000000"/>
          <w:kern w:val="0"/>
          <w:sz w:val="32"/>
          <w:szCs w:val="32"/>
        </w:rPr>
        <w:t>&gt;</w:t>
      </w:r>
      <w:r>
        <w:rPr>
          <w:rFonts w:ascii="仿宋_GB2312" w:eastAsia="仿宋_GB2312" w:hAnsi="宋体" w:cs="宋体" w:hint="eastAsia"/>
          <w:color w:val="000000"/>
          <w:kern w:val="0"/>
          <w:sz w:val="32"/>
          <w:szCs w:val="32"/>
        </w:rPr>
        <w:t>的通知》（京财资产〔2</w:t>
      </w:r>
      <w:r>
        <w:rPr>
          <w:rFonts w:ascii="仿宋_GB2312" w:eastAsia="仿宋_GB2312" w:hAnsi="宋体" w:cs="宋体"/>
          <w:color w:val="000000"/>
          <w:kern w:val="0"/>
          <w:sz w:val="32"/>
          <w:szCs w:val="32"/>
        </w:rPr>
        <w:t>019</w:t>
      </w: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128</w:t>
      </w:r>
      <w:r>
        <w:rPr>
          <w:rFonts w:ascii="仿宋_GB2312" w:eastAsia="仿宋_GB2312" w:hAnsi="宋体" w:cs="宋体" w:hint="eastAsia"/>
          <w:color w:val="000000"/>
          <w:kern w:val="0"/>
          <w:sz w:val="32"/>
          <w:szCs w:val="32"/>
        </w:rPr>
        <w:t>号）等文件标准。按国家和北京市市财政局“固定资产每年至少盘点一次”及北京市机关事务管理局通知要求，圆满完成了对中环、六里桥和南礼士路三个办公区的固定资产清查盘点工作。通过“共享共用”的方式，对集中办公区各单位资产实施统分结合管理，实现国有资产物尽其用、循环使用、高效利用，资产精细化管理水平不断提高。整体上，市机关事务管理中心</w:t>
      </w:r>
      <w:r>
        <w:rPr>
          <w:rFonts w:ascii="仿宋_GB2312" w:eastAsia="仿宋_GB2312" w:hAnsi="宋体" w:cs="宋体" w:hint="eastAsia"/>
          <w:color w:val="000000"/>
          <w:kern w:val="0"/>
          <w:sz w:val="32"/>
          <w:szCs w:val="32"/>
        </w:rPr>
        <w:lastRenderedPageBreak/>
        <w:t>资产管理较规范，不存在对外投资行为，没有因管理不当发生严重资产损失和丢失情况，不存在超标准配置资产。资产使用规范，不存在未经批准擅自出租、出借资产行为。不存在不按要求进行报批或资产不公开处置行为。</w:t>
      </w:r>
    </w:p>
    <w:p w:rsidR="00444AE3" w:rsidRDefault="00C93113">
      <w:pPr>
        <w:adjustRightInd w:val="0"/>
        <w:snapToGrid w:val="0"/>
        <w:spacing w:line="360" w:lineRule="auto"/>
        <w:ind w:firstLineChars="200" w:firstLine="640"/>
        <w:outlineLvl w:val="1"/>
        <w:rPr>
          <w:rFonts w:ascii="楷体_GB2312" w:eastAsia="楷体_GB2312"/>
          <w:sz w:val="32"/>
          <w:szCs w:val="32"/>
        </w:rPr>
      </w:pPr>
      <w:bookmarkStart w:id="19" w:name="_Toc8591"/>
      <w:r>
        <w:rPr>
          <w:rFonts w:ascii="楷体_GB2312" w:eastAsia="楷体_GB2312" w:hint="eastAsia"/>
          <w:sz w:val="32"/>
          <w:szCs w:val="32"/>
        </w:rPr>
        <w:t>（三）绩效</w:t>
      </w:r>
      <w:r>
        <w:rPr>
          <w:rFonts w:ascii="楷体_GB2312" w:eastAsia="楷体_GB2312"/>
          <w:sz w:val="32"/>
          <w:szCs w:val="32"/>
        </w:rPr>
        <w:t>管理</w:t>
      </w:r>
      <w:bookmarkEnd w:id="19"/>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机关事务管理中心建立了以财务处牵头、业务处室及二级预算单位为主体，预算绩效管理工作领导小组为监督，以中介机构为辅助的预算绩效管理体系，按照北京市财政局相关要求，开展了绩效目标审核、绩效运行监控、绩效评价、成本绩效分析等工作，及时汇总、分析、整理相关绩效信息，上报市财政局。具体表现为：一是为确保预算编制的准确性，财务处逐一对各个业务处室进行调研，收集预算基本信息，了解处室资金需求，提供财政政策指导，申报了19个项目（年初批复项目），并组织开展了相关预算评审及绩效目标审核工作，绩效目标审核通过率100%，同时对19个年初申报项目中4个新增项目开展事前绩效评估。二是纳入半年绩效监控项目19个，绩效运行监控覆盖率100%。对绩效目标执行偏差的项目，及时分析原因、反馈各处室，督促各处室整改落实。市机关事务管理中心结合半年绩效监控总结的问题，梳理分析处室及二级预算单位的下半年资金支出需求，对下半年的支出计划进一步细化、调整。三是连同其他资金在内，全年纳入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3年绩效自评项目共计22个（年初批复</w:t>
      </w:r>
      <w:r>
        <w:rPr>
          <w:rFonts w:ascii="仿宋_GB2312" w:eastAsia="仿宋_GB2312" w:hAnsi="宋体" w:cs="宋体" w:hint="eastAsia"/>
          <w:color w:val="000000"/>
          <w:kern w:val="0"/>
          <w:sz w:val="32"/>
          <w:szCs w:val="32"/>
        </w:rPr>
        <w:lastRenderedPageBreak/>
        <w:t>项目18个、年中追加项目4个），绩效自评覆盖率100.00</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选取“2023年台基厂2号院维修改造经费”为部门重点评价项目，从决策、过程、产出、效益四个维度对该项目进行评价。此外，2023年度市机关事务管理中心针对物业服务低值易耗品领域开展了成本绩效分析，形成了相应成本定额标准，为后续预算测算科学性、规范性及财政资金使用效益的提高奠定了基础。</w:t>
      </w:r>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整体上绩效管理较为规范，绩效信息予以了及时梳理汇总分析，但存在部分项目绩效指标设定值偏低、半年监控后未及时予以调整矫差，如，“各办公区公共区域专用设备购置”，计划年度内设备购置17个，实际购置76个，项目需求摸底及实际执行与计划的一致性有待进一步提升。</w:t>
      </w:r>
    </w:p>
    <w:p w:rsidR="00444AE3" w:rsidRDefault="00C93113">
      <w:pPr>
        <w:adjustRightInd w:val="0"/>
        <w:snapToGrid w:val="0"/>
        <w:spacing w:line="360" w:lineRule="auto"/>
        <w:ind w:firstLineChars="200" w:firstLine="640"/>
        <w:outlineLvl w:val="1"/>
        <w:rPr>
          <w:rFonts w:ascii="楷体_GB2312" w:eastAsia="楷体_GB2312"/>
          <w:sz w:val="32"/>
          <w:szCs w:val="32"/>
        </w:rPr>
      </w:pPr>
      <w:bookmarkStart w:id="20" w:name="_Toc13040"/>
      <w:r>
        <w:rPr>
          <w:rFonts w:ascii="楷体_GB2312" w:eastAsia="楷体_GB2312" w:hint="eastAsia"/>
          <w:sz w:val="32"/>
          <w:szCs w:val="32"/>
        </w:rPr>
        <w:t>（四）结转结余率</w:t>
      </w:r>
      <w:bookmarkEnd w:id="20"/>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市机关事务管理中心</w:t>
      </w:r>
      <w:r>
        <w:rPr>
          <w:rFonts w:ascii="仿宋_GB2312" w:eastAsia="仿宋_GB2312" w:hAnsi="宋体" w:cs="宋体"/>
          <w:color w:val="000000"/>
          <w:kern w:val="0"/>
          <w:sz w:val="32"/>
          <w:szCs w:val="32"/>
        </w:rPr>
        <w:t>202</w:t>
      </w:r>
      <w:r>
        <w:rPr>
          <w:rFonts w:ascii="仿宋_GB2312" w:eastAsia="仿宋_GB2312" w:hAnsi="宋体" w:cs="宋体" w:hint="eastAsia"/>
          <w:color w:val="000000"/>
          <w:kern w:val="0"/>
          <w:sz w:val="32"/>
          <w:szCs w:val="32"/>
        </w:rPr>
        <w:t>3年度结转结余1385.040434万元，占支出预算数34195.704023万元的4.05</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202</w:t>
      </w:r>
      <w:r>
        <w:rPr>
          <w:rFonts w:ascii="仿宋_GB2312" w:eastAsia="仿宋_GB2312" w:hAnsi="宋体" w:cs="宋体" w:hint="eastAsia"/>
          <w:color w:val="000000"/>
          <w:kern w:val="0"/>
          <w:sz w:val="32"/>
          <w:szCs w:val="32"/>
        </w:rPr>
        <w:t>2年度结转结余</w:t>
      </w:r>
      <w:r>
        <w:rPr>
          <w:rFonts w:ascii="仿宋_GB2312" w:eastAsia="仿宋_GB2312" w:hAnsi="宋体" w:cs="宋体"/>
          <w:color w:val="000000"/>
          <w:kern w:val="0"/>
          <w:sz w:val="32"/>
          <w:szCs w:val="32"/>
        </w:rPr>
        <w:t>1150.031792</w:t>
      </w:r>
      <w:r>
        <w:rPr>
          <w:rFonts w:ascii="仿宋_GB2312" w:eastAsia="仿宋_GB2312" w:hAnsi="宋体" w:cs="宋体" w:hint="eastAsia"/>
          <w:color w:val="000000"/>
          <w:kern w:val="0"/>
          <w:sz w:val="32"/>
          <w:szCs w:val="32"/>
        </w:rPr>
        <w:t>万元，占支出预算数</w:t>
      </w:r>
      <w:r>
        <w:rPr>
          <w:rFonts w:ascii="仿宋_GB2312" w:eastAsia="仿宋_GB2312" w:hAnsi="宋体" w:cs="宋体"/>
          <w:color w:val="000000"/>
          <w:kern w:val="0"/>
          <w:sz w:val="32"/>
          <w:szCs w:val="32"/>
        </w:rPr>
        <w:t>35278.179655</w:t>
      </w:r>
      <w:r>
        <w:rPr>
          <w:rFonts w:ascii="仿宋_GB2312" w:eastAsia="仿宋_GB2312" w:hAnsi="宋体" w:cs="宋体" w:hint="eastAsia"/>
          <w:color w:val="000000"/>
          <w:kern w:val="0"/>
          <w:sz w:val="32"/>
          <w:szCs w:val="32"/>
        </w:rPr>
        <w:t>万元的</w:t>
      </w:r>
      <w:r>
        <w:rPr>
          <w:rFonts w:ascii="仿宋_GB2312" w:eastAsia="仿宋_GB2312" w:hAnsi="宋体" w:cs="宋体"/>
          <w:color w:val="000000"/>
          <w:kern w:val="0"/>
          <w:sz w:val="32"/>
          <w:szCs w:val="32"/>
        </w:rPr>
        <w:t>3.26%。202</w:t>
      </w:r>
      <w:r>
        <w:rPr>
          <w:rFonts w:ascii="仿宋_GB2312" w:eastAsia="仿宋_GB2312" w:hAnsi="宋体" w:cs="宋体" w:hint="eastAsia"/>
          <w:color w:val="000000"/>
          <w:kern w:val="0"/>
          <w:sz w:val="32"/>
          <w:szCs w:val="32"/>
        </w:rPr>
        <w:t>3年度结转结余率较</w:t>
      </w:r>
      <w:r>
        <w:rPr>
          <w:rFonts w:ascii="仿宋_GB2312" w:eastAsia="仿宋_GB2312" w:hAnsi="宋体" w:cs="宋体"/>
          <w:color w:val="000000"/>
          <w:kern w:val="0"/>
          <w:sz w:val="32"/>
          <w:szCs w:val="32"/>
        </w:rPr>
        <w:t>202</w:t>
      </w:r>
      <w:r>
        <w:rPr>
          <w:rFonts w:ascii="仿宋_GB2312" w:eastAsia="仿宋_GB2312" w:hAnsi="宋体" w:cs="宋体" w:hint="eastAsia"/>
          <w:color w:val="000000"/>
          <w:kern w:val="0"/>
          <w:sz w:val="32"/>
          <w:szCs w:val="32"/>
        </w:rPr>
        <w:t>2年度提高了0.79</w:t>
      </w:r>
      <w:r>
        <w:rPr>
          <w:rFonts w:ascii="仿宋_GB2312" w:eastAsia="仿宋_GB2312" w:hAnsi="宋体" w:cs="宋体"/>
          <w:color w:val="000000"/>
          <w:kern w:val="0"/>
          <w:sz w:val="32"/>
          <w:szCs w:val="32"/>
        </w:rPr>
        <w:t>%，预算资金执行进度存在进一步提升空间。</w:t>
      </w:r>
    </w:p>
    <w:p w:rsidR="00444AE3" w:rsidRDefault="00C93113">
      <w:pPr>
        <w:adjustRightInd w:val="0"/>
        <w:snapToGrid w:val="0"/>
        <w:spacing w:line="360" w:lineRule="auto"/>
        <w:ind w:firstLineChars="200" w:firstLine="640"/>
        <w:outlineLvl w:val="1"/>
        <w:rPr>
          <w:rFonts w:ascii="楷体_GB2312" w:eastAsia="楷体_GB2312"/>
          <w:sz w:val="32"/>
          <w:szCs w:val="32"/>
        </w:rPr>
      </w:pPr>
      <w:bookmarkStart w:id="21" w:name="_Toc32757"/>
      <w:r>
        <w:rPr>
          <w:rFonts w:ascii="楷体_GB2312" w:eastAsia="楷体_GB2312" w:hint="eastAsia"/>
          <w:sz w:val="32"/>
          <w:szCs w:val="32"/>
        </w:rPr>
        <w:t>（五）部门</w:t>
      </w:r>
      <w:r>
        <w:rPr>
          <w:rFonts w:ascii="楷体_GB2312" w:eastAsia="楷体_GB2312"/>
          <w:sz w:val="32"/>
          <w:szCs w:val="32"/>
        </w:rPr>
        <w:t>预决算差异率</w:t>
      </w:r>
      <w:bookmarkEnd w:id="21"/>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市机关事务管理中心2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3年度年初预算数34182.377848万元，全年执行数为31956.777362万元，部门预决算差异率为6.96%，显著低于市级平均差异率，部门</w:t>
      </w:r>
      <w:r>
        <w:rPr>
          <w:rFonts w:ascii="仿宋_GB2312" w:eastAsia="仿宋_GB2312" w:hAnsi="宋体" w:cs="宋体" w:hint="eastAsia"/>
          <w:color w:val="000000"/>
          <w:kern w:val="0"/>
          <w:sz w:val="32"/>
          <w:szCs w:val="32"/>
        </w:rPr>
        <w:lastRenderedPageBreak/>
        <w:t>预算约束情况较好。</w:t>
      </w:r>
    </w:p>
    <w:p w:rsidR="00444AE3" w:rsidRPr="008443E2" w:rsidRDefault="00C93113">
      <w:pPr>
        <w:adjustRightInd w:val="0"/>
        <w:snapToGrid w:val="0"/>
        <w:spacing w:line="360" w:lineRule="auto"/>
        <w:ind w:firstLineChars="200" w:firstLine="640"/>
        <w:outlineLvl w:val="0"/>
        <w:rPr>
          <w:rFonts w:ascii="黑体" w:eastAsia="黑体" w:hAnsi="黑体"/>
          <w:sz w:val="32"/>
          <w:szCs w:val="32"/>
        </w:rPr>
      </w:pPr>
      <w:bookmarkStart w:id="22" w:name="_Toc15706"/>
      <w:r w:rsidRPr="008443E2">
        <w:rPr>
          <w:rFonts w:ascii="黑体" w:eastAsia="黑体" w:hAnsi="黑体" w:hint="eastAsia"/>
          <w:sz w:val="32"/>
          <w:szCs w:val="32"/>
        </w:rPr>
        <w:t>五、总体</w:t>
      </w:r>
      <w:r w:rsidRPr="008443E2">
        <w:rPr>
          <w:rFonts w:ascii="黑体" w:eastAsia="黑体" w:hAnsi="黑体"/>
          <w:sz w:val="32"/>
          <w:szCs w:val="32"/>
        </w:rPr>
        <w:t>评价结论</w:t>
      </w:r>
      <w:bookmarkEnd w:id="22"/>
    </w:p>
    <w:p w:rsidR="00444AE3" w:rsidRPr="008443E2" w:rsidRDefault="00C93113">
      <w:pPr>
        <w:adjustRightInd w:val="0"/>
        <w:snapToGrid w:val="0"/>
        <w:spacing w:line="360" w:lineRule="auto"/>
        <w:ind w:firstLineChars="200" w:firstLine="640"/>
        <w:outlineLvl w:val="1"/>
        <w:rPr>
          <w:rFonts w:ascii="楷体_GB2312" w:eastAsia="楷体_GB2312"/>
          <w:sz w:val="32"/>
          <w:szCs w:val="32"/>
        </w:rPr>
      </w:pPr>
      <w:bookmarkStart w:id="23" w:name="_Toc24574"/>
      <w:r w:rsidRPr="008443E2">
        <w:rPr>
          <w:rFonts w:ascii="楷体_GB2312" w:eastAsia="楷体_GB2312" w:hint="eastAsia"/>
          <w:sz w:val="32"/>
          <w:szCs w:val="32"/>
        </w:rPr>
        <w:t>（一）评价</w:t>
      </w:r>
      <w:r w:rsidRPr="008443E2">
        <w:rPr>
          <w:rFonts w:ascii="楷体_GB2312" w:eastAsia="楷体_GB2312"/>
          <w:sz w:val="32"/>
          <w:szCs w:val="32"/>
        </w:rPr>
        <w:t>得分</w:t>
      </w:r>
      <w:r w:rsidRPr="008443E2">
        <w:rPr>
          <w:rFonts w:ascii="楷体_GB2312" w:eastAsia="楷体_GB2312" w:hint="eastAsia"/>
          <w:sz w:val="32"/>
          <w:szCs w:val="32"/>
        </w:rPr>
        <w:t>情况</w:t>
      </w:r>
      <w:bookmarkEnd w:id="23"/>
    </w:p>
    <w:p w:rsidR="00444AE3" w:rsidRPr="008443E2" w:rsidRDefault="00C93113">
      <w:pPr>
        <w:adjustRightInd w:val="0"/>
        <w:snapToGrid w:val="0"/>
        <w:spacing w:line="360" w:lineRule="auto"/>
        <w:ind w:firstLineChars="200" w:firstLine="640"/>
        <w:rPr>
          <w:rFonts w:ascii="仿宋_GB2312" w:eastAsia="仿宋_GB2312"/>
          <w:sz w:val="32"/>
          <w:szCs w:val="32"/>
        </w:rPr>
      </w:pPr>
      <w:r w:rsidRPr="008443E2">
        <w:rPr>
          <w:rFonts w:ascii="仿宋_GB2312" w:eastAsia="仿宋_GB2312" w:hint="eastAsia"/>
          <w:sz w:val="32"/>
          <w:szCs w:val="32"/>
        </w:rPr>
        <w:t>2023年度，市机关事务管理中心部门整体支出综合绩效评价等级为“优”，评价得分</w:t>
      </w:r>
      <w:r w:rsidRPr="008443E2">
        <w:rPr>
          <w:rFonts w:ascii="仿宋_GB2312" w:eastAsia="仿宋_GB2312"/>
          <w:sz w:val="32"/>
          <w:szCs w:val="32"/>
        </w:rPr>
        <w:t>9</w:t>
      </w:r>
      <w:r w:rsidRPr="008443E2">
        <w:rPr>
          <w:rFonts w:ascii="仿宋_GB2312" w:eastAsia="仿宋_GB2312" w:hint="eastAsia"/>
          <w:sz w:val="32"/>
          <w:szCs w:val="32"/>
        </w:rPr>
        <w:t>1</w:t>
      </w:r>
      <w:r w:rsidRPr="008443E2">
        <w:rPr>
          <w:rFonts w:ascii="仿宋_GB2312" w:eastAsia="仿宋_GB2312"/>
          <w:sz w:val="32"/>
          <w:szCs w:val="32"/>
        </w:rPr>
        <w:t>.1</w:t>
      </w:r>
      <w:r w:rsidRPr="008443E2">
        <w:rPr>
          <w:rFonts w:ascii="仿宋_GB2312" w:eastAsia="仿宋_GB2312" w:hint="eastAsia"/>
          <w:sz w:val="32"/>
          <w:szCs w:val="32"/>
        </w:rPr>
        <w:t>4分，得分情况见附件1。</w:t>
      </w:r>
    </w:p>
    <w:p w:rsidR="00444AE3" w:rsidRPr="008443E2" w:rsidRDefault="00C93113">
      <w:pPr>
        <w:adjustRightInd w:val="0"/>
        <w:snapToGrid w:val="0"/>
        <w:spacing w:line="360" w:lineRule="auto"/>
        <w:ind w:firstLineChars="200" w:firstLine="640"/>
        <w:outlineLvl w:val="1"/>
        <w:rPr>
          <w:rFonts w:ascii="楷体_GB2312" w:eastAsia="楷体_GB2312"/>
          <w:sz w:val="32"/>
          <w:szCs w:val="32"/>
        </w:rPr>
      </w:pPr>
      <w:bookmarkStart w:id="24" w:name="_Toc20233"/>
      <w:r w:rsidRPr="008443E2">
        <w:rPr>
          <w:rFonts w:ascii="楷体_GB2312" w:eastAsia="楷体_GB2312" w:hint="eastAsia"/>
          <w:sz w:val="32"/>
          <w:szCs w:val="32"/>
        </w:rPr>
        <w:t>（二）存在的问题及原因分析</w:t>
      </w:r>
      <w:bookmarkEnd w:id="24"/>
    </w:p>
    <w:p w:rsidR="00444AE3" w:rsidRPr="008443E2" w:rsidRDefault="00C93113">
      <w:pPr>
        <w:adjustRightInd w:val="0"/>
        <w:snapToGrid w:val="0"/>
        <w:spacing w:line="360" w:lineRule="auto"/>
        <w:ind w:firstLineChars="200" w:firstLine="640"/>
        <w:rPr>
          <w:rFonts w:ascii="仿宋_GB2312" w:eastAsia="仿宋_GB2312"/>
          <w:sz w:val="32"/>
          <w:szCs w:val="32"/>
          <w:lang w:val="en-GB"/>
        </w:rPr>
      </w:pPr>
      <w:bookmarkStart w:id="25" w:name="_Toc135231113"/>
      <w:bookmarkStart w:id="26" w:name="_Toc135402112"/>
      <w:bookmarkStart w:id="27" w:name="_Toc1717"/>
      <w:r w:rsidRPr="008443E2">
        <w:rPr>
          <w:rFonts w:ascii="仿宋_GB2312" w:eastAsia="仿宋_GB2312" w:hAnsi="宋体" w:hint="eastAsia"/>
          <w:sz w:val="32"/>
          <w:szCs w:val="32"/>
          <w:lang w:val="en-GB"/>
        </w:rPr>
        <w:t>一是</w:t>
      </w:r>
      <w:r w:rsidRPr="008443E2">
        <w:rPr>
          <w:rFonts w:ascii="仿宋_GB2312" w:eastAsia="仿宋_GB2312" w:hint="eastAsia"/>
          <w:sz w:val="32"/>
          <w:szCs w:val="32"/>
        </w:rPr>
        <w:t>个别项目实施进度与计划相比所有偏差，项目实施计划性有待增强；</w:t>
      </w:r>
      <w:r w:rsidRPr="008443E2">
        <w:rPr>
          <w:rFonts w:ascii="仿宋_GB2312" w:eastAsia="仿宋_GB2312" w:hAnsi="宋体" w:hint="eastAsia"/>
          <w:sz w:val="32"/>
          <w:szCs w:val="32"/>
        </w:rPr>
        <w:t>二是部分项目前期调研摸底不够充分，原计划内容与实际工作需求匹配性不强，</w:t>
      </w:r>
      <w:r w:rsidRPr="008443E2">
        <w:rPr>
          <w:rFonts w:ascii="仿宋_GB2312" w:eastAsia="仿宋_GB2312" w:hint="eastAsia"/>
          <w:sz w:val="32"/>
          <w:szCs w:val="32"/>
        </w:rPr>
        <w:t>在项目实施过程中依据年度实际需求调整项目内容；三是部分项目、部分办公区</w:t>
      </w:r>
      <w:r w:rsidRPr="008443E2">
        <w:rPr>
          <w:rFonts w:ascii="仿宋_GB2312" w:eastAsia="仿宋_GB2312" w:hAnsi="宋体" w:cs="宋体" w:hint="eastAsia"/>
          <w:color w:val="000000"/>
          <w:kern w:val="0"/>
          <w:sz w:val="32"/>
          <w:szCs w:val="32"/>
        </w:rPr>
        <w:t>未开展满意度调查或满意度调查样本量偏低，对满意度的统计分析不够充分。</w:t>
      </w:r>
    </w:p>
    <w:p w:rsidR="00444AE3" w:rsidRPr="008443E2" w:rsidRDefault="00C93113">
      <w:pPr>
        <w:adjustRightInd w:val="0"/>
        <w:snapToGrid w:val="0"/>
        <w:spacing w:line="360" w:lineRule="auto"/>
        <w:ind w:firstLineChars="200" w:firstLine="640"/>
        <w:outlineLvl w:val="0"/>
        <w:rPr>
          <w:rFonts w:ascii="黑体" w:eastAsia="黑体" w:hAnsi="黑体" w:cs="宋体"/>
          <w:color w:val="000000"/>
          <w:kern w:val="0"/>
          <w:sz w:val="32"/>
          <w:szCs w:val="32"/>
        </w:rPr>
      </w:pPr>
      <w:r w:rsidRPr="008443E2">
        <w:rPr>
          <w:rFonts w:ascii="黑体" w:eastAsia="黑体" w:hAnsi="黑体" w:cs="宋体" w:hint="eastAsia"/>
          <w:color w:val="000000"/>
          <w:kern w:val="0"/>
          <w:sz w:val="32"/>
          <w:szCs w:val="32"/>
        </w:rPr>
        <w:t>六、措施建议</w:t>
      </w:r>
      <w:bookmarkEnd w:id="25"/>
      <w:bookmarkEnd w:id="26"/>
      <w:bookmarkEnd w:id="27"/>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sidRPr="008443E2">
        <w:rPr>
          <w:rFonts w:ascii="仿宋_GB2312" w:eastAsia="仿宋_GB2312" w:hAnsi="宋体" w:cs="宋体" w:hint="eastAsia"/>
          <w:color w:val="000000"/>
          <w:kern w:val="0"/>
          <w:sz w:val="32"/>
          <w:szCs w:val="32"/>
        </w:rPr>
        <w:t>一是各项目做好实施计划，</w:t>
      </w:r>
      <w:r>
        <w:rPr>
          <w:rFonts w:ascii="仿宋_GB2312" w:eastAsia="仿宋_GB2312" w:hAnsi="宋体" w:cs="宋体" w:hint="eastAsia"/>
          <w:color w:val="000000"/>
          <w:kern w:val="0"/>
          <w:sz w:val="32"/>
          <w:szCs w:val="32"/>
        </w:rPr>
        <w:t>严格按照计划进度执行，加强对项目实施过程的监管，及时纠偏，对于因客观因素确实无法完成的项目，及时调整项目预算及绩效目标，制定后续计划；二是加强项目前期摸底及需求调研，尤其是对于修缮改造类工作，应组织专家开展充分论证，确保项目实施能够精准满足各办公区日常办公区需求；三是加强对满意度的统计分析，科学设计调查问卷、扩大调查样本量，收集各办公区工作人员意见、建议，不断提升服务水平。</w:t>
      </w:r>
    </w:p>
    <w:p w:rsidR="00444AE3" w:rsidRDefault="00C93113">
      <w:pPr>
        <w:adjustRightInd w:val="0"/>
        <w:snapToGrid w:val="0"/>
        <w:spacing w:line="360" w:lineRule="auto"/>
        <w:ind w:firstLineChars="200" w:firstLine="640"/>
        <w:outlineLvl w:val="0"/>
        <w:rPr>
          <w:rFonts w:ascii="黑体" w:eastAsia="黑体" w:hAnsi="黑体" w:cs="宋体"/>
          <w:color w:val="000000"/>
          <w:kern w:val="0"/>
          <w:sz w:val="32"/>
          <w:szCs w:val="32"/>
        </w:rPr>
      </w:pPr>
      <w:bookmarkStart w:id="28" w:name="_Toc29755"/>
      <w:bookmarkStart w:id="29" w:name="_Toc135402113"/>
      <w:bookmarkStart w:id="30" w:name="_Toc135231114"/>
      <w:r>
        <w:rPr>
          <w:rFonts w:ascii="黑体" w:eastAsia="黑体" w:hAnsi="黑体" w:cs="宋体" w:hint="eastAsia"/>
          <w:color w:val="000000"/>
          <w:kern w:val="0"/>
          <w:sz w:val="32"/>
          <w:szCs w:val="32"/>
        </w:rPr>
        <w:t>七、附件</w:t>
      </w:r>
      <w:bookmarkEnd w:id="28"/>
      <w:bookmarkEnd w:id="29"/>
      <w:bookmarkEnd w:id="30"/>
    </w:p>
    <w:p w:rsidR="00444AE3" w:rsidRDefault="00C93113">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附件1：2023年度部门整体绩效评价指标体系评分表</w:t>
      </w:r>
    </w:p>
    <w:p w:rsidR="00444AE3" w:rsidRDefault="00444AE3">
      <w:pPr>
        <w:adjustRightInd w:val="0"/>
        <w:snapToGrid w:val="0"/>
        <w:spacing w:line="360" w:lineRule="auto"/>
        <w:ind w:firstLine="200"/>
        <w:rPr>
          <w:rFonts w:ascii="仿宋_GB2312" w:eastAsia="仿宋_GB2312" w:hAnsi="宋体" w:cs="宋体"/>
          <w:color w:val="000000"/>
          <w:kern w:val="0"/>
          <w:sz w:val="32"/>
          <w:szCs w:val="32"/>
        </w:rPr>
      </w:pPr>
    </w:p>
    <w:sectPr w:rsidR="00444AE3" w:rsidSect="00444A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AD7" w:rsidRDefault="00511AD7" w:rsidP="00444AE3">
      <w:r>
        <w:separator/>
      </w:r>
    </w:p>
  </w:endnote>
  <w:endnote w:type="continuationSeparator" w:id="1">
    <w:p w:rsidR="00511AD7" w:rsidRDefault="00511AD7" w:rsidP="00444A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AE3" w:rsidRDefault="00444AE3">
    <w:pPr>
      <w:pStyle w:val="a5"/>
      <w:jc w:val="right"/>
      <w:rPr>
        <w:rFonts w:ascii="宋体" w:hAnsi="宋体"/>
        <w:sz w:val="28"/>
        <w:szCs w:val="28"/>
      </w:rPr>
    </w:pPr>
  </w:p>
  <w:p w:rsidR="00444AE3" w:rsidRDefault="00444AE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999589"/>
    </w:sdtPr>
    <w:sdtEndPr>
      <w:rPr>
        <w:rFonts w:ascii="宋体" w:hAnsi="宋体"/>
        <w:sz w:val="24"/>
        <w:szCs w:val="24"/>
      </w:rPr>
    </w:sdtEndPr>
    <w:sdtContent>
      <w:p w:rsidR="00444AE3" w:rsidRDefault="00647007">
        <w:pPr>
          <w:pStyle w:val="a5"/>
          <w:jc w:val="center"/>
          <w:rPr>
            <w:rFonts w:ascii="宋体" w:hAnsi="宋体"/>
            <w:sz w:val="24"/>
            <w:szCs w:val="24"/>
          </w:rPr>
        </w:pPr>
        <w:r>
          <w:rPr>
            <w:rFonts w:ascii="宋体" w:hAnsi="宋体"/>
            <w:sz w:val="24"/>
            <w:szCs w:val="24"/>
          </w:rPr>
          <w:fldChar w:fldCharType="begin"/>
        </w:r>
        <w:r w:rsidR="00C93113">
          <w:rPr>
            <w:rFonts w:ascii="宋体" w:hAnsi="宋体"/>
            <w:sz w:val="24"/>
            <w:szCs w:val="24"/>
          </w:rPr>
          <w:instrText>PAGE   \* MERGEFORMAT</w:instrText>
        </w:r>
        <w:r>
          <w:rPr>
            <w:rFonts w:ascii="宋体" w:hAnsi="宋体"/>
            <w:sz w:val="24"/>
            <w:szCs w:val="24"/>
          </w:rPr>
          <w:fldChar w:fldCharType="separate"/>
        </w:r>
        <w:r w:rsidR="007B53CE" w:rsidRPr="007B53CE">
          <w:rPr>
            <w:rFonts w:ascii="宋体" w:hAnsi="宋体"/>
            <w:noProof/>
            <w:sz w:val="24"/>
            <w:szCs w:val="24"/>
            <w:lang w:val="zh-CN"/>
          </w:rPr>
          <w:t>I</w:t>
        </w:r>
        <w:r>
          <w:rPr>
            <w:rFonts w:ascii="宋体" w:hAnsi="宋体"/>
            <w:sz w:val="24"/>
            <w:szCs w:val="24"/>
          </w:rPr>
          <w:fldChar w:fldCharType="end"/>
        </w:r>
      </w:p>
    </w:sdtContent>
  </w:sdt>
  <w:p w:rsidR="00444AE3" w:rsidRDefault="00444AE3">
    <w:pPr>
      <w:pStyle w:val="a5"/>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261445"/>
    </w:sdtPr>
    <w:sdtEndPr>
      <w:rPr>
        <w:rFonts w:ascii="宋体" w:hAnsi="宋体"/>
        <w:sz w:val="24"/>
        <w:szCs w:val="24"/>
      </w:rPr>
    </w:sdtEndPr>
    <w:sdtContent>
      <w:p w:rsidR="00444AE3" w:rsidRDefault="00647007">
        <w:pPr>
          <w:pStyle w:val="a5"/>
          <w:jc w:val="center"/>
          <w:rPr>
            <w:rFonts w:ascii="宋体" w:hAnsi="宋体"/>
            <w:sz w:val="24"/>
            <w:szCs w:val="24"/>
          </w:rPr>
        </w:pPr>
        <w:r>
          <w:rPr>
            <w:rFonts w:ascii="宋体" w:hAnsi="宋体"/>
            <w:sz w:val="24"/>
            <w:szCs w:val="24"/>
          </w:rPr>
          <w:fldChar w:fldCharType="begin"/>
        </w:r>
        <w:r w:rsidR="00C93113">
          <w:rPr>
            <w:rFonts w:ascii="宋体" w:hAnsi="宋体"/>
            <w:sz w:val="24"/>
            <w:szCs w:val="24"/>
          </w:rPr>
          <w:instrText>PAGE   \* MERGEFORMAT</w:instrText>
        </w:r>
        <w:r>
          <w:rPr>
            <w:rFonts w:ascii="宋体" w:hAnsi="宋体"/>
            <w:sz w:val="24"/>
            <w:szCs w:val="24"/>
          </w:rPr>
          <w:fldChar w:fldCharType="separate"/>
        </w:r>
        <w:r w:rsidR="007B53CE" w:rsidRPr="007B53CE">
          <w:rPr>
            <w:rFonts w:ascii="宋体" w:hAnsi="宋体"/>
            <w:noProof/>
            <w:sz w:val="24"/>
            <w:szCs w:val="24"/>
            <w:lang w:val="zh-CN"/>
          </w:rPr>
          <w:t>27</w:t>
        </w:r>
        <w:r>
          <w:rPr>
            <w:rFonts w:ascii="宋体" w:hAnsi="宋体"/>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AD7" w:rsidRDefault="00511AD7">
      <w:r>
        <w:separator/>
      </w:r>
    </w:p>
  </w:footnote>
  <w:footnote w:type="continuationSeparator" w:id="1">
    <w:p w:rsidR="00511AD7" w:rsidRDefault="00511AD7">
      <w:r>
        <w:continuationSeparator/>
      </w:r>
    </w:p>
  </w:footnote>
  <w:footnote w:id="2">
    <w:p w:rsidR="00444AE3" w:rsidRDefault="00C93113">
      <w:pPr>
        <w:adjustRightInd w:val="0"/>
        <w:snapToGrid w:val="0"/>
        <w:ind w:firstLineChars="200" w:firstLine="420"/>
        <w:rPr>
          <w:rFonts w:ascii="宋体" w:hAnsi="宋体" w:cs="宋体"/>
          <w:color w:val="000000"/>
          <w:kern w:val="0"/>
          <w:szCs w:val="21"/>
        </w:rPr>
      </w:pPr>
      <w:r>
        <w:rPr>
          <w:rStyle w:val="ad"/>
        </w:rPr>
        <w:footnoteRef/>
      </w:r>
      <w:r>
        <w:rPr>
          <w:rFonts w:hint="eastAsia"/>
        </w:rPr>
        <w:t>2023</w:t>
      </w:r>
      <w:r>
        <w:rPr>
          <w:rFonts w:hint="eastAsia"/>
        </w:rPr>
        <w:t>年，</w:t>
      </w:r>
      <w:r>
        <w:rPr>
          <w:rFonts w:ascii="宋体" w:hAnsi="宋体" w:cs="宋体" w:hint="eastAsia"/>
          <w:kern w:val="0"/>
          <w:szCs w:val="21"/>
        </w:rPr>
        <w:t>北京市机关事务管理局东交民巷服务中心、北京市机关事务管理局机关招待所涉及合并撤销，不再作为独立的二级预算单位。</w:t>
      </w:r>
    </w:p>
    <w:p w:rsidR="00444AE3" w:rsidRDefault="00444AE3">
      <w:pPr>
        <w:pStyle w:val="a7"/>
        <w:rPr>
          <w:rFonts w:ascii="宋体" w:hAnsi="宋体" w:cs="宋体"/>
          <w:sz w:val="21"/>
          <w:szCs w:val="21"/>
        </w:rPr>
      </w:pPr>
    </w:p>
  </w:footnote>
  <w:footnote w:id="3">
    <w:p w:rsidR="00444AE3" w:rsidRDefault="00C93113">
      <w:pPr>
        <w:pStyle w:val="a7"/>
        <w:rPr>
          <w:rFonts w:ascii="宋体" w:hAnsi="宋体" w:cs="宋体"/>
        </w:rPr>
      </w:pPr>
      <w:r>
        <w:rPr>
          <w:rStyle w:val="ad"/>
          <w:rFonts w:ascii="宋体" w:hAnsi="宋体" w:cs="宋体"/>
        </w:rPr>
        <w:footnoteRef/>
      </w:r>
      <w:r>
        <w:rPr>
          <w:rFonts w:ascii="宋体" w:hAnsi="宋体" w:cs="宋体" w:hint="eastAsia"/>
        </w:rPr>
        <w:t>部门整体收支情况为全口径预算，包括当年财政拨款、上年结转结余、其他资金等资金来源。</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zQwYWQwOWJjOGU5YTI1M2FmMTUzN2RmMTdiZjU4MmQifQ=="/>
  </w:docVars>
  <w:rsids>
    <w:rsidRoot w:val="005E4E7A"/>
    <w:rsid w:val="00000353"/>
    <w:rsid w:val="00000DD4"/>
    <w:rsid w:val="00007396"/>
    <w:rsid w:val="00010A51"/>
    <w:rsid w:val="0001130A"/>
    <w:rsid w:val="00011A72"/>
    <w:rsid w:val="00014C25"/>
    <w:rsid w:val="00015062"/>
    <w:rsid w:val="00021696"/>
    <w:rsid w:val="00030A2A"/>
    <w:rsid w:val="00032C3D"/>
    <w:rsid w:val="0003702C"/>
    <w:rsid w:val="0004044A"/>
    <w:rsid w:val="00040B62"/>
    <w:rsid w:val="00044766"/>
    <w:rsid w:val="00047C3F"/>
    <w:rsid w:val="00050293"/>
    <w:rsid w:val="00050C6D"/>
    <w:rsid w:val="00056FA5"/>
    <w:rsid w:val="000579D3"/>
    <w:rsid w:val="00057BFD"/>
    <w:rsid w:val="00062235"/>
    <w:rsid w:val="000627E2"/>
    <w:rsid w:val="00062FF4"/>
    <w:rsid w:val="000669CA"/>
    <w:rsid w:val="0006787E"/>
    <w:rsid w:val="000708F0"/>
    <w:rsid w:val="0007309D"/>
    <w:rsid w:val="00073362"/>
    <w:rsid w:val="00080192"/>
    <w:rsid w:val="00083E2A"/>
    <w:rsid w:val="00084D57"/>
    <w:rsid w:val="00087959"/>
    <w:rsid w:val="00092A42"/>
    <w:rsid w:val="00092D6B"/>
    <w:rsid w:val="0009489D"/>
    <w:rsid w:val="000A1752"/>
    <w:rsid w:val="000A1A99"/>
    <w:rsid w:val="000A2C34"/>
    <w:rsid w:val="000A346C"/>
    <w:rsid w:val="000A436B"/>
    <w:rsid w:val="000A7E16"/>
    <w:rsid w:val="000B09A0"/>
    <w:rsid w:val="000B16F5"/>
    <w:rsid w:val="000B3FCB"/>
    <w:rsid w:val="000B4F8E"/>
    <w:rsid w:val="000B51BC"/>
    <w:rsid w:val="000C1C6F"/>
    <w:rsid w:val="000C3F65"/>
    <w:rsid w:val="000C77F0"/>
    <w:rsid w:val="000C7F35"/>
    <w:rsid w:val="000D2D70"/>
    <w:rsid w:val="000D3654"/>
    <w:rsid w:val="000E1F40"/>
    <w:rsid w:val="000E7D2B"/>
    <w:rsid w:val="000F4F50"/>
    <w:rsid w:val="000F6A70"/>
    <w:rsid w:val="001007DA"/>
    <w:rsid w:val="00100E7E"/>
    <w:rsid w:val="00100F56"/>
    <w:rsid w:val="00103B8B"/>
    <w:rsid w:val="0011094C"/>
    <w:rsid w:val="00112985"/>
    <w:rsid w:val="00124EA7"/>
    <w:rsid w:val="0012530F"/>
    <w:rsid w:val="00125AA9"/>
    <w:rsid w:val="00127CB1"/>
    <w:rsid w:val="00133427"/>
    <w:rsid w:val="00134A57"/>
    <w:rsid w:val="00140144"/>
    <w:rsid w:val="001416E9"/>
    <w:rsid w:val="00141D62"/>
    <w:rsid w:val="001441D0"/>
    <w:rsid w:val="00146555"/>
    <w:rsid w:val="00146A1B"/>
    <w:rsid w:val="00150D10"/>
    <w:rsid w:val="0015321C"/>
    <w:rsid w:val="00154A1F"/>
    <w:rsid w:val="00157613"/>
    <w:rsid w:val="00157DD0"/>
    <w:rsid w:val="001606EA"/>
    <w:rsid w:val="00163372"/>
    <w:rsid w:val="0016568F"/>
    <w:rsid w:val="00166D9A"/>
    <w:rsid w:val="00167EFA"/>
    <w:rsid w:val="001709B3"/>
    <w:rsid w:val="0017191A"/>
    <w:rsid w:val="00171DB2"/>
    <w:rsid w:val="00172DE3"/>
    <w:rsid w:val="00176963"/>
    <w:rsid w:val="00180626"/>
    <w:rsid w:val="00180894"/>
    <w:rsid w:val="00192B55"/>
    <w:rsid w:val="001967F5"/>
    <w:rsid w:val="00196FDD"/>
    <w:rsid w:val="001970D7"/>
    <w:rsid w:val="00197181"/>
    <w:rsid w:val="00197242"/>
    <w:rsid w:val="001B012D"/>
    <w:rsid w:val="001B4AE3"/>
    <w:rsid w:val="001B653C"/>
    <w:rsid w:val="001B6870"/>
    <w:rsid w:val="001C06B8"/>
    <w:rsid w:val="001C1F28"/>
    <w:rsid w:val="001C3A1D"/>
    <w:rsid w:val="001C46DB"/>
    <w:rsid w:val="001C5A33"/>
    <w:rsid w:val="001C6B4C"/>
    <w:rsid w:val="001C7485"/>
    <w:rsid w:val="001D0BFA"/>
    <w:rsid w:val="001D2F2A"/>
    <w:rsid w:val="001D4894"/>
    <w:rsid w:val="001D6076"/>
    <w:rsid w:val="001D6671"/>
    <w:rsid w:val="001E003C"/>
    <w:rsid w:val="001E0591"/>
    <w:rsid w:val="001E256C"/>
    <w:rsid w:val="001E464F"/>
    <w:rsid w:val="001E77E8"/>
    <w:rsid w:val="001E7A9F"/>
    <w:rsid w:val="001F05D2"/>
    <w:rsid w:val="001F25A4"/>
    <w:rsid w:val="001F25EE"/>
    <w:rsid w:val="001F3D48"/>
    <w:rsid w:val="001F4036"/>
    <w:rsid w:val="001F4AC3"/>
    <w:rsid w:val="001F56CC"/>
    <w:rsid w:val="001F7CC5"/>
    <w:rsid w:val="002030DF"/>
    <w:rsid w:val="0020495D"/>
    <w:rsid w:val="00206C31"/>
    <w:rsid w:val="00210BB9"/>
    <w:rsid w:val="0021282A"/>
    <w:rsid w:val="002218A0"/>
    <w:rsid w:val="0022492B"/>
    <w:rsid w:val="002264EF"/>
    <w:rsid w:val="002272F8"/>
    <w:rsid w:val="00233572"/>
    <w:rsid w:val="002338FA"/>
    <w:rsid w:val="00235CA6"/>
    <w:rsid w:val="002379BB"/>
    <w:rsid w:val="0024101D"/>
    <w:rsid w:val="002420B8"/>
    <w:rsid w:val="002435F1"/>
    <w:rsid w:val="002443C6"/>
    <w:rsid w:val="00244CE1"/>
    <w:rsid w:val="0024686E"/>
    <w:rsid w:val="00250622"/>
    <w:rsid w:val="002523D3"/>
    <w:rsid w:val="00252E69"/>
    <w:rsid w:val="00256FC4"/>
    <w:rsid w:val="002605D1"/>
    <w:rsid w:val="00261763"/>
    <w:rsid w:val="00262CA3"/>
    <w:rsid w:val="00270FF7"/>
    <w:rsid w:val="00274753"/>
    <w:rsid w:val="00276A51"/>
    <w:rsid w:val="00276E72"/>
    <w:rsid w:val="002774F9"/>
    <w:rsid w:val="00280CB5"/>
    <w:rsid w:val="00284E24"/>
    <w:rsid w:val="002853F6"/>
    <w:rsid w:val="00287D0F"/>
    <w:rsid w:val="00290016"/>
    <w:rsid w:val="002920EB"/>
    <w:rsid w:val="00292E0B"/>
    <w:rsid w:val="00294580"/>
    <w:rsid w:val="002A566B"/>
    <w:rsid w:val="002A5CA3"/>
    <w:rsid w:val="002A617A"/>
    <w:rsid w:val="002C1305"/>
    <w:rsid w:val="002C14C7"/>
    <w:rsid w:val="002C40DE"/>
    <w:rsid w:val="002C7394"/>
    <w:rsid w:val="002C75BB"/>
    <w:rsid w:val="002D044F"/>
    <w:rsid w:val="002D4F01"/>
    <w:rsid w:val="002D4F18"/>
    <w:rsid w:val="002D7F29"/>
    <w:rsid w:val="002E173F"/>
    <w:rsid w:val="002F11AC"/>
    <w:rsid w:val="002F201E"/>
    <w:rsid w:val="002F58F0"/>
    <w:rsid w:val="002F6960"/>
    <w:rsid w:val="002F7B3B"/>
    <w:rsid w:val="00302C0A"/>
    <w:rsid w:val="003040BE"/>
    <w:rsid w:val="0030729D"/>
    <w:rsid w:val="003108E0"/>
    <w:rsid w:val="0031161F"/>
    <w:rsid w:val="00311EC8"/>
    <w:rsid w:val="00316B1F"/>
    <w:rsid w:val="00316BBE"/>
    <w:rsid w:val="00320CFD"/>
    <w:rsid w:val="003226A5"/>
    <w:rsid w:val="0032272F"/>
    <w:rsid w:val="00323A2F"/>
    <w:rsid w:val="00325623"/>
    <w:rsid w:val="00327557"/>
    <w:rsid w:val="00327ED2"/>
    <w:rsid w:val="00330941"/>
    <w:rsid w:val="00330D25"/>
    <w:rsid w:val="003332A3"/>
    <w:rsid w:val="003401B8"/>
    <w:rsid w:val="00340778"/>
    <w:rsid w:val="00341880"/>
    <w:rsid w:val="003426EA"/>
    <w:rsid w:val="00342F94"/>
    <w:rsid w:val="00346DF7"/>
    <w:rsid w:val="00350FD6"/>
    <w:rsid w:val="00353CFA"/>
    <w:rsid w:val="00354C86"/>
    <w:rsid w:val="00360225"/>
    <w:rsid w:val="0036035E"/>
    <w:rsid w:val="003628C4"/>
    <w:rsid w:val="00364018"/>
    <w:rsid w:val="00364888"/>
    <w:rsid w:val="0036788F"/>
    <w:rsid w:val="00372C56"/>
    <w:rsid w:val="00373204"/>
    <w:rsid w:val="00373D27"/>
    <w:rsid w:val="00374A30"/>
    <w:rsid w:val="0037603E"/>
    <w:rsid w:val="0038300A"/>
    <w:rsid w:val="003856C4"/>
    <w:rsid w:val="003861DD"/>
    <w:rsid w:val="003915A8"/>
    <w:rsid w:val="003971D6"/>
    <w:rsid w:val="003A2390"/>
    <w:rsid w:val="003A5203"/>
    <w:rsid w:val="003A6A0E"/>
    <w:rsid w:val="003A7071"/>
    <w:rsid w:val="003B29A5"/>
    <w:rsid w:val="003B72D3"/>
    <w:rsid w:val="003C26BE"/>
    <w:rsid w:val="003C63D0"/>
    <w:rsid w:val="003C6E61"/>
    <w:rsid w:val="003C7D23"/>
    <w:rsid w:val="003D0F74"/>
    <w:rsid w:val="003D2853"/>
    <w:rsid w:val="003D65B2"/>
    <w:rsid w:val="003D7C0D"/>
    <w:rsid w:val="003E0742"/>
    <w:rsid w:val="003E178E"/>
    <w:rsid w:val="003E38A8"/>
    <w:rsid w:val="003E56E0"/>
    <w:rsid w:val="003F2D46"/>
    <w:rsid w:val="004024F9"/>
    <w:rsid w:val="0040273C"/>
    <w:rsid w:val="00403119"/>
    <w:rsid w:val="004041D2"/>
    <w:rsid w:val="00404A85"/>
    <w:rsid w:val="00404B1D"/>
    <w:rsid w:val="00404F17"/>
    <w:rsid w:val="00405027"/>
    <w:rsid w:val="00406498"/>
    <w:rsid w:val="00407D40"/>
    <w:rsid w:val="004108BA"/>
    <w:rsid w:val="00414D9A"/>
    <w:rsid w:val="00417BCD"/>
    <w:rsid w:val="00427D84"/>
    <w:rsid w:val="00430A98"/>
    <w:rsid w:val="00431700"/>
    <w:rsid w:val="0043178D"/>
    <w:rsid w:val="0043437A"/>
    <w:rsid w:val="0043441F"/>
    <w:rsid w:val="004356D2"/>
    <w:rsid w:val="004359D5"/>
    <w:rsid w:val="00440D20"/>
    <w:rsid w:val="0044296C"/>
    <w:rsid w:val="00444AE3"/>
    <w:rsid w:val="00445A41"/>
    <w:rsid w:val="00460D63"/>
    <w:rsid w:val="00462CAD"/>
    <w:rsid w:val="00467B28"/>
    <w:rsid w:val="004728F6"/>
    <w:rsid w:val="00472F47"/>
    <w:rsid w:val="00474A50"/>
    <w:rsid w:val="00474E1D"/>
    <w:rsid w:val="004768D0"/>
    <w:rsid w:val="00476BC3"/>
    <w:rsid w:val="00477343"/>
    <w:rsid w:val="00497980"/>
    <w:rsid w:val="004A7635"/>
    <w:rsid w:val="004A7A90"/>
    <w:rsid w:val="004B22B4"/>
    <w:rsid w:val="004B54FE"/>
    <w:rsid w:val="004B68D2"/>
    <w:rsid w:val="004C1FC0"/>
    <w:rsid w:val="004C572A"/>
    <w:rsid w:val="004C6073"/>
    <w:rsid w:val="004D26C2"/>
    <w:rsid w:val="004D7B9E"/>
    <w:rsid w:val="004E10DD"/>
    <w:rsid w:val="004E1B88"/>
    <w:rsid w:val="004E4360"/>
    <w:rsid w:val="004E6317"/>
    <w:rsid w:val="004F0108"/>
    <w:rsid w:val="004F0439"/>
    <w:rsid w:val="004F1655"/>
    <w:rsid w:val="004F27A9"/>
    <w:rsid w:val="004F3BB1"/>
    <w:rsid w:val="004F4C4C"/>
    <w:rsid w:val="004F662B"/>
    <w:rsid w:val="004F69B8"/>
    <w:rsid w:val="0050234F"/>
    <w:rsid w:val="00502978"/>
    <w:rsid w:val="00502DB2"/>
    <w:rsid w:val="00504902"/>
    <w:rsid w:val="00506636"/>
    <w:rsid w:val="00507B7A"/>
    <w:rsid w:val="00510795"/>
    <w:rsid w:val="00511AD7"/>
    <w:rsid w:val="00512281"/>
    <w:rsid w:val="0051260E"/>
    <w:rsid w:val="005154BE"/>
    <w:rsid w:val="00516F78"/>
    <w:rsid w:val="00517603"/>
    <w:rsid w:val="00523131"/>
    <w:rsid w:val="00523D33"/>
    <w:rsid w:val="00523EE0"/>
    <w:rsid w:val="00524634"/>
    <w:rsid w:val="005250A0"/>
    <w:rsid w:val="005251D3"/>
    <w:rsid w:val="00526B35"/>
    <w:rsid w:val="00531B5F"/>
    <w:rsid w:val="00534484"/>
    <w:rsid w:val="0054228E"/>
    <w:rsid w:val="00543246"/>
    <w:rsid w:val="00544E4D"/>
    <w:rsid w:val="00545AF9"/>
    <w:rsid w:val="00547A57"/>
    <w:rsid w:val="0055030A"/>
    <w:rsid w:val="005512B9"/>
    <w:rsid w:val="005518F7"/>
    <w:rsid w:val="0055511B"/>
    <w:rsid w:val="00556643"/>
    <w:rsid w:val="00564A42"/>
    <w:rsid w:val="00564D74"/>
    <w:rsid w:val="00572A01"/>
    <w:rsid w:val="00573930"/>
    <w:rsid w:val="00573A98"/>
    <w:rsid w:val="00573AC8"/>
    <w:rsid w:val="0057570C"/>
    <w:rsid w:val="00577A45"/>
    <w:rsid w:val="005806CD"/>
    <w:rsid w:val="00583096"/>
    <w:rsid w:val="005905B3"/>
    <w:rsid w:val="00591D69"/>
    <w:rsid w:val="0059372E"/>
    <w:rsid w:val="005947B0"/>
    <w:rsid w:val="0059544A"/>
    <w:rsid w:val="005B011E"/>
    <w:rsid w:val="005B019F"/>
    <w:rsid w:val="005B0574"/>
    <w:rsid w:val="005C24D5"/>
    <w:rsid w:val="005C2BFE"/>
    <w:rsid w:val="005C3395"/>
    <w:rsid w:val="005C3553"/>
    <w:rsid w:val="005C4E92"/>
    <w:rsid w:val="005D29D3"/>
    <w:rsid w:val="005D41E9"/>
    <w:rsid w:val="005E0528"/>
    <w:rsid w:val="005E0D23"/>
    <w:rsid w:val="005E1380"/>
    <w:rsid w:val="005E4483"/>
    <w:rsid w:val="005E4E7A"/>
    <w:rsid w:val="005F2EBD"/>
    <w:rsid w:val="00600E38"/>
    <w:rsid w:val="006015BF"/>
    <w:rsid w:val="006020A5"/>
    <w:rsid w:val="0061036B"/>
    <w:rsid w:val="00610559"/>
    <w:rsid w:val="00620EB3"/>
    <w:rsid w:val="006227E0"/>
    <w:rsid w:val="0063634A"/>
    <w:rsid w:val="00637349"/>
    <w:rsid w:val="00644ABD"/>
    <w:rsid w:val="00645F63"/>
    <w:rsid w:val="006466B3"/>
    <w:rsid w:val="00647007"/>
    <w:rsid w:val="00660715"/>
    <w:rsid w:val="006617D1"/>
    <w:rsid w:val="006662D0"/>
    <w:rsid w:val="00667745"/>
    <w:rsid w:val="006719CB"/>
    <w:rsid w:val="00671FCE"/>
    <w:rsid w:val="00675403"/>
    <w:rsid w:val="00675BE8"/>
    <w:rsid w:val="006765F6"/>
    <w:rsid w:val="00676798"/>
    <w:rsid w:val="0067742B"/>
    <w:rsid w:val="006802A0"/>
    <w:rsid w:val="006809AE"/>
    <w:rsid w:val="00683B23"/>
    <w:rsid w:val="00686AE9"/>
    <w:rsid w:val="0069105C"/>
    <w:rsid w:val="006A0198"/>
    <w:rsid w:val="006A02BD"/>
    <w:rsid w:val="006A1489"/>
    <w:rsid w:val="006A1C4A"/>
    <w:rsid w:val="006A1F60"/>
    <w:rsid w:val="006A20C7"/>
    <w:rsid w:val="006B0E13"/>
    <w:rsid w:val="006B11D9"/>
    <w:rsid w:val="006B14B5"/>
    <w:rsid w:val="006B21F3"/>
    <w:rsid w:val="006B2431"/>
    <w:rsid w:val="006B250D"/>
    <w:rsid w:val="006B6AEF"/>
    <w:rsid w:val="006C32AE"/>
    <w:rsid w:val="006C4D76"/>
    <w:rsid w:val="006C61C8"/>
    <w:rsid w:val="006C65A8"/>
    <w:rsid w:val="006C7F24"/>
    <w:rsid w:val="006D188A"/>
    <w:rsid w:val="006D2A72"/>
    <w:rsid w:val="006E1190"/>
    <w:rsid w:val="006E16F5"/>
    <w:rsid w:val="006E39F5"/>
    <w:rsid w:val="006E7E93"/>
    <w:rsid w:val="006F19B6"/>
    <w:rsid w:val="006F30B8"/>
    <w:rsid w:val="006F5866"/>
    <w:rsid w:val="006F760E"/>
    <w:rsid w:val="00701436"/>
    <w:rsid w:val="0070311B"/>
    <w:rsid w:val="00703439"/>
    <w:rsid w:val="007079CE"/>
    <w:rsid w:val="00710A15"/>
    <w:rsid w:val="00710C27"/>
    <w:rsid w:val="00712B81"/>
    <w:rsid w:val="00714BEC"/>
    <w:rsid w:val="00723489"/>
    <w:rsid w:val="00730973"/>
    <w:rsid w:val="0073169E"/>
    <w:rsid w:val="00733F6E"/>
    <w:rsid w:val="00734112"/>
    <w:rsid w:val="0073465A"/>
    <w:rsid w:val="00735576"/>
    <w:rsid w:val="00744469"/>
    <w:rsid w:val="007465E2"/>
    <w:rsid w:val="00750BCC"/>
    <w:rsid w:val="00750E3A"/>
    <w:rsid w:val="007566F8"/>
    <w:rsid w:val="007575EE"/>
    <w:rsid w:val="00757ED6"/>
    <w:rsid w:val="00760102"/>
    <w:rsid w:val="00760DD1"/>
    <w:rsid w:val="007668AA"/>
    <w:rsid w:val="00775622"/>
    <w:rsid w:val="0078181A"/>
    <w:rsid w:val="00783907"/>
    <w:rsid w:val="00784208"/>
    <w:rsid w:val="00786F2A"/>
    <w:rsid w:val="00787033"/>
    <w:rsid w:val="007879B8"/>
    <w:rsid w:val="007942A7"/>
    <w:rsid w:val="0079728A"/>
    <w:rsid w:val="00797474"/>
    <w:rsid w:val="007A0842"/>
    <w:rsid w:val="007A1171"/>
    <w:rsid w:val="007B03E2"/>
    <w:rsid w:val="007B3DF3"/>
    <w:rsid w:val="007B4A4A"/>
    <w:rsid w:val="007B53CE"/>
    <w:rsid w:val="007B6710"/>
    <w:rsid w:val="007D2BA4"/>
    <w:rsid w:val="007D47F5"/>
    <w:rsid w:val="007D6C20"/>
    <w:rsid w:val="007E0D14"/>
    <w:rsid w:val="007E2F3C"/>
    <w:rsid w:val="007E509A"/>
    <w:rsid w:val="007F00B9"/>
    <w:rsid w:val="007F5138"/>
    <w:rsid w:val="007F5841"/>
    <w:rsid w:val="007F5E89"/>
    <w:rsid w:val="00801786"/>
    <w:rsid w:val="008029DA"/>
    <w:rsid w:val="00803C68"/>
    <w:rsid w:val="00805BA7"/>
    <w:rsid w:val="00806485"/>
    <w:rsid w:val="008074F0"/>
    <w:rsid w:val="00810343"/>
    <w:rsid w:val="00814E9D"/>
    <w:rsid w:val="00825957"/>
    <w:rsid w:val="00826482"/>
    <w:rsid w:val="008268C7"/>
    <w:rsid w:val="00830C79"/>
    <w:rsid w:val="0083195E"/>
    <w:rsid w:val="00833375"/>
    <w:rsid w:val="008348BF"/>
    <w:rsid w:val="00841132"/>
    <w:rsid w:val="00843FE7"/>
    <w:rsid w:val="008443E2"/>
    <w:rsid w:val="00844581"/>
    <w:rsid w:val="008445B4"/>
    <w:rsid w:val="008450E7"/>
    <w:rsid w:val="00845332"/>
    <w:rsid w:val="00845753"/>
    <w:rsid w:val="008462D2"/>
    <w:rsid w:val="008469A9"/>
    <w:rsid w:val="00846E9C"/>
    <w:rsid w:val="008546EF"/>
    <w:rsid w:val="00855E75"/>
    <w:rsid w:val="00856FF9"/>
    <w:rsid w:val="008620E9"/>
    <w:rsid w:val="008702AE"/>
    <w:rsid w:val="00874288"/>
    <w:rsid w:val="0087512B"/>
    <w:rsid w:val="0087608D"/>
    <w:rsid w:val="00877AE7"/>
    <w:rsid w:val="00881257"/>
    <w:rsid w:val="00884F7A"/>
    <w:rsid w:val="008A03B3"/>
    <w:rsid w:val="008A07F9"/>
    <w:rsid w:val="008A104E"/>
    <w:rsid w:val="008A2EF7"/>
    <w:rsid w:val="008A3B8F"/>
    <w:rsid w:val="008A5138"/>
    <w:rsid w:val="008A739A"/>
    <w:rsid w:val="008B0368"/>
    <w:rsid w:val="008B0A27"/>
    <w:rsid w:val="008B0D7C"/>
    <w:rsid w:val="008B13EB"/>
    <w:rsid w:val="008B6DCC"/>
    <w:rsid w:val="008C02BD"/>
    <w:rsid w:val="008C32AA"/>
    <w:rsid w:val="008C3555"/>
    <w:rsid w:val="008C3619"/>
    <w:rsid w:val="008C48D3"/>
    <w:rsid w:val="008D03EE"/>
    <w:rsid w:val="008D0F49"/>
    <w:rsid w:val="008D340B"/>
    <w:rsid w:val="008D3788"/>
    <w:rsid w:val="008D6038"/>
    <w:rsid w:val="008D67D6"/>
    <w:rsid w:val="008D7043"/>
    <w:rsid w:val="008E4AA6"/>
    <w:rsid w:val="008E4BC1"/>
    <w:rsid w:val="008E6D45"/>
    <w:rsid w:val="008E7300"/>
    <w:rsid w:val="008F05B3"/>
    <w:rsid w:val="008F0708"/>
    <w:rsid w:val="008F3267"/>
    <w:rsid w:val="008F5FB5"/>
    <w:rsid w:val="009006D4"/>
    <w:rsid w:val="0090121F"/>
    <w:rsid w:val="00901E43"/>
    <w:rsid w:val="009051E5"/>
    <w:rsid w:val="009069C9"/>
    <w:rsid w:val="0091114C"/>
    <w:rsid w:val="00911405"/>
    <w:rsid w:val="00911C34"/>
    <w:rsid w:val="00912CED"/>
    <w:rsid w:val="00914937"/>
    <w:rsid w:val="00915074"/>
    <w:rsid w:val="009166A1"/>
    <w:rsid w:val="0092056D"/>
    <w:rsid w:val="00920FEE"/>
    <w:rsid w:val="00921F27"/>
    <w:rsid w:val="00922B29"/>
    <w:rsid w:val="00924254"/>
    <w:rsid w:val="0093599D"/>
    <w:rsid w:val="00937677"/>
    <w:rsid w:val="00941419"/>
    <w:rsid w:val="0094546F"/>
    <w:rsid w:val="009456B0"/>
    <w:rsid w:val="00945C0D"/>
    <w:rsid w:val="00946768"/>
    <w:rsid w:val="009473AA"/>
    <w:rsid w:val="00947DB3"/>
    <w:rsid w:val="00947FEB"/>
    <w:rsid w:val="00952F80"/>
    <w:rsid w:val="00954EAD"/>
    <w:rsid w:val="009562D6"/>
    <w:rsid w:val="00956BD4"/>
    <w:rsid w:val="00956C51"/>
    <w:rsid w:val="009578CF"/>
    <w:rsid w:val="00957F2E"/>
    <w:rsid w:val="0096021E"/>
    <w:rsid w:val="009602E1"/>
    <w:rsid w:val="00960706"/>
    <w:rsid w:val="009609FE"/>
    <w:rsid w:val="00966A0E"/>
    <w:rsid w:val="00966D37"/>
    <w:rsid w:val="00970C71"/>
    <w:rsid w:val="009723D1"/>
    <w:rsid w:val="00972722"/>
    <w:rsid w:val="009751EE"/>
    <w:rsid w:val="00975F74"/>
    <w:rsid w:val="00981DA0"/>
    <w:rsid w:val="009829E2"/>
    <w:rsid w:val="009838D1"/>
    <w:rsid w:val="00984D4B"/>
    <w:rsid w:val="009851A6"/>
    <w:rsid w:val="009945D3"/>
    <w:rsid w:val="00996C5D"/>
    <w:rsid w:val="009A1E68"/>
    <w:rsid w:val="009A1F6B"/>
    <w:rsid w:val="009A2B6E"/>
    <w:rsid w:val="009A3BA8"/>
    <w:rsid w:val="009A40B3"/>
    <w:rsid w:val="009A51DE"/>
    <w:rsid w:val="009A65C0"/>
    <w:rsid w:val="009A6960"/>
    <w:rsid w:val="009A698E"/>
    <w:rsid w:val="009B0878"/>
    <w:rsid w:val="009B2520"/>
    <w:rsid w:val="009B2E04"/>
    <w:rsid w:val="009B3730"/>
    <w:rsid w:val="009B7531"/>
    <w:rsid w:val="009C1820"/>
    <w:rsid w:val="009C48AF"/>
    <w:rsid w:val="009C655F"/>
    <w:rsid w:val="009C768F"/>
    <w:rsid w:val="009D130D"/>
    <w:rsid w:val="009D25F4"/>
    <w:rsid w:val="009D528B"/>
    <w:rsid w:val="009D656C"/>
    <w:rsid w:val="009D722E"/>
    <w:rsid w:val="009D7CCE"/>
    <w:rsid w:val="009E02AF"/>
    <w:rsid w:val="009E1440"/>
    <w:rsid w:val="009E2829"/>
    <w:rsid w:val="009E35A3"/>
    <w:rsid w:val="009E6CD1"/>
    <w:rsid w:val="009E75EE"/>
    <w:rsid w:val="009F1BA8"/>
    <w:rsid w:val="009F5C15"/>
    <w:rsid w:val="00A00384"/>
    <w:rsid w:val="00A00955"/>
    <w:rsid w:val="00A0362F"/>
    <w:rsid w:val="00A062F1"/>
    <w:rsid w:val="00A06830"/>
    <w:rsid w:val="00A12A80"/>
    <w:rsid w:val="00A15CDA"/>
    <w:rsid w:val="00A1631F"/>
    <w:rsid w:val="00A16447"/>
    <w:rsid w:val="00A17224"/>
    <w:rsid w:val="00A17848"/>
    <w:rsid w:val="00A17EFB"/>
    <w:rsid w:val="00A21D8F"/>
    <w:rsid w:val="00A23ED0"/>
    <w:rsid w:val="00A25120"/>
    <w:rsid w:val="00A32565"/>
    <w:rsid w:val="00A328D2"/>
    <w:rsid w:val="00A35168"/>
    <w:rsid w:val="00A364D9"/>
    <w:rsid w:val="00A43252"/>
    <w:rsid w:val="00A43881"/>
    <w:rsid w:val="00A45572"/>
    <w:rsid w:val="00A466F1"/>
    <w:rsid w:val="00A572C0"/>
    <w:rsid w:val="00A576DD"/>
    <w:rsid w:val="00A57839"/>
    <w:rsid w:val="00A6068A"/>
    <w:rsid w:val="00A60CBC"/>
    <w:rsid w:val="00A6146F"/>
    <w:rsid w:val="00A61478"/>
    <w:rsid w:val="00A61566"/>
    <w:rsid w:val="00A61D47"/>
    <w:rsid w:val="00A6201A"/>
    <w:rsid w:val="00A6382E"/>
    <w:rsid w:val="00A67959"/>
    <w:rsid w:val="00A70356"/>
    <w:rsid w:val="00A70E4B"/>
    <w:rsid w:val="00A7245D"/>
    <w:rsid w:val="00A73255"/>
    <w:rsid w:val="00A747E8"/>
    <w:rsid w:val="00A76494"/>
    <w:rsid w:val="00A81F2B"/>
    <w:rsid w:val="00A84619"/>
    <w:rsid w:val="00A91029"/>
    <w:rsid w:val="00A92624"/>
    <w:rsid w:val="00A95279"/>
    <w:rsid w:val="00A96CB5"/>
    <w:rsid w:val="00A973F0"/>
    <w:rsid w:val="00AA3DD5"/>
    <w:rsid w:val="00AA75D7"/>
    <w:rsid w:val="00AB1CFE"/>
    <w:rsid w:val="00AB2364"/>
    <w:rsid w:val="00AB3BBB"/>
    <w:rsid w:val="00AC2527"/>
    <w:rsid w:val="00AD0E66"/>
    <w:rsid w:val="00AD3E6D"/>
    <w:rsid w:val="00AD7284"/>
    <w:rsid w:val="00AE0590"/>
    <w:rsid w:val="00AE0D68"/>
    <w:rsid w:val="00AE203D"/>
    <w:rsid w:val="00AE2606"/>
    <w:rsid w:val="00AE3F19"/>
    <w:rsid w:val="00AE5E80"/>
    <w:rsid w:val="00AE79E2"/>
    <w:rsid w:val="00AF03CD"/>
    <w:rsid w:val="00AF53C0"/>
    <w:rsid w:val="00B04A32"/>
    <w:rsid w:val="00B100F3"/>
    <w:rsid w:val="00B1024B"/>
    <w:rsid w:val="00B10A7E"/>
    <w:rsid w:val="00B11EB8"/>
    <w:rsid w:val="00B160B2"/>
    <w:rsid w:val="00B21BEF"/>
    <w:rsid w:val="00B23436"/>
    <w:rsid w:val="00B2583B"/>
    <w:rsid w:val="00B27092"/>
    <w:rsid w:val="00B27102"/>
    <w:rsid w:val="00B27BBA"/>
    <w:rsid w:val="00B332CA"/>
    <w:rsid w:val="00B338D9"/>
    <w:rsid w:val="00B36A22"/>
    <w:rsid w:val="00B3776C"/>
    <w:rsid w:val="00B40401"/>
    <w:rsid w:val="00B426DE"/>
    <w:rsid w:val="00B4403C"/>
    <w:rsid w:val="00B472AC"/>
    <w:rsid w:val="00B47E43"/>
    <w:rsid w:val="00B50286"/>
    <w:rsid w:val="00B52381"/>
    <w:rsid w:val="00B53ED1"/>
    <w:rsid w:val="00B54BCF"/>
    <w:rsid w:val="00B617ED"/>
    <w:rsid w:val="00B61A22"/>
    <w:rsid w:val="00B62FA1"/>
    <w:rsid w:val="00B64F6C"/>
    <w:rsid w:val="00B6740F"/>
    <w:rsid w:val="00B72F31"/>
    <w:rsid w:val="00B733FD"/>
    <w:rsid w:val="00B7366E"/>
    <w:rsid w:val="00B7518C"/>
    <w:rsid w:val="00B7774D"/>
    <w:rsid w:val="00B80122"/>
    <w:rsid w:val="00B81145"/>
    <w:rsid w:val="00B84B2E"/>
    <w:rsid w:val="00B86866"/>
    <w:rsid w:val="00B875FE"/>
    <w:rsid w:val="00B931D7"/>
    <w:rsid w:val="00B94B37"/>
    <w:rsid w:val="00B94CCB"/>
    <w:rsid w:val="00B96201"/>
    <w:rsid w:val="00B9670B"/>
    <w:rsid w:val="00BA14E9"/>
    <w:rsid w:val="00BA1EB3"/>
    <w:rsid w:val="00BB1C82"/>
    <w:rsid w:val="00BB21C5"/>
    <w:rsid w:val="00BB2A84"/>
    <w:rsid w:val="00BB4F29"/>
    <w:rsid w:val="00BB7DB1"/>
    <w:rsid w:val="00BC1663"/>
    <w:rsid w:val="00BC1B5D"/>
    <w:rsid w:val="00BC27FC"/>
    <w:rsid w:val="00BC3958"/>
    <w:rsid w:val="00BC6701"/>
    <w:rsid w:val="00BC6A7F"/>
    <w:rsid w:val="00BC712C"/>
    <w:rsid w:val="00BD59DB"/>
    <w:rsid w:val="00BD7843"/>
    <w:rsid w:val="00BD7C60"/>
    <w:rsid w:val="00BE03DD"/>
    <w:rsid w:val="00BE1E1C"/>
    <w:rsid w:val="00BE2A01"/>
    <w:rsid w:val="00BE4F33"/>
    <w:rsid w:val="00BE73C9"/>
    <w:rsid w:val="00BF0280"/>
    <w:rsid w:val="00BF2FB2"/>
    <w:rsid w:val="00BF3384"/>
    <w:rsid w:val="00BF441B"/>
    <w:rsid w:val="00BF6DE1"/>
    <w:rsid w:val="00BF74B0"/>
    <w:rsid w:val="00C00F9B"/>
    <w:rsid w:val="00C0165D"/>
    <w:rsid w:val="00C0178A"/>
    <w:rsid w:val="00C01DBE"/>
    <w:rsid w:val="00C045BD"/>
    <w:rsid w:val="00C05F18"/>
    <w:rsid w:val="00C0652F"/>
    <w:rsid w:val="00C136B6"/>
    <w:rsid w:val="00C13A05"/>
    <w:rsid w:val="00C15811"/>
    <w:rsid w:val="00C17175"/>
    <w:rsid w:val="00C21A53"/>
    <w:rsid w:val="00C23A30"/>
    <w:rsid w:val="00C246A5"/>
    <w:rsid w:val="00C25344"/>
    <w:rsid w:val="00C27BB4"/>
    <w:rsid w:val="00C344C1"/>
    <w:rsid w:val="00C35117"/>
    <w:rsid w:val="00C370BB"/>
    <w:rsid w:val="00C413D3"/>
    <w:rsid w:val="00C43908"/>
    <w:rsid w:val="00C46513"/>
    <w:rsid w:val="00C47255"/>
    <w:rsid w:val="00C473ED"/>
    <w:rsid w:val="00C51307"/>
    <w:rsid w:val="00C52D33"/>
    <w:rsid w:val="00C552EC"/>
    <w:rsid w:val="00C57987"/>
    <w:rsid w:val="00C579BE"/>
    <w:rsid w:val="00C614F5"/>
    <w:rsid w:val="00C643A2"/>
    <w:rsid w:val="00C65644"/>
    <w:rsid w:val="00C658F7"/>
    <w:rsid w:val="00C70ADD"/>
    <w:rsid w:val="00C71184"/>
    <w:rsid w:val="00C71527"/>
    <w:rsid w:val="00C72AFB"/>
    <w:rsid w:val="00C76FD2"/>
    <w:rsid w:val="00C77FF3"/>
    <w:rsid w:val="00C81594"/>
    <w:rsid w:val="00C815EA"/>
    <w:rsid w:val="00C82D4A"/>
    <w:rsid w:val="00C90031"/>
    <w:rsid w:val="00C916EB"/>
    <w:rsid w:val="00C922DC"/>
    <w:rsid w:val="00C93113"/>
    <w:rsid w:val="00C93F6C"/>
    <w:rsid w:val="00C95C06"/>
    <w:rsid w:val="00CA21AA"/>
    <w:rsid w:val="00CA5106"/>
    <w:rsid w:val="00CA635A"/>
    <w:rsid w:val="00CB19C1"/>
    <w:rsid w:val="00CB45FC"/>
    <w:rsid w:val="00CB5A8C"/>
    <w:rsid w:val="00CB66FE"/>
    <w:rsid w:val="00CC1ADB"/>
    <w:rsid w:val="00CC3477"/>
    <w:rsid w:val="00CC51BF"/>
    <w:rsid w:val="00CC5454"/>
    <w:rsid w:val="00CC7172"/>
    <w:rsid w:val="00CD1531"/>
    <w:rsid w:val="00CD256A"/>
    <w:rsid w:val="00CD368F"/>
    <w:rsid w:val="00CD466B"/>
    <w:rsid w:val="00CD6659"/>
    <w:rsid w:val="00CD6709"/>
    <w:rsid w:val="00CE2F06"/>
    <w:rsid w:val="00CE79BF"/>
    <w:rsid w:val="00CE7B65"/>
    <w:rsid w:val="00CF162C"/>
    <w:rsid w:val="00CF531B"/>
    <w:rsid w:val="00CF6881"/>
    <w:rsid w:val="00D0082A"/>
    <w:rsid w:val="00D00FC4"/>
    <w:rsid w:val="00D04DF4"/>
    <w:rsid w:val="00D051C3"/>
    <w:rsid w:val="00D05459"/>
    <w:rsid w:val="00D05507"/>
    <w:rsid w:val="00D10CA8"/>
    <w:rsid w:val="00D16091"/>
    <w:rsid w:val="00D164DF"/>
    <w:rsid w:val="00D17D5C"/>
    <w:rsid w:val="00D222B2"/>
    <w:rsid w:val="00D222E5"/>
    <w:rsid w:val="00D2389C"/>
    <w:rsid w:val="00D23FD0"/>
    <w:rsid w:val="00D2581F"/>
    <w:rsid w:val="00D26390"/>
    <w:rsid w:val="00D26ECB"/>
    <w:rsid w:val="00D2700E"/>
    <w:rsid w:val="00D3114A"/>
    <w:rsid w:val="00D31704"/>
    <w:rsid w:val="00D33BA2"/>
    <w:rsid w:val="00D35BC7"/>
    <w:rsid w:val="00D35DF3"/>
    <w:rsid w:val="00D40523"/>
    <w:rsid w:val="00D413E8"/>
    <w:rsid w:val="00D44316"/>
    <w:rsid w:val="00D44C9E"/>
    <w:rsid w:val="00D4513C"/>
    <w:rsid w:val="00D45A46"/>
    <w:rsid w:val="00D4604E"/>
    <w:rsid w:val="00D46444"/>
    <w:rsid w:val="00D51500"/>
    <w:rsid w:val="00D51678"/>
    <w:rsid w:val="00D558DA"/>
    <w:rsid w:val="00D5608C"/>
    <w:rsid w:val="00D610A4"/>
    <w:rsid w:val="00D649B5"/>
    <w:rsid w:val="00D64F97"/>
    <w:rsid w:val="00D664C3"/>
    <w:rsid w:val="00D66A7F"/>
    <w:rsid w:val="00D70F79"/>
    <w:rsid w:val="00D71643"/>
    <w:rsid w:val="00D7260F"/>
    <w:rsid w:val="00D7768F"/>
    <w:rsid w:val="00D80FBB"/>
    <w:rsid w:val="00D85E91"/>
    <w:rsid w:val="00D86A9F"/>
    <w:rsid w:val="00D91499"/>
    <w:rsid w:val="00D9218E"/>
    <w:rsid w:val="00D93A26"/>
    <w:rsid w:val="00DA3BBB"/>
    <w:rsid w:val="00DA4052"/>
    <w:rsid w:val="00DA441D"/>
    <w:rsid w:val="00DA7024"/>
    <w:rsid w:val="00DB01CA"/>
    <w:rsid w:val="00DB1408"/>
    <w:rsid w:val="00DB57BD"/>
    <w:rsid w:val="00DC0E2C"/>
    <w:rsid w:val="00DC1C7F"/>
    <w:rsid w:val="00DC1D18"/>
    <w:rsid w:val="00DC43BD"/>
    <w:rsid w:val="00DC56A5"/>
    <w:rsid w:val="00DD007F"/>
    <w:rsid w:val="00DD1CC8"/>
    <w:rsid w:val="00DD3154"/>
    <w:rsid w:val="00DD5F29"/>
    <w:rsid w:val="00DD6457"/>
    <w:rsid w:val="00DE0175"/>
    <w:rsid w:val="00DE1947"/>
    <w:rsid w:val="00DE3CA5"/>
    <w:rsid w:val="00DF2297"/>
    <w:rsid w:val="00DF45B5"/>
    <w:rsid w:val="00DF4E0A"/>
    <w:rsid w:val="00DF7D72"/>
    <w:rsid w:val="00E00575"/>
    <w:rsid w:val="00E01948"/>
    <w:rsid w:val="00E029CF"/>
    <w:rsid w:val="00E02E1B"/>
    <w:rsid w:val="00E059DF"/>
    <w:rsid w:val="00E123E0"/>
    <w:rsid w:val="00E1534C"/>
    <w:rsid w:val="00E20E7D"/>
    <w:rsid w:val="00E222C9"/>
    <w:rsid w:val="00E2629E"/>
    <w:rsid w:val="00E317A8"/>
    <w:rsid w:val="00E42C79"/>
    <w:rsid w:val="00E43B6A"/>
    <w:rsid w:val="00E43BED"/>
    <w:rsid w:val="00E44954"/>
    <w:rsid w:val="00E4630B"/>
    <w:rsid w:val="00E517EC"/>
    <w:rsid w:val="00E5487E"/>
    <w:rsid w:val="00E56E2E"/>
    <w:rsid w:val="00E715AB"/>
    <w:rsid w:val="00E77B65"/>
    <w:rsid w:val="00E8263B"/>
    <w:rsid w:val="00E832F6"/>
    <w:rsid w:val="00E87719"/>
    <w:rsid w:val="00E9005E"/>
    <w:rsid w:val="00E928CE"/>
    <w:rsid w:val="00E95DD0"/>
    <w:rsid w:val="00EA3CD8"/>
    <w:rsid w:val="00EA4132"/>
    <w:rsid w:val="00EA4860"/>
    <w:rsid w:val="00EA6077"/>
    <w:rsid w:val="00EA7A31"/>
    <w:rsid w:val="00EB01A2"/>
    <w:rsid w:val="00EB2E78"/>
    <w:rsid w:val="00EB5621"/>
    <w:rsid w:val="00EB6E90"/>
    <w:rsid w:val="00EC0246"/>
    <w:rsid w:val="00EC3CE7"/>
    <w:rsid w:val="00ED1D4A"/>
    <w:rsid w:val="00ED3942"/>
    <w:rsid w:val="00ED5187"/>
    <w:rsid w:val="00ED6FBD"/>
    <w:rsid w:val="00EE18A8"/>
    <w:rsid w:val="00EE4F98"/>
    <w:rsid w:val="00EE51A8"/>
    <w:rsid w:val="00EE7F32"/>
    <w:rsid w:val="00EF528C"/>
    <w:rsid w:val="00EF5E01"/>
    <w:rsid w:val="00EF617E"/>
    <w:rsid w:val="00EF7260"/>
    <w:rsid w:val="00EF72F3"/>
    <w:rsid w:val="00F0174B"/>
    <w:rsid w:val="00F01E58"/>
    <w:rsid w:val="00F020AE"/>
    <w:rsid w:val="00F0498F"/>
    <w:rsid w:val="00F0517B"/>
    <w:rsid w:val="00F065BA"/>
    <w:rsid w:val="00F117AF"/>
    <w:rsid w:val="00F1195D"/>
    <w:rsid w:val="00F17C3D"/>
    <w:rsid w:val="00F214D4"/>
    <w:rsid w:val="00F2284C"/>
    <w:rsid w:val="00F24325"/>
    <w:rsid w:val="00F26B93"/>
    <w:rsid w:val="00F26EEE"/>
    <w:rsid w:val="00F33EFB"/>
    <w:rsid w:val="00F3451B"/>
    <w:rsid w:val="00F34C19"/>
    <w:rsid w:val="00F35300"/>
    <w:rsid w:val="00F40619"/>
    <w:rsid w:val="00F43B1B"/>
    <w:rsid w:val="00F50571"/>
    <w:rsid w:val="00F51FB8"/>
    <w:rsid w:val="00F52C1D"/>
    <w:rsid w:val="00F542C4"/>
    <w:rsid w:val="00F60E81"/>
    <w:rsid w:val="00F6230C"/>
    <w:rsid w:val="00F64E7F"/>
    <w:rsid w:val="00F6571A"/>
    <w:rsid w:val="00F65A3C"/>
    <w:rsid w:val="00F7114D"/>
    <w:rsid w:val="00F73119"/>
    <w:rsid w:val="00F75033"/>
    <w:rsid w:val="00F817A5"/>
    <w:rsid w:val="00F82950"/>
    <w:rsid w:val="00F833EA"/>
    <w:rsid w:val="00F87607"/>
    <w:rsid w:val="00F91663"/>
    <w:rsid w:val="00FA21BC"/>
    <w:rsid w:val="00FA4F70"/>
    <w:rsid w:val="00FB342E"/>
    <w:rsid w:val="00FB45A6"/>
    <w:rsid w:val="00FB5F5C"/>
    <w:rsid w:val="00FB699E"/>
    <w:rsid w:val="00FC6BA3"/>
    <w:rsid w:val="00FC6D29"/>
    <w:rsid w:val="00FD1E8F"/>
    <w:rsid w:val="00FE26D1"/>
    <w:rsid w:val="00FE5A22"/>
    <w:rsid w:val="00FF085A"/>
    <w:rsid w:val="00FF0E6B"/>
    <w:rsid w:val="00FF38B0"/>
    <w:rsid w:val="00FF7F32"/>
    <w:rsid w:val="01E4105D"/>
    <w:rsid w:val="02073E10"/>
    <w:rsid w:val="02854EBE"/>
    <w:rsid w:val="02B3714D"/>
    <w:rsid w:val="037D7167"/>
    <w:rsid w:val="03A42D9E"/>
    <w:rsid w:val="03C46FD2"/>
    <w:rsid w:val="03DE6AA9"/>
    <w:rsid w:val="047E3CA7"/>
    <w:rsid w:val="049F2128"/>
    <w:rsid w:val="04C10823"/>
    <w:rsid w:val="054737F5"/>
    <w:rsid w:val="06041FA4"/>
    <w:rsid w:val="067C5DAE"/>
    <w:rsid w:val="06D64329"/>
    <w:rsid w:val="08326375"/>
    <w:rsid w:val="083729A1"/>
    <w:rsid w:val="083D5587"/>
    <w:rsid w:val="08AE0D00"/>
    <w:rsid w:val="09297778"/>
    <w:rsid w:val="09670FEC"/>
    <w:rsid w:val="0A9D7B69"/>
    <w:rsid w:val="0B1373DD"/>
    <w:rsid w:val="0B3B1F99"/>
    <w:rsid w:val="0BF83BD7"/>
    <w:rsid w:val="0C0A1AE2"/>
    <w:rsid w:val="0C8353F1"/>
    <w:rsid w:val="0CA4373E"/>
    <w:rsid w:val="0CB35CD6"/>
    <w:rsid w:val="0CC60757"/>
    <w:rsid w:val="0D196DD8"/>
    <w:rsid w:val="0DB37F58"/>
    <w:rsid w:val="0DD66EC6"/>
    <w:rsid w:val="0DE64026"/>
    <w:rsid w:val="0E567313"/>
    <w:rsid w:val="0ED80D13"/>
    <w:rsid w:val="0F1964BE"/>
    <w:rsid w:val="0F8275D7"/>
    <w:rsid w:val="0FC0066A"/>
    <w:rsid w:val="103A670E"/>
    <w:rsid w:val="11D24CE6"/>
    <w:rsid w:val="11E50A88"/>
    <w:rsid w:val="11FA43A7"/>
    <w:rsid w:val="126413CA"/>
    <w:rsid w:val="12695089"/>
    <w:rsid w:val="12CD4833"/>
    <w:rsid w:val="132D60B6"/>
    <w:rsid w:val="13407938"/>
    <w:rsid w:val="137E09B7"/>
    <w:rsid w:val="13BC71CB"/>
    <w:rsid w:val="13D03F23"/>
    <w:rsid w:val="13EB7EDC"/>
    <w:rsid w:val="14BB7A06"/>
    <w:rsid w:val="14DB60FF"/>
    <w:rsid w:val="157053CC"/>
    <w:rsid w:val="16BE599D"/>
    <w:rsid w:val="173F4DDB"/>
    <w:rsid w:val="17521661"/>
    <w:rsid w:val="1758737A"/>
    <w:rsid w:val="17956DF5"/>
    <w:rsid w:val="179D1B92"/>
    <w:rsid w:val="17BD11EB"/>
    <w:rsid w:val="17F02536"/>
    <w:rsid w:val="181C16C5"/>
    <w:rsid w:val="187B172D"/>
    <w:rsid w:val="188019AA"/>
    <w:rsid w:val="19033B41"/>
    <w:rsid w:val="194D300E"/>
    <w:rsid w:val="19E33973"/>
    <w:rsid w:val="19FB7BD9"/>
    <w:rsid w:val="1A042DE4"/>
    <w:rsid w:val="1A5D3725"/>
    <w:rsid w:val="1A5F3845"/>
    <w:rsid w:val="1A8D1591"/>
    <w:rsid w:val="1AA44274"/>
    <w:rsid w:val="1AC1527C"/>
    <w:rsid w:val="1B32170E"/>
    <w:rsid w:val="1C951932"/>
    <w:rsid w:val="1CBC24D8"/>
    <w:rsid w:val="1CF108EC"/>
    <w:rsid w:val="1E027F7F"/>
    <w:rsid w:val="1E0E7789"/>
    <w:rsid w:val="1E407CEF"/>
    <w:rsid w:val="1EBA1146"/>
    <w:rsid w:val="1F9C742B"/>
    <w:rsid w:val="1FC77D38"/>
    <w:rsid w:val="200552D8"/>
    <w:rsid w:val="2019625D"/>
    <w:rsid w:val="201B5C14"/>
    <w:rsid w:val="203C04DE"/>
    <w:rsid w:val="20602C7A"/>
    <w:rsid w:val="21464B75"/>
    <w:rsid w:val="21EE5BE9"/>
    <w:rsid w:val="22903CB9"/>
    <w:rsid w:val="22905161"/>
    <w:rsid w:val="22C34341"/>
    <w:rsid w:val="22D47A98"/>
    <w:rsid w:val="231D2DCD"/>
    <w:rsid w:val="23E629DD"/>
    <w:rsid w:val="23EA7668"/>
    <w:rsid w:val="256B55B3"/>
    <w:rsid w:val="25855589"/>
    <w:rsid w:val="25950217"/>
    <w:rsid w:val="26160317"/>
    <w:rsid w:val="266329BD"/>
    <w:rsid w:val="27170AD5"/>
    <w:rsid w:val="272A41AD"/>
    <w:rsid w:val="272F01F7"/>
    <w:rsid w:val="274167AC"/>
    <w:rsid w:val="27BA5D13"/>
    <w:rsid w:val="27C46ADC"/>
    <w:rsid w:val="27C6290A"/>
    <w:rsid w:val="280C1053"/>
    <w:rsid w:val="28107EA6"/>
    <w:rsid w:val="289F2398"/>
    <w:rsid w:val="28B264BD"/>
    <w:rsid w:val="2A186D61"/>
    <w:rsid w:val="2AE56264"/>
    <w:rsid w:val="2AEC3FCF"/>
    <w:rsid w:val="2B6A3455"/>
    <w:rsid w:val="2C801445"/>
    <w:rsid w:val="2CC16AD4"/>
    <w:rsid w:val="2CF9108B"/>
    <w:rsid w:val="2D270422"/>
    <w:rsid w:val="2D5E1836"/>
    <w:rsid w:val="2E3424FF"/>
    <w:rsid w:val="2EAC002B"/>
    <w:rsid w:val="2EE33B39"/>
    <w:rsid w:val="2F4C6239"/>
    <w:rsid w:val="2FC35FA3"/>
    <w:rsid w:val="30136908"/>
    <w:rsid w:val="3045504A"/>
    <w:rsid w:val="3063681B"/>
    <w:rsid w:val="30FF50DE"/>
    <w:rsid w:val="314515D2"/>
    <w:rsid w:val="31794DCD"/>
    <w:rsid w:val="3235092C"/>
    <w:rsid w:val="32A72832"/>
    <w:rsid w:val="32C650A8"/>
    <w:rsid w:val="343B23CB"/>
    <w:rsid w:val="363F1E28"/>
    <w:rsid w:val="36714707"/>
    <w:rsid w:val="367B5F74"/>
    <w:rsid w:val="36D44917"/>
    <w:rsid w:val="37893C91"/>
    <w:rsid w:val="37C511F6"/>
    <w:rsid w:val="383F1A4A"/>
    <w:rsid w:val="38514471"/>
    <w:rsid w:val="39965008"/>
    <w:rsid w:val="39FF7EFD"/>
    <w:rsid w:val="3A281F2C"/>
    <w:rsid w:val="3A86417A"/>
    <w:rsid w:val="3A9F4E8C"/>
    <w:rsid w:val="3B2D04B0"/>
    <w:rsid w:val="3BD17D95"/>
    <w:rsid w:val="3C9C3568"/>
    <w:rsid w:val="3D840617"/>
    <w:rsid w:val="3F504392"/>
    <w:rsid w:val="3FA85C06"/>
    <w:rsid w:val="3FC6632B"/>
    <w:rsid w:val="405D772B"/>
    <w:rsid w:val="40CE4185"/>
    <w:rsid w:val="40EE65D6"/>
    <w:rsid w:val="4141022A"/>
    <w:rsid w:val="42FC75D2"/>
    <w:rsid w:val="432C269E"/>
    <w:rsid w:val="43D309F9"/>
    <w:rsid w:val="43E22422"/>
    <w:rsid w:val="4463567E"/>
    <w:rsid w:val="44953938"/>
    <w:rsid w:val="44BD4C3D"/>
    <w:rsid w:val="44E65F41"/>
    <w:rsid w:val="451E37A1"/>
    <w:rsid w:val="454A119E"/>
    <w:rsid w:val="45A46724"/>
    <w:rsid w:val="45EB14F6"/>
    <w:rsid w:val="46593BD4"/>
    <w:rsid w:val="46C91677"/>
    <w:rsid w:val="46F05292"/>
    <w:rsid w:val="473009C5"/>
    <w:rsid w:val="47422765"/>
    <w:rsid w:val="48AC0770"/>
    <w:rsid w:val="48C36EF4"/>
    <w:rsid w:val="494A5277"/>
    <w:rsid w:val="49503A71"/>
    <w:rsid w:val="499669F9"/>
    <w:rsid w:val="4A8B785B"/>
    <w:rsid w:val="4A982070"/>
    <w:rsid w:val="4ABA5EA6"/>
    <w:rsid w:val="4AC565F9"/>
    <w:rsid w:val="4B7129E6"/>
    <w:rsid w:val="4BA10E14"/>
    <w:rsid w:val="4BA46F79"/>
    <w:rsid w:val="4C5465C0"/>
    <w:rsid w:val="4CDF0472"/>
    <w:rsid w:val="4CF56BF6"/>
    <w:rsid w:val="4D57296C"/>
    <w:rsid w:val="4DCA1F81"/>
    <w:rsid w:val="4DD642E3"/>
    <w:rsid w:val="4DDD09EC"/>
    <w:rsid w:val="4E5D237A"/>
    <w:rsid w:val="4ECE0172"/>
    <w:rsid w:val="4EDC3DF3"/>
    <w:rsid w:val="4F7226C3"/>
    <w:rsid w:val="4FEB08B0"/>
    <w:rsid w:val="50CE1413"/>
    <w:rsid w:val="51087F55"/>
    <w:rsid w:val="510F569D"/>
    <w:rsid w:val="514915D8"/>
    <w:rsid w:val="5268268C"/>
    <w:rsid w:val="52952D55"/>
    <w:rsid w:val="52D15DB5"/>
    <w:rsid w:val="53332C34"/>
    <w:rsid w:val="53C953AC"/>
    <w:rsid w:val="540E7263"/>
    <w:rsid w:val="5412016C"/>
    <w:rsid w:val="545E3D46"/>
    <w:rsid w:val="546B1C78"/>
    <w:rsid w:val="54E73E54"/>
    <w:rsid w:val="5564351B"/>
    <w:rsid w:val="556B1011"/>
    <w:rsid w:val="558D768C"/>
    <w:rsid w:val="55DD0D81"/>
    <w:rsid w:val="56560125"/>
    <w:rsid w:val="56C15EAB"/>
    <w:rsid w:val="57233025"/>
    <w:rsid w:val="573A5481"/>
    <w:rsid w:val="57743881"/>
    <w:rsid w:val="57D85BBE"/>
    <w:rsid w:val="57FD16AD"/>
    <w:rsid w:val="58042319"/>
    <w:rsid w:val="592D527B"/>
    <w:rsid w:val="59301A29"/>
    <w:rsid w:val="59540BED"/>
    <w:rsid w:val="599C6D35"/>
    <w:rsid w:val="59F52712"/>
    <w:rsid w:val="59F52B0A"/>
    <w:rsid w:val="5A4E03B9"/>
    <w:rsid w:val="5A6A4AC7"/>
    <w:rsid w:val="5A76387F"/>
    <w:rsid w:val="5AA51FA7"/>
    <w:rsid w:val="5AEE74A6"/>
    <w:rsid w:val="5BC425E5"/>
    <w:rsid w:val="5BF168B1"/>
    <w:rsid w:val="5BF42BBB"/>
    <w:rsid w:val="5C30522C"/>
    <w:rsid w:val="5C7D31D8"/>
    <w:rsid w:val="5CF55B0E"/>
    <w:rsid w:val="5E257683"/>
    <w:rsid w:val="5EAC22B0"/>
    <w:rsid w:val="5F26018A"/>
    <w:rsid w:val="6017783F"/>
    <w:rsid w:val="602816AC"/>
    <w:rsid w:val="60493806"/>
    <w:rsid w:val="608C1C3B"/>
    <w:rsid w:val="60B63C2E"/>
    <w:rsid w:val="60D3786A"/>
    <w:rsid w:val="613850AD"/>
    <w:rsid w:val="61620555"/>
    <w:rsid w:val="617A6171"/>
    <w:rsid w:val="619B57FA"/>
    <w:rsid w:val="61F25ADA"/>
    <w:rsid w:val="62286B9C"/>
    <w:rsid w:val="626B0E09"/>
    <w:rsid w:val="632E0D88"/>
    <w:rsid w:val="633778DF"/>
    <w:rsid w:val="643B3017"/>
    <w:rsid w:val="647833A1"/>
    <w:rsid w:val="650277C6"/>
    <w:rsid w:val="65462486"/>
    <w:rsid w:val="65B74C7C"/>
    <w:rsid w:val="67523C88"/>
    <w:rsid w:val="67DF38C5"/>
    <w:rsid w:val="685B3C6C"/>
    <w:rsid w:val="695E0FD3"/>
    <w:rsid w:val="69685CD5"/>
    <w:rsid w:val="69E47E59"/>
    <w:rsid w:val="6AD87661"/>
    <w:rsid w:val="6B1B0FC1"/>
    <w:rsid w:val="6B1C51D6"/>
    <w:rsid w:val="6B416DAE"/>
    <w:rsid w:val="6B6C1877"/>
    <w:rsid w:val="6B777044"/>
    <w:rsid w:val="6B8F4DC3"/>
    <w:rsid w:val="6BCA6F9A"/>
    <w:rsid w:val="6BCD32E5"/>
    <w:rsid w:val="6C042FCD"/>
    <w:rsid w:val="6C3C6344"/>
    <w:rsid w:val="6D0D4545"/>
    <w:rsid w:val="6E251EBD"/>
    <w:rsid w:val="6E366ED5"/>
    <w:rsid w:val="6EA2593E"/>
    <w:rsid w:val="6EB43F07"/>
    <w:rsid w:val="6FEC53A8"/>
    <w:rsid w:val="70645AC8"/>
    <w:rsid w:val="706509A2"/>
    <w:rsid w:val="706758D9"/>
    <w:rsid w:val="70DA674F"/>
    <w:rsid w:val="70FE42A3"/>
    <w:rsid w:val="71730B7F"/>
    <w:rsid w:val="718814E9"/>
    <w:rsid w:val="71DD152F"/>
    <w:rsid w:val="71F112F5"/>
    <w:rsid w:val="72CC236B"/>
    <w:rsid w:val="72FC1BA9"/>
    <w:rsid w:val="7315536A"/>
    <w:rsid w:val="735C1616"/>
    <w:rsid w:val="73CA5EE0"/>
    <w:rsid w:val="74D04A86"/>
    <w:rsid w:val="74EF256D"/>
    <w:rsid w:val="75B31F51"/>
    <w:rsid w:val="7682521B"/>
    <w:rsid w:val="76CF1F31"/>
    <w:rsid w:val="76DA2684"/>
    <w:rsid w:val="77771717"/>
    <w:rsid w:val="77B8295F"/>
    <w:rsid w:val="78585B1A"/>
    <w:rsid w:val="78D011FD"/>
    <w:rsid w:val="796702DD"/>
    <w:rsid w:val="79DB31C8"/>
    <w:rsid w:val="7A0A21FF"/>
    <w:rsid w:val="7A35118D"/>
    <w:rsid w:val="7A4F5A9C"/>
    <w:rsid w:val="7AEA5A84"/>
    <w:rsid w:val="7B797264"/>
    <w:rsid w:val="7BA7338D"/>
    <w:rsid w:val="7BDD351E"/>
    <w:rsid w:val="7CF22729"/>
    <w:rsid w:val="7D3354C1"/>
    <w:rsid w:val="7D8D561D"/>
    <w:rsid w:val="7DDF3D91"/>
    <w:rsid w:val="7E6C1B17"/>
    <w:rsid w:val="7F081607"/>
    <w:rsid w:val="7F92418F"/>
    <w:rsid w:val="7FA217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semiHidden="0" w:uiPriority="0" w:qFormat="1"/>
    <w:lsdException w:name="header" w:semiHidden="0" w:qFormat="1"/>
    <w:lsdException w:name="footer" w:semiHidden="0" w:unhideWhenUsed="0" w:qFormat="1"/>
    <w:lsdException w:name="caption" w:uiPriority="35" w:qFormat="1"/>
    <w:lsdException w:name="footnote reference" w:qFormat="1"/>
    <w:lsdException w:name="annotation reference" w:uiPriority="0"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annotation subject" w:qFormat="1"/>
    <w:lsdException w:name="Balloon Text"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AE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1"/>
    <w:unhideWhenUsed/>
    <w:qFormat/>
    <w:rsid w:val="00444AE3"/>
    <w:pPr>
      <w:jc w:val="left"/>
    </w:pPr>
  </w:style>
  <w:style w:type="paragraph" w:styleId="a4">
    <w:name w:val="Balloon Text"/>
    <w:basedOn w:val="a"/>
    <w:link w:val="Char"/>
    <w:uiPriority w:val="99"/>
    <w:semiHidden/>
    <w:unhideWhenUsed/>
    <w:qFormat/>
    <w:rsid w:val="00444AE3"/>
    <w:rPr>
      <w:sz w:val="18"/>
      <w:szCs w:val="18"/>
    </w:rPr>
  </w:style>
  <w:style w:type="paragraph" w:styleId="a5">
    <w:name w:val="footer"/>
    <w:basedOn w:val="a"/>
    <w:link w:val="Char0"/>
    <w:uiPriority w:val="99"/>
    <w:qFormat/>
    <w:rsid w:val="00444AE3"/>
    <w:pPr>
      <w:tabs>
        <w:tab w:val="center" w:pos="4153"/>
        <w:tab w:val="right" w:pos="8306"/>
      </w:tabs>
      <w:snapToGrid w:val="0"/>
      <w:jc w:val="left"/>
    </w:pPr>
    <w:rPr>
      <w:sz w:val="18"/>
      <w:szCs w:val="20"/>
    </w:rPr>
  </w:style>
  <w:style w:type="paragraph" w:styleId="a6">
    <w:name w:val="header"/>
    <w:basedOn w:val="a"/>
    <w:link w:val="Char2"/>
    <w:uiPriority w:val="99"/>
    <w:unhideWhenUsed/>
    <w:qFormat/>
    <w:rsid w:val="00444AE3"/>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unhideWhenUsed/>
    <w:qFormat/>
    <w:rsid w:val="00444AE3"/>
    <w:pPr>
      <w:tabs>
        <w:tab w:val="right" w:leader="dot" w:pos="8296"/>
      </w:tabs>
      <w:adjustRightInd w:val="0"/>
      <w:snapToGrid w:val="0"/>
      <w:spacing w:line="360" w:lineRule="auto"/>
    </w:pPr>
  </w:style>
  <w:style w:type="paragraph" w:styleId="a7">
    <w:name w:val="footnote text"/>
    <w:basedOn w:val="a"/>
    <w:link w:val="Char3"/>
    <w:uiPriority w:val="99"/>
    <w:semiHidden/>
    <w:unhideWhenUsed/>
    <w:qFormat/>
    <w:rsid w:val="00444AE3"/>
    <w:pPr>
      <w:snapToGrid w:val="0"/>
      <w:jc w:val="left"/>
    </w:pPr>
    <w:rPr>
      <w:sz w:val="18"/>
      <w:szCs w:val="18"/>
    </w:rPr>
  </w:style>
  <w:style w:type="paragraph" w:styleId="2">
    <w:name w:val="toc 2"/>
    <w:basedOn w:val="a"/>
    <w:next w:val="a"/>
    <w:uiPriority w:val="39"/>
    <w:unhideWhenUsed/>
    <w:qFormat/>
    <w:rsid w:val="00444AE3"/>
    <w:pPr>
      <w:ind w:leftChars="200" w:left="420"/>
    </w:pPr>
  </w:style>
  <w:style w:type="paragraph" w:styleId="a8">
    <w:name w:val="Normal (Web)"/>
    <w:basedOn w:val="a"/>
    <w:unhideWhenUsed/>
    <w:qFormat/>
    <w:rsid w:val="00444AE3"/>
    <w:pPr>
      <w:widowControl/>
      <w:adjustRightInd w:val="0"/>
      <w:snapToGrid w:val="0"/>
      <w:spacing w:before="100" w:beforeAutospacing="1" w:after="100" w:afterAutospacing="1" w:line="360" w:lineRule="auto"/>
      <w:ind w:firstLineChars="200" w:firstLine="1040"/>
      <w:jc w:val="left"/>
    </w:pPr>
    <w:rPr>
      <w:rFonts w:ascii="宋体" w:hAnsi="宋体" w:cs="宋体"/>
      <w:kern w:val="0"/>
      <w:sz w:val="24"/>
    </w:rPr>
  </w:style>
  <w:style w:type="paragraph" w:styleId="a9">
    <w:name w:val="annotation subject"/>
    <w:basedOn w:val="a3"/>
    <w:next w:val="a3"/>
    <w:link w:val="Char4"/>
    <w:uiPriority w:val="99"/>
    <w:semiHidden/>
    <w:unhideWhenUsed/>
    <w:qFormat/>
    <w:rsid w:val="00444AE3"/>
    <w:rPr>
      <w:b/>
      <w:bCs/>
    </w:rPr>
  </w:style>
  <w:style w:type="table" w:styleId="aa">
    <w:name w:val="Table Grid"/>
    <w:basedOn w:val="a1"/>
    <w:uiPriority w:val="99"/>
    <w:qFormat/>
    <w:rsid w:val="00444AE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qFormat/>
    <w:rsid w:val="00444AE3"/>
    <w:rPr>
      <w:color w:val="0563C1" w:themeColor="hyperlink"/>
      <w:u w:val="single"/>
    </w:rPr>
  </w:style>
  <w:style w:type="character" w:styleId="ac">
    <w:name w:val="annotation reference"/>
    <w:basedOn w:val="a0"/>
    <w:semiHidden/>
    <w:unhideWhenUsed/>
    <w:qFormat/>
    <w:rsid w:val="00444AE3"/>
    <w:rPr>
      <w:sz w:val="21"/>
      <w:szCs w:val="21"/>
    </w:rPr>
  </w:style>
  <w:style w:type="character" w:styleId="ad">
    <w:name w:val="footnote reference"/>
    <w:basedOn w:val="a0"/>
    <w:uiPriority w:val="99"/>
    <w:semiHidden/>
    <w:unhideWhenUsed/>
    <w:qFormat/>
    <w:rsid w:val="00444AE3"/>
    <w:rPr>
      <w:vertAlign w:val="superscript"/>
    </w:rPr>
  </w:style>
  <w:style w:type="character" w:customStyle="1" w:styleId="Char0">
    <w:name w:val="页脚 Char"/>
    <w:basedOn w:val="a0"/>
    <w:link w:val="a5"/>
    <w:uiPriority w:val="99"/>
    <w:qFormat/>
    <w:rsid w:val="00444AE3"/>
    <w:rPr>
      <w:rFonts w:ascii="Times New Roman" w:eastAsia="宋体" w:hAnsi="Times New Roman" w:cs="Times New Roman"/>
      <w:sz w:val="18"/>
      <w:szCs w:val="20"/>
    </w:rPr>
  </w:style>
  <w:style w:type="character" w:customStyle="1" w:styleId="Char2">
    <w:name w:val="页眉 Char"/>
    <w:basedOn w:val="a0"/>
    <w:link w:val="a6"/>
    <w:uiPriority w:val="99"/>
    <w:qFormat/>
    <w:rsid w:val="00444AE3"/>
    <w:rPr>
      <w:rFonts w:ascii="Times New Roman" w:eastAsia="宋体" w:hAnsi="Times New Roman" w:cs="Times New Roman"/>
      <w:sz w:val="18"/>
      <w:szCs w:val="18"/>
    </w:rPr>
  </w:style>
  <w:style w:type="character" w:customStyle="1" w:styleId="Char1">
    <w:name w:val="批注文字 Char1"/>
    <w:basedOn w:val="a0"/>
    <w:link w:val="a3"/>
    <w:uiPriority w:val="99"/>
    <w:semiHidden/>
    <w:qFormat/>
    <w:rsid w:val="00444AE3"/>
    <w:rPr>
      <w:rFonts w:ascii="Times New Roman" w:eastAsia="宋体" w:hAnsi="Times New Roman" w:cs="Times New Roman"/>
      <w:szCs w:val="24"/>
    </w:rPr>
  </w:style>
  <w:style w:type="character" w:customStyle="1" w:styleId="Char4">
    <w:name w:val="批注主题 Char"/>
    <w:basedOn w:val="Char1"/>
    <w:link w:val="a9"/>
    <w:uiPriority w:val="99"/>
    <w:semiHidden/>
    <w:qFormat/>
    <w:rsid w:val="00444AE3"/>
    <w:rPr>
      <w:rFonts w:ascii="Times New Roman" w:eastAsia="宋体" w:hAnsi="Times New Roman" w:cs="Times New Roman"/>
      <w:b/>
      <w:bCs/>
      <w:szCs w:val="24"/>
    </w:rPr>
  </w:style>
  <w:style w:type="character" w:customStyle="1" w:styleId="Char">
    <w:name w:val="批注框文本 Char"/>
    <w:basedOn w:val="a0"/>
    <w:link w:val="a4"/>
    <w:uiPriority w:val="99"/>
    <w:semiHidden/>
    <w:qFormat/>
    <w:rsid w:val="00444AE3"/>
    <w:rPr>
      <w:rFonts w:ascii="Times New Roman" w:eastAsia="宋体" w:hAnsi="Times New Roman" w:cs="Times New Roman"/>
      <w:sz w:val="18"/>
      <w:szCs w:val="18"/>
    </w:rPr>
  </w:style>
  <w:style w:type="character" w:customStyle="1" w:styleId="Char5">
    <w:name w:val="批注文字 Char"/>
    <w:qFormat/>
    <w:rsid w:val="00444AE3"/>
    <w:rPr>
      <w:rFonts w:eastAsia="仿宋_GB2312"/>
      <w:kern w:val="2"/>
      <w:sz w:val="30"/>
      <w:szCs w:val="24"/>
    </w:rPr>
  </w:style>
  <w:style w:type="paragraph" w:customStyle="1" w:styleId="10">
    <w:name w:val="修订1"/>
    <w:hidden/>
    <w:uiPriority w:val="99"/>
    <w:semiHidden/>
    <w:qFormat/>
    <w:rsid w:val="00444AE3"/>
    <w:rPr>
      <w:kern w:val="2"/>
      <w:sz w:val="21"/>
      <w:szCs w:val="24"/>
    </w:rPr>
  </w:style>
  <w:style w:type="character" w:customStyle="1" w:styleId="Char3">
    <w:name w:val="脚注文本 Char"/>
    <w:basedOn w:val="a0"/>
    <w:link w:val="a7"/>
    <w:uiPriority w:val="99"/>
    <w:semiHidden/>
    <w:qFormat/>
    <w:rsid w:val="00444AE3"/>
    <w:rPr>
      <w:rFonts w:ascii="Times New Roman" w:eastAsia="宋体" w:hAnsi="Times New Roman" w:cs="Times New Roman"/>
      <w:sz w:val="18"/>
      <w:szCs w:val="18"/>
    </w:rPr>
  </w:style>
  <w:style w:type="character" w:customStyle="1" w:styleId="font31">
    <w:name w:val="font31"/>
    <w:basedOn w:val="a0"/>
    <w:qFormat/>
    <w:rsid w:val="00444AE3"/>
    <w:rPr>
      <w:rFonts w:ascii="宋体" w:eastAsia="宋体" w:hAnsi="宋体" w:hint="eastAsia"/>
      <w:color w:val="000000"/>
      <w:sz w:val="20"/>
      <w:szCs w:val="20"/>
      <w:u w:val="none"/>
    </w:rPr>
  </w:style>
  <w:style w:type="paragraph" w:customStyle="1" w:styleId="20">
    <w:name w:val="修订2"/>
    <w:hidden/>
    <w:uiPriority w:val="99"/>
    <w:semiHidden/>
    <w:qFormat/>
    <w:rsid w:val="00444AE3"/>
    <w:rPr>
      <w:kern w:val="2"/>
      <w:sz w:val="21"/>
      <w:szCs w:val="24"/>
    </w:rPr>
  </w:style>
  <w:style w:type="paragraph" w:customStyle="1" w:styleId="3">
    <w:name w:val="修订3"/>
    <w:hidden/>
    <w:uiPriority w:val="99"/>
    <w:semiHidden/>
    <w:qFormat/>
    <w:rsid w:val="00444AE3"/>
    <w:rPr>
      <w:kern w:val="2"/>
      <w:sz w:val="21"/>
      <w:szCs w:val="24"/>
    </w:rPr>
  </w:style>
  <w:style w:type="character" w:customStyle="1" w:styleId="font11">
    <w:name w:val="font11"/>
    <w:basedOn w:val="a0"/>
    <w:qFormat/>
    <w:rsid w:val="00444AE3"/>
    <w:rPr>
      <w:rFonts w:ascii="宋体" w:eastAsia="宋体" w:hAnsi="宋体" w:hint="eastAsia"/>
      <w:b/>
      <w:bCs/>
      <w:color w:val="000000"/>
      <w:sz w:val="20"/>
      <w:szCs w:val="20"/>
      <w:u w:val="none"/>
    </w:rPr>
  </w:style>
  <w:style w:type="paragraph" w:customStyle="1" w:styleId="4">
    <w:name w:val="修订4"/>
    <w:hidden/>
    <w:uiPriority w:val="99"/>
    <w:semiHidden/>
    <w:qFormat/>
    <w:rsid w:val="00444AE3"/>
    <w:rPr>
      <w:kern w:val="2"/>
      <w:sz w:val="21"/>
      <w:szCs w:val="24"/>
    </w:rPr>
  </w:style>
  <w:style w:type="paragraph" w:customStyle="1" w:styleId="5">
    <w:name w:val="修订5"/>
    <w:hidden/>
    <w:uiPriority w:val="99"/>
    <w:semiHidden/>
    <w:qFormat/>
    <w:rsid w:val="00444AE3"/>
    <w:rPr>
      <w:kern w:val="2"/>
      <w:sz w:val="21"/>
      <w:szCs w:val="24"/>
    </w:rPr>
  </w:style>
  <w:style w:type="paragraph" w:customStyle="1" w:styleId="6">
    <w:name w:val="修订6"/>
    <w:hidden/>
    <w:uiPriority w:val="99"/>
    <w:semiHidden/>
    <w:qFormat/>
    <w:rsid w:val="00444AE3"/>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032F1-78FA-4A07-BAE9-EA1BCA425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29</Pages>
  <Words>2716</Words>
  <Characters>15485</Characters>
  <Application>Microsoft Office Word</Application>
  <DocSecurity>0</DocSecurity>
  <Lines>129</Lines>
  <Paragraphs>36</Paragraphs>
  <ScaleCrop>false</ScaleCrop>
  <Company>Lenovo</Company>
  <LinksUpToDate>false</LinksUpToDate>
  <CharactersWithSpaces>18165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6</cp:revision>
  <cp:lastPrinted>2023-05-27T05:25:00Z</cp:lastPrinted>
  <dcterms:created xsi:type="dcterms:W3CDTF">2023-06-06T02:28:00Z</dcterms:created>
  <dcterms:modified xsi:type="dcterms:W3CDTF">2024-06-12T02:09:00Z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3D8ABF062625426AA11AA4C9800A44CF_12</vt:lpwstr>
  </property>
</Properties>
</file>