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小标宋简体" w:eastAsia="方正小标宋简体"/>
          <w:sz w:val="36"/>
          <w:szCs w:val="36"/>
        </w:rPr>
      </w:pPr>
    </w:p>
    <w:p>
      <w:pPr>
        <w:snapToGrid w:val="0"/>
        <w:spacing w:line="360" w:lineRule="auto"/>
        <w:jc w:val="center"/>
        <w:rPr>
          <w:b/>
          <w:sz w:val="52"/>
          <w:szCs w:val="52"/>
        </w:rPr>
      </w:pPr>
    </w:p>
    <w:p>
      <w:pPr>
        <w:snapToGrid w:val="0"/>
        <w:spacing w:line="360" w:lineRule="auto"/>
        <w:jc w:val="center"/>
        <w:rPr>
          <w:b/>
          <w:sz w:val="52"/>
          <w:szCs w:val="52"/>
        </w:rPr>
      </w:pPr>
    </w:p>
    <w:p>
      <w:pPr>
        <w:snapToGrid w:val="0"/>
        <w:spacing w:line="360" w:lineRule="auto"/>
        <w:jc w:val="center"/>
        <w:rPr>
          <w:b/>
          <w:sz w:val="52"/>
          <w:szCs w:val="52"/>
        </w:rPr>
      </w:pPr>
    </w:p>
    <w:p>
      <w:pPr>
        <w:snapToGrid w:val="0"/>
        <w:spacing w:line="360" w:lineRule="auto"/>
        <w:jc w:val="center"/>
        <w:rPr>
          <w:b/>
          <w:sz w:val="52"/>
          <w:szCs w:val="52"/>
        </w:rPr>
      </w:pPr>
      <w:r>
        <w:rPr>
          <w:rFonts w:hint="eastAsia"/>
          <w:b/>
          <w:sz w:val="52"/>
          <w:szCs w:val="52"/>
        </w:rPr>
        <w:t>中国致公党北京市委员会</w:t>
      </w:r>
    </w:p>
    <w:p>
      <w:pPr>
        <w:snapToGrid w:val="0"/>
        <w:spacing w:line="360" w:lineRule="auto"/>
        <w:jc w:val="center"/>
        <w:rPr>
          <w:b/>
          <w:sz w:val="52"/>
          <w:szCs w:val="52"/>
        </w:rPr>
      </w:pPr>
      <w:r>
        <w:rPr>
          <w:b/>
          <w:sz w:val="52"/>
          <w:szCs w:val="52"/>
        </w:rPr>
        <w:t>部门整体绩效评价报告</w:t>
      </w:r>
    </w:p>
    <w:p>
      <w:pPr>
        <w:snapToGrid w:val="0"/>
        <w:spacing w:line="360" w:lineRule="auto"/>
        <w:ind w:firstLine="640"/>
        <w:jc w:val="center"/>
        <w:rPr>
          <w:sz w:val="32"/>
          <w:szCs w:val="32"/>
        </w:rPr>
      </w:pPr>
    </w:p>
    <w:p>
      <w:pPr>
        <w:snapToGrid w:val="0"/>
        <w:spacing w:line="360" w:lineRule="auto"/>
        <w:ind w:firstLine="1044"/>
        <w:jc w:val="center"/>
        <w:rPr>
          <w:b/>
          <w:sz w:val="52"/>
        </w:rPr>
      </w:pPr>
    </w:p>
    <w:p>
      <w:pPr>
        <w:snapToGrid w:val="0"/>
        <w:spacing w:line="360" w:lineRule="auto"/>
        <w:ind w:firstLine="1044"/>
        <w:rPr>
          <w:b/>
          <w:sz w:val="52"/>
        </w:rPr>
      </w:pPr>
    </w:p>
    <w:p>
      <w:pPr>
        <w:snapToGrid w:val="0"/>
        <w:spacing w:line="360" w:lineRule="auto"/>
        <w:ind w:firstLine="1044"/>
        <w:rPr>
          <w:b/>
          <w:sz w:val="52"/>
        </w:rPr>
      </w:pPr>
    </w:p>
    <w:p>
      <w:pPr>
        <w:snapToGrid w:val="0"/>
        <w:spacing w:line="360" w:lineRule="auto"/>
        <w:ind w:firstLine="600"/>
        <w:rPr>
          <w:sz w:val="30"/>
        </w:rPr>
      </w:pPr>
    </w:p>
    <w:p>
      <w:pPr>
        <w:snapToGrid w:val="0"/>
        <w:spacing w:line="360" w:lineRule="auto"/>
        <w:ind w:firstLine="640"/>
        <w:jc w:val="center"/>
        <w:rPr>
          <w:rFonts w:eastAsia="仿宋_GB2312"/>
          <w:sz w:val="32"/>
          <w:szCs w:val="32"/>
        </w:rPr>
      </w:pPr>
    </w:p>
    <w:tbl>
      <w:tblPr>
        <w:tblStyle w:val="10"/>
        <w:tblW w:w="8529" w:type="dxa"/>
        <w:tblInd w:w="0" w:type="dxa"/>
        <w:tblLayout w:type="fixed"/>
        <w:tblCellMar>
          <w:top w:w="0" w:type="dxa"/>
          <w:left w:w="108" w:type="dxa"/>
          <w:bottom w:w="0" w:type="dxa"/>
          <w:right w:w="108" w:type="dxa"/>
        </w:tblCellMar>
      </w:tblPr>
      <w:tblGrid>
        <w:gridCol w:w="1668"/>
        <w:gridCol w:w="6861"/>
      </w:tblGrid>
      <w:tr>
        <w:tblPrEx>
          <w:tblCellMar>
            <w:top w:w="0" w:type="dxa"/>
            <w:left w:w="108" w:type="dxa"/>
            <w:bottom w:w="0" w:type="dxa"/>
            <w:right w:w="108" w:type="dxa"/>
          </w:tblCellMar>
        </w:tblPrEx>
        <w:trPr>
          <w:trHeight w:val="889" w:hRule="atLeast"/>
        </w:trPr>
        <w:tc>
          <w:tcPr>
            <w:tcW w:w="1668" w:type="dxa"/>
            <w:shd w:val="clear" w:color="auto" w:fill="auto"/>
            <w:vAlign w:val="bottom"/>
          </w:tcPr>
          <w:p>
            <w:pPr>
              <w:snapToGrid w:val="0"/>
              <w:spacing w:line="360" w:lineRule="auto"/>
              <w:rPr>
                <w:rFonts w:ascii="Calibri" w:hAnsi="Calibri"/>
                <w:b/>
                <w:sz w:val="52"/>
              </w:rPr>
            </w:pPr>
            <w:r>
              <w:rPr>
                <w:rFonts w:hint="eastAsia" w:ascii="Calibri" w:hAnsi="Calibri"/>
                <w:sz w:val="32"/>
                <w:szCs w:val="32"/>
              </w:rPr>
              <w:t>部门名称</w:t>
            </w:r>
          </w:p>
        </w:tc>
        <w:tc>
          <w:tcPr>
            <w:tcW w:w="6861" w:type="dxa"/>
            <w:shd w:val="clear" w:color="auto" w:fill="auto"/>
            <w:vAlign w:val="bottom"/>
          </w:tcPr>
          <w:p>
            <w:pPr>
              <w:snapToGrid w:val="0"/>
              <w:spacing w:line="360" w:lineRule="auto"/>
              <w:rPr>
                <w:rFonts w:ascii="Calibri" w:hAnsi="Calibri"/>
                <w:sz w:val="32"/>
                <w:szCs w:val="32"/>
                <w:u w:val="single"/>
              </w:rPr>
            </w:pPr>
            <w:r>
              <w:rPr>
                <w:rFonts w:hint="eastAsia" w:ascii="Calibri" w:hAnsi="Calibri"/>
                <w:sz w:val="32"/>
                <w:szCs w:val="32"/>
                <w:u w:val="single"/>
              </w:rPr>
              <w:t xml:space="preserve">          中国致公党北京市委员会            </w:t>
            </w:r>
          </w:p>
        </w:tc>
      </w:tr>
    </w:tbl>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sdt>
      <w:sdtPr>
        <w:rPr>
          <w:rFonts w:ascii="宋体" w:hAnsi="宋体"/>
        </w:rPr>
        <w:id w:val="147476741"/>
        <w15:color w:val="DBDBDB"/>
        <w:docPartObj>
          <w:docPartGallery w:val="Table of Contents"/>
          <w:docPartUnique/>
        </w:docPartObj>
      </w:sdtPr>
      <w:sdtEndPr>
        <w:rPr>
          <w:rFonts w:hint="eastAsia" w:ascii="方正小标宋简体" w:hAnsi="Times New Roman" w:eastAsia="方正小标宋简体"/>
          <w:b/>
          <w:szCs w:val="36"/>
        </w:rPr>
      </w:sdtEndPr>
      <w:sdtContent>
        <w:p>
          <w:pPr>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目录</w:t>
          </w:r>
        </w:p>
        <w:p>
          <w:pPr>
            <w:pStyle w:val="7"/>
            <w:tabs>
              <w:tab w:val="right" w:leader="dot" w:pos="8296"/>
            </w:tabs>
            <w:rPr>
              <w:rFonts w:ascii="仿宋_GB2312" w:eastAsia="仿宋_GB2312" w:hAnsiTheme="minorHAnsi" w:cstheme="minorBidi"/>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"1-2" \h \u </w:instrText>
          </w:r>
          <w:r>
            <w:rPr>
              <w:rFonts w:hint="eastAsia" w:ascii="仿宋_GB2312" w:hAnsi="仿宋_GB2312" w:eastAsia="仿宋_GB2312" w:cs="仿宋_GB2312"/>
              <w:sz w:val="32"/>
              <w:szCs w:val="32"/>
            </w:rPr>
            <w:fldChar w:fldCharType="separate"/>
          </w:r>
          <w:r>
            <w:fldChar w:fldCharType="begin"/>
          </w:r>
          <w:r>
            <w:instrText xml:space="preserve"> HYPERLINK \l "_Toc132635978" </w:instrText>
          </w:r>
          <w:r>
            <w:fldChar w:fldCharType="separate"/>
          </w:r>
          <w:r>
            <w:rPr>
              <w:rStyle w:val="12"/>
              <w:rFonts w:hint="eastAsia" w:ascii="仿宋_GB2312" w:hAnsi="黑体" w:eastAsia="仿宋_GB2312" w:cs="仿宋_GB2312"/>
              <w:kern w:val="0"/>
              <w:sz w:val="32"/>
              <w:szCs w:val="32"/>
            </w:rPr>
            <w:t>一、部门概况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_Toc132635978 \h </w:instrText>
          </w:r>
          <w:r>
            <w:rPr>
              <w:rFonts w:hint="eastAsia" w:ascii="仿宋_GB2312" w:eastAsia="仿宋_GB2312"/>
              <w:sz w:val="32"/>
              <w:szCs w:val="32"/>
            </w:rPr>
            <w:fldChar w:fldCharType="separate"/>
          </w:r>
          <w:r>
            <w:rPr>
              <w:rFonts w:hint="eastAsia" w:ascii="仿宋_GB2312" w:eastAsia="仿宋_GB2312"/>
              <w:sz w:val="32"/>
              <w:szCs w:val="32"/>
            </w:rPr>
            <w:t>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"_Toc132635979" </w:instrText>
          </w:r>
          <w:r>
            <w:fldChar w:fldCharType="separate"/>
          </w:r>
          <w:r>
            <w:rPr>
              <w:rStyle w:val="12"/>
              <w:rFonts w:hint="eastAsia" w:ascii="仿宋_GB2312" w:eastAsia="仿宋_GB2312"/>
              <w:sz w:val="32"/>
              <w:szCs w:val="32"/>
            </w:rPr>
            <w:t>（一）机构设置及职责工作任务情况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_Toc132635979 \h </w:instrText>
          </w:r>
          <w:r>
            <w:rPr>
              <w:rFonts w:hint="eastAsia" w:ascii="仿宋_GB2312" w:eastAsia="仿宋_GB2312"/>
              <w:sz w:val="32"/>
              <w:szCs w:val="32"/>
            </w:rPr>
            <w:fldChar w:fldCharType="separate"/>
          </w:r>
          <w:r>
            <w:rPr>
              <w:rFonts w:hint="eastAsia" w:ascii="仿宋_GB2312" w:eastAsia="仿宋_GB2312"/>
              <w:sz w:val="32"/>
              <w:szCs w:val="32"/>
            </w:rPr>
            <w:t>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"_Toc132635980" </w:instrText>
          </w:r>
          <w:r>
            <w:fldChar w:fldCharType="separate"/>
          </w:r>
          <w:r>
            <w:rPr>
              <w:rStyle w:val="12"/>
              <w:rFonts w:hint="eastAsia" w:ascii="仿宋_GB2312" w:eastAsia="仿宋_GB2312"/>
              <w:sz w:val="32"/>
              <w:szCs w:val="32"/>
            </w:rPr>
            <w:t>（二）部门整体绩效目标设立情况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_Toc132635980 \h </w:instrText>
          </w:r>
          <w:r>
            <w:rPr>
              <w:rFonts w:hint="eastAsia" w:ascii="仿宋_GB2312" w:eastAsia="仿宋_GB2312"/>
              <w:sz w:val="32"/>
              <w:szCs w:val="32"/>
            </w:rPr>
            <w:fldChar w:fldCharType="separate"/>
          </w:r>
          <w:r>
            <w:rPr>
              <w:rFonts w:hint="eastAsia" w:ascii="仿宋_GB2312" w:eastAsia="仿宋_GB2312"/>
              <w:sz w:val="32"/>
              <w:szCs w:val="32"/>
            </w:rPr>
            <w:t>3</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296"/>
            </w:tabs>
            <w:rPr>
              <w:rFonts w:ascii="仿宋_GB2312" w:eastAsia="仿宋_GB2312" w:hAnsiTheme="minorHAnsi" w:cstheme="minorBidi"/>
              <w:sz w:val="32"/>
              <w:szCs w:val="32"/>
            </w:rPr>
          </w:pPr>
          <w:r>
            <w:fldChar w:fldCharType="begin"/>
          </w:r>
          <w:r>
            <w:instrText xml:space="preserve"> HYPERLINK \l "_Toc132635981" </w:instrText>
          </w:r>
          <w:r>
            <w:fldChar w:fldCharType="separate"/>
          </w:r>
          <w:r>
            <w:rPr>
              <w:rStyle w:val="12"/>
              <w:rFonts w:hint="eastAsia" w:ascii="仿宋_GB2312" w:hAnsi="黑体" w:eastAsia="仿宋_GB2312" w:cs="仿宋_GB2312"/>
              <w:kern w:val="0"/>
              <w:sz w:val="32"/>
              <w:szCs w:val="32"/>
            </w:rPr>
            <w:t>二、当年预算执行情况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_Toc132635981 \h </w:instrText>
          </w:r>
          <w:r>
            <w:rPr>
              <w:rFonts w:hint="eastAsia" w:ascii="仿宋_GB2312" w:eastAsia="仿宋_GB2312"/>
              <w:sz w:val="32"/>
              <w:szCs w:val="32"/>
            </w:rPr>
            <w:fldChar w:fldCharType="separate"/>
          </w:r>
          <w:r>
            <w:rPr>
              <w:rFonts w:hint="eastAsia" w:ascii="仿宋_GB2312" w:eastAsia="仿宋_GB2312"/>
              <w:sz w:val="32"/>
              <w:szCs w:val="32"/>
            </w:rPr>
            <w:t>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296"/>
            </w:tabs>
            <w:rPr>
              <w:rFonts w:ascii="仿宋_GB2312" w:eastAsia="仿宋_GB2312" w:hAnsiTheme="minorHAnsi" w:cstheme="minorBidi"/>
              <w:sz w:val="32"/>
              <w:szCs w:val="32"/>
            </w:rPr>
          </w:pPr>
          <w:r>
            <w:fldChar w:fldCharType="begin"/>
          </w:r>
          <w:r>
            <w:instrText xml:space="preserve"> HYPERLINK \l "_Toc132635982" </w:instrText>
          </w:r>
          <w:r>
            <w:fldChar w:fldCharType="separate"/>
          </w:r>
          <w:r>
            <w:rPr>
              <w:rStyle w:val="12"/>
              <w:rFonts w:hint="eastAsia" w:ascii="仿宋_GB2312" w:hAnsi="黑体" w:eastAsia="仿宋_GB2312" w:cs="仿宋_GB2312"/>
              <w:kern w:val="0"/>
              <w:sz w:val="32"/>
              <w:szCs w:val="32"/>
            </w:rPr>
            <w:t>三、整体绩效目标实现情况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_Toc132635982 \h </w:instrText>
          </w:r>
          <w:r>
            <w:rPr>
              <w:rFonts w:hint="eastAsia" w:ascii="仿宋_GB2312" w:eastAsia="仿宋_GB2312"/>
              <w:sz w:val="32"/>
              <w:szCs w:val="32"/>
            </w:rPr>
            <w:fldChar w:fldCharType="separate"/>
          </w:r>
          <w:r>
            <w:rPr>
              <w:rFonts w:hint="eastAsia" w:ascii="仿宋_GB2312" w:eastAsia="仿宋_GB2312"/>
              <w:sz w:val="32"/>
              <w:szCs w:val="32"/>
            </w:rPr>
            <w:t>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"_Toc132635983" </w:instrText>
          </w:r>
          <w:r>
            <w:fldChar w:fldCharType="separate"/>
          </w:r>
          <w:r>
            <w:rPr>
              <w:rStyle w:val="12"/>
              <w:rFonts w:hint="eastAsia" w:ascii="仿宋_GB2312" w:eastAsia="仿宋_GB2312"/>
              <w:sz w:val="32"/>
              <w:szCs w:val="32"/>
            </w:rPr>
            <w:t>（一）产出完成情况分析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_Toc132635983 \h </w:instrText>
          </w:r>
          <w:r>
            <w:rPr>
              <w:rFonts w:hint="eastAsia" w:ascii="仿宋_GB2312" w:eastAsia="仿宋_GB2312"/>
              <w:sz w:val="32"/>
              <w:szCs w:val="32"/>
            </w:rPr>
            <w:fldChar w:fldCharType="separate"/>
          </w:r>
          <w:r>
            <w:rPr>
              <w:rFonts w:hint="eastAsia" w:ascii="仿宋_GB2312" w:eastAsia="仿宋_GB2312"/>
              <w:sz w:val="32"/>
              <w:szCs w:val="32"/>
            </w:rPr>
            <w:t>8</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"_Toc132635984" </w:instrText>
          </w:r>
          <w:r>
            <w:fldChar w:fldCharType="separate"/>
          </w:r>
          <w:r>
            <w:rPr>
              <w:rStyle w:val="12"/>
              <w:rFonts w:hint="eastAsia" w:ascii="仿宋_GB2312" w:eastAsia="仿宋_GB2312"/>
              <w:sz w:val="32"/>
              <w:szCs w:val="32"/>
            </w:rPr>
            <w:t>（二）效果实现情况分析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_Toc132635984 \h </w:instrText>
          </w:r>
          <w:r>
            <w:rPr>
              <w:rFonts w:hint="eastAsia" w:ascii="仿宋_GB2312" w:eastAsia="仿宋_GB2312"/>
              <w:sz w:val="32"/>
              <w:szCs w:val="32"/>
            </w:rPr>
            <w:fldChar w:fldCharType="separate"/>
          </w:r>
          <w:r>
            <w:rPr>
              <w:rFonts w:hint="eastAsia" w:ascii="仿宋_GB2312" w:eastAsia="仿宋_GB2312"/>
              <w:sz w:val="32"/>
              <w:szCs w:val="32"/>
            </w:rPr>
            <w:t>17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296"/>
            </w:tabs>
            <w:rPr>
              <w:rFonts w:ascii="仿宋_GB2312" w:eastAsia="仿宋_GB2312" w:hAnsiTheme="minorHAnsi" w:cstheme="minorBidi"/>
              <w:sz w:val="32"/>
              <w:szCs w:val="32"/>
            </w:rPr>
          </w:pPr>
          <w:r>
            <w:fldChar w:fldCharType="begin"/>
          </w:r>
          <w:r>
            <w:instrText xml:space="preserve"> HYPERLINK \l "_Toc132635985" </w:instrText>
          </w:r>
          <w:r>
            <w:fldChar w:fldCharType="separate"/>
          </w:r>
          <w:r>
            <w:rPr>
              <w:rStyle w:val="12"/>
              <w:rFonts w:hint="eastAsia" w:ascii="仿宋_GB2312" w:hAnsi="黑体" w:eastAsia="仿宋_GB2312" w:cs="仿宋_GB2312"/>
              <w:kern w:val="0"/>
              <w:sz w:val="32"/>
              <w:szCs w:val="32"/>
            </w:rPr>
            <w:t>四、预算管理情况分析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_Toc132635985 \h </w:instrText>
          </w:r>
          <w:r>
            <w:rPr>
              <w:rFonts w:hint="eastAsia" w:ascii="仿宋_GB2312" w:eastAsia="仿宋_GB2312"/>
              <w:sz w:val="32"/>
              <w:szCs w:val="32"/>
            </w:rPr>
            <w:fldChar w:fldCharType="separate"/>
          </w:r>
          <w:r>
            <w:rPr>
              <w:rFonts w:hint="eastAsia" w:ascii="仿宋_GB2312" w:eastAsia="仿宋_GB2312"/>
              <w:sz w:val="32"/>
              <w:szCs w:val="32"/>
            </w:rPr>
            <w:t>17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"_Toc132635986" </w:instrText>
          </w:r>
          <w:r>
            <w:fldChar w:fldCharType="separate"/>
          </w:r>
          <w:r>
            <w:rPr>
              <w:rStyle w:val="12"/>
              <w:rFonts w:hint="eastAsia" w:ascii="仿宋_GB2312" w:eastAsia="仿宋_GB2312"/>
              <w:sz w:val="32"/>
              <w:szCs w:val="32"/>
            </w:rPr>
            <w:t>（一）财务管理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_Toc132635986 \h </w:instrText>
          </w:r>
          <w:r>
            <w:rPr>
              <w:rFonts w:hint="eastAsia" w:ascii="仿宋_GB2312" w:eastAsia="仿宋_GB2312"/>
              <w:sz w:val="32"/>
              <w:szCs w:val="32"/>
            </w:rPr>
            <w:fldChar w:fldCharType="separate"/>
          </w:r>
          <w:r>
            <w:rPr>
              <w:rFonts w:hint="eastAsia" w:ascii="仿宋_GB2312" w:eastAsia="仿宋_GB2312"/>
              <w:sz w:val="32"/>
              <w:szCs w:val="32"/>
            </w:rPr>
            <w:t>17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"_Toc132635987" </w:instrText>
          </w:r>
          <w:r>
            <w:fldChar w:fldCharType="separate"/>
          </w:r>
          <w:r>
            <w:rPr>
              <w:rStyle w:val="12"/>
              <w:rFonts w:hint="eastAsia" w:ascii="仿宋_GB2312" w:eastAsia="仿宋_GB2312"/>
              <w:sz w:val="32"/>
              <w:szCs w:val="32"/>
            </w:rPr>
            <w:t>（二）资产管理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_Toc132635987 \h </w:instrText>
          </w:r>
          <w:r>
            <w:rPr>
              <w:rFonts w:hint="eastAsia" w:ascii="仿宋_GB2312" w:eastAsia="仿宋_GB2312"/>
              <w:sz w:val="32"/>
              <w:szCs w:val="32"/>
            </w:rPr>
            <w:fldChar w:fldCharType="separate"/>
          </w:r>
          <w:r>
            <w:rPr>
              <w:rFonts w:hint="eastAsia" w:ascii="仿宋_GB2312" w:eastAsia="仿宋_GB2312"/>
              <w:sz w:val="32"/>
              <w:szCs w:val="32"/>
            </w:rPr>
            <w:t>19</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"_Toc132635988" </w:instrText>
          </w:r>
          <w:r>
            <w:fldChar w:fldCharType="separate"/>
          </w:r>
          <w:r>
            <w:rPr>
              <w:rStyle w:val="12"/>
              <w:rFonts w:hint="eastAsia" w:ascii="仿宋_GB2312" w:eastAsia="仿宋_GB2312"/>
              <w:sz w:val="32"/>
              <w:szCs w:val="32"/>
            </w:rPr>
            <w:t>（三）绩效管理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_Toc132635988 \h </w:instrText>
          </w:r>
          <w:r>
            <w:rPr>
              <w:rFonts w:hint="eastAsia" w:ascii="仿宋_GB2312" w:eastAsia="仿宋_GB2312"/>
              <w:sz w:val="32"/>
              <w:szCs w:val="32"/>
            </w:rPr>
            <w:fldChar w:fldCharType="separate"/>
          </w:r>
          <w:r>
            <w:rPr>
              <w:rFonts w:hint="eastAsia" w:ascii="仿宋_GB2312" w:eastAsia="仿宋_GB2312"/>
              <w:sz w:val="32"/>
              <w:szCs w:val="32"/>
            </w:rPr>
            <w:t>21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"_Toc132635989" </w:instrText>
          </w:r>
          <w:r>
            <w:fldChar w:fldCharType="separate"/>
          </w:r>
          <w:r>
            <w:rPr>
              <w:rStyle w:val="12"/>
              <w:rFonts w:hint="eastAsia" w:ascii="仿宋_GB2312" w:eastAsia="仿宋_GB2312"/>
              <w:sz w:val="32"/>
              <w:szCs w:val="32"/>
            </w:rPr>
            <w:t>（四）结转结余率</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_Toc132635989 \h </w:instrText>
          </w:r>
          <w:r>
            <w:rPr>
              <w:rFonts w:hint="eastAsia" w:ascii="仿宋_GB2312" w:eastAsia="仿宋_GB2312"/>
              <w:sz w:val="32"/>
              <w:szCs w:val="32"/>
            </w:rPr>
            <w:fldChar w:fldCharType="separate"/>
          </w:r>
          <w:r>
            <w:rPr>
              <w:rFonts w:hint="eastAsia" w:ascii="仿宋_GB2312" w:eastAsia="仿宋_GB2312"/>
              <w:sz w:val="32"/>
              <w:szCs w:val="32"/>
            </w:rPr>
            <w:t>22</w:t>
          </w:r>
          <w:r>
            <w:rPr>
              <w:rFonts w:hint="eastAsia" w:ascii="仿宋_GB2312" w:eastAsia="仿宋_GB2312"/>
              <w:sz w:val="32"/>
              <w:szCs w:val="32"/>
            </w:rPr>
            <w:fldChar w:fldCharType="end"/>
          </w:r>
          <w:r>
            <w:rPr>
              <w:rFonts w:hint="eastAsia" w:ascii="仿宋_GB2312" w:eastAsia="仿宋_GB2312"/>
              <w:sz w:val="32"/>
              <w:szCs w:val="32"/>
            </w:rPr>
            <w:fldChar w:fldCharType="end"/>
          </w:r>
          <w:bookmarkStart w:id="22" w:name="_GoBack"/>
          <w:bookmarkEnd w:id="22"/>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"_Toc132635990" </w:instrText>
          </w:r>
          <w:r>
            <w:fldChar w:fldCharType="separate"/>
          </w:r>
          <w:r>
            <w:rPr>
              <w:rStyle w:val="12"/>
              <w:rFonts w:hint="eastAsia" w:ascii="仿宋_GB2312" w:eastAsia="仿宋_GB2312"/>
              <w:sz w:val="32"/>
              <w:szCs w:val="32"/>
            </w:rPr>
            <w:t>（五）部门预决算差异率</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_Toc132635990 \h </w:instrText>
          </w:r>
          <w:r>
            <w:rPr>
              <w:rFonts w:hint="eastAsia" w:ascii="仿宋_GB2312" w:eastAsia="仿宋_GB2312"/>
              <w:sz w:val="32"/>
              <w:szCs w:val="32"/>
            </w:rPr>
            <w:fldChar w:fldCharType="separate"/>
          </w:r>
          <w:r>
            <w:rPr>
              <w:rFonts w:hint="eastAsia" w:ascii="仿宋_GB2312" w:eastAsia="仿宋_GB2312"/>
              <w:sz w:val="32"/>
              <w:szCs w:val="32"/>
            </w:rPr>
            <w:t>22</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296"/>
            </w:tabs>
            <w:rPr>
              <w:rFonts w:ascii="仿宋_GB2312" w:eastAsia="仿宋_GB2312" w:hAnsiTheme="minorHAnsi" w:cstheme="minorBidi"/>
              <w:sz w:val="32"/>
              <w:szCs w:val="32"/>
            </w:rPr>
          </w:pPr>
          <w:r>
            <w:fldChar w:fldCharType="begin"/>
          </w:r>
          <w:r>
            <w:instrText xml:space="preserve"> HYPERLINK \l "_Toc132635991" </w:instrText>
          </w:r>
          <w:r>
            <w:fldChar w:fldCharType="separate"/>
          </w:r>
          <w:r>
            <w:rPr>
              <w:rStyle w:val="12"/>
              <w:rFonts w:hint="eastAsia" w:ascii="仿宋_GB2312" w:hAnsi="黑体" w:eastAsia="仿宋_GB2312" w:cs="仿宋_GB2312"/>
              <w:sz w:val="32"/>
              <w:szCs w:val="32"/>
            </w:rPr>
            <w:t>五、总体评价结论</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_Toc132635991 \h </w:instrText>
          </w:r>
          <w:r>
            <w:rPr>
              <w:rFonts w:hint="eastAsia" w:ascii="仿宋_GB2312" w:eastAsia="仿宋_GB2312"/>
              <w:sz w:val="32"/>
              <w:szCs w:val="32"/>
            </w:rPr>
            <w:fldChar w:fldCharType="separate"/>
          </w:r>
          <w:r>
            <w:rPr>
              <w:rFonts w:hint="eastAsia" w:ascii="仿宋_GB2312" w:eastAsia="仿宋_GB2312"/>
              <w:sz w:val="32"/>
              <w:szCs w:val="32"/>
            </w:rPr>
            <w:t>22</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"_Toc132635992" </w:instrText>
          </w:r>
          <w:r>
            <w:fldChar w:fldCharType="separate"/>
          </w:r>
          <w:r>
            <w:rPr>
              <w:rStyle w:val="12"/>
              <w:rFonts w:hint="eastAsia" w:ascii="仿宋_GB2312" w:eastAsia="仿宋_GB2312"/>
              <w:sz w:val="32"/>
              <w:szCs w:val="32"/>
            </w:rPr>
            <w:t>（一）评价得分情况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_Toc132635992 \h </w:instrText>
          </w:r>
          <w:r>
            <w:rPr>
              <w:rFonts w:hint="eastAsia" w:ascii="仿宋_GB2312" w:eastAsia="仿宋_GB2312"/>
              <w:sz w:val="32"/>
              <w:szCs w:val="32"/>
            </w:rPr>
            <w:fldChar w:fldCharType="separate"/>
          </w:r>
          <w:r>
            <w:rPr>
              <w:rFonts w:hint="eastAsia" w:ascii="仿宋_GB2312" w:eastAsia="仿宋_GB2312"/>
              <w:sz w:val="32"/>
              <w:szCs w:val="32"/>
            </w:rPr>
            <w:t>22</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8"/>
            <w:tabs>
              <w:tab w:val="right" w:leader="dot" w:pos="8296"/>
            </w:tabs>
            <w:rPr>
              <w:rFonts w:ascii="仿宋_GB2312" w:eastAsia="仿宋_GB2312" w:hAnsiTheme="minorHAnsi" w:cstheme="minorBidi"/>
              <w:sz w:val="32"/>
              <w:szCs w:val="32"/>
            </w:rPr>
          </w:pPr>
          <w:r>
            <w:fldChar w:fldCharType="begin"/>
          </w:r>
          <w:r>
            <w:instrText xml:space="preserve"> HYPERLINK \l "_Toc132635993" </w:instrText>
          </w:r>
          <w:r>
            <w:fldChar w:fldCharType="separate"/>
          </w:r>
          <w:r>
            <w:rPr>
              <w:rStyle w:val="12"/>
              <w:rFonts w:hint="eastAsia" w:ascii="仿宋_GB2312" w:eastAsia="仿宋_GB2312"/>
              <w:sz w:val="32"/>
              <w:szCs w:val="32"/>
            </w:rPr>
            <w:t>（二）存在的问题及原因分析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_Toc132635993 \h </w:instrText>
          </w:r>
          <w:r>
            <w:rPr>
              <w:rFonts w:hint="eastAsia" w:ascii="仿宋_GB2312" w:eastAsia="仿宋_GB2312"/>
              <w:sz w:val="32"/>
              <w:szCs w:val="32"/>
            </w:rPr>
            <w:fldChar w:fldCharType="separate"/>
          </w:r>
          <w:r>
            <w:rPr>
              <w:rFonts w:hint="eastAsia" w:ascii="仿宋_GB2312" w:eastAsia="仿宋_GB2312"/>
              <w:sz w:val="32"/>
              <w:szCs w:val="32"/>
            </w:rPr>
            <w:t>22</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296"/>
            </w:tabs>
            <w:rPr>
              <w:rFonts w:ascii="仿宋_GB2312" w:eastAsia="仿宋_GB2312" w:hAnsiTheme="minorHAnsi" w:cstheme="minorBidi"/>
              <w:sz w:val="32"/>
              <w:szCs w:val="32"/>
            </w:rPr>
          </w:pPr>
          <w:r>
            <w:fldChar w:fldCharType="begin"/>
          </w:r>
          <w:r>
            <w:instrText xml:space="preserve"> HYPERLINK \l "_Toc132635994" </w:instrText>
          </w:r>
          <w:r>
            <w:fldChar w:fldCharType="separate"/>
          </w:r>
          <w:r>
            <w:rPr>
              <w:rStyle w:val="12"/>
              <w:rFonts w:hint="eastAsia" w:ascii="仿宋_GB2312" w:hAnsi="黑体" w:eastAsia="仿宋_GB2312" w:cs="仿宋_GB2312"/>
              <w:kern w:val="0"/>
              <w:sz w:val="32"/>
              <w:szCs w:val="32"/>
            </w:rPr>
            <w:t>六、措施建议</w:t>
          </w:r>
          <w:r>
            <w:rPr>
              <w:rStyle w:val="12"/>
              <w:rFonts w:hint="eastAsia" w:ascii="仿宋_GB2312" w:hAnsi="仿宋_GB2312" w:eastAsia="仿宋_GB2312" w:cs="仿宋_GB2312"/>
              <w:kern w:val="0"/>
              <w:sz w:val="32"/>
              <w:szCs w:val="32"/>
            </w:rPr>
            <w:t>（整改措施、下一步工作举措）</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_Toc132635994 \h </w:instrText>
          </w:r>
          <w:r>
            <w:rPr>
              <w:rFonts w:hint="eastAsia" w:ascii="仿宋_GB2312" w:eastAsia="仿宋_GB2312"/>
              <w:sz w:val="32"/>
              <w:szCs w:val="32"/>
            </w:rPr>
            <w:fldChar w:fldCharType="separate"/>
          </w:r>
          <w:r>
            <w:rPr>
              <w:rFonts w:hint="eastAsia" w:ascii="仿宋_GB2312" w:eastAsia="仿宋_GB2312"/>
              <w:sz w:val="32"/>
              <w:szCs w:val="32"/>
            </w:rPr>
            <w:t>22</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296"/>
            </w:tabs>
            <w:rPr>
              <w:rFonts w:asciiTheme="minorHAnsi" w:hAnsiTheme="minorHAnsi" w:eastAsiaTheme="minorEastAsia" w:cstheme="minorBidi"/>
              <w:szCs w:val="22"/>
            </w:rPr>
          </w:pPr>
          <w:r>
            <w:fldChar w:fldCharType="begin"/>
          </w:r>
          <w:r>
            <w:instrText xml:space="preserve"> HYPERLINK \l "_Toc132635995" </w:instrText>
          </w:r>
          <w:r>
            <w:fldChar w:fldCharType="separate"/>
          </w:r>
          <w:r>
            <w:rPr>
              <w:rStyle w:val="12"/>
              <w:rFonts w:hint="eastAsia" w:ascii="仿宋_GB2312" w:hAnsi="黑体" w:eastAsia="仿宋_GB2312" w:cs="仿宋_GB2312"/>
              <w:kern w:val="0"/>
              <w:sz w:val="32"/>
              <w:szCs w:val="32"/>
            </w:rPr>
            <w:t>七、附件</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_Toc132635995 \h </w:instrText>
          </w:r>
          <w:r>
            <w:rPr>
              <w:rFonts w:hint="eastAsia" w:ascii="仿宋_GB2312" w:eastAsia="仿宋_GB2312"/>
              <w:sz w:val="32"/>
              <w:szCs w:val="32"/>
            </w:rPr>
            <w:fldChar w:fldCharType="separate"/>
          </w:r>
          <w:r>
            <w:rPr>
              <w:b/>
            </w:rPr>
            <w:t>错误！未定义书签。</w:t>
          </w:r>
          <w:r>
            <w:rPr>
              <w:rFonts w:hint="eastAsia" w:ascii="仿宋_GB2312" w:eastAsia="仿宋_GB2312"/>
              <w:sz w:val="32"/>
              <w:szCs w:val="32"/>
            </w:rPr>
            <w:fldChar w:fldCharType="end"/>
          </w:r>
          <w:r>
            <w:rPr>
              <w:rFonts w:hint="eastAsia" w:ascii="仿宋_GB2312" w:eastAsia="仿宋_GB2312"/>
              <w:sz w:val="32"/>
              <w:szCs w:val="32"/>
            </w:rPr>
            <w:fldChar w:fldCharType="end"/>
          </w:r>
        </w:p>
        <w:p>
          <w:pPr>
            <w:spacing w:line="360" w:lineRule="auto"/>
            <w:rPr>
              <w:rFonts w:ascii="方正小标宋简体" w:eastAsia="方正小标宋简体"/>
              <w:sz w:val="36"/>
              <w:szCs w:val="36"/>
            </w:rPr>
          </w:pPr>
          <w:r>
            <w:rPr>
              <w:rFonts w:hint="eastAsia" w:ascii="仿宋_GB2312" w:hAnsi="仿宋_GB2312" w:eastAsia="仿宋_GB2312" w:cs="仿宋_GB2312"/>
              <w:sz w:val="32"/>
              <w:szCs w:val="32"/>
            </w:rPr>
            <w:fldChar w:fldCharType="end"/>
          </w:r>
        </w:p>
      </w:sdtContent>
    </w:sdt>
    <w:p>
      <w:pPr>
        <w:spacing w:line="560" w:lineRule="exact"/>
        <w:jc w:val="center"/>
        <w:outlineLvl w:val="0"/>
        <w:rPr>
          <w:rFonts w:ascii="方正小标宋简体" w:eastAsia="方正小标宋简体"/>
          <w:sz w:val="36"/>
          <w:szCs w:val="36"/>
        </w:rPr>
      </w:pPr>
      <w:bookmarkStart w:id="0" w:name="_Toc8629"/>
    </w:p>
    <w:p>
      <w:pPr>
        <w:spacing w:line="560" w:lineRule="exact"/>
        <w:jc w:val="center"/>
        <w:outlineLvl w:val="0"/>
        <w:rPr>
          <w:rFonts w:ascii="方正小标宋简体" w:eastAsia="方正小标宋简体"/>
          <w:sz w:val="36"/>
          <w:szCs w:val="36"/>
        </w:rPr>
        <w:sectPr>
          <w:footerReference r:id="rId3" w:type="default"/>
          <w:pgSz w:w="11906" w:h="16838"/>
          <w:pgMar w:top="1440" w:right="1800" w:bottom="1440" w:left="1800" w:header="851" w:footer="992" w:gutter="0"/>
          <w:pgNumType w:fmt="numberInDash"/>
          <w:cols w:space="0" w:num="1"/>
          <w:docGrid w:type="lines" w:linePitch="319" w:charSpace="0"/>
        </w:sectPr>
      </w:pPr>
    </w:p>
    <w:p>
      <w:pPr>
        <w:jc w:val="center"/>
        <w:rPr>
          <w:rFonts w:ascii="方正小标宋简体" w:eastAsia="方正小标宋简体"/>
          <w:sz w:val="36"/>
          <w:szCs w:val="36"/>
        </w:rPr>
      </w:pPr>
      <w:bookmarkStart w:id="1" w:name="_Toc4180"/>
      <w:bookmarkStart w:id="2" w:name="_Toc16254"/>
      <w:r>
        <w:rPr>
          <w:rFonts w:hint="eastAsia" w:ascii="方正小标宋简体" w:eastAsia="方正小标宋简体"/>
          <w:sz w:val="36"/>
          <w:szCs w:val="36"/>
        </w:rPr>
        <w:t>部门整体绩效评价报告</w:t>
      </w:r>
      <w:bookmarkEnd w:id="0"/>
      <w:bookmarkEnd w:id="1"/>
      <w:bookmarkEnd w:id="2"/>
    </w:p>
    <w:p>
      <w:pPr>
        <w:jc w:val="center"/>
        <w:rPr>
          <w:rFonts w:ascii="仿宋_GB2312"/>
          <w:szCs w:val="30"/>
        </w:rPr>
      </w:pP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为全面实施预算绩效管理，切实增强部门支出责任和效率意识，提升财政资金使用效率和政府部门管理水平，依据《中共北京市委 北京市人民政府关于全面实施预算绩效管理的实施意见》（京发〔2019〕12号）、《北京市项目支出绩效评价管理办法》（京财绩效〔2020〕2146号）及</w:t>
      </w:r>
      <w:r>
        <w:rPr>
          <w:rFonts w:hint="eastAsia" w:ascii="仿宋_GB2312" w:hAnsi="仿宋_GB2312" w:eastAsia="仿宋_GB2312" w:cs="仿宋_GB2312"/>
          <w:sz w:val="32"/>
          <w:szCs w:val="32"/>
          <w:highlight w:val="none"/>
        </w:rPr>
        <w:t>《北京市财政局关于开展202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年预算绩效管理</w:t>
      </w:r>
      <w:r>
        <w:rPr>
          <w:rFonts w:hint="eastAsia" w:ascii="仿宋_GB2312" w:hAnsi="仿宋_GB2312" w:eastAsia="仿宋_GB2312" w:cs="仿宋_GB2312"/>
          <w:sz w:val="32"/>
          <w:szCs w:val="32"/>
          <w:highlight w:val="none"/>
          <w:lang w:val="en-US" w:eastAsia="zh-CN"/>
        </w:rPr>
        <w:t>相关</w:t>
      </w:r>
      <w:r>
        <w:rPr>
          <w:rFonts w:hint="eastAsia" w:ascii="仿宋_GB2312" w:hAnsi="仿宋_GB2312" w:eastAsia="仿宋_GB2312" w:cs="仿宋_GB2312"/>
          <w:sz w:val="32"/>
          <w:szCs w:val="32"/>
          <w:highlight w:val="none"/>
        </w:rPr>
        <w:t>工作的</w:t>
      </w:r>
      <w:r>
        <w:rPr>
          <w:rFonts w:hint="eastAsia" w:ascii="仿宋_GB2312" w:hAnsi="仿宋_GB2312" w:eastAsia="仿宋_GB2312" w:cs="仿宋_GB2312"/>
          <w:sz w:val="32"/>
          <w:szCs w:val="32"/>
          <w:highlight w:val="none"/>
          <w:lang w:val="en-US" w:eastAsia="zh-CN"/>
        </w:rPr>
        <w:t>函</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等文件规定开展部门整体绩效评价，并形成本部门整体绩效评价报告。</w:t>
      </w:r>
    </w:p>
    <w:p>
      <w:pPr>
        <w:spacing w:line="360" w:lineRule="auto"/>
        <w:ind w:firstLine="640" w:firstLineChars="200"/>
        <w:outlineLvl w:val="0"/>
        <w:rPr>
          <w:rFonts w:ascii="黑体" w:hAnsi="黑体" w:eastAsia="黑体" w:cs="仿宋_GB2312"/>
          <w:color w:val="000000"/>
          <w:kern w:val="0"/>
          <w:sz w:val="32"/>
          <w:szCs w:val="32"/>
        </w:rPr>
      </w:pPr>
      <w:bookmarkStart w:id="3" w:name="_Toc132635978"/>
      <w:r>
        <w:rPr>
          <w:rFonts w:hint="eastAsia" w:ascii="黑体" w:hAnsi="黑体" w:eastAsia="黑体" w:cs="仿宋_GB2312"/>
          <w:color w:val="000000"/>
          <w:kern w:val="0"/>
          <w:sz w:val="32"/>
          <w:szCs w:val="32"/>
        </w:rPr>
        <w:t>一、部门概况</w:t>
      </w:r>
      <w:bookmarkEnd w:id="3"/>
    </w:p>
    <w:p>
      <w:pPr>
        <w:pStyle w:val="3"/>
        <w:spacing w:before="0" w:after="0" w:line="240" w:lineRule="auto"/>
        <w:ind w:firstLine="643" w:firstLineChars="200"/>
        <w:rPr>
          <w:rFonts w:ascii="仿宋_GB2312" w:eastAsia="仿宋_GB2312"/>
        </w:rPr>
      </w:pPr>
      <w:bookmarkStart w:id="4" w:name="_Toc132635979"/>
      <w:r>
        <w:rPr>
          <w:rFonts w:hint="eastAsia" w:ascii="仿宋_GB2312" w:eastAsia="仿宋_GB2312"/>
        </w:rPr>
        <w:t>（一）机构设置及职责工作任务情况</w:t>
      </w:r>
      <w:bookmarkEnd w:id="4"/>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1.机构设置</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中国致公党北京市委员会</w:t>
      </w:r>
      <w:r>
        <w:rPr>
          <w:rFonts w:hint="eastAsia" w:ascii="仿宋_GB2312" w:hAnsi="仿宋" w:eastAsia="仿宋_GB2312"/>
          <w:sz w:val="32"/>
          <w:szCs w:val="32"/>
        </w:rPr>
        <w:t>（以下简称 “市委”）</w:t>
      </w:r>
      <w:r>
        <w:rPr>
          <w:rFonts w:hint="eastAsia" w:ascii="仿宋_GB2312" w:hAnsi="仿宋_GB2312" w:eastAsia="仿宋_GB2312" w:cs="仿宋_GB2312"/>
          <w:sz w:val="32"/>
          <w:szCs w:val="32"/>
        </w:rPr>
        <w:t>于1980年2月成立，</w:t>
      </w:r>
      <w:r>
        <w:rPr>
          <w:rFonts w:hint="eastAsia" w:ascii="仿宋_GB2312" w:hAnsi="仿宋" w:eastAsia="仿宋_GB2312"/>
          <w:sz w:val="32"/>
          <w:szCs w:val="32"/>
        </w:rPr>
        <w:t>市委</w:t>
      </w:r>
      <w:r>
        <w:rPr>
          <w:rFonts w:hint="eastAsia" w:ascii="仿宋_GB2312" w:hAnsi="仿宋_GB2312" w:eastAsia="仿宋_GB2312" w:cs="仿宋_GB2312"/>
          <w:sz w:val="32"/>
          <w:szCs w:val="32"/>
        </w:rPr>
        <w:t>下设5个职能部门：办公室、组织处、宣传处、调研处、社会服务与联络处；设一个参政议政领导小组，下设1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专门工作机构，分别是：经济委员会、科技委员会、教育委员会、文化委员会、医药委员会、法治建设委员会、资源环境与城市发展委员会、妇女工作委员会、侨海工作委员会、社会服务与乡村振兴工作委员会、青年工作委员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还设有</w:t>
      </w:r>
      <w:r>
        <w:rPr>
          <w:rFonts w:hint="eastAsia" w:ascii="仿宋_GB2312" w:hAnsi="仿宋_GB2312" w:eastAsia="仿宋_GB2312" w:cs="仿宋_GB2312"/>
          <w:sz w:val="32"/>
          <w:szCs w:val="32"/>
        </w:rPr>
        <w:t>理论研究工作委员会、</w:t>
      </w:r>
      <w:r>
        <w:rPr>
          <w:rFonts w:hint="eastAsia" w:ascii="仿宋_GB2312" w:hAnsi="仿宋_GB2312" w:eastAsia="仿宋_GB2312" w:cs="仿宋_GB2312"/>
          <w:sz w:val="32"/>
          <w:szCs w:val="32"/>
          <w:lang w:val="en-US" w:eastAsia="zh-CN"/>
        </w:rPr>
        <w:t>北京</w:t>
      </w:r>
      <w:r>
        <w:rPr>
          <w:rFonts w:hint="eastAsia" w:ascii="仿宋_GB2312" w:hAnsi="仿宋_GB2312" w:eastAsia="仿宋_GB2312" w:cs="仿宋_GB2312"/>
          <w:sz w:val="32"/>
          <w:szCs w:val="32"/>
        </w:rPr>
        <w:t>致公志愿者协会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燕京文化专科学校和北京致公爱心专项基金。现已建立了朝阳、海淀、西城、东城4个区委，石景山、丰台、通州、昌平4个区工委，大兴1个总支部，1个市委直属总支部，门头沟、顺义、房山、怀柔、平谷、延庆6个区级支部。市委成立至今，已召开十次代表大会，历届市委会主任委员为伍禅、郑正仁、靳晋、杜宜瑾、叶文虎、李昭玲；现任主任委员闫傲霜，副主任委员董晓莉、刘学增、安雪晖、顾行发、孙阳，秘书长李满英。</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2.职能机构设置及岗位职责划分</w:t>
      </w:r>
    </w:p>
    <w:p>
      <w:pPr>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合理设置内部职能机构，明确机构的职责权限，避免职能交叉、缺失或权责过于集中，形成各司其职、各负其责、相互制约、相互协调的工作机制。对内部各职能机构的职责进行科学合理</w:t>
      </w:r>
      <w:r>
        <w:rPr>
          <w:rFonts w:hint="eastAsia" w:ascii="仿宋_GB2312" w:hAnsi="仿宋_GB2312" w:eastAsia="仿宋_GB2312" w:cs="仿宋_GB2312"/>
          <w:sz w:val="32"/>
          <w:szCs w:val="32"/>
          <w:lang w:eastAsia="zh-CN"/>
        </w:rPr>
        <w:t>地</w:t>
      </w:r>
      <w:r>
        <w:rPr>
          <w:rFonts w:ascii="仿宋_GB2312" w:hAnsi="仿宋_GB2312" w:eastAsia="仿宋_GB2312" w:cs="仿宋_GB2312"/>
          <w:sz w:val="32"/>
          <w:szCs w:val="32"/>
        </w:rPr>
        <w:t>分解，确定具体岗位的名称、职责和工作要求等，明确各个岗位的职责权限和相互关系。</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办公室</w:t>
      </w:r>
      <w:r>
        <w:rPr>
          <w:rFonts w:ascii="仿宋_GB2312" w:hAnsi="仿宋_GB2312" w:eastAsia="仿宋_GB2312" w:cs="仿宋_GB2312"/>
          <w:sz w:val="32"/>
          <w:szCs w:val="32"/>
        </w:rPr>
        <w:t>是</w:t>
      </w:r>
      <w:r>
        <w:rPr>
          <w:rFonts w:hint="eastAsia" w:ascii="仿宋_GB2312" w:hAnsi="仿宋_GB2312" w:eastAsia="仿宋_GB2312" w:cs="仿宋_GB2312"/>
          <w:sz w:val="32"/>
          <w:szCs w:val="32"/>
        </w:rPr>
        <w:t>承担市委活动的服务保障及机关日常管理工作。即文件、会务、档案、组织人事、财务管理、后勤保障、资产管理、信访接待、安全保密、重要活动的组织协调、专委会等工作；组织市委大事记、年鉴的编纂；纪检监察工作。</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组织处承担市委组织建设、教育培训、党内监督等方面的职能。即组织建设、组织发展、组织系统信息管理、党员干部教育培训、后备干部队伍建设，并协助市委做好领导班子建设和市委监督委员会开展工作等；联系对应的专委会。</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宣传处承担党员队伍思想政治建设和市委机关宣传工作。即思想教育、新闻宣传、理论研究、史志编修等；联系对应的专委会。</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调研处承担市委参政议政工作的组织、协调和服务。即组织研究重点热点问题，提出相关政策建议；反映社情民意信息、党派提案和党派发言的组织管理、高层协商和议政会筹备等；联系各级人大代表、政协委员、特邀人员等；联系对应的专委会。</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社会服务与联络处承担市委社会服务、脱贫攻坚民主监督与海外联系方面的工作。即组织开展社会服务活动；接待海外来访团组和市委组团或参团出访出境；联系北京市“五侨”等相关单位；联系对应的专委会。</w:t>
      </w:r>
    </w:p>
    <w:p>
      <w:pPr>
        <w:pStyle w:val="3"/>
        <w:spacing w:before="0" w:after="0" w:line="240" w:lineRule="auto"/>
        <w:ind w:firstLine="643" w:firstLineChars="200"/>
        <w:rPr>
          <w:rFonts w:ascii="仿宋_GB2312" w:eastAsia="仿宋_GB2312"/>
        </w:rPr>
      </w:pPr>
      <w:bookmarkStart w:id="5" w:name="_Toc132635980"/>
      <w:r>
        <w:rPr>
          <w:rFonts w:hint="eastAsia" w:ascii="仿宋_GB2312" w:eastAsia="仿宋_GB2312"/>
        </w:rPr>
        <w:t>（二）部门整体绩效目标设立情况</w:t>
      </w:r>
      <w:bookmarkEnd w:id="5"/>
    </w:p>
    <w:p>
      <w:pPr>
        <w:spacing w:line="360" w:lineRule="auto"/>
        <w:ind w:firstLine="640" w:firstLineChars="200"/>
        <w:rPr>
          <w:rFonts w:ascii="仿宋_GB2312" w:eastAsia="仿宋_GB2312" w:cs="宋体" w:hAnsiTheme="minorEastAsia"/>
          <w:color w:val="000000"/>
          <w:kern w:val="0"/>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w:t>
      </w:r>
      <w:r>
        <w:rPr>
          <w:rFonts w:hint="eastAsia" w:ascii="仿宋_GB2312" w:hAnsi="仿宋" w:eastAsia="仿宋_GB2312"/>
          <w:sz w:val="32"/>
          <w:szCs w:val="32"/>
        </w:rPr>
        <w:t>市委</w:t>
      </w:r>
      <w:r>
        <w:rPr>
          <w:rFonts w:hint="eastAsia" w:ascii="仿宋_GB2312" w:hAnsi="仿宋_GB2312" w:eastAsia="仿宋_GB2312" w:cs="仿宋_GB2312"/>
          <w:sz w:val="32"/>
          <w:szCs w:val="32"/>
        </w:rPr>
        <w:t>结合北京市行业和专业领域的发展趋势根据实际工作内容，</w:t>
      </w:r>
      <w:r>
        <w:rPr>
          <w:rFonts w:hint="eastAsia" w:ascii="仿宋_GB2312" w:eastAsia="仿宋_GB2312" w:cs="宋体" w:hAnsiTheme="minorEastAsia"/>
          <w:color w:val="000000"/>
          <w:kern w:val="0"/>
          <w:sz w:val="32"/>
          <w:szCs w:val="32"/>
        </w:rPr>
        <w:t>按照预算管理系统中部门绩效目标格式填报了部门整体绩效目标表，设定了部门绩效目标和绩效指标。</w:t>
      </w:r>
    </w:p>
    <w:p>
      <w:pPr>
        <w:spacing w:line="360" w:lineRule="auto"/>
        <w:ind w:firstLine="640" w:firstLineChars="200"/>
        <w:rPr>
          <w:rFonts w:ascii="仿宋_GB2312" w:eastAsia="仿宋_GB2312" w:cs="宋体" w:hAnsiTheme="minorEastAsia"/>
          <w:color w:val="000000"/>
          <w:kern w:val="0"/>
          <w:sz w:val="32"/>
          <w:szCs w:val="32"/>
        </w:rPr>
      </w:pPr>
      <w:r>
        <w:rPr>
          <w:rFonts w:hint="eastAsia" w:ascii="仿宋_GB2312" w:eastAsia="仿宋_GB2312" w:cs="宋体" w:hAnsiTheme="minorEastAsia"/>
          <w:color w:val="000000"/>
          <w:kern w:val="0"/>
          <w:sz w:val="32"/>
          <w:szCs w:val="32"/>
        </w:rPr>
        <w:t>1.部门绩效目标</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国致公党北京市委深入学习习近平新时代中国特色社会主义思想和党的二十大精神，坚持以习近平总书记关于多党合作事业发展的重要论述、加强和改进人民政协工作的重要思想和对北京工作的一系列重要讲话精神为指导，加强学习、坚定信念，夯实思想政治和组织基础，围绕首都中心工作，发挥特色、积极履职，努力开创各项工作新局面。</w:t>
      </w:r>
    </w:p>
    <w:p>
      <w:pPr>
        <w:spacing w:line="360" w:lineRule="auto"/>
        <w:ind w:firstLine="640" w:firstLineChars="200"/>
        <w:rPr>
          <w:rFonts w:ascii="仿宋_GB2312" w:eastAsia="仿宋_GB2312" w:cs="宋体" w:hAnsiTheme="minorEastAsia"/>
          <w:b/>
          <w:color w:val="000000"/>
          <w:kern w:val="0"/>
          <w:sz w:val="32"/>
          <w:szCs w:val="32"/>
        </w:rPr>
      </w:pPr>
      <w:r>
        <w:rPr>
          <w:rFonts w:hint="eastAsia" w:ascii="仿宋_GB2312" w:eastAsia="仿宋_GB2312" w:cs="宋体" w:hAnsiTheme="minorEastAsia"/>
          <w:color w:val="000000"/>
          <w:kern w:val="0"/>
          <w:sz w:val="32"/>
          <w:szCs w:val="32"/>
        </w:rPr>
        <w:t>2.绩效指标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none"/>
          <w:lang w:eastAsia="zh-CN"/>
        </w:rPr>
      </w:pPr>
      <w:r>
        <w:rPr>
          <w:rFonts w:hint="eastAsia" w:ascii="仿宋_GB2312" w:eastAsia="仿宋_GB2312" w:cs="宋体" w:hAnsiTheme="minorEastAsia"/>
          <w:bCs/>
          <w:color w:val="000000"/>
          <w:kern w:val="0"/>
          <w:sz w:val="32"/>
          <w:szCs w:val="32"/>
          <w:highlight w:val="none"/>
        </w:rPr>
        <w:t>（一）强化政治引领，不断夯实多党合作的共同思想政治基础</w:t>
      </w:r>
      <w:r>
        <w:rPr>
          <w:rFonts w:hint="eastAsia" w:ascii="仿宋_GB2312" w:eastAsia="仿宋_GB2312" w:cs="宋体" w:hAnsiTheme="minorEastAsia"/>
          <w:bCs/>
          <w:color w:val="000000"/>
          <w:kern w:val="0"/>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none"/>
        </w:rPr>
      </w:pPr>
      <w:r>
        <w:rPr>
          <w:rFonts w:hint="eastAsia" w:ascii="仿宋_GB2312" w:eastAsia="仿宋_GB2312" w:cs="宋体" w:hAnsiTheme="minorEastAsia"/>
          <w:bCs/>
          <w:color w:val="000000"/>
          <w:kern w:val="0"/>
          <w:sz w:val="32"/>
          <w:szCs w:val="32"/>
          <w:highlight w:val="none"/>
        </w:rPr>
        <w:t>中共二十大是一次具有里程碑意义的大会，是一次高举旗帜、凝聚力量、团结奋进的大会。习近平总书记代表中共第十九届中央委员会所作的报告高瞻远瞩、立意深刻、鼓舞士气、催人奋进，闪耀着马克思主义中国化时代化的思想光辉，是指导我们踔厉奋发、勇毅前行的纲领性文件。大会擘画了以中国式现代化推进中华民族伟大复兴的宏伟蓝图，发出了为全面建设社会主义现代化国家、全面推进中华民族伟大复兴而团结奋斗的伟大号召。二十届一次全会，习近平总书记再次当选中共中央委员会总书记，这是全党全军全国各族人民的共同心愿，对推进中华民族伟大复兴历史进程具有决定性意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none"/>
        </w:rPr>
      </w:pPr>
      <w:r>
        <w:rPr>
          <w:rFonts w:hint="eastAsia" w:ascii="仿宋_GB2312" w:eastAsia="仿宋_GB2312" w:cs="宋体" w:hAnsiTheme="minorEastAsia"/>
          <w:bCs/>
          <w:color w:val="000000"/>
          <w:kern w:val="0"/>
          <w:sz w:val="32"/>
          <w:szCs w:val="32"/>
          <w:highlight w:val="none"/>
        </w:rPr>
        <w:t>全市各级组织要将学习宣传贯彻落实中共二十大精神，作为当前和今后一个时期的首要政治任务，以高度的政治自觉和政治责任，精心组织、周密安排，持续掀起学习宣传贯彻中共二十大精神热潮。要深刻认识“两个确立”的决定性意义，切实把全体党员的思想和行动统一到二十大精神上来、把智慧和力量凝聚到实现二十大确定的目标和任务上来。要把学习二十大精神与学习习近平总书记对北京一系列重要讲话精神结合起来，用以指导我们落实致公党十六大精神、落实中共北京市委十三届二次全会和市“两会”部署的重要任务。要大力推进“矢志不渝跟党走，携手奋进新时代”政治交接主题教育活动，深刻理解“致力为公跟党走”的优良传统和“侨海报国建新功”的使命担当，始终做到与中国共产党想在一起、站在一起、干在一起，以工作实绩做二十大精神的拥护者、践行者、传播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none"/>
          <w:lang w:eastAsia="zh-CN"/>
        </w:rPr>
      </w:pPr>
      <w:r>
        <w:rPr>
          <w:rFonts w:hint="eastAsia" w:ascii="仿宋_GB2312" w:eastAsia="仿宋_GB2312" w:cs="宋体" w:hAnsiTheme="minorEastAsia"/>
          <w:bCs/>
          <w:color w:val="000000"/>
          <w:kern w:val="0"/>
          <w:sz w:val="32"/>
          <w:szCs w:val="32"/>
          <w:highlight w:val="none"/>
        </w:rPr>
        <w:t>（二）坚持首善标准，不断推进组织建设</w:t>
      </w:r>
      <w:r>
        <w:rPr>
          <w:rFonts w:hint="eastAsia" w:ascii="仿宋_GB2312" w:eastAsia="仿宋_GB2312" w:cs="宋体" w:hAnsiTheme="minorEastAsia"/>
          <w:bCs/>
          <w:color w:val="000000"/>
          <w:kern w:val="0"/>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yellow"/>
        </w:rPr>
      </w:pPr>
      <w:r>
        <w:rPr>
          <w:rFonts w:hint="eastAsia" w:ascii="仿宋_GB2312" w:eastAsia="仿宋_GB2312" w:cs="宋体" w:hAnsiTheme="minorEastAsia"/>
          <w:bCs/>
          <w:color w:val="000000"/>
          <w:kern w:val="0"/>
          <w:sz w:val="32"/>
          <w:szCs w:val="32"/>
          <w:highlight w:val="none"/>
        </w:rPr>
        <w:t>一是突出领导班子建设，落实理论学习中心组集体学习、领导班子述职等工作，持续深化思想政治引领，强化责任担当，加强团结合作，切实发挥领导班子整体功能。二是做好党员发展和人才队伍建设工作，为致公党事业的长远发展奠定坚实的基础。三是加大基层组织建设力度，进一步加强市区两级组织之间的联系和协调，提高全市各级组织协同能力。四是加强专委会建设，进一步释放和激发专委会活力。五是按照各党派中央关于做好内部监督工作的会议纪要要求，完善相关内部监督制度，做好内部监督工作。六是强化机关制度建设与执行落实，深入开展“书香机关”活动，加强机关干部队伍建设，全面提升机关履职能力，提高服务保障水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none"/>
          <w:lang w:eastAsia="zh-CN"/>
        </w:rPr>
      </w:pPr>
      <w:r>
        <w:rPr>
          <w:rFonts w:hint="eastAsia" w:ascii="仿宋_GB2312" w:eastAsia="仿宋_GB2312" w:cs="宋体" w:hAnsiTheme="minorEastAsia"/>
          <w:bCs/>
          <w:color w:val="000000"/>
          <w:kern w:val="0"/>
          <w:sz w:val="32"/>
          <w:szCs w:val="32"/>
          <w:highlight w:val="none"/>
        </w:rPr>
        <w:t>（三）创新调研方式方法，不断提高议政建言水平</w:t>
      </w:r>
      <w:r>
        <w:rPr>
          <w:rFonts w:hint="eastAsia" w:ascii="仿宋_GB2312" w:eastAsia="仿宋_GB2312" w:cs="宋体" w:hAnsiTheme="minorEastAsia"/>
          <w:bCs/>
          <w:color w:val="000000"/>
          <w:kern w:val="0"/>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yellow"/>
        </w:rPr>
      </w:pPr>
      <w:r>
        <w:rPr>
          <w:rFonts w:hint="eastAsia" w:ascii="仿宋_GB2312" w:eastAsia="仿宋_GB2312" w:cs="宋体" w:hAnsiTheme="minorEastAsia"/>
          <w:bCs/>
          <w:color w:val="000000"/>
          <w:kern w:val="0"/>
          <w:sz w:val="32"/>
          <w:szCs w:val="32"/>
          <w:highlight w:val="none"/>
        </w:rPr>
        <w:t>一是围绕加强“四个中心”功能建设、提高“四个服务”水平、“五子”联动融入新发展格局和人民群众“七有”“五性”需求，在加强国际科技创新中心建设、实现“双碳”目标、推进城市总规实施等重点领域找准切入点，深入开展调查研究。二是利用好“两会”、政党协商会、议政会和建言专报、社情民意信息等平台，提出具有前瞻性、专业性和可操作性的意见建议。三是坚持建言资政和凝聚共识双向发力，凝聚专家力量，围绕政党协商相关课题开展大调研，最大程度地把智慧和力量汇聚起来。四是开展参政议政培训，创新专家智库建设，壮大参政议政人才队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none"/>
          <w:lang w:eastAsia="zh-CN"/>
        </w:rPr>
      </w:pPr>
      <w:r>
        <w:rPr>
          <w:rFonts w:hint="eastAsia" w:ascii="仿宋_GB2312" w:eastAsia="仿宋_GB2312" w:cs="宋体" w:hAnsiTheme="minorEastAsia"/>
          <w:bCs/>
          <w:color w:val="000000"/>
          <w:kern w:val="0"/>
          <w:sz w:val="32"/>
          <w:szCs w:val="32"/>
          <w:highlight w:val="none"/>
        </w:rPr>
        <w:t>发挥特色优势，不断提升社服、海联履职实效</w:t>
      </w:r>
      <w:r>
        <w:rPr>
          <w:rFonts w:hint="eastAsia" w:ascii="仿宋_GB2312" w:eastAsia="仿宋_GB2312" w:cs="宋体" w:hAnsiTheme="minorEastAsia"/>
          <w:bCs/>
          <w:color w:val="000000"/>
          <w:kern w:val="0"/>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none"/>
        </w:rPr>
      </w:pPr>
      <w:r>
        <w:rPr>
          <w:rFonts w:hint="eastAsia" w:ascii="仿宋_GB2312" w:eastAsia="仿宋_GB2312" w:cs="宋体" w:hAnsiTheme="minorEastAsia"/>
          <w:bCs/>
          <w:color w:val="000000"/>
          <w:kern w:val="0"/>
          <w:sz w:val="32"/>
          <w:szCs w:val="32"/>
          <w:highlight w:val="none"/>
        </w:rPr>
        <w:t>一是继续推进对口海淀区加快国际科技创新中心建设专项民主监督。二是继续积极参与支持门头沟发展8+1行动，推动“致爱少年”系列素质教育帮扶、气象科普进校园、“门头沟小院”民宿项目、墙绘设计项目等工作扎实开展。三是做好致公党中央部署的对口帮扶工作，为酉阳、毕节乡村振兴作出贡献。四是加强与海外华侨华人代表人士的联络，持续开展“暖侨行动”，举办“一带一路”交流会，积极参与“京华海外论坛”等活动，为凝聚海外侨界力量作出贡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eastAsia="仿宋_GB2312" w:cs="宋体" w:hAnsiTheme="minorEastAsia"/>
          <w:bCs/>
          <w:color w:val="000000"/>
          <w:kern w:val="0"/>
          <w:sz w:val="32"/>
          <w:szCs w:val="32"/>
          <w:highlight w:val="none"/>
          <w:lang w:eastAsia="zh-CN"/>
        </w:rPr>
      </w:pPr>
      <w:r>
        <w:rPr>
          <w:rFonts w:hint="eastAsia" w:ascii="仿宋_GB2312" w:eastAsia="仿宋_GB2312" w:cs="宋体" w:hAnsiTheme="minorEastAsia"/>
          <w:bCs/>
          <w:color w:val="000000"/>
          <w:kern w:val="0"/>
          <w:sz w:val="32"/>
          <w:szCs w:val="32"/>
          <w:highlight w:val="none"/>
          <w:lang w:eastAsia="zh-CN"/>
        </w:rPr>
        <w:t>坚守合作初心，胸怀“国之大者”，践行职责使命。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宋体" w:hAnsiTheme="minorEastAsia"/>
          <w:bCs/>
          <w:color w:val="000000"/>
          <w:kern w:val="0"/>
          <w:sz w:val="32"/>
          <w:szCs w:val="32"/>
          <w:highlight w:val="none"/>
          <w:lang w:eastAsia="zh-CN"/>
        </w:rPr>
      </w:pPr>
      <w:r>
        <w:rPr>
          <w:rFonts w:hint="eastAsia" w:ascii="仿宋_GB2312" w:eastAsia="仿宋_GB2312" w:cs="宋体" w:hAnsiTheme="minorEastAsia"/>
          <w:bCs/>
          <w:color w:val="000000"/>
          <w:kern w:val="0"/>
          <w:sz w:val="32"/>
          <w:szCs w:val="32"/>
          <w:highlight w:val="none"/>
          <w:lang w:eastAsia="zh-CN"/>
        </w:rPr>
        <w:t>以习近平同志为核心的中共中央周围，深入学习贯彻中共二十大和致公党十六大精神，致力为公跟党走，侨海报国建新功，为大力推动新时代首都发展、奋力谱写全面建设社会主义现代化国家的北京篇章作出更大贡献。</w:t>
      </w:r>
    </w:p>
    <w:p>
      <w:pPr>
        <w:spacing w:line="360" w:lineRule="auto"/>
        <w:ind w:firstLine="640" w:firstLineChars="200"/>
        <w:outlineLvl w:val="0"/>
        <w:rPr>
          <w:rFonts w:ascii="黑体" w:hAnsi="黑体" w:eastAsia="黑体" w:cs="仿宋_GB2312"/>
          <w:color w:val="000000"/>
          <w:kern w:val="0"/>
          <w:sz w:val="32"/>
          <w:szCs w:val="32"/>
        </w:rPr>
      </w:pPr>
      <w:bookmarkStart w:id="6" w:name="_Toc132635981"/>
      <w:r>
        <w:rPr>
          <w:rFonts w:hint="eastAsia" w:ascii="黑体" w:hAnsi="黑体" w:eastAsia="黑体" w:cs="仿宋_GB2312"/>
          <w:color w:val="000000"/>
          <w:kern w:val="0"/>
          <w:sz w:val="32"/>
          <w:szCs w:val="32"/>
        </w:rPr>
        <w:t>二、当年预算执行情况</w:t>
      </w:r>
      <w:bookmarkEnd w:id="6"/>
    </w:p>
    <w:p>
      <w:pPr>
        <w:spacing w:line="360" w:lineRule="auto"/>
        <w:ind w:firstLine="640" w:firstLineChars="200"/>
        <w:rPr>
          <w:rFonts w:ascii="仿宋_GB2312" w:hAnsi="仿宋_GB2312" w:eastAsia="仿宋_GB2312" w:cs="仿宋_GB2312"/>
          <w:color w:val="000000"/>
          <w:kern w:val="0"/>
          <w:sz w:val="32"/>
          <w:szCs w:val="32"/>
        </w:rPr>
      </w:pPr>
      <w:bookmarkStart w:id="7" w:name="_Hlk103872600"/>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年全年预算数1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257.588251万元，其中，基本支出预算数1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128.689851万元，项目支出预算数128.8984万元，其他支出预算数0.00万元。资金总体支出1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235.855988 万元，其中，基本支出1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115.199050万元，项目支出120.656938万元，其他支出0.00万元</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预算执行率为</w:t>
      </w:r>
      <w:r>
        <w:rPr>
          <w:rFonts w:ascii="仿宋_GB2312" w:hAnsi="仿宋_GB2312" w:eastAsia="仿宋_GB2312" w:cs="仿宋_GB2312"/>
          <w:color w:val="000000"/>
          <w:kern w:val="0"/>
          <w:sz w:val="32"/>
          <w:szCs w:val="32"/>
        </w:rPr>
        <w:t>9</w:t>
      </w:r>
      <w:r>
        <w:rPr>
          <w:rFonts w:hint="eastAsia" w:ascii="仿宋_GB2312" w:hAnsi="仿宋_GB2312" w:eastAsia="仿宋_GB2312" w:cs="仿宋_GB2312"/>
          <w:color w:val="000000"/>
          <w:kern w:val="0"/>
          <w:sz w:val="32"/>
          <w:szCs w:val="32"/>
          <w:lang w:val="en-US" w:eastAsia="zh-CN"/>
        </w:rPr>
        <w:t>8</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27</w:t>
      </w:r>
      <w:r>
        <w:rPr>
          <w:rFonts w:hint="eastAsia" w:ascii="仿宋_GB2312" w:hAnsi="仿宋_GB2312" w:eastAsia="仿宋_GB2312" w:cs="仿宋_GB2312"/>
          <w:color w:val="000000"/>
          <w:kern w:val="0"/>
          <w:sz w:val="32"/>
          <w:szCs w:val="32"/>
        </w:rPr>
        <w:t>%。</w:t>
      </w:r>
      <w:bookmarkEnd w:id="7"/>
    </w:p>
    <w:p>
      <w:pPr>
        <w:spacing w:line="360" w:lineRule="auto"/>
        <w:ind w:firstLine="640" w:firstLineChars="200"/>
        <w:outlineLvl w:val="0"/>
        <w:rPr>
          <w:rFonts w:ascii="黑体" w:hAnsi="黑体" w:eastAsia="黑体" w:cs="仿宋_GB2312"/>
          <w:color w:val="000000"/>
          <w:kern w:val="0"/>
          <w:sz w:val="32"/>
          <w:szCs w:val="32"/>
        </w:rPr>
      </w:pPr>
      <w:bookmarkStart w:id="8" w:name="_Toc132635982"/>
      <w:r>
        <w:rPr>
          <w:rFonts w:hint="eastAsia" w:ascii="黑体" w:hAnsi="黑体" w:eastAsia="黑体" w:cs="仿宋_GB2312"/>
          <w:color w:val="000000"/>
          <w:kern w:val="0"/>
          <w:sz w:val="32"/>
          <w:szCs w:val="32"/>
        </w:rPr>
        <w:t>三、整体绩效目标实现情况</w:t>
      </w:r>
      <w:bookmarkEnd w:id="8"/>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2023年是全面贯彻中共二十大精神的开局之年，是三年新冠疫情防控转段后经济恢复发展的一年。致公党北京市委在致公党中央和中共北京市委的领导下，以习近平新时代中国特色社会主义思想为指导，深入学习中共二十大和二十届二中全会精神，深入贯彻习近平总书记对北京重要讲话精神，深刻领悟“两个确立”的决定性意义，不断增强“四个意识”、坚定“四个自信”、做到“两个维护”，秉持“致力为公跟党走、侨海报国建新功”的优良传统和崇高使命，紧紧围绕新时代首都发展的任务要求，不断强化思想引领，不断深化履职实践，在自身建设和参政履职中取得新进展新成效，为首都高质量发展作出了积极贡献。</w:t>
      </w:r>
    </w:p>
    <w:p>
      <w:pPr>
        <w:pStyle w:val="3"/>
        <w:spacing w:before="0" w:after="0" w:line="240" w:lineRule="auto"/>
        <w:ind w:firstLine="643" w:firstLineChars="200"/>
        <w:rPr>
          <w:rFonts w:ascii="仿宋_GB2312" w:eastAsia="仿宋_GB2312"/>
        </w:rPr>
      </w:pPr>
      <w:bookmarkStart w:id="9" w:name="_Toc132635983"/>
      <w:r>
        <w:rPr>
          <w:rFonts w:hint="eastAsia" w:ascii="仿宋_GB2312" w:eastAsia="仿宋_GB2312"/>
        </w:rPr>
        <w:t>（一）产出完成情况分析</w:t>
      </w:r>
      <w:bookmarkEnd w:id="9"/>
    </w:p>
    <w:p>
      <w:pPr>
        <w:spacing w:line="360" w:lineRule="auto"/>
        <w:ind w:firstLine="643" w:firstLineChars="20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1.深入开展主题教育，思想政治基础更加牢固。</w:t>
      </w:r>
    </w:p>
    <w:p>
      <w:pPr>
        <w:spacing w:line="360" w:lineRule="auto"/>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市委坚决落实致公党中央和中共北京市委部署，深入开展“凝心铸魂强根基、团结奋进新征程”主题教育，不断加强理论学习，强化思想引领，进一步夯实多党合作共同思想政治基础。</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理论学习更加深入。坚持科学理论武装，把学习贯彻习近平新时代中国特色社会主义思想和中共二十大精神作为首要政治任务。将政治理论学习作为历次主委会议、常委会议、全委会议的第一议题，不断强化理论学习中心组学习制度落实，建立健全常态化、规范化的学习机制。坚持领导带头学习和领学促学，班子成员带头撰写学习体会、主动到基层开展理论宣讲，参加各项主题教育活动160余人次，全体常委在理论学习中心组学习会上作了重点发言。注重个人学与集中学、线下学与线上学相结合，运用专题会、座谈会、征文、网络云课堂等，推动政治理论学习走深走实，确保始终在思想上政治上行动上同以习近平同志为核心的中共中央保持高度一致。</w:t>
      </w:r>
    </w:p>
    <w:p>
      <w:pPr>
        <w:spacing w:line="360" w:lineRule="auto"/>
        <w:ind w:firstLine="640" w:firstLineChars="200"/>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rPr>
        <w:t>主题教育活动形式丰富。主委带队深入基层开展走访调研活动，与15个区组织班子成员进行了面对面的沟通交流，了解基层组织工作情况，听取对市委工作的意见建议，进一步畅通了基层与市委之间的沟通渠道，拉近了党员和组织的距离，增强了组织的凝聚力。举办传达学习全国及北京市“两会”精神会议、纪念“五一口号”发布75周年座谈会、“团结奋斗强体魄 凝心聚力展风采”运动会，开展“京致阅读”活动，深化“书香支部”建设，各级各类主题教育活动近400次，覆盖面不断扩大、参与度持续提升。各区组织根据自身实际，积极开展了特色活动：朝阳区委推出“学思想、悟原理，我们一起读原著”有声阅读专栏，24位党员通过有声阅读的形式，带领学习《习近平著作选读》中的著作文章；西城区委组织排演了轻沉浸剧，回顾和展示了致公党与中国共产党风雨同舟的奋进历程；东城区委创新活动方式，在王府井书店建立了“京致阅读·阅读空间”；直属总支与延庆区支部联合开展工作，将主题教育与参政履职相结合，围绕乡村振兴开展研讨</w:t>
      </w:r>
      <w:r>
        <w:rPr>
          <w:rFonts w:hint="eastAsia" w:ascii="仿宋_GB2312" w:hAnsi="仿宋_GB2312" w:eastAsia="仿宋_GB2312" w:cs="仿宋_GB2312"/>
          <w:color w:val="000000"/>
          <w:kern w:val="0"/>
          <w:sz w:val="32"/>
          <w:szCs w:val="32"/>
          <w:highlight w:val="none"/>
          <w:lang w:eastAsia="zh-CN"/>
        </w:rPr>
        <w:t>。</w:t>
      </w:r>
    </w:p>
    <w:p>
      <w:pPr>
        <w:spacing w:line="360" w:lineRule="auto"/>
        <w:ind w:firstLine="640" w:firstLineChars="200"/>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lang w:eastAsia="zh-CN"/>
        </w:rPr>
        <w:t>宣传教育效能提升。大力加强思想教育工作的针对性和实效性，积极开展全市党员思想状况调研，主动做好党员舆情分析和教育引导，确保党员队伍始终做到保持“两个维护”的政治自觉、思想自觉、行动自觉。充分利用网站、微信公众号、杂志，不断提升宣传力度，宣传教育氛围进一步浓厚。</w:t>
      </w:r>
    </w:p>
    <w:p>
      <w:pPr>
        <w:spacing w:line="360" w:lineRule="auto"/>
        <w:ind w:firstLine="643" w:firstLineChars="200"/>
        <w:rPr>
          <w:rFonts w:ascii="仿宋_GB2312" w:hAnsi="仿宋_GB2312" w:eastAsia="仿宋_GB2312" w:cs="仿宋_GB2312"/>
          <w:b/>
          <w:bCs/>
          <w:color w:val="000000"/>
          <w:kern w:val="0"/>
          <w:sz w:val="32"/>
          <w:szCs w:val="32"/>
          <w:highlight w:val="yellow"/>
        </w:rPr>
      </w:pPr>
      <w:r>
        <w:rPr>
          <w:rFonts w:hint="eastAsia" w:ascii="仿宋_GB2312" w:hAnsi="仿宋_GB2312" w:eastAsia="仿宋_GB2312" w:cs="仿宋_GB2312"/>
          <w:b/>
          <w:bCs/>
          <w:color w:val="000000"/>
          <w:kern w:val="0"/>
          <w:sz w:val="32"/>
          <w:szCs w:val="32"/>
          <w:highlight w:val="none"/>
        </w:rPr>
        <w:t>2</w:t>
      </w:r>
      <w:r>
        <w:rPr>
          <w:rFonts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rPr>
        <w:t>落实新时代参政党建设要求，组织建设更加坚实。</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市委按照致公党中央和中共北京市委工作部署，落实参政党建设有关文件精神，深化“人才兴党”战略，在领导班子建设、组织发展、代表人士和党员队伍建设、专委会建设、机关建设等方面不断强化，取得了显著成效。</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领导班子建设进一步加强。研究制定《五年工作规划纲要》，指导市委未来五年工作。修订《致公党北京市委工作规则》，制定《致公党北京市委主委会工作规则》和《致公党北京市委常委会工作规则》，完善主委会议、常委会议、全委会议的议事决策机制，推进市委决策民主化、规范化。认真贯彻“三个文件、五个纪要”要求，召开市委领导班子民主生活会、述职和民主评议会，广泛听取意见建议，进行批评与自我批评，不断提高政治把握能力、参政议政能力、组织领导能力、合作共事能力和解决自身问题的能力。落实班子成员联系区组织制度，市委领导班子成员参加和指导各区组织民主生活会及述职和民主评议，推动促进区组织自身建设。</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组织发展和人才队伍建设稳步推进。进一步推进基层组织建设，新成立清华大学基层委员会、北京理工大学支部、北京大学口腔医院支部、北京医院支部、大兴机场支部，基层支部数达到109个。着力提升党员发展质量，本年度新发展党员194人，其中研究生以上学历62%，侨海关系77%，全市党员人数达到4065人，形成党员人数稳步增长、新党员素质逐年提高的良好态势。注重加强后备干部队伍建设，做好高层次人才培养工作，组织参加致公党中央、中共北京市委统战部等培训班230余人次，为代表人士队伍成长搭建平台。目前，市委联系的致公党员中有5名全国人大代表、16名市人大代表、32名区人大代表，8名全国政协委员、23名市政协委员、171名区政协委员，在各级参政议政平台上认真履职，展现责任与担当。</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内部监督不断深化。制定《中国致公党北京市委员会贯彻</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中国致公党内部监督条例</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实施办法》和《中国致公党北京市委员会内部监督委员会工作规则》，明确市委内部监督委员会的工作规范和日常监督工作任务。市委内部监督委员会派成员列席市委主委会、常委会、全会、领导班子民主生活会、述职和民主评议会等重要会议，对领导班子及领导机构成员政治素质、履职能力、作风表现、工作程序等情况进行监督。组织全市区组织负责人进行党内监督工作学习培训。对违法违纪党员依规进行了处理。</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专委会建设进一步优化。成立第十届委员会参政议政工作领导小组和 13个专委会，其中参政议政类专委会7个，工作类专委会6个，市委的工作架构进一步优化。500余名党员进入专委会，党员参政履职积极性得到更加充分</w:t>
      </w:r>
      <w:r>
        <w:rPr>
          <w:rFonts w:hint="eastAsia" w:ascii="仿宋_GB2312" w:hAnsi="仿宋_GB2312" w:eastAsia="仿宋_GB2312" w:cs="仿宋_GB2312"/>
          <w:color w:val="000000"/>
          <w:kern w:val="0"/>
          <w:sz w:val="32"/>
          <w:szCs w:val="32"/>
          <w:highlight w:val="none"/>
          <w:lang w:eastAsia="zh-CN"/>
        </w:rPr>
        <w:t>地</w:t>
      </w:r>
      <w:r>
        <w:rPr>
          <w:rFonts w:hint="eastAsia" w:ascii="仿宋_GB2312" w:hAnsi="仿宋_GB2312" w:eastAsia="仿宋_GB2312" w:cs="仿宋_GB2312"/>
          <w:color w:val="000000"/>
          <w:kern w:val="0"/>
          <w:sz w:val="32"/>
          <w:szCs w:val="32"/>
          <w:highlight w:val="none"/>
        </w:rPr>
        <w:t>发挥。各专委会在成立后第一时间展开工作，经济、科技、教育、文化、医药、法治建设、资源环境与城市发展、青年等专委会主动申报调研课题并完成调研报告15篇，社会服务与乡村振兴工作委员会举办健康科普讲座和义诊进社区活动，妇女工作委员会围绕“创建灵活就业平台，助力女性就业创业”开展调研，侨海工作委员会协助市委开展与海外华裔青少年的文化交流活动，志愿者协会赴通州区文景街道开展志愿服务项目，理论研究工作委员会组织完成10篇理论研究文章，为市委工作提供了较好的支撑。</w:t>
      </w:r>
    </w:p>
    <w:p>
      <w:pPr>
        <w:spacing w:line="360" w:lineRule="auto"/>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机关建设水平进一步提高。落实致公党中央和中共北京市委统战部要求，大力推进“新好”机关建设和“书香机关”建设。重点围绕“凝聚思想”主题，研究制定工作方案，召开动员大会进行整体部署，以“理论学习+实地教学</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集中学习+自主学习”模式开展了形式多样的学习活动，机关学习氛围浓厚。在中国致公党京津沪渝四直辖市党务工作会议上，关于“加强书香机关建设、创建学习型机关”的经验交流发言，得到与会领导一致肯定。强化机关责任意识和服务意识，圆满完成市委重大会议活动保障工作。平稳有序完成市委机关搬迁工作。</w:t>
      </w:r>
    </w:p>
    <w:p>
      <w:pPr>
        <w:spacing w:line="360" w:lineRule="auto"/>
        <w:ind w:firstLine="643" w:firstLineChars="200"/>
        <w:rPr>
          <w:rFonts w:ascii="仿宋_GB2312" w:hAnsi="仿宋_GB2312" w:eastAsia="仿宋_GB2312" w:cs="仿宋_GB2312"/>
          <w:b/>
          <w:bCs/>
          <w:color w:val="000000"/>
          <w:kern w:val="0"/>
          <w:sz w:val="32"/>
          <w:szCs w:val="32"/>
          <w:highlight w:val="yellow"/>
        </w:rPr>
      </w:pPr>
      <w:r>
        <w:rPr>
          <w:rFonts w:hint="eastAsia" w:ascii="仿宋_GB2312" w:hAnsi="仿宋_GB2312" w:eastAsia="仿宋_GB2312" w:cs="仿宋_GB2312"/>
          <w:b/>
          <w:bCs/>
          <w:color w:val="000000"/>
          <w:kern w:val="0"/>
          <w:sz w:val="32"/>
          <w:szCs w:val="32"/>
          <w:highlight w:val="none"/>
        </w:rPr>
        <w:t>3</w:t>
      </w:r>
      <w:r>
        <w:rPr>
          <w:rFonts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rPr>
        <w:t>立足新时代首都发展，议政建言实效更加突出。</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市委坚持围绕中心、服务大局，立足新时代首都发展，胸怀“国之大者”，心系“民之关切”，广泛深入调研，积极建言献策。</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参政议政工作制度机制进一步优化。修订《调研课题管理办法》《参政议政优秀成果表彰办法》《参政议政基地战略协议》，工作程序更加规范。明确经济、科技、教育、文化、医药、法治建设、资源环境与城市发展等7个专委会的主要职能为参政议政工作，参政议政的组织力量更加壮大。批准首都科技发展战略研究院、北京市科学技术研究院智库中心、北京市科学技术评价研究所、北京市隆平律师事务所、北京新动力人才创新研究院等5家单位为“致公党北京市委参政议政研究基地”，参政议政工作的专业性支撑得到进一步增强。</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调研工作力度进一步加大。坚持围绕中共北京市委、市政府的中心工作和人民群众关心关切精准选题，对医药健康产业高质量发展、国际科创中心建设、数字经济、养老服务等专题深入研究，完成调研报告92篇、理论研究文章19篇。各区组织、各专委会、各参政议政研究基地均承担了课题，参与党员超过550人次。昌平区工委4份建言获中央领导同志批示，丰台区工委、石景山区工委、大兴区总支、怀柔区支部等立足区域发展热点难点，围绕实施城南行动计划、首钢园冬奥遗产可持续利用、大兴机场临空区创新发展、怀柔科学城建设等形成了调研报告。积极协助致公党中央在京开展“推进科普事业高质量发展，服务中国式现代化建设”“推进高水平对外开放，提升贸易合作质量和水平”“加强数字人文人才培养，大力推进新文科建设”调研，完成“培育新型消费，创新消费场景，促进消费升级，提升生活品质”委托调研。顺义区支部积极参与了中央有关调研的接待工作。</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建言成果进一步丰富。不断强化调研的实效性和成果转化的及时性，大力推进“一项调研多个阶段性成果”的转化模式。主委课题“充分发挥北京科学研究与临床医学优势，推动医药健康产业高质量发展”转化形成了政党协商会发言和6个建言献策专报及专题报告，其中，闫傲霜主委代表市委在政党协商会上所做的发言，得到了中共北京市委领导的肯定，在后续的办理过程中，11条具体建议被有关政府部门在制度性文件中采纳。今年市“两会”上，提交党派提案6件、党派发言5篇、界别提案3件。致公党党员中的市人大代表提交建议、议案26件，政协委员提交提案49件。刘学增同志代表市委作《踔厉奋发，推进中关村新一轮先行先试改革》的大会发言。在尹力书记参加的议政会上，杨利慧同志代表市委作《创建长效保护机制，强化文旅融合，推动北京大运河文化带非物质文化遗产可持续发展》的发言；在殷勇市长参加的议政会上，李岱松同志代表市委作《优化科研项目组织模式，建立企业主导的产学研合作新范式》的发言，相关建议获市领导肯定。全年编报社情民意信息393篇，193篇次被相关单位采用，17篇次被批示，其中2篇建言专报和3篇信息获得尹力书记批示。</w:t>
      </w:r>
    </w:p>
    <w:p>
      <w:pPr>
        <w:spacing w:line="360" w:lineRule="auto"/>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对口海淀专项民主监督工作圆满完成。对口海淀区开展加快国际科技创新中心建设专项民主监督，是中共北京市委2021年赋予致公党北京市委的一项重要任务。三年来，市委深入学习习近平总书记对国际科创中心建设的重要指示精神，以中关村新一轮先行先试改革为切入点，以科技人才队伍建设为重点开展工作。市委主要领导带队实地调研和召开专题会议6次，走访中关村企业17家，与区内6个相关部门进行了交流座谈，海淀区委积极组织专家参加调研并提出建议。围绕科技成果转化与核心竞争力、金融与税收优惠政策、创新环境与服务等形成建言成果30余篇，其中1篇建言专报获中共北京市委主要领导批示。</w:t>
      </w:r>
    </w:p>
    <w:p>
      <w:pPr>
        <w:spacing w:line="360" w:lineRule="auto"/>
        <w:ind w:firstLine="643" w:firstLineChars="200"/>
        <w:rPr>
          <w:rFonts w:ascii="仿宋_GB2312" w:hAnsi="仿宋_GB2312" w:eastAsia="仿宋_GB2312" w:cs="仿宋_GB2312"/>
          <w:b/>
          <w:bCs/>
          <w:color w:val="000000"/>
          <w:kern w:val="0"/>
          <w:sz w:val="32"/>
          <w:szCs w:val="32"/>
          <w:highlight w:val="none"/>
        </w:rPr>
      </w:pPr>
      <w:r>
        <w:rPr>
          <w:rFonts w:ascii="仿宋_GB2312" w:hAnsi="仿宋_GB2312" w:eastAsia="仿宋_GB2312" w:cs="仿宋_GB2312"/>
          <w:b/>
          <w:bCs/>
          <w:color w:val="000000"/>
          <w:kern w:val="0"/>
          <w:sz w:val="32"/>
          <w:szCs w:val="32"/>
          <w:highlight w:val="none"/>
        </w:rPr>
        <w:t>4</w:t>
      </w:r>
      <w:r>
        <w:rPr>
          <w:rFonts w:hint="eastAsia" w:ascii="仿宋_GB2312" w:hAnsi="仿宋_GB2312" w:eastAsia="仿宋_GB2312" w:cs="仿宋_GB2312"/>
          <w:b/>
          <w:bCs/>
          <w:color w:val="000000"/>
          <w:kern w:val="0"/>
          <w:sz w:val="32"/>
          <w:szCs w:val="32"/>
          <w:highlight w:val="none"/>
        </w:rPr>
        <w:t>.发挥侨海优势，社会服务和海外联络特色更加鲜明。</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市委将社会服务和海外联络工作纳入履行职能的重要内容，积极发挥党派资源特点和专业优势，服务基层、服务群众、服务所联系的侨海人士，发挥了积极作用。</w:t>
      </w:r>
    </w:p>
    <w:p>
      <w:pPr>
        <w:spacing w:line="36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社会服务更重实效。积极推进“8+1”行动帮扶工作，继续开展“致爱少年”系列素质教育活动，对张家村开展墙绘帮扶项目，帮助付家台村规划建设村民大食堂，在斋堂镇设立中国农业大学支部专家工作站，为百花山国家级自然保护区开展专题讲座。动员组织党员和各级组织，支持房山、门头沟等地抗洪救灾及灾后重建，捐款捐物价值400余万元。启动助力平谷区推进农业中关村建设帮扶项目。门头沟区支部、房山区支部、平谷区支部积极参与了市委的社会服务工作。认真完成致公党中央帮扶任务，选派医疗专家参加“致福医疗一帮一”项目，在贵州毕节七星关区开展义诊、手术示教和心理健康培训，捐赠价值13万余元的呼吸机和100万元营养科建设资金。助推贵州省50余家企业亮相首届新发地农产品博览会。向四川省凉山州普格县、喜德县学生捐赠价值14万余元的冬衣。</w:t>
      </w:r>
    </w:p>
    <w:p>
      <w:pPr>
        <w:spacing w:line="360" w:lineRule="auto"/>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海外联络更加活跃。举办“侨海同心 聚力筑梦”第七届“一带一路”交流会，促成北欧致公协会与通州区投促中心、世界中餐业联合会，侨梦苑中欧科技创新中心与芬兰创新研究所达成合作。通州区工委积极参与了交流会的接待和协调工作。组织部分海外华侨华人参加“京华海外论坛”，推荐优秀海外青年参加华裔杰青北京研修营。开展“京致健康 为侨服务”中医药健康讲座，为德国、澳大利亚华侨华人提供医疗健康线上咨询服务。联合菲律宾中国洪门致公党总部与菲律宾侨中学院开展文化交流。全年接待香港、澳门</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瑞典、菲律宾、英国等国家和地区的10余个侨团共计189人次，与港澳台同胞及海外侨胞的友谊不断深化。</w:t>
      </w:r>
    </w:p>
    <w:p>
      <w:pPr>
        <w:pStyle w:val="3"/>
        <w:spacing w:before="0" w:after="0" w:line="240" w:lineRule="auto"/>
        <w:ind w:firstLine="643" w:firstLineChars="200"/>
        <w:rPr>
          <w:rFonts w:ascii="仿宋_GB2312" w:eastAsia="仿宋_GB2312"/>
        </w:rPr>
      </w:pPr>
      <w:bookmarkStart w:id="10" w:name="_Toc132635984"/>
      <w:r>
        <w:rPr>
          <w:rFonts w:hint="eastAsia" w:ascii="仿宋_GB2312" w:eastAsia="仿宋_GB2312"/>
        </w:rPr>
        <w:t>（二）效果实现情况分析</w:t>
      </w:r>
      <w:bookmarkEnd w:id="10"/>
    </w:p>
    <w:p>
      <w:pPr>
        <w:ind w:firstLine="640" w:firstLineChars="200"/>
        <w:rPr>
          <w:rFonts w:ascii="仿宋_GB2312" w:eastAsia="仿宋_GB2312"/>
          <w:sz w:val="32"/>
          <w:szCs w:val="32"/>
        </w:rPr>
      </w:pPr>
      <w:r>
        <w:rPr>
          <w:rFonts w:hint="eastAsia" w:ascii="仿宋_GB2312" w:eastAsia="仿宋_GB2312"/>
          <w:sz w:val="32"/>
          <w:szCs w:val="32"/>
        </w:rPr>
        <w:t>在中共北京市委坚强领导下，市委以习近平新时代中国特色社会主义思想为指导，全面学习贯彻中共二十大、致公党十六大、中共北京市第十三次代表大会和十三届二次全会精神，深入贯彻习近平总书记对北京一系列重要讲话精神，深刻领会“两个确立”的决定性意义，不断增强“四个意识”、坚定“四个自信”、做到“两个维护”，努力建设政治坚定、组织坚实、履职有力、作风优良、制度健全的中国特色社会主义参政党组织，为北京率先基本实现社会主义现代化开好局起好步贡献力量。</w:t>
      </w:r>
    </w:p>
    <w:p>
      <w:pPr>
        <w:spacing w:line="360" w:lineRule="auto"/>
        <w:ind w:firstLine="640" w:firstLineChars="200"/>
        <w:outlineLvl w:val="0"/>
        <w:rPr>
          <w:rFonts w:ascii="黑体" w:hAnsi="黑体" w:eastAsia="黑体" w:cs="仿宋_GB2312"/>
          <w:color w:val="000000"/>
          <w:kern w:val="0"/>
          <w:sz w:val="32"/>
          <w:szCs w:val="32"/>
        </w:rPr>
      </w:pPr>
      <w:bookmarkStart w:id="11" w:name="_Toc132635985"/>
      <w:r>
        <w:rPr>
          <w:rFonts w:hint="eastAsia" w:ascii="黑体" w:hAnsi="黑体" w:eastAsia="黑体" w:cs="仿宋_GB2312"/>
          <w:color w:val="000000"/>
          <w:kern w:val="0"/>
          <w:sz w:val="32"/>
          <w:szCs w:val="32"/>
        </w:rPr>
        <w:t>四、预算管理情况分析</w:t>
      </w:r>
      <w:bookmarkEnd w:id="11"/>
    </w:p>
    <w:p>
      <w:pPr>
        <w:pStyle w:val="3"/>
        <w:spacing w:before="0" w:after="0" w:line="240" w:lineRule="auto"/>
        <w:ind w:firstLine="643" w:firstLineChars="200"/>
        <w:rPr>
          <w:rFonts w:ascii="仿宋_GB2312" w:eastAsia="仿宋_GB2312"/>
        </w:rPr>
      </w:pPr>
      <w:bookmarkStart w:id="12" w:name="_Toc132635986"/>
      <w:r>
        <w:rPr>
          <w:rFonts w:hint="eastAsia" w:ascii="仿宋_GB2312" w:eastAsia="仿宋_GB2312"/>
        </w:rPr>
        <w:t>（一）财务管理</w:t>
      </w:r>
      <w:bookmarkEnd w:id="12"/>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pPr>
        <w:spacing w:line="360" w:lineRule="auto"/>
        <w:ind w:firstLine="640" w:firstLineChars="200"/>
        <w:rPr>
          <w:rFonts w:ascii="仿宋_GB2312" w:hAnsi="仿宋_GB2312" w:eastAsia="仿宋_GB2312" w:cs="仿宋_GB2312"/>
          <w:color w:val="000000"/>
          <w:kern w:val="0"/>
          <w:sz w:val="32"/>
          <w:szCs w:val="32"/>
          <w:highlight w:val="red"/>
        </w:rPr>
      </w:pPr>
      <w:r>
        <w:rPr>
          <w:rFonts w:hint="eastAsia" w:ascii="仿宋_GB2312" w:hAnsi="仿宋_GB2312" w:eastAsia="仿宋_GB2312" w:cs="仿宋_GB2312"/>
          <w:color w:val="000000"/>
          <w:kern w:val="0"/>
          <w:sz w:val="32"/>
          <w:szCs w:val="32"/>
        </w:rPr>
        <w:t>市委201</w:t>
      </w:r>
      <w:r>
        <w:rPr>
          <w:rFonts w:ascii="仿宋_GB2312" w:hAnsi="仿宋_GB2312" w:eastAsia="仿宋_GB2312" w:cs="仿宋_GB2312"/>
          <w:color w:val="000000"/>
          <w:kern w:val="0"/>
          <w:sz w:val="32"/>
          <w:szCs w:val="32"/>
        </w:rPr>
        <w:t>7</w:t>
      </w:r>
      <w:r>
        <w:rPr>
          <w:rFonts w:hint="eastAsia" w:ascii="仿宋_GB2312" w:hAnsi="仿宋_GB2312" w:eastAsia="仿宋_GB2312" w:cs="仿宋_GB2312"/>
          <w:color w:val="000000"/>
          <w:kern w:val="0"/>
          <w:sz w:val="32"/>
          <w:szCs w:val="32"/>
        </w:rPr>
        <w:t>年制定了《中国致公党北京市委员会内部控制手册》，梳理了比较完善的内控流程和管理制度。一是明确了预算编制与管理流程的业务范围，确定了财政预算编报范围、财务预算内容、财务预算编制原则及财务预算管理组织机构的任务等工作内容；二是制定了《致公党北京市委机关考勤管理办法</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档案工作管理办法</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中国致公党北京市委员会差旅费报销规定（试行）</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中国致公党北京市委员会固定资产管理办法（试行）</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中国致公党北京市委员会机关公务人员在本市开展公务活动交通补贴保障暂行办法</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中国致公党北京市委员会合同管理办法（试行）》等相关财务制度。</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2.资金使用合规性和安全性</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为规范资金使用，市委制定了《中国致公党北京市委员会调研课题管理办法（试行）》等相关制度，对资金使用进行了明确要求。</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了促进市委发展，健全内部约束机制，做好市委财务核算工作，结合本单位具体情况，不断完善内部控制流程，修订内部控制相关制度，进行财务工作职责划分，明确各方职责，能够保证预算编制、预算执行等相关工作的准确性，保证会计核算的真实性、准确性和完整性，进一步规范会计基础工作，实现会计工作水平的不断提高，保证会计工作规范有序和工作质量的不断提高。通过对预算、执行、决算等相关数据的审核，能够保证会计基础信息的真实、准确和完整。</w:t>
      </w:r>
    </w:p>
    <w:p>
      <w:pPr>
        <w:pStyle w:val="3"/>
        <w:spacing w:before="0" w:after="0" w:line="240" w:lineRule="auto"/>
        <w:ind w:firstLine="643" w:firstLineChars="200"/>
        <w:rPr>
          <w:rFonts w:ascii="仿宋_GB2312" w:eastAsia="仿宋_GB2312"/>
        </w:rPr>
      </w:pPr>
      <w:bookmarkStart w:id="13" w:name="_Toc132635987"/>
      <w:r>
        <w:rPr>
          <w:rFonts w:hint="eastAsia" w:ascii="仿宋_GB2312" w:eastAsia="仿宋_GB2312"/>
        </w:rPr>
        <w:t>（二）资产管理</w:t>
      </w:r>
      <w:bookmarkEnd w:id="13"/>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1.制度建设</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为有效贯彻党中央、国务院关于“过紧日子”的要求，有效盘活并高效使用资产，加强固定资产管理，保障固定资产的安全完整，市委修订了</w:t>
      </w:r>
      <w:r>
        <w:rPr>
          <w:rFonts w:hint="eastAsia" w:ascii="仿宋_GB2312" w:hAnsi="仿宋_GB2312" w:eastAsia="仿宋_GB2312" w:cs="仿宋_GB2312"/>
          <w:color w:val="000000"/>
          <w:kern w:val="0"/>
          <w:sz w:val="32"/>
          <w:szCs w:val="32"/>
        </w:rPr>
        <w:t>《中国致公党北京市委员会固定资产管理办法（试行）》</w:t>
      </w:r>
      <w:r>
        <w:rPr>
          <w:rFonts w:hint="eastAsia" w:ascii="仿宋_GB2312" w:hAnsi="仿宋_GB2312" w:eastAsia="仿宋_GB2312" w:cs="仿宋_GB2312"/>
          <w:sz w:val="32"/>
          <w:szCs w:val="32"/>
        </w:rPr>
        <w:t>。</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2.管理体制</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委固定资产管理实行“统一领导、归口管理、分级负责、责任到人”的管理体制。办公室负责市委固定资产的综合管理工作；财务室负责固定资产的价值管理；各处室按资产的不同形式对相关固定资产进行归口管理，负责本处室使用的各类固定资产的管理。办公室按职责实施分类协调管理，履行其管理职能，做到统一要求、统一管理、资源共享。</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3.资产日常管理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固定资产的购置分为集中购置与临时购置。集中购置申请时间为每年第三季度，各处室根据本处室发展需要填写下年度固定资产购置申请《致公党北京市委固定资产购置申请表》。经处室负责人审批后报资产管理人员汇总。资产管理人员根据各处室上报的购置申请及发展需要填写《致公党北京市委固定资产购置计划汇总表》，报财务室纳入经费预算审批程序。经费批准后，财务室通知各归口管理处室依据经费预算情况进行采购。临时购置由各处室根据特殊情况需要，填写《致公党市委固定资产购置申请表》报办公室核查库存状况，如有库存则予以调拨，若无库存，报资产管理人员、财务室审核，审核通过报主管领导审批后，各处室进行采购。</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固定资产的验收由办公室负责，验收合格后，办理固定资产登记、入库手续，建立固定资产卡片。各处室领用固定资产时需办理资产领用手续，由使用处室填写《致公党市委固定资产领用单》，经主管领导审核同意后，到办公室办理相关手续。</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4.资产转移、盘点及处置</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工作需要，对固定资产进行处室内部转移时，经处室负责人同意后进行转移，并由处室固定资产管理员负责调整登记相关的固定资产卡片及台账。需处室之间转移、转移回库的，由固定资产使用处室填写《致公党市委固定资产转移单》，经办公室审核同意后，办理转移手续。向外单位转移的固定资产须经主委办公会研究同意后，按市财政局有关要求办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固定资产的清查采取半年自查和年终清查相结合的方式。半年自查为各使用处室每半年检查本处室固定资产的管理情况，确保账账、账卡、账实相符；年终清查为办公室资产管理人员及各使用处室每年12月对固定资产进行全面清查盘点，确保账账、账卡、账实相符。清查盘点结束后，由办公室资产管理人员编制固定资产清查盘点明细表，编制固定资产年度报告。对核查中发现的问题应查明原因，及时妥善处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固定资产需要进行报废、报损处置的，由固定资产使用处室提出申请并填写《致公党市委固定资产处置申请表》，报办公室，办公室对各处室上报的报废、报损资产进行技术鉴定后填写《致公党市委固定资产处置计划汇总表》，确需报废、报损处置的报主管领导审核，审核通过后资产管理人员按照市财政局资产处的相关规定办理具体报废手续。固定资产处置数额较大的，需经主委办公会同意。</w:t>
      </w:r>
    </w:p>
    <w:p>
      <w:pPr>
        <w:pStyle w:val="3"/>
        <w:spacing w:before="0" w:after="0" w:line="240" w:lineRule="auto"/>
        <w:ind w:firstLine="643" w:firstLineChars="200"/>
        <w:rPr>
          <w:rFonts w:ascii="仿宋_GB2312" w:eastAsia="仿宋_GB2312"/>
        </w:rPr>
      </w:pPr>
      <w:bookmarkStart w:id="14" w:name="_Toc132635988"/>
      <w:r>
        <w:rPr>
          <w:rFonts w:hint="eastAsia" w:ascii="仿宋_GB2312" w:eastAsia="仿宋_GB2312"/>
        </w:rPr>
        <w:t>（三）绩效管理</w:t>
      </w:r>
      <w:bookmarkEnd w:id="14"/>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年，市委通过开展事后评价方式，持续推进预算资金全过程绩效管理。执行项目安排有方案、有绩效、有责任人的要求，严格落实按审核结果安排预算。</w:t>
      </w:r>
    </w:p>
    <w:p>
      <w:pPr>
        <w:spacing w:line="360" w:lineRule="auto"/>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按照财政要求对市委切实推动财政资金使用开展绩效评价，评价项目</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个，占部门财政预算项目总数的</w:t>
      </w:r>
      <w:r>
        <w:rPr>
          <w:rFonts w:hint="eastAsia" w:ascii="仿宋_GB2312" w:hAnsi="仿宋_GB2312" w:eastAsia="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%，涉及金额128.8984万元，其中，绩效评价项目1个，涉及金额</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06</w:t>
      </w:r>
      <w:r>
        <w:rPr>
          <w:rFonts w:hint="eastAsia" w:ascii="仿宋_GB2312" w:hAnsi="仿宋_GB2312" w:eastAsia="仿宋_GB2312" w:cs="仿宋_GB2312"/>
          <w:sz w:val="32"/>
          <w:szCs w:val="32"/>
        </w:rPr>
        <w:t>万元；单位自评项目</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个，涉及金额</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8384</w:t>
      </w:r>
      <w:r>
        <w:rPr>
          <w:rFonts w:hint="eastAsia" w:ascii="仿宋_GB2312" w:hAnsi="仿宋_GB2312" w:eastAsia="仿宋_GB2312" w:cs="仿宋_GB2312"/>
          <w:sz w:val="32"/>
          <w:szCs w:val="32"/>
        </w:rPr>
        <w:t>万元。</w:t>
      </w:r>
    </w:p>
    <w:p>
      <w:pPr>
        <w:pStyle w:val="3"/>
        <w:spacing w:before="0" w:after="0" w:line="240" w:lineRule="auto"/>
        <w:ind w:firstLine="643" w:firstLineChars="200"/>
        <w:rPr>
          <w:rFonts w:ascii="仿宋_GB2312" w:eastAsia="仿宋_GB2312"/>
        </w:rPr>
      </w:pPr>
      <w:bookmarkStart w:id="15" w:name="_Toc132635989"/>
      <w:bookmarkStart w:id="16" w:name="_Hlk103872530"/>
      <w:r>
        <w:rPr>
          <w:rFonts w:hint="eastAsia" w:ascii="仿宋_GB2312" w:eastAsia="仿宋_GB2312"/>
        </w:rPr>
        <w:t>（四）结转结余率</w:t>
      </w:r>
      <w:bookmarkEnd w:id="15"/>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年度，市委结转结余总额为</w:t>
      </w:r>
      <w:r>
        <w:rPr>
          <w:rFonts w:hint="eastAsia" w:ascii="仿宋_GB2312" w:hAnsi="仿宋_GB2312" w:eastAsia="仿宋_GB2312" w:cs="仿宋_GB2312"/>
          <w:sz w:val="32"/>
          <w:szCs w:val="32"/>
          <w:lang w:val="en-US" w:eastAsia="zh-CN"/>
        </w:rPr>
        <w:t>21</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732263</w:t>
      </w:r>
      <w:r>
        <w:rPr>
          <w:rFonts w:hint="eastAsia" w:ascii="仿宋_GB2312" w:hAnsi="仿宋_GB2312" w:eastAsia="仿宋_GB2312" w:cs="仿宋_GB2312"/>
          <w:sz w:val="32"/>
          <w:szCs w:val="32"/>
        </w:rPr>
        <w:t>万元，预算支出总额为</w:t>
      </w:r>
      <w:r>
        <w:rPr>
          <w:rFonts w:hint="eastAsia" w:ascii="仿宋_GB2312" w:hAnsi="仿宋_GB2312" w:eastAsia="仿宋_GB2312" w:cs="仿宋_GB2312"/>
          <w:sz w:val="32"/>
          <w:szCs w:val="32"/>
          <w:lang w:val="en-US" w:eastAsia="zh-CN"/>
        </w:rPr>
        <w:t>1,257</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588251</w:t>
      </w:r>
      <w:r>
        <w:rPr>
          <w:rFonts w:hint="eastAsia" w:ascii="仿宋_GB2312" w:hAnsi="仿宋_GB2312" w:eastAsia="仿宋_GB2312" w:cs="仿宋_GB2312"/>
          <w:sz w:val="32"/>
          <w:szCs w:val="32"/>
        </w:rPr>
        <w:t>万元，结转结余率</w:t>
      </w:r>
      <w:r>
        <w:rPr>
          <w:rFonts w:hint="eastAsia" w:ascii="仿宋_GB2312" w:hAnsi="仿宋_GB2312" w:eastAsia="仿宋_GB2312" w:cs="仿宋_GB2312"/>
          <w:sz w:val="32"/>
          <w:szCs w:val="32"/>
          <w:highlight w:val="none"/>
        </w:rPr>
        <w:t>=21.732263/1,257.588251*100%=</w:t>
      </w:r>
      <w:r>
        <w:rPr>
          <w:rFonts w:hint="eastAsia" w:ascii="仿宋_GB2312" w:hAnsi="仿宋_GB2312" w:eastAsia="仿宋_GB2312" w:cs="仿宋_GB2312"/>
          <w:sz w:val="32"/>
          <w:szCs w:val="32"/>
          <w:highlight w:val="none"/>
          <w:lang w:val="en-US" w:eastAsia="zh-CN"/>
        </w:rPr>
        <w:t>1</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73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w:t>
      </w:r>
    </w:p>
    <w:p>
      <w:pPr>
        <w:pStyle w:val="3"/>
        <w:spacing w:before="0" w:after="0" w:line="240" w:lineRule="auto"/>
        <w:ind w:firstLine="643" w:firstLineChars="200"/>
        <w:rPr>
          <w:rFonts w:ascii="仿宋_GB2312" w:eastAsia="仿宋_GB2312"/>
        </w:rPr>
      </w:pPr>
      <w:bookmarkStart w:id="17" w:name="_Toc132635990"/>
      <w:r>
        <w:rPr>
          <w:rFonts w:hint="eastAsia" w:ascii="仿宋_GB2312" w:eastAsia="仿宋_GB2312"/>
        </w:rPr>
        <w:t>（五）部门预决算差异率</w:t>
      </w:r>
      <w:bookmarkEnd w:id="17"/>
    </w:p>
    <w:p>
      <w:pPr>
        <w:ind w:firstLine="640" w:firstLineChars="200"/>
        <w:rPr>
          <w:rFonts w:ascii="仿宋_GB2312" w:hAnsi="仿宋_GB2312" w:eastAsia="仿宋_GB2312" w:cs="仿宋_GB2312"/>
          <w:sz w:val="32"/>
          <w:szCs w:val="32"/>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年，批复预算资金1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212.053951万元，市委部门决算支出金额为1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235.855988万元；部门预决算差异率=（1,235.855988-1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212.053951）/1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212.053951=</w:t>
      </w:r>
      <w:r>
        <w:rPr>
          <w:rFonts w:hint="eastAsia" w:ascii="仿宋_GB2312" w:eastAsia="仿宋_GB2312"/>
          <w:sz w:val="32"/>
          <w:szCs w:val="32"/>
          <w:highlight w:val="none"/>
          <w:lang w:val="en-US" w:eastAsia="zh-CN"/>
        </w:rPr>
        <w:t>1</w:t>
      </w:r>
      <w:r>
        <w:rPr>
          <w:rFonts w:ascii="仿宋_GB2312" w:eastAsia="仿宋_GB2312"/>
          <w:sz w:val="32"/>
          <w:szCs w:val="32"/>
          <w:highlight w:val="none"/>
        </w:rPr>
        <w:t>.</w:t>
      </w:r>
      <w:r>
        <w:rPr>
          <w:rFonts w:hint="eastAsia" w:ascii="仿宋_GB2312" w:eastAsia="仿宋_GB2312"/>
          <w:sz w:val="32"/>
          <w:szCs w:val="32"/>
          <w:highlight w:val="none"/>
          <w:lang w:val="en-US" w:eastAsia="zh-CN"/>
        </w:rPr>
        <w:t>96</w:t>
      </w:r>
      <w:r>
        <w:rPr>
          <w:rFonts w:hint="eastAsia" w:ascii="仿宋_GB2312" w:eastAsia="仿宋_GB2312"/>
          <w:sz w:val="32"/>
          <w:szCs w:val="32"/>
          <w:highlight w:val="none"/>
        </w:rPr>
        <w:t>%</w:t>
      </w:r>
      <w:r>
        <w:rPr>
          <w:rFonts w:hint="eastAsia" w:ascii="仿宋_GB2312" w:eastAsia="仿宋_GB2312"/>
          <w:sz w:val="32"/>
          <w:szCs w:val="32"/>
        </w:rPr>
        <w:t>。</w:t>
      </w:r>
      <w:bookmarkEnd w:id="16"/>
    </w:p>
    <w:p>
      <w:pPr>
        <w:spacing w:line="360" w:lineRule="auto"/>
        <w:ind w:firstLine="640" w:firstLineChars="200"/>
        <w:outlineLvl w:val="0"/>
        <w:rPr>
          <w:rFonts w:ascii="黑体" w:hAnsi="黑体" w:eastAsia="黑体" w:cs="仿宋_GB2312"/>
          <w:sz w:val="32"/>
          <w:szCs w:val="32"/>
        </w:rPr>
      </w:pPr>
      <w:bookmarkStart w:id="18" w:name="_Toc132635991"/>
      <w:r>
        <w:rPr>
          <w:rFonts w:hint="eastAsia" w:ascii="黑体" w:hAnsi="黑体" w:eastAsia="黑体" w:cs="仿宋_GB2312"/>
          <w:sz w:val="32"/>
          <w:szCs w:val="32"/>
        </w:rPr>
        <w:t>五、总体评价结论</w:t>
      </w:r>
      <w:bookmarkEnd w:id="18"/>
    </w:p>
    <w:p>
      <w:pPr>
        <w:pStyle w:val="3"/>
        <w:spacing w:before="0" w:after="0" w:line="240" w:lineRule="auto"/>
        <w:ind w:firstLine="643" w:firstLineChars="200"/>
        <w:rPr>
          <w:rFonts w:ascii="仿宋_GB2312" w:eastAsia="仿宋_GB2312"/>
        </w:rPr>
      </w:pPr>
      <w:bookmarkStart w:id="19" w:name="_Toc132635992"/>
      <w:r>
        <w:rPr>
          <w:rFonts w:hint="eastAsia" w:ascii="仿宋_GB2312" w:eastAsia="仿宋_GB2312"/>
        </w:rPr>
        <w:t>（一）评价得分情况</w:t>
      </w:r>
      <w:bookmarkEnd w:id="19"/>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市委202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年度部门整体绩效评价得分为</w:t>
      </w:r>
      <w:r>
        <w:rPr>
          <w:rFonts w:ascii="仿宋_GB2312" w:hAnsi="仿宋_GB2312" w:eastAsia="仿宋_GB2312" w:cs="仿宋_GB2312"/>
          <w:sz w:val="32"/>
          <w:szCs w:val="32"/>
          <w:highlight w:val="none"/>
        </w:rPr>
        <w:t>97.</w:t>
      </w:r>
      <w:r>
        <w:rPr>
          <w:rFonts w:hint="eastAsia" w:ascii="仿宋_GB2312" w:hAnsi="仿宋_GB2312" w:eastAsia="仿宋_GB2312" w:cs="仿宋_GB2312"/>
          <w:sz w:val="32"/>
          <w:szCs w:val="32"/>
          <w:highlight w:val="none"/>
          <w:lang w:val="en-US" w:eastAsia="zh-CN"/>
        </w:rPr>
        <w:t>65</w:t>
      </w:r>
      <w:r>
        <w:rPr>
          <w:rFonts w:hint="eastAsia" w:ascii="仿宋_GB2312" w:hAnsi="仿宋_GB2312" w:eastAsia="仿宋_GB2312" w:cs="仿宋_GB2312"/>
          <w:sz w:val="32"/>
          <w:szCs w:val="32"/>
          <w:highlight w:val="none"/>
        </w:rPr>
        <w:t>分，绩效级别为“优秀”。其中，当年预算执行情况</w:t>
      </w:r>
      <w:r>
        <w:rPr>
          <w:rFonts w:ascii="仿宋_GB2312" w:hAnsi="仿宋_GB2312" w:eastAsia="仿宋_GB2312" w:cs="仿宋_GB2312"/>
          <w:sz w:val="32"/>
          <w:szCs w:val="32"/>
          <w:highlight w:val="none"/>
        </w:rPr>
        <w:t>19.</w:t>
      </w:r>
      <w:r>
        <w:rPr>
          <w:rFonts w:hint="eastAsia" w:ascii="仿宋_GB2312" w:hAnsi="仿宋_GB2312" w:eastAsia="仿宋_GB2312" w:cs="仿宋_GB2312"/>
          <w:sz w:val="32"/>
          <w:szCs w:val="32"/>
          <w:highlight w:val="none"/>
          <w:lang w:val="en-US" w:eastAsia="zh-CN"/>
        </w:rPr>
        <w:t>65</w:t>
      </w:r>
      <w:r>
        <w:rPr>
          <w:rFonts w:hint="eastAsia" w:ascii="仿宋_GB2312" w:hAnsi="仿宋_GB2312" w:eastAsia="仿宋_GB2312" w:cs="仿宋_GB2312"/>
          <w:sz w:val="32"/>
          <w:szCs w:val="32"/>
          <w:highlight w:val="none"/>
        </w:rPr>
        <w:t>分，整体绩效目标实现情况</w:t>
      </w:r>
      <w:r>
        <w:rPr>
          <w:rFonts w:ascii="仿宋_GB2312" w:hAnsi="仿宋_GB2312" w:eastAsia="仿宋_GB2312" w:cs="仿宋_GB2312"/>
          <w:sz w:val="32"/>
          <w:szCs w:val="32"/>
          <w:highlight w:val="none"/>
        </w:rPr>
        <w:t>60</w:t>
      </w:r>
      <w:r>
        <w:rPr>
          <w:rFonts w:hint="eastAsia" w:ascii="仿宋_GB2312" w:hAnsi="仿宋_GB2312" w:eastAsia="仿宋_GB2312" w:cs="仿宋_GB2312"/>
          <w:sz w:val="32"/>
          <w:szCs w:val="32"/>
          <w:highlight w:val="none"/>
        </w:rPr>
        <w:t>分，预算管理情况</w:t>
      </w:r>
      <w:r>
        <w:rPr>
          <w:rFonts w:ascii="仿宋_GB2312" w:hAnsi="仿宋_GB2312" w:eastAsia="仿宋_GB2312" w:cs="仿宋_GB2312"/>
          <w:sz w:val="32"/>
          <w:szCs w:val="32"/>
          <w:highlight w:val="none"/>
        </w:rPr>
        <w:t>18</w:t>
      </w:r>
      <w:r>
        <w:rPr>
          <w:rFonts w:hint="eastAsia" w:ascii="仿宋_GB2312" w:hAnsi="仿宋_GB2312" w:eastAsia="仿宋_GB2312" w:cs="仿宋_GB2312"/>
          <w:sz w:val="32"/>
          <w:szCs w:val="32"/>
          <w:highlight w:val="none"/>
        </w:rPr>
        <w:t>分。</w:t>
      </w:r>
    </w:p>
    <w:p>
      <w:pPr>
        <w:pStyle w:val="3"/>
        <w:spacing w:before="0" w:after="0" w:line="240" w:lineRule="auto"/>
        <w:ind w:firstLine="643" w:firstLineChars="200"/>
        <w:rPr>
          <w:rFonts w:ascii="仿宋_GB2312" w:eastAsia="仿宋_GB2312"/>
        </w:rPr>
      </w:pPr>
      <w:bookmarkStart w:id="20" w:name="_Toc132635993"/>
      <w:r>
        <w:rPr>
          <w:rFonts w:hint="eastAsia" w:ascii="仿宋_GB2312" w:eastAsia="仿宋_GB2312"/>
        </w:rPr>
        <w:t>（二）存在的问题及原因分析</w:t>
      </w:r>
      <w:bookmarkEnd w:id="20"/>
    </w:p>
    <w:p>
      <w:pPr>
        <w:ind w:firstLine="640" w:firstLineChars="200"/>
        <w:rPr>
          <w:rFonts w:ascii="仿宋_GB2312" w:eastAsia="仿宋_GB2312"/>
          <w:sz w:val="32"/>
          <w:szCs w:val="32"/>
        </w:rPr>
      </w:pPr>
      <w:r>
        <w:rPr>
          <w:rFonts w:hint="eastAsia" w:ascii="仿宋_GB2312" w:eastAsia="仿宋_GB2312"/>
          <w:sz w:val="32"/>
          <w:szCs w:val="32"/>
        </w:rPr>
        <w:t>1.当年预算执行率为98.27%，影响财政资金使用效率。</w:t>
      </w:r>
    </w:p>
    <w:p>
      <w:pPr>
        <w:ind w:firstLine="640" w:firstLineChars="200"/>
      </w:pPr>
      <w:r>
        <w:rPr>
          <w:rFonts w:hint="eastAsia" w:ascii="仿宋_GB2312" w:eastAsia="仿宋_GB2312"/>
          <w:sz w:val="32"/>
          <w:szCs w:val="32"/>
        </w:rPr>
        <w:t>2.个别项目绩效目标及指标存在偏离，未能根据项目的实际情况及时进行调整。</w:t>
      </w:r>
    </w:p>
    <w:p>
      <w:pPr>
        <w:spacing w:line="360" w:lineRule="auto"/>
        <w:ind w:firstLine="640" w:firstLineChars="200"/>
        <w:outlineLvl w:val="0"/>
        <w:rPr>
          <w:rFonts w:ascii="仿宋_GB2312" w:hAnsi="宋体" w:eastAsia="仿宋_GB2312" w:cs="宋体"/>
          <w:color w:val="000000"/>
          <w:kern w:val="0"/>
          <w:sz w:val="32"/>
          <w:szCs w:val="32"/>
        </w:rPr>
      </w:pPr>
      <w:bookmarkStart w:id="21" w:name="_Toc132635994"/>
      <w:r>
        <w:rPr>
          <w:rFonts w:hint="eastAsia" w:ascii="黑体" w:hAnsi="黑体" w:eastAsia="黑体" w:cs="仿宋_GB2312"/>
          <w:color w:val="000000"/>
          <w:kern w:val="0"/>
          <w:sz w:val="32"/>
          <w:szCs w:val="32"/>
        </w:rPr>
        <w:t>六、措施建议</w:t>
      </w:r>
      <w:r>
        <w:rPr>
          <w:rFonts w:hint="eastAsia" w:ascii="仿宋_GB2312" w:hAnsi="仿宋_GB2312" w:eastAsia="仿宋_GB2312" w:cs="仿宋_GB2312"/>
          <w:color w:val="000000"/>
          <w:kern w:val="0"/>
          <w:sz w:val="32"/>
          <w:szCs w:val="32"/>
        </w:rPr>
        <w:t>（整改措施、下一步工作举措）</w:t>
      </w:r>
      <w:bookmarkEnd w:id="21"/>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加强预算执行的精细化管理，各主责部门合理安排支出进度，按季将各部门经费支出情况挂网公布，推动项目实施进度和资金支付进度，进一步提高财政资金使用绩效。加大内部考核，将资金执行进度、资金使用效果纳入考核。</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2.定期开展财政资金管理要求及预算绩效管理培训，将市财政局的考核要求及政策要求进行宣贯，深入落实“花钱必问效、无效必问责”的理念。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3.加大内部考核的结果应用，对执行率达不到要求，由执行部门按季出具情况说明，理由不充分不合理的，年中调整和明年预算申报时按执行率相应核减预算经费。</w:t>
      </w:r>
    </w:p>
    <w:p>
      <w:pPr>
        <w:spacing w:line="560" w:lineRule="exact"/>
        <w:ind w:firstLine="420" w:firstLineChars="200"/>
      </w:pPr>
    </w:p>
    <w:sectPr>
      <w:headerReference r:id="rId4" w:type="default"/>
      <w:footerReference r:id="rId5" w:type="default"/>
      <w:pgSz w:w="11906" w:h="16838"/>
      <w:pgMar w:top="1440" w:right="1800" w:bottom="1440" w:left="1800" w:header="851" w:footer="992" w:gutter="0"/>
      <w:pgNumType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4396105</wp:posOffset>
              </wp:positionH>
              <wp:positionV relativeFrom="paragraph">
                <wp:posOffset>635</wp:posOffset>
              </wp:positionV>
              <wp:extent cx="175895" cy="154940"/>
              <wp:effectExtent l="0" t="0" r="15240" b="0"/>
              <wp:wrapNone/>
              <wp:docPr id="1" name="文本框 1"/>
              <wp:cNvGraphicFramePr/>
              <a:graphic xmlns:a="http://schemas.openxmlformats.org/drawingml/2006/main">
                <a:graphicData uri="http://schemas.microsoft.com/office/word/2010/wordprocessingShape">
                  <wps:wsp>
                    <wps:cNvSpPr txBox="1"/>
                    <wps:spPr>
                      <a:xfrm>
                        <a:off x="0" y="0"/>
                        <a:ext cx="175846" cy="154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46.15pt;margin-top:0.05pt;height:12.2pt;width:13.85pt;mso-position-horizontal-relative:margin;z-index:251659264;mso-width-relative:page;mso-height-relative:page;" filled="f" stroked="f" coordsize="21600,21600" o:gfxdata="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127BHNUAAAAHAQAADwAAAAAAAAABACAAAAAiAAAAZHJzL2Rvd25yZXYueG1sUEsB&#10;AhQAFAAAAAgAh07iQBlawQIxAgAAVQQAAA4AAAAAAAAAAQAgAAAAJAEAAGRycy9lMm9Eb2MueG1s&#10;UEsFBgAAAAAGAAYAWQEAAMcFAAAAAA==&#10;">
              <v:fill on="f" focussize="0,0"/>
              <v:stroke on="f" weight="0.5pt"/>
              <v:imagedata o:title=""/>
              <o:lock v:ext="edit" aspectratio="f"/>
              <v:textbox inset="0mm,0mm,0mm,0mm">
                <w:txbxContent>
                  <w:p>
                    <w:pPr>
                      <w:pStyle w:val="5"/>
                    </w:pPr>
                    <w:r>
                      <w:fldChar w:fldCharType="begin"/>
                    </w:r>
                    <w:r>
                      <w:instrText xml:space="preserve"> PAGE  \* MERGEFORMAT </w:instrText>
                    </w:r>
                    <w:r>
                      <w:fldChar w:fldCharType="separate"/>
                    </w:r>
                    <w:r>
                      <w:t>- 3 -</w:t>
                    </w:r>
                    <w:r>
                      <w:fldChar w:fldCharType="end"/>
                    </w: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98CB17"/>
    <w:multiLevelType w:val="singleLevel"/>
    <w:tmpl w:val="6298CB1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31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kNDliNTkyYzk4ZGZiNjA1NWI4MmViNmNlYWMwNDAifQ=="/>
  </w:docVars>
  <w:rsids>
    <w:rsidRoot w:val="006B32E2"/>
    <w:rsid w:val="0003043D"/>
    <w:rsid w:val="000710D6"/>
    <w:rsid w:val="000B4AD9"/>
    <w:rsid w:val="000B60B8"/>
    <w:rsid w:val="000D70C1"/>
    <w:rsid w:val="000E7693"/>
    <w:rsid w:val="000F3523"/>
    <w:rsid w:val="001329DF"/>
    <w:rsid w:val="001643B6"/>
    <w:rsid w:val="00175807"/>
    <w:rsid w:val="00190987"/>
    <w:rsid w:val="001B53D1"/>
    <w:rsid w:val="001D7153"/>
    <w:rsid w:val="00272D2C"/>
    <w:rsid w:val="00285892"/>
    <w:rsid w:val="00292721"/>
    <w:rsid w:val="002A5982"/>
    <w:rsid w:val="002B2B3D"/>
    <w:rsid w:val="00311010"/>
    <w:rsid w:val="00316929"/>
    <w:rsid w:val="00317AA2"/>
    <w:rsid w:val="003866A1"/>
    <w:rsid w:val="00391BF9"/>
    <w:rsid w:val="003B3690"/>
    <w:rsid w:val="004134E5"/>
    <w:rsid w:val="00463089"/>
    <w:rsid w:val="00475DDD"/>
    <w:rsid w:val="004B3B32"/>
    <w:rsid w:val="004C3387"/>
    <w:rsid w:val="004C3526"/>
    <w:rsid w:val="004F5C18"/>
    <w:rsid w:val="005057D9"/>
    <w:rsid w:val="0055574E"/>
    <w:rsid w:val="00573AC3"/>
    <w:rsid w:val="00590E56"/>
    <w:rsid w:val="00597EB8"/>
    <w:rsid w:val="005C35A7"/>
    <w:rsid w:val="005C60D5"/>
    <w:rsid w:val="005D435B"/>
    <w:rsid w:val="0060504F"/>
    <w:rsid w:val="006114DA"/>
    <w:rsid w:val="0061485E"/>
    <w:rsid w:val="00615F31"/>
    <w:rsid w:val="006708AB"/>
    <w:rsid w:val="00672207"/>
    <w:rsid w:val="006B32E2"/>
    <w:rsid w:val="006B3752"/>
    <w:rsid w:val="006B75C7"/>
    <w:rsid w:val="006D3CEA"/>
    <w:rsid w:val="006D3EC5"/>
    <w:rsid w:val="006D6812"/>
    <w:rsid w:val="006E2FBC"/>
    <w:rsid w:val="00710B01"/>
    <w:rsid w:val="007442A9"/>
    <w:rsid w:val="007816F5"/>
    <w:rsid w:val="007A23A5"/>
    <w:rsid w:val="007A7379"/>
    <w:rsid w:val="007B1DCA"/>
    <w:rsid w:val="007C0F14"/>
    <w:rsid w:val="00823B2A"/>
    <w:rsid w:val="00830424"/>
    <w:rsid w:val="00852743"/>
    <w:rsid w:val="00854EED"/>
    <w:rsid w:val="00861F1A"/>
    <w:rsid w:val="00871353"/>
    <w:rsid w:val="00871D4B"/>
    <w:rsid w:val="00883851"/>
    <w:rsid w:val="008A0CA4"/>
    <w:rsid w:val="008A6B40"/>
    <w:rsid w:val="008C18B2"/>
    <w:rsid w:val="008D0C56"/>
    <w:rsid w:val="008D6F62"/>
    <w:rsid w:val="008E6E2C"/>
    <w:rsid w:val="008F5669"/>
    <w:rsid w:val="00907ECA"/>
    <w:rsid w:val="009347A9"/>
    <w:rsid w:val="009500A0"/>
    <w:rsid w:val="00950240"/>
    <w:rsid w:val="00954696"/>
    <w:rsid w:val="00966EF8"/>
    <w:rsid w:val="009A4628"/>
    <w:rsid w:val="009B7A48"/>
    <w:rsid w:val="009D249C"/>
    <w:rsid w:val="009F4E74"/>
    <w:rsid w:val="009F5978"/>
    <w:rsid w:val="00A12B71"/>
    <w:rsid w:val="00A22E90"/>
    <w:rsid w:val="00A42B07"/>
    <w:rsid w:val="00A522B2"/>
    <w:rsid w:val="00A81D7C"/>
    <w:rsid w:val="00A9032D"/>
    <w:rsid w:val="00AC123E"/>
    <w:rsid w:val="00B12AC7"/>
    <w:rsid w:val="00B415F1"/>
    <w:rsid w:val="00B640C3"/>
    <w:rsid w:val="00B66623"/>
    <w:rsid w:val="00B740AA"/>
    <w:rsid w:val="00B952E4"/>
    <w:rsid w:val="00B97A68"/>
    <w:rsid w:val="00BA4DB8"/>
    <w:rsid w:val="00BB3CED"/>
    <w:rsid w:val="00BF59A5"/>
    <w:rsid w:val="00BF68AA"/>
    <w:rsid w:val="00C101E7"/>
    <w:rsid w:val="00C240F1"/>
    <w:rsid w:val="00C5498B"/>
    <w:rsid w:val="00CA07ED"/>
    <w:rsid w:val="00CB1B09"/>
    <w:rsid w:val="00CD49B4"/>
    <w:rsid w:val="00D0182D"/>
    <w:rsid w:val="00D62981"/>
    <w:rsid w:val="00D62EAE"/>
    <w:rsid w:val="00D94C46"/>
    <w:rsid w:val="00DA4D59"/>
    <w:rsid w:val="00DF5E54"/>
    <w:rsid w:val="00E1752D"/>
    <w:rsid w:val="00E50540"/>
    <w:rsid w:val="00E875D7"/>
    <w:rsid w:val="00EE0B25"/>
    <w:rsid w:val="00EE1A40"/>
    <w:rsid w:val="00F05DA4"/>
    <w:rsid w:val="00F30778"/>
    <w:rsid w:val="00F769DC"/>
    <w:rsid w:val="00FB2F08"/>
    <w:rsid w:val="00FB3E68"/>
    <w:rsid w:val="00FD5DA5"/>
    <w:rsid w:val="018F2EE2"/>
    <w:rsid w:val="020967F0"/>
    <w:rsid w:val="02254FCF"/>
    <w:rsid w:val="02331ABF"/>
    <w:rsid w:val="03045209"/>
    <w:rsid w:val="033F6241"/>
    <w:rsid w:val="03F60FF6"/>
    <w:rsid w:val="04463D2B"/>
    <w:rsid w:val="049F51EA"/>
    <w:rsid w:val="064A387B"/>
    <w:rsid w:val="06667CE7"/>
    <w:rsid w:val="067F1777"/>
    <w:rsid w:val="06D27AF8"/>
    <w:rsid w:val="086E1AA3"/>
    <w:rsid w:val="09FC6C3A"/>
    <w:rsid w:val="0A1026E6"/>
    <w:rsid w:val="0B19468D"/>
    <w:rsid w:val="0B6D5629"/>
    <w:rsid w:val="0C1C7A68"/>
    <w:rsid w:val="0CE045F1"/>
    <w:rsid w:val="0D1D3A97"/>
    <w:rsid w:val="0D6B035F"/>
    <w:rsid w:val="0D894C89"/>
    <w:rsid w:val="0E440BB0"/>
    <w:rsid w:val="0ECF491D"/>
    <w:rsid w:val="0F5B515F"/>
    <w:rsid w:val="0FDA030E"/>
    <w:rsid w:val="108C6F6A"/>
    <w:rsid w:val="109B71AD"/>
    <w:rsid w:val="10D80401"/>
    <w:rsid w:val="10F66AD9"/>
    <w:rsid w:val="10F845FF"/>
    <w:rsid w:val="113D2012"/>
    <w:rsid w:val="11673533"/>
    <w:rsid w:val="11E626AA"/>
    <w:rsid w:val="12435D4E"/>
    <w:rsid w:val="12DB5F87"/>
    <w:rsid w:val="140908D1"/>
    <w:rsid w:val="142D2812"/>
    <w:rsid w:val="143C0BC9"/>
    <w:rsid w:val="14665D24"/>
    <w:rsid w:val="1497412F"/>
    <w:rsid w:val="15BD7BC5"/>
    <w:rsid w:val="15E0481E"/>
    <w:rsid w:val="16435340"/>
    <w:rsid w:val="16D74CB7"/>
    <w:rsid w:val="172E5F1A"/>
    <w:rsid w:val="173B6FF4"/>
    <w:rsid w:val="177469AA"/>
    <w:rsid w:val="178D1819"/>
    <w:rsid w:val="17961C40"/>
    <w:rsid w:val="188B5D59"/>
    <w:rsid w:val="189A5F9C"/>
    <w:rsid w:val="19481E9C"/>
    <w:rsid w:val="1A3B555D"/>
    <w:rsid w:val="1AC47300"/>
    <w:rsid w:val="1B302BE8"/>
    <w:rsid w:val="1CCC06EE"/>
    <w:rsid w:val="1D3544E5"/>
    <w:rsid w:val="1D37200B"/>
    <w:rsid w:val="1DC00253"/>
    <w:rsid w:val="1E6C3F37"/>
    <w:rsid w:val="1EFB350D"/>
    <w:rsid w:val="1F4275D2"/>
    <w:rsid w:val="1FD47FE6"/>
    <w:rsid w:val="1FF468DA"/>
    <w:rsid w:val="20032679"/>
    <w:rsid w:val="20727346"/>
    <w:rsid w:val="20855784"/>
    <w:rsid w:val="220821C8"/>
    <w:rsid w:val="2217240B"/>
    <w:rsid w:val="222D1C2F"/>
    <w:rsid w:val="22456F79"/>
    <w:rsid w:val="22765384"/>
    <w:rsid w:val="231D7342"/>
    <w:rsid w:val="234B4A63"/>
    <w:rsid w:val="23A3664D"/>
    <w:rsid w:val="23CE7442"/>
    <w:rsid w:val="23E47645"/>
    <w:rsid w:val="24172B97"/>
    <w:rsid w:val="242E1C8E"/>
    <w:rsid w:val="255D0959"/>
    <w:rsid w:val="258B55EA"/>
    <w:rsid w:val="25FD7B6A"/>
    <w:rsid w:val="26867B60"/>
    <w:rsid w:val="269E30FB"/>
    <w:rsid w:val="27F3369B"/>
    <w:rsid w:val="29201D91"/>
    <w:rsid w:val="29D07A70"/>
    <w:rsid w:val="2A5C1303"/>
    <w:rsid w:val="2AB253C7"/>
    <w:rsid w:val="2AB63109"/>
    <w:rsid w:val="2B34464A"/>
    <w:rsid w:val="2B434959"/>
    <w:rsid w:val="2B4C75CA"/>
    <w:rsid w:val="2B9E76FA"/>
    <w:rsid w:val="2BAE1609"/>
    <w:rsid w:val="2C4C57BC"/>
    <w:rsid w:val="2C9D5C03"/>
    <w:rsid w:val="2D6A3D37"/>
    <w:rsid w:val="2D88240F"/>
    <w:rsid w:val="2DAF5BEE"/>
    <w:rsid w:val="2DBA39DB"/>
    <w:rsid w:val="2E1E4B22"/>
    <w:rsid w:val="2E33681F"/>
    <w:rsid w:val="2E8B21B7"/>
    <w:rsid w:val="2EDA4EED"/>
    <w:rsid w:val="2F6A2714"/>
    <w:rsid w:val="308E2433"/>
    <w:rsid w:val="30FD4EC2"/>
    <w:rsid w:val="317A4765"/>
    <w:rsid w:val="31B1462B"/>
    <w:rsid w:val="31EA3699"/>
    <w:rsid w:val="329A50BF"/>
    <w:rsid w:val="32AC08B4"/>
    <w:rsid w:val="32CE4D68"/>
    <w:rsid w:val="332C1A8F"/>
    <w:rsid w:val="337F252B"/>
    <w:rsid w:val="3390201E"/>
    <w:rsid w:val="33FB7DDF"/>
    <w:rsid w:val="34CC0F05"/>
    <w:rsid w:val="35447564"/>
    <w:rsid w:val="357F059C"/>
    <w:rsid w:val="35F25212"/>
    <w:rsid w:val="360D3DFA"/>
    <w:rsid w:val="36146F36"/>
    <w:rsid w:val="362D624A"/>
    <w:rsid w:val="369736C3"/>
    <w:rsid w:val="36AA789A"/>
    <w:rsid w:val="36B50719"/>
    <w:rsid w:val="36CF172B"/>
    <w:rsid w:val="36FB00F6"/>
    <w:rsid w:val="37C663F0"/>
    <w:rsid w:val="37F76B0F"/>
    <w:rsid w:val="381D755C"/>
    <w:rsid w:val="38284F1B"/>
    <w:rsid w:val="394418E0"/>
    <w:rsid w:val="396B1563"/>
    <w:rsid w:val="3A39340F"/>
    <w:rsid w:val="3AA27206"/>
    <w:rsid w:val="3AA80595"/>
    <w:rsid w:val="3AA82343"/>
    <w:rsid w:val="3B082DE1"/>
    <w:rsid w:val="3B167C0B"/>
    <w:rsid w:val="3BAF23CD"/>
    <w:rsid w:val="3CA628B2"/>
    <w:rsid w:val="3CD25455"/>
    <w:rsid w:val="3CF74EBC"/>
    <w:rsid w:val="3D233F03"/>
    <w:rsid w:val="3D874491"/>
    <w:rsid w:val="3DB159B2"/>
    <w:rsid w:val="3E2E2B5F"/>
    <w:rsid w:val="3F4A5777"/>
    <w:rsid w:val="3F4F5483"/>
    <w:rsid w:val="3F500D36"/>
    <w:rsid w:val="40C33A32"/>
    <w:rsid w:val="413B181B"/>
    <w:rsid w:val="41DD28D2"/>
    <w:rsid w:val="43100A85"/>
    <w:rsid w:val="434370AD"/>
    <w:rsid w:val="4352109E"/>
    <w:rsid w:val="43E02B4D"/>
    <w:rsid w:val="44056110"/>
    <w:rsid w:val="44112439"/>
    <w:rsid w:val="44315157"/>
    <w:rsid w:val="447D65EE"/>
    <w:rsid w:val="4513380A"/>
    <w:rsid w:val="456F5F37"/>
    <w:rsid w:val="473A2575"/>
    <w:rsid w:val="473F5DDD"/>
    <w:rsid w:val="474D04FA"/>
    <w:rsid w:val="47727F60"/>
    <w:rsid w:val="480A1F47"/>
    <w:rsid w:val="4837077E"/>
    <w:rsid w:val="48825F81"/>
    <w:rsid w:val="49325BF9"/>
    <w:rsid w:val="4958156F"/>
    <w:rsid w:val="49811327"/>
    <w:rsid w:val="499A379E"/>
    <w:rsid w:val="4A8F4985"/>
    <w:rsid w:val="4B0233A9"/>
    <w:rsid w:val="4B9D30D2"/>
    <w:rsid w:val="4C983FC5"/>
    <w:rsid w:val="4DC86B2C"/>
    <w:rsid w:val="4F361873"/>
    <w:rsid w:val="4FE15C83"/>
    <w:rsid w:val="50354221"/>
    <w:rsid w:val="508B425D"/>
    <w:rsid w:val="509B0528"/>
    <w:rsid w:val="50B27897"/>
    <w:rsid w:val="510065DD"/>
    <w:rsid w:val="51383FC9"/>
    <w:rsid w:val="51475FBA"/>
    <w:rsid w:val="51516E38"/>
    <w:rsid w:val="52614E59"/>
    <w:rsid w:val="526D37FE"/>
    <w:rsid w:val="52857403"/>
    <w:rsid w:val="52900EEF"/>
    <w:rsid w:val="537137C2"/>
    <w:rsid w:val="538E1C7E"/>
    <w:rsid w:val="54B971CF"/>
    <w:rsid w:val="550D12C8"/>
    <w:rsid w:val="551E176E"/>
    <w:rsid w:val="554D7917"/>
    <w:rsid w:val="559B0682"/>
    <w:rsid w:val="55A51501"/>
    <w:rsid w:val="55B02A26"/>
    <w:rsid w:val="55D6244F"/>
    <w:rsid w:val="55F869F5"/>
    <w:rsid w:val="56270168"/>
    <w:rsid w:val="563F3703"/>
    <w:rsid w:val="56AF0889"/>
    <w:rsid w:val="56F3629C"/>
    <w:rsid w:val="573E7E5F"/>
    <w:rsid w:val="57831D16"/>
    <w:rsid w:val="578A2E8A"/>
    <w:rsid w:val="57AC301B"/>
    <w:rsid w:val="57B36157"/>
    <w:rsid w:val="57C739B1"/>
    <w:rsid w:val="57D83E10"/>
    <w:rsid w:val="57DE0CFA"/>
    <w:rsid w:val="584C2108"/>
    <w:rsid w:val="585B1260"/>
    <w:rsid w:val="58BA64F2"/>
    <w:rsid w:val="58D2260D"/>
    <w:rsid w:val="58EB7B73"/>
    <w:rsid w:val="590747AB"/>
    <w:rsid w:val="592310BA"/>
    <w:rsid w:val="5A184997"/>
    <w:rsid w:val="5A250E62"/>
    <w:rsid w:val="5A6F20DD"/>
    <w:rsid w:val="5A8262B5"/>
    <w:rsid w:val="5B2F01EA"/>
    <w:rsid w:val="5B490B80"/>
    <w:rsid w:val="5B5063B8"/>
    <w:rsid w:val="5B5E287E"/>
    <w:rsid w:val="5B6B6D49"/>
    <w:rsid w:val="5BB406F0"/>
    <w:rsid w:val="5D0B07E3"/>
    <w:rsid w:val="5D505750"/>
    <w:rsid w:val="5E1C432A"/>
    <w:rsid w:val="5E7B5776"/>
    <w:rsid w:val="5EAF519E"/>
    <w:rsid w:val="5ECC7AFE"/>
    <w:rsid w:val="5ED74E21"/>
    <w:rsid w:val="5F621ECE"/>
    <w:rsid w:val="5FD7780E"/>
    <w:rsid w:val="601614EA"/>
    <w:rsid w:val="606326E4"/>
    <w:rsid w:val="60821D7D"/>
    <w:rsid w:val="60E27AAD"/>
    <w:rsid w:val="6142679E"/>
    <w:rsid w:val="61A84853"/>
    <w:rsid w:val="61BA6334"/>
    <w:rsid w:val="62AA45FB"/>
    <w:rsid w:val="63952BB5"/>
    <w:rsid w:val="63D062E3"/>
    <w:rsid w:val="64D67929"/>
    <w:rsid w:val="64EA6F30"/>
    <w:rsid w:val="653D08B4"/>
    <w:rsid w:val="66303069"/>
    <w:rsid w:val="666920D7"/>
    <w:rsid w:val="66723681"/>
    <w:rsid w:val="66FC6544"/>
    <w:rsid w:val="67317098"/>
    <w:rsid w:val="67A41618"/>
    <w:rsid w:val="681A18DB"/>
    <w:rsid w:val="68E65C61"/>
    <w:rsid w:val="68F4037D"/>
    <w:rsid w:val="691F0159"/>
    <w:rsid w:val="69796AD5"/>
    <w:rsid w:val="69951B60"/>
    <w:rsid w:val="69BD4E08"/>
    <w:rsid w:val="6A136F29"/>
    <w:rsid w:val="6A1A3E14"/>
    <w:rsid w:val="6A55309E"/>
    <w:rsid w:val="6A6B0B13"/>
    <w:rsid w:val="6ADE7537"/>
    <w:rsid w:val="6B032AFA"/>
    <w:rsid w:val="6B457C0B"/>
    <w:rsid w:val="6B4B624F"/>
    <w:rsid w:val="6B8963CF"/>
    <w:rsid w:val="6C4E249B"/>
    <w:rsid w:val="6D6D6950"/>
    <w:rsid w:val="6F9845C7"/>
    <w:rsid w:val="6FB40867"/>
    <w:rsid w:val="70253512"/>
    <w:rsid w:val="7064228D"/>
    <w:rsid w:val="70643377"/>
    <w:rsid w:val="70673B2B"/>
    <w:rsid w:val="709B63C5"/>
    <w:rsid w:val="70BD7BEF"/>
    <w:rsid w:val="70D54F38"/>
    <w:rsid w:val="70DD4F89"/>
    <w:rsid w:val="715220E5"/>
    <w:rsid w:val="715E6CDC"/>
    <w:rsid w:val="71C72AD3"/>
    <w:rsid w:val="72001B41"/>
    <w:rsid w:val="72DD6326"/>
    <w:rsid w:val="73261A7B"/>
    <w:rsid w:val="7346211D"/>
    <w:rsid w:val="73BE3A62"/>
    <w:rsid w:val="73C3551C"/>
    <w:rsid w:val="73CB43D1"/>
    <w:rsid w:val="740F42BD"/>
    <w:rsid w:val="742C1313"/>
    <w:rsid w:val="755A1EB0"/>
    <w:rsid w:val="75DA08FB"/>
    <w:rsid w:val="76BB072D"/>
    <w:rsid w:val="76C36542"/>
    <w:rsid w:val="77EF4B32"/>
    <w:rsid w:val="77FF289B"/>
    <w:rsid w:val="784A1D68"/>
    <w:rsid w:val="786A065C"/>
    <w:rsid w:val="78A141F4"/>
    <w:rsid w:val="78B611AB"/>
    <w:rsid w:val="79240792"/>
    <w:rsid w:val="79346574"/>
    <w:rsid w:val="7A081EDB"/>
    <w:rsid w:val="7A7B08FF"/>
    <w:rsid w:val="7AC676A0"/>
    <w:rsid w:val="7AF10BC1"/>
    <w:rsid w:val="7B0F54EB"/>
    <w:rsid w:val="7BA7127F"/>
    <w:rsid w:val="7BD76009"/>
    <w:rsid w:val="7C013085"/>
    <w:rsid w:val="7C10151B"/>
    <w:rsid w:val="7C2A25DC"/>
    <w:rsid w:val="7C7750F6"/>
    <w:rsid w:val="7C896BD7"/>
    <w:rsid w:val="7D0B0712"/>
    <w:rsid w:val="7D5D078F"/>
    <w:rsid w:val="7D6869EF"/>
    <w:rsid w:val="7EEF3736"/>
    <w:rsid w:val="7F0215EE"/>
    <w:rsid w:val="7F5434CC"/>
    <w:rsid w:val="7F6C4CBA"/>
    <w:rsid w:val="7F8C2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7"/>
    <w:autoRedefine/>
    <w:qFormat/>
    <w:uiPriority w:val="0"/>
    <w:pPr>
      <w:jc w:val="left"/>
    </w:p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39"/>
  </w:style>
  <w:style w:type="paragraph" w:styleId="8">
    <w:name w:val="toc 2"/>
    <w:basedOn w:val="1"/>
    <w:next w:val="1"/>
    <w:autoRedefine/>
    <w:qFormat/>
    <w:uiPriority w:val="39"/>
    <w:pPr>
      <w:ind w:left="420" w:leftChars="200"/>
    </w:pPr>
  </w:style>
  <w:style w:type="paragraph" w:styleId="9">
    <w:name w:val="annotation subject"/>
    <w:basedOn w:val="4"/>
    <w:next w:val="4"/>
    <w:link w:val="18"/>
    <w:uiPriority w:val="0"/>
    <w:rPr>
      <w:b/>
      <w:bCs/>
    </w:rPr>
  </w:style>
  <w:style w:type="character" w:styleId="12">
    <w:name w:val="Hyperlink"/>
    <w:basedOn w:val="11"/>
    <w:autoRedefine/>
    <w:unhideWhenUsed/>
    <w:qFormat/>
    <w:uiPriority w:val="99"/>
    <w:rPr>
      <w:color w:val="0000FF" w:themeColor="hyperlink"/>
      <w:u w:val="single"/>
      <w14:textFill>
        <w14:solidFill>
          <w14:schemeClr w14:val="hlink"/>
        </w14:solidFill>
      </w14:textFill>
    </w:rPr>
  </w:style>
  <w:style w:type="character" w:styleId="13">
    <w:name w:val="annotation reference"/>
    <w:basedOn w:val="11"/>
    <w:autoRedefine/>
    <w:qFormat/>
    <w:uiPriority w:val="0"/>
    <w:rPr>
      <w:sz w:val="21"/>
      <w:szCs w:val="21"/>
    </w:rPr>
  </w:style>
  <w:style w:type="paragraph" w:customStyle="1" w:styleId="14">
    <w:name w:val="列出段落1"/>
    <w:basedOn w:val="1"/>
    <w:autoRedefine/>
    <w:qFormat/>
    <w:uiPriority w:val="34"/>
    <w:pPr>
      <w:ind w:firstLine="420" w:firstLineChars="200"/>
    </w:pPr>
    <w:rPr>
      <w:rFonts w:ascii="Calibri" w:hAnsi="Calibri" w:cs="黑体"/>
      <w:szCs w:val="22"/>
    </w:rPr>
  </w:style>
  <w:style w:type="paragraph" w:customStyle="1" w:styleId="15">
    <w:name w:val="WPSOffice手动目录 1"/>
    <w:autoRedefine/>
    <w:qFormat/>
    <w:uiPriority w:val="0"/>
    <w:rPr>
      <w:rFonts w:ascii="Calibri" w:hAnsi="Calibri" w:eastAsia="宋体" w:cs="宋体"/>
      <w:lang w:val="en-US" w:eastAsia="zh-CN" w:bidi="ar-SA"/>
    </w:rPr>
  </w:style>
  <w:style w:type="paragraph" w:customStyle="1" w:styleId="16">
    <w:name w:val="WPSOffice手动目录 2"/>
    <w:autoRedefine/>
    <w:qFormat/>
    <w:uiPriority w:val="0"/>
    <w:pPr>
      <w:ind w:left="200" w:leftChars="200"/>
    </w:pPr>
    <w:rPr>
      <w:rFonts w:ascii="Calibri" w:hAnsi="Calibri" w:eastAsia="宋体" w:cs="宋体"/>
      <w:lang w:val="en-US" w:eastAsia="zh-CN" w:bidi="ar-SA"/>
    </w:rPr>
  </w:style>
  <w:style w:type="character" w:customStyle="1" w:styleId="17">
    <w:name w:val="批注文字 字符"/>
    <w:basedOn w:val="11"/>
    <w:link w:val="4"/>
    <w:autoRedefine/>
    <w:qFormat/>
    <w:uiPriority w:val="0"/>
    <w:rPr>
      <w:kern w:val="2"/>
      <w:sz w:val="21"/>
      <w:szCs w:val="24"/>
    </w:rPr>
  </w:style>
  <w:style w:type="character" w:customStyle="1" w:styleId="18">
    <w:name w:val="批注主题 字符"/>
    <w:basedOn w:val="17"/>
    <w:link w:val="9"/>
    <w:uiPriority w:val="0"/>
    <w:rPr>
      <w:b/>
      <w:bCs/>
      <w:kern w:val="2"/>
      <w:sz w:val="21"/>
      <w:szCs w:val="24"/>
    </w:rPr>
  </w:style>
  <w:style w:type="character" w:customStyle="1" w:styleId="19">
    <w:name w:val="标题 1 字符"/>
    <w:basedOn w:val="11"/>
    <w:link w:val="2"/>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5CF089-A562-446F-91C0-6E2E594DF69B}">
  <ds:schemaRefs/>
</ds:datastoreItem>
</file>

<file path=customXml/itemProps3.xml><?xml version="1.0" encoding="utf-8"?>
<ds:datastoreItem xmlns:ds="http://schemas.openxmlformats.org/officeDocument/2006/customXml" ds:itemID="{F146DF16-7875-4CBD-8FB2-80CDE0D06B84}">
  <ds:schemaRefs/>
</ds:datastoreItem>
</file>

<file path=customXml/itemProps4.xml><?xml version="1.0" encoding="utf-8"?>
<ds:datastoreItem xmlns:ds="http://schemas.openxmlformats.org/officeDocument/2006/customXml" ds:itemID="{9F53EB41-1625-4440-B01E-CAFEE3377F56}">
  <ds:schemaRefs/>
</ds:datastoreItem>
</file>

<file path=customXml/itemProps5.xml><?xml version="1.0" encoding="utf-8"?>
<ds:datastoreItem xmlns:ds="http://schemas.openxmlformats.org/officeDocument/2006/customXml" ds:itemID="{8C0F6DA7-D57F-46F3-AB12-6570FFB8601C}">
  <ds:schemaRefs/>
</ds:datastoreItem>
</file>

<file path=docProps/app.xml><?xml version="1.0" encoding="utf-8"?>
<Properties xmlns="http://schemas.openxmlformats.org/officeDocument/2006/extended-properties" xmlns:vt="http://schemas.openxmlformats.org/officeDocument/2006/docPropsVTypes">
  <Template>Normal</Template>
  <Pages>25</Pages>
  <Words>2806</Words>
  <Characters>15999</Characters>
  <Lines>133</Lines>
  <Paragraphs>37</Paragraphs>
  <TotalTime>3</TotalTime>
  <ScaleCrop>false</ScaleCrop>
  <LinksUpToDate>false</LinksUpToDate>
  <CharactersWithSpaces>18768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2023-05-04T01:27:00Z</dcterms:created>
  <dc:creator>user</dc:creator>
  <cp:lastModifiedBy>gx</cp:lastModifiedBy>
  <cp:lastPrinted>2022-03-24T10:01:00Z</cp:lastPrinted>
  <dcterms:modified xsi:type="dcterms:W3CDTF">2024-05-11T06:37:48Z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D890865FA01D499C9434603320FADD3F_13</vt:lpwstr>
  </property>
</Properties>
</file>