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5000" w:type="pct"/>
        <w:tblInd w:w="0" w:type="dxa"/>
        <w:tblLayout w:type="fixed"/>
        <w:tblCellMar>
          <w:top w:w="0" w:type="dxa"/>
          <w:left w:w="108" w:type="dxa"/>
          <w:bottom w:w="0" w:type="dxa"/>
          <w:right w:w="108" w:type="dxa"/>
        </w:tblCellMar>
      </w:tblPr>
      <w:tblGrid>
        <w:gridCol w:w="918"/>
        <w:gridCol w:w="955"/>
        <w:gridCol w:w="1659"/>
        <w:gridCol w:w="2140"/>
        <w:gridCol w:w="1810"/>
        <w:gridCol w:w="690"/>
        <w:gridCol w:w="720"/>
        <w:gridCol w:w="2580"/>
        <w:gridCol w:w="2702"/>
      </w:tblGrid>
      <w:tr>
        <w:tblPrEx>
          <w:tblCellMar>
            <w:top w:w="0" w:type="dxa"/>
            <w:left w:w="108" w:type="dxa"/>
            <w:bottom w:w="0" w:type="dxa"/>
            <w:right w:w="108" w:type="dxa"/>
          </w:tblCellMar>
        </w:tblPrEx>
        <w:trPr>
          <w:trHeight w:val="499" w:hRule="atLeast"/>
        </w:trPr>
        <w:tc>
          <w:tcPr>
            <w:tcW w:w="5000" w:type="pct"/>
            <w:gridSpan w:val="9"/>
            <w:tcBorders>
              <w:top w:val="nil"/>
              <w:left w:val="nil"/>
              <w:bottom w:val="single" w:color="auto" w:sz="4" w:space="0"/>
              <w:right w:val="nil"/>
            </w:tcBorders>
            <w:noWrap/>
            <w:vAlign w:val="bottom"/>
          </w:tcPr>
          <w:p>
            <w:pPr>
              <w:widowControl/>
              <w:jc w:val="center"/>
              <w:rPr>
                <w:rFonts w:hint="eastAsia" w:ascii="方正小标宋简体" w:hAnsi="黑体" w:eastAsia="方正小标宋简体" w:cs="宋体"/>
                <w:color w:val="000000"/>
                <w:kern w:val="0"/>
                <w:sz w:val="44"/>
                <w:szCs w:val="44"/>
                <w:lang w:eastAsia="zh-CN"/>
              </w:rPr>
            </w:pPr>
            <w:r>
              <w:rPr>
                <w:rFonts w:hint="eastAsia" w:ascii="方正小标宋简体" w:hAnsi="黑体" w:eastAsia="方正小标宋简体" w:cs="宋体"/>
                <w:color w:val="000000"/>
                <w:kern w:val="0"/>
                <w:sz w:val="44"/>
                <w:szCs w:val="44"/>
              </w:rPr>
              <w:t>202</w:t>
            </w:r>
            <w:r>
              <w:rPr>
                <w:rFonts w:hint="eastAsia" w:ascii="方正小标宋简体" w:hAnsi="黑体" w:eastAsia="方正小标宋简体" w:cs="宋体"/>
                <w:color w:val="000000"/>
                <w:kern w:val="0"/>
                <w:sz w:val="44"/>
                <w:szCs w:val="44"/>
                <w:lang w:val="en-US" w:eastAsia="zh-CN"/>
              </w:rPr>
              <w:t>3</w:t>
            </w:r>
            <w:r>
              <w:rPr>
                <w:rFonts w:hint="eastAsia" w:ascii="方正小标宋简体" w:hAnsi="黑体" w:eastAsia="方正小标宋简体" w:cs="宋体"/>
                <w:color w:val="000000"/>
                <w:kern w:val="0"/>
                <w:sz w:val="44"/>
                <w:szCs w:val="44"/>
              </w:rPr>
              <w:t>年部门整体绩效评价指标体系评分表</w:t>
            </w:r>
          </w:p>
        </w:tc>
      </w:tr>
      <w:tr>
        <w:tblPrEx>
          <w:tblCellMar>
            <w:top w:w="0" w:type="dxa"/>
            <w:left w:w="108" w:type="dxa"/>
            <w:bottom w:w="0" w:type="dxa"/>
            <w:right w:w="108" w:type="dxa"/>
          </w:tblCellMar>
        </w:tblPrEx>
        <w:trPr>
          <w:trHeight w:val="470" w:hRule="atLeast"/>
        </w:trPr>
        <w:tc>
          <w:tcPr>
            <w:tcW w:w="5000" w:type="pct"/>
            <w:gridSpan w:val="9"/>
            <w:tcBorders>
              <w:top w:val="single" w:color="auto" w:sz="4" w:space="0"/>
              <w:left w:val="single" w:color="auto" w:sz="4" w:space="0"/>
              <w:bottom w:val="single" w:color="000000"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CellMar>
            <w:top w:w="0" w:type="dxa"/>
            <w:left w:w="108" w:type="dxa"/>
            <w:bottom w:w="0" w:type="dxa"/>
            <w:right w:w="108" w:type="dxa"/>
          </w:tblCellMar>
        </w:tblPrEx>
        <w:trPr>
          <w:trHeight w:val="660" w:hRule="atLeast"/>
        </w:trPr>
        <w:tc>
          <w:tcPr>
            <w:tcW w:w="32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3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58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预算数（万元）</w:t>
            </w:r>
          </w:p>
        </w:tc>
        <w:tc>
          <w:tcPr>
            <w:tcW w:w="75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执行数（万元）</w:t>
            </w:r>
          </w:p>
        </w:tc>
        <w:tc>
          <w:tcPr>
            <w:tcW w:w="63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预算执行率</w:t>
            </w:r>
          </w:p>
        </w:tc>
        <w:tc>
          <w:tcPr>
            <w:tcW w:w="24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25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91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指标解释</w:t>
            </w:r>
          </w:p>
        </w:tc>
        <w:tc>
          <w:tcPr>
            <w:tcW w:w="95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评分标准</w:t>
            </w:r>
          </w:p>
        </w:tc>
      </w:tr>
      <w:tr>
        <w:tblPrEx>
          <w:tblCellMar>
            <w:top w:w="0" w:type="dxa"/>
            <w:left w:w="108" w:type="dxa"/>
            <w:bottom w:w="0" w:type="dxa"/>
            <w:right w:w="108" w:type="dxa"/>
          </w:tblCellMar>
        </w:tblPrEx>
        <w:trPr>
          <w:trHeight w:val="630" w:hRule="atLeast"/>
        </w:trPr>
        <w:tc>
          <w:tcPr>
            <w:tcW w:w="323" w:type="pct"/>
            <w:vMerge w:val="restart"/>
            <w:tcBorders>
              <w:top w:val="nil"/>
              <w:left w:val="single" w:color="auto" w:sz="4" w:space="0"/>
              <w:bottom w:val="single" w:color="000000"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33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资金总体</w:t>
            </w:r>
          </w:p>
        </w:tc>
        <w:tc>
          <w:tcPr>
            <w:tcW w:w="58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1482.12</w:t>
            </w:r>
          </w:p>
        </w:tc>
        <w:tc>
          <w:tcPr>
            <w:tcW w:w="75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1458.55</w:t>
            </w:r>
          </w:p>
        </w:tc>
        <w:tc>
          <w:tcPr>
            <w:tcW w:w="63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98.4%</w:t>
            </w:r>
            <w:r>
              <w:rPr>
                <w:rFonts w:hint="eastAsia" w:ascii="宋体" w:hAnsi="宋体" w:cs="宋体"/>
                <w:color w:val="000000"/>
                <w:kern w:val="0"/>
                <w:sz w:val="20"/>
                <w:szCs w:val="20"/>
              </w:rPr>
              <w:t>　</w:t>
            </w:r>
          </w:p>
        </w:tc>
        <w:tc>
          <w:tcPr>
            <w:tcW w:w="243"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253"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宋体" w:hAnsi="宋体" w:cs="宋体"/>
                <w:color w:val="000000"/>
                <w:kern w:val="0"/>
                <w:sz w:val="20"/>
                <w:szCs w:val="20"/>
                <w:lang w:val="en-US"/>
              </w:rPr>
            </w:pPr>
            <w:r>
              <w:rPr>
                <w:rFonts w:hint="eastAsia" w:ascii="宋体" w:hAnsi="宋体" w:cs="宋体"/>
                <w:color w:val="000000"/>
                <w:kern w:val="0"/>
                <w:sz w:val="20"/>
                <w:szCs w:val="20"/>
                <w:lang w:val="en-US" w:eastAsia="zh-CN"/>
              </w:rPr>
              <w:t>19.68</w:t>
            </w:r>
          </w:p>
        </w:tc>
        <w:tc>
          <w:tcPr>
            <w:tcW w:w="910"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953"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CellMar>
            <w:top w:w="0" w:type="dxa"/>
            <w:left w:w="108" w:type="dxa"/>
            <w:bottom w:w="0" w:type="dxa"/>
            <w:right w:w="108" w:type="dxa"/>
          </w:tblCellMar>
        </w:tblPrEx>
        <w:trPr>
          <w:trHeight w:val="600" w:hRule="atLeast"/>
        </w:trPr>
        <w:tc>
          <w:tcPr>
            <w:tcW w:w="32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36" w:type="pct"/>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基本支出</w:t>
            </w:r>
          </w:p>
        </w:tc>
        <w:tc>
          <w:tcPr>
            <w:tcW w:w="58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cs="宋体"/>
                <w:color w:val="000000"/>
                <w:kern w:val="0"/>
                <w:sz w:val="20"/>
                <w:szCs w:val="20"/>
                <w:lang w:val="en-US"/>
              </w:rPr>
            </w:pPr>
            <w:r>
              <w:rPr>
                <w:rFonts w:hint="eastAsia" w:ascii="宋体" w:hAnsi="宋体" w:cs="宋体"/>
                <w:color w:val="000000"/>
                <w:kern w:val="0"/>
                <w:sz w:val="20"/>
                <w:szCs w:val="20"/>
                <w:lang w:val="en-US" w:eastAsia="zh-CN"/>
              </w:rPr>
              <w:t>1324.12</w:t>
            </w:r>
          </w:p>
        </w:tc>
        <w:tc>
          <w:tcPr>
            <w:tcW w:w="754" w:type="pct"/>
            <w:tcBorders>
              <w:top w:val="single" w:color="auto" w:sz="4" w:space="0"/>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1306.88</w:t>
            </w:r>
          </w:p>
        </w:tc>
        <w:tc>
          <w:tcPr>
            <w:tcW w:w="638"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24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53"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rPr>
            </w:pPr>
          </w:p>
        </w:tc>
        <w:tc>
          <w:tcPr>
            <w:tcW w:w="91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953"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15" w:hRule="atLeast"/>
        </w:trPr>
        <w:tc>
          <w:tcPr>
            <w:tcW w:w="32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36" w:type="pct"/>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项目支出</w:t>
            </w:r>
          </w:p>
        </w:tc>
        <w:tc>
          <w:tcPr>
            <w:tcW w:w="58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cs="宋体"/>
                <w:color w:val="000000"/>
                <w:kern w:val="0"/>
                <w:sz w:val="20"/>
                <w:szCs w:val="20"/>
                <w:lang w:val="en-US"/>
              </w:rPr>
            </w:pPr>
            <w:r>
              <w:rPr>
                <w:rFonts w:hint="eastAsia" w:ascii="宋体" w:hAnsi="宋体" w:cs="宋体"/>
                <w:color w:val="000000"/>
                <w:kern w:val="0"/>
                <w:sz w:val="20"/>
                <w:szCs w:val="20"/>
                <w:lang w:val="en-US" w:eastAsia="zh-CN"/>
              </w:rPr>
              <w:t>158</w:t>
            </w:r>
          </w:p>
        </w:tc>
        <w:tc>
          <w:tcPr>
            <w:tcW w:w="754" w:type="pct"/>
            <w:tcBorders>
              <w:top w:val="single" w:color="auto" w:sz="4" w:space="0"/>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151.67</w:t>
            </w:r>
          </w:p>
        </w:tc>
        <w:tc>
          <w:tcPr>
            <w:tcW w:w="63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53"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rPr>
            </w:pPr>
          </w:p>
        </w:tc>
        <w:tc>
          <w:tcPr>
            <w:tcW w:w="91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953"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2136" w:hRule="atLeast"/>
        </w:trPr>
        <w:tc>
          <w:tcPr>
            <w:tcW w:w="32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3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其他</w:t>
            </w:r>
          </w:p>
        </w:tc>
        <w:tc>
          <w:tcPr>
            <w:tcW w:w="58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0</w:t>
            </w:r>
            <w:r>
              <w:rPr>
                <w:rFonts w:hint="eastAsia" w:ascii="宋体" w:hAnsi="宋体" w:cs="宋体"/>
                <w:color w:val="000000"/>
                <w:kern w:val="0"/>
                <w:sz w:val="20"/>
                <w:szCs w:val="20"/>
              </w:rPr>
              <w:t>　</w:t>
            </w:r>
          </w:p>
        </w:tc>
        <w:tc>
          <w:tcPr>
            <w:tcW w:w="75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0</w:t>
            </w:r>
            <w:r>
              <w:rPr>
                <w:rFonts w:hint="eastAsia" w:ascii="宋体" w:hAnsi="宋体" w:cs="宋体"/>
                <w:color w:val="000000"/>
                <w:kern w:val="0"/>
                <w:sz w:val="20"/>
                <w:szCs w:val="20"/>
              </w:rPr>
              <w:t>　</w:t>
            </w:r>
          </w:p>
        </w:tc>
        <w:tc>
          <w:tcPr>
            <w:tcW w:w="63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4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53"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rPr>
            </w:pPr>
          </w:p>
        </w:tc>
        <w:tc>
          <w:tcPr>
            <w:tcW w:w="91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953"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569" w:hRule="atLeast"/>
        </w:trPr>
        <w:tc>
          <w:tcPr>
            <w:tcW w:w="5000" w:type="pct"/>
            <w:gridSpan w:val="9"/>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blPrEx>
          <w:tblCellMar>
            <w:top w:w="0" w:type="dxa"/>
            <w:left w:w="108" w:type="dxa"/>
            <w:bottom w:w="0" w:type="dxa"/>
            <w:right w:w="108" w:type="dxa"/>
          </w:tblCellMar>
        </w:tblPrEx>
        <w:trPr>
          <w:trHeight w:val="499" w:hRule="atLeast"/>
        </w:trPr>
        <w:tc>
          <w:tcPr>
            <w:tcW w:w="32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3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58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75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指标值</w:t>
            </w:r>
          </w:p>
        </w:tc>
        <w:tc>
          <w:tcPr>
            <w:tcW w:w="63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完成值</w:t>
            </w:r>
          </w:p>
        </w:tc>
        <w:tc>
          <w:tcPr>
            <w:tcW w:w="24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253" w:type="pct"/>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91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95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196" w:hRule="atLeast"/>
        </w:trPr>
        <w:tc>
          <w:tcPr>
            <w:tcW w:w="323" w:type="pct"/>
            <w:vMerge w:val="restart"/>
            <w:tcBorders>
              <w:top w:val="single" w:color="auto" w:sz="4" w:space="0"/>
              <w:left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336" w:type="pct"/>
            <w:vMerge w:val="restart"/>
            <w:tcBorders>
              <w:top w:val="single" w:color="auto" w:sz="4" w:space="0"/>
              <w:left w:val="nil"/>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产出（30）</w:t>
            </w:r>
          </w:p>
        </w:tc>
        <w:tc>
          <w:tcPr>
            <w:tcW w:w="585" w:type="pct"/>
            <w:tcBorders>
              <w:top w:val="single" w:color="auto" w:sz="4" w:space="0"/>
              <w:left w:val="nil"/>
              <w:bottom w:val="single" w:color="auto" w:sz="4" w:space="0"/>
              <w:right w:val="single" w:color="auto" w:sz="4" w:space="0"/>
            </w:tcBorders>
            <w:noWrap w:val="0"/>
            <w:vAlign w:val="center"/>
          </w:tcPr>
          <w:p>
            <w:pPr>
              <w:widowControl/>
              <w:jc w:val="both"/>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开展基层会员活动</w:t>
            </w:r>
          </w:p>
        </w:tc>
        <w:tc>
          <w:tcPr>
            <w:tcW w:w="754" w:type="pct"/>
            <w:tcBorders>
              <w:top w:val="single" w:color="auto" w:sz="4" w:space="0"/>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bidi="ar-SA"/>
              </w:rPr>
            </w:pPr>
            <w:r>
              <w:rPr>
                <w:rFonts w:hint="default" w:ascii="宋体" w:hAnsi="宋体" w:cs="宋体"/>
                <w:color w:val="000000"/>
                <w:kern w:val="0"/>
                <w:sz w:val="20"/>
                <w:szCs w:val="20"/>
                <w:lang w:val="en-US" w:eastAsia="zh-CN"/>
              </w:rPr>
              <w:t>≥</w:t>
            </w:r>
            <w:r>
              <w:rPr>
                <w:rFonts w:hint="eastAsia" w:ascii="宋体" w:hAnsi="宋体" w:cs="宋体"/>
                <w:color w:val="000000"/>
                <w:kern w:val="0"/>
                <w:sz w:val="20"/>
                <w:szCs w:val="20"/>
                <w:lang w:val="en-US" w:eastAsia="zh-CN"/>
              </w:rPr>
              <w:t>50场次</w:t>
            </w:r>
          </w:p>
        </w:tc>
        <w:tc>
          <w:tcPr>
            <w:tcW w:w="63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50次</w:t>
            </w:r>
          </w:p>
        </w:tc>
        <w:tc>
          <w:tcPr>
            <w:tcW w:w="243" w:type="pct"/>
            <w:vMerge w:val="restart"/>
            <w:tcBorders>
              <w:top w:val="single" w:color="auto" w:sz="4" w:space="0"/>
              <w:left w:val="nil"/>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253" w:type="pct"/>
            <w:tcBorders>
              <w:top w:val="single" w:color="auto" w:sz="4" w:space="0"/>
              <w:left w:val="nil"/>
              <w:bottom w:val="single" w:color="auto" w:sz="4" w:space="0"/>
              <w:right w:val="nil"/>
            </w:tcBorders>
            <w:noWrap w:val="0"/>
            <w:vAlign w:val="center"/>
          </w:tcPr>
          <w:p>
            <w:pPr>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6</w:t>
            </w:r>
          </w:p>
        </w:tc>
        <w:tc>
          <w:tcPr>
            <w:tcW w:w="910" w:type="pct"/>
            <w:vMerge w:val="restart"/>
            <w:tcBorders>
              <w:top w:val="single" w:color="auto" w:sz="4" w:space="0"/>
              <w:left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953" w:type="pct"/>
            <w:tcBorders>
              <w:top w:val="single" w:color="auto" w:sz="4" w:space="0"/>
              <w:left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1196" w:hRule="atLeast"/>
        </w:trPr>
        <w:tc>
          <w:tcPr>
            <w:tcW w:w="323" w:type="pct"/>
            <w:vMerge w:val="continue"/>
            <w:tcBorders>
              <w:left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p>
        </w:tc>
        <w:tc>
          <w:tcPr>
            <w:tcW w:w="336" w:type="pct"/>
            <w:vMerge w:val="continue"/>
            <w:tcBorders>
              <w:left w:val="nil"/>
              <w:right w:val="single" w:color="auto" w:sz="4" w:space="0"/>
            </w:tcBorders>
            <w:noWrap w:val="0"/>
            <w:vAlign w:val="center"/>
          </w:tcPr>
          <w:p>
            <w:pPr>
              <w:jc w:val="center"/>
              <w:rPr>
                <w:rFonts w:hint="eastAsia" w:ascii="宋体" w:hAnsi="宋体" w:cs="宋体"/>
                <w:color w:val="000000"/>
                <w:kern w:val="0"/>
                <w:sz w:val="20"/>
                <w:szCs w:val="20"/>
              </w:rPr>
            </w:pPr>
          </w:p>
        </w:tc>
        <w:tc>
          <w:tcPr>
            <w:tcW w:w="58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r>
              <w:rPr>
                <w:rFonts w:ascii="Times New Roman" w:hAnsi="Times New Roman" w:eastAsia="仿宋_GB2312" w:cs="Times New Roman"/>
                <w:sz w:val="29"/>
                <w:szCs w:val="29"/>
              </w:rPr>
              <w:t>教师培训</w:t>
            </w:r>
          </w:p>
        </w:tc>
        <w:tc>
          <w:tcPr>
            <w:tcW w:w="754" w:type="pct"/>
            <w:tcBorders>
              <w:top w:val="single" w:color="auto" w:sz="4" w:space="0"/>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≥100场次</w:t>
            </w:r>
          </w:p>
        </w:tc>
        <w:tc>
          <w:tcPr>
            <w:tcW w:w="638" w:type="pct"/>
            <w:tcBorders>
              <w:top w:val="single" w:color="auto" w:sz="4" w:space="0"/>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bidi="ar-SA"/>
              </w:rPr>
              <w:t>150次</w:t>
            </w:r>
          </w:p>
        </w:tc>
        <w:tc>
          <w:tcPr>
            <w:tcW w:w="243" w:type="pct"/>
            <w:vMerge w:val="continue"/>
            <w:tcBorders>
              <w:left w:val="nil"/>
              <w:right w:val="single" w:color="auto" w:sz="4" w:space="0"/>
            </w:tcBorders>
            <w:noWrap w:val="0"/>
            <w:vAlign w:val="center"/>
          </w:tcPr>
          <w:p>
            <w:pPr>
              <w:jc w:val="center"/>
              <w:rPr>
                <w:rFonts w:hint="eastAsia" w:ascii="宋体" w:hAnsi="宋体" w:cs="宋体"/>
                <w:color w:val="000000"/>
                <w:kern w:val="0"/>
                <w:sz w:val="20"/>
                <w:szCs w:val="20"/>
              </w:rPr>
            </w:pPr>
          </w:p>
        </w:tc>
        <w:tc>
          <w:tcPr>
            <w:tcW w:w="253" w:type="pct"/>
            <w:tcBorders>
              <w:top w:val="single" w:color="auto" w:sz="4" w:space="0"/>
              <w:left w:val="nil"/>
              <w:bottom w:val="single" w:color="auto" w:sz="4" w:space="0"/>
              <w:right w:val="nil"/>
            </w:tcBorders>
            <w:noWrap w:val="0"/>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p>
        </w:tc>
        <w:tc>
          <w:tcPr>
            <w:tcW w:w="910" w:type="pct"/>
            <w:vMerge w:val="continue"/>
            <w:tcBorders>
              <w:left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p>
        </w:tc>
        <w:tc>
          <w:tcPr>
            <w:tcW w:w="953" w:type="pct"/>
            <w:vMerge w:val="restart"/>
            <w:tcBorders>
              <w:top w:val="single" w:color="auto" w:sz="4" w:space="0"/>
              <w:left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CellMar>
            <w:top w:w="0" w:type="dxa"/>
            <w:left w:w="108" w:type="dxa"/>
            <w:bottom w:w="0" w:type="dxa"/>
            <w:right w:w="108" w:type="dxa"/>
          </w:tblCellMar>
        </w:tblPrEx>
        <w:trPr>
          <w:trHeight w:val="1107" w:hRule="atLeast"/>
        </w:trPr>
        <w:tc>
          <w:tcPr>
            <w:tcW w:w="323"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36" w:type="pct"/>
            <w:vMerge w:val="continue"/>
            <w:tcBorders>
              <w:left w:val="nil"/>
              <w:right w:val="single" w:color="auto" w:sz="4" w:space="0"/>
            </w:tcBorders>
            <w:noWrap w:val="0"/>
            <w:vAlign w:val="center"/>
          </w:tcPr>
          <w:p>
            <w:pPr>
              <w:widowControl/>
              <w:jc w:val="left"/>
              <w:rPr>
                <w:rFonts w:ascii="宋体" w:hAnsi="宋体" w:cs="宋体"/>
                <w:color w:val="000000"/>
                <w:kern w:val="0"/>
                <w:sz w:val="20"/>
                <w:szCs w:val="20"/>
              </w:rPr>
            </w:pPr>
          </w:p>
        </w:tc>
        <w:tc>
          <w:tcPr>
            <w:tcW w:w="58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提交政协发言稿、提案数量,完成社情民意信息</w:t>
            </w:r>
          </w:p>
        </w:tc>
        <w:tc>
          <w:tcPr>
            <w:tcW w:w="754" w:type="pct"/>
            <w:tcBorders>
              <w:top w:val="single" w:color="auto" w:sz="4" w:space="0"/>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≥108篇（部）</w:t>
            </w:r>
          </w:p>
        </w:tc>
        <w:tc>
          <w:tcPr>
            <w:tcW w:w="638" w:type="pct"/>
            <w:tcBorders>
              <w:top w:val="single" w:color="auto" w:sz="4" w:space="0"/>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bidi="ar-SA"/>
              </w:rPr>
              <w:t>完成</w:t>
            </w:r>
          </w:p>
        </w:tc>
        <w:tc>
          <w:tcPr>
            <w:tcW w:w="243" w:type="pct"/>
            <w:vMerge w:val="continue"/>
            <w:tcBorders>
              <w:left w:val="nil"/>
              <w:right w:val="single" w:color="auto" w:sz="4" w:space="0"/>
            </w:tcBorders>
            <w:noWrap w:val="0"/>
            <w:vAlign w:val="center"/>
          </w:tcPr>
          <w:p>
            <w:pPr>
              <w:widowControl/>
              <w:jc w:val="left"/>
              <w:rPr>
                <w:rFonts w:ascii="宋体" w:hAnsi="宋体" w:cs="宋体"/>
                <w:color w:val="000000"/>
                <w:kern w:val="0"/>
                <w:sz w:val="20"/>
                <w:szCs w:val="20"/>
              </w:rPr>
            </w:pPr>
          </w:p>
        </w:tc>
        <w:tc>
          <w:tcPr>
            <w:tcW w:w="253" w:type="pct"/>
            <w:tcBorders>
              <w:top w:val="single" w:color="auto" w:sz="4" w:space="0"/>
              <w:left w:val="nil"/>
              <w:bottom w:val="single" w:color="auto" w:sz="4" w:space="0"/>
              <w:right w:val="nil"/>
            </w:tcBorders>
            <w:noWrap/>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910"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953"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1652" w:hRule="atLeast"/>
        </w:trPr>
        <w:tc>
          <w:tcPr>
            <w:tcW w:w="323"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36" w:type="pct"/>
            <w:vMerge w:val="continue"/>
            <w:tcBorders>
              <w:left w:val="nil"/>
              <w:right w:val="single" w:color="auto" w:sz="4" w:space="0"/>
            </w:tcBorders>
            <w:noWrap w:val="0"/>
            <w:vAlign w:val="center"/>
          </w:tcPr>
          <w:p>
            <w:pPr>
              <w:widowControl/>
              <w:jc w:val="left"/>
              <w:rPr>
                <w:rFonts w:ascii="宋体" w:hAnsi="宋体" w:cs="宋体"/>
                <w:color w:val="000000"/>
                <w:kern w:val="0"/>
                <w:sz w:val="20"/>
                <w:szCs w:val="20"/>
              </w:rPr>
            </w:pPr>
          </w:p>
        </w:tc>
        <w:tc>
          <w:tcPr>
            <w:tcW w:w="585"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r>
              <w:rPr>
                <w:rFonts w:ascii="Times New Roman" w:hAnsi="Times New Roman" w:eastAsia="仿宋_GB2312" w:cs="Times New Roman"/>
                <w:sz w:val="29"/>
                <w:szCs w:val="29"/>
              </w:rPr>
              <w:t>建言成果</w:t>
            </w:r>
            <w:r>
              <w:rPr>
                <w:rFonts w:hint="eastAsia" w:ascii="宋体" w:hAnsi="宋体" w:cs="宋体"/>
                <w:color w:val="000000"/>
                <w:kern w:val="0"/>
                <w:sz w:val="20"/>
                <w:szCs w:val="20"/>
              </w:rPr>
              <w:t>被采用</w:t>
            </w:r>
          </w:p>
        </w:tc>
        <w:tc>
          <w:tcPr>
            <w:tcW w:w="754"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≥400篇（部）</w:t>
            </w:r>
          </w:p>
        </w:tc>
        <w:tc>
          <w:tcPr>
            <w:tcW w:w="638"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bidi="ar-SA"/>
              </w:rPr>
              <w:t>451篇</w:t>
            </w:r>
          </w:p>
        </w:tc>
        <w:tc>
          <w:tcPr>
            <w:tcW w:w="243" w:type="pct"/>
            <w:vMerge w:val="continue"/>
            <w:tcBorders>
              <w:left w:val="nil"/>
              <w:right w:val="single" w:color="auto" w:sz="4" w:space="0"/>
            </w:tcBorders>
            <w:noWrap w:val="0"/>
            <w:vAlign w:val="center"/>
          </w:tcPr>
          <w:p>
            <w:pPr>
              <w:widowControl/>
              <w:jc w:val="left"/>
              <w:rPr>
                <w:rFonts w:ascii="宋体" w:hAnsi="宋体" w:cs="宋体"/>
                <w:color w:val="000000"/>
                <w:kern w:val="0"/>
                <w:sz w:val="20"/>
                <w:szCs w:val="20"/>
              </w:rPr>
            </w:pPr>
          </w:p>
        </w:tc>
        <w:tc>
          <w:tcPr>
            <w:tcW w:w="253" w:type="pct"/>
            <w:tcBorders>
              <w:top w:val="nil"/>
              <w:left w:val="nil"/>
              <w:bottom w:val="single" w:color="auto" w:sz="4" w:space="0"/>
              <w:right w:val="nil"/>
            </w:tcBorders>
            <w:noWrap/>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910"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953"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745" w:hRule="atLeast"/>
        </w:trPr>
        <w:tc>
          <w:tcPr>
            <w:tcW w:w="323"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36" w:type="pct"/>
            <w:vMerge w:val="continue"/>
            <w:tcBorders>
              <w:left w:val="nil"/>
              <w:right w:val="single" w:color="auto" w:sz="4" w:space="0"/>
            </w:tcBorders>
            <w:noWrap w:val="0"/>
            <w:vAlign w:val="center"/>
          </w:tcPr>
          <w:p>
            <w:pPr>
              <w:widowControl/>
              <w:jc w:val="left"/>
              <w:rPr>
                <w:rFonts w:ascii="宋体" w:hAnsi="宋体" w:cs="宋体"/>
                <w:color w:val="000000"/>
                <w:kern w:val="0"/>
                <w:sz w:val="20"/>
                <w:szCs w:val="20"/>
              </w:rPr>
            </w:pPr>
          </w:p>
        </w:tc>
        <w:tc>
          <w:tcPr>
            <w:tcW w:w="585"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舆情监测、微信推送</w:t>
            </w:r>
          </w:p>
        </w:tc>
        <w:tc>
          <w:tcPr>
            <w:tcW w:w="754"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≥100期/年</w:t>
            </w:r>
          </w:p>
        </w:tc>
        <w:tc>
          <w:tcPr>
            <w:tcW w:w="63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bidi="ar-SA"/>
              </w:rPr>
              <w:t>完成</w:t>
            </w:r>
          </w:p>
        </w:tc>
        <w:tc>
          <w:tcPr>
            <w:tcW w:w="243" w:type="pct"/>
            <w:vMerge w:val="continue"/>
            <w:tcBorders>
              <w:left w:val="nil"/>
              <w:right w:val="single" w:color="auto" w:sz="4" w:space="0"/>
            </w:tcBorders>
            <w:noWrap w:val="0"/>
            <w:vAlign w:val="center"/>
          </w:tcPr>
          <w:p>
            <w:pPr>
              <w:widowControl/>
              <w:jc w:val="left"/>
              <w:rPr>
                <w:rFonts w:ascii="宋体" w:hAnsi="宋体" w:cs="宋体"/>
                <w:color w:val="000000"/>
                <w:kern w:val="0"/>
                <w:sz w:val="20"/>
                <w:szCs w:val="20"/>
              </w:rPr>
            </w:pPr>
          </w:p>
        </w:tc>
        <w:tc>
          <w:tcPr>
            <w:tcW w:w="253"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p>
        </w:tc>
        <w:tc>
          <w:tcPr>
            <w:tcW w:w="910"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953"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726" w:hRule="atLeast"/>
        </w:trPr>
        <w:tc>
          <w:tcPr>
            <w:tcW w:w="323"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36" w:type="pct"/>
            <w:vMerge w:val="continue"/>
            <w:tcBorders>
              <w:left w:val="nil"/>
              <w:right w:val="single" w:color="auto" w:sz="4" w:space="0"/>
            </w:tcBorders>
            <w:noWrap w:val="0"/>
            <w:vAlign w:val="center"/>
          </w:tcPr>
          <w:p>
            <w:pPr>
              <w:widowControl/>
              <w:jc w:val="left"/>
              <w:rPr>
                <w:rFonts w:ascii="宋体" w:hAnsi="宋体" w:cs="宋体"/>
                <w:color w:val="000000"/>
                <w:kern w:val="0"/>
                <w:sz w:val="20"/>
                <w:szCs w:val="20"/>
              </w:rPr>
            </w:pPr>
          </w:p>
        </w:tc>
        <w:tc>
          <w:tcPr>
            <w:tcW w:w="585"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r>
              <w:rPr>
                <w:rFonts w:hint="default" w:ascii="宋体" w:hAnsi="宋体" w:cs="宋体"/>
                <w:color w:val="000000"/>
                <w:kern w:val="0"/>
                <w:sz w:val="20"/>
                <w:szCs w:val="20"/>
                <w:lang w:val="en-US" w:eastAsia="zh-CN"/>
              </w:rPr>
              <w:t>《北京民进》出刊</w:t>
            </w:r>
          </w:p>
        </w:tc>
        <w:tc>
          <w:tcPr>
            <w:tcW w:w="754"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w:t>
            </w:r>
            <w:r>
              <w:rPr>
                <w:rFonts w:hint="eastAsia" w:ascii="宋体" w:hAnsi="宋体" w:cs="宋体"/>
                <w:color w:val="000000"/>
                <w:kern w:val="0"/>
                <w:sz w:val="20"/>
                <w:szCs w:val="20"/>
                <w:lang w:val="en-US" w:eastAsia="zh-CN"/>
              </w:rPr>
              <w:t>5期/年</w:t>
            </w:r>
          </w:p>
        </w:tc>
        <w:tc>
          <w:tcPr>
            <w:tcW w:w="63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bidi="ar-SA"/>
              </w:rPr>
              <w:t>完成</w:t>
            </w:r>
          </w:p>
        </w:tc>
        <w:tc>
          <w:tcPr>
            <w:tcW w:w="243" w:type="pct"/>
            <w:vMerge w:val="continue"/>
            <w:tcBorders>
              <w:left w:val="nil"/>
              <w:right w:val="single" w:color="auto" w:sz="4" w:space="0"/>
            </w:tcBorders>
            <w:noWrap w:val="0"/>
            <w:vAlign w:val="center"/>
          </w:tcPr>
          <w:p>
            <w:pPr>
              <w:widowControl/>
              <w:jc w:val="left"/>
              <w:rPr>
                <w:rFonts w:ascii="宋体" w:hAnsi="宋体" w:cs="宋体"/>
                <w:color w:val="000000"/>
                <w:kern w:val="0"/>
                <w:sz w:val="20"/>
                <w:szCs w:val="20"/>
              </w:rPr>
            </w:pPr>
          </w:p>
        </w:tc>
        <w:tc>
          <w:tcPr>
            <w:tcW w:w="253" w:type="pct"/>
            <w:tcBorders>
              <w:top w:val="nil"/>
              <w:left w:val="nil"/>
              <w:bottom w:val="single" w:color="auto" w:sz="4" w:space="0"/>
              <w:right w:val="nil"/>
            </w:tcBorders>
            <w:noWrap/>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910"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953"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75" w:hRule="atLeast"/>
        </w:trPr>
        <w:tc>
          <w:tcPr>
            <w:tcW w:w="323"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36" w:type="pct"/>
            <w:vMerge w:val="continue"/>
            <w:tcBorders>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p>
        </w:tc>
        <w:tc>
          <w:tcPr>
            <w:tcW w:w="585" w:type="pct"/>
            <w:tcBorders>
              <w:top w:val="nil"/>
              <w:left w:val="nil"/>
              <w:bottom w:val="single" w:color="auto" w:sz="4" w:space="0"/>
              <w:right w:val="single" w:color="auto" w:sz="4" w:space="0"/>
            </w:tcBorders>
            <w:noWrap w:val="0"/>
            <w:vAlign w:val="center"/>
          </w:tcPr>
          <w:p>
            <w:pPr>
              <w:widowControl/>
              <w:jc w:val="center"/>
              <w:rPr>
                <w:rFonts w:hint="default" w:ascii="宋体" w:hAnsi="宋体" w:cs="宋体"/>
                <w:color w:val="000000"/>
                <w:kern w:val="0"/>
                <w:sz w:val="20"/>
                <w:szCs w:val="20"/>
                <w:lang w:val="en-US" w:eastAsia="zh-CN"/>
              </w:rPr>
            </w:pPr>
            <w:r>
              <w:rPr>
                <w:rFonts w:hint="default" w:ascii="宋体" w:hAnsi="宋体" w:cs="宋体"/>
                <w:color w:val="000000"/>
                <w:kern w:val="0"/>
                <w:sz w:val="20"/>
                <w:szCs w:val="20"/>
                <w:lang w:val="en-US" w:eastAsia="zh-CN"/>
              </w:rPr>
              <w:t>代训委员、骨干、新会员</w:t>
            </w:r>
          </w:p>
        </w:tc>
        <w:tc>
          <w:tcPr>
            <w:tcW w:w="754"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default" w:ascii="宋体" w:hAnsi="宋体" w:eastAsia="宋体" w:cs="宋体"/>
                <w:color w:val="000000"/>
                <w:kern w:val="0"/>
                <w:sz w:val="20"/>
                <w:szCs w:val="20"/>
                <w:lang w:val="en-US" w:eastAsia="zh-CN"/>
              </w:rPr>
              <w:t>≥</w:t>
            </w:r>
            <w:r>
              <w:rPr>
                <w:rFonts w:hint="eastAsia" w:ascii="宋体" w:hAnsi="宋体" w:cs="宋体"/>
                <w:color w:val="000000"/>
                <w:kern w:val="0"/>
                <w:sz w:val="20"/>
                <w:szCs w:val="20"/>
                <w:lang w:val="en-US" w:eastAsia="zh-CN"/>
              </w:rPr>
              <w:t>200人/户</w:t>
            </w:r>
          </w:p>
        </w:tc>
        <w:tc>
          <w:tcPr>
            <w:tcW w:w="638"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bidi="ar-SA"/>
              </w:rPr>
              <w:t>完成</w:t>
            </w:r>
          </w:p>
        </w:tc>
        <w:tc>
          <w:tcPr>
            <w:tcW w:w="243" w:type="pct"/>
            <w:vMerge w:val="continue"/>
            <w:tcBorders>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p>
        </w:tc>
        <w:tc>
          <w:tcPr>
            <w:tcW w:w="253" w:type="pct"/>
            <w:tcBorders>
              <w:top w:val="nil"/>
              <w:left w:val="nil"/>
              <w:bottom w:val="single" w:color="auto" w:sz="4" w:space="0"/>
              <w:right w:val="nil"/>
            </w:tcBorders>
            <w:noWrap/>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910" w:type="pct"/>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b/>
                <w:bCs/>
                <w:color w:val="000000"/>
                <w:kern w:val="0"/>
                <w:sz w:val="18"/>
                <w:szCs w:val="18"/>
              </w:rPr>
            </w:pPr>
          </w:p>
        </w:tc>
        <w:tc>
          <w:tcPr>
            <w:tcW w:w="953" w:type="pct"/>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675" w:hRule="atLeast"/>
        </w:trPr>
        <w:tc>
          <w:tcPr>
            <w:tcW w:w="323"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36" w:type="pct"/>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效果（30）</w:t>
            </w:r>
          </w:p>
        </w:tc>
        <w:tc>
          <w:tcPr>
            <w:tcW w:w="585"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服务对象满意度</w:t>
            </w:r>
          </w:p>
        </w:tc>
        <w:tc>
          <w:tcPr>
            <w:tcW w:w="754" w:type="pct"/>
            <w:tcBorders>
              <w:top w:val="nil"/>
              <w:left w:val="nil"/>
              <w:bottom w:val="single" w:color="auto" w:sz="4" w:space="0"/>
              <w:right w:val="single" w:color="auto" w:sz="4" w:space="0"/>
            </w:tcBorders>
            <w:noWrap w:val="0"/>
            <w:vAlign w:val="center"/>
          </w:tcPr>
          <w:p>
            <w:pPr>
              <w:widowControl/>
              <w:jc w:val="center"/>
              <w:rPr>
                <w:rFonts w:hint="default" w:ascii="宋体" w:hAnsi="宋体" w:cs="宋体"/>
                <w:color w:val="000000"/>
                <w:kern w:val="0"/>
                <w:sz w:val="20"/>
                <w:szCs w:val="20"/>
                <w:lang w:val="en-US"/>
              </w:rPr>
            </w:pPr>
            <w:r>
              <w:rPr>
                <w:rFonts w:hint="eastAsia" w:ascii="宋体" w:hAnsi="宋体" w:cs="宋体"/>
                <w:color w:val="000000"/>
                <w:kern w:val="0"/>
                <w:sz w:val="20"/>
                <w:szCs w:val="20"/>
                <w:lang w:val="en-US" w:eastAsia="zh-CN"/>
              </w:rPr>
              <w:t>满意度</w:t>
            </w:r>
            <w:r>
              <w:rPr>
                <w:rFonts w:hint="eastAsia" w:ascii="仿宋_GB2312" w:hAnsi="宋体" w:eastAsia="仿宋_GB2312" w:cs="宋体"/>
                <w:color w:val="000000"/>
                <w:kern w:val="0"/>
                <w:szCs w:val="21"/>
                <w:lang w:val="en-US" w:eastAsia="zh-CN"/>
              </w:rPr>
              <w:t>≥95%</w:t>
            </w:r>
          </w:p>
        </w:tc>
        <w:tc>
          <w:tcPr>
            <w:tcW w:w="638"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仿宋_GB2312" w:hAnsi="宋体" w:eastAsia="仿宋_GB2312" w:cs="宋体"/>
                <w:color w:val="000000"/>
                <w:kern w:val="0"/>
                <w:szCs w:val="21"/>
                <w:lang w:val="en-US" w:eastAsia="zh-CN"/>
              </w:rPr>
              <w:t>≥95%</w:t>
            </w:r>
          </w:p>
        </w:tc>
        <w:tc>
          <w:tcPr>
            <w:tcW w:w="243" w:type="pct"/>
            <w:vMerge w:val="restart"/>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253"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5</w:t>
            </w:r>
            <w:r>
              <w:rPr>
                <w:rFonts w:hint="eastAsia" w:ascii="宋体" w:hAnsi="宋体" w:cs="宋体"/>
                <w:color w:val="000000"/>
                <w:kern w:val="0"/>
                <w:sz w:val="20"/>
                <w:szCs w:val="20"/>
              </w:rPr>
              <w:t>　</w:t>
            </w:r>
          </w:p>
        </w:tc>
        <w:tc>
          <w:tcPr>
            <w:tcW w:w="910"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953"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CellMar>
            <w:top w:w="0" w:type="dxa"/>
            <w:left w:w="108" w:type="dxa"/>
            <w:bottom w:w="0" w:type="dxa"/>
            <w:right w:w="108" w:type="dxa"/>
          </w:tblCellMar>
        </w:tblPrEx>
        <w:trPr>
          <w:trHeight w:val="619" w:hRule="atLeast"/>
        </w:trPr>
        <w:tc>
          <w:tcPr>
            <w:tcW w:w="323"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36"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585"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被监督主体对民主监督工作满意度</w:t>
            </w:r>
          </w:p>
        </w:tc>
        <w:tc>
          <w:tcPr>
            <w:tcW w:w="754"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较好</w:t>
            </w:r>
            <w:r>
              <w:rPr>
                <w:rFonts w:hint="eastAsia" w:ascii="宋体" w:hAnsi="宋体" w:cs="宋体"/>
                <w:color w:val="000000"/>
                <w:kern w:val="0"/>
                <w:sz w:val="20"/>
                <w:szCs w:val="20"/>
              </w:rPr>
              <w:t>　</w:t>
            </w:r>
          </w:p>
        </w:tc>
        <w:tc>
          <w:tcPr>
            <w:tcW w:w="638"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较好</w:t>
            </w:r>
            <w:r>
              <w:rPr>
                <w:rFonts w:hint="eastAsia" w:ascii="宋体" w:hAnsi="宋体" w:cs="宋体"/>
                <w:color w:val="000000"/>
                <w:kern w:val="0"/>
                <w:sz w:val="20"/>
                <w:szCs w:val="20"/>
              </w:rPr>
              <w:t>　</w:t>
            </w:r>
          </w:p>
        </w:tc>
        <w:tc>
          <w:tcPr>
            <w:tcW w:w="243"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53" w:type="pct"/>
            <w:tcBorders>
              <w:top w:val="nil"/>
              <w:left w:val="nil"/>
              <w:bottom w:val="single" w:color="auto" w:sz="4" w:space="0"/>
              <w:right w:val="nil"/>
            </w:tcBorders>
            <w:noWrap/>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8</w:t>
            </w:r>
          </w:p>
        </w:tc>
        <w:tc>
          <w:tcPr>
            <w:tcW w:w="910"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953"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90" w:hRule="atLeast"/>
        </w:trPr>
        <w:tc>
          <w:tcPr>
            <w:tcW w:w="323"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36"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585"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调研成果转化率</w:t>
            </w:r>
          </w:p>
        </w:tc>
        <w:tc>
          <w:tcPr>
            <w:tcW w:w="754"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95%</w:t>
            </w:r>
          </w:p>
        </w:tc>
        <w:tc>
          <w:tcPr>
            <w:tcW w:w="638"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100%</w:t>
            </w:r>
            <w:r>
              <w:rPr>
                <w:rFonts w:hint="eastAsia" w:ascii="宋体" w:hAnsi="宋体" w:cs="宋体"/>
                <w:color w:val="000000"/>
                <w:kern w:val="0"/>
                <w:sz w:val="20"/>
                <w:szCs w:val="20"/>
              </w:rPr>
              <w:t>　</w:t>
            </w:r>
          </w:p>
        </w:tc>
        <w:tc>
          <w:tcPr>
            <w:tcW w:w="243"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53"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w:t>
            </w:r>
            <w:r>
              <w:rPr>
                <w:rFonts w:hint="eastAsia" w:ascii="宋体" w:hAnsi="宋体" w:cs="宋体"/>
                <w:color w:val="000000"/>
                <w:kern w:val="0"/>
                <w:sz w:val="20"/>
                <w:szCs w:val="20"/>
              </w:rPr>
              <w:t>　</w:t>
            </w:r>
          </w:p>
        </w:tc>
        <w:tc>
          <w:tcPr>
            <w:tcW w:w="910"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953"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75" w:hRule="atLeast"/>
        </w:trPr>
        <w:tc>
          <w:tcPr>
            <w:tcW w:w="323"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36"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585" w:type="pct"/>
            <w:tcBorders>
              <w:top w:val="nil"/>
              <w:left w:val="nil"/>
              <w:bottom w:val="single" w:color="auto" w:sz="4" w:space="0"/>
              <w:right w:val="single" w:color="auto" w:sz="4" w:space="0"/>
            </w:tcBorders>
            <w:noWrap w:val="0"/>
            <w:vAlign w:val="center"/>
          </w:tcPr>
          <w:p>
            <w:pPr>
              <w:widowControl/>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 xml:space="preserve">  可持续影响性</w:t>
            </w:r>
          </w:p>
        </w:tc>
        <w:tc>
          <w:tcPr>
            <w:tcW w:w="754"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坚持建言资政和凝聚共识双向发力，大力加强履职能力与机制平台建设，不断提升资源力量的统筹组织能力</w:t>
            </w:r>
          </w:p>
        </w:tc>
        <w:tc>
          <w:tcPr>
            <w:tcW w:w="638"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显著</w:t>
            </w:r>
            <w:r>
              <w:rPr>
                <w:rFonts w:hint="eastAsia" w:ascii="宋体" w:hAnsi="宋体" w:cs="宋体"/>
                <w:color w:val="000000"/>
                <w:kern w:val="0"/>
                <w:sz w:val="20"/>
                <w:szCs w:val="20"/>
              </w:rPr>
              <w:t>　</w:t>
            </w:r>
          </w:p>
        </w:tc>
        <w:tc>
          <w:tcPr>
            <w:tcW w:w="243"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53"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5</w:t>
            </w:r>
            <w:r>
              <w:rPr>
                <w:rFonts w:hint="eastAsia" w:ascii="宋体" w:hAnsi="宋体" w:cs="宋体"/>
                <w:color w:val="000000"/>
                <w:kern w:val="0"/>
                <w:sz w:val="20"/>
                <w:szCs w:val="20"/>
              </w:rPr>
              <w:t>　</w:t>
            </w:r>
          </w:p>
        </w:tc>
        <w:tc>
          <w:tcPr>
            <w:tcW w:w="910"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953"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99" w:hRule="atLeast"/>
        </w:trPr>
        <w:tc>
          <w:tcPr>
            <w:tcW w:w="5000" w:type="pct"/>
            <w:gridSpan w:val="9"/>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tblPrEx>
          <w:tblCellMar>
            <w:top w:w="0" w:type="dxa"/>
            <w:left w:w="108" w:type="dxa"/>
            <w:bottom w:w="0" w:type="dxa"/>
            <w:right w:w="108" w:type="dxa"/>
          </w:tblCellMar>
        </w:tblPrEx>
        <w:trPr>
          <w:trHeight w:val="702" w:hRule="atLeast"/>
        </w:trPr>
        <w:tc>
          <w:tcPr>
            <w:tcW w:w="32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33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58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75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63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243"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253"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91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95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230" w:hRule="atLeast"/>
        </w:trPr>
        <w:tc>
          <w:tcPr>
            <w:tcW w:w="323"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预算管理情况（20）</w:t>
            </w:r>
          </w:p>
        </w:tc>
        <w:tc>
          <w:tcPr>
            <w:tcW w:w="336"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财务管理（4）</w:t>
            </w:r>
          </w:p>
        </w:tc>
        <w:tc>
          <w:tcPr>
            <w:tcW w:w="58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75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18"/>
                <w:szCs w:val="18"/>
              </w:rPr>
              <w:t>预算资金管理办法、绩效跟踪管理办法、资产管理办法等各项制度健全；部门内部财务管理制度完整、合规；会计核算制度完整、合规。</w:t>
            </w:r>
          </w:p>
        </w:tc>
        <w:tc>
          <w:tcPr>
            <w:tcW w:w="638" w:type="pct"/>
            <w:tcBorders>
              <w:top w:val="single" w:color="auto" w:sz="4" w:space="0"/>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健全、完整</w:t>
            </w:r>
          </w:p>
        </w:tc>
        <w:tc>
          <w:tcPr>
            <w:tcW w:w="243"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253"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w:t>
            </w:r>
            <w:r>
              <w:rPr>
                <w:rFonts w:hint="eastAsia" w:ascii="宋体" w:hAnsi="宋体" w:cs="宋体"/>
                <w:color w:val="000000"/>
                <w:kern w:val="0"/>
                <w:sz w:val="20"/>
                <w:szCs w:val="20"/>
              </w:rPr>
              <w:t>　</w:t>
            </w:r>
          </w:p>
        </w:tc>
        <w:tc>
          <w:tcPr>
            <w:tcW w:w="910"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953"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CellMar>
            <w:top w:w="0" w:type="dxa"/>
            <w:left w:w="108" w:type="dxa"/>
            <w:bottom w:w="0" w:type="dxa"/>
            <w:right w:w="108" w:type="dxa"/>
          </w:tblCellMar>
        </w:tblPrEx>
        <w:trPr>
          <w:trHeight w:val="2220" w:hRule="atLeast"/>
        </w:trPr>
        <w:tc>
          <w:tcPr>
            <w:tcW w:w="323" w:type="pct"/>
            <w:vMerge w:val="continue"/>
            <w:tcBorders>
              <w:top w:val="single" w:color="auto" w:sz="4" w:space="0"/>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3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58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754" w:type="pct"/>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资金使用合规性和安全性</w:t>
            </w:r>
            <w:r>
              <w:rPr>
                <w:rFonts w:hint="eastAsia" w:ascii="宋体" w:hAnsi="宋体" w:cs="宋体"/>
                <w:color w:val="000000"/>
                <w:kern w:val="0"/>
                <w:sz w:val="20"/>
                <w:szCs w:val="20"/>
                <w:lang w:val="en-US" w:eastAsia="zh-CN"/>
              </w:rPr>
              <w:t>符合国家财经法和财务管理制度，资金使用有完整的审批流程，符合部门预算批复的用途，不存在挪用等情况，资产使用符合政府采购程序和流程</w:t>
            </w:r>
          </w:p>
        </w:tc>
        <w:tc>
          <w:tcPr>
            <w:tcW w:w="638" w:type="pct"/>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资金使用合规性和安全性</w:t>
            </w:r>
            <w:r>
              <w:rPr>
                <w:rFonts w:hint="eastAsia" w:ascii="宋体" w:hAnsi="宋体" w:cs="宋体"/>
                <w:color w:val="000000"/>
                <w:kern w:val="0"/>
                <w:sz w:val="20"/>
                <w:szCs w:val="20"/>
                <w:lang w:val="en-US" w:eastAsia="zh-CN"/>
              </w:rPr>
              <w:t>符合国家财经法和财务管理制度，资金使用有完整的审批流程，符合部门预算批复的用途，不存在挪用等情况，资产使用符合政府采购程序和流程</w:t>
            </w:r>
            <w:r>
              <w:rPr>
                <w:rFonts w:hint="eastAsia" w:ascii="宋体" w:hAnsi="宋体" w:cs="宋体"/>
                <w:color w:val="000000"/>
                <w:kern w:val="0"/>
                <w:sz w:val="20"/>
                <w:szCs w:val="20"/>
              </w:rPr>
              <w:t>　　</w:t>
            </w:r>
          </w:p>
        </w:tc>
        <w:tc>
          <w:tcPr>
            <w:tcW w:w="243"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w:t>
            </w:r>
          </w:p>
        </w:tc>
        <w:tc>
          <w:tcPr>
            <w:tcW w:w="253"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　</w:t>
            </w:r>
          </w:p>
        </w:tc>
        <w:tc>
          <w:tcPr>
            <w:tcW w:w="910"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953"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trHeight w:val="1035" w:hRule="atLeast"/>
        </w:trPr>
        <w:tc>
          <w:tcPr>
            <w:tcW w:w="32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36"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585"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754" w:type="pct"/>
            <w:tcBorders>
              <w:top w:val="nil"/>
              <w:left w:val="nil"/>
              <w:bottom w:val="single" w:color="auto" w:sz="4" w:space="0"/>
              <w:right w:val="single" w:color="auto" w:sz="4" w:space="0"/>
            </w:tcBorders>
            <w:noWrap w:val="0"/>
            <w:vAlign w:val="center"/>
          </w:tcPr>
          <w:p>
            <w:pPr>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会计基础信息</w:t>
            </w:r>
            <w:r>
              <w:rPr>
                <w:rFonts w:hint="eastAsia" w:ascii="宋体" w:hAnsi="宋体" w:cs="宋体"/>
                <w:color w:val="000000"/>
                <w:kern w:val="0"/>
                <w:sz w:val="20"/>
                <w:szCs w:val="20"/>
                <w:lang w:val="en-US" w:eastAsia="zh-CN"/>
              </w:rPr>
              <w:t>完整、真实、准确</w:t>
            </w:r>
          </w:p>
        </w:tc>
        <w:tc>
          <w:tcPr>
            <w:tcW w:w="638" w:type="pct"/>
            <w:tcBorders>
              <w:top w:val="nil"/>
              <w:left w:val="nil"/>
              <w:bottom w:val="single" w:color="auto" w:sz="4" w:space="0"/>
              <w:right w:val="single" w:color="auto" w:sz="4" w:space="0"/>
            </w:tcBorders>
            <w:noWrap w:val="0"/>
            <w:vAlign w:val="center"/>
          </w:tcPr>
          <w:p>
            <w:pPr>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会计基础信息</w:t>
            </w:r>
            <w:r>
              <w:rPr>
                <w:rFonts w:hint="eastAsia" w:ascii="宋体" w:hAnsi="宋体" w:cs="宋体"/>
                <w:color w:val="000000"/>
                <w:kern w:val="0"/>
                <w:sz w:val="20"/>
                <w:szCs w:val="20"/>
                <w:lang w:val="en-US" w:eastAsia="zh-CN"/>
              </w:rPr>
              <w:t>完整、真实、准确</w:t>
            </w:r>
            <w:r>
              <w:rPr>
                <w:rFonts w:hint="eastAsia" w:ascii="宋体" w:hAnsi="宋体" w:cs="宋体"/>
                <w:color w:val="000000"/>
                <w:kern w:val="0"/>
                <w:sz w:val="20"/>
                <w:szCs w:val="20"/>
              </w:rPr>
              <w:t>　</w:t>
            </w:r>
          </w:p>
        </w:tc>
        <w:tc>
          <w:tcPr>
            <w:tcW w:w="243" w:type="pct"/>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253" w:type="pct"/>
            <w:tcBorders>
              <w:top w:val="nil"/>
              <w:left w:val="nil"/>
              <w:bottom w:val="single" w:color="auto" w:sz="4" w:space="0"/>
              <w:right w:val="nil"/>
            </w:tcBorders>
            <w:noWrap/>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1</w:t>
            </w:r>
          </w:p>
        </w:tc>
        <w:tc>
          <w:tcPr>
            <w:tcW w:w="910" w:type="pc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953" w:type="pct"/>
            <w:tcBorders>
              <w:top w:val="nil"/>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CellMar>
            <w:top w:w="0" w:type="dxa"/>
            <w:left w:w="108" w:type="dxa"/>
            <w:bottom w:w="0" w:type="dxa"/>
            <w:right w:w="108" w:type="dxa"/>
          </w:tblCellMar>
        </w:tblPrEx>
        <w:trPr>
          <w:trHeight w:val="2220" w:hRule="atLeast"/>
        </w:trPr>
        <w:tc>
          <w:tcPr>
            <w:tcW w:w="32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3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资产管理（4）</w:t>
            </w:r>
          </w:p>
        </w:tc>
        <w:tc>
          <w:tcPr>
            <w:tcW w:w="58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资产管理规范性</w:t>
            </w:r>
          </w:p>
        </w:tc>
        <w:tc>
          <w:tcPr>
            <w:tcW w:w="754"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资产保持安全完整，资产配置合理，资产使用和资产处理规范</w:t>
            </w:r>
          </w:p>
        </w:tc>
        <w:tc>
          <w:tcPr>
            <w:tcW w:w="638"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 xml:space="preserve"> </w:t>
            </w:r>
            <w:r>
              <w:rPr>
                <w:rFonts w:hint="eastAsia" w:ascii="宋体" w:hAnsi="宋体" w:cs="宋体"/>
                <w:color w:val="000000"/>
                <w:kern w:val="0"/>
                <w:sz w:val="20"/>
                <w:szCs w:val="20"/>
              </w:rPr>
              <w:t>资产保持安全完整，资产配置合理，资产使用和资产处理规范</w:t>
            </w:r>
          </w:p>
        </w:tc>
        <w:tc>
          <w:tcPr>
            <w:tcW w:w="24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25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4</w:t>
            </w:r>
          </w:p>
        </w:tc>
        <w:tc>
          <w:tcPr>
            <w:tcW w:w="910"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953"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CellMar>
            <w:top w:w="0" w:type="dxa"/>
            <w:left w:w="108" w:type="dxa"/>
            <w:bottom w:w="0" w:type="dxa"/>
            <w:right w:w="108" w:type="dxa"/>
          </w:tblCellMar>
        </w:tblPrEx>
        <w:trPr>
          <w:trHeight w:val="1750" w:hRule="atLeast"/>
        </w:trPr>
        <w:tc>
          <w:tcPr>
            <w:tcW w:w="32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绩效管理（4）</w:t>
            </w:r>
          </w:p>
        </w:tc>
        <w:tc>
          <w:tcPr>
            <w:tcW w:w="58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绩效管理情况</w:t>
            </w:r>
          </w:p>
        </w:tc>
        <w:tc>
          <w:tcPr>
            <w:tcW w:w="754" w:type="pct"/>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　及时对绩效信息进行汇总分析整理；对绩效目标偏离情况及时进行矫正</w:t>
            </w:r>
            <w:r>
              <w:rPr>
                <w:rFonts w:hint="eastAsia" w:ascii="宋体" w:hAnsi="宋体" w:cs="宋体"/>
                <w:color w:val="000000"/>
                <w:kern w:val="0"/>
                <w:sz w:val="20"/>
                <w:szCs w:val="20"/>
                <w:lang w:eastAsia="zh-CN"/>
              </w:rPr>
              <w:t>。</w:t>
            </w:r>
          </w:p>
        </w:tc>
        <w:tc>
          <w:tcPr>
            <w:tcW w:w="638" w:type="pct"/>
            <w:tcBorders>
              <w:top w:val="single" w:color="auto" w:sz="4" w:space="0"/>
              <w:left w:val="nil"/>
              <w:bottom w:val="single" w:color="auto" w:sz="4" w:space="0"/>
              <w:right w:val="single" w:color="auto" w:sz="4" w:space="0"/>
            </w:tcBorders>
            <w:noWrap w:val="0"/>
            <w:vAlign w:val="center"/>
          </w:tcPr>
          <w:p>
            <w:pPr>
              <w:jc w:val="center"/>
              <w:rPr>
                <w:rFonts w:hint="default"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绩效信息汇总分析及时，对目标偏离情况及时矫正。</w:t>
            </w:r>
          </w:p>
        </w:tc>
        <w:tc>
          <w:tcPr>
            <w:tcW w:w="24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253" w:type="pct"/>
            <w:tcBorders>
              <w:top w:val="single" w:color="auto" w:sz="4" w:space="0"/>
              <w:left w:val="nil"/>
              <w:bottom w:val="single" w:color="auto" w:sz="4" w:space="0"/>
              <w:right w:val="nil"/>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4</w:t>
            </w:r>
          </w:p>
        </w:tc>
        <w:tc>
          <w:tcPr>
            <w:tcW w:w="910"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953"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blPrEx>
          <w:tblCellMar>
            <w:top w:w="0" w:type="dxa"/>
            <w:left w:w="108" w:type="dxa"/>
            <w:bottom w:w="0" w:type="dxa"/>
            <w:right w:w="108" w:type="dxa"/>
          </w:tblCellMar>
        </w:tblPrEx>
        <w:trPr>
          <w:trHeight w:val="394" w:hRule="atLeast"/>
        </w:trPr>
        <w:tc>
          <w:tcPr>
            <w:tcW w:w="32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　</w:t>
            </w:r>
          </w:p>
        </w:tc>
        <w:tc>
          <w:tcPr>
            <w:tcW w:w="1340" w:type="pct"/>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highlight w:val="none"/>
              </w:rPr>
              <w:t>20</w:t>
            </w:r>
            <w:r>
              <w:rPr>
                <w:rFonts w:hint="eastAsia" w:ascii="宋体" w:hAnsi="宋体" w:cs="宋体"/>
                <w:color w:val="000000"/>
                <w:kern w:val="0"/>
                <w:sz w:val="20"/>
                <w:szCs w:val="20"/>
                <w:highlight w:val="none"/>
                <w:lang w:val="en-US" w:eastAsia="zh-CN"/>
              </w:rPr>
              <w:t>22</w:t>
            </w:r>
            <w:r>
              <w:rPr>
                <w:rFonts w:hint="eastAsia" w:ascii="宋体" w:hAnsi="宋体" w:cs="宋体"/>
                <w:color w:val="000000"/>
                <w:kern w:val="0"/>
                <w:sz w:val="20"/>
                <w:szCs w:val="20"/>
                <w:highlight w:val="none"/>
              </w:rPr>
              <w:t>年</w:t>
            </w:r>
          </w:p>
        </w:tc>
        <w:tc>
          <w:tcPr>
            <w:tcW w:w="63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3</w:t>
            </w:r>
            <w:r>
              <w:rPr>
                <w:rFonts w:hint="eastAsia" w:ascii="宋体" w:hAnsi="宋体" w:cs="宋体"/>
                <w:color w:val="000000"/>
                <w:kern w:val="0"/>
                <w:sz w:val="20"/>
                <w:szCs w:val="20"/>
              </w:rPr>
              <w:t>年</w:t>
            </w:r>
          </w:p>
        </w:tc>
        <w:tc>
          <w:tcPr>
            <w:tcW w:w="24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25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91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953" w:type="pct"/>
            <w:tcBorders>
              <w:top w:val="single" w:color="auto" w:sz="4" w:space="0"/>
              <w:left w:val="nil"/>
              <w:bottom w:val="single" w:color="auto" w:sz="4" w:space="0"/>
              <w:right w:val="single" w:color="auto" w:sz="4" w:space="0"/>
            </w:tcBorders>
            <w:noWrap w:val="0"/>
            <w:vAlign w:val="center"/>
          </w:tcPr>
          <w:p>
            <w:pPr>
              <w:widowControl/>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365" w:hRule="atLeast"/>
        </w:trPr>
        <w:tc>
          <w:tcPr>
            <w:tcW w:w="32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36" w:type="pct"/>
            <w:tcBorders>
              <w:top w:val="nil"/>
              <w:left w:val="nil"/>
              <w:bottom w:val="single" w:color="auto" w:sz="4" w:space="0"/>
              <w:right w:val="single" w:color="auto" w:sz="4" w:space="0"/>
            </w:tcBorders>
            <w:noWrap w:val="0"/>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1340" w:type="pct"/>
            <w:gridSpan w:val="2"/>
            <w:tcBorders>
              <w:top w:val="single" w:color="auto" w:sz="4" w:space="0"/>
              <w:left w:val="nil"/>
              <w:bottom w:val="single" w:color="auto" w:sz="4" w:space="0"/>
              <w:right w:val="single" w:color="000000"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0.16%</w:t>
            </w:r>
          </w:p>
        </w:tc>
        <w:tc>
          <w:tcPr>
            <w:tcW w:w="638"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0.77%</w:t>
            </w:r>
          </w:p>
        </w:tc>
        <w:tc>
          <w:tcPr>
            <w:tcW w:w="243"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253" w:type="pct"/>
            <w:tcBorders>
              <w:top w:val="nil"/>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p>
        </w:tc>
        <w:tc>
          <w:tcPr>
            <w:tcW w:w="910"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结转结余总额：部门（单位）本年度的结转资金与结余资金之和。</w:t>
            </w:r>
          </w:p>
        </w:tc>
        <w:tc>
          <w:tcPr>
            <w:tcW w:w="953"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trHeight w:val="90" w:hRule="atLeast"/>
        </w:trPr>
        <w:tc>
          <w:tcPr>
            <w:tcW w:w="323"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36" w:type="pct"/>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1340" w:type="pct"/>
            <w:gridSpan w:val="2"/>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7.58%</w:t>
            </w:r>
          </w:p>
        </w:tc>
        <w:tc>
          <w:tcPr>
            <w:tcW w:w="638" w:type="pct"/>
            <w:tcBorders>
              <w:top w:val="nil"/>
              <w:left w:val="single" w:color="auto" w:sz="4" w:space="0"/>
              <w:bottom w:val="single" w:color="auto" w:sz="4" w:space="0"/>
              <w:right w:val="single" w:color="auto" w:sz="4" w:space="0"/>
            </w:tcBorders>
            <w:noWrap w:val="0"/>
            <w:vAlign w:val="center"/>
          </w:tcPr>
          <w:p>
            <w:pPr>
              <w:widowControl/>
              <w:jc w:val="left"/>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1.58%</w:t>
            </w:r>
          </w:p>
        </w:tc>
        <w:tc>
          <w:tcPr>
            <w:tcW w:w="243"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253" w:type="pct"/>
            <w:tcBorders>
              <w:top w:val="nil"/>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　</w:t>
            </w:r>
          </w:p>
        </w:tc>
        <w:tc>
          <w:tcPr>
            <w:tcW w:w="910" w:type="pc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953" w:type="pct"/>
            <w:tcBorders>
              <w:top w:val="nil"/>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CellMar>
            <w:top w:w="0" w:type="dxa"/>
            <w:left w:w="108" w:type="dxa"/>
            <w:bottom w:w="0" w:type="dxa"/>
            <w:right w:w="108" w:type="dxa"/>
          </w:tblCellMar>
        </w:tblPrEx>
        <w:trPr>
          <w:trHeight w:val="404" w:hRule="atLeast"/>
        </w:trPr>
        <w:tc>
          <w:tcPr>
            <w:tcW w:w="2639" w:type="pct"/>
            <w:gridSpan w:val="5"/>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合计</w:t>
            </w:r>
          </w:p>
        </w:tc>
        <w:tc>
          <w:tcPr>
            <w:tcW w:w="243"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253" w:type="pct"/>
            <w:tcBorders>
              <w:top w:val="nil"/>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96.68</w:t>
            </w:r>
            <w:bookmarkStart w:id="0" w:name="_GoBack"/>
            <w:bookmarkEnd w:id="0"/>
            <w:r>
              <w:rPr>
                <w:rFonts w:hint="eastAsia" w:ascii="宋体" w:hAnsi="宋体" w:cs="宋体"/>
                <w:color w:val="000000"/>
                <w:kern w:val="0"/>
                <w:sz w:val="20"/>
                <w:szCs w:val="20"/>
              </w:rPr>
              <w:t>　</w:t>
            </w:r>
          </w:p>
        </w:tc>
        <w:tc>
          <w:tcPr>
            <w:tcW w:w="1863" w:type="pct"/>
            <w:gridSpan w:val="2"/>
            <w:tcBorders>
              <w:top w:val="single" w:color="auto" w:sz="4" w:space="0"/>
              <w:left w:val="single" w:color="auto" w:sz="4" w:space="0"/>
              <w:bottom w:val="single" w:color="auto" w:sz="4" w:space="0"/>
              <w:right w:val="single" w:color="000000"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yNDE2MDRlNzZhYjEwZWQ1YTcyNWRmZDFmOTYzNjUifQ=="/>
  </w:docVars>
  <w:rsids>
    <w:rsidRoot w:val="7F111A58"/>
    <w:rsid w:val="007C0047"/>
    <w:rsid w:val="02992604"/>
    <w:rsid w:val="115F1B13"/>
    <w:rsid w:val="254211C5"/>
    <w:rsid w:val="28CC16DF"/>
    <w:rsid w:val="35A12B65"/>
    <w:rsid w:val="39ED47B3"/>
    <w:rsid w:val="3A0A31C6"/>
    <w:rsid w:val="426B5D34"/>
    <w:rsid w:val="54FA3DC5"/>
    <w:rsid w:val="5DB1138B"/>
    <w:rsid w:val="6E493253"/>
    <w:rsid w:val="70DD272A"/>
    <w:rsid w:val="752F4A7A"/>
    <w:rsid w:val="77DF70AC"/>
    <w:rsid w:val="789444B7"/>
    <w:rsid w:val="7D145DEE"/>
    <w:rsid w:val="7F111A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2919</Words>
  <Characters>3113</Characters>
  <Lines>0</Lines>
  <Paragraphs>0</Paragraphs>
  <TotalTime>42</TotalTime>
  <ScaleCrop>false</ScaleCrop>
  <LinksUpToDate>false</LinksUpToDate>
  <CharactersWithSpaces>3153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2022-04-27T01:44:00Z</dcterms:created>
  <dc:creator>郭淋娜呀</dc:creator>
  <cp:lastModifiedBy>郭淋娜呀</cp:lastModifiedBy>
  <dcterms:modified xsi:type="dcterms:W3CDTF">2024-05-14T23:52:53Z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6EA597B937BF4567A5A93C70FAEA001C</vt:lpwstr>
  </property>
</Properties>
</file>