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仿宋" w:hAnsi="仿宋" w:eastAsia="仿宋" w:cs="Times New Roman"/>
          <w:b/>
          <w:kern w:val="44"/>
          <w:sz w:val="52"/>
          <w:szCs w:val="52"/>
        </w:rPr>
      </w:pPr>
    </w:p>
    <w:p>
      <w:pPr>
        <w:spacing w:line="600" w:lineRule="exact"/>
        <w:jc w:val="center"/>
        <w:rPr>
          <w:rFonts w:hint="eastAsia" w:ascii="仿宋" w:hAnsi="仿宋" w:eastAsia="仿宋" w:cs="Times New Roman"/>
          <w:b/>
          <w:kern w:val="44"/>
          <w:sz w:val="52"/>
          <w:szCs w:val="52"/>
        </w:rPr>
      </w:pPr>
      <w:r>
        <w:rPr>
          <w:rFonts w:hint="eastAsia" w:ascii="仿宋" w:hAnsi="仿宋" w:eastAsia="仿宋" w:cs="Times New Roman"/>
          <w:b/>
          <w:kern w:val="44"/>
          <w:sz w:val="52"/>
          <w:szCs w:val="52"/>
        </w:rPr>
        <w:t>北京市市级财政部门整体绩效</w:t>
      </w:r>
      <w:r>
        <w:rPr>
          <w:rFonts w:hint="eastAsia" w:ascii="仿宋" w:hAnsi="仿宋" w:eastAsia="仿宋" w:cs="Times New Roman"/>
          <w:b/>
          <w:kern w:val="44"/>
          <w:sz w:val="52"/>
          <w:szCs w:val="52"/>
          <w:lang w:eastAsia="zh-CN"/>
        </w:rPr>
        <w:t>评价</w:t>
      </w:r>
      <w:r>
        <w:rPr>
          <w:rFonts w:hint="eastAsia" w:ascii="仿宋" w:hAnsi="仿宋" w:eastAsia="仿宋" w:cs="Times New Roman"/>
          <w:b/>
          <w:kern w:val="44"/>
          <w:sz w:val="52"/>
          <w:szCs w:val="52"/>
        </w:rPr>
        <w:t>报告</w:t>
      </w:r>
    </w:p>
    <w:p>
      <w:pPr>
        <w:spacing w:line="360" w:lineRule="auto"/>
        <w:jc w:val="center"/>
        <w:rPr>
          <w:rFonts w:ascii="仿宋" w:hAnsi="仿宋" w:eastAsia="仿宋"/>
          <w:b/>
          <w:kern w:val="44"/>
          <w:sz w:val="52"/>
          <w:szCs w:val="52"/>
        </w:rPr>
      </w:pPr>
    </w:p>
    <w:p>
      <w:pPr>
        <w:spacing w:line="360" w:lineRule="auto"/>
        <w:jc w:val="center"/>
        <w:rPr>
          <w:rFonts w:ascii="仿宋" w:hAnsi="仿宋" w:eastAsia="仿宋"/>
          <w:b/>
          <w:kern w:val="44"/>
          <w:sz w:val="52"/>
          <w:szCs w:val="52"/>
        </w:rPr>
      </w:pPr>
    </w:p>
    <w:p>
      <w:pPr>
        <w:ind w:firstLine="1044" w:firstLineChars="200"/>
        <w:rPr>
          <w:rFonts w:ascii="仿宋" w:hAnsi="仿宋" w:eastAsia="仿宋"/>
          <w:b/>
          <w:bCs/>
          <w:sz w:val="52"/>
        </w:rPr>
      </w:pPr>
      <w:r>
        <w:rPr>
          <w:rFonts w:hint="eastAsia" w:ascii="仿宋" w:hAnsi="仿宋" w:eastAsia="仿宋"/>
          <w:b/>
          <w:bCs/>
          <w:sz w:val="52"/>
        </w:rPr>
        <w:t xml:space="preserve">            </w:t>
      </w:r>
    </w:p>
    <w:p>
      <w:pPr>
        <w:ind w:firstLine="1044" w:firstLineChars="200"/>
        <w:rPr>
          <w:rFonts w:ascii="仿宋" w:hAnsi="仿宋" w:eastAsia="仿宋"/>
          <w:b/>
          <w:bCs/>
          <w:sz w:val="52"/>
        </w:rPr>
      </w:pPr>
      <w:r>
        <w:rPr>
          <w:rFonts w:hint="eastAsia" w:ascii="仿宋" w:hAnsi="仿宋" w:eastAsia="仿宋"/>
          <w:b/>
          <w:bCs/>
          <w:sz w:val="52"/>
        </w:rPr>
        <w:t xml:space="preserve">            </w:t>
      </w:r>
    </w:p>
    <w:p>
      <w:pPr>
        <w:ind w:firstLine="1044" w:firstLineChars="200"/>
        <w:rPr>
          <w:rFonts w:hint="eastAsia" w:ascii="仿宋" w:hAnsi="仿宋" w:eastAsia="仿宋"/>
          <w:b/>
          <w:bCs/>
          <w:sz w:val="52"/>
        </w:rPr>
      </w:pPr>
      <w:r>
        <w:rPr>
          <w:rFonts w:hint="eastAsia" w:ascii="仿宋" w:hAnsi="仿宋" w:eastAsia="仿宋"/>
          <w:b/>
          <w:bCs/>
          <w:sz w:val="52"/>
        </w:rPr>
        <w:t xml:space="preserve">           </w:t>
      </w:r>
    </w:p>
    <w:p>
      <w:pPr>
        <w:ind w:firstLine="640" w:firstLineChars="200"/>
        <w:rPr>
          <w:rFonts w:ascii="仿宋" w:hAnsi="仿宋" w:eastAsia="仿宋"/>
          <w:sz w:val="32"/>
          <w:szCs w:val="32"/>
          <w:u w:val="single"/>
        </w:rPr>
      </w:pPr>
    </w:p>
    <w:p>
      <w:pPr>
        <w:rPr>
          <w:rFonts w:ascii="仿宋" w:hAnsi="仿宋" w:eastAsia="仿宋"/>
          <w:sz w:val="30"/>
          <w:u w:val="single"/>
        </w:rPr>
      </w:pPr>
    </w:p>
    <w:p>
      <w:pPr>
        <w:rPr>
          <w:rFonts w:ascii="仿宋" w:hAnsi="仿宋" w:eastAsia="仿宋"/>
          <w:sz w:val="30"/>
          <w:u w:val="single"/>
        </w:rPr>
      </w:pPr>
    </w:p>
    <w:p>
      <w:pPr>
        <w:rPr>
          <w:rFonts w:ascii="仿宋" w:hAnsi="仿宋" w:eastAsia="仿宋"/>
          <w:sz w:val="30"/>
          <w:u w:val="single"/>
        </w:rPr>
      </w:pPr>
    </w:p>
    <w:p>
      <w:pPr>
        <w:rPr>
          <w:rFonts w:ascii="仿宋" w:hAnsi="仿宋" w:eastAsia="仿宋"/>
          <w:sz w:val="30"/>
          <w:u w:val="single"/>
        </w:rPr>
      </w:pPr>
    </w:p>
    <w:p>
      <w:pPr>
        <w:spacing w:line="360" w:lineRule="auto"/>
        <w:jc w:val="center"/>
        <w:rPr>
          <w:rFonts w:hint="eastAsia" w:ascii="仿宋" w:hAnsi="仿宋" w:eastAsia="仿宋"/>
          <w:b/>
          <w:kern w:val="44"/>
          <w:sz w:val="36"/>
          <w:szCs w:val="36"/>
        </w:rPr>
      </w:pPr>
      <w:r>
        <w:rPr>
          <w:rFonts w:hint="eastAsia" w:ascii="仿宋" w:hAnsi="仿宋" w:eastAsia="仿宋"/>
          <w:b/>
          <w:kern w:val="44"/>
          <w:sz w:val="36"/>
          <w:szCs w:val="36"/>
        </w:rPr>
        <w:t>民进北京市委</w:t>
      </w:r>
    </w:p>
    <w:p>
      <w:pPr>
        <w:spacing w:line="360" w:lineRule="auto"/>
        <w:jc w:val="center"/>
        <w:rPr>
          <w:rFonts w:hint="eastAsia" w:ascii="仿宋" w:hAnsi="仿宋" w:eastAsia="仿宋"/>
          <w:b/>
          <w:kern w:val="44"/>
          <w:sz w:val="32"/>
          <w:szCs w:val="32"/>
        </w:rPr>
      </w:pPr>
      <w:r>
        <w:rPr>
          <w:rFonts w:hint="eastAsia" w:ascii="仿宋" w:hAnsi="仿宋" w:eastAsia="仿宋"/>
          <w:b/>
          <w:kern w:val="44"/>
          <w:sz w:val="32"/>
          <w:szCs w:val="32"/>
        </w:rPr>
        <w:t>二</w:t>
      </w:r>
      <w:r>
        <w:rPr>
          <w:rFonts w:hint="eastAsia" w:ascii="仿宋" w:hAnsi="仿宋" w:eastAsia="仿宋" w:cs="微软雅黑"/>
          <w:sz w:val="32"/>
          <w:szCs w:val="32"/>
        </w:rPr>
        <w:t>〇</w:t>
      </w:r>
      <w:r>
        <w:rPr>
          <w:rFonts w:hint="eastAsia" w:ascii="仿宋" w:hAnsi="仿宋" w:eastAsia="仿宋"/>
          <w:b/>
          <w:kern w:val="44"/>
          <w:sz w:val="32"/>
          <w:szCs w:val="32"/>
        </w:rPr>
        <w:t>二</w:t>
      </w:r>
      <w:r>
        <w:rPr>
          <w:rFonts w:hint="eastAsia" w:ascii="仿宋" w:hAnsi="仿宋" w:eastAsia="仿宋"/>
          <w:b/>
          <w:kern w:val="44"/>
          <w:sz w:val="32"/>
          <w:szCs w:val="32"/>
          <w:lang w:val="en-US" w:eastAsia="zh-CN"/>
        </w:rPr>
        <w:t>四</w:t>
      </w:r>
      <w:r>
        <w:rPr>
          <w:rFonts w:hint="eastAsia" w:ascii="仿宋" w:hAnsi="仿宋" w:eastAsia="仿宋"/>
          <w:b/>
          <w:kern w:val="44"/>
          <w:sz w:val="32"/>
          <w:szCs w:val="32"/>
        </w:rPr>
        <w:t>年五月</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p>
    <w:p>
      <w:pPr>
        <w:spacing w:line="600" w:lineRule="exact"/>
        <w:ind w:firstLine="640" w:firstLineChars="200"/>
        <w:rPr>
          <w:rFonts w:hint="eastAsia" w:ascii="黑体" w:hAnsi="黑体" w:eastAsia="黑体" w:cs="宋体"/>
          <w:color w:val="000000"/>
          <w:kern w:val="0"/>
          <w:sz w:val="32"/>
          <w:szCs w:val="32"/>
        </w:rPr>
      </w:pPr>
    </w:p>
    <w:p>
      <w:pPr>
        <w:spacing w:line="600" w:lineRule="exact"/>
        <w:ind w:firstLine="640" w:firstLineChars="200"/>
        <w:rPr>
          <w:rFonts w:hint="eastAsia" w:ascii="黑体" w:hAnsi="黑体" w:eastAsia="黑体" w:cs="宋体"/>
          <w:color w:val="000000"/>
          <w:kern w:val="0"/>
          <w:sz w:val="32"/>
          <w:szCs w:val="32"/>
        </w:rPr>
      </w:pPr>
    </w:p>
    <w:p>
      <w:pPr>
        <w:spacing w:line="600" w:lineRule="exact"/>
        <w:ind w:firstLine="640" w:firstLineChars="200"/>
        <w:rPr>
          <w:rFonts w:hint="eastAsia" w:ascii="黑体" w:hAnsi="黑体" w:eastAsia="黑体" w:cs="宋体"/>
          <w:color w:val="000000"/>
          <w:kern w:val="0"/>
          <w:sz w:val="32"/>
          <w:szCs w:val="32"/>
        </w:rPr>
      </w:pPr>
    </w:p>
    <w:p>
      <w:pPr>
        <w:spacing w:line="600" w:lineRule="exact"/>
        <w:ind w:firstLine="640" w:firstLineChars="200"/>
        <w:rPr>
          <w:rFonts w:hint="eastAsia" w:ascii="黑体" w:hAnsi="黑体" w:eastAsia="黑体" w:cs="宋体"/>
          <w:color w:val="000000"/>
          <w:kern w:val="0"/>
          <w:sz w:val="32"/>
          <w:szCs w:val="32"/>
        </w:rPr>
      </w:pPr>
    </w:p>
    <w:sdt>
      <w:sdtPr>
        <w:rPr>
          <w:rFonts w:ascii="宋体" w:hAnsi="宋体" w:eastAsia="宋体" w:cs="Times New Roman"/>
          <w:kern w:val="2"/>
          <w:sz w:val="21"/>
          <w:szCs w:val="24"/>
          <w:lang w:val="en-US" w:eastAsia="zh-CN" w:bidi="ar-SA"/>
        </w:rPr>
        <w:id w:val="147460536"/>
        <w15:color w:val="DBDBDB"/>
        <w:docPartObj>
          <w:docPartGallery w:val="Table of Contents"/>
          <w:docPartUnique/>
        </w:docPartObj>
      </w:sdtPr>
      <w:sdtEndPr>
        <w:rPr>
          <w:rFonts w:hint="eastAsia" w:ascii="仿宋_GB2312" w:hAnsi="宋体" w:eastAsia="仿宋_GB2312" w:cs="宋体"/>
          <w:color w:val="000000"/>
          <w:kern w:val="0"/>
          <w:sz w:val="32"/>
          <w:szCs w:val="32"/>
          <w:highlight w:val="none"/>
          <w:lang w:val="en-US" w:eastAsia="zh-CN" w:bidi="ar-SA"/>
        </w:rPr>
      </w:sdtEndPr>
      <w:sdtContent>
        <w:p>
          <w:pPr>
            <w:spacing w:before="0" w:beforeLines="0" w:after="0" w:afterLines="0" w:line="240" w:lineRule="auto"/>
            <w:ind w:left="0" w:leftChars="0" w:right="0" w:rightChars="0" w:firstLine="0" w:firstLineChars="0"/>
            <w:jc w:val="center"/>
            <w:rPr>
              <w:rFonts w:ascii="宋体" w:hAnsi="宋体" w:eastAsia="宋体" w:cs="Times New Roman"/>
              <w:kern w:val="2"/>
              <w:sz w:val="21"/>
              <w:szCs w:val="24"/>
              <w:lang w:val="en-US" w:eastAsia="zh-CN" w:bidi="ar-SA"/>
            </w:rPr>
          </w:pPr>
        </w:p>
        <w:p>
          <w:pPr>
            <w:spacing w:before="0" w:beforeLines="0" w:after="0" w:afterLines="0" w:line="240" w:lineRule="auto"/>
            <w:ind w:left="0" w:leftChars="0" w:right="0" w:rightChars="0" w:firstLine="0" w:firstLineChars="0"/>
            <w:jc w:val="center"/>
            <w:rPr>
              <w:sz w:val="56"/>
              <w:szCs w:val="96"/>
            </w:rPr>
          </w:pPr>
          <w:r>
            <w:rPr>
              <w:rFonts w:ascii="宋体" w:hAnsi="宋体" w:eastAsia="宋体"/>
              <w:sz w:val="56"/>
              <w:szCs w:val="96"/>
            </w:rPr>
            <w:t>目录</w:t>
          </w:r>
        </w:p>
        <w:p>
          <w:pPr>
            <w:pStyle w:val="8"/>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TOC \o "1-3" \h \u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_Toc12897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一、 部门概况</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_Toc12897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_Toc17703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（一）机构设置及职责工作任务情况</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_Toc17703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_Toc2449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（二）部门整体绩效目标设立情况</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_Toc2449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8"/>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_Toc29905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二、当年预算执行情况</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_Toc29905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2</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8"/>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_Toc15754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三、整体绩效目标实现情况</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_Toc15754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3</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_Toc26655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（一）产出完成情况分析</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_Toc26655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3</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_Toc11670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1.数量指标完成情况</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_Toc11670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3</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_Toc21310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2.产出质量</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_Toc21310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5</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_Toc28427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3.产出进度</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_Toc28427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8</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_Toc26763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4.产出成本</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_Toc26763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8</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_Toc31686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（二）效果实现情况分析</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_Toc31686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8</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_Toc20370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1.社会效益</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_Toc20370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8</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_Toc17830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2.可持续性影响</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_Toc17830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10</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_Toc308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3.服务对象满意度</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_Toc308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10</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8"/>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_Toc24214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四、预算管理情况分析</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_Toc24214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11</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_Toc6649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（一）财务管理</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_Toc6649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11</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_Toc8744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1.财务管理制度健全性</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_Toc8744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11</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_Toc31688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2.资金使用合规性和安全性</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_Toc31688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11</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5"/>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_Toc8870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3.会计基础信息完善性</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_Toc8870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11</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_Toc3656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（二）资产管理</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_Toc3656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12</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_Toc27691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（三）绩效管理</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_Toc27691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12</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_Toc12183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（四）结转结余率</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_Toc12183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12</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_Toc20422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（五）部门预决算差异率</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_Toc20422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12</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8"/>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_Toc27347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五、总体评价结论</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_Toc27347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13</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_Toc13839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（一）评价得分情况</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_Toc13839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13</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9"/>
            <w:tabs>
              <w:tab w:val="right" w:leader="dot" w:pos="8306"/>
            </w:tabs>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_Toc4517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（二）存在的问题及原因分析</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_Toc4517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13</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pStyle w:val="8"/>
            <w:tabs>
              <w:tab w:val="right" w:leader="dot" w:pos="8306"/>
            </w:tabs>
          </w:pP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HYPERLINK \l _Toc20403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六、措施建议</w:t>
          </w:r>
          <w:r>
            <w:rPr>
              <w:rFonts w:hint="eastAsia" w:ascii="仿宋_GB2312" w:hAnsi="宋体" w:eastAsia="仿宋_GB2312" w:cs="宋体"/>
              <w:color w:val="000000"/>
              <w:kern w:val="0"/>
              <w:sz w:val="32"/>
              <w:szCs w:val="32"/>
              <w:highlight w:val="none"/>
              <w:lang w:val="en-US" w:eastAsia="zh-CN" w:bidi="ar-SA"/>
            </w:rPr>
            <w:tab/>
          </w:r>
          <w:r>
            <w:rPr>
              <w:rFonts w:hint="eastAsia" w:ascii="仿宋_GB2312" w:hAnsi="宋体" w:eastAsia="仿宋_GB2312" w:cs="宋体"/>
              <w:color w:val="000000"/>
              <w:kern w:val="0"/>
              <w:sz w:val="32"/>
              <w:szCs w:val="32"/>
              <w:highlight w:val="none"/>
              <w:lang w:val="en-US" w:eastAsia="zh-CN" w:bidi="ar-SA"/>
            </w:rPr>
            <w:fldChar w:fldCharType="begin"/>
          </w:r>
          <w:r>
            <w:rPr>
              <w:rFonts w:hint="eastAsia" w:ascii="仿宋_GB2312" w:hAnsi="宋体" w:eastAsia="仿宋_GB2312" w:cs="宋体"/>
              <w:color w:val="000000"/>
              <w:kern w:val="0"/>
              <w:sz w:val="32"/>
              <w:szCs w:val="32"/>
              <w:highlight w:val="none"/>
              <w:lang w:val="en-US" w:eastAsia="zh-CN" w:bidi="ar-SA"/>
            </w:rPr>
            <w:instrText xml:space="preserve"> PAGEREF _Toc20403 \h </w:instrText>
          </w:r>
          <w:r>
            <w:rPr>
              <w:rFonts w:hint="eastAsia" w:ascii="仿宋_GB2312" w:hAnsi="宋体" w:eastAsia="仿宋_GB2312" w:cs="宋体"/>
              <w:color w:val="000000"/>
              <w:kern w:val="0"/>
              <w:sz w:val="32"/>
              <w:szCs w:val="32"/>
              <w:highlight w:val="none"/>
              <w:lang w:val="en-US" w:eastAsia="zh-CN" w:bidi="ar-SA"/>
            </w:rPr>
            <w:fldChar w:fldCharType="separate"/>
          </w:r>
          <w:r>
            <w:rPr>
              <w:rFonts w:hint="eastAsia" w:ascii="仿宋_GB2312" w:hAnsi="宋体" w:eastAsia="仿宋_GB2312" w:cs="宋体"/>
              <w:color w:val="000000"/>
              <w:kern w:val="0"/>
              <w:sz w:val="32"/>
              <w:szCs w:val="32"/>
              <w:highlight w:val="none"/>
              <w:lang w:val="en-US" w:eastAsia="zh-CN" w:bidi="ar-SA"/>
            </w:rPr>
            <w:t>13</w:t>
          </w:r>
          <w:r>
            <w:rPr>
              <w:rFonts w:hint="eastAsia" w:ascii="仿宋_GB2312" w:hAnsi="宋体" w:eastAsia="仿宋_GB2312" w:cs="宋体"/>
              <w:color w:val="000000"/>
              <w:kern w:val="0"/>
              <w:sz w:val="32"/>
              <w:szCs w:val="32"/>
              <w:highlight w:val="none"/>
              <w:lang w:val="en-US" w:eastAsia="zh-CN" w:bidi="ar-SA"/>
            </w:rPr>
            <w:fldChar w:fldCharType="end"/>
          </w:r>
          <w:r>
            <w:rPr>
              <w:rFonts w:hint="eastAsia" w:ascii="仿宋_GB2312" w:hAnsi="宋体" w:eastAsia="仿宋_GB2312" w:cs="宋体"/>
              <w:color w:val="000000"/>
              <w:kern w:val="0"/>
              <w:sz w:val="32"/>
              <w:szCs w:val="32"/>
              <w:highlight w:val="none"/>
              <w:lang w:val="en-US" w:eastAsia="zh-CN" w:bidi="ar-SA"/>
            </w:rPr>
            <w:fldChar w:fldCharType="end"/>
          </w:r>
        </w:p>
        <w:p>
          <w:pPr>
            <w:spacing w:line="600" w:lineRule="exact"/>
            <w:ind w:firstLine="420" w:firstLineChars="200"/>
            <w:rPr>
              <w:rFonts w:hint="eastAsia"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Cs w:val="32"/>
              <w:highlight w:val="none"/>
              <w:lang w:val="en-US" w:eastAsia="zh-CN" w:bidi="ar-SA"/>
            </w:rPr>
            <w:fldChar w:fldCharType="end"/>
          </w:r>
        </w:p>
      </w:sdtContent>
    </w:sdt>
    <w:p>
      <w:pPr>
        <w:spacing w:line="600" w:lineRule="exact"/>
        <w:ind w:firstLine="640" w:firstLineChars="200"/>
        <w:rPr>
          <w:rFonts w:hint="eastAsia" w:ascii="仿宋_GB2312" w:hAnsi="宋体" w:eastAsia="仿宋_GB2312" w:cs="宋体"/>
          <w:color w:val="000000"/>
          <w:kern w:val="0"/>
          <w:sz w:val="32"/>
          <w:szCs w:val="32"/>
          <w:highlight w:val="none"/>
          <w:lang w:val="en-US" w:eastAsia="zh-CN" w:bidi="ar-SA"/>
        </w:rPr>
      </w:pP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bidi="ar-SA"/>
        </w:rPr>
      </w:pP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bidi="ar-SA"/>
        </w:rPr>
      </w:pP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bidi="ar-SA"/>
        </w:rPr>
      </w:pP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bidi="ar-SA"/>
        </w:rPr>
      </w:pP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bidi="ar-SA"/>
        </w:rPr>
      </w:pPr>
    </w:p>
    <w:p>
      <w:pPr>
        <w:spacing w:line="600" w:lineRule="exact"/>
        <w:ind w:firstLine="640" w:firstLineChars="200"/>
        <w:rPr>
          <w:rFonts w:hint="eastAsia" w:ascii="仿宋_GB2312" w:hAnsi="宋体" w:eastAsia="仿宋_GB2312" w:cs="宋体"/>
          <w:color w:val="000000"/>
          <w:kern w:val="0"/>
          <w:sz w:val="32"/>
          <w:szCs w:val="32"/>
          <w:highlight w:val="none"/>
          <w:lang w:val="en-US" w:eastAsia="zh-CN" w:bidi="ar-SA"/>
        </w:rPr>
      </w:pPr>
    </w:p>
    <w:p>
      <w:pPr>
        <w:spacing w:line="600" w:lineRule="exact"/>
        <w:ind w:firstLine="640" w:firstLineChars="200"/>
        <w:rPr>
          <w:rFonts w:hint="eastAsia" w:ascii="黑体" w:hAnsi="黑体" w:eastAsia="黑体" w:cs="宋体"/>
          <w:color w:val="000000"/>
          <w:kern w:val="0"/>
          <w:sz w:val="32"/>
          <w:szCs w:val="32"/>
          <w:highlight w:val="none"/>
        </w:rPr>
      </w:pPr>
    </w:p>
    <w:p>
      <w:pPr>
        <w:pStyle w:val="2"/>
        <w:pageBreakBefore w:val="0"/>
        <w:widowControl w:val="0"/>
        <w:numPr>
          <w:ilvl w:val="0"/>
          <w:numId w:val="1"/>
        </w:numPr>
        <w:kinsoku/>
        <w:wordWrap/>
        <w:overflowPunct/>
        <w:topLinePunct w:val="0"/>
        <w:autoSpaceDE/>
        <w:autoSpaceDN/>
        <w:bidi w:val="0"/>
        <w:adjustRightInd/>
        <w:spacing w:line="360" w:lineRule="auto"/>
        <w:textAlignment w:val="auto"/>
        <w:rPr>
          <w:rFonts w:hint="eastAsia"/>
          <w:sz w:val="36"/>
          <w:szCs w:val="21"/>
          <w:highlight w:val="none"/>
        </w:rPr>
        <w:sectPr>
          <w:pgSz w:w="11906" w:h="16838"/>
          <w:pgMar w:top="1440" w:right="1800" w:bottom="1440" w:left="1800" w:header="851" w:footer="992" w:gutter="0"/>
          <w:pgNumType w:fmt="decimal" w:start="1"/>
          <w:cols w:space="425" w:num="1"/>
          <w:docGrid w:type="lines" w:linePitch="312" w:charSpace="0"/>
        </w:sectPr>
      </w:pPr>
    </w:p>
    <w:p>
      <w:pPr>
        <w:pStyle w:val="2"/>
        <w:pageBreakBefore w:val="0"/>
        <w:widowControl w:val="0"/>
        <w:numPr>
          <w:ilvl w:val="0"/>
          <w:numId w:val="1"/>
        </w:numPr>
        <w:kinsoku/>
        <w:wordWrap/>
        <w:overflowPunct/>
        <w:topLinePunct w:val="0"/>
        <w:autoSpaceDE/>
        <w:autoSpaceDN/>
        <w:bidi w:val="0"/>
        <w:adjustRightInd/>
        <w:snapToGrid/>
        <w:spacing w:after="0" w:afterLines="0" w:afterAutospacing="0" w:line="360" w:lineRule="auto"/>
        <w:textAlignment w:val="auto"/>
        <w:rPr>
          <w:rFonts w:hint="eastAsia"/>
          <w:sz w:val="36"/>
          <w:szCs w:val="21"/>
          <w:highlight w:val="none"/>
        </w:rPr>
      </w:pPr>
      <w:bookmarkStart w:id="0" w:name="_Toc12897"/>
      <w:r>
        <w:rPr>
          <w:rFonts w:hint="eastAsia"/>
          <w:sz w:val="36"/>
          <w:szCs w:val="21"/>
          <w:highlight w:val="none"/>
        </w:rPr>
        <w:t>部门概况</w:t>
      </w:r>
      <w:bookmarkEnd w:id="0"/>
    </w:p>
    <w:p>
      <w:pPr>
        <w:pStyle w:val="3"/>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highlight w:val="none"/>
        </w:rPr>
      </w:pPr>
      <w:bookmarkStart w:id="1" w:name="_Toc17703"/>
      <w:r>
        <w:rPr>
          <w:rFonts w:hint="eastAsia"/>
          <w:highlight w:val="none"/>
        </w:rPr>
        <w:t>（一）机构设置及职责工作任务情况</w:t>
      </w:r>
      <w:bookmarkEnd w:id="1"/>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1、机构设置，本单位为正局级行政单位，下设议政调研处、组织处、宣传处、社会服务处和办公室。</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职责工作任务情况，本单位是以从事教育文化出版工作的高中级知识分子为主的、具有政治联盟性质的、致力于建设中国特色社会主义事业的政党，是同中国共产党通力合作的亲密友党。主要职能是从事在教育文化出版领域的参政议政和民主监督等工作。</w:t>
      </w:r>
    </w:p>
    <w:p>
      <w:pPr>
        <w:pStyle w:val="3"/>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highlight w:val="none"/>
        </w:rPr>
      </w:pPr>
      <w:bookmarkStart w:id="2" w:name="_Toc2449"/>
      <w:r>
        <w:rPr>
          <w:rFonts w:hint="eastAsia"/>
          <w:highlight w:val="none"/>
          <w:lang w:val="en-US" w:eastAsia="zh-CN"/>
        </w:rPr>
        <w:t>（二）</w:t>
      </w:r>
      <w:r>
        <w:rPr>
          <w:rFonts w:hint="eastAsia"/>
          <w:highlight w:val="none"/>
        </w:rPr>
        <w:t>部门整体绩效目标设立情况</w:t>
      </w:r>
      <w:bookmarkEnd w:id="2"/>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部门整体绩效目标是：坚持以习近平新时代中国特色社会主义思想为指导，全面贯彻二十大和二十届二中全会精神，以深入开展“凝心铸魂强根基、团结奋进新征程”主题教育和“作风建设”主题年工作为主线，积极践行“四新”“三好”总要求，以五年发展规划为引领，实施“五个民进”建设，全面加强“五大建设”。在民进中央和中共北京市委的领导下，以高质量发展，全面提升自身建设水平，切实履行参政党职能，紧扣国家和北京市“十四五”规划和二〇三五年远景目标，牢记“首都工作关乎国之大者”要求，坚持首善标准，主动融入和服务新发展格局，以思想政治共识的新提高、履职尽责的新作为，助力国家和首都谱写新时代高质量发展新篇章。进一步完善参政议政工作机制，加强在文化、教育、出版领域的深入调查研究，着力提高议政建言质量，巩固北京民进参政议政品牌，力争在老阵地有新作为。开展社会服务活动助力区域发展；利用“一刊一网一微”宣传平台，引导基层组织和广大会员切实把思想认识统一到中央决策部署上来，增强“四个意识”、坚定“四个自信”、巩固“三个认同”，夯实共同思想政治基础。进一步加强民进组织建设与会员发展培训工作，提高基层组织的协调能力，提高会员履职尽责和参政议政能力。 以习近平总书记系列重要讲话和重要批示指示精神为总指引，扎实开展主题教育。牢牢把握“学思想、强根基、重履职、建新功”总要求，成立领导小组，制定工作方案，及时进行动员部署，开展专题工作会，编发学习材料和简报，加强组织实施。坚持目标导向和问题导向相统一，学以致用，将开展好主题教育与加强参政党自身建设、履职尽责紧密结合，加强统筹协调和指导推进。</w:t>
      </w:r>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p>
    <w:p>
      <w:pPr>
        <w:pStyle w:val="2"/>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sz w:val="36"/>
          <w:szCs w:val="21"/>
          <w:highlight w:val="none"/>
        </w:rPr>
      </w:pPr>
      <w:bookmarkStart w:id="3" w:name="_Toc29905"/>
      <w:r>
        <w:rPr>
          <w:rFonts w:hint="eastAsia"/>
          <w:sz w:val="36"/>
          <w:szCs w:val="21"/>
          <w:highlight w:val="none"/>
        </w:rPr>
        <w:t>二</w:t>
      </w:r>
      <w:r>
        <w:rPr>
          <w:sz w:val="36"/>
          <w:szCs w:val="21"/>
          <w:highlight w:val="none"/>
        </w:rPr>
        <w:t>、</w:t>
      </w:r>
      <w:r>
        <w:rPr>
          <w:rFonts w:hint="eastAsia"/>
          <w:sz w:val="36"/>
          <w:szCs w:val="21"/>
          <w:highlight w:val="none"/>
        </w:rPr>
        <w:t>当年</w:t>
      </w:r>
      <w:r>
        <w:rPr>
          <w:sz w:val="36"/>
          <w:szCs w:val="21"/>
          <w:highlight w:val="none"/>
        </w:rPr>
        <w:t>预算执行情况</w:t>
      </w:r>
      <w:bookmarkEnd w:id="3"/>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2023年全年预算数1482.12万元，其中，基本支出预算数1324.12万元，项目支出预算数158万元，无其他支出预算。资金总体支出1470.10万元，其中，基本支出1316.16万元，项目支出153.94万元，无其他支出。预算执行率为99.19%。</w:t>
      </w:r>
    </w:p>
    <w:p>
      <w:pPr>
        <w:pStyle w:val="2"/>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sz w:val="36"/>
          <w:szCs w:val="21"/>
          <w:highlight w:val="none"/>
        </w:rPr>
      </w:pPr>
      <w:bookmarkStart w:id="4" w:name="_Toc15754"/>
      <w:r>
        <w:rPr>
          <w:rFonts w:hint="eastAsia"/>
          <w:sz w:val="36"/>
          <w:szCs w:val="21"/>
          <w:highlight w:val="none"/>
        </w:rPr>
        <w:t>三、整体绩效目标实现情况</w:t>
      </w:r>
      <w:bookmarkEnd w:id="4"/>
    </w:p>
    <w:p>
      <w:pPr>
        <w:pStyle w:val="3"/>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highlight w:val="none"/>
        </w:rPr>
      </w:pPr>
      <w:bookmarkStart w:id="5" w:name="_Toc26655"/>
      <w:r>
        <w:rPr>
          <w:rFonts w:hint="eastAsia"/>
          <w:highlight w:val="none"/>
        </w:rPr>
        <w:t>（一）产出完成情况分析</w:t>
      </w:r>
      <w:bookmarkEnd w:id="5"/>
    </w:p>
    <w:p>
      <w:pPr>
        <w:pStyle w:val="4"/>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highlight w:val="none"/>
          <w:lang w:val="en-US" w:eastAsia="zh-CN"/>
        </w:rPr>
      </w:pPr>
      <w:bookmarkStart w:id="6" w:name="_Toc11670"/>
      <w:r>
        <w:rPr>
          <w:rFonts w:hint="eastAsia"/>
          <w:highlight w:val="none"/>
        </w:rPr>
        <w:t>1.数量</w:t>
      </w:r>
      <w:r>
        <w:rPr>
          <w:rFonts w:hint="eastAsia"/>
          <w:highlight w:val="none"/>
          <w:lang w:val="en-US" w:eastAsia="zh-CN"/>
        </w:rPr>
        <w:t>指标完成情况</w:t>
      </w:r>
      <w:bookmarkEnd w:id="6"/>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民进北京市常委会以习近平总书记系列重要讲话和重要批示指示精神为总指引，扎实开展主题教育。牢牢把握“学思想、强根基、重履职、建新功”总要求，制定工作方案，进行动员部署，开展专题工作会，健全网络舆情收集、研判、处置制度，为发展营造良好舆论环境，聚焦首都和市委会中心工作，优化宣传内容。2023年，在中央媒体发稿近350篇，中央新闻网站280余篇，今日头条72条，人民号39条；地方媒体260余篇，发布专题片16条，北京新闻报道3条。</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紧扣国家战略与首都大局，坚持把“提质增效”贯穿履职全过程。全年报送各类建言成果900余篇，被采用451篇，其中被国家层面采用237篇，同比增长36.6%，北京市采用214篇，同比增长29.5%；获中央和国家有关领导批示4篇，获市委主要领导等批示12篇。民进北京市委荣获民进全国反映社情民意信息工作先进单位，第九届首都民族团结进步奖先进集体。在民进中央2023年全国参政议政优秀成果表彰中，北京民进会员参与完成的成果荣获一等奖的有22篇，占全国85项的1/4多（25.9%）。在各民主党派“8+1”行动十周年表彰中，北京民进“助力京西教育高质量发展”荣获最佳成效项目奖、两个最佳组织单位奖，位列党派前茅。</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举办第三届金沙教育发展论坛，开展中小学等骨干校（园）长提升培训、北京“8+1”门头沟名师培养项目，辐射学校300余所。实施北京市中小学教师在线研修计划，为通州、密云、延庆、门头沟区教师提供智慧检课、一对一研修指导、直播培训等服务。全年开展教师培训等约150次，累计培训校长、教师、教研员等35万余人次，为西南地区、首都基础教育高质量发展做出了积极贡献，得到了民进中央蔡达峰主席、朱永新常务副主席和中共北京市委统战部等的充分肯定。</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强央市区三级联动。积极参加民进中央年度重点调研，提交专题调研报告8篇。央市区联动，破解文化界等高层次人才发展。推动健全市区、跨区域、专委会与区级组织间协同推进新机制，搭建基层组织横向协作平台。加强对各级组织的履职能力培训和组织建设座谈研讨，通过各类平台覆盖3200余人次。“23·7”特大洪水发生后，联动民进西城、海淀区委与门头沟区工委，组织医疗、心理专家进行义诊和心理咨询，共同为灾后重建贡献力量。</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至2023年底，领导班子100%出席基层组织活动，100%参加所联系专委会的重要活动。深入调查研究，破解实践难题。开展基层组织和领导班子建设系列调研交流与研讨座谈会，面向基层组织问需问计。采用“班子成员领题负责、机关协调落实、各级组织共同承担”的“同题共研”方式，制定“调研问题提纲、意见建议征集表、对策清单征集表”三张清单，形成共促提升合力。开展“解剖式调研”，对文旅部直属及主管单位民进组织建设与会员情况进行专题调研，形成“四级四类”工作推进方案。去年，领导班子共带队调研90余次，同市区单位主要领导交流商讨推进基层组织建设与培养、发展骨干会员近100人次，与会员和机关干部开展谈心谈话300余人次。</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ascii="Times New Roman" w:hAnsi="Times New Roman" w:eastAsia="仿宋_GB2312" w:cs="Times New Roman"/>
        </w:rPr>
      </w:pPr>
      <w:r>
        <w:rPr>
          <w:rFonts w:hint="eastAsia" w:ascii="仿宋_GB2312" w:hAnsi="宋体" w:eastAsia="仿宋_GB2312" w:cs="宋体"/>
          <w:color w:val="000000"/>
          <w:kern w:val="0"/>
          <w:sz w:val="32"/>
          <w:szCs w:val="32"/>
          <w:highlight w:val="none"/>
          <w:lang w:val="en-US" w:eastAsia="zh-CN"/>
        </w:rPr>
        <w:t>会史会章教育作为新会员入会学习“应知应会”必备内容，做到新会员培训100%覆盖；将二十大精神、会史会章等纳入主题教育学习范畴及其竞赛题库，推动会员深入理解多党合作光荣传统。“北京民进”微信公众号的关注度和活动参与度提升。全年点击量11.5万次，同比增长15%；思想建设类文章点击量最高，达3.3万次。主题教育开展以来，各级组织共开展各类活动372场次，覆盖会员21800余人次，同比增长59.7%。组织联动度加强。2023年，据不完全统计，各区（工）委、直属基层组织间开展联动，市区联动、区与市专委会间合作，央市区组织间协作等，共计200余次。议政建言参与度提升。根据会员专业特长和领域广泛征集社情民意信息，有1300余人次直接向市委会报送了信息，同比增长18%。参加培训覆盖3000余人次。</w:t>
      </w:r>
    </w:p>
    <w:p>
      <w:pPr>
        <w:pStyle w:val="4"/>
        <w:pageBreakBefore w:val="0"/>
        <w:widowControl w:val="0"/>
        <w:numPr>
          <w:ilvl w:val="0"/>
          <w:numId w:val="2"/>
        </w:numPr>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highlight w:val="none"/>
          <w:lang w:val="en-US" w:eastAsia="zh-CN"/>
        </w:rPr>
      </w:pPr>
      <w:bookmarkStart w:id="7" w:name="_Toc21310"/>
      <w:r>
        <w:rPr>
          <w:rFonts w:hint="eastAsia"/>
          <w:highlight w:val="none"/>
          <w:lang w:val="en-US" w:eastAsia="zh-CN"/>
        </w:rPr>
        <w:t>产出质量</w:t>
      </w:r>
      <w:bookmarkEnd w:id="7"/>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建言教育改革发展。大力加强我国中西部地方师范院校发展的建议被政府工作报告采纳；对《爱国主义教育法》《学位法》等建议被全国人大常委会采用；以高水平经费投入保障教育强国建设的建议获教育部领导充分肯定与批示；对《教师法》修改、“双减”政策背景下优化教师人事制度、健全地方师范院校定向培养乡村教师经费保障机制、推动我国教师培养培训数字化转型、建立健全保障教育强国建设的财政保障制度等建议得到教育部财政部等的高度重视与肯定，纳入下一步工作参考。建言文化强国建设。推动我国文化对外传播的建议获中共中央主要领导批示；优先支持红旗渠申报世界文化遗产的建议获中共中央有关领导批示；推进对外文化贸易高质量发展、提升中国文化传播效能、用好网络直播促进文旅振兴等建议被全国政协采用。</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以扎实开展主题教育为主线，按照“高质量、有特色、见实效”的目标，把主题教育与北京民进各项建设深度融合，增强理论武装实效性，进一步凝聚政治共识。2023年，民进北京市委荣获民进全国思想政治工作先进单位。</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2023年，在常委会带领下，各级组织共开展各类学习宣讲活动283场次，覆盖会员15000余人次，坚持不懈用党的创新理论凝心铸魂，在学懂弄通做实上持续用力，不断推动深化内化转化，强化理论武装。守正创新强化思想政治引领。举办“学习贯彻习近平新时代中国特色社会主义思想的世界观和方法论”辅导报告会等，助力广大会员深入领悟党的创新理论中蕴含的立场观点与方法，深入理解其精髓要义和实践伟力。</w:t>
      </w:r>
      <w:r>
        <w:rPr>
          <w:rFonts w:hint="eastAsia" w:ascii="仿宋_GB2312" w:hAnsi="宋体" w:eastAsia="仿宋_GB2312" w:cs="宋体"/>
          <w:color w:val="000000"/>
          <w:kern w:val="0"/>
          <w:sz w:val="32"/>
          <w:szCs w:val="32"/>
          <w:highlight w:val="none"/>
          <w:lang w:val="zh-TW" w:eastAsia="zh-CN"/>
        </w:rPr>
        <w:t>精心策划</w:t>
      </w:r>
      <w:r>
        <w:rPr>
          <w:rFonts w:hint="eastAsia" w:ascii="仿宋_GB2312" w:hAnsi="宋体" w:eastAsia="仿宋_GB2312" w:cs="宋体"/>
          <w:color w:val="000000"/>
          <w:kern w:val="0"/>
          <w:sz w:val="32"/>
          <w:szCs w:val="32"/>
          <w:highlight w:val="none"/>
          <w:lang w:val="en-US" w:eastAsia="zh-CN"/>
        </w:rPr>
        <w:t>了</w:t>
      </w:r>
      <w:r>
        <w:rPr>
          <w:rFonts w:hint="eastAsia" w:ascii="仿宋_GB2312" w:hAnsi="宋体" w:eastAsia="仿宋_GB2312" w:cs="宋体"/>
          <w:color w:val="000000"/>
          <w:kern w:val="0"/>
          <w:sz w:val="32"/>
          <w:szCs w:val="32"/>
          <w:highlight w:val="none"/>
          <w:lang w:val="zh-TW" w:eastAsia="zh-CN"/>
        </w:rPr>
        <w:t>“正道笃行</w:t>
      </w:r>
      <w:r>
        <w:rPr>
          <w:rFonts w:hint="eastAsia" w:ascii="仿宋_GB2312" w:hAnsi="宋体" w:eastAsia="仿宋_GB2312" w:cs="宋体"/>
          <w:color w:val="000000"/>
          <w:kern w:val="0"/>
          <w:sz w:val="32"/>
          <w:szCs w:val="32"/>
          <w:highlight w:val="none"/>
          <w:lang w:val="en-US" w:eastAsia="zh-CN"/>
        </w:rPr>
        <w:t xml:space="preserve"> </w:t>
      </w:r>
      <w:r>
        <w:rPr>
          <w:rFonts w:hint="eastAsia" w:ascii="仿宋_GB2312" w:hAnsi="宋体" w:eastAsia="仿宋_GB2312" w:cs="宋体"/>
          <w:color w:val="000000"/>
          <w:kern w:val="0"/>
          <w:sz w:val="32"/>
          <w:szCs w:val="32"/>
          <w:highlight w:val="none"/>
          <w:lang w:val="zh-TW" w:eastAsia="zh-CN"/>
        </w:rPr>
        <w:t>携手奋进——民进北京</w:t>
      </w:r>
      <w:r>
        <w:rPr>
          <w:rFonts w:hint="eastAsia" w:ascii="仿宋_GB2312" w:hAnsi="宋体" w:eastAsia="仿宋_GB2312" w:cs="宋体"/>
          <w:color w:val="000000"/>
          <w:kern w:val="0"/>
          <w:sz w:val="32"/>
          <w:szCs w:val="32"/>
          <w:highlight w:val="none"/>
          <w:lang w:val="en-US" w:eastAsia="zh-CN"/>
        </w:rPr>
        <w:t>市委</w:t>
      </w:r>
      <w:r>
        <w:rPr>
          <w:rFonts w:hint="eastAsia" w:ascii="仿宋_GB2312" w:hAnsi="宋体" w:eastAsia="仿宋_GB2312" w:cs="宋体"/>
          <w:color w:val="000000"/>
          <w:kern w:val="0"/>
          <w:sz w:val="32"/>
          <w:szCs w:val="32"/>
          <w:highlight w:val="none"/>
          <w:lang w:val="zh-TW" w:eastAsia="zh-CN"/>
        </w:rPr>
        <w:t>主题</w:t>
      </w:r>
      <w:r>
        <w:rPr>
          <w:rFonts w:hint="eastAsia" w:ascii="仿宋_GB2312" w:hAnsi="宋体" w:eastAsia="仿宋_GB2312" w:cs="宋体"/>
          <w:color w:val="000000"/>
          <w:kern w:val="0"/>
          <w:sz w:val="32"/>
          <w:szCs w:val="32"/>
          <w:highlight w:val="none"/>
          <w:lang w:val="en-US" w:eastAsia="zh-CN"/>
        </w:rPr>
        <w:t>教育</w:t>
      </w:r>
      <w:r>
        <w:rPr>
          <w:rFonts w:hint="eastAsia" w:ascii="仿宋_GB2312" w:hAnsi="宋体" w:eastAsia="仿宋_GB2312" w:cs="宋体"/>
          <w:color w:val="000000"/>
          <w:kern w:val="0"/>
          <w:sz w:val="32"/>
          <w:szCs w:val="32"/>
          <w:highlight w:val="none"/>
          <w:lang w:val="zh-TW" w:eastAsia="zh-CN"/>
        </w:rPr>
        <w:t>展”，</w:t>
      </w:r>
      <w:r>
        <w:rPr>
          <w:rFonts w:hint="eastAsia" w:ascii="仿宋_GB2312" w:hAnsi="宋体" w:eastAsia="仿宋_GB2312" w:cs="宋体"/>
          <w:color w:val="000000"/>
          <w:kern w:val="0"/>
          <w:sz w:val="32"/>
          <w:szCs w:val="32"/>
          <w:highlight w:val="none"/>
          <w:lang w:val="en-US" w:eastAsia="zh-CN"/>
        </w:rPr>
        <w:t>引领</w:t>
      </w:r>
      <w:r>
        <w:rPr>
          <w:rFonts w:hint="eastAsia" w:ascii="仿宋_GB2312" w:hAnsi="宋体" w:eastAsia="仿宋_GB2312" w:cs="宋体"/>
          <w:color w:val="000000"/>
          <w:kern w:val="0"/>
          <w:sz w:val="32"/>
          <w:szCs w:val="32"/>
          <w:highlight w:val="none"/>
          <w:lang w:val="zh-TW" w:eastAsia="zh-CN"/>
        </w:rPr>
        <w:t>各级组织和广大会员</w:t>
      </w:r>
      <w:r>
        <w:rPr>
          <w:rFonts w:hint="eastAsia" w:ascii="仿宋_GB2312" w:hAnsi="宋体" w:eastAsia="仿宋_GB2312" w:cs="宋体"/>
          <w:color w:val="000000"/>
          <w:kern w:val="0"/>
          <w:sz w:val="32"/>
          <w:szCs w:val="32"/>
          <w:highlight w:val="none"/>
          <w:lang w:val="en-US" w:eastAsia="zh-CN"/>
        </w:rPr>
        <w:t>进一步凝聚力量，《北京日报》、北京电视台、北京广播电台等主流媒体对此进行了专门报道</w:t>
      </w:r>
      <w:r>
        <w:rPr>
          <w:rFonts w:hint="eastAsia" w:ascii="仿宋_GB2312" w:hAnsi="宋体" w:eastAsia="仿宋_GB2312" w:cs="宋体"/>
          <w:color w:val="000000"/>
          <w:kern w:val="0"/>
          <w:sz w:val="32"/>
          <w:szCs w:val="32"/>
          <w:highlight w:val="none"/>
          <w:lang w:val="zh-TW" w:eastAsia="zh-CN"/>
        </w:rPr>
        <w:t>。组织青年会员赴改革开放出发地深圳</w:t>
      </w:r>
      <w:r>
        <w:rPr>
          <w:rFonts w:hint="eastAsia" w:ascii="仿宋_GB2312" w:hAnsi="宋体" w:eastAsia="仿宋_GB2312" w:cs="宋体"/>
          <w:color w:val="000000"/>
          <w:kern w:val="0"/>
          <w:sz w:val="32"/>
          <w:szCs w:val="32"/>
          <w:highlight w:val="none"/>
          <w:lang w:val="en-US" w:eastAsia="zh-CN"/>
        </w:rPr>
        <w:t>进行</w:t>
      </w:r>
      <w:r>
        <w:rPr>
          <w:rFonts w:hint="eastAsia" w:ascii="仿宋_GB2312" w:hAnsi="宋体" w:eastAsia="仿宋_GB2312" w:cs="宋体"/>
          <w:color w:val="000000"/>
          <w:kern w:val="0"/>
          <w:sz w:val="32"/>
          <w:szCs w:val="32"/>
          <w:highlight w:val="none"/>
          <w:lang w:val="zh-TW" w:eastAsia="zh-CN"/>
        </w:rPr>
        <w:t>主题教育</w:t>
      </w:r>
      <w:r>
        <w:rPr>
          <w:rFonts w:hint="eastAsia" w:ascii="仿宋_GB2312" w:hAnsi="宋体" w:eastAsia="仿宋_GB2312" w:cs="宋体"/>
          <w:color w:val="000000"/>
          <w:kern w:val="0"/>
          <w:sz w:val="32"/>
          <w:szCs w:val="32"/>
          <w:highlight w:val="none"/>
          <w:lang w:val="en-US" w:eastAsia="zh-CN"/>
        </w:rPr>
        <w:t>参观学习；</w:t>
      </w:r>
      <w:r>
        <w:rPr>
          <w:rFonts w:hint="eastAsia" w:ascii="仿宋_GB2312" w:hAnsi="宋体" w:eastAsia="仿宋_GB2312" w:cs="宋体"/>
          <w:color w:val="000000"/>
          <w:kern w:val="0"/>
          <w:sz w:val="32"/>
          <w:szCs w:val="32"/>
          <w:highlight w:val="none"/>
          <w:lang w:val="zh-TW" w:eastAsia="zh-CN"/>
        </w:rPr>
        <w:t>开展主题教育竞赛；推出</w:t>
      </w:r>
      <w:r>
        <w:rPr>
          <w:rFonts w:hint="eastAsia" w:ascii="仿宋_GB2312" w:hAnsi="宋体" w:eastAsia="仿宋_GB2312" w:cs="宋体"/>
          <w:color w:val="000000"/>
          <w:kern w:val="0"/>
          <w:sz w:val="32"/>
          <w:szCs w:val="32"/>
          <w:highlight w:val="none"/>
          <w:lang w:val="en-US" w:eastAsia="zh-CN"/>
        </w:rPr>
        <w:t>11批</w:t>
      </w:r>
      <w:r>
        <w:rPr>
          <w:rFonts w:hint="eastAsia" w:ascii="仿宋_GB2312" w:hAnsi="宋体" w:eastAsia="仿宋_GB2312" w:cs="宋体"/>
          <w:color w:val="000000"/>
          <w:kern w:val="0"/>
          <w:sz w:val="32"/>
          <w:szCs w:val="32"/>
          <w:highlight w:val="none"/>
          <w:lang w:val="zh-TW" w:eastAsia="zh-CN"/>
        </w:rPr>
        <w:t>主题教育学习实践打卡地</w:t>
      </w:r>
      <w:r>
        <w:rPr>
          <w:rFonts w:hint="eastAsia" w:ascii="仿宋_GB2312" w:hAnsi="宋体" w:eastAsia="仿宋_GB2312" w:cs="宋体"/>
          <w:color w:val="000000"/>
          <w:kern w:val="0"/>
          <w:sz w:val="32"/>
          <w:szCs w:val="32"/>
          <w:highlight w:val="none"/>
          <w:lang w:val="en-US" w:eastAsia="zh-CN"/>
        </w:rPr>
        <w:t>等。通过多种多样的共学共悟、联学联动、互学互鉴，参观研讨等，强化了思想政治引领，坚定了政治信念，强化了责任担当。</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发挥会史资政育人作用。面向全市各级组织广泛开展老照片老物件“抢救工程”，征集到了一批珍贵的文物实物史料；策划录制了《大道同行 共襄伟业》有声书；组织观看话剧《马叙伦》等。引导广大会员沉浸式感受民进先贤的精神品格，强化与党同心的初心使命，发挥好会史资政育人的重要作用。</w:t>
      </w:r>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持续推进代表人士“强雁”队伍建设。梳理央、市、区三级代表人士会内外任职与履职情况，分界别召开代表人士座谈会。引导各级组织建立分层分类、结构合理的中青年骨干储备库。通过各类途径向有关部门、会中央等推荐代表人士300余人次，组织骨干会员参加各类培训120余人次。着力培育青年“雏雁”队伍。</w:t>
      </w:r>
      <w:r>
        <w:rPr>
          <w:rFonts w:hint="eastAsia" w:ascii="仿宋_GB2312" w:hAnsi="宋体" w:eastAsia="仿宋_GB2312" w:cs="宋体"/>
          <w:color w:val="000000"/>
          <w:kern w:val="0"/>
          <w:sz w:val="32"/>
          <w:szCs w:val="32"/>
          <w:highlight w:val="none"/>
          <w:lang w:val="zh-TW" w:eastAsia="zh-CN"/>
        </w:rPr>
        <w:t>开设</w:t>
      </w:r>
      <w:r>
        <w:rPr>
          <w:rFonts w:hint="eastAsia" w:ascii="仿宋_GB2312" w:hAnsi="宋体" w:eastAsia="仿宋_GB2312" w:cs="宋体"/>
          <w:color w:val="000000"/>
          <w:kern w:val="0"/>
          <w:sz w:val="32"/>
          <w:szCs w:val="32"/>
          <w:highlight w:val="none"/>
          <w:lang w:val="en-US" w:eastAsia="zh-CN"/>
        </w:rPr>
        <w:t>青年同心讲堂，办好“青年之约”系列活动，高度重视青委会建设与履职实践锻炼，着力提高青年会员政治素养、履职能力；举办新会员培训班，主办主题教育竞赛等，提升青年会员的政策理论水平。</w:t>
      </w:r>
      <w:bookmarkStart w:id="8" w:name="_Toc148613583"/>
      <w:r>
        <w:rPr>
          <w:rFonts w:hint="eastAsia" w:ascii="仿宋_GB2312" w:hAnsi="宋体" w:eastAsia="仿宋_GB2312" w:cs="宋体"/>
          <w:color w:val="000000"/>
          <w:kern w:val="0"/>
          <w:sz w:val="32"/>
          <w:szCs w:val="32"/>
          <w:highlight w:val="none"/>
          <w:lang w:val="en-US" w:eastAsia="zh-CN"/>
        </w:rPr>
        <w:t>大力加强专委会履职人才队伍建设。加强政治理论学习与专业化培训，各专委会累计开展各类学习教育和履职培训活动60余次，实现了专委会、委员“两个全覆盖”</w:t>
      </w:r>
      <w:bookmarkEnd w:id="8"/>
      <w:r>
        <w:rPr>
          <w:rFonts w:hint="eastAsia" w:ascii="仿宋_GB2312" w:hAnsi="宋体" w:eastAsia="仿宋_GB2312" w:cs="宋体"/>
          <w:color w:val="000000"/>
          <w:kern w:val="0"/>
          <w:sz w:val="32"/>
          <w:szCs w:val="32"/>
          <w:highlight w:val="none"/>
          <w:lang w:val="en-US" w:eastAsia="zh-CN"/>
        </w:rPr>
        <w:t>，并通过多种活动积极锻炼、培养履职所需人才。建立健全委员履职统计与反馈机制、表彰激励机制，助推委员双岗建功。提交建言成果与2022年相比增长50%，采用量增长86%。充分发挥“人才吸盘”作用，发展新会员200余人。</w:t>
      </w:r>
      <w:bookmarkStart w:id="9" w:name="_Toc28427"/>
    </w:p>
    <w:p>
      <w:pPr>
        <w:keepNext w:val="0"/>
        <w:keepLines w:val="0"/>
        <w:pageBreakBefore w:val="0"/>
        <w:widowControl/>
        <w:numPr>
          <w:ilvl w:val="0"/>
          <w:numId w:val="2"/>
        </w:numPr>
        <w:pBdr>
          <w:bottom w:val="single" w:color="FFFFFF" w:sz="4" w:space="31"/>
        </w:pBdr>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Times New Roman" w:hAnsi="Times New Roman" w:eastAsia="宋体" w:cs="Times New Roman"/>
          <w:b/>
          <w:kern w:val="2"/>
          <w:sz w:val="32"/>
          <w:szCs w:val="24"/>
          <w:highlight w:val="none"/>
          <w:lang w:val="en-US" w:eastAsia="zh-CN" w:bidi="ar-SA"/>
        </w:rPr>
      </w:pPr>
      <w:r>
        <w:rPr>
          <w:rFonts w:hint="eastAsia" w:ascii="Times New Roman" w:hAnsi="Times New Roman" w:eastAsia="宋体" w:cs="Times New Roman"/>
          <w:b/>
          <w:kern w:val="2"/>
          <w:sz w:val="32"/>
          <w:szCs w:val="24"/>
          <w:highlight w:val="none"/>
          <w:lang w:val="en-US" w:eastAsia="zh-CN" w:bidi="ar-SA"/>
        </w:rPr>
        <w:t>产出进度</w:t>
      </w:r>
      <w:bookmarkEnd w:id="9"/>
    </w:p>
    <w:p>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val="0"/>
        <w:snapToGrid w:val="0"/>
        <w:spacing w:line="360" w:lineRule="auto"/>
        <w:ind w:leftChars="0" w:firstLine="640" w:firstLineChars="200"/>
        <w:jc w:val="left"/>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预计完成日期2023 年 12月；实际完成日期 2023年     12月。</w:t>
      </w:r>
      <w:bookmarkStart w:id="10" w:name="_Toc26763"/>
    </w:p>
    <w:p>
      <w:pPr>
        <w:keepNext w:val="0"/>
        <w:keepLines w:val="0"/>
        <w:pageBreakBefore w:val="0"/>
        <w:widowControl/>
        <w:numPr>
          <w:ilvl w:val="0"/>
          <w:numId w:val="2"/>
        </w:numPr>
        <w:pBdr>
          <w:bottom w:val="single" w:color="FFFFFF" w:sz="4" w:space="31"/>
        </w:pBdr>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Times New Roman" w:hAnsi="Times New Roman" w:eastAsia="宋体" w:cs="Times New Roman"/>
          <w:b/>
          <w:kern w:val="2"/>
          <w:sz w:val="32"/>
          <w:szCs w:val="24"/>
          <w:highlight w:val="none"/>
          <w:lang w:val="en-US" w:eastAsia="zh-CN" w:bidi="ar-SA"/>
        </w:rPr>
      </w:pPr>
      <w:r>
        <w:rPr>
          <w:rFonts w:hint="eastAsia" w:ascii="Times New Roman" w:hAnsi="Times New Roman" w:eastAsia="宋体" w:cs="Times New Roman"/>
          <w:b/>
          <w:kern w:val="2"/>
          <w:sz w:val="32"/>
          <w:szCs w:val="24"/>
          <w:highlight w:val="none"/>
          <w:lang w:val="en-US" w:eastAsia="zh-CN" w:bidi="ar-SA"/>
        </w:rPr>
        <w:t>产出成本</w:t>
      </w:r>
      <w:bookmarkEnd w:id="10"/>
      <w:r>
        <w:rPr>
          <w:rFonts w:hint="eastAsia" w:ascii="Times New Roman" w:hAnsi="Times New Roman" w:eastAsia="宋体" w:cs="Times New Roman"/>
          <w:b/>
          <w:kern w:val="2"/>
          <w:sz w:val="32"/>
          <w:szCs w:val="24"/>
          <w:highlight w:val="none"/>
          <w:lang w:val="en-US" w:eastAsia="zh-CN" w:bidi="ar-SA"/>
        </w:rPr>
        <w:t xml:space="preserve">  </w:t>
      </w:r>
    </w:p>
    <w:p>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val="0"/>
        <w:snapToGrid w:val="0"/>
        <w:spacing w:line="360" w:lineRule="auto"/>
        <w:ind w:leftChars="0" w:firstLine="640" w:firstLineChars="200"/>
        <w:jc w:val="left"/>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财政拨款实际收入1470.09万元，支出1458.55万元，结余11.54万元,财政拨款结余按照规定9.9万元由财政收回统筹，1.64万元按照相关规定结转下年使用</w:t>
      </w:r>
      <w:bookmarkStart w:id="28" w:name="_GoBack"/>
      <w:bookmarkEnd w:id="28"/>
      <w:r>
        <w:rPr>
          <w:rFonts w:hint="eastAsia" w:ascii="仿宋_GB2312" w:hAnsi="宋体" w:eastAsia="仿宋_GB2312" w:cs="宋体"/>
          <w:color w:val="000000"/>
          <w:kern w:val="0"/>
          <w:sz w:val="32"/>
          <w:szCs w:val="32"/>
          <w:highlight w:val="none"/>
          <w:lang w:val="en-US" w:eastAsia="zh-CN"/>
        </w:rPr>
        <w:t xml:space="preserve">。预算完成率99.21%。 </w:t>
      </w:r>
      <w:bookmarkStart w:id="11" w:name="_Toc31686"/>
    </w:p>
    <w:p>
      <w:pPr>
        <w:pStyle w:val="3"/>
        <w:bidi w:val="0"/>
        <w:rPr>
          <w:rFonts w:hint="eastAsia"/>
          <w:lang w:val="en-US" w:eastAsia="zh-CN"/>
        </w:rPr>
      </w:pPr>
      <w:r>
        <w:rPr>
          <w:rFonts w:hint="eastAsia"/>
          <w:lang w:val="en-US" w:eastAsia="zh-CN"/>
        </w:rPr>
        <w:t>（二）效果实现情况分析</w:t>
      </w:r>
      <w:bookmarkEnd w:id="11"/>
    </w:p>
    <w:p>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val="0"/>
        <w:snapToGrid w:val="0"/>
        <w:spacing w:line="360" w:lineRule="auto"/>
        <w:ind w:leftChars="0"/>
        <w:jc w:val="left"/>
        <w:textAlignment w:val="auto"/>
        <w:rPr>
          <w:rFonts w:hint="eastAsia" w:ascii="Times New Roman" w:hAnsi="Times New Roman" w:eastAsia="宋体" w:cs="Times New Roman"/>
          <w:b/>
          <w:kern w:val="2"/>
          <w:sz w:val="32"/>
          <w:szCs w:val="24"/>
          <w:highlight w:val="none"/>
          <w:lang w:val="en-US" w:eastAsia="zh-CN" w:bidi="ar-SA"/>
        </w:rPr>
      </w:pPr>
      <w:bookmarkStart w:id="12" w:name="_Toc20370"/>
      <w:r>
        <w:rPr>
          <w:rFonts w:hint="eastAsia" w:ascii="Times New Roman" w:hAnsi="Times New Roman" w:eastAsia="宋体" w:cs="Times New Roman"/>
          <w:b/>
          <w:kern w:val="2"/>
          <w:sz w:val="32"/>
          <w:szCs w:val="24"/>
          <w:highlight w:val="none"/>
          <w:lang w:val="en-US" w:eastAsia="zh-CN" w:bidi="ar-SA"/>
        </w:rPr>
        <w:t>1.社会效益</w:t>
      </w:r>
      <w:bookmarkEnd w:id="12"/>
    </w:p>
    <w:p>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val="0"/>
        <w:snapToGrid w:val="0"/>
        <w:spacing w:line="360" w:lineRule="auto"/>
        <w:ind w:leftChars="0" w:firstLine="640" w:firstLineChars="200"/>
        <w:jc w:val="left"/>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推动京津冀协同发展。聚焦交通、生态环保、产业等重点领域开展系列调研。组织三地专家赴雄安新区开展产业升级转移专题调研座谈；开展水生态安全保障对策重点课题调研；针对汛期洪涝灾害，提出关于受损河湖水生态修复规划的工作建议，助推京津冀协同发展向纵深推进。建言美丽中国建设。加强极端强降雨防范应对、提升洪涝灾害抵御能力的建议得到中共中央有关领导批示；深度参与民进中央长江生态环境保护民主监督工作，提交专题调研报告，为长江大保护和实现绿色高质量发展作出积极贡献。</w:t>
      </w:r>
    </w:p>
    <w:p>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val="0"/>
        <w:snapToGrid w:val="0"/>
        <w:spacing w:line="360" w:lineRule="auto"/>
        <w:ind w:leftChars="0" w:firstLine="640" w:firstLineChars="200"/>
        <w:jc w:val="left"/>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汛期来临前，报送进一步提升超大型城市应对极端洪涝灾害能力的建议得到市主要领导充分肯定与批示。构建高质量充电基础设施体系的建议获市领导批示；围绕完善跨区划公益诉讼检察机制、营造法治化营商环境、探索民事检察新效能等提出意见建议，得到了检察院领导的高度重视。对口房山区专项民主监督圆满收官。坚持科学谋划、严密组织、高位推进，不断推进民主监督的科学性、实效性。</w:t>
      </w:r>
    </w:p>
    <w:p>
      <w:pPr>
        <w:keepNext w:val="0"/>
        <w:keepLines w:val="0"/>
        <w:pageBreakBefore w:val="0"/>
        <w:pBdr>
          <w:bottom w:val="single" w:color="FFFFFF" w:sz="4" w:space="31"/>
        </w:pBdr>
        <w:kinsoku/>
        <w:wordWrap/>
        <w:overflowPunct/>
        <w:topLinePunct w:val="0"/>
        <w:autoSpaceDE/>
        <w:autoSpaceDN/>
        <w:bidi w:val="0"/>
        <w:adjustRightInd w:val="0"/>
        <w:snapToGrid w:val="0"/>
        <w:spacing w:line="360" w:lineRule="auto"/>
        <w:ind w:firstLine="640" w:firstLineChars="200"/>
        <w:textAlignment w:val="auto"/>
        <w:outlineLvl w:val="2"/>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以扎实开展主题教育为主线，按照“高质量、有特色、见实效”的目标，把主题教育与北京民进各项建设深度融合，增强理论武装实效性，进一步凝聚政治共识。2023年，民进北京市委荣获民进全国思想政治工作先进单位。坚持将“作风建设”主题年工作与主题教育紧密结合，以学正风，把查找整改各类作风问题作为重点制定实施方案，召开动员会部署推进；在常委扩大会上开展中期推进，认真总结阶段性成果，交流经验体会；深入基层走访调研，认真听取基层组织、会员等意见建议，全面指导推动主题年工作深入开展。高质量召开民主生活会，进一步征求意见、总结经验，查摆问题，持续整改，切实把主题年工作成效体现在自身建设和履职尽责成效上。</w:t>
      </w:r>
    </w:p>
    <w:p>
      <w:pPr>
        <w:pStyle w:val="4"/>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highlight w:val="none"/>
        </w:rPr>
      </w:pPr>
      <w:bookmarkStart w:id="13" w:name="_Toc17830"/>
      <w:r>
        <w:rPr>
          <w:rFonts w:hint="eastAsia"/>
          <w:highlight w:val="none"/>
          <w:lang w:val="en-US" w:eastAsia="zh-CN"/>
        </w:rPr>
        <w:t>2</w:t>
      </w:r>
      <w:r>
        <w:rPr>
          <w:rFonts w:hint="eastAsia"/>
          <w:highlight w:val="none"/>
        </w:rPr>
        <w:t>.可持续性影响</w:t>
      </w:r>
      <w:bookmarkEnd w:id="13"/>
    </w:p>
    <w:p>
      <w:pPr>
        <w:pStyle w:val="4"/>
        <w:pageBreakBefore w:val="0"/>
        <w:widowControl w:val="0"/>
        <w:kinsoku/>
        <w:wordWrap/>
        <w:overflowPunct/>
        <w:topLinePunct w:val="0"/>
        <w:autoSpaceDE/>
        <w:autoSpaceDN/>
        <w:bidi w:val="0"/>
        <w:adjustRightInd/>
        <w:snapToGrid/>
        <w:spacing w:after="0" w:afterLines="0" w:afterAutospacing="0" w:line="360" w:lineRule="auto"/>
        <w:ind w:firstLine="640" w:firstLineChars="200"/>
        <w:textAlignment w:val="auto"/>
        <w:rPr>
          <w:rFonts w:hint="eastAsia" w:ascii="仿宋_GB2312" w:hAnsi="宋体" w:eastAsia="仿宋_GB2312" w:cs="宋体"/>
          <w:b w:val="0"/>
          <w:color w:val="000000"/>
          <w:kern w:val="0"/>
          <w:sz w:val="32"/>
          <w:szCs w:val="32"/>
          <w:highlight w:val="none"/>
          <w:lang w:val="en-US" w:eastAsia="zh-CN" w:bidi="ar-SA"/>
        </w:rPr>
      </w:pPr>
      <w:bookmarkStart w:id="14" w:name="_Toc308"/>
      <w:r>
        <w:rPr>
          <w:rFonts w:hint="eastAsia" w:ascii="仿宋_GB2312" w:hAnsi="宋体" w:eastAsia="仿宋_GB2312" w:cs="宋体"/>
          <w:b w:val="0"/>
          <w:color w:val="000000"/>
          <w:kern w:val="0"/>
          <w:sz w:val="32"/>
          <w:szCs w:val="32"/>
          <w:highlight w:val="none"/>
          <w:lang w:val="en-US" w:eastAsia="zh-CN" w:bidi="ar-SA"/>
        </w:rPr>
        <w:t>优化科技人才政策 加快建设高水平人才高地、改革创新教师人事管理制度 破解我市教师队伍建设“卡脖子”问题、加强校车安全管理等建议获市委主要领导批示；对《北京市未成年人保护条例》修改的3条建议被市人大常委会采纳。连续召开多场研讨会和展开大规模调研，形成的政党协商发言“双减”政策下我市高质量教师队伍建设的政策建议，得到市人大、市教委的充分肯定；推进中小学教师交流轮岗 构建首都基础教育良好生态被评为市政协优秀提案，助推首都教育高质量发展。</w:t>
      </w:r>
    </w:p>
    <w:p>
      <w:pPr>
        <w:pageBreakBefore w:val="0"/>
        <w:kinsoku/>
        <w:wordWrap/>
        <w:overflowPunct/>
        <w:topLinePunct w:val="0"/>
        <w:autoSpaceDE/>
        <w:autoSpaceDN/>
        <w:bidi w:val="0"/>
        <w:spacing w:line="360" w:lineRule="auto"/>
        <w:ind w:firstLine="640" w:firstLineChars="200"/>
        <w:textAlignment w:val="auto"/>
      </w:pPr>
      <w:r>
        <w:rPr>
          <w:rFonts w:hint="eastAsia" w:ascii="仿宋_GB2312" w:hAnsi="宋体" w:eastAsia="仿宋_GB2312" w:cs="宋体"/>
          <w:color w:val="000000"/>
          <w:kern w:val="0"/>
          <w:sz w:val="32"/>
          <w:szCs w:val="32"/>
          <w:highlight w:val="none"/>
          <w:lang w:val="en-US" w:eastAsia="zh-CN"/>
        </w:rPr>
        <w:t>统筹协调多区主要领导、民进区级组织、相关专委会、高校等专业力量，名师专家团汇聚了120余位专家学者、名师名校长、优秀教研骨干和教育行政干部等正式成立，并成功举办首届教师高质量发展论坛，《人民日报》进行了专题报道。先后在朝阳、西城、昌平、平谷、房山等区持续开展“首都高质量教师队伍建设支持行动计划”，助力区域与首都教师队伍建设，有力提升了民进组织的贡献力和影响力。</w:t>
      </w:r>
    </w:p>
    <w:p>
      <w:pPr>
        <w:pStyle w:val="4"/>
        <w:pageBreakBefore w:val="0"/>
        <w:widowControl w:val="0"/>
        <w:kinsoku/>
        <w:wordWrap/>
        <w:overflowPunct/>
        <w:topLinePunct w:val="0"/>
        <w:autoSpaceDE/>
        <w:autoSpaceDN/>
        <w:bidi w:val="0"/>
        <w:adjustRightInd/>
        <w:snapToGrid/>
        <w:spacing w:after="0" w:afterLines="0" w:afterAutospacing="0" w:line="360" w:lineRule="auto"/>
        <w:textAlignment w:val="auto"/>
        <w:rPr>
          <w:rFonts w:hint="eastAsia"/>
          <w:highlight w:val="none"/>
        </w:rPr>
      </w:pPr>
      <w:r>
        <w:rPr>
          <w:rFonts w:hint="eastAsia"/>
          <w:highlight w:val="none"/>
          <w:lang w:val="en-US" w:eastAsia="zh-CN"/>
        </w:rPr>
        <w:t>3</w:t>
      </w:r>
      <w:r>
        <w:rPr>
          <w:rFonts w:hint="eastAsia"/>
          <w:highlight w:val="none"/>
        </w:rPr>
        <w:t>.服务对象满意度</w:t>
      </w:r>
      <w:bookmarkEnd w:id="14"/>
    </w:p>
    <w:p>
      <w:pPr>
        <w:pageBreakBefore w:val="0"/>
        <w:widowControl w:val="0"/>
        <w:kinsoku/>
        <w:wordWrap/>
        <w:overflowPunct/>
        <w:topLinePunct w:val="0"/>
        <w:autoSpaceDE/>
        <w:autoSpaceDN/>
        <w:bidi w:val="0"/>
        <w:adjustRightInd/>
        <w:snapToGrid/>
        <w:spacing w:afterAutospacing="0" w:line="360" w:lineRule="auto"/>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通过抽样调查，服务对象满意度及被监督主体对民主监督工作满意度均达到95%，达到良好标准。</w:t>
      </w:r>
    </w:p>
    <w:p>
      <w:pPr>
        <w:pStyle w:val="2"/>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sz w:val="36"/>
          <w:szCs w:val="21"/>
        </w:rPr>
      </w:pPr>
      <w:bookmarkStart w:id="15" w:name="_Toc24214"/>
      <w:r>
        <w:rPr>
          <w:rFonts w:hint="eastAsia"/>
          <w:sz w:val="36"/>
          <w:szCs w:val="21"/>
        </w:rPr>
        <w:t>四、预算管理情况分析</w:t>
      </w:r>
      <w:bookmarkEnd w:id="15"/>
    </w:p>
    <w:p>
      <w:pPr>
        <w:pStyle w:val="3"/>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rPr>
      </w:pPr>
      <w:bookmarkStart w:id="16" w:name="_Toc6649"/>
      <w:r>
        <w:rPr>
          <w:rFonts w:hint="eastAsia"/>
        </w:rPr>
        <w:t>（一）财务管理</w:t>
      </w:r>
      <w:bookmarkEnd w:id="16"/>
    </w:p>
    <w:p>
      <w:pPr>
        <w:pStyle w:val="4"/>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rPr>
      </w:pPr>
      <w:bookmarkStart w:id="17" w:name="_Toc8744"/>
      <w:r>
        <w:rPr>
          <w:rFonts w:hint="eastAsia"/>
        </w:rPr>
        <w:t>1.财务管理制度健全性</w:t>
      </w:r>
      <w:bookmarkEnd w:id="17"/>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本单位的财务人员严格按照政府会计制度履行财务管理职责，做好财务预算编制、执行、控制、分析及决算工作；内部财务管理制度健全；预算资金管理办法、绩效跟踪管理办法、资产管理办法等各项制度健全；部门内部财务管理制度完整、合规；会计核算制度完整、合规。</w:t>
      </w:r>
    </w:p>
    <w:p>
      <w:pPr>
        <w:pStyle w:val="4"/>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rPr>
      </w:pPr>
      <w:bookmarkStart w:id="18" w:name="_Toc31688"/>
      <w:r>
        <w:rPr>
          <w:rFonts w:hint="eastAsia"/>
        </w:rPr>
        <w:t>2.资金使用合规性和安全性</w:t>
      </w:r>
      <w:bookmarkEnd w:id="18"/>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本年度支出的所有资金符合国家财经法规和财务管理制度规定以及有关专项资金管理办法的规定；资金拨付有完整的审批程序和手续；项目支出按规定经过评估论证；支出符合部门预算批复的用途；资金使用无截留、挤占、挪用、虚列支出等情况</w:t>
      </w:r>
    </w:p>
    <w:p>
      <w:pPr>
        <w:pStyle w:val="4"/>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rPr>
      </w:pPr>
      <w:bookmarkStart w:id="19" w:name="_Toc8870"/>
      <w:r>
        <w:rPr>
          <w:rFonts w:hint="eastAsia"/>
        </w:rPr>
        <w:t>3.会计基础信息完善性</w:t>
      </w:r>
      <w:bookmarkEnd w:id="19"/>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本单位依法建账，严格按照政府会计制度设置会计科目，开展会计工作。原始凭证的格式正确、内容完整、要素齐全，填制方法、审核程序等符合制度要求;记账凭证内容、填制方法、所附原始凭证、符合制度要求，字迹清楚，装订整齐。</w:t>
      </w:r>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本单位按规定设置总账、明细账、日记账和备查账，账薄启用规范，账薄登记字迹清楚、要素齐全、摘要明确，结账、错误更正方法都符合会计制度的规定。能做到账证、账账、账实相符，银行存款与银行对账单及时核对。对会计凭证、会计账簿、会计报表和其他会计资料都能按照国家规定定期整理归档，妥善保管。保证会计基础信息资料真实、完整、准确。</w:t>
      </w:r>
    </w:p>
    <w:p>
      <w:pPr>
        <w:pStyle w:val="3"/>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rPr>
      </w:pPr>
      <w:bookmarkStart w:id="20" w:name="_Toc3656"/>
      <w:r>
        <w:rPr>
          <w:rFonts w:hint="eastAsia"/>
        </w:rPr>
        <w:t>（二）资产管理</w:t>
      </w:r>
      <w:bookmarkEnd w:id="20"/>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本单位修订了资产管理制度，对单位公共财产物资实行统一管理、统一调配，并按使用人建立了资产实物管理台账，实行使用、保管签字登记制度。对固定资产统一采购、多人经办，每月月初根据各部门的需求制订采购计划，实行多人经办、“货比三家”，并按政府采购程序和有关规定加强采购手续。年底对财产物资进行清查、盘点、核对、处理。对取得的资产实物及时进行会计核算。</w:t>
      </w:r>
    </w:p>
    <w:p>
      <w:pPr>
        <w:pStyle w:val="3"/>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rPr>
      </w:pPr>
      <w:bookmarkStart w:id="21" w:name="_Toc27691"/>
      <w:r>
        <w:rPr>
          <w:rFonts w:hint="eastAsia"/>
        </w:rPr>
        <w:t>（三）绩效管理</w:t>
      </w:r>
      <w:bookmarkEnd w:id="21"/>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我单位在整体目标执行中及时了解执行的基本情况，收集整理相关资料，确定了绩效目标，资金使用情况，完成情况及项目效益的实现情况等。对绩效信息及时进行汇总分析整理，对绩效目标偏离的情况及时进行矫正。</w:t>
      </w:r>
    </w:p>
    <w:p>
      <w:pPr>
        <w:pStyle w:val="3"/>
        <w:pageBreakBefore w:val="0"/>
        <w:widowControl w:val="0"/>
        <w:kinsoku/>
        <w:wordWrap/>
        <w:overflowPunct/>
        <w:topLinePunct w:val="0"/>
        <w:autoSpaceDE/>
        <w:autoSpaceDN/>
        <w:bidi w:val="0"/>
        <w:adjustRightInd/>
        <w:snapToGrid/>
        <w:spacing w:after="0" w:afterLines="0" w:afterAutospacing="0" w:line="360" w:lineRule="auto"/>
        <w:textAlignment w:val="auto"/>
        <w:rPr>
          <w:rFonts w:hint="eastAsia"/>
        </w:rPr>
      </w:pPr>
      <w:bookmarkStart w:id="22" w:name="_Toc12183"/>
      <w:r>
        <w:rPr>
          <w:rFonts w:hint="eastAsia"/>
        </w:rPr>
        <w:t>（四）结转结余率</w:t>
      </w:r>
      <w:bookmarkEnd w:id="22"/>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2023年结转结余资金11.54万元，预算支出数1482.12万元，结转结余率0.77%。</w:t>
      </w:r>
    </w:p>
    <w:p>
      <w:pPr>
        <w:pStyle w:val="3"/>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rPr>
      </w:pPr>
      <w:bookmarkStart w:id="23" w:name="_Toc20422"/>
      <w:r>
        <w:rPr>
          <w:rFonts w:hint="eastAsia"/>
          <w:lang w:eastAsia="zh-CN"/>
        </w:rPr>
        <w:t>（</w:t>
      </w:r>
      <w:r>
        <w:rPr>
          <w:rFonts w:hint="eastAsia"/>
          <w:lang w:val="en-US" w:eastAsia="zh-CN"/>
        </w:rPr>
        <w:t>五）</w:t>
      </w:r>
      <w:r>
        <w:rPr>
          <w:rFonts w:hint="eastAsia"/>
        </w:rPr>
        <w:t>部门预决算差异率</w:t>
      </w:r>
      <w:bookmarkEnd w:id="23"/>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2023年初预算支出为1482.12万元，决算支出为1458.56万元，决算比年初预算减少23.56万元，减少1.59%。</w:t>
      </w:r>
    </w:p>
    <w:p>
      <w:pPr>
        <w:pStyle w:val="2"/>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sz w:val="36"/>
          <w:szCs w:val="21"/>
        </w:rPr>
      </w:pPr>
      <w:bookmarkStart w:id="24" w:name="_Toc27347"/>
      <w:r>
        <w:rPr>
          <w:rFonts w:hint="eastAsia"/>
          <w:sz w:val="36"/>
          <w:szCs w:val="21"/>
        </w:rPr>
        <w:t>五、总体评价结论</w:t>
      </w:r>
      <w:bookmarkEnd w:id="24"/>
    </w:p>
    <w:p>
      <w:pPr>
        <w:pStyle w:val="3"/>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rPr>
      </w:pPr>
      <w:bookmarkStart w:id="25" w:name="_Toc13839"/>
      <w:r>
        <w:rPr>
          <w:rFonts w:hint="eastAsia"/>
        </w:rPr>
        <w:t>（一）评价得分情况</w:t>
      </w:r>
      <w:bookmarkEnd w:id="25"/>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经综合考虑各种因素，整体绩效评价得分96.84分，其中，当年预算执行情况19.84分，整体绩效目标实现情况57分，预算管理情况20分。</w:t>
      </w:r>
      <w:bookmarkStart w:id="26" w:name="_Toc4517"/>
    </w:p>
    <w:p>
      <w:pPr>
        <w:pStyle w:val="3"/>
        <w:bidi w:val="0"/>
        <w:rPr>
          <w:rFonts w:hint="eastAsia"/>
        </w:rPr>
      </w:pPr>
      <w:r>
        <w:rPr>
          <w:rFonts w:hint="eastAsia"/>
          <w:lang w:eastAsia="zh-CN"/>
        </w:rPr>
        <w:t>（</w:t>
      </w:r>
      <w:r>
        <w:rPr>
          <w:rFonts w:hint="eastAsia"/>
          <w:lang w:val="en-US" w:eastAsia="zh-CN"/>
        </w:rPr>
        <w:t>二）</w:t>
      </w:r>
      <w:r>
        <w:rPr>
          <w:rFonts w:hint="eastAsia"/>
        </w:rPr>
        <w:t>存在的问题及原因分析</w:t>
      </w:r>
      <w:bookmarkEnd w:id="26"/>
    </w:p>
    <w:p>
      <w:pPr>
        <w:pStyle w:val="2"/>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ind w:firstLine="640" w:firstLineChars="200"/>
        <w:textAlignment w:val="auto"/>
        <w:rPr>
          <w:rFonts w:hint="eastAsia" w:ascii="仿宋_GB2312" w:hAnsi="宋体" w:eastAsia="仿宋_GB2312" w:cs="宋体"/>
          <w:b w:val="0"/>
          <w:color w:val="000000"/>
          <w:kern w:val="0"/>
          <w:sz w:val="32"/>
          <w:szCs w:val="32"/>
          <w:highlight w:val="none"/>
          <w:lang w:val="en-US" w:eastAsia="zh-CN" w:bidi="ar-SA"/>
        </w:rPr>
      </w:pPr>
      <w:bookmarkStart w:id="27" w:name="_Toc20403"/>
      <w:r>
        <w:rPr>
          <w:rFonts w:hint="eastAsia" w:ascii="仿宋_GB2312" w:hAnsi="宋体" w:eastAsia="仿宋_GB2312" w:cs="宋体"/>
          <w:b w:val="0"/>
          <w:color w:val="000000"/>
          <w:kern w:val="0"/>
          <w:sz w:val="32"/>
          <w:szCs w:val="32"/>
          <w:highlight w:val="none"/>
          <w:lang w:val="en-US" w:eastAsia="zh-CN" w:bidi="ar-SA"/>
        </w:rPr>
        <w:t>绩效目标编制有待进一步完善。项目单位编制的绩效目标的数量指标和时效指标较少，完善绩效目标的编制，在编制绩效目标时对绩效指标进行量化，设立清晰、具体可以衡量的绩效指标，以便于进行绩效考核。</w:t>
      </w:r>
    </w:p>
    <w:p>
      <w:pPr>
        <w:pStyle w:val="2"/>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eastAsia"/>
          <w:sz w:val="36"/>
          <w:szCs w:val="21"/>
        </w:rPr>
      </w:pPr>
      <w:r>
        <w:rPr>
          <w:rFonts w:hint="eastAsia"/>
          <w:sz w:val="36"/>
          <w:szCs w:val="21"/>
        </w:rPr>
        <w:t>六、措施建议</w:t>
      </w:r>
      <w:bookmarkEnd w:id="27"/>
    </w:p>
    <w:p>
      <w:pPr>
        <w:pageBreakBefore w:val="0"/>
        <w:widowControl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做好项目实施的跟踪检查工作。定期不定期地对项目实施情况和经费使用情况进行跟踪检查，对能实现预期绩效目标的项目予以充分肯定，对进展缓慢，预期绩效目标较差的项目，及时进行协调和提出整改措施，确保项目实施工作正常运行，达到预期绩效目标。</w:t>
      </w:r>
      <w:r>
        <w:rPr>
          <w:rFonts w:hint="default" w:ascii="仿宋_GB2312" w:hAnsi="宋体" w:eastAsia="仿宋_GB2312" w:cs="宋体"/>
          <w:color w:val="000000"/>
          <w:kern w:val="0"/>
          <w:sz w:val="32"/>
          <w:szCs w:val="32"/>
          <w:highlight w:val="none"/>
          <w:lang w:val="en-US" w:eastAsia="zh-CN"/>
        </w:rPr>
        <w:t>一是进一步健全和完善财务管理制度及内部控制制度，创新管理手段，用新思路、新方法，改进完善财务管理方法。二是按照财政支出绩效管理的要求，建立科学的财政资金效益考评制度体系，不断提高财政资金使用管理的水平和效率。三是加强部门预算整体绩效管理的指导和培训，增强提高绩效管理业务人员绩效管理能力、专业素质和思想水平。</w:t>
      </w:r>
    </w:p>
    <w:p>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val="0"/>
        <w:snapToGrid w:val="0"/>
        <w:spacing w:line="360" w:lineRule="auto"/>
        <w:ind w:leftChars="0" w:firstLine="640" w:firstLineChars="200"/>
        <w:jc w:val="left"/>
        <w:textAlignment w:val="auto"/>
        <w:rPr>
          <w:rFonts w:hint="eastAsia" w:ascii="仿宋_GB2312" w:hAnsi="宋体" w:eastAsia="仿宋_GB2312" w:cs="宋体"/>
          <w:color w:val="000000"/>
          <w:kern w:val="0"/>
          <w:sz w:val="32"/>
          <w:szCs w:val="32"/>
          <w:highlight w:val="none"/>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540F8"/>
    <w:multiLevelType w:val="singleLevel"/>
    <w:tmpl w:val="88D540F8"/>
    <w:lvl w:ilvl="0" w:tentative="0">
      <w:start w:val="2"/>
      <w:numFmt w:val="decimal"/>
      <w:lvlText w:val="%1."/>
      <w:lvlJc w:val="left"/>
      <w:pPr>
        <w:tabs>
          <w:tab w:val="left" w:pos="312"/>
        </w:tabs>
      </w:pPr>
    </w:lvl>
  </w:abstractNum>
  <w:abstractNum w:abstractNumId="1">
    <w:nsid w:val="60BB3E24"/>
    <w:multiLevelType w:val="singleLevel"/>
    <w:tmpl w:val="60BB3E2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zZGJkMDEwM2YwMWQyNTE2ZjY1Y2I1ODlkMjE5NjkifQ=="/>
  </w:docVars>
  <w:rsids>
    <w:rsidRoot w:val="0C5651DA"/>
    <w:rsid w:val="016F204C"/>
    <w:rsid w:val="027E6709"/>
    <w:rsid w:val="07377440"/>
    <w:rsid w:val="0C5651DA"/>
    <w:rsid w:val="0DA269AA"/>
    <w:rsid w:val="104869D5"/>
    <w:rsid w:val="10F468BD"/>
    <w:rsid w:val="1BA57132"/>
    <w:rsid w:val="1EF026E0"/>
    <w:rsid w:val="1F7A775D"/>
    <w:rsid w:val="20E90B8D"/>
    <w:rsid w:val="21881771"/>
    <w:rsid w:val="2E9F4DB6"/>
    <w:rsid w:val="31631332"/>
    <w:rsid w:val="31C600AB"/>
    <w:rsid w:val="331A61FF"/>
    <w:rsid w:val="360C5A2A"/>
    <w:rsid w:val="41060A96"/>
    <w:rsid w:val="44EA6A34"/>
    <w:rsid w:val="45D950A1"/>
    <w:rsid w:val="47976E34"/>
    <w:rsid w:val="4EFB2947"/>
    <w:rsid w:val="51BF6AF2"/>
    <w:rsid w:val="55531530"/>
    <w:rsid w:val="577A3C1F"/>
    <w:rsid w:val="592355C0"/>
    <w:rsid w:val="5A6F2FB8"/>
    <w:rsid w:val="5F557A47"/>
    <w:rsid w:val="62220662"/>
    <w:rsid w:val="69E31640"/>
    <w:rsid w:val="6B265040"/>
    <w:rsid w:val="72105F56"/>
    <w:rsid w:val="7926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toc 3"/>
    <w:basedOn w:val="1"/>
    <w:next w:val="1"/>
    <w:autoRedefine/>
    <w:qFormat/>
    <w:uiPriority w:val="0"/>
    <w:pPr>
      <w:ind w:left="840" w:leftChars="4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0"/>
  </w:style>
  <w:style w:type="paragraph" w:styleId="9">
    <w:name w:val="toc 2"/>
    <w:basedOn w:val="1"/>
    <w:next w:val="1"/>
    <w:autoRedefine/>
    <w:qFormat/>
    <w:uiPriority w:val="0"/>
    <w:pPr>
      <w:ind w:left="420" w:leftChars="200"/>
    </w:pPr>
  </w:style>
  <w:style w:type="character" w:styleId="12">
    <w:name w:val="Strong"/>
    <w:autoRedefine/>
    <w:qFormat/>
    <w:uiPriority w:val="22"/>
    <w:rPr>
      <w:b/>
      <w:bCs/>
    </w:rPr>
  </w:style>
  <w:style w:type="paragraph" w:customStyle="1" w:styleId="13">
    <w:name w:val="WPSOffice手动目录 1"/>
    <w:qFormat/>
    <w:uiPriority w:val="0"/>
    <w:pPr>
      <w:ind w:leftChars="0"/>
    </w:pPr>
    <w:rPr>
      <w:rFonts w:asciiTheme="minorHAnsi" w:hAnsiTheme="minorHAnsi" w:eastAsiaTheme="minorEastAsia" w:cstheme="minorBidi"/>
      <w:sz w:val="20"/>
      <w:szCs w:val="20"/>
    </w:rPr>
  </w:style>
  <w:style w:type="paragraph" w:customStyle="1" w:styleId="14">
    <w:name w:val="WPSOffice手动目录 2"/>
    <w:autoRedefine/>
    <w:qFormat/>
    <w:uiPriority w:val="0"/>
    <w:pPr>
      <w:ind w:leftChars="200"/>
    </w:pPr>
    <w:rPr>
      <w:rFonts w:asciiTheme="minorHAnsi" w:hAnsiTheme="minorHAnsi" w:eastAsiaTheme="minorEastAsia" w:cstheme="minorBidi"/>
      <w:sz w:val="20"/>
      <w:szCs w:val="20"/>
    </w:rPr>
  </w:style>
  <w:style w:type="paragraph" w:customStyle="1" w:styleId="15">
    <w:name w:val="WPSOffice手动目录 3"/>
    <w:autoRedefine/>
    <w:qFormat/>
    <w:uiPriority w:val="0"/>
    <w:pPr>
      <w:ind w:leftChars="400"/>
    </w:pPr>
    <w:rPr>
      <w:rFonts w:asciiTheme="minorHAnsi" w:hAnsiTheme="minorHAnsi" w:eastAsiaTheme="minorEastAsia" w:cstheme="minorBidi"/>
      <w:sz w:val="20"/>
      <w:szCs w:val="20"/>
    </w:rPr>
  </w:style>
  <w:style w:type="character" w:customStyle="1" w:styleId="16">
    <w:name w:val="NormalCharacter"/>
    <w:link w:val="17"/>
    <w:autoRedefine/>
    <w:qFormat/>
    <w:uiPriority w:val="0"/>
    <w:rPr>
      <w:rFonts w:ascii="Tahoma" w:hAnsi="Tahoma" w:eastAsia="宋体" w:cs="Times New Roman"/>
      <w:sz w:val="24"/>
      <w:szCs w:val="20"/>
    </w:rPr>
  </w:style>
  <w:style w:type="paragraph" w:customStyle="1" w:styleId="17">
    <w:name w:val="UserStyle_0"/>
    <w:basedOn w:val="1"/>
    <w:link w:val="16"/>
    <w:autoRedefine/>
    <w:qFormat/>
    <w:uiPriority w:val="0"/>
    <w:pPr>
      <w:textAlignment w:val="baseline"/>
    </w:pPr>
    <w:rPr>
      <w:rFonts w:ascii="Tahoma" w:hAnsi="Tahoma" w:eastAsia="宋体" w:cs="Times New Roman"/>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6088</Words>
  <Characters>6331</Characters>
  <Lines>0</Lines>
  <Paragraphs>0</Paragraphs>
  <TotalTime>5</TotalTime>
  <ScaleCrop>false</ScaleCrop>
  <LinksUpToDate>false</LinksUpToDate>
  <CharactersWithSpaces>6506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2022-05-09T03:04:00Z</dcterms:created>
  <dc:creator>郭淋娜呀</dc:creator>
  <cp:lastModifiedBy>杨晨凝</cp:lastModifiedBy>
  <dcterms:modified xsi:type="dcterms:W3CDTF">2024-05-15T02:24:00Z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7A9CCEE62F8045249EA8066B663C93FE_13</vt:lpwstr>
  </property>
</Properties>
</file>