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中共北京市委机构编制委员会办公室</w:t>
      </w:r>
    </w:p>
    <w:p>
      <w:pPr>
        <w:jc w:val="center"/>
        <w:outlineLvl w:val="9"/>
        <w:rPr>
          <w:rFonts w:hint="eastAsia" w:ascii="仿宋" w:hAnsi="仿宋" w:eastAsia="仿宋" w:cs="仿宋"/>
          <w:b/>
          <w:bCs/>
          <w:sz w:val="44"/>
          <w:szCs w:val="44"/>
          <w:highlight w:val="none"/>
        </w:rPr>
      </w:pPr>
      <w:r>
        <w:rPr>
          <w:rFonts w:hint="eastAsia" w:ascii="仿宋" w:hAnsi="仿宋" w:eastAsia="仿宋" w:cs="仿宋"/>
          <w:b/>
          <w:bCs/>
          <w:sz w:val="44"/>
          <w:szCs w:val="44"/>
          <w:highlight w:val="none"/>
          <w:lang w:val="en-US" w:eastAsia="zh-CN"/>
        </w:rPr>
        <w:t>2023年度部门</w:t>
      </w:r>
      <w:r>
        <w:rPr>
          <w:rFonts w:hint="eastAsia" w:ascii="仿宋" w:hAnsi="仿宋" w:eastAsia="仿宋" w:cs="仿宋"/>
          <w:b/>
          <w:bCs/>
          <w:sz w:val="44"/>
          <w:szCs w:val="44"/>
          <w:highlight w:val="none"/>
        </w:rPr>
        <w:t>整体绩效</w:t>
      </w:r>
      <w:r>
        <w:rPr>
          <w:rFonts w:hint="eastAsia" w:ascii="仿宋" w:hAnsi="仿宋" w:eastAsia="仿宋" w:cs="仿宋"/>
          <w:b/>
          <w:bCs/>
          <w:sz w:val="44"/>
          <w:szCs w:val="44"/>
          <w:highlight w:val="none"/>
          <w:lang w:eastAsia="zh-CN"/>
        </w:rPr>
        <w:t>评价</w:t>
      </w:r>
      <w:r>
        <w:rPr>
          <w:rFonts w:hint="eastAsia" w:ascii="仿宋" w:hAnsi="仿宋" w:eastAsia="仿宋" w:cs="仿宋"/>
          <w:b/>
          <w:bCs/>
          <w:sz w:val="44"/>
          <w:szCs w:val="44"/>
          <w:highlight w:val="none"/>
        </w:rPr>
        <w:t>报告</w:t>
      </w: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pStyle w:val="3"/>
        <w:ind w:left="0" w:leftChars="0" w:firstLine="0" w:firstLineChars="0"/>
        <w:outlineLvl w:val="9"/>
        <w:rPr>
          <w:rFonts w:hint="eastAsia" w:ascii="仿宋" w:hAnsi="仿宋" w:eastAsia="仿宋" w:cs="仿宋"/>
          <w:b/>
          <w:bCs/>
          <w:sz w:val="44"/>
          <w:szCs w:val="44"/>
          <w:highlight w:val="none"/>
        </w:rPr>
      </w:pPr>
    </w:p>
    <w:p>
      <w:pPr>
        <w:jc w:val="center"/>
        <w:rPr>
          <w:rFonts w:hint="eastAsia" w:ascii="仿宋" w:hAnsi="仿宋" w:eastAsia="仿宋" w:cs="仿宋"/>
          <w:b/>
          <w:bCs/>
          <w:sz w:val="44"/>
          <w:szCs w:val="44"/>
          <w:highlight w:val="none"/>
          <w:lang w:val="en-US" w:eastAsia="zh-CN"/>
        </w:rPr>
        <w:sectPr>
          <w:headerReference r:id="rId3" w:type="default"/>
          <w:footerReference r:id="rId4" w:type="default"/>
          <w:pgSz w:w="11906" w:h="16838"/>
          <w:pgMar w:top="1440" w:right="1800" w:bottom="1440" w:left="1800" w:header="851" w:footer="964" w:gutter="0"/>
          <w:pgNumType w:fmt="decimal" w:start="1"/>
          <w:cols w:space="425" w:num="1"/>
          <w:docGrid w:type="lines" w:linePitch="435" w:charSpace="0"/>
        </w:sectPr>
      </w:pPr>
      <w:r>
        <w:rPr>
          <w:rFonts w:hint="eastAsia" w:ascii="仿宋" w:hAnsi="仿宋" w:eastAsia="仿宋" w:cs="仿宋"/>
          <w:b/>
          <w:bCs/>
          <w:sz w:val="44"/>
          <w:szCs w:val="44"/>
          <w:highlight w:val="none"/>
          <w:lang w:val="en-US" w:eastAsia="zh-CN"/>
        </w:rPr>
        <w:t>二〇二四年五月</w:t>
      </w:r>
    </w:p>
    <w:p>
      <w:pPr>
        <w:spacing w:before="0" w:beforeLines="0" w:after="0" w:afterLines="0" w:line="240" w:lineRule="auto"/>
        <w:ind w:left="0" w:leftChars="0" w:right="0" w:rightChars="0" w:firstLine="0" w:firstLineChars="0"/>
        <w:jc w:val="center"/>
        <w:rPr>
          <w:sz w:val="40"/>
          <w:szCs w:val="48"/>
          <w:highlight w:val="none"/>
        </w:rPr>
      </w:pPr>
      <w:r>
        <w:rPr>
          <w:rFonts w:ascii="宋体" w:hAnsi="宋体" w:eastAsia="宋体"/>
          <w:sz w:val="40"/>
          <w:szCs w:val="48"/>
          <w:highlight w:val="none"/>
        </w:rPr>
        <w:t>目录</w:t>
      </w:r>
    </w:p>
    <w:p>
      <w:pPr>
        <w:pStyle w:val="7"/>
        <w:tabs>
          <w:tab w:val="right" w:leader="dot" w:pos="8306"/>
        </w:tabs>
        <w:spacing w:line="360" w:lineRule="auto"/>
        <w:rPr>
          <w:rFonts w:hint="eastAsia" w:ascii="仿宋" w:hAnsi="仿宋" w:eastAsia="仿宋" w:cs="仿宋"/>
          <w:b/>
          <w:bCs/>
          <w:sz w:val="32"/>
          <w:szCs w:val="40"/>
          <w:highlight w:val="none"/>
        </w:rPr>
      </w:pPr>
      <w:r>
        <w:rPr>
          <w:rFonts w:hint="eastAsia" w:ascii="方正小标宋简体" w:eastAsia="方正小标宋简体"/>
          <w:sz w:val="44"/>
          <w:szCs w:val="44"/>
          <w:highlight w:val="none"/>
        </w:rPr>
        <w:fldChar w:fldCharType="begin"/>
      </w:r>
      <w:r>
        <w:rPr>
          <w:rFonts w:hint="eastAsia" w:ascii="方正小标宋简体" w:eastAsia="方正小标宋简体"/>
          <w:sz w:val="44"/>
          <w:szCs w:val="44"/>
          <w:highlight w:val="none"/>
        </w:rPr>
        <w:instrText xml:space="preserve">TOC \o "1-2" \h \u </w:instrText>
      </w:r>
      <w:r>
        <w:rPr>
          <w:rFonts w:hint="eastAsia" w:ascii="方正小标宋简体" w:eastAsia="方正小标宋简体"/>
          <w:sz w:val="44"/>
          <w:szCs w:val="44"/>
          <w:highlight w:val="none"/>
        </w:rPr>
        <w:fldChar w:fldCharType="separate"/>
      </w: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_Toc32620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一、部门概况</w:t>
      </w:r>
      <w:r>
        <w:rPr>
          <w:rFonts w:hint="eastAsia" w:ascii="仿宋" w:hAnsi="仿宋" w:eastAsia="仿宋" w:cs="仿宋"/>
          <w:b/>
          <w:bCs/>
          <w:sz w:val="32"/>
          <w:szCs w:val="40"/>
          <w:highlight w:val="none"/>
        </w:rPr>
        <w:tab/>
      </w:r>
      <w:r>
        <w:rPr>
          <w:rFonts w:hint="eastAsia" w:ascii="仿宋" w:hAnsi="仿宋" w:eastAsia="仿宋" w:cs="仿宋"/>
          <w:b/>
          <w:bCs/>
          <w:sz w:val="32"/>
          <w:szCs w:val="40"/>
          <w:highlight w:val="none"/>
        </w:rPr>
        <w:fldChar w:fldCharType="begin"/>
      </w:r>
      <w:r>
        <w:rPr>
          <w:rFonts w:hint="eastAsia" w:ascii="仿宋" w:hAnsi="仿宋" w:eastAsia="仿宋" w:cs="仿宋"/>
          <w:b/>
          <w:bCs/>
          <w:sz w:val="32"/>
          <w:szCs w:val="40"/>
          <w:highlight w:val="none"/>
        </w:rPr>
        <w:instrText xml:space="preserve"> PAGEREF _Toc32620 \h </w:instrText>
      </w:r>
      <w:r>
        <w:rPr>
          <w:rFonts w:hint="eastAsia" w:ascii="仿宋" w:hAnsi="仿宋" w:eastAsia="仿宋" w:cs="仿宋"/>
          <w:b/>
          <w:bCs/>
          <w:sz w:val="32"/>
          <w:szCs w:val="40"/>
          <w:highlight w:val="none"/>
        </w:rPr>
        <w:fldChar w:fldCharType="separate"/>
      </w:r>
      <w:r>
        <w:rPr>
          <w:rFonts w:hint="eastAsia" w:ascii="仿宋" w:hAnsi="仿宋" w:eastAsia="仿宋" w:cs="仿宋"/>
          <w:b/>
          <w:bCs/>
          <w:sz w:val="32"/>
          <w:szCs w:val="40"/>
          <w:highlight w:val="none"/>
        </w:rPr>
        <w:t>1</w:t>
      </w:r>
      <w:r>
        <w:rPr>
          <w:rFonts w:hint="eastAsia" w:ascii="仿宋" w:hAnsi="仿宋" w:eastAsia="仿宋" w:cs="仿宋"/>
          <w:b/>
          <w:bCs/>
          <w:sz w:val="32"/>
          <w:szCs w:val="40"/>
          <w:highlight w:val="none"/>
        </w:rPr>
        <w:fldChar w:fldCharType="end"/>
      </w:r>
      <w:r>
        <w:rPr>
          <w:rFonts w:hint="eastAsia" w:ascii="仿宋" w:hAnsi="仿宋" w:eastAsia="仿宋" w:cs="仿宋"/>
          <w:b/>
          <w:bCs/>
          <w:sz w:val="32"/>
          <w:szCs w:val="52"/>
          <w:highlight w:val="none"/>
        </w:rPr>
        <w:fldChar w:fldCharType="end"/>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_Toc18996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rPr>
        <w:t>（一）机构设置及职责工作任务情况</w:t>
      </w:r>
      <w:r>
        <w:rPr>
          <w:rFonts w:hint="eastAsia" w:ascii="仿宋" w:hAnsi="仿宋" w:eastAsia="仿宋" w:cs="仿宋"/>
          <w:sz w:val="32"/>
          <w:szCs w:val="40"/>
          <w:highlight w:val="none"/>
        </w:rPr>
        <w:tab/>
      </w:r>
      <w:r>
        <w:rPr>
          <w:rFonts w:hint="eastAsia" w:ascii="仿宋" w:hAnsi="仿宋" w:eastAsia="仿宋" w:cs="仿宋"/>
          <w:sz w:val="32"/>
          <w:szCs w:val="40"/>
          <w:highlight w:val="none"/>
        </w:rPr>
        <w:fldChar w:fldCharType="begin"/>
      </w:r>
      <w:r>
        <w:rPr>
          <w:rFonts w:hint="eastAsia" w:ascii="仿宋" w:hAnsi="仿宋" w:eastAsia="仿宋" w:cs="仿宋"/>
          <w:sz w:val="32"/>
          <w:szCs w:val="40"/>
          <w:highlight w:val="none"/>
        </w:rPr>
        <w:instrText xml:space="preserve"> PAGEREF _Toc18996 \h </w:instrText>
      </w:r>
      <w:r>
        <w:rPr>
          <w:rFonts w:hint="eastAsia" w:ascii="仿宋" w:hAnsi="仿宋" w:eastAsia="仿宋" w:cs="仿宋"/>
          <w:sz w:val="32"/>
          <w:szCs w:val="40"/>
          <w:highlight w:val="none"/>
        </w:rPr>
        <w:fldChar w:fldCharType="separate"/>
      </w:r>
      <w:r>
        <w:rPr>
          <w:rFonts w:hint="eastAsia" w:ascii="仿宋" w:hAnsi="仿宋" w:eastAsia="仿宋" w:cs="仿宋"/>
          <w:sz w:val="32"/>
          <w:szCs w:val="40"/>
          <w:highlight w:val="none"/>
        </w:rPr>
        <w:t>1</w:t>
      </w:r>
      <w:r>
        <w:rPr>
          <w:rFonts w:hint="eastAsia" w:ascii="仿宋" w:hAnsi="仿宋" w:eastAsia="仿宋" w:cs="仿宋"/>
          <w:sz w:val="32"/>
          <w:szCs w:val="40"/>
          <w:highlight w:val="none"/>
        </w:rPr>
        <w:fldChar w:fldCharType="end"/>
      </w:r>
      <w:r>
        <w:rPr>
          <w:rFonts w:hint="eastAsia" w:ascii="仿宋" w:hAnsi="仿宋" w:eastAsia="仿宋" w:cs="仿宋"/>
          <w:sz w:val="32"/>
          <w:szCs w:val="52"/>
          <w:highlight w:val="none"/>
        </w:rPr>
        <w:fldChar w:fldCharType="end"/>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_Toc25428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（二）</w:t>
      </w:r>
      <w:r>
        <w:rPr>
          <w:rFonts w:hint="eastAsia" w:ascii="仿宋" w:hAnsi="仿宋" w:eastAsia="仿宋" w:cs="仿宋"/>
          <w:bCs/>
          <w:kern w:val="2"/>
          <w:sz w:val="32"/>
          <w:szCs w:val="48"/>
          <w:highlight w:val="none"/>
        </w:rPr>
        <w:t>部门整体绩效目标设立情况</w:t>
      </w:r>
      <w:r>
        <w:rPr>
          <w:rFonts w:hint="eastAsia" w:ascii="仿宋" w:hAnsi="仿宋" w:eastAsia="仿宋" w:cs="仿宋"/>
          <w:sz w:val="32"/>
          <w:szCs w:val="40"/>
          <w:highlight w:val="none"/>
        </w:rPr>
        <w:tab/>
      </w:r>
      <w:r>
        <w:rPr>
          <w:rFonts w:hint="eastAsia" w:ascii="仿宋" w:hAnsi="仿宋" w:eastAsia="仿宋" w:cs="仿宋"/>
          <w:sz w:val="32"/>
          <w:szCs w:val="40"/>
          <w:highlight w:val="none"/>
        </w:rPr>
        <w:fldChar w:fldCharType="begin"/>
      </w:r>
      <w:r>
        <w:rPr>
          <w:rFonts w:hint="eastAsia" w:ascii="仿宋" w:hAnsi="仿宋" w:eastAsia="仿宋" w:cs="仿宋"/>
          <w:sz w:val="32"/>
          <w:szCs w:val="40"/>
          <w:highlight w:val="none"/>
        </w:rPr>
        <w:instrText xml:space="preserve"> PAGEREF _Toc25428 \h </w:instrText>
      </w:r>
      <w:r>
        <w:rPr>
          <w:rFonts w:hint="eastAsia" w:ascii="仿宋" w:hAnsi="仿宋" w:eastAsia="仿宋" w:cs="仿宋"/>
          <w:sz w:val="32"/>
          <w:szCs w:val="40"/>
          <w:highlight w:val="none"/>
        </w:rPr>
        <w:fldChar w:fldCharType="separate"/>
      </w:r>
      <w:r>
        <w:rPr>
          <w:rFonts w:hint="eastAsia" w:ascii="仿宋" w:hAnsi="仿宋" w:eastAsia="仿宋" w:cs="仿宋"/>
          <w:sz w:val="32"/>
          <w:szCs w:val="40"/>
          <w:highlight w:val="none"/>
        </w:rPr>
        <w:t>2</w:t>
      </w:r>
      <w:r>
        <w:rPr>
          <w:rFonts w:hint="eastAsia" w:ascii="仿宋" w:hAnsi="仿宋" w:eastAsia="仿宋" w:cs="仿宋"/>
          <w:sz w:val="32"/>
          <w:szCs w:val="40"/>
          <w:highlight w:val="none"/>
        </w:rPr>
        <w:fldChar w:fldCharType="end"/>
      </w:r>
      <w:r>
        <w:rPr>
          <w:rFonts w:hint="eastAsia" w:ascii="仿宋" w:hAnsi="仿宋" w:eastAsia="仿宋" w:cs="仿宋"/>
          <w:sz w:val="32"/>
          <w:szCs w:val="52"/>
          <w:highlight w:val="none"/>
        </w:rPr>
        <w:fldChar w:fldCharType="end"/>
      </w:r>
    </w:p>
    <w:p>
      <w:pPr>
        <w:pStyle w:val="7"/>
        <w:tabs>
          <w:tab w:val="right" w:leader="dot" w:pos="8306"/>
        </w:tabs>
        <w:spacing w:line="360" w:lineRule="auto"/>
        <w:rPr>
          <w:rFonts w:hint="eastAsia" w:ascii="仿宋" w:hAnsi="仿宋" w:eastAsia="仿宋" w:cs="仿宋"/>
          <w:b/>
          <w:bCs/>
          <w:sz w:val="32"/>
          <w:szCs w:val="40"/>
          <w:highlight w:val="none"/>
        </w:rPr>
      </w:pP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_Toc25721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二、当年预算执行情况</w:t>
      </w:r>
      <w:r>
        <w:rPr>
          <w:rFonts w:hint="eastAsia" w:ascii="仿宋" w:hAnsi="仿宋" w:eastAsia="仿宋" w:cs="仿宋"/>
          <w:b/>
          <w:bCs/>
          <w:sz w:val="32"/>
          <w:szCs w:val="40"/>
          <w:highlight w:val="none"/>
        </w:rPr>
        <w:tab/>
      </w:r>
      <w:r>
        <w:rPr>
          <w:rFonts w:hint="eastAsia" w:ascii="仿宋" w:hAnsi="仿宋" w:eastAsia="仿宋" w:cs="仿宋"/>
          <w:b/>
          <w:bCs/>
          <w:sz w:val="32"/>
          <w:szCs w:val="52"/>
          <w:highlight w:val="none"/>
        </w:rPr>
        <w:fldChar w:fldCharType="end"/>
      </w:r>
      <w:r>
        <w:rPr>
          <w:rFonts w:hint="eastAsia" w:ascii="仿宋" w:hAnsi="仿宋" w:eastAsia="仿宋" w:cs="仿宋"/>
          <w:b/>
          <w:bCs/>
          <w:sz w:val="32"/>
          <w:szCs w:val="40"/>
          <w:highlight w:val="none"/>
          <w:lang w:val="en-US" w:eastAsia="zh-CN"/>
        </w:rPr>
        <w:t>3</w:t>
      </w:r>
    </w:p>
    <w:p>
      <w:pPr>
        <w:pStyle w:val="7"/>
        <w:tabs>
          <w:tab w:val="right" w:leader="dot" w:pos="8306"/>
        </w:tabs>
        <w:spacing w:line="360" w:lineRule="auto"/>
        <w:rPr>
          <w:rFonts w:hint="eastAsia" w:ascii="仿宋" w:hAnsi="仿宋" w:eastAsia="仿宋" w:cs="仿宋"/>
          <w:b/>
          <w:bCs/>
          <w:sz w:val="32"/>
          <w:szCs w:val="40"/>
          <w:highlight w:val="none"/>
        </w:rPr>
      </w:pP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_Toc4270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三、整体绩效目标实现情况</w:t>
      </w:r>
      <w:r>
        <w:rPr>
          <w:rFonts w:hint="eastAsia" w:ascii="仿宋" w:hAnsi="仿宋" w:eastAsia="仿宋" w:cs="仿宋"/>
          <w:b/>
          <w:bCs/>
          <w:sz w:val="32"/>
          <w:szCs w:val="40"/>
          <w:highlight w:val="none"/>
        </w:rPr>
        <w:tab/>
      </w:r>
      <w:r>
        <w:rPr>
          <w:rFonts w:hint="eastAsia" w:ascii="仿宋" w:hAnsi="仿宋" w:eastAsia="仿宋" w:cs="仿宋"/>
          <w:b/>
          <w:bCs/>
          <w:sz w:val="32"/>
          <w:szCs w:val="52"/>
          <w:highlight w:val="none"/>
        </w:rPr>
        <w:fldChar w:fldCharType="end"/>
      </w:r>
      <w:r>
        <w:rPr>
          <w:rFonts w:hint="eastAsia" w:ascii="仿宋" w:hAnsi="仿宋" w:eastAsia="仿宋" w:cs="仿宋"/>
          <w:b/>
          <w:bCs/>
          <w:sz w:val="32"/>
          <w:szCs w:val="40"/>
          <w:highlight w:val="none"/>
          <w:lang w:val="en-US" w:eastAsia="zh-CN"/>
        </w:rPr>
        <w:t>3</w:t>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_Toc32144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（一）产出完成情况分析</w:t>
      </w:r>
      <w:r>
        <w:rPr>
          <w:rFonts w:hint="eastAsia" w:ascii="仿宋" w:hAnsi="仿宋" w:eastAsia="仿宋" w:cs="仿宋"/>
          <w:sz w:val="32"/>
          <w:szCs w:val="40"/>
          <w:highlight w:val="none"/>
        </w:rPr>
        <w:tab/>
      </w:r>
      <w:r>
        <w:rPr>
          <w:rFonts w:hint="eastAsia" w:ascii="仿宋" w:hAnsi="仿宋" w:eastAsia="仿宋" w:cs="仿宋"/>
          <w:sz w:val="32"/>
          <w:szCs w:val="52"/>
          <w:highlight w:val="none"/>
        </w:rPr>
        <w:fldChar w:fldCharType="end"/>
      </w:r>
      <w:r>
        <w:rPr>
          <w:rFonts w:hint="eastAsia" w:ascii="仿宋" w:hAnsi="仿宋" w:eastAsia="仿宋" w:cs="仿宋"/>
          <w:sz w:val="32"/>
          <w:szCs w:val="40"/>
          <w:highlight w:val="none"/>
          <w:lang w:val="en-US" w:eastAsia="zh-CN"/>
        </w:rPr>
        <w:t>3</w:t>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_Toc8474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（二）效果实现情况分析</w:t>
      </w:r>
      <w:r>
        <w:rPr>
          <w:rFonts w:hint="eastAsia" w:ascii="仿宋" w:hAnsi="仿宋" w:eastAsia="仿宋" w:cs="仿宋"/>
          <w:sz w:val="32"/>
          <w:szCs w:val="40"/>
          <w:highlight w:val="none"/>
        </w:rPr>
        <w:tab/>
      </w:r>
      <w:r>
        <w:rPr>
          <w:rFonts w:hint="eastAsia" w:ascii="仿宋" w:hAnsi="仿宋" w:eastAsia="仿宋" w:cs="仿宋"/>
          <w:sz w:val="32"/>
          <w:szCs w:val="52"/>
          <w:highlight w:val="none"/>
        </w:rPr>
        <w:fldChar w:fldCharType="end"/>
      </w:r>
      <w:r>
        <w:rPr>
          <w:rFonts w:hint="eastAsia" w:ascii="仿宋" w:hAnsi="仿宋" w:eastAsia="仿宋" w:cs="仿宋"/>
          <w:sz w:val="32"/>
          <w:szCs w:val="40"/>
          <w:highlight w:val="none"/>
          <w:lang w:val="en-US" w:eastAsia="zh-CN"/>
        </w:rPr>
        <w:t>5</w:t>
      </w:r>
    </w:p>
    <w:p>
      <w:pPr>
        <w:pStyle w:val="7"/>
        <w:tabs>
          <w:tab w:val="right" w:leader="dot" w:pos="8306"/>
        </w:tabs>
        <w:spacing w:line="360" w:lineRule="auto"/>
        <w:rPr>
          <w:rFonts w:hint="eastAsia" w:ascii="仿宋" w:hAnsi="仿宋" w:eastAsia="仿宋" w:cs="仿宋"/>
          <w:b/>
          <w:bCs/>
          <w:sz w:val="32"/>
          <w:szCs w:val="40"/>
          <w:highlight w:val="none"/>
          <w:lang w:val="en-US" w:eastAsia="zh-CN"/>
        </w:rPr>
      </w:pP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_Toc31707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四、预算管理情况分析</w:t>
      </w:r>
      <w:r>
        <w:rPr>
          <w:rFonts w:hint="eastAsia" w:ascii="仿宋" w:hAnsi="仿宋" w:eastAsia="仿宋" w:cs="仿宋"/>
          <w:b/>
          <w:bCs/>
          <w:sz w:val="32"/>
          <w:szCs w:val="40"/>
          <w:highlight w:val="none"/>
        </w:rPr>
        <w:tab/>
      </w:r>
      <w:r>
        <w:rPr>
          <w:rFonts w:hint="eastAsia" w:ascii="仿宋" w:hAnsi="仿宋" w:eastAsia="仿宋" w:cs="仿宋"/>
          <w:b/>
          <w:bCs/>
          <w:sz w:val="32"/>
          <w:szCs w:val="52"/>
          <w:highlight w:val="none"/>
        </w:rPr>
        <w:fldChar w:fldCharType="end"/>
      </w:r>
      <w:r>
        <w:rPr>
          <w:rFonts w:hint="eastAsia" w:ascii="仿宋" w:hAnsi="仿宋" w:eastAsia="仿宋" w:cs="仿宋"/>
          <w:b/>
          <w:bCs/>
          <w:sz w:val="32"/>
          <w:szCs w:val="52"/>
          <w:highlight w:val="none"/>
          <w:lang w:val="en-US" w:eastAsia="zh-CN"/>
        </w:rPr>
        <w:t>7</w:t>
      </w:r>
    </w:p>
    <w:p>
      <w:pPr>
        <w:pStyle w:val="8"/>
        <w:tabs>
          <w:tab w:val="right" w:leader="dot" w:pos="8306"/>
        </w:tabs>
        <w:spacing w:line="360" w:lineRule="auto"/>
        <w:rPr>
          <w:rFonts w:hint="eastAsia" w:ascii="仿宋" w:hAnsi="仿宋" w:eastAsia="仿宋" w:cs="仿宋"/>
          <w:sz w:val="32"/>
          <w:szCs w:val="40"/>
          <w:highlight w:val="none"/>
          <w:lang w:val="en-US" w:eastAsia="zh-CN"/>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_Toc20396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（一）财务管理</w:t>
      </w:r>
      <w:r>
        <w:rPr>
          <w:rFonts w:hint="eastAsia" w:ascii="仿宋" w:hAnsi="仿宋" w:eastAsia="仿宋" w:cs="仿宋"/>
          <w:sz w:val="32"/>
          <w:szCs w:val="40"/>
          <w:highlight w:val="none"/>
        </w:rPr>
        <w:tab/>
      </w:r>
      <w:r>
        <w:rPr>
          <w:rFonts w:hint="eastAsia" w:ascii="仿宋" w:hAnsi="仿宋" w:eastAsia="仿宋" w:cs="仿宋"/>
          <w:sz w:val="32"/>
          <w:szCs w:val="52"/>
          <w:highlight w:val="none"/>
        </w:rPr>
        <w:fldChar w:fldCharType="end"/>
      </w:r>
      <w:r>
        <w:rPr>
          <w:rFonts w:hint="eastAsia" w:ascii="仿宋" w:hAnsi="仿宋" w:eastAsia="仿宋" w:cs="仿宋"/>
          <w:sz w:val="32"/>
          <w:szCs w:val="40"/>
          <w:highlight w:val="none"/>
          <w:lang w:val="en-US" w:eastAsia="zh-CN"/>
        </w:rPr>
        <w:t>7</w:t>
      </w:r>
    </w:p>
    <w:p>
      <w:pPr>
        <w:pStyle w:val="8"/>
        <w:tabs>
          <w:tab w:val="right" w:leader="dot" w:pos="8306"/>
        </w:tabs>
        <w:spacing w:line="360" w:lineRule="auto"/>
        <w:rPr>
          <w:rFonts w:hint="eastAsia" w:ascii="仿宋" w:hAnsi="仿宋" w:eastAsia="仿宋" w:cs="仿宋"/>
          <w:sz w:val="32"/>
          <w:szCs w:val="40"/>
          <w:highlight w:val="none"/>
          <w:lang w:val="en-US" w:eastAsia="zh-CN"/>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_Toc19314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（二）资产管理</w:t>
      </w:r>
      <w:r>
        <w:rPr>
          <w:rFonts w:hint="eastAsia" w:ascii="仿宋" w:hAnsi="仿宋" w:eastAsia="仿宋" w:cs="仿宋"/>
          <w:sz w:val="32"/>
          <w:szCs w:val="40"/>
          <w:highlight w:val="none"/>
        </w:rPr>
        <w:tab/>
      </w:r>
      <w:r>
        <w:rPr>
          <w:rFonts w:hint="eastAsia" w:ascii="仿宋" w:hAnsi="仿宋" w:eastAsia="仿宋" w:cs="仿宋"/>
          <w:sz w:val="32"/>
          <w:szCs w:val="52"/>
          <w:highlight w:val="none"/>
        </w:rPr>
        <w:fldChar w:fldCharType="end"/>
      </w:r>
      <w:r>
        <w:rPr>
          <w:rFonts w:hint="eastAsia" w:ascii="仿宋" w:hAnsi="仿宋" w:eastAsia="仿宋" w:cs="仿宋"/>
          <w:sz w:val="32"/>
          <w:szCs w:val="52"/>
          <w:highlight w:val="none"/>
          <w:lang w:val="en-US" w:eastAsia="zh-CN"/>
        </w:rPr>
        <w:t>8</w:t>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_Toc18467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（三）绩效管理</w:t>
      </w:r>
      <w:r>
        <w:rPr>
          <w:rFonts w:hint="eastAsia" w:ascii="仿宋" w:hAnsi="仿宋" w:eastAsia="仿宋" w:cs="仿宋"/>
          <w:sz w:val="32"/>
          <w:szCs w:val="40"/>
          <w:highlight w:val="none"/>
        </w:rPr>
        <w:tab/>
      </w:r>
      <w:r>
        <w:rPr>
          <w:rFonts w:hint="eastAsia" w:ascii="仿宋" w:hAnsi="仿宋" w:eastAsia="仿宋" w:cs="仿宋"/>
          <w:sz w:val="32"/>
          <w:szCs w:val="40"/>
          <w:highlight w:val="none"/>
        </w:rPr>
        <w:fldChar w:fldCharType="begin"/>
      </w:r>
      <w:r>
        <w:rPr>
          <w:rFonts w:hint="eastAsia" w:ascii="仿宋" w:hAnsi="仿宋" w:eastAsia="仿宋" w:cs="仿宋"/>
          <w:sz w:val="32"/>
          <w:szCs w:val="40"/>
          <w:highlight w:val="none"/>
        </w:rPr>
        <w:instrText xml:space="preserve"> PAGEREF _Toc18467 \h </w:instrText>
      </w:r>
      <w:r>
        <w:rPr>
          <w:rFonts w:hint="eastAsia" w:ascii="仿宋" w:hAnsi="仿宋" w:eastAsia="仿宋" w:cs="仿宋"/>
          <w:sz w:val="32"/>
          <w:szCs w:val="40"/>
          <w:highlight w:val="none"/>
        </w:rPr>
        <w:fldChar w:fldCharType="separate"/>
      </w:r>
      <w:r>
        <w:rPr>
          <w:rFonts w:hint="eastAsia" w:ascii="仿宋" w:hAnsi="仿宋" w:eastAsia="仿宋" w:cs="仿宋"/>
          <w:sz w:val="32"/>
          <w:szCs w:val="40"/>
          <w:highlight w:val="none"/>
          <w:lang w:val="en-US" w:eastAsia="zh-CN"/>
        </w:rPr>
        <w:t>8</w:t>
      </w:r>
      <w:r>
        <w:rPr>
          <w:rFonts w:hint="eastAsia" w:ascii="仿宋" w:hAnsi="仿宋" w:eastAsia="仿宋" w:cs="仿宋"/>
          <w:sz w:val="32"/>
          <w:szCs w:val="40"/>
          <w:highlight w:val="none"/>
        </w:rPr>
        <w:fldChar w:fldCharType="end"/>
      </w:r>
      <w:r>
        <w:rPr>
          <w:rFonts w:hint="eastAsia" w:ascii="仿宋" w:hAnsi="仿宋" w:eastAsia="仿宋" w:cs="仿宋"/>
          <w:sz w:val="32"/>
          <w:szCs w:val="52"/>
          <w:highlight w:val="none"/>
        </w:rPr>
        <w:fldChar w:fldCharType="end"/>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_Toc16629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（四）结转结余率</w:t>
      </w:r>
      <w:r>
        <w:rPr>
          <w:rFonts w:hint="eastAsia" w:ascii="仿宋" w:hAnsi="仿宋" w:eastAsia="仿宋" w:cs="仿宋"/>
          <w:sz w:val="32"/>
          <w:szCs w:val="40"/>
          <w:highlight w:val="none"/>
        </w:rPr>
        <w:tab/>
      </w:r>
      <w:r>
        <w:rPr>
          <w:rFonts w:hint="eastAsia" w:ascii="仿宋" w:hAnsi="仿宋" w:eastAsia="仿宋" w:cs="仿宋"/>
          <w:sz w:val="32"/>
          <w:szCs w:val="40"/>
          <w:highlight w:val="none"/>
          <w:lang w:val="en-US" w:eastAsia="zh-CN"/>
        </w:rPr>
        <w:t>8</w:t>
      </w:r>
      <w:r>
        <w:rPr>
          <w:rFonts w:hint="eastAsia" w:ascii="仿宋" w:hAnsi="仿宋" w:eastAsia="仿宋" w:cs="仿宋"/>
          <w:sz w:val="32"/>
          <w:szCs w:val="52"/>
          <w:highlight w:val="none"/>
        </w:rPr>
        <w:fldChar w:fldCharType="end"/>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_Toc3321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（五）部门预决算差异率</w:t>
      </w:r>
      <w:r>
        <w:rPr>
          <w:rFonts w:hint="eastAsia" w:ascii="仿宋" w:hAnsi="仿宋" w:eastAsia="仿宋" w:cs="仿宋"/>
          <w:sz w:val="32"/>
          <w:szCs w:val="40"/>
          <w:highlight w:val="none"/>
        </w:rPr>
        <w:tab/>
      </w:r>
      <w:r>
        <w:rPr>
          <w:rFonts w:hint="eastAsia" w:ascii="仿宋" w:hAnsi="仿宋" w:eastAsia="仿宋" w:cs="仿宋"/>
          <w:sz w:val="32"/>
          <w:szCs w:val="40"/>
          <w:highlight w:val="none"/>
        </w:rPr>
        <w:fldChar w:fldCharType="begin"/>
      </w:r>
      <w:r>
        <w:rPr>
          <w:rFonts w:hint="eastAsia" w:ascii="仿宋" w:hAnsi="仿宋" w:eastAsia="仿宋" w:cs="仿宋"/>
          <w:sz w:val="32"/>
          <w:szCs w:val="40"/>
          <w:highlight w:val="none"/>
        </w:rPr>
        <w:instrText xml:space="preserve"> PAGEREF _Toc3321 \h </w:instrText>
      </w:r>
      <w:r>
        <w:rPr>
          <w:rFonts w:hint="eastAsia" w:ascii="仿宋" w:hAnsi="仿宋" w:eastAsia="仿宋" w:cs="仿宋"/>
          <w:sz w:val="32"/>
          <w:szCs w:val="40"/>
          <w:highlight w:val="none"/>
        </w:rPr>
        <w:fldChar w:fldCharType="separate"/>
      </w:r>
      <w:r>
        <w:rPr>
          <w:rFonts w:hint="eastAsia" w:ascii="仿宋" w:hAnsi="仿宋" w:eastAsia="仿宋" w:cs="仿宋"/>
          <w:sz w:val="32"/>
          <w:szCs w:val="40"/>
          <w:highlight w:val="none"/>
          <w:lang w:val="en-US" w:eastAsia="zh-CN"/>
        </w:rPr>
        <w:t>9</w:t>
      </w:r>
      <w:r>
        <w:rPr>
          <w:rFonts w:hint="eastAsia" w:ascii="仿宋" w:hAnsi="仿宋" w:eastAsia="仿宋" w:cs="仿宋"/>
          <w:sz w:val="32"/>
          <w:szCs w:val="40"/>
          <w:highlight w:val="none"/>
        </w:rPr>
        <w:fldChar w:fldCharType="end"/>
      </w:r>
      <w:r>
        <w:rPr>
          <w:rFonts w:hint="eastAsia" w:ascii="仿宋" w:hAnsi="仿宋" w:eastAsia="仿宋" w:cs="仿宋"/>
          <w:sz w:val="32"/>
          <w:szCs w:val="52"/>
          <w:highlight w:val="none"/>
        </w:rPr>
        <w:fldChar w:fldCharType="end"/>
      </w:r>
    </w:p>
    <w:p>
      <w:pPr>
        <w:pStyle w:val="7"/>
        <w:tabs>
          <w:tab w:val="right" w:leader="dot" w:pos="8306"/>
        </w:tabs>
        <w:spacing w:line="360" w:lineRule="auto"/>
        <w:rPr>
          <w:rFonts w:hint="eastAsia" w:ascii="仿宋" w:hAnsi="仿宋" w:eastAsia="仿宋" w:cs="仿宋"/>
          <w:b/>
          <w:bCs/>
          <w:sz w:val="32"/>
          <w:szCs w:val="40"/>
          <w:highlight w:val="none"/>
        </w:rPr>
      </w:pP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_Toc15341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五、总体评价结论</w:t>
      </w:r>
      <w:r>
        <w:rPr>
          <w:rFonts w:hint="eastAsia" w:ascii="仿宋" w:hAnsi="仿宋" w:eastAsia="仿宋" w:cs="仿宋"/>
          <w:b/>
          <w:bCs/>
          <w:sz w:val="32"/>
          <w:szCs w:val="40"/>
          <w:highlight w:val="none"/>
        </w:rPr>
        <w:tab/>
      </w:r>
      <w:r>
        <w:rPr>
          <w:rFonts w:hint="eastAsia" w:ascii="仿宋" w:hAnsi="仿宋" w:eastAsia="仿宋" w:cs="仿宋"/>
          <w:b/>
          <w:bCs/>
          <w:sz w:val="32"/>
          <w:szCs w:val="40"/>
          <w:highlight w:val="none"/>
        </w:rPr>
        <w:fldChar w:fldCharType="begin"/>
      </w:r>
      <w:r>
        <w:rPr>
          <w:rFonts w:hint="eastAsia" w:ascii="仿宋" w:hAnsi="仿宋" w:eastAsia="仿宋" w:cs="仿宋"/>
          <w:b/>
          <w:bCs/>
          <w:sz w:val="32"/>
          <w:szCs w:val="40"/>
          <w:highlight w:val="none"/>
        </w:rPr>
        <w:instrText xml:space="preserve"> PAGEREF _Toc15341 \h </w:instrText>
      </w:r>
      <w:r>
        <w:rPr>
          <w:rFonts w:hint="eastAsia" w:ascii="仿宋" w:hAnsi="仿宋" w:eastAsia="仿宋" w:cs="仿宋"/>
          <w:b/>
          <w:bCs/>
          <w:sz w:val="32"/>
          <w:szCs w:val="40"/>
          <w:highlight w:val="none"/>
        </w:rPr>
        <w:fldChar w:fldCharType="separate"/>
      </w:r>
      <w:r>
        <w:rPr>
          <w:rFonts w:hint="eastAsia" w:ascii="仿宋" w:hAnsi="仿宋" w:eastAsia="仿宋" w:cs="仿宋"/>
          <w:b/>
          <w:bCs/>
          <w:sz w:val="32"/>
          <w:szCs w:val="40"/>
          <w:highlight w:val="none"/>
          <w:lang w:val="en-US" w:eastAsia="zh-CN"/>
        </w:rPr>
        <w:t>9</w:t>
      </w:r>
      <w:r>
        <w:rPr>
          <w:rFonts w:hint="eastAsia" w:ascii="仿宋" w:hAnsi="仿宋" w:eastAsia="仿宋" w:cs="仿宋"/>
          <w:b/>
          <w:bCs/>
          <w:sz w:val="32"/>
          <w:szCs w:val="40"/>
          <w:highlight w:val="none"/>
        </w:rPr>
        <w:fldChar w:fldCharType="end"/>
      </w:r>
      <w:r>
        <w:rPr>
          <w:rFonts w:hint="eastAsia" w:ascii="仿宋" w:hAnsi="仿宋" w:eastAsia="仿宋" w:cs="仿宋"/>
          <w:b/>
          <w:bCs/>
          <w:sz w:val="32"/>
          <w:szCs w:val="52"/>
          <w:highlight w:val="none"/>
        </w:rPr>
        <w:fldChar w:fldCharType="end"/>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_Toc4804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（一）评价得分情况</w:t>
      </w:r>
      <w:r>
        <w:rPr>
          <w:rFonts w:hint="eastAsia" w:ascii="仿宋" w:hAnsi="仿宋" w:eastAsia="仿宋" w:cs="仿宋"/>
          <w:sz w:val="32"/>
          <w:szCs w:val="40"/>
          <w:highlight w:val="none"/>
        </w:rPr>
        <w:tab/>
      </w:r>
      <w:r>
        <w:rPr>
          <w:rFonts w:hint="eastAsia" w:ascii="仿宋" w:hAnsi="仿宋" w:eastAsia="仿宋" w:cs="仿宋"/>
          <w:sz w:val="32"/>
          <w:szCs w:val="40"/>
          <w:highlight w:val="none"/>
        </w:rPr>
        <w:fldChar w:fldCharType="begin"/>
      </w:r>
      <w:r>
        <w:rPr>
          <w:rFonts w:hint="eastAsia" w:ascii="仿宋" w:hAnsi="仿宋" w:eastAsia="仿宋" w:cs="仿宋"/>
          <w:sz w:val="32"/>
          <w:szCs w:val="40"/>
          <w:highlight w:val="none"/>
        </w:rPr>
        <w:instrText xml:space="preserve"> PAGEREF _Toc4804 \h </w:instrText>
      </w:r>
      <w:r>
        <w:rPr>
          <w:rFonts w:hint="eastAsia" w:ascii="仿宋" w:hAnsi="仿宋" w:eastAsia="仿宋" w:cs="仿宋"/>
          <w:sz w:val="32"/>
          <w:szCs w:val="40"/>
          <w:highlight w:val="none"/>
        </w:rPr>
        <w:fldChar w:fldCharType="separate"/>
      </w:r>
      <w:r>
        <w:rPr>
          <w:rFonts w:hint="eastAsia" w:ascii="仿宋" w:hAnsi="仿宋" w:eastAsia="仿宋" w:cs="仿宋"/>
          <w:sz w:val="32"/>
          <w:szCs w:val="40"/>
          <w:highlight w:val="none"/>
          <w:lang w:val="en-US" w:eastAsia="zh-CN"/>
        </w:rPr>
        <w:t>9</w:t>
      </w:r>
      <w:r>
        <w:rPr>
          <w:rFonts w:hint="eastAsia" w:ascii="仿宋" w:hAnsi="仿宋" w:eastAsia="仿宋" w:cs="仿宋"/>
          <w:sz w:val="32"/>
          <w:szCs w:val="40"/>
          <w:highlight w:val="none"/>
        </w:rPr>
        <w:fldChar w:fldCharType="end"/>
      </w:r>
      <w:r>
        <w:rPr>
          <w:rFonts w:hint="eastAsia" w:ascii="仿宋" w:hAnsi="仿宋" w:eastAsia="仿宋" w:cs="仿宋"/>
          <w:sz w:val="32"/>
          <w:szCs w:val="52"/>
          <w:highlight w:val="none"/>
        </w:rPr>
        <w:fldChar w:fldCharType="end"/>
      </w:r>
    </w:p>
    <w:p>
      <w:pPr>
        <w:pStyle w:val="8"/>
        <w:tabs>
          <w:tab w:val="right" w:leader="dot" w:pos="8306"/>
        </w:tabs>
        <w:spacing w:line="360" w:lineRule="auto"/>
        <w:rPr>
          <w:rFonts w:hint="eastAsia" w:ascii="仿宋" w:hAnsi="仿宋" w:eastAsia="仿宋" w:cs="仿宋"/>
          <w:sz w:val="32"/>
          <w:szCs w:val="40"/>
          <w:highlight w:val="none"/>
        </w:rPr>
      </w:pPr>
      <w:r>
        <w:rPr>
          <w:rFonts w:hint="eastAsia" w:ascii="仿宋" w:hAnsi="仿宋" w:eastAsia="仿宋" w:cs="仿宋"/>
          <w:sz w:val="32"/>
          <w:szCs w:val="52"/>
          <w:highlight w:val="none"/>
        </w:rPr>
        <w:fldChar w:fldCharType="begin"/>
      </w:r>
      <w:r>
        <w:rPr>
          <w:rFonts w:hint="eastAsia" w:ascii="仿宋" w:hAnsi="仿宋" w:eastAsia="仿宋" w:cs="仿宋"/>
          <w:sz w:val="32"/>
          <w:szCs w:val="52"/>
          <w:highlight w:val="none"/>
        </w:rPr>
        <w:instrText xml:space="preserve"> HYPERLINK \l _Toc19737 </w:instrText>
      </w:r>
      <w:r>
        <w:rPr>
          <w:rFonts w:hint="eastAsia" w:ascii="仿宋" w:hAnsi="仿宋" w:eastAsia="仿宋" w:cs="仿宋"/>
          <w:sz w:val="32"/>
          <w:szCs w:val="52"/>
          <w:highlight w:val="none"/>
        </w:rPr>
        <w:fldChar w:fldCharType="separate"/>
      </w:r>
      <w:r>
        <w:rPr>
          <w:rFonts w:hint="eastAsia" w:ascii="仿宋" w:hAnsi="仿宋" w:eastAsia="仿宋" w:cs="仿宋"/>
          <w:bCs/>
          <w:kern w:val="2"/>
          <w:sz w:val="32"/>
          <w:szCs w:val="48"/>
          <w:highlight w:val="none"/>
          <w:lang w:eastAsia="zh-CN"/>
        </w:rPr>
        <w:t>（二）存在的问题及原因分析</w:t>
      </w:r>
      <w:r>
        <w:rPr>
          <w:rFonts w:hint="eastAsia" w:ascii="仿宋" w:hAnsi="仿宋" w:eastAsia="仿宋" w:cs="仿宋"/>
          <w:sz w:val="32"/>
          <w:szCs w:val="40"/>
          <w:highlight w:val="none"/>
        </w:rPr>
        <w:tab/>
      </w:r>
      <w:r>
        <w:rPr>
          <w:rFonts w:hint="eastAsia" w:ascii="仿宋" w:hAnsi="仿宋" w:eastAsia="仿宋" w:cs="仿宋"/>
          <w:sz w:val="32"/>
          <w:szCs w:val="40"/>
          <w:highlight w:val="none"/>
        </w:rPr>
        <w:fldChar w:fldCharType="begin"/>
      </w:r>
      <w:r>
        <w:rPr>
          <w:rFonts w:hint="eastAsia" w:ascii="仿宋" w:hAnsi="仿宋" w:eastAsia="仿宋" w:cs="仿宋"/>
          <w:sz w:val="32"/>
          <w:szCs w:val="40"/>
          <w:highlight w:val="none"/>
        </w:rPr>
        <w:instrText xml:space="preserve"> PAGEREF _Toc19737 \h </w:instrText>
      </w:r>
      <w:r>
        <w:rPr>
          <w:rFonts w:hint="eastAsia" w:ascii="仿宋" w:hAnsi="仿宋" w:eastAsia="仿宋" w:cs="仿宋"/>
          <w:sz w:val="32"/>
          <w:szCs w:val="40"/>
          <w:highlight w:val="none"/>
        </w:rPr>
        <w:fldChar w:fldCharType="separate"/>
      </w:r>
      <w:r>
        <w:rPr>
          <w:rFonts w:hint="eastAsia" w:ascii="仿宋" w:hAnsi="仿宋" w:eastAsia="仿宋" w:cs="仿宋"/>
          <w:sz w:val="32"/>
          <w:szCs w:val="40"/>
          <w:highlight w:val="none"/>
          <w:lang w:val="en-US" w:eastAsia="zh-CN"/>
        </w:rPr>
        <w:t>9</w:t>
      </w:r>
      <w:r>
        <w:rPr>
          <w:rFonts w:hint="eastAsia" w:ascii="仿宋" w:hAnsi="仿宋" w:eastAsia="仿宋" w:cs="仿宋"/>
          <w:sz w:val="32"/>
          <w:szCs w:val="40"/>
          <w:highlight w:val="none"/>
        </w:rPr>
        <w:fldChar w:fldCharType="end"/>
      </w:r>
      <w:r>
        <w:rPr>
          <w:rFonts w:hint="eastAsia" w:ascii="仿宋" w:hAnsi="仿宋" w:eastAsia="仿宋" w:cs="仿宋"/>
          <w:sz w:val="32"/>
          <w:szCs w:val="52"/>
          <w:highlight w:val="none"/>
        </w:rPr>
        <w:fldChar w:fldCharType="end"/>
      </w:r>
    </w:p>
    <w:p>
      <w:pPr>
        <w:pStyle w:val="7"/>
        <w:tabs>
          <w:tab w:val="right" w:leader="dot" w:pos="8306"/>
        </w:tabs>
        <w:spacing w:line="360" w:lineRule="auto"/>
        <w:rPr>
          <w:rFonts w:hint="eastAsia" w:ascii="仿宋" w:hAnsi="仿宋" w:eastAsia="仿宋" w:cs="仿宋"/>
          <w:b/>
          <w:bCs/>
          <w:sz w:val="32"/>
          <w:szCs w:val="40"/>
          <w:highlight w:val="none"/>
        </w:rPr>
      </w:pP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_Toc25531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六、措施建议</w:t>
      </w:r>
      <w:r>
        <w:rPr>
          <w:rFonts w:hint="eastAsia" w:ascii="仿宋" w:hAnsi="仿宋" w:eastAsia="仿宋" w:cs="仿宋"/>
          <w:b/>
          <w:bCs/>
          <w:sz w:val="32"/>
          <w:szCs w:val="40"/>
          <w:highlight w:val="none"/>
        </w:rPr>
        <w:tab/>
      </w:r>
      <w:r>
        <w:rPr>
          <w:rFonts w:hint="eastAsia" w:ascii="仿宋" w:hAnsi="仿宋" w:eastAsia="仿宋" w:cs="仿宋"/>
          <w:b/>
          <w:bCs/>
          <w:sz w:val="32"/>
          <w:szCs w:val="40"/>
          <w:highlight w:val="none"/>
          <w:lang w:val="en-US" w:eastAsia="zh-CN"/>
        </w:rPr>
        <w:t>9</w:t>
      </w:r>
      <w:r>
        <w:rPr>
          <w:rFonts w:hint="eastAsia" w:ascii="仿宋" w:hAnsi="仿宋" w:eastAsia="仿宋" w:cs="仿宋"/>
          <w:b/>
          <w:bCs/>
          <w:sz w:val="32"/>
          <w:szCs w:val="52"/>
          <w:highlight w:val="none"/>
        </w:rPr>
        <w:fldChar w:fldCharType="end"/>
      </w:r>
    </w:p>
    <w:p>
      <w:pPr>
        <w:pStyle w:val="7"/>
        <w:tabs>
          <w:tab w:val="right" w:leader="dot" w:pos="8306"/>
        </w:tabs>
        <w:spacing w:line="360" w:lineRule="auto"/>
        <w:rPr>
          <w:b/>
          <w:bCs/>
          <w:sz w:val="24"/>
          <w:szCs w:val="32"/>
          <w:highlight w:val="none"/>
        </w:rPr>
      </w:pPr>
      <w:r>
        <w:rPr>
          <w:rFonts w:hint="eastAsia" w:ascii="仿宋" w:hAnsi="仿宋" w:eastAsia="仿宋" w:cs="仿宋"/>
          <w:b/>
          <w:bCs/>
          <w:sz w:val="32"/>
          <w:szCs w:val="52"/>
          <w:highlight w:val="none"/>
        </w:rPr>
        <w:fldChar w:fldCharType="begin"/>
      </w:r>
      <w:r>
        <w:rPr>
          <w:rFonts w:hint="eastAsia" w:ascii="仿宋" w:hAnsi="仿宋" w:eastAsia="仿宋" w:cs="仿宋"/>
          <w:b/>
          <w:bCs/>
          <w:sz w:val="32"/>
          <w:szCs w:val="52"/>
          <w:highlight w:val="none"/>
        </w:rPr>
        <w:instrText xml:space="preserve"> HYPERLINK \l _Toc2148 </w:instrText>
      </w:r>
      <w:r>
        <w:rPr>
          <w:rFonts w:hint="eastAsia" w:ascii="仿宋" w:hAnsi="仿宋" w:eastAsia="仿宋" w:cs="仿宋"/>
          <w:b/>
          <w:bCs/>
          <w:sz w:val="32"/>
          <w:szCs w:val="52"/>
          <w:highlight w:val="none"/>
        </w:rPr>
        <w:fldChar w:fldCharType="separate"/>
      </w:r>
      <w:r>
        <w:rPr>
          <w:rFonts w:hint="eastAsia" w:ascii="仿宋" w:hAnsi="仿宋" w:eastAsia="仿宋" w:cs="仿宋"/>
          <w:b/>
          <w:bCs/>
          <w:sz w:val="32"/>
          <w:szCs w:val="48"/>
          <w:highlight w:val="none"/>
        </w:rPr>
        <w:t>七、附件</w:t>
      </w:r>
      <w:r>
        <w:rPr>
          <w:rFonts w:hint="eastAsia" w:ascii="仿宋" w:hAnsi="仿宋" w:eastAsia="仿宋" w:cs="仿宋"/>
          <w:b/>
          <w:bCs/>
          <w:sz w:val="32"/>
          <w:szCs w:val="40"/>
          <w:highlight w:val="none"/>
        </w:rPr>
        <w:tab/>
      </w:r>
      <w:r>
        <w:rPr>
          <w:rFonts w:hint="eastAsia" w:ascii="仿宋" w:hAnsi="仿宋" w:eastAsia="仿宋" w:cs="仿宋"/>
          <w:b/>
          <w:bCs/>
          <w:sz w:val="32"/>
          <w:szCs w:val="40"/>
          <w:highlight w:val="none"/>
        </w:rPr>
        <w:fldChar w:fldCharType="begin"/>
      </w:r>
      <w:r>
        <w:rPr>
          <w:rFonts w:hint="eastAsia" w:ascii="仿宋" w:hAnsi="仿宋" w:eastAsia="仿宋" w:cs="仿宋"/>
          <w:b/>
          <w:bCs/>
          <w:sz w:val="32"/>
          <w:szCs w:val="40"/>
          <w:highlight w:val="none"/>
        </w:rPr>
        <w:instrText xml:space="preserve"> PAGEREF _Toc2148 \h </w:instrText>
      </w:r>
      <w:r>
        <w:rPr>
          <w:rFonts w:hint="eastAsia" w:ascii="仿宋" w:hAnsi="仿宋" w:eastAsia="仿宋" w:cs="仿宋"/>
          <w:b/>
          <w:bCs/>
          <w:sz w:val="32"/>
          <w:szCs w:val="40"/>
          <w:highlight w:val="none"/>
        </w:rPr>
        <w:fldChar w:fldCharType="separate"/>
      </w:r>
      <w:r>
        <w:rPr>
          <w:rFonts w:hint="eastAsia" w:ascii="仿宋" w:hAnsi="仿宋" w:eastAsia="仿宋" w:cs="仿宋"/>
          <w:b/>
          <w:bCs/>
          <w:sz w:val="32"/>
          <w:szCs w:val="40"/>
          <w:highlight w:val="none"/>
        </w:rPr>
        <w:t>1</w:t>
      </w:r>
      <w:r>
        <w:rPr>
          <w:rFonts w:hint="eastAsia" w:ascii="仿宋" w:hAnsi="仿宋" w:eastAsia="仿宋" w:cs="仿宋"/>
          <w:b/>
          <w:bCs/>
          <w:sz w:val="32"/>
          <w:szCs w:val="40"/>
          <w:highlight w:val="none"/>
          <w:lang w:val="en-US" w:eastAsia="zh-CN"/>
        </w:rPr>
        <w:t>0</w:t>
      </w:r>
      <w:r>
        <w:rPr>
          <w:rFonts w:hint="eastAsia" w:ascii="仿宋" w:hAnsi="仿宋" w:eastAsia="仿宋" w:cs="仿宋"/>
          <w:b/>
          <w:bCs/>
          <w:sz w:val="32"/>
          <w:szCs w:val="40"/>
          <w:highlight w:val="none"/>
        </w:rPr>
        <w:fldChar w:fldCharType="end"/>
      </w:r>
      <w:r>
        <w:rPr>
          <w:rFonts w:hint="eastAsia" w:ascii="仿宋" w:hAnsi="仿宋" w:eastAsia="仿宋" w:cs="仿宋"/>
          <w:b/>
          <w:bCs/>
          <w:sz w:val="32"/>
          <w:szCs w:val="52"/>
          <w:highlight w:val="none"/>
        </w:rPr>
        <w:fldChar w:fldCharType="end"/>
      </w:r>
    </w:p>
    <w:p>
      <w:pPr>
        <w:pStyle w:val="2"/>
        <w:rPr>
          <w:rFonts w:hint="eastAsia" w:ascii="方正小标宋简体" w:eastAsia="方正小标宋简体"/>
          <w:sz w:val="36"/>
          <w:szCs w:val="36"/>
          <w:highlight w:val="none"/>
        </w:rPr>
        <w:sectPr>
          <w:pgSz w:w="11906" w:h="16838"/>
          <w:pgMar w:top="1440" w:right="1800" w:bottom="1440" w:left="1800" w:header="851" w:footer="964" w:gutter="0"/>
          <w:pgNumType w:fmt="decimal" w:start="1"/>
          <w:cols w:space="425" w:num="1"/>
          <w:docGrid w:type="lines" w:linePitch="435" w:charSpace="0"/>
        </w:sectPr>
      </w:pPr>
      <w:r>
        <w:rPr>
          <w:rFonts w:hint="eastAsia" w:ascii="方正小标宋简体" w:eastAsia="方正小标宋简体"/>
          <w:sz w:val="24"/>
          <w:szCs w:val="44"/>
          <w:highlight w:val="none"/>
        </w:rPr>
        <w:fldChar w:fldCharType="end"/>
      </w:r>
    </w:p>
    <w:p>
      <w:pPr>
        <w:spacing w:line="560" w:lineRule="exact"/>
        <w:jc w:val="center"/>
        <w:outlineLvl w:val="9"/>
        <w:rPr>
          <w:rFonts w:hint="eastAsia" w:ascii="仿宋" w:hAnsi="仿宋" w:eastAsia="仿宋" w:cs="仿宋"/>
          <w:sz w:val="44"/>
          <w:szCs w:val="44"/>
          <w:highlight w:val="none"/>
        </w:rPr>
      </w:pPr>
      <w:r>
        <w:rPr>
          <w:rFonts w:hint="eastAsia" w:ascii="仿宋" w:hAnsi="仿宋" w:eastAsia="仿宋" w:cs="仿宋"/>
          <w:sz w:val="44"/>
          <w:szCs w:val="44"/>
          <w:highlight w:val="none"/>
        </w:rPr>
        <w:t>中共北京市委机构编制委员会办公室</w:t>
      </w:r>
    </w:p>
    <w:p>
      <w:pPr>
        <w:spacing w:line="560" w:lineRule="exact"/>
        <w:jc w:val="center"/>
        <w:rPr>
          <w:rFonts w:hint="eastAsia" w:ascii="仿宋" w:hAnsi="仿宋" w:eastAsia="仿宋" w:cs="仿宋"/>
          <w:sz w:val="44"/>
          <w:szCs w:val="44"/>
          <w:highlight w:val="none"/>
        </w:rPr>
      </w:pPr>
      <w:r>
        <w:rPr>
          <w:rFonts w:hint="eastAsia" w:ascii="仿宋" w:hAnsi="仿宋" w:eastAsia="仿宋" w:cs="仿宋"/>
          <w:sz w:val="44"/>
          <w:szCs w:val="44"/>
          <w:highlight w:val="none"/>
          <w:lang w:val="en-US" w:eastAsia="zh-CN"/>
        </w:rPr>
        <w:t>2023年度部门</w:t>
      </w:r>
      <w:r>
        <w:rPr>
          <w:rFonts w:hint="eastAsia" w:ascii="仿宋" w:hAnsi="仿宋" w:eastAsia="仿宋" w:cs="仿宋"/>
          <w:sz w:val="44"/>
          <w:szCs w:val="44"/>
          <w:highlight w:val="none"/>
        </w:rPr>
        <w:t>整体绩效</w:t>
      </w:r>
      <w:r>
        <w:rPr>
          <w:rFonts w:hint="eastAsia" w:ascii="仿宋" w:hAnsi="仿宋" w:eastAsia="仿宋" w:cs="仿宋"/>
          <w:sz w:val="44"/>
          <w:szCs w:val="44"/>
          <w:highlight w:val="none"/>
          <w:lang w:eastAsia="zh-CN"/>
        </w:rPr>
        <w:t>评价</w:t>
      </w:r>
      <w:r>
        <w:rPr>
          <w:rFonts w:hint="eastAsia" w:ascii="仿宋" w:hAnsi="仿宋" w:eastAsia="仿宋" w:cs="仿宋"/>
          <w:sz w:val="44"/>
          <w:szCs w:val="44"/>
          <w:highlight w:val="none"/>
        </w:rPr>
        <w:t>报告</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一、部门概况</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rPr>
      </w:pPr>
      <w:r>
        <w:rPr>
          <w:rFonts w:hint="eastAsia" w:ascii="方正楷体_GBK" w:hAnsi="方正楷体_GBK" w:eastAsia="方正楷体_GBK" w:cs="方正楷体_GBK"/>
          <w:bCs/>
          <w:kern w:val="2"/>
          <w:szCs w:val="32"/>
          <w:highlight w:val="none"/>
        </w:rPr>
        <w:t>（一）机构设置及职责工作任务情况</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1.主要职能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中共北京市委机构编制委员会办公室（简称市委编办）是中共北京市委机构编制委员会的常设办事机构，在市委编委的领导下负责本市行政管理体制和机构改革以及机构编制日常管理工作，列入市委工作机构序列，归口市委组织部管理。 </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2.机构情况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市委编办部门预算单位包括市委编办（本级）、市委编办电子政务中心共2家单位。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市委编办设综合处（保密处）、研究室（行政管理体制改革处）、一处、二处、三处、四处、事业单位登记管理处、监督检查处（法规处）、评估处和机关党委（人事处）。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市委编办电子政务中心为市委编办所属事业单位。</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3.人员构成情况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年度市委编办行政编制72人（含机关工勤编），实际74人，较上年变动3人；参照公务员管理事业编制11人，实际7人，与上年持平。聘用人员（其他聘用人员--临时工）1人，较上年减少2人。</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rPr>
      </w:pPr>
      <w:r>
        <w:rPr>
          <w:rFonts w:hint="eastAsia" w:ascii="方正楷体_GBK" w:hAnsi="方正楷体_GBK" w:eastAsia="方正楷体_GBK" w:cs="方正楷体_GBK"/>
          <w:bCs/>
          <w:kern w:val="2"/>
          <w:szCs w:val="32"/>
          <w:highlight w:val="none"/>
          <w:lang w:eastAsia="zh-CN"/>
        </w:rPr>
        <w:t>（二）</w:t>
      </w:r>
      <w:r>
        <w:rPr>
          <w:rFonts w:hint="eastAsia" w:ascii="方正楷体_GBK" w:hAnsi="方正楷体_GBK" w:eastAsia="方正楷体_GBK" w:cs="方正楷体_GBK"/>
          <w:bCs/>
          <w:kern w:val="2"/>
          <w:szCs w:val="32"/>
          <w:highlight w:val="none"/>
        </w:rPr>
        <w:t>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2023年，市委编办</w:t>
      </w:r>
      <w:r>
        <w:rPr>
          <w:rFonts w:hint="eastAsia" w:ascii="仿宋_GB2312" w:hAnsi="仿宋_GB2312" w:eastAsia="仿宋_GB2312" w:cs="仿宋_GB2312"/>
          <w:sz w:val="32"/>
          <w:szCs w:val="32"/>
          <w:highlight w:val="none"/>
        </w:rPr>
        <w:t>坚持以习近平新时代中国特色社会主义思想为指导，以学习宣传贯彻党的二十大精神为主线，深入贯彻落实党中央决策部署和市委工作要求，坚持围绕中心、服务大局，持续加强体制机制创新，着力完善党政机构职能体系，提升机构编制管理水平，为新时代首都创新发展、绿色发展、高质量发展、以人民为中心的发展做好体制机制和机构编制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围绕年初工作计划，共制定</w:t>
      </w:r>
      <w:r>
        <w:rPr>
          <w:rFonts w:hint="eastAsia" w:ascii="仿宋_GB2312" w:hAnsi="仿宋_GB2312" w:eastAsia="仿宋_GB2312" w:cs="仿宋_GB2312"/>
          <w:sz w:val="32"/>
          <w:szCs w:val="32"/>
          <w:highlight w:val="none"/>
          <w:lang w:val="en-US" w:eastAsia="zh-CN"/>
        </w:rPr>
        <w:t>17个整体绩效目标，其中机构编制管理目标15个，其他机构编制管理事务绩效目标2个。主要为：</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lang w:val="en-US" w:eastAsia="zh-CN"/>
        </w:rPr>
        <w:t>机构编制管理方面目标包括</w:t>
      </w:r>
      <w:r>
        <w:rPr>
          <w:rFonts w:hint="eastAsia" w:ascii="仿宋_GB2312" w:hAnsi="仿宋_GB2312" w:eastAsia="仿宋_GB2312" w:cs="仿宋_GB2312"/>
          <w:sz w:val="32"/>
          <w:szCs w:val="32"/>
          <w:highlight w:val="none"/>
          <w:u w:val="none"/>
          <w:lang w:val="en-US" w:eastAsia="zh-CN"/>
        </w:rPr>
        <w:t>进一步完善加强党的全面领导的制度安排，持续优化政府职责体系和组织结构，推进疾控体制改革，调整完善城市副中心机构职能体系，着眼于首都现代化治理体系建设，配合有关部门在深入推进重点领域体制改革方面加强研究，持续优化街道乡镇管理体制和运行机制，加强我市深化事业单位改革试点跟踪了解，落实市级部门机关工勤事业编制管理要求，进一步优化机构编制资源配置，</w:t>
      </w:r>
      <w:r>
        <w:rPr>
          <w:rFonts w:hint="eastAsia" w:ascii="仿宋_GB2312" w:hAnsi="仿宋_GB2312" w:eastAsia="仿宋_GB2312" w:cs="仿宋_GB2312"/>
          <w:i w:val="0"/>
          <w:caps w:val="0"/>
          <w:color w:val="000000"/>
          <w:spacing w:val="0"/>
          <w:kern w:val="0"/>
          <w:sz w:val="32"/>
          <w:szCs w:val="32"/>
          <w:highlight w:val="none"/>
          <w:u w:val="none"/>
          <w:shd w:val="clear" w:color="auto" w:fill="FFFFFF"/>
          <w:lang w:val="en-US" w:eastAsia="zh-CN" w:bidi="ar"/>
        </w:rPr>
        <w:t>推进事业单位用编管理，配合做好编外用工管理研究，</w:t>
      </w:r>
      <w:r>
        <w:rPr>
          <w:rFonts w:hint="eastAsia" w:ascii="仿宋_GB2312" w:hAnsi="仿宋_GB2312" w:eastAsia="仿宋_GB2312" w:cs="仿宋_GB2312"/>
          <w:sz w:val="32"/>
          <w:szCs w:val="32"/>
          <w:highlight w:val="none"/>
          <w:u w:val="none"/>
          <w:lang w:val="en-US" w:eastAsia="zh-CN"/>
        </w:rPr>
        <w:t>加强卫生领域编制保障，进一步加强机构编制法规制度体系建设，组织开展机构编制评估工作，完善评估指标体系，注重评估结果运用，加强机构编制实名制管理系统建设。</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default"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其他机构编制管理事务绩效目标包括深入学习宣传贯彻党的二十大精神，持续深化全面从严治党各项工作。</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二、当年预算执行情况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预算数3772.80万元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rPr>
        <w:t>338</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49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项目支出预算数388.31</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0.00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支出3629.50</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rPr>
        <w:t>3244.96</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支出384.54</w:t>
      </w:r>
      <w:r>
        <w:rPr>
          <w:rFonts w:ascii="仿宋_GB2312" w:hAnsi="宋体" w:eastAsia="仿宋_GB2312" w:cs="宋体"/>
          <w:color w:val="000000"/>
          <w:kern w:val="0"/>
          <w:sz w:val="32"/>
          <w:szCs w:val="32"/>
          <w:highlight w:val="none"/>
        </w:rPr>
        <w:t>万元，其他支出</w:t>
      </w:r>
      <w:r>
        <w:rPr>
          <w:rFonts w:hint="eastAsia" w:ascii="仿宋_GB2312" w:hAnsi="宋体" w:eastAsia="仿宋_GB2312" w:cs="宋体"/>
          <w:color w:val="000000"/>
          <w:kern w:val="0"/>
          <w:sz w:val="32"/>
          <w:szCs w:val="32"/>
          <w:highlight w:val="none"/>
          <w:lang w:val="en-US" w:eastAsia="zh-CN"/>
        </w:rPr>
        <w:t>0.00</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96.20%</w:t>
      </w:r>
      <w:r>
        <w:rPr>
          <w:rFonts w:hint="eastAsia" w:ascii="仿宋_GB2312" w:hAnsi="宋体" w:eastAsia="仿宋_GB2312" w:cs="宋体"/>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三、整体绩效目标实现情况</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（一）产出完成情况分析</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2"/>
          <w:szCs w:val="32"/>
          <w:highlight w:val="none"/>
          <w:u w:val="none"/>
          <w:lang w:val="en-US" w:eastAsia="zh-CN"/>
        </w:rPr>
      </w:pPr>
      <w:r>
        <w:rPr>
          <w:rFonts w:hint="eastAsia" w:ascii="仿宋_GB2312" w:hAnsi="仿宋_GB2312" w:eastAsia="仿宋_GB2312" w:cs="仿宋_GB2312"/>
          <w:b w:val="0"/>
          <w:bCs w:val="0"/>
          <w:sz w:val="32"/>
          <w:szCs w:val="32"/>
          <w:highlight w:val="none"/>
          <w:u w:val="none"/>
          <w:lang w:val="en-US" w:eastAsia="zh-CN"/>
        </w:rPr>
        <w:t>2023年市委编办坚持以习近平新时代中国特色社会主义思想为指导，系统学习党的二十届二中全会精神、习近平总书记在二十届中央编委第一次会议上的重要讲话精神，准确把握机构改革的总体要求和重点任务。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22"/>
          <w:highlight w:val="none"/>
          <w:u w:val="none"/>
          <w:lang w:val="en-US" w:eastAsia="zh-CN"/>
        </w:rPr>
      </w:pPr>
      <w:r>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t>2023年市委编办</w:t>
      </w:r>
      <w:r>
        <w:rPr>
          <w:rFonts w:hint="eastAsia" w:ascii="仿宋_GB2312" w:hAnsi="仿宋_GB2312" w:eastAsia="仿宋_GB2312" w:cs="仿宋_GB2312"/>
          <w:b w:val="0"/>
          <w:bCs w:val="0"/>
          <w:i w:val="0"/>
          <w:iCs w:val="0"/>
          <w:caps w:val="0"/>
          <w:spacing w:val="0"/>
          <w:sz w:val="32"/>
          <w:szCs w:val="22"/>
          <w:highlight w:val="none"/>
          <w:u w:val="none"/>
          <w:shd w:val="clear" w:color="auto" w:fill="auto"/>
          <w:lang w:eastAsia="zh-CN"/>
        </w:rPr>
        <w:t>加强</w:t>
      </w:r>
      <w:r>
        <w:rPr>
          <w:rFonts w:hint="eastAsia" w:ascii="仿宋_GB2312" w:hAnsi="仿宋_GB2312" w:eastAsia="仿宋_GB2312" w:cs="仿宋_GB2312"/>
          <w:b w:val="0"/>
          <w:bCs w:val="0"/>
          <w:i w:val="0"/>
          <w:iCs w:val="0"/>
          <w:caps w:val="0"/>
          <w:spacing w:val="0"/>
          <w:sz w:val="32"/>
          <w:szCs w:val="22"/>
          <w:highlight w:val="none"/>
          <w:u w:val="none"/>
          <w:shd w:val="clear" w:color="auto" w:fill="auto"/>
        </w:rPr>
        <w:t>市委对重大工作的领导</w:t>
      </w:r>
      <w:r>
        <w:rPr>
          <w:rFonts w:hint="eastAsia" w:ascii="仿宋_GB2312" w:hAnsi="仿宋_GB2312" w:eastAsia="仿宋_GB2312" w:cs="仿宋_GB2312"/>
          <w:sz w:val="32"/>
          <w:szCs w:val="32"/>
          <w:highlight w:val="none"/>
          <w:u w:val="none"/>
          <w:lang w:val="en-US" w:eastAsia="zh-CN"/>
        </w:rPr>
        <w:t>，研究调整部分议事协调机构设置。配合推进纪检监察专责监督体系建设</w:t>
      </w:r>
      <w:r>
        <w:rPr>
          <w:rFonts w:hint="default" w:ascii="仿宋_GB2312" w:hAnsi="仿宋_GB2312" w:eastAsia="仿宋_GB2312" w:cs="仿宋_GB2312"/>
          <w:sz w:val="32"/>
          <w:szCs w:val="22"/>
          <w:highlight w:val="none"/>
          <w:u w:val="none"/>
          <w:lang w:val="en-US" w:eastAsia="zh-CN"/>
        </w:rPr>
        <w:t>。</w:t>
      </w:r>
      <w:r>
        <w:rPr>
          <w:rFonts w:hint="eastAsia" w:ascii="仿宋_GB2312" w:hAnsi="仿宋_GB2312" w:eastAsia="仿宋_GB2312" w:cs="仿宋_GB2312"/>
          <w:sz w:val="32"/>
          <w:szCs w:val="32"/>
          <w:highlight w:val="none"/>
          <w:u w:val="none"/>
          <w:lang w:val="en-US" w:eastAsia="zh-CN"/>
        </w:rPr>
        <w:t>做好重要事项报告工作并推进报告成果运用。</w:t>
      </w:r>
      <w:r>
        <w:rPr>
          <w:rFonts w:hint="default" w:ascii="仿宋_GB2312" w:hAnsi="仿宋_GB2312" w:eastAsia="仿宋_GB2312" w:cs="仿宋_GB2312"/>
          <w:sz w:val="32"/>
          <w:szCs w:val="22"/>
          <w:highlight w:val="none"/>
          <w:u w:val="none"/>
          <w:lang w:val="en-US" w:eastAsia="zh-CN"/>
        </w:rPr>
        <w:t>针对新领域新业态新事物监管，明确自助仓储等监管职责分工，研究明确直播带货等69个综合监管事项的牵头部门及相关监管部门</w:t>
      </w:r>
      <w:r>
        <w:rPr>
          <w:rFonts w:hint="eastAsia" w:ascii="仿宋_GB2312" w:hAnsi="仿宋_GB2312" w:eastAsia="仿宋_GB2312" w:cs="仿宋_GB2312"/>
          <w:sz w:val="32"/>
          <w:szCs w:val="22"/>
          <w:highlight w:val="none"/>
          <w:u w:val="none"/>
          <w:lang w:val="en-US" w:eastAsia="zh-CN"/>
        </w:rPr>
        <w:t>，研提</w:t>
      </w:r>
      <w:r>
        <w:rPr>
          <w:rFonts w:hint="default" w:ascii="仿宋_GB2312" w:hAnsi="仿宋_GB2312" w:eastAsia="仿宋_GB2312" w:cs="仿宋_GB2312"/>
          <w:sz w:val="32"/>
          <w:szCs w:val="22"/>
          <w:highlight w:val="none"/>
          <w:u w:val="none"/>
          <w:lang w:val="en-US" w:eastAsia="zh-CN"/>
        </w:rPr>
        <w:t>电动自行车全链条管控牵头部门及车用蓄电池管理部门职责分工意见。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t>2023年市委编办</w:t>
      </w:r>
      <w:r>
        <w:rPr>
          <w:rFonts w:hint="eastAsia" w:ascii="仿宋_GB2312" w:hAnsi="仿宋_GB2312" w:eastAsia="仿宋_GB2312" w:cs="仿宋_GB2312"/>
          <w:sz w:val="32"/>
          <w:szCs w:val="32"/>
          <w:highlight w:val="none"/>
          <w:u w:val="none"/>
          <w:lang w:val="en-US" w:eastAsia="zh-CN"/>
        </w:rPr>
        <w:t>完成制定印发市疾控局“三定”规定。开展深化事业单位改革试点跟踪问效，对改革组织实施情况进行摸底调研，协调相关部门就改革中的重点难点问题提出解决措施，</w:t>
      </w:r>
      <w:r>
        <w:rPr>
          <w:rFonts w:hint="eastAsia" w:eastAsia="仿宋_GB2312" w:cs="仿宋_GB2312"/>
          <w:color w:val="auto"/>
          <w:sz w:val="32"/>
          <w:szCs w:val="32"/>
          <w:highlight w:val="none"/>
          <w:u w:val="none"/>
          <w:lang w:val="en-US" w:eastAsia="zh-CN"/>
        </w:rPr>
        <w:t>制定印发北京社会主义学院、市投资促进中心、北京奥促中心、</w:t>
      </w:r>
      <w:r>
        <w:rPr>
          <w:rFonts w:hint="eastAsia" w:ascii="仿宋_GB2312" w:hAnsi="仿宋_GB2312" w:eastAsia="仿宋_GB2312" w:cs="仿宋_GB2312"/>
          <w:color w:val="auto"/>
          <w:sz w:val="32"/>
          <w:szCs w:val="32"/>
          <w:highlight w:val="none"/>
          <w:u w:val="none"/>
          <w:lang w:val="en-US" w:eastAsia="zh-CN"/>
        </w:rPr>
        <w:t>市地勘院</w:t>
      </w:r>
      <w:r>
        <w:rPr>
          <w:rFonts w:hint="eastAsia" w:eastAsia="仿宋_GB2312" w:cs="仿宋_GB2312"/>
          <w:color w:val="auto"/>
          <w:sz w:val="32"/>
          <w:szCs w:val="32"/>
          <w:highlight w:val="none"/>
          <w:u w:val="none"/>
          <w:lang w:val="en-US" w:eastAsia="zh-CN"/>
        </w:rPr>
        <w:t>“三定”规定，协同推进</w:t>
      </w:r>
      <w:r>
        <w:rPr>
          <w:rFonts w:hint="eastAsia" w:ascii="仿宋_GB2312" w:hAnsi="仿宋_GB2312" w:eastAsia="仿宋_GB2312" w:cs="仿宋_GB2312"/>
          <w:sz w:val="32"/>
          <w:szCs w:val="32"/>
          <w:highlight w:val="none"/>
          <w:u w:val="none"/>
          <w:lang w:val="en-US" w:eastAsia="zh-CN"/>
        </w:rPr>
        <w:t>培训疗养机构改革工作。会同市司法局、市城管执法局开展向街道乡镇下放执法权评估，研究提出需要调整的部分执法事项。</w:t>
      </w:r>
      <w:r>
        <w:rPr>
          <w:rFonts w:hint="eastAsia" w:ascii="仿宋_GB2312" w:hAnsi="仿宋_GB2312" w:eastAsia="仿宋_GB2312" w:cs="仿宋_GB2312"/>
          <w:color w:val="auto"/>
          <w:sz w:val="32"/>
          <w:szCs w:val="32"/>
          <w:highlight w:val="none"/>
          <w:u w:val="none"/>
          <w:lang w:val="en-US" w:eastAsia="zh-CN"/>
        </w:rPr>
        <w:t>制定印发社区卫生服务机构人员配备标准，会同相关部门指导各区开展社区卫生服务机构人员总量核定工作。</w:t>
      </w:r>
      <w:r>
        <w:rPr>
          <w:rFonts w:hint="eastAsia" w:ascii="仿宋_GB2312" w:hAnsi="仿宋_GB2312" w:eastAsia="仿宋_GB2312" w:cs="仿宋_GB2312"/>
          <w:b w:val="0"/>
          <w:bCs w:val="0"/>
          <w:sz w:val="32"/>
          <w:szCs w:val="32"/>
          <w:highlight w:val="none"/>
          <w:u w:val="none"/>
          <w:lang w:val="en-US" w:eastAsia="zh-CN"/>
        </w:rPr>
        <w:t>调整优化副中心党工委管委会内设机构设置，</w:t>
      </w:r>
      <w:r>
        <w:rPr>
          <w:rFonts w:hint="default" w:ascii="仿宋_GB2312" w:hAnsi="仿宋_GB2312" w:eastAsia="仿宋_GB2312" w:cs="仿宋_GB2312"/>
          <w:color w:val="auto"/>
          <w:sz w:val="32"/>
          <w:szCs w:val="32"/>
          <w:highlight w:val="none"/>
          <w:u w:val="none"/>
          <w:lang w:val="en-US" w:eastAsia="zh-CN"/>
        </w:rPr>
        <w:t>调整设立北京全球服务贸易发展促进中心。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pPr>
      <w:r>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t>2023年市委编办</w:t>
      </w:r>
      <w:r>
        <w:rPr>
          <w:rFonts w:hint="eastAsia" w:ascii="仿宋_GB2312" w:hAnsi="仿宋_GB2312" w:eastAsia="仿宋_GB2312" w:cs="仿宋_GB2312"/>
          <w:b w:val="0"/>
          <w:bCs w:val="0"/>
          <w:sz w:val="32"/>
          <w:szCs w:val="32"/>
          <w:highlight w:val="none"/>
          <w:u w:val="none"/>
          <w:lang w:val="en-US" w:eastAsia="zh-CN"/>
        </w:rPr>
        <w:t>深化实名制数据与社会保障系统的共享应用，维护机构编制数据安全，提升信息化服务水平。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仿宋_GB2312"/>
          <w:sz w:val="32"/>
          <w:szCs w:val="32"/>
          <w:highlight w:val="none"/>
          <w:u w:val="none"/>
          <w:lang w:val="en-US" w:eastAsia="zh-CN"/>
        </w:rPr>
      </w:pPr>
      <w:r>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t>2023年市委编办</w:t>
      </w:r>
      <w:r>
        <w:rPr>
          <w:rFonts w:hint="eastAsia" w:ascii="仿宋_GB2312" w:hAnsi="仿宋_GB2312" w:eastAsia="仿宋_GB2312" w:cs="仿宋_GB2312"/>
          <w:sz w:val="32"/>
          <w:szCs w:val="32"/>
          <w:highlight w:val="none"/>
          <w:u w:val="none"/>
          <w:lang w:val="en-US" w:eastAsia="zh-CN"/>
        </w:rPr>
        <w:t>持续开展《中国共产党机构编制工作条例》宣讲活动，推动《条例》贯彻落实。加强法规制度建设，</w:t>
      </w:r>
      <w:r>
        <w:rPr>
          <w:rFonts w:hint="eastAsia" w:eastAsia="仿宋_GB2312" w:cs="仿宋_GB2312"/>
          <w:sz w:val="32"/>
          <w:szCs w:val="32"/>
          <w:highlight w:val="none"/>
          <w:u w:val="none"/>
          <w:lang w:val="en-US" w:eastAsia="zh-CN"/>
        </w:rPr>
        <w:t>制定印发</w:t>
      </w:r>
      <w:r>
        <w:rPr>
          <w:rFonts w:hint="eastAsia" w:ascii="仿宋_GB2312" w:hAnsi="仿宋_GB2312" w:eastAsia="仿宋_GB2312" w:cs="仿宋_GB2312"/>
          <w:sz w:val="32"/>
          <w:szCs w:val="32"/>
          <w:highlight w:val="none"/>
          <w:u w:val="none"/>
          <w:lang w:val="en-US" w:eastAsia="zh-CN"/>
        </w:rPr>
        <w:t>《北京市事业单位机构编制管理办法（试行）》，</w:t>
      </w:r>
      <w:r>
        <w:rPr>
          <w:rFonts w:hint="eastAsia" w:eastAsia="仿宋_GB2312" w:cs="仿宋_GB2312"/>
          <w:sz w:val="32"/>
          <w:szCs w:val="32"/>
          <w:highlight w:val="none"/>
          <w:u w:val="none"/>
          <w:lang w:val="en-US" w:eastAsia="zh-CN"/>
        </w:rPr>
        <w:t>完善机构编制事项审批管理细则。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highlight w:val="none"/>
          <w:u w:val="none"/>
          <w:lang w:eastAsia="zh-CN"/>
        </w:rPr>
      </w:pPr>
      <w:r>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t>2023年市委编办</w:t>
      </w:r>
      <w:r>
        <w:rPr>
          <w:rFonts w:hint="eastAsia" w:ascii="仿宋_GB2312" w:hAnsi="仿宋_GB2312" w:eastAsia="仿宋_GB2312" w:cs="仿宋_GB2312"/>
          <w:b w:val="0"/>
          <w:bCs w:val="0"/>
          <w:sz w:val="32"/>
          <w:szCs w:val="32"/>
          <w:highlight w:val="none"/>
          <w:u w:val="none"/>
          <w:lang w:eastAsia="zh-CN"/>
        </w:rPr>
        <w:t>扎实开展评估工作，</w:t>
      </w:r>
      <w:r>
        <w:rPr>
          <w:rFonts w:hint="eastAsia" w:ascii="仿宋_GB2312" w:hAnsi="仿宋_GB2312" w:eastAsia="仿宋_GB2312" w:cs="仿宋_GB2312"/>
          <w:b w:val="0"/>
          <w:bCs w:val="0"/>
          <w:sz w:val="32"/>
          <w:szCs w:val="32"/>
          <w:highlight w:val="none"/>
          <w:u w:val="none"/>
        </w:rPr>
        <w:t>编制形成《北京市机构编制执行情况和使用效益评估工作手册》</w:t>
      </w:r>
      <w:r>
        <w:rPr>
          <w:rFonts w:hint="eastAsia" w:ascii="仿宋_GB2312" w:hAnsi="仿宋_GB2312" w:eastAsia="仿宋_GB2312" w:cs="仿宋_GB2312"/>
          <w:b w:val="0"/>
          <w:bCs w:val="0"/>
          <w:sz w:val="32"/>
          <w:szCs w:val="32"/>
          <w:highlight w:val="none"/>
          <w:u w:val="none"/>
          <w:lang w:eastAsia="zh-CN"/>
        </w:rPr>
        <w:t>（</w:t>
      </w:r>
      <w:r>
        <w:rPr>
          <w:rFonts w:hint="eastAsia" w:ascii="仿宋_GB2312" w:hAnsi="仿宋_GB2312" w:eastAsia="仿宋_GB2312" w:cs="仿宋_GB2312"/>
          <w:b w:val="0"/>
          <w:bCs w:val="0"/>
          <w:sz w:val="32"/>
          <w:szCs w:val="32"/>
          <w:highlight w:val="none"/>
          <w:u w:val="none"/>
          <w:lang w:val="en-US" w:eastAsia="zh-CN"/>
        </w:rPr>
        <w:t>2023版</w:t>
      </w:r>
      <w:r>
        <w:rPr>
          <w:rFonts w:hint="eastAsia" w:ascii="仿宋_GB2312" w:hAnsi="仿宋_GB2312" w:eastAsia="仿宋_GB2312" w:cs="仿宋_GB2312"/>
          <w:b w:val="0"/>
          <w:bCs w:val="0"/>
          <w:sz w:val="32"/>
          <w:szCs w:val="32"/>
          <w:highlight w:val="none"/>
          <w:u w:val="none"/>
          <w:lang w:eastAsia="zh-CN"/>
        </w:rPr>
        <w:t>）</w:t>
      </w:r>
      <w:r>
        <w:rPr>
          <w:rFonts w:hint="eastAsia" w:ascii="仿宋_GB2312" w:hAnsi="仿宋_GB2312" w:eastAsia="仿宋_GB2312" w:cs="仿宋_GB2312"/>
          <w:b w:val="0"/>
          <w:bCs w:val="0"/>
          <w:sz w:val="32"/>
          <w:szCs w:val="32"/>
          <w:highlight w:val="none"/>
          <w:u w:val="none"/>
        </w:rPr>
        <w:t>，完善指标体系及方法流程，完成</w:t>
      </w:r>
      <w:r>
        <w:rPr>
          <w:rFonts w:hint="eastAsia" w:ascii="仿宋_GB2312" w:hAnsi="仿宋_GB2312" w:eastAsia="仿宋_GB2312" w:cs="仿宋_GB2312"/>
          <w:b w:val="0"/>
          <w:bCs w:val="0"/>
          <w:sz w:val="32"/>
          <w:szCs w:val="32"/>
          <w:highlight w:val="none"/>
          <w:u w:val="none"/>
          <w:lang w:eastAsia="zh-CN"/>
        </w:rPr>
        <w:t>对</w:t>
      </w:r>
      <w:r>
        <w:rPr>
          <w:rFonts w:hint="eastAsia" w:ascii="仿宋_GB2312" w:hAnsi="仿宋_GB2312" w:eastAsia="仿宋_GB2312" w:cs="仿宋_GB2312"/>
          <w:b w:val="0"/>
          <w:bCs w:val="0"/>
          <w:sz w:val="32"/>
          <w:szCs w:val="32"/>
          <w:highlight w:val="none"/>
          <w:u w:val="none"/>
          <w:lang w:val="en-US" w:eastAsia="zh-CN"/>
        </w:rPr>
        <w:t>9个市级部门单位机构编制评估</w:t>
      </w:r>
      <w:r>
        <w:rPr>
          <w:rFonts w:hint="eastAsia" w:ascii="仿宋_GB2312" w:hAnsi="仿宋_GB2312" w:eastAsia="仿宋_GB2312" w:cs="仿宋_GB2312"/>
          <w:b w:val="0"/>
          <w:bCs w:val="0"/>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b w:val="0"/>
          <w:bCs w:val="0"/>
          <w:i w:val="0"/>
          <w:iCs w:val="0"/>
          <w:caps w:val="0"/>
          <w:spacing w:val="0"/>
          <w:sz w:val="32"/>
          <w:szCs w:val="22"/>
          <w:highlight w:val="none"/>
          <w:u w:val="none"/>
          <w:shd w:val="clear" w:color="auto" w:fill="auto"/>
          <w:lang w:val="en-US" w:eastAsia="zh-CN"/>
        </w:rPr>
        <w:t>2023年市委编办</w:t>
      </w:r>
      <w:r>
        <w:rPr>
          <w:rFonts w:hint="eastAsia" w:ascii="仿宋_GB2312" w:hAnsi="仿宋_GB2312" w:eastAsia="仿宋_GB2312" w:cs="仿宋_GB2312"/>
          <w:sz w:val="32"/>
          <w:szCs w:val="32"/>
          <w:highlight w:val="none"/>
          <w:u w:val="none"/>
          <w:lang w:val="en-US" w:eastAsia="zh-CN"/>
        </w:rPr>
        <w:t>坚持不懈把全面从严治党工作向纵深推进，严格执行中央八项规定及其实施细则精神和市委贯彻落实办法，大力推进党风廉政建设，营造风清气正的政治生态。全面加强机关党的建设，组织完成办机关党委、机关纪委、机关工会换届选举工作，推动提升党支部建设质量。扎实推进模范机关创建，推动建设“四型机关”，引导全办争做“五个模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highlight w:val="none"/>
          <w:lang w:eastAsia="zh-CN"/>
        </w:rPr>
      </w:pPr>
      <w:r>
        <w:rPr>
          <w:rFonts w:hint="eastAsia" w:ascii="仿宋_GB2312" w:hAnsi="仿宋_GB2312" w:eastAsia="仿宋_GB2312" w:cs="仿宋_GB2312"/>
          <w:sz w:val="32"/>
          <w:szCs w:val="32"/>
          <w:highlight w:val="none"/>
          <w:u w:val="none"/>
          <w:lang w:val="en-US" w:eastAsia="zh-CN"/>
        </w:rPr>
        <w:t>在完成以上绩效目标的同时，破解机构编制资源供需矛盾的方法措施还不够多，还需要加大创新力度，进一步优化机构编制资源配置。</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（二）效果实现情况分析</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lang w:val="en-US" w:eastAsia="zh-CN"/>
        </w:rPr>
        <w:t>1</w:t>
      </w:r>
      <w:r>
        <w:rPr>
          <w:rFonts w:hint="eastAsia" w:ascii="仿宋" w:hAnsi="仿宋" w:eastAsia="仿宋" w:cs="仿宋_GB2312"/>
          <w:b/>
          <w:bCs/>
          <w:sz w:val="32"/>
          <w:szCs w:val="32"/>
          <w:highlight w:val="none"/>
        </w:rPr>
        <w:t>.社会效益</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坚持以习近平新时代中国特色社会主义思想为指导，系统学习党的二十届二中全会精神、习近平总书记在二十届中央编委第一次会议上的重要讲话精神，准确把握机构改革的总体要求和重点任务。按照地方机构改革工作推进会精神和中央《关于做好地方机构改革组织实施工作的意见》要求，结合新时代首都发展需求，在与各区、各相关部门调研座谈的基础上，起草形成《北京市机构改革方案》。组织召开市级机构改革动员</w:t>
      </w:r>
      <w:r>
        <w:rPr>
          <w:rFonts w:hint="eastAsia" w:ascii="仿宋_GB2312" w:hAnsi="仿宋_GB2312" w:eastAsia="仿宋_GB2312" w:cs="仿宋_GB2312"/>
          <w:sz w:val="32"/>
          <w:szCs w:val="32"/>
          <w:highlight w:val="none"/>
          <w:u w:val="none"/>
          <w:lang w:eastAsia="zh-CN"/>
        </w:rPr>
        <w:t>部署</w:t>
      </w:r>
      <w:r>
        <w:rPr>
          <w:rFonts w:hint="eastAsia" w:ascii="仿宋_GB2312" w:hAnsi="仿宋_GB2312" w:eastAsia="仿宋_GB2312" w:cs="仿宋_GB2312"/>
          <w:sz w:val="32"/>
          <w:szCs w:val="32"/>
          <w:highlight w:val="none"/>
          <w:u w:val="none"/>
        </w:rPr>
        <w:t>会、区级机构改革</w:t>
      </w:r>
      <w:r>
        <w:rPr>
          <w:rFonts w:hint="eastAsia" w:ascii="仿宋_GB2312" w:hAnsi="仿宋_GB2312" w:eastAsia="仿宋_GB2312" w:cs="仿宋_GB2312"/>
          <w:sz w:val="32"/>
          <w:szCs w:val="32"/>
          <w:highlight w:val="none"/>
          <w:u w:val="none"/>
          <w:lang w:eastAsia="zh-CN"/>
        </w:rPr>
        <w:t>工作</w:t>
      </w:r>
      <w:r>
        <w:rPr>
          <w:rFonts w:hint="eastAsia" w:ascii="仿宋_GB2312" w:hAnsi="仿宋_GB2312" w:eastAsia="仿宋_GB2312" w:cs="仿宋_GB2312"/>
          <w:sz w:val="32"/>
          <w:szCs w:val="32"/>
          <w:highlight w:val="none"/>
          <w:u w:val="none"/>
        </w:rPr>
        <w:t>推进会，对机构改革工作进行部署安排，推动机构改革各项工作开展。</w:t>
      </w:r>
    </w:p>
    <w:p>
      <w:pPr>
        <w:pStyle w:val="2"/>
        <w:spacing w:line="560" w:lineRule="exact"/>
        <w:rPr>
          <w:rFonts w:hint="eastAsia" w:ascii="仿宋" w:hAnsi="仿宋" w:eastAsia="仿宋" w:cs="仿宋"/>
          <w:sz w:val="32"/>
          <w:szCs w:val="32"/>
          <w:highlight w:val="none"/>
        </w:rPr>
      </w:pPr>
      <w:r>
        <w:rPr>
          <w:rFonts w:hint="eastAsia" w:ascii="仿宋" w:hAnsi="仿宋" w:eastAsia="仿宋" w:cs="仿宋"/>
          <w:sz w:val="32"/>
          <w:szCs w:val="32"/>
          <w:highlight w:val="none"/>
        </w:rPr>
        <w:t>围绕群众关心关注的养老机构监管等10个问题，研究形成《接诉即办“每月一题”专项清单（四）》，分别明确相关部门职责任务。加大教育领域服务保障力度，调整优化市教委教材建设和管理体制机制，批复设立北京第二实验学校，为经开区新建中小学下达事业编制并新设立4所幼儿园，为部分区下达周转事业编制，推动基础教育优质均衡发展。提升公共服务领域服务水平，为国家大剧院、首都图书馆、中国共产党早期北京革命活动纪念馆等加强工作力量，完成北京自然博物馆更名为国家自然博物馆相关工作。</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聚焦京津冀协同发展，调整优化副中心党工委管委会内设机构设置，明确通州区与北三县一体化高质量发展示范区执委会工作机构，研究完善大兴机场临空经济区管理体制机制。服务经济高质量发展，以市政府名义印发《关于由部分重点功能区管理机构和区政府有关部门行使一批市级行政权力等事项的决定》，进一步激发重点功能区活力。开展经开区管理体制改革评估，提出优化调整的意见建议。加强全市重点工作保障，优化市生态环境局、市水务局等部门部分内设机构设置，调整设立北京全球服务贸易发展促进中心，优化和加强市场综合监管、医药物资储备、统计督察等领域机构编制资源配置。调整完善市法院系统、市检察院系统相关机构设置。</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lang w:val="en-US" w:eastAsia="zh-CN"/>
        </w:rPr>
        <w:t>2</w:t>
      </w:r>
      <w:r>
        <w:rPr>
          <w:rFonts w:hint="eastAsia" w:ascii="仿宋" w:hAnsi="仿宋" w:eastAsia="仿宋" w:cs="仿宋_GB2312"/>
          <w:b/>
          <w:bCs/>
          <w:sz w:val="32"/>
          <w:szCs w:val="32"/>
          <w:highlight w:val="none"/>
        </w:rPr>
        <w:t>.可持续性影响</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推动发展方面，将开展主题教育与做好机构编制工作有机结合、深度融合，全面贯彻落实习近平总书记关于党和国家机构改革以及机构编制工作的重要论述。通过主题教育，全办党员干部深化了对“两个确立”决定性意义的认识，在以学铸魂、以学增智、以学正风、以学促干方面取得扎实成效，在实现主题教育目标任务上取得预期效果。</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rPr>
        <w:t>坚持不懈把全面从严治党工作向纵深推进，严格执行中央八项规定及其实施细则精神和市委贯彻落实办法，大力推进党风廉政建设，营造风清气正的政治生态。全面加强机关党的建设，组织完成办机关党委、机关纪委、机关工会换届选举工作，推动提升党支部建设质量。扎实推进模范机关创建，推动建设“四型机关”，引导全办争做“五个模范”。坚持党管干部原则，突出政治标准和业绩导向，加强干部队伍选育管用，着力提升干部斗争精神和履职本领，激励担当作为，打造“政治强、业务精、作风优”的高素质专业化干部队伍。</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四、预算管理情况分析</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（一）财务管理</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lang w:val="en-US" w:eastAsia="zh-CN"/>
        </w:rPr>
      </w:pPr>
      <w:r>
        <w:rPr>
          <w:rFonts w:hint="eastAsia" w:ascii="仿宋" w:hAnsi="仿宋" w:eastAsia="仿宋" w:cs="仿宋_GB2312"/>
          <w:b/>
          <w:bCs/>
          <w:sz w:val="32"/>
          <w:szCs w:val="32"/>
          <w:highlight w:val="none"/>
        </w:rPr>
        <w:t>1.财务</w:t>
      </w:r>
      <w:r>
        <w:rPr>
          <w:rFonts w:hint="eastAsia" w:ascii="仿宋" w:hAnsi="仿宋" w:eastAsia="仿宋" w:cs="仿宋_GB2312"/>
          <w:b/>
          <w:bCs/>
          <w:sz w:val="32"/>
          <w:szCs w:val="32"/>
          <w:highlight w:val="none"/>
          <w:lang w:eastAsia="zh-CN"/>
        </w:rPr>
        <w:t>等</w:t>
      </w:r>
      <w:r>
        <w:rPr>
          <w:rFonts w:hint="eastAsia" w:ascii="仿宋" w:hAnsi="仿宋" w:eastAsia="仿宋" w:cs="仿宋_GB2312"/>
          <w:b/>
          <w:bCs/>
          <w:sz w:val="32"/>
          <w:szCs w:val="32"/>
          <w:highlight w:val="none"/>
        </w:rPr>
        <w:t>管理制度健全</w:t>
      </w:r>
      <w:r>
        <w:rPr>
          <w:rFonts w:hint="eastAsia" w:ascii="仿宋" w:hAnsi="仿宋" w:eastAsia="仿宋" w:cs="仿宋_GB2312"/>
          <w:b/>
          <w:bCs/>
          <w:sz w:val="32"/>
          <w:szCs w:val="32"/>
          <w:highlight w:val="none"/>
          <w:lang w:val="en-US" w:eastAsia="zh-CN"/>
        </w:rPr>
        <w:t>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u w:val="none"/>
          <w:lang w:val="en-US" w:eastAsia="zh-CN"/>
        </w:rPr>
        <w:t>市委编办修订印发《市委编办财务管理办法》《市委编办预算管理办法》《市委编办公用经费支出管理办法》《市委编办差旅费管理办法》《市委编办因公临时出国经费管理办法》《市委编办固定资产管理暂行办法》《市委编办公务卡管理办法》《市委编办合同管理办法》等财务制度。</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534" w:firstLineChars="167"/>
        <w:textAlignment w:val="auto"/>
        <w:rPr>
          <w:rFonts w:hint="eastAsia" w:ascii="仿宋_GB2312" w:hAnsi="宋体" w:eastAsia="仿宋_GB2312" w:cs="宋体"/>
          <w:color w:val="000000"/>
          <w:kern w:val="0"/>
          <w:sz w:val="32"/>
          <w:szCs w:val="32"/>
          <w:highlight w:val="none"/>
        </w:rPr>
      </w:pPr>
      <w:bookmarkStart w:id="0" w:name="_GoBack"/>
      <w:bookmarkEnd w:id="0"/>
      <w:r>
        <w:rPr>
          <w:rFonts w:hint="eastAsia" w:ascii="仿宋_GB2312" w:hAnsi="宋体" w:eastAsia="仿宋_GB2312" w:cs="宋体"/>
          <w:color w:val="000000"/>
          <w:kern w:val="0"/>
          <w:sz w:val="32"/>
          <w:szCs w:val="32"/>
          <w:highlight w:val="none"/>
        </w:rPr>
        <w:t>在预算执行方面，市委编办加强</w:t>
      </w:r>
      <w:r>
        <w:rPr>
          <w:rFonts w:hint="eastAsia" w:ascii="仿宋_GB2312" w:hAnsi="宋体" w:eastAsia="仿宋_GB2312" w:cs="宋体"/>
          <w:color w:val="000000"/>
          <w:kern w:val="0"/>
          <w:sz w:val="32"/>
          <w:szCs w:val="32"/>
          <w:highlight w:val="none"/>
          <w:lang w:eastAsia="zh-CN"/>
        </w:rPr>
        <w:t>内控建设</w:t>
      </w:r>
      <w:r>
        <w:rPr>
          <w:rFonts w:hint="eastAsia" w:ascii="仿宋_GB2312" w:hAnsi="宋体" w:eastAsia="仿宋_GB2312" w:cs="宋体"/>
          <w:color w:val="000000"/>
          <w:kern w:val="0"/>
          <w:sz w:val="32"/>
          <w:szCs w:val="32"/>
          <w:highlight w:val="none"/>
        </w:rPr>
        <w:t>，保证</w:t>
      </w:r>
      <w:r>
        <w:rPr>
          <w:rFonts w:hint="eastAsia" w:ascii="仿宋_GB2312" w:hAnsi="宋体" w:eastAsia="仿宋_GB2312" w:cs="宋体"/>
          <w:color w:val="000000"/>
          <w:kern w:val="0"/>
          <w:sz w:val="32"/>
          <w:szCs w:val="32"/>
          <w:highlight w:val="none"/>
          <w:lang w:eastAsia="zh-CN"/>
        </w:rPr>
        <w:t>权力有序运行。大额资金使用、预决算管理、采购管理、资产处置等重要经济活动事项均按照授权运行，</w:t>
      </w:r>
      <w:r>
        <w:rPr>
          <w:rFonts w:hint="eastAsia" w:ascii="仿宋_GB2312" w:hAnsi="宋体" w:eastAsia="仿宋_GB2312" w:cs="宋体"/>
          <w:color w:val="000000"/>
          <w:kern w:val="0"/>
          <w:sz w:val="32"/>
          <w:szCs w:val="32"/>
          <w:highlight w:val="none"/>
        </w:rPr>
        <w:t>对各项资金适用范围、资金管理归口部门、资金使用审核批准、资金报销、资金使用监督检查等</w:t>
      </w:r>
      <w:r>
        <w:rPr>
          <w:rFonts w:hint="eastAsia" w:ascii="仿宋_GB2312" w:hAnsi="宋体" w:eastAsia="仿宋_GB2312" w:cs="宋体"/>
          <w:color w:val="000000"/>
          <w:kern w:val="0"/>
          <w:sz w:val="32"/>
          <w:szCs w:val="32"/>
          <w:highlight w:val="none"/>
          <w:lang w:eastAsia="zh-CN"/>
        </w:rPr>
        <w:t>具有较强规范性</w:t>
      </w:r>
      <w:r>
        <w:rPr>
          <w:rFonts w:hint="eastAsia" w:ascii="仿宋_GB2312" w:hAnsi="宋体" w:eastAsia="仿宋_GB2312" w:cs="宋体"/>
          <w:color w:val="000000"/>
          <w:kern w:val="0"/>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3.会计基础信息完善性</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市委编办</w:t>
      </w:r>
      <w:r>
        <w:rPr>
          <w:rFonts w:hint="eastAsia" w:ascii="仿宋_GB2312" w:hAnsi="仿宋_GB2312" w:eastAsia="仿宋_GB2312" w:cs="仿宋_GB2312"/>
          <w:sz w:val="32"/>
          <w:szCs w:val="32"/>
          <w:highlight w:val="none"/>
        </w:rPr>
        <w:t>按照《行政单位财务规则》以及政府会计准则、政府会计制度等外部财政财务法律法规，结合自身业务核算特点，制定了</w:t>
      </w:r>
      <w:r>
        <w:rPr>
          <w:rFonts w:hint="eastAsia" w:ascii="仿宋_GB2312" w:hAnsi="仿宋_GB2312" w:eastAsia="仿宋_GB2312" w:cs="仿宋_GB2312"/>
          <w:sz w:val="32"/>
          <w:szCs w:val="32"/>
          <w:highlight w:val="none"/>
          <w:lang w:eastAsia="zh-CN"/>
        </w:rPr>
        <w:t>市委编办</w:t>
      </w:r>
      <w:r>
        <w:rPr>
          <w:rFonts w:hint="eastAsia" w:ascii="仿宋_GB2312" w:hAnsi="仿宋_GB2312" w:eastAsia="仿宋_GB2312" w:cs="仿宋_GB2312"/>
          <w:sz w:val="32"/>
          <w:szCs w:val="32"/>
          <w:highlight w:val="none"/>
        </w:rPr>
        <w:t>财务</w:t>
      </w:r>
      <w:r>
        <w:rPr>
          <w:rFonts w:hint="eastAsia" w:ascii="仿宋_GB2312" w:hAnsi="仿宋_GB2312" w:eastAsia="仿宋_GB2312" w:cs="仿宋_GB2312"/>
          <w:sz w:val="32"/>
          <w:szCs w:val="32"/>
          <w:highlight w:val="none"/>
          <w:lang w:eastAsia="zh-CN"/>
        </w:rPr>
        <w:t>管理</w:t>
      </w:r>
      <w:r>
        <w:rPr>
          <w:rFonts w:hint="eastAsia" w:ascii="仿宋_GB2312" w:hAnsi="仿宋_GB2312" w:eastAsia="仿宋_GB2312" w:cs="仿宋_GB2312"/>
          <w:sz w:val="32"/>
          <w:szCs w:val="32"/>
          <w:highlight w:val="none"/>
        </w:rPr>
        <w:t>、预</w:t>
      </w:r>
      <w:r>
        <w:rPr>
          <w:rFonts w:hint="eastAsia" w:ascii="仿宋_GB2312" w:hAnsi="仿宋_GB2312" w:eastAsia="仿宋_GB2312" w:cs="仿宋_GB2312"/>
          <w:sz w:val="32"/>
          <w:szCs w:val="32"/>
          <w:highlight w:val="none"/>
          <w:lang w:eastAsia="zh-CN"/>
        </w:rPr>
        <w:t>决</w:t>
      </w:r>
      <w:r>
        <w:rPr>
          <w:rFonts w:hint="eastAsia" w:ascii="仿宋_GB2312" w:hAnsi="仿宋_GB2312" w:eastAsia="仿宋_GB2312" w:cs="仿宋_GB2312"/>
          <w:sz w:val="32"/>
          <w:szCs w:val="32"/>
          <w:highlight w:val="none"/>
        </w:rPr>
        <w:t>算</w:t>
      </w:r>
      <w:r>
        <w:rPr>
          <w:rFonts w:hint="eastAsia" w:ascii="仿宋_GB2312" w:hAnsi="仿宋_GB2312" w:eastAsia="仿宋_GB2312" w:cs="仿宋_GB2312"/>
          <w:sz w:val="32"/>
          <w:szCs w:val="32"/>
          <w:highlight w:val="none"/>
          <w:lang w:eastAsia="zh-CN"/>
        </w:rPr>
        <w:t>管理</w:t>
      </w:r>
      <w:r>
        <w:rPr>
          <w:rFonts w:hint="eastAsia" w:ascii="仿宋_GB2312" w:hAnsi="仿宋_GB2312" w:eastAsia="仿宋_GB2312" w:cs="仿宋_GB2312"/>
          <w:sz w:val="32"/>
          <w:szCs w:val="32"/>
          <w:highlight w:val="none"/>
        </w:rPr>
        <w:t>、政府采购、建设项目、合同、资产管理等制度，保障基础数据信息和会计信息资料真实、完整、准确。</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（二）资产管理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市委编办采用预算资产相结合方式开展资产管理。具体将预算编制和资产配置有效衔接，通过严把预算资金源头，关注配置过程，避免无预算购置资产、违规处置资产等情况的发生</w:t>
      </w:r>
      <w:r>
        <w:rPr>
          <w:rFonts w:hint="eastAsia" w:ascii="仿宋_GB2312" w:hAnsi="宋体" w:eastAsia="仿宋_GB2312" w:cs="宋体"/>
          <w:color w:val="000000"/>
          <w:kern w:val="0"/>
          <w:sz w:val="32"/>
          <w:szCs w:val="32"/>
          <w:highlight w:val="none"/>
        </w:rPr>
        <w:t>。</w:t>
      </w:r>
      <w:r>
        <w:rPr>
          <w:rFonts w:hint="eastAsia" w:ascii="仿宋_GB2312" w:hAnsi="仿宋_GB2312" w:eastAsia="仿宋_GB2312" w:cs="仿宋_GB2312"/>
          <w:sz w:val="32"/>
          <w:szCs w:val="32"/>
          <w:highlight w:val="none"/>
          <w:lang w:eastAsia="zh-CN"/>
        </w:rPr>
        <w:t>落实</w:t>
      </w:r>
      <w:r>
        <w:rPr>
          <w:rFonts w:hint="eastAsia" w:ascii="仿宋_GB2312" w:hAnsi="仿宋_GB2312" w:eastAsia="仿宋_GB2312" w:cs="仿宋_GB2312"/>
          <w:sz w:val="32"/>
          <w:szCs w:val="32"/>
          <w:highlight w:val="none"/>
        </w:rPr>
        <w:t>《北京市市级机关集中办公区国有资产管理办法》《北京市市级机关集中办公区公物仓管理办法》，</w:t>
      </w:r>
      <w:r>
        <w:rPr>
          <w:rFonts w:hint="eastAsia" w:ascii="仿宋_GB2312" w:hAnsi="仿宋_GB2312" w:eastAsia="仿宋_GB2312" w:cs="仿宋_GB2312"/>
          <w:sz w:val="32"/>
          <w:szCs w:val="32"/>
          <w:highlight w:val="none"/>
          <w:lang w:eastAsia="zh-CN"/>
        </w:rPr>
        <w:t>通过</w:t>
      </w:r>
      <w:r>
        <w:rPr>
          <w:rFonts w:hint="eastAsia" w:ascii="仿宋_GB2312" w:hAnsi="宋体" w:eastAsia="仿宋_GB2312" w:cs="宋体"/>
          <w:color w:val="000000"/>
          <w:kern w:val="0"/>
          <w:sz w:val="32"/>
          <w:szCs w:val="32"/>
          <w:highlight w:val="none"/>
          <w:lang w:val="en-US" w:eastAsia="zh-CN"/>
        </w:rPr>
        <w:t>详细统计登记资产信息，对资产的动态管理和实时监控，熟悉资产现状，摸清资产底数，</w:t>
      </w:r>
      <w:r>
        <w:rPr>
          <w:rFonts w:hint="eastAsia" w:ascii="仿宋_GB2312" w:hAnsi="仿宋_GB2312" w:eastAsia="仿宋_GB2312" w:cs="仿宋_GB2312"/>
          <w:sz w:val="32"/>
          <w:szCs w:val="32"/>
          <w:highlight w:val="none"/>
          <w:lang w:eastAsia="zh-CN"/>
        </w:rPr>
        <w:t>发挥闲置资产效益</w:t>
      </w:r>
      <w:r>
        <w:rPr>
          <w:rFonts w:hint="eastAsia" w:ascii="仿宋_GB2312" w:hAnsi="宋体" w:eastAsia="仿宋_GB2312" w:cs="宋体"/>
          <w:color w:val="000000"/>
          <w:kern w:val="0"/>
          <w:sz w:val="32"/>
          <w:szCs w:val="32"/>
          <w:highlight w:val="none"/>
          <w:lang w:val="en-US" w:eastAsia="zh-CN"/>
        </w:rPr>
        <w:t>。</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（三）绩效管理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仿宋_GB2312" w:eastAsia="仿宋_GB2312" w:cs="仿宋_GB2312"/>
          <w:sz w:val="32"/>
          <w:szCs w:val="32"/>
          <w:highlight w:val="none"/>
        </w:rPr>
        <w:t>高度重视绩效管理工作，深入贯彻落实有关深化全面预算绩效管理的政策要求，紧紧围绕“预算编制有目标、预算执行有监控、预算完成有评价、评价结果有反馈、反馈结果有应用”的预算绩效管理要求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将绩效理念深度融入预算编制、执行和监督全过程，构建“事前</w:t>
      </w:r>
      <w:r>
        <w:rPr>
          <w:rFonts w:hint="eastAsia" w:ascii="仿宋_GB2312" w:hAnsi="仿宋_GB2312" w:eastAsia="仿宋_GB2312" w:cs="仿宋_GB2312"/>
          <w:sz w:val="32"/>
          <w:szCs w:val="32"/>
          <w:highlight w:val="none"/>
          <w:lang w:eastAsia="zh-CN"/>
        </w:rPr>
        <w:t>评估</w:t>
      </w:r>
      <w:r>
        <w:rPr>
          <w:rFonts w:hint="eastAsia" w:ascii="仿宋_GB2312" w:hAnsi="仿宋_GB2312" w:eastAsia="仿宋_GB2312" w:cs="仿宋_GB2312"/>
          <w:sz w:val="32"/>
          <w:szCs w:val="32"/>
          <w:highlight w:val="none"/>
        </w:rPr>
        <w:t>、事中监控、事后评价”的绩效管理闭环系统</w:t>
      </w:r>
      <w:r>
        <w:rPr>
          <w:rFonts w:hint="eastAsia" w:ascii="仿宋_GB2312" w:hAnsi="仿宋_GB2312" w:eastAsia="仿宋_GB2312" w:cs="仿宋_GB2312"/>
          <w:sz w:val="32"/>
          <w:szCs w:val="32"/>
          <w:highlight w:val="none"/>
          <w:lang w:eastAsia="zh-CN"/>
        </w:rPr>
        <w:t>。</w:t>
      </w:r>
      <w:r>
        <w:rPr>
          <w:rFonts w:hint="eastAsia" w:ascii="仿宋_GB2312" w:hAnsi="宋体" w:eastAsia="仿宋_GB2312" w:cs="宋体"/>
          <w:color w:val="000000"/>
          <w:kern w:val="0"/>
          <w:sz w:val="32"/>
          <w:szCs w:val="32"/>
          <w:highlight w:val="none"/>
        </w:rPr>
        <w:t>按要求组织完成2023年度部门预算项目推进工作，2023年项目3个，占部门年初填报绩效目标且有效执行完毕项目总数的100%，涉及金额384.54万元。</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（四）结转结余率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default" w:ascii="楷体_GB2312" w:eastAsia="楷体_GB2312"/>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根据市委编办2023年度决算报表信息，2023年度市委编办全年预算数</w:t>
      </w:r>
      <w:r>
        <w:rPr>
          <w:rFonts w:hint="eastAsia" w:ascii="仿宋_GB2312" w:hAnsi="宋体" w:eastAsia="仿宋_GB2312" w:cs="宋体"/>
          <w:color w:val="000000"/>
          <w:kern w:val="0"/>
          <w:sz w:val="32"/>
          <w:szCs w:val="32"/>
          <w:highlight w:val="none"/>
        </w:rPr>
        <w:t>3772.80</w:t>
      </w:r>
      <w:r>
        <w:rPr>
          <w:rFonts w:hint="eastAsia" w:ascii="仿宋_GB2312" w:hAnsi="宋体" w:eastAsia="仿宋_GB2312" w:cs="宋体"/>
          <w:color w:val="000000"/>
          <w:kern w:val="0"/>
          <w:sz w:val="32"/>
          <w:szCs w:val="32"/>
          <w:highlight w:val="none"/>
          <w:lang w:val="en-US" w:eastAsia="zh-CN"/>
        </w:rPr>
        <w:t>万元，其中：基本支出预算</w:t>
      </w:r>
      <w:r>
        <w:rPr>
          <w:rFonts w:hint="eastAsia" w:ascii="仿宋_GB2312" w:hAnsi="宋体" w:eastAsia="仿宋_GB2312" w:cs="宋体"/>
          <w:color w:val="000000"/>
          <w:kern w:val="0"/>
          <w:sz w:val="32"/>
          <w:szCs w:val="32"/>
          <w:highlight w:val="none"/>
        </w:rPr>
        <w:t>338</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49万元，项目支出预算</w:t>
      </w:r>
      <w:r>
        <w:rPr>
          <w:rFonts w:hint="eastAsia" w:ascii="仿宋_GB2312" w:hAnsi="宋体" w:eastAsia="仿宋_GB2312" w:cs="宋体"/>
          <w:color w:val="000000"/>
          <w:kern w:val="0"/>
          <w:sz w:val="32"/>
          <w:szCs w:val="32"/>
          <w:highlight w:val="none"/>
        </w:rPr>
        <w:t>388.31</w:t>
      </w:r>
      <w:r>
        <w:rPr>
          <w:rFonts w:hint="eastAsia" w:ascii="仿宋_GB2312" w:hAnsi="宋体" w:eastAsia="仿宋_GB2312" w:cs="宋体"/>
          <w:color w:val="000000"/>
          <w:kern w:val="0"/>
          <w:sz w:val="32"/>
          <w:szCs w:val="32"/>
          <w:highlight w:val="none"/>
          <w:lang w:val="en-US" w:eastAsia="zh-CN"/>
        </w:rPr>
        <w:t>万元；全年结转结余总额</w:t>
      </w:r>
      <w:r>
        <w:rPr>
          <w:rFonts w:hint="eastAsia" w:ascii="仿宋_GB2312" w:hAnsi="宋体" w:eastAsia="仿宋_GB2312" w:cs="宋体"/>
          <w:color w:val="000000"/>
          <w:kern w:val="0"/>
          <w:sz w:val="32"/>
          <w:szCs w:val="32"/>
          <w:highlight w:val="none"/>
        </w:rPr>
        <w:t>143.3</w:t>
      </w:r>
      <w:r>
        <w:rPr>
          <w:rFonts w:hint="eastAsia" w:ascii="仿宋_GB2312" w:hAnsi="宋体" w:eastAsia="仿宋_GB2312" w:cs="宋体"/>
          <w:color w:val="000000"/>
          <w:kern w:val="0"/>
          <w:sz w:val="32"/>
          <w:szCs w:val="32"/>
          <w:highlight w:val="none"/>
          <w:lang w:val="en-US" w:eastAsia="zh-CN"/>
        </w:rPr>
        <w:t>万元，其中</w:t>
      </w:r>
      <w:r>
        <w:rPr>
          <w:rFonts w:hint="eastAsia" w:ascii="仿宋_GB2312" w:hAnsi="宋体" w:eastAsia="仿宋_GB2312" w:cs="宋体"/>
          <w:color w:val="000000"/>
          <w:kern w:val="0"/>
          <w:sz w:val="32"/>
          <w:szCs w:val="32"/>
          <w:highlight w:val="none"/>
        </w:rPr>
        <w:t>其中：财政拨款支出结余142.79万元，其中基本支出结余139.02万元；项目支出结余3.77万元。结转其他收入（利息收入）0.51万元</w:t>
      </w:r>
      <w:r>
        <w:rPr>
          <w:rFonts w:hint="eastAsia" w:ascii="仿宋_GB2312" w:hAnsi="宋体" w:eastAsia="仿宋_GB2312" w:cs="宋体"/>
          <w:color w:val="000000"/>
          <w:kern w:val="0"/>
          <w:sz w:val="32"/>
          <w:szCs w:val="32"/>
          <w:highlight w:val="none"/>
          <w:lang w:val="en-US" w:eastAsia="zh-CN"/>
        </w:rPr>
        <w:t>；2023年度结转结余率为3.80%，其中：基本支出结转和结余率4.11%，项目支出结转和结余率0.97%，低于上年度结转结余率。</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（五）部门预决算差异率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市委编办2023年度年初预算数3781.94万元，年末决算数3629.50万元，年度预决算差异率4.03%，低于市级平均差异率。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（一）评价得分情况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本次部门整体绩效评价通过资料分析、专家咨询等多种方式开展了全面、系统、客观地分析评价，最终得分为94.24分，综合评价等级为“优”。其中：当年预算执行情况19.24分，整体绩效目标实现情况57分，预算管理情况18分，具体评分见《2023年部门整体绩效评价指标体系评分表》。</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eastAsia" w:ascii="方正楷体_GBK" w:hAnsi="方正楷体_GBK" w:eastAsia="方正楷体_GBK" w:cs="方正楷体_GBK"/>
          <w:bCs/>
          <w:kern w:val="2"/>
          <w:szCs w:val="32"/>
          <w:highlight w:val="none"/>
          <w:lang w:eastAsia="zh-CN"/>
        </w:rPr>
      </w:pPr>
      <w:r>
        <w:rPr>
          <w:rFonts w:hint="eastAsia" w:ascii="方正楷体_GBK" w:hAnsi="方正楷体_GBK" w:eastAsia="方正楷体_GBK" w:cs="方正楷体_GBK"/>
          <w:bCs/>
          <w:kern w:val="2"/>
          <w:szCs w:val="32"/>
          <w:highlight w:val="none"/>
          <w:lang w:eastAsia="zh-CN"/>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一是</w:t>
      </w:r>
      <w:r>
        <w:rPr>
          <w:rFonts w:hint="eastAsia" w:ascii="仿宋_GB2312" w:hAnsi="宋体" w:eastAsia="仿宋_GB2312" w:cs="宋体"/>
          <w:color w:val="000000"/>
          <w:kern w:val="0"/>
          <w:sz w:val="32"/>
          <w:szCs w:val="32"/>
          <w:highlight w:val="none"/>
        </w:rPr>
        <w:t>预算</w:t>
      </w:r>
      <w:r>
        <w:rPr>
          <w:rFonts w:hint="eastAsia" w:ascii="仿宋_GB2312" w:hAnsi="宋体" w:eastAsia="仿宋_GB2312" w:cs="宋体"/>
          <w:color w:val="000000"/>
          <w:kern w:val="0"/>
          <w:sz w:val="32"/>
          <w:szCs w:val="32"/>
          <w:highlight w:val="none"/>
          <w:lang w:eastAsia="zh-CN"/>
        </w:rPr>
        <w:t>整体</w:t>
      </w:r>
      <w:r>
        <w:rPr>
          <w:rFonts w:hint="eastAsia" w:ascii="仿宋_GB2312" w:hAnsi="宋体" w:eastAsia="仿宋_GB2312" w:cs="宋体"/>
          <w:color w:val="000000"/>
          <w:kern w:val="0"/>
          <w:sz w:val="32"/>
          <w:szCs w:val="32"/>
          <w:highlight w:val="none"/>
        </w:rPr>
        <w:t>绩效目标</w:t>
      </w:r>
      <w:r>
        <w:rPr>
          <w:rFonts w:hint="eastAsia" w:ascii="仿宋_GB2312" w:hAnsi="宋体" w:eastAsia="仿宋_GB2312" w:cs="宋体"/>
          <w:color w:val="000000"/>
          <w:kern w:val="0"/>
          <w:sz w:val="32"/>
          <w:szCs w:val="32"/>
          <w:highlight w:val="none"/>
          <w:lang w:val="en-US" w:eastAsia="zh-CN"/>
        </w:rPr>
        <w:t>量化程度存在提升空间，工作内容及预期成果未以量化数据进行体现，部分</w:t>
      </w:r>
      <w:r>
        <w:rPr>
          <w:rFonts w:hint="eastAsia" w:ascii="仿宋_GB2312" w:hAnsi="宋体" w:eastAsia="仿宋_GB2312" w:cs="宋体"/>
          <w:color w:val="000000"/>
          <w:kern w:val="0"/>
          <w:sz w:val="32"/>
          <w:szCs w:val="32"/>
          <w:highlight w:val="none"/>
        </w:rPr>
        <w:t>绩效</w:t>
      </w:r>
      <w:r>
        <w:rPr>
          <w:rFonts w:hint="eastAsia" w:ascii="仿宋_GB2312" w:hAnsi="宋体" w:eastAsia="仿宋_GB2312" w:cs="宋体"/>
          <w:color w:val="000000"/>
          <w:kern w:val="0"/>
          <w:sz w:val="32"/>
          <w:szCs w:val="32"/>
          <w:highlight w:val="none"/>
          <w:lang w:eastAsia="zh-CN"/>
        </w:rPr>
        <w:t>指标可具体量化，增强可衡量性</w:t>
      </w:r>
      <w:r>
        <w:rPr>
          <w:rFonts w:hint="eastAsia" w:ascii="仿宋_GB2312" w:hAnsi="宋体" w:eastAsia="仿宋_GB2312" w:cs="宋体"/>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二是2023年开展满意度调查工作，由于部门职责原因，受益群体难以界定，整体绩效满意度情况，仅通过座谈、工作交流等形式实现。</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六、措施建议</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制定合理有效的绩效目标监控机制，科学设置预算绩效指标，</w:t>
      </w:r>
      <w:r>
        <w:rPr>
          <w:rFonts w:hint="eastAsia" w:ascii="仿宋_GB2312" w:hAnsi="宋体" w:eastAsia="仿宋_GB2312" w:cs="宋体"/>
          <w:color w:val="000000"/>
          <w:kern w:val="0"/>
          <w:sz w:val="32"/>
          <w:szCs w:val="32"/>
          <w:highlight w:val="none"/>
          <w:lang w:val="en-US" w:eastAsia="zh-CN"/>
        </w:rPr>
        <w:t>做到对预算编制全面覆盖与细化分解。同时在目标明确合理的基础上，进一步细化量化，确保绩效目标的可衡量性。可采取其他具体方式体现</w:t>
      </w:r>
      <w:r>
        <w:rPr>
          <w:rFonts w:hint="eastAsia" w:ascii="仿宋_GB2312" w:hAnsi="宋体" w:eastAsia="仿宋_GB2312" w:cs="宋体"/>
          <w:color w:val="000000"/>
          <w:kern w:val="0"/>
          <w:sz w:val="32"/>
          <w:szCs w:val="32"/>
          <w:highlight w:val="none"/>
          <w:lang w:eastAsia="zh-CN"/>
        </w:rPr>
        <w:t>受益群体满意度，促进机构编制管理工作高质量发展</w:t>
      </w:r>
      <w:r>
        <w:rPr>
          <w:rFonts w:hint="eastAsia" w:ascii="仿宋_GB2312" w:hAnsi="宋体" w:eastAsia="仿宋_GB2312" w:cs="宋体"/>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640" w:firstLineChars="200"/>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七、附件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sectPr>
          <w:footerReference r:id="rId5" w:type="default"/>
          <w:pgSz w:w="11906" w:h="16838"/>
          <w:pgMar w:top="1440" w:right="1800" w:bottom="1440" w:left="1800" w:header="851" w:footer="964" w:gutter="0"/>
          <w:pgNumType w:fmt="decimal" w:start="1"/>
          <w:cols w:space="425" w:num="1"/>
          <w:docGrid w:type="lines" w:linePitch="435" w:charSpace="0"/>
        </w:sect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p>
      <w:pPr>
        <w:spacing w:line="560" w:lineRule="exact"/>
        <w:jc w:val="left"/>
        <w:outlineLvl w:val="9"/>
        <w:rPr>
          <w:rFonts w:hint="default" w:ascii="方正黑体_GBK" w:hAnsi="方正黑体_GBK" w:eastAsia="方正黑体_GBK" w:cs="方正黑体_GBK"/>
          <w:sz w:val="32"/>
          <w:highlight w:val="none"/>
          <w:lang w:val="en-US" w:eastAsia="zh-CN"/>
        </w:rPr>
      </w:pPr>
      <w:r>
        <w:rPr>
          <w:rFonts w:hint="eastAsia" w:ascii="方正黑体_GBK" w:hAnsi="方正黑体_GBK" w:eastAsia="方正黑体_GBK" w:cs="方正黑体_GBK"/>
          <w:sz w:val="32"/>
          <w:highlight w:val="none"/>
          <w:lang w:eastAsia="zh-CN"/>
        </w:rPr>
        <w:t>附件</w:t>
      </w:r>
    </w:p>
    <w:tbl>
      <w:tblPr>
        <w:tblStyle w:val="9"/>
        <w:tblW w:w="5000" w:type="pct"/>
        <w:tblInd w:w="0" w:type="dxa"/>
        <w:tblLayout w:type="autofit"/>
        <w:tblCellMar>
          <w:top w:w="0" w:type="dxa"/>
          <w:left w:w="108" w:type="dxa"/>
          <w:bottom w:w="0" w:type="dxa"/>
          <w:right w:w="108" w:type="dxa"/>
        </w:tblCellMar>
      </w:tblPr>
      <w:tblGrid>
        <w:gridCol w:w="1187"/>
        <w:gridCol w:w="1201"/>
        <w:gridCol w:w="916"/>
        <w:gridCol w:w="927"/>
        <w:gridCol w:w="938"/>
        <w:gridCol w:w="916"/>
        <w:gridCol w:w="916"/>
        <w:gridCol w:w="3629"/>
        <w:gridCol w:w="3544"/>
      </w:tblGrid>
      <w:tr>
        <w:tblPrEx>
          <w:tblCellMar>
            <w:top w:w="0" w:type="dxa"/>
            <w:left w:w="108" w:type="dxa"/>
            <w:bottom w:w="0" w:type="dxa"/>
            <w:right w:w="108" w:type="dxa"/>
          </w:tblCellMar>
        </w:tblPrEx>
        <w:trPr>
          <w:cantSplit/>
          <w:trHeight w:val="90"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none"/>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3</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一、</w:t>
            </w:r>
            <w:r>
              <w:rPr>
                <w:rFonts w:hint="eastAsia" w:ascii="宋体" w:hAnsi="宋体" w:cs="宋体"/>
                <w:color w:val="000000"/>
                <w:kern w:val="0"/>
                <w:sz w:val="20"/>
                <w:szCs w:val="20"/>
                <w:highlight w:val="none"/>
              </w:rPr>
              <w:t>当年预算执行情况（20分）</w:t>
            </w:r>
          </w:p>
        </w:tc>
      </w:tr>
      <w:tr>
        <w:tblPrEx>
          <w:tblCellMar>
            <w:top w:w="0" w:type="dxa"/>
            <w:left w:w="108" w:type="dxa"/>
            <w:bottom w:w="0" w:type="dxa"/>
            <w:right w:w="108" w:type="dxa"/>
          </w:tblCellMar>
        </w:tblPrEx>
        <w:trPr>
          <w:cantSplit/>
          <w:trHeight w:val="660" w:hRule="atLeast"/>
        </w:trPr>
        <w:tc>
          <w:tcPr>
            <w:tcW w:w="4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4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预算数（万元）</w:t>
            </w:r>
          </w:p>
        </w:tc>
        <w:tc>
          <w:tcPr>
            <w:tcW w:w="3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执行数（万元）</w:t>
            </w:r>
          </w:p>
        </w:tc>
        <w:tc>
          <w:tcPr>
            <w:tcW w:w="32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预算执行率</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指标解释</w:t>
            </w:r>
          </w:p>
        </w:tc>
        <w:tc>
          <w:tcPr>
            <w:tcW w:w="124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评分标准</w:t>
            </w:r>
          </w:p>
        </w:tc>
      </w:tr>
      <w:tr>
        <w:tblPrEx>
          <w:tblCellMar>
            <w:top w:w="0" w:type="dxa"/>
            <w:left w:w="108" w:type="dxa"/>
            <w:bottom w:w="0" w:type="dxa"/>
            <w:right w:w="108" w:type="dxa"/>
          </w:tblCellMar>
        </w:tblPrEx>
        <w:trPr>
          <w:cantSplit/>
          <w:trHeight w:val="630" w:hRule="atLeast"/>
        </w:trPr>
        <w:tc>
          <w:tcPr>
            <w:tcW w:w="419"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当年预算执行情况（20）</w:t>
            </w:r>
          </w:p>
        </w:tc>
        <w:tc>
          <w:tcPr>
            <w:tcW w:w="4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资金总体</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3772.80</w:t>
            </w:r>
          </w:p>
        </w:tc>
        <w:tc>
          <w:tcPr>
            <w:tcW w:w="3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3629.50　</w:t>
            </w:r>
          </w:p>
        </w:tc>
        <w:tc>
          <w:tcPr>
            <w:tcW w:w="32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19.24</w:t>
            </w:r>
          </w:p>
        </w:tc>
        <w:tc>
          <w:tcPr>
            <w:tcW w:w="128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部门全年执行数与全年预算数的比率。资金总体=基本支出+项目支出+其他</w:t>
            </w:r>
          </w:p>
        </w:tc>
        <w:tc>
          <w:tcPr>
            <w:tcW w:w="1249"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rPr>
              <w:t>①得分一档最高不能超过该指标分值上限（20分）。</w:t>
            </w:r>
          </w:p>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300%（含200%）区间，则按照该指标分值的10%扣分；计算结果在300%</w:t>
            </w:r>
            <w:r>
              <w:rPr>
                <w:rFonts w:hint="eastAsia" w:ascii="宋体" w:hAnsi="宋体" w:cs="宋体"/>
                <w:color w:val="000000"/>
                <w:kern w:val="0"/>
                <w:sz w:val="18"/>
                <w:szCs w:val="18"/>
                <w:highlight w:val="none"/>
                <w:lang w:eastAsia="zh-CN"/>
              </w:rPr>
              <w:t>—</w:t>
            </w:r>
            <w:r>
              <w:rPr>
                <w:rFonts w:hint="eastAsia" w:ascii="宋体" w:hAnsi="宋体" w:cs="宋体"/>
                <w:color w:val="000000"/>
                <w:kern w:val="0"/>
                <w:sz w:val="18"/>
                <w:szCs w:val="18"/>
                <w:highlight w:val="none"/>
              </w:rPr>
              <w:t>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60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基本支出</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3384.49</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3244.96</w:t>
            </w:r>
          </w:p>
        </w:tc>
        <w:tc>
          <w:tcPr>
            <w:tcW w:w="32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96.20%</w:t>
            </w: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128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615"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项目支出</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388.31</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384.54</w:t>
            </w:r>
          </w:p>
        </w:tc>
        <w:tc>
          <w:tcPr>
            <w:tcW w:w="32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128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2136"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其他</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2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highlight w:val="none"/>
              </w:rPr>
            </w:pPr>
          </w:p>
        </w:tc>
        <w:tc>
          <w:tcPr>
            <w:tcW w:w="128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47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二</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整体绩效目标实现情况（60分）</w:t>
            </w:r>
          </w:p>
        </w:tc>
      </w:tr>
      <w:tr>
        <w:tblPrEx>
          <w:tblCellMar>
            <w:top w:w="0" w:type="dxa"/>
            <w:left w:w="108" w:type="dxa"/>
            <w:bottom w:w="0" w:type="dxa"/>
            <w:right w:w="108" w:type="dxa"/>
          </w:tblCellMar>
        </w:tblPrEx>
        <w:trPr>
          <w:cantSplit/>
          <w:trHeight w:val="499" w:hRule="atLeast"/>
        </w:trPr>
        <w:tc>
          <w:tcPr>
            <w:tcW w:w="4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2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r>
              <w:rPr>
                <w:rFonts w:hint="eastAsia" w:ascii="宋体" w:hAnsi="宋体" w:cs="宋体"/>
                <w:color w:val="000000"/>
                <w:kern w:val="0"/>
                <w:sz w:val="20"/>
                <w:szCs w:val="20"/>
                <w:highlight w:val="none"/>
              </w:rPr>
              <w:t>　</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指标值</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完成值</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32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124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CellMar>
            <w:top w:w="0" w:type="dxa"/>
            <w:left w:w="108" w:type="dxa"/>
            <w:bottom w:w="0" w:type="dxa"/>
            <w:right w:w="108" w:type="dxa"/>
          </w:tblCellMar>
        </w:tblPrEx>
        <w:trPr>
          <w:cantSplit/>
          <w:trHeight w:val="1196" w:hRule="atLeast"/>
        </w:trPr>
        <w:tc>
          <w:tcPr>
            <w:tcW w:w="41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整体绩效目标实现情况（60）</w:t>
            </w:r>
          </w:p>
        </w:tc>
        <w:tc>
          <w:tcPr>
            <w:tcW w:w="424"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产出（30）</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highlight w:val="none"/>
              </w:rPr>
              <w:t>信息系统运维</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信息系统的安全可靠稳定运行</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8</w:t>
            </w:r>
            <w:r>
              <w:rPr>
                <w:rFonts w:hint="eastAsia" w:ascii="宋体" w:hAnsi="宋体" w:cs="宋体"/>
                <w:color w:val="000000"/>
                <w:kern w:val="0"/>
                <w:sz w:val="20"/>
                <w:szCs w:val="20"/>
                <w:highlight w:val="none"/>
              </w:rPr>
              <w:t>　</w:t>
            </w:r>
          </w:p>
        </w:tc>
        <w:tc>
          <w:tcPr>
            <w:tcW w:w="323" w:type="pct"/>
            <w:tcBorders>
              <w:top w:val="single" w:color="auto" w:sz="4" w:space="0"/>
              <w:left w:val="nil"/>
              <w:bottom w:val="single" w:color="auto" w:sz="4" w:space="0"/>
              <w:right w:val="nil"/>
            </w:tcBorders>
            <w:noWrap w:val="0"/>
            <w:vAlign w:val="center"/>
          </w:tcPr>
          <w:p>
            <w:pPr>
              <w:widowControl/>
              <w:jc w:val="center"/>
              <w:rPr>
                <w:rFonts w:ascii="宋体" w:hAnsi="宋体" w:cs="宋体"/>
                <w:color w:val="000000"/>
                <w:kern w:val="0"/>
                <w:sz w:val="20"/>
                <w:szCs w:val="20"/>
                <w:highlight w:val="none"/>
              </w:rPr>
            </w:pPr>
          </w:p>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r>
              <w:rPr>
                <w:rFonts w:hint="eastAsia" w:ascii="宋体" w:hAnsi="宋体" w:cs="宋体"/>
                <w:color w:val="000000"/>
                <w:kern w:val="0"/>
                <w:sz w:val="20"/>
                <w:szCs w:val="20"/>
                <w:highlight w:val="none"/>
              </w:rPr>
              <w:t>　</w:t>
            </w:r>
          </w:p>
        </w:tc>
        <w:tc>
          <w:tcPr>
            <w:tcW w:w="128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产出数量</w:t>
            </w:r>
            <w:r>
              <w:rPr>
                <w:rFonts w:hint="eastAsia" w:ascii="宋体" w:hAnsi="宋体" w:cs="宋体"/>
                <w:color w:val="000000"/>
                <w:kern w:val="0"/>
                <w:sz w:val="18"/>
                <w:szCs w:val="18"/>
                <w:highlight w:val="none"/>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highlight w:val="none"/>
              </w:rPr>
              <w:t>产出质量</w:t>
            </w:r>
            <w:r>
              <w:rPr>
                <w:rFonts w:hint="eastAsia" w:ascii="宋体" w:hAnsi="宋体" w:cs="宋体"/>
                <w:color w:val="000000"/>
                <w:kern w:val="0"/>
                <w:sz w:val="18"/>
                <w:szCs w:val="18"/>
                <w:highlight w:val="none"/>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highlight w:val="none"/>
              </w:rPr>
              <w:t>产出进度：</w:t>
            </w:r>
            <w:r>
              <w:rPr>
                <w:rFonts w:hint="eastAsia" w:ascii="宋体" w:hAnsi="宋体" w:cs="宋体"/>
                <w:color w:val="000000"/>
                <w:kern w:val="0"/>
                <w:sz w:val="18"/>
                <w:szCs w:val="18"/>
                <w:highlight w:val="none"/>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highlight w:val="none"/>
              </w:rPr>
              <w:t>产出成本</w:t>
            </w:r>
            <w:r>
              <w:rPr>
                <w:rFonts w:hint="eastAsia" w:ascii="宋体" w:hAnsi="宋体" w:cs="宋体"/>
                <w:color w:val="000000"/>
                <w:kern w:val="0"/>
                <w:sz w:val="18"/>
                <w:szCs w:val="18"/>
                <w:highlight w:val="none"/>
              </w:rPr>
              <w:t>：单位产出相对于上一年度的节约额；②单位产出相对于市场同类产出的节约额；③部门公用经费的控制情况。</w:t>
            </w:r>
          </w:p>
        </w:tc>
        <w:tc>
          <w:tcPr>
            <w:tcW w:w="124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113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课题研究类　</w:t>
            </w:r>
          </w:p>
        </w:tc>
        <w:tc>
          <w:tcPr>
            <w:tcW w:w="32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为机构编制工作的优化、协同、高效原则提供支撑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8</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6</w:t>
            </w:r>
            <w:r>
              <w:rPr>
                <w:rFonts w:hint="eastAsia" w:ascii="宋体" w:hAnsi="宋体" w:cs="宋体"/>
                <w:color w:val="000000"/>
                <w:kern w:val="0"/>
                <w:sz w:val="20"/>
                <w:szCs w:val="20"/>
                <w:highlight w:val="none"/>
              </w:rPr>
              <w:t>　</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1258"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327"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因公出国（境）类</w:t>
            </w:r>
          </w:p>
        </w:tc>
        <w:tc>
          <w:tcPr>
            <w:tcW w:w="329"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提升北京城市管理精细化水平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r>
              <w:rPr>
                <w:rFonts w:hint="eastAsia" w:ascii="宋体" w:hAnsi="宋体" w:cs="宋体"/>
                <w:color w:val="000000"/>
                <w:kern w:val="0"/>
                <w:sz w:val="20"/>
                <w:szCs w:val="20"/>
                <w:highlight w:val="none"/>
              </w:rPr>
              <w:t>　</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975"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nil"/>
              <w:left w:val="nil"/>
              <w:bottom w:val="single" w:color="auto" w:sz="4" w:space="0"/>
              <w:right w:val="single" w:color="auto" w:sz="4" w:space="0"/>
            </w:tcBorders>
            <w:noWrap w:val="0"/>
            <w:vAlign w:val="center"/>
          </w:tcPr>
          <w:p>
            <w:pPr>
              <w:widowControl/>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327"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后勤综合保障服务经费　</w:t>
            </w:r>
          </w:p>
        </w:tc>
        <w:tc>
          <w:tcPr>
            <w:tcW w:w="329"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保障工作人员工作日及假日值班就餐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r>
              <w:rPr>
                <w:rFonts w:hint="eastAsia" w:ascii="宋体" w:hAnsi="宋体" w:cs="宋体"/>
                <w:color w:val="000000"/>
                <w:kern w:val="0"/>
                <w:sz w:val="20"/>
                <w:szCs w:val="20"/>
                <w:highlight w:val="none"/>
              </w:rPr>
              <w:t>　</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675"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效果（30）</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3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坚持政治引领，深入学习宣传贯彻党的二十大精神</w:t>
            </w:r>
            <w:r>
              <w:rPr>
                <w:rFonts w:hint="eastAsia" w:ascii="宋体" w:hAnsi="宋体" w:cs="宋体"/>
                <w:color w:val="000000"/>
                <w:kern w:val="0"/>
                <w:sz w:val="20"/>
                <w:szCs w:val="20"/>
                <w:highlight w:val="none"/>
              </w:rPr>
              <w:t>　</w:t>
            </w:r>
          </w:p>
        </w:tc>
        <w:tc>
          <w:tcPr>
            <w:tcW w:w="32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完成</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32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8</w:t>
            </w:r>
          </w:p>
        </w:tc>
        <w:tc>
          <w:tcPr>
            <w:tcW w:w="1280"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经济效益</w:t>
            </w:r>
            <w:r>
              <w:rPr>
                <w:rFonts w:hint="eastAsia" w:ascii="宋体" w:hAnsi="宋体" w:cs="宋体"/>
                <w:color w:val="000000"/>
                <w:kern w:val="0"/>
                <w:sz w:val="18"/>
                <w:szCs w:val="18"/>
                <w:highlight w:val="none"/>
              </w:rPr>
              <w:t>：部门（单位）履行职责对经济发展所带来的直接或间接影响。</w:t>
            </w:r>
            <w:r>
              <w:rPr>
                <w:rFonts w:hint="eastAsia" w:ascii="宋体" w:hAnsi="宋体" w:cs="宋体"/>
                <w:b/>
                <w:bCs/>
                <w:color w:val="000000"/>
                <w:kern w:val="0"/>
                <w:sz w:val="18"/>
                <w:szCs w:val="18"/>
                <w:highlight w:val="none"/>
              </w:rPr>
              <w:t>社会效益</w:t>
            </w:r>
            <w:r>
              <w:rPr>
                <w:rFonts w:hint="eastAsia" w:ascii="宋体" w:hAnsi="宋体" w:cs="宋体"/>
                <w:color w:val="000000"/>
                <w:kern w:val="0"/>
                <w:sz w:val="18"/>
                <w:szCs w:val="18"/>
                <w:highlight w:val="none"/>
              </w:rPr>
              <w:t>：部门（单位）履行职责对社会发展所带来的直接或间接影响。</w:t>
            </w:r>
            <w:r>
              <w:rPr>
                <w:rFonts w:hint="eastAsia" w:ascii="宋体" w:hAnsi="宋体" w:cs="宋体"/>
                <w:b/>
                <w:bCs/>
                <w:color w:val="000000"/>
                <w:kern w:val="0"/>
                <w:sz w:val="18"/>
                <w:szCs w:val="18"/>
                <w:highlight w:val="none"/>
              </w:rPr>
              <w:t>环境效益</w:t>
            </w:r>
            <w:r>
              <w:rPr>
                <w:rFonts w:hint="eastAsia" w:ascii="宋体" w:hAnsi="宋体" w:cs="宋体"/>
                <w:color w:val="000000"/>
                <w:kern w:val="0"/>
                <w:sz w:val="18"/>
                <w:szCs w:val="18"/>
                <w:highlight w:val="none"/>
              </w:rPr>
              <w:t>：部门（单位）履行职责对环境所带来的直接或间接影响。</w:t>
            </w:r>
            <w:r>
              <w:rPr>
                <w:rFonts w:hint="eastAsia" w:ascii="宋体" w:hAnsi="宋体" w:cs="宋体"/>
                <w:b/>
                <w:bCs/>
                <w:color w:val="000000"/>
                <w:kern w:val="0"/>
                <w:sz w:val="18"/>
                <w:szCs w:val="18"/>
                <w:highlight w:val="none"/>
              </w:rPr>
              <w:t>可持续性影响：</w:t>
            </w:r>
            <w:r>
              <w:rPr>
                <w:rFonts w:hint="eastAsia" w:ascii="宋体" w:hAnsi="宋体" w:cs="宋体"/>
                <w:color w:val="000000"/>
                <w:kern w:val="0"/>
                <w:sz w:val="18"/>
                <w:szCs w:val="18"/>
                <w:highlight w:val="none"/>
              </w:rPr>
              <w:t>部门绩效目标实现的长效机制建设情况，部门工作效率提升措施的创新。</w:t>
            </w:r>
            <w:r>
              <w:rPr>
                <w:rFonts w:hint="eastAsia" w:ascii="宋体" w:hAnsi="宋体" w:cs="宋体"/>
                <w:b/>
                <w:bCs/>
                <w:color w:val="000000"/>
                <w:kern w:val="0"/>
                <w:sz w:val="18"/>
                <w:szCs w:val="18"/>
                <w:highlight w:val="none"/>
              </w:rPr>
              <w:t>服务对象满意度</w:t>
            </w:r>
            <w:r>
              <w:rPr>
                <w:rFonts w:hint="eastAsia" w:ascii="宋体" w:hAnsi="宋体" w:cs="宋体"/>
                <w:color w:val="000000"/>
                <w:kern w:val="0"/>
                <w:sz w:val="18"/>
                <w:szCs w:val="18"/>
                <w:highlight w:val="none"/>
              </w:rPr>
              <w:t>：部门（单位）的服务对象对部门履职效果的满意程度。</w:t>
            </w:r>
          </w:p>
        </w:tc>
        <w:tc>
          <w:tcPr>
            <w:tcW w:w="1249"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63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327"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坚持党的全面领导，完善党对重大工作集中统一领导的体制机制　</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完成</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w:t>
            </w:r>
          </w:p>
        </w:tc>
        <w:tc>
          <w:tcPr>
            <w:tcW w:w="32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69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327"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坚持改革创新，加强对全市中心工作的机构编制服务保障　</w:t>
            </w:r>
          </w:p>
        </w:tc>
        <w:tc>
          <w:tcPr>
            <w:tcW w:w="32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完成</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7</w:t>
            </w:r>
          </w:p>
        </w:tc>
        <w:tc>
          <w:tcPr>
            <w:tcW w:w="323"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675" w:hRule="atLeast"/>
        </w:trPr>
        <w:tc>
          <w:tcPr>
            <w:tcW w:w="41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3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坚持高质量发展，全面提升机构编制管理水平　</w:t>
            </w:r>
          </w:p>
        </w:tc>
        <w:tc>
          <w:tcPr>
            <w:tcW w:w="32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完成</w:t>
            </w:r>
            <w:r>
              <w:rPr>
                <w:rFonts w:hint="eastAsia" w:ascii="宋体" w:hAnsi="宋体" w:cs="宋体"/>
                <w:color w:val="000000"/>
                <w:kern w:val="0"/>
                <w:sz w:val="20"/>
                <w:szCs w:val="20"/>
                <w:highlight w:val="none"/>
              </w:rPr>
              <w:t>　</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7</w:t>
            </w:r>
          </w:p>
        </w:tc>
        <w:tc>
          <w:tcPr>
            <w:tcW w:w="32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p>
        </w:tc>
        <w:tc>
          <w:tcPr>
            <w:tcW w:w="1280"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c>
          <w:tcPr>
            <w:tcW w:w="12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487"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三</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预算管理情况（20分）</w:t>
            </w:r>
          </w:p>
        </w:tc>
      </w:tr>
      <w:tr>
        <w:tblPrEx>
          <w:tblCellMar>
            <w:top w:w="0" w:type="dxa"/>
            <w:left w:w="108" w:type="dxa"/>
            <w:bottom w:w="0" w:type="dxa"/>
            <w:right w:w="108" w:type="dxa"/>
          </w:tblCellMar>
        </w:tblPrEx>
        <w:trPr>
          <w:cantSplit/>
          <w:trHeight w:val="702" w:hRule="atLeast"/>
        </w:trPr>
        <w:tc>
          <w:tcPr>
            <w:tcW w:w="41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值</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w:t>
            </w:r>
            <w:r>
              <w:rPr>
                <w:rFonts w:ascii="宋体" w:hAnsi="宋体" w:cs="宋体"/>
                <w:color w:val="000000"/>
                <w:kern w:val="0"/>
                <w:sz w:val="20"/>
                <w:szCs w:val="20"/>
                <w:highlight w:val="none"/>
              </w:rPr>
              <w:t>值</w:t>
            </w:r>
          </w:p>
        </w:tc>
        <w:tc>
          <w:tcPr>
            <w:tcW w:w="32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w:t>
            </w:r>
            <w:r>
              <w:rPr>
                <w:rFonts w:ascii="宋体" w:hAnsi="宋体" w:cs="宋体"/>
                <w:color w:val="000000"/>
                <w:kern w:val="0"/>
                <w:sz w:val="20"/>
                <w:szCs w:val="20"/>
                <w:highlight w:val="none"/>
              </w:rPr>
              <w:t>值</w:t>
            </w:r>
          </w:p>
        </w:tc>
        <w:tc>
          <w:tcPr>
            <w:tcW w:w="32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w:t>
            </w:r>
            <w:r>
              <w:rPr>
                <w:rFonts w:ascii="宋体" w:hAnsi="宋体" w:cs="宋体"/>
                <w:color w:val="000000"/>
                <w:kern w:val="0"/>
                <w:sz w:val="20"/>
                <w:szCs w:val="20"/>
                <w:highlight w:val="none"/>
              </w:rPr>
              <w:t>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124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CellMar>
            <w:top w:w="0" w:type="dxa"/>
            <w:left w:w="108" w:type="dxa"/>
            <w:bottom w:w="0" w:type="dxa"/>
            <w:right w:w="108" w:type="dxa"/>
          </w:tblCellMar>
        </w:tblPrEx>
        <w:trPr>
          <w:cantSplit/>
          <w:trHeight w:val="1230" w:hRule="atLeast"/>
        </w:trPr>
        <w:tc>
          <w:tcPr>
            <w:tcW w:w="41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预算管理情况（20）</w:t>
            </w:r>
          </w:p>
        </w:tc>
        <w:tc>
          <w:tcPr>
            <w:tcW w:w="424"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财务管理（4）</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财务管理制度健全，执行有效　</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财务管理制度健全，执行有效</w:t>
            </w:r>
          </w:p>
        </w:tc>
        <w:tc>
          <w:tcPr>
            <w:tcW w:w="32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323" w:type="pct"/>
            <w:tcBorders>
              <w:top w:val="single" w:color="auto" w:sz="4" w:space="0"/>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财务管理制度健全性</w:t>
            </w:r>
            <w:r>
              <w:rPr>
                <w:rFonts w:hint="eastAsia" w:ascii="宋体" w:hAnsi="宋体" w:cs="宋体"/>
                <w:b/>
                <w:bCs/>
                <w:color w:val="000000"/>
                <w:kern w:val="0"/>
                <w:sz w:val="18"/>
                <w:szCs w:val="18"/>
                <w:highlight w:val="none"/>
                <w:lang w:eastAsia="zh-CN"/>
              </w:rPr>
              <w:t>：</w:t>
            </w:r>
            <w:r>
              <w:rPr>
                <w:rFonts w:hint="eastAsia" w:ascii="宋体" w:hAnsi="宋体" w:cs="宋体"/>
                <w:color w:val="000000"/>
                <w:kern w:val="0"/>
                <w:sz w:val="18"/>
                <w:szCs w:val="18"/>
                <w:highlight w:val="none"/>
              </w:rPr>
              <w:t>部门（单位）为加强财务管理、规范财务行为而制定的管理制度。</w:t>
            </w:r>
          </w:p>
        </w:tc>
        <w:tc>
          <w:tcPr>
            <w:tcW w:w="124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419"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3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合规</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合规</w:t>
            </w:r>
          </w:p>
        </w:tc>
        <w:tc>
          <w:tcPr>
            <w:tcW w:w="323"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w:t>
            </w:r>
          </w:p>
        </w:tc>
        <w:tc>
          <w:tcPr>
            <w:tcW w:w="323"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　</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资金使用合规性和安全性</w:t>
            </w:r>
            <w:r>
              <w:rPr>
                <w:rFonts w:hint="eastAsia" w:ascii="宋体" w:hAnsi="宋体" w:cs="宋体"/>
                <w:b/>
                <w:bCs/>
                <w:color w:val="000000"/>
                <w:kern w:val="0"/>
                <w:sz w:val="18"/>
                <w:szCs w:val="18"/>
                <w:highlight w:val="none"/>
                <w:lang w:eastAsia="zh-CN"/>
              </w:rPr>
              <w:t>：</w:t>
            </w:r>
            <w:r>
              <w:rPr>
                <w:rFonts w:hint="eastAsia" w:ascii="宋体" w:hAnsi="宋体" w:cs="宋体"/>
                <w:color w:val="000000"/>
                <w:kern w:val="0"/>
                <w:sz w:val="18"/>
                <w:szCs w:val="18"/>
                <w:highlight w:val="none"/>
              </w:rPr>
              <w:t>部门（单位）使用预算资金是否符合相关的预算财务管理制度的规定，是否符合相关规定的开支范围，用以反映考核部门（单位）预算资金的规范运行和安全运行情况。</w:t>
            </w:r>
          </w:p>
        </w:tc>
        <w:tc>
          <w:tcPr>
            <w:tcW w:w="124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327"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完善　</w:t>
            </w:r>
          </w:p>
        </w:tc>
        <w:tc>
          <w:tcPr>
            <w:tcW w:w="329"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完善　</w:t>
            </w:r>
          </w:p>
        </w:tc>
        <w:tc>
          <w:tcPr>
            <w:tcW w:w="323"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323" w:type="pct"/>
            <w:tcBorders>
              <w:top w:val="nil"/>
              <w:left w:val="nil"/>
              <w:bottom w:val="single" w:color="auto" w:sz="4" w:space="0"/>
              <w:right w:val="nil"/>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1</w:t>
            </w:r>
          </w:p>
        </w:tc>
        <w:tc>
          <w:tcPr>
            <w:tcW w:w="128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会计基础信息完善性</w:t>
            </w:r>
            <w:r>
              <w:rPr>
                <w:rFonts w:hint="eastAsia" w:ascii="宋体" w:hAnsi="宋体" w:cs="宋体"/>
                <w:b/>
                <w:bCs/>
                <w:color w:val="000000"/>
                <w:kern w:val="0"/>
                <w:sz w:val="18"/>
                <w:szCs w:val="18"/>
                <w:highlight w:val="none"/>
                <w:lang w:eastAsia="zh-CN"/>
              </w:rPr>
              <w:t>：</w:t>
            </w:r>
            <w:r>
              <w:rPr>
                <w:rFonts w:hint="eastAsia" w:ascii="宋体" w:hAnsi="宋体" w:cs="宋体"/>
                <w:color w:val="000000"/>
                <w:kern w:val="0"/>
                <w:sz w:val="18"/>
                <w:szCs w:val="18"/>
                <w:highlight w:val="none"/>
              </w:rPr>
              <w:t>部门（单位）会计基础信息情况。</w:t>
            </w:r>
          </w:p>
        </w:tc>
        <w:tc>
          <w:tcPr>
            <w:tcW w:w="1249"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资产管理（4）</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32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严格按照资产管理制度规定执行</w:t>
            </w:r>
          </w:p>
        </w:tc>
        <w:tc>
          <w:tcPr>
            <w:tcW w:w="32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严格按照资产管理制度规定执行</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32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4</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资产管理规范性</w:t>
            </w:r>
            <w:r>
              <w:rPr>
                <w:rFonts w:hint="eastAsia" w:ascii="宋体" w:hAnsi="宋体" w:cs="宋体"/>
                <w:b/>
                <w:bCs/>
                <w:color w:val="000000"/>
                <w:kern w:val="0"/>
                <w:sz w:val="18"/>
                <w:szCs w:val="18"/>
                <w:highlight w:val="none"/>
                <w:lang w:eastAsia="zh-CN"/>
              </w:rPr>
              <w:t>：</w:t>
            </w:r>
            <w:r>
              <w:rPr>
                <w:rFonts w:hint="eastAsia" w:ascii="宋体" w:hAnsi="宋体" w:cs="宋体"/>
                <w:color w:val="000000"/>
                <w:kern w:val="0"/>
                <w:sz w:val="18"/>
                <w:szCs w:val="18"/>
                <w:highlight w:val="none"/>
              </w:rPr>
              <w:t>部门（单位）的资产是否保持安全完整，资产配置是否合理，资产使用和资产处理是否规范，用以反映和考核部门（单位）资产管理的整体水平。</w:t>
            </w:r>
          </w:p>
        </w:tc>
        <w:tc>
          <w:tcPr>
            <w:tcW w:w="124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宋体" w:hAnsi="宋体" w:cs="宋体"/>
                <w:color w:val="000000"/>
                <w:kern w:val="0"/>
                <w:sz w:val="18"/>
                <w:szCs w:val="18"/>
                <w:highlight w:val="none"/>
                <w:lang w:eastAsia="zh-CN"/>
              </w:rPr>
              <w:t>其他资产</w:t>
            </w:r>
            <w:r>
              <w:rPr>
                <w:rFonts w:hint="eastAsia" w:ascii="宋体" w:hAnsi="宋体" w:cs="宋体"/>
                <w:color w:val="000000"/>
                <w:kern w:val="0"/>
                <w:sz w:val="18"/>
                <w:szCs w:val="18"/>
                <w:highlight w:val="none"/>
              </w:rPr>
              <w:t>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绩效管理（4）</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327"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全年按时完成绩效监控及绩效评价工作</w:t>
            </w:r>
          </w:p>
        </w:tc>
        <w:tc>
          <w:tcPr>
            <w:tcW w:w="32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全年</w:t>
            </w:r>
            <w:r>
              <w:rPr>
                <w:rFonts w:hint="eastAsia" w:ascii="宋体" w:hAnsi="宋体" w:cs="宋体"/>
                <w:color w:val="000000"/>
                <w:kern w:val="0"/>
                <w:sz w:val="20"/>
                <w:szCs w:val="20"/>
                <w:highlight w:val="none"/>
                <w:lang w:val="en-US" w:eastAsia="zh-CN"/>
              </w:rPr>
              <w:t>基本</w:t>
            </w:r>
            <w:r>
              <w:rPr>
                <w:rFonts w:hint="eastAsia" w:ascii="宋体" w:hAnsi="宋体" w:cs="宋体"/>
                <w:color w:val="000000"/>
                <w:kern w:val="0"/>
                <w:sz w:val="20"/>
                <w:szCs w:val="20"/>
                <w:highlight w:val="none"/>
              </w:rPr>
              <w:t>按时完成绩效监控及绩效评价工作</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323"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2</w:t>
            </w:r>
            <w:r>
              <w:rPr>
                <w:rFonts w:hint="eastAsia" w:ascii="宋体" w:hAnsi="宋体" w:cs="宋体"/>
                <w:color w:val="000000"/>
                <w:kern w:val="0"/>
                <w:sz w:val="20"/>
                <w:szCs w:val="20"/>
                <w:highlight w:val="none"/>
              </w:rPr>
              <w:t>　</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b/>
                <w:bCs/>
                <w:color w:val="000000"/>
                <w:kern w:val="0"/>
                <w:sz w:val="18"/>
                <w:szCs w:val="18"/>
                <w:highlight w:val="none"/>
              </w:rPr>
              <w:t>绩效管理情况</w:t>
            </w:r>
            <w:r>
              <w:rPr>
                <w:rFonts w:hint="eastAsia" w:ascii="宋体" w:hAnsi="宋体" w:cs="宋体"/>
                <w:b/>
                <w:bCs/>
                <w:color w:val="000000"/>
                <w:kern w:val="0"/>
                <w:sz w:val="18"/>
                <w:szCs w:val="18"/>
                <w:highlight w:val="none"/>
                <w:lang w:eastAsia="zh-CN"/>
              </w:rPr>
              <w:t>：</w:t>
            </w:r>
            <w:r>
              <w:rPr>
                <w:rFonts w:hint="eastAsia" w:ascii="宋体" w:hAnsi="宋体" w:cs="宋体"/>
                <w:color w:val="000000"/>
                <w:kern w:val="0"/>
                <w:sz w:val="18"/>
                <w:szCs w:val="18"/>
                <w:highlight w:val="none"/>
              </w:rPr>
              <w:t>考核部门（单位）在绩效管理信息的汇总和应用情况。</w:t>
            </w:r>
          </w:p>
        </w:tc>
        <w:tc>
          <w:tcPr>
            <w:tcW w:w="124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　</w:t>
            </w:r>
          </w:p>
        </w:tc>
        <w:tc>
          <w:tcPr>
            <w:tcW w:w="65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22</w:t>
            </w:r>
            <w:r>
              <w:rPr>
                <w:rFonts w:hint="eastAsia" w:ascii="宋体" w:hAnsi="宋体" w:cs="宋体"/>
                <w:color w:val="000000"/>
                <w:kern w:val="0"/>
                <w:sz w:val="20"/>
                <w:szCs w:val="20"/>
                <w:highlight w:val="none"/>
              </w:rPr>
              <w:t>年</w:t>
            </w:r>
          </w:p>
        </w:tc>
        <w:tc>
          <w:tcPr>
            <w:tcW w:w="32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202</w:t>
            </w:r>
            <w:r>
              <w:rPr>
                <w:rFonts w:hint="eastAsia" w:ascii="宋体" w:hAnsi="宋体" w:cs="宋体"/>
                <w:color w:val="000000"/>
                <w:kern w:val="0"/>
                <w:sz w:val="20"/>
                <w:szCs w:val="20"/>
                <w:highlight w:val="none"/>
                <w:lang w:val="en-US" w:eastAsia="zh-CN"/>
              </w:rPr>
              <w:t>3</w:t>
            </w:r>
            <w:r>
              <w:rPr>
                <w:rFonts w:hint="eastAsia" w:ascii="宋体" w:hAnsi="宋体" w:cs="宋体"/>
                <w:color w:val="000000"/>
                <w:kern w:val="0"/>
                <w:sz w:val="20"/>
                <w:szCs w:val="20"/>
                <w:highlight w:val="none"/>
              </w:rPr>
              <w:t>年</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32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bCs/>
                <w:color w:val="000000"/>
                <w:kern w:val="0"/>
                <w:sz w:val="18"/>
                <w:szCs w:val="18"/>
                <w:highlight w:val="none"/>
              </w:rPr>
              <w:t>指标</w:t>
            </w:r>
            <w:r>
              <w:rPr>
                <w:rFonts w:ascii="宋体" w:hAnsi="宋体" w:cs="宋体"/>
                <w:bCs/>
                <w:color w:val="000000"/>
                <w:kern w:val="0"/>
                <w:sz w:val="18"/>
                <w:szCs w:val="18"/>
                <w:highlight w:val="none"/>
              </w:rPr>
              <w:t>解释</w:t>
            </w:r>
          </w:p>
        </w:tc>
        <w:tc>
          <w:tcPr>
            <w:tcW w:w="1249"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highlight w:val="none"/>
              </w:rPr>
            </w:pPr>
            <w:r>
              <w:rPr>
                <w:rFonts w:hint="eastAsia" w:ascii="宋体" w:hAnsi="宋体" w:cs="宋体"/>
                <w:color w:val="000000"/>
                <w:kern w:val="0"/>
                <w:sz w:val="18"/>
                <w:szCs w:val="18"/>
                <w:highlight w:val="none"/>
              </w:rPr>
              <w:t>评</w:t>
            </w:r>
            <w:r>
              <w:rPr>
                <w:rFonts w:ascii="宋体" w:hAnsi="宋体" w:cs="宋体"/>
                <w:color w:val="000000"/>
                <w:kern w:val="0"/>
                <w:sz w:val="18"/>
                <w:szCs w:val="18"/>
                <w:highlight w:val="none"/>
              </w:rPr>
              <w:t>分标准</w:t>
            </w:r>
          </w:p>
        </w:tc>
      </w:tr>
      <w:tr>
        <w:tblPrEx>
          <w:tblCellMar>
            <w:top w:w="0" w:type="dxa"/>
            <w:left w:w="108" w:type="dxa"/>
            <w:bottom w:w="0" w:type="dxa"/>
            <w:right w:w="108" w:type="dxa"/>
          </w:tblCellMar>
        </w:tblPrEx>
        <w:trPr>
          <w:cantSplit/>
          <w:trHeight w:val="2229"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结转结余率（4）</w:t>
            </w:r>
          </w:p>
        </w:tc>
        <w:tc>
          <w:tcPr>
            <w:tcW w:w="65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6.66%</w:t>
            </w:r>
            <w:r>
              <w:rPr>
                <w:rFonts w:hint="eastAsia" w:ascii="宋体" w:hAnsi="宋体" w:cs="宋体"/>
                <w:color w:val="000000"/>
                <w:kern w:val="0"/>
                <w:sz w:val="20"/>
                <w:szCs w:val="20"/>
                <w:highlight w:val="none"/>
              </w:rPr>
              <w:t>　</w:t>
            </w:r>
          </w:p>
        </w:tc>
        <w:tc>
          <w:tcPr>
            <w:tcW w:w="3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3.80%</w:t>
            </w: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323" w:type="pct"/>
            <w:tcBorders>
              <w:top w:val="nil"/>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4</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rPr>
              <w:t>结转结余率=结转结余总额/支出预算数×100%。</w:t>
            </w:r>
          </w:p>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结转结余总额：部门（单位）本年度的结转资金与结余资金之和。</w:t>
            </w:r>
          </w:p>
        </w:tc>
        <w:tc>
          <w:tcPr>
            <w:tcW w:w="124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981" w:hRule="atLeast"/>
        </w:trPr>
        <w:tc>
          <w:tcPr>
            <w:tcW w:w="41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2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部门预决算差异率（4）</w:t>
            </w:r>
          </w:p>
        </w:tc>
        <w:tc>
          <w:tcPr>
            <w:tcW w:w="650" w:type="pct"/>
            <w:gridSpan w:val="2"/>
            <w:tcBorders>
              <w:top w:val="single" w:color="auto" w:sz="4" w:space="0"/>
              <w:left w:val="nil"/>
              <w:bottom w:val="single" w:color="auto" w:sz="4" w:space="0"/>
              <w:right w:val="nil"/>
            </w:tcBorders>
            <w:noWrap w:val="0"/>
            <w:vAlign w:val="center"/>
          </w:tcPr>
          <w:p>
            <w:pPr>
              <w:widowControl/>
              <w:ind w:firstLine="400" w:firstLineChars="200"/>
              <w:jc w:val="left"/>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9.99%</w:t>
            </w:r>
          </w:p>
        </w:tc>
        <w:tc>
          <w:tcPr>
            <w:tcW w:w="329" w:type="pct"/>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4.03%</w:t>
            </w: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323"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　</w:t>
            </w:r>
          </w:p>
        </w:tc>
        <w:tc>
          <w:tcPr>
            <w:tcW w:w="128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通过年度部门决算与年初部门预算对比，对部门的年度支出情况进行考核，衡量部门预算的约束力。</w:t>
            </w:r>
          </w:p>
        </w:tc>
        <w:tc>
          <w:tcPr>
            <w:tcW w:w="1249"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1824"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323"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100</w:t>
            </w:r>
          </w:p>
        </w:tc>
        <w:tc>
          <w:tcPr>
            <w:tcW w:w="323" w:type="pct"/>
            <w:tcBorders>
              <w:top w:val="nil"/>
              <w:left w:val="nil"/>
              <w:bottom w:val="single" w:color="auto" w:sz="4" w:space="0"/>
              <w:right w:val="nil"/>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　</w:t>
            </w:r>
            <w:r>
              <w:rPr>
                <w:rFonts w:hint="eastAsia" w:ascii="宋体" w:hAnsi="宋体" w:cs="宋体"/>
                <w:color w:val="000000"/>
                <w:kern w:val="0"/>
                <w:sz w:val="20"/>
                <w:szCs w:val="20"/>
                <w:highlight w:val="none"/>
                <w:lang w:val="en-US" w:eastAsia="zh-CN"/>
              </w:rPr>
              <w:t>94.24</w:t>
            </w:r>
          </w:p>
        </w:tc>
        <w:tc>
          <w:tcPr>
            <w:tcW w:w="2529"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highlight w:val="none"/>
        </w:rPr>
      </w:pPr>
    </w:p>
    <w:p>
      <w:pPr>
        <w:rPr>
          <w:highlight w:val="none"/>
        </w:rPr>
      </w:pPr>
    </w:p>
    <w:sectPr>
      <w:footerReference r:id="rId6"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OGA044yAgAAYQ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N2YzZTNiMDBjZGZlNWM2ZDBmMmM1NmQ1NDlmOGUifQ=="/>
  </w:docVars>
  <w:rsids>
    <w:rsidRoot w:val="0F4C18E9"/>
    <w:rsid w:val="0B8EE5D9"/>
    <w:rsid w:val="0F4C18E9"/>
    <w:rsid w:val="13F60E66"/>
    <w:rsid w:val="16214B09"/>
    <w:rsid w:val="183A328A"/>
    <w:rsid w:val="27701EAB"/>
    <w:rsid w:val="2E3B2352"/>
    <w:rsid w:val="2FF727D7"/>
    <w:rsid w:val="343D7E94"/>
    <w:rsid w:val="344008D1"/>
    <w:rsid w:val="3FEF7491"/>
    <w:rsid w:val="4A2422FB"/>
    <w:rsid w:val="51FF4395"/>
    <w:rsid w:val="5BFF25A3"/>
    <w:rsid w:val="5FCD5B49"/>
    <w:rsid w:val="6CFFBCAF"/>
    <w:rsid w:val="6E6B6BB0"/>
    <w:rsid w:val="6F726BC5"/>
    <w:rsid w:val="71FFE526"/>
    <w:rsid w:val="75AA6CA0"/>
    <w:rsid w:val="75FF1F74"/>
    <w:rsid w:val="776340CC"/>
    <w:rsid w:val="77F30511"/>
    <w:rsid w:val="77FF461B"/>
    <w:rsid w:val="7EEB62E6"/>
    <w:rsid w:val="7F7FDDE1"/>
    <w:rsid w:val="7FF5E4EE"/>
    <w:rsid w:val="7FF6497A"/>
    <w:rsid w:val="BDBB1180"/>
    <w:rsid w:val="BFEC466C"/>
    <w:rsid w:val="D55BCDA6"/>
    <w:rsid w:val="EDAB6C8A"/>
    <w:rsid w:val="EF5F5C7C"/>
    <w:rsid w:val="F5BB294A"/>
    <w:rsid w:val="F8FB0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7494</Words>
  <Characters>7855</Characters>
  <Lines>0</Lines>
  <Paragraphs>0</Paragraphs>
  <TotalTime>82</TotalTime>
  <ScaleCrop>false</ScaleCrop>
  <LinksUpToDate>false</LinksUpToDate>
  <CharactersWithSpaces>7918</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2024-05-18T21:37:00Z</dcterms:created>
  <dc:creator>muzishu</dc:creator>
  <cp:lastModifiedBy>张腾</cp:lastModifiedBy>
  <dcterms:modified xsi:type="dcterms:W3CDTF">2024-08-12T15:00:09Z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0DE226E5363EEB1261E94A66107A0E6C</vt:lpwstr>
  </property>
</Properties>
</file>