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728" w:rsidRPr="00894F91" w:rsidRDefault="00B335DE">
      <w:pPr>
        <w:spacing w:line="560" w:lineRule="exact"/>
        <w:jc w:val="center"/>
        <w:rPr>
          <w:rFonts w:ascii="方正小标宋简体" w:eastAsia="方正小标宋简体" w:hAnsi="方正小标宋简体"/>
          <w:sz w:val="44"/>
          <w:szCs w:val="44"/>
        </w:rPr>
      </w:pPr>
      <w:r w:rsidRPr="00894F91">
        <w:rPr>
          <w:rFonts w:ascii="方正小标宋简体" w:eastAsia="方正小标宋简体" w:hAnsi="方正小标宋简体" w:hint="eastAsia"/>
          <w:sz w:val="44"/>
          <w:szCs w:val="44"/>
        </w:rPr>
        <w:t>项目支出绩效评价报告</w:t>
      </w:r>
    </w:p>
    <w:p w:rsidR="00FE2728" w:rsidRDefault="00FE2728">
      <w:pPr>
        <w:spacing w:line="560" w:lineRule="exact"/>
        <w:ind w:firstLineChars="200" w:firstLine="640"/>
        <w:jc w:val="center"/>
        <w:rPr>
          <w:rFonts w:ascii="仿宋_GB2312" w:eastAsia="仿宋_GB2312"/>
          <w:sz w:val="32"/>
          <w:szCs w:val="32"/>
        </w:rPr>
      </w:pPr>
    </w:p>
    <w:p w:rsidR="00FE2728" w:rsidRDefault="00B335DE" w:rsidP="00053341">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一、基本情况</w:t>
      </w:r>
    </w:p>
    <w:p w:rsidR="00FE2728" w:rsidRPr="00894F91" w:rsidRDefault="00B335DE" w:rsidP="00053341">
      <w:pPr>
        <w:spacing w:line="560" w:lineRule="exact"/>
        <w:ind w:firstLineChars="200" w:firstLine="643"/>
        <w:outlineLvl w:val="1"/>
        <w:rPr>
          <w:rFonts w:ascii="楷体" w:eastAsia="楷体" w:hAnsi="楷体"/>
          <w:b/>
          <w:sz w:val="32"/>
          <w:szCs w:val="32"/>
        </w:rPr>
      </w:pPr>
      <w:r w:rsidRPr="00894F91">
        <w:rPr>
          <w:rFonts w:ascii="楷体" w:eastAsia="楷体" w:hAnsi="楷体"/>
          <w:b/>
          <w:sz w:val="32"/>
          <w:szCs w:val="32"/>
        </w:rPr>
        <w:t>（一）项目概况</w:t>
      </w:r>
    </w:p>
    <w:p w:rsidR="00FE2728" w:rsidRDefault="00B335DE" w:rsidP="002D56F5">
      <w:pPr>
        <w:spacing w:line="560" w:lineRule="exact"/>
        <w:ind w:firstLineChars="200" w:firstLine="643"/>
        <w:outlineLvl w:val="2"/>
        <w:rPr>
          <w:rFonts w:ascii="黑体" w:eastAsia="黑体"/>
          <w:b/>
          <w:sz w:val="32"/>
          <w:szCs w:val="32"/>
        </w:rPr>
      </w:pPr>
      <w:r>
        <w:rPr>
          <w:rFonts w:ascii="仿宋_GB2312" w:eastAsia="仿宋_GB2312" w:hint="eastAsia"/>
          <w:b/>
          <w:sz w:val="32"/>
          <w:szCs w:val="32"/>
        </w:rPr>
        <w:t>1.项目背景</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2006-2020年国家信息化发展战略》（中共中央办公厅、国务院办公厅印发）；最高人民法院《人民法院信息系统运行维护工作管理办法》（法办发[2016]114号）；《人民法院信息系统运行维护工作规范》；《北京法院信息化建设五年发展规划（2021-2025）》（京高法网发[2021]第961号）；《信息化项目软件运维费用测算规范》（DB11/T 1424-2017）。</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海淀区人民法院（以下简称海淀法院）现已建成的信息化系统的信息系统运维部分，信息系统运维主要包含我院信息网络系统和综合应用系统运维。上述维护费用主要覆盖我院每年的信息系统维护、日常外包服务等相关费用支出，以上相关内容旨在保障我院业务工作的正常开展及基础设施建设的正常运行，2023年以上设备和服务均正常开展。共涉及院本部，下设复兴路</w:t>
      </w:r>
      <w:r w:rsidR="008D7DB7">
        <w:rPr>
          <w:rFonts w:ascii="仿宋_GB2312" w:eastAsia="仿宋_GB2312" w:hint="eastAsia"/>
          <w:sz w:val="32"/>
          <w:szCs w:val="32"/>
        </w:rPr>
        <w:t>人民</w:t>
      </w:r>
      <w:r>
        <w:rPr>
          <w:rFonts w:ascii="仿宋_GB2312" w:eastAsia="仿宋_GB2312" w:hint="eastAsia"/>
          <w:sz w:val="32"/>
          <w:szCs w:val="32"/>
        </w:rPr>
        <w:t>法庭、东升</w:t>
      </w:r>
      <w:r w:rsidR="008D7DB7">
        <w:rPr>
          <w:rFonts w:ascii="仿宋_GB2312" w:eastAsia="仿宋_GB2312" w:hint="eastAsia"/>
          <w:sz w:val="32"/>
          <w:szCs w:val="32"/>
        </w:rPr>
        <w:t>人民</w:t>
      </w:r>
      <w:r>
        <w:rPr>
          <w:rFonts w:ascii="仿宋_GB2312" w:eastAsia="仿宋_GB2312" w:hint="eastAsia"/>
          <w:sz w:val="32"/>
          <w:szCs w:val="32"/>
        </w:rPr>
        <w:t>法庭、山后</w:t>
      </w:r>
      <w:r w:rsidR="008D7DB7">
        <w:rPr>
          <w:rFonts w:ascii="仿宋_GB2312" w:eastAsia="仿宋_GB2312" w:hint="eastAsia"/>
          <w:sz w:val="32"/>
          <w:szCs w:val="32"/>
        </w:rPr>
        <w:t>人民</w:t>
      </w:r>
      <w:r>
        <w:rPr>
          <w:rFonts w:ascii="仿宋_GB2312" w:eastAsia="仿宋_GB2312" w:hint="eastAsia"/>
          <w:sz w:val="32"/>
          <w:szCs w:val="32"/>
        </w:rPr>
        <w:t>法庭、上地</w:t>
      </w:r>
      <w:r w:rsidR="008D7DB7">
        <w:rPr>
          <w:rFonts w:ascii="仿宋_GB2312" w:eastAsia="仿宋_GB2312" w:hint="eastAsia"/>
          <w:sz w:val="32"/>
          <w:szCs w:val="32"/>
        </w:rPr>
        <w:t>人民</w:t>
      </w:r>
      <w:r>
        <w:rPr>
          <w:rFonts w:ascii="仿宋_GB2312" w:eastAsia="仿宋_GB2312" w:hint="eastAsia"/>
          <w:sz w:val="32"/>
          <w:szCs w:val="32"/>
        </w:rPr>
        <w:t>法庭、四季青</w:t>
      </w:r>
      <w:r w:rsidR="008D7DB7">
        <w:rPr>
          <w:rFonts w:ascii="仿宋_GB2312" w:eastAsia="仿宋_GB2312" w:hint="eastAsia"/>
          <w:sz w:val="32"/>
          <w:szCs w:val="32"/>
        </w:rPr>
        <w:t>人民</w:t>
      </w:r>
      <w:r>
        <w:rPr>
          <w:rFonts w:ascii="仿宋_GB2312" w:eastAsia="仿宋_GB2312" w:hint="eastAsia"/>
          <w:sz w:val="32"/>
          <w:szCs w:val="32"/>
        </w:rPr>
        <w:t>法庭、温泉</w:t>
      </w:r>
      <w:r w:rsidR="008D7DB7">
        <w:rPr>
          <w:rFonts w:ascii="仿宋_GB2312" w:eastAsia="仿宋_GB2312" w:hint="eastAsia"/>
          <w:sz w:val="32"/>
          <w:szCs w:val="32"/>
        </w:rPr>
        <w:t>人民</w:t>
      </w:r>
      <w:r>
        <w:rPr>
          <w:rFonts w:ascii="仿宋_GB2312" w:eastAsia="仿宋_GB2312" w:hint="eastAsia"/>
          <w:sz w:val="32"/>
          <w:szCs w:val="32"/>
        </w:rPr>
        <w:t>法庭、中关村</w:t>
      </w:r>
      <w:r w:rsidR="008D7DB7">
        <w:rPr>
          <w:rFonts w:ascii="仿宋_GB2312" w:eastAsia="仿宋_GB2312" w:hint="eastAsia"/>
          <w:sz w:val="32"/>
          <w:szCs w:val="32"/>
        </w:rPr>
        <w:t>人民</w:t>
      </w:r>
      <w:r>
        <w:rPr>
          <w:rFonts w:ascii="仿宋_GB2312" w:eastAsia="仿宋_GB2312" w:hint="eastAsia"/>
          <w:sz w:val="32"/>
          <w:szCs w:val="32"/>
        </w:rPr>
        <w:t>法庭共七个派出法庭，共</w:t>
      </w:r>
      <w:r w:rsidR="008D7DB7">
        <w:rPr>
          <w:rFonts w:ascii="仿宋_GB2312" w:eastAsia="仿宋_GB2312" w:hint="eastAsia"/>
          <w:sz w:val="32"/>
          <w:szCs w:val="32"/>
        </w:rPr>
        <w:t>八</w:t>
      </w:r>
      <w:r>
        <w:rPr>
          <w:rFonts w:ascii="仿宋_GB2312" w:eastAsia="仿宋_GB2312" w:hint="eastAsia"/>
          <w:sz w:val="32"/>
          <w:szCs w:val="32"/>
        </w:rPr>
        <w:t>处办公地点。</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随着法院信息化和办公自动化进一步发展，法院办公、办案业务对信息技术的依赖增大，信息化设备持续投入，组织的硬件设施、软件系统规模增加，信息化运维复杂性逐渐增强，重要性日益凸显，信息化是保障法院开展审判业务的</w:t>
      </w:r>
      <w:r>
        <w:rPr>
          <w:rFonts w:ascii="仿宋_GB2312" w:eastAsia="仿宋_GB2312" w:hint="eastAsia"/>
          <w:sz w:val="32"/>
          <w:szCs w:val="32"/>
        </w:rPr>
        <w:lastRenderedPageBreak/>
        <w:t>重点工作，信息化运维需求不断增加。</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2023年，我单位已建信息化各项系统处于正常运转阶段，保障系统正常运行、减少问题出现、问题实时处理、系统优化均全面开展，是维护工作的主要工作内容。另外，对本院设备统计、整体系统运行环境统计、审判信息系统及数据统计、视频会议系统统计和所有办公室终端设备统计等几个部分工作也有序开展。</w:t>
      </w:r>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2.主要内容及实施情况</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我院成立了以院长邵明艳为组长，分管综合办公室的执行局长马民鹏为副组长，综合办公室、纪检监察室相关负责同志为组员的项目管理小组，由项目管理小组制定具体工作计划和工作方案，各相关业务部门按项目工作计划或工作方案的要求开展各项工作，并对项目实施的情况和结果进行总结和自评，项目管理小组对项目的实施情况进行检查、监督、验收，对项目实施效果进行归纳总结和评价。</w:t>
      </w:r>
    </w:p>
    <w:p w:rsidR="00FE2728" w:rsidRDefault="00B335DE" w:rsidP="00053341">
      <w:pPr>
        <w:spacing w:line="560" w:lineRule="exact"/>
        <w:ind w:firstLineChars="200" w:firstLine="600"/>
        <w:jc w:val="center"/>
        <w:rPr>
          <w:rFonts w:ascii="仿宋_GB2312" w:eastAsia="仿宋_GB2312"/>
          <w:sz w:val="30"/>
          <w:szCs w:val="30"/>
        </w:rPr>
      </w:pPr>
      <w:r>
        <w:rPr>
          <w:rFonts w:ascii="仿宋_GB2312" w:eastAsia="仿宋_GB2312" w:hint="eastAsia"/>
          <w:sz w:val="30"/>
          <w:szCs w:val="30"/>
        </w:rPr>
        <w:t>2023信息化运维服务采购项目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4"/>
        <w:gridCol w:w="4537"/>
        <w:gridCol w:w="2461"/>
      </w:tblGrid>
      <w:tr w:rsidR="00FE2728">
        <w:trPr>
          <w:jc w:val="center"/>
        </w:trPr>
        <w:tc>
          <w:tcPr>
            <w:tcW w:w="894" w:type="pct"/>
            <w:shd w:val="clear" w:color="auto" w:fill="auto"/>
          </w:tcPr>
          <w:p w:rsidR="00FE2728" w:rsidRDefault="00B335DE" w:rsidP="00053341">
            <w:pPr>
              <w:spacing w:line="560" w:lineRule="exact"/>
              <w:ind w:firstLineChars="200" w:firstLine="600"/>
              <w:jc w:val="left"/>
              <w:rPr>
                <w:rFonts w:ascii="仿宋_GB2312" w:eastAsia="仿宋_GB2312"/>
                <w:sz w:val="30"/>
                <w:szCs w:val="30"/>
              </w:rPr>
            </w:pPr>
            <w:r>
              <w:rPr>
                <w:rFonts w:ascii="仿宋_GB2312" w:eastAsia="仿宋_GB2312" w:hint="eastAsia"/>
                <w:sz w:val="30"/>
                <w:szCs w:val="30"/>
              </w:rPr>
              <w:t>序号</w:t>
            </w:r>
          </w:p>
        </w:tc>
        <w:tc>
          <w:tcPr>
            <w:tcW w:w="2661" w:type="pct"/>
            <w:shd w:val="clear" w:color="auto" w:fill="auto"/>
          </w:tcPr>
          <w:p w:rsidR="00FE2728" w:rsidRDefault="00B335DE" w:rsidP="00053341">
            <w:pPr>
              <w:spacing w:line="560" w:lineRule="exact"/>
              <w:ind w:firstLineChars="200" w:firstLine="600"/>
              <w:jc w:val="center"/>
              <w:rPr>
                <w:rFonts w:ascii="仿宋_GB2312" w:eastAsia="仿宋_GB2312"/>
                <w:sz w:val="30"/>
                <w:szCs w:val="30"/>
              </w:rPr>
            </w:pPr>
            <w:r>
              <w:rPr>
                <w:rFonts w:ascii="仿宋_GB2312" w:eastAsia="仿宋_GB2312" w:hint="eastAsia"/>
                <w:sz w:val="30"/>
                <w:szCs w:val="30"/>
              </w:rPr>
              <w:t>项目</w:t>
            </w:r>
            <w:r>
              <w:rPr>
                <w:rFonts w:ascii="仿宋_GB2312" w:eastAsia="仿宋_GB2312"/>
                <w:sz w:val="30"/>
                <w:szCs w:val="30"/>
              </w:rPr>
              <w:t>名称</w:t>
            </w:r>
          </w:p>
        </w:tc>
        <w:tc>
          <w:tcPr>
            <w:tcW w:w="1443" w:type="pct"/>
            <w:shd w:val="clear" w:color="auto" w:fill="auto"/>
          </w:tcPr>
          <w:p w:rsidR="00FE2728" w:rsidRDefault="00B335DE" w:rsidP="00053341">
            <w:pPr>
              <w:spacing w:line="560" w:lineRule="exact"/>
              <w:ind w:firstLineChars="200" w:firstLine="600"/>
              <w:jc w:val="center"/>
              <w:rPr>
                <w:rFonts w:ascii="仿宋_GB2312" w:eastAsia="仿宋_GB2312"/>
                <w:sz w:val="30"/>
                <w:szCs w:val="30"/>
              </w:rPr>
            </w:pPr>
            <w:r>
              <w:rPr>
                <w:rFonts w:ascii="仿宋_GB2312" w:eastAsia="仿宋_GB2312" w:hint="eastAsia"/>
                <w:sz w:val="30"/>
                <w:szCs w:val="30"/>
              </w:rPr>
              <w:t>金额（万元</w:t>
            </w:r>
            <w:r>
              <w:rPr>
                <w:rFonts w:ascii="仿宋_GB2312" w:eastAsia="仿宋_GB2312"/>
                <w:sz w:val="30"/>
                <w:szCs w:val="30"/>
              </w:rPr>
              <w:t>）</w:t>
            </w:r>
          </w:p>
        </w:tc>
      </w:tr>
      <w:tr w:rsidR="00FE2728">
        <w:trPr>
          <w:jc w:val="center"/>
        </w:trPr>
        <w:tc>
          <w:tcPr>
            <w:tcW w:w="894" w:type="pct"/>
            <w:shd w:val="clear" w:color="auto" w:fill="auto"/>
          </w:tcPr>
          <w:p w:rsidR="00FE2728" w:rsidRDefault="00B335DE" w:rsidP="00053341">
            <w:pPr>
              <w:spacing w:line="560" w:lineRule="exact"/>
              <w:ind w:firstLineChars="200" w:firstLine="600"/>
              <w:jc w:val="center"/>
              <w:rPr>
                <w:rFonts w:ascii="仿宋_GB2312" w:eastAsia="仿宋_GB2312"/>
                <w:sz w:val="30"/>
                <w:szCs w:val="30"/>
              </w:rPr>
            </w:pPr>
            <w:r>
              <w:rPr>
                <w:rFonts w:ascii="仿宋_GB2312" w:eastAsia="仿宋_GB2312" w:hint="eastAsia"/>
                <w:sz w:val="30"/>
                <w:szCs w:val="30"/>
              </w:rPr>
              <w:t>1</w:t>
            </w:r>
          </w:p>
        </w:tc>
        <w:tc>
          <w:tcPr>
            <w:tcW w:w="2661" w:type="pct"/>
            <w:shd w:val="clear" w:color="auto" w:fill="auto"/>
          </w:tcPr>
          <w:p w:rsidR="00FE2728" w:rsidRDefault="00B335DE" w:rsidP="00053341">
            <w:pPr>
              <w:spacing w:line="560" w:lineRule="exact"/>
              <w:ind w:firstLineChars="200" w:firstLine="600"/>
              <w:jc w:val="center"/>
              <w:rPr>
                <w:rFonts w:ascii="仿宋_GB2312" w:eastAsia="仿宋_GB2312"/>
                <w:sz w:val="30"/>
                <w:szCs w:val="30"/>
              </w:rPr>
            </w:pPr>
            <w:r>
              <w:rPr>
                <w:rFonts w:ascii="仿宋_GB2312" w:eastAsia="仿宋_GB2312" w:hint="eastAsia"/>
                <w:sz w:val="30"/>
                <w:szCs w:val="30"/>
              </w:rPr>
              <w:t>信息</w:t>
            </w:r>
            <w:r>
              <w:rPr>
                <w:rFonts w:ascii="仿宋_GB2312" w:eastAsia="仿宋_GB2312"/>
                <w:sz w:val="30"/>
                <w:szCs w:val="30"/>
              </w:rPr>
              <w:t>系统运维费</w:t>
            </w:r>
          </w:p>
        </w:tc>
        <w:tc>
          <w:tcPr>
            <w:tcW w:w="1443" w:type="pct"/>
            <w:shd w:val="clear" w:color="auto" w:fill="auto"/>
          </w:tcPr>
          <w:p w:rsidR="00FE2728" w:rsidRPr="00894F91" w:rsidRDefault="00894F91" w:rsidP="00053341">
            <w:pPr>
              <w:spacing w:line="560" w:lineRule="exact"/>
              <w:ind w:firstLine="200"/>
              <w:jc w:val="center"/>
              <w:rPr>
                <w:rFonts w:ascii="仿宋_GB2312" w:eastAsia="仿宋_GB2312"/>
                <w:sz w:val="30"/>
                <w:szCs w:val="30"/>
              </w:rPr>
            </w:pPr>
            <w:r w:rsidRPr="00894F91">
              <w:rPr>
                <w:rFonts w:ascii="仿宋_GB2312" w:eastAsia="仿宋_GB2312" w:hint="eastAsia"/>
                <w:sz w:val="30"/>
                <w:szCs w:val="30"/>
              </w:rPr>
              <w:t>401.25</w:t>
            </w:r>
          </w:p>
        </w:tc>
      </w:tr>
    </w:tbl>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2023年我院信息化运维工作正常开展，涵盖信息系统运维中各环节的运维服务内容。信息系统运维费的</w:t>
      </w:r>
      <w:r w:rsidR="00894F91" w:rsidRPr="00894F91">
        <w:rPr>
          <w:rFonts w:ascii="仿宋_GB2312" w:eastAsia="仿宋_GB2312" w:hint="eastAsia"/>
          <w:sz w:val="32"/>
          <w:szCs w:val="32"/>
        </w:rPr>
        <w:t>401.25</w:t>
      </w:r>
      <w:r>
        <w:rPr>
          <w:rFonts w:ascii="仿宋_GB2312" w:eastAsia="仿宋_GB2312" w:hint="eastAsia"/>
          <w:sz w:val="32"/>
          <w:szCs w:val="32"/>
        </w:rPr>
        <w:t>万元为政府采购公开招标的方式进行。</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以上所述相关设备及系统正常有序运行，为我院业务的正常开展提供了有力的保障，覆盖了院机关以及附属派出机构，服务于院内干警的日常办公及当事人来院业务办理。</w:t>
      </w:r>
      <w:bookmarkStart w:id="0" w:name="_Toc71883167"/>
      <w:bookmarkStart w:id="1" w:name="_Toc71883206"/>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lastRenderedPageBreak/>
        <w:t>3.资金投入和使用情况</w:t>
      </w:r>
      <w:bookmarkEnd w:id="0"/>
      <w:bookmarkEnd w:id="1"/>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资金投入方式：一次性投入</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资金来源：市财政</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资金占比：市级财政资金100%</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该项目年初预算金额为410万元，年中预算调整金额为401.25万元，实际支出401.25万元，预算资金执行率为100%。</w:t>
      </w:r>
    </w:p>
    <w:p w:rsidR="00FE2728" w:rsidRPr="00894F91" w:rsidRDefault="00B335DE" w:rsidP="002D56F5">
      <w:pPr>
        <w:spacing w:line="560" w:lineRule="exact"/>
        <w:ind w:firstLineChars="200" w:firstLine="643"/>
        <w:outlineLvl w:val="1"/>
        <w:rPr>
          <w:rFonts w:ascii="楷体" w:eastAsia="楷体" w:hAnsi="楷体"/>
          <w:b/>
          <w:sz w:val="32"/>
          <w:szCs w:val="32"/>
        </w:rPr>
      </w:pPr>
      <w:r w:rsidRPr="00894F91">
        <w:rPr>
          <w:rFonts w:ascii="楷体" w:eastAsia="楷体" w:hAnsi="楷体" w:hint="eastAsia"/>
          <w:b/>
          <w:sz w:val="32"/>
          <w:szCs w:val="32"/>
        </w:rPr>
        <w:t>（二）</w:t>
      </w:r>
      <w:r w:rsidRPr="00894F91">
        <w:rPr>
          <w:rFonts w:ascii="楷体" w:eastAsia="楷体" w:hAnsi="楷体"/>
          <w:b/>
          <w:sz w:val="32"/>
          <w:szCs w:val="32"/>
        </w:rPr>
        <w:t>项目绩效目标</w:t>
      </w:r>
    </w:p>
    <w:p w:rsidR="00FE2728" w:rsidRPr="00894F91" w:rsidRDefault="00B335DE" w:rsidP="002D56F5">
      <w:pPr>
        <w:spacing w:line="560" w:lineRule="exact"/>
        <w:ind w:firstLineChars="200" w:firstLine="643"/>
        <w:outlineLvl w:val="2"/>
        <w:rPr>
          <w:rFonts w:ascii="仿宋_GB2312" w:eastAsia="仿宋_GB2312"/>
          <w:b/>
          <w:sz w:val="32"/>
          <w:szCs w:val="32"/>
        </w:rPr>
      </w:pPr>
      <w:r w:rsidRPr="00894F91">
        <w:rPr>
          <w:rFonts w:ascii="仿宋_GB2312" w:eastAsia="仿宋_GB2312" w:hint="eastAsia"/>
          <w:b/>
          <w:sz w:val="32"/>
          <w:szCs w:val="32"/>
        </w:rPr>
        <w:t>1.总体目标</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完成</w:t>
      </w:r>
      <w:r w:rsidR="00A72D5E">
        <w:rPr>
          <w:rFonts w:ascii="仿宋_GB2312" w:eastAsia="仿宋_GB2312" w:hint="eastAsia"/>
          <w:sz w:val="32"/>
          <w:szCs w:val="32"/>
        </w:rPr>
        <w:t>本年度法院信息系统运维内容，涉及我院信息化保障的专项设备维护及</w:t>
      </w:r>
      <w:r>
        <w:rPr>
          <w:rFonts w:ascii="仿宋_GB2312" w:eastAsia="仿宋_GB2312" w:hint="eastAsia"/>
          <w:sz w:val="32"/>
          <w:szCs w:val="32"/>
        </w:rPr>
        <w:t>系统运行保障等相关方面。随着法院信息化和办公自动化进一步发展，法院办公、办案业务对信息技术的依赖增大，信息化设备持续投入，组织的硬件设施、软件系统规模增加，信息化运维复杂性逐渐增强，重要性日益凸显，</w:t>
      </w:r>
      <w:r w:rsidR="00A72D5E">
        <w:rPr>
          <w:rFonts w:ascii="仿宋_GB2312" w:eastAsia="仿宋_GB2312" w:hint="eastAsia"/>
          <w:sz w:val="32"/>
          <w:szCs w:val="32"/>
        </w:rPr>
        <w:t>信息化运维需求不断增加。</w:t>
      </w:r>
      <w:r>
        <w:rPr>
          <w:rFonts w:ascii="仿宋_GB2312" w:eastAsia="仿宋_GB2312" w:hint="eastAsia"/>
          <w:sz w:val="32"/>
          <w:szCs w:val="32"/>
        </w:rPr>
        <w:t>信息化是保障海淀法院开展审判业务的重点工作，</w:t>
      </w:r>
      <w:r w:rsidR="00053341">
        <w:rPr>
          <w:rFonts w:ascii="仿宋_GB2312" w:eastAsia="仿宋_GB2312" w:hint="eastAsia"/>
          <w:sz w:val="32"/>
          <w:szCs w:val="32"/>
        </w:rPr>
        <w:t>为更好的进行业务开展工作，提升审判效率，</w:t>
      </w:r>
      <w:r>
        <w:rPr>
          <w:rFonts w:ascii="仿宋_GB2312" w:eastAsia="仿宋_GB2312" w:hint="eastAsia"/>
          <w:sz w:val="32"/>
          <w:szCs w:val="32"/>
        </w:rPr>
        <w:t>我院决定开展2</w:t>
      </w:r>
      <w:r>
        <w:rPr>
          <w:rFonts w:ascii="仿宋_GB2312" w:eastAsia="仿宋_GB2312"/>
          <w:sz w:val="32"/>
          <w:szCs w:val="32"/>
        </w:rPr>
        <w:t>02</w:t>
      </w:r>
      <w:r>
        <w:rPr>
          <w:rFonts w:ascii="仿宋_GB2312" w:eastAsia="仿宋_GB2312" w:hint="eastAsia"/>
          <w:sz w:val="32"/>
          <w:szCs w:val="32"/>
        </w:rPr>
        <w:t>3年度运维工作。</w:t>
      </w:r>
      <w:bookmarkStart w:id="2" w:name="_Toc71883209"/>
      <w:bookmarkStart w:id="3" w:name="_Toc71883170"/>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2.阶段性目标</w:t>
      </w:r>
      <w:bookmarkEnd w:id="2"/>
      <w:bookmarkEnd w:id="3"/>
    </w:p>
    <w:p w:rsidR="00FE2728" w:rsidRDefault="00B335DE" w:rsidP="002D56F5">
      <w:pPr>
        <w:spacing w:line="560" w:lineRule="exact"/>
        <w:ind w:firstLineChars="200" w:firstLine="640"/>
        <w:rPr>
          <w:rFonts w:ascii="楷体_GB2312" w:hAnsi="楷体_GB2312"/>
          <w:sz w:val="32"/>
          <w:szCs w:val="32"/>
        </w:rPr>
      </w:pPr>
      <w:r>
        <w:rPr>
          <w:rFonts w:ascii="仿宋_GB2312" w:eastAsia="仿宋_GB2312" w:hint="eastAsia"/>
          <w:sz w:val="32"/>
          <w:szCs w:val="32"/>
        </w:rPr>
        <w:t>2023年，我单位已建信息化各项系统处于正常运转阶段，保障系统正常运行、减少问题出现、</w:t>
      </w:r>
      <w:r w:rsidR="003905DD">
        <w:rPr>
          <w:rFonts w:ascii="仿宋_GB2312" w:eastAsia="仿宋_GB2312" w:hint="eastAsia"/>
          <w:sz w:val="32"/>
          <w:szCs w:val="32"/>
        </w:rPr>
        <w:t>问题实时处理、系统优化均全面开展</w:t>
      </w:r>
      <w:r>
        <w:rPr>
          <w:rFonts w:ascii="仿宋_GB2312" w:eastAsia="仿宋_GB2312" w:hint="eastAsia"/>
          <w:sz w:val="32"/>
          <w:szCs w:val="32"/>
        </w:rPr>
        <w:t>是维护工作的主要工作内容。另外，对本院设备统计、整体系统运行环境统计、审判信息系统及数据统计、视频会议系统统计</w:t>
      </w:r>
      <w:r w:rsidR="003905DD">
        <w:rPr>
          <w:rFonts w:ascii="仿宋_GB2312" w:eastAsia="仿宋_GB2312" w:hint="eastAsia"/>
          <w:sz w:val="32"/>
          <w:szCs w:val="32"/>
        </w:rPr>
        <w:t>及</w:t>
      </w:r>
      <w:r>
        <w:rPr>
          <w:rFonts w:ascii="仿宋_GB2312" w:eastAsia="仿宋_GB2312" w:hint="eastAsia"/>
          <w:sz w:val="32"/>
          <w:szCs w:val="32"/>
        </w:rPr>
        <w:t>所有办公室终端设备统计等几个部分工作也有序开展。本年度运维工作在过去基础上进一步加强团队管理、跟进最高院的质效型运维体系建设工作，建设完</w:t>
      </w:r>
      <w:r>
        <w:rPr>
          <w:rFonts w:ascii="仿宋_GB2312" w:eastAsia="仿宋_GB2312" w:hint="eastAsia"/>
          <w:sz w:val="32"/>
          <w:szCs w:val="32"/>
        </w:rPr>
        <w:lastRenderedPageBreak/>
        <w:t>善、有力的运维体系。</w:t>
      </w:r>
    </w:p>
    <w:p w:rsidR="00FE2728" w:rsidRDefault="00B335DE" w:rsidP="002D56F5">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二、绩效评价工作开展情况</w:t>
      </w:r>
    </w:p>
    <w:p w:rsidR="00FE2728" w:rsidRDefault="00B335DE" w:rsidP="002D56F5">
      <w:pPr>
        <w:spacing w:line="560" w:lineRule="exact"/>
        <w:ind w:firstLineChars="200" w:firstLine="640"/>
        <w:outlineLvl w:val="1"/>
        <w:rPr>
          <w:rFonts w:ascii="楷体" w:eastAsia="楷体" w:hAnsi="楷体"/>
          <w:sz w:val="32"/>
          <w:szCs w:val="32"/>
        </w:rPr>
      </w:pPr>
      <w:r>
        <w:rPr>
          <w:rFonts w:ascii="楷体" w:eastAsia="楷体" w:hAnsi="楷体"/>
          <w:sz w:val="32"/>
          <w:szCs w:val="32"/>
        </w:rPr>
        <w:t>（一）绩效评价目的、对象和范围</w:t>
      </w:r>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1.目的</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我院绩效评价目的包</w:t>
      </w:r>
      <w:r w:rsidR="003905DD">
        <w:rPr>
          <w:rFonts w:ascii="仿宋_GB2312" w:eastAsia="仿宋_GB2312" w:hint="eastAsia"/>
          <w:sz w:val="32"/>
          <w:szCs w:val="32"/>
        </w:rPr>
        <w:t>括以下方面：对运维人员的工作内容提供依据；组织对运维人员的绩效考评</w:t>
      </w:r>
      <w:r>
        <w:rPr>
          <w:rFonts w:ascii="仿宋_GB2312" w:eastAsia="仿宋_GB2312" w:hint="eastAsia"/>
          <w:sz w:val="32"/>
          <w:szCs w:val="32"/>
        </w:rPr>
        <w:t>反馈；对运维人员</w:t>
      </w:r>
      <w:r w:rsidR="003905DD">
        <w:rPr>
          <w:rFonts w:ascii="仿宋_GB2312" w:eastAsia="仿宋_GB2312" w:hint="eastAsia"/>
          <w:sz w:val="32"/>
          <w:szCs w:val="32"/>
        </w:rPr>
        <w:t>及其</w:t>
      </w:r>
      <w:r>
        <w:rPr>
          <w:rFonts w:ascii="仿宋_GB2312" w:eastAsia="仿宋_GB2312" w:hint="eastAsia"/>
          <w:sz w:val="32"/>
          <w:szCs w:val="32"/>
        </w:rPr>
        <w:t>团队对组织的贡献进行评估；对运维人员的薪酬决策提供依据;对招聘选择和工作分配的决策进行评估；了解运维人员</w:t>
      </w:r>
      <w:r w:rsidR="00BD56D9">
        <w:rPr>
          <w:rFonts w:ascii="仿宋_GB2312" w:eastAsia="仿宋_GB2312" w:hint="eastAsia"/>
          <w:sz w:val="32"/>
          <w:szCs w:val="32"/>
        </w:rPr>
        <w:t>及</w:t>
      </w:r>
      <w:r>
        <w:rPr>
          <w:rFonts w:ascii="仿宋_GB2312" w:eastAsia="仿宋_GB2312" w:hint="eastAsia"/>
          <w:sz w:val="32"/>
          <w:szCs w:val="32"/>
        </w:rPr>
        <w:t>团队的</w:t>
      </w:r>
      <w:r w:rsidR="00BD56D9">
        <w:rPr>
          <w:rFonts w:ascii="仿宋_GB2312" w:eastAsia="仿宋_GB2312" w:hint="eastAsia"/>
          <w:sz w:val="32"/>
          <w:szCs w:val="32"/>
        </w:rPr>
        <w:t>教育</w:t>
      </w:r>
      <w:r>
        <w:rPr>
          <w:rFonts w:ascii="仿宋_GB2312" w:eastAsia="仿宋_GB2312" w:hint="eastAsia"/>
          <w:sz w:val="32"/>
          <w:szCs w:val="32"/>
        </w:rPr>
        <w:t>培训的需要；对培训</w:t>
      </w:r>
      <w:r w:rsidR="00BD56D9">
        <w:rPr>
          <w:rFonts w:ascii="仿宋_GB2312" w:eastAsia="仿宋_GB2312" w:hint="eastAsia"/>
          <w:sz w:val="32"/>
          <w:szCs w:val="32"/>
        </w:rPr>
        <w:t>内容及</w:t>
      </w:r>
      <w:r>
        <w:rPr>
          <w:rFonts w:ascii="仿宋_GB2312" w:eastAsia="仿宋_GB2312" w:hint="eastAsia"/>
          <w:sz w:val="32"/>
          <w:szCs w:val="32"/>
        </w:rPr>
        <w:t>运维人员职业生涯规划效果的评估；对工作计划、预算评估</w:t>
      </w:r>
      <w:r w:rsidR="00BD56D9">
        <w:rPr>
          <w:rFonts w:ascii="仿宋_GB2312" w:eastAsia="仿宋_GB2312" w:hint="eastAsia"/>
          <w:sz w:val="32"/>
          <w:szCs w:val="32"/>
        </w:rPr>
        <w:t>及</w:t>
      </w:r>
      <w:r>
        <w:rPr>
          <w:rFonts w:ascii="仿宋_GB2312" w:eastAsia="仿宋_GB2312" w:hint="eastAsia"/>
          <w:sz w:val="32"/>
          <w:szCs w:val="32"/>
        </w:rPr>
        <w:t>人力资源规划提供</w:t>
      </w:r>
      <w:r w:rsidR="00BD56D9">
        <w:rPr>
          <w:rFonts w:ascii="仿宋_GB2312" w:eastAsia="仿宋_GB2312" w:hint="eastAsia"/>
          <w:sz w:val="32"/>
          <w:szCs w:val="32"/>
        </w:rPr>
        <w:t>相关</w:t>
      </w:r>
      <w:r>
        <w:rPr>
          <w:rFonts w:ascii="仿宋_GB2312" w:eastAsia="仿宋_GB2312" w:hint="eastAsia"/>
          <w:sz w:val="32"/>
          <w:szCs w:val="32"/>
        </w:rPr>
        <w:t>信息。</w:t>
      </w:r>
      <w:bookmarkStart w:id="4" w:name="_Toc71883174"/>
      <w:bookmarkStart w:id="5" w:name="_Toc71883213"/>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2.对象</w:t>
      </w:r>
      <w:bookmarkEnd w:id="4"/>
      <w:bookmarkEnd w:id="5"/>
      <w:r>
        <w:rPr>
          <w:rFonts w:ascii="仿宋_GB2312" w:eastAsia="仿宋_GB2312" w:hint="eastAsia"/>
          <w:b/>
          <w:sz w:val="32"/>
          <w:szCs w:val="32"/>
        </w:rPr>
        <w:t>及范围</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评价对象为2</w:t>
      </w:r>
      <w:r>
        <w:rPr>
          <w:rFonts w:ascii="仿宋_GB2312" w:eastAsia="仿宋_GB2312"/>
          <w:sz w:val="32"/>
          <w:szCs w:val="32"/>
        </w:rPr>
        <w:t>02</w:t>
      </w:r>
      <w:r>
        <w:rPr>
          <w:rFonts w:ascii="仿宋_GB2312" w:eastAsia="仿宋_GB2312" w:hint="eastAsia"/>
          <w:sz w:val="32"/>
          <w:szCs w:val="32"/>
        </w:rPr>
        <w:t>3年信息化运维市财政资金的使用绩效。评价范围包括海淀区法院设备、系统运行维护。</w:t>
      </w:r>
    </w:p>
    <w:p w:rsidR="00FE2728" w:rsidRPr="00053341" w:rsidRDefault="00B335DE" w:rsidP="002D56F5">
      <w:pPr>
        <w:spacing w:line="560" w:lineRule="exact"/>
        <w:ind w:firstLineChars="200" w:firstLine="643"/>
        <w:outlineLvl w:val="1"/>
        <w:rPr>
          <w:rFonts w:ascii="楷体" w:eastAsia="楷体" w:hAnsi="楷体"/>
          <w:b/>
          <w:sz w:val="32"/>
          <w:szCs w:val="32"/>
        </w:rPr>
      </w:pPr>
      <w:r w:rsidRPr="00053341">
        <w:rPr>
          <w:rFonts w:ascii="楷体" w:eastAsia="楷体" w:hAnsi="楷体" w:hint="eastAsia"/>
          <w:b/>
          <w:sz w:val="32"/>
          <w:szCs w:val="32"/>
        </w:rPr>
        <w:t>（二）</w:t>
      </w:r>
      <w:r w:rsidRPr="00053341">
        <w:rPr>
          <w:rFonts w:ascii="楷体" w:eastAsia="楷体" w:hAnsi="楷体"/>
          <w:b/>
          <w:sz w:val="32"/>
          <w:szCs w:val="32"/>
        </w:rPr>
        <w:t>绩效评价原则、评价指标体系、评价方法、评价标准等。</w:t>
      </w:r>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1.绩效评价原则</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科学规范原则。严格执行规定的程序，按照科学可行的要求，采用定量与定性分析相结合的方法，对海淀法院网络运维经费项目支出进行绩效评价。注重财政支出的经济性、效率性和有效性，科学制定绩效评价指标体系，运用科学的评价方法，按照规范的评价程序进行。</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公开公正原则。评价工作客观、公正、透明，标准统一，资料可靠，依法公开接受有关机构和公众的监督。</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绩效相关原则。使用与绩效目标有直接联系，能够恰当反映目标实现程度的绩效评价指标，针对具体支出及其产出绩效进行评价，评价结果能清晰反映支出和产出绩效之间的紧密对应关系。</w:t>
      </w:r>
    </w:p>
    <w:p w:rsidR="00FE2728" w:rsidRDefault="00B335DE" w:rsidP="00053341">
      <w:pPr>
        <w:spacing w:line="560" w:lineRule="exact"/>
        <w:ind w:left="640" w:firstLine="200"/>
        <w:outlineLvl w:val="2"/>
        <w:rPr>
          <w:rFonts w:ascii="仿宋_GB2312" w:eastAsia="仿宋_GB2312"/>
          <w:b/>
          <w:sz w:val="32"/>
          <w:szCs w:val="32"/>
        </w:rPr>
      </w:pPr>
      <w:r>
        <w:rPr>
          <w:rFonts w:ascii="仿宋_GB2312" w:eastAsia="仿宋_GB2312" w:hint="eastAsia"/>
          <w:b/>
          <w:sz w:val="32"/>
          <w:szCs w:val="32"/>
        </w:rPr>
        <w:t>2.评价指标体系</w:t>
      </w:r>
    </w:p>
    <w:tbl>
      <w:tblPr>
        <w:tblW w:w="5000" w:type="pct"/>
        <w:tblLook w:val="04A0"/>
      </w:tblPr>
      <w:tblGrid>
        <w:gridCol w:w="580"/>
        <w:gridCol w:w="1370"/>
        <w:gridCol w:w="2129"/>
        <w:gridCol w:w="3119"/>
        <w:gridCol w:w="1324"/>
      </w:tblGrid>
      <w:tr w:rsidR="00103219" w:rsidTr="003F25FD">
        <w:trPr>
          <w:trHeight w:val="439"/>
        </w:trPr>
        <w:tc>
          <w:tcPr>
            <w:tcW w:w="340" w:type="pct"/>
            <w:vMerge w:val="restart"/>
            <w:tcBorders>
              <w:top w:val="single" w:sz="4" w:space="0" w:color="000000"/>
              <w:left w:val="single" w:sz="4" w:space="0" w:color="000000"/>
              <w:right w:val="single" w:sz="4" w:space="0" w:color="000000"/>
            </w:tcBorders>
            <w:shd w:val="clear" w:color="auto" w:fill="FFFFFF"/>
            <w:vAlign w:val="center"/>
          </w:tcPr>
          <w:p w:rsidR="00103219" w:rsidRDefault="00103219" w:rsidP="00FE7AA5">
            <w:pPr>
              <w:spacing w:line="560" w:lineRule="exact"/>
              <w:rPr>
                <w:rFonts w:ascii="仿宋_GB2312" w:eastAsia="仿宋_GB2312"/>
                <w:sz w:val="30"/>
                <w:szCs w:val="30"/>
              </w:rPr>
            </w:pPr>
            <w:r>
              <w:rPr>
                <w:rFonts w:ascii="仿宋_GB2312" w:eastAsia="仿宋_GB2312"/>
                <w:sz w:val="30"/>
                <w:szCs w:val="30"/>
              </w:rPr>
              <w:t>绩</w:t>
            </w:r>
            <w:r>
              <w:rPr>
                <w:rFonts w:ascii="仿宋_GB2312" w:eastAsia="仿宋_GB2312"/>
                <w:sz w:val="30"/>
                <w:szCs w:val="30"/>
              </w:rPr>
              <w:br/>
              <w:t>效</w:t>
            </w:r>
            <w:r>
              <w:rPr>
                <w:rFonts w:ascii="仿宋_GB2312" w:eastAsia="仿宋_GB2312"/>
                <w:sz w:val="30"/>
                <w:szCs w:val="30"/>
              </w:rPr>
              <w:br/>
              <w:t>指</w:t>
            </w:r>
            <w:r>
              <w:rPr>
                <w:rFonts w:ascii="仿宋_GB2312" w:eastAsia="仿宋_GB2312"/>
                <w:sz w:val="30"/>
                <w:szCs w:val="30"/>
              </w:rPr>
              <w:br/>
              <w:t>标</w:t>
            </w:r>
          </w:p>
        </w:tc>
        <w:tc>
          <w:tcPr>
            <w:tcW w:w="8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200"/>
              <w:rPr>
                <w:rFonts w:ascii="仿宋_GB2312" w:eastAsia="仿宋_GB2312"/>
                <w:sz w:val="30"/>
                <w:szCs w:val="30"/>
              </w:rPr>
            </w:pPr>
            <w:r>
              <w:rPr>
                <w:rFonts w:ascii="仿宋_GB2312" w:eastAsia="仿宋_GB2312" w:hint="eastAsia"/>
                <w:sz w:val="30"/>
                <w:szCs w:val="30"/>
              </w:rPr>
              <w:t>一级</w:t>
            </w:r>
          </w:p>
          <w:p w:rsidR="00103219" w:rsidRDefault="00103219" w:rsidP="00053341">
            <w:pPr>
              <w:spacing w:line="560" w:lineRule="exact"/>
              <w:ind w:firstLine="200"/>
              <w:rPr>
                <w:rFonts w:ascii="仿宋_GB2312" w:eastAsia="仿宋_GB2312"/>
                <w:sz w:val="30"/>
                <w:szCs w:val="30"/>
              </w:rPr>
            </w:pPr>
            <w:r>
              <w:rPr>
                <w:rFonts w:ascii="仿宋_GB2312" w:eastAsia="仿宋_GB2312" w:hint="eastAsia"/>
                <w:sz w:val="30"/>
                <w:szCs w:val="30"/>
              </w:rPr>
              <w:t>指标</w:t>
            </w: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103219">
            <w:pPr>
              <w:spacing w:line="560" w:lineRule="exact"/>
              <w:jc w:val="center"/>
              <w:rPr>
                <w:rFonts w:ascii="仿宋_GB2312" w:eastAsia="仿宋_GB2312"/>
                <w:sz w:val="30"/>
                <w:szCs w:val="30"/>
              </w:rPr>
            </w:pPr>
            <w:r>
              <w:rPr>
                <w:rFonts w:ascii="仿宋_GB2312" w:eastAsia="仿宋_GB2312"/>
                <w:sz w:val="30"/>
                <w:szCs w:val="30"/>
              </w:rPr>
              <w:t>二级指标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B4A68">
            <w:pPr>
              <w:spacing w:line="560" w:lineRule="exact"/>
              <w:ind w:firstLineChars="200" w:firstLine="600"/>
              <w:rPr>
                <w:rFonts w:ascii="仿宋_GB2312" w:eastAsia="仿宋_GB2312"/>
                <w:sz w:val="30"/>
                <w:szCs w:val="30"/>
              </w:rPr>
            </w:pPr>
            <w:r>
              <w:rPr>
                <w:rFonts w:ascii="仿宋_GB2312" w:eastAsia="仿宋_GB2312" w:hint="eastAsia"/>
                <w:sz w:val="30"/>
                <w:szCs w:val="30"/>
              </w:rPr>
              <w:t>三级指标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仿宋_GB2312" w:eastAsia="仿宋_GB2312"/>
                <w:sz w:val="30"/>
                <w:szCs w:val="30"/>
              </w:rPr>
              <w:t>指标值</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200"/>
              <w:rPr>
                <w:rFonts w:ascii="仿宋_GB2312" w:eastAsia="仿宋_GB2312"/>
                <w:sz w:val="30"/>
                <w:szCs w:val="30"/>
              </w:rPr>
            </w:pPr>
            <w:r>
              <w:rPr>
                <w:rFonts w:ascii="仿宋_GB2312" w:eastAsia="仿宋_GB2312" w:hint="eastAsia"/>
                <w:sz w:val="30"/>
                <w:szCs w:val="30"/>
              </w:rPr>
              <w:t>产出</w:t>
            </w:r>
          </w:p>
          <w:p w:rsidR="00103219" w:rsidRDefault="00103219" w:rsidP="00053341">
            <w:pPr>
              <w:spacing w:line="560" w:lineRule="exact"/>
              <w:ind w:firstLine="200"/>
              <w:rPr>
                <w:rFonts w:ascii="仿宋_GB2312" w:eastAsia="仿宋_GB2312"/>
                <w:sz w:val="30"/>
                <w:szCs w:val="30"/>
              </w:rPr>
            </w:pPr>
            <w:r>
              <w:rPr>
                <w:rFonts w:ascii="仿宋_GB2312" w:eastAsia="仿宋_GB2312" w:hint="eastAsia"/>
                <w:sz w:val="30"/>
                <w:szCs w:val="30"/>
              </w:rPr>
              <w:t>指标</w:t>
            </w: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AF084A" w:rsidRDefault="00103219">
            <w:pPr>
              <w:rPr>
                <w:rFonts w:ascii="仿宋_GB2312" w:eastAsia="仿宋_GB2312"/>
                <w:sz w:val="30"/>
                <w:szCs w:val="30"/>
              </w:rPr>
            </w:pPr>
            <w:r w:rsidRPr="00AF084A">
              <w:rPr>
                <w:rFonts w:ascii="仿宋_GB2312" w:eastAsia="仿宋_GB2312" w:hint="eastAsia"/>
                <w:sz w:val="30"/>
                <w:szCs w:val="30"/>
              </w:rPr>
              <w:t>数量指标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硬件维护数量</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仿宋_GB2312" w:eastAsia="仿宋_GB2312"/>
                <w:sz w:val="30"/>
                <w:szCs w:val="30"/>
              </w:rPr>
              <w:t>≥</w:t>
            </w:r>
            <w:r>
              <w:rPr>
                <w:rFonts w:ascii="仿宋_GB2312" w:eastAsia="仿宋_GB2312" w:hint="eastAsia"/>
                <w:sz w:val="30"/>
                <w:szCs w:val="30"/>
              </w:rPr>
              <w:t>665</w:t>
            </w:r>
            <w:r>
              <w:rPr>
                <w:rFonts w:ascii="仿宋_GB2312" w:eastAsia="仿宋_GB2312"/>
                <w:sz w:val="30"/>
                <w:szCs w:val="30"/>
              </w:rPr>
              <w:t>9台</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AF084A" w:rsidRDefault="00103219">
            <w:pPr>
              <w:rPr>
                <w:rFonts w:ascii="仿宋_GB2312" w:eastAsia="仿宋_GB2312"/>
                <w:sz w:val="30"/>
                <w:szCs w:val="30"/>
              </w:rPr>
            </w:pPr>
            <w:r w:rsidRPr="00AF084A">
              <w:rPr>
                <w:rFonts w:ascii="仿宋_GB2312" w:eastAsia="仿宋_GB2312" w:hint="eastAsia"/>
                <w:sz w:val="30"/>
                <w:szCs w:val="30"/>
              </w:rPr>
              <w:t>数量指标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软件维护数量</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仿宋_GB2312" w:eastAsia="仿宋_GB2312"/>
                <w:sz w:val="30"/>
                <w:szCs w:val="30"/>
              </w:rPr>
              <w:t>≥</w:t>
            </w:r>
            <w:r>
              <w:rPr>
                <w:rFonts w:ascii="仿宋_GB2312" w:eastAsia="仿宋_GB2312"/>
                <w:sz w:val="30"/>
                <w:szCs w:val="30"/>
              </w:rPr>
              <w:t>70套</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AF084A" w:rsidRDefault="00103219">
            <w:pPr>
              <w:rPr>
                <w:rFonts w:ascii="仿宋_GB2312" w:eastAsia="仿宋_GB2312"/>
                <w:sz w:val="30"/>
                <w:szCs w:val="30"/>
              </w:rPr>
            </w:pPr>
            <w:r w:rsidRPr="00AF084A">
              <w:rPr>
                <w:rFonts w:ascii="仿宋_GB2312" w:eastAsia="仿宋_GB2312" w:hint="eastAsia"/>
                <w:sz w:val="30"/>
                <w:szCs w:val="30"/>
              </w:rPr>
              <w:t>数量指标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会议支持</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F57327">
            <w:pPr>
              <w:spacing w:line="560" w:lineRule="exact"/>
              <w:rPr>
                <w:rFonts w:ascii="仿宋_GB2312" w:eastAsia="仿宋_GB2312"/>
                <w:sz w:val="30"/>
                <w:szCs w:val="30"/>
              </w:rPr>
            </w:pPr>
            <w:r>
              <w:rPr>
                <w:rFonts w:ascii="仿宋_GB2312" w:eastAsia="仿宋_GB2312"/>
                <w:sz w:val="30"/>
                <w:szCs w:val="30"/>
              </w:rPr>
              <w:t>≥</w:t>
            </w:r>
            <w:r w:rsidR="00F57327">
              <w:rPr>
                <w:rFonts w:ascii="仿宋_GB2312" w:eastAsia="仿宋_GB2312" w:hint="eastAsia"/>
                <w:sz w:val="30"/>
                <w:szCs w:val="30"/>
              </w:rPr>
              <w:t>650</w:t>
            </w:r>
            <w:r>
              <w:rPr>
                <w:rFonts w:ascii="仿宋_GB2312" w:eastAsia="仿宋_GB2312"/>
                <w:sz w:val="30"/>
                <w:szCs w:val="30"/>
              </w:rPr>
              <w:t>次</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D62E5F" w:rsidRDefault="00103219">
            <w:pPr>
              <w:rPr>
                <w:rFonts w:ascii="仿宋_GB2312" w:eastAsia="仿宋_GB2312"/>
                <w:sz w:val="30"/>
                <w:szCs w:val="30"/>
              </w:rPr>
            </w:pPr>
            <w:r w:rsidRPr="00D62E5F">
              <w:rPr>
                <w:rFonts w:ascii="仿宋_GB2312" w:eastAsia="仿宋_GB2312" w:hint="eastAsia"/>
                <w:sz w:val="30"/>
                <w:szCs w:val="30"/>
              </w:rPr>
              <w:t>质量指标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系统正常运行率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sz w:val="30"/>
                <w:szCs w:val="30"/>
              </w:rPr>
              <w:t>99%</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D62E5F" w:rsidRDefault="00103219">
            <w:pPr>
              <w:rPr>
                <w:rFonts w:ascii="仿宋_GB2312" w:eastAsia="仿宋_GB2312"/>
                <w:sz w:val="30"/>
                <w:szCs w:val="30"/>
              </w:rPr>
            </w:pPr>
            <w:r w:rsidRPr="00D62E5F">
              <w:rPr>
                <w:rFonts w:ascii="仿宋_GB2312" w:eastAsia="仿宋_GB2312" w:hint="eastAsia"/>
                <w:sz w:val="30"/>
                <w:szCs w:val="30"/>
              </w:rPr>
              <w:t>质量指标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系统</w:t>
            </w:r>
            <w:r>
              <w:rPr>
                <w:rFonts w:ascii="仿宋_GB2312" w:eastAsia="仿宋_GB2312" w:hint="eastAsia"/>
                <w:sz w:val="30"/>
                <w:szCs w:val="30"/>
              </w:rPr>
              <w:t>非正常</w:t>
            </w:r>
            <w:r>
              <w:rPr>
                <w:rFonts w:ascii="仿宋_GB2312" w:eastAsia="仿宋_GB2312"/>
                <w:sz w:val="30"/>
                <w:szCs w:val="30"/>
              </w:rPr>
              <w:t>故障率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sz w:val="30"/>
                <w:szCs w:val="30"/>
              </w:rPr>
              <w:t>1%</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D62E5F" w:rsidRDefault="00103219">
            <w:pPr>
              <w:rPr>
                <w:rFonts w:ascii="仿宋_GB2312" w:eastAsia="仿宋_GB2312"/>
                <w:sz w:val="30"/>
                <w:szCs w:val="30"/>
              </w:rPr>
            </w:pPr>
            <w:r w:rsidRPr="00D62E5F">
              <w:rPr>
                <w:rFonts w:ascii="仿宋_GB2312" w:eastAsia="仿宋_GB2312" w:hint="eastAsia"/>
                <w:sz w:val="30"/>
                <w:szCs w:val="30"/>
              </w:rPr>
              <w:t>质量指标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系统故障排除率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hint="eastAsia"/>
                <w:sz w:val="30"/>
                <w:szCs w:val="30"/>
              </w:rPr>
              <w:t>99</w:t>
            </w:r>
            <w:r>
              <w:rPr>
                <w:rFonts w:ascii="仿宋_GB2312" w:eastAsia="仿宋_GB2312"/>
                <w:sz w:val="30"/>
                <w:szCs w:val="30"/>
              </w:rPr>
              <w:t>%</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4D52C0" w:rsidRDefault="00103219">
            <w:pPr>
              <w:rPr>
                <w:rFonts w:ascii="仿宋_GB2312" w:eastAsia="仿宋_GB2312"/>
                <w:sz w:val="30"/>
                <w:szCs w:val="30"/>
              </w:rPr>
            </w:pPr>
            <w:r w:rsidRPr="004D52C0">
              <w:rPr>
                <w:rFonts w:ascii="仿宋_GB2312" w:eastAsia="仿宋_GB2312" w:hint="eastAsia"/>
                <w:sz w:val="30"/>
                <w:szCs w:val="30"/>
              </w:rPr>
              <w:t>时效指标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系统故障修复时间</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sz w:val="30"/>
                <w:szCs w:val="30"/>
              </w:rPr>
              <w:t>4小时</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4D52C0" w:rsidRDefault="00103219">
            <w:pPr>
              <w:rPr>
                <w:rFonts w:ascii="仿宋_GB2312" w:eastAsia="仿宋_GB2312"/>
                <w:sz w:val="30"/>
                <w:szCs w:val="30"/>
              </w:rPr>
            </w:pPr>
            <w:r w:rsidRPr="004D52C0">
              <w:rPr>
                <w:rFonts w:ascii="仿宋_GB2312" w:eastAsia="仿宋_GB2312" w:hint="eastAsia"/>
                <w:sz w:val="30"/>
                <w:szCs w:val="30"/>
              </w:rPr>
              <w:t>时效指标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维护响应时间</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仿宋_GB2312" w:eastAsia="仿宋_GB2312"/>
                <w:sz w:val="30"/>
                <w:szCs w:val="30"/>
              </w:rPr>
              <w:t>≤</w:t>
            </w:r>
            <w:r>
              <w:rPr>
                <w:rFonts w:ascii="仿宋_GB2312" w:eastAsia="仿宋_GB2312" w:hint="eastAsia"/>
                <w:sz w:val="30"/>
                <w:szCs w:val="30"/>
              </w:rPr>
              <w:t>8</w:t>
            </w:r>
            <w:r>
              <w:rPr>
                <w:rFonts w:ascii="仿宋_GB2312" w:eastAsia="仿宋_GB2312"/>
                <w:sz w:val="30"/>
                <w:szCs w:val="30"/>
              </w:rPr>
              <w:t>分钟</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tcPr>
          <w:p w:rsidR="00103219" w:rsidRDefault="00103219" w:rsidP="004D52C0">
            <w:pPr>
              <w:spacing w:line="560" w:lineRule="exact"/>
              <w:rPr>
                <w:rFonts w:ascii="仿宋_GB2312" w:eastAsia="仿宋_GB2312"/>
                <w:sz w:val="30"/>
                <w:szCs w:val="30"/>
              </w:rPr>
            </w:pPr>
            <w:r w:rsidRPr="004D52C0">
              <w:rPr>
                <w:rFonts w:ascii="仿宋_GB2312" w:eastAsia="仿宋_GB2312" w:hint="eastAsia"/>
                <w:sz w:val="30"/>
                <w:szCs w:val="30"/>
              </w:rPr>
              <w:t>时效指标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sidRPr="004D52C0">
              <w:rPr>
                <w:rFonts w:ascii="仿宋_GB2312" w:eastAsia="仿宋_GB2312" w:hint="eastAsia"/>
                <w:sz w:val="30"/>
                <w:szCs w:val="30"/>
              </w:rPr>
              <w:t>系统运行维护时间</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仿宋_GB2312" w:eastAsia="仿宋_GB2312" w:hint="eastAsia"/>
                <w:sz w:val="30"/>
                <w:szCs w:val="30"/>
              </w:rPr>
              <w:t>=1年</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val="restart"/>
            <w:tcBorders>
              <w:top w:val="single" w:sz="4" w:space="0" w:color="000000"/>
              <w:left w:val="single" w:sz="4" w:space="0" w:color="000000"/>
              <w:right w:val="single" w:sz="4" w:space="0" w:color="000000"/>
            </w:tcBorders>
            <w:shd w:val="clear" w:color="auto" w:fill="FFFFFF"/>
            <w:vAlign w:val="center"/>
          </w:tcPr>
          <w:p w:rsidR="00103219" w:rsidRDefault="00103219" w:rsidP="000B4A68">
            <w:pPr>
              <w:spacing w:line="560" w:lineRule="exact"/>
              <w:jc w:val="center"/>
              <w:rPr>
                <w:rFonts w:ascii="仿宋_GB2312" w:eastAsia="仿宋_GB2312"/>
                <w:sz w:val="30"/>
                <w:szCs w:val="30"/>
              </w:rPr>
            </w:pPr>
            <w:r>
              <w:rPr>
                <w:rFonts w:ascii="仿宋_GB2312" w:eastAsia="仿宋_GB2312" w:hint="eastAsia"/>
                <w:sz w:val="30"/>
                <w:szCs w:val="30"/>
              </w:rPr>
              <w:t>效益</w:t>
            </w:r>
          </w:p>
          <w:p w:rsidR="00103219" w:rsidRDefault="00103219" w:rsidP="000B4A68">
            <w:pPr>
              <w:spacing w:line="560" w:lineRule="exact"/>
              <w:jc w:val="center"/>
              <w:rPr>
                <w:rFonts w:ascii="仿宋_GB2312" w:eastAsia="仿宋_GB2312"/>
                <w:sz w:val="30"/>
                <w:szCs w:val="30"/>
              </w:rPr>
            </w:pPr>
            <w:r>
              <w:rPr>
                <w:rFonts w:ascii="仿宋_GB2312" w:eastAsia="仿宋_GB2312" w:hint="eastAsia"/>
                <w:sz w:val="30"/>
                <w:szCs w:val="30"/>
              </w:rPr>
              <w:t>指标</w:t>
            </w:r>
          </w:p>
        </w:tc>
        <w:tc>
          <w:tcPr>
            <w:tcW w:w="1249" w:type="pct"/>
            <w:tcBorders>
              <w:top w:val="single" w:sz="4" w:space="0" w:color="000000"/>
              <w:left w:val="single" w:sz="4" w:space="0" w:color="000000"/>
              <w:bottom w:val="single" w:sz="4" w:space="0" w:color="000000"/>
              <w:right w:val="single" w:sz="4" w:space="0" w:color="000000"/>
            </w:tcBorders>
            <w:shd w:val="clear" w:color="auto" w:fill="FFFFFF"/>
          </w:tcPr>
          <w:p w:rsidR="00103219" w:rsidRPr="004D52C0" w:rsidRDefault="00103219" w:rsidP="004D52C0">
            <w:pPr>
              <w:spacing w:line="560" w:lineRule="exact"/>
              <w:rPr>
                <w:rFonts w:ascii="仿宋_GB2312" w:eastAsia="仿宋_GB2312"/>
                <w:sz w:val="30"/>
                <w:szCs w:val="30"/>
              </w:rPr>
            </w:pPr>
            <w:r w:rsidRPr="000B4A68">
              <w:rPr>
                <w:rFonts w:ascii="仿宋_GB2312" w:eastAsia="仿宋_GB2312" w:hint="eastAsia"/>
                <w:sz w:val="30"/>
                <w:szCs w:val="30"/>
              </w:rPr>
              <w:t>社会效益指标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0B4A68" w:rsidRDefault="00103219" w:rsidP="003A27B0">
            <w:pPr>
              <w:rPr>
                <w:rFonts w:ascii="仿宋_GB2312" w:eastAsia="仿宋_GB2312"/>
                <w:sz w:val="30"/>
                <w:szCs w:val="30"/>
              </w:rPr>
            </w:pPr>
            <w:r w:rsidRPr="000B4A68">
              <w:rPr>
                <w:rFonts w:ascii="仿宋_GB2312" w:eastAsia="仿宋_GB2312" w:hint="eastAsia"/>
                <w:sz w:val="30"/>
                <w:szCs w:val="30"/>
              </w:rPr>
              <w:t>系统利用率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hint="eastAsia"/>
                <w:sz w:val="30"/>
                <w:szCs w:val="30"/>
              </w:rPr>
              <w:t>99</w:t>
            </w:r>
            <w:r>
              <w:rPr>
                <w:rFonts w:ascii="仿宋_GB2312" w:eastAsia="仿宋_GB2312"/>
                <w:sz w:val="30"/>
                <w:szCs w:val="30"/>
              </w:rPr>
              <w:t>%</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vMerge/>
            <w:tcBorders>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1249" w:type="pct"/>
            <w:tcBorders>
              <w:top w:val="single" w:sz="4" w:space="0" w:color="000000"/>
              <w:left w:val="single" w:sz="4" w:space="0" w:color="000000"/>
              <w:bottom w:val="single" w:sz="4" w:space="0" w:color="000000"/>
              <w:right w:val="single" w:sz="4" w:space="0" w:color="000000"/>
            </w:tcBorders>
            <w:shd w:val="clear" w:color="auto" w:fill="FFFFFF"/>
          </w:tcPr>
          <w:p w:rsidR="00103219" w:rsidRDefault="00103219" w:rsidP="004D52C0">
            <w:pPr>
              <w:spacing w:line="560" w:lineRule="exact"/>
              <w:rPr>
                <w:rFonts w:ascii="仿宋_GB2312" w:eastAsia="仿宋_GB2312"/>
                <w:sz w:val="30"/>
                <w:szCs w:val="30"/>
              </w:rPr>
            </w:pPr>
            <w:r w:rsidRPr="000B4A68">
              <w:rPr>
                <w:rFonts w:ascii="仿宋_GB2312" w:eastAsia="仿宋_GB2312" w:hint="eastAsia"/>
                <w:sz w:val="30"/>
                <w:szCs w:val="30"/>
              </w:rPr>
              <w:t>社会效益指标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0B4A68" w:rsidRDefault="00103219" w:rsidP="003A27B0">
            <w:pPr>
              <w:rPr>
                <w:rFonts w:ascii="仿宋_GB2312" w:eastAsia="仿宋_GB2312"/>
                <w:sz w:val="30"/>
                <w:szCs w:val="30"/>
              </w:rPr>
            </w:pPr>
            <w:r w:rsidRPr="000B4A68">
              <w:rPr>
                <w:rFonts w:ascii="仿宋_GB2312" w:eastAsia="仿宋_GB2312" w:hint="eastAsia"/>
                <w:sz w:val="30"/>
                <w:szCs w:val="30"/>
              </w:rPr>
              <w:t>硬件使用率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hint="eastAsia"/>
                <w:sz w:val="30"/>
                <w:szCs w:val="30"/>
              </w:rPr>
              <w:t>99</w:t>
            </w:r>
            <w:r>
              <w:rPr>
                <w:rFonts w:ascii="仿宋_GB2312" w:eastAsia="仿宋_GB2312"/>
                <w:sz w:val="30"/>
                <w:szCs w:val="30"/>
              </w:rPr>
              <w:t>%</w:t>
            </w:r>
          </w:p>
        </w:tc>
      </w:tr>
      <w:tr w:rsidR="00103219" w:rsidTr="003F25FD">
        <w:trPr>
          <w:trHeight w:val="360"/>
        </w:trPr>
        <w:tc>
          <w:tcPr>
            <w:tcW w:w="340" w:type="pct"/>
            <w:vMerge/>
            <w:tcBorders>
              <w:left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tcBorders>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jc w:val="center"/>
              <w:rPr>
                <w:rFonts w:ascii="仿宋_GB2312" w:eastAsia="仿宋_GB2312"/>
                <w:sz w:val="30"/>
                <w:szCs w:val="30"/>
              </w:rPr>
            </w:pPr>
            <w:r>
              <w:rPr>
                <w:rFonts w:ascii="仿宋_GB2312" w:eastAsia="仿宋_GB2312" w:hint="eastAsia"/>
                <w:sz w:val="30"/>
                <w:szCs w:val="30"/>
              </w:rPr>
              <w:t>成本</w:t>
            </w:r>
          </w:p>
          <w:p w:rsidR="00103219" w:rsidRDefault="00103219" w:rsidP="003A27B0">
            <w:pPr>
              <w:spacing w:line="560" w:lineRule="exact"/>
              <w:jc w:val="center"/>
              <w:rPr>
                <w:rFonts w:ascii="仿宋_GB2312" w:eastAsia="仿宋_GB2312"/>
                <w:sz w:val="30"/>
                <w:szCs w:val="30"/>
              </w:rPr>
            </w:pPr>
            <w:r>
              <w:rPr>
                <w:rFonts w:ascii="仿宋_GB2312" w:eastAsia="仿宋_GB2312" w:hint="eastAsia"/>
                <w:sz w:val="30"/>
                <w:szCs w:val="30"/>
              </w:rPr>
              <w:t>指标</w:t>
            </w: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0B4A68" w:rsidRDefault="00103219" w:rsidP="003A27B0">
            <w:pPr>
              <w:spacing w:line="560" w:lineRule="exact"/>
              <w:jc w:val="center"/>
              <w:rPr>
                <w:rFonts w:ascii="仿宋_GB2312" w:eastAsia="仿宋_GB2312"/>
                <w:sz w:val="30"/>
                <w:szCs w:val="30"/>
              </w:rPr>
            </w:pPr>
            <w:r>
              <w:rPr>
                <w:rFonts w:ascii="仿宋_GB2312" w:eastAsia="仿宋_GB2312" w:hint="eastAsia"/>
                <w:sz w:val="30"/>
                <w:szCs w:val="30"/>
              </w:rPr>
              <w:t>经济成本指标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Pr="000B4A68" w:rsidRDefault="00103219" w:rsidP="003A27B0">
            <w:pPr>
              <w:rPr>
                <w:rFonts w:ascii="仿宋_GB2312" w:eastAsia="仿宋_GB2312"/>
                <w:sz w:val="30"/>
                <w:szCs w:val="30"/>
              </w:rPr>
            </w:pPr>
            <w:r w:rsidRPr="003A27B0">
              <w:rPr>
                <w:rFonts w:ascii="仿宋_GB2312" w:eastAsia="仿宋_GB2312" w:hint="eastAsia"/>
                <w:sz w:val="30"/>
                <w:szCs w:val="30"/>
              </w:rPr>
              <w:t>项目预算控制数</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宋体" w:hAnsi="宋体" w:cs="宋体"/>
                <w:sz w:val="30"/>
                <w:szCs w:val="30"/>
              </w:rPr>
            </w:pPr>
            <w:r>
              <w:rPr>
                <w:rFonts w:ascii="仿宋_GB2312" w:eastAsia="仿宋_GB2312"/>
                <w:sz w:val="30"/>
                <w:szCs w:val="30"/>
              </w:rPr>
              <w:t>≤</w:t>
            </w:r>
            <w:r>
              <w:rPr>
                <w:rFonts w:ascii="仿宋_GB2312" w:eastAsia="仿宋_GB2312" w:hint="eastAsia"/>
                <w:sz w:val="30"/>
                <w:szCs w:val="30"/>
              </w:rPr>
              <w:t>410万</w:t>
            </w:r>
          </w:p>
        </w:tc>
      </w:tr>
      <w:tr w:rsidR="00103219" w:rsidTr="003F25FD">
        <w:trPr>
          <w:trHeight w:val="360"/>
        </w:trPr>
        <w:tc>
          <w:tcPr>
            <w:tcW w:w="340" w:type="pct"/>
            <w:vMerge/>
            <w:tcBorders>
              <w:left w:val="single" w:sz="4" w:space="0" w:color="000000"/>
              <w:bottom w:val="single" w:sz="4" w:space="0" w:color="000000"/>
              <w:right w:val="single" w:sz="4" w:space="0" w:color="000000"/>
            </w:tcBorders>
            <w:shd w:val="clear" w:color="auto" w:fill="FFFFFF"/>
            <w:vAlign w:val="center"/>
          </w:tcPr>
          <w:p w:rsidR="00103219" w:rsidRDefault="00103219" w:rsidP="00053341">
            <w:pPr>
              <w:spacing w:line="560" w:lineRule="exact"/>
              <w:ind w:firstLineChars="200" w:firstLine="600"/>
              <w:jc w:val="center"/>
              <w:rPr>
                <w:rFonts w:ascii="仿宋_GB2312" w:eastAsia="仿宋_GB2312"/>
                <w:sz w:val="30"/>
                <w:szCs w:val="30"/>
              </w:rPr>
            </w:pPr>
          </w:p>
        </w:tc>
        <w:tc>
          <w:tcPr>
            <w:tcW w:w="80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jc w:val="center"/>
              <w:rPr>
                <w:rFonts w:ascii="仿宋_GB2312" w:eastAsia="仿宋_GB2312"/>
                <w:sz w:val="30"/>
                <w:szCs w:val="30"/>
              </w:rPr>
            </w:pPr>
            <w:r>
              <w:rPr>
                <w:rFonts w:ascii="仿宋_GB2312" w:eastAsia="仿宋_GB2312" w:hint="eastAsia"/>
                <w:sz w:val="30"/>
                <w:szCs w:val="30"/>
              </w:rPr>
              <w:t>满意度指标</w:t>
            </w:r>
          </w:p>
        </w:tc>
        <w:tc>
          <w:tcPr>
            <w:tcW w:w="12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jc w:val="center"/>
              <w:rPr>
                <w:rFonts w:ascii="仿宋_GB2312" w:eastAsia="仿宋_GB2312"/>
                <w:sz w:val="30"/>
                <w:szCs w:val="30"/>
              </w:rPr>
            </w:pPr>
            <w:r>
              <w:rPr>
                <w:rFonts w:ascii="仿宋_GB2312" w:eastAsia="仿宋_GB2312"/>
                <w:sz w:val="30"/>
                <w:szCs w:val="30"/>
              </w:rPr>
              <w:t>服务对象满意度指标</w:t>
            </w:r>
          </w:p>
        </w:tc>
        <w:tc>
          <w:tcPr>
            <w:tcW w:w="183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3A27B0">
            <w:pPr>
              <w:spacing w:line="560" w:lineRule="exact"/>
              <w:rPr>
                <w:rFonts w:ascii="仿宋_GB2312" w:eastAsia="仿宋_GB2312"/>
                <w:sz w:val="30"/>
                <w:szCs w:val="30"/>
              </w:rPr>
            </w:pPr>
            <w:r>
              <w:rPr>
                <w:rFonts w:ascii="仿宋_GB2312" w:eastAsia="仿宋_GB2312"/>
                <w:sz w:val="30"/>
                <w:szCs w:val="30"/>
              </w:rPr>
              <w:t>服务对象满意度指标</w:t>
            </w:r>
          </w:p>
        </w:tc>
        <w:tc>
          <w:tcPr>
            <w:tcW w:w="7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3219" w:rsidRDefault="00103219" w:rsidP="005A50B8">
            <w:pPr>
              <w:spacing w:line="560" w:lineRule="exact"/>
              <w:rPr>
                <w:rFonts w:ascii="仿宋_GB2312" w:eastAsia="仿宋_GB2312"/>
                <w:sz w:val="30"/>
                <w:szCs w:val="30"/>
              </w:rPr>
            </w:pPr>
            <w:r>
              <w:rPr>
                <w:rFonts w:ascii="宋体" w:hAnsi="宋体" w:cs="宋体" w:hint="eastAsia"/>
                <w:sz w:val="30"/>
                <w:szCs w:val="30"/>
              </w:rPr>
              <w:t>≧</w:t>
            </w:r>
            <w:r>
              <w:rPr>
                <w:rFonts w:ascii="仿宋_GB2312" w:eastAsia="仿宋_GB2312"/>
                <w:sz w:val="30"/>
                <w:szCs w:val="30"/>
              </w:rPr>
              <w:t>99%</w:t>
            </w:r>
          </w:p>
        </w:tc>
      </w:tr>
    </w:tbl>
    <w:p w:rsidR="00FE2728" w:rsidRDefault="00B335DE" w:rsidP="002D56F5">
      <w:pPr>
        <w:spacing w:line="560" w:lineRule="exact"/>
        <w:ind w:left="640" w:firstLineChars="200" w:firstLine="643"/>
        <w:outlineLvl w:val="2"/>
        <w:rPr>
          <w:rFonts w:ascii="仿宋_GB2312" w:eastAsia="仿宋_GB2312"/>
          <w:b/>
          <w:sz w:val="32"/>
          <w:szCs w:val="32"/>
        </w:rPr>
      </w:pPr>
      <w:r>
        <w:rPr>
          <w:rFonts w:ascii="仿宋_GB2312" w:eastAsia="仿宋_GB2312" w:hint="eastAsia"/>
          <w:b/>
          <w:sz w:val="32"/>
          <w:szCs w:val="32"/>
        </w:rPr>
        <w:t>3.评价方法</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按照《北京市项目支出绩效评价管理办法》（京财绩效〔2020〕2146号）的要求，结合本部门、本单位的实际情况撰写部门评价报告。</w:t>
      </w:r>
    </w:p>
    <w:p w:rsidR="00FE2728" w:rsidRDefault="00B335DE" w:rsidP="002D56F5">
      <w:pPr>
        <w:spacing w:line="560" w:lineRule="exact"/>
        <w:ind w:left="640" w:firstLineChars="200" w:firstLine="643"/>
        <w:outlineLvl w:val="2"/>
        <w:rPr>
          <w:rFonts w:ascii="仿宋_GB2312" w:eastAsia="仿宋_GB2312"/>
          <w:b/>
          <w:sz w:val="32"/>
          <w:szCs w:val="32"/>
        </w:rPr>
      </w:pPr>
      <w:r>
        <w:rPr>
          <w:rFonts w:ascii="仿宋_GB2312" w:eastAsia="仿宋_GB2312" w:hint="eastAsia"/>
          <w:b/>
          <w:sz w:val="32"/>
          <w:szCs w:val="32"/>
        </w:rPr>
        <w:t>4.评价标准</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为了保证指标体系的相关性、重要性、可比性、系统性和经济性的原则，考评工作组通过分析研究被评价单位业务资料和财务资料，并与专家组、项目单位充分协商，制定了项目的评价指标体系。</w:t>
      </w:r>
    </w:p>
    <w:p w:rsidR="00FE2728" w:rsidRPr="00053341" w:rsidRDefault="00B335DE" w:rsidP="002D56F5">
      <w:pPr>
        <w:spacing w:line="560" w:lineRule="exact"/>
        <w:ind w:firstLineChars="200" w:firstLine="643"/>
        <w:outlineLvl w:val="1"/>
        <w:rPr>
          <w:rFonts w:ascii="楷体" w:eastAsia="楷体" w:hAnsi="楷体"/>
          <w:b/>
          <w:sz w:val="32"/>
          <w:szCs w:val="32"/>
        </w:rPr>
      </w:pPr>
      <w:r w:rsidRPr="00053341">
        <w:rPr>
          <w:rFonts w:ascii="楷体" w:eastAsia="楷体" w:hAnsi="楷体" w:hint="eastAsia"/>
          <w:b/>
          <w:sz w:val="32"/>
          <w:szCs w:val="32"/>
        </w:rPr>
        <w:t>（三）</w:t>
      </w:r>
      <w:r w:rsidRPr="00053341">
        <w:rPr>
          <w:rFonts w:ascii="楷体" w:eastAsia="楷体" w:hAnsi="楷体"/>
          <w:b/>
          <w:sz w:val="32"/>
          <w:szCs w:val="32"/>
        </w:rPr>
        <w:t>绩效评价工作过程。</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本次评价主要包括前期准备、组织实施、分析评价、撰写与提交评价报告</w:t>
      </w:r>
      <w:r w:rsidR="00A11669">
        <w:rPr>
          <w:rFonts w:ascii="仿宋_GB2312" w:eastAsia="仿宋_GB2312" w:hint="eastAsia"/>
          <w:sz w:val="32"/>
          <w:szCs w:val="32"/>
        </w:rPr>
        <w:t>四</w:t>
      </w:r>
      <w:r>
        <w:rPr>
          <w:rFonts w:ascii="仿宋_GB2312" w:eastAsia="仿宋_GB2312" w:hint="eastAsia"/>
          <w:sz w:val="32"/>
          <w:szCs w:val="32"/>
        </w:rPr>
        <w:t>个阶段。</w:t>
      </w:r>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1.前期准备</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sz w:val="32"/>
          <w:szCs w:val="32"/>
        </w:rPr>
        <w:t>绩效评价工作</w:t>
      </w:r>
      <w:r>
        <w:rPr>
          <w:rFonts w:ascii="仿宋_GB2312" w:eastAsia="仿宋_GB2312" w:hint="eastAsia"/>
          <w:sz w:val="32"/>
          <w:szCs w:val="32"/>
        </w:rPr>
        <w:t>前期准备包含以下十个方面：成立评价工作组；开展前期调研；明确项目绩效目标；设计绩效评价指标体系；确定绩效评价方法；确定现场和非现场评价范围；编制访谈问卷；设计资料清单；制定评价实施方案；评价实施方案论证。</w:t>
      </w:r>
    </w:p>
    <w:p w:rsidR="00FE2728" w:rsidRDefault="00B335DE" w:rsidP="002D56F5">
      <w:pPr>
        <w:spacing w:line="560" w:lineRule="exact"/>
        <w:ind w:firstLineChars="200" w:firstLine="643"/>
        <w:outlineLvl w:val="2"/>
        <w:rPr>
          <w:rFonts w:ascii="仿宋_GB2312" w:eastAsia="仿宋_GB2312"/>
          <w:b/>
          <w:sz w:val="32"/>
          <w:szCs w:val="32"/>
        </w:rPr>
      </w:pPr>
      <w:r>
        <w:rPr>
          <w:rFonts w:ascii="仿宋_GB2312" w:eastAsia="仿宋_GB2312" w:hint="eastAsia"/>
          <w:b/>
          <w:sz w:val="32"/>
          <w:szCs w:val="32"/>
        </w:rPr>
        <w:t>2.组织实施</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1）召开现场评价会：待项目验收后，我院将成立评价小组组织召开由中介机构、专家组、项目单位及项目承担单位人员共同参加的现场评价会。会议就前期了解情况及现场评价中发现的问题与相关人员进行沟通。</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（2）形成专家组意见：现场评价会后，专家出具个人意见，并通过讨论形成对项目总体的初步专家组意见。评价</w:t>
      </w:r>
      <w:r>
        <w:rPr>
          <w:rFonts w:ascii="仿宋_GB2312" w:eastAsia="仿宋_GB2312" w:hint="eastAsia"/>
          <w:sz w:val="32"/>
          <w:szCs w:val="32"/>
        </w:rPr>
        <w:lastRenderedPageBreak/>
        <w:t>小组通过进一步分析相关材料，整理绩效评价报告支撑材料后，充实完善形成项目总体专家组意见。</w:t>
      </w:r>
    </w:p>
    <w:p w:rsidR="00FE2728" w:rsidRDefault="00B335DE" w:rsidP="002D56F5">
      <w:pPr>
        <w:spacing w:line="560" w:lineRule="exact"/>
        <w:ind w:firstLineChars="200" w:firstLine="640"/>
        <w:rPr>
          <w:rFonts w:ascii="楷体_GB2312" w:hAnsi="楷体_GB2312"/>
          <w:sz w:val="32"/>
          <w:szCs w:val="32"/>
        </w:rPr>
      </w:pPr>
      <w:r>
        <w:rPr>
          <w:rFonts w:ascii="仿宋_GB2312" w:eastAsia="仿宋_GB2312" w:hint="eastAsia"/>
          <w:sz w:val="32"/>
          <w:szCs w:val="32"/>
        </w:rPr>
        <w:t>（3）撰写并报送评价报告：根据专家组意见，撰写评价报告，总结本次评价工作，提交绩效评价报告。绩效评价报告的内容主要包括本次评价项目基本情况、绩效评价工作情况、绩效评价指标分析情况、绩效评价结论、相关问题和建议，以及专家组意见等相关附件和附表，可以比较全面地反映绩效评价工作的过程和成果。</w:t>
      </w:r>
    </w:p>
    <w:p w:rsidR="00FE2728" w:rsidRDefault="00B335DE" w:rsidP="002D56F5">
      <w:pPr>
        <w:numPr>
          <w:ilvl w:val="0"/>
          <w:numId w:val="1"/>
        </w:num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综合评价情况及评价结论（附相关评分表）</w:t>
      </w:r>
    </w:p>
    <w:p w:rsidR="00FE2728" w:rsidRDefault="00B335DE" w:rsidP="002D56F5">
      <w:pPr>
        <w:spacing w:line="560" w:lineRule="exact"/>
        <w:ind w:firstLineChars="200" w:firstLine="640"/>
        <w:rPr>
          <w:rFonts w:ascii="仿宋_GB2312" w:eastAsia="仿宋_GB2312"/>
          <w:sz w:val="32"/>
          <w:szCs w:val="32"/>
        </w:rPr>
      </w:pPr>
      <w:r>
        <w:rPr>
          <w:rFonts w:ascii="仿宋_GB2312" w:eastAsia="仿宋_GB2312" w:hint="eastAsia"/>
          <w:sz w:val="32"/>
          <w:szCs w:val="32"/>
        </w:rPr>
        <w:t>绩效评价结果为优秀等级。绩效等级根据项目决策、项目管理和项目绩效得分确定，其中项目决策15分、项目管理29分和项目绩效54分，综合得分为98分。</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评分表：</w:t>
      </w:r>
    </w:p>
    <w:tbl>
      <w:tblPr>
        <w:tblStyle w:val="a5"/>
        <w:tblW w:w="0" w:type="auto"/>
        <w:jc w:val="center"/>
        <w:tblLook w:val="04A0"/>
      </w:tblPr>
      <w:tblGrid>
        <w:gridCol w:w="2840"/>
        <w:gridCol w:w="2840"/>
        <w:gridCol w:w="2840"/>
      </w:tblGrid>
      <w:tr w:rsidR="00FE2728">
        <w:trPr>
          <w:jc w:val="center"/>
        </w:trPr>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绩效类别</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分值</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得分</w:t>
            </w:r>
          </w:p>
        </w:tc>
      </w:tr>
      <w:tr w:rsidR="00FE2728">
        <w:trPr>
          <w:jc w:val="center"/>
        </w:trPr>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项目管理</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30</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29</w:t>
            </w:r>
          </w:p>
        </w:tc>
      </w:tr>
      <w:tr w:rsidR="00FE2728">
        <w:trPr>
          <w:jc w:val="center"/>
        </w:trPr>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项目绩效</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55</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54</w:t>
            </w:r>
          </w:p>
        </w:tc>
      </w:tr>
      <w:tr w:rsidR="00FE2728">
        <w:trPr>
          <w:jc w:val="center"/>
        </w:trPr>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项目决策</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15</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15</w:t>
            </w:r>
          </w:p>
        </w:tc>
      </w:tr>
      <w:tr w:rsidR="00FE2728">
        <w:trPr>
          <w:jc w:val="center"/>
        </w:trPr>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总分</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100</w:t>
            </w:r>
          </w:p>
        </w:tc>
        <w:tc>
          <w:tcPr>
            <w:tcW w:w="2840" w:type="dxa"/>
            <w:vAlign w:val="center"/>
          </w:tcPr>
          <w:p w:rsidR="00FE2728" w:rsidRDefault="00B335DE" w:rsidP="00053341">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98</w:t>
            </w:r>
          </w:p>
        </w:tc>
      </w:tr>
    </w:tbl>
    <w:p w:rsidR="00FE2728" w:rsidRDefault="00B335DE" w:rsidP="00053341">
      <w:pPr>
        <w:numPr>
          <w:ilvl w:val="0"/>
          <w:numId w:val="1"/>
        </w:num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绩效评价指标分析</w:t>
      </w:r>
    </w:p>
    <w:p w:rsidR="00FE2728" w:rsidRDefault="00B335DE" w:rsidP="00053341">
      <w:pPr>
        <w:spacing w:line="560" w:lineRule="exact"/>
        <w:ind w:firstLineChars="200" w:firstLine="640"/>
        <w:outlineLvl w:val="1"/>
        <w:rPr>
          <w:rFonts w:ascii="楷体" w:eastAsia="楷体" w:hAnsi="楷体"/>
          <w:sz w:val="32"/>
          <w:szCs w:val="32"/>
        </w:rPr>
      </w:pPr>
      <w:r>
        <w:rPr>
          <w:rFonts w:ascii="楷体" w:eastAsia="楷体" w:hAnsi="楷体"/>
          <w:sz w:val="32"/>
          <w:szCs w:val="32"/>
        </w:rPr>
        <w:t>（一）项目决策情况</w:t>
      </w:r>
    </w:p>
    <w:p w:rsidR="00FE2728" w:rsidRDefault="00B335DE" w:rsidP="00053341">
      <w:pPr>
        <w:spacing w:line="560" w:lineRule="exact"/>
        <w:ind w:firstLineChars="200" w:firstLine="640"/>
        <w:rPr>
          <w:rFonts w:ascii="楷体_GB2312" w:hAnsi="楷体_GB2312"/>
          <w:sz w:val="32"/>
          <w:szCs w:val="32"/>
        </w:rPr>
      </w:pPr>
      <w:r>
        <w:rPr>
          <w:rFonts w:ascii="仿宋_GB2312" w:eastAsia="仿宋_GB2312" w:hint="eastAsia"/>
          <w:sz w:val="32"/>
          <w:szCs w:val="32"/>
        </w:rPr>
        <w:t>我院成立了以院长邵明艳为组长，分管综合办公室的执行局长马民鹏为副组长，综合办公室、纪检监察室相关负责同志为组员的项目管理小组，由项目管理小组制定具体工作计划和工作方案，各相关业务部门按项目工作计划或工作方</w:t>
      </w:r>
      <w:r>
        <w:rPr>
          <w:rFonts w:ascii="仿宋_GB2312" w:eastAsia="仿宋_GB2312" w:hint="eastAsia"/>
          <w:sz w:val="32"/>
          <w:szCs w:val="32"/>
        </w:rPr>
        <w:lastRenderedPageBreak/>
        <w:t>案的要求开展各项工作，并对项目实施的情况和结果进行总结和自评。</w:t>
      </w:r>
    </w:p>
    <w:p w:rsidR="00FE2728" w:rsidRDefault="00B335DE" w:rsidP="00053341">
      <w:pPr>
        <w:numPr>
          <w:ilvl w:val="0"/>
          <w:numId w:val="2"/>
        </w:numPr>
        <w:spacing w:line="560" w:lineRule="exact"/>
        <w:ind w:firstLineChars="200" w:firstLine="640"/>
        <w:outlineLvl w:val="1"/>
        <w:rPr>
          <w:rFonts w:ascii="楷体" w:eastAsia="楷体" w:hAnsi="楷体"/>
          <w:sz w:val="32"/>
          <w:szCs w:val="32"/>
        </w:rPr>
      </w:pPr>
      <w:r>
        <w:rPr>
          <w:rFonts w:ascii="楷体" w:eastAsia="楷体" w:hAnsi="楷体"/>
          <w:sz w:val="32"/>
          <w:szCs w:val="32"/>
        </w:rPr>
        <w:t>项目过程情况</w:t>
      </w:r>
    </w:p>
    <w:p w:rsidR="00FE2728" w:rsidRDefault="00B335DE" w:rsidP="00053341">
      <w:pPr>
        <w:spacing w:line="560" w:lineRule="exact"/>
        <w:ind w:firstLineChars="200" w:firstLine="640"/>
        <w:rPr>
          <w:rFonts w:ascii="楷体_GB2312" w:hAnsi="楷体_GB2312"/>
          <w:sz w:val="32"/>
          <w:szCs w:val="32"/>
        </w:rPr>
      </w:pPr>
      <w:r>
        <w:rPr>
          <w:rFonts w:ascii="仿宋_GB2312" w:eastAsia="仿宋_GB2312" w:hint="eastAsia"/>
          <w:sz w:val="32"/>
          <w:szCs w:val="32"/>
        </w:rPr>
        <w:t>我院于2</w:t>
      </w:r>
      <w:r>
        <w:rPr>
          <w:rFonts w:ascii="仿宋_GB2312" w:eastAsia="仿宋_GB2312"/>
          <w:sz w:val="32"/>
          <w:szCs w:val="32"/>
        </w:rPr>
        <w:t>0</w:t>
      </w:r>
      <w:r>
        <w:rPr>
          <w:rFonts w:ascii="仿宋_GB2312" w:eastAsia="仿宋_GB2312" w:hint="eastAsia"/>
          <w:sz w:val="32"/>
          <w:szCs w:val="32"/>
        </w:rPr>
        <w:t>22年年中进行2</w:t>
      </w:r>
      <w:r>
        <w:rPr>
          <w:rFonts w:ascii="仿宋_GB2312" w:eastAsia="仿宋_GB2312"/>
          <w:sz w:val="32"/>
          <w:szCs w:val="32"/>
        </w:rPr>
        <w:t>02</w:t>
      </w:r>
      <w:r>
        <w:rPr>
          <w:rFonts w:ascii="仿宋_GB2312" w:eastAsia="仿宋_GB2312" w:hint="eastAsia"/>
          <w:sz w:val="32"/>
          <w:szCs w:val="32"/>
        </w:rPr>
        <w:t>3年度资金预算申报，2023年资金到位后，第一时间按照政府采购流程</w:t>
      </w:r>
      <w:bookmarkStart w:id="6" w:name="_GoBack"/>
      <w:bookmarkEnd w:id="6"/>
      <w:r>
        <w:rPr>
          <w:rFonts w:ascii="仿宋_GB2312" w:eastAsia="仿宋_GB2312" w:hint="eastAsia"/>
          <w:sz w:val="32"/>
          <w:szCs w:val="32"/>
        </w:rPr>
        <w:t>和招投标流程开展实际的招投标采购工作。在实施环节，由项目管理小组全程参与，保障运维工作的开展的方向性、合理性和合规性。并于2</w:t>
      </w:r>
      <w:r>
        <w:rPr>
          <w:rFonts w:ascii="仿宋_GB2312" w:eastAsia="仿宋_GB2312"/>
          <w:sz w:val="32"/>
          <w:szCs w:val="32"/>
        </w:rPr>
        <w:t>02</w:t>
      </w:r>
      <w:r>
        <w:rPr>
          <w:rFonts w:ascii="仿宋_GB2312" w:eastAsia="仿宋_GB2312" w:hint="eastAsia"/>
          <w:sz w:val="32"/>
          <w:szCs w:val="32"/>
        </w:rPr>
        <w:t>3年底顺利完成本次运维工作。</w:t>
      </w:r>
    </w:p>
    <w:p w:rsidR="00FE2728" w:rsidRDefault="00B335DE" w:rsidP="00053341">
      <w:pPr>
        <w:numPr>
          <w:ilvl w:val="0"/>
          <w:numId w:val="2"/>
        </w:numPr>
        <w:spacing w:line="560" w:lineRule="exact"/>
        <w:ind w:firstLineChars="200" w:firstLine="640"/>
        <w:outlineLvl w:val="1"/>
        <w:rPr>
          <w:rFonts w:ascii="楷体" w:eastAsia="楷体" w:hAnsi="楷体"/>
          <w:sz w:val="32"/>
          <w:szCs w:val="32"/>
        </w:rPr>
      </w:pPr>
      <w:r>
        <w:rPr>
          <w:rFonts w:ascii="楷体" w:eastAsia="楷体" w:hAnsi="楷体"/>
          <w:sz w:val="32"/>
          <w:szCs w:val="32"/>
        </w:rPr>
        <w:t>项目产出情况</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本年度我院运维工作人员产出情况如下：</w:t>
      </w:r>
    </w:p>
    <w:p w:rsidR="00FE2728" w:rsidRDefault="00B335DE" w:rsidP="00053341">
      <w:pPr>
        <w:spacing w:line="560" w:lineRule="exact"/>
        <w:ind w:firstLineChars="200" w:firstLine="640"/>
        <w:rPr>
          <w:rFonts w:ascii="楷体_GB2312" w:hAnsi="楷体_GB2312"/>
          <w:sz w:val="32"/>
          <w:szCs w:val="32"/>
        </w:rPr>
      </w:pPr>
      <w:r>
        <w:rPr>
          <w:rFonts w:ascii="仿宋_GB2312" w:eastAsia="仿宋_GB2312" w:hint="eastAsia"/>
          <w:sz w:val="32"/>
          <w:szCs w:val="32"/>
        </w:rPr>
        <w:t>2023年信息技术共处理院内服务事件</w:t>
      </w:r>
      <w:r w:rsidR="00F57327">
        <w:rPr>
          <w:rFonts w:ascii="仿宋_GB2312" w:eastAsia="仿宋_GB2312" w:hint="eastAsia"/>
          <w:sz w:val="32"/>
          <w:szCs w:val="32"/>
        </w:rPr>
        <w:t>71465</w:t>
      </w:r>
      <w:r>
        <w:rPr>
          <w:rFonts w:ascii="仿宋_GB2312" w:eastAsia="仿宋_GB2312" w:hint="eastAsia"/>
          <w:sz w:val="32"/>
          <w:szCs w:val="32"/>
        </w:rPr>
        <w:t>件，其中包括应用类服务25735次，系统类服务1487次，综合显示系统服务234次，互联网庭审保障服务9604次，终端类服务4301次，技术相关会议保障类服务696次，安防监控系统1193件，有线电视系统348件，综合布线系统1491件，报警系统291件，楼宇自控系统290件，停车场管理系统390件，门禁系统1061件，POS消费系统268件，办公电话系统931件，计算机网络系统1066件，法庭会议扩声系统31件，UPS系统264件，对讲系统353件，庭审刻录系统8026件，其他各项巡检13405余次。</w:t>
      </w:r>
    </w:p>
    <w:p w:rsidR="00FE2728" w:rsidRDefault="00B335DE" w:rsidP="00053341">
      <w:pPr>
        <w:numPr>
          <w:ilvl w:val="0"/>
          <w:numId w:val="2"/>
        </w:numPr>
        <w:spacing w:line="560" w:lineRule="exact"/>
        <w:ind w:firstLineChars="200" w:firstLine="640"/>
        <w:outlineLvl w:val="1"/>
        <w:rPr>
          <w:rFonts w:ascii="楷体" w:eastAsia="楷体" w:hAnsi="楷体"/>
          <w:sz w:val="32"/>
          <w:szCs w:val="32"/>
        </w:rPr>
      </w:pPr>
      <w:r>
        <w:rPr>
          <w:rFonts w:ascii="楷体" w:eastAsia="楷体" w:hAnsi="楷体"/>
          <w:sz w:val="32"/>
          <w:szCs w:val="32"/>
        </w:rPr>
        <w:t>项目效益情况</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该项目通过引进信息化系统运维服务，</w:t>
      </w:r>
      <w:r w:rsidR="00DD53D0">
        <w:rPr>
          <w:rFonts w:ascii="仿宋_GB2312" w:eastAsia="仿宋_GB2312" w:hint="eastAsia"/>
          <w:sz w:val="32"/>
          <w:szCs w:val="32"/>
        </w:rPr>
        <w:t>由</w:t>
      </w:r>
      <w:r>
        <w:rPr>
          <w:rFonts w:ascii="仿宋_GB2312" w:eastAsia="仿宋_GB2312" w:hint="eastAsia"/>
          <w:sz w:val="32"/>
          <w:szCs w:val="32"/>
        </w:rPr>
        <w:t>专业公司现场服务，利用其专业化特点和人才优势，充分保障我院各类信息化系统的高效、稳定、安全运营，把运营维护资金的使用</w:t>
      </w:r>
      <w:r>
        <w:rPr>
          <w:rFonts w:ascii="仿宋_GB2312" w:eastAsia="仿宋_GB2312" w:hint="eastAsia"/>
          <w:sz w:val="32"/>
          <w:szCs w:val="32"/>
        </w:rPr>
        <w:lastRenderedPageBreak/>
        <w:t>效益最大化，避免信息化设备因无人维护而产生高额的维修费用。</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通过跨域立案、在线调解、远程开庭、线上开庭、便民终端自助查询案件等技术手段，为社会公众诉讼提供便利，落实“科技强院”的指导方针，提高阳光执法、加强司法公开，维护社会的和谐稳定性，社会公众满意度不断提高。</w:t>
      </w:r>
    </w:p>
    <w:p w:rsidR="00FE2728" w:rsidRDefault="00B335DE" w:rsidP="00053341">
      <w:pPr>
        <w:spacing w:line="560" w:lineRule="exact"/>
        <w:ind w:firstLineChars="200" w:firstLine="640"/>
        <w:rPr>
          <w:rFonts w:ascii="楷体_GB2312" w:hAnsi="楷体_GB2312"/>
          <w:sz w:val="32"/>
          <w:szCs w:val="32"/>
        </w:rPr>
      </w:pPr>
      <w:r>
        <w:rPr>
          <w:rFonts w:ascii="仿宋_GB2312" w:eastAsia="仿宋_GB2312" w:hint="eastAsia"/>
          <w:sz w:val="32"/>
          <w:szCs w:val="32"/>
        </w:rPr>
        <w:t>2023年云法庭及互联网法庭的使用，持续进行“隔空”庭审模式，法官和当事人通过计算机网络技术建立链接，远程完成提交证据、证据交换、证据批注、笔录自动生成、在线确认等环节，方便快捷的处理案件纠纷，</w:t>
      </w:r>
      <w:r w:rsidR="00DD53D0">
        <w:rPr>
          <w:rFonts w:ascii="仿宋_GB2312" w:eastAsia="仿宋_GB2312" w:hint="eastAsia"/>
          <w:sz w:val="32"/>
          <w:szCs w:val="32"/>
        </w:rPr>
        <w:t>让数据多跑腿群众少跑路</w:t>
      </w:r>
      <w:r>
        <w:rPr>
          <w:rFonts w:ascii="仿宋_GB2312" w:eastAsia="仿宋_GB2312" w:hint="eastAsia"/>
          <w:sz w:val="32"/>
          <w:szCs w:val="32"/>
        </w:rPr>
        <w:t>，给当事人和法官都提供了便利。</w:t>
      </w:r>
    </w:p>
    <w:p w:rsidR="00FE2728" w:rsidRDefault="00B335DE" w:rsidP="00053341">
      <w:pPr>
        <w:numPr>
          <w:ilvl w:val="0"/>
          <w:numId w:val="1"/>
        </w:num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主要经验及做法、存在的问题及原因分析</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问题及原因：现场维护内容</w:t>
      </w:r>
      <w:r w:rsidR="00DD53D0">
        <w:rPr>
          <w:rFonts w:ascii="仿宋_GB2312" w:eastAsia="仿宋_GB2312" w:hint="eastAsia"/>
          <w:sz w:val="32"/>
          <w:szCs w:val="32"/>
        </w:rPr>
        <w:t>繁复，各维护单位服务人员技术以及业务能力参差不齐，</w:t>
      </w:r>
      <w:r>
        <w:rPr>
          <w:rFonts w:ascii="仿宋_GB2312" w:eastAsia="仿宋_GB2312" w:hint="eastAsia"/>
          <w:sz w:val="32"/>
          <w:szCs w:val="32"/>
        </w:rPr>
        <w:t>对运维服务人员技术能力需求上升；</w:t>
      </w:r>
    </w:p>
    <w:p w:rsidR="00FE2728" w:rsidRDefault="00B335DE" w:rsidP="00053341">
      <w:pPr>
        <w:spacing w:line="560" w:lineRule="exact"/>
        <w:ind w:firstLineChars="200" w:firstLine="640"/>
        <w:rPr>
          <w:rFonts w:ascii="黑体" w:eastAsia="黑体" w:hAnsi="黑体"/>
          <w:sz w:val="32"/>
          <w:szCs w:val="32"/>
        </w:rPr>
      </w:pPr>
      <w:r>
        <w:rPr>
          <w:rFonts w:ascii="仿宋_GB2312" w:eastAsia="仿宋_GB2312" w:hint="eastAsia"/>
          <w:sz w:val="32"/>
          <w:szCs w:val="32"/>
        </w:rPr>
        <w:t>因我院信息化建设较早，基础设施和应用系统数量较多，需要更完善的运维管理制度，以及运维自动化工具来实现信息化管理工作</w:t>
      </w:r>
      <w:r w:rsidR="00053341">
        <w:rPr>
          <w:rFonts w:ascii="仿宋_GB2312" w:eastAsia="仿宋_GB2312" w:hint="eastAsia"/>
          <w:sz w:val="32"/>
          <w:szCs w:val="32"/>
        </w:rPr>
        <w:t>。</w:t>
      </w:r>
    </w:p>
    <w:p w:rsidR="00FE2728" w:rsidRDefault="00B335DE" w:rsidP="00053341">
      <w:pPr>
        <w:numPr>
          <w:ilvl w:val="0"/>
          <w:numId w:val="1"/>
        </w:num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有关建议</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要求各维护单位完善服务人员的技术能力提升体系，完善运维服务人员培训机制，提升</w:t>
      </w:r>
      <w:r w:rsidR="00DD53D0">
        <w:rPr>
          <w:rFonts w:ascii="仿宋_GB2312" w:eastAsia="仿宋_GB2312" w:hint="eastAsia"/>
          <w:sz w:val="32"/>
          <w:szCs w:val="32"/>
        </w:rPr>
        <w:t>人员</w:t>
      </w:r>
      <w:r>
        <w:rPr>
          <w:rFonts w:ascii="仿宋_GB2312" w:eastAsia="仿宋_GB2312" w:hint="eastAsia"/>
          <w:sz w:val="32"/>
          <w:szCs w:val="32"/>
        </w:rPr>
        <w:t>技能，提高工作效率。</w:t>
      </w:r>
    </w:p>
    <w:p w:rsidR="00FE2728" w:rsidRDefault="00B335DE" w:rsidP="00053341">
      <w:pPr>
        <w:spacing w:line="560" w:lineRule="exact"/>
        <w:ind w:firstLineChars="200" w:firstLine="640"/>
        <w:rPr>
          <w:rFonts w:ascii="仿宋_GB2312" w:eastAsia="仿宋_GB2312"/>
          <w:sz w:val="32"/>
          <w:szCs w:val="32"/>
        </w:rPr>
      </w:pPr>
      <w:r>
        <w:rPr>
          <w:rFonts w:ascii="仿宋_GB2312" w:eastAsia="仿宋_GB2312" w:hint="eastAsia"/>
          <w:sz w:val="32"/>
          <w:szCs w:val="32"/>
        </w:rPr>
        <w:t>完善运维管理制度，保障运维管理制度的全覆盖，加强运维管理制度的合理性，同时借助运维自动化工具，加强运维服务管理工具的易用性。</w:t>
      </w:r>
    </w:p>
    <w:sectPr w:rsidR="00FE2728" w:rsidSect="00FE272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D3E" w:rsidRDefault="00EA7D3E" w:rsidP="00FE2728">
      <w:r>
        <w:separator/>
      </w:r>
    </w:p>
  </w:endnote>
  <w:endnote w:type="continuationSeparator" w:id="1">
    <w:p w:rsidR="00EA7D3E" w:rsidRDefault="00EA7D3E" w:rsidP="00FE27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33413"/>
    </w:sdtPr>
    <w:sdtContent>
      <w:p w:rsidR="00FE2728" w:rsidRDefault="00490E99">
        <w:pPr>
          <w:pStyle w:val="a3"/>
          <w:jc w:val="center"/>
        </w:pPr>
        <w:r w:rsidRPr="00490E99">
          <w:fldChar w:fldCharType="begin"/>
        </w:r>
        <w:r w:rsidR="00B335DE">
          <w:instrText xml:space="preserve"> PAGE   \* MERGEFORMAT </w:instrText>
        </w:r>
        <w:r w:rsidRPr="00490E99">
          <w:fldChar w:fldCharType="separate"/>
        </w:r>
        <w:r w:rsidR="002D56F5" w:rsidRPr="002D56F5">
          <w:rPr>
            <w:noProof/>
            <w:lang w:val="zh-CN"/>
          </w:rPr>
          <w:t>2</w:t>
        </w:r>
        <w:r>
          <w:rPr>
            <w:lang w:val="zh-CN"/>
          </w:rPr>
          <w:fldChar w:fldCharType="end"/>
        </w:r>
      </w:p>
    </w:sdtContent>
  </w:sdt>
  <w:p w:rsidR="00FE2728" w:rsidRDefault="00FE272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D3E" w:rsidRDefault="00EA7D3E" w:rsidP="00FE2728">
      <w:r>
        <w:separator/>
      </w:r>
    </w:p>
  </w:footnote>
  <w:footnote w:type="continuationSeparator" w:id="1">
    <w:p w:rsidR="00EA7D3E" w:rsidRDefault="00EA7D3E" w:rsidP="00FE27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FD56E6"/>
    <w:multiLevelType w:val="singleLevel"/>
    <w:tmpl w:val="BDFD56E6"/>
    <w:lvl w:ilvl="0">
      <w:start w:val="2"/>
      <w:numFmt w:val="chineseCounting"/>
      <w:suff w:val="nothing"/>
      <w:lvlText w:val="（%1）"/>
      <w:lvlJc w:val="left"/>
      <w:rPr>
        <w:rFonts w:hint="eastAsia"/>
      </w:rPr>
    </w:lvl>
  </w:abstractNum>
  <w:abstractNum w:abstractNumId="1">
    <w:nsid w:val="7C380614"/>
    <w:multiLevelType w:val="singleLevel"/>
    <w:tmpl w:val="7C380614"/>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czNzE1MDc0ZGM3OGRjMmU4NTAxYWFhNjQxZTQ3MTEifQ=="/>
  </w:docVars>
  <w:rsids>
    <w:rsidRoot w:val="003113DA"/>
    <w:rsid w:val="0001582C"/>
    <w:rsid w:val="00046D7A"/>
    <w:rsid w:val="00053341"/>
    <w:rsid w:val="000B4A68"/>
    <w:rsid w:val="00102050"/>
    <w:rsid w:val="00103219"/>
    <w:rsid w:val="001245E7"/>
    <w:rsid w:val="00152907"/>
    <w:rsid w:val="001618B0"/>
    <w:rsid w:val="00285B97"/>
    <w:rsid w:val="002D56F5"/>
    <w:rsid w:val="002F33F7"/>
    <w:rsid w:val="003113DA"/>
    <w:rsid w:val="00364B0C"/>
    <w:rsid w:val="003905DD"/>
    <w:rsid w:val="003955A8"/>
    <w:rsid w:val="003A27B0"/>
    <w:rsid w:val="003B6C3C"/>
    <w:rsid w:val="003F7079"/>
    <w:rsid w:val="00461D7E"/>
    <w:rsid w:val="00490E99"/>
    <w:rsid w:val="004B79AB"/>
    <w:rsid w:val="004D52C0"/>
    <w:rsid w:val="00542DA9"/>
    <w:rsid w:val="005A50B8"/>
    <w:rsid w:val="006241E7"/>
    <w:rsid w:val="00644BE7"/>
    <w:rsid w:val="00655550"/>
    <w:rsid w:val="00675FB7"/>
    <w:rsid w:val="006B268E"/>
    <w:rsid w:val="006D0DAA"/>
    <w:rsid w:val="006F24B2"/>
    <w:rsid w:val="00721843"/>
    <w:rsid w:val="00793B75"/>
    <w:rsid w:val="00846594"/>
    <w:rsid w:val="008479E0"/>
    <w:rsid w:val="00894F91"/>
    <w:rsid w:val="008D4893"/>
    <w:rsid w:val="008D7DB7"/>
    <w:rsid w:val="008E021A"/>
    <w:rsid w:val="008F6B86"/>
    <w:rsid w:val="0090496A"/>
    <w:rsid w:val="00943280"/>
    <w:rsid w:val="00A11669"/>
    <w:rsid w:val="00A16E46"/>
    <w:rsid w:val="00A72D5E"/>
    <w:rsid w:val="00AF084A"/>
    <w:rsid w:val="00AF13B6"/>
    <w:rsid w:val="00B335DE"/>
    <w:rsid w:val="00BC75D9"/>
    <w:rsid w:val="00BD56D9"/>
    <w:rsid w:val="00C47C86"/>
    <w:rsid w:val="00CB1D3B"/>
    <w:rsid w:val="00CF78A3"/>
    <w:rsid w:val="00D0641B"/>
    <w:rsid w:val="00D374DE"/>
    <w:rsid w:val="00D62E5F"/>
    <w:rsid w:val="00DA6BB2"/>
    <w:rsid w:val="00DD53D0"/>
    <w:rsid w:val="00DE2755"/>
    <w:rsid w:val="00DE3B01"/>
    <w:rsid w:val="00EA7D3E"/>
    <w:rsid w:val="00F57327"/>
    <w:rsid w:val="00F92827"/>
    <w:rsid w:val="00FE2728"/>
    <w:rsid w:val="00FE7AA5"/>
    <w:rsid w:val="00FF7AA0"/>
    <w:rsid w:val="032033ED"/>
    <w:rsid w:val="09AE46B8"/>
    <w:rsid w:val="09B82176"/>
    <w:rsid w:val="1165571B"/>
    <w:rsid w:val="12EF2B44"/>
    <w:rsid w:val="1A317E94"/>
    <w:rsid w:val="28AD3ACA"/>
    <w:rsid w:val="34002D19"/>
    <w:rsid w:val="3451224B"/>
    <w:rsid w:val="39E17936"/>
    <w:rsid w:val="3B7B29A4"/>
    <w:rsid w:val="40832F57"/>
    <w:rsid w:val="416C39BC"/>
    <w:rsid w:val="41D52587"/>
    <w:rsid w:val="4970155D"/>
    <w:rsid w:val="58B6220C"/>
    <w:rsid w:val="65095CA3"/>
    <w:rsid w:val="651352A3"/>
    <w:rsid w:val="75F95225"/>
    <w:rsid w:val="7EE214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72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E272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E2728"/>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FE27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FE2728"/>
    <w:rPr>
      <w:kern w:val="2"/>
      <w:sz w:val="18"/>
      <w:szCs w:val="18"/>
    </w:rPr>
  </w:style>
  <w:style w:type="character" w:customStyle="1" w:styleId="Char">
    <w:name w:val="页脚 Char"/>
    <w:basedOn w:val="a0"/>
    <w:link w:val="a3"/>
    <w:uiPriority w:val="99"/>
    <w:qFormat/>
    <w:rsid w:val="00FE2728"/>
    <w:rPr>
      <w:kern w:val="2"/>
      <w:sz w:val="18"/>
      <w:szCs w:val="18"/>
    </w:rPr>
  </w:style>
  <w:style w:type="paragraph" w:styleId="a6">
    <w:name w:val="Balloon Text"/>
    <w:basedOn w:val="a"/>
    <w:link w:val="Char1"/>
    <w:uiPriority w:val="99"/>
    <w:semiHidden/>
    <w:unhideWhenUsed/>
    <w:rsid w:val="008D7DB7"/>
    <w:rPr>
      <w:sz w:val="18"/>
      <w:szCs w:val="18"/>
    </w:rPr>
  </w:style>
  <w:style w:type="character" w:customStyle="1" w:styleId="Char1">
    <w:name w:val="批注框文本 Char"/>
    <w:basedOn w:val="a0"/>
    <w:link w:val="a6"/>
    <w:uiPriority w:val="99"/>
    <w:semiHidden/>
    <w:rsid w:val="008D7DB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AF1AB8-2CDB-48A4-91FD-FF16FA81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675</Words>
  <Characters>3851</Characters>
  <Application>Microsoft Office Word</Application>
  <DocSecurity>0</DocSecurity>
  <Lines>32</Lines>
  <Paragraphs>9</Paragraphs>
  <ScaleCrop>false</ScaleCrop>
  <Company>Lenovo</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20</cp:revision>
  <dcterms:created xsi:type="dcterms:W3CDTF">2024-05-20T01:32:00Z</dcterms:created>
  <dcterms:modified xsi:type="dcterms:W3CDTF">2024-08-13T03:13:00Z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C21E8C93D3324213A805F3C7E79F6166_13</vt:lpwstr>
  </property>
</Properties>
</file>