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4A8" w:rsidRDefault="00E444A8" w:rsidP="00E444A8">
      <w:pPr>
        <w:snapToGrid w:val="0"/>
        <w:spacing w:line="560" w:lineRule="exact"/>
        <w:jc w:val="center"/>
        <w:rPr>
          <w:rFonts w:ascii="方正小标宋简体" w:eastAsia="方正小标宋简体" w:hAnsi="黑体" w:cs="Arial"/>
          <w:sz w:val="44"/>
          <w:szCs w:val="44"/>
        </w:rPr>
      </w:pPr>
      <w:r>
        <w:rPr>
          <w:rFonts w:ascii="方正小标宋简体" w:eastAsia="方正小标宋简体" w:hAnsi="方正小标宋简体" w:cs="Arial" w:hint="eastAsia"/>
          <w:sz w:val="44"/>
          <w:szCs w:val="44"/>
        </w:rPr>
        <w:t>2023年部门整体绩效报告</w:t>
      </w:r>
    </w:p>
    <w:p w:rsidR="00E444A8" w:rsidRDefault="00E444A8" w:rsidP="00E444A8">
      <w:pPr>
        <w:pStyle w:val="2"/>
      </w:pPr>
      <w:r>
        <w:t xml:space="preserve"> </w:t>
      </w:r>
    </w:p>
    <w:p w:rsidR="00E444A8" w:rsidRDefault="00E444A8" w:rsidP="00207C76">
      <w:pPr>
        <w:snapToGrid w:val="0"/>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E444A8" w:rsidRPr="008B5BBC" w:rsidRDefault="00E444A8" w:rsidP="00207C76">
      <w:pPr>
        <w:snapToGrid w:val="0"/>
        <w:spacing w:line="560" w:lineRule="exact"/>
        <w:ind w:firstLineChars="200" w:firstLine="643"/>
        <w:rPr>
          <w:rFonts w:ascii="楷体" w:eastAsia="楷体" w:hAnsi="楷体"/>
          <w:b/>
          <w:bCs/>
          <w:sz w:val="32"/>
          <w:szCs w:val="32"/>
        </w:rPr>
      </w:pPr>
      <w:r w:rsidRPr="008B5BBC">
        <w:rPr>
          <w:rFonts w:ascii="楷体" w:eastAsia="楷体" w:hAnsi="楷体"/>
          <w:b/>
          <w:bCs/>
          <w:sz w:val="32"/>
          <w:szCs w:val="32"/>
        </w:rPr>
        <w:t>（一）机构设置及职责工作任务情况</w:t>
      </w:r>
    </w:p>
    <w:p w:rsidR="00E444A8" w:rsidRDefault="00E444A8" w:rsidP="00207C76">
      <w:pPr>
        <w:snapToGrid w:val="0"/>
        <w:spacing w:line="560" w:lineRule="exact"/>
        <w:ind w:firstLineChars="200" w:firstLine="640"/>
        <w:rPr>
          <w:rFonts w:ascii="仿宋_GB2312" w:eastAsia="仿宋_GB2312" w:cs="Droid Sans"/>
          <w:color w:val="000000"/>
          <w:sz w:val="32"/>
          <w:szCs w:val="32"/>
        </w:rPr>
      </w:pPr>
      <w:r>
        <w:rPr>
          <w:rFonts w:ascii="仿宋_GB2312" w:eastAsia="仿宋_GB2312" w:hAnsi="Times New Roman" w:cs="Droid Sans" w:hint="eastAsia"/>
          <w:color w:val="000000"/>
          <w:sz w:val="32"/>
          <w:szCs w:val="32"/>
        </w:rPr>
        <w:t>北京市海淀区人民法院是国家审判机关，性质为行政单位。北京市海淀区人民法院的职责是审理辖区内刑事、民商事和行政等案件，依法执行已发生法律效力的判决、裁定以及国家行政机关依法申请执行的案件。</w:t>
      </w:r>
    </w:p>
    <w:p w:rsidR="00E444A8" w:rsidRDefault="00E444A8" w:rsidP="00207C76">
      <w:pPr>
        <w:snapToGrid w:val="0"/>
        <w:spacing w:line="560" w:lineRule="exact"/>
        <w:ind w:firstLineChars="200" w:firstLine="640"/>
        <w:rPr>
          <w:rFonts w:ascii="仿宋_GB2312" w:eastAsia="仿宋_GB2312"/>
          <w:sz w:val="32"/>
          <w:szCs w:val="32"/>
        </w:rPr>
      </w:pPr>
      <w:r>
        <w:rPr>
          <w:rFonts w:ascii="仿宋_GB2312" w:eastAsia="仿宋_GB2312" w:hAnsi="Times New Roman" w:hint="eastAsia"/>
          <w:sz w:val="32"/>
          <w:szCs w:val="32"/>
        </w:rPr>
        <w:t>北京市海淀区人民法院内设14个部门及7个派出法庭，分别为立案庭（诉讼服务中心）、刑事审判庭（未成年人案件审判庭）、民事审判一庭、民事审判二庭（劳动争议审判庭）、民事审判三庭（破产审判庭）、民事审判四庭、民事审判五庭（知识产权审判庭）、行政审判庭、综合审判庭、执行局、审判管理办公室（研究室）、政治部（机关党委、机关纪委）、综合办公室、司法警察大队，东升人民法庭、复兴路人民法庭、山后人民法庭、四季青人民法庭、上地人民法庭、温泉人民法庭、中关村人民法庭。</w:t>
      </w:r>
    </w:p>
    <w:p w:rsidR="00E444A8" w:rsidRDefault="00E444A8" w:rsidP="00207C76">
      <w:pPr>
        <w:snapToGrid w:val="0"/>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北京市海淀区人民法院包含1个预算单位，即北京市海淀区人民法院（本级）。</w:t>
      </w:r>
    </w:p>
    <w:p w:rsidR="00E444A8" w:rsidRDefault="00E444A8" w:rsidP="00207C76">
      <w:pPr>
        <w:snapToGrid w:val="0"/>
        <w:spacing w:line="560" w:lineRule="exact"/>
        <w:ind w:firstLineChars="200" w:firstLine="640"/>
      </w:pPr>
      <w:r>
        <w:rPr>
          <w:rFonts w:ascii="仿宋_GB2312" w:eastAsia="仿宋_GB2312" w:hAnsi="Times New Roman" w:hint="eastAsia"/>
          <w:sz w:val="32"/>
          <w:szCs w:val="32"/>
        </w:rPr>
        <w:t>2023年，海淀法院在区委领导、上级法院指导下，坚持以习近平新时代中国特色社会主义思想为指导，深入学习贯彻党的二十大精神及习近平总书记对政法工作重要指示精神，全面贯彻习近平法治思想，贯彻新发展理念，落实高质量发展要求，服务大局、司法为民、公正司法，坚持“六位</w:t>
      </w:r>
      <w:r>
        <w:rPr>
          <w:rFonts w:ascii="仿宋_GB2312" w:eastAsia="仿宋_GB2312" w:hAnsi="Times New Roman" w:hint="eastAsia"/>
          <w:sz w:val="32"/>
          <w:szCs w:val="32"/>
        </w:rPr>
        <w:lastRenderedPageBreak/>
        <w:t>一体”工作格局，以精准服务、精细管理、精品裁判、精心育才推动法院精进发展，奋力推进法院工作现代化，为加快建设现代化强区高品质海淀提供有力司法保障。</w:t>
      </w:r>
    </w:p>
    <w:p w:rsidR="00E444A8" w:rsidRPr="008B5BBC" w:rsidRDefault="00EC562A" w:rsidP="00207C76">
      <w:pPr>
        <w:snapToGrid w:val="0"/>
        <w:spacing w:line="560" w:lineRule="exact"/>
        <w:ind w:firstLineChars="200" w:firstLine="643"/>
        <w:rPr>
          <w:rFonts w:ascii="楷体" w:eastAsia="楷体" w:hAnsi="楷体"/>
          <w:b/>
          <w:bCs/>
          <w:sz w:val="32"/>
          <w:szCs w:val="32"/>
        </w:rPr>
      </w:pPr>
      <w:r>
        <w:rPr>
          <w:rFonts w:ascii="楷体" w:eastAsia="楷体" w:hAnsi="楷体" w:hint="eastAsia"/>
          <w:b/>
          <w:bCs/>
          <w:sz w:val="32"/>
          <w:szCs w:val="32"/>
        </w:rPr>
        <w:t>(二)</w:t>
      </w:r>
      <w:r w:rsidR="00E444A8" w:rsidRPr="008B5BBC">
        <w:rPr>
          <w:rFonts w:ascii="楷体" w:eastAsia="楷体" w:hAnsi="楷体"/>
          <w:b/>
          <w:bCs/>
          <w:sz w:val="32"/>
          <w:szCs w:val="32"/>
        </w:rPr>
        <w:t>部门整体绩效目标设立情况</w:t>
      </w:r>
    </w:p>
    <w:p w:rsidR="00E444A8" w:rsidRDefault="00E444A8" w:rsidP="00207C76">
      <w:pPr>
        <w:snapToGrid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1.满意度指标-服务对象满意度指标</w:t>
      </w:r>
    </w:p>
    <w:p w:rsidR="00E444A8" w:rsidRDefault="00E444A8" w:rsidP="00207C76">
      <w:pPr>
        <w:snapToGrid w:val="0"/>
        <w:spacing w:line="560" w:lineRule="exact"/>
        <w:ind w:firstLineChars="200" w:firstLine="640"/>
        <w:rPr>
          <w:sz w:val="32"/>
          <w:szCs w:val="32"/>
        </w:rPr>
      </w:pPr>
      <w:r>
        <w:rPr>
          <w:rFonts w:ascii="仿宋_GB2312" w:eastAsia="仿宋_GB2312" w:hint="eastAsia"/>
          <w:sz w:val="32"/>
          <w:szCs w:val="32"/>
        </w:rPr>
        <w:t>牢牢把握司法为民根本宗旨，不断提升人民群众对公正司法的获得感。全面加强民生司法保障；全面保护未成年人合法权益；全面优化一站式诉讼服务体系建设；全面巩固解决执行难长效机制。努力让人民群众在每一个司法案件中感受到公平正义。</w:t>
      </w:r>
    </w:p>
    <w:p w:rsidR="00E444A8" w:rsidRDefault="00E444A8" w:rsidP="00207C76">
      <w:pPr>
        <w:snapToGrid w:val="0"/>
        <w:spacing w:line="560" w:lineRule="exact"/>
        <w:ind w:firstLineChars="200" w:firstLine="640"/>
        <w:rPr>
          <w:sz w:val="32"/>
          <w:szCs w:val="32"/>
        </w:rPr>
      </w:pPr>
      <w:r>
        <w:rPr>
          <w:rFonts w:ascii="仿宋_GB2312" w:eastAsia="仿宋_GB2312" w:hint="eastAsia"/>
          <w:sz w:val="32"/>
          <w:szCs w:val="32"/>
        </w:rPr>
        <w:t>依法接受人大监督，主动向区人大常委会报告重要工作、重大改革。畅通代表委员、社会各界监督渠道，健全接受检察机关法律监督工作机制，提高司法公开的质量和实效。</w:t>
      </w:r>
    </w:p>
    <w:p w:rsidR="00E444A8" w:rsidRDefault="00E444A8" w:rsidP="00207C76">
      <w:pPr>
        <w:overflowPunct w:val="0"/>
        <w:snapToGrid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2.效益指标-社会效益指标</w:t>
      </w:r>
    </w:p>
    <w:p w:rsidR="00E444A8" w:rsidRDefault="00E444A8" w:rsidP="00207C76">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（1）牢牢把握安全稳定重大使命，全力发挥审判职能建设平安海淀。</w:t>
      </w:r>
    </w:p>
    <w:p w:rsidR="00E444A8" w:rsidRDefault="00E444A8" w:rsidP="00207C76">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坚持维护政治安全和社会稳定，依法准确惩治各类犯罪。</w:t>
      </w:r>
    </w:p>
    <w:p w:rsidR="00E444A8" w:rsidRDefault="00E444A8" w:rsidP="00207C76">
      <w:pPr>
        <w:numPr>
          <w:ilvl w:val="0"/>
          <w:numId w:val="2"/>
        </w:num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牢牢把握服务大局职责定位，助推区域高质量发展。</w:t>
      </w:r>
    </w:p>
    <w:p w:rsidR="00E444A8" w:rsidRDefault="00E444A8" w:rsidP="00207C76">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全力服务保障“两区”建设，加快建设知产审判高地，提升裁判示范性，加强知产全链条保护；全力优化法治化营商环境，做足降低诉讼成本“减法”，做精规范公平竞争“加法”，做强促进产业集群发展“乘法”，做好助企纾困“除法”；全力支持高品质城市建设，保障区域重点工作稳步推进，保</w:t>
      </w:r>
      <w:r>
        <w:rPr>
          <w:rFonts w:ascii="仿宋_GB2312" w:eastAsia="仿宋_GB2312" w:hint="eastAsia"/>
          <w:sz w:val="32"/>
          <w:szCs w:val="32"/>
        </w:rPr>
        <w:lastRenderedPageBreak/>
        <w:t>障全面依法治区纵深推进，深化府院联动，扎实做好“四提前”工作，保障京津冀协同发展。</w:t>
      </w:r>
    </w:p>
    <w:p w:rsidR="00E444A8" w:rsidRDefault="00E444A8" w:rsidP="00207C76">
      <w:pPr>
        <w:numPr>
          <w:ilvl w:val="0"/>
          <w:numId w:val="2"/>
        </w:num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牢牢把握改革创新动力源泉，系统提升审判能力现代化水平。</w:t>
      </w:r>
    </w:p>
    <w:p w:rsidR="00E444A8" w:rsidRDefault="00E444A8" w:rsidP="00207C76">
      <w:pPr>
        <w:snapToGrid w:val="0"/>
        <w:spacing w:line="560" w:lineRule="exact"/>
        <w:ind w:firstLineChars="200" w:firstLine="640"/>
        <w:rPr>
          <w:rFonts w:ascii="仿宋_GB2312" w:eastAsia="仿宋_GB2312"/>
          <w:sz w:val="32"/>
          <w:szCs w:val="32"/>
        </w:rPr>
      </w:pPr>
      <w:r>
        <w:rPr>
          <w:rFonts w:ascii="仿宋_GB2312" w:eastAsia="仿宋_GB2312" w:hint="eastAsia"/>
          <w:bCs/>
          <w:sz w:val="32"/>
          <w:szCs w:val="32"/>
        </w:rPr>
        <w:t>全面准确落实司法责任制；深化“多元调解+速裁”；深化诉源治理；深化以审判为中心的刑事诉讼制度改革；深化智慧法院建设。</w:t>
      </w:r>
    </w:p>
    <w:p w:rsidR="00E444A8" w:rsidRDefault="00E444A8" w:rsidP="00207C76">
      <w:pPr>
        <w:numPr>
          <w:ilvl w:val="0"/>
          <w:numId w:val="2"/>
        </w:num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牢牢把握从严治党战略方针，建设德才兼备高素质队伍。</w:t>
      </w:r>
    </w:p>
    <w:p w:rsidR="00E444A8" w:rsidRDefault="00E444A8" w:rsidP="00207C76">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深入发挥政治引领作用，扎实推进学习贯彻习近平新时代中国特色社会主义思想主题教育，高位协调、统筹领导，发挥党组班子实施方案的牵引示范作用和宣传工作方案的正面导向作用；深入推进党组织建设强基领航；深入推动党风廉政建设。</w:t>
      </w:r>
    </w:p>
    <w:p w:rsidR="00E444A8" w:rsidRDefault="00E444A8" w:rsidP="00207C76">
      <w:pPr>
        <w:snapToGrid w:val="0"/>
        <w:spacing w:line="560" w:lineRule="exact"/>
        <w:ind w:leftChars="50" w:left="105"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二、当年预算执行情况</w:t>
      </w:r>
    </w:p>
    <w:p w:rsidR="00E444A8" w:rsidRDefault="00E444A8" w:rsidP="00207C76">
      <w:pPr>
        <w:snapToGrid w:val="0"/>
        <w:spacing w:line="560" w:lineRule="exact"/>
        <w:ind w:firstLineChars="200" w:firstLine="640"/>
        <w:rPr>
          <w:rFonts w:ascii="仿宋_GB2312" w:eastAsia="仿宋_GB2312" w:hAnsi="宋体" w:cs="宋体"/>
          <w:color w:val="000000"/>
          <w:kern w:val="0"/>
          <w:sz w:val="32"/>
          <w:szCs w:val="32"/>
        </w:rPr>
      </w:pPr>
      <w:r>
        <w:rPr>
          <w:rFonts w:ascii="仿宋_GB2312" w:eastAsia="仿宋_GB2312" w:hint="eastAsia"/>
          <w:sz w:val="32"/>
          <w:szCs w:val="32"/>
        </w:rPr>
        <w:t>2023年度，我院财务管理工作围绕审判执行工作这一要务，努力做好资金保障工作。2023年全年预算数43950.17万元，其中，</w:t>
      </w:r>
      <w:r>
        <w:rPr>
          <w:rFonts w:ascii="仿宋_GB2312" w:eastAsia="仿宋_GB2312" w:hAnsi="宋体" w:cs="宋体" w:hint="eastAsia"/>
          <w:color w:val="000000"/>
          <w:kern w:val="0"/>
          <w:sz w:val="32"/>
          <w:szCs w:val="32"/>
        </w:rPr>
        <w:t>基本支出预算数33284.82万元，项目支出预算数9221.47万元，其他支出预算数1443.88万元。资金总体支出43037.75万元，其中，基本支出33048.43万元，项目支出8722.24万元，其他支出1267.08万元。预算执行率为97.92%。</w:t>
      </w:r>
    </w:p>
    <w:p w:rsidR="00E444A8" w:rsidRDefault="00E444A8" w:rsidP="00207C76">
      <w:pPr>
        <w:snapToGrid w:val="0"/>
        <w:spacing w:line="560" w:lineRule="exact"/>
        <w:ind w:leftChars="50" w:left="105"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三、整体绩效目标实现情况</w:t>
      </w:r>
    </w:p>
    <w:p w:rsidR="00E444A8" w:rsidRPr="008B5BBC" w:rsidRDefault="00E444A8" w:rsidP="00207C76">
      <w:pPr>
        <w:snapToGrid w:val="0"/>
        <w:spacing w:line="560" w:lineRule="exact"/>
        <w:ind w:leftChars="50" w:left="105" w:firstLineChars="200" w:firstLine="643"/>
        <w:rPr>
          <w:rFonts w:ascii="楷体" w:eastAsia="楷体" w:hAnsi="楷体"/>
          <w:b/>
          <w:bCs/>
          <w:sz w:val="32"/>
          <w:szCs w:val="32"/>
        </w:rPr>
      </w:pPr>
      <w:r w:rsidRPr="008B5BBC">
        <w:rPr>
          <w:rFonts w:ascii="楷体" w:eastAsia="楷体" w:hAnsi="楷体"/>
          <w:b/>
          <w:bCs/>
          <w:sz w:val="32"/>
          <w:szCs w:val="32"/>
        </w:rPr>
        <w:t>（一）产出完成情况分析</w:t>
      </w:r>
    </w:p>
    <w:p w:rsidR="00E444A8" w:rsidRDefault="00E444A8" w:rsidP="00207C76">
      <w:pPr>
        <w:snapToGrid w:val="0"/>
        <w:spacing w:line="56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lastRenderedPageBreak/>
        <w:t>1.产出数量</w:t>
      </w:r>
    </w:p>
    <w:p w:rsidR="00E444A8" w:rsidRDefault="00E444A8" w:rsidP="00207C76">
      <w:pPr>
        <w:pStyle w:val="a4"/>
        <w:spacing w:line="560" w:lineRule="exact"/>
        <w:ind w:firstLineChars="200" w:firstLine="640"/>
        <w:rPr>
          <w:rFonts w:ascii="仿宋_GB2312" w:eastAsia="仿宋_GB2312"/>
          <w:kern w:val="2"/>
        </w:rPr>
      </w:pPr>
      <w:r>
        <w:rPr>
          <w:rFonts w:ascii="仿宋_GB2312" w:eastAsia="仿宋_GB2312" w:hint="eastAsia"/>
          <w:kern w:val="2"/>
        </w:rPr>
        <w:t>数量指标共四项，全部完成，其中：收案情况年度指标值100256件，实际完成值100344件，同比上升10.2%；结案情况年度指标值103756件，实际完成值105891件，同比上升16.3%；</w:t>
      </w:r>
    </w:p>
    <w:p w:rsidR="00E444A8" w:rsidRDefault="00E444A8" w:rsidP="00207C76">
      <w:pPr>
        <w:pStyle w:val="a4"/>
        <w:spacing w:line="560" w:lineRule="exact"/>
        <w:ind w:firstLineChars="200" w:firstLine="640"/>
        <w:rPr>
          <w:rFonts w:ascii="仿宋_GB2312" w:eastAsia="仿宋_GB2312"/>
          <w:kern w:val="2"/>
        </w:rPr>
      </w:pPr>
      <w:r>
        <w:rPr>
          <w:rFonts w:ascii="仿宋_GB2312" w:eastAsia="仿宋_GB2312" w:hint="eastAsia"/>
          <w:kern w:val="2"/>
        </w:rPr>
        <w:t>员额法官人均办案工作量年度指标值478.13件，实际完成值488件；</w:t>
      </w:r>
    </w:p>
    <w:p w:rsidR="00E444A8" w:rsidRDefault="00E444A8" w:rsidP="00207C76">
      <w:pPr>
        <w:pStyle w:val="a4"/>
        <w:spacing w:line="560" w:lineRule="exact"/>
        <w:ind w:firstLineChars="200" w:firstLine="640"/>
        <w:rPr>
          <w:rFonts w:ascii="仿宋_GB2312" w:eastAsia="仿宋_GB2312"/>
          <w:kern w:val="2"/>
        </w:rPr>
      </w:pPr>
      <w:r>
        <w:rPr>
          <w:rFonts w:ascii="仿宋_GB2312" w:eastAsia="仿宋_GB2312" w:hint="eastAsia"/>
          <w:kern w:val="2"/>
        </w:rPr>
        <w:t>全年审判执行文书数量年度指标值58369份，实际完成值65469份；</w:t>
      </w:r>
    </w:p>
    <w:p w:rsidR="00E444A8" w:rsidRDefault="00E444A8" w:rsidP="00207C76">
      <w:pPr>
        <w:pStyle w:val="a4"/>
        <w:spacing w:line="560" w:lineRule="exact"/>
        <w:ind w:firstLineChars="200" w:firstLine="640"/>
      </w:pPr>
      <w:r>
        <w:rPr>
          <w:rFonts w:ascii="仿宋_GB2312" w:eastAsia="仿宋_GB2312" w:hint="eastAsia"/>
          <w:kern w:val="2"/>
        </w:rPr>
        <w:t>全年维（修）护场地数量年度指标值7处，年度完成值7处。</w:t>
      </w:r>
    </w:p>
    <w:p w:rsidR="00E444A8" w:rsidRDefault="00E444A8" w:rsidP="00207C76">
      <w:pPr>
        <w:snapToGrid w:val="0"/>
        <w:spacing w:line="56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2.产出质量</w:t>
      </w:r>
    </w:p>
    <w:p w:rsidR="00E444A8" w:rsidRDefault="00E444A8" w:rsidP="00207C76">
      <w:pPr>
        <w:pStyle w:val="a4"/>
        <w:spacing w:line="560" w:lineRule="exact"/>
        <w:ind w:firstLineChars="200" w:firstLine="640"/>
        <w:rPr>
          <w:rFonts w:ascii="仿宋_GB2312" w:eastAsia="仿宋_GB2312"/>
          <w:kern w:val="2"/>
        </w:rPr>
      </w:pPr>
      <w:r>
        <w:rPr>
          <w:rFonts w:ascii="仿宋_GB2312" w:eastAsia="仿宋_GB2312" w:hint="eastAsia"/>
          <w:kern w:val="2"/>
        </w:rPr>
        <w:t>质量指标完成一项，一审服判息诉率年度指标值85%，年度完成值86.5%。</w:t>
      </w:r>
    </w:p>
    <w:p w:rsidR="00E444A8" w:rsidRDefault="00E444A8" w:rsidP="00207C76">
      <w:pPr>
        <w:pStyle w:val="a4"/>
        <w:spacing w:line="560" w:lineRule="exact"/>
        <w:ind w:firstLineChars="200" w:firstLine="640"/>
        <w:rPr>
          <w:rFonts w:ascii="仿宋_GB2312" w:eastAsia="仿宋_GB2312"/>
          <w:kern w:val="2"/>
        </w:rPr>
      </w:pPr>
      <w:r>
        <w:rPr>
          <w:rFonts w:ascii="仿宋_GB2312" w:eastAsia="仿宋_GB2312" w:hint="eastAsia"/>
          <w:kern w:val="2"/>
        </w:rPr>
        <w:t>质量指标未完成一项，执行质效（首执案件终本率）年度指标值32.13%-42.96%，年度完成值47.45%。首执案件终本率指标值我院在全市排名第14名，基层法院排名第9名。原因分析 ：仅从案件数看，2023年我院首执案件终本案件11898件，案件数居全市第2位，终本案件数高是影响我院该项指标值的最直接原因；从案件类型看，与影响执行完毕率指标提升的原因类似，海淀辖区内特定类型如“双减”执行案件密集出现，前端难以化解的纠纷大量进入执行程序，案件普遍无足额财产可供执行，同时申请人同意和解难度大，该类型案件的存在是首执案件终本率居高不下的核心原因。</w:t>
      </w:r>
    </w:p>
    <w:p w:rsidR="00E444A8" w:rsidRDefault="00E444A8" w:rsidP="00207C76">
      <w:pPr>
        <w:snapToGrid w:val="0"/>
        <w:spacing w:line="56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lastRenderedPageBreak/>
        <w:t>3.产出进度</w:t>
      </w:r>
    </w:p>
    <w:p w:rsidR="00E444A8" w:rsidRDefault="00E444A8" w:rsidP="00207C76">
      <w:pPr>
        <w:pStyle w:val="a4"/>
        <w:spacing w:line="560" w:lineRule="exact"/>
        <w:ind w:firstLineChars="200" w:firstLine="640"/>
        <w:rPr>
          <w:rFonts w:ascii="仿宋_GB2312" w:eastAsia="仿宋_GB2312" w:hAnsi="宋体" w:cs="宋体"/>
          <w:color w:val="000000"/>
        </w:rPr>
      </w:pPr>
      <w:r>
        <w:rPr>
          <w:rFonts w:ascii="仿宋_GB2312" w:eastAsia="仿宋_GB2312" w:hint="eastAsia"/>
          <w:kern w:val="2"/>
        </w:rPr>
        <w:t>时效指标共一项，全部完成，电子送达覆盖率年度指标值65%，年度完成值75.39%，完成情况良好。</w:t>
      </w:r>
    </w:p>
    <w:p w:rsidR="00E444A8" w:rsidRDefault="00E444A8" w:rsidP="00207C76">
      <w:pPr>
        <w:snapToGrid w:val="0"/>
        <w:spacing w:line="56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4.产出成本                                     </w:t>
      </w:r>
    </w:p>
    <w:p w:rsidR="00E444A8" w:rsidRDefault="00E444A8" w:rsidP="00207C76">
      <w:pPr>
        <w:pStyle w:val="a4"/>
        <w:spacing w:line="560" w:lineRule="exact"/>
        <w:ind w:firstLineChars="200" w:firstLine="640"/>
        <w:rPr>
          <w:rFonts w:ascii="楷体_GB2312"/>
        </w:rPr>
      </w:pPr>
      <w:r>
        <w:rPr>
          <w:rFonts w:ascii="仿宋_GB2312" w:eastAsia="仿宋_GB2312" w:hint="eastAsia"/>
          <w:kern w:val="2"/>
        </w:rPr>
        <w:t>成本指标共一项，全部完成，预算内额度年度指标值4256.59万元，年度完成值4156.25万元，预算执行率98%。</w:t>
      </w:r>
    </w:p>
    <w:p w:rsidR="00E444A8" w:rsidRPr="008B5BBC" w:rsidRDefault="00E444A8" w:rsidP="00207C76">
      <w:pPr>
        <w:snapToGrid w:val="0"/>
        <w:spacing w:line="560" w:lineRule="exact"/>
        <w:ind w:leftChars="50" w:left="105" w:firstLineChars="200" w:firstLine="643"/>
        <w:rPr>
          <w:rFonts w:ascii="楷体" w:eastAsia="楷体" w:hAnsi="楷体"/>
          <w:b/>
          <w:bCs/>
          <w:sz w:val="32"/>
          <w:szCs w:val="32"/>
        </w:rPr>
      </w:pPr>
      <w:r w:rsidRPr="008B5BBC">
        <w:rPr>
          <w:rFonts w:ascii="楷体" w:eastAsia="楷体" w:hAnsi="楷体"/>
          <w:b/>
          <w:bCs/>
          <w:sz w:val="32"/>
          <w:szCs w:val="32"/>
        </w:rPr>
        <w:t>（二）效果实现情况分析</w:t>
      </w:r>
    </w:p>
    <w:p w:rsidR="00E444A8" w:rsidRDefault="00E444A8" w:rsidP="00207C76">
      <w:pPr>
        <w:snapToGrid w:val="0"/>
        <w:spacing w:line="560" w:lineRule="exact"/>
        <w:ind w:leftChars="50" w:left="105"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1.经济效益</w:t>
      </w:r>
    </w:p>
    <w:p w:rsidR="00E444A8" w:rsidRDefault="00E444A8" w:rsidP="00207C76">
      <w:pPr>
        <w:snapToGrid w:val="0"/>
        <w:spacing w:line="560" w:lineRule="exact"/>
        <w:ind w:firstLineChars="200" w:firstLine="640"/>
      </w:pPr>
      <w:r>
        <w:rPr>
          <w:rFonts w:ascii="仿宋_GB2312" w:eastAsia="仿宋_GB2312" w:hint="eastAsia"/>
          <w:sz w:val="32"/>
          <w:szCs w:val="32"/>
        </w:rPr>
        <w:t>经济效益指标共一项，全部完成，本年我院全力优化法治化营商环境，充分有效保障了首都经济运转和维护营商环境。做好优化营商环境“加减乘除”法，审结商事案件1.95万件。做足降低诉讼成本“减法”，扩大简易商事案件小额诉讼程序适用，依托“鉴定管理人”机制缩短鉴定周期，《商事案件鉴定驶入“快车道”》被《海淀报》“当好首都高质量发展排头兵”专栏刊发。做精规范公平竞争“加法”，与区工商联合作挂牌“民营企业产权保护法律服务工作站”，关于《加强涉企业名誉和商誉纠纷诉源治理 优化营商环境的建议》被《司法决策参考》采用，获最高法院领导批示肯定。做强促进产业集群发展“乘法”，发挥“中关村壹号”巡回审判工作站效能，发布优化营商环境工作倡议书，推动形成共建共治共享格局。做好助企纾困“除法”，召开破产管理人征求意见会，创新履约“合理宽限期”制度，出具《自动履行证明书》，以善意文明司法助力企业纾危解困。</w:t>
      </w:r>
    </w:p>
    <w:p w:rsidR="00E444A8" w:rsidRDefault="00E444A8" w:rsidP="00207C76">
      <w:pPr>
        <w:snapToGrid w:val="0"/>
        <w:spacing w:line="560" w:lineRule="exact"/>
        <w:ind w:leftChars="50" w:left="105"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2.社会效益</w:t>
      </w:r>
    </w:p>
    <w:p w:rsidR="00E444A8" w:rsidRDefault="00E444A8" w:rsidP="00207C76">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社会效益指标完成两项，解决执行难（执结案件数）年度指标值24750件，全年完成值25036件；涉及营商环境（结案情况）年度指标值18276件，全年完成值18316件。</w:t>
      </w:r>
    </w:p>
    <w:p w:rsidR="00E444A8" w:rsidRDefault="00E444A8" w:rsidP="00207C76">
      <w:pPr>
        <w:pStyle w:val="a5"/>
        <w:ind w:firstLineChars="200" w:firstLine="640"/>
        <w:jc w:val="both"/>
        <w:rPr>
          <w:rFonts w:ascii="仿宋_GB2312" w:eastAsia="仿宋_GB2312"/>
          <w:sz w:val="32"/>
          <w:szCs w:val="32"/>
        </w:rPr>
      </w:pPr>
      <w:r>
        <w:rPr>
          <w:rFonts w:ascii="仿宋_GB2312" w:eastAsia="仿宋_GB2312" w:hint="eastAsia"/>
          <w:sz w:val="32"/>
          <w:szCs w:val="32"/>
        </w:rPr>
        <w:t>坚决维护政治安全和社会稳定。开展8次专项矛盾排查，圆满完成重要时期安保维稳任务。做实息诉罢访工作，发扬“浦江经验”，坚持院庭长接访“首问责任制”，接待群众1263人次，初访当场化解率89.8%；院领导下沉接访46人次，推动信访积案化解；回复政法民声热线2.1万条，力争预防在源头、化解在初始、息访在区域。</w:t>
      </w:r>
    </w:p>
    <w:p w:rsidR="00E444A8" w:rsidRDefault="00E444A8" w:rsidP="00207C76">
      <w:pPr>
        <w:spacing w:line="560" w:lineRule="exact"/>
        <w:ind w:firstLineChars="200" w:firstLine="640"/>
      </w:pPr>
      <w:r>
        <w:rPr>
          <w:rFonts w:ascii="仿宋_GB2312" w:eastAsia="仿宋_GB2312" w:hint="eastAsia"/>
          <w:sz w:val="32"/>
          <w:szCs w:val="32"/>
        </w:rPr>
        <w:t>我院坚决依法惩治各类犯罪，贯彻总体国家安全观，审结刑事案件1857件。审理涉互联网寻衅滋事案16件，依法惩治制造、散布虚假、反动言论行为。审结全国首例精神虐待入罪案，获评“新时代推动法治进程十大案件”。审理养老诈骗案件6件，判处罪犯51人，挽回老年人损失500万余元。审理非法集资犯罪案件123件，涉投资人58.2万人、犯罪金额2659亿余元，强化追赃挽损，维护群众财产安全。稳步推进审判阶段涉案企业合规改革，落实稳企惠民政策。</w:t>
      </w:r>
    </w:p>
    <w:p w:rsidR="00E444A8" w:rsidRDefault="00E444A8" w:rsidP="00207C76">
      <w:pPr>
        <w:autoSpaceDE w:val="0"/>
        <w:snapToGrid w:val="0"/>
        <w:spacing w:line="56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3.环境效益</w:t>
      </w:r>
    </w:p>
    <w:p w:rsidR="00E444A8" w:rsidRDefault="00E444A8" w:rsidP="00207C76">
      <w:pPr>
        <w:autoSpaceDE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全力推进高品质城市建设。保障区域重点工作稳步推进，创建“三轮分流”机制，妥善化解山后四镇集中腾退相关纠纷，顺利腾退双榆树、永定路街道违建房屋2500余平方米，助力“疏整促”专项行动。审结非法狩猎野生动物案、某保健中心排放医疗污水行政处罚案，营造和谐美好人居环境。</w:t>
      </w:r>
    </w:p>
    <w:p w:rsidR="00E444A8" w:rsidRDefault="00E444A8" w:rsidP="00207C76">
      <w:pPr>
        <w:snapToGrid w:val="0"/>
        <w:spacing w:line="56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4.可持续性影响</w:t>
      </w:r>
    </w:p>
    <w:p w:rsidR="00E444A8" w:rsidRDefault="00E444A8" w:rsidP="00207C76">
      <w:pPr>
        <w:pStyle w:val="a4"/>
        <w:spacing w:line="560" w:lineRule="exact"/>
        <w:ind w:firstLineChars="200" w:firstLine="640"/>
        <w:rPr>
          <w:rFonts w:ascii="仿宋_GB2312" w:eastAsia="仿宋_GB2312"/>
          <w:kern w:val="2"/>
        </w:rPr>
      </w:pPr>
      <w:r>
        <w:rPr>
          <w:rFonts w:ascii="仿宋_GB2312" w:eastAsia="仿宋_GB2312" w:hint="eastAsia"/>
          <w:kern w:val="2"/>
        </w:rPr>
        <w:lastRenderedPageBreak/>
        <w:t>司法为民公正司法情况：满足人民群众多元司法需求，坚持司法为民，公正司法，忠实履行宪法和法律赋予的职责，站稳人民立场</w:t>
      </w:r>
      <w:r w:rsidR="00EC562A">
        <w:rPr>
          <w:rFonts w:ascii="仿宋_GB2312" w:eastAsia="仿宋_GB2312" w:hint="eastAsia"/>
          <w:kern w:val="2"/>
        </w:rPr>
        <w:t>，贯彻群众路线，把满足人民群众不断增长的司法需求作为人民法院</w:t>
      </w:r>
      <w:r>
        <w:rPr>
          <w:rFonts w:ascii="仿宋_GB2312" w:eastAsia="仿宋_GB2312" w:hint="eastAsia"/>
          <w:kern w:val="2"/>
        </w:rPr>
        <w:t>工作基本导向，不断提升人民群众的司法获得感，努力让人民群众在每一个司法案件中感受到公平正义。本年度我院大力发挥保障和改善民生职能作用，大力提升司法服务质效，大力推进切实解决执行难，大力推动普法常态化建设。</w:t>
      </w:r>
    </w:p>
    <w:p w:rsidR="00E444A8" w:rsidRDefault="00E444A8" w:rsidP="00207C76">
      <w:pPr>
        <w:pStyle w:val="a4"/>
        <w:spacing w:line="560" w:lineRule="exact"/>
        <w:ind w:firstLineChars="200" w:firstLine="640"/>
        <w:rPr>
          <w:rFonts w:ascii="仿宋_GB2312" w:eastAsia="仿宋_GB2312"/>
          <w:kern w:val="2"/>
        </w:rPr>
      </w:pPr>
      <w:r>
        <w:rPr>
          <w:rFonts w:ascii="仿宋_GB2312" w:eastAsia="仿宋_GB2312" w:hint="eastAsia"/>
          <w:kern w:val="2"/>
        </w:rPr>
        <w:t>保障全面依法治区纵深推进，强化府院联动，扎实做好“四提前”工作，审结行政案件1387件。联合成立行政争议调处中心，探索“府院联合接访”模式，推动行政机关负责人出庭常态化，确保重点工作、重大项目在法治轨道上推进。延伸司法职能，开展法律培训29次，连续18年发布行政审判白皮书，优化司法建议“沟通-建议-反馈”机制，工商登记类案件同比下降50%，相关经验被《人民法院报》头版刊发。</w:t>
      </w:r>
    </w:p>
    <w:p w:rsidR="00E444A8" w:rsidRDefault="00E444A8" w:rsidP="00207C76">
      <w:pPr>
        <w:snapToGrid w:val="0"/>
        <w:spacing w:line="56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5.服务对象满意度</w:t>
      </w:r>
    </w:p>
    <w:p w:rsidR="00E444A8" w:rsidRDefault="00E444A8" w:rsidP="00207C76">
      <w:pPr>
        <w:autoSpaceDE w:val="0"/>
        <w:spacing w:line="560" w:lineRule="exact"/>
        <w:ind w:firstLineChars="200" w:firstLine="640"/>
        <w:rPr>
          <w:rFonts w:ascii="仿宋_GB2312" w:eastAsia="仿宋_GB2312"/>
        </w:rPr>
      </w:pPr>
      <w:r>
        <w:rPr>
          <w:rFonts w:ascii="仿宋_GB2312" w:eastAsia="仿宋_GB2312" w:hint="eastAsia"/>
          <w:kern w:val="0"/>
          <w:sz w:val="32"/>
          <w:szCs w:val="32"/>
        </w:rPr>
        <w:t>以群众法治需求为导向，全面落实“谁执法谁普法”普法责任制，不断加大司法公开力度。把握群众需求精准普法，自觉接受群众监督。坚持以人民群众的满意度、获得感检验改革成效，抓住改革重点，聚焦突出问题，统筹推进司法体制综合配套改革。群众满意度指标完成，达到人民群众基本满意。全面落实“八五”普法规划。做好主题宣传，召开发布会6场，刊发稿件两千余篇。在海淀图书馆、圆明园等单位挂牌6家“普法驿站”，“人和海淀”百人宣讲团普法百</w:t>
      </w:r>
      <w:r>
        <w:rPr>
          <w:rFonts w:ascii="仿宋_GB2312" w:eastAsia="仿宋_GB2312" w:hint="eastAsia"/>
          <w:kern w:val="0"/>
          <w:sz w:val="32"/>
          <w:szCs w:val="32"/>
        </w:rPr>
        <w:lastRenderedPageBreak/>
        <w:t>余场，“法治副校长”授课60次。依托“一网两微八端”开展互动式宣传，法治皮影戏获“金法槌”微视频优秀奖，获评全国法院“媒体融合工作先进集体”“十佳微博账号”“中国优秀政法新媒体”等荣誉。</w:t>
      </w:r>
    </w:p>
    <w:p w:rsidR="00E444A8" w:rsidRDefault="00E444A8" w:rsidP="00207C76">
      <w:pPr>
        <w:autoSpaceDE w:val="0"/>
        <w:spacing w:line="560" w:lineRule="exact"/>
        <w:ind w:firstLineChars="200" w:firstLine="640"/>
        <w:rPr>
          <w:rFonts w:ascii="仿宋_GB2312" w:eastAsia="仿宋_GB2312"/>
          <w:kern w:val="0"/>
          <w:sz w:val="32"/>
          <w:szCs w:val="32"/>
        </w:rPr>
      </w:pPr>
      <w:r>
        <w:rPr>
          <w:rFonts w:ascii="仿宋_GB2312" w:eastAsia="仿宋_GB2312" w:hint="eastAsia"/>
          <w:kern w:val="0"/>
          <w:sz w:val="32"/>
          <w:szCs w:val="32"/>
        </w:rPr>
        <w:t>全面加强民生司法保障。审结民事案件4.19万件。联合市规自委海淀分局发布为群众办实事“十条举措”，为群众一站式办理房产登记。审结婚姻家庭案件3176件，制发人身安全保护令25份，强化妇女权益保护。发布《遗嘱继承审判白皮书》及典型案例，涉养老保险待遇核准案入选北京高院涉老审判典型案例，营造敬老社会氛围。创建预防学生欺凌“X”计划，在10案中启用社会观护程序，依法宣告性侵未成年人的机构教职人员“终身禁业”，保护未成年人权益，少年法庭获评“全国维护妇女儿童权益先进集体”。创建“裁立审执访”全链条治理模式，实现75%的劳动争议以非诉方式化解。加强司法救助，向19名困难群众发放救助金139.3万余元。</w:t>
      </w:r>
    </w:p>
    <w:p w:rsidR="00E444A8" w:rsidRDefault="00E444A8" w:rsidP="00207C76">
      <w:pPr>
        <w:autoSpaceDE w:val="0"/>
        <w:spacing w:line="560" w:lineRule="exact"/>
        <w:ind w:firstLineChars="200" w:firstLine="640"/>
        <w:rPr>
          <w:rFonts w:ascii="仿宋_GB2312" w:eastAsia="仿宋_GB2312"/>
          <w:kern w:val="0"/>
          <w:sz w:val="32"/>
          <w:szCs w:val="32"/>
        </w:rPr>
      </w:pPr>
      <w:r>
        <w:rPr>
          <w:rFonts w:ascii="仿宋_GB2312" w:eastAsia="仿宋_GB2312" w:hint="eastAsia"/>
          <w:kern w:val="0"/>
          <w:sz w:val="32"/>
          <w:szCs w:val="32"/>
        </w:rPr>
        <w:t>全面优化现代化诉讼服务体系。严格落实“一次告知”制度，启用多元解纷诉调对接中心，实现功能、体验全面升级。与区残联合作挂牌全市首家“无障碍诉讼环境实验基地”，为残障群体提供“家门口”的贴心服务。发挥诉讼“总客服”作用，12368热线办理工单26.8万余件，实现百分百按期回复和实质性办理。</w:t>
      </w:r>
    </w:p>
    <w:p w:rsidR="00E444A8" w:rsidRDefault="00E444A8" w:rsidP="00207C76">
      <w:pPr>
        <w:autoSpaceDE w:val="0"/>
        <w:spacing w:line="560" w:lineRule="exact"/>
        <w:ind w:firstLineChars="200" w:firstLine="640"/>
      </w:pPr>
      <w:r>
        <w:rPr>
          <w:rFonts w:ascii="仿宋_GB2312" w:eastAsia="仿宋_GB2312" w:hint="eastAsia"/>
          <w:kern w:val="0"/>
          <w:sz w:val="32"/>
          <w:szCs w:val="32"/>
        </w:rPr>
        <w:t>全面推进枫桥式人民法庭建设。人民法庭结案2.06万件。忠实履行“三个服务”职能，审理北部四镇集中腾退引</w:t>
      </w:r>
      <w:r>
        <w:rPr>
          <w:rFonts w:ascii="仿宋_GB2312" w:eastAsia="仿宋_GB2312" w:hint="eastAsia"/>
          <w:kern w:val="0"/>
          <w:sz w:val="32"/>
          <w:szCs w:val="32"/>
        </w:rPr>
        <w:lastRenderedPageBreak/>
        <w:t>发诉讼515件，简易案件化解率超90%。深化山后地区六街镇联席会制度，推动纠纷化解在诉前。扎实推进“无讼四区”建设，建成11个“法官工作站”，常态化开展商事巡回审判及“能动司法助力基层社会治理”系列活动，打造“无讼社区、片区、园区、商区”。</w:t>
      </w:r>
    </w:p>
    <w:p w:rsidR="00E444A8" w:rsidRDefault="00E444A8" w:rsidP="00207C76">
      <w:pPr>
        <w:snapToGrid w:val="0"/>
        <w:spacing w:line="560" w:lineRule="exact"/>
        <w:ind w:leftChars="50" w:left="105"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四、预算管理情况分析</w:t>
      </w:r>
    </w:p>
    <w:p w:rsidR="00E444A8" w:rsidRPr="008B5BBC" w:rsidRDefault="00E444A8" w:rsidP="00207C76">
      <w:pPr>
        <w:snapToGrid w:val="0"/>
        <w:spacing w:line="560" w:lineRule="exact"/>
        <w:ind w:leftChars="50" w:left="105" w:firstLineChars="200" w:firstLine="640"/>
        <w:rPr>
          <w:rFonts w:ascii="楷体" w:eastAsia="楷体" w:hAnsi="楷体"/>
          <w:sz w:val="32"/>
          <w:szCs w:val="32"/>
        </w:rPr>
      </w:pPr>
      <w:r w:rsidRPr="008B5BBC">
        <w:rPr>
          <w:rFonts w:ascii="楷体" w:eastAsia="楷体" w:hAnsi="楷体"/>
          <w:sz w:val="32"/>
          <w:szCs w:val="32"/>
        </w:rPr>
        <w:t>（一）财务管理</w:t>
      </w:r>
    </w:p>
    <w:p w:rsidR="00723C4F" w:rsidRDefault="00E444A8" w:rsidP="00207C76">
      <w:pPr>
        <w:snapToGrid w:val="0"/>
        <w:spacing w:line="560" w:lineRule="exact"/>
        <w:ind w:leftChars="50" w:left="105"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1.财务管理制度健全性</w:t>
      </w:r>
    </w:p>
    <w:p w:rsidR="00E444A8" w:rsidRPr="00723C4F" w:rsidRDefault="00E444A8" w:rsidP="00207C76">
      <w:pPr>
        <w:snapToGrid w:val="0"/>
        <w:spacing w:line="560" w:lineRule="exact"/>
        <w:ind w:leftChars="50" w:left="105" w:firstLineChars="200" w:firstLine="640"/>
        <w:rPr>
          <w:rFonts w:ascii="仿宋_GB2312" w:eastAsia="仿宋_GB2312" w:hAnsi="宋体" w:cs="宋体"/>
          <w:b/>
          <w:bCs/>
          <w:color w:val="000000"/>
          <w:kern w:val="0"/>
          <w:sz w:val="32"/>
          <w:szCs w:val="32"/>
        </w:rPr>
      </w:pPr>
      <w:r>
        <w:rPr>
          <w:rFonts w:ascii="仿宋_GB2312" w:eastAsia="仿宋_GB2312" w:hint="eastAsia"/>
          <w:color w:val="000000"/>
          <w:sz w:val="32"/>
          <w:szCs w:val="32"/>
        </w:rPr>
        <w:t>我院根据有关要求，加强财务管理、规范财务行为，提高资金使用效益，规范审批程序，防范财务风险，</w:t>
      </w:r>
      <w:r>
        <w:rPr>
          <w:rFonts w:ascii="仿宋_GB2312" w:eastAsia="仿宋_GB2312" w:hint="eastAsia"/>
          <w:sz w:val="32"/>
          <w:szCs w:val="32"/>
        </w:rPr>
        <w:t>相继制定并陆续修订各项规章制度，形成了包括</w:t>
      </w:r>
      <w:r>
        <w:rPr>
          <w:rFonts w:ascii="仿宋_GB2312" w:eastAsia="仿宋_GB2312" w:hint="eastAsia"/>
          <w:color w:val="000000"/>
          <w:sz w:val="32"/>
          <w:szCs w:val="32"/>
        </w:rPr>
        <w:t>《北京市海淀区人民法院财务管理办法》、《北京市海淀区人民法院大额资金管理规定》、《北京市海淀区人民法院政府采购管理办法》、《北京市海淀区人民法院固定资产管理办法》、《北京市海淀区人民法院差旅费管理细则》、《北京市海淀区人民法院</w:t>
      </w:r>
      <w:r>
        <w:rPr>
          <w:rFonts w:ascii="仿宋_GB2312" w:eastAsia="仿宋_GB2312" w:hint="eastAsia"/>
          <w:sz w:val="32"/>
          <w:szCs w:val="32"/>
        </w:rPr>
        <w:t>市内公务活动交通费、误餐费管理细则</w:t>
      </w:r>
      <w:r>
        <w:rPr>
          <w:rFonts w:ascii="仿宋_GB2312" w:eastAsia="仿宋_GB2312" w:hint="eastAsia"/>
          <w:color w:val="000000"/>
          <w:sz w:val="32"/>
          <w:szCs w:val="32"/>
        </w:rPr>
        <w:t>》</w:t>
      </w:r>
      <w:r>
        <w:rPr>
          <w:rFonts w:ascii="仿宋_GB2312" w:eastAsia="仿宋_GB2312" w:hint="eastAsia"/>
          <w:sz w:val="32"/>
          <w:szCs w:val="32"/>
        </w:rPr>
        <w:t>等一套完整的制度体系，并</w:t>
      </w:r>
      <w:r>
        <w:rPr>
          <w:rFonts w:ascii="仿宋_GB2312" w:eastAsia="仿宋_GB2312" w:hint="eastAsia"/>
          <w:color w:val="000000"/>
          <w:sz w:val="32"/>
          <w:szCs w:val="32"/>
        </w:rPr>
        <w:t>严格按照制度规定执行，提升财务支出的民主性、科学性，保障审判、执行工作的顺利开展。</w:t>
      </w:r>
    </w:p>
    <w:p w:rsidR="00E444A8" w:rsidRDefault="00E444A8" w:rsidP="00207C76">
      <w:pPr>
        <w:autoSpaceDE w:val="0"/>
        <w:snapToGrid w:val="0"/>
        <w:spacing w:line="56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2.资金使用合规性和安全性</w:t>
      </w:r>
    </w:p>
    <w:p w:rsidR="00E444A8" w:rsidRDefault="00E444A8" w:rsidP="00207C76">
      <w:pPr>
        <w:pStyle w:val="msonospacing0"/>
        <w:widowControl/>
        <w:spacing w:line="560" w:lineRule="exact"/>
        <w:ind w:firstLineChars="200" w:firstLine="640"/>
        <w:rPr>
          <w:rFonts w:ascii="仿宋_GB2312" w:eastAsia="仿宋_GB2312"/>
          <w:sz w:val="32"/>
          <w:szCs w:val="32"/>
        </w:rPr>
      </w:pPr>
      <w:r>
        <w:rPr>
          <w:rFonts w:ascii="仿宋_GB2312" w:eastAsia="仿宋_GB2312" w:hint="eastAsia"/>
          <w:sz w:val="32"/>
          <w:szCs w:val="32"/>
        </w:rPr>
        <w:t>我院</w:t>
      </w:r>
      <w:r>
        <w:rPr>
          <w:rFonts w:ascii="仿宋_GB2312" w:eastAsia="仿宋_GB2312" w:hAnsi="Times New Roman" w:hint="eastAsia"/>
          <w:sz w:val="32"/>
          <w:szCs w:val="32"/>
        </w:rPr>
        <w:t>财务管理</w:t>
      </w:r>
      <w:r>
        <w:rPr>
          <w:rFonts w:ascii="仿宋_GB2312" w:eastAsia="仿宋_GB2312" w:hint="eastAsia"/>
          <w:sz w:val="32"/>
          <w:szCs w:val="32"/>
        </w:rPr>
        <w:t>坚持“依法理财，厉行节约；保证重点，强化绩效；明确责任，控制风险”的原则，为审判、执行和其他工作任务的圆满完成提供安全、有效的经费保障。</w:t>
      </w:r>
    </w:p>
    <w:p w:rsidR="00E444A8" w:rsidRDefault="00E444A8" w:rsidP="00207C76">
      <w:pPr>
        <w:pStyle w:val="msonospacing0"/>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各项经费支出必须严格遵守有关财政财务制度及财经纪律，强化预算约束，严格支出标准，规范支出流程，履行</w:t>
      </w:r>
      <w:r>
        <w:rPr>
          <w:rFonts w:ascii="仿宋_GB2312" w:eastAsia="仿宋_GB2312" w:hAnsi="Times New Roman" w:hint="eastAsia"/>
          <w:sz w:val="32"/>
          <w:szCs w:val="32"/>
        </w:rPr>
        <w:lastRenderedPageBreak/>
        <w:t>相关程序，明确支出范围，禁止超范围、超权限列支，杜绝无预算支出。根据政府采购的相关规定和要求，凡涉及政府采购的项目，必须履行政府采购程序。车辆维修、燃油和保险、培训、会议、印刷等支出按照北京市财政指定范围实行定点服务。财务报销的票据真实合法，各业务经办人对票据的真实性负责。财务部门依据年度预算严格控制、审核，做到专款专用。</w:t>
      </w:r>
    </w:p>
    <w:p w:rsidR="00E444A8" w:rsidRDefault="00E444A8" w:rsidP="00207C76">
      <w:pPr>
        <w:pStyle w:val="a6"/>
        <w:spacing w:line="560" w:lineRule="exact"/>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我院在资金的使用上符合国家财经法规和财务管理制度规定以及有关专项资金管理办法的规定；我院财政资金的拨付有完整的审批程序和手续；我院大额资金使用需经党组会审议；我院在资金使用上符合部门预算批复的用途；我院在财政资金的使用上不存在截留、挤占及挪用情况；我院资金使用符合政府采购的程序和流程；我院资金使用符合公务卡结算相关制度和规定。</w:t>
      </w:r>
    </w:p>
    <w:p w:rsidR="00E444A8" w:rsidRDefault="00E444A8" w:rsidP="00207C76">
      <w:pPr>
        <w:snapToGrid w:val="0"/>
        <w:spacing w:line="56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3.会计基础信息完善性</w:t>
      </w:r>
    </w:p>
    <w:p w:rsidR="00E444A8" w:rsidRDefault="00E444A8" w:rsidP="00207C76">
      <w:pPr>
        <w:spacing w:line="560" w:lineRule="exact"/>
        <w:ind w:leftChars="50" w:left="105"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我院基础数据信息和会计信息资料真实；基础数据信息和会计信息资料完整；基础数据信息和会计信息资料准确。</w:t>
      </w:r>
      <w:r>
        <w:rPr>
          <w:rFonts w:ascii="仿宋_GB2312" w:eastAsia="仿宋_GB2312" w:cs="Times New Roman" w:hint="eastAsia"/>
          <w:sz w:val="32"/>
          <w:szCs w:val="32"/>
        </w:rPr>
        <w:t>在经费日常使用管理中，严格执行财务管理制度和会计核算制度。加强内外监督，我院纪检及内审部门定期对专项资金规范使用管理情况</w:t>
      </w:r>
      <w:r w:rsidR="009739A9">
        <w:rPr>
          <w:rFonts w:ascii="仿宋_GB2312" w:eastAsia="仿宋_GB2312" w:cs="Times New Roman" w:hint="eastAsia"/>
          <w:sz w:val="32"/>
          <w:szCs w:val="32"/>
        </w:rPr>
        <w:t>进行</w:t>
      </w:r>
      <w:r>
        <w:rPr>
          <w:rFonts w:ascii="仿宋_GB2312" w:eastAsia="仿宋_GB2312" w:cs="Times New Roman" w:hint="eastAsia"/>
          <w:sz w:val="32"/>
          <w:szCs w:val="32"/>
        </w:rPr>
        <w:t>监督与指导。</w:t>
      </w:r>
    </w:p>
    <w:p w:rsidR="00E444A8" w:rsidRDefault="00E444A8" w:rsidP="00207C76">
      <w:pPr>
        <w:pStyle w:val="a6"/>
        <w:spacing w:line="560" w:lineRule="exact"/>
        <w:ind w:firstLineChars="200" w:firstLine="640"/>
      </w:pPr>
      <w:r>
        <w:rPr>
          <w:rFonts w:ascii="仿宋_GB2312" w:eastAsia="仿宋_GB2312" w:hint="eastAsia"/>
          <w:color w:val="000000"/>
          <w:kern w:val="0"/>
          <w:sz w:val="32"/>
          <w:szCs w:val="32"/>
        </w:rPr>
        <w:t>我院2022年度决算信息以及2023年度预算信息在海淀法院门户网站及“首都之窗”网站面向社会公开。我院严格按照北京市政府工作要求充分准备、数字真实、说明严谨，顺利完成年度预决算的社会公开工作。</w:t>
      </w:r>
    </w:p>
    <w:p w:rsidR="00E444A8" w:rsidRPr="008B5BBC" w:rsidRDefault="00E444A8" w:rsidP="00207C76">
      <w:pPr>
        <w:spacing w:line="560" w:lineRule="exact"/>
        <w:ind w:leftChars="50" w:left="105" w:firstLineChars="200" w:firstLine="643"/>
        <w:rPr>
          <w:rFonts w:ascii="楷体" w:eastAsia="楷体" w:hAnsi="楷体"/>
          <w:b/>
          <w:bCs/>
          <w:sz w:val="32"/>
          <w:szCs w:val="32"/>
        </w:rPr>
      </w:pPr>
      <w:r w:rsidRPr="008B5BBC">
        <w:rPr>
          <w:rFonts w:ascii="楷体" w:eastAsia="楷体" w:hAnsi="楷体"/>
          <w:b/>
          <w:bCs/>
          <w:sz w:val="32"/>
          <w:szCs w:val="32"/>
        </w:rPr>
        <w:lastRenderedPageBreak/>
        <w:t>（二）资产管理</w:t>
      </w:r>
    </w:p>
    <w:p w:rsidR="00E444A8" w:rsidRDefault="00E444A8" w:rsidP="00207C76">
      <w:pPr>
        <w:spacing w:line="560" w:lineRule="exact"/>
        <w:ind w:leftChars="50" w:left="105" w:firstLineChars="200" w:firstLine="640"/>
        <w:rPr>
          <w:rFonts w:ascii="仿宋_GB2312" w:eastAsia="仿宋_GB2312"/>
          <w:sz w:val="32"/>
          <w:szCs w:val="32"/>
        </w:rPr>
      </w:pPr>
      <w:r>
        <w:rPr>
          <w:rFonts w:ascii="仿宋_GB2312" w:eastAsia="仿宋_GB2312" w:hint="eastAsia"/>
          <w:sz w:val="32"/>
          <w:szCs w:val="32"/>
        </w:rPr>
        <w:t>我院固定资产购置应本着厉行节约、保障质量，相关部门相互配合、相互制约的原则。同时严格履行政府采购程序。财务部门与资产管理部门密切配合，严格遵循“先入库、后入账”的资产管理流程，购置资产的发票必须与固定资产入库单一同入账。保证账账相符、账卡相符、账实相符。</w:t>
      </w:r>
      <w:r>
        <w:rPr>
          <w:rFonts w:ascii="仿宋_GB2312" w:eastAsia="仿宋_GB2312" w:hAnsi="仿宋" w:hint="eastAsia"/>
          <w:sz w:val="32"/>
          <w:szCs w:val="32"/>
        </w:rPr>
        <w:t>严格依据</w:t>
      </w:r>
      <w:r>
        <w:rPr>
          <w:rFonts w:ascii="仿宋_GB2312" w:eastAsia="仿宋_GB2312" w:hint="eastAsia"/>
          <w:color w:val="000000"/>
          <w:sz w:val="32"/>
          <w:szCs w:val="32"/>
        </w:rPr>
        <w:t>《北京市海淀区人民法院固定资产管理办法》</w:t>
      </w:r>
      <w:r>
        <w:rPr>
          <w:rFonts w:ascii="仿宋_GB2312" w:eastAsia="仿宋_GB2312" w:hAnsi="仿宋" w:hint="eastAsia"/>
          <w:sz w:val="32"/>
          <w:szCs w:val="32"/>
        </w:rPr>
        <w:t>进行资产的购置、登记、领用、盘点、报废处置等。</w:t>
      </w:r>
    </w:p>
    <w:p w:rsidR="00E444A8" w:rsidRDefault="00E444A8" w:rsidP="00207C76">
      <w:pPr>
        <w:spacing w:line="560" w:lineRule="exact"/>
        <w:ind w:leftChars="50" w:left="105" w:firstLineChars="200" w:firstLine="640"/>
        <w:rPr>
          <w:rFonts w:ascii="楷体_GB2312"/>
          <w:sz w:val="32"/>
          <w:szCs w:val="32"/>
        </w:rPr>
      </w:pPr>
      <w:r>
        <w:rPr>
          <w:rFonts w:ascii="仿宋_GB2312" w:eastAsia="仿宋_GB2312" w:hint="eastAsia"/>
          <w:sz w:val="32"/>
          <w:szCs w:val="32"/>
        </w:rPr>
        <w:t>我院无对外投资项目，不存在对外投资行为未经审批及投资亏损的情况；我院不存在因管理不当发生严重资产损失和丢失情况；我院资产使用符合规范，不存在未经批准擅自出租、出借资产行为；我院资产处置规范，不存在未按要求进行报批或资产不公开处置的行为。</w:t>
      </w:r>
    </w:p>
    <w:p w:rsidR="00E444A8" w:rsidRPr="00C112C0" w:rsidRDefault="00E444A8" w:rsidP="00207C76">
      <w:pPr>
        <w:spacing w:line="560" w:lineRule="exact"/>
        <w:ind w:leftChars="50" w:left="105" w:firstLineChars="200" w:firstLine="643"/>
        <w:rPr>
          <w:rFonts w:ascii="楷体" w:eastAsia="楷体" w:hAnsi="楷体"/>
          <w:b/>
          <w:bCs/>
          <w:sz w:val="32"/>
          <w:szCs w:val="32"/>
        </w:rPr>
      </w:pPr>
      <w:r w:rsidRPr="00C112C0">
        <w:rPr>
          <w:rFonts w:ascii="楷体" w:eastAsia="楷体" w:hAnsi="楷体"/>
          <w:b/>
          <w:bCs/>
          <w:sz w:val="32"/>
          <w:szCs w:val="32"/>
        </w:rPr>
        <w:t>（三）绩效管理</w:t>
      </w:r>
    </w:p>
    <w:p w:rsidR="00E444A8" w:rsidRDefault="00E444A8" w:rsidP="00207C76">
      <w:pPr>
        <w:spacing w:line="560" w:lineRule="exact"/>
        <w:ind w:leftChars="50" w:left="105" w:firstLineChars="200" w:firstLine="640"/>
        <w:rPr>
          <w:rFonts w:ascii="仿宋_GB2312" w:eastAsia="仿宋_GB2312"/>
          <w:sz w:val="32"/>
          <w:szCs w:val="32"/>
        </w:rPr>
      </w:pPr>
      <w:r>
        <w:rPr>
          <w:rFonts w:ascii="仿宋_GB2312" w:eastAsia="仿宋_GB2312" w:hint="eastAsia"/>
          <w:sz w:val="32"/>
          <w:szCs w:val="32"/>
        </w:rPr>
        <w:t>我院绩效管理工作按照《北京市财政支出绩效评价管理暂行办法》中相关规定执行，绩效管理流程基本规范，预算绩效管理体系基本健全。及时对绩效信息进行汇总分析整理，并对绩效目标偏离情况及时进行矫正。</w:t>
      </w:r>
    </w:p>
    <w:p w:rsidR="00E444A8" w:rsidRDefault="00723C4F" w:rsidP="00207C76">
      <w:pPr>
        <w:spacing w:line="56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1.</w:t>
      </w:r>
      <w:r w:rsidR="00E444A8">
        <w:rPr>
          <w:rFonts w:ascii="仿宋_GB2312" w:eastAsia="仿宋_GB2312" w:hAnsi="仿宋" w:hint="eastAsia"/>
          <w:b/>
          <w:bCs/>
          <w:sz w:val="32"/>
          <w:szCs w:val="32"/>
        </w:rPr>
        <w:t>加强绩效目标管理。</w:t>
      </w:r>
    </w:p>
    <w:p w:rsidR="00E444A8" w:rsidRDefault="00E444A8" w:rsidP="00207C76">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2022年按照市财政局要求，将2023年项目全部纳入绩效目标填报范围，完成了17个项目绩效目标申报表的审核及系统录入工作。并开展了绩效目标质量审核工作，保障绩效目标与项目内容、部门职责高度关联，绩效指标设置重点突出、细化、量化，指标值能够客观反映项目预期完成的绩</w:t>
      </w:r>
      <w:r>
        <w:rPr>
          <w:rFonts w:ascii="仿宋_GB2312" w:eastAsia="仿宋_GB2312" w:hAnsi="仿宋" w:hint="eastAsia"/>
          <w:sz w:val="32"/>
          <w:szCs w:val="32"/>
        </w:rPr>
        <w:lastRenderedPageBreak/>
        <w:t>效水平。</w:t>
      </w:r>
    </w:p>
    <w:p w:rsidR="00E444A8" w:rsidRDefault="00723C4F" w:rsidP="00207C76">
      <w:pPr>
        <w:spacing w:line="560" w:lineRule="exact"/>
        <w:ind w:left="748" w:firstLineChars="200" w:firstLine="643"/>
        <w:rPr>
          <w:rFonts w:ascii="仿宋_GB2312" w:eastAsia="仿宋_GB2312" w:hAnsi="仿宋"/>
          <w:b/>
          <w:bCs/>
          <w:sz w:val="32"/>
          <w:szCs w:val="32"/>
        </w:rPr>
      </w:pPr>
      <w:r>
        <w:rPr>
          <w:rFonts w:ascii="仿宋_GB2312" w:eastAsia="仿宋_GB2312" w:hAnsi="仿宋" w:hint="eastAsia"/>
          <w:b/>
          <w:bCs/>
          <w:sz w:val="32"/>
          <w:szCs w:val="32"/>
        </w:rPr>
        <w:t>2.</w:t>
      </w:r>
      <w:r w:rsidR="00E444A8">
        <w:rPr>
          <w:rFonts w:ascii="仿宋_GB2312" w:eastAsia="仿宋_GB2312" w:hAnsi="仿宋" w:hint="eastAsia"/>
          <w:b/>
          <w:bCs/>
          <w:sz w:val="32"/>
          <w:szCs w:val="32"/>
        </w:rPr>
        <w:t>开展事后绩效自评及事中绩效监控。</w:t>
      </w:r>
    </w:p>
    <w:p w:rsidR="00E444A8" w:rsidRDefault="00E444A8" w:rsidP="00207C76">
      <w:pPr>
        <w:spacing w:line="560" w:lineRule="exact"/>
        <w:ind w:leftChars="50" w:left="105" w:firstLineChars="200" w:firstLine="640"/>
        <w:rPr>
          <w:rFonts w:ascii="仿宋_GB2312" w:eastAsia="仿宋_GB2312" w:hAnsi="仿宋"/>
          <w:sz w:val="32"/>
          <w:szCs w:val="32"/>
        </w:rPr>
      </w:pPr>
      <w:r>
        <w:rPr>
          <w:rFonts w:ascii="仿宋_GB2312" w:eastAsia="仿宋_GB2312" w:hAnsi="方正仿宋_GBK" w:cs="方正仿宋_GBK" w:hint="eastAsia"/>
          <w:sz w:val="32"/>
          <w:szCs w:val="32"/>
        </w:rPr>
        <w:t>2023年5月，</w:t>
      </w:r>
      <w:r>
        <w:rPr>
          <w:rFonts w:ascii="仿宋_GB2312" w:eastAsia="仿宋_GB2312" w:hAnsi="仿宋" w:hint="eastAsia"/>
          <w:sz w:val="32"/>
          <w:szCs w:val="32"/>
        </w:rPr>
        <w:t>组织业务部门开展项目支出绩效运行监控，</w:t>
      </w:r>
      <w:r>
        <w:rPr>
          <w:rFonts w:ascii="仿宋_GB2312" w:eastAsia="仿宋_GB2312" w:hAnsi="方正仿宋_GBK" w:cs="方正仿宋_GBK" w:hint="eastAsia"/>
          <w:sz w:val="32"/>
          <w:szCs w:val="32"/>
        </w:rPr>
        <w:t>对2022年度的22个市级项目实施了绩效评价（单位自评项目21个、部门评价项目1个），涉及金额9824.49万元。</w:t>
      </w:r>
      <w:r>
        <w:rPr>
          <w:rFonts w:ascii="仿宋_GB2312" w:eastAsia="仿宋_GB2312" w:hAnsi="仿宋" w:hint="eastAsia"/>
          <w:sz w:val="32"/>
          <w:szCs w:val="32"/>
        </w:rPr>
        <w:t>重点评价方面，选取信息系统运维费项目开展绩效评价工作，从项目立项、决策、产出及效益几方面对该项目绩效完成情况进行评价，保障财政资金投入效益、提高我院财政资金管理水平。</w:t>
      </w:r>
    </w:p>
    <w:p w:rsidR="00E444A8" w:rsidRDefault="00E444A8" w:rsidP="00207C76">
      <w:pPr>
        <w:spacing w:line="560" w:lineRule="exact"/>
        <w:ind w:firstLineChars="200" w:firstLine="640"/>
        <w:rPr>
          <w:rFonts w:ascii="仿宋_GB2312" w:eastAsia="仿宋_GB2312" w:hAnsi="仿宋"/>
          <w:sz w:val="32"/>
          <w:szCs w:val="32"/>
        </w:rPr>
      </w:pPr>
      <w:r>
        <w:rPr>
          <w:rFonts w:ascii="仿宋_GB2312" w:eastAsia="仿宋_GB2312" w:hAnsi="方正仿宋_GBK" w:cs="方正仿宋_GBK" w:hint="eastAsia"/>
          <w:sz w:val="32"/>
          <w:szCs w:val="32"/>
        </w:rPr>
        <w:t>2023年7月，对2023年17个项目开展绩效运行监控工作，绩效运行监控覆盖率100%，及时发现项目预算执行中存在的问题并进行调整和纠正，</w:t>
      </w:r>
      <w:r>
        <w:rPr>
          <w:rFonts w:ascii="仿宋_GB2312" w:eastAsia="仿宋_GB2312" w:hAnsi="仿宋" w:hint="eastAsia"/>
          <w:sz w:val="32"/>
          <w:szCs w:val="32"/>
        </w:rPr>
        <w:t>督促业务部门按计划完成预期绩效。</w:t>
      </w:r>
    </w:p>
    <w:p w:rsidR="00E444A8" w:rsidRPr="00C112C0" w:rsidRDefault="00E444A8" w:rsidP="00207C76">
      <w:pPr>
        <w:spacing w:line="560" w:lineRule="exact"/>
        <w:ind w:leftChars="50" w:left="105" w:firstLineChars="200" w:firstLine="643"/>
        <w:rPr>
          <w:rFonts w:ascii="楷体" w:eastAsia="楷体" w:hAnsi="楷体"/>
          <w:b/>
          <w:bCs/>
          <w:sz w:val="32"/>
          <w:szCs w:val="32"/>
        </w:rPr>
      </w:pPr>
      <w:r w:rsidRPr="00C112C0">
        <w:rPr>
          <w:rFonts w:ascii="楷体" w:eastAsia="楷体" w:hAnsi="楷体"/>
          <w:b/>
          <w:bCs/>
          <w:sz w:val="32"/>
          <w:szCs w:val="32"/>
        </w:rPr>
        <w:t>（四）结转结余率</w:t>
      </w:r>
    </w:p>
    <w:p w:rsidR="00E444A8" w:rsidRDefault="00E444A8" w:rsidP="00207C76">
      <w:pPr>
        <w:spacing w:line="560" w:lineRule="exact"/>
        <w:ind w:leftChars="50" w:left="105" w:firstLineChars="200" w:firstLine="640"/>
        <w:rPr>
          <w:rFonts w:ascii="楷体_GB2312"/>
          <w:sz w:val="32"/>
          <w:szCs w:val="32"/>
        </w:rPr>
      </w:pPr>
      <w:r>
        <w:rPr>
          <w:rFonts w:ascii="仿宋_GB2312" w:eastAsia="仿宋_GB2312" w:hint="eastAsia"/>
          <w:sz w:val="32"/>
          <w:szCs w:val="32"/>
        </w:rPr>
        <w:t>我部门2023年结转结余率为2.17%。较2022年度结转结余率2.35%降低0.18%。根据我院审执工作安排,部分专项转移支付资金结转至2024年继续使用。</w:t>
      </w:r>
    </w:p>
    <w:p w:rsidR="00E444A8" w:rsidRPr="00C112C0" w:rsidRDefault="00E444A8" w:rsidP="00207C76">
      <w:pPr>
        <w:spacing w:line="560" w:lineRule="exact"/>
        <w:ind w:leftChars="50" w:left="105" w:firstLineChars="200" w:firstLine="643"/>
        <w:rPr>
          <w:rFonts w:ascii="楷体" w:eastAsia="楷体" w:hAnsi="楷体"/>
          <w:b/>
          <w:bCs/>
          <w:sz w:val="32"/>
          <w:szCs w:val="32"/>
        </w:rPr>
      </w:pPr>
      <w:r w:rsidRPr="00C112C0">
        <w:rPr>
          <w:rFonts w:ascii="楷体" w:eastAsia="楷体" w:hAnsi="楷体"/>
          <w:b/>
          <w:bCs/>
          <w:sz w:val="32"/>
          <w:szCs w:val="32"/>
        </w:rPr>
        <w:t>（五）部门预决算差异率</w:t>
      </w:r>
    </w:p>
    <w:p w:rsidR="00E444A8" w:rsidRDefault="00E444A8" w:rsidP="00207C76">
      <w:pPr>
        <w:spacing w:line="560" w:lineRule="exact"/>
        <w:ind w:firstLineChars="200" w:firstLine="640"/>
      </w:pPr>
      <w:r>
        <w:rPr>
          <w:rFonts w:ascii="仿宋_GB2312" w:eastAsia="仿宋_GB2312" w:hint="eastAsia"/>
          <w:sz w:val="32"/>
          <w:szCs w:val="32"/>
        </w:rPr>
        <w:t>通过对比年度部门决算与年初部门预算，我院2023年度部门支出决算数</w:t>
      </w:r>
      <w:r>
        <w:rPr>
          <w:rFonts w:ascii="仿宋_GB2312" w:eastAsia="仿宋_GB2312" w:hAnsi="宋体" w:cs="宋体" w:hint="eastAsia"/>
          <w:color w:val="000000"/>
          <w:kern w:val="0"/>
          <w:sz w:val="32"/>
          <w:szCs w:val="32"/>
        </w:rPr>
        <w:t>43037.75</w:t>
      </w:r>
      <w:r>
        <w:rPr>
          <w:rFonts w:ascii="仿宋_GB2312" w:eastAsia="仿宋_GB2312" w:hint="eastAsia"/>
          <w:sz w:val="32"/>
          <w:szCs w:val="32"/>
        </w:rPr>
        <w:t>万元，支出年初预算数42074.69万元,年初部门预决算差异率为2.29%，均低于市级平均差异率28.3%。</w:t>
      </w:r>
    </w:p>
    <w:p w:rsidR="00E444A8" w:rsidRDefault="00E444A8" w:rsidP="00207C76">
      <w:pPr>
        <w:snapToGrid w:val="0"/>
        <w:spacing w:line="560" w:lineRule="exact"/>
        <w:ind w:leftChars="50" w:left="105" w:firstLineChars="200" w:firstLine="640"/>
        <w:rPr>
          <w:rFonts w:ascii="黑体" w:eastAsia="黑体" w:hAnsi="黑体"/>
          <w:sz w:val="32"/>
          <w:szCs w:val="32"/>
        </w:rPr>
      </w:pPr>
      <w:r>
        <w:rPr>
          <w:rFonts w:ascii="黑体" w:eastAsia="黑体" w:hAnsi="黑体" w:hint="eastAsia"/>
          <w:sz w:val="32"/>
          <w:szCs w:val="32"/>
        </w:rPr>
        <w:t>五、总体评价结论</w:t>
      </w:r>
    </w:p>
    <w:p w:rsidR="00E444A8" w:rsidRPr="00723C4F" w:rsidRDefault="00E444A8" w:rsidP="00207C76">
      <w:pPr>
        <w:snapToGrid w:val="0"/>
        <w:spacing w:line="560" w:lineRule="exact"/>
        <w:ind w:leftChars="50" w:left="105" w:firstLineChars="200" w:firstLine="643"/>
        <w:rPr>
          <w:rFonts w:ascii="楷体" w:eastAsia="楷体" w:hAnsi="楷体"/>
          <w:b/>
          <w:sz w:val="32"/>
          <w:szCs w:val="32"/>
        </w:rPr>
      </w:pPr>
      <w:r w:rsidRPr="00723C4F">
        <w:rPr>
          <w:rFonts w:ascii="楷体" w:eastAsia="楷体" w:hAnsi="楷体"/>
          <w:b/>
          <w:sz w:val="32"/>
          <w:szCs w:val="32"/>
        </w:rPr>
        <w:t>（一）评价得分情况</w:t>
      </w:r>
    </w:p>
    <w:p w:rsidR="00E444A8" w:rsidRDefault="00E444A8" w:rsidP="00207C76">
      <w:pPr>
        <w:spacing w:line="560" w:lineRule="exact"/>
        <w:ind w:leftChars="50" w:left="105" w:firstLineChars="200" w:firstLine="640"/>
        <w:rPr>
          <w:rFonts w:ascii="仿宋_GB2312" w:eastAsia="仿宋_GB2312"/>
          <w:sz w:val="32"/>
          <w:szCs w:val="32"/>
        </w:rPr>
      </w:pPr>
      <w:r>
        <w:rPr>
          <w:rFonts w:ascii="仿宋_GB2312" w:eastAsia="仿宋_GB2312" w:hint="eastAsia"/>
          <w:sz w:val="32"/>
          <w:szCs w:val="32"/>
        </w:rPr>
        <w:lastRenderedPageBreak/>
        <w:t>我院2023年部门整体绩效评价得分96.70。其中：当年预算执行情况19.58分，整体绩效目标实现情况57.62分，预算管理情况19.5</w:t>
      </w:r>
      <w:r w:rsidR="009F18F2">
        <w:rPr>
          <w:rFonts w:ascii="仿宋_GB2312" w:eastAsia="仿宋_GB2312" w:hint="eastAsia"/>
          <w:sz w:val="32"/>
          <w:szCs w:val="32"/>
        </w:rPr>
        <w:t>0</w:t>
      </w:r>
      <w:r>
        <w:rPr>
          <w:rFonts w:ascii="仿宋_GB2312" w:eastAsia="仿宋_GB2312" w:hint="eastAsia"/>
          <w:sz w:val="32"/>
          <w:szCs w:val="32"/>
        </w:rPr>
        <w:t>分。</w:t>
      </w:r>
    </w:p>
    <w:p w:rsidR="00E444A8" w:rsidRPr="00723C4F" w:rsidRDefault="00E444A8" w:rsidP="00207C76">
      <w:pPr>
        <w:snapToGrid w:val="0"/>
        <w:spacing w:line="560" w:lineRule="exact"/>
        <w:ind w:leftChars="50" w:left="105" w:firstLineChars="200" w:firstLine="643"/>
        <w:rPr>
          <w:rFonts w:ascii="楷体" w:eastAsia="楷体" w:hAnsi="楷体"/>
          <w:b/>
          <w:sz w:val="32"/>
          <w:szCs w:val="32"/>
        </w:rPr>
      </w:pPr>
      <w:r w:rsidRPr="00723C4F">
        <w:rPr>
          <w:rFonts w:ascii="楷体" w:eastAsia="楷体" w:hAnsi="楷体"/>
          <w:b/>
          <w:sz w:val="32"/>
          <w:szCs w:val="32"/>
        </w:rPr>
        <w:t>（二）存在的问题及原因分析</w:t>
      </w:r>
    </w:p>
    <w:p w:rsidR="00E444A8" w:rsidRDefault="00E444A8" w:rsidP="00207C76">
      <w:pPr>
        <w:pStyle w:val="a4"/>
        <w:spacing w:line="560" w:lineRule="exact"/>
        <w:ind w:firstLineChars="200" w:firstLine="640"/>
        <w:rPr>
          <w:rFonts w:ascii="仿宋_GB2312" w:eastAsia="仿宋_GB2312"/>
          <w:kern w:val="2"/>
        </w:rPr>
      </w:pPr>
      <w:r>
        <w:rPr>
          <w:rFonts w:ascii="仿宋_GB2312" w:eastAsia="仿宋_GB2312" w:hint="eastAsia"/>
          <w:kern w:val="2"/>
        </w:rPr>
        <w:t>202</w:t>
      </w:r>
      <w:r w:rsidR="00CA2173">
        <w:rPr>
          <w:rFonts w:ascii="仿宋_GB2312" w:eastAsia="仿宋_GB2312" w:hint="eastAsia"/>
          <w:kern w:val="2"/>
        </w:rPr>
        <w:t>3</w:t>
      </w:r>
      <w:r>
        <w:rPr>
          <w:rFonts w:ascii="仿宋_GB2312" w:eastAsia="仿宋_GB2312" w:hint="eastAsia"/>
          <w:kern w:val="2"/>
        </w:rPr>
        <w:t>年部门整体绩效评价未完成指标共两项：一是质量指标未完成一项，执行质效（首执案件终本率）年度指标值32.13%-42.96%,年度完成值47.45%。首执案件终本率指标值我院在全市排名第14名，基层法院排名第9名。原因分析 ：仅从案件数看，2023年我院首执案件终本案件11898件，案件数居全市第2位，终本案件数高是影响我院该项指标值的最直接原因；从案件类型看，与影响执行完毕率指标提升的原因类似，海淀辖区内，特定类型如“双减”执行案件密集出现，前端难以化解的纠纷大量进入执行程序，案件普遍无足额财产可供执行，同时申请人同意和解难度大，该类型案件的存在是首执案件终本率居高不下的核心原因。</w:t>
      </w:r>
    </w:p>
    <w:p w:rsidR="00E444A8" w:rsidRDefault="00E444A8" w:rsidP="00207C76">
      <w:pPr>
        <w:spacing w:line="560" w:lineRule="exact"/>
        <w:ind w:firstLineChars="200" w:firstLine="640"/>
      </w:pPr>
      <w:r>
        <w:rPr>
          <w:rFonts w:ascii="仿宋_GB2312" w:eastAsia="仿宋_GB2312" w:hint="eastAsia"/>
          <w:sz w:val="32"/>
          <w:szCs w:val="32"/>
        </w:rPr>
        <w:t>二是社会效益指标未完成一项，首都治安（结案情况）年度指标值2316件，全年完成值2314件，主要原因为受前一年疫情影响，积压案件较多，案件审理时间较长，导致结案数下降，未完成年度指标值。</w:t>
      </w:r>
    </w:p>
    <w:p w:rsidR="00E444A8" w:rsidRDefault="00E444A8" w:rsidP="00207C76">
      <w:pPr>
        <w:snapToGrid w:val="0"/>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六、措施建议</w:t>
      </w:r>
    </w:p>
    <w:p w:rsidR="00E444A8" w:rsidRDefault="00E444A8" w:rsidP="00207C76">
      <w:pPr>
        <w:autoSpaceDE w:val="0"/>
        <w:autoSpaceDN w:val="0"/>
        <w:spacing w:line="560" w:lineRule="exact"/>
        <w:ind w:firstLineChars="200" w:firstLine="640"/>
        <w:textAlignment w:val="baseline"/>
        <w:rPr>
          <w:rFonts w:ascii="仿宋_GB2312" w:eastAsia="仿宋_GB2312"/>
          <w:color w:val="000000"/>
          <w:kern w:val="0"/>
          <w:sz w:val="32"/>
          <w:szCs w:val="32"/>
        </w:rPr>
      </w:pPr>
      <w:r>
        <w:rPr>
          <w:rFonts w:ascii="仿宋_GB2312" w:eastAsia="仿宋_GB2312" w:hint="eastAsia"/>
          <w:color w:val="000000"/>
          <w:kern w:val="0"/>
          <w:sz w:val="32"/>
          <w:szCs w:val="32"/>
        </w:rPr>
        <w:t>我院将继续强化绩效目标管理，严格按照预算管理和绩效目标管理的要求编制绩效目标，确保绩效目标能清晰反映预算资金的预期产出和效果，并以相应的绩效指标予以细化、量化描述，未按要求设定绩效目标的项目支出，不得纳入项</w:t>
      </w:r>
      <w:r>
        <w:rPr>
          <w:rFonts w:ascii="仿宋_GB2312" w:eastAsia="仿宋_GB2312" w:hint="eastAsia"/>
          <w:color w:val="000000"/>
          <w:kern w:val="0"/>
          <w:sz w:val="32"/>
          <w:szCs w:val="32"/>
        </w:rPr>
        <w:lastRenderedPageBreak/>
        <w:t>目库管理，不得申请预算资金。</w:t>
      </w:r>
    </w:p>
    <w:p w:rsidR="00E444A8" w:rsidRDefault="00E444A8" w:rsidP="00207C76">
      <w:pPr>
        <w:autoSpaceDE w:val="0"/>
        <w:autoSpaceDN w:val="0"/>
        <w:spacing w:line="560" w:lineRule="exact"/>
        <w:ind w:firstLineChars="200" w:firstLine="640"/>
        <w:textAlignment w:val="baseline"/>
        <w:rPr>
          <w:rFonts w:ascii="仿宋_GB2312" w:eastAsia="仿宋_GB2312"/>
          <w:color w:val="000000"/>
          <w:kern w:val="0"/>
          <w:sz w:val="32"/>
          <w:szCs w:val="32"/>
        </w:rPr>
      </w:pPr>
      <w:r>
        <w:rPr>
          <w:rFonts w:ascii="仿宋_GB2312" w:eastAsia="仿宋_GB2312" w:hint="eastAsia"/>
          <w:color w:val="000000"/>
          <w:kern w:val="0"/>
          <w:sz w:val="32"/>
          <w:szCs w:val="32"/>
        </w:rPr>
        <w:t>在预算执行环节加强绩效运行监控，对绩效目标实现程度和预算执行进度实行“双监控”，发现问题要及时分析原因并纠正，应针对我院重大项目、政策建立绩效跟踪机制，按照项目进度和绩效情况拨付款项，针对存在严重问题的要暂缓或停止支付款项，切实提高资金使用效率。</w:t>
      </w:r>
    </w:p>
    <w:p w:rsidR="00E444A8" w:rsidRDefault="00E444A8" w:rsidP="00207C76">
      <w:pPr>
        <w:autoSpaceDE w:val="0"/>
        <w:autoSpaceDN w:val="0"/>
        <w:spacing w:line="560" w:lineRule="exact"/>
        <w:ind w:firstLineChars="200" w:firstLine="640"/>
        <w:textAlignment w:val="baseline"/>
        <w:rPr>
          <w:rFonts w:ascii="仿宋_GB2312" w:eastAsia="仿宋_GB2312"/>
          <w:color w:val="000000"/>
          <w:kern w:val="0"/>
          <w:sz w:val="32"/>
          <w:szCs w:val="32"/>
        </w:rPr>
      </w:pPr>
      <w:r>
        <w:rPr>
          <w:rFonts w:ascii="仿宋_GB2312" w:eastAsia="仿宋_GB2312" w:hint="eastAsia"/>
          <w:color w:val="000000"/>
          <w:kern w:val="0"/>
          <w:sz w:val="32"/>
          <w:szCs w:val="32"/>
        </w:rPr>
        <w:t>项目完成后，我院应及时开展绩效评价，严格贯彻落实预算绩效管理要求，依据设定的绩效目标，对项目支出的经济性、效率性、效益性和公平性进行客观、公正的测量、分析和评判，出具绩效评价结果，并加强绩效评价结果的运用，提高财政资金使用效率。</w:t>
      </w:r>
    </w:p>
    <w:p w:rsidR="00E444A8" w:rsidRDefault="00E444A8" w:rsidP="00207C76">
      <w:pPr>
        <w:pStyle w:val="a6"/>
        <w:spacing w:line="560" w:lineRule="exact"/>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我院将高度重视绩效评价结果的应用工作，积极探索和建立一套与预算管理相结合、多渠道应用评价结果的有效机制，着力提高绩效意识和财政资金使用效益。</w:t>
      </w:r>
    </w:p>
    <w:p w:rsidR="00E444A8" w:rsidRDefault="00E444A8" w:rsidP="00207C76">
      <w:pPr>
        <w:pStyle w:val="1"/>
        <w:widowControl/>
        <w:spacing w:line="560" w:lineRule="exact"/>
        <w:ind w:firstLineChars="200"/>
        <w:rPr>
          <w:sz w:val="32"/>
          <w:szCs w:val="32"/>
        </w:rPr>
      </w:pPr>
      <w:r>
        <w:rPr>
          <w:rFonts w:hAnsi="黑体" w:hint="eastAsia"/>
          <w:sz w:val="32"/>
          <w:szCs w:val="32"/>
        </w:rPr>
        <w:t>七、附件</w:t>
      </w:r>
    </w:p>
    <w:p w:rsidR="002C12CF" w:rsidRDefault="00E444A8" w:rsidP="00207C76">
      <w:pPr>
        <w:spacing w:line="560" w:lineRule="exact"/>
        <w:ind w:firstLineChars="200" w:firstLine="640"/>
        <w:rPr>
          <w:rFonts w:ascii="仿宋_GB2312" w:eastAsia="仿宋_GB2312"/>
          <w:sz w:val="32"/>
          <w:szCs w:val="32"/>
        </w:rPr>
        <w:sectPr w:rsidR="002C12CF" w:rsidSect="00280FD2">
          <w:pgSz w:w="11906" w:h="16838"/>
          <w:pgMar w:top="1440" w:right="1800" w:bottom="1440" w:left="1800" w:header="851" w:footer="992" w:gutter="0"/>
          <w:cols w:space="425"/>
          <w:docGrid w:type="lines" w:linePitch="312"/>
        </w:sectPr>
      </w:pPr>
      <w:r>
        <w:rPr>
          <w:rFonts w:ascii="仿宋_GB2312" w:eastAsia="仿宋_GB2312" w:hint="eastAsia"/>
          <w:sz w:val="32"/>
          <w:szCs w:val="32"/>
        </w:rPr>
        <w:t>2023年部门整体绩效评价指标体系评分表</w:t>
      </w:r>
    </w:p>
    <w:p w:rsidR="002C12CF" w:rsidRDefault="002C12CF" w:rsidP="002C12CF">
      <w:pPr>
        <w:spacing w:line="560" w:lineRule="exact"/>
        <w:jc w:val="left"/>
        <w:rPr>
          <w:rFonts w:ascii="方正黑体_GBK" w:eastAsia="方正黑体_GBK" w:hAnsi="方正黑体_GBK" w:cs="方正黑体_GBK"/>
          <w:sz w:val="32"/>
        </w:rPr>
      </w:pPr>
      <w:r>
        <w:rPr>
          <w:rFonts w:ascii="方正黑体_GBK" w:eastAsia="方正黑体_GBK" w:hAnsi="方正黑体_GBK" w:cs="方正黑体_GBK" w:hint="eastAsia"/>
          <w:sz w:val="32"/>
        </w:rPr>
        <w:lastRenderedPageBreak/>
        <w:t>附件</w:t>
      </w:r>
    </w:p>
    <w:tbl>
      <w:tblPr>
        <w:tblW w:w="4805" w:type="pct"/>
        <w:tblLayout w:type="fixed"/>
        <w:tblLook w:val="04A0"/>
      </w:tblPr>
      <w:tblGrid>
        <w:gridCol w:w="641"/>
        <w:gridCol w:w="23"/>
        <w:gridCol w:w="109"/>
        <w:gridCol w:w="528"/>
        <w:gridCol w:w="253"/>
        <w:gridCol w:w="850"/>
        <w:gridCol w:w="1490"/>
        <w:gridCol w:w="373"/>
        <w:gridCol w:w="689"/>
        <w:gridCol w:w="248"/>
        <w:gridCol w:w="14"/>
        <w:gridCol w:w="373"/>
        <w:gridCol w:w="196"/>
        <w:gridCol w:w="133"/>
        <w:gridCol w:w="368"/>
        <w:gridCol w:w="294"/>
        <w:gridCol w:w="6"/>
        <w:gridCol w:w="3048"/>
        <w:gridCol w:w="106"/>
        <w:gridCol w:w="387"/>
        <w:gridCol w:w="3492"/>
      </w:tblGrid>
      <w:tr w:rsidR="002C12CF" w:rsidTr="00013E1F">
        <w:trPr>
          <w:trHeight w:val="499"/>
        </w:trPr>
        <w:tc>
          <w:tcPr>
            <w:tcW w:w="243" w:type="pct"/>
            <w:gridSpan w:val="2"/>
            <w:tcBorders>
              <w:top w:val="nil"/>
              <w:left w:val="nil"/>
              <w:bottom w:val="single" w:sz="4" w:space="0" w:color="auto"/>
              <w:right w:val="nil"/>
            </w:tcBorders>
            <w:shd w:val="clear" w:color="auto" w:fill="auto"/>
          </w:tcPr>
          <w:p w:rsidR="002C12CF" w:rsidRDefault="002C12CF" w:rsidP="00013E1F">
            <w:pPr>
              <w:pStyle w:val="ab"/>
              <w:ind w:firstLine="420"/>
            </w:pPr>
          </w:p>
        </w:tc>
        <w:tc>
          <w:tcPr>
            <w:tcW w:w="4757" w:type="pct"/>
            <w:gridSpan w:val="19"/>
            <w:tcBorders>
              <w:top w:val="nil"/>
              <w:left w:val="nil"/>
              <w:bottom w:val="single" w:sz="4" w:space="0" w:color="auto"/>
              <w:right w:val="nil"/>
            </w:tcBorders>
            <w:shd w:val="clear" w:color="auto" w:fill="auto"/>
            <w:noWrap/>
            <w:vAlign w:val="bottom"/>
          </w:tcPr>
          <w:p w:rsidR="002C12CF" w:rsidRDefault="002C12CF" w:rsidP="00013E1F">
            <w:pPr>
              <w:widowControl/>
              <w:jc w:val="center"/>
              <w:rPr>
                <w:rFonts w:ascii="方正小标宋简体" w:eastAsia="方正小标宋简体" w:hAnsi="宋体" w:cs="宋体"/>
                <w:color w:val="000000"/>
                <w:kern w:val="0"/>
                <w:sz w:val="44"/>
                <w:szCs w:val="44"/>
              </w:rPr>
            </w:pPr>
            <w:r>
              <w:rPr>
                <w:rFonts w:ascii="方正小标宋简体" w:eastAsia="方正小标宋简体" w:hAnsi="方正小标宋简体" w:cs="宋体" w:hint="eastAsia"/>
                <w:color w:val="000000"/>
                <w:kern w:val="0"/>
                <w:sz w:val="44"/>
                <w:szCs w:val="44"/>
              </w:rPr>
              <w:t>2023年部门整体绩效评价指标体系评分表</w:t>
            </w:r>
          </w:p>
        </w:tc>
      </w:tr>
      <w:tr w:rsidR="002C12CF" w:rsidTr="00013E1F">
        <w:trPr>
          <w:trHeight w:val="470"/>
        </w:trPr>
        <w:tc>
          <w:tcPr>
            <w:tcW w:w="243" w:type="pct"/>
            <w:gridSpan w:val="2"/>
            <w:tcBorders>
              <w:top w:val="single" w:sz="4" w:space="0" w:color="auto"/>
              <w:left w:val="single" w:sz="4" w:space="0" w:color="auto"/>
              <w:bottom w:val="single" w:sz="4" w:space="0" w:color="000000"/>
              <w:right w:val="single" w:sz="4" w:space="0" w:color="auto"/>
            </w:tcBorders>
            <w:shd w:val="clear" w:color="auto" w:fill="auto"/>
          </w:tcPr>
          <w:p w:rsidR="002C12CF" w:rsidRDefault="002C12CF" w:rsidP="00013E1F">
            <w:pPr>
              <w:widowControl/>
              <w:jc w:val="left"/>
              <w:rPr>
                <w:rFonts w:ascii="宋体" w:hAnsi="宋体" w:cs="宋体"/>
                <w:color w:val="000000"/>
                <w:kern w:val="0"/>
                <w:sz w:val="18"/>
                <w:szCs w:val="18"/>
              </w:rPr>
            </w:pPr>
          </w:p>
        </w:tc>
        <w:tc>
          <w:tcPr>
            <w:tcW w:w="4757" w:type="pct"/>
            <w:gridSpan w:val="19"/>
            <w:tcBorders>
              <w:top w:val="single" w:sz="4" w:space="0" w:color="auto"/>
              <w:left w:val="single" w:sz="4" w:space="0" w:color="auto"/>
              <w:bottom w:val="single" w:sz="4" w:space="0" w:color="000000"/>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2C12CF" w:rsidTr="00013E1F">
        <w:trPr>
          <w:trHeight w:val="660"/>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一级指标　</w:t>
            </w:r>
          </w:p>
        </w:tc>
        <w:tc>
          <w:tcPr>
            <w:tcW w:w="242"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二级指标　</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253"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3"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56"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68"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42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2C12CF" w:rsidTr="00013E1F">
        <w:trPr>
          <w:trHeight w:val="891"/>
        </w:trPr>
        <w:tc>
          <w:tcPr>
            <w:tcW w:w="235" w:type="pct"/>
            <w:vMerge w:val="restart"/>
            <w:tcBorders>
              <w:top w:val="nil"/>
              <w:left w:val="single" w:sz="4" w:space="0" w:color="auto"/>
              <w:bottom w:val="single" w:sz="4" w:space="0" w:color="000000"/>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242"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w:t>
            </w:r>
          </w:p>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总体</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43950.17</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43037.75</w:t>
            </w:r>
          </w:p>
        </w:tc>
        <w:tc>
          <w:tcPr>
            <w:tcW w:w="253"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97.92%　</w:t>
            </w:r>
          </w:p>
        </w:tc>
        <w:tc>
          <w:tcPr>
            <w:tcW w:w="233" w:type="pct"/>
            <w:gridSpan w:val="3"/>
            <w:vMerge w:val="restart"/>
            <w:tcBorders>
              <w:top w:val="nil"/>
              <w:left w:val="nil"/>
              <w:bottom w:val="single" w:sz="4" w:space="0" w:color="auto"/>
              <w:right w:val="single" w:sz="4" w:space="0" w:color="auto"/>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p>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56" w:type="pct"/>
            <w:gridSpan w:val="3"/>
            <w:vMerge w:val="restart"/>
            <w:tcBorders>
              <w:top w:val="nil"/>
              <w:left w:val="nil"/>
              <w:bottom w:val="single" w:sz="4" w:space="0" w:color="auto"/>
              <w:right w:val="single" w:sz="4" w:space="0" w:color="auto"/>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p>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19.58</w:t>
            </w:r>
          </w:p>
        </w:tc>
        <w:tc>
          <w:tcPr>
            <w:tcW w:w="1268" w:type="pct"/>
            <w:gridSpan w:val="4"/>
            <w:vMerge w:val="restart"/>
            <w:tcBorders>
              <w:top w:val="nil"/>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424" w:type="pct"/>
            <w:gridSpan w:val="2"/>
            <w:vMerge w:val="restart"/>
            <w:tcBorders>
              <w:top w:val="nil"/>
              <w:left w:val="nil"/>
              <w:bottom w:val="single" w:sz="4" w:space="0" w:color="auto"/>
              <w:right w:val="single" w:sz="4" w:space="0" w:color="auto"/>
            </w:tcBorders>
            <w:shd w:val="clear" w:color="auto" w:fill="auto"/>
            <w:vAlign w:val="center"/>
          </w:tcPr>
          <w:p w:rsidR="002C12CF" w:rsidRDefault="002C12CF" w:rsidP="002C12CF">
            <w:pPr>
              <w:pStyle w:val="ac"/>
              <w:widowControl/>
              <w:numPr>
                <w:ilvl w:val="0"/>
                <w:numId w:val="4"/>
              </w:numPr>
              <w:ind w:firstLineChars="0"/>
              <w:jc w:val="left"/>
              <w:rPr>
                <w:rFonts w:ascii="宋体" w:hAnsi="宋体" w:cs="宋体"/>
                <w:color w:val="000000"/>
                <w:kern w:val="0"/>
                <w:sz w:val="18"/>
                <w:szCs w:val="18"/>
              </w:rPr>
            </w:pPr>
            <w:r>
              <w:rPr>
                <w:rFonts w:ascii="宋体" w:hAnsi="宋体" w:cs="宋体" w:hint="eastAsia"/>
                <w:color w:val="000000"/>
                <w:kern w:val="0"/>
                <w:sz w:val="18"/>
                <w:szCs w:val="18"/>
              </w:rPr>
              <w:t>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2C12CF" w:rsidRDefault="002C12CF" w:rsidP="00013E1F">
            <w:pPr>
              <w:pStyle w:val="ac"/>
              <w:widowControl/>
              <w:ind w:left="360" w:firstLineChars="0" w:firstLine="0"/>
              <w:jc w:val="left"/>
              <w:rPr>
                <w:rFonts w:ascii="宋体" w:hAnsi="宋体" w:cs="宋体"/>
                <w:color w:val="000000"/>
                <w:kern w:val="0"/>
                <w:sz w:val="18"/>
                <w:szCs w:val="18"/>
              </w:rPr>
            </w:pPr>
          </w:p>
        </w:tc>
      </w:tr>
      <w:tr w:rsidR="002C12CF" w:rsidTr="00013E1F">
        <w:trPr>
          <w:trHeight w:val="957"/>
        </w:trPr>
        <w:tc>
          <w:tcPr>
            <w:tcW w:w="235" w:type="pct"/>
            <w:vMerge/>
            <w:tcBorders>
              <w:top w:val="nil"/>
              <w:left w:val="single" w:sz="4" w:space="0" w:color="auto"/>
              <w:bottom w:val="single" w:sz="4" w:space="0" w:color="000000"/>
              <w:right w:val="single" w:sz="4" w:space="0" w:color="auto"/>
            </w:tcBorders>
            <w:shd w:val="clear" w:color="auto" w:fill="auto"/>
            <w:vAlign w:val="center"/>
          </w:tcPr>
          <w:p w:rsidR="002C12CF" w:rsidRDefault="002C12CF" w:rsidP="00013E1F"/>
        </w:tc>
        <w:tc>
          <w:tcPr>
            <w:tcW w:w="242" w:type="pct"/>
            <w:gridSpan w:val="3"/>
            <w:tcBorders>
              <w:top w:val="single" w:sz="4" w:space="0" w:color="auto"/>
              <w:left w:val="nil"/>
              <w:bottom w:val="single" w:sz="4" w:space="0" w:color="auto"/>
              <w:right w:val="nil"/>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w:t>
            </w:r>
          </w:p>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支出</w:t>
            </w:r>
          </w:p>
        </w:tc>
        <w:tc>
          <w:tcPr>
            <w:tcW w:w="4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33284.82</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33048.43</w:t>
            </w:r>
          </w:p>
        </w:tc>
        <w:tc>
          <w:tcPr>
            <w:tcW w:w="253" w:type="pct"/>
            <w:vMerge w:val="restart"/>
            <w:tcBorders>
              <w:top w:val="nil"/>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3" w:type="pct"/>
            <w:gridSpan w:val="3"/>
            <w:vMerge/>
            <w:tcBorders>
              <w:top w:val="nil"/>
              <w:left w:val="nil"/>
              <w:bottom w:val="single" w:sz="4" w:space="0" w:color="auto"/>
              <w:right w:val="single" w:sz="4" w:space="0" w:color="auto"/>
            </w:tcBorders>
            <w:shd w:val="clear" w:color="auto" w:fill="auto"/>
            <w:noWrap/>
            <w:vAlign w:val="center"/>
          </w:tcPr>
          <w:p w:rsidR="002C12CF" w:rsidRDefault="002C12CF" w:rsidP="00013E1F"/>
        </w:tc>
        <w:tc>
          <w:tcPr>
            <w:tcW w:w="256" w:type="pct"/>
            <w:gridSpan w:val="3"/>
            <w:vMerge/>
            <w:tcBorders>
              <w:top w:val="nil"/>
              <w:left w:val="nil"/>
              <w:bottom w:val="single" w:sz="4" w:space="0" w:color="auto"/>
              <w:right w:val="single" w:sz="4" w:space="0" w:color="auto"/>
            </w:tcBorders>
            <w:shd w:val="clear" w:color="auto" w:fill="auto"/>
            <w:noWrap/>
            <w:vAlign w:val="center"/>
          </w:tcPr>
          <w:p w:rsidR="002C12CF" w:rsidRDefault="002C12CF" w:rsidP="00013E1F"/>
        </w:tc>
        <w:tc>
          <w:tcPr>
            <w:tcW w:w="1268" w:type="pct"/>
            <w:gridSpan w:val="4"/>
            <w:vMerge/>
            <w:tcBorders>
              <w:top w:val="nil"/>
              <w:left w:val="nil"/>
              <w:bottom w:val="single" w:sz="4" w:space="0" w:color="auto"/>
              <w:right w:val="single" w:sz="4" w:space="0" w:color="auto"/>
            </w:tcBorders>
            <w:shd w:val="clear" w:color="auto" w:fill="auto"/>
            <w:vAlign w:val="center"/>
          </w:tcPr>
          <w:p w:rsidR="002C12CF" w:rsidRDefault="002C12CF" w:rsidP="00013E1F"/>
        </w:tc>
        <w:tc>
          <w:tcPr>
            <w:tcW w:w="1424" w:type="pct"/>
            <w:gridSpan w:val="2"/>
            <w:vMerge/>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1287"/>
        </w:trPr>
        <w:tc>
          <w:tcPr>
            <w:tcW w:w="235" w:type="pct"/>
            <w:vMerge/>
            <w:tcBorders>
              <w:top w:val="nil"/>
              <w:left w:val="single" w:sz="4" w:space="0" w:color="auto"/>
              <w:bottom w:val="single" w:sz="4" w:space="0" w:color="000000"/>
              <w:right w:val="single" w:sz="4" w:space="0" w:color="auto"/>
            </w:tcBorders>
            <w:shd w:val="clear" w:color="auto" w:fill="auto"/>
            <w:vAlign w:val="center"/>
          </w:tcPr>
          <w:p w:rsidR="002C12CF" w:rsidRDefault="002C12CF" w:rsidP="00013E1F"/>
        </w:tc>
        <w:tc>
          <w:tcPr>
            <w:tcW w:w="242" w:type="pct"/>
            <w:gridSpan w:val="3"/>
            <w:tcBorders>
              <w:top w:val="single" w:sz="4" w:space="0" w:color="auto"/>
              <w:left w:val="nil"/>
              <w:bottom w:val="single" w:sz="4" w:space="0" w:color="auto"/>
              <w:right w:val="nil"/>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w:t>
            </w:r>
          </w:p>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支出</w:t>
            </w:r>
          </w:p>
        </w:tc>
        <w:tc>
          <w:tcPr>
            <w:tcW w:w="4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jc w:val="center"/>
              <w:rPr>
                <w:rFonts w:ascii="宋体" w:hAnsi="宋体" w:cs="宋体"/>
                <w:color w:val="000000"/>
                <w:kern w:val="0"/>
                <w:sz w:val="20"/>
                <w:szCs w:val="20"/>
              </w:rPr>
            </w:pPr>
            <w:r>
              <w:rPr>
                <w:rFonts w:ascii="宋体" w:hAnsi="宋体" w:cs="宋体" w:hint="eastAsia"/>
                <w:color w:val="000000"/>
                <w:kern w:val="0"/>
                <w:sz w:val="20"/>
                <w:szCs w:val="20"/>
              </w:rPr>
              <w:t>9221.47</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8722.24</w:t>
            </w:r>
          </w:p>
        </w:tc>
        <w:tc>
          <w:tcPr>
            <w:tcW w:w="253" w:type="pct"/>
            <w:vMerge/>
            <w:tcBorders>
              <w:top w:val="nil"/>
              <w:left w:val="nil"/>
              <w:bottom w:val="single" w:sz="4" w:space="0" w:color="auto"/>
              <w:right w:val="single" w:sz="4" w:space="0" w:color="auto"/>
            </w:tcBorders>
            <w:shd w:val="clear" w:color="auto" w:fill="auto"/>
            <w:vAlign w:val="center"/>
          </w:tcPr>
          <w:p w:rsidR="002C12CF" w:rsidRDefault="002C12CF" w:rsidP="00013E1F"/>
        </w:tc>
        <w:tc>
          <w:tcPr>
            <w:tcW w:w="233" w:type="pct"/>
            <w:gridSpan w:val="3"/>
            <w:vMerge/>
            <w:tcBorders>
              <w:top w:val="nil"/>
              <w:left w:val="nil"/>
              <w:bottom w:val="single" w:sz="4" w:space="0" w:color="auto"/>
              <w:right w:val="single" w:sz="4" w:space="0" w:color="auto"/>
            </w:tcBorders>
            <w:shd w:val="clear" w:color="auto" w:fill="auto"/>
            <w:noWrap/>
            <w:vAlign w:val="center"/>
          </w:tcPr>
          <w:p w:rsidR="002C12CF" w:rsidRDefault="002C12CF" w:rsidP="00013E1F"/>
        </w:tc>
        <w:tc>
          <w:tcPr>
            <w:tcW w:w="256" w:type="pct"/>
            <w:gridSpan w:val="3"/>
            <w:vMerge/>
            <w:tcBorders>
              <w:top w:val="nil"/>
              <w:left w:val="nil"/>
              <w:bottom w:val="single" w:sz="4" w:space="0" w:color="auto"/>
              <w:right w:val="single" w:sz="4" w:space="0" w:color="auto"/>
            </w:tcBorders>
            <w:shd w:val="clear" w:color="auto" w:fill="auto"/>
            <w:noWrap/>
            <w:vAlign w:val="center"/>
          </w:tcPr>
          <w:p w:rsidR="002C12CF" w:rsidRDefault="002C12CF" w:rsidP="00013E1F"/>
        </w:tc>
        <w:tc>
          <w:tcPr>
            <w:tcW w:w="1268" w:type="pct"/>
            <w:gridSpan w:val="4"/>
            <w:vMerge/>
            <w:tcBorders>
              <w:top w:val="nil"/>
              <w:left w:val="nil"/>
              <w:bottom w:val="single" w:sz="4" w:space="0" w:color="auto"/>
              <w:right w:val="single" w:sz="4" w:space="0" w:color="auto"/>
            </w:tcBorders>
            <w:shd w:val="clear" w:color="auto" w:fill="auto"/>
            <w:vAlign w:val="center"/>
          </w:tcPr>
          <w:p w:rsidR="002C12CF" w:rsidRDefault="002C12CF" w:rsidP="00013E1F"/>
        </w:tc>
        <w:tc>
          <w:tcPr>
            <w:tcW w:w="1424" w:type="pct"/>
            <w:gridSpan w:val="2"/>
            <w:vMerge/>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1276"/>
        </w:trPr>
        <w:tc>
          <w:tcPr>
            <w:tcW w:w="235" w:type="pct"/>
            <w:vMerge/>
            <w:tcBorders>
              <w:top w:val="nil"/>
              <w:left w:val="single" w:sz="4" w:space="0" w:color="auto"/>
              <w:bottom w:val="single" w:sz="4" w:space="0" w:color="000000"/>
              <w:right w:val="single" w:sz="4" w:space="0" w:color="auto"/>
            </w:tcBorders>
            <w:shd w:val="clear" w:color="auto" w:fill="auto"/>
            <w:vAlign w:val="center"/>
          </w:tcPr>
          <w:p w:rsidR="002C12CF" w:rsidRDefault="002C12CF" w:rsidP="00013E1F"/>
        </w:tc>
        <w:tc>
          <w:tcPr>
            <w:tcW w:w="242"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jc w:val="center"/>
              <w:rPr>
                <w:rFonts w:ascii="宋体" w:hAnsi="宋体" w:cs="宋体"/>
                <w:color w:val="000000"/>
                <w:kern w:val="0"/>
                <w:sz w:val="20"/>
                <w:szCs w:val="20"/>
              </w:rPr>
            </w:pPr>
            <w:r>
              <w:rPr>
                <w:rFonts w:ascii="宋体" w:hAnsi="宋体" w:cs="宋体" w:hint="eastAsia"/>
                <w:color w:val="000000"/>
                <w:kern w:val="0"/>
                <w:sz w:val="20"/>
                <w:szCs w:val="20"/>
              </w:rPr>
              <w:t>1433.88</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jc w:val="center"/>
              <w:rPr>
                <w:rFonts w:ascii="Arial" w:hAnsi="Arial" w:cs="Arial"/>
                <w:sz w:val="20"/>
                <w:szCs w:val="20"/>
              </w:rPr>
            </w:pPr>
            <w:r>
              <w:rPr>
                <w:rFonts w:ascii="宋体" w:hAnsi="宋体" w:cs="宋体" w:hint="eastAsia"/>
                <w:color w:val="000000"/>
                <w:kern w:val="0"/>
                <w:sz w:val="20"/>
                <w:szCs w:val="20"/>
              </w:rPr>
              <w:t>1267.08</w:t>
            </w:r>
          </w:p>
        </w:tc>
        <w:tc>
          <w:tcPr>
            <w:tcW w:w="253" w:type="pct"/>
            <w:vMerge/>
            <w:tcBorders>
              <w:top w:val="nil"/>
              <w:left w:val="nil"/>
              <w:bottom w:val="single" w:sz="4" w:space="0" w:color="auto"/>
              <w:right w:val="single" w:sz="4" w:space="0" w:color="auto"/>
            </w:tcBorders>
            <w:shd w:val="clear" w:color="auto" w:fill="auto"/>
            <w:vAlign w:val="center"/>
          </w:tcPr>
          <w:p w:rsidR="002C12CF" w:rsidRDefault="002C12CF" w:rsidP="00013E1F"/>
        </w:tc>
        <w:tc>
          <w:tcPr>
            <w:tcW w:w="233" w:type="pct"/>
            <w:gridSpan w:val="3"/>
            <w:vMerge/>
            <w:tcBorders>
              <w:top w:val="nil"/>
              <w:left w:val="nil"/>
              <w:bottom w:val="single" w:sz="4" w:space="0" w:color="auto"/>
              <w:right w:val="single" w:sz="4" w:space="0" w:color="auto"/>
            </w:tcBorders>
            <w:shd w:val="clear" w:color="auto" w:fill="auto"/>
            <w:noWrap/>
            <w:vAlign w:val="center"/>
          </w:tcPr>
          <w:p w:rsidR="002C12CF" w:rsidRDefault="002C12CF" w:rsidP="00013E1F"/>
        </w:tc>
        <w:tc>
          <w:tcPr>
            <w:tcW w:w="256" w:type="pct"/>
            <w:gridSpan w:val="3"/>
            <w:vMerge/>
            <w:tcBorders>
              <w:top w:val="nil"/>
              <w:left w:val="nil"/>
              <w:bottom w:val="single" w:sz="4" w:space="0" w:color="auto"/>
              <w:right w:val="single" w:sz="4" w:space="0" w:color="auto"/>
            </w:tcBorders>
            <w:shd w:val="clear" w:color="auto" w:fill="auto"/>
            <w:noWrap/>
            <w:vAlign w:val="center"/>
          </w:tcPr>
          <w:p w:rsidR="002C12CF" w:rsidRDefault="002C12CF" w:rsidP="00013E1F"/>
        </w:tc>
        <w:tc>
          <w:tcPr>
            <w:tcW w:w="1268" w:type="pct"/>
            <w:gridSpan w:val="4"/>
            <w:vMerge/>
            <w:tcBorders>
              <w:top w:val="nil"/>
              <w:left w:val="nil"/>
              <w:bottom w:val="single" w:sz="4" w:space="0" w:color="auto"/>
              <w:right w:val="single" w:sz="4" w:space="0" w:color="auto"/>
            </w:tcBorders>
            <w:shd w:val="clear" w:color="auto" w:fill="auto"/>
            <w:vAlign w:val="center"/>
          </w:tcPr>
          <w:p w:rsidR="002C12CF" w:rsidRDefault="002C12CF" w:rsidP="00013E1F"/>
        </w:tc>
        <w:tc>
          <w:tcPr>
            <w:tcW w:w="1424" w:type="pct"/>
            <w:gridSpan w:val="2"/>
            <w:vMerge/>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569"/>
        </w:trPr>
        <w:tc>
          <w:tcPr>
            <w:tcW w:w="243" w:type="pct"/>
            <w:gridSpan w:val="2"/>
            <w:tcBorders>
              <w:top w:val="nil"/>
              <w:left w:val="single" w:sz="4" w:space="0" w:color="auto"/>
              <w:bottom w:val="single" w:sz="4" w:space="0" w:color="auto"/>
              <w:right w:val="single" w:sz="4" w:space="0" w:color="auto"/>
            </w:tcBorders>
            <w:shd w:val="clear" w:color="auto" w:fill="auto"/>
          </w:tcPr>
          <w:p w:rsidR="002C12CF" w:rsidRDefault="002C12CF" w:rsidP="00013E1F">
            <w:pPr>
              <w:widowControl/>
              <w:jc w:val="left"/>
              <w:rPr>
                <w:rFonts w:ascii="宋体" w:hAnsi="宋体" w:cs="宋体"/>
                <w:color w:val="000000"/>
                <w:kern w:val="0"/>
                <w:sz w:val="18"/>
                <w:szCs w:val="18"/>
              </w:rPr>
            </w:pPr>
          </w:p>
        </w:tc>
        <w:tc>
          <w:tcPr>
            <w:tcW w:w="4757" w:type="pct"/>
            <w:gridSpan w:val="19"/>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hint="eastAsia"/>
                <w:color w:val="000000"/>
                <w:kern w:val="0"/>
                <w:sz w:val="20"/>
                <w:szCs w:val="20"/>
              </w:rPr>
              <w:t>整体绩效目标实现情况（60分）</w:t>
            </w:r>
          </w:p>
        </w:tc>
      </w:tr>
      <w:tr w:rsidR="002C12CF" w:rsidTr="00013E1F">
        <w:trPr>
          <w:trHeight w:val="499"/>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42"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二级指标　</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三级指标　</w:t>
            </w:r>
          </w:p>
        </w:tc>
        <w:tc>
          <w:tcPr>
            <w:tcW w:w="547"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481"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63" w:type="pct"/>
            <w:gridSpan w:val="4"/>
            <w:tcBorders>
              <w:top w:val="single" w:sz="4" w:space="0" w:color="auto"/>
              <w:left w:val="nil"/>
              <w:bottom w:val="single" w:sz="4" w:space="0" w:color="auto"/>
              <w:right w:val="single" w:sz="4" w:space="0" w:color="auto"/>
            </w:tcBorders>
            <w:shd w:val="clear" w:color="auto" w:fill="auto"/>
          </w:tcPr>
          <w:p w:rsidR="002C12CF" w:rsidRDefault="002C12CF" w:rsidP="00013E1F">
            <w:pPr>
              <w:widowControl/>
              <w:spacing w:line="480" w:lineRule="auto"/>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45" w:type="pct"/>
            <w:gridSpan w:val="3"/>
            <w:tcBorders>
              <w:top w:val="single" w:sz="4" w:space="0" w:color="auto"/>
              <w:left w:val="single" w:sz="4" w:space="0" w:color="auto"/>
              <w:bottom w:val="single" w:sz="4" w:space="0" w:color="auto"/>
              <w:right w:val="nil"/>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指标解释</w:t>
            </w:r>
          </w:p>
        </w:tc>
        <w:tc>
          <w:tcPr>
            <w:tcW w:w="1282"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18"/>
                <w:szCs w:val="18"/>
              </w:rPr>
            </w:pPr>
            <w:r>
              <w:rPr>
                <w:rFonts w:ascii="宋体" w:hAnsi="宋体" w:cs="宋体" w:hint="eastAsia"/>
                <w:color w:val="000000"/>
                <w:kern w:val="0"/>
                <w:sz w:val="18"/>
                <w:szCs w:val="18"/>
              </w:rPr>
              <w:t>评分标准</w:t>
            </w:r>
          </w:p>
        </w:tc>
      </w:tr>
      <w:tr w:rsidR="002C12CF" w:rsidTr="00013E1F">
        <w:trPr>
          <w:trHeight w:val="1196"/>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242" w:type="pct"/>
            <w:gridSpan w:val="3"/>
            <w:vMerge w:val="restart"/>
            <w:tcBorders>
              <w:top w:val="nil"/>
              <w:left w:val="nil"/>
              <w:bottom w:val="nil"/>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p>
          <w:p w:rsidR="002C12CF" w:rsidRDefault="002C12CF" w:rsidP="00013E1F">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rPr>
                <w:rFonts w:ascii="宋体" w:hAnsi="宋体" w:cs="宋体"/>
                <w:color w:val="000000"/>
                <w:kern w:val="0"/>
                <w:sz w:val="20"/>
                <w:szCs w:val="20"/>
              </w:rPr>
            </w:pPr>
            <w:r>
              <w:rPr>
                <w:rFonts w:ascii="宋体" w:hAnsi="宋体" w:cs="宋体" w:hint="eastAsia"/>
                <w:color w:val="000000"/>
                <w:kern w:val="0"/>
                <w:sz w:val="20"/>
                <w:szCs w:val="20"/>
              </w:rPr>
              <w:t>年初预计收结案量</w:t>
            </w:r>
          </w:p>
        </w:tc>
        <w:tc>
          <w:tcPr>
            <w:tcW w:w="547"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收案：100256</w:t>
            </w:r>
          </w:p>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结案：103756</w:t>
            </w:r>
          </w:p>
        </w:tc>
        <w:tc>
          <w:tcPr>
            <w:tcW w:w="481"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收案：100344</w:t>
            </w:r>
          </w:p>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结案：105891</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single" w:sz="4" w:space="0" w:color="auto"/>
              <w:left w:val="single" w:sz="4" w:space="0" w:color="auto"/>
              <w:bottom w:val="single" w:sz="4" w:space="0" w:color="auto"/>
              <w:right w:val="nil"/>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0" w:type="pct"/>
            <w:gridSpan w:val="3"/>
            <w:vMerge w:val="restart"/>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282" w:type="pct"/>
            <w:vMerge w:val="restart"/>
            <w:tcBorders>
              <w:top w:val="nil"/>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2C12CF" w:rsidTr="00013E1F">
        <w:trPr>
          <w:trHeight w:val="1130"/>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vMerge/>
            <w:tcBorders>
              <w:top w:val="nil"/>
              <w:left w:val="nil"/>
              <w:bottom w:val="nil"/>
              <w:right w:val="single" w:sz="4" w:space="0" w:color="auto"/>
            </w:tcBorders>
            <w:shd w:val="clear" w:color="auto" w:fill="auto"/>
            <w:vAlign w:val="center"/>
          </w:tcPr>
          <w:p w:rsidR="002C12CF" w:rsidRDefault="002C12CF" w:rsidP="00013E1F"/>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员额法官人均办案工作量</w:t>
            </w:r>
          </w:p>
        </w:tc>
        <w:tc>
          <w:tcPr>
            <w:tcW w:w="547"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478.13</w:t>
            </w:r>
          </w:p>
        </w:tc>
        <w:tc>
          <w:tcPr>
            <w:tcW w:w="481"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488</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0"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vMerge/>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1258"/>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vMerge/>
            <w:tcBorders>
              <w:top w:val="nil"/>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全年审判执行文书数量（份）</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58369</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65469</w:t>
            </w:r>
          </w:p>
        </w:tc>
        <w:tc>
          <w:tcPr>
            <w:tcW w:w="263" w:type="pct"/>
            <w:gridSpan w:val="4"/>
            <w:tcBorders>
              <w:top w:val="single" w:sz="4" w:space="0" w:color="auto"/>
              <w:left w:val="nil"/>
              <w:bottom w:val="single" w:sz="4" w:space="0" w:color="auto"/>
              <w:right w:val="single" w:sz="4" w:space="0" w:color="auto"/>
            </w:tcBorders>
            <w:shd w:val="clear" w:color="auto" w:fill="auto"/>
          </w:tcPr>
          <w:p w:rsidR="002C12CF" w:rsidRDefault="002C12CF" w:rsidP="00013E1F">
            <w:pPr>
              <w:widowControl/>
              <w:jc w:val="center"/>
              <w:rPr>
                <w:rFonts w:ascii="宋体" w:hAnsi="宋体" w:cs="宋体"/>
                <w:color w:val="000000"/>
                <w:kern w:val="0"/>
                <w:sz w:val="20"/>
                <w:szCs w:val="20"/>
              </w:rPr>
            </w:pPr>
          </w:p>
          <w:p w:rsidR="002C12CF" w:rsidRDefault="002C12CF" w:rsidP="00013E1F">
            <w:pPr>
              <w:widowControl/>
              <w:spacing w:line="48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0"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vMerge/>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vMerge/>
            <w:tcBorders>
              <w:top w:val="nil"/>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全年维（修）护场地数量</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300"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vMerge/>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tcBorders>
              <w:top w:val="nil"/>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一审服判息诉率</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86.50%</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0" w:type="pct"/>
            <w:gridSpan w:val="3"/>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tcBorders>
              <w:top w:val="nil"/>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执行质效</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sidRPr="00861572">
              <w:rPr>
                <w:rFonts w:ascii="宋体" w:hAnsi="宋体" w:cs="宋体"/>
                <w:color w:val="000000"/>
                <w:kern w:val="0"/>
                <w:sz w:val="20"/>
                <w:szCs w:val="20"/>
              </w:rPr>
              <w:t>32.13%-42.96%</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sidRPr="00861572">
              <w:rPr>
                <w:rFonts w:ascii="宋体" w:hAnsi="宋体" w:cs="宋体"/>
                <w:color w:val="000000"/>
                <w:kern w:val="0"/>
                <w:sz w:val="20"/>
                <w:szCs w:val="20"/>
              </w:rPr>
              <w:t>47.45%</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300" w:type="pct"/>
            <w:gridSpan w:val="3"/>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tcBorders>
              <w:top w:val="nil"/>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电子送达覆盖率</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59.39%</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68.38%</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300" w:type="pct"/>
            <w:gridSpan w:val="3"/>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9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tcBorders>
              <w:top w:val="nil"/>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预算内额度</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43950.17</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43037.75</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300" w:type="pct"/>
            <w:gridSpan w:val="3"/>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p>
        </w:tc>
        <w:tc>
          <w:tcPr>
            <w:tcW w:w="1282" w:type="pct"/>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6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vMerge w:val="restart"/>
            <w:tcBorders>
              <w:top w:val="single" w:sz="4" w:space="0" w:color="auto"/>
              <w:left w:val="nil"/>
              <w:bottom w:val="nil"/>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保证首都经济运转和维护营商环境情况（文字描述）</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81" w:type="pct"/>
            <w:gridSpan w:val="3"/>
            <w:tcBorders>
              <w:top w:val="nil"/>
              <w:left w:val="nil"/>
              <w:bottom w:val="single" w:sz="4" w:space="0" w:color="auto"/>
              <w:right w:val="single" w:sz="4" w:space="0" w:color="auto"/>
            </w:tcBorders>
            <w:shd w:val="clear" w:color="auto" w:fill="auto"/>
          </w:tcPr>
          <w:p w:rsidR="002C12CF" w:rsidRDefault="002C12CF" w:rsidP="00013E1F">
            <w:pPr>
              <w:widowControl/>
              <w:spacing w:line="240" w:lineRule="exact"/>
              <w:jc w:val="left"/>
              <w:rPr>
                <w:rFonts w:ascii="宋体" w:hAnsi="宋体" w:cs="宋体"/>
                <w:color w:val="000000"/>
                <w:kern w:val="0"/>
                <w:sz w:val="20"/>
                <w:szCs w:val="20"/>
              </w:rPr>
            </w:pPr>
            <w:r w:rsidRPr="001D4674">
              <w:rPr>
                <w:rFonts w:ascii="宋体" w:hAnsi="宋体" w:cs="宋体" w:hint="eastAsia"/>
                <w:color w:val="000000"/>
                <w:kern w:val="0"/>
                <w:sz w:val="20"/>
                <w:szCs w:val="20"/>
              </w:rPr>
              <w:t>全力保障首都经济平稳运行，持续助力优化营商环境，增强服务保障的精细化和高效化水平。聚焦商事制度改革，积极营造法治化营商环境。</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spacing w:line="60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0" w:type="pct"/>
            <w:gridSpan w:val="3"/>
            <w:vMerge w:val="restart"/>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282" w:type="pct"/>
            <w:vMerge w:val="restart"/>
            <w:tcBorders>
              <w:top w:val="nil"/>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2C12CF" w:rsidTr="00013E1F">
        <w:trPr>
          <w:trHeight w:val="630"/>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vMerge/>
            <w:tcBorders>
              <w:top w:val="single" w:sz="4" w:space="0" w:color="auto"/>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涉及营商环境（案件数）</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18276</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18316</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0"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vMerge/>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690"/>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vMerge/>
            <w:tcBorders>
              <w:top w:val="single" w:sz="4" w:space="0" w:color="auto"/>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首都治安（案件数）</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1321</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1220</w:t>
            </w:r>
          </w:p>
        </w:tc>
        <w:tc>
          <w:tcPr>
            <w:tcW w:w="263" w:type="pct"/>
            <w:gridSpan w:val="4"/>
            <w:tcBorders>
              <w:top w:val="single" w:sz="4" w:space="0" w:color="auto"/>
              <w:left w:val="nil"/>
              <w:bottom w:val="single" w:sz="4" w:space="0" w:color="auto"/>
              <w:right w:val="single" w:sz="4" w:space="0" w:color="auto"/>
            </w:tcBorders>
            <w:shd w:val="clear" w:color="auto" w:fill="auto"/>
          </w:tcPr>
          <w:p w:rsidR="002C12CF" w:rsidRDefault="002C12CF" w:rsidP="00013E1F">
            <w:pPr>
              <w:widowControl/>
              <w:spacing w:line="60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single" w:sz="4" w:space="0" w:color="auto"/>
              <w:left w:val="single" w:sz="4" w:space="0" w:color="auto"/>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4.62</w:t>
            </w:r>
          </w:p>
        </w:tc>
        <w:tc>
          <w:tcPr>
            <w:tcW w:w="1300"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vMerge/>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675"/>
        </w:trPr>
        <w:tc>
          <w:tcPr>
            <w:tcW w:w="235" w:type="pct"/>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vMerge/>
            <w:tcBorders>
              <w:top w:val="single" w:sz="4" w:space="0" w:color="auto"/>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解决执行难（执结</w:t>
            </w:r>
            <w:r>
              <w:rPr>
                <w:rFonts w:ascii="宋体" w:hAnsi="宋体" w:cs="宋体" w:hint="eastAsia"/>
                <w:color w:val="000000"/>
                <w:kern w:val="0"/>
                <w:sz w:val="20"/>
                <w:szCs w:val="20"/>
              </w:rPr>
              <w:lastRenderedPageBreak/>
              <w:t>案件数）</w:t>
            </w:r>
          </w:p>
        </w:tc>
        <w:tc>
          <w:tcPr>
            <w:tcW w:w="547" w:type="pct"/>
            <w:tcBorders>
              <w:top w:val="nil"/>
              <w:left w:val="nil"/>
              <w:bottom w:val="single" w:sz="4" w:space="0" w:color="auto"/>
              <w:right w:val="single" w:sz="4" w:space="0" w:color="auto"/>
            </w:tcBorders>
            <w:shd w:val="clear" w:color="auto" w:fill="auto"/>
            <w:vAlign w:val="center"/>
          </w:tcPr>
          <w:p w:rsidR="002C12CF" w:rsidRPr="001D4674"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24750</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25036</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nil"/>
              <w:left w:val="nil"/>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0"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vMerge/>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675"/>
        </w:trPr>
        <w:tc>
          <w:tcPr>
            <w:tcW w:w="235" w:type="pct"/>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tcBorders>
              <w:top w:val="nil"/>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司法为民、公正司法情况（文字）</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发挥保障和改善民生职能作用，提升司法服务质效，大力推进解决执行难，加大普法力度。</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大力发挥保障和改善民生职能作用，大力提升司法服务质效，大力推进切实解决执行难，大力推动普法常态化建设。</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245" w:type="pct"/>
            <w:gridSpan w:val="3"/>
            <w:tcBorders>
              <w:top w:val="nil"/>
              <w:left w:val="nil"/>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0" w:type="pct"/>
            <w:gridSpan w:val="3"/>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1282" w:type="pct"/>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675"/>
        </w:trPr>
        <w:tc>
          <w:tcPr>
            <w:tcW w:w="235" w:type="pct"/>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42" w:type="pct"/>
            <w:gridSpan w:val="3"/>
            <w:tcBorders>
              <w:top w:val="nil"/>
              <w:left w:val="nil"/>
              <w:bottom w:val="nil"/>
              <w:right w:val="single" w:sz="4" w:space="0" w:color="auto"/>
            </w:tcBorders>
            <w:shd w:val="clear" w:color="auto" w:fill="auto"/>
            <w:vAlign w:val="center"/>
          </w:tcPr>
          <w:p w:rsidR="002C12CF" w:rsidRDefault="002C12CF" w:rsidP="00013E1F"/>
        </w:tc>
        <w:tc>
          <w:tcPr>
            <w:tcW w:w="405"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群众满意度（文字）</w:t>
            </w:r>
          </w:p>
        </w:tc>
        <w:tc>
          <w:tcPr>
            <w:tcW w:w="547"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sidRPr="00F11484">
              <w:rPr>
                <w:rFonts w:ascii="宋体" w:hAnsi="宋体" w:cs="宋体" w:hint="eastAsia"/>
                <w:color w:val="000000"/>
                <w:kern w:val="0"/>
                <w:sz w:val="20"/>
                <w:szCs w:val="20"/>
              </w:rPr>
              <w:t>牢牢把握司法为民根本宗旨，不断提升人民群众对公正司法的获得感。全面加强民生司法保障；全面保护未成年人合法权益；全面优化一站式诉讼服务体系建设；全面巩固解决执行难长效机制。努力让人民群众在每一个司法案件中感受到公平正义。</w:t>
            </w:r>
          </w:p>
        </w:tc>
        <w:tc>
          <w:tcPr>
            <w:tcW w:w="481"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spacing w:line="240" w:lineRule="exact"/>
              <w:jc w:val="left"/>
              <w:rPr>
                <w:rFonts w:ascii="宋体" w:hAnsi="宋体" w:cs="宋体"/>
                <w:color w:val="000000"/>
                <w:kern w:val="0"/>
                <w:sz w:val="20"/>
                <w:szCs w:val="20"/>
              </w:rPr>
            </w:pPr>
            <w:r w:rsidRPr="007C2212">
              <w:rPr>
                <w:rFonts w:ascii="宋体" w:hAnsi="宋体" w:cs="宋体" w:hint="eastAsia"/>
                <w:color w:val="000000"/>
                <w:kern w:val="0"/>
                <w:sz w:val="20"/>
                <w:szCs w:val="20"/>
              </w:rPr>
              <w:t>以群众法治需求为导向，全面落实“谁执法谁普法”普法责任制，不断加大司法公开力度。把握群众需求精准普法，自觉接受群众监督。坚持以人民群众的满意度、获得感检验改革成效，抓住改革重点，聚焦突出问题，统</w:t>
            </w:r>
            <w:r w:rsidRPr="007C2212">
              <w:rPr>
                <w:rFonts w:ascii="宋体" w:hAnsi="宋体" w:cs="宋体" w:hint="eastAsia"/>
                <w:color w:val="000000"/>
                <w:kern w:val="0"/>
                <w:sz w:val="20"/>
                <w:szCs w:val="20"/>
              </w:rPr>
              <w:lastRenderedPageBreak/>
              <w:t>筹推进司法体制综合配套改革。</w:t>
            </w:r>
          </w:p>
        </w:tc>
        <w:tc>
          <w:tcPr>
            <w:tcW w:w="263" w:type="pct"/>
            <w:gridSpan w:val="4"/>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ind w:firstLineChars="150" w:firstLine="300"/>
              <w:jc w:val="left"/>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245" w:type="pct"/>
            <w:gridSpan w:val="3"/>
            <w:tcBorders>
              <w:top w:val="nil"/>
              <w:left w:val="nil"/>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300" w:type="pct"/>
            <w:gridSpan w:val="3"/>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p>
        </w:tc>
        <w:tc>
          <w:tcPr>
            <w:tcW w:w="1282" w:type="pct"/>
            <w:tcBorders>
              <w:top w:val="nil"/>
              <w:left w:val="nil"/>
              <w:bottom w:val="single" w:sz="4" w:space="0" w:color="auto"/>
              <w:right w:val="single" w:sz="4" w:space="0" w:color="auto"/>
            </w:tcBorders>
            <w:shd w:val="clear" w:color="auto" w:fill="auto"/>
            <w:vAlign w:val="center"/>
          </w:tcPr>
          <w:p w:rsidR="002C12CF" w:rsidRDefault="002C12CF" w:rsidP="00013E1F"/>
        </w:tc>
      </w:tr>
      <w:tr w:rsidR="002C12CF" w:rsidTr="00013E1F">
        <w:trPr>
          <w:trHeight w:val="699"/>
        </w:trPr>
        <w:tc>
          <w:tcPr>
            <w:tcW w:w="243" w:type="pct"/>
            <w:gridSpan w:val="2"/>
            <w:tcBorders>
              <w:top w:val="single" w:sz="4" w:space="0" w:color="auto"/>
              <w:left w:val="single" w:sz="4" w:space="0" w:color="auto"/>
              <w:bottom w:val="single" w:sz="4" w:space="0" w:color="auto"/>
              <w:right w:val="single" w:sz="4" w:space="0" w:color="auto"/>
            </w:tcBorders>
            <w:shd w:val="clear" w:color="auto" w:fill="auto"/>
          </w:tcPr>
          <w:p w:rsidR="002C12CF" w:rsidRDefault="002C12CF" w:rsidP="00013E1F">
            <w:pPr>
              <w:widowControl/>
              <w:jc w:val="left"/>
              <w:rPr>
                <w:rFonts w:ascii="宋体" w:hAnsi="宋体" w:cs="宋体"/>
                <w:color w:val="000000"/>
                <w:kern w:val="0"/>
                <w:sz w:val="18"/>
                <w:szCs w:val="18"/>
              </w:rPr>
            </w:pPr>
          </w:p>
        </w:tc>
        <w:tc>
          <w:tcPr>
            <w:tcW w:w="4757" w:type="pct"/>
            <w:gridSpan w:val="19"/>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hint="eastAsia"/>
                <w:color w:val="000000"/>
                <w:kern w:val="0"/>
                <w:sz w:val="20"/>
                <w:szCs w:val="20"/>
              </w:rPr>
              <w:t>预算管理情况（20分）</w:t>
            </w:r>
          </w:p>
        </w:tc>
      </w:tr>
      <w:tr w:rsidR="002C12CF" w:rsidTr="00013E1F">
        <w:trPr>
          <w:trHeight w:val="702"/>
        </w:trPr>
        <w:tc>
          <w:tcPr>
            <w:tcW w:w="2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87"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312"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9"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09" w:type="pct"/>
            <w:gridSpan w:val="2"/>
            <w:tcBorders>
              <w:top w:val="single" w:sz="4" w:space="0" w:color="auto"/>
              <w:left w:val="nil"/>
              <w:bottom w:val="single" w:sz="4" w:space="0" w:color="auto"/>
              <w:right w:val="single" w:sz="4" w:space="0" w:color="auto"/>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92" w:type="pct"/>
            <w:gridSpan w:val="3"/>
            <w:tcBorders>
              <w:top w:val="single" w:sz="4" w:space="0" w:color="auto"/>
              <w:left w:val="nil"/>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指标解释</w:t>
            </w:r>
          </w:p>
        </w:tc>
        <w:tc>
          <w:tcPr>
            <w:tcW w:w="1463"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18"/>
                <w:szCs w:val="18"/>
              </w:rPr>
            </w:pPr>
            <w:r>
              <w:rPr>
                <w:rFonts w:ascii="宋体" w:hAnsi="宋体" w:cs="宋体" w:hint="eastAsia"/>
                <w:color w:val="000000"/>
                <w:kern w:val="0"/>
                <w:sz w:val="18"/>
                <w:szCs w:val="18"/>
              </w:rPr>
              <w:t>评分标准</w:t>
            </w:r>
          </w:p>
        </w:tc>
      </w:tr>
      <w:tr w:rsidR="002C12CF" w:rsidTr="00013E1F">
        <w:trPr>
          <w:trHeight w:val="1230"/>
        </w:trPr>
        <w:tc>
          <w:tcPr>
            <w:tcW w:w="283" w:type="pct"/>
            <w:gridSpan w:val="3"/>
            <w:vMerge w:val="restart"/>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287" w:type="pct"/>
            <w:gridSpan w:val="2"/>
            <w:vMerge w:val="restart"/>
            <w:tcBorders>
              <w:top w:val="nil"/>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312"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20"/>
                <w:szCs w:val="20"/>
              </w:rPr>
            </w:pPr>
            <w:r>
              <w:rPr>
                <w:rFonts w:ascii="宋体" w:hAnsi="宋体" w:cs="宋体" w:hint="eastAsia"/>
                <w:color w:val="000000"/>
                <w:kern w:val="0"/>
                <w:sz w:val="18"/>
                <w:szCs w:val="18"/>
              </w:rPr>
              <w:t>预算资金管理办法、绩效跟踪管理办法、资产管理办法等各项制度健全；部门内部财务管理制度完整、合规；会计核算制度完整、合规。</w:t>
            </w:r>
          </w:p>
        </w:tc>
        <w:tc>
          <w:tcPr>
            <w:tcW w:w="349"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制度健全　</w:t>
            </w:r>
          </w:p>
        </w:tc>
        <w:tc>
          <w:tcPr>
            <w:tcW w:w="209" w:type="pct"/>
            <w:gridSpan w:val="2"/>
            <w:tcBorders>
              <w:top w:val="single" w:sz="4" w:space="0" w:color="auto"/>
              <w:left w:val="nil"/>
              <w:bottom w:val="single" w:sz="4" w:space="0" w:color="auto"/>
              <w:right w:val="single" w:sz="4" w:space="0" w:color="auto"/>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92" w:type="pct"/>
            <w:gridSpan w:val="3"/>
            <w:tcBorders>
              <w:top w:val="single" w:sz="4" w:space="0" w:color="auto"/>
              <w:left w:val="nil"/>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0.5　</w:t>
            </w:r>
          </w:p>
        </w:tc>
        <w:tc>
          <w:tcPr>
            <w:tcW w:w="11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463"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2C12CF" w:rsidTr="00013E1F">
        <w:trPr>
          <w:trHeight w:val="2220"/>
        </w:trPr>
        <w:tc>
          <w:tcPr>
            <w:tcW w:w="283"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87" w:type="pct"/>
            <w:gridSpan w:val="2"/>
            <w:vMerge/>
            <w:tcBorders>
              <w:top w:val="nil"/>
              <w:left w:val="nil"/>
              <w:bottom w:val="single" w:sz="4" w:space="0" w:color="auto"/>
              <w:right w:val="single" w:sz="4" w:space="0" w:color="auto"/>
            </w:tcBorders>
            <w:shd w:val="clear" w:color="auto" w:fill="auto"/>
            <w:vAlign w:val="center"/>
          </w:tcPr>
          <w:p w:rsidR="002C12CF" w:rsidRDefault="002C12CF" w:rsidP="00013E1F"/>
        </w:tc>
        <w:tc>
          <w:tcPr>
            <w:tcW w:w="312"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20"/>
                <w:szCs w:val="20"/>
              </w:rPr>
            </w:pPr>
            <w:r>
              <w:rPr>
                <w:rFonts w:ascii="宋体" w:hAnsi="宋体" w:cs="宋体" w:hint="eastAsia"/>
                <w:color w:val="000000"/>
                <w:kern w:val="0"/>
                <w:sz w:val="18"/>
                <w:szCs w:val="18"/>
              </w:rPr>
              <w:t>符合国家财经法规和财务管理制度规定以及有关专项资金管理办法的规定；资金的拨付有完整的审批程序和手续；项目的重大开支经过评估论证；符合部门预算批复的用途；无截留、挤占、挪用情况；资金使用符合政府采购的程序和流程；资金</w:t>
            </w:r>
            <w:r>
              <w:rPr>
                <w:rFonts w:ascii="宋体" w:hAnsi="宋体" w:cs="宋体" w:hint="eastAsia"/>
                <w:color w:val="000000"/>
                <w:kern w:val="0"/>
                <w:sz w:val="18"/>
                <w:szCs w:val="18"/>
              </w:rPr>
              <w:lastRenderedPageBreak/>
              <w:t>使用符合公务卡结算相关制度和规定。</w:t>
            </w:r>
          </w:p>
        </w:tc>
        <w:tc>
          <w:tcPr>
            <w:tcW w:w="349"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符合规定　</w:t>
            </w:r>
          </w:p>
        </w:tc>
        <w:tc>
          <w:tcPr>
            <w:tcW w:w="209" w:type="pct"/>
            <w:gridSpan w:val="2"/>
            <w:tcBorders>
              <w:top w:val="single" w:sz="4" w:space="0" w:color="auto"/>
              <w:left w:val="nil"/>
              <w:bottom w:val="single" w:sz="4" w:space="0" w:color="auto"/>
              <w:right w:val="single" w:sz="4" w:space="0" w:color="auto"/>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92" w:type="pct"/>
            <w:gridSpan w:val="3"/>
            <w:tcBorders>
              <w:top w:val="single" w:sz="4" w:space="0" w:color="auto"/>
              <w:left w:val="nil"/>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2</w:t>
            </w:r>
          </w:p>
        </w:tc>
        <w:tc>
          <w:tcPr>
            <w:tcW w:w="11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63"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2C12CF" w:rsidTr="00013E1F">
        <w:trPr>
          <w:trHeight w:val="2389"/>
        </w:trPr>
        <w:tc>
          <w:tcPr>
            <w:tcW w:w="283"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87" w:type="pct"/>
            <w:gridSpan w:val="2"/>
            <w:vMerge/>
            <w:tcBorders>
              <w:top w:val="nil"/>
              <w:left w:val="nil"/>
              <w:bottom w:val="single" w:sz="4" w:space="0" w:color="auto"/>
              <w:right w:val="single" w:sz="4" w:space="0" w:color="auto"/>
            </w:tcBorders>
            <w:shd w:val="clear" w:color="auto" w:fill="auto"/>
            <w:vAlign w:val="center"/>
          </w:tcPr>
          <w:p w:rsidR="002C12CF" w:rsidRDefault="002C12CF" w:rsidP="00013E1F"/>
        </w:tc>
        <w:tc>
          <w:tcPr>
            <w:tcW w:w="312" w:type="pct"/>
            <w:tcBorders>
              <w:top w:val="nil"/>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684"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20"/>
                <w:szCs w:val="20"/>
              </w:rPr>
            </w:pPr>
            <w:r>
              <w:rPr>
                <w:rFonts w:ascii="宋体" w:hAnsi="宋体" w:cs="宋体" w:hint="eastAsia"/>
                <w:color w:val="000000"/>
                <w:kern w:val="0"/>
                <w:sz w:val="18"/>
                <w:szCs w:val="18"/>
              </w:rPr>
              <w:t>基础数据信息和会计信息资料真实；基础数据信息和会计信息资料完整；基础数据信息和会计信息资料准确。</w:t>
            </w:r>
          </w:p>
        </w:tc>
        <w:tc>
          <w:tcPr>
            <w:tcW w:w="349"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资料真实</w:t>
            </w:r>
          </w:p>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完整准确　</w:t>
            </w:r>
          </w:p>
        </w:tc>
        <w:tc>
          <w:tcPr>
            <w:tcW w:w="209" w:type="pct"/>
            <w:gridSpan w:val="2"/>
            <w:tcBorders>
              <w:top w:val="nil"/>
              <w:left w:val="nil"/>
              <w:bottom w:val="single" w:sz="4" w:space="0" w:color="auto"/>
              <w:right w:val="single" w:sz="4" w:space="0" w:color="auto"/>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92" w:type="pct"/>
            <w:gridSpan w:val="3"/>
            <w:tcBorders>
              <w:top w:val="nil"/>
              <w:left w:val="nil"/>
              <w:bottom w:val="single" w:sz="4" w:space="0" w:color="auto"/>
              <w:right w:val="nil"/>
            </w:tcBorders>
            <w:shd w:val="clear" w:color="auto" w:fill="auto"/>
            <w:noWrap/>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1121" w:type="pct"/>
            <w:gridSpan w:val="2"/>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463"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2C12CF" w:rsidTr="00013E1F">
        <w:trPr>
          <w:trHeight w:val="3415"/>
        </w:trPr>
        <w:tc>
          <w:tcPr>
            <w:tcW w:w="283"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87"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312"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20"/>
                <w:szCs w:val="20"/>
              </w:rPr>
            </w:pPr>
            <w:r>
              <w:rPr>
                <w:rFonts w:ascii="宋体" w:hAnsi="宋体" w:cs="宋体" w:hint="eastAsia"/>
                <w:color w:val="000000"/>
                <w:kern w:val="0"/>
                <w:sz w:val="18"/>
                <w:szCs w:val="18"/>
              </w:rPr>
              <w:t>资产使用规范，不存在未经批准擅自出租、出借资产行为；资产处置规范，不存在未按要求进行报批或资产不公开处置行为；</w:t>
            </w:r>
            <w:r>
              <w:rPr>
                <w:rFonts w:ascii="宋体" w:hAnsi="宋体" w:cs="宋体" w:hint="eastAsia"/>
                <w:color w:val="000000"/>
                <w:kern w:val="0"/>
                <w:sz w:val="20"/>
                <w:szCs w:val="20"/>
              </w:rPr>
              <w:t>不</w:t>
            </w:r>
            <w:r>
              <w:rPr>
                <w:rFonts w:ascii="宋体" w:hAnsi="宋体" w:cs="宋体" w:hint="eastAsia"/>
                <w:color w:val="000000"/>
                <w:kern w:val="0"/>
                <w:sz w:val="18"/>
                <w:szCs w:val="18"/>
              </w:rPr>
              <w:t>存在因管理不当发生严重资产损失和丢失情况。</w:t>
            </w:r>
          </w:p>
        </w:tc>
        <w:tc>
          <w:tcPr>
            <w:tcW w:w="349"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20"/>
                <w:szCs w:val="20"/>
              </w:rPr>
            </w:pPr>
            <w:r>
              <w:rPr>
                <w:rFonts w:ascii="宋体" w:hAnsi="宋体" w:cs="宋体" w:hint="eastAsia"/>
                <w:color w:val="000000"/>
                <w:kern w:val="0"/>
                <w:sz w:val="18"/>
                <w:szCs w:val="18"/>
              </w:rPr>
              <w:t>资产使用规范资产处置规范</w:t>
            </w:r>
          </w:p>
        </w:tc>
        <w:tc>
          <w:tcPr>
            <w:tcW w:w="209"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92"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121"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463"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2C12CF" w:rsidTr="00013E1F">
        <w:trPr>
          <w:trHeight w:val="1750"/>
        </w:trPr>
        <w:tc>
          <w:tcPr>
            <w:tcW w:w="283"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87"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312" w:type="pct"/>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20"/>
                <w:szCs w:val="20"/>
              </w:rPr>
            </w:pPr>
            <w:r>
              <w:rPr>
                <w:rFonts w:ascii="宋体" w:hAnsi="宋体" w:cs="宋体" w:hint="eastAsia"/>
                <w:color w:val="000000"/>
                <w:kern w:val="0"/>
                <w:sz w:val="18"/>
                <w:szCs w:val="18"/>
              </w:rPr>
              <w:t>及时对绩效信息进行汇总分析整理；对绩效目标偏离情况及时进行矫正。</w:t>
            </w:r>
          </w:p>
        </w:tc>
        <w:tc>
          <w:tcPr>
            <w:tcW w:w="349"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20"/>
                <w:szCs w:val="20"/>
              </w:rPr>
            </w:pPr>
            <w:r>
              <w:rPr>
                <w:rFonts w:ascii="宋体" w:hAnsi="宋体" w:cs="宋体" w:hint="eastAsia"/>
                <w:color w:val="000000"/>
                <w:kern w:val="0"/>
                <w:sz w:val="20"/>
                <w:szCs w:val="20"/>
              </w:rPr>
              <w:t>及时分析整理及时矫正</w:t>
            </w:r>
          </w:p>
        </w:tc>
        <w:tc>
          <w:tcPr>
            <w:tcW w:w="209"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92" w:type="pct"/>
            <w:gridSpan w:val="3"/>
            <w:tcBorders>
              <w:top w:val="single" w:sz="4" w:space="0" w:color="auto"/>
              <w:left w:val="nil"/>
              <w:bottom w:val="single" w:sz="4" w:space="0" w:color="auto"/>
              <w:right w:val="nil"/>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1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463"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pStyle w:val="ac"/>
              <w:widowControl/>
              <w:ind w:left="360" w:firstLineChars="0" w:firstLine="0"/>
              <w:jc w:val="left"/>
              <w:rPr>
                <w:rFonts w:ascii="宋体" w:hAnsi="宋体" w:cs="宋体"/>
                <w:color w:val="000000"/>
                <w:kern w:val="0"/>
                <w:sz w:val="18"/>
                <w:szCs w:val="18"/>
              </w:rPr>
            </w:pPr>
          </w:p>
          <w:p w:rsidR="002C12CF" w:rsidRDefault="002C12CF" w:rsidP="00013E1F">
            <w:pPr>
              <w:widowControl/>
              <w:ind w:firstLine="360"/>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w:t>
            </w:r>
          </w:p>
          <w:p w:rsidR="002C12CF" w:rsidRDefault="002C12CF" w:rsidP="00013E1F">
            <w:pPr>
              <w:pStyle w:val="ac"/>
              <w:widowControl/>
              <w:ind w:left="360" w:firstLineChars="0" w:firstLine="0"/>
              <w:jc w:val="left"/>
              <w:rPr>
                <w:rFonts w:ascii="宋体" w:hAnsi="宋体" w:cs="宋体"/>
                <w:color w:val="000000"/>
                <w:kern w:val="0"/>
                <w:sz w:val="18"/>
                <w:szCs w:val="18"/>
              </w:rPr>
            </w:pPr>
            <w:r>
              <w:rPr>
                <w:rFonts w:ascii="宋体" w:hAnsi="宋体" w:cs="宋体" w:hint="eastAsia"/>
                <w:color w:val="000000"/>
                <w:kern w:val="0"/>
                <w:sz w:val="18"/>
                <w:szCs w:val="18"/>
              </w:rPr>
              <w:t>②部门（单位）是否对绩效目标偏离情况及时进行矫正。每有一项不合格扣2分。</w:t>
            </w:r>
          </w:p>
          <w:p w:rsidR="002C12CF" w:rsidRDefault="002C12CF" w:rsidP="00013E1F">
            <w:pPr>
              <w:widowControl/>
              <w:jc w:val="left"/>
              <w:rPr>
                <w:rFonts w:ascii="宋体" w:hAnsi="宋体" w:cs="宋体"/>
                <w:color w:val="000000"/>
                <w:kern w:val="0"/>
                <w:sz w:val="18"/>
                <w:szCs w:val="18"/>
              </w:rPr>
            </w:pPr>
          </w:p>
          <w:p w:rsidR="002C12CF" w:rsidRDefault="002C12CF" w:rsidP="00013E1F">
            <w:pPr>
              <w:widowControl/>
              <w:jc w:val="left"/>
              <w:rPr>
                <w:rFonts w:ascii="宋体" w:hAnsi="宋体" w:cs="宋体"/>
                <w:color w:val="000000"/>
                <w:kern w:val="0"/>
                <w:sz w:val="18"/>
                <w:szCs w:val="18"/>
              </w:rPr>
            </w:pPr>
          </w:p>
        </w:tc>
      </w:tr>
      <w:tr w:rsidR="002C12CF" w:rsidTr="00013E1F">
        <w:trPr>
          <w:trHeight w:val="394"/>
        </w:trPr>
        <w:tc>
          <w:tcPr>
            <w:tcW w:w="283"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87"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996" w:type="pct"/>
            <w:gridSpan w:val="3"/>
            <w:tcBorders>
              <w:top w:val="single" w:sz="4" w:space="0" w:color="auto"/>
              <w:left w:val="nil"/>
              <w:bottom w:val="single" w:sz="4" w:space="0" w:color="auto"/>
              <w:right w:val="single" w:sz="4" w:space="0" w:color="000000"/>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349"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w:t>
            </w:r>
          </w:p>
        </w:tc>
        <w:tc>
          <w:tcPr>
            <w:tcW w:w="209"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92"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21" w:type="pct"/>
            <w:gridSpan w:val="2"/>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指标解释</w:t>
            </w:r>
          </w:p>
        </w:tc>
        <w:tc>
          <w:tcPr>
            <w:tcW w:w="1463"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center"/>
              <w:rPr>
                <w:kern w:val="0"/>
                <w:sz w:val="20"/>
                <w:szCs w:val="20"/>
              </w:rPr>
            </w:pPr>
            <w:r>
              <w:rPr>
                <w:rFonts w:ascii="宋体" w:hAnsi="宋体" w:cs="宋体" w:hint="eastAsia"/>
                <w:color w:val="000000"/>
                <w:kern w:val="0"/>
                <w:sz w:val="18"/>
                <w:szCs w:val="18"/>
              </w:rPr>
              <w:t>评分标准</w:t>
            </w:r>
          </w:p>
        </w:tc>
      </w:tr>
      <w:tr w:rsidR="002C12CF" w:rsidTr="00013E1F">
        <w:trPr>
          <w:trHeight w:val="1365"/>
        </w:trPr>
        <w:tc>
          <w:tcPr>
            <w:tcW w:w="283"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87"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996" w:type="pct"/>
            <w:gridSpan w:val="3"/>
            <w:tcBorders>
              <w:top w:val="single" w:sz="4" w:space="0" w:color="auto"/>
              <w:left w:val="nil"/>
              <w:bottom w:val="single" w:sz="4" w:space="0" w:color="auto"/>
              <w:right w:val="single" w:sz="4" w:space="0" w:color="000000"/>
            </w:tcBorders>
            <w:shd w:val="clear" w:color="auto" w:fill="auto"/>
            <w:vAlign w:val="center"/>
          </w:tcPr>
          <w:p w:rsidR="002C12CF" w:rsidRDefault="002C12CF" w:rsidP="00013E1F">
            <w:pPr>
              <w:jc w:val="center"/>
              <w:rPr>
                <w:rFonts w:ascii="宋体" w:hAnsi="宋体" w:cs="宋体"/>
                <w:color w:val="000000"/>
                <w:kern w:val="0"/>
                <w:sz w:val="20"/>
                <w:szCs w:val="20"/>
              </w:rPr>
            </w:pPr>
            <w:r>
              <w:rPr>
                <w:rFonts w:ascii="宋体" w:hAnsi="宋体" w:cs="宋体" w:hint="eastAsia"/>
                <w:color w:val="000000"/>
                <w:kern w:val="0"/>
                <w:sz w:val="20"/>
                <w:szCs w:val="20"/>
              </w:rPr>
              <w:t>2.35%</w:t>
            </w:r>
          </w:p>
        </w:tc>
        <w:tc>
          <w:tcPr>
            <w:tcW w:w="349"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jc w:val="center"/>
              <w:rPr>
                <w:rFonts w:ascii="宋体" w:hAnsi="宋体" w:cs="宋体"/>
                <w:color w:val="000000"/>
                <w:kern w:val="0"/>
                <w:sz w:val="20"/>
                <w:szCs w:val="20"/>
              </w:rPr>
            </w:pPr>
          </w:p>
          <w:p w:rsidR="002C12CF" w:rsidRDefault="002C12CF" w:rsidP="00013E1F">
            <w:pPr>
              <w:jc w:val="center"/>
              <w:rPr>
                <w:rFonts w:ascii="宋体" w:hAnsi="宋体" w:cs="宋体"/>
                <w:color w:val="000000"/>
                <w:kern w:val="0"/>
                <w:sz w:val="20"/>
                <w:szCs w:val="20"/>
              </w:rPr>
            </w:pPr>
            <w:r>
              <w:rPr>
                <w:rFonts w:ascii="宋体" w:hAnsi="宋体" w:cs="宋体" w:hint="eastAsia"/>
                <w:color w:val="000000"/>
                <w:kern w:val="0"/>
                <w:sz w:val="20"/>
                <w:szCs w:val="20"/>
              </w:rPr>
              <w:t>2.17%</w:t>
            </w:r>
          </w:p>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9"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92" w:type="pct"/>
            <w:gridSpan w:val="3"/>
            <w:tcBorders>
              <w:top w:val="nil"/>
              <w:left w:val="nil"/>
              <w:bottom w:val="single" w:sz="4" w:space="0" w:color="auto"/>
              <w:right w:val="nil"/>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1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结转结余总额：部门（单位）本年度的结转资金与结余资金之和。</w:t>
            </w:r>
          </w:p>
        </w:tc>
        <w:tc>
          <w:tcPr>
            <w:tcW w:w="1463" w:type="pct"/>
            <w:gridSpan w:val="3"/>
            <w:tcBorders>
              <w:top w:val="single" w:sz="4" w:space="0" w:color="auto"/>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2C12CF" w:rsidTr="00013E1F">
        <w:trPr>
          <w:trHeight w:val="90"/>
        </w:trPr>
        <w:tc>
          <w:tcPr>
            <w:tcW w:w="283" w:type="pct"/>
            <w:gridSpan w:val="3"/>
            <w:vMerge/>
            <w:tcBorders>
              <w:top w:val="nil"/>
              <w:left w:val="single" w:sz="4" w:space="0" w:color="auto"/>
              <w:bottom w:val="single" w:sz="4" w:space="0" w:color="auto"/>
              <w:right w:val="single" w:sz="4" w:space="0" w:color="auto"/>
            </w:tcBorders>
            <w:shd w:val="clear" w:color="auto" w:fill="auto"/>
            <w:vAlign w:val="center"/>
          </w:tcPr>
          <w:p w:rsidR="002C12CF" w:rsidRDefault="002C12CF" w:rsidP="00013E1F"/>
        </w:tc>
        <w:tc>
          <w:tcPr>
            <w:tcW w:w="287"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996" w:type="pct"/>
            <w:gridSpan w:val="3"/>
            <w:tcBorders>
              <w:top w:val="single" w:sz="4" w:space="0" w:color="auto"/>
              <w:left w:val="nil"/>
              <w:bottom w:val="single" w:sz="4" w:space="0" w:color="auto"/>
              <w:right w:val="nil"/>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9" w:type="pct"/>
            <w:gridSpan w:val="3"/>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2.29%</w:t>
            </w:r>
          </w:p>
        </w:tc>
        <w:tc>
          <w:tcPr>
            <w:tcW w:w="209"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92" w:type="pct"/>
            <w:gridSpan w:val="3"/>
            <w:tcBorders>
              <w:top w:val="nil"/>
              <w:left w:val="nil"/>
              <w:bottom w:val="single" w:sz="4" w:space="0" w:color="auto"/>
              <w:right w:val="nil"/>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121" w:type="pct"/>
            <w:gridSpan w:val="2"/>
            <w:tcBorders>
              <w:top w:val="nil"/>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463" w:type="pct"/>
            <w:gridSpan w:val="3"/>
            <w:tcBorders>
              <w:top w:val="nil"/>
              <w:left w:val="nil"/>
              <w:bottom w:val="single" w:sz="4" w:space="0" w:color="auto"/>
              <w:right w:val="single" w:sz="4" w:space="0" w:color="auto"/>
            </w:tcBorders>
            <w:shd w:val="clear" w:color="auto" w:fill="auto"/>
            <w:vAlign w:val="center"/>
          </w:tcPr>
          <w:p w:rsidR="002C12CF" w:rsidRDefault="002C12CF" w:rsidP="00013E1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2C12CF" w:rsidTr="00013E1F">
        <w:trPr>
          <w:trHeight w:val="404"/>
        </w:trPr>
        <w:tc>
          <w:tcPr>
            <w:tcW w:w="1915"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09" w:type="pct"/>
            <w:gridSpan w:val="2"/>
            <w:tcBorders>
              <w:top w:val="nil"/>
              <w:left w:val="nil"/>
              <w:bottom w:val="single" w:sz="4" w:space="0" w:color="auto"/>
              <w:right w:val="single" w:sz="4" w:space="0" w:color="auto"/>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2" w:type="pct"/>
            <w:gridSpan w:val="3"/>
            <w:tcBorders>
              <w:top w:val="nil"/>
              <w:left w:val="nil"/>
              <w:bottom w:val="single" w:sz="4" w:space="0" w:color="auto"/>
              <w:right w:val="nil"/>
            </w:tcBorders>
            <w:shd w:val="clear" w:color="auto" w:fill="auto"/>
            <w:vAlign w:val="center"/>
          </w:tcPr>
          <w:p w:rsidR="002C12CF" w:rsidRDefault="002C12CF" w:rsidP="00013E1F">
            <w:pPr>
              <w:widowControl/>
              <w:jc w:val="center"/>
              <w:rPr>
                <w:rFonts w:ascii="宋体" w:hAnsi="宋体" w:cs="宋体"/>
                <w:color w:val="000000"/>
                <w:kern w:val="0"/>
                <w:sz w:val="20"/>
                <w:szCs w:val="20"/>
              </w:rPr>
            </w:pPr>
            <w:r>
              <w:rPr>
                <w:rFonts w:ascii="宋体" w:hAnsi="宋体" w:cs="宋体" w:hint="eastAsia"/>
                <w:color w:val="000000"/>
                <w:kern w:val="0"/>
                <w:sz w:val="20"/>
                <w:szCs w:val="20"/>
              </w:rPr>
              <w:t>96.70</w:t>
            </w:r>
          </w:p>
        </w:tc>
        <w:tc>
          <w:tcPr>
            <w:tcW w:w="2584"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2C12CF" w:rsidRDefault="002C12CF" w:rsidP="00013E1F">
            <w:pPr>
              <w:widowControl/>
              <w:jc w:val="center"/>
              <w:rPr>
                <w:rFonts w:ascii="宋体" w:hAnsi="宋体" w:cs="宋体"/>
                <w:color w:val="000000"/>
                <w:kern w:val="0"/>
                <w:sz w:val="18"/>
                <w:szCs w:val="18"/>
              </w:rPr>
            </w:pPr>
          </w:p>
        </w:tc>
      </w:tr>
    </w:tbl>
    <w:p w:rsidR="00E444A8" w:rsidRDefault="00E444A8" w:rsidP="002C12CF">
      <w:pPr>
        <w:ind w:firstLineChars="200" w:firstLine="420"/>
      </w:pPr>
    </w:p>
    <w:p w:rsidR="00280FD2" w:rsidRPr="00E444A8" w:rsidRDefault="00280FD2"/>
    <w:sectPr w:rsidR="00280FD2" w:rsidRPr="00E444A8" w:rsidSect="002C12CF">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66FB" w:rsidRDefault="006566FB" w:rsidP="008B5BBC">
      <w:r>
        <w:separator/>
      </w:r>
    </w:p>
  </w:endnote>
  <w:endnote w:type="continuationSeparator" w:id="1">
    <w:p w:rsidR="006566FB" w:rsidRDefault="006566FB" w:rsidP="008B5B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Times New Roman"/>
    <w:charset w:val="00"/>
    <w:family w:val="auto"/>
    <w:pitch w:val="default"/>
    <w:sig w:usb0="00000000" w:usb1="00000000" w:usb2="00000000" w:usb3="00000000" w:csb0="00000000" w:csb1="00000000"/>
  </w:font>
  <w:font w:name="方正小标宋简体">
    <w:panose1 w:val="02000000000000000000"/>
    <w:charset w:val="86"/>
    <w:family w:val="auto"/>
    <w:pitch w:val="variable"/>
    <w:sig w:usb0="A00002BF" w:usb1="184F6CFA" w:usb2="00000012"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Droid Sans">
    <w:charset w:val="00"/>
    <w:family w:val="auto"/>
    <w:pitch w:val="default"/>
    <w:sig w:usb0="00000000" w:usb1="00000000" w:usb2="00000000" w:usb3="00000000" w:csb0="00000000" w:csb1="00000000"/>
  </w:font>
  <w:font w:name="楷体_GB2312">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方正黑体_GBK">
    <w:altName w:val="Arial Unicode MS"/>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66FB" w:rsidRDefault="006566FB" w:rsidP="008B5BBC">
      <w:r>
        <w:separator/>
      </w:r>
    </w:p>
  </w:footnote>
  <w:footnote w:type="continuationSeparator" w:id="1">
    <w:p w:rsidR="006566FB" w:rsidRDefault="006566FB" w:rsidP="008B5B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10967"/>
    <w:multiLevelType w:val="multilevel"/>
    <w:tmpl w:val="CBE8FB7C"/>
    <w:lvl w:ilvl="0">
      <w:start w:val="1"/>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08C5D8A"/>
    <w:multiLevelType w:val="multilevel"/>
    <w:tmpl w:val="6DFA9170"/>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C044404"/>
    <w:multiLevelType w:val="multilevel"/>
    <w:tmpl w:val="2C044404"/>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CCA2085"/>
    <w:multiLevelType w:val="multilevel"/>
    <w:tmpl w:val="703AE9FE"/>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44A8"/>
    <w:rsid w:val="00171868"/>
    <w:rsid w:val="00207C76"/>
    <w:rsid w:val="0022490A"/>
    <w:rsid w:val="00280FD2"/>
    <w:rsid w:val="002C12CF"/>
    <w:rsid w:val="003C1B0E"/>
    <w:rsid w:val="004B7D00"/>
    <w:rsid w:val="0059571D"/>
    <w:rsid w:val="005C1534"/>
    <w:rsid w:val="006566FB"/>
    <w:rsid w:val="00723C4F"/>
    <w:rsid w:val="007F6B85"/>
    <w:rsid w:val="008B5BBC"/>
    <w:rsid w:val="00951844"/>
    <w:rsid w:val="009739A9"/>
    <w:rsid w:val="009F18F2"/>
    <w:rsid w:val="00BE0589"/>
    <w:rsid w:val="00C112C0"/>
    <w:rsid w:val="00CA2173"/>
    <w:rsid w:val="00E42AC0"/>
    <w:rsid w:val="00E444A8"/>
    <w:rsid w:val="00EC562A"/>
    <w:rsid w:val="00FA4E59"/>
    <w:rsid w:val="00FA6B13"/>
    <w:rsid w:val="00FE1E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444A8"/>
    <w:pPr>
      <w:widowControl w:val="0"/>
      <w:jc w:val="both"/>
    </w:pPr>
    <w:rPr>
      <w:rFonts w:ascii="Calibri" w:eastAsia="宋体" w:hAnsi="Calibri" w:cs="Calibri"/>
      <w:szCs w:val="21"/>
    </w:rPr>
  </w:style>
  <w:style w:type="paragraph" w:styleId="1">
    <w:name w:val="heading 1"/>
    <w:basedOn w:val="a"/>
    <w:next w:val="a"/>
    <w:link w:val="1Char"/>
    <w:uiPriority w:val="99"/>
    <w:qFormat/>
    <w:rsid w:val="00E444A8"/>
    <w:pPr>
      <w:spacing w:line="600" w:lineRule="exact"/>
      <w:ind w:firstLine="640"/>
      <w:outlineLvl w:val="0"/>
    </w:pPr>
    <w:rPr>
      <w:rFonts w:ascii="黑体" w:eastAsia="黑体" w:hAnsi="宋体" w:cs="宋体"/>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E444A8"/>
    <w:rPr>
      <w:rFonts w:ascii="黑体" w:eastAsia="黑体" w:hAnsi="宋体" w:cs="宋体"/>
      <w:color w:val="000000"/>
      <w:kern w:val="0"/>
      <w:szCs w:val="21"/>
    </w:rPr>
  </w:style>
  <w:style w:type="paragraph" w:styleId="a3">
    <w:name w:val="Body Text Indent"/>
    <w:basedOn w:val="a"/>
    <w:link w:val="Char"/>
    <w:uiPriority w:val="99"/>
    <w:semiHidden/>
    <w:unhideWhenUsed/>
    <w:rsid w:val="00E444A8"/>
    <w:pPr>
      <w:spacing w:after="120"/>
      <w:ind w:leftChars="200" w:left="420"/>
    </w:pPr>
  </w:style>
  <w:style w:type="character" w:customStyle="1" w:styleId="Char">
    <w:name w:val="正文文本缩进 Char"/>
    <w:basedOn w:val="a0"/>
    <w:link w:val="a3"/>
    <w:uiPriority w:val="99"/>
    <w:semiHidden/>
    <w:rsid w:val="00E444A8"/>
    <w:rPr>
      <w:rFonts w:ascii="Calibri" w:eastAsia="宋体" w:hAnsi="Calibri" w:cs="Calibri"/>
      <w:szCs w:val="21"/>
    </w:rPr>
  </w:style>
  <w:style w:type="paragraph" w:styleId="2">
    <w:name w:val="Body Text First Indent 2"/>
    <w:basedOn w:val="a3"/>
    <w:next w:val="a"/>
    <w:link w:val="2Char"/>
    <w:uiPriority w:val="99"/>
    <w:unhideWhenUsed/>
    <w:rsid w:val="00E444A8"/>
    <w:pPr>
      <w:spacing w:before="100" w:beforeAutospacing="1"/>
      <w:ind w:firstLineChars="200" w:firstLine="420"/>
    </w:pPr>
  </w:style>
  <w:style w:type="character" w:customStyle="1" w:styleId="2Char">
    <w:name w:val="正文首行缩进 2 Char"/>
    <w:basedOn w:val="Char"/>
    <w:link w:val="2"/>
    <w:uiPriority w:val="99"/>
    <w:rsid w:val="00E444A8"/>
  </w:style>
  <w:style w:type="paragraph" w:customStyle="1" w:styleId="a4">
    <w:name w:val="附件栏"/>
    <w:basedOn w:val="a"/>
    <w:rsid w:val="00E444A8"/>
    <w:pPr>
      <w:autoSpaceDE w:val="0"/>
      <w:autoSpaceDN w:val="0"/>
      <w:snapToGrid w:val="0"/>
      <w:spacing w:line="590" w:lineRule="atLeast"/>
      <w:ind w:firstLine="624"/>
    </w:pPr>
    <w:rPr>
      <w:rFonts w:eastAsia="方正仿宋_GBK"/>
      <w:kern w:val="0"/>
      <w:sz w:val="32"/>
      <w:szCs w:val="32"/>
    </w:rPr>
  </w:style>
  <w:style w:type="paragraph" w:styleId="a5">
    <w:name w:val="Title"/>
    <w:basedOn w:val="a"/>
    <w:next w:val="a"/>
    <w:link w:val="Char0"/>
    <w:uiPriority w:val="99"/>
    <w:qFormat/>
    <w:rsid w:val="00E444A8"/>
    <w:pPr>
      <w:spacing w:line="560" w:lineRule="exact"/>
      <w:jc w:val="center"/>
    </w:pPr>
    <w:rPr>
      <w:rFonts w:ascii="方正小标宋简体" w:eastAsia="方正小标宋简体" w:cs="宋体"/>
      <w:sz w:val="44"/>
      <w:szCs w:val="44"/>
    </w:rPr>
  </w:style>
  <w:style w:type="character" w:customStyle="1" w:styleId="Char0">
    <w:name w:val="标题 Char"/>
    <w:basedOn w:val="a0"/>
    <w:link w:val="a5"/>
    <w:uiPriority w:val="99"/>
    <w:rsid w:val="00E444A8"/>
    <w:rPr>
      <w:rFonts w:ascii="方正小标宋简体" w:eastAsia="方正小标宋简体" w:hAnsi="Calibri" w:cs="宋体"/>
      <w:sz w:val="44"/>
      <w:szCs w:val="44"/>
    </w:rPr>
  </w:style>
  <w:style w:type="paragraph" w:styleId="a6">
    <w:name w:val="Normal (Web)"/>
    <w:basedOn w:val="a"/>
    <w:uiPriority w:val="99"/>
    <w:unhideWhenUsed/>
    <w:rsid w:val="00E444A8"/>
    <w:rPr>
      <w:sz w:val="24"/>
      <w:szCs w:val="24"/>
    </w:rPr>
  </w:style>
  <w:style w:type="paragraph" w:customStyle="1" w:styleId="msonospacing0">
    <w:name w:val="msonospacing"/>
    <w:basedOn w:val="a"/>
    <w:rsid w:val="00E444A8"/>
    <w:rPr>
      <w:rFonts w:cs="Times New Roman"/>
    </w:rPr>
  </w:style>
  <w:style w:type="paragraph" w:styleId="a7">
    <w:name w:val="Body Text"/>
    <w:basedOn w:val="a"/>
    <w:link w:val="Char1"/>
    <w:uiPriority w:val="99"/>
    <w:semiHidden/>
    <w:unhideWhenUsed/>
    <w:rsid w:val="00E444A8"/>
    <w:pPr>
      <w:spacing w:after="120"/>
    </w:pPr>
  </w:style>
  <w:style w:type="character" w:customStyle="1" w:styleId="Char1">
    <w:name w:val="正文文本 Char"/>
    <w:basedOn w:val="a0"/>
    <w:link w:val="a7"/>
    <w:uiPriority w:val="99"/>
    <w:semiHidden/>
    <w:rsid w:val="00E444A8"/>
    <w:rPr>
      <w:rFonts w:ascii="Calibri" w:eastAsia="宋体" w:hAnsi="Calibri" w:cs="Calibri"/>
      <w:szCs w:val="21"/>
    </w:rPr>
  </w:style>
  <w:style w:type="paragraph" w:styleId="a8">
    <w:name w:val="Body Text First Indent"/>
    <w:basedOn w:val="a"/>
    <w:link w:val="Char2"/>
    <w:uiPriority w:val="99"/>
    <w:unhideWhenUsed/>
    <w:rsid w:val="00E444A8"/>
    <w:pPr>
      <w:spacing w:before="100" w:beforeAutospacing="1" w:after="140" w:line="273" w:lineRule="auto"/>
      <w:ind w:firstLineChars="100" w:firstLine="420"/>
    </w:pPr>
    <w:rPr>
      <w:rFonts w:ascii="Times New Roman" w:hAnsi="Times New Roman" w:cs="Times New Roman"/>
    </w:rPr>
  </w:style>
  <w:style w:type="character" w:customStyle="1" w:styleId="Char2">
    <w:name w:val="正文首行缩进 Char"/>
    <w:basedOn w:val="Char1"/>
    <w:link w:val="a8"/>
    <w:uiPriority w:val="99"/>
    <w:rsid w:val="00E444A8"/>
    <w:rPr>
      <w:rFonts w:ascii="Times New Roman" w:hAnsi="Times New Roman" w:cs="Times New Roman"/>
    </w:rPr>
  </w:style>
  <w:style w:type="paragraph" w:styleId="a9">
    <w:name w:val="header"/>
    <w:basedOn w:val="a"/>
    <w:link w:val="Char3"/>
    <w:uiPriority w:val="99"/>
    <w:semiHidden/>
    <w:unhideWhenUsed/>
    <w:rsid w:val="008B5BBC"/>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9"/>
    <w:uiPriority w:val="99"/>
    <w:semiHidden/>
    <w:rsid w:val="008B5BBC"/>
    <w:rPr>
      <w:rFonts w:ascii="Calibri" w:eastAsia="宋体" w:hAnsi="Calibri" w:cs="Calibri"/>
      <w:sz w:val="18"/>
      <w:szCs w:val="18"/>
    </w:rPr>
  </w:style>
  <w:style w:type="paragraph" w:styleId="aa">
    <w:name w:val="footer"/>
    <w:basedOn w:val="a"/>
    <w:link w:val="Char4"/>
    <w:uiPriority w:val="99"/>
    <w:semiHidden/>
    <w:unhideWhenUsed/>
    <w:rsid w:val="008B5BBC"/>
    <w:pPr>
      <w:tabs>
        <w:tab w:val="center" w:pos="4153"/>
        <w:tab w:val="right" w:pos="8306"/>
      </w:tabs>
      <w:snapToGrid w:val="0"/>
      <w:jc w:val="left"/>
    </w:pPr>
    <w:rPr>
      <w:sz w:val="18"/>
      <w:szCs w:val="18"/>
    </w:rPr>
  </w:style>
  <w:style w:type="character" w:customStyle="1" w:styleId="Char4">
    <w:name w:val="页脚 Char"/>
    <w:basedOn w:val="a0"/>
    <w:link w:val="aa"/>
    <w:uiPriority w:val="99"/>
    <w:semiHidden/>
    <w:rsid w:val="008B5BBC"/>
    <w:rPr>
      <w:rFonts w:ascii="Calibri" w:eastAsia="宋体" w:hAnsi="Calibri" w:cs="Calibri"/>
      <w:sz w:val="18"/>
      <w:szCs w:val="18"/>
    </w:rPr>
  </w:style>
  <w:style w:type="paragraph" w:styleId="ab">
    <w:name w:val="Normal Indent"/>
    <w:basedOn w:val="a"/>
    <w:qFormat/>
    <w:rsid w:val="002C12CF"/>
    <w:pPr>
      <w:ind w:firstLineChars="200" w:firstLine="200"/>
    </w:pPr>
    <w:rPr>
      <w:rFonts w:ascii="Times New Roman" w:hAnsi="Times New Roman" w:cs="Times New Roman"/>
      <w:szCs w:val="24"/>
    </w:rPr>
  </w:style>
  <w:style w:type="paragraph" w:styleId="ac">
    <w:name w:val="List Paragraph"/>
    <w:basedOn w:val="a"/>
    <w:uiPriority w:val="99"/>
    <w:unhideWhenUsed/>
    <w:qFormat/>
    <w:rsid w:val="002C12CF"/>
    <w:pPr>
      <w:ind w:firstLineChars="200" w:firstLine="420"/>
    </w:pPr>
    <w:rPr>
      <w:rFonts w:ascii="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02678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8567E-B3E8-4E4C-970E-F31D32C9A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21</Pages>
  <Words>1698</Words>
  <Characters>9681</Characters>
  <Application>Microsoft Office Word</Application>
  <DocSecurity>0</DocSecurity>
  <Lines>80</Lines>
  <Paragraphs>22</Paragraphs>
  <ScaleCrop>false</ScaleCrop>
  <Company>Lenovo</Company>
  <LinksUpToDate>false</LinksUpToDate>
  <CharactersWithSpaces>11357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11</cp:revision>
  <dcterms:created xsi:type="dcterms:W3CDTF">2024-05-16T03:11:00Z</dcterms:created>
  <dcterms:modified xsi:type="dcterms:W3CDTF">2024-08-13T03:16:00Z</dcterms:modified>
</cp:coreProperties>
</file>