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黑体" w:hAnsi="黑体" w:eastAsia="黑体"/>
          <w:sz w:val="44"/>
          <w:szCs w:val="44"/>
          <w:lang w:val="zh-CN"/>
        </w:rPr>
      </w:pPr>
      <w:bookmarkStart w:id="0" w:name="_Toc17802"/>
    </w:p>
    <w:p>
      <w:pPr>
        <w:pStyle w:val="5"/>
        <w:rPr>
          <w:lang w:val="zh-CN"/>
        </w:rPr>
      </w:pPr>
    </w:p>
    <w:p>
      <w:pPr>
        <w:pStyle w:val="5"/>
        <w:rPr>
          <w:lang w:val="zh-CN"/>
        </w:rPr>
      </w:pPr>
    </w:p>
    <w:p>
      <w:pPr>
        <w:rPr>
          <w:lang w:val="zh-CN"/>
        </w:rPr>
      </w:pPr>
    </w:p>
    <w:p>
      <w:pPr>
        <w:pStyle w:val="5"/>
        <w:rPr>
          <w:lang w:val="zh-CN"/>
        </w:rPr>
      </w:pPr>
    </w:p>
    <w:p>
      <w:pPr>
        <w:rPr>
          <w:lang w:val="zh-CN"/>
        </w:rPr>
      </w:pPr>
    </w:p>
    <w:p>
      <w:pPr>
        <w:pStyle w:val="5"/>
        <w:rPr>
          <w:lang w:val="zh-CN"/>
        </w:rPr>
      </w:pPr>
    </w:p>
    <w:p>
      <w:pPr>
        <w:spacing w:line="360" w:lineRule="auto"/>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北京市重大项目建设指挥部办公室2023年部门整体绩效报告</w:t>
      </w:r>
    </w:p>
    <w:p>
      <w:pPr>
        <w:spacing w:line="360" w:lineRule="auto"/>
        <w:jc w:val="center"/>
        <w:rPr>
          <w:rFonts w:asciiTheme="majorEastAsia" w:hAnsiTheme="majorEastAsia" w:eastAsiaTheme="majorEastAsia"/>
          <w:b/>
          <w:sz w:val="52"/>
          <w:szCs w:val="52"/>
        </w:rPr>
      </w:pPr>
    </w:p>
    <w:p>
      <w:pPr>
        <w:pStyle w:val="5"/>
        <w:rPr>
          <w:rFonts w:asciiTheme="majorEastAsia" w:hAnsiTheme="majorEastAsia" w:eastAsiaTheme="majorEastAsia"/>
          <w:b/>
          <w:sz w:val="52"/>
          <w:szCs w:val="52"/>
        </w:rPr>
      </w:pPr>
    </w:p>
    <w:p/>
    <w:p/>
    <w:p>
      <w:pPr>
        <w:pStyle w:val="5"/>
        <w:rPr>
          <w:lang w:val="zh-CN"/>
        </w:rPr>
      </w:pPr>
    </w:p>
    <w:p>
      <w:pPr>
        <w:rPr>
          <w:lang w:val="zh-CN"/>
        </w:rPr>
      </w:pPr>
    </w:p>
    <w:p>
      <w:pPr>
        <w:adjustRightInd w:val="0"/>
        <w:snapToGrid w:val="0"/>
        <w:spacing w:line="0" w:lineRule="atLeast"/>
        <w:jc w:val="center"/>
        <w:rPr>
          <w:rFonts w:ascii="黑体" w:hAnsi="黑体" w:eastAsia="黑体"/>
          <w:sz w:val="30"/>
          <w:szCs w:val="30"/>
          <w:lang w:val="zh-CN"/>
        </w:rPr>
      </w:pPr>
    </w:p>
    <w:p>
      <w:pPr>
        <w:rPr>
          <w:rFonts w:ascii="黑体" w:hAnsi="黑体" w:eastAsia="黑体"/>
          <w:sz w:val="30"/>
          <w:szCs w:val="30"/>
          <w:lang w:val="zh-CN"/>
        </w:rPr>
      </w:pPr>
    </w:p>
    <w:p>
      <w:pPr>
        <w:pStyle w:val="5"/>
        <w:rPr>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pStyle w:val="5"/>
        <w:rPr>
          <w:rFonts w:ascii="黑体" w:hAnsi="黑体" w:eastAsia="黑体"/>
          <w:sz w:val="30"/>
          <w:szCs w:val="30"/>
          <w:lang w:val="zh-CN"/>
        </w:rPr>
      </w:pPr>
    </w:p>
    <w:p>
      <w:pPr>
        <w:rPr>
          <w:rFonts w:ascii="黑体" w:hAnsi="黑体" w:eastAsia="黑体"/>
          <w:sz w:val="30"/>
          <w:szCs w:val="30"/>
          <w:lang w:val="zh-CN"/>
        </w:rPr>
      </w:pPr>
    </w:p>
    <w:p>
      <w:pPr>
        <w:pStyle w:val="5"/>
        <w:rPr>
          <w:rFonts w:ascii="黑体" w:hAnsi="黑体" w:eastAsia="黑体"/>
          <w:sz w:val="30"/>
          <w:szCs w:val="30"/>
          <w:lang w:val="zh-CN"/>
        </w:rPr>
      </w:pPr>
    </w:p>
    <w:p>
      <w:pPr>
        <w:rPr>
          <w:rFonts w:ascii="黑体" w:hAnsi="黑体" w:eastAsia="黑体"/>
          <w:sz w:val="30"/>
          <w:szCs w:val="30"/>
          <w:lang w:val="zh-CN"/>
        </w:rPr>
      </w:pPr>
    </w:p>
    <w:p>
      <w:pPr>
        <w:pStyle w:val="5"/>
        <w:rPr>
          <w:lang w:val="zh-CN"/>
        </w:rPr>
      </w:pPr>
    </w:p>
    <w:p>
      <w:pPr>
        <w:pStyle w:val="5"/>
        <w:rPr>
          <w:lang w:val="zh-CN"/>
        </w:rPr>
      </w:pPr>
    </w:p>
    <w:p>
      <w:pPr>
        <w:rPr>
          <w:lang w:val="zh-CN"/>
        </w:rPr>
      </w:pPr>
    </w:p>
    <w:p>
      <w:pPr>
        <w:pStyle w:val="5"/>
        <w:rPr>
          <w:lang w:val="zh-CN"/>
        </w:rPr>
      </w:pPr>
    </w:p>
    <w:p>
      <w:pPr>
        <w:rPr>
          <w:lang w:val="zh-CN"/>
        </w:rPr>
      </w:pPr>
    </w:p>
    <w:p>
      <w:pPr>
        <w:jc w:val="center"/>
        <w:rPr>
          <w:rFonts w:ascii="楷体" w:hAnsi="楷体" w:eastAsia="楷体" w:cs="楷体"/>
          <w:b/>
          <w:sz w:val="32"/>
          <w:szCs w:val="32"/>
        </w:rPr>
      </w:pPr>
      <w:r>
        <w:rPr>
          <w:rFonts w:hint="eastAsia" w:asciiTheme="majorEastAsia" w:hAnsiTheme="majorEastAsia" w:eastAsiaTheme="majorEastAsia"/>
          <w:b/>
          <w:sz w:val="32"/>
          <w:szCs w:val="32"/>
        </w:rPr>
        <w:t>二○二四年五月</w:t>
      </w:r>
    </w:p>
    <w:p>
      <w:pPr>
        <w:pStyle w:val="5"/>
      </w:pPr>
    </w:p>
    <w:p>
      <w:pPr>
        <w:adjustRightInd w:val="0"/>
        <w:snapToGrid w:val="0"/>
        <w:rPr>
          <w:rFonts w:ascii="仿宋" w:hAnsi="仿宋" w:eastAsia="仿宋" w:cs="仿宋"/>
          <w:sz w:val="30"/>
          <w:szCs w:val="30"/>
        </w:rPr>
        <w:sectPr>
          <w:pgSz w:w="11906" w:h="16838"/>
          <w:pgMar w:top="1440" w:right="1800" w:bottom="1440" w:left="1800" w:header="851" w:footer="992" w:gutter="0"/>
          <w:cols w:space="720" w:num="1"/>
          <w:docGrid w:type="lines" w:linePitch="312" w:charSpace="0"/>
        </w:sectPr>
      </w:pPr>
    </w:p>
    <w:p>
      <w:pPr>
        <w:pStyle w:val="8"/>
        <w:ind w:left="0" w:leftChars="0"/>
        <w:jc w:val="both"/>
        <w:rPr>
          <w:sz w:val="36"/>
          <w:szCs w:val="36"/>
        </w:rPr>
        <w:sectPr>
          <w:footerReference r:id="rId3" w:type="default"/>
          <w:footnotePr>
            <w:numFmt w:val="decimalEnclosedCircleChinese"/>
          </w:footnotePr>
          <w:type w:val="continuous"/>
          <w:pgSz w:w="11906" w:h="16838"/>
          <w:pgMar w:top="1440" w:right="1416" w:bottom="1440" w:left="1800" w:header="851" w:footer="992" w:gutter="0"/>
          <w:cols w:space="720" w:num="1"/>
          <w:docGrid w:type="lines" w:linePitch="312" w:charSpace="0"/>
        </w:sectPr>
      </w:pPr>
    </w:p>
    <w:sdt>
      <w:sdtPr>
        <w:rPr>
          <w:rFonts w:ascii="宋体" w:hAnsi="宋体"/>
        </w:rPr>
        <w:id w:val="147471619"/>
        <w:docPartObj>
          <w:docPartGallery w:val="Table of Contents"/>
          <w:docPartUnique/>
        </w:docPartObj>
      </w:sdtPr>
      <w:sdtEndPr>
        <w:rPr>
          <w:rFonts w:hint="eastAsia" w:ascii="宋体" w:hAnsi="宋体" w:cs="宋体"/>
          <w:b/>
          <w:sz w:val="28"/>
          <w:szCs w:val="28"/>
        </w:rPr>
      </w:sdtEndPr>
      <w:sdtContent>
        <w:p>
          <w:pPr>
            <w:jc w:val="center"/>
            <w:rPr>
              <w:rFonts w:ascii="黑体" w:hAnsi="黑体" w:eastAsia="黑体" w:cs="宋体"/>
              <w:kern w:val="0"/>
              <w:sz w:val="36"/>
              <w:szCs w:val="36"/>
            </w:rPr>
          </w:pPr>
          <w:r>
            <w:rPr>
              <w:rFonts w:hint="eastAsia" w:ascii="黑体" w:hAnsi="黑体" w:eastAsia="黑体" w:cs="宋体"/>
              <w:kern w:val="0"/>
              <w:sz w:val="36"/>
              <w:szCs w:val="36"/>
            </w:rPr>
            <w:t>目录</w:t>
          </w:r>
        </w:p>
        <w:p>
          <w:pPr>
            <w:pStyle w:val="7"/>
            <w:tabs>
              <w:tab w:val="right" w:leader="dot" w:pos="8306"/>
            </w:tabs>
          </w:pPr>
          <w:r>
            <w:rPr>
              <w:rFonts w:hint="eastAsia" w:ascii="宋体" w:hAnsi="宋体" w:cs="宋体"/>
              <w:sz w:val="28"/>
              <w:szCs w:val="28"/>
            </w:rPr>
            <w:fldChar w:fldCharType="begin"/>
          </w:r>
          <w:r>
            <w:rPr>
              <w:rFonts w:hint="eastAsia" w:ascii="宋体" w:hAnsi="宋体" w:cs="宋体"/>
              <w:sz w:val="28"/>
              <w:szCs w:val="28"/>
            </w:rPr>
            <w:instrText xml:space="preserve">TOC \o "1-2" \h \u </w:instrText>
          </w:r>
          <w:r>
            <w:rPr>
              <w:rFonts w:hint="eastAsia" w:ascii="宋体" w:hAnsi="宋体" w:cs="宋体"/>
              <w:sz w:val="28"/>
              <w:szCs w:val="28"/>
            </w:rPr>
            <w:fldChar w:fldCharType="separate"/>
          </w:r>
        </w:p>
        <w:p>
          <w:pPr>
            <w:pStyle w:val="7"/>
            <w:tabs>
              <w:tab w:val="right" w:leader="dot" w:pos="8306"/>
            </w:tabs>
            <w:rPr>
              <w:sz w:val="32"/>
              <w:szCs w:val="32"/>
            </w:rPr>
          </w:pPr>
          <w:r>
            <w:fldChar w:fldCharType="begin"/>
          </w:r>
          <w:r>
            <w:instrText xml:space="preserve"> HYPERLINK \l "_Toc1226" </w:instrText>
          </w:r>
          <w:r>
            <w:fldChar w:fldCharType="separate"/>
          </w:r>
          <w:r>
            <w:rPr>
              <w:rFonts w:hint="eastAsia" w:ascii="黑体" w:hAnsi="黑体" w:eastAsia="黑体" w:cs="宋体"/>
              <w:kern w:val="0"/>
              <w:sz w:val="32"/>
              <w:szCs w:val="32"/>
            </w:rPr>
            <w:t>一、部门概况</w:t>
          </w:r>
          <w:r>
            <w:rPr>
              <w:rFonts w:ascii="黑体" w:hAnsi="黑体" w:eastAsia="黑体" w:cs="黑体"/>
              <w:sz w:val="32"/>
              <w:szCs w:val="32"/>
            </w:rPr>
            <w:tab/>
          </w:r>
          <w:r>
            <w:rPr>
              <w:sz w:val="32"/>
              <w:szCs w:val="32"/>
            </w:rPr>
            <w:fldChar w:fldCharType="begin"/>
          </w:r>
          <w:r>
            <w:rPr>
              <w:sz w:val="32"/>
              <w:szCs w:val="32"/>
            </w:rPr>
            <w:instrText xml:space="preserve"> PAGEREF _Toc1226 \h </w:instrText>
          </w:r>
          <w:r>
            <w:rPr>
              <w:sz w:val="32"/>
              <w:szCs w:val="32"/>
            </w:rPr>
            <w:fldChar w:fldCharType="separate"/>
          </w:r>
          <w:r>
            <w:rPr>
              <w:sz w:val="32"/>
              <w:szCs w:val="32"/>
            </w:rPr>
            <w:t>1</w:t>
          </w:r>
          <w:r>
            <w:rPr>
              <w:sz w:val="32"/>
              <w:szCs w:val="32"/>
            </w:rPr>
            <w:fldChar w:fldCharType="end"/>
          </w:r>
          <w:r>
            <w:rPr>
              <w:sz w:val="32"/>
              <w:szCs w:val="32"/>
            </w:rPr>
            <w:fldChar w:fldCharType="end"/>
          </w:r>
        </w:p>
        <w:p>
          <w:pPr>
            <w:pStyle w:val="8"/>
            <w:tabs>
              <w:tab w:val="right" w:leader="dot" w:pos="8306"/>
              <w:tab w:val="clear" w:pos="8680"/>
            </w:tabs>
          </w:pPr>
          <w:r>
            <w:fldChar w:fldCharType="begin"/>
          </w:r>
          <w:r>
            <w:instrText xml:space="preserve"> HYPERLINK \l "_Toc31562" </w:instrText>
          </w:r>
          <w:r>
            <w:fldChar w:fldCharType="separate"/>
          </w:r>
          <w:r>
            <w:rPr>
              <w:rFonts w:hint="eastAsia" w:ascii="楷体_GB2312" w:eastAsia="楷体_GB2312"/>
            </w:rPr>
            <w:t>（一）机构设置及职责工作任务情况</w:t>
          </w:r>
          <w:r>
            <w:tab/>
          </w:r>
          <w:r>
            <w:fldChar w:fldCharType="begin"/>
          </w:r>
          <w:r>
            <w:instrText xml:space="preserve"> PAGEREF _Toc31562 \h </w:instrText>
          </w:r>
          <w:r>
            <w:fldChar w:fldCharType="separate"/>
          </w:r>
          <w:r>
            <w:t>1</w:t>
          </w:r>
          <w:r>
            <w:fldChar w:fldCharType="end"/>
          </w:r>
          <w:r>
            <w:fldChar w:fldCharType="end"/>
          </w:r>
        </w:p>
        <w:p>
          <w:pPr>
            <w:pStyle w:val="8"/>
            <w:tabs>
              <w:tab w:val="right" w:leader="dot" w:pos="8306"/>
              <w:tab w:val="clear" w:pos="8680"/>
            </w:tabs>
          </w:pPr>
          <w:r>
            <w:fldChar w:fldCharType="begin"/>
          </w:r>
          <w:r>
            <w:instrText xml:space="preserve"> HYPERLINK \l "_Toc1523" </w:instrText>
          </w:r>
          <w:r>
            <w:fldChar w:fldCharType="separate"/>
          </w:r>
          <w:r>
            <w:rPr>
              <w:rFonts w:hint="eastAsia" w:ascii="楷体_GB2312" w:eastAsia="楷体_GB2312"/>
            </w:rPr>
            <w:t>（二）部门整体绩效目标设立情况</w:t>
          </w:r>
          <w:r>
            <w:tab/>
          </w:r>
          <w:r>
            <w:fldChar w:fldCharType="begin"/>
          </w:r>
          <w:r>
            <w:instrText xml:space="preserve"> PAGEREF _Toc1523 \h </w:instrText>
          </w:r>
          <w:r>
            <w:fldChar w:fldCharType="separate"/>
          </w:r>
          <w:r>
            <w:t>2</w:t>
          </w:r>
          <w:r>
            <w:fldChar w:fldCharType="end"/>
          </w:r>
          <w:r>
            <w:fldChar w:fldCharType="end"/>
          </w:r>
        </w:p>
        <w:p>
          <w:pPr>
            <w:pStyle w:val="7"/>
            <w:tabs>
              <w:tab w:val="right" w:leader="dot" w:pos="8306"/>
            </w:tabs>
            <w:rPr>
              <w:sz w:val="32"/>
              <w:szCs w:val="32"/>
            </w:rPr>
          </w:pPr>
          <w:r>
            <w:fldChar w:fldCharType="begin"/>
          </w:r>
          <w:r>
            <w:instrText xml:space="preserve"> HYPERLINK \l "_Toc11943" </w:instrText>
          </w:r>
          <w:r>
            <w:fldChar w:fldCharType="separate"/>
          </w:r>
          <w:r>
            <w:rPr>
              <w:rFonts w:hint="eastAsia" w:ascii="黑体" w:hAnsi="黑体" w:eastAsia="黑体" w:cs="宋体"/>
              <w:kern w:val="0"/>
              <w:sz w:val="32"/>
              <w:szCs w:val="32"/>
            </w:rPr>
            <w:t>二、当年预算执行情况</w:t>
          </w:r>
          <w:r>
            <w:rPr>
              <w:rFonts w:ascii="黑体" w:hAnsi="黑体" w:eastAsia="黑体" w:cs="黑体"/>
              <w:sz w:val="32"/>
              <w:szCs w:val="32"/>
            </w:rPr>
            <w:tab/>
          </w:r>
          <w:r>
            <w:rPr>
              <w:sz w:val="32"/>
              <w:szCs w:val="32"/>
            </w:rPr>
            <w:fldChar w:fldCharType="begin"/>
          </w:r>
          <w:r>
            <w:rPr>
              <w:sz w:val="32"/>
              <w:szCs w:val="32"/>
            </w:rPr>
            <w:instrText xml:space="preserve"> PAGEREF _Toc11943 \h </w:instrText>
          </w:r>
          <w:r>
            <w:rPr>
              <w:sz w:val="32"/>
              <w:szCs w:val="32"/>
            </w:rPr>
            <w:fldChar w:fldCharType="separate"/>
          </w:r>
          <w:r>
            <w:rPr>
              <w:sz w:val="32"/>
              <w:szCs w:val="32"/>
            </w:rPr>
            <w:t>4</w:t>
          </w:r>
          <w:r>
            <w:rPr>
              <w:sz w:val="32"/>
              <w:szCs w:val="32"/>
            </w:rPr>
            <w:fldChar w:fldCharType="end"/>
          </w:r>
          <w:r>
            <w:rPr>
              <w:sz w:val="32"/>
              <w:szCs w:val="32"/>
            </w:rPr>
            <w:fldChar w:fldCharType="end"/>
          </w:r>
        </w:p>
        <w:p>
          <w:pPr>
            <w:pStyle w:val="7"/>
            <w:tabs>
              <w:tab w:val="right" w:leader="dot" w:pos="8306"/>
            </w:tabs>
            <w:rPr>
              <w:sz w:val="32"/>
              <w:szCs w:val="32"/>
            </w:rPr>
          </w:pPr>
          <w:r>
            <w:fldChar w:fldCharType="begin"/>
          </w:r>
          <w:r>
            <w:instrText xml:space="preserve"> HYPERLINK \l "_Toc24817" </w:instrText>
          </w:r>
          <w:r>
            <w:fldChar w:fldCharType="separate"/>
          </w:r>
          <w:r>
            <w:rPr>
              <w:rFonts w:hint="eastAsia" w:ascii="黑体" w:hAnsi="黑体" w:eastAsia="黑体" w:cs="宋体"/>
              <w:kern w:val="0"/>
              <w:sz w:val="32"/>
              <w:szCs w:val="32"/>
            </w:rPr>
            <w:t>三、整体绩效目标实现情况</w:t>
          </w:r>
          <w:r>
            <w:rPr>
              <w:rFonts w:ascii="黑体" w:hAnsi="黑体" w:eastAsia="黑体" w:cs="黑体"/>
              <w:sz w:val="32"/>
              <w:szCs w:val="32"/>
            </w:rPr>
            <w:tab/>
          </w:r>
          <w:r>
            <w:rPr>
              <w:sz w:val="32"/>
              <w:szCs w:val="32"/>
            </w:rPr>
            <w:fldChar w:fldCharType="begin"/>
          </w:r>
          <w:r>
            <w:rPr>
              <w:sz w:val="32"/>
              <w:szCs w:val="32"/>
            </w:rPr>
            <w:instrText xml:space="preserve"> PAGEREF _Toc24817 \h </w:instrText>
          </w:r>
          <w:r>
            <w:rPr>
              <w:sz w:val="32"/>
              <w:szCs w:val="32"/>
            </w:rPr>
            <w:fldChar w:fldCharType="separate"/>
          </w:r>
          <w:r>
            <w:rPr>
              <w:sz w:val="32"/>
              <w:szCs w:val="32"/>
            </w:rPr>
            <w:t>6</w:t>
          </w:r>
          <w:r>
            <w:rPr>
              <w:sz w:val="32"/>
              <w:szCs w:val="32"/>
            </w:rPr>
            <w:fldChar w:fldCharType="end"/>
          </w:r>
          <w:r>
            <w:rPr>
              <w:sz w:val="32"/>
              <w:szCs w:val="32"/>
            </w:rPr>
            <w:fldChar w:fldCharType="end"/>
          </w:r>
        </w:p>
        <w:p>
          <w:pPr>
            <w:pStyle w:val="8"/>
            <w:tabs>
              <w:tab w:val="right" w:leader="dot" w:pos="8306"/>
              <w:tab w:val="clear" w:pos="8680"/>
            </w:tabs>
          </w:pPr>
          <w:r>
            <w:fldChar w:fldCharType="begin"/>
          </w:r>
          <w:r>
            <w:instrText xml:space="preserve"> HYPERLINK \l "_Toc29080" </w:instrText>
          </w:r>
          <w:r>
            <w:fldChar w:fldCharType="separate"/>
          </w:r>
          <w:r>
            <w:rPr>
              <w:rFonts w:hint="eastAsia" w:ascii="楷体_GB2312" w:eastAsia="楷体_GB2312"/>
            </w:rPr>
            <w:t>（一）产出完成情况分析</w:t>
          </w:r>
          <w:r>
            <w:tab/>
          </w:r>
          <w:r>
            <w:fldChar w:fldCharType="begin"/>
          </w:r>
          <w:r>
            <w:instrText xml:space="preserve"> PAGEREF _Toc29080 \h </w:instrText>
          </w:r>
          <w:r>
            <w:fldChar w:fldCharType="separate"/>
          </w:r>
          <w:r>
            <w:t>6</w:t>
          </w:r>
          <w:r>
            <w:fldChar w:fldCharType="end"/>
          </w:r>
          <w:r>
            <w:fldChar w:fldCharType="end"/>
          </w:r>
        </w:p>
        <w:p>
          <w:pPr>
            <w:pStyle w:val="8"/>
            <w:tabs>
              <w:tab w:val="right" w:leader="dot" w:pos="8306"/>
              <w:tab w:val="clear" w:pos="8680"/>
            </w:tabs>
          </w:pPr>
          <w:r>
            <w:fldChar w:fldCharType="begin"/>
          </w:r>
          <w:r>
            <w:instrText xml:space="preserve"> HYPERLINK \l "_Toc770" </w:instrText>
          </w:r>
          <w:r>
            <w:fldChar w:fldCharType="separate"/>
          </w:r>
          <w:r>
            <w:rPr>
              <w:rFonts w:hint="eastAsia" w:ascii="楷体_GB2312" w:eastAsia="楷体_GB2312"/>
            </w:rPr>
            <w:t>（二）效果实现情况分析</w:t>
          </w:r>
          <w:r>
            <w:tab/>
          </w:r>
          <w:r>
            <w:fldChar w:fldCharType="begin"/>
          </w:r>
          <w:r>
            <w:instrText xml:space="preserve"> PAGEREF _Toc770 \h </w:instrText>
          </w:r>
          <w:r>
            <w:fldChar w:fldCharType="separate"/>
          </w:r>
          <w:r>
            <w:t>7</w:t>
          </w:r>
          <w:r>
            <w:fldChar w:fldCharType="end"/>
          </w:r>
          <w:r>
            <w:fldChar w:fldCharType="end"/>
          </w:r>
        </w:p>
        <w:p>
          <w:pPr>
            <w:pStyle w:val="7"/>
            <w:tabs>
              <w:tab w:val="right" w:leader="dot" w:pos="8306"/>
            </w:tabs>
            <w:rPr>
              <w:sz w:val="32"/>
              <w:szCs w:val="32"/>
            </w:rPr>
          </w:pPr>
          <w:r>
            <w:fldChar w:fldCharType="begin"/>
          </w:r>
          <w:r>
            <w:instrText xml:space="preserve"> HYPERLINK \l "_Toc5847" </w:instrText>
          </w:r>
          <w:r>
            <w:fldChar w:fldCharType="separate"/>
          </w:r>
          <w:r>
            <w:rPr>
              <w:rFonts w:hint="eastAsia" w:ascii="黑体" w:hAnsi="黑体" w:eastAsia="黑体" w:cs="宋体"/>
              <w:kern w:val="0"/>
              <w:sz w:val="32"/>
              <w:szCs w:val="32"/>
            </w:rPr>
            <w:t>四、预算管理情况分析</w:t>
          </w:r>
          <w:r>
            <w:rPr>
              <w:rFonts w:ascii="黑体" w:hAnsi="黑体" w:eastAsia="黑体" w:cs="黑体"/>
              <w:sz w:val="32"/>
              <w:szCs w:val="32"/>
            </w:rPr>
            <w:tab/>
          </w:r>
          <w:r>
            <w:rPr>
              <w:sz w:val="32"/>
              <w:szCs w:val="32"/>
            </w:rPr>
            <w:fldChar w:fldCharType="begin"/>
          </w:r>
          <w:r>
            <w:rPr>
              <w:sz w:val="32"/>
              <w:szCs w:val="32"/>
            </w:rPr>
            <w:instrText xml:space="preserve"> PAGEREF _Toc5847 \h </w:instrText>
          </w:r>
          <w:r>
            <w:rPr>
              <w:sz w:val="32"/>
              <w:szCs w:val="32"/>
            </w:rPr>
            <w:fldChar w:fldCharType="separate"/>
          </w:r>
          <w:r>
            <w:rPr>
              <w:sz w:val="32"/>
              <w:szCs w:val="32"/>
            </w:rPr>
            <w:t>13</w:t>
          </w:r>
          <w:r>
            <w:rPr>
              <w:sz w:val="32"/>
              <w:szCs w:val="32"/>
            </w:rPr>
            <w:fldChar w:fldCharType="end"/>
          </w:r>
          <w:r>
            <w:rPr>
              <w:sz w:val="32"/>
              <w:szCs w:val="32"/>
            </w:rPr>
            <w:fldChar w:fldCharType="end"/>
          </w:r>
        </w:p>
        <w:p>
          <w:pPr>
            <w:pStyle w:val="8"/>
            <w:tabs>
              <w:tab w:val="right" w:leader="dot" w:pos="8306"/>
              <w:tab w:val="clear" w:pos="8680"/>
            </w:tabs>
          </w:pPr>
          <w:r>
            <w:fldChar w:fldCharType="begin"/>
          </w:r>
          <w:r>
            <w:instrText xml:space="preserve"> HYPERLINK \l "_Toc3214" </w:instrText>
          </w:r>
          <w:r>
            <w:fldChar w:fldCharType="separate"/>
          </w:r>
          <w:r>
            <w:rPr>
              <w:rFonts w:hint="eastAsia" w:ascii="楷体_GB2312" w:eastAsia="楷体_GB2312"/>
            </w:rPr>
            <w:t>（一）财务管理</w:t>
          </w:r>
          <w:r>
            <w:tab/>
          </w:r>
          <w:r>
            <w:fldChar w:fldCharType="begin"/>
          </w:r>
          <w:r>
            <w:instrText xml:space="preserve"> PAGEREF _Toc3214 \h </w:instrText>
          </w:r>
          <w:r>
            <w:fldChar w:fldCharType="separate"/>
          </w:r>
          <w:r>
            <w:t>13</w:t>
          </w:r>
          <w:r>
            <w:fldChar w:fldCharType="end"/>
          </w:r>
          <w:r>
            <w:fldChar w:fldCharType="end"/>
          </w:r>
        </w:p>
        <w:p>
          <w:pPr>
            <w:pStyle w:val="8"/>
            <w:tabs>
              <w:tab w:val="right" w:leader="dot" w:pos="8306"/>
              <w:tab w:val="clear" w:pos="8680"/>
            </w:tabs>
          </w:pPr>
          <w:r>
            <w:fldChar w:fldCharType="begin"/>
          </w:r>
          <w:r>
            <w:instrText xml:space="preserve"> HYPERLINK \l "_Toc15224" </w:instrText>
          </w:r>
          <w:r>
            <w:fldChar w:fldCharType="separate"/>
          </w:r>
          <w:r>
            <w:rPr>
              <w:rFonts w:hint="eastAsia" w:ascii="楷体_GB2312" w:eastAsia="楷体_GB2312"/>
            </w:rPr>
            <w:t>（二）资产管理</w:t>
          </w:r>
          <w:r>
            <w:tab/>
          </w:r>
          <w:r>
            <w:fldChar w:fldCharType="begin"/>
          </w:r>
          <w:r>
            <w:instrText xml:space="preserve"> PAGEREF _Toc15224 \h </w:instrText>
          </w:r>
          <w:r>
            <w:fldChar w:fldCharType="separate"/>
          </w:r>
          <w:r>
            <w:t>14</w:t>
          </w:r>
          <w:r>
            <w:fldChar w:fldCharType="end"/>
          </w:r>
          <w:r>
            <w:fldChar w:fldCharType="end"/>
          </w:r>
        </w:p>
        <w:p>
          <w:pPr>
            <w:pStyle w:val="8"/>
            <w:tabs>
              <w:tab w:val="right" w:leader="dot" w:pos="8306"/>
              <w:tab w:val="clear" w:pos="8680"/>
            </w:tabs>
          </w:pPr>
          <w:r>
            <w:fldChar w:fldCharType="begin"/>
          </w:r>
          <w:r>
            <w:instrText xml:space="preserve"> HYPERLINK \l "_Toc21368" </w:instrText>
          </w:r>
          <w:r>
            <w:fldChar w:fldCharType="separate"/>
          </w:r>
          <w:r>
            <w:rPr>
              <w:rFonts w:hint="eastAsia" w:ascii="楷体_GB2312" w:eastAsia="楷体_GB2312"/>
            </w:rPr>
            <w:t>（三）绩效管理</w:t>
          </w:r>
          <w:r>
            <w:tab/>
          </w:r>
          <w:r>
            <w:fldChar w:fldCharType="begin"/>
          </w:r>
          <w:r>
            <w:instrText xml:space="preserve"> PAGEREF _Toc21368 \h </w:instrText>
          </w:r>
          <w:r>
            <w:fldChar w:fldCharType="separate"/>
          </w:r>
          <w:r>
            <w:t>15</w:t>
          </w:r>
          <w:r>
            <w:fldChar w:fldCharType="end"/>
          </w:r>
          <w:r>
            <w:fldChar w:fldCharType="end"/>
          </w:r>
        </w:p>
        <w:p>
          <w:pPr>
            <w:pStyle w:val="8"/>
            <w:tabs>
              <w:tab w:val="right" w:leader="dot" w:pos="8306"/>
              <w:tab w:val="clear" w:pos="8680"/>
            </w:tabs>
          </w:pPr>
          <w:r>
            <w:fldChar w:fldCharType="begin"/>
          </w:r>
          <w:r>
            <w:instrText xml:space="preserve"> HYPERLINK \l "_Toc24172" </w:instrText>
          </w:r>
          <w:r>
            <w:fldChar w:fldCharType="separate"/>
          </w:r>
          <w:r>
            <w:rPr>
              <w:rFonts w:hint="eastAsia" w:ascii="楷体_GB2312" w:eastAsia="楷体_GB2312"/>
            </w:rPr>
            <w:t>（四）结转结余率</w:t>
          </w:r>
          <w:r>
            <w:tab/>
          </w:r>
          <w:r>
            <w:fldChar w:fldCharType="begin"/>
          </w:r>
          <w:r>
            <w:instrText xml:space="preserve"> PAGEREF _Toc24172 \h </w:instrText>
          </w:r>
          <w:r>
            <w:fldChar w:fldCharType="separate"/>
          </w:r>
          <w:r>
            <w:t>16</w:t>
          </w:r>
          <w:r>
            <w:fldChar w:fldCharType="end"/>
          </w:r>
          <w:r>
            <w:fldChar w:fldCharType="end"/>
          </w:r>
        </w:p>
        <w:p>
          <w:pPr>
            <w:pStyle w:val="8"/>
            <w:tabs>
              <w:tab w:val="right" w:leader="dot" w:pos="8306"/>
              <w:tab w:val="clear" w:pos="8680"/>
            </w:tabs>
          </w:pPr>
          <w:r>
            <w:fldChar w:fldCharType="begin"/>
          </w:r>
          <w:r>
            <w:instrText xml:space="preserve"> HYPERLINK \l "_Toc16675" </w:instrText>
          </w:r>
          <w:r>
            <w:fldChar w:fldCharType="separate"/>
          </w:r>
          <w:r>
            <w:rPr>
              <w:rFonts w:hint="eastAsia" w:ascii="楷体_GB2312" w:eastAsia="楷体_GB2312"/>
            </w:rPr>
            <w:t>（五）部门预决算差异率</w:t>
          </w:r>
          <w:r>
            <w:tab/>
          </w:r>
          <w:r>
            <w:fldChar w:fldCharType="begin"/>
          </w:r>
          <w:r>
            <w:instrText xml:space="preserve"> PAGEREF _Toc16675 \h </w:instrText>
          </w:r>
          <w:r>
            <w:fldChar w:fldCharType="separate"/>
          </w:r>
          <w:r>
            <w:t>16</w:t>
          </w:r>
          <w:r>
            <w:fldChar w:fldCharType="end"/>
          </w:r>
          <w:r>
            <w:fldChar w:fldCharType="end"/>
          </w:r>
        </w:p>
        <w:p>
          <w:pPr>
            <w:pStyle w:val="7"/>
            <w:tabs>
              <w:tab w:val="right" w:leader="dot" w:pos="8306"/>
            </w:tabs>
            <w:rPr>
              <w:sz w:val="32"/>
              <w:szCs w:val="32"/>
            </w:rPr>
          </w:pPr>
          <w:r>
            <w:fldChar w:fldCharType="begin"/>
          </w:r>
          <w:r>
            <w:instrText xml:space="preserve"> HYPERLINK \l "_Toc22774" </w:instrText>
          </w:r>
          <w:r>
            <w:fldChar w:fldCharType="separate"/>
          </w:r>
          <w:r>
            <w:rPr>
              <w:rFonts w:hint="eastAsia" w:ascii="黑体" w:hAnsi="黑体" w:eastAsia="黑体" w:cs="宋体"/>
              <w:kern w:val="0"/>
              <w:sz w:val="32"/>
              <w:szCs w:val="32"/>
            </w:rPr>
            <w:t>五、总体评价结论</w:t>
          </w:r>
          <w:r>
            <w:rPr>
              <w:rFonts w:ascii="黑体" w:hAnsi="黑体" w:eastAsia="黑体" w:cs="黑体"/>
              <w:sz w:val="32"/>
              <w:szCs w:val="32"/>
            </w:rPr>
            <w:tab/>
          </w:r>
          <w:r>
            <w:rPr>
              <w:sz w:val="32"/>
              <w:szCs w:val="32"/>
            </w:rPr>
            <w:fldChar w:fldCharType="begin"/>
          </w:r>
          <w:r>
            <w:rPr>
              <w:sz w:val="32"/>
              <w:szCs w:val="32"/>
            </w:rPr>
            <w:instrText xml:space="preserve"> PAGEREF _Toc22774 \h </w:instrText>
          </w:r>
          <w:r>
            <w:rPr>
              <w:sz w:val="32"/>
              <w:szCs w:val="32"/>
            </w:rPr>
            <w:fldChar w:fldCharType="separate"/>
          </w:r>
          <w:r>
            <w:rPr>
              <w:sz w:val="32"/>
              <w:szCs w:val="32"/>
            </w:rPr>
            <w:t>16</w:t>
          </w:r>
          <w:r>
            <w:rPr>
              <w:sz w:val="32"/>
              <w:szCs w:val="32"/>
            </w:rPr>
            <w:fldChar w:fldCharType="end"/>
          </w:r>
          <w:r>
            <w:rPr>
              <w:sz w:val="32"/>
              <w:szCs w:val="32"/>
            </w:rPr>
            <w:fldChar w:fldCharType="end"/>
          </w:r>
        </w:p>
        <w:p>
          <w:pPr>
            <w:pStyle w:val="8"/>
            <w:tabs>
              <w:tab w:val="right" w:leader="dot" w:pos="8306"/>
              <w:tab w:val="clear" w:pos="8680"/>
            </w:tabs>
          </w:pPr>
          <w:r>
            <w:fldChar w:fldCharType="begin"/>
          </w:r>
          <w:r>
            <w:instrText xml:space="preserve"> HYPERLINK \l "_Toc12679" </w:instrText>
          </w:r>
          <w:r>
            <w:fldChar w:fldCharType="separate"/>
          </w:r>
          <w:r>
            <w:rPr>
              <w:rFonts w:hint="eastAsia" w:ascii="楷体_GB2312" w:eastAsia="楷体_GB2312"/>
            </w:rPr>
            <w:t>（一）评价得分情况</w:t>
          </w:r>
          <w:r>
            <w:tab/>
          </w:r>
          <w:r>
            <w:fldChar w:fldCharType="begin"/>
          </w:r>
          <w:r>
            <w:instrText xml:space="preserve"> PAGEREF _Toc12679 \h </w:instrText>
          </w:r>
          <w:r>
            <w:fldChar w:fldCharType="separate"/>
          </w:r>
          <w:r>
            <w:t>16</w:t>
          </w:r>
          <w:r>
            <w:fldChar w:fldCharType="end"/>
          </w:r>
          <w:r>
            <w:fldChar w:fldCharType="end"/>
          </w:r>
        </w:p>
        <w:p>
          <w:pPr>
            <w:pStyle w:val="8"/>
            <w:tabs>
              <w:tab w:val="right" w:leader="dot" w:pos="8306"/>
              <w:tab w:val="clear" w:pos="8680"/>
            </w:tabs>
          </w:pPr>
          <w:r>
            <w:fldChar w:fldCharType="begin"/>
          </w:r>
          <w:r>
            <w:instrText xml:space="preserve"> HYPERLINK \l "_Toc26597" </w:instrText>
          </w:r>
          <w:r>
            <w:fldChar w:fldCharType="separate"/>
          </w:r>
          <w:r>
            <w:rPr>
              <w:rFonts w:hint="eastAsia" w:ascii="楷体_GB2312" w:eastAsia="楷体_GB2312"/>
            </w:rPr>
            <w:t>（二）存在的问题及原因分析</w:t>
          </w:r>
          <w:r>
            <w:tab/>
          </w:r>
          <w:r>
            <w:fldChar w:fldCharType="begin"/>
          </w:r>
          <w:r>
            <w:instrText xml:space="preserve"> PAGEREF _Toc26597 \h </w:instrText>
          </w:r>
          <w:r>
            <w:fldChar w:fldCharType="separate"/>
          </w:r>
          <w:r>
            <w:t>17</w:t>
          </w:r>
          <w:r>
            <w:fldChar w:fldCharType="end"/>
          </w:r>
          <w:r>
            <w:fldChar w:fldCharType="end"/>
          </w:r>
        </w:p>
        <w:p>
          <w:pPr>
            <w:pStyle w:val="7"/>
            <w:tabs>
              <w:tab w:val="right" w:leader="dot" w:pos="8306"/>
            </w:tabs>
            <w:rPr>
              <w:sz w:val="32"/>
              <w:szCs w:val="32"/>
            </w:rPr>
          </w:pPr>
          <w:r>
            <w:fldChar w:fldCharType="begin"/>
          </w:r>
          <w:r>
            <w:instrText xml:space="preserve"> HYPERLINK \l "_Toc25609" </w:instrText>
          </w:r>
          <w:r>
            <w:fldChar w:fldCharType="separate"/>
          </w:r>
          <w:r>
            <w:rPr>
              <w:rFonts w:hint="eastAsia" w:ascii="黑体" w:hAnsi="黑体" w:eastAsia="黑体" w:cs="宋体"/>
              <w:kern w:val="0"/>
              <w:sz w:val="32"/>
              <w:szCs w:val="32"/>
            </w:rPr>
            <w:t>六、措施建议</w:t>
          </w:r>
          <w:r>
            <w:rPr>
              <w:rFonts w:ascii="黑体" w:hAnsi="黑体" w:eastAsia="黑体" w:cs="黑体"/>
              <w:sz w:val="32"/>
              <w:szCs w:val="32"/>
            </w:rPr>
            <w:tab/>
          </w:r>
          <w:r>
            <w:rPr>
              <w:sz w:val="32"/>
              <w:szCs w:val="32"/>
            </w:rPr>
            <w:fldChar w:fldCharType="begin"/>
          </w:r>
          <w:r>
            <w:rPr>
              <w:sz w:val="32"/>
              <w:szCs w:val="32"/>
            </w:rPr>
            <w:instrText xml:space="preserve"> PAGEREF _Toc25609 \h </w:instrText>
          </w:r>
          <w:r>
            <w:rPr>
              <w:sz w:val="32"/>
              <w:szCs w:val="32"/>
            </w:rPr>
            <w:fldChar w:fldCharType="separate"/>
          </w:r>
          <w:r>
            <w:rPr>
              <w:sz w:val="32"/>
              <w:szCs w:val="32"/>
            </w:rPr>
            <w:t>17</w:t>
          </w:r>
          <w:r>
            <w:rPr>
              <w:sz w:val="32"/>
              <w:szCs w:val="32"/>
            </w:rPr>
            <w:fldChar w:fldCharType="end"/>
          </w:r>
          <w:r>
            <w:rPr>
              <w:sz w:val="32"/>
              <w:szCs w:val="32"/>
            </w:rPr>
            <w:fldChar w:fldCharType="end"/>
          </w:r>
        </w:p>
        <w:p>
          <w:r>
            <w:rPr>
              <w:rFonts w:hint="eastAsia" w:ascii="黑体" w:hAnsi="黑体" w:eastAsia="黑体" w:cs="宋体"/>
              <w:kern w:val="0"/>
              <w:sz w:val="32"/>
              <w:szCs w:val="32"/>
            </w:rPr>
            <w:t>七、附件..........................................21</w:t>
          </w:r>
        </w:p>
        <w:p>
          <w:pPr>
            <w:spacing w:line="560" w:lineRule="exact"/>
            <w:jc w:val="left"/>
            <w:rPr>
              <w:rFonts w:ascii="宋体" w:hAnsi="宋体" w:cs="宋体"/>
              <w:b/>
              <w:sz w:val="28"/>
              <w:szCs w:val="28"/>
            </w:rPr>
          </w:pPr>
          <w:r>
            <w:rPr>
              <w:rFonts w:hint="eastAsia" w:ascii="宋体" w:hAnsi="宋体" w:cs="宋体"/>
              <w:szCs w:val="28"/>
            </w:rPr>
            <w:fldChar w:fldCharType="end"/>
          </w:r>
        </w:p>
      </w:sdtContent>
    </w:sdt>
    <w:p>
      <w:pPr>
        <w:spacing w:line="560" w:lineRule="exact"/>
        <w:rPr>
          <w:rFonts w:ascii="方正小标宋简体" w:eastAsia="方正小标宋简体"/>
          <w:sz w:val="36"/>
          <w:szCs w:val="36"/>
        </w:rPr>
        <w:sectPr>
          <w:footerReference r:id="rId4" w:type="default"/>
          <w:pgSz w:w="11906" w:h="16838"/>
          <w:pgMar w:top="1440" w:right="1800" w:bottom="1440" w:left="1800" w:header="851" w:footer="992" w:gutter="0"/>
          <w:cols w:space="425" w:num="1"/>
          <w:docGrid w:type="lines" w:linePitch="312" w:charSpace="0"/>
        </w:sectPr>
      </w:pPr>
    </w:p>
    <w:p>
      <w:pPr>
        <w:spacing w:line="700" w:lineRule="exact"/>
        <w:jc w:val="center"/>
        <w:outlineLvl w:val="0"/>
        <w:rPr>
          <w:rFonts w:asciiTheme="minorEastAsia" w:hAnsiTheme="minorEastAsia" w:eastAsiaTheme="minorEastAsia"/>
          <w:b/>
          <w:bCs/>
          <w:sz w:val="36"/>
          <w:szCs w:val="36"/>
        </w:rPr>
      </w:pPr>
      <w:bookmarkStart w:id="1" w:name="_Toc14473"/>
      <w:bookmarkStart w:id="2" w:name="_Toc27303"/>
      <w:bookmarkStart w:id="3" w:name="_Toc15052"/>
    </w:p>
    <w:p>
      <w:pPr>
        <w:spacing w:line="700" w:lineRule="exact"/>
        <w:jc w:val="center"/>
        <w:outlineLvl w:val="0"/>
        <w:rPr>
          <w:rFonts w:ascii="方正小标宋简体" w:eastAsia="方正小标宋简体" w:hAnsiTheme="minorEastAsia"/>
          <w:bCs/>
          <w:sz w:val="44"/>
          <w:szCs w:val="44"/>
        </w:rPr>
      </w:pPr>
      <w:r>
        <w:rPr>
          <w:rFonts w:hint="eastAsia" w:ascii="方正小标宋简体" w:eastAsia="方正小标宋简体" w:hAnsiTheme="minorEastAsia"/>
          <w:bCs/>
          <w:sz w:val="44"/>
          <w:szCs w:val="44"/>
        </w:rPr>
        <w:t>北京市重大项目建设指挥部办公室</w:t>
      </w:r>
      <w:bookmarkEnd w:id="0"/>
      <w:bookmarkEnd w:id="1"/>
      <w:bookmarkEnd w:id="2"/>
      <w:bookmarkEnd w:id="3"/>
    </w:p>
    <w:p>
      <w:pPr>
        <w:spacing w:line="700" w:lineRule="exact"/>
        <w:jc w:val="center"/>
        <w:outlineLvl w:val="0"/>
        <w:rPr>
          <w:rFonts w:ascii="方正小标宋简体" w:eastAsia="方正小标宋简体" w:hAnsiTheme="minorEastAsia"/>
          <w:bCs/>
          <w:sz w:val="44"/>
          <w:szCs w:val="44"/>
        </w:rPr>
      </w:pPr>
      <w:bookmarkStart w:id="4" w:name="_Toc21454"/>
      <w:r>
        <w:rPr>
          <w:rFonts w:hint="eastAsia" w:ascii="方正小标宋简体" w:eastAsia="方正小标宋简体" w:hAnsiTheme="minorEastAsia"/>
          <w:bCs/>
          <w:sz w:val="44"/>
          <w:szCs w:val="44"/>
        </w:rPr>
        <w:t>2023年部门整体绩效报告</w:t>
      </w:r>
    </w:p>
    <w:bookmarkEnd w:id="4"/>
    <w:p>
      <w:pPr>
        <w:jc w:val="center"/>
        <w:rPr>
          <w:rFonts w:ascii="仿宋_GB2312"/>
          <w:szCs w:val="30"/>
        </w:rPr>
      </w:pPr>
    </w:p>
    <w:p>
      <w:pPr>
        <w:pStyle w:val="5"/>
      </w:pPr>
    </w:p>
    <w:p>
      <w:pPr>
        <w:spacing w:line="580" w:lineRule="exact"/>
        <w:ind w:firstLine="641"/>
        <w:rPr>
          <w:rFonts w:ascii="仿宋_GB2312" w:hAnsi="仿宋" w:eastAsia="仿宋_GB2312"/>
          <w:color w:val="000000"/>
          <w:sz w:val="32"/>
          <w:szCs w:val="32"/>
        </w:rPr>
      </w:pPr>
      <w:r>
        <w:rPr>
          <w:rFonts w:hint="eastAsia" w:ascii="仿宋_GB2312" w:hAnsi="仿宋" w:eastAsia="仿宋_GB2312"/>
          <w:color w:val="000000"/>
          <w:sz w:val="32"/>
          <w:szCs w:val="32"/>
        </w:rPr>
        <w:t>为进一步加强预算绩效管理工作，提高财政支出管理水平，强化绩效理念和支出责任，根据市财政局</w:t>
      </w:r>
      <w:r>
        <w:rPr>
          <w:rFonts w:hint="eastAsia" w:ascii="仿宋_GB2312" w:hAnsi="仿宋_GB2312" w:eastAsia="仿宋_GB2312" w:cs="仿宋_GB2312"/>
          <w:color w:val="000000"/>
          <w:kern w:val="0"/>
          <w:sz w:val="32"/>
          <w:szCs w:val="32"/>
        </w:rPr>
        <w:t>《关于开展2024年预算绩效管理相关工作的函》相关</w:t>
      </w:r>
      <w:r>
        <w:rPr>
          <w:rFonts w:hint="eastAsia" w:ascii="仿宋_GB2312" w:hAnsi="仿宋" w:eastAsia="仿宋_GB2312"/>
          <w:color w:val="000000"/>
          <w:sz w:val="32"/>
          <w:szCs w:val="32"/>
        </w:rPr>
        <w:t>要求，</w:t>
      </w:r>
      <w:r>
        <w:rPr>
          <w:rFonts w:hint="eastAsia" w:ascii="仿宋_GB2312" w:hAnsi="仿宋" w:eastAsia="仿宋_GB2312"/>
          <w:sz w:val="32"/>
          <w:szCs w:val="32"/>
        </w:rPr>
        <w:t>北京市重大项目建设指挥部办公室</w:t>
      </w:r>
      <w:r>
        <w:rPr>
          <w:rFonts w:hint="eastAsia" w:ascii="仿宋_GB2312" w:hAnsi="仿宋_GB2312" w:eastAsia="仿宋_GB2312" w:cs="仿宋_GB2312"/>
          <w:color w:val="000000"/>
          <w:kern w:val="0"/>
          <w:sz w:val="32"/>
          <w:szCs w:val="32"/>
        </w:rPr>
        <w:t>（以下简称市重大项目办）开展了</w:t>
      </w:r>
      <w:r>
        <w:rPr>
          <w:rFonts w:ascii="仿宋_GB2312" w:hAnsi="仿宋_GB2312" w:eastAsia="仿宋_GB2312" w:cs="仿宋_GB2312"/>
          <w:color w:val="000000"/>
          <w:kern w:val="0"/>
          <w:sz w:val="32"/>
          <w:szCs w:val="32"/>
        </w:rPr>
        <w:t>2023年度部门整体支出开展绩效评价，并形成</w:t>
      </w:r>
      <w:r>
        <w:rPr>
          <w:rFonts w:hint="eastAsia" w:ascii="仿宋_GB2312" w:hAnsi="仿宋_GB2312" w:eastAsia="仿宋_GB2312" w:cs="仿宋_GB2312"/>
          <w:color w:val="000000"/>
          <w:kern w:val="0"/>
          <w:sz w:val="32"/>
          <w:szCs w:val="32"/>
        </w:rPr>
        <w:t>绩效报告</w:t>
      </w:r>
      <w:r>
        <w:rPr>
          <w:rFonts w:hint="eastAsia" w:ascii="仿宋_GB2312" w:hAnsi="仿宋" w:eastAsia="仿宋_GB2312"/>
          <w:color w:val="000000"/>
          <w:sz w:val="32"/>
          <w:szCs w:val="32"/>
        </w:rPr>
        <w:t>。</w:t>
      </w:r>
    </w:p>
    <w:p>
      <w:pPr>
        <w:spacing w:line="580" w:lineRule="exact"/>
        <w:ind w:firstLine="641"/>
        <w:outlineLvl w:val="0"/>
        <w:rPr>
          <w:rFonts w:ascii="黑体" w:hAnsi="黑体" w:eastAsia="黑体" w:cs="宋体"/>
          <w:color w:val="000000"/>
          <w:kern w:val="0"/>
          <w:sz w:val="32"/>
          <w:szCs w:val="32"/>
        </w:rPr>
      </w:pPr>
      <w:bookmarkStart w:id="5" w:name="_Toc15905"/>
      <w:bookmarkStart w:id="6" w:name="_Toc23432"/>
      <w:bookmarkStart w:id="7" w:name="_Toc1226"/>
      <w:r>
        <w:rPr>
          <w:rFonts w:hint="eastAsia" w:ascii="黑体" w:hAnsi="黑体" w:eastAsia="黑体" w:cs="宋体"/>
          <w:color w:val="000000"/>
          <w:kern w:val="0"/>
          <w:sz w:val="32"/>
          <w:szCs w:val="32"/>
        </w:rPr>
        <w:t>一、部门概况</w:t>
      </w:r>
      <w:bookmarkEnd w:id="5"/>
      <w:bookmarkEnd w:id="6"/>
      <w:bookmarkEnd w:id="7"/>
    </w:p>
    <w:p>
      <w:pPr>
        <w:adjustRightInd w:val="0"/>
        <w:snapToGrid w:val="0"/>
        <w:spacing w:line="580" w:lineRule="exact"/>
        <w:ind w:firstLine="641"/>
        <w:outlineLvl w:val="1"/>
        <w:rPr>
          <w:rFonts w:ascii="楷体_GB2312" w:eastAsia="楷体_GB2312"/>
          <w:sz w:val="32"/>
          <w:szCs w:val="32"/>
        </w:rPr>
      </w:pPr>
      <w:bookmarkStart w:id="8" w:name="_Toc31930"/>
      <w:bookmarkStart w:id="9" w:name="_Toc31562"/>
      <w:bookmarkStart w:id="10" w:name="_Toc16951"/>
      <w:r>
        <w:rPr>
          <w:rFonts w:hint="eastAsia" w:ascii="楷体_GB2312" w:eastAsia="楷体_GB2312"/>
          <w:sz w:val="32"/>
          <w:szCs w:val="32"/>
        </w:rPr>
        <w:t>（一）机构设置及职责工作任务情况</w:t>
      </w:r>
      <w:bookmarkEnd w:id="8"/>
      <w:bookmarkEnd w:id="9"/>
      <w:bookmarkEnd w:id="10"/>
    </w:p>
    <w:p>
      <w:pPr>
        <w:spacing w:line="580" w:lineRule="exact"/>
        <w:ind w:firstLine="641"/>
        <w:rPr>
          <w:rFonts w:ascii="楷体_GB2312" w:eastAsia="楷体_GB2312"/>
          <w:color w:val="000000"/>
          <w:sz w:val="32"/>
          <w:szCs w:val="32"/>
        </w:rPr>
      </w:pPr>
      <w:r>
        <w:rPr>
          <w:rFonts w:hint="eastAsia" w:ascii="仿宋_GB2312" w:hAnsi="仿宋" w:eastAsia="仿宋_GB2312"/>
          <w:sz w:val="32"/>
          <w:szCs w:val="32"/>
        </w:rPr>
        <w:t>根据《关于印发北京市重大项目建设指挥部办公室主要职责内设机构和人员编制规定的通知》（京政办发〔2009〕93号）《关于同意调整北京市重大项目办建设指挥部办公室内设机构的函》（京编办行〔2010〕112号）《关于同意调整充实市重大项目办工作力量有关事项的函》（京编办行〔2016〕89号）《关于同意调整市重大项目办部分内设机构的函》（京编办行〔2020〕167号）《关于调整市住房城乡建设委和市重大项目办相关机构职责编制事项的批复》（京编办复〔2022〕123号）和《关于精减市重大项目办机关行政编制的通知》（京编办发〔2023〕108号），设立市重大项目办。内设秘书行政处、城市轨道交通建设协调一处、城市轨道交通建设协调二处、城市轨道交通建设协调三处、铁路工程建设协调处、市政设施处、安全质量处、建设项目协调处、专项工程综合处、专项工程征收协调处、专项工程建设协调处、财务预算处、人事处、机关党委14个处室。</w:t>
      </w:r>
    </w:p>
    <w:p>
      <w:pPr>
        <w:spacing w:line="580" w:lineRule="exact"/>
        <w:ind w:firstLine="641"/>
        <w:rPr>
          <w:rFonts w:ascii="仿宋" w:hAnsi="仿宋" w:eastAsia="仿宋"/>
          <w:sz w:val="32"/>
          <w:szCs w:val="32"/>
        </w:rPr>
      </w:pPr>
      <w:r>
        <w:rPr>
          <w:rFonts w:hint="eastAsia" w:ascii="仿宋_GB2312" w:hAnsi="仿宋" w:eastAsia="仿宋_GB2312"/>
          <w:sz w:val="32"/>
          <w:szCs w:val="32"/>
        </w:rPr>
        <w:t>市重大项目办为北京市重大项目建设指挥部的办事机构，承担指挥部的日常工作，是正局级临时机构。</w:t>
      </w:r>
      <w:r>
        <w:rPr>
          <w:rFonts w:hint="eastAsia" w:ascii="仿宋" w:hAnsi="仿宋" w:eastAsia="仿宋"/>
          <w:sz w:val="32"/>
          <w:szCs w:val="32"/>
        </w:rPr>
        <w:t>主要职责是：</w:t>
      </w:r>
    </w:p>
    <w:p>
      <w:pPr>
        <w:spacing w:line="580" w:lineRule="exact"/>
        <w:ind w:firstLine="641"/>
        <w:rPr>
          <w:rFonts w:ascii="仿宋_GB2312" w:hAnsi="仿宋" w:eastAsia="仿宋_GB2312"/>
          <w:sz w:val="32"/>
          <w:szCs w:val="32"/>
        </w:rPr>
      </w:pPr>
      <w:bookmarkStart w:id="11" w:name="_Toc5188"/>
      <w:bookmarkStart w:id="12" w:name="_Toc12126"/>
      <w:bookmarkStart w:id="13" w:name="_Toc1523"/>
      <w:r>
        <w:rPr>
          <w:rFonts w:hint="eastAsia" w:ascii="仿宋_GB2312" w:hAnsi="仿宋" w:eastAsia="仿宋_GB2312"/>
          <w:sz w:val="32"/>
          <w:szCs w:val="32"/>
        </w:rPr>
        <w:t>1.组织编制本市城市轨道交通工程项目和市政府交办工程项目(以下简称重大项目)建设总体计划，并督促检查计划执行情况。</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2.协调有关部门和单位推进重大项目的规划、征地、拆迁等前期工作；协调市政府有关部门按总体计划要求在项目建设各阶段加快办理各项行政审批手续。</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3.协调、解决重大项目建设中的重大问题；协调落实工程建设安全、质量、工期、功能和成本“五统一”要求；承担为建设单位及各参建单位服务的职责。</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4.协调市政府主管部门监督重大项目建设各方贯彻落实有关安全生产、工程质量、资金使用、招标与采购、合同履行等方面法律法规，落实“阳光工程”的各项要求；参与重大项目建设工程事故应急工作。</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5.参与重大项目年度资金使用计划的编制，协调、落实资金计划的执行。</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6.组织推动新技术、新材料、新设备、新工艺在重大项目建设中的应用。</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7.组织协调重大项目的竣工验收、竣工结算和决算工作。</w:t>
      </w:r>
    </w:p>
    <w:p>
      <w:pPr>
        <w:spacing w:line="580" w:lineRule="exact"/>
        <w:ind w:firstLine="641"/>
        <w:rPr>
          <w:rFonts w:ascii="仿宋_GB2312" w:hAnsi="仿宋" w:eastAsia="仿宋_GB2312"/>
          <w:sz w:val="32"/>
          <w:szCs w:val="32"/>
        </w:rPr>
      </w:pPr>
      <w:r>
        <w:rPr>
          <w:rFonts w:hint="eastAsia" w:ascii="仿宋_GB2312" w:hAnsi="仿宋" w:eastAsia="仿宋_GB2312"/>
          <w:sz w:val="32"/>
          <w:szCs w:val="32"/>
        </w:rPr>
        <w:t>8.负责重大项目建设信息的收集、整理、统计和管理工作。</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9.受委托负责中央单位在京重要建设项目的组织实施。</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10.承担北京市重大项目建设指挥部的具体工作。</w:t>
      </w:r>
      <w:r>
        <w:rPr>
          <w:rFonts w:hint="eastAsia" w:ascii="仿宋_GB2312" w:hAnsi="仿宋" w:eastAsia="仿宋_GB2312"/>
          <w:sz w:val="32"/>
          <w:szCs w:val="32"/>
        </w:rPr>
        <w:br w:type="textWrapping"/>
      </w:r>
      <w:r>
        <w:rPr>
          <w:rFonts w:hint="eastAsia" w:ascii="仿宋_GB2312" w:hAnsi="仿宋" w:eastAsia="仿宋_GB2312"/>
          <w:color w:val="000000"/>
          <w:sz w:val="32"/>
          <w:szCs w:val="32"/>
        </w:rPr>
        <w:t xml:space="preserve">    </w:t>
      </w:r>
      <w:r>
        <w:rPr>
          <w:rFonts w:hint="eastAsia" w:ascii="仿宋_GB2312" w:hAnsi="仿宋" w:eastAsia="仿宋_GB2312"/>
          <w:sz w:val="32"/>
          <w:szCs w:val="32"/>
        </w:rPr>
        <w:t>11.承办市政府交办的其他事项。</w:t>
      </w:r>
    </w:p>
    <w:p>
      <w:pPr>
        <w:spacing w:line="580" w:lineRule="exact"/>
        <w:ind w:firstLine="641"/>
        <w:rPr>
          <w:rFonts w:ascii="仿宋" w:hAnsi="仿宋" w:eastAsia="仿宋"/>
          <w:sz w:val="32"/>
          <w:szCs w:val="32"/>
        </w:rPr>
      </w:pPr>
      <w:r>
        <w:rPr>
          <w:rFonts w:hint="eastAsia" w:ascii="仿宋_GB2312" w:hAnsi="仿宋" w:eastAsia="仿宋_GB2312"/>
          <w:sz w:val="32"/>
          <w:szCs w:val="32"/>
        </w:rPr>
        <w:t>12.负责协调本市开工后铁路工程项目的建设工作；协调推进国家铁路工程项目的征地、拆迁工作，配合推进城际铁路和市郊铁路工程项目的征地、拆迁工作；协调解决在建铁路工程市政管网接引等相关问题；协调推进铁路车站、城市轨道交通车站一体化项目建设工作。</w:t>
      </w:r>
    </w:p>
    <w:p>
      <w:pPr>
        <w:adjustRightInd w:val="0"/>
        <w:snapToGrid w:val="0"/>
        <w:spacing w:line="580" w:lineRule="exact"/>
        <w:ind w:firstLine="641"/>
        <w:outlineLvl w:val="1"/>
        <w:rPr>
          <w:rFonts w:ascii="楷体_GB2312" w:eastAsia="楷体_GB2312"/>
          <w:sz w:val="32"/>
          <w:szCs w:val="32"/>
        </w:rPr>
      </w:pPr>
      <w:r>
        <w:rPr>
          <w:rFonts w:hint="eastAsia" w:ascii="楷体_GB2312" w:eastAsia="楷体_GB2312"/>
          <w:sz w:val="32"/>
          <w:szCs w:val="32"/>
        </w:rPr>
        <w:t>（二）部门整体绩效目标设立情况</w:t>
      </w:r>
      <w:bookmarkEnd w:id="11"/>
      <w:bookmarkEnd w:id="12"/>
      <w:bookmarkEnd w:id="13"/>
    </w:p>
    <w:p>
      <w:pPr>
        <w:adjustRightInd w:val="0"/>
        <w:snapToGrid w:val="0"/>
        <w:spacing w:line="580" w:lineRule="exact"/>
        <w:ind w:firstLine="641"/>
        <w:rPr>
          <w:rFonts w:ascii="仿宋_GB2312" w:hAnsi="仿宋_GB2312" w:eastAsia="仿宋_GB2312" w:cs="仿宋_GB2312"/>
          <w:sz w:val="32"/>
          <w:szCs w:val="32"/>
        </w:rPr>
      </w:pPr>
      <w:r>
        <w:rPr>
          <w:rFonts w:hint="eastAsia" w:ascii="仿宋_GB2312" w:hAnsi="仿宋_GB2312" w:eastAsia="仿宋_GB2312" w:cs="仿宋_GB2312"/>
          <w:sz w:val="32"/>
          <w:szCs w:val="32"/>
        </w:rPr>
        <w:t>市重大项目办2023年度部门整体绩效目标紧紧围绕部门职能及2023年度重点工作任务设置，目标设置与部门职责履行、年度工作任务相符，绩效目标内容设置合理，分项指标设置全面、细致，绩效目标的设置有力保证了年度履职任务的完成，为年度工作方向做出指引。具体设立情况如下：</w:t>
      </w:r>
    </w:p>
    <w:p>
      <w:pPr>
        <w:adjustRightInd w:val="0"/>
        <w:snapToGrid w:val="0"/>
        <w:spacing w:line="580" w:lineRule="exact"/>
        <w:ind w:firstLine="641"/>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整体绩效目标设立</w:t>
      </w:r>
      <w:r>
        <w:rPr>
          <w:rFonts w:ascii="仿宋_GB2312" w:hAnsi="仿宋_GB2312" w:eastAsia="仿宋_GB2312" w:cs="仿宋_GB2312"/>
          <w:sz w:val="32"/>
          <w:szCs w:val="32"/>
        </w:rPr>
        <w:t>情况</w:t>
      </w:r>
    </w:p>
    <w:p>
      <w:pPr>
        <w:adjustRightInd w:val="0"/>
        <w:snapToGrid w:val="0"/>
        <w:spacing w:line="580" w:lineRule="exact"/>
        <w:ind w:firstLine="641"/>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2023年，</w:t>
      </w:r>
      <w:r>
        <w:rPr>
          <w:rFonts w:hint="eastAsia" w:ascii="仿宋_GB2312" w:hAnsi="仿宋_GB2312" w:eastAsia="仿宋_GB2312" w:cs="仿宋_GB2312"/>
          <w:color w:val="000000"/>
          <w:kern w:val="0"/>
          <w:sz w:val="32"/>
          <w:szCs w:val="32"/>
          <w:lang w:eastAsia="zh-CN"/>
        </w:rPr>
        <w:t>市重大项目办</w:t>
      </w:r>
      <w:r>
        <w:rPr>
          <w:rFonts w:hint="eastAsia" w:ascii="仿宋_GB2312" w:hAnsi="仿宋_GB2312" w:eastAsia="仿宋_GB2312" w:cs="仿宋_GB2312"/>
          <w:color w:val="000000"/>
          <w:kern w:val="0"/>
          <w:sz w:val="32"/>
          <w:szCs w:val="32"/>
        </w:rPr>
        <w:t>坚持以习近平新时代中国特色社会主义思想为指导，全面贯彻党的二十大精神，深入贯彻习近平总书记对北京一系列重要讲话精神，在市委市政府的坚强领导下，承担北京市重大项目建设指挥部的具体工作，负责组织编制北京市城市轨道交通工程项目和市政府交办的工程项目的建设总体计划，负责协调解决重大项目建设中的重大问题，加快推进轨道交通、在京铁路、京西生态园、重大活动应急场所等重大项目建设任务，为北京市重点项目建设任务落实提供保障，全力推动新时代首都发展。</w:t>
      </w:r>
    </w:p>
    <w:p>
      <w:pPr>
        <w:adjustRightInd w:val="0"/>
        <w:snapToGrid w:val="0"/>
        <w:spacing w:line="580" w:lineRule="exact"/>
        <w:ind w:firstLine="641"/>
        <w:rPr>
          <w:rFonts w:ascii="仿宋_GB2312" w:hAnsi="仿宋_GB2312" w:eastAsia="仿宋_GB2312" w:cs="仿宋_GB2312"/>
          <w:sz w:val="32"/>
          <w:szCs w:val="32"/>
        </w:rPr>
      </w:pPr>
      <w:r>
        <w:rPr>
          <w:rFonts w:hint="eastAsia" w:ascii="仿宋_GB2312" w:hAnsi="仿宋_GB2312" w:eastAsia="仿宋_GB2312" w:cs="仿宋_GB2312"/>
          <w:sz w:val="32"/>
          <w:szCs w:val="32"/>
        </w:rPr>
        <w:t>2.分项绩效目标设立情况</w:t>
      </w:r>
    </w:p>
    <w:tbl>
      <w:tblPr>
        <w:tblStyle w:val="12"/>
        <w:tblW w:w="8302" w:type="dxa"/>
        <w:tblInd w:w="91" w:type="dxa"/>
        <w:tblLayout w:type="fixed"/>
        <w:tblCellMar>
          <w:top w:w="0" w:type="dxa"/>
          <w:left w:w="108" w:type="dxa"/>
          <w:bottom w:w="0" w:type="dxa"/>
          <w:right w:w="108" w:type="dxa"/>
        </w:tblCellMar>
      </w:tblPr>
      <w:tblGrid>
        <w:gridCol w:w="4119"/>
        <w:gridCol w:w="1335"/>
        <w:gridCol w:w="1395"/>
        <w:gridCol w:w="1453"/>
      </w:tblGrid>
      <w:tr>
        <w:tblPrEx>
          <w:tblCellMar>
            <w:top w:w="0" w:type="dxa"/>
            <w:left w:w="108" w:type="dxa"/>
            <w:bottom w:w="0" w:type="dxa"/>
            <w:right w:w="108" w:type="dxa"/>
          </w:tblCellMar>
        </w:tblPrEx>
        <w:trPr>
          <w:trHeight w:val="652" w:hRule="atLeast"/>
          <w:tblHeader/>
        </w:trPr>
        <w:tc>
          <w:tcPr>
            <w:tcW w:w="4119" w:type="dxa"/>
            <w:tcBorders>
              <w:top w:val="single" w:color="C0C0C0" w:sz="8" w:space="0"/>
              <w:left w:val="single" w:color="C0C0C0" w:sz="8" w:space="0"/>
              <w:bottom w:val="single" w:color="C0C0C0" w:sz="8" w:space="0"/>
              <w:right w:val="single" w:color="C0C0C0" w:sz="8" w:space="0"/>
            </w:tcBorders>
            <w:shd w:val="clear" w:color="auto" w:fill="D9D9D9"/>
            <w:vAlign w:val="center"/>
          </w:tcPr>
          <w:p>
            <w:pPr>
              <w:widowControl/>
              <w:jc w:val="center"/>
              <w:textAlignment w:val="center"/>
              <w:rPr>
                <w:rFonts w:ascii="宋体" w:hAnsi="宋体" w:cs="宋体"/>
                <w:b/>
                <w:bCs/>
                <w:color w:val="000000"/>
                <w:sz w:val="20"/>
                <w:szCs w:val="20"/>
              </w:rPr>
            </w:pPr>
            <w:bookmarkStart w:id="14" w:name="_Toc1750"/>
            <w:bookmarkStart w:id="15" w:name="_Toc11943"/>
            <w:bookmarkStart w:id="16" w:name="_Toc19643"/>
            <w:r>
              <w:rPr>
                <w:rFonts w:hint="eastAsia" w:ascii="宋体" w:hAnsi="宋体" w:cs="宋体"/>
                <w:b/>
                <w:bCs/>
                <w:color w:val="000000"/>
                <w:kern w:val="0"/>
                <w:sz w:val="20"/>
                <w:szCs w:val="20"/>
                <w:lang w:bidi="ar"/>
              </w:rPr>
              <w:t>绩效指标</w:t>
            </w:r>
          </w:p>
        </w:tc>
        <w:tc>
          <w:tcPr>
            <w:tcW w:w="1335" w:type="dxa"/>
            <w:tcBorders>
              <w:top w:val="single" w:color="C0C0C0" w:sz="8" w:space="0"/>
              <w:left w:val="nil"/>
              <w:bottom w:val="single" w:color="C0C0C0" w:sz="8" w:space="0"/>
              <w:right w:val="single" w:color="C0C0C0" w:sz="8" w:space="0"/>
            </w:tcBorders>
            <w:shd w:val="clear" w:color="auto" w:fill="D9D9D9"/>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指标性质</w:t>
            </w:r>
          </w:p>
        </w:tc>
        <w:tc>
          <w:tcPr>
            <w:tcW w:w="1395" w:type="dxa"/>
            <w:tcBorders>
              <w:top w:val="single" w:color="C0C0C0" w:sz="8" w:space="0"/>
              <w:left w:val="nil"/>
              <w:bottom w:val="single" w:color="C0C0C0" w:sz="8" w:space="0"/>
              <w:right w:val="single" w:color="C0C0C0" w:sz="8" w:space="0"/>
            </w:tcBorders>
            <w:shd w:val="clear" w:color="auto" w:fill="D9D9D9"/>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指标值</w:t>
            </w:r>
          </w:p>
        </w:tc>
        <w:tc>
          <w:tcPr>
            <w:tcW w:w="1453" w:type="dxa"/>
            <w:tcBorders>
              <w:top w:val="single" w:color="C0C0C0" w:sz="8" w:space="0"/>
              <w:left w:val="nil"/>
              <w:bottom w:val="single" w:color="C0C0C0" w:sz="8" w:space="0"/>
              <w:right w:val="single" w:color="C0C0C0" w:sz="8" w:space="0"/>
            </w:tcBorders>
            <w:shd w:val="clear" w:color="auto" w:fill="D9D9D9"/>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度量单位</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产出指标数量指标运维网络终端设备数量</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165</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台</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产出指标数量指标运维计算机外设设备数量</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73</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台</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产出指标数量指标对应用系统以及系统的云主机、操作系统、数据库等，进行漏洞扫描</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次</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产出指标数量指标对计算机终端及网络设备进行保密安全检测</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次</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产出指标数量指标用于中央及市委市政府确定的新增、临时、紧急事项次数</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次</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产出指标数量指标因公出国（境）次数</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次</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产出指标质量指标产生法律纠纷次数</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次</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产出指标数量指标因公出国（境）天数</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天</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产出指标数量指标运维电子档案管理系统和政务综合办公服务平台数量</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套</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满意度指标服务对象满意度指标单位各处室工作人员满意度</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产出指标质量指标重大信息错误率</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产出指标质量指标运维验收合格率</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产出指标质量指标基础信息准确率</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98</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产出指标质量指标故障排除率</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产出指标时效指标系统运行维护响应率</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产出指标数量指标除合同外法律咨询时长</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48</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小时</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产出指标时效指标系统故障修复处理时间</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小时</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产出指标数量指标保障日常办公人员用餐</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102</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人</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产出指标数量指标保障技术保障人员用餐</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人</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产出指标数量指标保障参会人员午餐</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人</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产出指标数量指标因公出国（境）人数</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人</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产出指标数量指标互联网IP地址数量</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个</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产出指标数量指标对上年所有预算项目开展绩效评价</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个</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产出指标数量指标对当年预算项目开展绩效运行监控</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个</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产出指标数量指标审核绩效目标申报表</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个</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产出指标数量指标处理政务咨询数量</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条</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产出指标数量指标在微信公众平台发布信息数量</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条</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产出指标数量指标在门户网站发布信息数量</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200</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条</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产出指标数量指标绩效评价、绩效运行监控和成本预算绩效分析报告</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份</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产出指标数量指标审核合同数量</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份</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产出指标数量指标门户网站运行情况报告</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份</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产出指标数量指标印制北京市城市轨道交通建设计划册</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190</w:t>
            </w:r>
          </w:p>
        </w:tc>
        <w:tc>
          <w:tcPr>
            <w:tcW w:w="1453"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本</w:t>
            </w: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产出指标质量指标圆满完成中央及市委市政府确定的新增、临时、紧急事项</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453" w:type="dxa"/>
            <w:tcBorders>
              <w:top w:val="nil"/>
              <w:left w:val="nil"/>
              <w:bottom w:val="single" w:color="C0C0C0" w:sz="8" w:space="0"/>
              <w:right w:val="single" w:color="C0C0C0" w:sz="8" w:space="0"/>
            </w:tcBorders>
            <w:shd w:val="clear" w:color="auto" w:fill="FFFFFF"/>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产出指标质量指标因公出国调研计划符合市外办要求</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453" w:type="dxa"/>
            <w:tcBorders>
              <w:top w:val="nil"/>
              <w:left w:val="nil"/>
              <w:bottom w:val="single" w:color="C0C0C0" w:sz="8" w:space="0"/>
              <w:right w:val="single" w:color="C0C0C0" w:sz="8" w:space="0"/>
            </w:tcBorders>
            <w:shd w:val="clear" w:color="auto" w:fill="FFFFFF"/>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产出指标质量指标食堂菜品质量和服务满足用餐人员需求</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453" w:type="dxa"/>
            <w:tcBorders>
              <w:top w:val="nil"/>
              <w:left w:val="nil"/>
              <w:bottom w:val="single" w:color="C0C0C0" w:sz="8" w:space="0"/>
              <w:right w:val="single" w:color="C0C0C0" w:sz="8" w:space="0"/>
            </w:tcBorders>
            <w:shd w:val="clear" w:color="auto" w:fill="FFFFFF"/>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产出指标质量指标计划册纸张质量符合单位要求</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453" w:type="dxa"/>
            <w:tcBorders>
              <w:top w:val="nil"/>
              <w:left w:val="nil"/>
              <w:bottom w:val="single" w:color="C0C0C0" w:sz="8" w:space="0"/>
              <w:right w:val="single" w:color="C0C0C0" w:sz="8" w:space="0"/>
            </w:tcBorders>
            <w:shd w:val="clear" w:color="auto" w:fill="FFFFFF"/>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产出指标质量指标符合北京市财政局预算绩效管理、绩效评价等相关工作要求</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453" w:type="dxa"/>
            <w:tcBorders>
              <w:top w:val="nil"/>
              <w:left w:val="nil"/>
              <w:bottom w:val="single" w:color="C0C0C0" w:sz="8" w:space="0"/>
              <w:right w:val="single" w:color="C0C0C0" w:sz="8" w:space="0"/>
            </w:tcBorders>
            <w:shd w:val="clear" w:color="auto" w:fill="FFFFFF"/>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产出指标质量指标保障办公人员所需各项经费</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453" w:type="dxa"/>
            <w:tcBorders>
              <w:top w:val="nil"/>
              <w:left w:val="nil"/>
              <w:bottom w:val="single" w:color="C0C0C0" w:sz="8" w:space="0"/>
              <w:right w:val="single" w:color="C0C0C0" w:sz="8" w:space="0"/>
            </w:tcBorders>
            <w:shd w:val="clear" w:color="auto" w:fill="FFFFFF"/>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产出指标时效指标符合北京市财政局预算绩效相关工作报送时间要求</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453" w:type="dxa"/>
            <w:tcBorders>
              <w:top w:val="nil"/>
              <w:left w:val="nil"/>
              <w:bottom w:val="single" w:color="C0C0C0" w:sz="8" w:space="0"/>
              <w:right w:val="single" w:color="C0C0C0" w:sz="8" w:space="0"/>
            </w:tcBorders>
            <w:shd w:val="clear" w:color="auto" w:fill="FFFFFF"/>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5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产出指标时效指标2023年12月底前完成</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453" w:type="dxa"/>
            <w:tcBorders>
              <w:top w:val="nil"/>
              <w:left w:val="nil"/>
              <w:bottom w:val="single" w:color="C0C0C0" w:sz="8" w:space="0"/>
              <w:right w:val="single" w:color="C0C0C0" w:sz="8" w:space="0"/>
            </w:tcBorders>
            <w:shd w:val="clear" w:color="auto" w:fill="FFFFFF"/>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113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效益指标社会效益指标提高部门预算绩效管理水平，发挥财政资金最大效益；保障单位经济行为的合法性，维护单位的合法权益，避免法律纠纷。</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453" w:type="dxa"/>
            <w:tcBorders>
              <w:top w:val="nil"/>
              <w:left w:val="nil"/>
              <w:bottom w:val="single" w:color="C0C0C0" w:sz="8" w:space="0"/>
              <w:right w:val="single" w:color="C0C0C0" w:sz="8" w:space="0"/>
            </w:tcBorders>
            <w:shd w:val="clear" w:color="auto" w:fill="FFFFFF"/>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113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效益指标社会效益指标促进各区各部门完成年度建设及投资任务，使轨道交通前期规划编制更加科学，进一步提高轨道交通建设管理工作。</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453" w:type="dxa"/>
            <w:tcBorders>
              <w:top w:val="nil"/>
              <w:left w:val="nil"/>
              <w:bottom w:val="single" w:color="C0C0C0" w:sz="8" w:space="0"/>
              <w:right w:val="single" w:color="C0C0C0" w:sz="8" w:space="0"/>
            </w:tcBorders>
            <w:shd w:val="clear" w:color="auto" w:fill="FFFFFF"/>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113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效益指标社会效益指标保障单位信息化设备和系统平台正常运转，提高档案管理水平及电子档案数据全面利用，减少使用原始档案的频率，保障行政办公效率。</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453" w:type="dxa"/>
            <w:tcBorders>
              <w:top w:val="nil"/>
              <w:left w:val="nil"/>
              <w:bottom w:val="single" w:color="C0C0C0" w:sz="8" w:space="0"/>
              <w:right w:val="single" w:color="C0C0C0" w:sz="8" w:space="0"/>
            </w:tcBorders>
            <w:shd w:val="clear" w:color="auto" w:fill="FFFFFF"/>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1134" w:hRule="atLeast"/>
        </w:trPr>
        <w:tc>
          <w:tcPr>
            <w:tcW w:w="4119" w:type="dxa"/>
            <w:tcBorders>
              <w:top w:val="nil"/>
              <w:left w:val="single" w:color="C0C0C0" w:sz="8" w:space="0"/>
              <w:bottom w:val="single" w:color="C0C0C0" w:sz="8" w:space="0"/>
              <w:right w:val="single" w:color="C0C0C0" w:sz="8"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效益指标社会效益指标保障单位网站稳定运行，及时发布重大项目建设信息，让社会公众及时了解重大项目进展情况。</w:t>
            </w:r>
          </w:p>
        </w:tc>
        <w:tc>
          <w:tcPr>
            <w:tcW w:w="133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395" w:type="dxa"/>
            <w:tcBorders>
              <w:top w:val="nil"/>
              <w:left w:val="nil"/>
              <w:bottom w:val="single" w:color="C0C0C0" w:sz="8" w:space="0"/>
              <w:right w:val="single" w:color="C0C0C0" w:sz="8" w:space="0"/>
            </w:tcBorders>
            <w:shd w:val="clear" w:color="auto" w:fill="FFFFFF"/>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453" w:type="dxa"/>
            <w:tcBorders>
              <w:top w:val="nil"/>
              <w:left w:val="nil"/>
              <w:bottom w:val="single" w:color="C0C0C0" w:sz="8" w:space="0"/>
              <w:right w:val="single" w:color="C0C0C0" w:sz="8" w:space="0"/>
            </w:tcBorders>
            <w:shd w:val="clear" w:color="auto" w:fill="FFFFFF"/>
            <w:noWrap/>
            <w:vAlign w:val="center"/>
          </w:tcPr>
          <w:p>
            <w:pPr>
              <w:rPr>
                <w:rFonts w:ascii="宋体" w:hAnsi="宋体" w:cs="宋体"/>
                <w:color w:val="000000"/>
                <w:sz w:val="20"/>
                <w:szCs w:val="20"/>
              </w:rPr>
            </w:pPr>
          </w:p>
        </w:tc>
      </w:tr>
    </w:tbl>
    <w:p>
      <w:pPr>
        <w:adjustRightInd w:val="0"/>
        <w:snapToGrid w:val="0"/>
        <w:spacing w:line="580" w:lineRule="exact"/>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二、当年预算执行情况</w:t>
      </w:r>
      <w:bookmarkEnd w:id="14"/>
      <w:bookmarkEnd w:id="15"/>
      <w:bookmarkEnd w:id="16"/>
    </w:p>
    <w:p>
      <w:pPr>
        <w:adjustRightInd w:val="0"/>
        <w:snapToGrid w:val="0"/>
        <w:spacing w:line="580" w:lineRule="exact"/>
        <w:ind w:firstLine="640" w:firstLineChars="200"/>
        <w:outlineLvl w:val="0"/>
        <w:rPr>
          <w:rFonts w:ascii="仿宋_GB2312" w:hAnsi="仿宋_GB2312" w:eastAsia="仿宋_GB2312" w:cs="仿宋_GB2312"/>
          <w:color w:val="000000"/>
          <w:kern w:val="0"/>
          <w:sz w:val="32"/>
          <w:szCs w:val="32"/>
        </w:rPr>
      </w:pPr>
      <w:bookmarkStart w:id="17" w:name="_Toc16948"/>
      <w:bookmarkStart w:id="18" w:name="_Toc24817"/>
      <w:bookmarkStart w:id="19" w:name="_Toc5295"/>
      <w:r>
        <w:rPr>
          <w:rFonts w:hint="eastAsia" w:ascii="仿宋_GB2312" w:hAnsi="仿宋_GB2312" w:eastAsia="仿宋_GB2312" w:cs="仿宋_GB2312"/>
          <w:color w:val="000000"/>
          <w:kern w:val="0"/>
          <w:sz w:val="32"/>
          <w:szCs w:val="32"/>
        </w:rPr>
        <w:t>2023年全年预算数42,425.06万元，其中，基本支出预算数3,551.98万元，项目支出预算数8,921.86万元，其他支出预算数29,951.22万元。资金总体支出42,315.95万元，其中，基本支出3,454.27万元，项目支出8,910.46万元，其他支出29,951.22万元。预算执行率为99.13%。</w:t>
      </w:r>
    </w:p>
    <w:p>
      <w:pPr>
        <w:adjustRightInd w:val="0"/>
        <w:snapToGrid w:val="0"/>
        <w:spacing w:line="580" w:lineRule="exact"/>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三、整体绩效目标实现情况</w:t>
      </w:r>
      <w:bookmarkEnd w:id="17"/>
      <w:bookmarkEnd w:id="18"/>
      <w:bookmarkEnd w:id="19"/>
    </w:p>
    <w:p>
      <w:pPr>
        <w:adjustRightInd w:val="0"/>
        <w:snapToGrid w:val="0"/>
        <w:spacing w:line="580" w:lineRule="exact"/>
        <w:ind w:firstLine="640" w:firstLineChars="200"/>
        <w:outlineLvl w:val="1"/>
        <w:rPr>
          <w:rFonts w:ascii="楷体_GB2312" w:eastAsia="楷体_GB2312"/>
          <w:sz w:val="32"/>
          <w:szCs w:val="32"/>
        </w:rPr>
      </w:pPr>
      <w:bookmarkStart w:id="20" w:name="_Toc12604"/>
      <w:bookmarkStart w:id="21" w:name="_Toc29080"/>
      <w:bookmarkStart w:id="22" w:name="_Toc23288"/>
      <w:r>
        <w:rPr>
          <w:rFonts w:hint="eastAsia" w:ascii="楷体_GB2312" w:eastAsia="楷体_GB2312"/>
          <w:sz w:val="32"/>
          <w:szCs w:val="32"/>
        </w:rPr>
        <w:t>（一）产出完成情况分析</w:t>
      </w:r>
      <w:bookmarkEnd w:id="20"/>
      <w:bookmarkEnd w:id="21"/>
      <w:bookmarkEnd w:id="22"/>
    </w:p>
    <w:p>
      <w:pPr>
        <w:adjustRightInd w:val="0"/>
        <w:snapToGrid w:val="0"/>
        <w:spacing w:line="58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2023年，在市委市政府的坚强领导下，在指挥部的直接指挥下，以深入开展主题教育和市委巡视为契机，凝心聚力、主动作为，攻坚克难、狠抓落实，紧紧围绕新时代首都发展工作大局，全面高效地完成本市轨道交通、在京铁路、工人体育场改造复建、昌平怀柔和中关村项目、大红门博物馆群一期等重大项目的年度建设任务。产出的具体完成情况如下：</w:t>
      </w:r>
    </w:p>
    <w:tbl>
      <w:tblPr>
        <w:tblStyle w:val="12"/>
        <w:tblW w:w="9343" w:type="dxa"/>
        <w:jc w:val="center"/>
        <w:tblLayout w:type="fixed"/>
        <w:tblCellMar>
          <w:top w:w="0" w:type="dxa"/>
          <w:left w:w="108" w:type="dxa"/>
          <w:bottom w:w="0" w:type="dxa"/>
          <w:right w:w="108" w:type="dxa"/>
        </w:tblCellMar>
      </w:tblPr>
      <w:tblGrid>
        <w:gridCol w:w="2764"/>
        <w:gridCol w:w="855"/>
        <w:gridCol w:w="1031"/>
        <w:gridCol w:w="784"/>
        <w:gridCol w:w="2137"/>
        <w:gridCol w:w="1772"/>
      </w:tblGrid>
      <w:tr>
        <w:tblPrEx>
          <w:tblCellMar>
            <w:top w:w="0" w:type="dxa"/>
            <w:left w:w="108" w:type="dxa"/>
            <w:bottom w:w="0" w:type="dxa"/>
            <w:right w:w="108" w:type="dxa"/>
          </w:tblCellMar>
        </w:tblPrEx>
        <w:trPr>
          <w:trHeight w:val="238" w:hRule="atLeast"/>
          <w:tblHeader/>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jc w:val="center"/>
              <w:textAlignment w:val="center"/>
              <w:rPr>
                <w:rFonts w:ascii="宋体" w:hAnsi="宋体" w:cs="宋体"/>
                <w:b/>
                <w:bCs/>
                <w:color w:val="000000"/>
                <w:sz w:val="20"/>
                <w:szCs w:val="20"/>
              </w:rPr>
            </w:pPr>
            <w:bookmarkStart w:id="23" w:name="_Toc25864"/>
            <w:bookmarkStart w:id="24" w:name="_Toc770"/>
            <w:bookmarkStart w:id="25" w:name="_Toc16259"/>
            <w:r>
              <w:rPr>
                <w:rFonts w:hint="eastAsia" w:ascii="宋体" w:hAnsi="宋体" w:cs="宋体"/>
                <w:b/>
                <w:bCs/>
                <w:color w:val="000000"/>
                <w:kern w:val="0"/>
                <w:sz w:val="20"/>
                <w:szCs w:val="20"/>
                <w:lang w:bidi="ar"/>
              </w:rPr>
              <w:t>绩效指标</w:t>
            </w:r>
          </w:p>
        </w:tc>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jc w:val="center"/>
              <w:textAlignment w:val="center"/>
              <w:rPr>
                <w:rFonts w:ascii="宋体" w:hAnsi="宋体" w:cs="宋体"/>
                <w:b/>
                <w:bCs/>
                <w:color w:val="000000"/>
                <w:kern w:val="0"/>
                <w:sz w:val="20"/>
                <w:szCs w:val="20"/>
                <w:lang w:bidi="ar"/>
              </w:rPr>
            </w:pPr>
            <w:r>
              <w:rPr>
                <w:rFonts w:hint="eastAsia" w:ascii="宋体" w:hAnsi="宋体" w:cs="宋体"/>
                <w:b/>
                <w:bCs/>
                <w:color w:val="000000"/>
                <w:kern w:val="0"/>
                <w:sz w:val="20"/>
                <w:szCs w:val="20"/>
                <w:lang w:bidi="ar"/>
              </w:rPr>
              <w:t>指标</w:t>
            </w:r>
          </w:p>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性质</w:t>
            </w:r>
          </w:p>
        </w:tc>
        <w:tc>
          <w:tcPr>
            <w:tcW w:w="1031"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指标值</w:t>
            </w:r>
          </w:p>
        </w:tc>
        <w:tc>
          <w:tcPr>
            <w:tcW w:w="784"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度量单位</w:t>
            </w:r>
          </w:p>
        </w:tc>
        <w:tc>
          <w:tcPr>
            <w:tcW w:w="2137"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完成情况</w:t>
            </w:r>
          </w:p>
        </w:tc>
        <w:tc>
          <w:tcPr>
            <w:tcW w:w="1772"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备注</w:t>
            </w:r>
          </w:p>
        </w:tc>
      </w:tr>
      <w:tr>
        <w:tblPrEx>
          <w:tblCellMar>
            <w:top w:w="0" w:type="dxa"/>
            <w:left w:w="108" w:type="dxa"/>
            <w:bottom w:w="0" w:type="dxa"/>
            <w:right w:w="108" w:type="dxa"/>
          </w:tblCellMar>
        </w:tblPrEx>
        <w:trPr>
          <w:trHeight w:val="86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产出指标数量指标运维网络终端设备数量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165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台</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165台</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计算机终端及网络运维费</w:t>
            </w:r>
          </w:p>
        </w:tc>
      </w:tr>
      <w:tr>
        <w:tblPrEx>
          <w:tblCellMar>
            <w:top w:w="0" w:type="dxa"/>
            <w:left w:w="108" w:type="dxa"/>
            <w:bottom w:w="0" w:type="dxa"/>
            <w:right w:w="108" w:type="dxa"/>
          </w:tblCellMar>
        </w:tblPrEx>
        <w:trPr>
          <w:trHeight w:val="725"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产出指标数量指标运维计算机外设设备数量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台</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73台</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计算机终端及网络运维费</w:t>
            </w:r>
          </w:p>
        </w:tc>
      </w:tr>
      <w:tr>
        <w:tblPrEx>
          <w:tblCellMar>
            <w:top w:w="0" w:type="dxa"/>
            <w:left w:w="108" w:type="dxa"/>
            <w:bottom w:w="0" w:type="dxa"/>
            <w:right w:w="108" w:type="dxa"/>
          </w:tblCellMar>
        </w:tblPrEx>
        <w:trPr>
          <w:trHeight w:val="955"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产出指标数量指标对应用系统以及系统的云主机、操作系统、数据库等，进行漏洞扫描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次</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2次</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计算机终端及网络运维费</w:t>
            </w:r>
          </w:p>
        </w:tc>
      </w:tr>
      <w:tr>
        <w:tblPrEx>
          <w:tblCellMar>
            <w:top w:w="0" w:type="dxa"/>
            <w:left w:w="108" w:type="dxa"/>
            <w:bottom w:w="0" w:type="dxa"/>
            <w:right w:w="108" w:type="dxa"/>
          </w:tblCellMar>
        </w:tblPrEx>
        <w:trPr>
          <w:trHeight w:val="89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产出指标数量指标对计算机终端及网络设备进行保密安全检测</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次</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1次</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计算机终端及网络运维费</w:t>
            </w:r>
          </w:p>
        </w:tc>
      </w:tr>
      <w:tr>
        <w:tblPrEx>
          <w:tblCellMar>
            <w:top w:w="0" w:type="dxa"/>
            <w:left w:w="108" w:type="dxa"/>
            <w:bottom w:w="0" w:type="dxa"/>
            <w:right w:w="108" w:type="dxa"/>
          </w:tblCellMar>
        </w:tblPrEx>
        <w:trPr>
          <w:trHeight w:val="64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产出指标数量指标用于中央及市委市政府确定的新增、临时、紧急事项次数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次</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1次</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机动经费</w:t>
            </w:r>
          </w:p>
        </w:tc>
      </w:tr>
      <w:tr>
        <w:tblPrEx>
          <w:tblCellMar>
            <w:top w:w="0" w:type="dxa"/>
            <w:left w:w="108" w:type="dxa"/>
            <w:bottom w:w="0" w:type="dxa"/>
            <w:right w:w="108" w:type="dxa"/>
          </w:tblCellMar>
        </w:tblPrEx>
        <w:trPr>
          <w:trHeight w:val="575"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产出指标数量指标因公出国（境）次数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次</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0次</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外事项目</w:t>
            </w:r>
          </w:p>
        </w:tc>
      </w:tr>
      <w:tr>
        <w:tblPrEx>
          <w:tblCellMar>
            <w:top w:w="0" w:type="dxa"/>
            <w:left w:w="108" w:type="dxa"/>
            <w:bottom w:w="0" w:type="dxa"/>
            <w:right w:w="108" w:type="dxa"/>
          </w:tblCellMar>
        </w:tblPrEx>
        <w:trPr>
          <w:trHeight w:val="50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产出指标数量指标因公出国（境）天数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天</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0天</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外事项目</w:t>
            </w:r>
          </w:p>
        </w:tc>
      </w:tr>
      <w:tr>
        <w:tblPrEx>
          <w:tblCellMar>
            <w:top w:w="0" w:type="dxa"/>
            <w:left w:w="108" w:type="dxa"/>
            <w:bottom w:w="0" w:type="dxa"/>
            <w:right w:w="108" w:type="dxa"/>
          </w:tblCellMar>
        </w:tblPrEx>
        <w:trPr>
          <w:trHeight w:val="143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产出指标数量指标运维电子档案管理系统和政务综合办公服务平台数量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套</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2套</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1.电子档案管理系统平台运维费</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2.政务综合办公服务平台运维费</w:t>
            </w:r>
          </w:p>
        </w:tc>
      </w:tr>
      <w:tr>
        <w:tblPrEx>
          <w:tblCellMar>
            <w:top w:w="0" w:type="dxa"/>
            <w:left w:w="108" w:type="dxa"/>
            <w:bottom w:w="0" w:type="dxa"/>
            <w:right w:w="108" w:type="dxa"/>
          </w:tblCellMar>
        </w:tblPrEx>
        <w:trPr>
          <w:trHeight w:val="80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产出指标数量指标除合同外法律咨询时长</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小时</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75.2小时</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法律顾问咨询工作经费</w:t>
            </w:r>
          </w:p>
        </w:tc>
      </w:tr>
      <w:tr>
        <w:tblPrEx>
          <w:tblCellMar>
            <w:top w:w="0" w:type="dxa"/>
            <w:left w:w="108" w:type="dxa"/>
            <w:bottom w:w="0" w:type="dxa"/>
            <w:right w:w="108" w:type="dxa"/>
          </w:tblCellMar>
        </w:tblPrEx>
        <w:trPr>
          <w:trHeight w:val="77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产出指标数量指标保障日常办公人员用餐</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人</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88人</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后勤保障管理经费</w:t>
            </w:r>
          </w:p>
        </w:tc>
      </w:tr>
      <w:tr>
        <w:tblPrEx>
          <w:tblCellMar>
            <w:top w:w="0" w:type="dxa"/>
            <w:left w:w="108" w:type="dxa"/>
            <w:bottom w:w="0" w:type="dxa"/>
            <w:right w:w="108" w:type="dxa"/>
          </w:tblCellMar>
        </w:tblPrEx>
        <w:trPr>
          <w:trHeight w:val="74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产出指标数量指标保障技术保障人员用餐</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人</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1人</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后勤保障管理经费</w:t>
            </w:r>
          </w:p>
        </w:tc>
      </w:tr>
      <w:tr>
        <w:tblPrEx>
          <w:tblCellMar>
            <w:top w:w="0" w:type="dxa"/>
            <w:left w:w="108" w:type="dxa"/>
            <w:bottom w:w="0" w:type="dxa"/>
            <w:right w:w="108" w:type="dxa"/>
          </w:tblCellMar>
        </w:tblPrEx>
        <w:trPr>
          <w:trHeight w:val="68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产出指标数量指标保障参会人员午餐</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10人*252天</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人</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kern w:val="0"/>
                <w:sz w:val="20"/>
                <w:szCs w:val="20"/>
                <w:lang w:bidi="ar"/>
              </w:rPr>
              <w:t>194人次</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后勤保障管理经费</w:t>
            </w:r>
          </w:p>
        </w:tc>
      </w:tr>
      <w:tr>
        <w:tblPrEx>
          <w:tblCellMar>
            <w:top w:w="0" w:type="dxa"/>
            <w:left w:w="108" w:type="dxa"/>
            <w:bottom w:w="0" w:type="dxa"/>
            <w:right w:w="108" w:type="dxa"/>
          </w:tblCellMar>
        </w:tblPrEx>
        <w:trPr>
          <w:trHeight w:val="785"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产出指标数量指标因公出国（境）人数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人</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0人</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外事项目</w:t>
            </w:r>
          </w:p>
        </w:tc>
      </w:tr>
      <w:tr>
        <w:tblPrEx>
          <w:tblCellMar>
            <w:top w:w="0" w:type="dxa"/>
            <w:left w:w="108" w:type="dxa"/>
            <w:bottom w:w="0" w:type="dxa"/>
            <w:right w:w="108" w:type="dxa"/>
          </w:tblCellMar>
        </w:tblPrEx>
        <w:trPr>
          <w:trHeight w:val="665"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产出指标数量指标互联网IP地址数量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个</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门户网站运维费</w:t>
            </w:r>
          </w:p>
        </w:tc>
      </w:tr>
      <w:tr>
        <w:tblPrEx>
          <w:tblCellMar>
            <w:top w:w="0" w:type="dxa"/>
            <w:left w:w="108" w:type="dxa"/>
            <w:bottom w:w="0" w:type="dxa"/>
            <w:right w:w="108" w:type="dxa"/>
          </w:tblCellMar>
        </w:tblPrEx>
        <w:trPr>
          <w:trHeight w:val="725"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产出指标数量指标对上年所有预算项目开展绩效评价</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个</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19个</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部门预算绩效管理工作经费</w:t>
            </w:r>
          </w:p>
        </w:tc>
      </w:tr>
      <w:tr>
        <w:tblPrEx>
          <w:tblCellMar>
            <w:top w:w="0" w:type="dxa"/>
            <w:left w:w="108" w:type="dxa"/>
            <w:bottom w:w="0" w:type="dxa"/>
            <w:right w:w="108" w:type="dxa"/>
          </w:tblCellMar>
        </w:tblPrEx>
        <w:trPr>
          <w:trHeight w:val="120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产出指标数量指标对当年预算项目开展绩效运行监控</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个</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14个</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部门预算绩效管理工作经费</w:t>
            </w:r>
          </w:p>
        </w:tc>
      </w:tr>
      <w:tr>
        <w:tblPrEx>
          <w:tblCellMar>
            <w:top w:w="0" w:type="dxa"/>
            <w:left w:w="108" w:type="dxa"/>
            <w:bottom w:w="0" w:type="dxa"/>
            <w:right w:w="108" w:type="dxa"/>
          </w:tblCellMar>
        </w:tblPrEx>
        <w:trPr>
          <w:trHeight w:val="96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产出指标数量指标审核绩效目标申报表</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个</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13个</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部门预算绩效管理工作经费</w:t>
            </w:r>
          </w:p>
        </w:tc>
      </w:tr>
      <w:tr>
        <w:tblPrEx>
          <w:tblCellMar>
            <w:top w:w="0" w:type="dxa"/>
            <w:left w:w="108" w:type="dxa"/>
            <w:bottom w:w="0" w:type="dxa"/>
            <w:right w:w="108" w:type="dxa"/>
          </w:tblCellMar>
        </w:tblPrEx>
        <w:trPr>
          <w:trHeight w:val="96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产出指标数量指标处理政务咨询数量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条</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684条</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门户网站运维费</w:t>
            </w:r>
          </w:p>
        </w:tc>
      </w:tr>
      <w:tr>
        <w:tblPrEx>
          <w:tblCellMar>
            <w:top w:w="0" w:type="dxa"/>
            <w:left w:w="108" w:type="dxa"/>
            <w:bottom w:w="0" w:type="dxa"/>
            <w:right w:w="108" w:type="dxa"/>
          </w:tblCellMar>
        </w:tblPrEx>
        <w:trPr>
          <w:trHeight w:val="120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产出指标数量指标在微信公众平台发布信息数量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条</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222条</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微信公众平台运维费</w:t>
            </w:r>
          </w:p>
        </w:tc>
      </w:tr>
      <w:tr>
        <w:tblPrEx>
          <w:tblCellMar>
            <w:top w:w="0" w:type="dxa"/>
            <w:left w:w="108" w:type="dxa"/>
            <w:bottom w:w="0" w:type="dxa"/>
            <w:right w:w="108" w:type="dxa"/>
          </w:tblCellMar>
        </w:tblPrEx>
        <w:trPr>
          <w:trHeight w:val="96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产出指标数量指标在门户网站发布信息数量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条</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397条</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门户网站运维费</w:t>
            </w:r>
          </w:p>
        </w:tc>
      </w:tr>
      <w:tr>
        <w:tblPrEx>
          <w:tblCellMar>
            <w:top w:w="0" w:type="dxa"/>
            <w:left w:w="108" w:type="dxa"/>
            <w:bottom w:w="0" w:type="dxa"/>
            <w:right w:w="108" w:type="dxa"/>
          </w:tblCellMar>
        </w:tblPrEx>
        <w:trPr>
          <w:trHeight w:val="144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产出指标数量指标绩效评价、绩效运行监控和成本预算绩效分析报告</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份</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3个</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部门预算绩效管理工作经费</w:t>
            </w:r>
          </w:p>
        </w:tc>
      </w:tr>
      <w:tr>
        <w:tblPrEx>
          <w:tblCellMar>
            <w:top w:w="0" w:type="dxa"/>
            <w:left w:w="108" w:type="dxa"/>
            <w:bottom w:w="0" w:type="dxa"/>
            <w:right w:w="108" w:type="dxa"/>
          </w:tblCellMar>
        </w:tblPrEx>
        <w:trPr>
          <w:trHeight w:val="72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产出指标数量指标审核合同数量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份</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34份</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法律顾问咨询工作经费</w:t>
            </w:r>
          </w:p>
        </w:tc>
      </w:tr>
      <w:tr>
        <w:tblPrEx>
          <w:tblCellMar>
            <w:top w:w="0" w:type="dxa"/>
            <w:left w:w="108" w:type="dxa"/>
            <w:bottom w:w="0" w:type="dxa"/>
            <w:right w:w="108" w:type="dxa"/>
          </w:tblCellMar>
        </w:tblPrEx>
        <w:trPr>
          <w:trHeight w:val="96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产出指标数量指标门户网站运行情况报告</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份</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2份</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门户网站运维费</w:t>
            </w:r>
          </w:p>
        </w:tc>
      </w:tr>
      <w:tr>
        <w:tblPrEx>
          <w:tblCellMar>
            <w:top w:w="0" w:type="dxa"/>
            <w:left w:w="108" w:type="dxa"/>
            <w:bottom w:w="0" w:type="dxa"/>
            <w:right w:w="108" w:type="dxa"/>
          </w:tblCellMar>
        </w:tblPrEx>
        <w:trPr>
          <w:trHeight w:val="120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产出指标数量指标印制北京市城市轨道交通建设计划册</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本</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190本</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北京市城市轨道交通建设计划册印刷费</w:t>
            </w:r>
          </w:p>
        </w:tc>
      </w:tr>
      <w:tr>
        <w:tblPrEx>
          <w:tblCellMar>
            <w:top w:w="0" w:type="dxa"/>
            <w:left w:w="108" w:type="dxa"/>
            <w:bottom w:w="0" w:type="dxa"/>
            <w:right w:w="108" w:type="dxa"/>
          </w:tblCellMar>
        </w:tblPrEx>
        <w:trPr>
          <w:trHeight w:val="96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产出指标质量指标产生法律纠纷次数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次</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0次</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法律顾问咨询工作经费</w:t>
            </w:r>
          </w:p>
        </w:tc>
      </w:tr>
      <w:tr>
        <w:tblPrEx>
          <w:tblCellMar>
            <w:top w:w="0" w:type="dxa"/>
            <w:left w:w="108" w:type="dxa"/>
            <w:bottom w:w="0" w:type="dxa"/>
            <w:right w:w="108" w:type="dxa"/>
          </w:tblCellMar>
        </w:tblPrEx>
        <w:trPr>
          <w:trHeight w:val="72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产出指标质量指标重大信息错误率</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门户网站运维费</w:t>
            </w:r>
          </w:p>
        </w:tc>
      </w:tr>
      <w:tr>
        <w:tblPrEx>
          <w:tblCellMar>
            <w:top w:w="0" w:type="dxa"/>
            <w:left w:w="108" w:type="dxa"/>
            <w:bottom w:w="0" w:type="dxa"/>
            <w:right w:w="108" w:type="dxa"/>
          </w:tblCellMar>
        </w:tblPrEx>
        <w:trPr>
          <w:trHeight w:val="144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产出指标质量指标运维验收合格率</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1.电子档案管理系统平台运维费</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2.政务综合办公服务平台运维费</w:t>
            </w:r>
          </w:p>
        </w:tc>
      </w:tr>
      <w:tr>
        <w:tblPrEx>
          <w:tblCellMar>
            <w:top w:w="0" w:type="dxa"/>
            <w:left w:w="108" w:type="dxa"/>
            <w:bottom w:w="0" w:type="dxa"/>
            <w:right w:w="108" w:type="dxa"/>
          </w:tblCellMar>
        </w:tblPrEx>
        <w:trPr>
          <w:trHeight w:val="96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产出指标质量指标基础信息准确率</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1.门户网站运维费</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2.微信公众平台运维费</w:t>
            </w:r>
          </w:p>
        </w:tc>
      </w:tr>
      <w:tr>
        <w:tblPrEx>
          <w:tblCellMar>
            <w:top w:w="0" w:type="dxa"/>
            <w:left w:w="108" w:type="dxa"/>
            <w:bottom w:w="0" w:type="dxa"/>
            <w:right w:w="108" w:type="dxa"/>
          </w:tblCellMar>
        </w:tblPrEx>
        <w:trPr>
          <w:trHeight w:val="2072"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产出指标质量指标故障排除率</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2137"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90%及以上</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1.电子档案管理系统平台运维费</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2.政务综合办公服务平台运维费</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3.计算机终端及网络运维费</w:t>
            </w:r>
          </w:p>
        </w:tc>
      </w:tr>
      <w:tr>
        <w:tblPrEx>
          <w:tblCellMar>
            <w:top w:w="0" w:type="dxa"/>
            <w:left w:w="108" w:type="dxa"/>
            <w:bottom w:w="0" w:type="dxa"/>
            <w:right w:w="108" w:type="dxa"/>
          </w:tblCellMar>
        </w:tblPrEx>
        <w:trPr>
          <w:trHeight w:val="1549"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产出指标质量指标圆满完成中央及市委市政府确定的新增、临时、紧急事项</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圆满完成了市委、市政府交办临时紧急的通州西集应急方舱医院项目完工结算审计工作</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机动经费</w:t>
            </w:r>
          </w:p>
        </w:tc>
      </w:tr>
      <w:tr>
        <w:tblPrEx>
          <w:tblCellMar>
            <w:top w:w="0" w:type="dxa"/>
            <w:left w:w="108" w:type="dxa"/>
            <w:bottom w:w="0" w:type="dxa"/>
            <w:right w:w="108" w:type="dxa"/>
          </w:tblCellMar>
        </w:tblPrEx>
        <w:trPr>
          <w:trHeight w:val="120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产出指标质量指标因公出国调研计划符合市外办要求</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未开展</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外事项目</w:t>
            </w:r>
          </w:p>
        </w:tc>
      </w:tr>
      <w:tr>
        <w:tblPrEx>
          <w:tblCellMar>
            <w:top w:w="0" w:type="dxa"/>
            <w:left w:w="108" w:type="dxa"/>
            <w:bottom w:w="0" w:type="dxa"/>
            <w:right w:w="108" w:type="dxa"/>
          </w:tblCellMar>
        </w:tblPrEx>
        <w:trPr>
          <w:trHeight w:val="120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产出指标质量指标食堂菜品质量和服务满足用餐人员需求</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满足了</w:t>
            </w:r>
            <w:r>
              <w:rPr>
                <w:rFonts w:hint="eastAsia" w:ascii="宋体" w:hAnsi="宋体" w:cs="宋体"/>
                <w:color w:val="000000"/>
                <w:kern w:val="0"/>
                <w:sz w:val="20"/>
                <w:szCs w:val="20"/>
                <w:lang w:eastAsia="zh-CN" w:bidi="ar"/>
              </w:rPr>
              <w:t>市重大项目办</w:t>
            </w:r>
            <w:r>
              <w:rPr>
                <w:rFonts w:hint="eastAsia" w:ascii="宋体" w:hAnsi="宋体" w:cs="宋体"/>
                <w:color w:val="000000"/>
                <w:kern w:val="0"/>
                <w:sz w:val="20"/>
                <w:szCs w:val="20"/>
                <w:lang w:bidi="ar"/>
              </w:rPr>
              <w:t>后勤食堂用餐需求</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后勤保障管理经费</w:t>
            </w:r>
          </w:p>
        </w:tc>
      </w:tr>
      <w:tr>
        <w:tblPrEx>
          <w:tblCellMar>
            <w:top w:w="0" w:type="dxa"/>
            <w:left w:w="108" w:type="dxa"/>
            <w:bottom w:w="0" w:type="dxa"/>
            <w:right w:w="108" w:type="dxa"/>
          </w:tblCellMar>
        </w:tblPrEx>
        <w:trPr>
          <w:trHeight w:val="120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产出指标质量指标计划册纸张质量符合单位要求</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纸张重量80G、纸张尺寸210mm*297mm</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北京市城市轨道交通建设计划册印刷费</w:t>
            </w:r>
          </w:p>
        </w:tc>
      </w:tr>
      <w:tr>
        <w:tblPrEx>
          <w:tblCellMar>
            <w:top w:w="0" w:type="dxa"/>
            <w:left w:w="108" w:type="dxa"/>
            <w:bottom w:w="0" w:type="dxa"/>
            <w:right w:w="108" w:type="dxa"/>
          </w:tblCellMar>
        </w:tblPrEx>
        <w:trPr>
          <w:trHeight w:val="1155"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产出指标质量指标符合北京市财政局预算绩效管理、绩效评价等相关工作要求</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各项成果均通过验收、基本符合相关工作要求</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部门预算绩效管理工作经费</w:t>
            </w:r>
          </w:p>
        </w:tc>
      </w:tr>
      <w:tr>
        <w:tblPrEx>
          <w:tblCellMar>
            <w:top w:w="0" w:type="dxa"/>
            <w:left w:w="108" w:type="dxa"/>
            <w:bottom w:w="0" w:type="dxa"/>
            <w:right w:w="108" w:type="dxa"/>
          </w:tblCellMar>
        </w:tblPrEx>
        <w:trPr>
          <w:trHeight w:val="683"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产出指标质量指标保障办公人员所需各项经费</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得到保障</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基本经费</w:t>
            </w:r>
          </w:p>
        </w:tc>
      </w:tr>
      <w:tr>
        <w:tblPrEx>
          <w:tblCellMar>
            <w:top w:w="0" w:type="dxa"/>
            <w:left w:w="108" w:type="dxa"/>
            <w:bottom w:w="0" w:type="dxa"/>
            <w:right w:w="108" w:type="dxa"/>
          </w:tblCellMar>
        </w:tblPrEx>
        <w:trPr>
          <w:trHeight w:val="216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产出指标时效指标系统运行维护响应率</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1.电子档案管理系统平台运维费</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2.政务综合办公服务平台运维费</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3.计算机终端及网络运维费</w:t>
            </w:r>
          </w:p>
        </w:tc>
      </w:tr>
      <w:tr>
        <w:tblPrEx>
          <w:tblCellMar>
            <w:top w:w="0" w:type="dxa"/>
            <w:left w:w="108" w:type="dxa"/>
            <w:bottom w:w="0" w:type="dxa"/>
            <w:right w:w="108" w:type="dxa"/>
          </w:tblCellMar>
        </w:tblPrEx>
        <w:trPr>
          <w:trHeight w:val="216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产出指标时效指标系统故障修复处理时间</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小时</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≤2小时</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1.电子档案管理系统平台运维费</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2.政务综合办公服务平台运维费</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3.计算机终端及网络运维费</w:t>
            </w:r>
          </w:p>
        </w:tc>
      </w:tr>
      <w:tr>
        <w:tblPrEx>
          <w:tblCellMar>
            <w:top w:w="0" w:type="dxa"/>
            <w:left w:w="108" w:type="dxa"/>
            <w:bottom w:w="0" w:type="dxa"/>
            <w:right w:w="108" w:type="dxa"/>
          </w:tblCellMar>
        </w:tblPrEx>
        <w:trPr>
          <w:trHeight w:val="88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产出指标时效指标2023年12月底前完成</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2023年12月底前均完成</w:t>
            </w:r>
            <w:r>
              <w:rPr>
                <w:rFonts w:hint="eastAsia" w:ascii="宋体" w:hAnsi="宋体" w:cs="宋体"/>
                <w:color w:val="000000"/>
                <w:kern w:val="0"/>
                <w:sz w:val="20"/>
                <w:szCs w:val="20"/>
                <w:lang w:eastAsia="zh-CN" w:bidi="ar"/>
              </w:rPr>
              <w:t>市重大项目办</w:t>
            </w:r>
            <w:r>
              <w:rPr>
                <w:rFonts w:hint="eastAsia" w:ascii="宋体" w:hAnsi="宋体" w:cs="宋体"/>
                <w:color w:val="000000"/>
                <w:kern w:val="0"/>
                <w:sz w:val="20"/>
                <w:szCs w:val="20"/>
                <w:lang w:bidi="ar"/>
              </w:rPr>
              <w:t>各项内容实施</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p>
        </w:tc>
      </w:tr>
      <w:tr>
        <w:tblPrEx>
          <w:tblCellMar>
            <w:top w:w="0" w:type="dxa"/>
            <w:left w:w="108" w:type="dxa"/>
            <w:bottom w:w="0" w:type="dxa"/>
            <w:right w:w="108" w:type="dxa"/>
          </w:tblCellMar>
        </w:tblPrEx>
        <w:trPr>
          <w:trHeight w:val="900" w:hRule="atLeast"/>
          <w:jc w:val="center"/>
        </w:trPr>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产出指标时效指标符合北京市财政局预算绩效相关工作报送时间要求</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定性</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符合北京市财政局预算绩效相关工作报送时间要求</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20"/>
                <w:szCs w:val="20"/>
              </w:rPr>
            </w:pPr>
            <w:r>
              <w:rPr>
                <w:rFonts w:hint="eastAsia" w:ascii="宋体" w:hAnsi="宋体" w:cs="宋体"/>
                <w:color w:val="000000"/>
                <w:sz w:val="20"/>
                <w:szCs w:val="20"/>
              </w:rPr>
              <w:t>部门预算绩效管理工作经费</w:t>
            </w:r>
          </w:p>
        </w:tc>
      </w:tr>
    </w:tbl>
    <w:p>
      <w:pPr>
        <w:adjustRightInd w:val="0"/>
        <w:snapToGrid w:val="0"/>
        <w:spacing w:line="580" w:lineRule="exact"/>
        <w:ind w:firstLine="640" w:firstLineChars="200"/>
        <w:outlineLvl w:val="1"/>
        <w:rPr>
          <w:rFonts w:ascii="楷体_GB2312" w:eastAsia="楷体_GB2312"/>
          <w:sz w:val="32"/>
          <w:szCs w:val="32"/>
        </w:rPr>
      </w:pPr>
      <w:r>
        <w:rPr>
          <w:rFonts w:hint="eastAsia" w:ascii="楷体_GB2312" w:eastAsia="楷体_GB2312"/>
          <w:sz w:val="32"/>
          <w:szCs w:val="32"/>
        </w:rPr>
        <w:t>（二）效果实现情况分析</w:t>
      </w:r>
      <w:bookmarkEnd w:id="23"/>
      <w:bookmarkEnd w:id="24"/>
      <w:bookmarkEnd w:id="25"/>
    </w:p>
    <w:p>
      <w:pPr>
        <w:pStyle w:val="5"/>
        <w:adjustRightInd w:val="0"/>
        <w:spacing w:line="580" w:lineRule="exact"/>
        <w:ind w:firstLine="640" w:firstLineChars="200"/>
        <w:rPr>
          <w:rFonts w:ascii="仿宋_GB2312" w:hAnsi="仿宋_GB2312" w:eastAsia="仿宋_GB2312" w:cs="仿宋_GB2312"/>
          <w:color w:val="000000"/>
          <w:kern w:val="0"/>
          <w:sz w:val="32"/>
          <w:szCs w:val="32"/>
        </w:rPr>
      </w:pPr>
      <w:r>
        <w:rPr>
          <w:rFonts w:ascii="仿宋_GB2312" w:hAnsi="仿宋_GB2312" w:eastAsia="仿宋_GB2312" w:cs="仿宋_GB2312"/>
          <w:color w:val="000000"/>
          <w:kern w:val="0"/>
          <w:sz w:val="32"/>
          <w:szCs w:val="32"/>
        </w:rPr>
        <w:t>1.</w:t>
      </w:r>
      <w:r>
        <w:rPr>
          <w:rFonts w:hint="eastAsia" w:ascii="仿宋_GB2312" w:hAnsi="仿宋_GB2312" w:eastAsia="仿宋_GB2312" w:cs="仿宋_GB2312"/>
          <w:color w:val="000000"/>
          <w:kern w:val="0"/>
          <w:sz w:val="32"/>
          <w:szCs w:val="32"/>
        </w:rPr>
        <w:t>经济效益</w:t>
      </w:r>
    </w:p>
    <w:p>
      <w:pPr>
        <w:spacing w:line="560" w:lineRule="exact"/>
        <w:ind w:firstLine="64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2023年，市重大项目办紧紧围绕“规范透明、约束有力、讲求绩效”的工作目标，将“过紧日子”要求、艰苦奋斗、勤俭节约作为年度预算安排的基本方针；预算执行中，财务预算处严把经费支出关，杜绝无预算，超预算支出；业务发生后，严审经费报销手续，确保支出事项与预算相符、与申请内容相符。</w:t>
      </w:r>
    </w:p>
    <w:p>
      <w:pPr>
        <w:spacing w:line="560" w:lineRule="exact"/>
        <w:ind w:firstLine="64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加强内部控制体系建设，不断修订完善各项财务制度，有力保证了</w:t>
      </w:r>
      <w:r>
        <w:rPr>
          <w:rFonts w:hint="eastAsia" w:ascii="仿宋_GB2312" w:hAnsi="仿宋_GB2312" w:eastAsia="仿宋_GB2312" w:cs="仿宋_GB2312"/>
          <w:color w:val="000000"/>
          <w:kern w:val="0"/>
          <w:sz w:val="32"/>
          <w:szCs w:val="32"/>
          <w:lang w:eastAsia="zh-CN"/>
        </w:rPr>
        <w:t>市重大项目办</w:t>
      </w:r>
      <w:r>
        <w:rPr>
          <w:rFonts w:hint="eastAsia" w:ascii="仿宋_GB2312" w:hAnsi="仿宋_GB2312" w:eastAsia="仿宋_GB2312" w:cs="仿宋_GB2312"/>
          <w:color w:val="000000"/>
          <w:kern w:val="0"/>
          <w:sz w:val="32"/>
          <w:szCs w:val="32"/>
        </w:rPr>
        <w:t>各项经济活动的依法合规，资产使用的安全高效，确保了财务信息质量的真实完整，有效防范化解了廉政风险，更好的发挥了内部控制在落实政府过紧日子要求、强化绩效管理、严肃财经纪律等方面的支撑作用，提升了公共服务的效率和效果，提高了财政资金使用效率，充分发挥财政资金的使用效益。</w:t>
      </w:r>
    </w:p>
    <w:p>
      <w:pPr>
        <w:pStyle w:val="5"/>
        <w:adjustRightInd w:val="0"/>
        <w:spacing w:line="580" w:lineRule="exact"/>
        <w:ind w:firstLine="640" w:firstLineChars="200"/>
        <w:rPr>
          <w:rFonts w:ascii="仿宋_GB2312" w:hAnsi="仿宋_GB2312" w:eastAsia="仿宋_GB2312" w:cs="仿宋_GB2312"/>
          <w:color w:val="000000"/>
          <w:kern w:val="0"/>
          <w:sz w:val="32"/>
          <w:szCs w:val="32"/>
        </w:rPr>
      </w:pPr>
      <w:r>
        <w:rPr>
          <w:rFonts w:ascii="仿宋_GB2312" w:hAnsi="仿宋_GB2312" w:eastAsia="仿宋_GB2312" w:cs="仿宋_GB2312"/>
          <w:color w:val="000000"/>
          <w:kern w:val="0"/>
          <w:sz w:val="32"/>
          <w:szCs w:val="32"/>
        </w:rPr>
        <w:t>2.</w:t>
      </w:r>
      <w:r>
        <w:rPr>
          <w:rFonts w:hint="eastAsia" w:ascii="仿宋_GB2312" w:hAnsi="仿宋_GB2312" w:eastAsia="仿宋_GB2312" w:cs="仿宋_GB2312"/>
          <w:color w:val="000000"/>
          <w:kern w:val="0"/>
          <w:sz w:val="32"/>
          <w:szCs w:val="32"/>
        </w:rPr>
        <w:t>社会效益方面及可持续影响方面</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①轨道交通建设取得显著成效</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一是超额完成投资任务：完成总投资344.28亿元，超额完成投资任务。</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二是高质量通车运营：3条（段）线路实现通车，我市城市轨道交通总里程达836公里，居全国首位。</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三是1号线支线前期进展：完成可研批复和初设评审，部分场地已移交。</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四是尾工建设顺利完成：多个站点和出入口投入使用，服务功能进一步完善。</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②在京铁路建设扎实推进</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一是京唐城际铁路隧道段提前开工：较原计划提前2个月。</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二是城际联络线一期全面展开：站前主体工程完成，机电安装和装饰装修工程全面展开。</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三是市郊铁路工程实现新突破：配合市空铁办提前筹划征地拆迁和管线改移。</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③工人体育场改造复建工程圆满完成</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一是足球场主体竣工投用：累计保障多场国内外专业足球赛事及公益活动。</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二是变电站发电目标实现：提前完成110千伏变电站建设并投产发电。</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三是环境整治加快推进：完成雕塑等原址回迁和周边设施整修。</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④安全质量管控和科技创新成效显著</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一是安全质量督导加强：开展多轮综合或专项大排查大整治，确保重大项目安全度汛。</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二是科技创新推广有力：推动地铁工程渗漏防控新型技术研究，协调科研课题申报和成果推广应用。</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⑤深入开展主题教育和市委巡视工作</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一是持之以恒压实管党治党责任，深化党建与中心工作的深度融合，确保党的领导和党的建设全面加强。</w:t>
      </w:r>
    </w:p>
    <w:p>
      <w:pPr>
        <w:pStyle w:val="5"/>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二是扎实推进主题教育，深入重大项目建设一线调研，确保党的创新理论武装到位，问题整改彻底。</w:t>
      </w:r>
    </w:p>
    <w:p>
      <w:pPr>
        <w:pStyle w:val="5"/>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三是全面配合市委巡视工作，严守纪律规矩，确保巡视整改有序进行，推动重大项目建设高质量发展。</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⑥有效完成办内的其他工作</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一是配合第三方专业机构，全方位、全覆盖完成了部门预算绩效管理工作，显著提高预算绩效管理水平，确保财政资金的高效利用。同时，借助专业指导与监督，推动项目预算管理和绩效持续规范化。</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二是聘请专业法律顾问为</w:t>
      </w:r>
      <w:r>
        <w:rPr>
          <w:rFonts w:hint="eastAsia" w:ascii="仿宋_GB2312" w:hAnsi="仿宋_GB2312" w:eastAsia="仿宋_GB2312" w:cs="仿宋_GB2312"/>
          <w:sz w:val="32"/>
          <w:szCs w:val="32"/>
          <w:lang w:eastAsia="zh-CN"/>
        </w:rPr>
        <w:t>市重大项目办</w:t>
      </w:r>
      <w:r>
        <w:rPr>
          <w:rFonts w:hint="eastAsia" w:ascii="仿宋_GB2312" w:hAnsi="仿宋_GB2312" w:eastAsia="仿宋_GB2312" w:cs="仿宋_GB2312"/>
          <w:sz w:val="32"/>
          <w:szCs w:val="32"/>
        </w:rPr>
        <w:t>日常法律事务提供法律咨询服务，确保单位经济行为的合法性，维护单位合法权益，有效避免法律纠纷。</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是制定北京市城市轨道交通建设计划册，明确了各区各部门年度建设及投资任务，确保轨道交通前期规划编制更加科学、精准。此举不仅提升了轨道交通建设管理工作的整体效率，也为城市轨道交通的长期发展奠定了坚实基础。</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是利用运维电子档案管理系统平台和政务综合办公服务平台等信息化管理手段，显著提升了档案管理水平，促进了电子档案数据的全面利用。有效减少了对原始档案的依赖和频繁使用；保障了行政办公的高效运作，为</w:t>
      </w:r>
      <w:r>
        <w:rPr>
          <w:rFonts w:hint="eastAsia" w:ascii="仿宋_GB2312" w:hAnsi="仿宋_GB2312" w:eastAsia="仿宋_GB2312" w:cs="仿宋_GB2312"/>
          <w:sz w:val="32"/>
          <w:szCs w:val="32"/>
          <w:lang w:eastAsia="zh-CN"/>
        </w:rPr>
        <w:t>市重大项目办</w:t>
      </w:r>
      <w:r>
        <w:rPr>
          <w:rFonts w:hint="eastAsia" w:ascii="仿宋_GB2312" w:hAnsi="仿宋_GB2312" w:eastAsia="仿宋_GB2312" w:cs="仿宋_GB2312"/>
          <w:sz w:val="32"/>
          <w:szCs w:val="32"/>
        </w:rPr>
        <w:t>内部管理提供了有力支持。</w:t>
      </w:r>
    </w:p>
    <w:p>
      <w:pPr>
        <w:pStyle w:val="5"/>
        <w:spacing w:line="580" w:lineRule="exact"/>
        <w:ind w:firstLine="640" w:firstLineChars="200"/>
      </w:pPr>
      <w:r>
        <w:rPr>
          <w:rFonts w:hint="eastAsia" w:ascii="仿宋_GB2312" w:hAnsi="仿宋_GB2312" w:eastAsia="仿宋_GB2312" w:cs="仿宋_GB2312"/>
          <w:sz w:val="32"/>
          <w:szCs w:val="32"/>
        </w:rPr>
        <w:t>五是充分利用微信公众平台，及时发布重大项目建设信息，确保社会公众能够迅速、准确地了解项目进展情况。这一举措有效提升了公众对重大项目建设的关注度，增强了项目透明度和社会参与度。</w:t>
      </w:r>
    </w:p>
    <w:p>
      <w:pPr>
        <w:adjustRightInd w:val="0"/>
        <w:snapToGrid w:val="0"/>
        <w:spacing w:line="580" w:lineRule="exact"/>
        <w:ind w:firstLine="640" w:firstLineChars="200"/>
        <w:jc w:val="left"/>
        <w:rPr>
          <w:rFonts w:ascii="仿宋_GB2312" w:hAnsi="仿宋_GB2312" w:eastAsia="仿宋_GB2312" w:cs="仿宋_GB2312"/>
          <w:color w:val="000000"/>
          <w:kern w:val="0"/>
          <w:sz w:val="32"/>
          <w:szCs w:val="32"/>
        </w:rPr>
      </w:pPr>
      <w:r>
        <w:rPr>
          <w:rFonts w:ascii="仿宋_GB2312" w:hAnsi="仿宋_GB2312" w:eastAsia="仿宋_GB2312" w:cs="仿宋_GB2312"/>
          <w:color w:val="000000"/>
          <w:kern w:val="0"/>
          <w:sz w:val="32"/>
          <w:szCs w:val="32"/>
        </w:rPr>
        <w:t>3.</w:t>
      </w:r>
      <w:r>
        <w:rPr>
          <w:rFonts w:hint="eastAsia" w:ascii="仿宋_GB2312" w:hAnsi="仿宋_GB2312" w:eastAsia="仿宋_GB2312" w:cs="仿宋_GB2312"/>
          <w:color w:val="000000"/>
          <w:kern w:val="0"/>
          <w:sz w:val="32"/>
          <w:szCs w:val="32"/>
        </w:rPr>
        <w:t>满意度方面</w:t>
      </w:r>
    </w:p>
    <w:p>
      <w:pPr>
        <w:adjustRightInd w:val="0"/>
        <w:snapToGrid w:val="0"/>
        <w:spacing w:line="58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2023年度，市政府办公厅对</w:t>
      </w:r>
      <w:r>
        <w:rPr>
          <w:rFonts w:hint="eastAsia" w:ascii="仿宋_GB2312" w:hAnsi="仿宋_GB2312" w:eastAsia="仿宋_GB2312" w:cs="仿宋_GB2312"/>
          <w:bCs/>
          <w:sz w:val="32"/>
          <w:szCs w:val="32"/>
          <w:lang w:eastAsia="zh-CN"/>
        </w:rPr>
        <w:t>市重大项目办</w:t>
      </w:r>
      <w:r>
        <w:rPr>
          <w:rFonts w:ascii="仿宋_GB2312" w:hAnsi="仿宋_GB2312" w:eastAsia="仿宋_GB2312" w:cs="仿宋_GB2312"/>
          <w:bCs/>
          <w:sz w:val="32"/>
          <w:szCs w:val="32"/>
        </w:rPr>
        <w:t>绩效考评结果为96.84分，在49个市级行政机关中排名第25位，考评等次为“优秀”。</w:t>
      </w:r>
      <w:r>
        <w:rPr>
          <w:rFonts w:hint="eastAsia" w:ascii="仿宋_GB2312" w:hAnsi="仿宋_GB2312" w:eastAsia="仿宋_GB2312" w:cs="仿宋_GB2312"/>
          <w:bCs/>
          <w:sz w:val="32"/>
          <w:szCs w:val="32"/>
          <w:lang w:eastAsia="zh-CN"/>
        </w:rPr>
        <w:t>市重大项目办</w:t>
      </w:r>
      <w:r>
        <w:rPr>
          <w:rFonts w:ascii="仿宋_GB2312" w:hAnsi="仿宋_GB2312" w:eastAsia="仿宋_GB2312" w:cs="仿宋_GB2312"/>
          <w:bCs/>
          <w:sz w:val="32"/>
          <w:szCs w:val="32"/>
        </w:rPr>
        <w:t>大部分项目工作完成后开展了满意度调查，调查满意度均为99%以上。</w:t>
      </w:r>
    </w:p>
    <w:p>
      <w:pPr>
        <w:adjustRightInd w:val="0"/>
        <w:snapToGrid w:val="0"/>
        <w:spacing w:line="580" w:lineRule="exact"/>
        <w:ind w:firstLine="640" w:firstLineChars="200"/>
        <w:outlineLvl w:val="0"/>
        <w:rPr>
          <w:rFonts w:ascii="黑体" w:hAnsi="黑体" w:eastAsia="黑体" w:cs="宋体"/>
          <w:color w:val="000000"/>
          <w:kern w:val="0"/>
          <w:sz w:val="32"/>
          <w:szCs w:val="32"/>
        </w:rPr>
      </w:pPr>
      <w:bookmarkStart w:id="26" w:name="_Toc14654"/>
      <w:bookmarkStart w:id="27" w:name="_Toc5847"/>
      <w:bookmarkStart w:id="28" w:name="_Toc5897"/>
      <w:r>
        <w:rPr>
          <w:rFonts w:hint="eastAsia" w:ascii="黑体" w:hAnsi="黑体" w:eastAsia="黑体" w:cs="宋体"/>
          <w:color w:val="000000"/>
          <w:kern w:val="0"/>
          <w:sz w:val="32"/>
          <w:szCs w:val="32"/>
        </w:rPr>
        <w:t>四、预算管理情况分析</w:t>
      </w:r>
      <w:bookmarkEnd w:id="26"/>
      <w:bookmarkEnd w:id="27"/>
      <w:bookmarkEnd w:id="28"/>
    </w:p>
    <w:p>
      <w:pPr>
        <w:adjustRightInd w:val="0"/>
        <w:snapToGrid w:val="0"/>
        <w:spacing w:line="580" w:lineRule="exact"/>
        <w:ind w:firstLine="640" w:firstLineChars="200"/>
        <w:outlineLvl w:val="1"/>
        <w:rPr>
          <w:rFonts w:ascii="楷体_GB2312" w:eastAsia="楷体_GB2312"/>
          <w:sz w:val="32"/>
          <w:szCs w:val="32"/>
        </w:rPr>
      </w:pPr>
      <w:bookmarkStart w:id="29" w:name="_Toc2559"/>
      <w:bookmarkStart w:id="30" w:name="_Toc3062"/>
      <w:bookmarkStart w:id="31" w:name="_Toc3214"/>
      <w:r>
        <w:rPr>
          <w:rFonts w:hint="eastAsia" w:ascii="楷体_GB2312" w:eastAsia="楷体_GB2312"/>
          <w:sz w:val="32"/>
          <w:szCs w:val="32"/>
        </w:rPr>
        <w:t>（一）财务管理</w:t>
      </w:r>
      <w:bookmarkEnd w:id="29"/>
      <w:bookmarkEnd w:id="30"/>
      <w:bookmarkEnd w:id="31"/>
    </w:p>
    <w:p>
      <w:pPr>
        <w:adjustRightInd w:val="0"/>
        <w:snapToGrid w:val="0"/>
        <w:spacing w:line="58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1.财务管理制度健全性</w:t>
      </w:r>
    </w:p>
    <w:p>
      <w:pPr>
        <w:widowControl/>
        <w:adjustRightInd w:val="0"/>
        <w:snapToGrid w:val="0"/>
        <w:spacing w:line="58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市重大项目办以提高自身管理水平为动力，充分依托已有的管理优势，结合自身实际业务特点，于2016年建设了内部控制体系，并形成了《北京市重大项目建设指挥部办公室内部控制手册》，历经2017年和2022年两次修改完善。2022年，为落实巡视整改，进一步加强</w:t>
      </w:r>
      <w:r>
        <w:rPr>
          <w:rFonts w:hint="eastAsia" w:ascii="仿宋_GB2312" w:hAnsi="仿宋_GB2312" w:eastAsia="仿宋_GB2312" w:cs="仿宋_GB2312"/>
          <w:bCs/>
          <w:sz w:val="32"/>
          <w:szCs w:val="32"/>
          <w:lang w:eastAsia="zh-CN"/>
        </w:rPr>
        <w:t>市重大项目办</w:t>
      </w:r>
      <w:r>
        <w:rPr>
          <w:rFonts w:hint="eastAsia" w:ascii="仿宋_GB2312" w:hAnsi="仿宋_GB2312" w:eastAsia="仿宋_GB2312" w:cs="仿宋_GB2312"/>
          <w:bCs/>
          <w:sz w:val="32"/>
          <w:szCs w:val="32"/>
        </w:rPr>
        <w:t>内部控制制度的建设，规范经费使用行为，制订了涉及采购、资金使用等新的管理办法，同时对以前年度在执行过程中发现的内控管理不完善的地方进行了修订，最终形成了《北京市重大项目建设指挥部办公室内部控制手册》（2022年修订版）。手册用于指导和规范</w:t>
      </w:r>
      <w:r>
        <w:rPr>
          <w:rFonts w:hint="eastAsia" w:ascii="仿宋_GB2312" w:hAnsi="仿宋_GB2312" w:eastAsia="仿宋_GB2312" w:cs="仿宋_GB2312"/>
          <w:bCs/>
          <w:sz w:val="32"/>
          <w:szCs w:val="32"/>
          <w:lang w:eastAsia="zh-CN"/>
        </w:rPr>
        <w:t>市重大项目办</w:t>
      </w:r>
      <w:r>
        <w:rPr>
          <w:rFonts w:hint="eastAsia" w:ascii="仿宋_GB2312" w:hAnsi="仿宋_GB2312" w:eastAsia="仿宋_GB2312" w:cs="仿宋_GB2312"/>
          <w:bCs/>
          <w:sz w:val="32"/>
          <w:szCs w:val="32"/>
        </w:rPr>
        <w:t>各项经济活动及业务工作。内控手册进一步规范各项业务活动有序运行，增强风险防范能力，提升财务管理水平，规范财务管理行为。</w:t>
      </w:r>
    </w:p>
    <w:p>
      <w:pPr>
        <w:adjustRightInd w:val="0"/>
        <w:snapToGrid w:val="0"/>
        <w:spacing w:line="58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2.资金使用合规性和安全性</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资金使用严格遵照国家法律法规和市重大项目办有关管理制度执行，资金拨付审批程序完整规范，各项支出均符合部门预算批复的用途，不存在截留、挤占、挪用、虚列支出等情况，资金使用安全合规。</w:t>
      </w:r>
    </w:p>
    <w:p>
      <w:pPr>
        <w:adjustRightInd w:val="0"/>
        <w:snapToGrid w:val="0"/>
        <w:spacing w:line="58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3.会计基础信息完善性</w:t>
      </w:r>
    </w:p>
    <w:p>
      <w:pPr>
        <w:adjustRightInd w:val="0"/>
        <w:snapToGrid w:val="0"/>
        <w:spacing w:line="580" w:lineRule="exact"/>
        <w:ind w:firstLine="640" w:firstLineChars="200"/>
      </w:pPr>
      <w:r>
        <w:rPr>
          <w:rFonts w:hint="eastAsia" w:ascii="仿宋_GB2312" w:hAnsi="仿宋_GB2312" w:eastAsia="仿宋_GB2312" w:cs="仿宋_GB2312"/>
          <w:bCs/>
          <w:sz w:val="32"/>
          <w:szCs w:val="32"/>
        </w:rPr>
        <w:t>会计基础数据信息和会计信息资料真实、完整、准确。在会计核算、归档环节，</w:t>
      </w:r>
      <w:r>
        <w:rPr>
          <w:rFonts w:hint="eastAsia" w:ascii="仿宋_GB2312" w:hAnsi="仿宋_GB2312" w:eastAsia="仿宋_GB2312" w:cs="仿宋_GB2312"/>
          <w:b/>
          <w:sz w:val="32"/>
          <w:szCs w:val="32"/>
        </w:rPr>
        <w:t>一是</w:t>
      </w:r>
      <w:r>
        <w:rPr>
          <w:rFonts w:hint="eastAsia" w:ascii="仿宋_GB2312" w:hAnsi="仿宋_GB2312" w:eastAsia="仿宋_GB2312" w:cs="仿宋_GB2312"/>
          <w:bCs/>
          <w:sz w:val="32"/>
          <w:szCs w:val="32"/>
        </w:rPr>
        <w:t>严格审批原始凭证，对内容不全、手续不完备的原始凭证以及未审批完成的支出不予办理支付；</w:t>
      </w:r>
      <w:r>
        <w:rPr>
          <w:rFonts w:hint="eastAsia" w:ascii="仿宋_GB2312" w:hAnsi="仿宋_GB2312" w:eastAsia="仿宋_GB2312" w:cs="仿宋_GB2312"/>
          <w:b/>
          <w:sz w:val="32"/>
          <w:szCs w:val="32"/>
        </w:rPr>
        <w:t>二是</w:t>
      </w:r>
      <w:r>
        <w:rPr>
          <w:rFonts w:hint="eastAsia" w:ascii="仿宋_GB2312" w:hAnsi="仿宋_GB2312" w:eastAsia="仿宋_GB2312" w:cs="仿宋_GB2312"/>
          <w:bCs/>
          <w:sz w:val="32"/>
          <w:szCs w:val="32"/>
        </w:rPr>
        <w:t>严格执行会计法律法规及</w:t>
      </w:r>
      <w:r>
        <w:rPr>
          <w:rFonts w:hint="eastAsia" w:ascii="仿宋_GB2312" w:hAnsi="仿宋_GB2312" w:eastAsia="仿宋_GB2312" w:cs="仿宋_GB2312"/>
          <w:bCs/>
          <w:sz w:val="32"/>
          <w:szCs w:val="32"/>
          <w:lang w:eastAsia="zh-CN"/>
        </w:rPr>
        <w:t>市重大项目办</w:t>
      </w:r>
      <w:r>
        <w:rPr>
          <w:rFonts w:hint="eastAsia" w:ascii="仿宋_GB2312" w:hAnsi="仿宋_GB2312" w:eastAsia="仿宋_GB2312" w:cs="仿宋_GB2312"/>
          <w:bCs/>
          <w:sz w:val="32"/>
          <w:szCs w:val="32"/>
        </w:rPr>
        <w:t>内控制度，确保原始凭证齐全完备，记账会计科目使用规范。</w:t>
      </w:r>
      <w:r>
        <w:rPr>
          <w:rFonts w:hint="eastAsia" w:ascii="仿宋_GB2312" w:hAnsi="仿宋_GB2312" w:eastAsia="仿宋_GB2312" w:cs="仿宋_GB2312"/>
          <w:b/>
          <w:sz w:val="32"/>
          <w:szCs w:val="32"/>
        </w:rPr>
        <w:t>三是</w:t>
      </w:r>
      <w:r>
        <w:rPr>
          <w:rFonts w:hint="eastAsia" w:ascii="仿宋_GB2312" w:hAnsi="仿宋_GB2312" w:eastAsia="仿宋_GB2312" w:cs="仿宋_GB2312"/>
          <w:bCs/>
          <w:sz w:val="32"/>
          <w:szCs w:val="32"/>
        </w:rPr>
        <w:t>按规定完成对会计凭证、会计账簿和其他会计资料整理立卷，装订成册，会计档案得到妥善保管。上述管理手段有效保障了</w:t>
      </w:r>
      <w:r>
        <w:rPr>
          <w:rFonts w:hint="eastAsia" w:ascii="仿宋_GB2312" w:hAnsi="仿宋_GB2312" w:eastAsia="仿宋_GB2312" w:cs="仿宋_GB2312"/>
          <w:bCs/>
          <w:sz w:val="32"/>
          <w:szCs w:val="32"/>
          <w:lang w:eastAsia="zh-CN"/>
        </w:rPr>
        <w:t>市重大项目办</w:t>
      </w:r>
      <w:r>
        <w:rPr>
          <w:rFonts w:hint="eastAsia" w:ascii="仿宋_GB2312" w:hAnsi="仿宋_GB2312" w:eastAsia="仿宋_GB2312" w:cs="仿宋_GB2312"/>
          <w:bCs/>
          <w:sz w:val="32"/>
          <w:szCs w:val="32"/>
        </w:rPr>
        <w:t>2023年部门决算基础数据真实、准确、完整。</w:t>
      </w:r>
    </w:p>
    <w:p>
      <w:pPr>
        <w:adjustRightInd w:val="0"/>
        <w:snapToGrid w:val="0"/>
        <w:spacing w:line="580" w:lineRule="exact"/>
        <w:ind w:firstLine="640" w:firstLineChars="200"/>
        <w:outlineLvl w:val="1"/>
        <w:rPr>
          <w:rFonts w:ascii="楷体_GB2312" w:eastAsia="楷体_GB2312"/>
          <w:sz w:val="32"/>
          <w:szCs w:val="32"/>
        </w:rPr>
      </w:pPr>
      <w:bookmarkStart w:id="32" w:name="_Toc23014"/>
      <w:bookmarkStart w:id="33" w:name="_Toc15224"/>
      <w:bookmarkStart w:id="34" w:name="_Toc6912"/>
      <w:r>
        <w:rPr>
          <w:rFonts w:hint="eastAsia" w:ascii="楷体_GB2312" w:eastAsia="楷体_GB2312"/>
          <w:sz w:val="32"/>
          <w:szCs w:val="32"/>
        </w:rPr>
        <w:t>（二）资产管理</w:t>
      </w:r>
      <w:bookmarkEnd w:id="32"/>
      <w:bookmarkEnd w:id="33"/>
      <w:bookmarkEnd w:id="34"/>
    </w:p>
    <w:p>
      <w:pPr>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资产实施归口管理。固定资产统一由秘书行政处负责，严格按照“统一管理、分级负责、管用结合、资源共享、合理调配、物尽其用”的原则，制定《市重大项目办固定资产管理办法》，货币资金由财务预算处负责，制定了《货币资金管理办法》，对货币资金、固定资产等进行定期核查盘点，按照相关程序和权限配置、使用、清查盘点、处置资产，确保了资产的安全和完整，提高了资产使用效益。</w:t>
      </w:r>
    </w:p>
    <w:p>
      <w:pPr>
        <w:adjustRightInd w:val="0"/>
        <w:snapToGrid w:val="0"/>
        <w:spacing w:line="580" w:lineRule="exact"/>
        <w:ind w:firstLine="640" w:firstLineChars="200"/>
        <w:outlineLvl w:val="1"/>
        <w:rPr>
          <w:rFonts w:ascii="楷体_GB2312" w:eastAsia="楷体_GB2312"/>
          <w:sz w:val="32"/>
          <w:szCs w:val="32"/>
        </w:rPr>
      </w:pPr>
      <w:bookmarkStart w:id="35" w:name="_Toc23521"/>
      <w:bookmarkStart w:id="36" w:name="_Toc19556"/>
      <w:bookmarkStart w:id="37" w:name="_Toc21368"/>
      <w:r>
        <w:rPr>
          <w:rFonts w:hint="eastAsia" w:ascii="楷体_GB2312" w:eastAsia="楷体_GB2312"/>
          <w:sz w:val="32"/>
          <w:szCs w:val="32"/>
        </w:rPr>
        <w:t>（三）绩效管理</w:t>
      </w:r>
      <w:bookmarkEnd w:id="35"/>
      <w:bookmarkEnd w:id="36"/>
      <w:bookmarkEnd w:id="37"/>
    </w:p>
    <w:p>
      <w:pPr>
        <w:adjustRightInd w:val="0"/>
        <w:snapToGrid w:val="0"/>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市重大项目办高度重视绩效管理工作，将绩效理念深度融入预算编制、执行和监督全过程，构建事前、事中、事后绩效管理闭环系统，创新预算管理方式，扎实做好各项绩效管理工作。</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color w:val="000000"/>
          <w:sz w:val="32"/>
          <w:szCs w:val="32"/>
        </w:rPr>
        <w:t>1.加强绩效目标管理工作。</w:t>
      </w:r>
      <w:r>
        <w:rPr>
          <w:rFonts w:hint="eastAsia" w:ascii="仿宋_GB2312" w:hAnsi="仿宋_GB2312" w:eastAsia="仿宋_GB2312" w:cs="仿宋_GB2312"/>
          <w:color w:val="000000"/>
          <w:sz w:val="32"/>
          <w:szCs w:val="32"/>
        </w:rPr>
        <w:t>按照“谁申请资金，谁设定目标”的绩效管理要求，在预算编报时，对2023年的14个项目预算开展了预算绩效目标表的编制和审核工作，绩效目标填报覆盖率达100%。</w:t>
      </w:r>
    </w:p>
    <w:p>
      <w:pPr>
        <w:pStyle w:val="21"/>
        <w:adjustRightInd w:val="0"/>
        <w:snapToGrid w:val="0"/>
        <w:spacing w:line="580" w:lineRule="exact"/>
        <w:ind w:firstLine="640"/>
        <w:rPr>
          <w:rFonts w:ascii="Times New Roman" w:hAnsi="Times New Roman" w:eastAsia="仿宋_GB2312"/>
          <w:sz w:val="32"/>
          <w:szCs w:val="32"/>
        </w:rPr>
      </w:pPr>
      <w:r>
        <w:rPr>
          <w:rFonts w:hint="eastAsia" w:ascii="仿宋_GB2312" w:hAnsi="仿宋_GB2312" w:eastAsia="仿宋_GB2312" w:cs="仿宋_GB2312"/>
          <w:bCs/>
          <w:color w:val="000000"/>
          <w:sz w:val="32"/>
          <w:szCs w:val="32"/>
        </w:rPr>
        <w:t>2.</w:t>
      </w:r>
      <w:r>
        <w:rPr>
          <w:rFonts w:hint="eastAsia" w:ascii="Times New Roman" w:hAnsi="Times New Roman" w:eastAsia="仿宋_GB2312"/>
          <w:bCs/>
          <w:sz w:val="32"/>
          <w:szCs w:val="32"/>
        </w:rPr>
        <w:t>开展项目绩效自评，提高资金使用效率。一是</w:t>
      </w:r>
      <w:r>
        <w:rPr>
          <w:rFonts w:hint="eastAsia" w:ascii="Times New Roman" w:hAnsi="Times New Roman" w:eastAsia="仿宋_GB2312"/>
          <w:sz w:val="32"/>
          <w:szCs w:val="32"/>
        </w:rPr>
        <w:t>对</w:t>
      </w:r>
      <w:r>
        <w:rPr>
          <w:rFonts w:hint="eastAsia" w:ascii="仿宋_GB2312" w:hAnsi="Times New Roman" w:eastAsia="仿宋_GB2312"/>
          <w:sz w:val="32"/>
          <w:szCs w:val="32"/>
        </w:rPr>
        <w:t>2022年所有填报绩效目标的19项目进行绩效自评。</w:t>
      </w:r>
      <w:r>
        <w:rPr>
          <w:rFonts w:hint="eastAsia" w:ascii="仿宋_GB2312" w:hAnsi="Times New Roman" w:eastAsia="仿宋_GB2312"/>
          <w:bCs/>
          <w:sz w:val="32"/>
          <w:szCs w:val="32"/>
        </w:rPr>
        <w:t>二是</w:t>
      </w:r>
      <w:r>
        <w:rPr>
          <w:rFonts w:hint="eastAsia" w:ascii="仿宋_GB2312" w:hAnsi="Times New Roman" w:eastAsia="仿宋_GB2312"/>
          <w:sz w:val="32"/>
          <w:szCs w:val="32"/>
        </w:rPr>
        <w:t>选取我2022年1个重点项目开展了部门评价</w:t>
      </w:r>
      <w:r>
        <w:rPr>
          <w:rFonts w:hint="eastAsia" w:ascii="Times New Roman" w:hAnsi="Times New Roman" w:eastAsia="仿宋_GB2312"/>
          <w:sz w:val="32"/>
          <w:szCs w:val="32"/>
        </w:rPr>
        <w:t>。</w:t>
      </w:r>
    </w:p>
    <w:p>
      <w:pPr>
        <w:pStyle w:val="21"/>
        <w:adjustRightInd w:val="0"/>
        <w:snapToGrid w:val="0"/>
        <w:spacing w:line="580" w:lineRule="exact"/>
        <w:ind w:firstLine="640"/>
        <w:rPr>
          <w:rFonts w:ascii="Times New Roman" w:hAnsi="Times New Roman" w:eastAsia="仿宋_GB2312"/>
          <w:sz w:val="32"/>
          <w:szCs w:val="32"/>
        </w:rPr>
      </w:pPr>
      <w:r>
        <w:rPr>
          <w:rFonts w:hint="eastAsia" w:ascii="仿宋_GB2312" w:hAnsi="仿宋_GB2312" w:eastAsia="仿宋_GB2312" w:cs="仿宋_GB2312"/>
          <w:bCs/>
          <w:color w:val="000000"/>
          <w:sz w:val="32"/>
          <w:szCs w:val="32"/>
        </w:rPr>
        <w:t>3.</w:t>
      </w:r>
      <w:r>
        <w:rPr>
          <w:rFonts w:hint="eastAsia" w:ascii="Times New Roman" w:hAnsi="Times New Roman" w:eastAsia="仿宋_GB2312"/>
          <w:bCs/>
          <w:sz w:val="32"/>
          <w:szCs w:val="32"/>
        </w:rPr>
        <w:t>完成了对</w:t>
      </w:r>
      <w:r>
        <w:rPr>
          <w:rFonts w:hint="eastAsia" w:ascii="仿宋_GB2312" w:hAnsi="Times New Roman" w:eastAsia="仿宋_GB2312"/>
          <w:bCs/>
          <w:sz w:val="32"/>
          <w:szCs w:val="32"/>
        </w:rPr>
        <w:t>2023年度预算项目绩效运行监控工作</w:t>
      </w:r>
      <w:r>
        <w:rPr>
          <w:rFonts w:hint="eastAsia" w:ascii="仿宋_GB2312" w:hAnsi="Times New Roman" w:eastAsia="仿宋_GB2312"/>
          <w:sz w:val="32"/>
          <w:szCs w:val="32"/>
        </w:rPr>
        <w:t>。</w:t>
      </w:r>
      <w:r>
        <w:rPr>
          <w:rFonts w:hint="eastAsia" w:ascii="Times New Roman" w:hAnsi="Times New Roman" w:eastAsia="仿宋_GB2312"/>
          <w:sz w:val="32"/>
          <w:szCs w:val="32"/>
        </w:rPr>
        <w:t>对</w:t>
      </w:r>
      <w:r>
        <w:rPr>
          <w:rFonts w:hint="eastAsia" w:ascii="仿宋_GB2312" w:hAnsi="Times New Roman" w:eastAsia="仿宋_GB2312"/>
          <w:sz w:val="32"/>
          <w:szCs w:val="32"/>
        </w:rPr>
        <w:t>2023</w:t>
      </w:r>
      <w:r>
        <w:rPr>
          <w:rFonts w:hint="eastAsia" w:ascii="Times New Roman" w:hAnsi="Times New Roman" w:eastAsia="仿宋_GB2312"/>
          <w:sz w:val="32"/>
          <w:szCs w:val="32"/>
        </w:rPr>
        <w:t xml:space="preserve">年 </w:t>
      </w:r>
      <w:r>
        <w:rPr>
          <w:rFonts w:hint="eastAsia" w:ascii="仿宋_GB2312" w:hAnsi="Times New Roman" w:eastAsia="仿宋_GB2312"/>
          <w:sz w:val="32"/>
          <w:szCs w:val="32"/>
        </w:rPr>
        <w:t>14</w:t>
      </w:r>
      <w:r>
        <w:rPr>
          <w:rFonts w:hint="eastAsia" w:ascii="Times New Roman" w:hAnsi="Times New Roman" w:eastAsia="仿宋_GB2312"/>
          <w:sz w:val="32"/>
          <w:szCs w:val="32"/>
        </w:rPr>
        <w:t>个预算项目的预算执行、绩效目标实现程度开展绩效运行监控分析，对偏离年初绩效目标的项目及时纠偏；对不再执行的项目净结余及时上交财政。通过对预算项目的绩效运行监控，提升了各处的支出责任和效率意识。</w:t>
      </w:r>
    </w:p>
    <w:p>
      <w:pPr>
        <w:pStyle w:val="21"/>
        <w:adjustRightInd w:val="0"/>
        <w:snapToGrid w:val="0"/>
        <w:spacing w:line="580" w:lineRule="exact"/>
        <w:ind w:firstLine="640"/>
        <w:rPr>
          <w:rFonts w:ascii="仿宋_GB2312" w:hAnsi="Times New Roman" w:eastAsia="仿宋_GB2312"/>
          <w:sz w:val="32"/>
          <w:szCs w:val="32"/>
        </w:rPr>
      </w:pPr>
      <w:r>
        <w:rPr>
          <w:rFonts w:hint="eastAsia" w:ascii="仿宋_GB2312" w:hAnsi="仿宋_GB2312" w:eastAsia="仿宋_GB2312" w:cs="仿宋_GB2312"/>
          <w:bCs/>
          <w:color w:val="000000"/>
          <w:sz w:val="32"/>
          <w:szCs w:val="32"/>
        </w:rPr>
        <w:t>4.</w:t>
      </w:r>
      <w:r>
        <w:rPr>
          <w:rFonts w:hint="eastAsia" w:ascii="Times New Roman" w:hAnsi="Times New Roman" w:eastAsia="仿宋_GB2312"/>
          <w:bCs/>
          <w:sz w:val="32"/>
          <w:szCs w:val="32"/>
        </w:rPr>
        <w:t>完成了三年延续性项目的成本绩效分析工作。</w:t>
      </w:r>
      <w:r>
        <w:rPr>
          <w:rFonts w:hint="eastAsia" w:ascii="仿宋_GB2312" w:hAnsi="Times New Roman" w:eastAsia="仿宋_GB2312"/>
          <w:sz w:val="32"/>
          <w:szCs w:val="32"/>
        </w:rPr>
        <w:t>2023年，选取延续性项目“微信公众平台运维费”进行了为期三年的成本预算绩效分析。针对该项目2020年至2022年三年的成本投入与效益产出进行了客观分析针，得出该项目的预算定额标准，该定额标准及时运用到了</w:t>
      </w:r>
      <w:r>
        <w:rPr>
          <w:rFonts w:hint="eastAsia" w:ascii="仿宋_GB2312" w:hAnsi="Times New Roman" w:eastAsia="仿宋_GB2312"/>
          <w:sz w:val="32"/>
          <w:szCs w:val="32"/>
          <w:lang w:eastAsia="zh-CN"/>
        </w:rPr>
        <w:t>市重大项目办</w:t>
      </w:r>
      <w:r>
        <w:rPr>
          <w:rFonts w:hint="eastAsia" w:ascii="仿宋_GB2312" w:hAnsi="Times New Roman" w:eastAsia="仿宋_GB2312"/>
          <w:sz w:val="32"/>
          <w:szCs w:val="32"/>
        </w:rPr>
        <w:t>2024年度的项目预算编报中，</w:t>
      </w:r>
      <w:r>
        <w:rPr>
          <w:rFonts w:hint="eastAsia" w:ascii="仿宋_GB2312" w:hAnsi="Times New Roman" w:eastAsia="仿宋_GB2312"/>
          <w:sz w:val="32"/>
          <w:szCs w:val="32"/>
          <w:lang w:eastAsia="zh-CN"/>
        </w:rPr>
        <w:t>市重大项目办</w:t>
      </w:r>
      <w:r>
        <w:rPr>
          <w:rFonts w:hint="eastAsia" w:ascii="仿宋_GB2312" w:hAnsi="Times New Roman" w:eastAsia="仿宋_GB2312"/>
          <w:sz w:val="32"/>
          <w:szCs w:val="32"/>
        </w:rPr>
        <w:t>预算绩效管理工作逐步向“有效安排、低效压减、无效问责”的方向提升。</w:t>
      </w:r>
    </w:p>
    <w:p>
      <w:pPr>
        <w:adjustRightInd w:val="0"/>
        <w:snapToGrid w:val="0"/>
        <w:spacing w:line="580" w:lineRule="exact"/>
        <w:ind w:firstLine="640" w:firstLineChars="200"/>
        <w:outlineLvl w:val="1"/>
        <w:rPr>
          <w:rFonts w:ascii="楷体_GB2312" w:eastAsia="楷体_GB2312"/>
          <w:sz w:val="32"/>
          <w:szCs w:val="32"/>
        </w:rPr>
      </w:pPr>
      <w:bookmarkStart w:id="38" w:name="_Toc30894"/>
      <w:bookmarkStart w:id="39" w:name="_Toc24172"/>
      <w:bookmarkStart w:id="40" w:name="_Toc1151"/>
      <w:r>
        <w:rPr>
          <w:rFonts w:hint="eastAsia" w:ascii="楷体_GB2312" w:eastAsia="楷体_GB2312"/>
          <w:sz w:val="32"/>
          <w:szCs w:val="32"/>
        </w:rPr>
        <w:t>（四）结转结余率</w:t>
      </w:r>
      <w:bookmarkEnd w:id="38"/>
      <w:bookmarkEnd w:id="39"/>
      <w:bookmarkEnd w:id="40"/>
    </w:p>
    <w:p>
      <w:pPr>
        <w:adjustRightInd w:val="0"/>
        <w:snapToGrid w:val="0"/>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市重大项目办2023年预算结余资金109.11万元，其中基本经费结余资金97.71万元、项目经费结余资金11.40万元，结余资金年末全部上缴财政，结转结余率为0.26%。</w:t>
      </w:r>
    </w:p>
    <w:p>
      <w:pPr>
        <w:adjustRightInd w:val="0"/>
        <w:snapToGrid w:val="0"/>
        <w:spacing w:line="580" w:lineRule="exact"/>
        <w:ind w:firstLine="640" w:firstLineChars="200"/>
        <w:outlineLvl w:val="1"/>
        <w:rPr>
          <w:rFonts w:ascii="楷体_GB2312" w:eastAsia="楷体_GB2312"/>
          <w:sz w:val="32"/>
          <w:szCs w:val="32"/>
        </w:rPr>
      </w:pPr>
      <w:bookmarkStart w:id="41" w:name="_Toc24178"/>
      <w:bookmarkStart w:id="42" w:name="_Toc13329"/>
      <w:bookmarkStart w:id="43" w:name="_Toc16675"/>
      <w:r>
        <w:rPr>
          <w:rFonts w:hint="eastAsia" w:ascii="楷体_GB2312" w:eastAsia="楷体_GB2312"/>
          <w:sz w:val="32"/>
          <w:szCs w:val="32"/>
        </w:rPr>
        <w:t>（五）部门预决算差异率</w:t>
      </w:r>
      <w:bookmarkEnd w:id="41"/>
      <w:bookmarkEnd w:id="42"/>
      <w:bookmarkEnd w:id="43"/>
    </w:p>
    <w:p>
      <w:pPr>
        <w:adjustRightInd w:val="0"/>
        <w:snapToGrid w:val="0"/>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2023年，年初预算批复收入11,044.84万元，年末决算收入42,425.06万元，预决算差异率为284.12%，差异率较大，主要原因为：</w:t>
      </w:r>
      <w:bookmarkStart w:id="56" w:name="_GoBack"/>
      <w:r>
        <w:rPr>
          <w:rFonts w:hint="eastAsia" w:ascii="仿宋_GB2312" w:hAnsi="仿宋_GB2312" w:eastAsia="仿宋_GB2312" w:cs="仿宋_GB2312"/>
          <w:color w:val="000000"/>
          <w:sz w:val="32"/>
          <w:szCs w:val="32"/>
          <w:highlight w:val="none"/>
        </w:rPr>
        <w:t>一是</w:t>
      </w:r>
      <w:r>
        <w:rPr>
          <w:rFonts w:hint="eastAsia" w:ascii="仿宋_GB2312" w:hAnsi="仿宋_GB2312" w:eastAsia="仿宋_GB2312" w:cs="仿宋_GB2312"/>
          <w:color w:val="000000"/>
          <w:sz w:val="32"/>
          <w:szCs w:val="32"/>
          <w:highlight w:val="none"/>
          <w:lang w:eastAsia="zh-CN"/>
        </w:rPr>
        <w:t>对冬奥临时设施项目进行结算评审，</w:t>
      </w:r>
      <w:r>
        <w:rPr>
          <w:rFonts w:hint="eastAsia" w:ascii="仿宋_GB2312" w:hAnsi="仿宋_GB2312" w:eastAsia="仿宋_GB2312" w:cs="仿宋_GB2312"/>
          <w:color w:val="000000"/>
          <w:sz w:val="32"/>
          <w:szCs w:val="32"/>
          <w:highlight w:val="none"/>
        </w:rPr>
        <w:t>结算资金29,951.22万元。二是</w:t>
      </w:r>
      <w:r>
        <w:rPr>
          <w:rFonts w:hint="eastAsia" w:ascii="仿宋_GB2312" w:hAnsi="仿宋_GB2312" w:eastAsia="仿宋_GB2312" w:cs="仿宋_GB2312"/>
          <w:color w:val="000000"/>
          <w:sz w:val="32"/>
          <w:szCs w:val="32"/>
          <w:highlight w:val="none"/>
          <w:lang w:eastAsia="zh-CN"/>
        </w:rPr>
        <w:t>对</w:t>
      </w:r>
      <w:r>
        <w:rPr>
          <w:rFonts w:hint="eastAsia" w:ascii="仿宋_GB2312" w:hAnsi="仿宋_GB2312" w:eastAsia="仿宋_GB2312" w:cs="仿宋_GB2312"/>
          <w:color w:val="000000"/>
          <w:sz w:val="32"/>
          <w:szCs w:val="32"/>
          <w:highlight w:val="none"/>
        </w:rPr>
        <w:t>国家会议中心二期应急方舱医院改造</w:t>
      </w:r>
      <w:r>
        <w:rPr>
          <w:rFonts w:hint="eastAsia" w:ascii="仿宋_GB2312" w:hAnsi="仿宋_GB2312" w:eastAsia="仿宋_GB2312" w:cs="仿宋_GB2312"/>
          <w:color w:val="000000"/>
          <w:sz w:val="32"/>
          <w:szCs w:val="32"/>
          <w:highlight w:val="none"/>
          <w:lang w:eastAsia="zh-CN"/>
        </w:rPr>
        <w:t>项目进行结算评审，结算资金</w:t>
      </w:r>
      <w:r>
        <w:rPr>
          <w:rFonts w:hint="eastAsia" w:ascii="仿宋_GB2312" w:hAnsi="仿宋_GB2312" w:eastAsia="仿宋_GB2312" w:cs="仿宋_GB2312"/>
          <w:color w:val="000000"/>
          <w:sz w:val="32"/>
          <w:szCs w:val="32"/>
          <w:highlight w:val="none"/>
        </w:rPr>
        <w:t>1,632.80万元。</w:t>
      </w:r>
      <w:bookmarkEnd w:id="56"/>
    </w:p>
    <w:p>
      <w:pPr>
        <w:adjustRightInd w:val="0"/>
        <w:snapToGrid w:val="0"/>
        <w:spacing w:line="580" w:lineRule="exact"/>
        <w:ind w:firstLine="640" w:firstLineChars="200"/>
        <w:outlineLvl w:val="0"/>
        <w:rPr>
          <w:rFonts w:ascii="黑体" w:hAnsi="黑体" w:eastAsia="黑体" w:cs="宋体"/>
          <w:color w:val="000000"/>
          <w:kern w:val="0"/>
          <w:sz w:val="32"/>
          <w:szCs w:val="32"/>
        </w:rPr>
      </w:pPr>
      <w:bookmarkStart w:id="44" w:name="_Toc10117"/>
      <w:bookmarkStart w:id="45" w:name="_Toc22774"/>
      <w:bookmarkStart w:id="46" w:name="_Toc19311"/>
      <w:r>
        <w:rPr>
          <w:rFonts w:hint="eastAsia" w:ascii="黑体" w:hAnsi="黑体" w:eastAsia="黑体" w:cs="宋体"/>
          <w:color w:val="000000"/>
          <w:kern w:val="0"/>
          <w:sz w:val="32"/>
          <w:szCs w:val="32"/>
        </w:rPr>
        <w:t>五、总体评价结论</w:t>
      </w:r>
      <w:bookmarkEnd w:id="44"/>
      <w:bookmarkEnd w:id="45"/>
      <w:bookmarkEnd w:id="46"/>
    </w:p>
    <w:p>
      <w:pPr>
        <w:adjustRightInd w:val="0"/>
        <w:snapToGrid w:val="0"/>
        <w:spacing w:line="580" w:lineRule="exact"/>
        <w:ind w:firstLine="640" w:firstLineChars="200"/>
        <w:outlineLvl w:val="1"/>
        <w:rPr>
          <w:rFonts w:ascii="楷体_GB2312" w:eastAsia="楷体_GB2312"/>
          <w:sz w:val="32"/>
          <w:szCs w:val="32"/>
        </w:rPr>
      </w:pPr>
      <w:bookmarkStart w:id="47" w:name="_Toc12679"/>
      <w:bookmarkStart w:id="48" w:name="_Toc2909"/>
      <w:bookmarkStart w:id="49" w:name="_Toc20232"/>
      <w:r>
        <w:rPr>
          <w:rFonts w:hint="eastAsia" w:ascii="楷体_GB2312" w:eastAsia="楷体_GB2312"/>
          <w:sz w:val="32"/>
          <w:szCs w:val="32"/>
        </w:rPr>
        <w:t>（一）评价得分情况</w:t>
      </w:r>
      <w:bookmarkEnd w:id="47"/>
      <w:bookmarkEnd w:id="48"/>
      <w:bookmarkEnd w:id="49"/>
    </w:p>
    <w:p>
      <w:pPr>
        <w:adjustRightInd w:val="0"/>
        <w:snapToGrid w:val="0"/>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通过全面、客观的分析，本次部门整体绩效评价得分为93.95分，综合评价等级为“优”。其中：当年预算执行情况19.95</w:t>
      </w:r>
      <w:r>
        <w:rPr>
          <w:rFonts w:ascii="仿宋_GB2312" w:hAnsi="仿宋_GB2312" w:eastAsia="仿宋_GB2312" w:cs="仿宋_GB2312"/>
          <w:color w:val="000000"/>
          <w:sz w:val="32"/>
          <w:szCs w:val="32"/>
        </w:rPr>
        <w:t>分，整体绩效目标实</w:t>
      </w:r>
      <w:r>
        <w:rPr>
          <w:rFonts w:hint="eastAsia" w:ascii="仿宋_GB2312" w:hAnsi="仿宋_GB2312" w:eastAsia="仿宋_GB2312" w:cs="仿宋_GB2312"/>
          <w:color w:val="000000"/>
          <w:sz w:val="32"/>
          <w:szCs w:val="32"/>
        </w:rPr>
        <w:t>现</w:t>
      </w:r>
      <w:r>
        <w:rPr>
          <w:rFonts w:ascii="仿宋_GB2312" w:hAnsi="仿宋_GB2312" w:eastAsia="仿宋_GB2312" w:cs="仿宋_GB2312"/>
          <w:color w:val="000000"/>
          <w:sz w:val="32"/>
          <w:szCs w:val="32"/>
        </w:rPr>
        <w:t>情况</w:t>
      </w:r>
      <w:r>
        <w:rPr>
          <w:rFonts w:hint="eastAsia" w:ascii="仿宋_GB2312" w:hAnsi="仿宋_GB2312" w:eastAsia="仿宋_GB2312" w:cs="仿宋_GB2312"/>
          <w:color w:val="000000"/>
          <w:sz w:val="32"/>
          <w:szCs w:val="32"/>
        </w:rPr>
        <w:t>58.00分，预算管理情况</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6.00</w:t>
      </w:r>
      <w:r>
        <w:rPr>
          <w:rFonts w:ascii="仿宋_GB2312" w:hAnsi="仿宋_GB2312" w:eastAsia="仿宋_GB2312" w:cs="仿宋_GB2312"/>
          <w:color w:val="000000"/>
          <w:sz w:val="32"/>
          <w:szCs w:val="32"/>
        </w:rPr>
        <w:t>分，</w:t>
      </w:r>
      <w:r>
        <w:rPr>
          <w:rFonts w:hint="eastAsia" w:ascii="仿宋_GB2312" w:hAnsi="仿宋_GB2312" w:eastAsia="仿宋_GB2312" w:cs="仿宋_GB2312"/>
          <w:color w:val="000000"/>
          <w:sz w:val="32"/>
          <w:szCs w:val="32"/>
        </w:rPr>
        <w:t>具体评分见《北京市重大项目建设指挥部办公室2023年部门整体绩效评价指标体系评分表》。</w:t>
      </w:r>
    </w:p>
    <w:p>
      <w:pPr>
        <w:adjustRightInd w:val="0"/>
        <w:snapToGrid w:val="0"/>
        <w:spacing w:line="580" w:lineRule="exact"/>
        <w:ind w:firstLine="640" w:firstLineChars="200"/>
        <w:outlineLvl w:val="1"/>
        <w:rPr>
          <w:rFonts w:ascii="楷体_GB2312" w:eastAsia="楷体_GB2312"/>
          <w:sz w:val="32"/>
          <w:szCs w:val="32"/>
        </w:rPr>
      </w:pPr>
      <w:bookmarkStart w:id="50" w:name="_Toc26597"/>
      <w:bookmarkStart w:id="51" w:name="_Toc5931"/>
      <w:bookmarkStart w:id="52" w:name="_Toc13374"/>
      <w:r>
        <w:rPr>
          <w:rFonts w:hint="eastAsia" w:ascii="楷体_GB2312" w:eastAsia="楷体_GB2312"/>
          <w:sz w:val="32"/>
          <w:szCs w:val="32"/>
        </w:rPr>
        <w:t>（二）存在的问题及原因分析</w:t>
      </w:r>
      <w:bookmarkEnd w:id="50"/>
      <w:bookmarkEnd w:id="51"/>
      <w:bookmarkEnd w:id="52"/>
    </w:p>
    <w:p>
      <w:pPr>
        <w:adjustRightInd w:val="0"/>
        <w:snapToGrid w:val="0"/>
        <w:spacing w:line="580" w:lineRule="exact"/>
        <w:ind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1.部分项目绩效目标设置的准确性和可衡量性有待提升。如： ① “计算机终端及网络设备运维费”项目，绩效目标表中的数量指标设定与项目实际服务内容之间的紧密对应性不足，有待改进。 ②“门户网站运维费”项目，绩效目标表中的数量指标设置为：处理政务咨询≥100条，实际完成处理政务咨询684条，对政务咨询处理的数量预估不足，有待改进。 </w:t>
      </w:r>
    </w:p>
    <w:p>
      <w:pPr>
        <w:adjustRightInd w:val="0"/>
        <w:snapToGrid w:val="0"/>
        <w:spacing w:line="580" w:lineRule="exact"/>
        <w:ind w:firstLine="640"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2.对重点项目监管力度以及资料留存的完整性有待加强。如“计算机终端及网络设备运维费”</w:t>
      </w:r>
      <w:r>
        <w:rPr>
          <w:rFonts w:ascii="仿宋_GB2312" w:hAnsi="仿宋_GB2312" w:eastAsia="仿宋_GB2312" w:cs="仿宋_GB2312"/>
          <w:color w:val="000000"/>
          <w:sz w:val="32"/>
          <w:szCs w:val="32"/>
        </w:rPr>
        <w:t>项目</w:t>
      </w:r>
      <w:r>
        <w:rPr>
          <w:rFonts w:hint="eastAsia" w:ascii="仿宋_GB2312" w:hAnsi="仿宋_GB2312" w:eastAsia="仿宋_GB2312" w:cs="仿宋_GB2312"/>
          <w:color w:val="000000"/>
          <w:sz w:val="32"/>
          <w:szCs w:val="32"/>
        </w:rPr>
        <w:t>预算内容与执行内容的监管力度不够，档案移交的运维过程资料不够完整，针对硬件故障问题的后续整改落实情况不够明确。</w:t>
      </w:r>
    </w:p>
    <w:p>
      <w:pPr>
        <w:adjustRightInd w:val="0"/>
        <w:snapToGrid w:val="0"/>
        <w:spacing w:line="580" w:lineRule="exact"/>
        <w:ind w:firstLine="640" w:firstLineChars="200"/>
        <w:outlineLvl w:val="0"/>
        <w:rPr>
          <w:rFonts w:ascii="黑体" w:hAnsi="黑体" w:eastAsia="黑体" w:cs="宋体"/>
          <w:color w:val="000000"/>
          <w:kern w:val="0"/>
          <w:sz w:val="32"/>
          <w:szCs w:val="32"/>
        </w:rPr>
      </w:pPr>
      <w:bookmarkStart w:id="53" w:name="_Toc25609"/>
      <w:bookmarkStart w:id="54" w:name="_Toc14321"/>
      <w:bookmarkStart w:id="55" w:name="_Toc1422"/>
      <w:r>
        <w:rPr>
          <w:rFonts w:hint="eastAsia" w:ascii="黑体" w:hAnsi="黑体" w:eastAsia="黑体" w:cs="宋体"/>
          <w:color w:val="000000"/>
          <w:kern w:val="0"/>
          <w:sz w:val="32"/>
          <w:szCs w:val="32"/>
        </w:rPr>
        <w:t>六、措施建议</w:t>
      </w:r>
      <w:bookmarkEnd w:id="53"/>
      <w:bookmarkEnd w:id="54"/>
      <w:bookmarkEnd w:id="55"/>
    </w:p>
    <w:p>
      <w:pPr>
        <w:adjustRightInd w:val="0"/>
        <w:snapToGrid w:val="0"/>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1.科学设置绩效目标。严格按照北京市预算绩效管理的要求，科学、合理编制绩效目标，按照项目工作内容细化量化各项指标值。</w:t>
      </w:r>
    </w:p>
    <w:p>
      <w:pPr>
        <w:spacing w:line="580" w:lineRule="exact"/>
        <w:ind w:firstLine="640" w:firstLineChars="200"/>
      </w:pPr>
      <w:r>
        <w:rPr>
          <w:rFonts w:hint="eastAsia" w:ascii="仿宋_GB2312" w:hAnsi="仿宋_GB2312" w:eastAsia="仿宋_GB2312" w:cs="仿宋_GB2312"/>
          <w:color w:val="000000"/>
          <w:sz w:val="32"/>
          <w:szCs w:val="32"/>
        </w:rPr>
        <w:t>2.加强对项目的过程监督。及时归集项目开展过程性资料，使工作过程有记录、问题有反馈、成果有展示，进一步提高项目管理的规范性。</w:t>
      </w:r>
    </w:p>
    <w:p>
      <w:pPr>
        <w:pStyle w:val="5"/>
        <w:spacing w:line="58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七、附件</w:t>
      </w:r>
    </w:p>
    <w:p>
      <w:pPr>
        <w:pStyle w:val="5"/>
        <w:spacing w:line="580" w:lineRule="exact"/>
        <w:ind w:firstLine="640" w:firstLineChars="200"/>
        <w:rPr>
          <w:rFonts w:ascii="仿宋_GB2312" w:hAnsi="仿宋_GB2312" w:eastAsia="仿宋_GB2312" w:cs="仿宋_GB2312"/>
          <w:color w:val="000000"/>
          <w:sz w:val="32"/>
          <w:szCs w:val="32"/>
        </w:rPr>
        <w:sectPr>
          <w:footerReference r:id="rId5" w:type="default"/>
          <w:pgSz w:w="11906" w:h="16838"/>
          <w:pgMar w:top="1440" w:right="1800" w:bottom="1440" w:left="1800" w:header="851" w:footer="992" w:gutter="0"/>
          <w:pgNumType w:start="1"/>
          <w:cols w:space="425" w:num="1"/>
          <w:docGrid w:type="lines" w:linePitch="312" w:charSpace="0"/>
        </w:sectPr>
      </w:pPr>
      <w:r>
        <w:rPr>
          <w:rFonts w:hint="eastAsia" w:ascii="仿宋_GB2312" w:hAnsi="仿宋_GB2312" w:eastAsia="仿宋_GB2312" w:cs="仿宋_GB2312"/>
          <w:color w:val="000000"/>
          <w:sz w:val="32"/>
          <w:szCs w:val="32"/>
        </w:rPr>
        <w:t>《北京市重大项目建设指挥部办公室2023年部门整体绩效评价指标体系评分表》</w:t>
      </w:r>
    </w:p>
    <w:p>
      <w:pPr>
        <w:pStyle w:val="5"/>
      </w:pPr>
      <w:r>
        <w:rPr>
          <w:rFonts w:hint="eastAsia" w:ascii="仿宋_GB2312" w:hAnsi="仿宋_GB2312" w:eastAsia="仿宋_GB2312" w:cs="仿宋_GB2312"/>
          <w:sz w:val="32"/>
          <w:szCs w:val="32"/>
        </w:rPr>
        <w:t>附件：</w:t>
      </w:r>
    </w:p>
    <w:tbl>
      <w:tblPr>
        <w:tblStyle w:val="12"/>
        <w:tblW w:w="14310" w:type="dxa"/>
        <w:tblInd w:w="-135" w:type="dxa"/>
        <w:tblLayout w:type="fixed"/>
        <w:tblCellMar>
          <w:top w:w="0" w:type="dxa"/>
          <w:left w:w="108" w:type="dxa"/>
          <w:bottom w:w="0" w:type="dxa"/>
          <w:right w:w="108" w:type="dxa"/>
        </w:tblCellMar>
      </w:tblPr>
      <w:tblGrid>
        <w:gridCol w:w="1005"/>
        <w:gridCol w:w="1020"/>
        <w:gridCol w:w="1485"/>
        <w:gridCol w:w="1500"/>
        <w:gridCol w:w="1575"/>
        <w:gridCol w:w="975"/>
        <w:gridCol w:w="1080"/>
        <w:gridCol w:w="1365"/>
        <w:gridCol w:w="4305"/>
      </w:tblGrid>
      <w:tr>
        <w:tblPrEx>
          <w:tblCellMar>
            <w:top w:w="0" w:type="dxa"/>
            <w:left w:w="108" w:type="dxa"/>
            <w:bottom w:w="0" w:type="dxa"/>
            <w:right w:w="108" w:type="dxa"/>
          </w:tblCellMar>
        </w:tblPrEx>
        <w:trPr>
          <w:trHeight w:val="390" w:hRule="atLeast"/>
        </w:trPr>
        <w:tc>
          <w:tcPr>
            <w:tcW w:w="14310" w:type="dxa"/>
            <w:gridSpan w:val="9"/>
            <w:tcBorders>
              <w:top w:val="nil"/>
              <w:left w:val="nil"/>
              <w:bottom w:val="single" w:color="000000" w:sz="8" w:space="0"/>
              <w:right w:val="nil"/>
            </w:tcBorders>
            <w:shd w:val="clear" w:color="auto" w:fill="auto"/>
            <w:noWrap/>
            <w:vAlign w:val="center"/>
          </w:tcPr>
          <w:p>
            <w:pPr>
              <w:widowControl/>
              <w:jc w:val="center"/>
              <w:textAlignment w:val="center"/>
              <w:rPr>
                <w:rFonts w:ascii="宋体" w:hAnsi="宋体" w:cs="宋体"/>
                <w:b/>
                <w:bCs/>
                <w:color w:val="000000"/>
                <w:sz w:val="28"/>
                <w:szCs w:val="28"/>
              </w:rPr>
            </w:pPr>
            <w:r>
              <w:rPr>
                <w:rFonts w:hint="eastAsia" w:ascii="宋体" w:hAnsi="宋体" w:cs="宋体"/>
                <w:b/>
                <w:bCs/>
                <w:color w:val="000000"/>
                <w:kern w:val="0"/>
                <w:sz w:val="28"/>
                <w:szCs w:val="28"/>
                <w:lang w:bidi="ar"/>
              </w:rPr>
              <w:t>北京市重大项目建设指挥部办公室2023年部门整体绩效评价指标体系评分表</w:t>
            </w:r>
          </w:p>
        </w:tc>
      </w:tr>
      <w:tr>
        <w:tblPrEx>
          <w:tblCellMar>
            <w:top w:w="0" w:type="dxa"/>
            <w:left w:w="108" w:type="dxa"/>
            <w:bottom w:w="0" w:type="dxa"/>
            <w:right w:w="108" w:type="dxa"/>
          </w:tblCellMar>
        </w:tblPrEx>
        <w:trPr>
          <w:trHeight w:val="387" w:hRule="atLeast"/>
        </w:trPr>
        <w:tc>
          <w:tcPr>
            <w:tcW w:w="14310" w:type="dxa"/>
            <w:gridSpan w:val="9"/>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一、当年预算执行情况（20分）</w:t>
            </w:r>
          </w:p>
        </w:tc>
      </w:tr>
      <w:tr>
        <w:tblPrEx>
          <w:tblCellMar>
            <w:top w:w="0" w:type="dxa"/>
            <w:left w:w="108" w:type="dxa"/>
            <w:bottom w:w="0" w:type="dxa"/>
            <w:right w:w="108" w:type="dxa"/>
          </w:tblCellMar>
        </w:tblPrEx>
        <w:trPr>
          <w:trHeight w:val="312" w:hRule="atLeast"/>
        </w:trPr>
        <w:tc>
          <w:tcPr>
            <w:tcW w:w="1005"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一级指标</w:t>
            </w:r>
          </w:p>
        </w:tc>
        <w:tc>
          <w:tcPr>
            <w:tcW w:w="1020" w:type="dxa"/>
            <w:vMerge w:val="restar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二级指标</w:t>
            </w:r>
          </w:p>
        </w:tc>
        <w:tc>
          <w:tcPr>
            <w:tcW w:w="1485" w:type="dxa"/>
            <w:vMerge w:val="restar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预算数（万元）</w:t>
            </w:r>
          </w:p>
        </w:tc>
        <w:tc>
          <w:tcPr>
            <w:tcW w:w="1500" w:type="dxa"/>
            <w:vMerge w:val="restar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执行数（万元）</w:t>
            </w:r>
          </w:p>
        </w:tc>
        <w:tc>
          <w:tcPr>
            <w:tcW w:w="1575" w:type="dxa"/>
            <w:vMerge w:val="restar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预算执行率</w:t>
            </w:r>
          </w:p>
        </w:tc>
        <w:tc>
          <w:tcPr>
            <w:tcW w:w="975" w:type="dxa"/>
            <w:vMerge w:val="restar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分值</w:t>
            </w:r>
          </w:p>
        </w:tc>
        <w:tc>
          <w:tcPr>
            <w:tcW w:w="1080" w:type="dxa"/>
            <w:vMerge w:val="restar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得分</w:t>
            </w:r>
          </w:p>
        </w:tc>
        <w:tc>
          <w:tcPr>
            <w:tcW w:w="1365" w:type="dxa"/>
            <w:vMerge w:val="restar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指标解释</w:t>
            </w:r>
          </w:p>
        </w:tc>
        <w:tc>
          <w:tcPr>
            <w:tcW w:w="4305" w:type="dxa"/>
            <w:vMerge w:val="restar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评分标准</w:t>
            </w:r>
          </w:p>
        </w:tc>
      </w:tr>
      <w:tr>
        <w:tblPrEx>
          <w:tblCellMar>
            <w:top w:w="0" w:type="dxa"/>
            <w:left w:w="108" w:type="dxa"/>
            <w:bottom w:w="0" w:type="dxa"/>
            <w:right w:w="108" w:type="dxa"/>
          </w:tblCellMar>
        </w:tblPrEx>
        <w:trPr>
          <w:trHeight w:val="439" w:hRule="atLeast"/>
        </w:trPr>
        <w:tc>
          <w:tcPr>
            <w:tcW w:w="100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102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148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150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15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108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136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30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r>
      <w:tr>
        <w:tblPrEx>
          <w:tblCellMar>
            <w:top w:w="0" w:type="dxa"/>
            <w:left w:w="108" w:type="dxa"/>
            <w:bottom w:w="0" w:type="dxa"/>
            <w:right w:w="108" w:type="dxa"/>
          </w:tblCellMar>
        </w:tblPrEx>
        <w:trPr>
          <w:trHeight w:val="1365" w:hRule="atLeast"/>
        </w:trPr>
        <w:tc>
          <w:tcPr>
            <w:tcW w:w="1005"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当年预算执行情况（20分）</w:t>
            </w:r>
          </w:p>
        </w:tc>
        <w:tc>
          <w:tcPr>
            <w:tcW w:w="1020" w:type="dxa"/>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资金总体</w:t>
            </w:r>
          </w:p>
        </w:tc>
        <w:tc>
          <w:tcPr>
            <w:tcW w:w="1485" w:type="dxa"/>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42,425.06</w:t>
            </w:r>
          </w:p>
        </w:tc>
        <w:tc>
          <w:tcPr>
            <w:tcW w:w="1500" w:type="dxa"/>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42,315.95</w:t>
            </w:r>
          </w:p>
        </w:tc>
        <w:tc>
          <w:tcPr>
            <w:tcW w:w="1575" w:type="dxa"/>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99.74%</w:t>
            </w:r>
          </w:p>
        </w:tc>
        <w:tc>
          <w:tcPr>
            <w:tcW w:w="975"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w:t>
            </w:r>
          </w:p>
        </w:tc>
        <w:tc>
          <w:tcPr>
            <w:tcW w:w="1080"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19.95</w:t>
            </w:r>
          </w:p>
        </w:tc>
        <w:tc>
          <w:tcPr>
            <w:tcW w:w="1365"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部门全年执行数与全年预算数的比率。资金总体=基本支出+项目支出+其他</w:t>
            </w:r>
          </w:p>
        </w:tc>
        <w:tc>
          <w:tcPr>
            <w:tcW w:w="4305"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①得分一档最高不能超过该指标分值上限（20分）。</w:t>
            </w:r>
          </w:p>
        </w:tc>
      </w:tr>
      <w:tr>
        <w:tblPrEx>
          <w:tblCellMar>
            <w:top w:w="0" w:type="dxa"/>
            <w:left w:w="108" w:type="dxa"/>
            <w:bottom w:w="0" w:type="dxa"/>
            <w:right w:w="108" w:type="dxa"/>
          </w:tblCellMar>
        </w:tblPrEx>
        <w:trPr>
          <w:trHeight w:val="1002" w:hRule="atLeast"/>
        </w:trPr>
        <w:tc>
          <w:tcPr>
            <w:tcW w:w="100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20" w:type="dxa"/>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基本支出</w:t>
            </w:r>
          </w:p>
        </w:tc>
        <w:tc>
          <w:tcPr>
            <w:tcW w:w="1485" w:type="dxa"/>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3,551.98</w:t>
            </w:r>
          </w:p>
        </w:tc>
        <w:tc>
          <w:tcPr>
            <w:tcW w:w="1500" w:type="dxa"/>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3,454.27</w:t>
            </w:r>
          </w:p>
        </w:tc>
        <w:tc>
          <w:tcPr>
            <w:tcW w:w="1575"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975"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365"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4305" w:type="dxa"/>
            <w:vMerge w:val="restar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②该指标若为正向指标，则得分计算方法应用全年实际值/年度指标值*该指标分值；若定量指标为反向指标，则得分计算方法应用年度指标值/全年实际值*该指标分值。若年初指标值设定偏低，则得分计算方法应用（全年实际值-年度指标值/年度指标值*100%。若计算结果在200%（含）-300%区间，则按照该指标分值的10%扣分；计算结果在300%（含）-500%区间，则按照该指标分值的20%扣分；计算结果高于500%（含），则按照该指标分值的30%扣分。</w:t>
            </w:r>
          </w:p>
        </w:tc>
      </w:tr>
      <w:tr>
        <w:tblPrEx>
          <w:tblCellMar>
            <w:top w:w="0" w:type="dxa"/>
            <w:left w:w="108" w:type="dxa"/>
            <w:bottom w:w="0" w:type="dxa"/>
            <w:right w:w="108" w:type="dxa"/>
          </w:tblCellMar>
        </w:tblPrEx>
        <w:trPr>
          <w:trHeight w:val="1257" w:hRule="atLeast"/>
        </w:trPr>
        <w:tc>
          <w:tcPr>
            <w:tcW w:w="100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20" w:type="dxa"/>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项目支出</w:t>
            </w:r>
          </w:p>
        </w:tc>
        <w:tc>
          <w:tcPr>
            <w:tcW w:w="1485" w:type="dxa"/>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8,921.86</w:t>
            </w:r>
          </w:p>
        </w:tc>
        <w:tc>
          <w:tcPr>
            <w:tcW w:w="1500" w:type="dxa"/>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8,910.46</w:t>
            </w:r>
          </w:p>
        </w:tc>
        <w:tc>
          <w:tcPr>
            <w:tcW w:w="1575"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365"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4305" w:type="dxa"/>
            <w:vMerge w:val="continue"/>
            <w:tcBorders>
              <w:top w:val="nil"/>
              <w:left w:val="nil"/>
              <w:bottom w:val="single" w:color="000000" w:sz="8" w:space="0"/>
              <w:right w:val="single" w:color="000000" w:sz="8" w:space="0"/>
            </w:tcBorders>
            <w:shd w:val="clear" w:color="auto" w:fill="auto"/>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2022" w:hRule="atLeast"/>
        </w:trPr>
        <w:tc>
          <w:tcPr>
            <w:tcW w:w="100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20" w:type="dxa"/>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w:t>
            </w:r>
          </w:p>
        </w:tc>
        <w:tc>
          <w:tcPr>
            <w:tcW w:w="1485" w:type="dxa"/>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29,951.22</w:t>
            </w:r>
          </w:p>
        </w:tc>
        <w:tc>
          <w:tcPr>
            <w:tcW w:w="1500" w:type="dxa"/>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29,951.22</w:t>
            </w:r>
          </w:p>
        </w:tc>
        <w:tc>
          <w:tcPr>
            <w:tcW w:w="1575"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365"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4305" w:type="dxa"/>
            <w:vMerge w:val="continue"/>
            <w:tcBorders>
              <w:top w:val="nil"/>
              <w:left w:val="nil"/>
              <w:bottom w:val="single" w:color="000000" w:sz="8" w:space="0"/>
              <w:right w:val="single" w:color="000000" w:sz="8" w:space="0"/>
            </w:tcBorders>
            <w:shd w:val="clear" w:color="auto" w:fill="auto"/>
            <w:vAlign w:val="center"/>
          </w:tcPr>
          <w:p>
            <w:pPr>
              <w:jc w:val="left"/>
              <w:rPr>
                <w:rFonts w:ascii="宋体" w:hAnsi="宋体" w:cs="宋体"/>
                <w:color w:val="000000"/>
                <w:sz w:val="20"/>
                <w:szCs w:val="20"/>
              </w:rPr>
            </w:pPr>
          </w:p>
        </w:tc>
      </w:tr>
    </w:tbl>
    <w:p>
      <w:pPr>
        <w:pStyle w:val="5"/>
      </w:pPr>
    </w:p>
    <w:p/>
    <w:tbl>
      <w:tblPr>
        <w:tblStyle w:val="12"/>
        <w:tblW w:w="14187" w:type="dxa"/>
        <w:tblInd w:w="-135" w:type="dxa"/>
        <w:tblLayout w:type="fixed"/>
        <w:tblCellMar>
          <w:top w:w="0" w:type="dxa"/>
          <w:left w:w="108" w:type="dxa"/>
          <w:bottom w:w="0" w:type="dxa"/>
          <w:right w:w="108" w:type="dxa"/>
        </w:tblCellMar>
      </w:tblPr>
      <w:tblGrid>
        <w:gridCol w:w="1020"/>
        <w:gridCol w:w="1065"/>
        <w:gridCol w:w="1200"/>
        <w:gridCol w:w="1709"/>
        <w:gridCol w:w="1590"/>
        <w:gridCol w:w="975"/>
        <w:gridCol w:w="1095"/>
        <w:gridCol w:w="1531"/>
        <w:gridCol w:w="4002"/>
      </w:tblGrid>
      <w:tr>
        <w:tblPrEx>
          <w:tblCellMar>
            <w:top w:w="0" w:type="dxa"/>
            <w:left w:w="108" w:type="dxa"/>
            <w:bottom w:w="0" w:type="dxa"/>
            <w:right w:w="108" w:type="dxa"/>
          </w:tblCellMar>
        </w:tblPrEx>
        <w:trPr>
          <w:trHeight w:val="300" w:hRule="atLeast"/>
          <w:tblHeader/>
        </w:trPr>
        <w:tc>
          <w:tcPr>
            <w:tcW w:w="14187" w:type="dxa"/>
            <w:gridSpan w:val="9"/>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二、整体绩效目标实现情况（60分）</w:t>
            </w:r>
          </w:p>
        </w:tc>
      </w:tr>
      <w:tr>
        <w:tblPrEx>
          <w:tblCellMar>
            <w:top w:w="0" w:type="dxa"/>
            <w:left w:w="108" w:type="dxa"/>
            <w:bottom w:w="0" w:type="dxa"/>
            <w:right w:w="108" w:type="dxa"/>
          </w:tblCellMar>
        </w:tblPrEx>
        <w:trPr>
          <w:trHeight w:val="300" w:hRule="atLeast"/>
          <w:tblHeader/>
        </w:trPr>
        <w:tc>
          <w:tcPr>
            <w:tcW w:w="102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一级指标</w:t>
            </w:r>
          </w:p>
        </w:tc>
        <w:tc>
          <w:tcPr>
            <w:tcW w:w="106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二级指标</w:t>
            </w:r>
          </w:p>
        </w:tc>
        <w:tc>
          <w:tcPr>
            <w:tcW w:w="120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三级指标</w:t>
            </w: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指标值</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完成值</w:t>
            </w:r>
          </w:p>
        </w:tc>
        <w:tc>
          <w:tcPr>
            <w:tcW w:w="97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分值</w:t>
            </w:r>
          </w:p>
        </w:tc>
        <w:tc>
          <w:tcPr>
            <w:tcW w:w="109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得分</w:t>
            </w:r>
          </w:p>
        </w:tc>
        <w:tc>
          <w:tcPr>
            <w:tcW w:w="1531"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指标解释</w:t>
            </w: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评分标准</w:t>
            </w:r>
          </w:p>
        </w:tc>
      </w:tr>
      <w:tr>
        <w:tblPrEx>
          <w:tblCellMar>
            <w:top w:w="0" w:type="dxa"/>
            <w:left w:w="108" w:type="dxa"/>
            <w:bottom w:w="0" w:type="dxa"/>
            <w:right w:w="108" w:type="dxa"/>
          </w:tblCellMar>
        </w:tblPrEx>
        <w:trPr>
          <w:trHeight w:val="1935" w:hRule="atLeast"/>
        </w:trPr>
        <w:tc>
          <w:tcPr>
            <w:tcW w:w="102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整体绩效目标实现情况（60分）</w:t>
            </w:r>
          </w:p>
        </w:tc>
        <w:tc>
          <w:tcPr>
            <w:tcW w:w="106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产出（30分）</w:t>
            </w:r>
          </w:p>
        </w:tc>
        <w:tc>
          <w:tcPr>
            <w:tcW w:w="120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运维网络终端设备数量=165台</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165台</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产出数量：</w:t>
            </w:r>
            <w:r>
              <w:rPr>
                <w:rStyle w:val="30"/>
                <w:rFonts w:hint="default"/>
                <w:lang w:bidi="ar"/>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935"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运维计算机外设设备数量=73台</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73台</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935"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对应用系统以及系统的云主机、操作系统、数据库等，进行漏洞扫描=2次</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2次</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435"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对计算机终端及网络设备进行保密安全检测=1次</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1次</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168"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用于中央及市委市政府确定的新增、临时、紧急事项次数≤3次</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1次</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62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因公出国（境）次数≤1次</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80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因公出国（境）天数≤5天</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37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运维电子档案管理系统和政务综合办公服务平台数量=2套</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2套</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82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除合同外法律咨询时长≥48小时</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75.2小时</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53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保障日常办公人员用餐≤102人</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88人</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92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保障技术保障人员用餐≤1人</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1人</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015"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保障参会人员午餐≤10人</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194人次</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635"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因公出国（境）人数≤2人</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29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互联网IP地址数量≥1个</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676"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对上年所有预算项目开展绩效评价≥15个</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19个</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545"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对当年预算项目开展绩效运行监控≥11个</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14个</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24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审核绩效目标申报表≥10个</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13个</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525"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处理政务咨询数量≥100条</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684条</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62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在微信公众平台发布信息数量≥100条</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222条</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41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在门户网站发布信息数量≥200条</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397条</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25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绩效评价、绩效运行监控和成本预算绩效分析报告≥3份</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3个</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60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审核合同数量≥20份</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34份</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65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门户网站运行情况报告≥2份</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2份</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691"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印制北京市城市轨道交通建设计划册=190本</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190本</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63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1709" w:type="dxa"/>
            <w:tcBorders>
              <w:top w:val="single" w:color="000000" w:sz="8" w:space="0"/>
              <w:left w:val="single" w:color="000000" w:sz="8" w:space="0"/>
              <w:bottom w:val="single" w:color="auto" w:sz="4"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产生法律纠纷次数=0次</w:t>
            </w:r>
          </w:p>
        </w:tc>
        <w:tc>
          <w:tcPr>
            <w:tcW w:w="1590" w:type="dxa"/>
            <w:tcBorders>
              <w:top w:val="single" w:color="000000" w:sz="8" w:space="0"/>
              <w:left w:val="single" w:color="000000" w:sz="8" w:space="0"/>
              <w:bottom w:val="single" w:color="auto" w:sz="4"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0次</w:t>
            </w:r>
          </w:p>
        </w:tc>
        <w:tc>
          <w:tcPr>
            <w:tcW w:w="975" w:type="dxa"/>
            <w:tcBorders>
              <w:top w:val="single" w:color="000000" w:sz="8" w:space="0"/>
              <w:left w:val="single" w:color="000000" w:sz="8" w:space="0"/>
              <w:bottom w:val="single" w:color="auto" w:sz="4"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000000" w:sz="8" w:space="0"/>
              <w:left w:val="single" w:color="000000" w:sz="8" w:space="0"/>
              <w:bottom w:val="single" w:color="auto" w:sz="4"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restart"/>
            <w:tcBorders>
              <w:top w:val="single" w:color="000000" w:sz="8" w:space="0"/>
              <w:left w:val="single" w:color="000000" w:sz="8" w:space="0"/>
              <w:bottom w:val="single" w:color="auto" w:sz="4"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产出质量：</w:t>
            </w:r>
            <w:r>
              <w:rPr>
                <w:rStyle w:val="30"/>
                <w:rFonts w:hint="default"/>
                <w:lang w:bidi="ar"/>
              </w:rPr>
              <w:t>质量达标率=质量达标工作数/实际完成工作数×100%。质量达标工作数：一定时期（年度或规划期）内部门（单位）实际完成工作数中达到部门绩效目标要求（绩效标准值）的工作任务数量。</w:t>
            </w:r>
          </w:p>
        </w:tc>
        <w:tc>
          <w:tcPr>
            <w:tcW w:w="4002" w:type="dxa"/>
            <w:tcBorders>
              <w:top w:val="single" w:color="000000" w:sz="8" w:space="0"/>
              <w:left w:val="single" w:color="000000" w:sz="8" w:space="0"/>
              <w:bottom w:val="single" w:color="auto" w:sz="4"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51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ascii="宋体" w:hAnsi="宋体" w:cs="宋体"/>
                <w:color w:val="000000"/>
                <w:sz w:val="20"/>
                <w:szCs w:val="20"/>
              </w:rPr>
            </w:pPr>
          </w:p>
        </w:tc>
        <w:tc>
          <w:tcPr>
            <w:tcW w:w="1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重大信息错误率≤1%</w:t>
            </w:r>
          </w:p>
        </w:tc>
        <w:tc>
          <w:tcPr>
            <w:tcW w:w="15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9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9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ascii="宋体" w:hAnsi="宋体" w:cs="宋体"/>
                <w:color w:val="000000"/>
                <w:sz w:val="20"/>
                <w:szCs w:val="20"/>
              </w:rPr>
            </w:pPr>
          </w:p>
        </w:tc>
        <w:tc>
          <w:tcPr>
            <w:tcW w:w="1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运维验收合格率100%</w:t>
            </w:r>
          </w:p>
        </w:tc>
        <w:tc>
          <w:tcPr>
            <w:tcW w:w="15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525"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ascii="宋体" w:hAnsi="宋体" w:cs="宋体"/>
                <w:color w:val="000000"/>
                <w:sz w:val="20"/>
                <w:szCs w:val="20"/>
              </w:rPr>
            </w:pPr>
          </w:p>
        </w:tc>
        <w:tc>
          <w:tcPr>
            <w:tcW w:w="1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基础信息准确率≥98%</w:t>
            </w:r>
          </w:p>
        </w:tc>
        <w:tc>
          <w:tcPr>
            <w:tcW w:w="15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414"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ascii="宋体" w:hAnsi="宋体" w:cs="宋体"/>
                <w:color w:val="000000"/>
                <w:sz w:val="20"/>
                <w:szCs w:val="20"/>
              </w:rPr>
            </w:pPr>
          </w:p>
        </w:tc>
        <w:tc>
          <w:tcPr>
            <w:tcW w:w="1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故障排除率100%</w:t>
            </w:r>
          </w:p>
        </w:tc>
        <w:tc>
          <w:tcPr>
            <w:tcW w:w="15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9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9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auto" w:sz="4"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圆满完成中央及市委市政府确定的新增、临时、紧急事项</w:t>
            </w:r>
          </w:p>
        </w:tc>
        <w:tc>
          <w:tcPr>
            <w:tcW w:w="1590" w:type="dxa"/>
            <w:tcBorders>
              <w:top w:val="single" w:color="auto" w:sz="4"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圆满完成了市委、市政府交办临时紧急的通州西集应急方舱医院项目完工结算审计工作</w:t>
            </w:r>
          </w:p>
        </w:tc>
        <w:tc>
          <w:tcPr>
            <w:tcW w:w="975" w:type="dxa"/>
            <w:tcBorders>
              <w:top w:val="single" w:color="auto" w:sz="4"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095" w:type="dxa"/>
            <w:tcBorders>
              <w:top w:val="single" w:color="auto" w:sz="4"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531" w:type="dxa"/>
            <w:vMerge w:val="continue"/>
            <w:tcBorders>
              <w:top w:val="single" w:color="auto" w:sz="4"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auto" w:sz="4"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571"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因公出国调研计划符合市外办要求</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未开展</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928"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食堂菜品质量和服务满足用餐人员需求</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满足了</w:t>
            </w:r>
            <w:r>
              <w:rPr>
                <w:rFonts w:hint="eastAsia" w:ascii="宋体" w:hAnsi="宋体" w:cs="宋体"/>
                <w:color w:val="000000"/>
                <w:kern w:val="0"/>
                <w:sz w:val="20"/>
                <w:szCs w:val="20"/>
                <w:lang w:eastAsia="zh-CN" w:bidi="ar"/>
              </w:rPr>
              <w:t>市重大项目办</w:t>
            </w:r>
            <w:r>
              <w:rPr>
                <w:rFonts w:hint="eastAsia" w:ascii="宋体" w:hAnsi="宋体" w:cs="宋体"/>
                <w:color w:val="000000"/>
                <w:kern w:val="0"/>
                <w:sz w:val="20"/>
                <w:szCs w:val="20"/>
                <w:lang w:bidi="ar"/>
              </w:rPr>
              <w:t>后勤食堂用餐需求</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9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auto" w:sz="4"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计划册纸张质量符合单位要求</w:t>
            </w:r>
          </w:p>
        </w:tc>
        <w:tc>
          <w:tcPr>
            <w:tcW w:w="1590" w:type="dxa"/>
            <w:tcBorders>
              <w:top w:val="single" w:color="000000" w:sz="8" w:space="0"/>
              <w:left w:val="single" w:color="000000" w:sz="8" w:space="0"/>
              <w:bottom w:val="single" w:color="auto" w:sz="4"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纸张重量80G、纸张尺寸210mm*297mm</w:t>
            </w:r>
          </w:p>
        </w:tc>
        <w:tc>
          <w:tcPr>
            <w:tcW w:w="975" w:type="dxa"/>
            <w:tcBorders>
              <w:top w:val="single" w:color="000000" w:sz="8" w:space="0"/>
              <w:left w:val="single" w:color="000000" w:sz="8" w:space="0"/>
              <w:bottom w:val="single" w:color="auto" w:sz="4"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095" w:type="dxa"/>
            <w:tcBorders>
              <w:top w:val="single" w:color="000000" w:sz="8" w:space="0"/>
              <w:left w:val="single" w:color="000000" w:sz="8" w:space="0"/>
              <w:bottom w:val="single" w:color="auto" w:sz="4"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531" w:type="dxa"/>
            <w:vMerge w:val="continue"/>
            <w:tcBorders>
              <w:top w:val="single" w:color="000000" w:sz="8" w:space="0"/>
              <w:left w:val="single" w:color="000000" w:sz="8" w:space="0"/>
              <w:bottom w:val="single" w:color="auto" w:sz="4"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auto" w:sz="4"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128"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ascii="宋体" w:hAnsi="宋体" w:cs="宋体"/>
                <w:color w:val="000000"/>
                <w:sz w:val="20"/>
                <w:szCs w:val="20"/>
              </w:rPr>
            </w:pPr>
          </w:p>
        </w:tc>
        <w:tc>
          <w:tcPr>
            <w:tcW w:w="1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北京市财政局预算绩效管理、绩效评价等相关工作要求</w:t>
            </w:r>
          </w:p>
        </w:tc>
        <w:tc>
          <w:tcPr>
            <w:tcW w:w="15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各项成果均通过验收、基本符合相关工作要求</w:t>
            </w:r>
          </w:p>
        </w:tc>
        <w:tc>
          <w:tcPr>
            <w:tcW w:w="9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0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5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475"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ascii="宋体" w:hAnsi="宋体" w:cs="宋体"/>
                <w:color w:val="000000"/>
                <w:sz w:val="20"/>
                <w:szCs w:val="20"/>
              </w:rPr>
            </w:pPr>
          </w:p>
        </w:tc>
        <w:tc>
          <w:tcPr>
            <w:tcW w:w="1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保障办公人员所需各项经费</w:t>
            </w:r>
          </w:p>
        </w:tc>
        <w:tc>
          <w:tcPr>
            <w:tcW w:w="15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得到保障</w:t>
            </w:r>
          </w:p>
        </w:tc>
        <w:tc>
          <w:tcPr>
            <w:tcW w:w="9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0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5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459"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restart"/>
            <w:tcBorders>
              <w:top w:val="single" w:color="000000" w:sz="8" w:space="0"/>
              <w:left w:val="single" w:color="000000" w:sz="8" w:space="0"/>
              <w:bottom w:val="single" w:color="000000" w:sz="8"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1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系统运行维护响应率100%</w:t>
            </w:r>
          </w:p>
        </w:tc>
        <w:tc>
          <w:tcPr>
            <w:tcW w:w="15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0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5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产出进度：</w:t>
            </w:r>
            <w:r>
              <w:rPr>
                <w:rStyle w:val="30"/>
                <w:rFonts w:hint="default"/>
                <w:lang w:bidi="ar"/>
              </w:rPr>
              <w:t>按时完成率=（按时完成工作数/实际完成工作数）×100%。按时完成工作数：部门（单位）按照整体绩效目标确定的时限实际完成的工作任务数量。</w:t>
            </w:r>
          </w:p>
        </w:tc>
        <w:tc>
          <w:tcPr>
            <w:tcW w:w="40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549"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ascii="宋体" w:hAnsi="宋体" w:cs="宋体"/>
                <w:color w:val="000000"/>
                <w:sz w:val="20"/>
                <w:szCs w:val="20"/>
              </w:rPr>
            </w:pPr>
          </w:p>
        </w:tc>
        <w:tc>
          <w:tcPr>
            <w:tcW w:w="1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系统故障修复处理时间≤2小时</w:t>
            </w:r>
          </w:p>
        </w:tc>
        <w:tc>
          <w:tcPr>
            <w:tcW w:w="15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≤2小时</w:t>
            </w:r>
          </w:p>
        </w:tc>
        <w:tc>
          <w:tcPr>
            <w:tcW w:w="9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312"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ascii="宋体" w:hAnsi="宋体" w:cs="宋体"/>
                <w:color w:val="000000"/>
                <w:sz w:val="20"/>
                <w:szCs w:val="20"/>
              </w:rPr>
            </w:pPr>
          </w:p>
        </w:tc>
        <w:tc>
          <w:tcPr>
            <w:tcW w:w="1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2023年12月底前完成</w:t>
            </w:r>
          </w:p>
        </w:tc>
        <w:tc>
          <w:tcPr>
            <w:tcW w:w="159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2023年12月底前均完成</w:t>
            </w:r>
            <w:r>
              <w:rPr>
                <w:rFonts w:hint="eastAsia" w:ascii="宋体" w:hAnsi="宋体" w:cs="宋体"/>
                <w:color w:val="000000"/>
                <w:kern w:val="0"/>
                <w:sz w:val="18"/>
                <w:szCs w:val="18"/>
                <w:lang w:eastAsia="zh-CN" w:bidi="ar"/>
              </w:rPr>
              <w:t>市重大项目办</w:t>
            </w:r>
            <w:r>
              <w:rPr>
                <w:rFonts w:hint="eastAsia" w:ascii="宋体" w:hAnsi="宋体" w:cs="宋体"/>
                <w:color w:val="000000"/>
                <w:kern w:val="0"/>
                <w:sz w:val="18"/>
                <w:szCs w:val="18"/>
                <w:lang w:bidi="ar"/>
              </w:rPr>
              <w:t>各项内容实施</w:t>
            </w:r>
          </w:p>
        </w:tc>
        <w:tc>
          <w:tcPr>
            <w:tcW w:w="97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5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 w:val="20"/>
                <w:szCs w:val="20"/>
              </w:rPr>
            </w:pPr>
          </w:p>
        </w:tc>
        <w:tc>
          <w:tcPr>
            <w:tcW w:w="400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312"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ascii="宋体" w:hAnsi="宋体" w:cs="宋体"/>
                <w:color w:val="000000"/>
                <w:sz w:val="20"/>
                <w:szCs w:val="20"/>
              </w:rPr>
            </w:pPr>
          </w:p>
        </w:tc>
        <w:tc>
          <w:tcPr>
            <w:tcW w:w="1709" w:type="dxa"/>
            <w:vMerge w:val="continue"/>
            <w:tcBorders>
              <w:top w:val="single" w:color="auto" w:sz="4" w:space="0"/>
              <w:left w:val="single" w:color="auto" w:sz="4" w:space="0"/>
              <w:bottom w:val="single" w:color="auto" w:sz="4" w:space="0"/>
              <w:right w:val="single" w:color="000000" w:sz="8" w:space="0"/>
            </w:tcBorders>
            <w:shd w:val="clear" w:color="auto" w:fill="auto"/>
            <w:vAlign w:val="center"/>
          </w:tcPr>
          <w:p>
            <w:pPr>
              <w:jc w:val="center"/>
              <w:rPr>
                <w:rFonts w:ascii="宋体" w:hAnsi="宋体" w:cs="宋体"/>
                <w:color w:val="000000"/>
                <w:sz w:val="20"/>
                <w:szCs w:val="20"/>
              </w:rPr>
            </w:pPr>
          </w:p>
        </w:tc>
        <w:tc>
          <w:tcPr>
            <w:tcW w:w="1590" w:type="dxa"/>
            <w:vMerge w:val="continue"/>
            <w:tcBorders>
              <w:top w:val="single" w:color="auto" w:sz="4" w:space="0"/>
              <w:left w:val="nil"/>
              <w:bottom w:val="single" w:color="auto" w:sz="4" w:space="0"/>
              <w:right w:val="nil"/>
            </w:tcBorders>
            <w:shd w:val="clear" w:color="auto" w:fill="auto"/>
            <w:vAlign w:val="center"/>
          </w:tcPr>
          <w:p>
            <w:pPr>
              <w:jc w:val="center"/>
              <w:rPr>
                <w:rFonts w:ascii="宋体" w:hAnsi="宋体" w:cs="宋体"/>
                <w:color w:val="000000"/>
                <w:sz w:val="18"/>
                <w:szCs w:val="18"/>
              </w:rPr>
            </w:pPr>
          </w:p>
        </w:tc>
        <w:tc>
          <w:tcPr>
            <w:tcW w:w="975" w:type="dxa"/>
            <w:vMerge w:val="continue"/>
            <w:tcBorders>
              <w:top w:val="single" w:color="auto" w:sz="4" w:space="0"/>
              <w:left w:val="single" w:color="000000" w:sz="8" w:space="0"/>
              <w:bottom w:val="single" w:color="auto" w:sz="4" w:space="0"/>
              <w:right w:val="single" w:color="000000" w:sz="8" w:space="0"/>
            </w:tcBorders>
            <w:shd w:val="clear" w:color="auto" w:fill="auto"/>
            <w:noWrap/>
            <w:vAlign w:val="center"/>
          </w:tcPr>
          <w:p>
            <w:pPr>
              <w:jc w:val="center"/>
              <w:rPr>
                <w:rFonts w:ascii="宋体" w:hAnsi="宋体" w:cs="宋体"/>
                <w:color w:val="000000"/>
                <w:sz w:val="20"/>
                <w:szCs w:val="20"/>
              </w:rPr>
            </w:pPr>
          </w:p>
        </w:tc>
        <w:tc>
          <w:tcPr>
            <w:tcW w:w="1095" w:type="dxa"/>
            <w:vMerge w:val="continue"/>
            <w:tcBorders>
              <w:top w:val="single" w:color="auto" w:sz="4" w:space="0"/>
              <w:left w:val="single" w:color="000000" w:sz="8" w:space="0"/>
              <w:bottom w:val="single" w:color="auto" w:sz="4" w:space="0"/>
              <w:right w:val="single" w:color="000000" w:sz="8" w:space="0"/>
            </w:tcBorders>
            <w:shd w:val="clear" w:color="auto" w:fill="auto"/>
            <w:noWrap/>
            <w:vAlign w:val="center"/>
          </w:tcPr>
          <w:p>
            <w:pPr>
              <w:jc w:val="center"/>
              <w:rPr>
                <w:rFonts w:ascii="宋体" w:hAnsi="宋体" w:cs="宋体"/>
                <w:color w:val="000000"/>
                <w:sz w:val="20"/>
                <w:szCs w:val="20"/>
              </w:rPr>
            </w:pPr>
          </w:p>
        </w:tc>
        <w:tc>
          <w:tcPr>
            <w:tcW w:w="1531" w:type="dxa"/>
            <w:vMerge w:val="continue"/>
            <w:tcBorders>
              <w:top w:val="single" w:color="auto" w:sz="4" w:space="0"/>
              <w:left w:val="single" w:color="000000" w:sz="8" w:space="0"/>
              <w:bottom w:val="single" w:color="auto" w:sz="4"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vMerge w:val="continue"/>
            <w:tcBorders>
              <w:top w:val="single" w:color="auto" w:sz="4" w:space="0"/>
              <w:left w:val="single" w:color="000000" w:sz="8"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312"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ascii="宋体" w:hAnsi="宋体" w:cs="宋体"/>
                <w:color w:val="000000"/>
                <w:sz w:val="20"/>
                <w:szCs w:val="20"/>
              </w:rPr>
            </w:pPr>
          </w:p>
        </w:tc>
        <w:tc>
          <w:tcPr>
            <w:tcW w:w="1709" w:type="dxa"/>
            <w:vMerge w:val="continue"/>
            <w:tcBorders>
              <w:top w:val="single" w:color="auto" w:sz="4" w:space="0"/>
              <w:left w:val="single" w:color="auto" w:sz="4" w:space="0"/>
              <w:bottom w:val="single" w:color="auto" w:sz="4" w:space="0"/>
              <w:right w:val="single" w:color="000000" w:sz="8" w:space="0"/>
            </w:tcBorders>
            <w:shd w:val="clear" w:color="auto" w:fill="auto"/>
            <w:vAlign w:val="center"/>
          </w:tcPr>
          <w:p>
            <w:pPr>
              <w:jc w:val="center"/>
              <w:rPr>
                <w:rFonts w:ascii="宋体" w:hAnsi="宋体" w:cs="宋体"/>
                <w:color w:val="000000"/>
                <w:sz w:val="20"/>
                <w:szCs w:val="20"/>
              </w:rPr>
            </w:pPr>
          </w:p>
        </w:tc>
        <w:tc>
          <w:tcPr>
            <w:tcW w:w="1590" w:type="dxa"/>
            <w:vMerge w:val="continue"/>
            <w:tcBorders>
              <w:top w:val="single" w:color="auto" w:sz="4" w:space="0"/>
              <w:left w:val="nil"/>
              <w:bottom w:val="single" w:color="auto" w:sz="4" w:space="0"/>
              <w:right w:val="nil"/>
            </w:tcBorders>
            <w:shd w:val="clear" w:color="auto" w:fill="auto"/>
            <w:vAlign w:val="center"/>
          </w:tcPr>
          <w:p>
            <w:pPr>
              <w:jc w:val="center"/>
              <w:rPr>
                <w:rFonts w:ascii="宋体" w:hAnsi="宋体" w:cs="宋体"/>
                <w:color w:val="000000"/>
                <w:sz w:val="18"/>
                <w:szCs w:val="18"/>
              </w:rPr>
            </w:pPr>
          </w:p>
        </w:tc>
        <w:tc>
          <w:tcPr>
            <w:tcW w:w="975" w:type="dxa"/>
            <w:vMerge w:val="continue"/>
            <w:tcBorders>
              <w:top w:val="single" w:color="auto" w:sz="4" w:space="0"/>
              <w:left w:val="single" w:color="000000" w:sz="8" w:space="0"/>
              <w:bottom w:val="single" w:color="auto" w:sz="4" w:space="0"/>
              <w:right w:val="single" w:color="000000" w:sz="8" w:space="0"/>
            </w:tcBorders>
            <w:shd w:val="clear" w:color="auto" w:fill="auto"/>
            <w:noWrap/>
            <w:vAlign w:val="center"/>
          </w:tcPr>
          <w:p>
            <w:pPr>
              <w:jc w:val="center"/>
              <w:rPr>
                <w:rFonts w:ascii="宋体" w:hAnsi="宋体" w:cs="宋体"/>
                <w:color w:val="000000"/>
                <w:sz w:val="20"/>
                <w:szCs w:val="20"/>
              </w:rPr>
            </w:pPr>
          </w:p>
        </w:tc>
        <w:tc>
          <w:tcPr>
            <w:tcW w:w="1095" w:type="dxa"/>
            <w:vMerge w:val="continue"/>
            <w:tcBorders>
              <w:top w:val="single" w:color="auto" w:sz="4" w:space="0"/>
              <w:left w:val="single" w:color="000000" w:sz="8" w:space="0"/>
              <w:bottom w:val="single" w:color="auto" w:sz="4" w:space="0"/>
              <w:right w:val="single" w:color="000000" w:sz="8" w:space="0"/>
            </w:tcBorders>
            <w:shd w:val="clear" w:color="auto" w:fill="auto"/>
            <w:noWrap/>
            <w:vAlign w:val="center"/>
          </w:tcPr>
          <w:p>
            <w:pPr>
              <w:jc w:val="center"/>
              <w:rPr>
                <w:rFonts w:ascii="宋体" w:hAnsi="宋体" w:cs="宋体"/>
                <w:color w:val="000000"/>
                <w:sz w:val="20"/>
                <w:szCs w:val="20"/>
              </w:rPr>
            </w:pPr>
          </w:p>
        </w:tc>
        <w:tc>
          <w:tcPr>
            <w:tcW w:w="1531" w:type="dxa"/>
            <w:vMerge w:val="continue"/>
            <w:tcBorders>
              <w:top w:val="single" w:color="auto" w:sz="4" w:space="0"/>
              <w:left w:val="single" w:color="000000" w:sz="8" w:space="0"/>
              <w:bottom w:val="single" w:color="auto" w:sz="4"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vMerge w:val="continue"/>
            <w:tcBorders>
              <w:top w:val="single" w:color="auto" w:sz="4" w:space="0"/>
              <w:left w:val="single" w:color="000000" w:sz="8"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95"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ascii="宋体" w:hAnsi="宋体" w:cs="宋体"/>
                <w:color w:val="000000"/>
                <w:sz w:val="20"/>
                <w:szCs w:val="20"/>
              </w:rPr>
            </w:pPr>
          </w:p>
        </w:tc>
        <w:tc>
          <w:tcPr>
            <w:tcW w:w="1709" w:type="dxa"/>
            <w:vMerge w:val="continue"/>
            <w:tcBorders>
              <w:top w:val="single" w:color="auto" w:sz="4" w:space="0"/>
              <w:left w:val="single" w:color="auto" w:sz="4" w:space="0"/>
              <w:bottom w:val="single" w:color="auto" w:sz="4" w:space="0"/>
              <w:right w:val="single" w:color="000000" w:sz="8" w:space="0"/>
            </w:tcBorders>
            <w:shd w:val="clear" w:color="auto" w:fill="auto"/>
            <w:vAlign w:val="center"/>
          </w:tcPr>
          <w:p>
            <w:pPr>
              <w:jc w:val="center"/>
              <w:rPr>
                <w:rFonts w:ascii="宋体" w:hAnsi="宋体" w:cs="宋体"/>
                <w:color w:val="000000"/>
                <w:sz w:val="20"/>
                <w:szCs w:val="20"/>
              </w:rPr>
            </w:pPr>
          </w:p>
        </w:tc>
        <w:tc>
          <w:tcPr>
            <w:tcW w:w="1590" w:type="dxa"/>
            <w:vMerge w:val="continue"/>
            <w:tcBorders>
              <w:top w:val="single" w:color="auto" w:sz="4" w:space="0"/>
              <w:left w:val="nil"/>
              <w:bottom w:val="single" w:color="auto" w:sz="4" w:space="0"/>
              <w:right w:val="nil"/>
            </w:tcBorders>
            <w:shd w:val="clear" w:color="auto" w:fill="auto"/>
            <w:vAlign w:val="center"/>
          </w:tcPr>
          <w:p>
            <w:pPr>
              <w:jc w:val="center"/>
              <w:rPr>
                <w:rFonts w:ascii="宋体" w:hAnsi="宋体" w:cs="宋体"/>
                <w:color w:val="000000"/>
                <w:sz w:val="18"/>
                <w:szCs w:val="18"/>
              </w:rPr>
            </w:pPr>
          </w:p>
        </w:tc>
        <w:tc>
          <w:tcPr>
            <w:tcW w:w="975" w:type="dxa"/>
            <w:vMerge w:val="continue"/>
            <w:tcBorders>
              <w:top w:val="single" w:color="auto" w:sz="4" w:space="0"/>
              <w:left w:val="single" w:color="000000" w:sz="8" w:space="0"/>
              <w:bottom w:val="single" w:color="auto" w:sz="4" w:space="0"/>
              <w:right w:val="single" w:color="000000" w:sz="8" w:space="0"/>
            </w:tcBorders>
            <w:shd w:val="clear" w:color="auto" w:fill="auto"/>
            <w:noWrap/>
            <w:vAlign w:val="center"/>
          </w:tcPr>
          <w:p>
            <w:pPr>
              <w:jc w:val="center"/>
              <w:rPr>
                <w:rFonts w:ascii="宋体" w:hAnsi="宋体" w:cs="宋体"/>
                <w:color w:val="000000"/>
                <w:sz w:val="20"/>
                <w:szCs w:val="20"/>
              </w:rPr>
            </w:pPr>
          </w:p>
        </w:tc>
        <w:tc>
          <w:tcPr>
            <w:tcW w:w="1095" w:type="dxa"/>
            <w:vMerge w:val="continue"/>
            <w:tcBorders>
              <w:top w:val="single" w:color="auto" w:sz="4" w:space="0"/>
              <w:left w:val="single" w:color="000000" w:sz="8" w:space="0"/>
              <w:bottom w:val="single" w:color="auto" w:sz="4" w:space="0"/>
              <w:right w:val="single" w:color="000000" w:sz="8" w:space="0"/>
            </w:tcBorders>
            <w:shd w:val="clear" w:color="auto" w:fill="auto"/>
            <w:noWrap/>
            <w:vAlign w:val="center"/>
          </w:tcPr>
          <w:p>
            <w:pPr>
              <w:jc w:val="center"/>
              <w:rPr>
                <w:rFonts w:ascii="宋体" w:hAnsi="宋体" w:cs="宋体"/>
                <w:color w:val="000000"/>
                <w:sz w:val="20"/>
                <w:szCs w:val="20"/>
              </w:rPr>
            </w:pPr>
          </w:p>
        </w:tc>
        <w:tc>
          <w:tcPr>
            <w:tcW w:w="1531" w:type="dxa"/>
            <w:vMerge w:val="continue"/>
            <w:tcBorders>
              <w:top w:val="single" w:color="auto" w:sz="4" w:space="0"/>
              <w:left w:val="single" w:color="000000" w:sz="8" w:space="0"/>
              <w:bottom w:val="single" w:color="auto" w:sz="4"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vMerge w:val="continue"/>
            <w:tcBorders>
              <w:top w:val="single" w:color="auto" w:sz="4" w:space="0"/>
              <w:left w:val="single" w:color="000000" w:sz="8" w:space="0"/>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87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auto" w:sz="4"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符合北京市财政局预算绩效相关工作报送时间要求</w:t>
            </w:r>
          </w:p>
        </w:tc>
        <w:tc>
          <w:tcPr>
            <w:tcW w:w="1590" w:type="dxa"/>
            <w:tcBorders>
              <w:top w:val="single" w:color="auto" w:sz="4"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符合</w:t>
            </w:r>
          </w:p>
        </w:tc>
        <w:tc>
          <w:tcPr>
            <w:tcW w:w="975" w:type="dxa"/>
            <w:tcBorders>
              <w:top w:val="single" w:color="auto" w:sz="4"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095" w:type="dxa"/>
            <w:tcBorders>
              <w:top w:val="single" w:color="auto" w:sz="4"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1531" w:type="dxa"/>
            <w:vMerge w:val="continue"/>
            <w:tcBorders>
              <w:top w:val="single" w:color="auto" w:sz="4"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auto" w:sz="4"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672"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效果（30）</w:t>
            </w:r>
          </w:p>
        </w:tc>
        <w:tc>
          <w:tcPr>
            <w:tcW w:w="120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w:t>
            </w: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提高部门预算绩效管理水平，发挥财政资金最大效益；保障单位经济行为的合法性，维护单位的合法权益，避免法律纠纷。</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通过第三方机构专业的指导，提高了部门预算绩效管理水平，发挥了财政资金最大效益；保障了</w:t>
            </w:r>
            <w:r>
              <w:rPr>
                <w:rFonts w:hint="eastAsia" w:ascii="宋体" w:hAnsi="宋体" w:cs="宋体"/>
                <w:color w:val="000000"/>
                <w:kern w:val="0"/>
                <w:sz w:val="20"/>
                <w:szCs w:val="20"/>
                <w:lang w:eastAsia="zh-CN" w:bidi="ar"/>
              </w:rPr>
              <w:t>市重大项目办</w:t>
            </w:r>
            <w:r>
              <w:rPr>
                <w:rFonts w:hint="eastAsia" w:ascii="宋体" w:hAnsi="宋体" w:cs="宋体"/>
                <w:color w:val="000000"/>
                <w:kern w:val="0"/>
                <w:sz w:val="20"/>
                <w:szCs w:val="20"/>
                <w:lang w:bidi="ar"/>
              </w:rPr>
              <w:t>经济行为的合法性，维护了</w:t>
            </w:r>
            <w:r>
              <w:rPr>
                <w:rFonts w:hint="eastAsia" w:ascii="宋体" w:hAnsi="宋体" w:cs="宋体"/>
                <w:color w:val="000000"/>
                <w:kern w:val="0"/>
                <w:sz w:val="20"/>
                <w:szCs w:val="20"/>
                <w:lang w:eastAsia="zh-CN" w:bidi="ar"/>
              </w:rPr>
              <w:t>市重大项目办</w:t>
            </w:r>
            <w:r>
              <w:rPr>
                <w:rFonts w:hint="eastAsia" w:ascii="宋体" w:hAnsi="宋体" w:cs="宋体"/>
                <w:color w:val="000000"/>
                <w:kern w:val="0"/>
                <w:sz w:val="20"/>
                <w:szCs w:val="20"/>
                <w:lang w:bidi="ar"/>
              </w:rPr>
              <w:t>的合法权益，避免了法律纠纷</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153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社会效益：</w:t>
            </w:r>
            <w:r>
              <w:rPr>
                <w:rStyle w:val="30"/>
                <w:rFonts w:hint="default"/>
                <w:lang w:bidi="ar"/>
              </w:rPr>
              <w:t>部门（单位）履行职责对社会发展所带来的直接或间接影响。</w:t>
            </w: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94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促进各区各部门完成年度建设及投资任务，使轨道交通前期规划编制更加科学，进一步提高轨道交通建设管理工作。</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进一步提高了2023年轨道交通建设管理工作</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2503"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保障单位信息化设备和系统平台正常运转，提高档案管理水平及电子档案数据全面利用，减少使用原始档案的频率，保障行政办公效率。</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提高了档案管理水平及电子档案数据全面利用，减少了使用原始档案的频率；提高了行政办公效率</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582"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保障单位网站稳定运行，及时发布重大项目建设信息，让社会公众及时了解重大项目进展情况。</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通过及时发布重大项目建设信息，让社会公众及时地了解了项目进展情况</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15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b/>
                <w:bCs/>
                <w:color w:val="000000"/>
                <w:sz w:val="20"/>
                <w:szCs w:val="20"/>
              </w:rPr>
            </w:pP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r>
        <w:tblPrEx>
          <w:tblCellMar>
            <w:top w:w="0" w:type="dxa"/>
            <w:left w:w="108" w:type="dxa"/>
            <w:bottom w:w="0" w:type="dxa"/>
            <w:right w:w="108" w:type="dxa"/>
          </w:tblCellMar>
        </w:tblPrEx>
        <w:trPr>
          <w:trHeight w:val="1225"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w:t>
            </w: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年度绩效考评结果</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优秀</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1531"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部门（单位）的服务对象对部门履职效果的满意程度。</w:t>
            </w: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绩效考评结果为“优秀”，满分；每降低一个档次，扣1分。</w:t>
            </w:r>
          </w:p>
        </w:tc>
      </w:tr>
      <w:tr>
        <w:tblPrEx>
          <w:tblCellMar>
            <w:top w:w="0" w:type="dxa"/>
            <w:left w:w="108" w:type="dxa"/>
            <w:bottom w:w="0" w:type="dxa"/>
            <w:right w:w="108" w:type="dxa"/>
          </w:tblCellMar>
        </w:tblPrEx>
        <w:trPr>
          <w:trHeight w:val="1680" w:hRule="atLeast"/>
        </w:trPr>
        <w:tc>
          <w:tcPr>
            <w:tcW w:w="10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0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单位各处室工作人员满意度≥90%</w:t>
            </w:r>
          </w:p>
        </w:tc>
        <w:tc>
          <w:tcPr>
            <w:tcW w:w="15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1531"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服务对象满意度</w:t>
            </w:r>
            <w:r>
              <w:rPr>
                <w:rStyle w:val="30"/>
                <w:rFonts w:hint="default"/>
                <w:lang w:bidi="ar"/>
              </w:rPr>
              <w:t>：部门（单位）的服务对象对部门履职效果的满意程度。</w:t>
            </w:r>
          </w:p>
        </w:tc>
        <w:tc>
          <w:tcPr>
            <w:tcW w:w="400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完成计划工作的90%以上，满分；每少完成10%的工作量扣0.1分，扣完为止。</w:t>
            </w:r>
          </w:p>
        </w:tc>
      </w:tr>
    </w:tbl>
    <w:p/>
    <w:tbl>
      <w:tblPr>
        <w:tblStyle w:val="12"/>
        <w:tblW w:w="14364" w:type="dxa"/>
        <w:jc w:val="center"/>
        <w:tblLayout w:type="fixed"/>
        <w:tblCellMar>
          <w:top w:w="0" w:type="dxa"/>
          <w:left w:w="108" w:type="dxa"/>
          <w:bottom w:w="0" w:type="dxa"/>
          <w:right w:w="108" w:type="dxa"/>
        </w:tblCellMar>
      </w:tblPr>
      <w:tblGrid>
        <w:gridCol w:w="1035"/>
        <w:gridCol w:w="1159"/>
        <w:gridCol w:w="1190"/>
        <w:gridCol w:w="1770"/>
        <w:gridCol w:w="1620"/>
        <w:gridCol w:w="960"/>
        <w:gridCol w:w="1095"/>
        <w:gridCol w:w="1905"/>
        <w:gridCol w:w="3630"/>
      </w:tblGrid>
      <w:tr>
        <w:tblPrEx>
          <w:tblCellMar>
            <w:top w:w="0" w:type="dxa"/>
            <w:left w:w="108" w:type="dxa"/>
            <w:bottom w:w="0" w:type="dxa"/>
            <w:right w:w="108" w:type="dxa"/>
          </w:tblCellMar>
        </w:tblPrEx>
        <w:trPr>
          <w:trHeight w:val="300" w:hRule="atLeast"/>
          <w:tblHeader/>
          <w:jc w:val="center"/>
        </w:trPr>
        <w:tc>
          <w:tcPr>
            <w:tcW w:w="14364" w:type="dxa"/>
            <w:gridSpan w:val="9"/>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三、预算管理情况（20分）</w:t>
            </w:r>
          </w:p>
        </w:tc>
      </w:tr>
      <w:tr>
        <w:tblPrEx>
          <w:tblCellMar>
            <w:top w:w="0" w:type="dxa"/>
            <w:left w:w="108" w:type="dxa"/>
            <w:bottom w:w="0" w:type="dxa"/>
            <w:right w:w="108" w:type="dxa"/>
          </w:tblCellMar>
        </w:tblPrEx>
        <w:trPr>
          <w:trHeight w:val="300" w:hRule="atLeast"/>
          <w:tblHeader/>
          <w:jc w:val="center"/>
        </w:trPr>
        <w:tc>
          <w:tcPr>
            <w:tcW w:w="103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一级指标</w:t>
            </w:r>
          </w:p>
        </w:tc>
        <w:tc>
          <w:tcPr>
            <w:tcW w:w="115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二级指标</w:t>
            </w:r>
          </w:p>
        </w:tc>
        <w:tc>
          <w:tcPr>
            <w:tcW w:w="11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三级指标</w:t>
            </w:r>
          </w:p>
        </w:tc>
        <w:tc>
          <w:tcPr>
            <w:tcW w:w="177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指标值</w:t>
            </w:r>
          </w:p>
        </w:tc>
        <w:tc>
          <w:tcPr>
            <w:tcW w:w="162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完成值</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分值</w:t>
            </w:r>
          </w:p>
        </w:tc>
        <w:tc>
          <w:tcPr>
            <w:tcW w:w="109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得分</w:t>
            </w:r>
          </w:p>
        </w:tc>
        <w:tc>
          <w:tcPr>
            <w:tcW w:w="190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指标解释</w:t>
            </w:r>
          </w:p>
        </w:tc>
        <w:tc>
          <w:tcPr>
            <w:tcW w:w="363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评分标准</w:t>
            </w:r>
          </w:p>
        </w:tc>
      </w:tr>
      <w:tr>
        <w:tblPrEx>
          <w:tblCellMar>
            <w:top w:w="0" w:type="dxa"/>
            <w:left w:w="108" w:type="dxa"/>
            <w:bottom w:w="0" w:type="dxa"/>
            <w:right w:w="108" w:type="dxa"/>
          </w:tblCellMar>
        </w:tblPrEx>
        <w:trPr>
          <w:trHeight w:val="1790" w:hRule="atLeast"/>
          <w:jc w:val="center"/>
        </w:trPr>
        <w:tc>
          <w:tcPr>
            <w:tcW w:w="103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预算管理情况（20）</w:t>
            </w:r>
          </w:p>
        </w:tc>
        <w:tc>
          <w:tcPr>
            <w:tcW w:w="1159"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财务管理（4)</w:t>
            </w:r>
          </w:p>
        </w:tc>
        <w:tc>
          <w:tcPr>
            <w:tcW w:w="11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财务管理制度健全性</w:t>
            </w:r>
          </w:p>
        </w:tc>
        <w:tc>
          <w:tcPr>
            <w:tcW w:w="177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健全、完整、合规</w:t>
            </w:r>
          </w:p>
        </w:tc>
        <w:tc>
          <w:tcPr>
            <w:tcW w:w="162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健全、完整、合规</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90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财务管理制度健全性：部门（单位）为加强财务管理、规范财务行为而制定的管理制度。</w:t>
            </w:r>
          </w:p>
        </w:tc>
        <w:tc>
          <w:tcPr>
            <w:tcW w:w="363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90" w:hRule="atLeast"/>
          <w:jc w:val="center"/>
        </w:trPr>
        <w:tc>
          <w:tcPr>
            <w:tcW w:w="103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15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1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资金使用合规性和安全性</w:t>
            </w:r>
          </w:p>
        </w:tc>
        <w:tc>
          <w:tcPr>
            <w:tcW w:w="177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合规、安全</w:t>
            </w:r>
          </w:p>
        </w:tc>
        <w:tc>
          <w:tcPr>
            <w:tcW w:w="162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合规、安全</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09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90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63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2305" w:hRule="atLeast"/>
          <w:jc w:val="center"/>
        </w:trPr>
        <w:tc>
          <w:tcPr>
            <w:tcW w:w="103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15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1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会计基础信息完善性</w:t>
            </w:r>
          </w:p>
        </w:tc>
        <w:tc>
          <w:tcPr>
            <w:tcW w:w="177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完整、准确</w:t>
            </w:r>
          </w:p>
        </w:tc>
        <w:tc>
          <w:tcPr>
            <w:tcW w:w="162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完整、准确</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09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90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会计基础信息完善性：部门（单位）会计基础信息情况。</w:t>
            </w:r>
          </w:p>
        </w:tc>
        <w:tc>
          <w:tcPr>
            <w:tcW w:w="363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2645" w:hRule="atLeast"/>
          <w:jc w:val="center"/>
        </w:trPr>
        <w:tc>
          <w:tcPr>
            <w:tcW w:w="103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15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资产管理（4）</w:t>
            </w:r>
          </w:p>
        </w:tc>
        <w:tc>
          <w:tcPr>
            <w:tcW w:w="11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资产管理规范性</w:t>
            </w:r>
          </w:p>
        </w:tc>
        <w:tc>
          <w:tcPr>
            <w:tcW w:w="177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规范</w:t>
            </w:r>
          </w:p>
        </w:tc>
        <w:tc>
          <w:tcPr>
            <w:tcW w:w="162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规范</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109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190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资产管理规范性：部门（单位）的资产是否保持安全完整，资产配置是否合理，资产使用和资产处理是否规范，用以反映和考核部门（单位）资产管理的整体水平。</w:t>
            </w:r>
          </w:p>
        </w:tc>
        <w:tc>
          <w:tcPr>
            <w:tcW w:w="363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照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1070" w:hRule="atLeast"/>
          <w:jc w:val="center"/>
        </w:trPr>
        <w:tc>
          <w:tcPr>
            <w:tcW w:w="103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159"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绩效管理（4）</w:t>
            </w:r>
          </w:p>
        </w:tc>
        <w:tc>
          <w:tcPr>
            <w:tcW w:w="119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绩效管理情况</w:t>
            </w:r>
          </w:p>
        </w:tc>
        <w:tc>
          <w:tcPr>
            <w:tcW w:w="177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及时、有效</w:t>
            </w:r>
          </w:p>
        </w:tc>
        <w:tc>
          <w:tcPr>
            <w:tcW w:w="162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及时、有效</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109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190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绩效管理情况：考核部门（单位）在绩效管理信息的汇总和应用情况。</w:t>
            </w:r>
          </w:p>
        </w:tc>
        <w:tc>
          <w:tcPr>
            <w:tcW w:w="363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300" w:hRule="atLeast"/>
          <w:jc w:val="center"/>
        </w:trPr>
        <w:tc>
          <w:tcPr>
            <w:tcW w:w="103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2349"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w:t>
            </w:r>
          </w:p>
        </w:tc>
        <w:tc>
          <w:tcPr>
            <w:tcW w:w="177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2022年</w:t>
            </w:r>
          </w:p>
        </w:tc>
        <w:tc>
          <w:tcPr>
            <w:tcW w:w="162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109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90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3630"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90" w:hRule="atLeast"/>
          <w:jc w:val="center"/>
        </w:trPr>
        <w:tc>
          <w:tcPr>
            <w:tcW w:w="103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2349"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结转结余率（4）</w:t>
            </w:r>
          </w:p>
        </w:tc>
        <w:tc>
          <w:tcPr>
            <w:tcW w:w="1770"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38.02%</w:t>
            </w:r>
          </w:p>
        </w:tc>
        <w:tc>
          <w:tcPr>
            <w:tcW w:w="1620"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0.26%</w:t>
            </w:r>
          </w:p>
        </w:tc>
        <w:tc>
          <w:tcPr>
            <w:tcW w:w="96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109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190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结转结余率=结转结余总额/支出预算数*100%。</w:t>
            </w:r>
          </w:p>
        </w:tc>
        <w:tc>
          <w:tcPr>
            <w:tcW w:w="363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940" w:hRule="atLeast"/>
          <w:jc w:val="center"/>
        </w:trPr>
        <w:tc>
          <w:tcPr>
            <w:tcW w:w="103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2349"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70"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ascii="宋体" w:hAnsi="宋体" w:cs="宋体"/>
                <w:color w:val="000000"/>
                <w:sz w:val="20"/>
                <w:szCs w:val="20"/>
              </w:rPr>
            </w:pPr>
          </w:p>
        </w:tc>
        <w:tc>
          <w:tcPr>
            <w:tcW w:w="1620"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ascii="宋体" w:hAnsi="宋体" w:cs="宋体"/>
                <w:color w:val="000000"/>
                <w:sz w:val="20"/>
                <w:szCs w:val="20"/>
              </w:rPr>
            </w:pPr>
          </w:p>
        </w:tc>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90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结转结余总额：部门（单位）本年度的结转资金与结余资金之和。</w:t>
            </w:r>
          </w:p>
        </w:tc>
        <w:tc>
          <w:tcPr>
            <w:tcW w:w="363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结余数=42425.06-42315.95=109.11万元；结余结转率=109.11/42425.06-=0.99%，比上年高出0.8%）</w:t>
            </w:r>
          </w:p>
        </w:tc>
      </w:tr>
      <w:tr>
        <w:tblPrEx>
          <w:tblCellMar>
            <w:top w:w="0" w:type="dxa"/>
            <w:left w:w="108" w:type="dxa"/>
            <w:bottom w:w="0" w:type="dxa"/>
            <w:right w:w="108" w:type="dxa"/>
          </w:tblCellMar>
        </w:tblPrEx>
        <w:trPr>
          <w:trHeight w:val="1160" w:hRule="atLeast"/>
          <w:jc w:val="center"/>
        </w:trPr>
        <w:tc>
          <w:tcPr>
            <w:tcW w:w="103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2349" w:type="dxa"/>
            <w:gridSpan w:val="2"/>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部门预决算差异率（4）</w:t>
            </w:r>
          </w:p>
        </w:tc>
        <w:tc>
          <w:tcPr>
            <w:tcW w:w="177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62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284.12%</w:t>
            </w:r>
          </w:p>
        </w:tc>
        <w:tc>
          <w:tcPr>
            <w:tcW w:w="96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109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90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通过年度部门决算与年初部门预算对比，对部门的年度支出情况进行考核，衡量部门预算的约束力。</w:t>
            </w:r>
          </w:p>
        </w:tc>
        <w:tc>
          <w:tcPr>
            <w:tcW w:w="363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部门预决算差异率高于市级平均差异率（42.8%）的，每高出10%（含），扣0.4分，扣完为止。</w:t>
            </w:r>
          </w:p>
        </w:tc>
      </w:tr>
      <w:tr>
        <w:tblPrEx>
          <w:tblCellMar>
            <w:top w:w="0" w:type="dxa"/>
            <w:left w:w="108" w:type="dxa"/>
            <w:bottom w:w="0" w:type="dxa"/>
            <w:right w:w="108" w:type="dxa"/>
          </w:tblCellMar>
        </w:tblPrEx>
        <w:trPr>
          <w:trHeight w:val="2570" w:hRule="atLeast"/>
          <w:jc w:val="center"/>
        </w:trPr>
        <w:tc>
          <w:tcPr>
            <w:tcW w:w="103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2349"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77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6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0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90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363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部门预决算差异率=（42,425.06-11,044.84）/11,044.84=284.12%，高于市级平均差异率（28.3%）的284.12%，故该项不得分）</w:t>
            </w:r>
          </w:p>
        </w:tc>
      </w:tr>
      <w:tr>
        <w:tblPrEx>
          <w:tblCellMar>
            <w:top w:w="0" w:type="dxa"/>
            <w:left w:w="108" w:type="dxa"/>
            <w:bottom w:w="0" w:type="dxa"/>
            <w:right w:w="108" w:type="dxa"/>
          </w:tblCellMar>
        </w:tblPrEx>
        <w:trPr>
          <w:trHeight w:val="300" w:hRule="atLeast"/>
          <w:jc w:val="center"/>
        </w:trPr>
        <w:tc>
          <w:tcPr>
            <w:tcW w:w="3384" w:type="dxa"/>
            <w:gridSpan w:val="3"/>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合计</w:t>
            </w:r>
          </w:p>
        </w:tc>
        <w:tc>
          <w:tcPr>
            <w:tcW w:w="1770"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1620"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100</w:t>
            </w:r>
          </w:p>
        </w:tc>
        <w:tc>
          <w:tcPr>
            <w:tcW w:w="109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93.95</w:t>
            </w:r>
          </w:p>
        </w:tc>
        <w:tc>
          <w:tcPr>
            <w:tcW w:w="190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sz w:val="20"/>
                <w:szCs w:val="20"/>
              </w:rPr>
            </w:pPr>
          </w:p>
        </w:tc>
        <w:tc>
          <w:tcPr>
            <w:tcW w:w="363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rPr>
                <w:rFonts w:ascii="宋体" w:hAnsi="宋体" w:cs="宋体"/>
                <w:color w:val="000000"/>
                <w:sz w:val="22"/>
                <w:szCs w:val="22"/>
              </w:rPr>
            </w:pPr>
          </w:p>
        </w:tc>
      </w:tr>
    </w:tbl>
    <w:p>
      <w:pPr>
        <w:pStyle w:val="5"/>
      </w:pPr>
    </w:p>
    <w:sectPr>
      <w:footerReference r:id="rId6" w:type="default"/>
      <w:pgSz w:w="16838" w:h="11906" w:orient="landscape"/>
      <w:pgMar w:top="1418"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5"/>
                            <w:jc w:val="center"/>
                          </w:pPr>
                          <w:r>
                            <w:fldChar w:fldCharType="begin"/>
                          </w:r>
                          <w:r>
                            <w:instrText xml:space="preserve">PAGE   \* MERGEFORMAT</w:instrText>
                          </w:r>
                          <w:r>
                            <w:fldChar w:fldCharType="separate"/>
                          </w:r>
                          <w:r>
                            <w:rPr>
                              <w:lang w:val="zh-CN"/>
                            </w:rPr>
                            <w:t>34</w:t>
                          </w:r>
                          <w:r>
                            <w:rPr>
                              <w:lang w:val="zh-CN"/>
                            </w:rPr>
                            <w:fldChar w:fldCharType="end"/>
                          </w:r>
                        </w:p>
                      </w:txbxContent>
                    </wps:txbx>
                    <wps:bodyPr vert="horz" wrap="none" lIns="0" tIns="0" rIns="0" bIns="0" anchor="t">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C9QsV/2wEAALADAAAOAAAAAAAAAAEA&#10;IAAAAB4BAABkcnMvZTJvRG9jLnhtbFBLBQYAAAAABgAGAFkBAABrBQAAAAA=&#10;">
              <v:fill on="f" focussize="0,0"/>
              <v:stroke on="f"/>
              <v:imagedata o:title=""/>
              <o:lock v:ext="edit" aspectratio="f"/>
              <v:textbox inset="0mm,0mm,0mm,0mm" style="mso-fit-shape-to-text:t;">
                <w:txbxContent>
                  <w:p>
                    <w:pPr>
                      <w:pStyle w:val="5"/>
                      <w:jc w:val="center"/>
                    </w:pPr>
                    <w:r>
                      <w:fldChar w:fldCharType="begin"/>
                    </w:r>
                    <w:r>
                      <w:instrText xml:space="preserve">PAGE   \* MERGEFORMAT</w:instrText>
                    </w:r>
                    <w:r>
                      <w:fldChar w:fldCharType="separate"/>
                    </w:r>
                    <w:r>
                      <w:rPr>
                        <w:lang w:val="zh-CN"/>
                      </w:rPr>
                      <w:t>34</w:t>
                    </w:r>
                    <w:r>
                      <w:rPr>
                        <w:lang w:val="zh-CN"/>
                      </w:rPr>
                      <w:fldChar w:fldCharType="end"/>
                    </w:r>
                  </w:p>
                </w:txbxContent>
              </v:textbox>
            </v:shape>
          </w:pict>
        </mc:Fallback>
      </mc:AlternateContent>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right" w:pos="8426"/>
      </w:tabs>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right"/>
                            <w:rPr>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1</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5"/>
                      <w:jc w:val="right"/>
                      <w:rPr>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1</w:t>
                    </w:r>
                    <w:r>
                      <w:rPr>
                        <w:rFonts w:ascii="宋体" w:hAnsi="宋体"/>
                        <w:sz w:val="21"/>
                        <w:szCs w:val="21"/>
                      </w:rPr>
                      <w:fldChar w:fldCharType="end"/>
                    </w:r>
                  </w:p>
                </w:txbxContent>
              </v:textbox>
            </v:shape>
          </w:pict>
        </mc:Fallback>
      </mc:AlternateContent>
    </w:r>
    <w:r>
      <w:rPr>
        <w:rFonts w:hint="eastAsia" w:ascii="宋体" w:hAnsi="宋体"/>
        <w:sz w:val="28"/>
        <w:szCs w:val="28"/>
      </w:rPr>
      <w:tab/>
    </w:r>
    <w:r>
      <w:rPr>
        <w:rFonts w:hint="eastAsia" w:ascii="宋体" w:hAnsi="宋体"/>
        <w:sz w:val="28"/>
        <w:szCs w:val="28"/>
      </w:rPr>
      <w:tab/>
    </w:r>
  </w:p>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right" w:pos="8426"/>
      </w:tabs>
      <w:rPr>
        <w:rFonts w:ascii="宋体" w:hAnsi="宋体"/>
        <w:sz w:val="28"/>
        <w:szCs w:val="28"/>
      </w:rPr>
    </w:pPr>
    <w:r>
      <w:rPr>
        <w:rFonts w:hint="eastAsia" w:ascii="宋体" w:hAnsi="宋体"/>
        <w:sz w:val="28"/>
        <w:szCs w:val="28"/>
      </w:rPr>
      <w:tab/>
    </w:r>
    <w:r>
      <w:rPr>
        <w:rFonts w:hint="eastAsia" w:ascii="宋体" w:hAnsi="宋体"/>
        <w:sz w:val="28"/>
        <w:szCs w:val="28"/>
      </w:rPr>
      <w:tab/>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xYjBjMjFkY2I0NmZhZDNiMWFiYTQzODQ2ZmYzOGIifQ=="/>
  </w:docVars>
  <w:rsids>
    <w:rsidRoot w:val="F77F09F4"/>
    <w:rsid w:val="00006320"/>
    <w:rsid w:val="00020F13"/>
    <w:rsid w:val="00036F69"/>
    <w:rsid w:val="000667ED"/>
    <w:rsid w:val="00085212"/>
    <w:rsid w:val="000A6181"/>
    <w:rsid w:val="000B3776"/>
    <w:rsid w:val="000C40A2"/>
    <w:rsid w:val="000C6E22"/>
    <w:rsid w:val="000E2F37"/>
    <w:rsid w:val="00116B9C"/>
    <w:rsid w:val="00125AD3"/>
    <w:rsid w:val="001516A1"/>
    <w:rsid w:val="001550F4"/>
    <w:rsid w:val="001669AC"/>
    <w:rsid w:val="001A119C"/>
    <w:rsid w:val="001C2849"/>
    <w:rsid w:val="001D3212"/>
    <w:rsid w:val="001F0ECC"/>
    <w:rsid w:val="001F2387"/>
    <w:rsid w:val="0021210D"/>
    <w:rsid w:val="002149D2"/>
    <w:rsid w:val="00216F34"/>
    <w:rsid w:val="0027087E"/>
    <w:rsid w:val="002928D9"/>
    <w:rsid w:val="00294C5A"/>
    <w:rsid w:val="0029766B"/>
    <w:rsid w:val="002B214E"/>
    <w:rsid w:val="002C1CD9"/>
    <w:rsid w:val="002D01CE"/>
    <w:rsid w:val="00314FF6"/>
    <w:rsid w:val="00325FB3"/>
    <w:rsid w:val="003303AA"/>
    <w:rsid w:val="0034338A"/>
    <w:rsid w:val="00355A31"/>
    <w:rsid w:val="003618D3"/>
    <w:rsid w:val="003931C8"/>
    <w:rsid w:val="00393FB1"/>
    <w:rsid w:val="003B6CF1"/>
    <w:rsid w:val="003C29AE"/>
    <w:rsid w:val="003C3EA5"/>
    <w:rsid w:val="003C5C5E"/>
    <w:rsid w:val="003D0CBF"/>
    <w:rsid w:val="00414B1F"/>
    <w:rsid w:val="004444F3"/>
    <w:rsid w:val="00447B74"/>
    <w:rsid w:val="00453EB5"/>
    <w:rsid w:val="0047657E"/>
    <w:rsid w:val="00497C02"/>
    <w:rsid w:val="004A4448"/>
    <w:rsid w:val="004B51FF"/>
    <w:rsid w:val="004B7904"/>
    <w:rsid w:val="004C32D4"/>
    <w:rsid w:val="004D25C5"/>
    <w:rsid w:val="004D5B17"/>
    <w:rsid w:val="004E0627"/>
    <w:rsid w:val="004F32B4"/>
    <w:rsid w:val="00502A46"/>
    <w:rsid w:val="00527072"/>
    <w:rsid w:val="00561C66"/>
    <w:rsid w:val="005661F0"/>
    <w:rsid w:val="00584A37"/>
    <w:rsid w:val="0058565F"/>
    <w:rsid w:val="005A0CFF"/>
    <w:rsid w:val="005C439D"/>
    <w:rsid w:val="005E7C95"/>
    <w:rsid w:val="00610670"/>
    <w:rsid w:val="00622892"/>
    <w:rsid w:val="00631AE8"/>
    <w:rsid w:val="0064054D"/>
    <w:rsid w:val="00663A3D"/>
    <w:rsid w:val="00671B96"/>
    <w:rsid w:val="0068245D"/>
    <w:rsid w:val="00686F3F"/>
    <w:rsid w:val="006B3225"/>
    <w:rsid w:val="00755836"/>
    <w:rsid w:val="007826E6"/>
    <w:rsid w:val="007D2D2A"/>
    <w:rsid w:val="007E312C"/>
    <w:rsid w:val="007E6B55"/>
    <w:rsid w:val="007F3660"/>
    <w:rsid w:val="00800FFA"/>
    <w:rsid w:val="00805FBC"/>
    <w:rsid w:val="00814964"/>
    <w:rsid w:val="008165AD"/>
    <w:rsid w:val="00833576"/>
    <w:rsid w:val="00835317"/>
    <w:rsid w:val="0084381C"/>
    <w:rsid w:val="00852735"/>
    <w:rsid w:val="008600D1"/>
    <w:rsid w:val="00862DD8"/>
    <w:rsid w:val="0086790E"/>
    <w:rsid w:val="00871457"/>
    <w:rsid w:val="00875C9A"/>
    <w:rsid w:val="00877750"/>
    <w:rsid w:val="008E15A2"/>
    <w:rsid w:val="008E32B8"/>
    <w:rsid w:val="008F23BC"/>
    <w:rsid w:val="00906D2B"/>
    <w:rsid w:val="009139B2"/>
    <w:rsid w:val="009201B4"/>
    <w:rsid w:val="009315D3"/>
    <w:rsid w:val="0093440E"/>
    <w:rsid w:val="0095472A"/>
    <w:rsid w:val="0095594C"/>
    <w:rsid w:val="0096415C"/>
    <w:rsid w:val="00970569"/>
    <w:rsid w:val="009803EA"/>
    <w:rsid w:val="009967E6"/>
    <w:rsid w:val="009B0573"/>
    <w:rsid w:val="009B207A"/>
    <w:rsid w:val="009B721D"/>
    <w:rsid w:val="009D2675"/>
    <w:rsid w:val="009E1061"/>
    <w:rsid w:val="009F0059"/>
    <w:rsid w:val="00A1072C"/>
    <w:rsid w:val="00A11F80"/>
    <w:rsid w:val="00A321D6"/>
    <w:rsid w:val="00A322C8"/>
    <w:rsid w:val="00A830DA"/>
    <w:rsid w:val="00A92DC3"/>
    <w:rsid w:val="00A97A0F"/>
    <w:rsid w:val="00AB3636"/>
    <w:rsid w:val="00AB3FEA"/>
    <w:rsid w:val="00AD487F"/>
    <w:rsid w:val="00AE0413"/>
    <w:rsid w:val="00AE11E5"/>
    <w:rsid w:val="00AE5D4D"/>
    <w:rsid w:val="00AF68DF"/>
    <w:rsid w:val="00B23B42"/>
    <w:rsid w:val="00B418A4"/>
    <w:rsid w:val="00B45E89"/>
    <w:rsid w:val="00B95774"/>
    <w:rsid w:val="00BA6F3A"/>
    <w:rsid w:val="00BB6C3D"/>
    <w:rsid w:val="00BB6CB5"/>
    <w:rsid w:val="00BD0657"/>
    <w:rsid w:val="00C03871"/>
    <w:rsid w:val="00C06992"/>
    <w:rsid w:val="00C47E1D"/>
    <w:rsid w:val="00C72074"/>
    <w:rsid w:val="00C776A7"/>
    <w:rsid w:val="00CB59B9"/>
    <w:rsid w:val="00CC7024"/>
    <w:rsid w:val="00CC7097"/>
    <w:rsid w:val="00CD6848"/>
    <w:rsid w:val="00CD73CC"/>
    <w:rsid w:val="00CE5C50"/>
    <w:rsid w:val="00D11CAD"/>
    <w:rsid w:val="00D141D2"/>
    <w:rsid w:val="00D6526B"/>
    <w:rsid w:val="00D75830"/>
    <w:rsid w:val="00D8024F"/>
    <w:rsid w:val="00D9453E"/>
    <w:rsid w:val="00DB5A36"/>
    <w:rsid w:val="00DD60DE"/>
    <w:rsid w:val="00DF765A"/>
    <w:rsid w:val="00E00184"/>
    <w:rsid w:val="00E019EC"/>
    <w:rsid w:val="00E01C8A"/>
    <w:rsid w:val="00E070C5"/>
    <w:rsid w:val="00E17EF4"/>
    <w:rsid w:val="00E20C19"/>
    <w:rsid w:val="00E311FA"/>
    <w:rsid w:val="00E43C49"/>
    <w:rsid w:val="00E6217F"/>
    <w:rsid w:val="00E8643C"/>
    <w:rsid w:val="00EA3C15"/>
    <w:rsid w:val="00EA697F"/>
    <w:rsid w:val="00EA77C8"/>
    <w:rsid w:val="00EC587A"/>
    <w:rsid w:val="00EE1DF1"/>
    <w:rsid w:val="00EE6F43"/>
    <w:rsid w:val="00F16A68"/>
    <w:rsid w:val="00F300B8"/>
    <w:rsid w:val="00F305CF"/>
    <w:rsid w:val="00F32B04"/>
    <w:rsid w:val="00F3433E"/>
    <w:rsid w:val="00F35886"/>
    <w:rsid w:val="00F40046"/>
    <w:rsid w:val="00F40B26"/>
    <w:rsid w:val="00F6265F"/>
    <w:rsid w:val="00F66493"/>
    <w:rsid w:val="00F76805"/>
    <w:rsid w:val="00F802F6"/>
    <w:rsid w:val="00F817E4"/>
    <w:rsid w:val="00F852FE"/>
    <w:rsid w:val="00F94826"/>
    <w:rsid w:val="00FB6A43"/>
    <w:rsid w:val="00FD0AC9"/>
    <w:rsid w:val="00FD0D74"/>
    <w:rsid w:val="00FF74C3"/>
    <w:rsid w:val="015E071F"/>
    <w:rsid w:val="022F6680"/>
    <w:rsid w:val="0361148A"/>
    <w:rsid w:val="03677546"/>
    <w:rsid w:val="03C40D11"/>
    <w:rsid w:val="04793ABB"/>
    <w:rsid w:val="05F857C9"/>
    <w:rsid w:val="07610E7C"/>
    <w:rsid w:val="07A5507D"/>
    <w:rsid w:val="096F5A60"/>
    <w:rsid w:val="0B212074"/>
    <w:rsid w:val="0C175FAD"/>
    <w:rsid w:val="0C7131BF"/>
    <w:rsid w:val="0CF30130"/>
    <w:rsid w:val="0D8552BD"/>
    <w:rsid w:val="0E4137B5"/>
    <w:rsid w:val="111E2FFD"/>
    <w:rsid w:val="11BE2838"/>
    <w:rsid w:val="147C7061"/>
    <w:rsid w:val="14D07641"/>
    <w:rsid w:val="14EA1337"/>
    <w:rsid w:val="15F92BDD"/>
    <w:rsid w:val="161C7CAA"/>
    <w:rsid w:val="17CA33A1"/>
    <w:rsid w:val="18585984"/>
    <w:rsid w:val="197F73F7"/>
    <w:rsid w:val="1B1D5FE3"/>
    <w:rsid w:val="1BF6241E"/>
    <w:rsid w:val="1DB559ED"/>
    <w:rsid w:val="1E083BAE"/>
    <w:rsid w:val="1F460AB1"/>
    <w:rsid w:val="1F6F00B0"/>
    <w:rsid w:val="20360CA0"/>
    <w:rsid w:val="217A6756"/>
    <w:rsid w:val="21816B9E"/>
    <w:rsid w:val="23792071"/>
    <w:rsid w:val="238E2940"/>
    <w:rsid w:val="23F76688"/>
    <w:rsid w:val="27093A80"/>
    <w:rsid w:val="280D6186"/>
    <w:rsid w:val="28B028D4"/>
    <w:rsid w:val="2976243D"/>
    <w:rsid w:val="29EB2B94"/>
    <w:rsid w:val="2B1464F7"/>
    <w:rsid w:val="2BC40D7D"/>
    <w:rsid w:val="2C9A7B94"/>
    <w:rsid w:val="2D71156A"/>
    <w:rsid w:val="311E2606"/>
    <w:rsid w:val="319C1BBA"/>
    <w:rsid w:val="33333AF0"/>
    <w:rsid w:val="34CF0585"/>
    <w:rsid w:val="364D069A"/>
    <w:rsid w:val="37173543"/>
    <w:rsid w:val="3847452F"/>
    <w:rsid w:val="38C01B87"/>
    <w:rsid w:val="392D002F"/>
    <w:rsid w:val="399860A1"/>
    <w:rsid w:val="3AA32C70"/>
    <w:rsid w:val="3B253993"/>
    <w:rsid w:val="3BC54CDD"/>
    <w:rsid w:val="3C4816E7"/>
    <w:rsid w:val="3CCE5195"/>
    <w:rsid w:val="3D9A7EC2"/>
    <w:rsid w:val="3E057FAE"/>
    <w:rsid w:val="3F00274D"/>
    <w:rsid w:val="3F2419A6"/>
    <w:rsid w:val="3FB13A48"/>
    <w:rsid w:val="3FF76880"/>
    <w:rsid w:val="400E15B5"/>
    <w:rsid w:val="41136C53"/>
    <w:rsid w:val="420924D1"/>
    <w:rsid w:val="434A2CF7"/>
    <w:rsid w:val="435712BB"/>
    <w:rsid w:val="44743CCA"/>
    <w:rsid w:val="44860416"/>
    <w:rsid w:val="44CE6FCA"/>
    <w:rsid w:val="45206EA7"/>
    <w:rsid w:val="455C6204"/>
    <w:rsid w:val="46A43D01"/>
    <w:rsid w:val="477E1318"/>
    <w:rsid w:val="47CD0F2D"/>
    <w:rsid w:val="47EF2AF2"/>
    <w:rsid w:val="4A946440"/>
    <w:rsid w:val="4AE253C6"/>
    <w:rsid w:val="4AF309C8"/>
    <w:rsid w:val="4BBC2376"/>
    <w:rsid w:val="4BCA036B"/>
    <w:rsid w:val="4CED4824"/>
    <w:rsid w:val="518057C1"/>
    <w:rsid w:val="522E3266"/>
    <w:rsid w:val="525D7278"/>
    <w:rsid w:val="535E4B59"/>
    <w:rsid w:val="5495532F"/>
    <w:rsid w:val="54F172D6"/>
    <w:rsid w:val="577768E2"/>
    <w:rsid w:val="587822BB"/>
    <w:rsid w:val="5A2E7D17"/>
    <w:rsid w:val="5A53777D"/>
    <w:rsid w:val="5B330E64"/>
    <w:rsid w:val="5C347B8B"/>
    <w:rsid w:val="5DAE5E19"/>
    <w:rsid w:val="5E255784"/>
    <w:rsid w:val="5E5D3D0F"/>
    <w:rsid w:val="60127AE8"/>
    <w:rsid w:val="614B77FD"/>
    <w:rsid w:val="62A03AFF"/>
    <w:rsid w:val="62E81708"/>
    <w:rsid w:val="639F3163"/>
    <w:rsid w:val="647A694B"/>
    <w:rsid w:val="65340FB0"/>
    <w:rsid w:val="658B718A"/>
    <w:rsid w:val="65A43CCE"/>
    <w:rsid w:val="6626043C"/>
    <w:rsid w:val="67695FB4"/>
    <w:rsid w:val="69A84CDF"/>
    <w:rsid w:val="6BE60E22"/>
    <w:rsid w:val="6BF403FB"/>
    <w:rsid w:val="6D336CB6"/>
    <w:rsid w:val="6E2F3C06"/>
    <w:rsid w:val="6ECE2EB1"/>
    <w:rsid w:val="6FA04DBB"/>
    <w:rsid w:val="733D0DD5"/>
    <w:rsid w:val="73554C39"/>
    <w:rsid w:val="75715150"/>
    <w:rsid w:val="76577CED"/>
    <w:rsid w:val="76A71125"/>
    <w:rsid w:val="76B66227"/>
    <w:rsid w:val="78FC5643"/>
    <w:rsid w:val="79E91614"/>
    <w:rsid w:val="79FD2ABD"/>
    <w:rsid w:val="7A532455"/>
    <w:rsid w:val="7AB7FF50"/>
    <w:rsid w:val="7BFEB0DB"/>
    <w:rsid w:val="7C1E3C37"/>
    <w:rsid w:val="7C2F47ED"/>
    <w:rsid w:val="7D1211B4"/>
    <w:rsid w:val="7DB43CF5"/>
    <w:rsid w:val="7E97390A"/>
    <w:rsid w:val="7FF04664"/>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7"/>
    <w:autoRedefine/>
    <w:qFormat/>
    <w:uiPriority w:val="0"/>
    <w:pPr>
      <w:jc w:val="left"/>
    </w:pPr>
  </w:style>
  <w:style w:type="paragraph" w:styleId="4">
    <w:name w:val="Balloon Text"/>
    <w:basedOn w:val="1"/>
    <w:link w:val="20"/>
    <w:autoRedefine/>
    <w:qFormat/>
    <w:uiPriority w:val="0"/>
    <w:rPr>
      <w:sz w:val="18"/>
      <w:szCs w:val="18"/>
    </w:rPr>
  </w:style>
  <w:style w:type="paragraph" w:styleId="5">
    <w:name w:val="footer"/>
    <w:basedOn w:val="1"/>
    <w:next w:val="1"/>
    <w:autoRedefine/>
    <w:qFormat/>
    <w:uiPriority w:val="99"/>
    <w:pPr>
      <w:tabs>
        <w:tab w:val="center" w:pos="4153"/>
        <w:tab w:val="right" w:pos="8306"/>
      </w:tabs>
      <w:snapToGrid w:val="0"/>
      <w:jc w:val="left"/>
    </w:pPr>
    <w:rPr>
      <w:sz w:val="18"/>
      <w:szCs w:val="20"/>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autoRedefine/>
    <w:qFormat/>
    <w:uiPriority w:val="0"/>
  </w:style>
  <w:style w:type="paragraph" w:styleId="8">
    <w:name w:val="toc 2"/>
    <w:basedOn w:val="1"/>
    <w:next w:val="1"/>
    <w:autoRedefine/>
    <w:qFormat/>
    <w:uiPriority w:val="39"/>
    <w:pPr>
      <w:tabs>
        <w:tab w:val="right" w:leader="dot" w:pos="8680"/>
      </w:tabs>
      <w:ind w:left="420" w:leftChars="200"/>
      <w:jc w:val="center"/>
    </w:pPr>
    <w:rPr>
      <w:rFonts w:ascii="黑体" w:hAnsi="黑体" w:eastAsia="黑体" w:cs="黑体"/>
      <w:sz w:val="32"/>
      <w:szCs w:val="32"/>
    </w:rPr>
  </w:style>
  <w:style w:type="paragraph" w:styleId="9">
    <w:name w:val="Normal (Web)"/>
    <w:basedOn w:val="1"/>
    <w:autoRedefine/>
    <w:qFormat/>
    <w:uiPriority w:val="0"/>
    <w:pPr>
      <w:spacing w:before="100" w:beforeAutospacing="1" w:after="100" w:afterAutospacing="1"/>
      <w:jc w:val="left"/>
    </w:pPr>
    <w:rPr>
      <w:kern w:val="0"/>
      <w:sz w:val="24"/>
    </w:rPr>
  </w:style>
  <w:style w:type="paragraph" w:styleId="10">
    <w:name w:val="Title"/>
    <w:basedOn w:val="1"/>
    <w:next w:val="1"/>
    <w:autoRedefine/>
    <w:qFormat/>
    <w:uiPriority w:val="0"/>
    <w:pPr>
      <w:ind w:left="640" w:leftChars="200"/>
      <w:outlineLvl w:val="0"/>
    </w:pPr>
    <w:rPr>
      <w:rFonts w:ascii="Arial" w:hAnsi="Arial" w:eastAsia="仿宋_GB2312"/>
      <w:b/>
      <w:sz w:val="32"/>
    </w:rPr>
  </w:style>
  <w:style w:type="paragraph" w:styleId="11">
    <w:name w:val="annotation subject"/>
    <w:basedOn w:val="3"/>
    <w:next w:val="3"/>
    <w:link w:val="28"/>
    <w:autoRedefine/>
    <w:qFormat/>
    <w:uiPriority w:val="0"/>
    <w:rPr>
      <w:b/>
      <w:bCs/>
    </w:rPr>
  </w:style>
  <w:style w:type="character" w:styleId="14">
    <w:name w:val="annotation reference"/>
    <w:basedOn w:val="13"/>
    <w:autoRedefine/>
    <w:qFormat/>
    <w:uiPriority w:val="0"/>
    <w:rPr>
      <w:sz w:val="21"/>
      <w:szCs w:val="21"/>
    </w:rPr>
  </w:style>
  <w:style w:type="paragraph" w:customStyle="1" w:styleId="15">
    <w:name w:val="列出段落1"/>
    <w:basedOn w:val="1"/>
    <w:autoRedefine/>
    <w:qFormat/>
    <w:uiPriority w:val="34"/>
    <w:pPr>
      <w:ind w:firstLine="420" w:firstLineChars="200"/>
    </w:pPr>
    <w:rPr>
      <w:rFonts w:ascii="Calibri" w:hAnsi="Calibri" w:cs="黑体"/>
      <w:szCs w:val="22"/>
    </w:rPr>
  </w:style>
  <w:style w:type="character" w:customStyle="1" w:styleId="16">
    <w:name w:val="NormalCharacter"/>
    <w:autoRedefine/>
    <w:semiHidden/>
    <w:qFormat/>
    <w:uiPriority w:val="0"/>
  </w:style>
  <w:style w:type="paragraph" w:customStyle="1" w:styleId="17">
    <w:name w:val="WPSOffice手动目录 1"/>
    <w:autoRedefine/>
    <w:qFormat/>
    <w:uiPriority w:val="0"/>
    <w:rPr>
      <w:rFonts w:ascii="Times New Roman" w:hAnsi="Times New Roman" w:eastAsia="宋体" w:cs="Times New Roman"/>
      <w:lang w:val="en-US" w:eastAsia="zh-CN" w:bidi="ar-SA"/>
    </w:rPr>
  </w:style>
  <w:style w:type="paragraph" w:customStyle="1" w:styleId="18">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19">
    <w:name w:val="修订1"/>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20">
    <w:name w:val="批注框文本 Char"/>
    <w:basedOn w:val="13"/>
    <w:link w:val="4"/>
    <w:autoRedefine/>
    <w:qFormat/>
    <w:uiPriority w:val="0"/>
    <w:rPr>
      <w:kern w:val="2"/>
      <w:sz w:val="18"/>
      <w:szCs w:val="18"/>
    </w:rPr>
  </w:style>
  <w:style w:type="paragraph" w:customStyle="1" w:styleId="21">
    <w:name w:val="列出段落11"/>
    <w:basedOn w:val="1"/>
    <w:autoRedefine/>
    <w:qFormat/>
    <w:uiPriority w:val="0"/>
    <w:pPr>
      <w:ind w:firstLine="420" w:firstLineChars="200"/>
    </w:pPr>
    <w:rPr>
      <w:rFonts w:ascii="Calibri" w:hAnsi="Calibri"/>
      <w:sz w:val="24"/>
    </w:rPr>
  </w:style>
  <w:style w:type="character" w:customStyle="1" w:styleId="22">
    <w:name w:val="font21"/>
    <w:basedOn w:val="13"/>
    <w:autoRedefine/>
    <w:qFormat/>
    <w:uiPriority w:val="0"/>
    <w:rPr>
      <w:rFonts w:hint="eastAsia" w:ascii="宋体" w:hAnsi="宋体" w:eastAsia="宋体" w:cs="宋体"/>
      <w:color w:val="000000"/>
      <w:sz w:val="22"/>
      <w:szCs w:val="22"/>
      <w:u w:val="none"/>
    </w:rPr>
  </w:style>
  <w:style w:type="character" w:customStyle="1" w:styleId="23">
    <w:name w:val="font11"/>
    <w:basedOn w:val="13"/>
    <w:autoRedefine/>
    <w:qFormat/>
    <w:uiPriority w:val="0"/>
    <w:rPr>
      <w:rFonts w:hint="eastAsia" w:ascii="宋体" w:hAnsi="宋体" w:eastAsia="宋体" w:cs="宋体"/>
      <w:color w:val="000000"/>
      <w:sz w:val="20"/>
      <w:szCs w:val="20"/>
      <w:u w:val="none"/>
    </w:rPr>
  </w:style>
  <w:style w:type="character" w:customStyle="1" w:styleId="24">
    <w:name w:val="font31"/>
    <w:basedOn w:val="13"/>
    <w:autoRedefine/>
    <w:qFormat/>
    <w:uiPriority w:val="0"/>
    <w:rPr>
      <w:rFonts w:hint="eastAsia" w:ascii="宋体" w:hAnsi="宋体" w:eastAsia="宋体" w:cs="宋体"/>
      <w:color w:val="000000"/>
      <w:sz w:val="20"/>
      <w:szCs w:val="20"/>
      <w:u w:val="none"/>
    </w:rPr>
  </w:style>
  <w:style w:type="character" w:customStyle="1" w:styleId="25">
    <w:name w:val="font01"/>
    <w:basedOn w:val="13"/>
    <w:autoRedefine/>
    <w:qFormat/>
    <w:uiPriority w:val="0"/>
    <w:rPr>
      <w:rFonts w:hint="eastAsia" w:ascii="宋体" w:hAnsi="宋体" w:eastAsia="宋体" w:cs="宋体"/>
      <w:color w:val="000000"/>
      <w:sz w:val="22"/>
      <w:szCs w:val="22"/>
      <w:u w:val="none"/>
    </w:rPr>
  </w:style>
  <w:style w:type="paragraph" w:customStyle="1" w:styleId="26">
    <w:name w:val="修订2"/>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27">
    <w:name w:val="批注文字 Char"/>
    <w:basedOn w:val="13"/>
    <w:link w:val="3"/>
    <w:autoRedefine/>
    <w:qFormat/>
    <w:uiPriority w:val="0"/>
    <w:rPr>
      <w:kern w:val="2"/>
      <w:sz w:val="21"/>
      <w:szCs w:val="24"/>
    </w:rPr>
  </w:style>
  <w:style w:type="character" w:customStyle="1" w:styleId="28">
    <w:name w:val="批注主题 Char"/>
    <w:basedOn w:val="27"/>
    <w:link w:val="11"/>
    <w:autoRedefine/>
    <w:qFormat/>
    <w:uiPriority w:val="0"/>
    <w:rPr>
      <w:b/>
      <w:bCs/>
      <w:kern w:val="2"/>
      <w:sz w:val="21"/>
      <w:szCs w:val="24"/>
    </w:rPr>
  </w:style>
  <w:style w:type="character" w:customStyle="1" w:styleId="29">
    <w:name w:val="font61"/>
    <w:basedOn w:val="13"/>
    <w:autoRedefine/>
    <w:qFormat/>
    <w:uiPriority w:val="0"/>
    <w:rPr>
      <w:rFonts w:hint="eastAsia" w:ascii="宋体" w:hAnsi="宋体" w:eastAsia="宋体" w:cs="宋体"/>
      <w:color w:val="000000"/>
      <w:sz w:val="20"/>
      <w:szCs w:val="20"/>
      <w:u w:val="none"/>
    </w:rPr>
  </w:style>
  <w:style w:type="character" w:customStyle="1" w:styleId="30">
    <w:name w:val="font41"/>
    <w:basedOn w:val="13"/>
    <w:autoRedefine/>
    <w:qFormat/>
    <w:uiPriority w:val="0"/>
    <w:rPr>
      <w:rFonts w:hint="eastAsia" w:ascii="宋体" w:hAnsi="宋体" w:eastAsia="宋体" w:cs="宋体"/>
      <w:color w:val="000000"/>
      <w:sz w:val="20"/>
      <w:szCs w:val="20"/>
      <w:u w:val="none"/>
    </w:rPr>
  </w:style>
  <w:style w:type="paragraph" w:customStyle="1" w:styleId="31">
    <w:name w:val="修订3"/>
    <w:autoRedefine/>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384F80-C733-45E0-85B6-FD90EEC531F6}">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30</Pages>
  <Words>13456</Words>
  <Characters>14643</Characters>
  <Lines>120</Lines>
  <Paragraphs>33</Paragraphs>
  <TotalTime>0</TotalTime>
  <ScaleCrop>false</ScaleCrop>
  <LinksUpToDate>false</LinksUpToDate>
  <CharactersWithSpaces>14735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张文华</cp:lastModifiedBy>
  <cp:lastPrinted>2024-06-04T06:47:00Z</cp:lastPrinted>
  <dcterms:modified xsi:type="dcterms:W3CDTF">2024-06-11T09:20:52Z</dcterms:modified>
  <cp:revision>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687FF2844C5843D29725773459AE0875</vt:lpwstr>
  </property>
</Properties>
</file>