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F3E0B" w14:textId="77777777" w:rsidR="0084361C" w:rsidRDefault="00E87FF6">
      <w:pPr>
        <w:spacing w:line="560" w:lineRule="exact"/>
        <w:jc w:val="left"/>
        <w:rPr>
          <w:rFonts w:ascii="方正小标宋简体" w:eastAsia="方正小标宋简体"/>
          <w:sz w:val="36"/>
          <w:szCs w:val="36"/>
        </w:rPr>
      </w:pPr>
      <w:r>
        <w:rPr>
          <w:rFonts w:ascii="方正黑体_GBK" w:eastAsia="方正黑体_GBK" w:hAnsi="方正黑体_GBK" w:cs="方正黑体_GBK" w:hint="eastAsia"/>
          <w:sz w:val="32"/>
        </w:rPr>
        <w:t>附件4</w:t>
      </w:r>
    </w:p>
    <w:p w14:paraId="34DC1A97" w14:textId="3AEF7B1B" w:rsidR="0084361C" w:rsidRDefault="00ED416F">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台湾民主自治同盟北京市委员会</w:t>
      </w:r>
    </w:p>
    <w:p w14:paraId="7AF4F096" w14:textId="77777777" w:rsidR="0084361C" w:rsidRDefault="00E87FF6">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部门整体绩效评价报告</w:t>
      </w:r>
    </w:p>
    <w:p w14:paraId="21BEB39D" w14:textId="77777777" w:rsidR="0084361C" w:rsidRDefault="0084361C">
      <w:pPr>
        <w:jc w:val="center"/>
        <w:rPr>
          <w:rFonts w:ascii="仿宋_GB2312"/>
          <w:szCs w:val="30"/>
        </w:rPr>
      </w:pPr>
    </w:p>
    <w:p w14:paraId="2BFD5119" w14:textId="77777777" w:rsidR="0084361C" w:rsidRDefault="00E87FF6">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14:paraId="301CF55D" w14:textId="77777777" w:rsidR="0084361C" w:rsidRDefault="00E87FF6">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14:paraId="5EBCA034" w14:textId="77777777" w:rsidR="006C00F1" w:rsidRDefault="0014592E" w:rsidP="00E02444">
      <w:pPr>
        <w:spacing w:line="360" w:lineRule="auto"/>
        <w:ind w:firstLineChars="200" w:firstLine="640"/>
        <w:rPr>
          <w:rFonts w:ascii="仿宋" w:eastAsia="仿宋" w:hAnsi="仿宋"/>
          <w:color w:val="404040"/>
          <w:sz w:val="32"/>
          <w:szCs w:val="32"/>
          <w:shd w:val="clear" w:color="auto" w:fill="FFFFFF"/>
        </w:rPr>
      </w:pPr>
      <w:r w:rsidRPr="0014592E">
        <w:rPr>
          <w:rFonts w:ascii="仿宋" w:eastAsia="仿宋" w:hAnsi="仿宋" w:hint="eastAsia"/>
          <w:color w:val="404040"/>
          <w:sz w:val="32"/>
          <w:szCs w:val="32"/>
          <w:shd w:val="clear" w:color="auto" w:fill="FFFFFF"/>
        </w:rPr>
        <w:t>台湾民主自治同盟是由台湾省人士为主组成的社会主义劳动者、社会主义事业建设者、拥护社会主义爱国者的政治联盟，是接受中国共产党领导、同中国共产党通力合作的亲密友党，是中国共产党领导的多党合作和政治协商制度中的中国特色社会主义参政党。台盟北京市委在台盟中央的直接领导和中共北京市委统战部的指导下独立开展工作。主要任务是履行民主党派政治协商、民主监督、参政议政等职能，深入开展调查研究，为首都的发展提出建议、反映意见，并不断加强自身思想建设和组织建设，组织盟员开展各类有意义的学习和活动，团结带领广大盟员充分发挥自身优势和特点，在各自的工作岗位上为社会主义现代化建设事业和首都经济发展贡献力量。同时台盟北京市委始终致力于祖国统一大业，把对台工作放到了突出的位置，不断拓宽对台工作思路，加强对台宣传，研究台湾情况，开展调查研究，广泛联络、接待岛内外各界人士，积极促进两岸人民交流交往，为在京台商和台生服务,开展了大量争取台湾民心的工作。</w:t>
      </w:r>
    </w:p>
    <w:p w14:paraId="0C017C67" w14:textId="055ADDD6" w:rsidR="0084361C" w:rsidRDefault="00E87FF6" w:rsidP="00E02444">
      <w:pPr>
        <w:spacing w:line="360" w:lineRule="auto"/>
        <w:ind w:firstLineChars="200" w:firstLine="640"/>
        <w:rPr>
          <w:rFonts w:ascii="楷体_GB2312" w:eastAsia="楷体_GB2312"/>
          <w:sz w:val="32"/>
          <w:szCs w:val="32"/>
        </w:rPr>
      </w:pPr>
      <w:r>
        <w:rPr>
          <w:rFonts w:ascii="楷体_GB2312" w:eastAsia="楷体_GB2312" w:hint="eastAsia"/>
          <w:sz w:val="32"/>
          <w:szCs w:val="32"/>
        </w:rPr>
        <w:lastRenderedPageBreak/>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14:paraId="7A01E1CF" w14:textId="77777777" w:rsidR="009D0EB2" w:rsidRPr="005131F3" w:rsidRDefault="009D0EB2" w:rsidP="009D0EB2">
      <w:pPr>
        <w:spacing w:line="560" w:lineRule="exact"/>
        <w:ind w:firstLineChars="200" w:firstLine="640"/>
        <w:rPr>
          <w:rFonts w:ascii="仿宋" w:eastAsia="仿宋" w:hAnsi="仿宋"/>
          <w:sz w:val="32"/>
          <w:szCs w:val="32"/>
          <w:lang w:val="zh-TW"/>
        </w:rPr>
      </w:pPr>
      <w:r w:rsidRPr="005131F3">
        <w:rPr>
          <w:rFonts w:ascii="仿宋" w:eastAsia="仿宋" w:hAnsi="仿宋"/>
          <w:sz w:val="32"/>
          <w:szCs w:val="32"/>
        </w:rPr>
        <w:t>2023年，是全面贯彻落实中共二十大精神的开局之年，</w:t>
      </w:r>
      <w:r w:rsidRPr="005131F3">
        <w:rPr>
          <w:rFonts w:ascii="仿宋" w:eastAsia="仿宋" w:hAnsi="仿宋" w:hint="eastAsia"/>
          <w:sz w:val="32"/>
          <w:szCs w:val="32"/>
          <w:lang w:val="zh-TW"/>
        </w:rPr>
        <w:t>是三年新冠疫情</w:t>
      </w:r>
      <w:proofErr w:type="gramStart"/>
      <w:r w:rsidRPr="005131F3">
        <w:rPr>
          <w:rFonts w:ascii="仿宋" w:eastAsia="仿宋" w:hAnsi="仿宋" w:hint="eastAsia"/>
          <w:sz w:val="32"/>
          <w:szCs w:val="32"/>
          <w:lang w:val="zh-TW"/>
        </w:rPr>
        <w:t>防控转段后</w:t>
      </w:r>
      <w:proofErr w:type="gramEnd"/>
      <w:r w:rsidRPr="005131F3">
        <w:rPr>
          <w:rFonts w:ascii="仿宋" w:eastAsia="仿宋" w:hAnsi="仿宋" w:hint="eastAsia"/>
          <w:sz w:val="32"/>
          <w:szCs w:val="32"/>
          <w:lang w:val="zh-TW"/>
        </w:rPr>
        <w:t>经济恢复发展的一年。在台盟中央、中共北京市委的坚强领导下，</w:t>
      </w:r>
      <w:bookmarkStart w:id="0" w:name="_Hlk156159287"/>
      <w:r w:rsidRPr="005131F3">
        <w:rPr>
          <w:rFonts w:ascii="仿宋" w:eastAsia="仿宋" w:hAnsi="仿宋" w:hint="eastAsia"/>
          <w:sz w:val="32"/>
          <w:szCs w:val="32"/>
          <w:lang w:val="zh-TW"/>
        </w:rPr>
        <w:t>在中共北京市委统战部指导下，</w:t>
      </w:r>
      <w:bookmarkStart w:id="1" w:name="_Hlk126250301"/>
      <w:bookmarkEnd w:id="0"/>
      <w:r w:rsidRPr="005131F3">
        <w:rPr>
          <w:rFonts w:ascii="仿宋" w:eastAsia="仿宋" w:hAnsi="仿宋" w:hint="eastAsia"/>
          <w:sz w:val="32"/>
          <w:szCs w:val="32"/>
        </w:rPr>
        <w:t>台盟北京市第十二届委员会</w:t>
      </w:r>
      <w:bookmarkEnd w:id="1"/>
      <w:r w:rsidRPr="005131F3">
        <w:rPr>
          <w:rFonts w:ascii="仿宋" w:eastAsia="仿宋" w:hAnsi="仿宋" w:hint="eastAsia"/>
          <w:sz w:val="32"/>
          <w:szCs w:val="32"/>
          <w:lang w:val="zh-TW"/>
        </w:rPr>
        <w:t>团结带领各区级组织和广大盟员，坚持以习近平新时代中国特色社会主义思想为指引，全面贯彻落实中共二十大和台盟十一大精神，深刻领悟</w:t>
      </w:r>
      <w:r>
        <w:rPr>
          <w:rFonts w:ascii="仿宋" w:eastAsia="仿宋" w:hAnsi="仿宋" w:hint="eastAsia"/>
          <w:sz w:val="32"/>
          <w:szCs w:val="32"/>
          <w:lang w:val="zh-TW"/>
        </w:rPr>
        <w:t>“</w:t>
      </w:r>
      <w:r w:rsidRPr="005131F3">
        <w:rPr>
          <w:rFonts w:ascii="仿宋" w:eastAsia="仿宋" w:hAnsi="仿宋" w:hint="eastAsia"/>
          <w:sz w:val="32"/>
          <w:szCs w:val="32"/>
          <w:lang w:val="zh-TW"/>
        </w:rPr>
        <w:t>两个确立”的决定性意义，增强</w:t>
      </w:r>
      <w:r>
        <w:rPr>
          <w:rFonts w:ascii="仿宋" w:eastAsia="仿宋" w:hAnsi="仿宋" w:hint="eastAsia"/>
          <w:sz w:val="32"/>
          <w:szCs w:val="32"/>
          <w:lang w:val="zh-TW"/>
        </w:rPr>
        <w:t>“</w:t>
      </w:r>
      <w:r w:rsidRPr="005131F3">
        <w:rPr>
          <w:rFonts w:ascii="仿宋" w:eastAsia="仿宋" w:hAnsi="仿宋" w:hint="eastAsia"/>
          <w:sz w:val="32"/>
          <w:szCs w:val="32"/>
          <w:lang w:val="zh-TW"/>
        </w:rPr>
        <w:t>四个意识</w:t>
      </w:r>
      <w:r>
        <w:rPr>
          <w:rFonts w:ascii="仿宋" w:eastAsia="仿宋" w:hAnsi="仿宋" w:hint="eastAsia"/>
          <w:sz w:val="32"/>
          <w:szCs w:val="32"/>
          <w:lang w:val="zh-TW"/>
        </w:rPr>
        <w:t>”</w:t>
      </w:r>
      <w:r w:rsidRPr="005131F3">
        <w:rPr>
          <w:rFonts w:ascii="仿宋" w:eastAsia="仿宋" w:hAnsi="仿宋" w:hint="eastAsia"/>
          <w:sz w:val="32"/>
          <w:szCs w:val="32"/>
          <w:lang w:val="zh-TW"/>
        </w:rPr>
        <w:t>、坚定“四个自信”、做到“两个维护”，紧扣“三抓两促</w:t>
      </w:r>
      <w:proofErr w:type="gramStart"/>
      <w:r w:rsidRPr="005131F3">
        <w:rPr>
          <w:rFonts w:ascii="仿宋" w:eastAsia="仿宋" w:hAnsi="仿宋" w:hint="eastAsia"/>
          <w:sz w:val="32"/>
          <w:szCs w:val="32"/>
          <w:lang w:val="zh-TW"/>
        </w:rPr>
        <w:t>一</w:t>
      </w:r>
      <w:proofErr w:type="gramEnd"/>
      <w:r w:rsidRPr="005131F3">
        <w:rPr>
          <w:rFonts w:ascii="仿宋" w:eastAsia="仿宋" w:hAnsi="仿宋" w:hint="eastAsia"/>
          <w:sz w:val="32"/>
          <w:szCs w:val="32"/>
          <w:lang w:val="zh-TW"/>
        </w:rPr>
        <w:t>提升”全盟总体工作思路和“政治理论学习年”年度工作主题，戮力同心、开拓进取，以饱满的精神状态完成了各项工作目标，实现了</w:t>
      </w:r>
      <w:r w:rsidRPr="00941FF0">
        <w:rPr>
          <w:rFonts w:ascii="仿宋" w:eastAsia="仿宋" w:hAnsi="仿宋" w:hint="eastAsia"/>
          <w:sz w:val="32"/>
          <w:szCs w:val="32"/>
          <w:lang w:val="zh-TW"/>
        </w:rPr>
        <w:t>北京台盟组织</w:t>
      </w:r>
      <w:r w:rsidRPr="005131F3">
        <w:rPr>
          <w:rFonts w:ascii="仿宋" w:eastAsia="仿宋" w:hAnsi="仿宋" w:hint="eastAsia"/>
          <w:sz w:val="32"/>
          <w:szCs w:val="32"/>
          <w:lang w:val="zh-TW"/>
        </w:rPr>
        <w:t>在新征程上的良好开篇。</w:t>
      </w:r>
    </w:p>
    <w:p w14:paraId="562A7A28" w14:textId="77777777" w:rsidR="0084361C" w:rsidRDefault="00E87FF6">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14:paraId="369D35C3" w14:textId="0DD15473" w:rsidR="0084361C" w:rsidRPr="00DC37BB" w:rsidRDefault="00E87FF6" w:rsidP="00DC37BB">
      <w:pPr>
        <w:spacing w:line="600" w:lineRule="exact"/>
        <w:ind w:firstLineChars="200" w:firstLine="640"/>
        <w:rPr>
          <w:rFonts w:ascii="仿宋" w:eastAsia="仿宋" w:hAnsi="仿宋"/>
          <w:color w:val="404040"/>
          <w:sz w:val="32"/>
          <w:szCs w:val="32"/>
          <w:shd w:val="clear" w:color="auto" w:fill="FFFFFF"/>
        </w:rPr>
      </w:pPr>
      <w:r>
        <w:rPr>
          <w:rFonts w:ascii="仿宋" w:eastAsia="仿宋" w:hAnsi="仿宋" w:hint="eastAsia"/>
          <w:color w:val="404040"/>
          <w:sz w:val="32"/>
          <w:szCs w:val="32"/>
          <w:shd w:val="clear" w:color="auto" w:fill="FFFFFF"/>
        </w:rPr>
        <w:t>202</w:t>
      </w:r>
      <w:r w:rsidR="009D0EB2">
        <w:rPr>
          <w:rFonts w:ascii="仿宋" w:eastAsia="仿宋" w:hAnsi="仿宋" w:hint="eastAsia"/>
          <w:color w:val="404040"/>
          <w:sz w:val="32"/>
          <w:szCs w:val="32"/>
          <w:shd w:val="clear" w:color="auto" w:fill="FFFFFF"/>
        </w:rPr>
        <w:t>3</w:t>
      </w:r>
      <w:r>
        <w:rPr>
          <w:rFonts w:ascii="仿宋" w:eastAsia="仿宋" w:hAnsi="仿宋" w:hint="eastAsia"/>
          <w:color w:val="404040"/>
          <w:sz w:val="32"/>
          <w:szCs w:val="32"/>
          <w:shd w:val="clear" w:color="auto" w:fill="FFFFFF"/>
        </w:rPr>
        <w:t>年</w:t>
      </w:r>
      <w:r>
        <w:rPr>
          <w:rFonts w:ascii="仿宋" w:eastAsia="仿宋" w:hAnsi="仿宋"/>
          <w:color w:val="404040"/>
          <w:sz w:val="32"/>
          <w:szCs w:val="32"/>
          <w:shd w:val="clear" w:color="auto" w:fill="FFFFFF"/>
        </w:rPr>
        <w:t>全年</w:t>
      </w:r>
      <w:r>
        <w:rPr>
          <w:rFonts w:ascii="仿宋" w:eastAsia="仿宋" w:hAnsi="仿宋" w:hint="eastAsia"/>
          <w:color w:val="404040"/>
          <w:sz w:val="32"/>
          <w:szCs w:val="32"/>
          <w:shd w:val="clear" w:color="auto" w:fill="FFFFFF"/>
        </w:rPr>
        <w:t>预算数</w:t>
      </w:r>
      <w:r w:rsidR="009D0EB2">
        <w:rPr>
          <w:rFonts w:ascii="仿宋" w:eastAsia="仿宋" w:hAnsi="仿宋" w:hint="eastAsia"/>
          <w:color w:val="404040"/>
          <w:sz w:val="32"/>
          <w:szCs w:val="32"/>
          <w:shd w:val="clear" w:color="auto" w:fill="FFFFFF"/>
        </w:rPr>
        <w:t>1283.45</w:t>
      </w:r>
      <w:r>
        <w:rPr>
          <w:rFonts w:ascii="仿宋" w:eastAsia="仿宋" w:hAnsi="仿宋" w:hint="eastAsia"/>
          <w:color w:val="404040"/>
          <w:sz w:val="32"/>
          <w:szCs w:val="32"/>
          <w:shd w:val="clear" w:color="auto" w:fill="FFFFFF"/>
        </w:rPr>
        <w:t>万元，</w:t>
      </w:r>
      <w:r w:rsidR="00DC37BB">
        <w:rPr>
          <w:rFonts w:ascii="仿宋" w:eastAsia="仿宋" w:hAnsi="仿宋" w:hint="eastAsia"/>
          <w:color w:val="404040"/>
          <w:sz w:val="32"/>
          <w:szCs w:val="32"/>
          <w:shd w:val="clear" w:color="auto" w:fill="FFFFFF"/>
        </w:rPr>
        <w:t>其中</w:t>
      </w:r>
      <w:r>
        <w:rPr>
          <w:rFonts w:ascii="仿宋" w:eastAsia="仿宋" w:hAnsi="仿宋" w:hint="eastAsia"/>
          <w:color w:val="404040"/>
          <w:sz w:val="32"/>
          <w:szCs w:val="32"/>
          <w:shd w:val="clear" w:color="auto" w:fill="FFFFFF"/>
        </w:rPr>
        <w:t>基本经费</w:t>
      </w:r>
      <w:r w:rsidR="009D0EB2">
        <w:rPr>
          <w:rFonts w:ascii="仿宋" w:eastAsia="仿宋" w:hAnsi="仿宋" w:hint="eastAsia"/>
          <w:color w:val="404040"/>
          <w:sz w:val="32"/>
          <w:szCs w:val="32"/>
          <w:shd w:val="clear" w:color="auto" w:fill="FFFFFF"/>
        </w:rPr>
        <w:t>1117.11</w:t>
      </w:r>
      <w:r>
        <w:rPr>
          <w:rFonts w:ascii="仿宋" w:eastAsia="仿宋" w:hAnsi="仿宋" w:hint="eastAsia"/>
          <w:color w:val="404040"/>
          <w:sz w:val="32"/>
          <w:szCs w:val="32"/>
          <w:shd w:val="clear" w:color="auto" w:fill="FFFFFF"/>
        </w:rPr>
        <w:t>万元，项目经费</w:t>
      </w:r>
      <w:r w:rsidR="009D0EB2">
        <w:rPr>
          <w:rFonts w:ascii="仿宋" w:eastAsia="仿宋" w:hAnsi="仿宋" w:hint="eastAsia"/>
          <w:color w:val="404040"/>
          <w:sz w:val="32"/>
          <w:szCs w:val="32"/>
          <w:shd w:val="clear" w:color="auto" w:fill="FFFFFF"/>
        </w:rPr>
        <w:t>166.34</w:t>
      </w:r>
      <w:r>
        <w:rPr>
          <w:rFonts w:ascii="仿宋" w:eastAsia="仿宋" w:hAnsi="仿宋" w:hint="eastAsia"/>
          <w:color w:val="404040"/>
          <w:sz w:val="32"/>
          <w:szCs w:val="32"/>
          <w:shd w:val="clear" w:color="auto" w:fill="FFFFFF"/>
        </w:rPr>
        <w:t>万元。</w:t>
      </w:r>
      <w:r>
        <w:rPr>
          <w:rFonts w:ascii="仿宋" w:eastAsia="仿宋" w:hAnsi="仿宋"/>
          <w:color w:val="404040"/>
          <w:sz w:val="32"/>
          <w:szCs w:val="32"/>
          <w:shd w:val="clear" w:color="auto" w:fill="FFFFFF"/>
        </w:rPr>
        <w:t>资金总体</w:t>
      </w:r>
      <w:r>
        <w:rPr>
          <w:rFonts w:ascii="仿宋" w:eastAsia="仿宋" w:hAnsi="仿宋" w:hint="eastAsia"/>
          <w:color w:val="404040"/>
          <w:sz w:val="32"/>
          <w:szCs w:val="32"/>
          <w:shd w:val="clear" w:color="auto" w:fill="FFFFFF"/>
        </w:rPr>
        <w:t>支出</w:t>
      </w:r>
      <w:r w:rsidR="009D0EB2">
        <w:rPr>
          <w:rFonts w:ascii="仿宋" w:eastAsia="仿宋" w:hAnsi="仿宋" w:hint="eastAsia"/>
          <w:color w:val="404040"/>
          <w:sz w:val="32"/>
          <w:szCs w:val="32"/>
          <w:shd w:val="clear" w:color="auto" w:fill="FFFFFF"/>
        </w:rPr>
        <w:t>1272.14</w:t>
      </w:r>
      <w:r>
        <w:rPr>
          <w:rFonts w:ascii="仿宋" w:eastAsia="仿宋" w:hAnsi="仿宋"/>
          <w:color w:val="404040"/>
          <w:sz w:val="32"/>
          <w:szCs w:val="32"/>
          <w:shd w:val="clear" w:color="auto" w:fill="FFFFFF"/>
        </w:rPr>
        <w:t>万元，其中，基本支出</w:t>
      </w:r>
      <w:r w:rsidR="009D0EB2">
        <w:rPr>
          <w:rFonts w:ascii="仿宋" w:eastAsia="仿宋" w:hAnsi="仿宋" w:hint="eastAsia"/>
          <w:color w:val="404040"/>
          <w:sz w:val="32"/>
          <w:szCs w:val="32"/>
          <w:shd w:val="clear" w:color="auto" w:fill="FFFFFF"/>
        </w:rPr>
        <w:t>1111.59</w:t>
      </w:r>
      <w:r>
        <w:rPr>
          <w:rFonts w:ascii="仿宋" w:eastAsia="仿宋" w:hAnsi="仿宋"/>
          <w:color w:val="404040"/>
          <w:sz w:val="32"/>
          <w:szCs w:val="32"/>
          <w:shd w:val="clear" w:color="auto" w:fill="FFFFFF"/>
        </w:rPr>
        <w:t>万元，项目</w:t>
      </w:r>
      <w:r>
        <w:rPr>
          <w:rFonts w:ascii="仿宋" w:eastAsia="仿宋" w:hAnsi="仿宋" w:hint="eastAsia"/>
          <w:color w:val="404040"/>
          <w:sz w:val="32"/>
          <w:szCs w:val="32"/>
          <w:shd w:val="clear" w:color="auto" w:fill="FFFFFF"/>
        </w:rPr>
        <w:t>支出</w:t>
      </w:r>
      <w:r w:rsidR="009D0EB2">
        <w:rPr>
          <w:rFonts w:ascii="仿宋" w:eastAsia="仿宋" w:hAnsi="仿宋" w:hint="eastAsia"/>
          <w:color w:val="404040"/>
          <w:sz w:val="32"/>
          <w:szCs w:val="32"/>
          <w:shd w:val="clear" w:color="auto" w:fill="FFFFFF"/>
        </w:rPr>
        <w:t>160.55</w:t>
      </w:r>
      <w:r>
        <w:rPr>
          <w:rFonts w:ascii="仿宋" w:eastAsia="仿宋" w:hAnsi="仿宋"/>
          <w:color w:val="404040"/>
          <w:sz w:val="32"/>
          <w:szCs w:val="32"/>
          <w:shd w:val="clear" w:color="auto" w:fill="FFFFFF"/>
        </w:rPr>
        <w:t>万元。</w:t>
      </w:r>
      <w:r>
        <w:rPr>
          <w:rFonts w:ascii="仿宋" w:eastAsia="仿宋" w:hAnsi="仿宋" w:hint="eastAsia"/>
          <w:color w:val="404040"/>
          <w:sz w:val="32"/>
          <w:szCs w:val="32"/>
          <w:shd w:val="clear" w:color="auto" w:fill="FFFFFF"/>
        </w:rPr>
        <w:t>预算</w:t>
      </w:r>
      <w:r>
        <w:rPr>
          <w:rFonts w:ascii="仿宋" w:eastAsia="仿宋" w:hAnsi="仿宋"/>
          <w:color w:val="404040"/>
          <w:sz w:val="32"/>
          <w:szCs w:val="32"/>
          <w:shd w:val="clear" w:color="auto" w:fill="FFFFFF"/>
        </w:rPr>
        <w:t>执行率为</w:t>
      </w:r>
      <w:r w:rsidR="00D6715C">
        <w:rPr>
          <w:rFonts w:ascii="仿宋" w:eastAsia="仿宋" w:hAnsi="仿宋" w:hint="eastAsia"/>
          <w:color w:val="404040"/>
          <w:sz w:val="32"/>
          <w:szCs w:val="32"/>
          <w:shd w:val="clear" w:color="auto" w:fill="FFFFFF"/>
        </w:rPr>
        <w:t>9</w:t>
      </w:r>
      <w:r w:rsidR="009D0EB2">
        <w:rPr>
          <w:rFonts w:ascii="仿宋" w:eastAsia="仿宋" w:hAnsi="仿宋" w:hint="eastAsia"/>
          <w:color w:val="404040"/>
          <w:sz w:val="32"/>
          <w:szCs w:val="32"/>
          <w:shd w:val="clear" w:color="auto" w:fill="FFFFFF"/>
        </w:rPr>
        <w:t>9.12</w:t>
      </w:r>
      <w:r>
        <w:rPr>
          <w:rFonts w:ascii="仿宋" w:eastAsia="仿宋" w:hAnsi="仿宋" w:hint="eastAsia"/>
          <w:color w:val="404040"/>
          <w:sz w:val="32"/>
          <w:szCs w:val="32"/>
          <w:shd w:val="clear" w:color="auto" w:fill="FFFFFF"/>
        </w:rPr>
        <w:t>%</w:t>
      </w:r>
      <w:r w:rsidR="009D0EB2">
        <w:rPr>
          <w:rFonts w:ascii="仿宋" w:eastAsia="仿宋" w:hAnsi="仿宋" w:hint="eastAsia"/>
          <w:color w:val="404040"/>
          <w:sz w:val="32"/>
          <w:szCs w:val="32"/>
          <w:shd w:val="clear" w:color="auto" w:fill="FFFFFF"/>
        </w:rPr>
        <w:t>。</w:t>
      </w:r>
    </w:p>
    <w:p w14:paraId="48243C87" w14:textId="77777777" w:rsidR="0084361C" w:rsidRDefault="00E87FF6">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14:paraId="67706A1E" w14:textId="0603213D" w:rsidR="009D0EB2" w:rsidRDefault="009D0EB2" w:rsidP="007051FB">
      <w:pPr>
        <w:spacing w:line="600" w:lineRule="exact"/>
        <w:ind w:leftChars="50" w:left="105" w:firstLineChars="200" w:firstLine="640"/>
        <w:rPr>
          <w:rFonts w:ascii="仿宋" w:eastAsia="仿宋" w:hAnsi="仿宋"/>
          <w:color w:val="404040"/>
          <w:sz w:val="32"/>
          <w:szCs w:val="32"/>
          <w:shd w:val="clear" w:color="auto" w:fill="FFFFFF"/>
        </w:rPr>
      </w:pPr>
      <w:r>
        <w:rPr>
          <w:rFonts w:ascii="仿宋" w:eastAsia="仿宋" w:hAnsi="仿宋" w:hint="eastAsia"/>
          <w:color w:val="404040"/>
          <w:sz w:val="32"/>
          <w:szCs w:val="32"/>
          <w:shd w:val="clear" w:color="auto" w:fill="FFFFFF"/>
        </w:rPr>
        <w:t>2023年台盟北京市委</w:t>
      </w:r>
      <w:r w:rsidRPr="009D0EB2">
        <w:rPr>
          <w:rFonts w:ascii="仿宋" w:eastAsia="仿宋" w:hAnsi="仿宋" w:hint="eastAsia"/>
          <w:color w:val="404040"/>
          <w:sz w:val="32"/>
          <w:szCs w:val="32"/>
          <w:shd w:val="clear" w:color="auto" w:fill="FFFFFF"/>
        </w:rPr>
        <w:t>履行民主党派政治协商、民主监督、参政议政等职能，深入开展调查研究，为首都的发展提出建议、反映意见，并不断加强自身思想建设和组织建设，组织盟员开展各类有意义的学习和活动，团结带领广大盟员</w:t>
      </w:r>
      <w:r w:rsidRPr="009D0EB2">
        <w:rPr>
          <w:rFonts w:ascii="仿宋" w:eastAsia="仿宋" w:hAnsi="仿宋" w:hint="eastAsia"/>
          <w:color w:val="404040"/>
          <w:sz w:val="32"/>
          <w:szCs w:val="32"/>
          <w:shd w:val="clear" w:color="auto" w:fill="FFFFFF"/>
        </w:rPr>
        <w:lastRenderedPageBreak/>
        <w:t>充分发挥自身优势和特点，在各自的工作岗位上为社会主义现代化建设事业和首都经济发展贡献力量。</w:t>
      </w:r>
    </w:p>
    <w:p w14:paraId="05F5E648" w14:textId="7F291DFD" w:rsidR="0084361C" w:rsidRDefault="00E87FF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14:paraId="458FFF58" w14:textId="77777777" w:rsidR="0084361C" w:rsidRDefault="00E87FF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14:paraId="450F7829" w14:textId="77777777" w:rsidR="00721A50" w:rsidRDefault="00D6715C" w:rsidP="00D6715C">
      <w:pPr>
        <w:spacing w:line="600" w:lineRule="exact"/>
        <w:ind w:firstLineChars="200" w:firstLine="640"/>
        <w:rPr>
          <w:rFonts w:ascii="仿宋" w:eastAsia="仿宋" w:hAnsi="仿宋" w:cs="宋体"/>
          <w:sz w:val="32"/>
          <w:szCs w:val="32"/>
        </w:rPr>
      </w:pPr>
      <w:r>
        <w:rPr>
          <w:rFonts w:ascii="仿宋_GB2312" w:eastAsia="仿宋_GB2312" w:hAnsi="仿宋_GB2312" w:cs="仿宋_GB2312" w:hint="eastAsia"/>
          <w:sz w:val="32"/>
          <w:szCs w:val="32"/>
        </w:rPr>
        <w:t>2023年</w:t>
      </w:r>
      <w:r w:rsidR="009D0EB2">
        <w:rPr>
          <w:rFonts w:ascii="仿宋_GB2312" w:eastAsia="仿宋_GB2312" w:hAnsi="仿宋_GB2312" w:cs="仿宋_GB2312" w:hint="eastAsia"/>
          <w:sz w:val="32"/>
          <w:szCs w:val="32"/>
        </w:rPr>
        <w:t>台盟</w:t>
      </w:r>
      <w:r>
        <w:rPr>
          <w:rFonts w:ascii="仿宋_GB2312" w:eastAsia="仿宋_GB2312" w:hAnsi="仿宋_GB2312" w:cs="仿宋_GB2312" w:hint="eastAsia"/>
          <w:sz w:val="32"/>
          <w:szCs w:val="32"/>
        </w:rPr>
        <w:t>北京市委</w:t>
      </w:r>
      <w:r w:rsidR="00721A50" w:rsidRPr="005131F3">
        <w:rPr>
          <w:rFonts w:ascii="仿宋" w:eastAsia="仿宋" w:hAnsi="仿宋" w:hint="eastAsia"/>
          <w:snapToGrid w:val="0"/>
          <w:kern w:val="0"/>
          <w:sz w:val="32"/>
          <w:szCs w:val="32"/>
        </w:rPr>
        <w:t>积极参与台盟中央年度重点调研课题，</w:t>
      </w:r>
      <w:r w:rsidR="00721A50" w:rsidRPr="005131F3">
        <w:rPr>
          <w:rFonts w:ascii="仿宋" w:eastAsia="仿宋" w:hAnsi="仿宋" w:cs="宋体" w:hint="eastAsia"/>
          <w:sz w:val="32"/>
          <w:szCs w:val="32"/>
        </w:rPr>
        <w:t>市政协重点协商议题，市委统战部政党协商联合调研、</w:t>
      </w:r>
      <w:r w:rsidR="00721A50" w:rsidRPr="005131F3">
        <w:rPr>
          <w:rFonts w:ascii="仿宋" w:eastAsia="仿宋" w:hAnsi="仿宋" w:cs="宋体"/>
          <w:sz w:val="32"/>
          <w:szCs w:val="32"/>
        </w:rPr>
        <w:t>台盟中央参事</w:t>
      </w:r>
      <w:r w:rsidR="00721A50" w:rsidRPr="005131F3">
        <w:rPr>
          <w:rFonts w:ascii="仿宋" w:eastAsia="仿宋" w:hAnsi="仿宋" w:cs="宋体" w:hint="eastAsia"/>
          <w:sz w:val="32"/>
          <w:szCs w:val="32"/>
        </w:rPr>
        <w:t>来京调研、</w:t>
      </w:r>
      <w:r w:rsidR="00721A50" w:rsidRPr="005131F3">
        <w:rPr>
          <w:rFonts w:ascii="仿宋" w:eastAsia="仿宋" w:hAnsi="仿宋" w:cs="宋体"/>
          <w:sz w:val="32"/>
          <w:szCs w:val="32"/>
        </w:rPr>
        <w:t>市检察院</w:t>
      </w:r>
      <w:r w:rsidR="00721A50" w:rsidRPr="005131F3">
        <w:rPr>
          <w:rFonts w:ascii="仿宋" w:eastAsia="仿宋" w:hAnsi="仿宋" w:cs="宋体" w:hint="eastAsia"/>
          <w:sz w:val="32"/>
          <w:szCs w:val="32"/>
        </w:rPr>
        <w:t>与党派合作</w:t>
      </w:r>
      <w:r w:rsidR="00721A50" w:rsidRPr="005131F3">
        <w:rPr>
          <w:rFonts w:ascii="仿宋" w:eastAsia="仿宋" w:hAnsi="仿宋" w:cs="宋体"/>
          <w:sz w:val="32"/>
          <w:szCs w:val="32"/>
        </w:rPr>
        <w:t>课题</w:t>
      </w:r>
      <w:r w:rsidR="00721A50" w:rsidRPr="005131F3">
        <w:rPr>
          <w:rFonts w:ascii="仿宋" w:eastAsia="仿宋" w:hAnsi="仿宋" w:cs="宋体" w:hint="eastAsia"/>
          <w:sz w:val="32"/>
          <w:szCs w:val="32"/>
        </w:rPr>
        <w:t>等调研课题共计</w:t>
      </w:r>
      <w:r w:rsidR="00721A50" w:rsidRPr="005131F3">
        <w:rPr>
          <w:rFonts w:ascii="仿宋" w:eastAsia="仿宋" w:hAnsi="仿宋" w:cs="宋体"/>
          <w:sz w:val="32"/>
          <w:szCs w:val="32"/>
        </w:rPr>
        <w:t>19项</w:t>
      </w:r>
      <w:r w:rsidR="00721A50" w:rsidRPr="005131F3">
        <w:rPr>
          <w:rFonts w:ascii="仿宋" w:eastAsia="仿宋" w:hAnsi="仿宋" w:cs="宋体" w:hint="eastAsia"/>
          <w:sz w:val="32"/>
          <w:szCs w:val="32"/>
        </w:rPr>
        <w:t>。</w:t>
      </w:r>
      <w:r w:rsidR="00721A50" w:rsidRPr="005131F3">
        <w:rPr>
          <w:rFonts w:ascii="仿宋" w:eastAsia="仿宋" w:hAnsi="仿宋" w:hint="eastAsia"/>
          <w:snapToGrid w:val="0"/>
          <w:kern w:val="0"/>
          <w:sz w:val="32"/>
          <w:szCs w:val="32"/>
        </w:rPr>
        <w:t>在课题组织、实地调研、交流研讨、报告执笔过程中，</w:t>
      </w:r>
      <w:r w:rsidR="00721A50" w:rsidRPr="005131F3">
        <w:rPr>
          <w:rFonts w:ascii="仿宋" w:eastAsia="仿宋" w:hAnsi="仿宋" w:cs="宋体" w:hint="eastAsia"/>
          <w:sz w:val="32"/>
          <w:szCs w:val="32"/>
        </w:rPr>
        <w:t>班子成员、</w:t>
      </w:r>
      <w:proofErr w:type="gramStart"/>
      <w:r w:rsidR="00721A50" w:rsidRPr="005131F3">
        <w:rPr>
          <w:rFonts w:ascii="仿宋" w:eastAsia="仿宋" w:hAnsi="仿宋" w:cs="宋体" w:hint="eastAsia"/>
          <w:sz w:val="32"/>
          <w:szCs w:val="32"/>
        </w:rPr>
        <w:t>参委</w:t>
      </w:r>
      <w:r w:rsidR="00721A50">
        <w:rPr>
          <w:rFonts w:ascii="仿宋" w:eastAsia="仿宋" w:hAnsi="仿宋" w:cs="宋体" w:hint="eastAsia"/>
          <w:sz w:val="32"/>
          <w:szCs w:val="32"/>
        </w:rPr>
        <w:t>会</w:t>
      </w:r>
      <w:proofErr w:type="gramEnd"/>
      <w:r w:rsidR="00721A50" w:rsidRPr="005131F3">
        <w:rPr>
          <w:rFonts w:ascii="仿宋" w:eastAsia="仿宋" w:hAnsi="仿宋" w:cs="宋体" w:hint="eastAsia"/>
          <w:sz w:val="32"/>
          <w:szCs w:val="32"/>
        </w:rPr>
        <w:t>委员和骨干盟员</w:t>
      </w:r>
      <w:r w:rsidR="00721A50" w:rsidRPr="005131F3">
        <w:rPr>
          <w:rFonts w:ascii="仿宋" w:eastAsia="仿宋" w:hAnsi="仿宋" w:hint="eastAsia"/>
          <w:snapToGrid w:val="0"/>
          <w:kern w:val="0"/>
          <w:sz w:val="32"/>
          <w:szCs w:val="32"/>
        </w:rPr>
        <w:t>作用发挥明显，</w:t>
      </w:r>
      <w:r w:rsidR="00721A50" w:rsidRPr="005131F3">
        <w:rPr>
          <w:rFonts w:ascii="仿宋" w:eastAsia="仿宋" w:hAnsi="仿宋"/>
          <w:snapToGrid w:val="0"/>
          <w:kern w:val="0"/>
          <w:sz w:val="32"/>
          <w:szCs w:val="32"/>
        </w:rPr>
        <w:t>2023年</w:t>
      </w:r>
      <w:r w:rsidR="00721A50" w:rsidRPr="005131F3">
        <w:rPr>
          <w:rFonts w:ascii="仿宋" w:eastAsia="仿宋" w:hAnsi="仿宋" w:hint="eastAsia"/>
          <w:snapToGrid w:val="0"/>
          <w:kern w:val="0"/>
          <w:sz w:val="32"/>
          <w:szCs w:val="32"/>
        </w:rPr>
        <w:t>形成</w:t>
      </w:r>
      <w:r w:rsidR="00721A50" w:rsidRPr="005131F3">
        <w:rPr>
          <w:rFonts w:ascii="仿宋" w:eastAsia="仿宋" w:hAnsi="仿宋" w:cs="宋体" w:hint="eastAsia"/>
          <w:sz w:val="32"/>
          <w:szCs w:val="32"/>
        </w:rPr>
        <w:t>高质量调研成果</w:t>
      </w:r>
      <w:r w:rsidR="00721A50" w:rsidRPr="005131F3">
        <w:rPr>
          <w:rFonts w:ascii="仿宋" w:eastAsia="仿宋" w:hAnsi="仿宋" w:cs="宋体"/>
          <w:sz w:val="32"/>
          <w:szCs w:val="32"/>
        </w:rPr>
        <w:t>43篇</w:t>
      </w:r>
      <w:r w:rsidR="00721A50" w:rsidRPr="005131F3">
        <w:rPr>
          <w:rFonts w:ascii="仿宋" w:eastAsia="仿宋" w:hAnsi="仿宋" w:cs="宋体" w:hint="eastAsia"/>
          <w:sz w:val="32"/>
          <w:szCs w:val="32"/>
        </w:rPr>
        <w:t>，其中</w:t>
      </w:r>
      <w:r w:rsidR="00721A50" w:rsidRPr="005131F3">
        <w:rPr>
          <w:rFonts w:ascii="仿宋" w:eastAsia="仿宋" w:hAnsi="仿宋" w:hint="eastAsia"/>
          <w:snapToGrid w:val="0"/>
          <w:kern w:val="0"/>
          <w:sz w:val="32"/>
          <w:szCs w:val="32"/>
        </w:rPr>
        <w:t>向台盟中央提交课题</w:t>
      </w:r>
      <w:r w:rsidR="00721A50" w:rsidRPr="005131F3">
        <w:rPr>
          <w:rFonts w:ascii="仿宋" w:eastAsia="仿宋" w:hAnsi="仿宋"/>
          <w:snapToGrid w:val="0"/>
          <w:kern w:val="0"/>
          <w:sz w:val="32"/>
          <w:szCs w:val="32"/>
        </w:rPr>
        <w:t>分报告30篇</w:t>
      </w:r>
      <w:r w:rsidR="00721A50" w:rsidRPr="005131F3">
        <w:rPr>
          <w:rFonts w:ascii="仿宋" w:eastAsia="仿宋" w:hAnsi="仿宋" w:hint="eastAsia"/>
          <w:snapToGrid w:val="0"/>
          <w:kern w:val="0"/>
          <w:sz w:val="32"/>
          <w:szCs w:val="32"/>
        </w:rPr>
        <w:t>，数量、质量较往年均有大幅提升。</w:t>
      </w:r>
      <w:r w:rsidR="00721A50" w:rsidRPr="005131F3">
        <w:rPr>
          <w:rFonts w:ascii="仿宋" w:eastAsia="仿宋" w:hAnsi="仿宋" w:cs="宋体" w:hint="eastAsia"/>
          <w:sz w:val="32"/>
          <w:szCs w:val="32"/>
        </w:rPr>
        <w:t>盟员参政热情高涨，全年报送社情民意信息</w:t>
      </w:r>
      <w:r w:rsidR="00721A50" w:rsidRPr="005131F3">
        <w:rPr>
          <w:rFonts w:ascii="仿宋" w:eastAsia="仿宋" w:hAnsi="仿宋" w:cs="宋体"/>
          <w:sz w:val="32"/>
          <w:szCs w:val="32"/>
        </w:rPr>
        <w:t>493篇，161篇次被全国政协、台盟中央、中共北京市委、市政协和市委统战部采用，7篇得到北京市有关领导的重要批示。</w:t>
      </w:r>
    </w:p>
    <w:p w14:paraId="4CB6A483" w14:textId="170C11B1" w:rsidR="0084361C" w:rsidRDefault="009D0EB2" w:rsidP="00D6715C">
      <w:pPr>
        <w:spacing w:line="600" w:lineRule="exact"/>
        <w:ind w:firstLineChars="200" w:firstLine="640"/>
        <w:rPr>
          <w:rFonts w:ascii="仿宋" w:eastAsia="仿宋" w:hAnsi="仿宋" w:cs="宋体"/>
          <w:sz w:val="32"/>
          <w:szCs w:val="32"/>
        </w:rPr>
      </w:pPr>
      <w:r w:rsidRPr="005131F3">
        <w:rPr>
          <w:rFonts w:ascii="仿宋" w:eastAsia="仿宋" w:hAnsi="仿宋" w:hint="eastAsia"/>
          <w:sz w:val="32"/>
          <w:szCs w:val="32"/>
        </w:rPr>
        <w:t>认真落实台盟中央主题教育动员会精神，成立领导小组，制定工作</w:t>
      </w:r>
      <w:r w:rsidRPr="001C402B">
        <w:rPr>
          <w:rFonts w:ascii="仿宋" w:eastAsia="仿宋" w:hAnsi="仿宋" w:hint="eastAsia"/>
          <w:sz w:val="32"/>
          <w:szCs w:val="32"/>
        </w:rPr>
        <w:t>方案，确定</w:t>
      </w:r>
      <w:r w:rsidRPr="001C402B">
        <w:rPr>
          <w:rFonts w:ascii="仿宋" w:eastAsia="仿宋" w:hAnsi="仿宋"/>
          <w:sz w:val="32"/>
          <w:szCs w:val="32"/>
        </w:rPr>
        <w:t>5个方面20</w:t>
      </w:r>
      <w:r w:rsidRPr="001C402B">
        <w:rPr>
          <w:rFonts w:ascii="仿宋" w:eastAsia="仿宋" w:hAnsi="仿宋" w:hint="eastAsia"/>
          <w:sz w:val="32"/>
          <w:szCs w:val="32"/>
        </w:rPr>
        <w:t>项重点任务。</w:t>
      </w:r>
      <w:proofErr w:type="gramStart"/>
      <w:r w:rsidRPr="001C402B">
        <w:rPr>
          <w:rFonts w:ascii="仿宋" w:eastAsia="仿宋" w:hAnsi="仿宋" w:hint="eastAsia"/>
          <w:bCs/>
          <w:sz w:val="32"/>
          <w:szCs w:val="32"/>
        </w:rPr>
        <w:t>陈军</w:t>
      </w:r>
      <w:r w:rsidRPr="001C402B">
        <w:rPr>
          <w:rFonts w:ascii="仿宋" w:eastAsia="仿宋" w:hAnsi="仿宋" w:hint="eastAsia"/>
          <w:sz w:val="32"/>
          <w:szCs w:val="32"/>
        </w:rPr>
        <w:t>主委</w:t>
      </w:r>
      <w:proofErr w:type="gramEnd"/>
      <w:r w:rsidRPr="001C402B">
        <w:rPr>
          <w:rFonts w:ascii="仿宋" w:eastAsia="仿宋" w:hAnsi="仿宋" w:cs="宋体" w:hint="eastAsia"/>
          <w:sz w:val="32"/>
          <w:szCs w:val="32"/>
        </w:rPr>
        <w:t>在《团结报》《人民政协报》《北京观察》等刊物上发表</w:t>
      </w:r>
      <w:r w:rsidRPr="001C402B">
        <w:rPr>
          <w:rFonts w:ascii="仿宋" w:eastAsia="仿宋" w:hAnsi="仿宋" w:cs="宋体"/>
          <w:sz w:val="32"/>
          <w:szCs w:val="32"/>
        </w:rPr>
        <w:t>4篇理论</w:t>
      </w:r>
      <w:r w:rsidRPr="001C402B">
        <w:rPr>
          <w:rFonts w:ascii="仿宋" w:eastAsia="仿宋" w:hAnsi="仿宋" w:cs="宋体" w:hint="eastAsia"/>
          <w:sz w:val="32"/>
          <w:szCs w:val="32"/>
        </w:rPr>
        <w:t>文章，班子成员深入所联系的区级组织，走访调研、指导工作。</w:t>
      </w:r>
      <w:r w:rsidRPr="001C402B">
        <w:rPr>
          <w:rFonts w:ascii="仿宋" w:eastAsia="仿宋" w:hAnsi="仿宋" w:cs="宋体"/>
          <w:bCs/>
          <w:sz w:val="32"/>
          <w:szCs w:val="32"/>
        </w:rPr>
        <w:t>开展“读原著、学原文、悟原理”活动</w:t>
      </w:r>
      <w:r w:rsidRPr="001C402B">
        <w:rPr>
          <w:rFonts w:ascii="仿宋" w:eastAsia="仿宋" w:hAnsi="仿宋" w:cs="宋体" w:hint="eastAsia"/>
          <w:sz w:val="32"/>
          <w:szCs w:val="32"/>
        </w:rPr>
        <w:t>，市区两级班子</w:t>
      </w:r>
      <w:proofErr w:type="gramStart"/>
      <w:r w:rsidRPr="001C402B">
        <w:rPr>
          <w:rFonts w:ascii="仿宋" w:eastAsia="仿宋" w:hAnsi="仿宋" w:cs="宋体" w:hint="eastAsia"/>
          <w:sz w:val="32"/>
          <w:szCs w:val="32"/>
        </w:rPr>
        <w:t>成员领学</w:t>
      </w:r>
      <w:r w:rsidRPr="001C402B">
        <w:rPr>
          <w:rFonts w:ascii="仿宋" w:eastAsia="仿宋" w:hAnsi="仿宋" w:cs="宋体"/>
          <w:sz w:val="32"/>
          <w:szCs w:val="32"/>
        </w:rPr>
        <w:t>《习近平著作选读》</w:t>
      </w:r>
      <w:proofErr w:type="gramEnd"/>
      <w:r w:rsidRPr="001C402B">
        <w:rPr>
          <w:rFonts w:ascii="仿宋" w:eastAsia="仿宋" w:hAnsi="仿宋" w:cs="宋体"/>
          <w:sz w:val="32"/>
          <w:szCs w:val="32"/>
        </w:rPr>
        <w:t>《习近平谈治国理政》</w:t>
      </w:r>
      <w:r w:rsidRPr="001C402B">
        <w:rPr>
          <w:rFonts w:ascii="仿宋" w:eastAsia="仿宋" w:hAnsi="仿宋" w:cs="宋体" w:hint="eastAsia"/>
          <w:sz w:val="32"/>
          <w:szCs w:val="32"/>
        </w:rPr>
        <w:t>等理论著作，开展“常委领读”活动，</w:t>
      </w:r>
      <w:r w:rsidRPr="001C402B">
        <w:rPr>
          <w:rFonts w:ascii="仿宋" w:eastAsia="仿宋" w:hAnsi="仿宋" w:cs="宋体"/>
          <w:sz w:val="32"/>
          <w:szCs w:val="32"/>
        </w:rPr>
        <w:t>17位常委以切身感受和学习体悟对中共二十大精神进行宣讲</w:t>
      </w:r>
      <w:r w:rsidRPr="001C402B">
        <w:rPr>
          <w:rFonts w:ascii="仿宋" w:eastAsia="仿宋" w:hAnsi="仿宋" w:cs="宋体" w:hint="eastAsia"/>
          <w:sz w:val="32"/>
          <w:szCs w:val="32"/>
        </w:rPr>
        <w:t>。全年组织主题教育活动近百场，引领广大盟员和</w:t>
      </w:r>
      <w:proofErr w:type="gramStart"/>
      <w:r w:rsidRPr="001C402B">
        <w:rPr>
          <w:rFonts w:ascii="仿宋" w:eastAsia="仿宋" w:hAnsi="仿宋" w:cs="宋体" w:hint="eastAsia"/>
          <w:sz w:val="32"/>
          <w:szCs w:val="32"/>
        </w:rPr>
        <w:t>盟务工</w:t>
      </w:r>
      <w:proofErr w:type="gramEnd"/>
      <w:r w:rsidRPr="001C402B">
        <w:rPr>
          <w:rFonts w:ascii="仿宋" w:eastAsia="仿宋" w:hAnsi="仿宋" w:cs="宋体" w:hint="eastAsia"/>
          <w:sz w:val="32"/>
          <w:szCs w:val="32"/>
        </w:rPr>
        <w:t>作者自觉把思想和行动统</w:t>
      </w:r>
      <w:r w:rsidRPr="001C402B">
        <w:rPr>
          <w:rFonts w:ascii="仿宋" w:eastAsia="仿宋" w:hAnsi="仿宋" w:cs="宋体" w:hint="eastAsia"/>
          <w:sz w:val="32"/>
          <w:szCs w:val="32"/>
        </w:rPr>
        <w:lastRenderedPageBreak/>
        <w:t>一到中共中央、台盟中央和中共北京市委的各项决策部署上来。</w:t>
      </w:r>
    </w:p>
    <w:p w14:paraId="3571CB2A" w14:textId="77777777" w:rsidR="00721A50" w:rsidRDefault="00721A50" w:rsidP="007051FB">
      <w:pPr>
        <w:spacing w:line="600" w:lineRule="exact"/>
        <w:ind w:leftChars="50" w:left="105" w:firstLineChars="200" w:firstLine="640"/>
        <w:rPr>
          <w:rFonts w:ascii="仿宋" w:eastAsia="仿宋" w:hAnsi="仿宋" w:cs="宋体"/>
          <w:sz w:val="32"/>
          <w:szCs w:val="32"/>
        </w:rPr>
      </w:pPr>
      <w:r w:rsidRPr="001C402B">
        <w:rPr>
          <w:rFonts w:ascii="仿宋" w:eastAsia="仿宋" w:hAnsi="仿宋" w:cs="宋体" w:hint="eastAsia"/>
          <w:sz w:val="32"/>
          <w:szCs w:val="32"/>
        </w:rPr>
        <w:t>深化盟务报</w:t>
      </w:r>
      <w:r w:rsidRPr="005131F3">
        <w:rPr>
          <w:rFonts w:ascii="仿宋" w:eastAsia="仿宋" w:hAnsi="仿宋" w:cs="宋体" w:hint="eastAsia"/>
          <w:sz w:val="32"/>
          <w:szCs w:val="32"/>
        </w:rPr>
        <w:t>道，优化出刊周期，不断提升《北京台盟》办刊质量。</w:t>
      </w:r>
      <w:r>
        <w:rPr>
          <w:rFonts w:ascii="仿宋" w:eastAsia="仿宋" w:hAnsi="仿宋" w:cs="宋体" w:hint="eastAsia"/>
          <w:sz w:val="32"/>
          <w:szCs w:val="32"/>
        </w:rPr>
        <w:t>“</w:t>
      </w:r>
      <w:r w:rsidRPr="005131F3">
        <w:rPr>
          <w:rFonts w:ascii="仿宋" w:eastAsia="仿宋" w:hAnsi="仿宋" w:cs="宋体" w:hint="eastAsia"/>
          <w:sz w:val="32"/>
          <w:szCs w:val="32"/>
        </w:rPr>
        <w:t>北京台盟</w:t>
      </w:r>
      <w:r>
        <w:rPr>
          <w:rFonts w:ascii="仿宋" w:eastAsia="仿宋" w:hAnsi="仿宋" w:cs="宋体" w:hint="eastAsia"/>
          <w:sz w:val="32"/>
          <w:szCs w:val="32"/>
        </w:rPr>
        <w:t>”</w:t>
      </w:r>
      <w:proofErr w:type="gramStart"/>
      <w:r w:rsidRPr="005131F3">
        <w:rPr>
          <w:rFonts w:ascii="仿宋" w:eastAsia="仿宋" w:hAnsi="仿宋" w:cs="宋体"/>
          <w:sz w:val="32"/>
          <w:szCs w:val="32"/>
        </w:rPr>
        <w:t>微信公众号</w:t>
      </w:r>
      <w:proofErr w:type="gramEnd"/>
      <w:r w:rsidRPr="005131F3">
        <w:rPr>
          <w:rFonts w:ascii="仿宋" w:eastAsia="仿宋" w:hAnsi="仿宋" w:cs="宋体" w:hint="eastAsia"/>
          <w:sz w:val="32"/>
          <w:szCs w:val="32"/>
        </w:rPr>
        <w:t>影响力显著增强，</w:t>
      </w:r>
      <w:r w:rsidRPr="005131F3">
        <w:rPr>
          <w:rFonts w:ascii="仿宋" w:eastAsia="仿宋" w:hAnsi="仿宋" w:cs="宋体"/>
          <w:sz w:val="32"/>
          <w:szCs w:val="32"/>
        </w:rPr>
        <w:t>2023</w:t>
      </w:r>
      <w:r w:rsidRPr="005131F3">
        <w:rPr>
          <w:rFonts w:ascii="仿宋" w:eastAsia="仿宋" w:hAnsi="仿宋" w:cs="宋体" w:hint="eastAsia"/>
          <w:sz w:val="32"/>
          <w:szCs w:val="32"/>
        </w:rPr>
        <w:t>年推送文章</w:t>
      </w:r>
      <w:r w:rsidRPr="005131F3">
        <w:rPr>
          <w:rFonts w:ascii="仿宋" w:eastAsia="仿宋" w:hAnsi="仿宋" w:cs="宋体"/>
          <w:sz w:val="32"/>
          <w:szCs w:val="32"/>
        </w:rPr>
        <w:t>550</w:t>
      </w:r>
      <w:r w:rsidRPr="005131F3">
        <w:rPr>
          <w:rFonts w:ascii="仿宋" w:eastAsia="仿宋" w:hAnsi="仿宋" w:cs="宋体" w:hint="eastAsia"/>
          <w:sz w:val="32"/>
          <w:szCs w:val="32"/>
        </w:rPr>
        <w:t>余</w:t>
      </w:r>
      <w:r w:rsidRPr="005131F3">
        <w:rPr>
          <w:rFonts w:ascii="仿宋" w:eastAsia="仿宋" w:hAnsi="仿宋" w:cs="宋体"/>
          <w:sz w:val="32"/>
          <w:szCs w:val="32"/>
        </w:rPr>
        <w:t>篇次，</w:t>
      </w:r>
      <w:r w:rsidRPr="005131F3">
        <w:rPr>
          <w:rFonts w:ascii="仿宋" w:eastAsia="仿宋" w:hAnsi="仿宋" w:cs="宋体" w:hint="eastAsia"/>
          <w:sz w:val="32"/>
          <w:szCs w:val="32"/>
        </w:rPr>
        <w:t>关注人数突破</w:t>
      </w:r>
      <w:r w:rsidRPr="005131F3">
        <w:rPr>
          <w:rFonts w:ascii="仿宋" w:eastAsia="仿宋" w:hAnsi="仿宋" w:cs="宋体"/>
          <w:sz w:val="32"/>
          <w:szCs w:val="32"/>
        </w:rPr>
        <w:t>1200，</w:t>
      </w:r>
      <w:r w:rsidRPr="005131F3">
        <w:rPr>
          <w:rFonts w:ascii="仿宋" w:eastAsia="仿宋" w:hAnsi="仿宋" w:cs="宋体" w:hint="eastAsia"/>
          <w:sz w:val="32"/>
          <w:szCs w:val="32"/>
        </w:rPr>
        <w:t>比</w:t>
      </w:r>
      <w:r w:rsidRPr="005131F3">
        <w:rPr>
          <w:rFonts w:ascii="仿宋" w:eastAsia="仿宋" w:hAnsi="仿宋" w:cs="宋体"/>
          <w:sz w:val="32"/>
          <w:szCs w:val="32"/>
        </w:rPr>
        <w:t>去年同期</w:t>
      </w:r>
      <w:r w:rsidRPr="005131F3">
        <w:rPr>
          <w:rFonts w:ascii="仿宋" w:eastAsia="仿宋" w:hAnsi="仿宋" w:cs="宋体" w:hint="eastAsia"/>
          <w:sz w:val="32"/>
          <w:szCs w:val="32"/>
        </w:rPr>
        <w:t>均增长近</w:t>
      </w:r>
      <w:r w:rsidRPr="005131F3">
        <w:rPr>
          <w:rFonts w:ascii="仿宋" w:eastAsia="仿宋" w:hAnsi="仿宋" w:cs="宋体"/>
          <w:sz w:val="32"/>
          <w:szCs w:val="32"/>
        </w:rPr>
        <w:t>50%。</w:t>
      </w:r>
    </w:p>
    <w:p w14:paraId="34DAD553" w14:textId="0CDDD645" w:rsidR="0084361C" w:rsidRDefault="00E87FF6" w:rsidP="007051FB">
      <w:pPr>
        <w:spacing w:line="600" w:lineRule="exact"/>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14:paraId="70C91367" w14:textId="069F2FAB" w:rsidR="00945881" w:rsidRDefault="00721A50" w:rsidP="007051FB">
      <w:pPr>
        <w:spacing w:line="600" w:lineRule="exact"/>
        <w:ind w:leftChars="50" w:left="105"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台盟北京市委</w:t>
      </w:r>
      <w:r w:rsidRPr="005131F3">
        <w:rPr>
          <w:rFonts w:ascii="仿宋" w:eastAsia="仿宋" w:hAnsi="仿宋" w:cs="宋体" w:hint="eastAsia"/>
          <w:sz w:val="32"/>
          <w:szCs w:val="32"/>
        </w:rPr>
        <w:t>在台盟中央</w:t>
      </w:r>
      <w:r w:rsidRPr="005131F3">
        <w:rPr>
          <w:rFonts w:ascii="仿宋" w:eastAsia="仿宋" w:hAnsi="仿宋" w:cs="宋体"/>
          <w:sz w:val="32"/>
          <w:szCs w:val="32"/>
        </w:rPr>
        <w:t>2023年度参政议政工作评比中，</w:t>
      </w:r>
      <w:r w:rsidRPr="005131F3">
        <w:rPr>
          <w:rFonts w:ascii="仿宋" w:eastAsia="仿宋" w:hAnsi="仿宋" w:cs="宋体" w:hint="eastAsia"/>
          <w:sz w:val="32"/>
          <w:szCs w:val="32"/>
        </w:rPr>
        <w:t>台盟北京</w:t>
      </w:r>
      <w:r w:rsidRPr="005131F3">
        <w:rPr>
          <w:rFonts w:ascii="仿宋" w:eastAsia="仿宋" w:hAnsi="仿宋" w:cs="宋体"/>
          <w:sz w:val="32"/>
          <w:szCs w:val="32"/>
        </w:rPr>
        <w:t>市委</w:t>
      </w:r>
      <w:r w:rsidRPr="005131F3">
        <w:rPr>
          <w:rFonts w:ascii="仿宋" w:eastAsia="仿宋" w:hAnsi="仿宋" w:cs="宋体" w:hint="eastAsia"/>
          <w:sz w:val="32"/>
          <w:szCs w:val="32"/>
        </w:rPr>
        <w:t>荣获“省级参政议政先进集体一等奖”，台盟海淀区工委、朝阳区工委、西城区委荣获“地市级参政议政先进集体”，台盟西城区委荣获“地市级参政议政突出进步奖”，</w:t>
      </w:r>
      <w:r w:rsidRPr="005131F3">
        <w:rPr>
          <w:rFonts w:ascii="仿宋" w:eastAsia="仿宋" w:hAnsi="仿宋" w:cs="宋体"/>
          <w:sz w:val="32"/>
          <w:szCs w:val="32"/>
        </w:rPr>
        <w:t>2人荣获“参政议政先进个人”，2人荣获“社情民意信息工作先进个人”。</w:t>
      </w:r>
      <w:r w:rsidRPr="005131F3">
        <w:rPr>
          <w:rFonts w:ascii="仿宋" w:eastAsia="仿宋" w:hAnsi="仿宋" w:cs="宋体" w:hint="eastAsia"/>
          <w:sz w:val="32"/>
          <w:szCs w:val="32"/>
        </w:rPr>
        <w:t>在</w:t>
      </w:r>
      <w:r w:rsidRPr="005131F3">
        <w:rPr>
          <w:rFonts w:ascii="仿宋" w:eastAsia="仿宋" w:hAnsi="仿宋" w:hint="eastAsia"/>
          <w:snapToGrid w:val="0"/>
          <w:kern w:val="0"/>
          <w:sz w:val="32"/>
          <w:szCs w:val="32"/>
        </w:rPr>
        <w:t>台盟中央第十一次、第十二次协商议政论坛上，台盟北京市委推荐的</w:t>
      </w:r>
      <w:r w:rsidRPr="005131F3">
        <w:rPr>
          <w:rFonts w:ascii="仿宋" w:eastAsia="仿宋" w:hAnsi="仿宋"/>
          <w:snapToGrid w:val="0"/>
          <w:kern w:val="0"/>
          <w:sz w:val="32"/>
          <w:szCs w:val="32"/>
        </w:rPr>
        <w:t>2名青年盟员全部荣获一等奖。</w:t>
      </w:r>
      <w:r w:rsidRPr="005131F3">
        <w:rPr>
          <w:rFonts w:ascii="仿宋" w:eastAsia="仿宋" w:hAnsi="仿宋" w:cs="宋体" w:hint="eastAsia"/>
          <w:sz w:val="32"/>
          <w:szCs w:val="32"/>
        </w:rPr>
        <w:t>在市政协、市委统战部等部门组织的评比中，台盟北京市委也获得多个奖项。</w:t>
      </w:r>
      <w:r w:rsidR="00945881">
        <w:rPr>
          <w:rFonts w:ascii="仿宋_GB2312" w:eastAsia="仿宋_GB2312" w:hAnsi="仿宋_GB2312" w:cs="仿宋_GB2312" w:hint="eastAsia"/>
          <w:sz w:val="32"/>
          <w:szCs w:val="32"/>
          <w:lang w:val="zh-CN"/>
        </w:rPr>
        <w:t>。</w:t>
      </w:r>
    </w:p>
    <w:p w14:paraId="7F0334CE" w14:textId="6F1620C0" w:rsidR="0084361C" w:rsidRDefault="00721A50" w:rsidP="007051FB">
      <w:pPr>
        <w:spacing w:line="600" w:lineRule="exact"/>
        <w:ind w:leftChars="50" w:left="105" w:firstLineChars="200" w:firstLine="640"/>
        <w:rPr>
          <w:rFonts w:ascii="仿宋_GB2312" w:eastAsia="仿宋_GB2312" w:hAnsi="宋体" w:cs="宋体"/>
          <w:color w:val="000000"/>
          <w:kern w:val="0"/>
          <w:sz w:val="32"/>
          <w:szCs w:val="32"/>
        </w:rPr>
      </w:pPr>
      <w:r>
        <w:rPr>
          <w:rFonts w:ascii="仿宋" w:eastAsia="仿宋" w:hAnsi="仿宋" w:cs="宋体" w:hint="eastAsia"/>
          <w:sz w:val="32"/>
          <w:szCs w:val="32"/>
        </w:rPr>
        <w:t>扎实开展台情研究与信息工作，</w:t>
      </w:r>
      <w:r w:rsidRPr="005131F3">
        <w:rPr>
          <w:rFonts w:ascii="仿宋" w:eastAsia="仿宋" w:hAnsi="仿宋" w:cs="宋体" w:hint="eastAsia"/>
          <w:sz w:val="32"/>
          <w:szCs w:val="32"/>
        </w:rPr>
        <w:t>聚焦两岸同胞关切与热点问题，牵头承接台盟中央年度重点调研课题，开展专题涉台研究，形成调研成果</w:t>
      </w:r>
      <w:r w:rsidRPr="005131F3">
        <w:rPr>
          <w:rFonts w:ascii="仿宋" w:eastAsia="仿宋" w:hAnsi="仿宋" w:cs="宋体"/>
          <w:sz w:val="32"/>
          <w:szCs w:val="32"/>
        </w:rPr>
        <w:t>4项、</w:t>
      </w:r>
      <w:r w:rsidRPr="005131F3">
        <w:rPr>
          <w:rFonts w:ascii="仿宋" w:eastAsia="仿宋" w:hAnsi="仿宋" w:cs="宋体" w:hint="eastAsia"/>
          <w:sz w:val="32"/>
          <w:szCs w:val="32"/>
        </w:rPr>
        <w:t>理论文章</w:t>
      </w:r>
      <w:r w:rsidRPr="005131F3">
        <w:rPr>
          <w:rFonts w:ascii="仿宋" w:eastAsia="仿宋" w:hAnsi="仿宋" w:cs="宋体"/>
          <w:sz w:val="32"/>
          <w:szCs w:val="32"/>
        </w:rPr>
        <w:t>1篇</w:t>
      </w:r>
      <w:r w:rsidRPr="005131F3">
        <w:rPr>
          <w:rFonts w:ascii="仿宋" w:eastAsia="仿宋" w:hAnsi="仿宋" w:cs="宋体" w:hint="eastAsia"/>
          <w:sz w:val="32"/>
          <w:szCs w:val="32"/>
        </w:rPr>
        <w:t>。加强与台湾代表人士、台湾青年的沟通联系，报送涉台信息</w:t>
      </w:r>
      <w:r w:rsidRPr="005131F3">
        <w:rPr>
          <w:rFonts w:ascii="仿宋" w:eastAsia="仿宋" w:hAnsi="仿宋" w:cs="宋体"/>
          <w:sz w:val="32"/>
          <w:szCs w:val="32"/>
        </w:rPr>
        <w:t>36</w:t>
      </w:r>
      <w:r w:rsidRPr="005131F3">
        <w:rPr>
          <w:rFonts w:ascii="仿宋" w:eastAsia="仿宋" w:hAnsi="仿宋" w:cs="宋体" w:hint="eastAsia"/>
          <w:sz w:val="32"/>
          <w:szCs w:val="32"/>
        </w:rPr>
        <w:t>篇，</w:t>
      </w:r>
      <w:r w:rsidRPr="005131F3">
        <w:rPr>
          <w:rFonts w:ascii="仿宋" w:eastAsia="仿宋" w:hAnsi="仿宋" w:cs="宋体"/>
          <w:sz w:val="32"/>
          <w:szCs w:val="32"/>
        </w:rPr>
        <w:t>28篇</w:t>
      </w:r>
      <w:r w:rsidRPr="005131F3">
        <w:rPr>
          <w:rFonts w:ascii="仿宋" w:eastAsia="仿宋" w:hAnsi="仿宋" w:cs="宋体" w:hint="eastAsia"/>
          <w:sz w:val="32"/>
          <w:szCs w:val="32"/>
        </w:rPr>
        <w:t>被台盟中央及相关单位采用，其中关于京台文化研习营和选后岛内政局分析的信息分别被国台办、市台办《对台工作简报》采用刊发。</w:t>
      </w:r>
    </w:p>
    <w:p w14:paraId="390DD146" w14:textId="77777777" w:rsidR="0084361C" w:rsidRDefault="00E87FF6" w:rsidP="007051FB">
      <w:pPr>
        <w:spacing w:line="600" w:lineRule="exact"/>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3.产出</w:t>
      </w:r>
      <w:r>
        <w:rPr>
          <w:rFonts w:ascii="仿宋_GB2312" w:eastAsia="仿宋_GB2312" w:hAnsi="宋体" w:cs="宋体"/>
          <w:color w:val="000000"/>
          <w:kern w:val="0"/>
          <w:sz w:val="32"/>
          <w:szCs w:val="32"/>
        </w:rPr>
        <w:t>进度</w:t>
      </w:r>
    </w:p>
    <w:p w14:paraId="62224FCE" w14:textId="76E43B19" w:rsidR="0084361C" w:rsidRDefault="00E87FF6" w:rsidP="00266586">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202</w:t>
      </w:r>
      <w:r w:rsidR="00FE1DD1">
        <w:rPr>
          <w:rFonts w:ascii="仿宋_GB2312" w:eastAsia="仿宋_GB2312" w:hAnsi="仿宋" w:hint="eastAsia"/>
          <w:sz w:val="32"/>
          <w:szCs w:val="32"/>
        </w:rPr>
        <w:t>3</w:t>
      </w:r>
      <w:r>
        <w:rPr>
          <w:rFonts w:ascii="仿宋_GB2312" w:eastAsia="仿宋_GB2312" w:hAnsi="仿宋" w:hint="eastAsia"/>
          <w:sz w:val="32"/>
          <w:szCs w:val="32"/>
        </w:rPr>
        <w:t>年</w:t>
      </w:r>
      <w:r w:rsidR="00721A50">
        <w:rPr>
          <w:rFonts w:ascii="仿宋_GB2312" w:eastAsia="仿宋_GB2312" w:hAnsi="仿宋" w:hint="eastAsia"/>
          <w:sz w:val="32"/>
          <w:szCs w:val="32"/>
        </w:rPr>
        <w:t>台盟</w:t>
      </w:r>
      <w:r>
        <w:rPr>
          <w:rFonts w:ascii="仿宋_GB2312" w:eastAsia="仿宋_GB2312" w:hAnsi="仿宋" w:hint="eastAsia"/>
          <w:sz w:val="32"/>
          <w:szCs w:val="32"/>
        </w:rPr>
        <w:t>北京市委根据部门整体产出目标完成情况分析，按照</w:t>
      </w:r>
      <w:r w:rsidR="00721A50">
        <w:rPr>
          <w:rFonts w:ascii="仿宋_GB2312" w:eastAsia="仿宋_GB2312" w:hAnsi="仿宋" w:hint="eastAsia"/>
          <w:sz w:val="32"/>
          <w:szCs w:val="32"/>
        </w:rPr>
        <w:t>台盟</w:t>
      </w:r>
      <w:r>
        <w:rPr>
          <w:rFonts w:ascii="仿宋_GB2312" w:eastAsia="仿宋_GB2312" w:hAnsi="仿宋" w:hint="eastAsia"/>
          <w:sz w:val="32"/>
          <w:szCs w:val="32"/>
        </w:rPr>
        <w:t>中央及北京市政府重点工作，部门预算内的工作任务全部按照计划要求完成，通过年度各项工作有序推进落实，有效保障了项目实施进度及产出时效性。</w:t>
      </w:r>
    </w:p>
    <w:p w14:paraId="595C88D2" w14:textId="77777777" w:rsidR="0084361C" w:rsidRDefault="00E87FF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p>
    <w:p w14:paraId="4DF9CB36" w14:textId="0298C4C8" w:rsidR="0084361C" w:rsidRDefault="00E87FF6">
      <w:pPr>
        <w:spacing w:line="600" w:lineRule="exact"/>
        <w:ind w:leftChars="50" w:left="105" w:firstLineChars="150" w:firstLine="480"/>
        <w:rPr>
          <w:rFonts w:ascii="楷体_GB2312" w:eastAsia="仿宋"/>
          <w:sz w:val="32"/>
          <w:szCs w:val="32"/>
        </w:rPr>
      </w:pPr>
      <w:r>
        <w:rPr>
          <w:rFonts w:ascii="仿宋" w:eastAsia="仿宋" w:hAnsi="仿宋"/>
          <w:color w:val="404040"/>
          <w:sz w:val="32"/>
          <w:szCs w:val="32"/>
          <w:shd w:val="clear" w:color="auto" w:fill="FFFFFF"/>
        </w:rPr>
        <w:t>202</w:t>
      </w:r>
      <w:r w:rsidR="00FE1DD1">
        <w:rPr>
          <w:rFonts w:ascii="仿宋" w:eastAsia="仿宋" w:hAnsi="仿宋" w:hint="eastAsia"/>
          <w:color w:val="404040"/>
          <w:sz w:val="32"/>
          <w:szCs w:val="32"/>
          <w:shd w:val="clear" w:color="auto" w:fill="FFFFFF"/>
        </w:rPr>
        <w:t>3</w:t>
      </w:r>
      <w:r>
        <w:rPr>
          <w:rFonts w:ascii="仿宋" w:eastAsia="仿宋" w:hAnsi="仿宋" w:hint="eastAsia"/>
          <w:color w:val="404040"/>
          <w:sz w:val="32"/>
          <w:szCs w:val="32"/>
          <w:shd w:val="clear" w:color="auto" w:fill="FFFFFF"/>
        </w:rPr>
        <w:t>年整体支出</w:t>
      </w:r>
      <w:r w:rsidR="00721A50">
        <w:rPr>
          <w:rFonts w:ascii="仿宋" w:eastAsia="仿宋" w:hAnsi="仿宋" w:hint="eastAsia"/>
          <w:color w:val="404040"/>
          <w:sz w:val="32"/>
          <w:szCs w:val="32"/>
          <w:shd w:val="clear" w:color="auto" w:fill="FFFFFF"/>
        </w:rPr>
        <w:t>1272.14</w:t>
      </w:r>
      <w:r>
        <w:rPr>
          <w:rFonts w:ascii="仿宋" w:eastAsia="仿宋" w:hAnsi="仿宋"/>
          <w:color w:val="404040"/>
          <w:sz w:val="32"/>
          <w:szCs w:val="32"/>
          <w:shd w:val="clear" w:color="auto" w:fill="FFFFFF"/>
        </w:rPr>
        <w:t>万元，其中，基本支出</w:t>
      </w:r>
      <w:r w:rsidR="00721A50">
        <w:rPr>
          <w:rFonts w:ascii="仿宋" w:eastAsia="仿宋" w:hAnsi="仿宋" w:hint="eastAsia"/>
          <w:color w:val="404040"/>
          <w:sz w:val="32"/>
          <w:szCs w:val="32"/>
          <w:shd w:val="clear" w:color="auto" w:fill="FFFFFF"/>
        </w:rPr>
        <w:t>1111.59</w:t>
      </w:r>
      <w:r>
        <w:rPr>
          <w:rFonts w:ascii="仿宋" w:eastAsia="仿宋" w:hAnsi="仿宋"/>
          <w:color w:val="404040"/>
          <w:sz w:val="32"/>
          <w:szCs w:val="32"/>
          <w:shd w:val="clear" w:color="auto" w:fill="FFFFFF"/>
        </w:rPr>
        <w:t>万元，项目</w:t>
      </w:r>
      <w:r>
        <w:rPr>
          <w:rFonts w:ascii="仿宋" w:eastAsia="仿宋" w:hAnsi="仿宋" w:hint="eastAsia"/>
          <w:color w:val="404040"/>
          <w:sz w:val="32"/>
          <w:szCs w:val="32"/>
          <w:shd w:val="clear" w:color="auto" w:fill="FFFFFF"/>
        </w:rPr>
        <w:t>支出</w:t>
      </w:r>
      <w:r w:rsidR="00721A50">
        <w:rPr>
          <w:rFonts w:ascii="仿宋" w:eastAsia="仿宋" w:hAnsi="仿宋" w:hint="eastAsia"/>
          <w:color w:val="404040"/>
          <w:sz w:val="32"/>
          <w:szCs w:val="32"/>
          <w:shd w:val="clear" w:color="auto" w:fill="FFFFFF"/>
        </w:rPr>
        <w:t>160.55</w:t>
      </w:r>
      <w:r>
        <w:rPr>
          <w:rFonts w:ascii="仿宋" w:eastAsia="仿宋" w:hAnsi="仿宋"/>
          <w:color w:val="404040"/>
          <w:sz w:val="32"/>
          <w:szCs w:val="32"/>
          <w:shd w:val="clear" w:color="auto" w:fill="FFFFFF"/>
        </w:rPr>
        <w:t>万元。</w:t>
      </w:r>
      <w:r>
        <w:rPr>
          <w:rFonts w:ascii="仿宋" w:eastAsia="仿宋" w:hAnsi="仿宋" w:hint="eastAsia"/>
          <w:color w:val="404040"/>
          <w:sz w:val="32"/>
          <w:szCs w:val="32"/>
          <w:shd w:val="clear" w:color="auto" w:fill="FFFFFF"/>
        </w:rPr>
        <w:t>基本经费支出中人员经费支出</w:t>
      </w:r>
      <w:r w:rsidR="00721A50">
        <w:rPr>
          <w:rFonts w:ascii="仿宋" w:eastAsia="仿宋" w:hAnsi="仿宋" w:hint="eastAsia"/>
          <w:color w:val="404040"/>
          <w:sz w:val="32"/>
          <w:szCs w:val="32"/>
          <w:shd w:val="clear" w:color="auto" w:fill="FFFFFF"/>
        </w:rPr>
        <w:t>1016.24</w:t>
      </w:r>
      <w:r>
        <w:rPr>
          <w:rFonts w:ascii="仿宋" w:eastAsia="仿宋" w:hAnsi="仿宋" w:hint="eastAsia"/>
          <w:color w:val="404040"/>
          <w:sz w:val="32"/>
          <w:szCs w:val="32"/>
          <w:shd w:val="clear" w:color="auto" w:fill="FFFFFF"/>
        </w:rPr>
        <w:t>万元，公用经费支出</w:t>
      </w:r>
      <w:r w:rsidR="00721A50">
        <w:rPr>
          <w:rFonts w:ascii="仿宋" w:eastAsia="仿宋" w:hAnsi="仿宋" w:hint="eastAsia"/>
          <w:color w:val="404040"/>
          <w:sz w:val="32"/>
          <w:szCs w:val="32"/>
          <w:shd w:val="clear" w:color="auto" w:fill="FFFFFF"/>
        </w:rPr>
        <w:t>95.35</w:t>
      </w:r>
      <w:r>
        <w:rPr>
          <w:rFonts w:ascii="仿宋" w:eastAsia="仿宋" w:hAnsi="仿宋" w:hint="eastAsia"/>
          <w:color w:val="404040"/>
          <w:sz w:val="32"/>
          <w:szCs w:val="32"/>
          <w:shd w:val="clear" w:color="auto" w:fill="FFFFFF"/>
        </w:rPr>
        <w:t>万元</w:t>
      </w:r>
      <w:r w:rsidR="00FE1DD1">
        <w:rPr>
          <w:rFonts w:ascii="仿宋" w:eastAsia="仿宋" w:hAnsi="仿宋" w:hint="eastAsia"/>
          <w:color w:val="404040"/>
          <w:sz w:val="32"/>
          <w:szCs w:val="32"/>
          <w:shd w:val="clear" w:color="auto" w:fill="FFFFFF"/>
        </w:rPr>
        <w:t>。</w:t>
      </w:r>
    </w:p>
    <w:p w14:paraId="02F5B82E" w14:textId="77777777" w:rsidR="0084361C" w:rsidRDefault="00E87FF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14:paraId="27A75CDB" w14:textId="77777777" w:rsidR="0084361C" w:rsidRDefault="00E87FF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1.经济</w:t>
      </w:r>
      <w:r>
        <w:rPr>
          <w:rFonts w:ascii="仿宋_GB2312" w:eastAsia="仿宋_GB2312" w:hAnsi="宋体" w:cs="宋体"/>
          <w:color w:val="000000"/>
          <w:kern w:val="0"/>
          <w:sz w:val="32"/>
          <w:szCs w:val="32"/>
        </w:rPr>
        <w:t>效益</w:t>
      </w:r>
    </w:p>
    <w:p w14:paraId="16F871C7" w14:textId="42F140CC" w:rsidR="0084361C" w:rsidRDefault="00E87FF6" w:rsidP="00511C3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仿宋" w:hint="eastAsia"/>
          <w:sz w:val="32"/>
          <w:szCs w:val="32"/>
        </w:rPr>
        <w:t>202</w:t>
      </w:r>
      <w:r w:rsidR="00FE1DD1">
        <w:rPr>
          <w:rFonts w:ascii="仿宋_GB2312" w:eastAsia="仿宋_GB2312" w:hAnsi="仿宋" w:hint="eastAsia"/>
          <w:sz w:val="32"/>
          <w:szCs w:val="32"/>
        </w:rPr>
        <w:t>3</w:t>
      </w:r>
      <w:r>
        <w:rPr>
          <w:rFonts w:ascii="仿宋_GB2312" w:eastAsia="仿宋_GB2312" w:hAnsi="仿宋" w:hint="eastAsia"/>
          <w:sz w:val="32"/>
          <w:szCs w:val="32"/>
        </w:rPr>
        <w:t>年，</w:t>
      </w:r>
      <w:r w:rsidR="00511C33" w:rsidRPr="005131F3">
        <w:rPr>
          <w:rFonts w:ascii="仿宋" w:eastAsia="仿宋" w:hAnsi="仿宋" w:cs="宋体" w:hint="eastAsia"/>
          <w:sz w:val="32"/>
          <w:szCs w:val="32"/>
        </w:rPr>
        <w:t>台盟北京市委继续秉持</w:t>
      </w:r>
      <w:r w:rsidR="00511C33" w:rsidRPr="005131F3">
        <w:rPr>
          <w:rFonts w:ascii="仿宋" w:eastAsia="仿宋" w:hAnsi="仿宋" w:cs="宋体"/>
          <w:sz w:val="32"/>
          <w:szCs w:val="32"/>
        </w:rPr>
        <w:t>“</w:t>
      </w:r>
      <w:r w:rsidR="00511C33" w:rsidRPr="005131F3">
        <w:rPr>
          <w:rFonts w:ascii="仿宋" w:eastAsia="仿宋" w:hAnsi="仿宋" w:cs="宋体" w:hint="eastAsia"/>
          <w:sz w:val="32"/>
          <w:szCs w:val="32"/>
          <w:lang w:val="zh-TW"/>
        </w:rPr>
        <w:t>诚心助力、凝心聚力、平心量力</w:t>
      </w:r>
      <w:r w:rsidR="00511C33" w:rsidRPr="005131F3">
        <w:rPr>
          <w:rFonts w:ascii="仿宋" w:eastAsia="仿宋" w:hAnsi="仿宋" w:cs="宋体"/>
          <w:sz w:val="32"/>
          <w:szCs w:val="32"/>
        </w:rPr>
        <w:t>”</w:t>
      </w:r>
      <w:r w:rsidR="00511C33" w:rsidRPr="005131F3">
        <w:rPr>
          <w:rFonts w:ascii="仿宋" w:eastAsia="仿宋" w:hAnsi="仿宋" w:cs="宋体" w:hint="eastAsia"/>
          <w:sz w:val="32"/>
          <w:szCs w:val="32"/>
          <w:lang w:val="zh-TW"/>
        </w:rPr>
        <w:t>的工作方针，以社会服务为抓手，将民主党派参政履职功能向党政所急、民众所</w:t>
      </w:r>
      <w:r w:rsidR="00511C33">
        <w:rPr>
          <w:rFonts w:ascii="仿宋" w:eastAsia="仿宋" w:hAnsi="仿宋" w:cs="宋体" w:hint="eastAsia"/>
          <w:sz w:val="32"/>
          <w:szCs w:val="32"/>
          <w:lang w:val="zh-TW"/>
        </w:rPr>
        <w:t>盼、台盟所能</w:t>
      </w:r>
      <w:r w:rsidR="00511C33" w:rsidRPr="005131F3">
        <w:rPr>
          <w:rFonts w:ascii="仿宋" w:eastAsia="仿宋" w:hAnsi="仿宋" w:cs="宋体" w:hint="eastAsia"/>
          <w:sz w:val="32"/>
          <w:szCs w:val="32"/>
          <w:lang w:val="zh-TW"/>
        </w:rPr>
        <w:t>处拓展延伸。</w:t>
      </w:r>
      <w:r w:rsidR="00511C33">
        <w:rPr>
          <w:rFonts w:ascii="仿宋_GB2312" w:eastAsia="仿宋_GB2312" w:hAnsi="仿宋" w:hint="eastAsia"/>
          <w:sz w:val="32"/>
          <w:szCs w:val="32"/>
        </w:rPr>
        <w:t>深耕自由特色品牌活动和“8+1”行动，</w:t>
      </w:r>
      <w:r w:rsidR="00511C33" w:rsidRPr="005131F3">
        <w:rPr>
          <w:rFonts w:ascii="仿宋" w:eastAsia="仿宋" w:hAnsi="仿宋" w:cs="宋体" w:hint="eastAsia"/>
          <w:sz w:val="32"/>
          <w:szCs w:val="32"/>
        </w:rPr>
        <w:t>结合“助梦启航”</w:t>
      </w:r>
      <w:r w:rsidR="00511C33">
        <w:rPr>
          <w:rFonts w:ascii="仿宋" w:eastAsia="仿宋" w:hAnsi="仿宋" w:cs="宋体" w:hint="eastAsia"/>
          <w:sz w:val="32"/>
          <w:szCs w:val="32"/>
        </w:rPr>
        <w:t>、</w:t>
      </w:r>
      <w:r w:rsidR="00511C33" w:rsidRPr="005131F3">
        <w:rPr>
          <w:rFonts w:ascii="仿宋" w:eastAsia="仿宋" w:hAnsi="仿宋" w:cs="宋体" w:hint="eastAsia"/>
          <w:sz w:val="32"/>
          <w:szCs w:val="32"/>
        </w:rPr>
        <w:t>“北京赫章</w:t>
      </w:r>
      <w:r w:rsidR="00511C33" w:rsidRPr="005131F3">
        <w:rPr>
          <w:rFonts w:ascii="仿宋" w:eastAsia="仿宋" w:hAnsi="仿宋" w:cs="宋体"/>
          <w:sz w:val="32"/>
          <w:szCs w:val="32"/>
        </w:rPr>
        <w:t>2对1”结对帮扶活动</w:t>
      </w:r>
      <w:r w:rsidR="00511C33">
        <w:rPr>
          <w:rFonts w:ascii="仿宋" w:eastAsia="仿宋" w:hAnsi="仿宋" w:cs="宋体" w:hint="eastAsia"/>
          <w:sz w:val="32"/>
          <w:szCs w:val="32"/>
        </w:rPr>
        <w:t>，</w:t>
      </w:r>
      <w:r w:rsidR="00511C33" w:rsidRPr="005131F3">
        <w:rPr>
          <w:rFonts w:ascii="仿宋" w:eastAsia="仿宋" w:hAnsi="仿宋" w:cs="宋体"/>
          <w:sz w:val="32"/>
          <w:szCs w:val="32"/>
        </w:rPr>
        <w:t>开展2023年“同一蓝天下、共上一堂课”活动。</w:t>
      </w:r>
      <w:r w:rsidR="00511C33" w:rsidRPr="005131F3">
        <w:rPr>
          <w:rFonts w:ascii="仿宋" w:eastAsia="仿宋" w:hAnsi="仿宋" w:cs="宋体" w:hint="eastAsia"/>
          <w:bCs/>
          <w:sz w:val="32"/>
          <w:szCs w:val="32"/>
        </w:rPr>
        <w:t>在参加北京市各民主党派重点支持门头沟区发展“</w:t>
      </w:r>
      <w:r w:rsidR="00511C33" w:rsidRPr="005131F3">
        <w:rPr>
          <w:rFonts w:ascii="仿宋" w:eastAsia="仿宋" w:hAnsi="仿宋" w:cs="宋体"/>
          <w:bCs/>
          <w:sz w:val="32"/>
          <w:szCs w:val="32"/>
        </w:rPr>
        <w:t>8+1”行动十周年之际，继续签订新一轮三年帮扶计划，探寻高质量帮扶模式</w:t>
      </w:r>
      <w:r w:rsidR="00511C33" w:rsidRPr="005131F3">
        <w:rPr>
          <w:rFonts w:ascii="仿宋" w:eastAsia="仿宋" w:hAnsi="仿宋" w:cs="宋体" w:hint="eastAsia"/>
          <w:bCs/>
          <w:sz w:val="32"/>
          <w:szCs w:val="32"/>
        </w:rPr>
        <w:t>；签署《汇聚首都统战资源助力平谷区推进农业中关村建设行动合作框架协议》，不断优化“</w:t>
      </w:r>
      <w:r w:rsidR="00511C33" w:rsidRPr="005131F3">
        <w:rPr>
          <w:rFonts w:ascii="仿宋" w:eastAsia="仿宋" w:hAnsi="仿宋" w:cs="宋体"/>
          <w:bCs/>
          <w:sz w:val="32"/>
          <w:szCs w:val="32"/>
        </w:rPr>
        <w:t>8+1”行动</w:t>
      </w:r>
      <w:r w:rsidR="00511C33" w:rsidRPr="005131F3">
        <w:rPr>
          <w:rFonts w:ascii="仿宋" w:eastAsia="仿宋" w:hAnsi="仿宋" w:cs="宋体" w:hint="eastAsia"/>
          <w:bCs/>
          <w:sz w:val="32"/>
          <w:szCs w:val="32"/>
        </w:rPr>
        <w:t>，助力乡村振兴。</w:t>
      </w:r>
    </w:p>
    <w:p w14:paraId="54319085" w14:textId="77777777" w:rsidR="0084361C" w:rsidRDefault="00E87FF6" w:rsidP="007051FB">
      <w:pPr>
        <w:spacing w:line="600" w:lineRule="exact"/>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2.社会效益</w:t>
      </w:r>
    </w:p>
    <w:p w14:paraId="44B7DC9C" w14:textId="77777777" w:rsidR="00511C33" w:rsidRPr="005131F3" w:rsidRDefault="00511C33" w:rsidP="00511C33">
      <w:pPr>
        <w:spacing w:line="560" w:lineRule="exact"/>
        <w:ind w:firstLine="643"/>
        <w:rPr>
          <w:rFonts w:ascii="仿宋" w:eastAsia="仿宋" w:hAnsi="仿宋" w:cs="宋体"/>
          <w:bCs/>
          <w:sz w:val="32"/>
          <w:szCs w:val="32"/>
        </w:rPr>
      </w:pPr>
      <w:r>
        <w:rPr>
          <w:rFonts w:ascii="仿宋_GB2312" w:eastAsia="仿宋_GB2312" w:hAnsi="宋体" w:cs="宋体" w:hint="eastAsia"/>
          <w:color w:val="000000"/>
          <w:kern w:val="0"/>
          <w:sz w:val="32"/>
          <w:szCs w:val="32"/>
        </w:rPr>
        <w:t>台盟北京市委守望相助，积极参与救灾及灾后重建。</w:t>
      </w:r>
      <w:r w:rsidRPr="008850B9">
        <w:rPr>
          <w:rFonts w:ascii="仿宋" w:eastAsia="仿宋" w:hAnsi="仿宋" w:cs="宋体" w:hint="eastAsia"/>
          <w:bCs/>
          <w:sz w:val="32"/>
          <w:szCs w:val="32"/>
          <w:lang w:val="zh-TW"/>
        </w:rPr>
        <w:t>北</w:t>
      </w:r>
      <w:r w:rsidRPr="008850B9">
        <w:rPr>
          <w:rFonts w:ascii="仿宋" w:eastAsia="仿宋" w:hAnsi="仿宋" w:cs="宋体" w:hint="eastAsia"/>
          <w:bCs/>
          <w:sz w:val="32"/>
          <w:szCs w:val="32"/>
          <w:lang w:val="zh-TW"/>
        </w:rPr>
        <w:lastRenderedPageBreak/>
        <w:t>京“</w:t>
      </w:r>
      <w:r w:rsidRPr="008850B9">
        <w:rPr>
          <w:rFonts w:ascii="仿宋" w:eastAsia="仿宋" w:hAnsi="仿宋" w:cs="宋体"/>
          <w:bCs/>
          <w:sz w:val="32"/>
          <w:szCs w:val="32"/>
          <w:lang w:val="zh-TW"/>
        </w:rPr>
        <w:t>23</w:t>
      </w:r>
      <w:r w:rsidRPr="008850B9">
        <w:rPr>
          <w:rFonts w:ascii="仿宋" w:eastAsia="仿宋" w:hAnsi="仿宋" w:cs="宋体" w:hint="eastAsia"/>
          <w:bCs/>
          <w:sz w:val="32"/>
          <w:szCs w:val="32"/>
          <w:lang w:val="zh-TW"/>
        </w:rPr>
        <w:t>·</w:t>
      </w:r>
      <w:r w:rsidRPr="008850B9">
        <w:rPr>
          <w:rFonts w:ascii="仿宋" w:eastAsia="仿宋" w:hAnsi="仿宋" w:cs="宋体"/>
          <w:bCs/>
          <w:sz w:val="32"/>
          <w:szCs w:val="32"/>
          <w:lang w:val="zh-TW"/>
        </w:rPr>
        <w:t>7</w:t>
      </w:r>
      <w:r w:rsidRPr="008850B9">
        <w:rPr>
          <w:rFonts w:ascii="仿宋" w:eastAsia="仿宋" w:hAnsi="仿宋" w:cs="宋体" w:hint="eastAsia"/>
          <w:bCs/>
          <w:sz w:val="32"/>
          <w:szCs w:val="32"/>
          <w:lang w:val="zh-TW"/>
        </w:rPr>
        <w:t>”极端强降雨灾情</w:t>
      </w:r>
      <w:r w:rsidRPr="005131F3">
        <w:rPr>
          <w:rFonts w:ascii="仿宋" w:eastAsia="仿宋" w:hAnsi="仿宋" w:cs="宋体" w:hint="eastAsia"/>
          <w:bCs/>
          <w:sz w:val="32"/>
          <w:szCs w:val="32"/>
          <w:lang w:val="zh-TW"/>
        </w:rPr>
        <w:t>发生后，台盟北京市委第一时间致电门头沟</w:t>
      </w:r>
      <w:r>
        <w:rPr>
          <w:rFonts w:ascii="仿宋" w:eastAsia="仿宋" w:hAnsi="仿宋" w:cs="宋体" w:hint="eastAsia"/>
          <w:bCs/>
          <w:sz w:val="32"/>
          <w:szCs w:val="32"/>
          <w:lang w:val="zh-TW"/>
        </w:rPr>
        <w:t>区</w:t>
      </w:r>
      <w:r w:rsidRPr="005131F3">
        <w:rPr>
          <w:rFonts w:ascii="仿宋" w:eastAsia="仿宋" w:hAnsi="仿宋" w:cs="宋体" w:hint="eastAsia"/>
          <w:bCs/>
          <w:sz w:val="32"/>
          <w:szCs w:val="32"/>
          <w:lang w:val="zh-TW"/>
        </w:rPr>
        <w:t>了解受灾情况，第一时间向全市各级组织、全体盟员和</w:t>
      </w:r>
      <w:proofErr w:type="gramStart"/>
      <w:r w:rsidRPr="005131F3">
        <w:rPr>
          <w:rFonts w:ascii="仿宋" w:eastAsia="仿宋" w:hAnsi="仿宋" w:cs="宋体" w:hint="eastAsia"/>
          <w:bCs/>
          <w:sz w:val="32"/>
          <w:szCs w:val="32"/>
          <w:lang w:val="zh-TW"/>
        </w:rPr>
        <w:t>盟务工</w:t>
      </w:r>
      <w:proofErr w:type="gramEnd"/>
      <w:r w:rsidRPr="005131F3">
        <w:rPr>
          <w:rFonts w:ascii="仿宋" w:eastAsia="仿宋" w:hAnsi="仿宋" w:cs="宋体" w:hint="eastAsia"/>
          <w:bCs/>
          <w:sz w:val="32"/>
          <w:szCs w:val="32"/>
          <w:lang w:val="zh-TW"/>
        </w:rPr>
        <w:t>作者发</w:t>
      </w:r>
      <w:r w:rsidRPr="001C402B">
        <w:rPr>
          <w:rFonts w:ascii="仿宋" w:eastAsia="仿宋" w:hAnsi="仿宋" w:cs="宋体" w:hint="eastAsia"/>
          <w:bCs/>
          <w:sz w:val="32"/>
          <w:szCs w:val="32"/>
          <w:lang w:val="zh-TW"/>
        </w:rPr>
        <w:t>出捐款倡议，向沿河口村捐赠办公设备，助力村委会迅速开展灾后重建。临近岁末，甘肃省临夏州发生地震灾害，领导班子率先垂范，在京盟员、</w:t>
      </w:r>
      <w:r w:rsidRPr="005131F3">
        <w:rPr>
          <w:rFonts w:ascii="仿宋" w:eastAsia="仿宋" w:hAnsi="仿宋" w:cs="宋体" w:hint="eastAsia"/>
          <w:bCs/>
          <w:sz w:val="32"/>
          <w:szCs w:val="32"/>
          <w:lang w:val="zh-TW"/>
        </w:rPr>
        <w:t>机关干部积极响应捐款捐物。两次灾情共捐款</w:t>
      </w:r>
      <w:r w:rsidRPr="005131F3">
        <w:rPr>
          <w:rFonts w:ascii="仿宋" w:eastAsia="仿宋" w:hAnsi="仿宋" w:cs="宋体"/>
          <w:bCs/>
          <w:sz w:val="32"/>
          <w:szCs w:val="32"/>
        </w:rPr>
        <w:t>10余万</w:t>
      </w:r>
      <w:r w:rsidRPr="005131F3">
        <w:rPr>
          <w:rFonts w:ascii="仿宋" w:eastAsia="仿宋" w:hAnsi="仿宋" w:cs="宋体" w:hint="eastAsia"/>
          <w:bCs/>
          <w:sz w:val="32"/>
          <w:szCs w:val="32"/>
          <w:lang w:val="zh-TW"/>
        </w:rPr>
        <w:t>元。同时，广大盟员和热心台</w:t>
      </w:r>
      <w:proofErr w:type="gramStart"/>
      <w:r w:rsidRPr="005131F3">
        <w:rPr>
          <w:rFonts w:ascii="仿宋" w:eastAsia="仿宋" w:hAnsi="仿宋" w:cs="宋体" w:hint="eastAsia"/>
          <w:bCs/>
          <w:sz w:val="32"/>
          <w:szCs w:val="32"/>
          <w:lang w:val="zh-TW"/>
        </w:rPr>
        <w:t>商集智聚力</w:t>
      </w:r>
      <w:proofErr w:type="gramEnd"/>
      <w:r w:rsidRPr="005131F3">
        <w:rPr>
          <w:rFonts w:ascii="仿宋" w:eastAsia="仿宋" w:hAnsi="仿宋" w:cs="宋体" w:hint="eastAsia"/>
          <w:bCs/>
          <w:sz w:val="32"/>
          <w:szCs w:val="32"/>
          <w:lang w:val="zh-TW"/>
        </w:rPr>
        <w:t>多方参与救援和灾后重建，</w:t>
      </w:r>
      <w:r w:rsidRPr="005131F3">
        <w:rPr>
          <w:rFonts w:ascii="仿宋" w:eastAsia="仿宋" w:hAnsi="仿宋" w:cs="宋体" w:hint="eastAsia"/>
          <w:bCs/>
          <w:sz w:val="32"/>
          <w:szCs w:val="32"/>
        </w:rPr>
        <w:t>彰显了新时代社会主义参政党的担当与作为。</w:t>
      </w:r>
    </w:p>
    <w:p w14:paraId="77D6D1D4" w14:textId="77777777" w:rsidR="0084361C" w:rsidRDefault="00E87FF6" w:rsidP="00511C3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3.环境效益</w:t>
      </w:r>
    </w:p>
    <w:p w14:paraId="0D59A9F1" w14:textId="7D81ED27" w:rsidR="00655699" w:rsidRDefault="00655699">
      <w:pPr>
        <w:spacing w:line="600" w:lineRule="exact"/>
        <w:ind w:leftChars="50" w:left="105" w:firstLineChars="150" w:firstLine="480"/>
        <w:rPr>
          <w:rFonts w:ascii="仿宋" w:eastAsia="仿宋" w:hAnsi="仿宋" w:cs="仿宋_GB2312"/>
          <w:sz w:val="32"/>
          <w:szCs w:val="32"/>
          <w:lang w:val="zh-TW"/>
        </w:rPr>
      </w:pPr>
      <w:r w:rsidRPr="00655699">
        <w:rPr>
          <w:rFonts w:ascii="仿宋" w:eastAsia="仿宋" w:hAnsi="仿宋" w:cs="仿宋_GB2312" w:hint="eastAsia"/>
          <w:sz w:val="32"/>
          <w:szCs w:val="32"/>
          <w:lang w:val="zh-TW"/>
        </w:rPr>
        <w:t>牵头台盟中央长江生态环境保护专项民主监督，开展实地调研，形成《2023年重庆市山水林田湖草沙一体化保护和系统治理调查研究》专题调研报告，及《2023年台盟北京市委关于重庆市渝中区长江生态环境保护民主监督工作情况报告》，助力绿色发展。</w:t>
      </w:r>
    </w:p>
    <w:p w14:paraId="3B21279C" w14:textId="43D92C36" w:rsidR="0084361C" w:rsidRDefault="00E87FF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4.可持续</w:t>
      </w:r>
      <w:r>
        <w:rPr>
          <w:rFonts w:ascii="仿宋_GB2312" w:eastAsia="仿宋_GB2312" w:hAnsi="宋体" w:cs="宋体"/>
          <w:color w:val="000000"/>
          <w:kern w:val="0"/>
          <w:sz w:val="32"/>
          <w:szCs w:val="32"/>
        </w:rPr>
        <w:t>性影响</w:t>
      </w:r>
    </w:p>
    <w:p w14:paraId="5690D31D" w14:textId="77777777" w:rsidR="00470FE7" w:rsidRDefault="00655699" w:rsidP="00470FE7">
      <w:pPr>
        <w:spacing w:line="600" w:lineRule="exact"/>
        <w:ind w:firstLineChars="200" w:firstLine="640"/>
        <w:rPr>
          <w:rFonts w:ascii="仿宋" w:eastAsia="仿宋" w:hAnsi="仿宋" w:cstheme="minorEastAsia"/>
          <w:sz w:val="32"/>
          <w:szCs w:val="32"/>
        </w:rPr>
      </w:pPr>
      <w:r w:rsidRPr="00655699">
        <w:rPr>
          <w:rFonts w:ascii="仿宋" w:eastAsia="仿宋" w:hAnsi="仿宋" w:cstheme="minorEastAsia" w:hint="eastAsia"/>
          <w:sz w:val="32"/>
          <w:szCs w:val="32"/>
        </w:rPr>
        <w:t>台盟北京市委紧扣首都城市战略定位，坚持建言资政和凝聚共识双向发力，深入开展调查研究，凝聚盟员智慧，集思广益、务实建言，高标准、高质量推进参政履职各项工作。紧扣首都“三农”工作，提出“建设宜居宜业和美乡村 促进生态涵养区绿富同兴”议题，被中共北京市委采纳为年度政党协商议题。全力服务首都“四个中心”功能建设，就生态涵养区规划建设、西山永定河文化</w:t>
      </w:r>
      <w:proofErr w:type="gramStart"/>
      <w:r w:rsidRPr="00655699">
        <w:rPr>
          <w:rFonts w:ascii="仿宋" w:eastAsia="仿宋" w:hAnsi="仿宋" w:cstheme="minorEastAsia" w:hint="eastAsia"/>
          <w:sz w:val="32"/>
          <w:szCs w:val="32"/>
        </w:rPr>
        <w:t>带传统</w:t>
      </w:r>
      <w:proofErr w:type="gramEnd"/>
      <w:r w:rsidRPr="00655699">
        <w:rPr>
          <w:rFonts w:ascii="仿宋" w:eastAsia="仿宋" w:hAnsi="仿宋" w:cstheme="minorEastAsia" w:hint="eastAsia"/>
          <w:sz w:val="32"/>
          <w:szCs w:val="32"/>
        </w:rPr>
        <w:t>村落保护与发展、储能领域产学研深度融合、老旧小区改造等问题建言献策，</w:t>
      </w:r>
      <w:r w:rsidRPr="00655699">
        <w:rPr>
          <w:rFonts w:ascii="仿宋" w:eastAsia="仿宋" w:hAnsi="仿宋" w:cstheme="minorEastAsia" w:hint="eastAsia"/>
          <w:sz w:val="32"/>
          <w:szCs w:val="32"/>
        </w:rPr>
        <w:lastRenderedPageBreak/>
        <w:t>得到市委市政府主要领导高度肯定。积极参与《北京国际科技创新中心建设条例》立法协商工作，征集盟内意见建议逾百条。围绕“打造宜居、韧性、智慧城市”，就提升我市洪涝韧性、加强社区文化建设等重点提案，同市水</w:t>
      </w:r>
      <w:proofErr w:type="gramStart"/>
      <w:r w:rsidRPr="00655699">
        <w:rPr>
          <w:rFonts w:ascii="仿宋" w:eastAsia="仿宋" w:hAnsi="仿宋" w:cstheme="minorEastAsia" w:hint="eastAsia"/>
          <w:sz w:val="32"/>
          <w:szCs w:val="32"/>
        </w:rPr>
        <w:t>务</w:t>
      </w:r>
      <w:proofErr w:type="gramEnd"/>
      <w:r w:rsidRPr="00655699">
        <w:rPr>
          <w:rFonts w:ascii="仿宋" w:eastAsia="仿宋" w:hAnsi="仿宋" w:cstheme="minorEastAsia" w:hint="eastAsia"/>
          <w:sz w:val="32"/>
          <w:szCs w:val="32"/>
        </w:rPr>
        <w:t>局、</w:t>
      </w:r>
      <w:proofErr w:type="gramStart"/>
      <w:r w:rsidRPr="00655699">
        <w:rPr>
          <w:rFonts w:ascii="仿宋" w:eastAsia="仿宋" w:hAnsi="仿宋" w:cstheme="minorEastAsia" w:hint="eastAsia"/>
          <w:sz w:val="32"/>
          <w:szCs w:val="32"/>
        </w:rPr>
        <w:t>文旅局</w:t>
      </w:r>
      <w:proofErr w:type="gramEnd"/>
      <w:r w:rsidRPr="00655699">
        <w:rPr>
          <w:rFonts w:ascii="仿宋" w:eastAsia="仿宋" w:hAnsi="仿宋" w:cstheme="minorEastAsia" w:hint="eastAsia"/>
          <w:sz w:val="32"/>
          <w:szCs w:val="32"/>
        </w:rPr>
        <w:t>等部门深入沟通、开展调研协商，不断提升资政建言实效。</w:t>
      </w:r>
      <w:r>
        <w:rPr>
          <w:rFonts w:ascii="仿宋" w:eastAsia="仿宋" w:hAnsi="仿宋" w:cstheme="minorEastAsia" w:hint="eastAsia"/>
          <w:sz w:val="32"/>
          <w:szCs w:val="32"/>
        </w:rPr>
        <w:t xml:space="preserve">  </w:t>
      </w:r>
      <w:r>
        <w:rPr>
          <w:rFonts w:ascii="仿宋" w:eastAsia="仿宋" w:hAnsi="仿宋" w:cstheme="minorEastAsia"/>
          <w:sz w:val="32"/>
          <w:szCs w:val="32"/>
        </w:rPr>
        <w:t xml:space="preserve">  </w:t>
      </w:r>
      <w:r w:rsidR="00470FE7">
        <w:rPr>
          <w:rFonts w:ascii="仿宋" w:eastAsia="仿宋" w:hAnsi="仿宋" w:cstheme="minorEastAsia"/>
          <w:sz w:val="32"/>
          <w:szCs w:val="32"/>
        </w:rPr>
        <w:t xml:space="preserve">    </w:t>
      </w:r>
    </w:p>
    <w:p w14:paraId="5861BCA1" w14:textId="0CFFE8F6" w:rsidR="0084361C" w:rsidRDefault="00E87FF6" w:rsidP="00470FE7">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5.服务对象</w:t>
      </w:r>
      <w:r>
        <w:rPr>
          <w:rFonts w:ascii="仿宋_GB2312" w:eastAsia="仿宋_GB2312" w:hAnsi="宋体" w:cs="宋体"/>
          <w:color w:val="000000"/>
          <w:kern w:val="0"/>
          <w:sz w:val="32"/>
          <w:szCs w:val="32"/>
        </w:rPr>
        <w:t>满意度</w:t>
      </w:r>
    </w:p>
    <w:p w14:paraId="388E5F48" w14:textId="5098EEA5" w:rsidR="0084361C" w:rsidRDefault="00655699">
      <w:pPr>
        <w:spacing w:line="600" w:lineRule="exact"/>
        <w:ind w:firstLineChars="200" w:firstLine="640"/>
        <w:rPr>
          <w:rFonts w:ascii="黑体" w:eastAsia="黑体" w:hAnsi="黑体" w:cs="宋体"/>
          <w:color w:val="000000"/>
          <w:kern w:val="0"/>
          <w:sz w:val="32"/>
          <w:szCs w:val="32"/>
        </w:rPr>
      </w:pPr>
      <w:r w:rsidRPr="00655699">
        <w:rPr>
          <w:rFonts w:ascii="仿宋" w:eastAsia="仿宋" w:hAnsi="仿宋" w:hint="eastAsia"/>
          <w:snapToGrid w:val="0"/>
          <w:kern w:val="0"/>
          <w:sz w:val="32"/>
          <w:szCs w:val="32"/>
        </w:rPr>
        <w:t>在台盟中央2023年度参政议政工作评比中，台盟北京市委荣获“省级参政议政先进集体一等奖”，台盟海淀区工委、朝阳区工委、西城区委荣获“地市级参政议政先进集体”，台盟西城区委荣获“地市级参政议政突出进步奖”，2人荣获“参政议政先进个人”，2人荣获“社情民意信息工作先进个人”。在台盟中央第十一次、第十二次协商议政论坛上，台盟北京市委推荐的2名青年盟员全部荣获一等奖。在市政协、市委统战部等部门组织的评比中，台盟北京市委也获得多个奖项。</w:t>
      </w:r>
      <w:bookmarkStart w:id="2" w:name="_GoBack"/>
      <w:bookmarkEnd w:id="2"/>
    </w:p>
    <w:p w14:paraId="48EA2220" w14:textId="77777777" w:rsidR="0084361C" w:rsidRDefault="00E87FF6">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14:paraId="592BFEB7" w14:textId="77777777" w:rsidR="0084361C" w:rsidRDefault="00E87FF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14:paraId="07D78B33" w14:textId="77777777" w:rsidR="0084361C" w:rsidRDefault="00E87FF6">
      <w:pPr>
        <w:spacing w:line="600" w:lineRule="exact"/>
        <w:ind w:firstLineChars="200" w:firstLine="640"/>
        <w:rPr>
          <w:rFonts w:ascii="仿宋" w:eastAsia="仿宋" w:hAnsi="仿宋"/>
          <w:color w:val="404040"/>
          <w:sz w:val="32"/>
          <w:szCs w:val="32"/>
          <w:shd w:val="clear" w:color="auto" w:fill="FFFFFF"/>
        </w:rPr>
      </w:pPr>
      <w:r>
        <w:rPr>
          <w:rFonts w:ascii="仿宋" w:eastAsia="仿宋" w:hAnsi="仿宋" w:hint="eastAsia"/>
          <w:color w:val="404040"/>
          <w:sz w:val="32"/>
          <w:szCs w:val="32"/>
          <w:shd w:val="clear" w:color="auto" w:fill="FFFFFF"/>
        </w:rPr>
        <w:t>1.财务管理制度健全性</w:t>
      </w:r>
    </w:p>
    <w:p w14:paraId="7303D966" w14:textId="6AF336D9" w:rsidR="0084361C" w:rsidRDefault="00767E1C">
      <w:pPr>
        <w:spacing w:line="600" w:lineRule="exact"/>
        <w:ind w:firstLineChars="200" w:firstLine="640"/>
        <w:rPr>
          <w:rFonts w:ascii="仿宋" w:eastAsia="仿宋" w:hAnsi="仿宋"/>
          <w:color w:val="404040"/>
          <w:sz w:val="32"/>
          <w:szCs w:val="32"/>
          <w:shd w:val="clear" w:color="auto" w:fill="FFFFFF"/>
        </w:rPr>
      </w:pPr>
      <w:r>
        <w:rPr>
          <w:rFonts w:ascii="仿宋" w:eastAsia="仿宋" w:hAnsi="仿宋" w:hint="eastAsia"/>
          <w:color w:val="404040"/>
          <w:sz w:val="32"/>
          <w:szCs w:val="32"/>
          <w:shd w:val="clear" w:color="auto" w:fill="FFFFFF"/>
        </w:rPr>
        <w:t>台盟北京市委注重自身建设，制定了财务管理制度，编制了内控管理手册，通过内控管理，在资金审批、预算管理、经费支出、会计核算、资产管理、政府采购等方面对单位经济业务活动和财务管理进行指导、规范、控制和监督，保障日常工作有章可循、稳步推进。</w:t>
      </w:r>
    </w:p>
    <w:p w14:paraId="75B80EE5" w14:textId="77777777" w:rsidR="0084361C" w:rsidRDefault="00E87FF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2.资金使用合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性和安全性</w:t>
      </w:r>
    </w:p>
    <w:p w14:paraId="31205650" w14:textId="77777777" w:rsidR="0084361C" w:rsidRDefault="00E87FF6">
      <w:pPr>
        <w:spacing w:line="600" w:lineRule="exact"/>
        <w:ind w:firstLineChars="200" w:firstLine="640"/>
        <w:rPr>
          <w:rFonts w:ascii="仿宋" w:eastAsia="仿宋" w:hAnsi="仿宋"/>
          <w:color w:val="404040"/>
          <w:sz w:val="32"/>
          <w:szCs w:val="32"/>
          <w:shd w:val="clear" w:color="auto" w:fill="FFFFFF"/>
        </w:rPr>
      </w:pPr>
      <w:r>
        <w:rPr>
          <w:rFonts w:ascii="仿宋" w:eastAsia="仿宋" w:hAnsi="仿宋" w:hint="eastAsia"/>
          <w:color w:val="404040"/>
          <w:sz w:val="32"/>
          <w:szCs w:val="32"/>
          <w:shd w:val="clear" w:color="auto" w:fill="FFFFFF"/>
        </w:rPr>
        <w:t>为确保财政资金使用规范、安全、高效，在资金使用和管理上，严格遵守财经纪律和各项财务管理制度规定，坚持收支平衡原则，量入为出，坚决杜绝无预算、超预算支出行为。资金拨付审批程序完整规范，资金使用安全合</w:t>
      </w:r>
      <w:proofErr w:type="gramStart"/>
      <w:r>
        <w:rPr>
          <w:rFonts w:ascii="仿宋" w:eastAsia="仿宋" w:hAnsi="仿宋" w:hint="eastAsia"/>
          <w:color w:val="404040"/>
          <w:sz w:val="32"/>
          <w:szCs w:val="32"/>
          <w:shd w:val="clear" w:color="auto" w:fill="FFFFFF"/>
        </w:rPr>
        <w:t>规</w:t>
      </w:r>
      <w:proofErr w:type="gramEnd"/>
      <w:r>
        <w:rPr>
          <w:rFonts w:ascii="仿宋" w:eastAsia="仿宋" w:hAnsi="仿宋" w:hint="eastAsia"/>
          <w:color w:val="404040"/>
          <w:sz w:val="32"/>
          <w:szCs w:val="32"/>
          <w:shd w:val="clear" w:color="auto" w:fill="FFFFFF"/>
        </w:rPr>
        <w:t>。项目资金严格实行专款专用、单独核算，严禁截留、挪用和超批复内容使用资金，确保项目经费支出合</w:t>
      </w:r>
      <w:proofErr w:type="gramStart"/>
      <w:r>
        <w:rPr>
          <w:rFonts w:ascii="仿宋" w:eastAsia="仿宋" w:hAnsi="仿宋" w:hint="eastAsia"/>
          <w:color w:val="404040"/>
          <w:sz w:val="32"/>
          <w:szCs w:val="32"/>
          <w:shd w:val="clear" w:color="auto" w:fill="FFFFFF"/>
        </w:rPr>
        <w:t>规</w:t>
      </w:r>
      <w:proofErr w:type="gramEnd"/>
      <w:r>
        <w:rPr>
          <w:rFonts w:ascii="仿宋" w:eastAsia="仿宋" w:hAnsi="仿宋" w:hint="eastAsia"/>
          <w:color w:val="404040"/>
          <w:sz w:val="32"/>
          <w:szCs w:val="32"/>
          <w:shd w:val="clear" w:color="auto" w:fill="FFFFFF"/>
        </w:rPr>
        <w:t>。</w:t>
      </w:r>
    </w:p>
    <w:p w14:paraId="409BFCED" w14:textId="77777777" w:rsidR="0084361C" w:rsidRDefault="00E87FF6">
      <w:pPr>
        <w:spacing w:line="600" w:lineRule="exact"/>
        <w:ind w:firstLineChars="200" w:firstLine="640"/>
        <w:rPr>
          <w:rFonts w:ascii="仿宋" w:eastAsia="仿宋" w:hAnsi="仿宋"/>
          <w:color w:val="404040"/>
          <w:sz w:val="32"/>
          <w:szCs w:val="32"/>
          <w:shd w:val="clear" w:color="auto" w:fill="FFFFFF"/>
        </w:rPr>
      </w:pPr>
      <w:r>
        <w:rPr>
          <w:rFonts w:ascii="仿宋" w:eastAsia="仿宋" w:hAnsi="仿宋" w:hint="eastAsia"/>
          <w:color w:val="404040"/>
          <w:sz w:val="32"/>
          <w:szCs w:val="32"/>
          <w:shd w:val="clear" w:color="auto" w:fill="FFFFFF"/>
        </w:rPr>
        <w:t>3.会计基础信息完善性</w:t>
      </w:r>
    </w:p>
    <w:p w14:paraId="3B42DCFA" w14:textId="77777777" w:rsidR="0084361C" w:rsidRDefault="00E87FF6">
      <w:pPr>
        <w:spacing w:line="600" w:lineRule="exact"/>
        <w:ind w:firstLineChars="200" w:firstLine="640"/>
        <w:rPr>
          <w:rFonts w:ascii="仿宋" w:eastAsia="仿宋" w:hAnsi="仿宋"/>
          <w:color w:val="404040"/>
          <w:sz w:val="32"/>
          <w:szCs w:val="32"/>
          <w:shd w:val="clear" w:color="auto" w:fill="FFFFFF"/>
        </w:rPr>
      </w:pPr>
      <w:r>
        <w:rPr>
          <w:rFonts w:ascii="仿宋" w:eastAsia="仿宋" w:hAnsi="仿宋" w:hint="eastAsia"/>
          <w:color w:val="404040"/>
          <w:sz w:val="32"/>
          <w:szCs w:val="32"/>
          <w:shd w:val="clear" w:color="auto" w:fill="FFFFFF"/>
        </w:rPr>
        <w:t>严格执行政府会计准则和政府会计制度规定。按照政府会计准则及制度设置会计科目，进行日常会计核算，编制财务会计报表和部门决算报表，会计基础信息较为完善。</w:t>
      </w:r>
    </w:p>
    <w:p w14:paraId="0F24243C" w14:textId="77777777" w:rsidR="0084361C" w:rsidRDefault="00E87FF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14:paraId="788EDB39" w14:textId="77777777" w:rsidR="0084361C" w:rsidRDefault="00E87FF6">
      <w:pPr>
        <w:spacing w:line="600" w:lineRule="exact"/>
        <w:ind w:firstLineChars="200" w:firstLine="640"/>
        <w:rPr>
          <w:rFonts w:ascii="仿宋" w:eastAsia="仿宋" w:hAnsi="仿宋"/>
          <w:color w:val="404040"/>
          <w:sz w:val="32"/>
          <w:szCs w:val="32"/>
          <w:shd w:val="clear" w:color="auto" w:fill="FFFFFF"/>
        </w:rPr>
      </w:pPr>
      <w:r>
        <w:rPr>
          <w:rFonts w:ascii="仿宋" w:eastAsia="仿宋" w:hAnsi="仿宋" w:hint="eastAsia"/>
          <w:color w:val="404040"/>
          <w:sz w:val="32"/>
          <w:szCs w:val="32"/>
          <w:shd w:val="clear" w:color="auto" w:fill="FFFFFF"/>
        </w:rPr>
        <w:t>根据《行政事业性国有资产管理条例》《行政单位国有资产管理暂行办法》以及北京市财政局相关规定，制定了固定资产管理办法，规范和加强各处</w:t>
      </w:r>
      <w:proofErr w:type="gramStart"/>
      <w:r>
        <w:rPr>
          <w:rFonts w:ascii="仿宋" w:eastAsia="仿宋" w:hAnsi="仿宋" w:hint="eastAsia"/>
          <w:color w:val="404040"/>
          <w:sz w:val="32"/>
          <w:szCs w:val="32"/>
          <w:shd w:val="clear" w:color="auto" w:fill="FFFFFF"/>
        </w:rPr>
        <w:t>室资产</w:t>
      </w:r>
      <w:proofErr w:type="gramEnd"/>
      <w:r>
        <w:rPr>
          <w:rFonts w:ascii="仿宋" w:eastAsia="仿宋" w:hAnsi="仿宋" w:hint="eastAsia"/>
          <w:color w:val="404040"/>
          <w:sz w:val="32"/>
          <w:szCs w:val="32"/>
          <w:shd w:val="clear" w:color="auto" w:fill="FFFFFF"/>
        </w:rPr>
        <w:t>管理工作，定期维护行政事业资产管理信息系统中的资产基础信息，每年进行资产盘点，摸清固定资产底数，做到账实相符，维护了国有资产的安全完整、合理配置和有效利用。</w:t>
      </w:r>
    </w:p>
    <w:p w14:paraId="1B7D1A36" w14:textId="77777777" w:rsidR="0084361C" w:rsidRDefault="00E87FF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（三）绩效管理</w:t>
      </w:r>
    </w:p>
    <w:p w14:paraId="296350E0" w14:textId="510C154B" w:rsidR="0084361C" w:rsidRDefault="00E87FF6">
      <w:pPr>
        <w:spacing w:line="600" w:lineRule="exact"/>
        <w:ind w:firstLineChars="200" w:firstLine="640"/>
        <w:rPr>
          <w:rFonts w:ascii="仿宋" w:eastAsia="仿宋" w:hAnsi="仿宋"/>
          <w:color w:val="404040"/>
          <w:sz w:val="32"/>
          <w:szCs w:val="32"/>
          <w:shd w:val="clear" w:color="auto" w:fill="FFFFFF"/>
        </w:rPr>
      </w:pPr>
      <w:r>
        <w:rPr>
          <w:rFonts w:ascii="仿宋" w:eastAsia="仿宋" w:hAnsi="仿宋" w:hint="eastAsia"/>
          <w:color w:val="404040"/>
          <w:sz w:val="32"/>
          <w:szCs w:val="32"/>
          <w:shd w:val="clear" w:color="auto" w:fill="FFFFFF"/>
        </w:rPr>
        <w:t>根据北京市财政局的要求，202</w:t>
      </w:r>
      <w:r w:rsidR="00767E1C">
        <w:rPr>
          <w:rFonts w:ascii="仿宋" w:eastAsia="仿宋" w:hAnsi="仿宋" w:hint="eastAsia"/>
          <w:color w:val="404040"/>
          <w:sz w:val="32"/>
          <w:szCs w:val="32"/>
          <w:shd w:val="clear" w:color="auto" w:fill="FFFFFF"/>
        </w:rPr>
        <w:t>4</w:t>
      </w:r>
      <w:r>
        <w:rPr>
          <w:rFonts w:ascii="仿宋" w:eastAsia="仿宋" w:hAnsi="仿宋" w:hint="eastAsia"/>
          <w:color w:val="404040"/>
          <w:sz w:val="32"/>
          <w:szCs w:val="32"/>
          <w:shd w:val="clear" w:color="auto" w:fill="FFFFFF"/>
        </w:rPr>
        <w:t>年度对纳入202</w:t>
      </w:r>
      <w:r w:rsidR="00767E1C">
        <w:rPr>
          <w:rFonts w:ascii="仿宋" w:eastAsia="仿宋" w:hAnsi="仿宋" w:hint="eastAsia"/>
          <w:color w:val="404040"/>
          <w:sz w:val="32"/>
          <w:szCs w:val="32"/>
          <w:shd w:val="clear" w:color="auto" w:fill="FFFFFF"/>
        </w:rPr>
        <w:t>3</w:t>
      </w:r>
      <w:r>
        <w:rPr>
          <w:rFonts w:ascii="仿宋" w:eastAsia="仿宋" w:hAnsi="仿宋" w:hint="eastAsia"/>
          <w:color w:val="404040"/>
          <w:sz w:val="32"/>
          <w:szCs w:val="32"/>
          <w:shd w:val="clear" w:color="auto" w:fill="FFFFFF"/>
        </w:rPr>
        <w:t>年部门预算管理的所有填报绩效目标的项目开展绩效自评工作；组织对纳入绩效管理的所有项目上半年执行情况实施绩效监控，对项目的绩效目标实现程度、项目预算资金拨款到位</w:t>
      </w:r>
      <w:r>
        <w:rPr>
          <w:rFonts w:ascii="仿宋" w:eastAsia="仿宋" w:hAnsi="仿宋" w:hint="eastAsia"/>
          <w:color w:val="404040"/>
          <w:sz w:val="32"/>
          <w:szCs w:val="32"/>
          <w:shd w:val="clear" w:color="auto" w:fill="FFFFFF"/>
        </w:rPr>
        <w:lastRenderedPageBreak/>
        <w:t>情况及预算执行情况，进行绩效监控，提高预算执行效力和项目资金使用效率。对偏离绩效目标项目和预期无效项目及时采取措施予以纠正。开展成本预算绩效分析，充分利用成本绩效分析形成的成果，强化支出标准对预算核定的约束作用。真正实现预算编制有目标、执行过程有监控、预算完成有评价，不断强化绩效理念并逐步融入预算编制、执行、公开全过程，将降成本、</w:t>
      </w:r>
      <w:proofErr w:type="gramStart"/>
      <w:r>
        <w:rPr>
          <w:rFonts w:ascii="仿宋" w:eastAsia="仿宋" w:hAnsi="仿宋" w:hint="eastAsia"/>
          <w:color w:val="404040"/>
          <w:sz w:val="32"/>
          <w:szCs w:val="32"/>
          <w:shd w:val="clear" w:color="auto" w:fill="FFFFFF"/>
        </w:rPr>
        <w:t>提效益</w:t>
      </w:r>
      <w:proofErr w:type="gramEnd"/>
      <w:r>
        <w:rPr>
          <w:rFonts w:ascii="仿宋" w:eastAsia="仿宋" w:hAnsi="仿宋" w:hint="eastAsia"/>
          <w:color w:val="404040"/>
          <w:sz w:val="32"/>
          <w:szCs w:val="32"/>
          <w:shd w:val="clear" w:color="auto" w:fill="FFFFFF"/>
        </w:rPr>
        <w:t>的理念贯穿于各项工作当中。</w:t>
      </w:r>
    </w:p>
    <w:p w14:paraId="6222713F" w14:textId="77777777" w:rsidR="0084361C" w:rsidRDefault="00E87FF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14:paraId="5E5F6FDA" w14:textId="5C5B193C" w:rsidR="0084361C" w:rsidRDefault="00E87FF6">
      <w:pPr>
        <w:spacing w:line="600" w:lineRule="exact"/>
        <w:ind w:firstLineChars="200" w:firstLine="640"/>
        <w:rPr>
          <w:rFonts w:ascii="仿宋" w:eastAsia="仿宋" w:hAnsi="仿宋"/>
          <w:color w:val="404040"/>
          <w:sz w:val="32"/>
          <w:szCs w:val="32"/>
          <w:shd w:val="clear" w:color="auto" w:fill="FFFFFF"/>
        </w:rPr>
      </w:pPr>
      <w:r>
        <w:rPr>
          <w:rFonts w:ascii="仿宋" w:eastAsia="仿宋" w:hAnsi="仿宋" w:hint="eastAsia"/>
          <w:color w:val="404040"/>
          <w:sz w:val="32"/>
          <w:szCs w:val="32"/>
          <w:shd w:val="clear" w:color="auto" w:fill="FFFFFF"/>
        </w:rPr>
        <w:t>202</w:t>
      </w:r>
      <w:r w:rsidR="00767E1C">
        <w:rPr>
          <w:rFonts w:ascii="仿宋" w:eastAsia="仿宋" w:hAnsi="仿宋" w:hint="eastAsia"/>
          <w:color w:val="404040"/>
          <w:sz w:val="32"/>
          <w:szCs w:val="32"/>
          <w:shd w:val="clear" w:color="auto" w:fill="FFFFFF"/>
        </w:rPr>
        <w:t>3</w:t>
      </w:r>
      <w:r>
        <w:rPr>
          <w:rFonts w:ascii="仿宋" w:eastAsia="仿宋" w:hAnsi="仿宋" w:hint="eastAsia"/>
          <w:color w:val="404040"/>
          <w:sz w:val="32"/>
          <w:szCs w:val="32"/>
          <w:shd w:val="clear" w:color="auto" w:fill="FFFFFF"/>
        </w:rPr>
        <w:t>年</w:t>
      </w:r>
      <w:r w:rsidR="00767E1C">
        <w:rPr>
          <w:rFonts w:ascii="仿宋" w:eastAsia="仿宋" w:hAnsi="仿宋" w:hint="eastAsia"/>
          <w:color w:val="404040"/>
          <w:sz w:val="32"/>
          <w:szCs w:val="32"/>
          <w:shd w:val="clear" w:color="auto" w:fill="FFFFFF"/>
        </w:rPr>
        <w:t>台盟</w:t>
      </w:r>
      <w:r>
        <w:rPr>
          <w:rFonts w:ascii="仿宋" w:eastAsia="仿宋" w:hAnsi="仿宋" w:hint="eastAsia"/>
          <w:color w:val="404040"/>
          <w:sz w:val="32"/>
          <w:szCs w:val="32"/>
          <w:shd w:val="clear" w:color="auto" w:fill="FFFFFF"/>
        </w:rPr>
        <w:t>北京市委全年预算数为</w:t>
      </w:r>
      <w:r w:rsidR="00767E1C">
        <w:rPr>
          <w:rFonts w:ascii="仿宋" w:eastAsia="仿宋" w:hAnsi="仿宋" w:hint="eastAsia"/>
          <w:color w:val="404040"/>
          <w:sz w:val="32"/>
          <w:szCs w:val="32"/>
          <w:shd w:val="clear" w:color="auto" w:fill="FFFFFF"/>
        </w:rPr>
        <w:t>1283.45</w:t>
      </w:r>
      <w:r>
        <w:rPr>
          <w:rFonts w:ascii="仿宋" w:eastAsia="仿宋" w:hAnsi="仿宋" w:hint="eastAsia"/>
          <w:color w:val="404040"/>
          <w:sz w:val="32"/>
          <w:szCs w:val="32"/>
          <w:shd w:val="clear" w:color="auto" w:fill="FFFFFF"/>
        </w:rPr>
        <w:t>元，年末结余结转金额为</w:t>
      </w:r>
      <w:r w:rsidR="00767E1C">
        <w:rPr>
          <w:rFonts w:ascii="仿宋" w:eastAsia="仿宋" w:hAnsi="仿宋" w:hint="eastAsia"/>
          <w:color w:val="404040"/>
          <w:sz w:val="32"/>
          <w:szCs w:val="32"/>
          <w:shd w:val="clear" w:color="auto" w:fill="FFFFFF"/>
        </w:rPr>
        <w:t>11.31</w:t>
      </w:r>
      <w:r>
        <w:rPr>
          <w:rFonts w:ascii="仿宋" w:eastAsia="仿宋" w:hAnsi="仿宋" w:hint="eastAsia"/>
          <w:color w:val="404040"/>
          <w:sz w:val="32"/>
          <w:szCs w:val="32"/>
          <w:shd w:val="clear" w:color="auto" w:fill="FFFFFF"/>
        </w:rPr>
        <w:t>万元，结余结转率</w:t>
      </w:r>
      <w:r w:rsidR="00767E1C">
        <w:rPr>
          <w:rFonts w:ascii="仿宋" w:eastAsia="仿宋" w:hAnsi="仿宋" w:hint="eastAsia"/>
          <w:color w:val="404040"/>
          <w:sz w:val="32"/>
          <w:szCs w:val="32"/>
          <w:shd w:val="clear" w:color="auto" w:fill="FFFFFF"/>
        </w:rPr>
        <w:t>0.88</w:t>
      </w:r>
      <w:r>
        <w:rPr>
          <w:rFonts w:ascii="仿宋" w:eastAsia="仿宋" w:hAnsi="仿宋" w:hint="eastAsia"/>
          <w:color w:val="404040"/>
          <w:sz w:val="32"/>
          <w:szCs w:val="32"/>
          <w:shd w:val="clear" w:color="auto" w:fill="FFFFFF"/>
        </w:rPr>
        <w:t>%。</w:t>
      </w:r>
    </w:p>
    <w:p w14:paraId="0E52E29A" w14:textId="77777777" w:rsidR="0084361C" w:rsidRDefault="00E87FF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14:paraId="1CCBF0B5" w14:textId="7C33FCDD" w:rsidR="0084361C" w:rsidRDefault="00E87FF6">
      <w:pPr>
        <w:spacing w:line="600" w:lineRule="exact"/>
        <w:ind w:leftChars="50" w:left="105" w:firstLineChars="150" w:firstLine="480"/>
        <w:rPr>
          <w:rFonts w:ascii="黑体" w:eastAsia="黑体" w:hAnsi="黑体"/>
          <w:sz w:val="32"/>
          <w:szCs w:val="32"/>
        </w:rPr>
      </w:pPr>
      <w:r>
        <w:rPr>
          <w:rFonts w:ascii="仿宋_GB2312" w:eastAsia="仿宋_GB2312" w:hAnsi="宋体" w:cs="宋体" w:hint="eastAsia"/>
          <w:color w:val="000000"/>
          <w:kern w:val="0"/>
          <w:sz w:val="32"/>
          <w:szCs w:val="32"/>
        </w:rPr>
        <w:t>202</w:t>
      </w:r>
      <w:r w:rsidR="005578D0">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年年初预算数为</w:t>
      </w:r>
      <w:r w:rsidR="00767E1C">
        <w:rPr>
          <w:rFonts w:ascii="仿宋_GB2312" w:eastAsia="仿宋_GB2312" w:hAnsi="宋体" w:cs="宋体" w:hint="eastAsia"/>
          <w:color w:val="000000"/>
          <w:kern w:val="0"/>
          <w:sz w:val="32"/>
          <w:szCs w:val="32"/>
        </w:rPr>
        <w:t>1316.03</w:t>
      </w:r>
      <w:r>
        <w:rPr>
          <w:rFonts w:ascii="仿宋_GB2312" w:eastAsia="仿宋_GB2312" w:hAnsi="宋体" w:cs="宋体" w:hint="eastAsia"/>
          <w:color w:val="000000"/>
          <w:kern w:val="0"/>
          <w:sz w:val="32"/>
          <w:szCs w:val="32"/>
        </w:rPr>
        <w:t>万元，决算数为</w:t>
      </w:r>
      <w:r w:rsidR="00767E1C">
        <w:rPr>
          <w:rFonts w:ascii="仿宋" w:eastAsia="仿宋" w:hAnsi="仿宋" w:hint="eastAsia"/>
          <w:color w:val="404040"/>
          <w:sz w:val="32"/>
          <w:szCs w:val="32"/>
          <w:shd w:val="clear" w:color="auto" w:fill="FFFFFF"/>
        </w:rPr>
        <w:t>1272.14</w:t>
      </w:r>
      <w:r>
        <w:rPr>
          <w:rFonts w:ascii="仿宋_GB2312" w:eastAsia="仿宋_GB2312" w:hAnsi="宋体" w:cs="宋体" w:hint="eastAsia"/>
          <w:color w:val="000000"/>
          <w:kern w:val="0"/>
          <w:sz w:val="32"/>
          <w:szCs w:val="32"/>
        </w:rPr>
        <w:t>万元，差额为</w:t>
      </w:r>
      <w:r w:rsidR="00767E1C">
        <w:rPr>
          <w:rFonts w:ascii="仿宋_GB2312" w:eastAsia="仿宋_GB2312" w:hAnsi="宋体" w:cs="宋体" w:hint="eastAsia"/>
          <w:color w:val="000000"/>
          <w:kern w:val="0"/>
          <w:sz w:val="32"/>
          <w:szCs w:val="32"/>
        </w:rPr>
        <w:t>43.89</w:t>
      </w:r>
      <w:r>
        <w:rPr>
          <w:rFonts w:ascii="仿宋_GB2312" w:eastAsia="仿宋_GB2312" w:hAnsi="宋体" w:cs="宋体" w:hint="eastAsia"/>
          <w:color w:val="000000"/>
          <w:kern w:val="0"/>
          <w:sz w:val="32"/>
          <w:szCs w:val="32"/>
        </w:rPr>
        <w:t>万元，部门预决算差异率</w:t>
      </w:r>
      <w:r w:rsidR="00767E1C">
        <w:rPr>
          <w:rFonts w:ascii="仿宋_GB2312" w:eastAsia="仿宋_GB2312" w:hAnsi="宋体" w:cs="宋体" w:hint="eastAsia"/>
          <w:color w:val="000000"/>
          <w:kern w:val="0"/>
          <w:sz w:val="32"/>
          <w:szCs w:val="32"/>
        </w:rPr>
        <w:t>3.34</w:t>
      </w:r>
      <w:r>
        <w:rPr>
          <w:rFonts w:ascii="仿宋_GB2312" w:eastAsia="仿宋_GB2312" w:hAnsi="宋体" w:cs="宋体" w:hint="eastAsia"/>
          <w:color w:val="000000"/>
          <w:kern w:val="0"/>
          <w:sz w:val="32"/>
          <w:szCs w:val="32"/>
        </w:rPr>
        <w:t>%，部门预决算差异率远低于市级平均差异率，说明</w:t>
      </w:r>
      <w:proofErr w:type="gramStart"/>
      <w:r>
        <w:rPr>
          <w:rFonts w:ascii="仿宋_GB2312" w:eastAsia="仿宋_GB2312" w:hAnsi="宋体" w:cs="宋体" w:hint="eastAsia"/>
          <w:color w:val="000000"/>
          <w:kern w:val="0"/>
          <w:sz w:val="32"/>
          <w:szCs w:val="32"/>
        </w:rPr>
        <w:t>我部门</w:t>
      </w:r>
      <w:proofErr w:type="gramEnd"/>
      <w:r>
        <w:rPr>
          <w:rFonts w:ascii="仿宋_GB2312" w:eastAsia="仿宋_GB2312" w:hAnsi="宋体" w:cs="宋体" w:hint="eastAsia"/>
          <w:color w:val="000000"/>
          <w:kern w:val="0"/>
          <w:sz w:val="32"/>
          <w:szCs w:val="32"/>
        </w:rPr>
        <w:t>预决算差异率控制情况较好，预算管理水平不断提升。</w:t>
      </w:r>
    </w:p>
    <w:p w14:paraId="56DE2386" w14:textId="77777777" w:rsidR="0084361C" w:rsidRDefault="00E87FF6">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14:paraId="2305A85E" w14:textId="77777777" w:rsidR="0084361C" w:rsidRDefault="00E87FF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14:paraId="148C46E8" w14:textId="7C00E447" w:rsidR="0084361C" w:rsidRPr="005578D0" w:rsidRDefault="00E87FF6" w:rsidP="005578D0">
      <w:pPr>
        <w:spacing w:line="600" w:lineRule="exact"/>
        <w:ind w:firstLineChars="200" w:firstLine="640"/>
        <w:rPr>
          <w:rFonts w:ascii="楷体_GB2312" w:eastAsia="楷体_GB2312"/>
          <w:color w:val="FF0000"/>
          <w:sz w:val="32"/>
          <w:szCs w:val="32"/>
        </w:rPr>
      </w:pPr>
      <w:r w:rsidRPr="007F6B17">
        <w:rPr>
          <w:rFonts w:ascii="仿宋" w:eastAsia="仿宋" w:cs="仿宋_GB2312" w:hint="eastAsia"/>
          <w:sz w:val="32"/>
          <w:szCs w:val="32"/>
        </w:rPr>
        <w:t>202</w:t>
      </w:r>
      <w:r w:rsidR="007F6B17" w:rsidRPr="007F6B17">
        <w:rPr>
          <w:rFonts w:ascii="仿宋" w:eastAsia="仿宋" w:cs="仿宋_GB2312" w:hint="eastAsia"/>
          <w:sz w:val="32"/>
          <w:szCs w:val="32"/>
        </w:rPr>
        <w:t>3</w:t>
      </w:r>
      <w:r w:rsidRPr="007F6B17">
        <w:rPr>
          <w:rFonts w:ascii="仿宋" w:eastAsia="仿宋" w:cs="仿宋_GB2312" w:hint="eastAsia"/>
          <w:sz w:val="32"/>
          <w:szCs w:val="32"/>
        </w:rPr>
        <w:t>年整体绩效评价指标体系评分</w:t>
      </w:r>
      <w:r w:rsidR="007F6B17" w:rsidRPr="007F6B17">
        <w:rPr>
          <w:rFonts w:ascii="仿宋" w:eastAsia="仿宋" w:cs="仿宋_GB2312" w:hint="eastAsia"/>
          <w:sz w:val="32"/>
          <w:szCs w:val="32"/>
        </w:rPr>
        <w:t>9</w:t>
      </w:r>
      <w:r w:rsidR="000B360D">
        <w:rPr>
          <w:rFonts w:ascii="仿宋" w:eastAsia="仿宋" w:cs="仿宋_GB2312" w:hint="eastAsia"/>
          <w:sz w:val="32"/>
          <w:szCs w:val="32"/>
        </w:rPr>
        <w:t>9.82</w:t>
      </w:r>
      <w:r w:rsidRPr="007F6B17">
        <w:rPr>
          <w:rFonts w:ascii="仿宋" w:eastAsia="仿宋" w:cs="仿宋_GB2312" w:hint="eastAsia"/>
          <w:sz w:val="32"/>
          <w:szCs w:val="32"/>
        </w:rPr>
        <w:t>分，</w:t>
      </w:r>
      <w:r w:rsidRPr="00D6715C">
        <w:rPr>
          <w:rFonts w:ascii="仿宋" w:eastAsia="仿宋" w:cs="仿宋_GB2312" w:hint="eastAsia"/>
          <w:sz w:val="32"/>
          <w:szCs w:val="32"/>
        </w:rPr>
        <w:t>其中当年预算执行情况19.</w:t>
      </w:r>
      <w:r w:rsidR="00767E1C">
        <w:rPr>
          <w:rFonts w:ascii="仿宋" w:eastAsia="仿宋" w:cs="仿宋_GB2312" w:hint="eastAsia"/>
          <w:sz w:val="32"/>
          <w:szCs w:val="32"/>
        </w:rPr>
        <w:t>82</w:t>
      </w:r>
      <w:r w:rsidRPr="00D6715C">
        <w:rPr>
          <w:rFonts w:ascii="仿宋" w:eastAsia="仿宋" w:cs="仿宋_GB2312" w:hint="eastAsia"/>
          <w:sz w:val="32"/>
          <w:szCs w:val="32"/>
        </w:rPr>
        <w:t>分</w:t>
      </w:r>
      <w:r w:rsidRPr="007F6B17">
        <w:rPr>
          <w:rFonts w:ascii="仿宋" w:eastAsia="仿宋" w:cs="仿宋_GB2312" w:hint="eastAsia"/>
          <w:sz w:val="32"/>
          <w:szCs w:val="32"/>
        </w:rPr>
        <w:t>，整体绩效目标实现情况60分，预算管理情况</w:t>
      </w:r>
      <w:r w:rsidR="000B360D">
        <w:rPr>
          <w:rFonts w:ascii="仿宋" w:eastAsia="仿宋" w:cs="仿宋_GB2312" w:hint="eastAsia"/>
          <w:sz w:val="32"/>
          <w:szCs w:val="32"/>
        </w:rPr>
        <w:t>20</w:t>
      </w:r>
      <w:r w:rsidRPr="007F6B17">
        <w:rPr>
          <w:rFonts w:ascii="仿宋" w:eastAsia="仿宋" w:cs="仿宋_GB2312" w:hint="eastAsia"/>
          <w:sz w:val="32"/>
          <w:szCs w:val="32"/>
        </w:rPr>
        <w:t>分。</w:t>
      </w:r>
    </w:p>
    <w:p w14:paraId="6488EB73" w14:textId="77777777" w:rsidR="0084361C" w:rsidRDefault="00E87FF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14:paraId="73BD8B51" w14:textId="11CDCC7A" w:rsidR="0084361C" w:rsidRDefault="00E87FF6">
      <w:pPr>
        <w:spacing w:line="600" w:lineRule="exact"/>
        <w:ind w:firstLineChars="200" w:firstLine="640"/>
        <w:rPr>
          <w:rFonts w:ascii="仿宋" w:eastAsia="仿宋" w:cs="仿宋_GB2312"/>
          <w:sz w:val="32"/>
          <w:szCs w:val="32"/>
        </w:rPr>
      </w:pPr>
      <w:r>
        <w:rPr>
          <w:rFonts w:ascii="仿宋" w:eastAsia="仿宋" w:cs="仿宋_GB2312" w:hint="eastAsia"/>
          <w:sz w:val="32"/>
          <w:szCs w:val="32"/>
        </w:rPr>
        <w:t>部门整体支出情况较好，预算执行率达到9</w:t>
      </w:r>
      <w:r w:rsidR="00767E1C">
        <w:rPr>
          <w:rFonts w:ascii="仿宋" w:eastAsia="仿宋" w:cs="仿宋_GB2312" w:hint="eastAsia"/>
          <w:sz w:val="32"/>
          <w:szCs w:val="32"/>
        </w:rPr>
        <w:t>9.12</w:t>
      </w:r>
      <w:r>
        <w:rPr>
          <w:rFonts w:ascii="仿宋" w:eastAsia="仿宋" w:cs="仿宋_GB2312" w:hint="eastAsia"/>
          <w:sz w:val="32"/>
          <w:szCs w:val="32"/>
        </w:rPr>
        <w:t>%，全面完成预算目标，财政资金得到有效利用。但是部门绩效目标</w:t>
      </w:r>
      <w:r>
        <w:rPr>
          <w:rFonts w:ascii="仿宋" w:eastAsia="仿宋" w:cs="仿宋_GB2312" w:hint="eastAsia"/>
          <w:sz w:val="32"/>
          <w:szCs w:val="32"/>
        </w:rPr>
        <w:lastRenderedPageBreak/>
        <w:t>不够细化，部门整体绩效目标设定主要依据为部门职责和年度重点工作任务，整体绩效目标设定的科学性、明确性有待进一步提高。指标量化不够，如质量指标和效益指标量化和细化不足，不利于后期考核。由于工作性质的原因，部分项目绩效目标设定存在困难。</w:t>
      </w:r>
    </w:p>
    <w:p w14:paraId="49969BE2" w14:textId="77777777" w:rsidR="0084361C" w:rsidRDefault="00E87FF6">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14:paraId="31E717E0" w14:textId="77777777" w:rsidR="0084361C" w:rsidRDefault="00E87FF6">
      <w:pPr>
        <w:spacing w:line="600" w:lineRule="exact"/>
        <w:ind w:firstLineChars="200" w:firstLine="640"/>
        <w:rPr>
          <w:sz w:val="32"/>
          <w:szCs w:val="32"/>
        </w:rPr>
      </w:pPr>
      <w:bookmarkStart w:id="3" w:name="_Toc103006301"/>
      <w:r>
        <w:rPr>
          <w:rFonts w:ascii="仿宋" w:eastAsia="仿宋" w:cs="仿宋_GB2312" w:hint="eastAsia"/>
          <w:sz w:val="32"/>
          <w:szCs w:val="32"/>
        </w:rPr>
        <w:t>全面优化部门预算管理，提高预算管理水平。准确把握年度的工作重点，对预算资金合理排序，统筹兼顾，保障重点，增强预算资金与工作需求的匹配程度；全面提高部门预算编制工作的科学化精细化水平，打破惯性思维，开创预算管理工作的新篇章。</w:t>
      </w:r>
    </w:p>
    <w:p w14:paraId="098BC000" w14:textId="77777777" w:rsidR="0084361C" w:rsidRDefault="00E87FF6">
      <w:pPr>
        <w:pStyle w:val="1"/>
        <w:rPr>
          <w:sz w:val="32"/>
          <w:szCs w:val="32"/>
        </w:rPr>
      </w:pPr>
      <w:r>
        <w:rPr>
          <w:rFonts w:hint="eastAsia"/>
          <w:sz w:val="32"/>
          <w:szCs w:val="32"/>
        </w:rPr>
        <w:t>七、附件</w:t>
      </w:r>
      <w:bookmarkEnd w:id="3"/>
    </w:p>
    <w:p w14:paraId="51516863" w14:textId="5018E406" w:rsidR="0084361C" w:rsidRDefault="00E87FF6">
      <w:pPr>
        <w:spacing w:line="600" w:lineRule="exact"/>
        <w:ind w:firstLine="641"/>
        <w:rPr>
          <w:rFonts w:ascii="仿宋_GB2312" w:eastAsia="仿宋_GB2312" w:hAnsi="仿宋_GB2312" w:cs="仿宋_GB2312"/>
          <w:sz w:val="32"/>
          <w:szCs w:val="32"/>
        </w:rPr>
        <w:sectPr w:rsidR="0084361C">
          <w:headerReference w:type="default" r:id="rId6"/>
          <w:footerReference w:type="default" r:id="rId7"/>
          <w:pgSz w:w="11906" w:h="16838"/>
          <w:pgMar w:top="1440" w:right="1800" w:bottom="1440" w:left="1800" w:header="851" w:footer="964" w:gutter="0"/>
          <w:pgNumType w:start="1"/>
          <w:cols w:space="425"/>
          <w:docGrid w:type="lines" w:linePitch="435"/>
        </w:sectPr>
      </w:pPr>
      <w:r>
        <w:rPr>
          <w:rFonts w:ascii="仿宋_GB2312" w:eastAsia="仿宋_GB2312" w:hAnsi="仿宋_GB2312" w:cs="仿宋_GB2312" w:hint="eastAsia"/>
          <w:sz w:val="32"/>
          <w:szCs w:val="32"/>
        </w:rPr>
        <w:t>202</w:t>
      </w:r>
      <w:r w:rsidR="005578D0">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年部门整体绩效评价指标体系评分表</w:t>
      </w:r>
    </w:p>
    <w:p w14:paraId="380196BC" w14:textId="77777777" w:rsidR="0084361C" w:rsidRDefault="0084361C">
      <w:pPr>
        <w:spacing w:line="20" w:lineRule="exact"/>
        <w:rPr>
          <w:rFonts w:ascii="方正小标宋简体" w:eastAsia="方正小标宋简体"/>
          <w:sz w:val="36"/>
          <w:szCs w:val="36"/>
        </w:rPr>
      </w:pPr>
    </w:p>
    <w:p w14:paraId="16354EEF" w14:textId="77777777" w:rsidR="0051343C" w:rsidRDefault="0051343C" w:rsidP="0051343C">
      <w:pPr>
        <w:spacing w:line="360" w:lineRule="auto"/>
        <w:jc w:val="left"/>
        <w:rPr>
          <w:rFonts w:ascii="方正黑体_GBK" w:eastAsia="方正黑体_GBK" w:hAnsi="方正黑体_GBK" w:cs="方正黑体_GBK"/>
          <w:sz w:val="32"/>
        </w:rPr>
      </w:pPr>
      <w:r>
        <w:rPr>
          <w:rFonts w:ascii="方正黑体_GBK" w:eastAsia="方正黑体_GBK" w:hAnsi="方正黑体_GBK" w:cs="方正黑体_GBK" w:hint="eastAsia"/>
          <w:sz w:val="32"/>
        </w:rPr>
        <w:t>附件4-1</w:t>
      </w:r>
    </w:p>
    <w:tbl>
      <w:tblPr>
        <w:tblW w:w="5000" w:type="pct"/>
        <w:tblLayout w:type="fixed"/>
        <w:tblLook w:val="04A0" w:firstRow="1" w:lastRow="0" w:firstColumn="1" w:lastColumn="0" w:noHBand="0" w:noVBand="1"/>
      </w:tblPr>
      <w:tblGrid>
        <w:gridCol w:w="424"/>
        <w:gridCol w:w="787"/>
        <w:gridCol w:w="1127"/>
        <w:gridCol w:w="1311"/>
        <w:gridCol w:w="2555"/>
        <w:gridCol w:w="597"/>
        <w:gridCol w:w="840"/>
        <w:gridCol w:w="2831"/>
        <w:gridCol w:w="3476"/>
      </w:tblGrid>
      <w:tr w:rsidR="0051343C" w14:paraId="2E52D008" w14:textId="77777777" w:rsidTr="00211CF6">
        <w:trPr>
          <w:cantSplit/>
          <w:trHeight w:val="90"/>
        </w:trPr>
        <w:tc>
          <w:tcPr>
            <w:tcW w:w="5000" w:type="pct"/>
            <w:gridSpan w:val="9"/>
            <w:tcBorders>
              <w:top w:val="nil"/>
              <w:left w:val="nil"/>
              <w:bottom w:val="single" w:sz="4" w:space="0" w:color="auto"/>
              <w:right w:val="nil"/>
            </w:tcBorders>
            <w:noWrap/>
            <w:vAlign w:val="bottom"/>
          </w:tcPr>
          <w:p w14:paraId="1621EB76" w14:textId="77777777" w:rsidR="0051343C" w:rsidRDefault="0051343C" w:rsidP="00211CF6">
            <w:pPr>
              <w:widowControl/>
              <w:spacing w:line="360" w:lineRule="auto"/>
              <w:jc w:val="center"/>
              <w:rPr>
                <w:rFonts w:ascii="方正小标宋简体" w:eastAsia="方正小标宋简体" w:hAnsi="黑体" w:cs="宋体"/>
                <w:color w:val="000000"/>
                <w:kern w:val="0"/>
                <w:sz w:val="44"/>
                <w:szCs w:val="44"/>
                <w:highlight w:val="yellow"/>
              </w:rPr>
            </w:pPr>
            <w:r>
              <w:rPr>
                <w:rFonts w:ascii="方正小标宋简体" w:eastAsia="方正小标宋简体" w:hAnsi="黑体" w:cs="宋体" w:hint="eastAsia"/>
                <w:color w:val="000000"/>
                <w:kern w:val="0"/>
                <w:sz w:val="44"/>
                <w:szCs w:val="44"/>
              </w:rPr>
              <w:t>2023年部门整体绩效评价指标体系评分表</w:t>
            </w:r>
          </w:p>
        </w:tc>
      </w:tr>
      <w:tr w:rsidR="0051343C" w14:paraId="341D658A" w14:textId="77777777" w:rsidTr="00211CF6">
        <w:trPr>
          <w:cantSplit/>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14:paraId="3A03854B" w14:textId="77777777" w:rsidR="0051343C" w:rsidRDefault="0051343C" w:rsidP="00211CF6">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51343C" w14:paraId="7C0A5BDA" w14:textId="77777777" w:rsidTr="0051343C">
        <w:trPr>
          <w:cantSplit/>
          <w:trHeight w:val="660"/>
        </w:trPr>
        <w:tc>
          <w:tcPr>
            <w:tcW w:w="152" w:type="pct"/>
            <w:tcBorders>
              <w:top w:val="single" w:sz="4" w:space="0" w:color="auto"/>
              <w:left w:val="single" w:sz="4" w:space="0" w:color="auto"/>
              <w:bottom w:val="single" w:sz="4" w:space="0" w:color="auto"/>
              <w:right w:val="single" w:sz="4" w:space="0" w:color="auto"/>
            </w:tcBorders>
            <w:vAlign w:val="center"/>
          </w:tcPr>
          <w:p w14:paraId="66CD2A0F" w14:textId="77777777" w:rsidR="0051343C" w:rsidRDefault="0051343C" w:rsidP="00211CF6">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82" w:type="pct"/>
            <w:tcBorders>
              <w:top w:val="single" w:sz="4" w:space="0" w:color="auto"/>
              <w:left w:val="single" w:sz="4" w:space="0" w:color="auto"/>
              <w:bottom w:val="single" w:sz="4" w:space="0" w:color="auto"/>
              <w:right w:val="single" w:sz="4" w:space="0" w:color="auto"/>
            </w:tcBorders>
            <w:vAlign w:val="center"/>
          </w:tcPr>
          <w:p w14:paraId="67D373DD" w14:textId="77777777" w:rsidR="0051343C" w:rsidRDefault="0051343C" w:rsidP="00211CF6">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404" w:type="pct"/>
            <w:tcBorders>
              <w:top w:val="single" w:sz="4" w:space="0" w:color="auto"/>
              <w:left w:val="single" w:sz="4" w:space="0" w:color="auto"/>
              <w:bottom w:val="single" w:sz="4" w:space="0" w:color="auto"/>
              <w:right w:val="single" w:sz="4" w:space="0" w:color="auto"/>
            </w:tcBorders>
            <w:vAlign w:val="center"/>
          </w:tcPr>
          <w:p w14:paraId="3610CD23" w14:textId="77777777" w:rsidR="0051343C" w:rsidRDefault="0051343C" w:rsidP="00211CF6">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470" w:type="pct"/>
            <w:tcBorders>
              <w:top w:val="single" w:sz="4" w:space="0" w:color="auto"/>
              <w:left w:val="single" w:sz="4" w:space="0" w:color="auto"/>
              <w:bottom w:val="single" w:sz="4" w:space="0" w:color="auto"/>
              <w:right w:val="single" w:sz="4" w:space="0" w:color="auto"/>
            </w:tcBorders>
            <w:vAlign w:val="center"/>
          </w:tcPr>
          <w:p w14:paraId="3D9A881D" w14:textId="77777777" w:rsidR="0051343C" w:rsidRDefault="0051343C" w:rsidP="00211CF6">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916" w:type="pct"/>
            <w:tcBorders>
              <w:top w:val="single" w:sz="4" w:space="0" w:color="auto"/>
              <w:left w:val="single" w:sz="4" w:space="0" w:color="auto"/>
              <w:bottom w:val="single" w:sz="4" w:space="0" w:color="auto"/>
              <w:right w:val="single" w:sz="4" w:space="0" w:color="auto"/>
            </w:tcBorders>
            <w:vAlign w:val="center"/>
          </w:tcPr>
          <w:p w14:paraId="6C64968D" w14:textId="77777777" w:rsidR="0051343C" w:rsidRDefault="0051343C" w:rsidP="00211CF6">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14" w:type="pct"/>
            <w:tcBorders>
              <w:top w:val="single" w:sz="4" w:space="0" w:color="auto"/>
              <w:left w:val="single" w:sz="4" w:space="0" w:color="auto"/>
              <w:bottom w:val="single" w:sz="4" w:space="0" w:color="auto"/>
              <w:right w:val="single" w:sz="4" w:space="0" w:color="auto"/>
            </w:tcBorders>
            <w:vAlign w:val="center"/>
          </w:tcPr>
          <w:p w14:paraId="69F08D24" w14:textId="77777777" w:rsidR="0051343C" w:rsidRDefault="0051343C" w:rsidP="00211CF6">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01" w:type="pct"/>
            <w:tcBorders>
              <w:top w:val="single" w:sz="4" w:space="0" w:color="auto"/>
              <w:left w:val="single" w:sz="4" w:space="0" w:color="auto"/>
              <w:bottom w:val="single" w:sz="4" w:space="0" w:color="auto"/>
              <w:right w:val="single" w:sz="4" w:space="0" w:color="auto"/>
            </w:tcBorders>
            <w:vAlign w:val="center"/>
          </w:tcPr>
          <w:p w14:paraId="4C6389E6" w14:textId="77777777" w:rsidR="0051343C" w:rsidRDefault="0051343C" w:rsidP="00211CF6">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15" w:type="pct"/>
            <w:tcBorders>
              <w:top w:val="single" w:sz="4" w:space="0" w:color="auto"/>
              <w:left w:val="single" w:sz="4" w:space="0" w:color="auto"/>
              <w:bottom w:val="single" w:sz="4" w:space="0" w:color="auto"/>
              <w:right w:val="single" w:sz="4" w:space="0" w:color="auto"/>
            </w:tcBorders>
            <w:vAlign w:val="center"/>
          </w:tcPr>
          <w:p w14:paraId="21AE2502" w14:textId="77777777" w:rsidR="0051343C" w:rsidRDefault="0051343C" w:rsidP="00211CF6">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247" w:type="pct"/>
            <w:tcBorders>
              <w:top w:val="single" w:sz="4" w:space="0" w:color="auto"/>
              <w:left w:val="nil"/>
              <w:bottom w:val="single" w:sz="4" w:space="0" w:color="auto"/>
              <w:right w:val="single" w:sz="4" w:space="0" w:color="auto"/>
            </w:tcBorders>
            <w:vAlign w:val="center"/>
          </w:tcPr>
          <w:p w14:paraId="30CE7925" w14:textId="77777777" w:rsidR="0051343C" w:rsidRDefault="0051343C" w:rsidP="00211CF6">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51343C" w14:paraId="72E7DD4B" w14:textId="77777777" w:rsidTr="0051343C">
        <w:trPr>
          <w:cantSplit/>
          <w:trHeight w:val="630"/>
        </w:trPr>
        <w:tc>
          <w:tcPr>
            <w:tcW w:w="152" w:type="pct"/>
            <w:vMerge w:val="restart"/>
            <w:tcBorders>
              <w:top w:val="nil"/>
              <w:left w:val="single" w:sz="4" w:space="0" w:color="auto"/>
              <w:bottom w:val="single" w:sz="4" w:space="0" w:color="000000"/>
              <w:right w:val="single" w:sz="4" w:space="0" w:color="auto"/>
            </w:tcBorders>
            <w:vAlign w:val="center"/>
          </w:tcPr>
          <w:p w14:paraId="3472AB1D"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当年预算执行</w:t>
            </w:r>
            <w:r>
              <w:rPr>
                <w:rFonts w:ascii="宋体" w:hAnsi="宋体" w:cs="宋体" w:hint="eastAsia"/>
                <w:color w:val="000000"/>
                <w:kern w:val="0"/>
                <w:sz w:val="20"/>
                <w:szCs w:val="20"/>
              </w:rPr>
              <w:lastRenderedPageBreak/>
              <w:t>情况（20）</w:t>
            </w:r>
          </w:p>
        </w:tc>
        <w:tc>
          <w:tcPr>
            <w:tcW w:w="282" w:type="pct"/>
            <w:tcBorders>
              <w:top w:val="single" w:sz="4" w:space="0" w:color="auto"/>
              <w:left w:val="single" w:sz="4" w:space="0" w:color="auto"/>
              <w:bottom w:val="single" w:sz="4" w:space="0" w:color="auto"/>
              <w:right w:val="single" w:sz="4" w:space="0" w:color="auto"/>
            </w:tcBorders>
            <w:vAlign w:val="center"/>
          </w:tcPr>
          <w:p w14:paraId="2E1B472F"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lastRenderedPageBreak/>
              <w:t>资金总体</w:t>
            </w:r>
          </w:p>
        </w:tc>
        <w:tc>
          <w:tcPr>
            <w:tcW w:w="404" w:type="pct"/>
            <w:tcBorders>
              <w:top w:val="single" w:sz="4" w:space="0" w:color="auto"/>
              <w:left w:val="single" w:sz="4" w:space="0" w:color="auto"/>
              <w:bottom w:val="single" w:sz="4" w:space="0" w:color="auto"/>
              <w:right w:val="single" w:sz="4" w:space="0" w:color="auto"/>
            </w:tcBorders>
            <w:vAlign w:val="center"/>
          </w:tcPr>
          <w:p w14:paraId="6786B322" w14:textId="177BB6F6"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1283.45</w:t>
            </w:r>
          </w:p>
        </w:tc>
        <w:tc>
          <w:tcPr>
            <w:tcW w:w="470" w:type="pct"/>
            <w:tcBorders>
              <w:top w:val="single" w:sz="4" w:space="0" w:color="auto"/>
              <w:left w:val="single" w:sz="4" w:space="0" w:color="auto"/>
              <w:bottom w:val="single" w:sz="4" w:space="0" w:color="auto"/>
              <w:right w:val="single" w:sz="4" w:space="0" w:color="auto"/>
            </w:tcBorders>
            <w:vAlign w:val="center"/>
          </w:tcPr>
          <w:p w14:paraId="3593101F" w14:textId="686FF63B"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1272.14　</w:t>
            </w:r>
          </w:p>
        </w:tc>
        <w:tc>
          <w:tcPr>
            <w:tcW w:w="916" w:type="pct"/>
            <w:tcBorders>
              <w:top w:val="single" w:sz="4" w:space="0" w:color="auto"/>
              <w:left w:val="single" w:sz="4" w:space="0" w:color="auto"/>
              <w:bottom w:val="single" w:sz="4" w:space="0" w:color="auto"/>
              <w:right w:val="single" w:sz="4" w:space="0" w:color="auto"/>
            </w:tcBorders>
            <w:vAlign w:val="center"/>
          </w:tcPr>
          <w:p w14:paraId="65DE36E6" w14:textId="7EE971B9"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99.12%　</w:t>
            </w:r>
          </w:p>
        </w:tc>
        <w:tc>
          <w:tcPr>
            <w:tcW w:w="214" w:type="pct"/>
            <w:vMerge w:val="restart"/>
            <w:tcBorders>
              <w:top w:val="single" w:sz="4" w:space="0" w:color="auto"/>
              <w:left w:val="single" w:sz="4" w:space="0" w:color="auto"/>
              <w:bottom w:val="single" w:sz="4" w:space="0" w:color="auto"/>
              <w:right w:val="single" w:sz="4" w:space="0" w:color="auto"/>
            </w:tcBorders>
            <w:noWrap/>
            <w:vAlign w:val="center"/>
          </w:tcPr>
          <w:p w14:paraId="18ECF3E4"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01" w:type="pct"/>
            <w:vMerge w:val="restart"/>
            <w:tcBorders>
              <w:top w:val="single" w:sz="4" w:space="0" w:color="auto"/>
              <w:left w:val="single" w:sz="4" w:space="0" w:color="auto"/>
              <w:bottom w:val="single" w:sz="4" w:space="0" w:color="auto"/>
              <w:right w:val="single" w:sz="4" w:space="0" w:color="auto"/>
            </w:tcBorders>
            <w:noWrap/>
            <w:vAlign w:val="center"/>
          </w:tcPr>
          <w:p w14:paraId="55553F9A" w14:textId="06E2CAC9"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19.82　</w:t>
            </w:r>
          </w:p>
        </w:tc>
        <w:tc>
          <w:tcPr>
            <w:tcW w:w="1015" w:type="pct"/>
            <w:vMerge w:val="restart"/>
            <w:tcBorders>
              <w:top w:val="single" w:sz="4" w:space="0" w:color="auto"/>
              <w:left w:val="single" w:sz="4" w:space="0" w:color="auto"/>
              <w:bottom w:val="single" w:sz="4" w:space="0" w:color="auto"/>
              <w:right w:val="single" w:sz="4" w:space="0" w:color="auto"/>
            </w:tcBorders>
            <w:vAlign w:val="center"/>
          </w:tcPr>
          <w:p w14:paraId="4275E59D"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247" w:type="pct"/>
            <w:vMerge w:val="restart"/>
            <w:tcBorders>
              <w:top w:val="nil"/>
              <w:left w:val="single" w:sz="4" w:space="0" w:color="auto"/>
              <w:bottom w:val="single" w:sz="4" w:space="0" w:color="auto"/>
              <w:right w:val="single" w:sz="4" w:space="0" w:color="auto"/>
            </w:tcBorders>
            <w:vAlign w:val="center"/>
          </w:tcPr>
          <w:p w14:paraId="3FF69CBD"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w:t>
            </w:r>
            <w:r>
              <w:rPr>
                <w:rFonts w:ascii="宋体" w:hAnsi="宋体" w:cs="宋体" w:hint="eastAsia"/>
                <w:color w:val="000000"/>
                <w:kern w:val="0"/>
                <w:sz w:val="18"/>
                <w:szCs w:val="18"/>
              </w:rPr>
              <w:lastRenderedPageBreak/>
              <w:t>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51343C" w14:paraId="6232E63B" w14:textId="77777777" w:rsidTr="0051343C">
        <w:trPr>
          <w:cantSplit/>
          <w:trHeight w:val="600"/>
        </w:trPr>
        <w:tc>
          <w:tcPr>
            <w:tcW w:w="152" w:type="pct"/>
            <w:vMerge/>
            <w:tcBorders>
              <w:top w:val="nil"/>
              <w:left w:val="single" w:sz="4" w:space="0" w:color="auto"/>
              <w:bottom w:val="single" w:sz="4" w:space="0" w:color="000000"/>
              <w:right w:val="single" w:sz="4" w:space="0" w:color="auto"/>
            </w:tcBorders>
            <w:vAlign w:val="center"/>
          </w:tcPr>
          <w:p w14:paraId="44216FE5"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tcBorders>
              <w:top w:val="single" w:sz="4" w:space="0" w:color="auto"/>
              <w:left w:val="single" w:sz="4" w:space="0" w:color="auto"/>
              <w:bottom w:val="single" w:sz="4" w:space="0" w:color="auto"/>
              <w:right w:val="nil"/>
            </w:tcBorders>
            <w:vAlign w:val="center"/>
          </w:tcPr>
          <w:p w14:paraId="51CE8286"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404" w:type="pct"/>
            <w:tcBorders>
              <w:top w:val="single" w:sz="4" w:space="0" w:color="auto"/>
              <w:left w:val="single" w:sz="4" w:space="0" w:color="auto"/>
              <w:bottom w:val="single" w:sz="4" w:space="0" w:color="auto"/>
              <w:right w:val="single" w:sz="4" w:space="0" w:color="auto"/>
            </w:tcBorders>
            <w:vAlign w:val="center"/>
          </w:tcPr>
          <w:p w14:paraId="7A7242D1" w14:textId="6139FD25"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1117.11　</w:t>
            </w:r>
          </w:p>
        </w:tc>
        <w:tc>
          <w:tcPr>
            <w:tcW w:w="470" w:type="pct"/>
            <w:tcBorders>
              <w:top w:val="single" w:sz="4" w:space="0" w:color="auto"/>
              <w:left w:val="nil"/>
              <w:bottom w:val="single" w:sz="4" w:space="0" w:color="auto"/>
              <w:right w:val="single" w:sz="4" w:space="0" w:color="auto"/>
            </w:tcBorders>
            <w:vAlign w:val="center"/>
          </w:tcPr>
          <w:p w14:paraId="0C7A3A99" w14:textId="1654037A"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1111.59　</w:t>
            </w:r>
          </w:p>
        </w:tc>
        <w:tc>
          <w:tcPr>
            <w:tcW w:w="916" w:type="pct"/>
            <w:vMerge w:val="restart"/>
            <w:tcBorders>
              <w:top w:val="single" w:sz="4" w:space="0" w:color="auto"/>
              <w:left w:val="single" w:sz="4" w:space="0" w:color="auto"/>
              <w:bottom w:val="single" w:sz="4" w:space="0" w:color="auto"/>
              <w:right w:val="single" w:sz="4" w:space="0" w:color="auto"/>
            </w:tcBorders>
            <w:vAlign w:val="center"/>
          </w:tcPr>
          <w:p w14:paraId="4826BDFF"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14" w:type="pct"/>
            <w:vMerge/>
            <w:tcBorders>
              <w:top w:val="single" w:sz="4" w:space="0" w:color="auto"/>
              <w:left w:val="single" w:sz="4" w:space="0" w:color="auto"/>
              <w:bottom w:val="single" w:sz="4" w:space="0" w:color="auto"/>
              <w:right w:val="single" w:sz="4" w:space="0" w:color="auto"/>
            </w:tcBorders>
            <w:vAlign w:val="center"/>
          </w:tcPr>
          <w:p w14:paraId="1153C53E" w14:textId="77777777" w:rsidR="0051343C" w:rsidRDefault="0051343C" w:rsidP="0051343C">
            <w:pPr>
              <w:widowControl/>
              <w:spacing w:line="360" w:lineRule="auto"/>
              <w:jc w:val="left"/>
              <w:rPr>
                <w:rFonts w:ascii="宋体" w:hAnsi="宋体" w:cs="宋体"/>
                <w:color w:val="000000"/>
                <w:kern w:val="0"/>
                <w:sz w:val="20"/>
                <w:szCs w:val="20"/>
              </w:rPr>
            </w:pPr>
          </w:p>
        </w:tc>
        <w:tc>
          <w:tcPr>
            <w:tcW w:w="301" w:type="pct"/>
            <w:vMerge/>
            <w:tcBorders>
              <w:top w:val="single" w:sz="4" w:space="0" w:color="auto"/>
              <w:left w:val="nil"/>
              <w:bottom w:val="single" w:sz="4" w:space="0" w:color="auto"/>
              <w:right w:val="nil"/>
            </w:tcBorders>
            <w:vAlign w:val="center"/>
          </w:tcPr>
          <w:p w14:paraId="55C29AB0" w14:textId="77777777" w:rsidR="0051343C" w:rsidRDefault="0051343C" w:rsidP="0051343C">
            <w:pPr>
              <w:widowControl/>
              <w:spacing w:line="360" w:lineRule="auto"/>
              <w:jc w:val="left"/>
              <w:rPr>
                <w:rFonts w:ascii="宋体" w:hAnsi="宋体" w:cs="宋体"/>
                <w:color w:val="000000"/>
                <w:kern w:val="0"/>
                <w:sz w:val="20"/>
                <w:szCs w:val="20"/>
              </w:rPr>
            </w:pPr>
          </w:p>
        </w:tc>
        <w:tc>
          <w:tcPr>
            <w:tcW w:w="1015" w:type="pct"/>
            <w:vMerge/>
            <w:tcBorders>
              <w:top w:val="single" w:sz="4" w:space="0" w:color="auto"/>
              <w:left w:val="single" w:sz="4" w:space="0" w:color="auto"/>
              <w:bottom w:val="single" w:sz="4" w:space="0" w:color="auto"/>
              <w:right w:val="single" w:sz="4" w:space="0" w:color="auto"/>
            </w:tcBorders>
            <w:vAlign w:val="center"/>
          </w:tcPr>
          <w:p w14:paraId="25B53080" w14:textId="77777777" w:rsidR="0051343C" w:rsidRDefault="0051343C" w:rsidP="0051343C">
            <w:pPr>
              <w:widowControl/>
              <w:spacing w:line="360" w:lineRule="auto"/>
              <w:jc w:val="left"/>
              <w:rPr>
                <w:rFonts w:ascii="宋体" w:hAnsi="宋体" w:cs="宋体"/>
                <w:color w:val="000000"/>
                <w:kern w:val="0"/>
                <w:sz w:val="18"/>
                <w:szCs w:val="18"/>
              </w:rPr>
            </w:pPr>
          </w:p>
        </w:tc>
        <w:tc>
          <w:tcPr>
            <w:tcW w:w="1247" w:type="pct"/>
            <w:vMerge/>
            <w:tcBorders>
              <w:top w:val="nil"/>
              <w:left w:val="single" w:sz="4" w:space="0" w:color="auto"/>
              <w:bottom w:val="single" w:sz="4" w:space="0" w:color="auto"/>
              <w:right w:val="single" w:sz="4" w:space="0" w:color="auto"/>
            </w:tcBorders>
            <w:vAlign w:val="center"/>
          </w:tcPr>
          <w:p w14:paraId="33125AD2" w14:textId="77777777" w:rsidR="0051343C" w:rsidRDefault="0051343C" w:rsidP="0051343C">
            <w:pPr>
              <w:widowControl/>
              <w:spacing w:line="360" w:lineRule="auto"/>
              <w:jc w:val="left"/>
              <w:rPr>
                <w:rFonts w:ascii="宋体" w:hAnsi="宋体" w:cs="宋体"/>
                <w:color w:val="000000"/>
                <w:kern w:val="0"/>
                <w:sz w:val="18"/>
                <w:szCs w:val="18"/>
              </w:rPr>
            </w:pPr>
          </w:p>
        </w:tc>
      </w:tr>
      <w:tr w:rsidR="0051343C" w14:paraId="458C58B9" w14:textId="77777777" w:rsidTr="0051343C">
        <w:trPr>
          <w:cantSplit/>
          <w:trHeight w:val="615"/>
        </w:trPr>
        <w:tc>
          <w:tcPr>
            <w:tcW w:w="152" w:type="pct"/>
            <w:vMerge/>
            <w:tcBorders>
              <w:top w:val="nil"/>
              <w:left w:val="single" w:sz="4" w:space="0" w:color="auto"/>
              <w:bottom w:val="single" w:sz="4" w:space="0" w:color="000000"/>
              <w:right w:val="single" w:sz="4" w:space="0" w:color="auto"/>
            </w:tcBorders>
            <w:vAlign w:val="center"/>
          </w:tcPr>
          <w:p w14:paraId="55B74B43"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tcBorders>
              <w:top w:val="single" w:sz="4" w:space="0" w:color="auto"/>
              <w:left w:val="single" w:sz="4" w:space="0" w:color="auto"/>
              <w:bottom w:val="single" w:sz="4" w:space="0" w:color="auto"/>
              <w:right w:val="nil"/>
            </w:tcBorders>
            <w:vAlign w:val="center"/>
          </w:tcPr>
          <w:p w14:paraId="73CF1D68"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404" w:type="pct"/>
            <w:tcBorders>
              <w:top w:val="single" w:sz="4" w:space="0" w:color="auto"/>
              <w:left w:val="single" w:sz="4" w:space="0" w:color="auto"/>
              <w:bottom w:val="single" w:sz="4" w:space="0" w:color="auto"/>
              <w:right w:val="single" w:sz="4" w:space="0" w:color="auto"/>
            </w:tcBorders>
            <w:vAlign w:val="center"/>
          </w:tcPr>
          <w:p w14:paraId="6BA81757" w14:textId="5A3AC983"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166.34　</w:t>
            </w:r>
          </w:p>
        </w:tc>
        <w:tc>
          <w:tcPr>
            <w:tcW w:w="470" w:type="pct"/>
            <w:tcBorders>
              <w:top w:val="single" w:sz="4" w:space="0" w:color="auto"/>
              <w:left w:val="nil"/>
              <w:bottom w:val="single" w:sz="4" w:space="0" w:color="auto"/>
              <w:right w:val="single" w:sz="4" w:space="0" w:color="auto"/>
            </w:tcBorders>
            <w:vAlign w:val="center"/>
          </w:tcPr>
          <w:p w14:paraId="2A94487D" w14:textId="00455048"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160.55　</w:t>
            </w:r>
          </w:p>
        </w:tc>
        <w:tc>
          <w:tcPr>
            <w:tcW w:w="916" w:type="pct"/>
            <w:vMerge/>
            <w:tcBorders>
              <w:top w:val="single" w:sz="4" w:space="0" w:color="auto"/>
              <w:left w:val="single" w:sz="4" w:space="0" w:color="auto"/>
              <w:bottom w:val="single" w:sz="4" w:space="0" w:color="auto"/>
              <w:right w:val="single" w:sz="4" w:space="0" w:color="auto"/>
            </w:tcBorders>
            <w:vAlign w:val="center"/>
          </w:tcPr>
          <w:p w14:paraId="15AD9BD6" w14:textId="77777777" w:rsidR="0051343C" w:rsidRDefault="0051343C" w:rsidP="0051343C">
            <w:pPr>
              <w:widowControl/>
              <w:spacing w:line="360" w:lineRule="auto"/>
              <w:jc w:val="left"/>
              <w:rPr>
                <w:rFonts w:ascii="宋体" w:hAnsi="宋体" w:cs="宋体"/>
                <w:color w:val="000000"/>
                <w:kern w:val="0"/>
                <w:sz w:val="20"/>
                <w:szCs w:val="20"/>
              </w:rPr>
            </w:pPr>
          </w:p>
        </w:tc>
        <w:tc>
          <w:tcPr>
            <w:tcW w:w="214" w:type="pct"/>
            <w:vMerge/>
            <w:tcBorders>
              <w:top w:val="single" w:sz="4" w:space="0" w:color="auto"/>
              <w:left w:val="single" w:sz="4" w:space="0" w:color="auto"/>
              <w:bottom w:val="single" w:sz="4" w:space="0" w:color="auto"/>
              <w:right w:val="single" w:sz="4" w:space="0" w:color="auto"/>
            </w:tcBorders>
            <w:vAlign w:val="center"/>
          </w:tcPr>
          <w:p w14:paraId="40400B9A" w14:textId="77777777" w:rsidR="0051343C" w:rsidRDefault="0051343C" w:rsidP="0051343C">
            <w:pPr>
              <w:widowControl/>
              <w:spacing w:line="360" w:lineRule="auto"/>
              <w:jc w:val="left"/>
              <w:rPr>
                <w:rFonts w:ascii="宋体" w:hAnsi="宋体" w:cs="宋体"/>
                <w:color w:val="000000"/>
                <w:kern w:val="0"/>
                <w:sz w:val="20"/>
                <w:szCs w:val="20"/>
              </w:rPr>
            </w:pPr>
          </w:p>
        </w:tc>
        <w:tc>
          <w:tcPr>
            <w:tcW w:w="301" w:type="pct"/>
            <w:vMerge/>
            <w:tcBorders>
              <w:top w:val="single" w:sz="4" w:space="0" w:color="auto"/>
              <w:left w:val="nil"/>
              <w:bottom w:val="single" w:sz="4" w:space="0" w:color="auto"/>
              <w:right w:val="nil"/>
            </w:tcBorders>
            <w:vAlign w:val="center"/>
          </w:tcPr>
          <w:p w14:paraId="7409E8E3" w14:textId="77777777" w:rsidR="0051343C" w:rsidRDefault="0051343C" w:rsidP="0051343C">
            <w:pPr>
              <w:widowControl/>
              <w:spacing w:line="360" w:lineRule="auto"/>
              <w:jc w:val="left"/>
              <w:rPr>
                <w:rFonts w:ascii="宋体" w:hAnsi="宋体" w:cs="宋体"/>
                <w:color w:val="000000"/>
                <w:kern w:val="0"/>
                <w:sz w:val="20"/>
                <w:szCs w:val="20"/>
              </w:rPr>
            </w:pPr>
          </w:p>
        </w:tc>
        <w:tc>
          <w:tcPr>
            <w:tcW w:w="1015" w:type="pct"/>
            <w:vMerge/>
            <w:tcBorders>
              <w:top w:val="single" w:sz="4" w:space="0" w:color="auto"/>
              <w:left w:val="single" w:sz="4" w:space="0" w:color="auto"/>
              <w:bottom w:val="single" w:sz="4" w:space="0" w:color="auto"/>
              <w:right w:val="single" w:sz="4" w:space="0" w:color="auto"/>
            </w:tcBorders>
            <w:vAlign w:val="center"/>
          </w:tcPr>
          <w:p w14:paraId="3B38336B" w14:textId="77777777" w:rsidR="0051343C" w:rsidRDefault="0051343C" w:rsidP="0051343C">
            <w:pPr>
              <w:widowControl/>
              <w:spacing w:line="360" w:lineRule="auto"/>
              <w:jc w:val="left"/>
              <w:rPr>
                <w:rFonts w:ascii="宋体" w:hAnsi="宋体" w:cs="宋体"/>
                <w:color w:val="000000"/>
                <w:kern w:val="0"/>
                <w:sz w:val="18"/>
                <w:szCs w:val="18"/>
              </w:rPr>
            </w:pPr>
          </w:p>
        </w:tc>
        <w:tc>
          <w:tcPr>
            <w:tcW w:w="1247" w:type="pct"/>
            <w:vMerge/>
            <w:tcBorders>
              <w:top w:val="nil"/>
              <w:left w:val="single" w:sz="4" w:space="0" w:color="auto"/>
              <w:bottom w:val="single" w:sz="4" w:space="0" w:color="auto"/>
              <w:right w:val="single" w:sz="4" w:space="0" w:color="auto"/>
            </w:tcBorders>
            <w:vAlign w:val="center"/>
          </w:tcPr>
          <w:p w14:paraId="76195986" w14:textId="77777777" w:rsidR="0051343C" w:rsidRDefault="0051343C" w:rsidP="0051343C">
            <w:pPr>
              <w:widowControl/>
              <w:spacing w:line="360" w:lineRule="auto"/>
              <w:jc w:val="left"/>
              <w:rPr>
                <w:rFonts w:ascii="宋体" w:hAnsi="宋体" w:cs="宋体"/>
                <w:color w:val="000000"/>
                <w:kern w:val="0"/>
                <w:sz w:val="18"/>
                <w:szCs w:val="18"/>
              </w:rPr>
            </w:pPr>
          </w:p>
        </w:tc>
      </w:tr>
      <w:tr w:rsidR="0051343C" w14:paraId="6DEC475B" w14:textId="77777777" w:rsidTr="0051343C">
        <w:trPr>
          <w:cantSplit/>
          <w:trHeight w:val="2136"/>
        </w:trPr>
        <w:tc>
          <w:tcPr>
            <w:tcW w:w="152" w:type="pct"/>
            <w:vMerge/>
            <w:tcBorders>
              <w:top w:val="nil"/>
              <w:left w:val="single" w:sz="4" w:space="0" w:color="auto"/>
              <w:bottom w:val="single" w:sz="4" w:space="0" w:color="000000"/>
              <w:right w:val="single" w:sz="4" w:space="0" w:color="auto"/>
            </w:tcBorders>
            <w:vAlign w:val="center"/>
          </w:tcPr>
          <w:p w14:paraId="3434928A"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tcBorders>
              <w:top w:val="single" w:sz="4" w:space="0" w:color="auto"/>
              <w:left w:val="single" w:sz="4" w:space="0" w:color="auto"/>
              <w:bottom w:val="single" w:sz="4" w:space="0" w:color="auto"/>
              <w:right w:val="single" w:sz="4" w:space="0" w:color="auto"/>
            </w:tcBorders>
            <w:vAlign w:val="center"/>
          </w:tcPr>
          <w:p w14:paraId="5FE69019"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404" w:type="pct"/>
            <w:tcBorders>
              <w:top w:val="single" w:sz="4" w:space="0" w:color="auto"/>
              <w:left w:val="nil"/>
              <w:bottom w:val="single" w:sz="4" w:space="0" w:color="auto"/>
              <w:right w:val="single" w:sz="4" w:space="0" w:color="auto"/>
            </w:tcBorders>
            <w:vAlign w:val="center"/>
          </w:tcPr>
          <w:p w14:paraId="2B32F25D"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single" w:sz="4" w:space="0" w:color="auto"/>
              <w:left w:val="nil"/>
              <w:bottom w:val="single" w:sz="4" w:space="0" w:color="auto"/>
              <w:right w:val="single" w:sz="4" w:space="0" w:color="auto"/>
            </w:tcBorders>
            <w:vAlign w:val="center"/>
          </w:tcPr>
          <w:p w14:paraId="5C88A71C"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16" w:type="pct"/>
            <w:vMerge/>
            <w:tcBorders>
              <w:top w:val="single" w:sz="4" w:space="0" w:color="auto"/>
              <w:left w:val="single" w:sz="4" w:space="0" w:color="auto"/>
              <w:bottom w:val="single" w:sz="4" w:space="0" w:color="auto"/>
              <w:right w:val="single" w:sz="4" w:space="0" w:color="auto"/>
            </w:tcBorders>
            <w:vAlign w:val="center"/>
          </w:tcPr>
          <w:p w14:paraId="017FC866" w14:textId="77777777" w:rsidR="0051343C" w:rsidRDefault="0051343C" w:rsidP="0051343C">
            <w:pPr>
              <w:widowControl/>
              <w:spacing w:line="360" w:lineRule="auto"/>
              <w:jc w:val="left"/>
              <w:rPr>
                <w:rFonts w:ascii="宋体" w:hAnsi="宋体" w:cs="宋体"/>
                <w:color w:val="000000"/>
                <w:kern w:val="0"/>
                <w:sz w:val="20"/>
                <w:szCs w:val="20"/>
              </w:rPr>
            </w:pPr>
          </w:p>
        </w:tc>
        <w:tc>
          <w:tcPr>
            <w:tcW w:w="214" w:type="pct"/>
            <w:vMerge/>
            <w:tcBorders>
              <w:top w:val="single" w:sz="4" w:space="0" w:color="auto"/>
              <w:left w:val="single" w:sz="4" w:space="0" w:color="auto"/>
              <w:bottom w:val="single" w:sz="4" w:space="0" w:color="auto"/>
              <w:right w:val="single" w:sz="4" w:space="0" w:color="auto"/>
            </w:tcBorders>
            <w:vAlign w:val="center"/>
          </w:tcPr>
          <w:p w14:paraId="1E37A1C3" w14:textId="77777777" w:rsidR="0051343C" w:rsidRDefault="0051343C" w:rsidP="0051343C">
            <w:pPr>
              <w:widowControl/>
              <w:spacing w:line="360" w:lineRule="auto"/>
              <w:jc w:val="left"/>
              <w:rPr>
                <w:rFonts w:ascii="宋体" w:hAnsi="宋体" w:cs="宋体"/>
                <w:color w:val="000000"/>
                <w:kern w:val="0"/>
                <w:sz w:val="20"/>
                <w:szCs w:val="20"/>
              </w:rPr>
            </w:pPr>
          </w:p>
        </w:tc>
        <w:tc>
          <w:tcPr>
            <w:tcW w:w="301" w:type="pct"/>
            <w:vMerge/>
            <w:tcBorders>
              <w:top w:val="single" w:sz="4" w:space="0" w:color="auto"/>
              <w:left w:val="nil"/>
              <w:bottom w:val="single" w:sz="4" w:space="0" w:color="auto"/>
              <w:right w:val="nil"/>
            </w:tcBorders>
            <w:vAlign w:val="center"/>
          </w:tcPr>
          <w:p w14:paraId="57456BDD" w14:textId="77777777" w:rsidR="0051343C" w:rsidRDefault="0051343C" w:rsidP="0051343C">
            <w:pPr>
              <w:widowControl/>
              <w:spacing w:line="360" w:lineRule="auto"/>
              <w:jc w:val="left"/>
              <w:rPr>
                <w:rFonts w:ascii="宋体" w:hAnsi="宋体" w:cs="宋体"/>
                <w:color w:val="000000"/>
                <w:kern w:val="0"/>
                <w:sz w:val="20"/>
                <w:szCs w:val="20"/>
              </w:rPr>
            </w:pPr>
          </w:p>
        </w:tc>
        <w:tc>
          <w:tcPr>
            <w:tcW w:w="1015" w:type="pct"/>
            <w:vMerge/>
            <w:tcBorders>
              <w:top w:val="single" w:sz="4" w:space="0" w:color="auto"/>
              <w:left w:val="single" w:sz="4" w:space="0" w:color="auto"/>
              <w:bottom w:val="single" w:sz="4" w:space="0" w:color="auto"/>
              <w:right w:val="single" w:sz="4" w:space="0" w:color="auto"/>
            </w:tcBorders>
            <w:vAlign w:val="center"/>
          </w:tcPr>
          <w:p w14:paraId="1D47E134" w14:textId="77777777" w:rsidR="0051343C" w:rsidRDefault="0051343C" w:rsidP="0051343C">
            <w:pPr>
              <w:widowControl/>
              <w:spacing w:line="360" w:lineRule="auto"/>
              <w:jc w:val="left"/>
              <w:rPr>
                <w:rFonts w:ascii="宋体" w:hAnsi="宋体" w:cs="宋体"/>
                <w:color w:val="000000"/>
                <w:kern w:val="0"/>
                <w:sz w:val="18"/>
                <w:szCs w:val="18"/>
              </w:rPr>
            </w:pPr>
          </w:p>
        </w:tc>
        <w:tc>
          <w:tcPr>
            <w:tcW w:w="1247" w:type="pct"/>
            <w:vMerge/>
            <w:tcBorders>
              <w:top w:val="nil"/>
              <w:left w:val="single" w:sz="4" w:space="0" w:color="auto"/>
              <w:bottom w:val="single" w:sz="4" w:space="0" w:color="auto"/>
              <w:right w:val="single" w:sz="4" w:space="0" w:color="auto"/>
            </w:tcBorders>
            <w:vAlign w:val="center"/>
          </w:tcPr>
          <w:p w14:paraId="699756DD" w14:textId="77777777" w:rsidR="0051343C" w:rsidRDefault="0051343C" w:rsidP="0051343C">
            <w:pPr>
              <w:widowControl/>
              <w:spacing w:line="360" w:lineRule="auto"/>
              <w:jc w:val="left"/>
              <w:rPr>
                <w:rFonts w:ascii="宋体" w:hAnsi="宋体" w:cs="宋体"/>
                <w:color w:val="000000"/>
                <w:kern w:val="0"/>
                <w:sz w:val="18"/>
                <w:szCs w:val="18"/>
              </w:rPr>
            </w:pPr>
          </w:p>
        </w:tc>
      </w:tr>
      <w:tr w:rsidR="0051343C" w14:paraId="1D63CEDB" w14:textId="77777777" w:rsidTr="00211CF6">
        <w:trPr>
          <w:cantSplit/>
          <w:trHeight w:val="479"/>
        </w:trPr>
        <w:tc>
          <w:tcPr>
            <w:tcW w:w="5000" w:type="pct"/>
            <w:gridSpan w:val="9"/>
            <w:tcBorders>
              <w:top w:val="nil"/>
              <w:left w:val="single" w:sz="4" w:space="0" w:color="auto"/>
              <w:bottom w:val="single" w:sz="4" w:space="0" w:color="auto"/>
              <w:right w:val="single" w:sz="4" w:space="0" w:color="auto"/>
            </w:tcBorders>
            <w:vAlign w:val="center"/>
          </w:tcPr>
          <w:p w14:paraId="1C7A5D8E"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lastRenderedPageBreak/>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51343C" w14:paraId="040BF64A" w14:textId="77777777" w:rsidTr="0051343C">
        <w:trPr>
          <w:cantSplit/>
          <w:trHeight w:val="499"/>
        </w:trPr>
        <w:tc>
          <w:tcPr>
            <w:tcW w:w="152" w:type="pct"/>
            <w:tcBorders>
              <w:top w:val="single" w:sz="4" w:space="0" w:color="auto"/>
              <w:left w:val="single" w:sz="4" w:space="0" w:color="auto"/>
              <w:bottom w:val="single" w:sz="4" w:space="0" w:color="auto"/>
              <w:right w:val="single" w:sz="4" w:space="0" w:color="auto"/>
            </w:tcBorders>
            <w:vAlign w:val="center"/>
          </w:tcPr>
          <w:p w14:paraId="190358DD"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282" w:type="pct"/>
            <w:tcBorders>
              <w:top w:val="single" w:sz="4" w:space="0" w:color="auto"/>
              <w:left w:val="nil"/>
              <w:bottom w:val="single" w:sz="4" w:space="0" w:color="auto"/>
              <w:right w:val="single" w:sz="4" w:space="0" w:color="auto"/>
            </w:tcBorders>
            <w:vAlign w:val="center"/>
          </w:tcPr>
          <w:p w14:paraId="3074DDB1"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404" w:type="pct"/>
            <w:tcBorders>
              <w:top w:val="single" w:sz="4" w:space="0" w:color="auto"/>
              <w:left w:val="nil"/>
              <w:bottom w:val="single" w:sz="4" w:space="0" w:color="auto"/>
              <w:right w:val="single" w:sz="4" w:space="0" w:color="auto"/>
            </w:tcBorders>
            <w:vAlign w:val="center"/>
          </w:tcPr>
          <w:p w14:paraId="0E69AD1D"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470" w:type="pct"/>
            <w:tcBorders>
              <w:top w:val="single" w:sz="4" w:space="0" w:color="auto"/>
              <w:left w:val="nil"/>
              <w:bottom w:val="single" w:sz="4" w:space="0" w:color="auto"/>
              <w:right w:val="single" w:sz="4" w:space="0" w:color="auto"/>
            </w:tcBorders>
            <w:vAlign w:val="center"/>
          </w:tcPr>
          <w:p w14:paraId="0722F4E6"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916" w:type="pct"/>
            <w:tcBorders>
              <w:top w:val="single" w:sz="4" w:space="0" w:color="auto"/>
              <w:left w:val="nil"/>
              <w:bottom w:val="single" w:sz="4" w:space="0" w:color="auto"/>
              <w:right w:val="single" w:sz="4" w:space="0" w:color="auto"/>
            </w:tcBorders>
            <w:vAlign w:val="center"/>
          </w:tcPr>
          <w:p w14:paraId="6319DA58"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14" w:type="pct"/>
            <w:tcBorders>
              <w:top w:val="single" w:sz="4" w:space="0" w:color="auto"/>
              <w:left w:val="nil"/>
              <w:bottom w:val="single" w:sz="4" w:space="0" w:color="auto"/>
              <w:right w:val="single" w:sz="4" w:space="0" w:color="auto"/>
            </w:tcBorders>
            <w:vAlign w:val="center"/>
          </w:tcPr>
          <w:p w14:paraId="71DA440C"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01" w:type="pct"/>
            <w:tcBorders>
              <w:top w:val="single" w:sz="4" w:space="0" w:color="auto"/>
              <w:left w:val="nil"/>
              <w:bottom w:val="single" w:sz="4" w:space="0" w:color="auto"/>
              <w:right w:val="nil"/>
            </w:tcBorders>
            <w:vAlign w:val="center"/>
          </w:tcPr>
          <w:p w14:paraId="5D7177A5"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15" w:type="pct"/>
            <w:tcBorders>
              <w:top w:val="single" w:sz="4" w:space="0" w:color="auto"/>
              <w:left w:val="single" w:sz="4" w:space="0" w:color="auto"/>
              <w:bottom w:val="single" w:sz="4" w:space="0" w:color="auto"/>
              <w:right w:val="single" w:sz="4" w:space="0" w:color="auto"/>
            </w:tcBorders>
            <w:vAlign w:val="center"/>
          </w:tcPr>
          <w:p w14:paraId="6507D55F" w14:textId="77777777" w:rsidR="0051343C" w:rsidRDefault="0051343C" w:rsidP="0051343C">
            <w:pPr>
              <w:widowControl/>
              <w:spacing w:line="360" w:lineRule="auto"/>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47" w:type="pct"/>
            <w:tcBorders>
              <w:top w:val="single" w:sz="4" w:space="0" w:color="auto"/>
              <w:left w:val="single" w:sz="4" w:space="0" w:color="auto"/>
              <w:bottom w:val="single" w:sz="4" w:space="0" w:color="auto"/>
              <w:right w:val="single" w:sz="4" w:space="0" w:color="auto"/>
            </w:tcBorders>
            <w:vAlign w:val="center"/>
          </w:tcPr>
          <w:p w14:paraId="789194F2" w14:textId="77777777" w:rsidR="0051343C" w:rsidRDefault="0051343C" w:rsidP="0051343C">
            <w:pPr>
              <w:widowControl/>
              <w:spacing w:line="360" w:lineRule="auto"/>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51343C" w14:paraId="390E0C30" w14:textId="77777777" w:rsidTr="0051343C">
        <w:trPr>
          <w:cantSplit/>
          <w:trHeight w:val="1196"/>
        </w:trPr>
        <w:tc>
          <w:tcPr>
            <w:tcW w:w="152" w:type="pct"/>
            <w:vMerge w:val="restart"/>
            <w:tcBorders>
              <w:top w:val="single" w:sz="4" w:space="0" w:color="auto"/>
              <w:left w:val="single" w:sz="4" w:space="0" w:color="auto"/>
              <w:bottom w:val="single" w:sz="4" w:space="0" w:color="auto"/>
              <w:right w:val="single" w:sz="4" w:space="0" w:color="auto"/>
            </w:tcBorders>
            <w:vAlign w:val="center"/>
          </w:tcPr>
          <w:p w14:paraId="59F4176C"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整体</w:t>
            </w:r>
            <w:r>
              <w:rPr>
                <w:rFonts w:ascii="宋体" w:hAnsi="宋体" w:cs="宋体" w:hint="eastAsia"/>
                <w:color w:val="000000"/>
                <w:kern w:val="0"/>
                <w:sz w:val="20"/>
                <w:szCs w:val="20"/>
              </w:rPr>
              <w:lastRenderedPageBreak/>
              <w:t>绩效目标实</w:t>
            </w:r>
            <w:r>
              <w:rPr>
                <w:rFonts w:ascii="宋体" w:hAnsi="宋体" w:cs="宋体" w:hint="eastAsia"/>
                <w:color w:val="000000"/>
                <w:kern w:val="0"/>
                <w:sz w:val="20"/>
                <w:szCs w:val="20"/>
              </w:rPr>
              <w:lastRenderedPageBreak/>
              <w:t>现情况（60）</w:t>
            </w:r>
          </w:p>
        </w:tc>
        <w:tc>
          <w:tcPr>
            <w:tcW w:w="282" w:type="pct"/>
            <w:vMerge w:val="restart"/>
            <w:tcBorders>
              <w:top w:val="single" w:sz="4" w:space="0" w:color="auto"/>
              <w:left w:val="nil"/>
              <w:right w:val="single" w:sz="4" w:space="0" w:color="auto"/>
            </w:tcBorders>
            <w:vAlign w:val="center"/>
          </w:tcPr>
          <w:p w14:paraId="04338053" w14:textId="77777777" w:rsidR="0051343C" w:rsidRDefault="0051343C" w:rsidP="0051343C">
            <w:pPr>
              <w:widowControl/>
              <w:spacing w:line="360" w:lineRule="auto"/>
              <w:jc w:val="center"/>
              <w:rPr>
                <w:rFonts w:ascii="宋体" w:hAnsi="宋体" w:cs="宋体"/>
                <w:color w:val="000000"/>
                <w:kern w:val="0"/>
                <w:sz w:val="20"/>
                <w:szCs w:val="20"/>
              </w:rPr>
            </w:pPr>
          </w:p>
          <w:p w14:paraId="46CEADD1" w14:textId="77777777" w:rsidR="0051343C" w:rsidRDefault="0051343C" w:rsidP="0051343C">
            <w:pPr>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lastRenderedPageBreak/>
              <w:t>（30）</w:t>
            </w:r>
          </w:p>
        </w:tc>
        <w:tc>
          <w:tcPr>
            <w:tcW w:w="404" w:type="pct"/>
            <w:tcBorders>
              <w:top w:val="single" w:sz="4" w:space="0" w:color="auto"/>
              <w:left w:val="nil"/>
              <w:bottom w:val="single" w:sz="4" w:space="0" w:color="auto"/>
              <w:right w:val="single" w:sz="4" w:space="0" w:color="auto"/>
            </w:tcBorders>
            <w:vAlign w:val="center"/>
          </w:tcPr>
          <w:p w14:paraId="01EF1793" w14:textId="77777777" w:rsidR="0051343C" w:rsidRDefault="0051343C" w:rsidP="0051343C">
            <w:pPr>
              <w:widowControl/>
              <w:spacing w:line="360" w:lineRule="auto"/>
              <w:jc w:val="center"/>
              <w:rPr>
                <w:rFonts w:ascii="宋体" w:hAnsi="宋体" w:cs="宋体"/>
                <w:color w:val="000000"/>
                <w:kern w:val="0"/>
                <w:sz w:val="20"/>
                <w:szCs w:val="20"/>
              </w:rPr>
            </w:pPr>
          </w:p>
          <w:p w14:paraId="4C68246A" w14:textId="77777777" w:rsidR="0051343C" w:rsidRDefault="0051343C" w:rsidP="0051343C">
            <w:pPr>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470" w:type="pct"/>
            <w:tcBorders>
              <w:top w:val="single" w:sz="4" w:space="0" w:color="auto"/>
              <w:left w:val="nil"/>
              <w:bottom w:val="single" w:sz="4" w:space="0" w:color="auto"/>
              <w:right w:val="single" w:sz="4" w:space="0" w:color="auto"/>
            </w:tcBorders>
            <w:vAlign w:val="center"/>
          </w:tcPr>
          <w:p w14:paraId="5249D153" w14:textId="77777777" w:rsidR="0051343C" w:rsidRDefault="0051343C" w:rsidP="0051343C">
            <w:pPr>
              <w:widowControl/>
              <w:spacing w:line="360" w:lineRule="auto"/>
              <w:jc w:val="center"/>
              <w:rPr>
                <w:rFonts w:ascii="宋体" w:hAnsi="宋体" w:cs="宋体"/>
                <w:color w:val="000000"/>
                <w:kern w:val="0"/>
                <w:sz w:val="20"/>
                <w:szCs w:val="20"/>
              </w:rPr>
            </w:pPr>
          </w:p>
          <w:p w14:paraId="74F02D53" w14:textId="77777777" w:rsidR="0051343C" w:rsidRDefault="0051343C" w:rsidP="0051343C">
            <w:pPr>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16" w:type="pct"/>
            <w:tcBorders>
              <w:top w:val="single" w:sz="4" w:space="0" w:color="auto"/>
              <w:left w:val="nil"/>
              <w:bottom w:val="single" w:sz="4" w:space="0" w:color="auto"/>
              <w:right w:val="single" w:sz="4" w:space="0" w:color="auto"/>
            </w:tcBorders>
            <w:vAlign w:val="center"/>
          </w:tcPr>
          <w:p w14:paraId="3D07B0A1" w14:textId="77777777" w:rsidR="0051343C" w:rsidRDefault="0051343C" w:rsidP="0051343C">
            <w:pPr>
              <w:widowControl/>
              <w:spacing w:line="360" w:lineRule="auto"/>
              <w:jc w:val="center"/>
              <w:rPr>
                <w:rFonts w:ascii="宋体" w:hAnsi="宋体" w:cs="宋体"/>
                <w:color w:val="000000"/>
                <w:kern w:val="0"/>
                <w:sz w:val="20"/>
                <w:szCs w:val="20"/>
              </w:rPr>
            </w:pPr>
          </w:p>
          <w:p w14:paraId="6B0FE47B" w14:textId="77777777" w:rsidR="0051343C" w:rsidRDefault="0051343C" w:rsidP="0051343C">
            <w:pPr>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4" w:type="pct"/>
            <w:vMerge w:val="restart"/>
            <w:tcBorders>
              <w:top w:val="single" w:sz="4" w:space="0" w:color="auto"/>
              <w:left w:val="nil"/>
              <w:bottom w:val="single" w:sz="4" w:space="0" w:color="auto"/>
              <w:right w:val="single" w:sz="4" w:space="0" w:color="auto"/>
            </w:tcBorders>
            <w:vAlign w:val="center"/>
          </w:tcPr>
          <w:p w14:paraId="5BBD3446" w14:textId="77777777" w:rsidR="0051343C" w:rsidRDefault="0051343C" w:rsidP="0051343C">
            <w:pPr>
              <w:widowControl/>
              <w:spacing w:line="360" w:lineRule="auto"/>
              <w:jc w:val="center"/>
              <w:rPr>
                <w:rFonts w:ascii="宋体" w:hAnsi="宋体" w:cs="宋体"/>
                <w:color w:val="000000"/>
                <w:kern w:val="0"/>
                <w:sz w:val="20"/>
                <w:szCs w:val="20"/>
              </w:rPr>
            </w:pPr>
          </w:p>
          <w:p w14:paraId="048B495C" w14:textId="77777777" w:rsidR="0051343C" w:rsidRDefault="0051343C" w:rsidP="0051343C">
            <w:pPr>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301" w:type="pct"/>
            <w:tcBorders>
              <w:top w:val="single" w:sz="4" w:space="0" w:color="auto"/>
              <w:left w:val="nil"/>
              <w:bottom w:val="single" w:sz="4" w:space="0" w:color="auto"/>
              <w:right w:val="nil"/>
            </w:tcBorders>
            <w:vAlign w:val="center"/>
          </w:tcPr>
          <w:p w14:paraId="6E89FF6C" w14:textId="77777777" w:rsidR="0051343C" w:rsidRDefault="0051343C" w:rsidP="0051343C">
            <w:pPr>
              <w:widowControl/>
              <w:spacing w:line="360" w:lineRule="auto"/>
              <w:jc w:val="center"/>
              <w:rPr>
                <w:rFonts w:ascii="宋体" w:hAnsi="宋体" w:cs="宋体"/>
                <w:color w:val="000000"/>
                <w:kern w:val="0"/>
                <w:sz w:val="20"/>
                <w:szCs w:val="20"/>
              </w:rPr>
            </w:pPr>
          </w:p>
          <w:p w14:paraId="3F18CA7F" w14:textId="77777777" w:rsidR="0051343C" w:rsidRDefault="0051343C" w:rsidP="0051343C">
            <w:pPr>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15" w:type="pct"/>
            <w:vMerge w:val="restart"/>
            <w:tcBorders>
              <w:top w:val="single" w:sz="4" w:space="0" w:color="auto"/>
              <w:left w:val="single" w:sz="4" w:space="0" w:color="auto"/>
              <w:bottom w:val="single" w:sz="4" w:space="0" w:color="auto"/>
              <w:right w:val="single" w:sz="4" w:space="0" w:color="auto"/>
            </w:tcBorders>
            <w:vAlign w:val="center"/>
          </w:tcPr>
          <w:p w14:paraId="351D3225"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w:t>
            </w:r>
            <w:r>
              <w:rPr>
                <w:rFonts w:ascii="宋体" w:hAnsi="宋体" w:cs="宋体" w:hint="eastAsia"/>
                <w:color w:val="000000"/>
                <w:kern w:val="0"/>
                <w:sz w:val="18"/>
                <w:szCs w:val="18"/>
              </w:rPr>
              <w:lastRenderedPageBreak/>
              <w:t>实际完成工作数：一定时期（年度或规划期）内部门（单位）实际完成工作任务的数量。计划工作数：部门（单位）整体绩效目标确定的一定时期（年度或规划</w:t>
            </w:r>
            <w:r>
              <w:rPr>
                <w:rFonts w:ascii="宋体" w:hAnsi="宋体" w:cs="宋体" w:hint="eastAsia"/>
                <w:color w:val="000000"/>
                <w:kern w:val="0"/>
                <w:sz w:val="18"/>
                <w:szCs w:val="18"/>
              </w:rPr>
              <w:lastRenderedPageBreak/>
              <w:t>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247" w:type="pct"/>
            <w:vMerge w:val="restart"/>
            <w:tcBorders>
              <w:top w:val="single" w:sz="4" w:space="0" w:color="auto"/>
              <w:left w:val="single" w:sz="4" w:space="0" w:color="auto"/>
              <w:bottom w:val="single" w:sz="4" w:space="0" w:color="auto"/>
              <w:right w:val="single" w:sz="4" w:space="0" w:color="auto"/>
            </w:tcBorders>
            <w:vAlign w:val="center"/>
          </w:tcPr>
          <w:p w14:paraId="3C197E46"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lastRenderedPageBreak/>
              <w:t>部门根据本单位情况自行确定并选择产出指标，合理确定各项指标权重。可量化的</w:t>
            </w:r>
            <w:r>
              <w:rPr>
                <w:rFonts w:ascii="宋体" w:hAnsi="宋体" w:cs="宋体" w:hint="eastAsia"/>
                <w:color w:val="000000"/>
                <w:kern w:val="0"/>
                <w:sz w:val="18"/>
                <w:szCs w:val="18"/>
              </w:rPr>
              <w:lastRenderedPageBreak/>
              <w:t>指标按照比率*单项指标分值即为该指标得分。如果不能定量评价，则以定性的方式进行自评。</w:t>
            </w:r>
          </w:p>
        </w:tc>
      </w:tr>
      <w:tr w:rsidR="0051343C" w14:paraId="3E8232A9" w14:textId="77777777" w:rsidTr="0051343C">
        <w:trPr>
          <w:cantSplit/>
          <w:trHeight w:val="1130"/>
        </w:trPr>
        <w:tc>
          <w:tcPr>
            <w:tcW w:w="152" w:type="pct"/>
            <w:vMerge/>
            <w:tcBorders>
              <w:top w:val="nil"/>
              <w:left w:val="single" w:sz="4" w:space="0" w:color="auto"/>
              <w:bottom w:val="single" w:sz="4" w:space="0" w:color="000000"/>
              <w:right w:val="single" w:sz="4" w:space="0" w:color="auto"/>
            </w:tcBorders>
            <w:vAlign w:val="center"/>
          </w:tcPr>
          <w:p w14:paraId="6AF64F39"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vMerge/>
            <w:tcBorders>
              <w:left w:val="single" w:sz="4" w:space="0" w:color="auto"/>
              <w:right w:val="single" w:sz="4" w:space="0" w:color="auto"/>
            </w:tcBorders>
            <w:vAlign w:val="center"/>
          </w:tcPr>
          <w:p w14:paraId="064A29FB" w14:textId="77777777" w:rsidR="0051343C" w:rsidRDefault="0051343C" w:rsidP="0051343C">
            <w:pPr>
              <w:widowControl/>
              <w:spacing w:line="360" w:lineRule="auto"/>
              <w:jc w:val="left"/>
              <w:rPr>
                <w:rFonts w:ascii="宋体" w:hAnsi="宋体" w:cs="宋体"/>
                <w:color w:val="000000"/>
                <w:kern w:val="0"/>
                <w:sz w:val="20"/>
                <w:szCs w:val="20"/>
              </w:rPr>
            </w:pPr>
          </w:p>
        </w:tc>
        <w:tc>
          <w:tcPr>
            <w:tcW w:w="404" w:type="pct"/>
            <w:tcBorders>
              <w:top w:val="single" w:sz="4" w:space="0" w:color="auto"/>
              <w:left w:val="nil"/>
              <w:bottom w:val="single" w:sz="4" w:space="0" w:color="auto"/>
              <w:right w:val="single" w:sz="4" w:space="0" w:color="auto"/>
            </w:tcBorders>
            <w:vAlign w:val="center"/>
          </w:tcPr>
          <w:p w14:paraId="663947CA"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470" w:type="pct"/>
            <w:tcBorders>
              <w:top w:val="single" w:sz="4" w:space="0" w:color="auto"/>
              <w:left w:val="nil"/>
              <w:bottom w:val="single" w:sz="4" w:space="0" w:color="auto"/>
              <w:right w:val="single" w:sz="4" w:space="0" w:color="auto"/>
            </w:tcBorders>
            <w:vAlign w:val="center"/>
          </w:tcPr>
          <w:p w14:paraId="3E8406C5"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16" w:type="pct"/>
            <w:tcBorders>
              <w:top w:val="single" w:sz="4" w:space="0" w:color="auto"/>
              <w:left w:val="nil"/>
              <w:bottom w:val="single" w:sz="4" w:space="0" w:color="auto"/>
              <w:right w:val="single" w:sz="4" w:space="0" w:color="auto"/>
            </w:tcBorders>
            <w:vAlign w:val="center"/>
          </w:tcPr>
          <w:p w14:paraId="6A048D1A"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4" w:type="pct"/>
            <w:vMerge/>
            <w:tcBorders>
              <w:top w:val="single" w:sz="4" w:space="0" w:color="auto"/>
              <w:left w:val="single" w:sz="4" w:space="0" w:color="auto"/>
              <w:right w:val="single" w:sz="4" w:space="0" w:color="auto"/>
            </w:tcBorders>
            <w:vAlign w:val="center"/>
          </w:tcPr>
          <w:p w14:paraId="4BA620F8" w14:textId="77777777" w:rsidR="0051343C" w:rsidRDefault="0051343C" w:rsidP="0051343C">
            <w:pPr>
              <w:widowControl/>
              <w:spacing w:line="360" w:lineRule="auto"/>
              <w:jc w:val="left"/>
              <w:rPr>
                <w:rFonts w:ascii="宋体" w:hAnsi="宋体" w:cs="宋体"/>
                <w:color w:val="000000"/>
                <w:kern w:val="0"/>
                <w:sz w:val="20"/>
                <w:szCs w:val="20"/>
              </w:rPr>
            </w:pPr>
          </w:p>
        </w:tc>
        <w:tc>
          <w:tcPr>
            <w:tcW w:w="301" w:type="pct"/>
            <w:tcBorders>
              <w:top w:val="single" w:sz="4" w:space="0" w:color="auto"/>
              <w:left w:val="nil"/>
              <w:bottom w:val="single" w:sz="4" w:space="0" w:color="auto"/>
              <w:right w:val="nil"/>
            </w:tcBorders>
            <w:noWrap/>
            <w:vAlign w:val="center"/>
          </w:tcPr>
          <w:p w14:paraId="3F4BB3F8"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15" w:type="pct"/>
            <w:vMerge/>
            <w:tcBorders>
              <w:top w:val="nil"/>
              <w:left w:val="single" w:sz="4" w:space="0" w:color="auto"/>
              <w:bottom w:val="single" w:sz="4" w:space="0" w:color="auto"/>
              <w:right w:val="single" w:sz="4" w:space="0" w:color="auto"/>
            </w:tcBorders>
            <w:vAlign w:val="center"/>
          </w:tcPr>
          <w:p w14:paraId="5643FDD2" w14:textId="77777777" w:rsidR="0051343C" w:rsidRDefault="0051343C" w:rsidP="0051343C">
            <w:pPr>
              <w:widowControl/>
              <w:spacing w:line="360" w:lineRule="auto"/>
              <w:jc w:val="left"/>
              <w:rPr>
                <w:rFonts w:ascii="宋体" w:hAnsi="宋体" w:cs="宋体"/>
                <w:color w:val="000000"/>
                <w:kern w:val="0"/>
                <w:sz w:val="18"/>
                <w:szCs w:val="18"/>
              </w:rPr>
            </w:pPr>
          </w:p>
        </w:tc>
        <w:tc>
          <w:tcPr>
            <w:tcW w:w="1247" w:type="pct"/>
            <w:vMerge/>
            <w:tcBorders>
              <w:top w:val="nil"/>
              <w:left w:val="single" w:sz="4" w:space="0" w:color="auto"/>
              <w:bottom w:val="single" w:sz="4" w:space="0" w:color="auto"/>
              <w:right w:val="single" w:sz="4" w:space="0" w:color="auto"/>
            </w:tcBorders>
            <w:vAlign w:val="center"/>
          </w:tcPr>
          <w:p w14:paraId="096D3B22" w14:textId="77777777" w:rsidR="0051343C" w:rsidRDefault="0051343C" w:rsidP="0051343C">
            <w:pPr>
              <w:widowControl/>
              <w:spacing w:line="360" w:lineRule="auto"/>
              <w:jc w:val="left"/>
              <w:rPr>
                <w:rFonts w:ascii="宋体" w:hAnsi="宋体" w:cs="宋体"/>
                <w:color w:val="000000"/>
                <w:kern w:val="0"/>
                <w:sz w:val="18"/>
                <w:szCs w:val="18"/>
              </w:rPr>
            </w:pPr>
          </w:p>
        </w:tc>
      </w:tr>
      <w:tr w:rsidR="0051343C" w14:paraId="66E7C21E" w14:textId="77777777" w:rsidTr="0051343C">
        <w:trPr>
          <w:cantSplit/>
          <w:trHeight w:val="1258"/>
        </w:trPr>
        <w:tc>
          <w:tcPr>
            <w:tcW w:w="152" w:type="pct"/>
            <w:vMerge/>
            <w:tcBorders>
              <w:top w:val="nil"/>
              <w:left w:val="single" w:sz="4" w:space="0" w:color="auto"/>
              <w:bottom w:val="single" w:sz="4" w:space="0" w:color="000000"/>
              <w:right w:val="single" w:sz="4" w:space="0" w:color="auto"/>
            </w:tcBorders>
            <w:vAlign w:val="center"/>
          </w:tcPr>
          <w:p w14:paraId="23DE56C9"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vMerge/>
            <w:tcBorders>
              <w:left w:val="single" w:sz="4" w:space="0" w:color="auto"/>
              <w:right w:val="single" w:sz="4" w:space="0" w:color="auto"/>
            </w:tcBorders>
            <w:vAlign w:val="center"/>
          </w:tcPr>
          <w:p w14:paraId="23B42B3F" w14:textId="77777777" w:rsidR="0051343C" w:rsidRDefault="0051343C" w:rsidP="0051343C">
            <w:pPr>
              <w:widowControl/>
              <w:spacing w:line="360" w:lineRule="auto"/>
              <w:jc w:val="left"/>
              <w:rPr>
                <w:rFonts w:ascii="宋体" w:hAnsi="宋体" w:cs="宋体"/>
                <w:color w:val="000000"/>
                <w:kern w:val="0"/>
                <w:sz w:val="20"/>
                <w:szCs w:val="20"/>
              </w:rPr>
            </w:pPr>
          </w:p>
        </w:tc>
        <w:tc>
          <w:tcPr>
            <w:tcW w:w="404" w:type="pct"/>
            <w:tcBorders>
              <w:top w:val="nil"/>
              <w:left w:val="nil"/>
              <w:bottom w:val="single" w:sz="4" w:space="0" w:color="auto"/>
              <w:right w:val="single" w:sz="4" w:space="0" w:color="auto"/>
            </w:tcBorders>
            <w:vAlign w:val="center"/>
          </w:tcPr>
          <w:p w14:paraId="51EBDBA3"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470" w:type="pct"/>
            <w:tcBorders>
              <w:top w:val="nil"/>
              <w:left w:val="nil"/>
              <w:bottom w:val="single" w:sz="4" w:space="0" w:color="auto"/>
              <w:right w:val="single" w:sz="4" w:space="0" w:color="auto"/>
            </w:tcBorders>
            <w:vAlign w:val="center"/>
          </w:tcPr>
          <w:p w14:paraId="6055EE8E"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16" w:type="pct"/>
            <w:tcBorders>
              <w:top w:val="nil"/>
              <w:left w:val="nil"/>
              <w:bottom w:val="single" w:sz="4" w:space="0" w:color="auto"/>
              <w:right w:val="single" w:sz="4" w:space="0" w:color="auto"/>
            </w:tcBorders>
            <w:vAlign w:val="center"/>
          </w:tcPr>
          <w:p w14:paraId="5BAD9E78"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4" w:type="pct"/>
            <w:vMerge/>
            <w:tcBorders>
              <w:left w:val="single" w:sz="4" w:space="0" w:color="auto"/>
              <w:right w:val="single" w:sz="4" w:space="0" w:color="auto"/>
            </w:tcBorders>
            <w:vAlign w:val="center"/>
          </w:tcPr>
          <w:p w14:paraId="2EA5361D" w14:textId="77777777" w:rsidR="0051343C" w:rsidRDefault="0051343C" w:rsidP="0051343C">
            <w:pPr>
              <w:widowControl/>
              <w:spacing w:line="360" w:lineRule="auto"/>
              <w:jc w:val="left"/>
              <w:rPr>
                <w:rFonts w:ascii="宋体" w:hAnsi="宋体" w:cs="宋体"/>
                <w:color w:val="000000"/>
                <w:kern w:val="0"/>
                <w:sz w:val="20"/>
                <w:szCs w:val="20"/>
              </w:rPr>
            </w:pPr>
          </w:p>
        </w:tc>
        <w:tc>
          <w:tcPr>
            <w:tcW w:w="301" w:type="pct"/>
            <w:tcBorders>
              <w:top w:val="nil"/>
              <w:left w:val="nil"/>
              <w:bottom w:val="single" w:sz="4" w:space="0" w:color="auto"/>
              <w:right w:val="nil"/>
            </w:tcBorders>
            <w:noWrap/>
            <w:vAlign w:val="center"/>
          </w:tcPr>
          <w:p w14:paraId="1319CC2E"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15" w:type="pct"/>
            <w:vMerge/>
            <w:tcBorders>
              <w:top w:val="nil"/>
              <w:left w:val="single" w:sz="4" w:space="0" w:color="auto"/>
              <w:bottom w:val="single" w:sz="4" w:space="0" w:color="auto"/>
              <w:right w:val="single" w:sz="4" w:space="0" w:color="auto"/>
            </w:tcBorders>
            <w:vAlign w:val="center"/>
          </w:tcPr>
          <w:p w14:paraId="5FBACBCA" w14:textId="77777777" w:rsidR="0051343C" w:rsidRDefault="0051343C" w:rsidP="0051343C">
            <w:pPr>
              <w:widowControl/>
              <w:spacing w:line="360" w:lineRule="auto"/>
              <w:jc w:val="left"/>
              <w:rPr>
                <w:rFonts w:ascii="宋体" w:hAnsi="宋体" w:cs="宋体"/>
                <w:color w:val="000000"/>
                <w:kern w:val="0"/>
                <w:sz w:val="18"/>
                <w:szCs w:val="18"/>
              </w:rPr>
            </w:pPr>
          </w:p>
        </w:tc>
        <w:tc>
          <w:tcPr>
            <w:tcW w:w="1247" w:type="pct"/>
            <w:vMerge/>
            <w:tcBorders>
              <w:top w:val="nil"/>
              <w:left w:val="single" w:sz="4" w:space="0" w:color="auto"/>
              <w:bottom w:val="single" w:sz="4" w:space="0" w:color="auto"/>
              <w:right w:val="single" w:sz="4" w:space="0" w:color="auto"/>
            </w:tcBorders>
            <w:vAlign w:val="center"/>
          </w:tcPr>
          <w:p w14:paraId="1C28DE60" w14:textId="77777777" w:rsidR="0051343C" w:rsidRDefault="0051343C" w:rsidP="0051343C">
            <w:pPr>
              <w:widowControl/>
              <w:spacing w:line="360" w:lineRule="auto"/>
              <w:jc w:val="left"/>
              <w:rPr>
                <w:rFonts w:ascii="宋体" w:hAnsi="宋体" w:cs="宋体"/>
                <w:color w:val="000000"/>
                <w:kern w:val="0"/>
                <w:sz w:val="18"/>
                <w:szCs w:val="18"/>
              </w:rPr>
            </w:pPr>
          </w:p>
        </w:tc>
      </w:tr>
      <w:tr w:rsidR="0051343C" w14:paraId="05F91F60" w14:textId="77777777" w:rsidTr="0051343C">
        <w:trPr>
          <w:cantSplit/>
          <w:trHeight w:val="975"/>
        </w:trPr>
        <w:tc>
          <w:tcPr>
            <w:tcW w:w="152" w:type="pct"/>
            <w:vMerge/>
            <w:tcBorders>
              <w:top w:val="nil"/>
              <w:left w:val="single" w:sz="4" w:space="0" w:color="auto"/>
              <w:bottom w:val="single" w:sz="4" w:space="0" w:color="000000"/>
              <w:right w:val="single" w:sz="4" w:space="0" w:color="auto"/>
            </w:tcBorders>
            <w:vAlign w:val="center"/>
          </w:tcPr>
          <w:p w14:paraId="640EF068"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vMerge/>
            <w:tcBorders>
              <w:left w:val="single" w:sz="4" w:space="0" w:color="auto"/>
              <w:bottom w:val="single" w:sz="4" w:space="0" w:color="auto"/>
              <w:right w:val="single" w:sz="4" w:space="0" w:color="auto"/>
            </w:tcBorders>
            <w:vAlign w:val="center"/>
          </w:tcPr>
          <w:p w14:paraId="2C29BB1F" w14:textId="77777777" w:rsidR="0051343C" w:rsidRDefault="0051343C" w:rsidP="0051343C">
            <w:pPr>
              <w:widowControl/>
              <w:spacing w:line="360" w:lineRule="auto"/>
              <w:jc w:val="left"/>
              <w:rPr>
                <w:rFonts w:ascii="宋体" w:hAnsi="宋体" w:cs="宋体"/>
                <w:color w:val="000000"/>
                <w:kern w:val="0"/>
                <w:sz w:val="20"/>
                <w:szCs w:val="20"/>
              </w:rPr>
            </w:pPr>
          </w:p>
        </w:tc>
        <w:tc>
          <w:tcPr>
            <w:tcW w:w="404" w:type="pct"/>
            <w:tcBorders>
              <w:top w:val="nil"/>
              <w:left w:val="nil"/>
              <w:bottom w:val="single" w:sz="4" w:space="0" w:color="auto"/>
              <w:right w:val="single" w:sz="4" w:space="0" w:color="auto"/>
            </w:tcBorders>
            <w:vAlign w:val="center"/>
          </w:tcPr>
          <w:p w14:paraId="57FC58F8" w14:textId="77777777" w:rsidR="0051343C" w:rsidRDefault="0051343C" w:rsidP="0051343C">
            <w:pPr>
              <w:widowControl/>
              <w:spacing w:line="360" w:lineRule="auto"/>
              <w:rPr>
                <w:rFonts w:ascii="宋体" w:hAnsi="宋体" w:cs="宋体"/>
                <w:color w:val="000000"/>
                <w:kern w:val="0"/>
                <w:sz w:val="20"/>
                <w:szCs w:val="20"/>
              </w:rPr>
            </w:pPr>
            <w:r>
              <w:rPr>
                <w:rFonts w:ascii="宋体" w:hAnsi="宋体" w:cs="宋体" w:hint="eastAsia"/>
                <w:color w:val="000000"/>
                <w:kern w:val="0"/>
                <w:sz w:val="20"/>
                <w:szCs w:val="20"/>
              </w:rPr>
              <w:t>指标…</w:t>
            </w:r>
          </w:p>
        </w:tc>
        <w:tc>
          <w:tcPr>
            <w:tcW w:w="470" w:type="pct"/>
            <w:tcBorders>
              <w:top w:val="nil"/>
              <w:left w:val="nil"/>
              <w:bottom w:val="single" w:sz="4" w:space="0" w:color="auto"/>
              <w:right w:val="single" w:sz="4" w:space="0" w:color="auto"/>
            </w:tcBorders>
            <w:vAlign w:val="center"/>
          </w:tcPr>
          <w:p w14:paraId="06EE1197"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16" w:type="pct"/>
            <w:tcBorders>
              <w:top w:val="nil"/>
              <w:left w:val="nil"/>
              <w:bottom w:val="single" w:sz="4" w:space="0" w:color="auto"/>
              <w:right w:val="single" w:sz="4" w:space="0" w:color="auto"/>
            </w:tcBorders>
            <w:vAlign w:val="center"/>
          </w:tcPr>
          <w:p w14:paraId="76258C1E"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4" w:type="pct"/>
            <w:vMerge/>
            <w:tcBorders>
              <w:left w:val="single" w:sz="4" w:space="0" w:color="auto"/>
              <w:bottom w:val="single" w:sz="4" w:space="0" w:color="auto"/>
              <w:right w:val="single" w:sz="4" w:space="0" w:color="auto"/>
            </w:tcBorders>
            <w:vAlign w:val="center"/>
          </w:tcPr>
          <w:p w14:paraId="197D58EE" w14:textId="77777777" w:rsidR="0051343C" w:rsidRDefault="0051343C" w:rsidP="0051343C">
            <w:pPr>
              <w:widowControl/>
              <w:spacing w:line="360" w:lineRule="auto"/>
              <w:jc w:val="left"/>
              <w:rPr>
                <w:rFonts w:ascii="宋体" w:hAnsi="宋体" w:cs="宋体"/>
                <w:color w:val="000000"/>
                <w:kern w:val="0"/>
                <w:sz w:val="20"/>
                <w:szCs w:val="20"/>
              </w:rPr>
            </w:pPr>
          </w:p>
        </w:tc>
        <w:tc>
          <w:tcPr>
            <w:tcW w:w="301" w:type="pct"/>
            <w:tcBorders>
              <w:top w:val="nil"/>
              <w:left w:val="nil"/>
              <w:bottom w:val="single" w:sz="4" w:space="0" w:color="auto"/>
              <w:right w:val="nil"/>
            </w:tcBorders>
            <w:noWrap/>
            <w:vAlign w:val="center"/>
          </w:tcPr>
          <w:p w14:paraId="78C96A04"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15" w:type="pct"/>
            <w:vMerge/>
            <w:tcBorders>
              <w:top w:val="nil"/>
              <w:left w:val="single" w:sz="4" w:space="0" w:color="auto"/>
              <w:bottom w:val="single" w:sz="4" w:space="0" w:color="auto"/>
              <w:right w:val="single" w:sz="4" w:space="0" w:color="auto"/>
            </w:tcBorders>
            <w:vAlign w:val="center"/>
          </w:tcPr>
          <w:p w14:paraId="61F50733" w14:textId="77777777" w:rsidR="0051343C" w:rsidRDefault="0051343C" w:rsidP="0051343C">
            <w:pPr>
              <w:widowControl/>
              <w:spacing w:line="360" w:lineRule="auto"/>
              <w:jc w:val="left"/>
              <w:rPr>
                <w:rFonts w:ascii="宋体" w:hAnsi="宋体" w:cs="宋体"/>
                <w:color w:val="000000"/>
                <w:kern w:val="0"/>
                <w:sz w:val="18"/>
                <w:szCs w:val="18"/>
              </w:rPr>
            </w:pPr>
          </w:p>
        </w:tc>
        <w:tc>
          <w:tcPr>
            <w:tcW w:w="1247" w:type="pct"/>
            <w:vMerge/>
            <w:tcBorders>
              <w:top w:val="nil"/>
              <w:left w:val="single" w:sz="4" w:space="0" w:color="auto"/>
              <w:bottom w:val="single" w:sz="4" w:space="0" w:color="auto"/>
              <w:right w:val="single" w:sz="4" w:space="0" w:color="auto"/>
            </w:tcBorders>
            <w:vAlign w:val="center"/>
          </w:tcPr>
          <w:p w14:paraId="1022112A" w14:textId="77777777" w:rsidR="0051343C" w:rsidRDefault="0051343C" w:rsidP="0051343C">
            <w:pPr>
              <w:widowControl/>
              <w:spacing w:line="360" w:lineRule="auto"/>
              <w:jc w:val="left"/>
              <w:rPr>
                <w:rFonts w:ascii="宋体" w:hAnsi="宋体" w:cs="宋体"/>
                <w:color w:val="000000"/>
                <w:kern w:val="0"/>
                <w:sz w:val="18"/>
                <w:szCs w:val="18"/>
              </w:rPr>
            </w:pPr>
          </w:p>
        </w:tc>
      </w:tr>
      <w:tr w:rsidR="0051343C" w14:paraId="7282284C" w14:textId="77777777" w:rsidTr="0051343C">
        <w:trPr>
          <w:cantSplit/>
          <w:trHeight w:val="675"/>
        </w:trPr>
        <w:tc>
          <w:tcPr>
            <w:tcW w:w="152" w:type="pct"/>
            <w:vMerge/>
            <w:tcBorders>
              <w:top w:val="nil"/>
              <w:left w:val="single" w:sz="4" w:space="0" w:color="auto"/>
              <w:bottom w:val="single" w:sz="4" w:space="0" w:color="000000"/>
              <w:right w:val="single" w:sz="4" w:space="0" w:color="auto"/>
            </w:tcBorders>
            <w:vAlign w:val="center"/>
          </w:tcPr>
          <w:p w14:paraId="4135524F"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vMerge w:val="restart"/>
            <w:tcBorders>
              <w:top w:val="nil"/>
              <w:left w:val="single" w:sz="4" w:space="0" w:color="auto"/>
              <w:bottom w:val="single" w:sz="4" w:space="0" w:color="auto"/>
              <w:right w:val="single" w:sz="4" w:space="0" w:color="auto"/>
            </w:tcBorders>
            <w:vAlign w:val="center"/>
          </w:tcPr>
          <w:p w14:paraId="35A36F86"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404" w:type="pct"/>
            <w:tcBorders>
              <w:top w:val="nil"/>
              <w:left w:val="nil"/>
              <w:bottom w:val="single" w:sz="4" w:space="0" w:color="auto"/>
              <w:right w:val="single" w:sz="4" w:space="0" w:color="auto"/>
            </w:tcBorders>
            <w:vAlign w:val="center"/>
          </w:tcPr>
          <w:p w14:paraId="59FA44D0"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470" w:type="pct"/>
            <w:tcBorders>
              <w:top w:val="nil"/>
              <w:left w:val="nil"/>
              <w:bottom w:val="single" w:sz="4" w:space="0" w:color="auto"/>
              <w:right w:val="single" w:sz="4" w:space="0" w:color="auto"/>
            </w:tcBorders>
            <w:vAlign w:val="center"/>
          </w:tcPr>
          <w:p w14:paraId="712ED74C"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16" w:type="pct"/>
            <w:tcBorders>
              <w:top w:val="nil"/>
              <w:left w:val="nil"/>
              <w:bottom w:val="single" w:sz="4" w:space="0" w:color="auto"/>
              <w:right w:val="single" w:sz="4" w:space="0" w:color="auto"/>
            </w:tcBorders>
            <w:vAlign w:val="center"/>
          </w:tcPr>
          <w:p w14:paraId="2D06627E"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4" w:type="pct"/>
            <w:vMerge w:val="restart"/>
            <w:tcBorders>
              <w:top w:val="nil"/>
              <w:left w:val="single" w:sz="4" w:space="0" w:color="auto"/>
              <w:bottom w:val="single" w:sz="4" w:space="0" w:color="auto"/>
              <w:right w:val="single" w:sz="4" w:space="0" w:color="auto"/>
            </w:tcBorders>
            <w:noWrap/>
            <w:vAlign w:val="center"/>
          </w:tcPr>
          <w:p w14:paraId="68FD3431"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301" w:type="pct"/>
            <w:tcBorders>
              <w:top w:val="nil"/>
              <w:left w:val="nil"/>
              <w:bottom w:val="single" w:sz="4" w:space="0" w:color="auto"/>
              <w:right w:val="nil"/>
            </w:tcBorders>
            <w:noWrap/>
            <w:vAlign w:val="center"/>
          </w:tcPr>
          <w:p w14:paraId="54C83363"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15" w:type="pct"/>
            <w:vMerge w:val="restart"/>
            <w:tcBorders>
              <w:top w:val="nil"/>
              <w:left w:val="single" w:sz="4" w:space="0" w:color="auto"/>
              <w:bottom w:val="single" w:sz="4" w:space="0" w:color="auto"/>
              <w:right w:val="single" w:sz="4" w:space="0" w:color="auto"/>
            </w:tcBorders>
            <w:vAlign w:val="center"/>
          </w:tcPr>
          <w:p w14:paraId="1F6832E9"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247" w:type="pct"/>
            <w:vMerge w:val="restart"/>
            <w:tcBorders>
              <w:top w:val="nil"/>
              <w:left w:val="single" w:sz="4" w:space="0" w:color="auto"/>
              <w:bottom w:val="single" w:sz="4" w:space="0" w:color="auto"/>
              <w:right w:val="single" w:sz="4" w:space="0" w:color="auto"/>
            </w:tcBorders>
            <w:vAlign w:val="center"/>
          </w:tcPr>
          <w:p w14:paraId="7B75D53B"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51343C" w14:paraId="59E4A825" w14:textId="77777777" w:rsidTr="0051343C">
        <w:trPr>
          <w:cantSplit/>
          <w:trHeight w:val="630"/>
        </w:trPr>
        <w:tc>
          <w:tcPr>
            <w:tcW w:w="152" w:type="pct"/>
            <w:vMerge/>
            <w:tcBorders>
              <w:top w:val="nil"/>
              <w:left w:val="single" w:sz="4" w:space="0" w:color="auto"/>
              <w:bottom w:val="single" w:sz="4" w:space="0" w:color="000000"/>
              <w:right w:val="single" w:sz="4" w:space="0" w:color="auto"/>
            </w:tcBorders>
            <w:vAlign w:val="center"/>
          </w:tcPr>
          <w:p w14:paraId="0650F329"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tcPr>
          <w:p w14:paraId="6A8D0FA2" w14:textId="77777777" w:rsidR="0051343C" w:rsidRDefault="0051343C" w:rsidP="0051343C">
            <w:pPr>
              <w:widowControl/>
              <w:spacing w:line="360" w:lineRule="auto"/>
              <w:jc w:val="left"/>
              <w:rPr>
                <w:rFonts w:ascii="宋体" w:hAnsi="宋体" w:cs="宋体"/>
                <w:color w:val="000000"/>
                <w:kern w:val="0"/>
                <w:sz w:val="20"/>
                <w:szCs w:val="20"/>
              </w:rPr>
            </w:pPr>
          </w:p>
        </w:tc>
        <w:tc>
          <w:tcPr>
            <w:tcW w:w="404" w:type="pct"/>
            <w:tcBorders>
              <w:top w:val="nil"/>
              <w:left w:val="nil"/>
              <w:bottom w:val="single" w:sz="4" w:space="0" w:color="auto"/>
              <w:right w:val="single" w:sz="4" w:space="0" w:color="auto"/>
            </w:tcBorders>
            <w:vAlign w:val="center"/>
          </w:tcPr>
          <w:p w14:paraId="409DAC58"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470" w:type="pct"/>
            <w:tcBorders>
              <w:top w:val="nil"/>
              <w:left w:val="nil"/>
              <w:bottom w:val="single" w:sz="4" w:space="0" w:color="auto"/>
              <w:right w:val="single" w:sz="4" w:space="0" w:color="auto"/>
            </w:tcBorders>
            <w:vAlign w:val="center"/>
          </w:tcPr>
          <w:p w14:paraId="7BE9746C"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16" w:type="pct"/>
            <w:tcBorders>
              <w:top w:val="nil"/>
              <w:left w:val="nil"/>
              <w:bottom w:val="single" w:sz="4" w:space="0" w:color="auto"/>
              <w:right w:val="single" w:sz="4" w:space="0" w:color="auto"/>
            </w:tcBorders>
            <w:vAlign w:val="center"/>
          </w:tcPr>
          <w:p w14:paraId="462445E0"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4" w:type="pct"/>
            <w:vMerge/>
            <w:tcBorders>
              <w:top w:val="nil"/>
              <w:left w:val="single" w:sz="4" w:space="0" w:color="auto"/>
              <w:bottom w:val="single" w:sz="4" w:space="0" w:color="auto"/>
              <w:right w:val="single" w:sz="4" w:space="0" w:color="auto"/>
            </w:tcBorders>
            <w:vAlign w:val="center"/>
          </w:tcPr>
          <w:p w14:paraId="789978EA" w14:textId="77777777" w:rsidR="0051343C" w:rsidRDefault="0051343C" w:rsidP="0051343C">
            <w:pPr>
              <w:widowControl/>
              <w:spacing w:line="360" w:lineRule="auto"/>
              <w:jc w:val="left"/>
              <w:rPr>
                <w:rFonts w:ascii="宋体" w:hAnsi="宋体" w:cs="宋体"/>
                <w:color w:val="000000"/>
                <w:kern w:val="0"/>
                <w:sz w:val="20"/>
                <w:szCs w:val="20"/>
              </w:rPr>
            </w:pPr>
          </w:p>
        </w:tc>
        <w:tc>
          <w:tcPr>
            <w:tcW w:w="301" w:type="pct"/>
            <w:tcBorders>
              <w:top w:val="nil"/>
              <w:left w:val="nil"/>
              <w:bottom w:val="single" w:sz="4" w:space="0" w:color="auto"/>
              <w:right w:val="nil"/>
            </w:tcBorders>
            <w:noWrap/>
            <w:vAlign w:val="center"/>
          </w:tcPr>
          <w:p w14:paraId="32C0A158"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15" w:type="pct"/>
            <w:vMerge/>
            <w:tcBorders>
              <w:top w:val="nil"/>
              <w:left w:val="single" w:sz="4" w:space="0" w:color="auto"/>
              <w:bottom w:val="single" w:sz="4" w:space="0" w:color="auto"/>
              <w:right w:val="single" w:sz="4" w:space="0" w:color="auto"/>
            </w:tcBorders>
            <w:vAlign w:val="center"/>
          </w:tcPr>
          <w:p w14:paraId="22FA7C05" w14:textId="77777777" w:rsidR="0051343C" w:rsidRDefault="0051343C" w:rsidP="0051343C">
            <w:pPr>
              <w:widowControl/>
              <w:spacing w:line="360" w:lineRule="auto"/>
              <w:jc w:val="left"/>
              <w:rPr>
                <w:rFonts w:ascii="宋体" w:hAnsi="宋体" w:cs="宋体"/>
                <w:color w:val="000000"/>
                <w:kern w:val="0"/>
                <w:sz w:val="18"/>
                <w:szCs w:val="18"/>
              </w:rPr>
            </w:pPr>
          </w:p>
        </w:tc>
        <w:tc>
          <w:tcPr>
            <w:tcW w:w="1247" w:type="pct"/>
            <w:vMerge/>
            <w:tcBorders>
              <w:top w:val="nil"/>
              <w:left w:val="single" w:sz="4" w:space="0" w:color="auto"/>
              <w:bottom w:val="single" w:sz="4" w:space="0" w:color="auto"/>
              <w:right w:val="single" w:sz="4" w:space="0" w:color="auto"/>
            </w:tcBorders>
            <w:vAlign w:val="center"/>
          </w:tcPr>
          <w:p w14:paraId="7E74977E" w14:textId="77777777" w:rsidR="0051343C" w:rsidRDefault="0051343C" w:rsidP="0051343C">
            <w:pPr>
              <w:widowControl/>
              <w:spacing w:line="360" w:lineRule="auto"/>
              <w:jc w:val="left"/>
              <w:rPr>
                <w:rFonts w:ascii="宋体" w:hAnsi="宋体" w:cs="宋体"/>
                <w:color w:val="000000"/>
                <w:kern w:val="0"/>
                <w:sz w:val="18"/>
                <w:szCs w:val="18"/>
              </w:rPr>
            </w:pPr>
          </w:p>
        </w:tc>
      </w:tr>
      <w:tr w:rsidR="0051343C" w14:paraId="575F4024" w14:textId="77777777" w:rsidTr="0051343C">
        <w:trPr>
          <w:cantSplit/>
          <w:trHeight w:val="690"/>
        </w:trPr>
        <w:tc>
          <w:tcPr>
            <w:tcW w:w="152" w:type="pct"/>
            <w:vMerge/>
            <w:tcBorders>
              <w:top w:val="nil"/>
              <w:left w:val="single" w:sz="4" w:space="0" w:color="auto"/>
              <w:bottom w:val="single" w:sz="4" w:space="0" w:color="000000"/>
              <w:right w:val="single" w:sz="4" w:space="0" w:color="auto"/>
            </w:tcBorders>
            <w:vAlign w:val="center"/>
          </w:tcPr>
          <w:p w14:paraId="34137885"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tcPr>
          <w:p w14:paraId="6A03616D" w14:textId="77777777" w:rsidR="0051343C" w:rsidRDefault="0051343C" w:rsidP="0051343C">
            <w:pPr>
              <w:widowControl/>
              <w:spacing w:line="360" w:lineRule="auto"/>
              <w:jc w:val="left"/>
              <w:rPr>
                <w:rFonts w:ascii="宋体" w:hAnsi="宋体" w:cs="宋体"/>
                <w:color w:val="000000"/>
                <w:kern w:val="0"/>
                <w:sz w:val="20"/>
                <w:szCs w:val="20"/>
              </w:rPr>
            </w:pPr>
          </w:p>
        </w:tc>
        <w:tc>
          <w:tcPr>
            <w:tcW w:w="404" w:type="pct"/>
            <w:tcBorders>
              <w:top w:val="nil"/>
              <w:left w:val="nil"/>
              <w:bottom w:val="single" w:sz="4" w:space="0" w:color="auto"/>
              <w:right w:val="single" w:sz="4" w:space="0" w:color="auto"/>
            </w:tcBorders>
            <w:vAlign w:val="center"/>
          </w:tcPr>
          <w:p w14:paraId="1EBD8E02"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470" w:type="pct"/>
            <w:tcBorders>
              <w:top w:val="nil"/>
              <w:left w:val="nil"/>
              <w:bottom w:val="single" w:sz="4" w:space="0" w:color="auto"/>
              <w:right w:val="single" w:sz="4" w:space="0" w:color="auto"/>
            </w:tcBorders>
            <w:vAlign w:val="center"/>
          </w:tcPr>
          <w:p w14:paraId="68FD9C6B"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16" w:type="pct"/>
            <w:tcBorders>
              <w:top w:val="nil"/>
              <w:left w:val="nil"/>
              <w:bottom w:val="single" w:sz="4" w:space="0" w:color="auto"/>
              <w:right w:val="single" w:sz="4" w:space="0" w:color="auto"/>
            </w:tcBorders>
            <w:vAlign w:val="center"/>
          </w:tcPr>
          <w:p w14:paraId="6466AFD4"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4" w:type="pct"/>
            <w:vMerge/>
            <w:tcBorders>
              <w:top w:val="nil"/>
              <w:left w:val="single" w:sz="4" w:space="0" w:color="auto"/>
              <w:bottom w:val="single" w:sz="4" w:space="0" w:color="auto"/>
              <w:right w:val="single" w:sz="4" w:space="0" w:color="auto"/>
            </w:tcBorders>
            <w:vAlign w:val="center"/>
          </w:tcPr>
          <w:p w14:paraId="527434A0" w14:textId="77777777" w:rsidR="0051343C" w:rsidRDefault="0051343C" w:rsidP="0051343C">
            <w:pPr>
              <w:widowControl/>
              <w:spacing w:line="360" w:lineRule="auto"/>
              <w:jc w:val="left"/>
              <w:rPr>
                <w:rFonts w:ascii="宋体" w:hAnsi="宋体" w:cs="宋体"/>
                <w:color w:val="000000"/>
                <w:kern w:val="0"/>
                <w:sz w:val="20"/>
                <w:szCs w:val="20"/>
              </w:rPr>
            </w:pPr>
          </w:p>
        </w:tc>
        <w:tc>
          <w:tcPr>
            <w:tcW w:w="301" w:type="pct"/>
            <w:tcBorders>
              <w:top w:val="nil"/>
              <w:left w:val="nil"/>
              <w:bottom w:val="single" w:sz="4" w:space="0" w:color="auto"/>
              <w:right w:val="nil"/>
            </w:tcBorders>
            <w:noWrap/>
            <w:vAlign w:val="center"/>
          </w:tcPr>
          <w:p w14:paraId="4F13CB72"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15" w:type="pct"/>
            <w:vMerge/>
            <w:tcBorders>
              <w:top w:val="nil"/>
              <w:left w:val="single" w:sz="4" w:space="0" w:color="auto"/>
              <w:bottom w:val="single" w:sz="4" w:space="0" w:color="auto"/>
              <w:right w:val="single" w:sz="4" w:space="0" w:color="auto"/>
            </w:tcBorders>
            <w:vAlign w:val="center"/>
          </w:tcPr>
          <w:p w14:paraId="4570AEC7" w14:textId="77777777" w:rsidR="0051343C" w:rsidRDefault="0051343C" w:rsidP="0051343C">
            <w:pPr>
              <w:widowControl/>
              <w:spacing w:line="360" w:lineRule="auto"/>
              <w:jc w:val="left"/>
              <w:rPr>
                <w:rFonts w:ascii="宋体" w:hAnsi="宋体" w:cs="宋体"/>
                <w:color w:val="000000"/>
                <w:kern w:val="0"/>
                <w:sz w:val="18"/>
                <w:szCs w:val="18"/>
              </w:rPr>
            </w:pPr>
          </w:p>
        </w:tc>
        <w:tc>
          <w:tcPr>
            <w:tcW w:w="1247" w:type="pct"/>
            <w:vMerge/>
            <w:tcBorders>
              <w:top w:val="nil"/>
              <w:left w:val="single" w:sz="4" w:space="0" w:color="auto"/>
              <w:bottom w:val="single" w:sz="4" w:space="0" w:color="auto"/>
              <w:right w:val="single" w:sz="4" w:space="0" w:color="auto"/>
            </w:tcBorders>
            <w:vAlign w:val="center"/>
          </w:tcPr>
          <w:p w14:paraId="0EEDE462" w14:textId="77777777" w:rsidR="0051343C" w:rsidRDefault="0051343C" w:rsidP="0051343C">
            <w:pPr>
              <w:widowControl/>
              <w:spacing w:line="360" w:lineRule="auto"/>
              <w:jc w:val="left"/>
              <w:rPr>
                <w:rFonts w:ascii="宋体" w:hAnsi="宋体" w:cs="宋体"/>
                <w:color w:val="000000"/>
                <w:kern w:val="0"/>
                <w:sz w:val="18"/>
                <w:szCs w:val="18"/>
              </w:rPr>
            </w:pPr>
          </w:p>
        </w:tc>
      </w:tr>
      <w:tr w:rsidR="0051343C" w14:paraId="313D49A1" w14:textId="77777777" w:rsidTr="0051343C">
        <w:trPr>
          <w:cantSplit/>
          <w:trHeight w:val="675"/>
        </w:trPr>
        <w:tc>
          <w:tcPr>
            <w:tcW w:w="152" w:type="pct"/>
            <w:vMerge/>
            <w:tcBorders>
              <w:top w:val="nil"/>
              <w:left w:val="single" w:sz="4" w:space="0" w:color="auto"/>
              <w:bottom w:val="single" w:sz="4" w:space="0" w:color="auto"/>
              <w:right w:val="single" w:sz="4" w:space="0" w:color="auto"/>
            </w:tcBorders>
            <w:vAlign w:val="center"/>
          </w:tcPr>
          <w:p w14:paraId="7C2C9C49"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tcPr>
          <w:p w14:paraId="56749C59" w14:textId="77777777" w:rsidR="0051343C" w:rsidRDefault="0051343C" w:rsidP="0051343C">
            <w:pPr>
              <w:widowControl/>
              <w:spacing w:line="360" w:lineRule="auto"/>
              <w:jc w:val="left"/>
              <w:rPr>
                <w:rFonts w:ascii="宋体" w:hAnsi="宋体" w:cs="宋体"/>
                <w:color w:val="000000"/>
                <w:kern w:val="0"/>
                <w:sz w:val="20"/>
                <w:szCs w:val="20"/>
              </w:rPr>
            </w:pPr>
          </w:p>
        </w:tc>
        <w:tc>
          <w:tcPr>
            <w:tcW w:w="404" w:type="pct"/>
            <w:tcBorders>
              <w:top w:val="nil"/>
              <w:left w:val="nil"/>
              <w:bottom w:val="single" w:sz="4" w:space="0" w:color="auto"/>
              <w:right w:val="single" w:sz="4" w:space="0" w:color="auto"/>
            </w:tcBorders>
            <w:vAlign w:val="center"/>
          </w:tcPr>
          <w:p w14:paraId="529ED7AD" w14:textId="77777777" w:rsidR="0051343C" w:rsidRDefault="0051343C" w:rsidP="0051343C">
            <w:pPr>
              <w:widowControl/>
              <w:spacing w:line="360" w:lineRule="auto"/>
              <w:rPr>
                <w:rFonts w:ascii="宋体" w:hAnsi="宋体" w:cs="宋体"/>
                <w:color w:val="000000"/>
                <w:kern w:val="0"/>
                <w:sz w:val="20"/>
                <w:szCs w:val="20"/>
              </w:rPr>
            </w:pPr>
            <w:r>
              <w:rPr>
                <w:rFonts w:ascii="宋体" w:hAnsi="宋体" w:cs="宋体" w:hint="eastAsia"/>
                <w:color w:val="000000"/>
                <w:kern w:val="0"/>
                <w:sz w:val="20"/>
                <w:szCs w:val="20"/>
              </w:rPr>
              <w:t>指标…</w:t>
            </w:r>
          </w:p>
        </w:tc>
        <w:tc>
          <w:tcPr>
            <w:tcW w:w="470" w:type="pct"/>
            <w:tcBorders>
              <w:top w:val="nil"/>
              <w:left w:val="nil"/>
              <w:bottom w:val="single" w:sz="4" w:space="0" w:color="auto"/>
              <w:right w:val="single" w:sz="4" w:space="0" w:color="auto"/>
            </w:tcBorders>
            <w:vAlign w:val="center"/>
          </w:tcPr>
          <w:p w14:paraId="32C4DD6B"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16" w:type="pct"/>
            <w:tcBorders>
              <w:top w:val="nil"/>
              <w:left w:val="nil"/>
              <w:bottom w:val="single" w:sz="4" w:space="0" w:color="auto"/>
              <w:right w:val="single" w:sz="4" w:space="0" w:color="auto"/>
            </w:tcBorders>
            <w:vAlign w:val="center"/>
          </w:tcPr>
          <w:p w14:paraId="456F15FB"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4" w:type="pct"/>
            <w:vMerge/>
            <w:tcBorders>
              <w:top w:val="nil"/>
              <w:left w:val="single" w:sz="4" w:space="0" w:color="auto"/>
              <w:bottom w:val="single" w:sz="4" w:space="0" w:color="auto"/>
              <w:right w:val="single" w:sz="4" w:space="0" w:color="auto"/>
            </w:tcBorders>
            <w:vAlign w:val="center"/>
          </w:tcPr>
          <w:p w14:paraId="51AB1C4B" w14:textId="77777777" w:rsidR="0051343C" w:rsidRDefault="0051343C" w:rsidP="0051343C">
            <w:pPr>
              <w:widowControl/>
              <w:spacing w:line="360" w:lineRule="auto"/>
              <w:jc w:val="left"/>
              <w:rPr>
                <w:rFonts w:ascii="宋体" w:hAnsi="宋体" w:cs="宋体"/>
                <w:color w:val="000000"/>
                <w:kern w:val="0"/>
                <w:sz w:val="20"/>
                <w:szCs w:val="20"/>
              </w:rPr>
            </w:pPr>
          </w:p>
        </w:tc>
        <w:tc>
          <w:tcPr>
            <w:tcW w:w="301" w:type="pct"/>
            <w:tcBorders>
              <w:top w:val="nil"/>
              <w:left w:val="nil"/>
              <w:bottom w:val="single" w:sz="4" w:space="0" w:color="auto"/>
              <w:right w:val="nil"/>
            </w:tcBorders>
            <w:noWrap/>
            <w:vAlign w:val="center"/>
          </w:tcPr>
          <w:p w14:paraId="2C69487B"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15" w:type="pct"/>
            <w:vMerge/>
            <w:tcBorders>
              <w:top w:val="nil"/>
              <w:left w:val="single" w:sz="4" w:space="0" w:color="auto"/>
              <w:bottom w:val="single" w:sz="4" w:space="0" w:color="auto"/>
              <w:right w:val="single" w:sz="4" w:space="0" w:color="auto"/>
            </w:tcBorders>
            <w:vAlign w:val="center"/>
          </w:tcPr>
          <w:p w14:paraId="5E0E6B5A" w14:textId="77777777" w:rsidR="0051343C" w:rsidRDefault="0051343C" w:rsidP="0051343C">
            <w:pPr>
              <w:widowControl/>
              <w:spacing w:line="360" w:lineRule="auto"/>
              <w:jc w:val="left"/>
              <w:rPr>
                <w:rFonts w:ascii="宋体" w:hAnsi="宋体" w:cs="宋体"/>
                <w:color w:val="000000"/>
                <w:kern w:val="0"/>
                <w:sz w:val="18"/>
                <w:szCs w:val="18"/>
              </w:rPr>
            </w:pPr>
          </w:p>
        </w:tc>
        <w:tc>
          <w:tcPr>
            <w:tcW w:w="1247" w:type="pct"/>
            <w:vMerge/>
            <w:tcBorders>
              <w:top w:val="nil"/>
              <w:left w:val="single" w:sz="4" w:space="0" w:color="auto"/>
              <w:bottom w:val="single" w:sz="4" w:space="0" w:color="auto"/>
              <w:right w:val="single" w:sz="4" w:space="0" w:color="auto"/>
            </w:tcBorders>
            <w:vAlign w:val="center"/>
          </w:tcPr>
          <w:p w14:paraId="6A393F46" w14:textId="77777777" w:rsidR="0051343C" w:rsidRDefault="0051343C" w:rsidP="0051343C">
            <w:pPr>
              <w:widowControl/>
              <w:spacing w:line="360" w:lineRule="auto"/>
              <w:jc w:val="left"/>
              <w:rPr>
                <w:rFonts w:ascii="宋体" w:hAnsi="宋体" w:cs="宋体"/>
                <w:color w:val="000000"/>
                <w:kern w:val="0"/>
                <w:sz w:val="18"/>
                <w:szCs w:val="18"/>
              </w:rPr>
            </w:pPr>
          </w:p>
        </w:tc>
      </w:tr>
      <w:tr w:rsidR="0051343C" w14:paraId="53CA09A2" w14:textId="77777777" w:rsidTr="00211CF6">
        <w:trPr>
          <w:cantSplit/>
          <w:trHeight w:val="487"/>
        </w:trPr>
        <w:tc>
          <w:tcPr>
            <w:tcW w:w="5000" w:type="pct"/>
            <w:gridSpan w:val="9"/>
            <w:tcBorders>
              <w:top w:val="single" w:sz="4" w:space="0" w:color="auto"/>
              <w:left w:val="single" w:sz="4" w:space="0" w:color="auto"/>
              <w:bottom w:val="single" w:sz="4" w:space="0" w:color="auto"/>
              <w:right w:val="single" w:sz="4" w:space="0" w:color="auto"/>
            </w:tcBorders>
            <w:vAlign w:val="center"/>
          </w:tcPr>
          <w:p w14:paraId="173E803B"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51343C" w14:paraId="71CC065F" w14:textId="77777777" w:rsidTr="0051343C">
        <w:trPr>
          <w:cantSplit/>
          <w:trHeight w:val="702"/>
        </w:trPr>
        <w:tc>
          <w:tcPr>
            <w:tcW w:w="152" w:type="pct"/>
            <w:tcBorders>
              <w:top w:val="single" w:sz="4" w:space="0" w:color="auto"/>
              <w:left w:val="single" w:sz="4" w:space="0" w:color="auto"/>
              <w:bottom w:val="single" w:sz="4" w:space="0" w:color="auto"/>
              <w:right w:val="single" w:sz="4" w:space="0" w:color="auto"/>
            </w:tcBorders>
            <w:vAlign w:val="center"/>
          </w:tcPr>
          <w:p w14:paraId="08E08085"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282" w:type="pct"/>
            <w:tcBorders>
              <w:top w:val="single" w:sz="4" w:space="0" w:color="auto"/>
              <w:left w:val="single" w:sz="4" w:space="0" w:color="auto"/>
              <w:bottom w:val="single" w:sz="4" w:space="0" w:color="auto"/>
              <w:right w:val="single" w:sz="4" w:space="0" w:color="auto"/>
            </w:tcBorders>
            <w:vAlign w:val="center"/>
          </w:tcPr>
          <w:p w14:paraId="27AF1AAD"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404" w:type="pct"/>
            <w:tcBorders>
              <w:top w:val="single" w:sz="4" w:space="0" w:color="auto"/>
              <w:left w:val="nil"/>
              <w:bottom w:val="single" w:sz="4" w:space="0" w:color="auto"/>
              <w:right w:val="single" w:sz="4" w:space="0" w:color="auto"/>
            </w:tcBorders>
            <w:vAlign w:val="center"/>
          </w:tcPr>
          <w:p w14:paraId="039F26B5"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470" w:type="pct"/>
            <w:tcBorders>
              <w:top w:val="single" w:sz="4" w:space="0" w:color="auto"/>
              <w:left w:val="nil"/>
              <w:bottom w:val="single" w:sz="4" w:space="0" w:color="auto"/>
              <w:right w:val="single" w:sz="4" w:space="0" w:color="auto"/>
            </w:tcBorders>
            <w:vAlign w:val="center"/>
          </w:tcPr>
          <w:p w14:paraId="0B9CA8A7"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916" w:type="pct"/>
            <w:tcBorders>
              <w:top w:val="single" w:sz="4" w:space="0" w:color="auto"/>
              <w:left w:val="nil"/>
              <w:bottom w:val="single" w:sz="4" w:space="0" w:color="auto"/>
              <w:right w:val="single" w:sz="4" w:space="0" w:color="auto"/>
            </w:tcBorders>
            <w:vAlign w:val="center"/>
          </w:tcPr>
          <w:p w14:paraId="13FEB94E"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14" w:type="pct"/>
            <w:tcBorders>
              <w:top w:val="single" w:sz="4" w:space="0" w:color="auto"/>
              <w:left w:val="nil"/>
              <w:bottom w:val="single" w:sz="4" w:space="0" w:color="auto"/>
              <w:right w:val="single" w:sz="4" w:space="0" w:color="auto"/>
            </w:tcBorders>
            <w:noWrap/>
            <w:vAlign w:val="center"/>
          </w:tcPr>
          <w:p w14:paraId="2E17A660"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301" w:type="pct"/>
            <w:tcBorders>
              <w:top w:val="single" w:sz="4" w:space="0" w:color="auto"/>
              <w:left w:val="nil"/>
              <w:bottom w:val="single" w:sz="4" w:space="0" w:color="auto"/>
              <w:right w:val="nil"/>
            </w:tcBorders>
            <w:noWrap/>
            <w:vAlign w:val="center"/>
          </w:tcPr>
          <w:p w14:paraId="5C567DD3"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015" w:type="pct"/>
            <w:tcBorders>
              <w:top w:val="single" w:sz="4" w:space="0" w:color="auto"/>
              <w:left w:val="single" w:sz="4" w:space="0" w:color="auto"/>
              <w:bottom w:val="single" w:sz="4" w:space="0" w:color="auto"/>
              <w:right w:val="single" w:sz="4" w:space="0" w:color="auto"/>
            </w:tcBorders>
            <w:vAlign w:val="center"/>
          </w:tcPr>
          <w:p w14:paraId="7D25F665" w14:textId="77777777" w:rsidR="0051343C" w:rsidRDefault="0051343C" w:rsidP="0051343C">
            <w:pPr>
              <w:widowControl/>
              <w:spacing w:line="360" w:lineRule="auto"/>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47" w:type="pct"/>
            <w:tcBorders>
              <w:top w:val="single" w:sz="4" w:space="0" w:color="auto"/>
              <w:left w:val="nil"/>
              <w:bottom w:val="single" w:sz="4" w:space="0" w:color="auto"/>
              <w:right w:val="single" w:sz="4" w:space="0" w:color="auto"/>
            </w:tcBorders>
            <w:vAlign w:val="center"/>
          </w:tcPr>
          <w:p w14:paraId="346A6C5D" w14:textId="77777777" w:rsidR="0051343C" w:rsidRDefault="0051343C" w:rsidP="0051343C">
            <w:pPr>
              <w:widowControl/>
              <w:spacing w:line="360" w:lineRule="auto"/>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51343C" w14:paraId="67D373FB" w14:textId="77777777" w:rsidTr="0051343C">
        <w:trPr>
          <w:cantSplit/>
          <w:trHeight w:val="1230"/>
        </w:trPr>
        <w:tc>
          <w:tcPr>
            <w:tcW w:w="152" w:type="pct"/>
            <w:vMerge w:val="restart"/>
            <w:tcBorders>
              <w:top w:val="single" w:sz="4" w:space="0" w:color="auto"/>
              <w:left w:val="single" w:sz="4" w:space="0" w:color="auto"/>
              <w:bottom w:val="single" w:sz="4" w:space="0" w:color="auto"/>
              <w:right w:val="single" w:sz="4" w:space="0" w:color="auto"/>
            </w:tcBorders>
            <w:vAlign w:val="center"/>
          </w:tcPr>
          <w:p w14:paraId="3B1D5B81"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预算管理情况（20）</w:t>
            </w:r>
          </w:p>
        </w:tc>
        <w:tc>
          <w:tcPr>
            <w:tcW w:w="282" w:type="pct"/>
            <w:vMerge w:val="restart"/>
            <w:tcBorders>
              <w:top w:val="single" w:sz="4" w:space="0" w:color="auto"/>
              <w:left w:val="single" w:sz="4" w:space="0" w:color="auto"/>
              <w:bottom w:val="single" w:sz="4" w:space="0" w:color="auto"/>
              <w:right w:val="single" w:sz="4" w:space="0" w:color="auto"/>
            </w:tcBorders>
            <w:vAlign w:val="center"/>
          </w:tcPr>
          <w:p w14:paraId="704C3A67"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404" w:type="pct"/>
            <w:tcBorders>
              <w:top w:val="single" w:sz="4" w:space="0" w:color="auto"/>
              <w:left w:val="nil"/>
              <w:bottom w:val="single" w:sz="4" w:space="0" w:color="auto"/>
              <w:right w:val="single" w:sz="4" w:space="0" w:color="auto"/>
            </w:tcBorders>
            <w:vAlign w:val="center"/>
          </w:tcPr>
          <w:p w14:paraId="376979C1"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470" w:type="pct"/>
            <w:tcBorders>
              <w:top w:val="single" w:sz="4" w:space="0" w:color="auto"/>
              <w:left w:val="nil"/>
              <w:bottom w:val="single" w:sz="4" w:space="0" w:color="auto"/>
              <w:right w:val="single" w:sz="4" w:space="0" w:color="auto"/>
            </w:tcBorders>
            <w:vAlign w:val="center"/>
          </w:tcPr>
          <w:p w14:paraId="6470B029"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18"/>
                <w:szCs w:val="18"/>
              </w:rPr>
              <w:t xml:space="preserve">　财务制度是否</w:t>
            </w:r>
            <w:proofErr w:type="gramStart"/>
            <w:r>
              <w:rPr>
                <w:rFonts w:ascii="宋体" w:hAnsi="宋体" w:cs="宋体" w:hint="eastAsia"/>
                <w:color w:val="000000"/>
                <w:kern w:val="0"/>
                <w:sz w:val="18"/>
                <w:szCs w:val="18"/>
              </w:rPr>
              <w:t>健全</w:t>
            </w:r>
            <w:r>
              <w:rPr>
                <w:rFonts w:ascii="宋体" w:hAnsi="宋体" w:cs="宋体" w:hint="eastAsia"/>
                <w:color w:val="000000"/>
                <w:kern w:val="0"/>
                <w:sz w:val="20"/>
                <w:szCs w:val="20"/>
              </w:rPr>
              <w:t xml:space="preserve">　</w:t>
            </w:r>
            <w:proofErr w:type="gramEnd"/>
          </w:p>
        </w:tc>
        <w:tc>
          <w:tcPr>
            <w:tcW w:w="916" w:type="pct"/>
            <w:tcBorders>
              <w:top w:val="single" w:sz="4" w:space="0" w:color="auto"/>
              <w:left w:val="nil"/>
              <w:bottom w:val="single" w:sz="4" w:space="0" w:color="auto"/>
              <w:right w:val="single" w:sz="4" w:space="0" w:color="auto"/>
            </w:tcBorders>
            <w:vAlign w:val="center"/>
          </w:tcPr>
          <w:p w14:paraId="522306EF"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18"/>
                <w:szCs w:val="18"/>
              </w:rPr>
              <w:t>《财务制度汇编》和《内部控制手册》涵盖了机关全部日常财务行为，使各种日常财务工作有了明确制度依据和参考流程，充实了机关内控管理内容</w:t>
            </w:r>
            <w:r>
              <w:rPr>
                <w:rFonts w:ascii="宋体" w:hAnsi="宋体" w:cs="宋体" w:hint="eastAsia"/>
                <w:color w:val="000000"/>
                <w:kern w:val="0"/>
                <w:sz w:val="20"/>
                <w:szCs w:val="20"/>
              </w:rPr>
              <w:t xml:space="preserve">　</w:t>
            </w:r>
          </w:p>
        </w:tc>
        <w:tc>
          <w:tcPr>
            <w:tcW w:w="214" w:type="pct"/>
            <w:tcBorders>
              <w:top w:val="single" w:sz="4" w:space="0" w:color="auto"/>
              <w:left w:val="nil"/>
              <w:bottom w:val="single" w:sz="4" w:space="0" w:color="auto"/>
              <w:right w:val="single" w:sz="4" w:space="0" w:color="auto"/>
            </w:tcBorders>
            <w:noWrap/>
            <w:vAlign w:val="center"/>
          </w:tcPr>
          <w:p w14:paraId="24CDEA33"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01" w:type="pct"/>
            <w:tcBorders>
              <w:top w:val="single" w:sz="4" w:space="0" w:color="auto"/>
              <w:left w:val="nil"/>
              <w:bottom w:val="single" w:sz="4" w:space="0" w:color="auto"/>
              <w:right w:val="nil"/>
            </w:tcBorders>
            <w:noWrap/>
            <w:vAlign w:val="center"/>
          </w:tcPr>
          <w:p w14:paraId="0A9E652C"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1　</w:t>
            </w:r>
          </w:p>
        </w:tc>
        <w:tc>
          <w:tcPr>
            <w:tcW w:w="1015" w:type="pct"/>
            <w:tcBorders>
              <w:top w:val="single" w:sz="4" w:space="0" w:color="auto"/>
              <w:left w:val="single" w:sz="4" w:space="0" w:color="auto"/>
              <w:bottom w:val="single" w:sz="4" w:space="0" w:color="auto"/>
              <w:right w:val="single" w:sz="4" w:space="0" w:color="auto"/>
            </w:tcBorders>
            <w:vAlign w:val="center"/>
          </w:tcPr>
          <w:p w14:paraId="799BF6C3"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247" w:type="pct"/>
            <w:tcBorders>
              <w:top w:val="single" w:sz="4" w:space="0" w:color="auto"/>
              <w:left w:val="nil"/>
              <w:bottom w:val="single" w:sz="4" w:space="0" w:color="auto"/>
              <w:right w:val="single" w:sz="4" w:space="0" w:color="auto"/>
            </w:tcBorders>
            <w:vAlign w:val="center"/>
          </w:tcPr>
          <w:p w14:paraId="6F56965E"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；③会计核算制度是否完整、合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。每有一项不合格扣0.5分，扣完为止。</w:t>
            </w:r>
          </w:p>
        </w:tc>
      </w:tr>
      <w:tr w:rsidR="0051343C" w14:paraId="297E1A99" w14:textId="77777777" w:rsidTr="0051343C">
        <w:trPr>
          <w:cantSplit/>
          <w:trHeight w:val="2220"/>
        </w:trPr>
        <w:tc>
          <w:tcPr>
            <w:tcW w:w="152" w:type="pct"/>
            <w:vMerge/>
            <w:tcBorders>
              <w:top w:val="single" w:sz="4" w:space="0" w:color="auto"/>
              <w:left w:val="single" w:sz="4" w:space="0" w:color="auto"/>
              <w:bottom w:val="single" w:sz="4" w:space="0" w:color="000000"/>
              <w:right w:val="single" w:sz="4" w:space="0" w:color="auto"/>
            </w:tcBorders>
            <w:vAlign w:val="center"/>
          </w:tcPr>
          <w:p w14:paraId="36154A50"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vMerge/>
            <w:tcBorders>
              <w:top w:val="single" w:sz="4" w:space="0" w:color="auto"/>
              <w:left w:val="single" w:sz="4" w:space="0" w:color="auto"/>
              <w:bottom w:val="single" w:sz="4" w:space="0" w:color="auto"/>
              <w:right w:val="single" w:sz="4" w:space="0" w:color="auto"/>
            </w:tcBorders>
            <w:vAlign w:val="center"/>
          </w:tcPr>
          <w:p w14:paraId="69D0A8A4" w14:textId="77777777" w:rsidR="0051343C" w:rsidRDefault="0051343C" w:rsidP="0051343C">
            <w:pPr>
              <w:widowControl/>
              <w:spacing w:line="360" w:lineRule="auto"/>
              <w:jc w:val="left"/>
              <w:rPr>
                <w:rFonts w:ascii="宋体" w:hAnsi="宋体" w:cs="宋体"/>
                <w:color w:val="000000"/>
                <w:kern w:val="0"/>
                <w:sz w:val="20"/>
                <w:szCs w:val="20"/>
              </w:rPr>
            </w:pPr>
          </w:p>
        </w:tc>
        <w:tc>
          <w:tcPr>
            <w:tcW w:w="404" w:type="pct"/>
            <w:tcBorders>
              <w:top w:val="single" w:sz="4" w:space="0" w:color="auto"/>
              <w:left w:val="nil"/>
              <w:bottom w:val="single" w:sz="4" w:space="0" w:color="auto"/>
              <w:right w:val="single" w:sz="4" w:space="0" w:color="auto"/>
            </w:tcBorders>
            <w:vAlign w:val="center"/>
          </w:tcPr>
          <w:p w14:paraId="04E283A8"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性和安全性</w:t>
            </w:r>
          </w:p>
        </w:tc>
        <w:tc>
          <w:tcPr>
            <w:tcW w:w="470" w:type="pct"/>
            <w:tcBorders>
              <w:top w:val="single" w:sz="4" w:space="0" w:color="auto"/>
              <w:left w:val="nil"/>
              <w:bottom w:val="single" w:sz="4" w:space="0" w:color="auto"/>
              <w:right w:val="single" w:sz="4" w:space="0" w:color="auto"/>
            </w:tcBorders>
            <w:vAlign w:val="center"/>
          </w:tcPr>
          <w:p w14:paraId="00E182FA"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18"/>
                <w:szCs w:val="18"/>
              </w:rPr>
              <w:t>资金使用合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、安全</w:t>
            </w:r>
            <w:r>
              <w:rPr>
                <w:rFonts w:ascii="宋体" w:hAnsi="宋体" w:cs="宋体" w:hint="eastAsia"/>
                <w:color w:val="000000"/>
                <w:kern w:val="0"/>
                <w:sz w:val="20"/>
                <w:szCs w:val="20"/>
              </w:rPr>
              <w:t xml:space="preserve">　</w:t>
            </w:r>
          </w:p>
        </w:tc>
        <w:tc>
          <w:tcPr>
            <w:tcW w:w="916" w:type="pct"/>
            <w:tcBorders>
              <w:top w:val="single" w:sz="4" w:space="0" w:color="auto"/>
              <w:left w:val="nil"/>
              <w:bottom w:val="single" w:sz="4" w:space="0" w:color="auto"/>
              <w:right w:val="single" w:sz="4" w:space="0" w:color="auto"/>
            </w:tcBorders>
            <w:vAlign w:val="center"/>
          </w:tcPr>
          <w:p w14:paraId="666A541C"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18"/>
                <w:szCs w:val="18"/>
              </w:rPr>
              <w:t>预算资金的使用符合相关预算财务管理制度的规定，符合相关规定的开支范围，不存在截留、挤占、挪用情况，涉及政府采购的支出符合政府采购程序和流程，公务卡结算符合相关制度和规定。</w:t>
            </w:r>
            <w:r>
              <w:rPr>
                <w:rFonts w:ascii="宋体" w:hAnsi="宋体" w:cs="宋体" w:hint="eastAsia"/>
                <w:color w:val="000000"/>
                <w:kern w:val="0"/>
                <w:sz w:val="20"/>
                <w:szCs w:val="20"/>
              </w:rPr>
              <w:t xml:space="preserve">　</w:t>
            </w:r>
          </w:p>
        </w:tc>
        <w:tc>
          <w:tcPr>
            <w:tcW w:w="214" w:type="pct"/>
            <w:tcBorders>
              <w:top w:val="single" w:sz="4" w:space="0" w:color="auto"/>
              <w:left w:val="nil"/>
              <w:bottom w:val="single" w:sz="4" w:space="0" w:color="auto"/>
              <w:right w:val="single" w:sz="4" w:space="0" w:color="auto"/>
            </w:tcBorders>
            <w:noWrap/>
            <w:vAlign w:val="center"/>
          </w:tcPr>
          <w:p w14:paraId="1829A538"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01" w:type="pct"/>
            <w:tcBorders>
              <w:top w:val="single" w:sz="4" w:space="0" w:color="auto"/>
              <w:left w:val="nil"/>
              <w:bottom w:val="single" w:sz="4" w:space="0" w:color="auto"/>
              <w:right w:val="nil"/>
            </w:tcBorders>
            <w:noWrap/>
            <w:vAlign w:val="center"/>
          </w:tcPr>
          <w:p w14:paraId="10B41BA1"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2　</w:t>
            </w:r>
          </w:p>
        </w:tc>
        <w:tc>
          <w:tcPr>
            <w:tcW w:w="1015" w:type="pct"/>
            <w:tcBorders>
              <w:top w:val="single" w:sz="4" w:space="0" w:color="auto"/>
              <w:left w:val="single" w:sz="4" w:space="0" w:color="auto"/>
              <w:bottom w:val="single" w:sz="4" w:space="0" w:color="auto"/>
              <w:right w:val="single" w:sz="4" w:space="0" w:color="auto"/>
            </w:tcBorders>
            <w:vAlign w:val="center"/>
          </w:tcPr>
          <w:p w14:paraId="6894B17F"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b/>
                <w:bCs/>
                <w:color w:val="000000"/>
                <w:kern w:val="0"/>
                <w:sz w:val="18"/>
                <w:szCs w:val="18"/>
              </w:rPr>
              <w:t>资金使用合</w:t>
            </w:r>
            <w:proofErr w:type="gramStart"/>
            <w:r>
              <w:rPr>
                <w:rFonts w:ascii="宋体" w:hAnsi="宋体" w:cs="宋体" w:hint="eastAsia"/>
                <w:b/>
                <w:bCs/>
                <w:color w:val="000000"/>
                <w:kern w:val="0"/>
                <w:sz w:val="18"/>
                <w:szCs w:val="18"/>
              </w:rPr>
              <w:t>规</w:t>
            </w:r>
            <w:proofErr w:type="gramEnd"/>
            <w:r>
              <w:rPr>
                <w:rFonts w:ascii="宋体" w:hAnsi="宋体" w:cs="宋体" w:hint="eastAsia"/>
                <w:b/>
                <w:bCs/>
                <w:color w:val="000000"/>
                <w:kern w:val="0"/>
                <w:sz w:val="18"/>
                <w:szCs w:val="18"/>
              </w:rPr>
              <w:t>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247" w:type="pct"/>
            <w:tcBorders>
              <w:top w:val="single" w:sz="4" w:space="0" w:color="auto"/>
              <w:left w:val="nil"/>
              <w:bottom w:val="single" w:sz="4" w:space="0" w:color="auto"/>
              <w:right w:val="single" w:sz="4" w:space="0" w:color="auto"/>
            </w:tcBorders>
            <w:vAlign w:val="center"/>
          </w:tcPr>
          <w:p w14:paraId="2B6A5651"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51343C" w14:paraId="49D93DCA" w14:textId="77777777" w:rsidTr="0051343C">
        <w:trPr>
          <w:cantSplit/>
          <w:trHeight w:val="410"/>
        </w:trPr>
        <w:tc>
          <w:tcPr>
            <w:tcW w:w="152" w:type="pct"/>
            <w:vMerge/>
            <w:tcBorders>
              <w:top w:val="nil"/>
              <w:left w:val="single" w:sz="4" w:space="0" w:color="auto"/>
              <w:bottom w:val="single" w:sz="4" w:space="0" w:color="000000"/>
              <w:right w:val="single" w:sz="4" w:space="0" w:color="auto"/>
            </w:tcBorders>
            <w:vAlign w:val="center"/>
          </w:tcPr>
          <w:p w14:paraId="65CF29C2"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tcPr>
          <w:p w14:paraId="5781F0EF" w14:textId="77777777" w:rsidR="0051343C" w:rsidRDefault="0051343C" w:rsidP="0051343C">
            <w:pPr>
              <w:widowControl/>
              <w:spacing w:line="360" w:lineRule="auto"/>
              <w:jc w:val="left"/>
              <w:rPr>
                <w:rFonts w:ascii="宋体" w:hAnsi="宋体" w:cs="宋体"/>
                <w:color w:val="000000"/>
                <w:kern w:val="0"/>
                <w:sz w:val="20"/>
                <w:szCs w:val="20"/>
              </w:rPr>
            </w:pPr>
          </w:p>
        </w:tc>
        <w:tc>
          <w:tcPr>
            <w:tcW w:w="404" w:type="pct"/>
            <w:tcBorders>
              <w:top w:val="nil"/>
              <w:left w:val="nil"/>
              <w:bottom w:val="single" w:sz="4" w:space="0" w:color="auto"/>
              <w:right w:val="single" w:sz="4" w:space="0" w:color="auto"/>
            </w:tcBorders>
            <w:vAlign w:val="center"/>
          </w:tcPr>
          <w:p w14:paraId="2F04EB86"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470" w:type="pct"/>
            <w:tcBorders>
              <w:top w:val="nil"/>
              <w:left w:val="nil"/>
              <w:bottom w:val="single" w:sz="4" w:space="0" w:color="auto"/>
              <w:right w:val="single" w:sz="4" w:space="0" w:color="auto"/>
            </w:tcBorders>
            <w:vAlign w:val="center"/>
          </w:tcPr>
          <w:p w14:paraId="6ACC4054"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18"/>
                <w:szCs w:val="18"/>
              </w:rPr>
              <w:t>会计基础信息是否</w:t>
            </w:r>
            <w:proofErr w:type="gramStart"/>
            <w:r>
              <w:rPr>
                <w:rFonts w:ascii="宋体" w:hAnsi="宋体" w:cs="宋体" w:hint="eastAsia"/>
                <w:color w:val="000000"/>
                <w:kern w:val="0"/>
                <w:sz w:val="18"/>
                <w:szCs w:val="18"/>
              </w:rPr>
              <w:t>完整</w:t>
            </w:r>
            <w:r>
              <w:rPr>
                <w:rFonts w:ascii="宋体" w:hAnsi="宋体" w:cs="宋体" w:hint="eastAsia"/>
                <w:color w:val="000000"/>
                <w:kern w:val="0"/>
                <w:sz w:val="20"/>
                <w:szCs w:val="20"/>
              </w:rPr>
              <w:t xml:space="preserve">　</w:t>
            </w:r>
            <w:proofErr w:type="gramEnd"/>
          </w:p>
        </w:tc>
        <w:tc>
          <w:tcPr>
            <w:tcW w:w="916" w:type="pct"/>
            <w:tcBorders>
              <w:top w:val="nil"/>
              <w:left w:val="nil"/>
              <w:bottom w:val="single" w:sz="4" w:space="0" w:color="auto"/>
              <w:right w:val="single" w:sz="4" w:space="0" w:color="auto"/>
            </w:tcBorders>
            <w:vAlign w:val="center"/>
          </w:tcPr>
          <w:p w14:paraId="38CCCFC0"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18"/>
                <w:szCs w:val="18"/>
              </w:rPr>
              <w:t xml:space="preserve">会计基础数据信息资料真实完整准确　</w:t>
            </w:r>
            <w:r>
              <w:rPr>
                <w:rFonts w:ascii="宋体" w:hAnsi="宋体" w:cs="宋体" w:hint="eastAsia"/>
                <w:color w:val="000000"/>
                <w:kern w:val="0"/>
                <w:sz w:val="20"/>
                <w:szCs w:val="20"/>
              </w:rPr>
              <w:t xml:space="preserve">　</w:t>
            </w:r>
          </w:p>
        </w:tc>
        <w:tc>
          <w:tcPr>
            <w:tcW w:w="214" w:type="pct"/>
            <w:tcBorders>
              <w:top w:val="nil"/>
              <w:left w:val="nil"/>
              <w:bottom w:val="single" w:sz="4" w:space="0" w:color="auto"/>
              <w:right w:val="single" w:sz="4" w:space="0" w:color="auto"/>
            </w:tcBorders>
            <w:noWrap/>
            <w:vAlign w:val="center"/>
          </w:tcPr>
          <w:p w14:paraId="244ACEB2"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01" w:type="pct"/>
            <w:tcBorders>
              <w:top w:val="nil"/>
              <w:left w:val="nil"/>
              <w:bottom w:val="single" w:sz="4" w:space="0" w:color="auto"/>
              <w:right w:val="nil"/>
            </w:tcBorders>
            <w:noWrap/>
            <w:vAlign w:val="center"/>
          </w:tcPr>
          <w:p w14:paraId="64E84340"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1　</w:t>
            </w:r>
          </w:p>
        </w:tc>
        <w:tc>
          <w:tcPr>
            <w:tcW w:w="1015" w:type="pct"/>
            <w:tcBorders>
              <w:top w:val="nil"/>
              <w:left w:val="single" w:sz="4" w:space="0" w:color="auto"/>
              <w:bottom w:val="single" w:sz="4" w:space="0" w:color="auto"/>
              <w:right w:val="single" w:sz="4" w:space="0" w:color="auto"/>
            </w:tcBorders>
            <w:vAlign w:val="center"/>
          </w:tcPr>
          <w:p w14:paraId="3D68DE1E"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247" w:type="pct"/>
            <w:tcBorders>
              <w:top w:val="nil"/>
              <w:left w:val="nil"/>
              <w:bottom w:val="single" w:sz="4" w:space="0" w:color="auto"/>
              <w:right w:val="single" w:sz="4" w:space="0" w:color="auto"/>
            </w:tcBorders>
            <w:vAlign w:val="center"/>
          </w:tcPr>
          <w:p w14:paraId="7B1E0601"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51343C" w14:paraId="6CA78F49" w14:textId="77777777" w:rsidTr="0051343C">
        <w:trPr>
          <w:cantSplit/>
          <w:trHeight w:val="2220"/>
        </w:trPr>
        <w:tc>
          <w:tcPr>
            <w:tcW w:w="152" w:type="pct"/>
            <w:vMerge/>
            <w:tcBorders>
              <w:top w:val="nil"/>
              <w:left w:val="single" w:sz="4" w:space="0" w:color="auto"/>
              <w:bottom w:val="single" w:sz="4" w:space="0" w:color="000000"/>
              <w:right w:val="single" w:sz="4" w:space="0" w:color="auto"/>
            </w:tcBorders>
            <w:vAlign w:val="center"/>
          </w:tcPr>
          <w:p w14:paraId="2E2437BD"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tcBorders>
              <w:top w:val="single" w:sz="4" w:space="0" w:color="auto"/>
              <w:left w:val="single" w:sz="4" w:space="0" w:color="auto"/>
              <w:bottom w:val="single" w:sz="4" w:space="0" w:color="auto"/>
              <w:right w:val="single" w:sz="4" w:space="0" w:color="auto"/>
            </w:tcBorders>
            <w:vAlign w:val="center"/>
          </w:tcPr>
          <w:p w14:paraId="3E7B20D5"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404" w:type="pct"/>
            <w:tcBorders>
              <w:top w:val="single" w:sz="4" w:space="0" w:color="auto"/>
              <w:left w:val="single" w:sz="4" w:space="0" w:color="auto"/>
              <w:bottom w:val="single" w:sz="4" w:space="0" w:color="auto"/>
              <w:right w:val="single" w:sz="4" w:space="0" w:color="auto"/>
            </w:tcBorders>
            <w:vAlign w:val="center"/>
          </w:tcPr>
          <w:p w14:paraId="14A756AF"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470" w:type="pct"/>
            <w:tcBorders>
              <w:top w:val="single" w:sz="4" w:space="0" w:color="auto"/>
              <w:left w:val="single" w:sz="4" w:space="0" w:color="auto"/>
              <w:bottom w:val="single" w:sz="4" w:space="0" w:color="auto"/>
              <w:right w:val="single" w:sz="4" w:space="0" w:color="auto"/>
            </w:tcBorders>
            <w:vAlign w:val="center"/>
          </w:tcPr>
          <w:p w14:paraId="72B5401A" w14:textId="77777777" w:rsidR="0051343C" w:rsidRDefault="0051343C" w:rsidP="0051343C">
            <w:pPr>
              <w:widowControl/>
              <w:spacing w:line="360" w:lineRule="auto"/>
              <w:jc w:val="left"/>
              <w:rPr>
                <w:rFonts w:ascii="宋体" w:hAnsi="宋体" w:cs="宋体"/>
                <w:color w:val="000000"/>
                <w:kern w:val="0"/>
                <w:sz w:val="20"/>
                <w:szCs w:val="20"/>
              </w:rPr>
            </w:pPr>
            <w:r>
              <w:rPr>
                <w:rFonts w:ascii="宋体" w:hAnsi="宋体" w:cs="宋体" w:hint="eastAsia"/>
                <w:color w:val="000000"/>
                <w:kern w:val="0"/>
                <w:sz w:val="18"/>
                <w:szCs w:val="18"/>
              </w:rPr>
              <w:t>资产管理是否规范</w:t>
            </w:r>
          </w:p>
        </w:tc>
        <w:tc>
          <w:tcPr>
            <w:tcW w:w="916" w:type="pct"/>
            <w:tcBorders>
              <w:top w:val="single" w:sz="4" w:space="0" w:color="auto"/>
              <w:left w:val="single" w:sz="4" w:space="0" w:color="auto"/>
              <w:bottom w:val="single" w:sz="4" w:space="0" w:color="auto"/>
              <w:right w:val="single" w:sz="4" w:space="0" w:color="auto"/>
            </w:tcBorders>
            <w:vAlign w:val="center"/>
          </w:tcPr>
          <w:p w14:paraId="2E691F0E" w14:textId="77777777" w:rsidR="0051343C" w:rsidRDefault="0051343C" w:rsidP="0051343C">
            <w:pPr>
              <w:widowControl/>
              <w:spacing w:line="360" w:lineRule="auto"/>
              <w:jc w:val="left"/>
              <w:rPr>
                <w:rFonts w:ascii="宋体" w:hAnsi="宋体" w:cs="宋体"/>
                <w:color w:val="000000"/>
                <w:kern w:val="0"/>
                <w:sz w:val="20"/>
                <w:szCs w:val="20"/>
              </w:rPr>
            </w:pPr>
            <w:r>
              <w:rPr>
                <w:rFonts w:ascii="宋体" w:hAnsi="宋体" w:cs="宋体" w:hint="eastAsia"/>
                <w:color w:val="000000"/>
                <w:kern w:val="0"/>
                <w:sz w:val="18"/>
                <w:szCs w:val="18"/>
              </w:rPr>
              <w:t>资产保持安全完整，资产配置符合资产相关管理规定，资产处置按照资产管理办法执行。</w:t>
            </w:r>
          </w:p>
        </w:tc>
        <w:tc>
          <w:tcPr>
            <w:tcW w:w="214" w:type="pct"/>
            <w:tcBorders>
              <w:top w:val="single" w:sz="4" w:space="0" w:color="auto"/>
              <w:left w:val="single" w:sz="4" w:space="0" w:color="auto"/>
              <w:bottom w:val="single" w:sz="4" w:space="0" w:color="auto"/>
              <w:right w:val="single" w:sz="4" w:space="0" w:color="auto"/>
            </w:tcBorders>
            <w:vAlign w:val="center"/>
          </w:tcPr>
          <w:p w14:paraId="11D92E6F"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1" w:type="pct"/>
            <w:tcBorders>
              <w:top w:val="single" w:sz="4" w:space="0" w:color="auto"/>
              <w:left w:val="single" w:sz="4" w:space="0" w:color="auto"/>
              <w:bottom w:val="single" w:sz="4" w:space="0" w:color="auto"/>
              <w:right w:val="single" w:sz="4" w:space="0" w:color="auto"/>
            </w:tcBorders>
            <w:vAlign w:val="center"/>
          </w:tcPr>
          <w:p w14:paraId="53D723B4"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4</w:t>
            </w:r>
          </w:p>
        </w:tc>
        <w:tc>
          <w:tcPr>
            <w:tcW w:w="1015" w:type="pct"/>
            <w:tcBorders>
              <w:top w:val="single" w:sz="4" w:space="0" w:color="auto"/>
              <w:left w:val="single" w:sz="4" w:space="0" w:color="auto"/>
              <w:bottom w:val="single" w:sz="4" w:space="0" w:color="auto"/>
              <w:right w:val="single" w:sz="4" w:space="0" w:color="auto"/>
            </w:tcBorders>
            <w:vAlign w:val="center"/>
          </w:tcPr>
          <w:p w14:paraId="7F817FE3"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247" w:type="pct"/>
            <w:tcBorders>
              <w:top w:val="single" w:sz="4" w:space="0" w:color="auto"/>
              <w:left w:val="single" w:sz="4" w:space="0" w:color="auto"/>
              <w:bottom w:val="single" w:sz="4" w:space="0" w:color="auto"/>
              <w:right w:val="single" w:sz="4" w:space="0" w:color="auto"/>
            </w:tcBorders>
            <w:vAlign w:val="center"/>
          </w:tcPr>
          <w:p w14:paraId="26141CF4"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51343C" w14:paraId="20936208" w14:textId="77777777" w:rsidTr="0051343C">
        <w:trPr>
          <w:cantSplit/>
          <w:trHeight w:val="1210"/>
        </w:trPr>
        <w:tc>
          <w:tcPr>
            <w:tcW w:w="152" w:type="pct"/>
            <w:vMerge/>
            <w:tcBorders>
              <w:top w:val="nil"/>
              <w:left w:val="single" w:sz="4" w:space="0" w:color="auto"/>
              <w:bottom w:val="single" w:sz="4" w:space="0" w:color="000000"/>
              <w:right w:val="single" w:sz="4" w:space="0" w:color="auto"/>
            </w:tcBorders>
            <w:vAlign w:val="center"/>
          </w:tcPr>
          <w:p w14:paraId="7330CAC5"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tcBorders>
              <w:top w:val="single" w:sz="4" w:space="0" w:color="auto"/>
              <w:left w:val="nil"/>
              <w:bottom w:val="single" w:sz="4" w:space="0" w:color="auto"/>
              <w:right w:val="single" w:sz="4" w:space="0" w:color="auto"/>
            </w:tcBorders>
            <w:vAlign w:val="center"/>
          </w:tcPr>
          <w:p w14:paraId="31DFCD18"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404" w:type="pct"/>
            <w:tcBorders>
              <w:top w:val="single" w:sz="4" w:space="0" w:color="auto"/>
              <w:left w:val="nil"/>
              <w:bottom w:val="single" w:sz="4" w:space="0" w:color="auto"/>
              <w:right w:val="single" w:sz="4" w:space="0" w:color="auto"/>
            </w:tcBorders>
            <w:vAlign w:val="center"/>
          </w:tcPr>
          <w:p w14:paraId="71CBF05A"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470" w:type="pct"/>
            <w:tcBorders>
              <w:top w:val="single" w:sz="4" w:space="0" w:color="auto"/>
              <w:left w:val="nil"/>
              <w:bottom w:val="single" w:sz="4" w:space="0" w:color="auto"/>
              <w:right w:val="single" w:sz="4" w:space="0" w:color="auto"/>
            </w:tcBorders>
            <w:vAlign w:val="center"/>
          </w:tcPr>
          <w:p w14:paraId="37D09658" w14:textId="77777777" w:rsidR="0051343C" w:rsidRDefault="0051343C" w:rsidP="0051343C">
            <w:pPr>
              <w:widowControl/>
              <w:spacing w:line="360" w:lineRule="auto"/>
              <w:jc w:val="left"/>
              <w:rPr>
                <w:rFonts w:ascii="宋体" w:hAnsi="宋体" w:cs="宋体"/>
                <w:color w:val="000000"/>
                <w:kern w:val="0"/>
                <w:sz w:val="20"/>
                <w:szCs w:val="20"/>
              </w:rPr>
            </w:pPr>
            <w:r>
              <w:rPr>
                <w:rFonts w:ascii="宋体" w:hAnsi="宋体" w:cs="宋体" w:hint="eastAsia"/>
                <w:color w:val="000000"/>
                <w:kern w:val="0"/>
                <w:sz w:val="18"/>
                <w:szCs w:val="18"/>
              </w:rPr>
              <w:t>绩效管理信息汇总和应用情况</w:t>
            </w:r>
          </w:p>
        </w:tc>
        <w:tc>
          <w:tcPr>
            <w:tcW w:w="916" w:type="pct"/>
            <w:tcBorders>
              <w:top w:val="single" w:sz="4" w:space="0" w:color="auto"/>
              <w:left w:val="nil"/>
              <w:bottom w:val="single" w:sz="4" w:space="0" w:color="auto"/>
              <w:right w:val="single" w:sz="4" w:space="0" w:color="auto"/>
            </w:tcBorders>
            <w:vAlign w:val="center"/>
          </w:tcPr>
          <w:p w14:paraId="58248C4D"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18"/>
                <w:szCs w:val="18"/>
              </w:rPr>
              <w:t>能够全面完成年度绩效目标，绩效资料齐全。</w:t>
            </w:r>
          </w:p>
        </w:tc>
        <w:tc>
          <w:tcPr>
            <w:tcW w:w="214" w:type="pct"/>
            <w:tcBorders>
              <w:top w:val="single" w:sz="4" w:space="0" w:color="auto"/>
              <w:left w:val="nil"/>
              <w:bottom w:val="single" w:sz="4" w:space="0" w:color="auto"/>
              <w:right w:val="single" w:sz="4" w:space="0" w:color="auto"/>
            </w:tcBorders>
            <w:vAlign w:val="center"/>
          </w:tcPr>
          <w:p w14:paraId="0D275A1D"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1" w:type="pct"/>
            <w:tcBorders>
              <w:top w:val="single" w:sz="4" w:space="0" w:color="auto"/>
              <w:left w:val="nil"/>
              <w:bottom w:val="single" w:sz="4" w:space="0" w:color="auto"/>
              <w:right w:val="nil"/>
            </w:tcBorders>
            <w:vAlign w:val="center"/>
          </w:tcPr>
          <w:p w14:paraId="39B8D2D7"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2　</w:t>
            </w:r>
          </w:p>
        </w:tc>
        <w:tc>
          <w:tcPr>
            <w:tcW w:w="1015" w:type="pct"/>
            <w:tcBorders>
              <w:top w:val="single" w:sz="4" w:space="0" w:color="auto"/>
              <w:left w:val="single" w:sz="4" w:space="0" w:color="auto"/>
              <w:bottom w:val="single" w:sz="4" w:space="0" w:color="auto"/>
              <w:right w:val="single" w:sz="4" w:space="0" w:color="auto"/>
            </w:tcBorders>
            <w:vAlign w:val="center"/>
          </w:tcPr>
          <w:p w14:paraId="027D66D0"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247" w:type="pct"/>
            <w:tcBorders>
              <w:top w:val="single" w:sz="4" w:space="0" w:color="auto"/>
              <w:left w:val="nil"/>
              <w:bottom w:val="single" w:sz="4" w:space="0" w:color="auto"/>
              <w:right w:val="single" w:sz="4" w:space="0" w:color="auto"/>
            </w:tcBorders>
            <w:vAlign w:val="center"/>
          </w:tcPr>
          <w:p w14:paraId="1FDDF1D6"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51343C" w14:paraId="0578ADCA" w14:textId="77777777" w:rsidTr="0051343C">
        <w:trPr>
          <w:cantSplit/>
          <w:trHeight w:val="394"/>
        </w:trPr>
        <w:tc>
          <w:tcPr>
            <w:tcW w:w="152" w:type="pct"/>
            <w:vMerge/>
            <w:tcBorders>
              <w:top w:val="nil"/>
              <w:left w:val="single" w:sz="4" w:space="0" w:color="auto"/>
              <w:bottom w:val="single" w:sz="4" w:space="0" w:color="000000"/>
              <w:right w:val="single" w:sz="4" w:space="0" w:color="auto"/>
            </w:tcBorders>
            <w:vAlign w:val="center"/>
          </w:tcPr>
          <w:p w14:paraId="51249BBB"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tcBorders>
              <w:top w:val="single" w:sz="4" w:space="0" w:color="auto"/>
              <w:left w:val="nil"/>
              <w:bottom w:val="single" w:sz="4" w:space="0" w:color="auto"/>
              <w:right w:val="single" w:sz="4" w:space="0" w:color="auto"/>
            </w:tcBorders>
            <w:vAlign w:val="center"/>
          </w:tcPr>
          <w:p w14:paraId="04773213"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874" w:type="pct"/>
            <w:gridSpan w:val="2"/>
            <w:tcBorders>
              <w:top w:val="single" w:sz="4" w:space="0" w:color="auto"/>
              <w:left w:val="nil"/>
              <w:bottom w:val="single" w:sz="4" w:space="0" w:color="auto"/>
              <w:right w:val="single" w:sz="4" w:space="0" w:color="000000"/>
            </w:tcBorders>
            <w:vAlign w:val="center"/>
          </w:tcPr>
          <w:p w14:paraId="6BC8ADE9"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2022年</w:t>
            </w:r>
          </w:p>
        </w:tc>
        <w:tc>
          <w:tcPr>
            <w:tcW w:w="916" w:type="pct"/>
            <w:tcBorders>
              <w:top w:val="single" w:sz="4" w:space="0" w:color="auto"/>
              <w:left w:val="nil"/>
              <w:bottom w:val="single" w:sz="4" w:space="0" w:color="auto"/>
              <w:right w:val="single" w:sz="4" w:space="0" w:color="auto"/>
            </w:tcBorders>
            <w:vAlign w:val="center"/>
          </w:tcPr>
          <w:p w14:paraId="0CC4A787"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2023年</w:t>
            </w:r>
          </w:p>
        </w:tc>
        <w:tc>
          <w:tcPr>
            <w:tcW w:w="214" w:type="pct"/>
            <w:tcBorders>
              <w:top w:val="single" w:sz="4" w:space="0" w:color="auto"/>
              <w:left w:val="nil"/>
              <w:bottom w:val="single" w:sz="4" w:space="0" w:color="auto"/>
              <w:right w:val="single" w:sz="4" w:space="0" w:color="auto"/>
            </w:tcBorders>
            <w:vAlign w:val="center"/>
          </w:tcPr>
          <w:p w14:paraId="6F5B9E76"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01" w:type="pct"/>
            <w:tcBorders>
              <w:top w:val="single" w:sz="4" w:space="0" w:color="auto"/>
              <w:left w:val="nil"/>
              <w:bottom w:val="single" w:sz="4" w:space="0" w:color="auto"/>
              <w:right w:val="single" w:sz="4" w:space="0" w:color="auto"/>
            </w:tcBorders>
            <w:vAlign w:val="center"/>
          </w:tcPr>
          <w:p w14:paraId="28DB0C74"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15" w:type="pct"/>
            <w:tcBorders>
              <w:top w:val="single" w:sz="4" w:space="0" w:color="auto"/>
              <w:left w:val="single" w:sz="4" w:space="0" w:color="auto"/>
              <w:bottom w:val="single" w:sz="4" w:space="0" w:color="auto"/>
              <w:right w:val="single" w:sz="4" w:space="0" w:color="auto"/>
            </w:tcBorders>
            <w:vAlign w:val="center"/>
          </w:tcPr>
          <w:p w14:paraId="76799415"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47" w:type="pct"/>
            <w:tcBorders>
              <w:top w:val="single" w:sz="4" w:space="0" w:color="auto"/>
              <w:left w:val="nil"/>
              <w:bottom w:val="single" w:sz="4" w:space="0" w:color="auto"/>
              <w:right w:val="single" w:sz="4" w:space="0" w:color="auto"/>
            </w:tcBorders>
            <w:vAlign w:val="center"/>
          </w:tcPr>
          <w:p w14:paraId="3132D095" w14:textId="77777777" w:rsidR="0051343C" w:rsidRDefault="0051343C" w:rsidP="0051343C">
            <w:pPr>
              <w:widowControl/>
              <w:spacing w:line="360" w:lineRule="auto"/>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51343C" w14:paraId="77B40C5B" w14:textId="77777777" w:rsidTr="0051343C">
        <w:trPr>
          <w:cantSplit/>
          <w:trHeight w:val="2229"/>
        </w:trPr>
        <w:tc>
          <w:tcPr>
            <w:tcW w:w="152" w:type="pct"/>
            <w:vMerge/>
            <w:tcBorders>
              <w:top w:val="nil"/>
              <w:left w:val="single" w:sz="4" w:space="0" w:color="auto"/>
              <w:bottom w:val="single" w:sz="4" w:space="0" w:color="000000"/>
              <w:right w:val="single" w:sz="4" w:space="0" w:color="auto"/>
            </w:tcBorders>
            <w:vAlign w:val="center"/>
          </w:tcPr>
          <w:p w14:paraId="01AFC0B4"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tcBorders>
              <w:top w:val="nil"/>
              <w:left w:val="nil"/>
              <w:bottom w:val="single" w:sz="4" w:space="0" w:color="auto"/>
              <w:right w:val="single" w:sz="4" w:space="0" w:color="auto"/>
            </w:tcBorders>
            <w:vAlign w:val="center"/>
          </w:tcPr>
          <w:p w14:paraId="4E807435" w14:textId="77777777" w:rsidR="0051343C" w:rsidRDefault="0051343C" w:rsidP="0051343C">
            <w:pPr>
              <w:widowControl/>
              <w:spacing w:line="360" w:lineRule="auto"/>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874" w:type="pct"/>
            <w:gridSpan w:val="2"/>
            <w:tcBorders>
              <w:top w:val="single" w:sz="4" w:space="0" w:color="auto"/>
              <w:left w:val="nil"/>
              <w:bottom w:val="single" w:sz="4" w:space="0" w:color="auto"/>
              <w:right w:val="single" w:sz="4" w:space="0" w:color="000000"/>
            </w:tcBorders>
            <w:vAlign w:val="center"/>
          </w:tcPr>
          <w:p w14:paraId="30F705A6"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color w:val="000000"/>
                <w:kern w:val="0"/>
                <w:sz w:val="20"/>
                <w:szCs w:val="20"/>
              </w:rPr>
              <w:t>%</w:t>
            </w:r>
            <w:r>
              <w:rPr>
                <w:rFonts w:ascii="宋体" w:hAnsi="宋体" w:cs="宋体" w:hint="eastAsia"/>
                <w:color w:val="000000"/>
                <w:kern w:val="0"/>
                <w:sz w:val="20"/>
                <w:szCs w:val="20"/>
              </w:rPr>
              <w:t xml:space="preserve">　</w:t>
            </w:r>
          </w:p>
        </w:tc>
        <w:tc>
          <w:tcPr>
            <w:tcW w:w="916" w:type="pct"/>
            <w:tcBorders>
              <w:top w:val="nil"/>
              <w:left w:val="nil"/>
              <w:bottom w:val="single" w:sz="4" w:space="0" w:color="auto"/>
              <w:right w:val="single" w:sz="4" w:space="0" w:color="auto"/>
            </w:tcBorders>
            <w:vAlign w:val="center"/>
          </w:tcPr>
          <w:p w14:paraId="0FA08D78" w14:textId="028A1F3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0.88%</w:t>
            </w:r>
          </w:p>
        </w:tc>
        <w:tc>
          <w:tcPr>
            <w:tcW w:w="214" w:type="pct"/>
            <w:tcBorders>
              <w:top w:val="nil"/>
              <w:left w:val="nil"/>
              <w:bottom w:val="single" w:sz="4" w:space="0" w:color="auto"/>
              <w:right w:val="single" w:sz="4" w:space="0" w:color="auto"/>
            </w:tcBorders>
            <w:vAlign w:val="center"/>
          </w:tcPr>
          <w:p w14:paraId="1D5FF81B"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1" w:type="pct"/>
            <w:tcBorders>
              <w:top w:val="nil"/>
              <w:left w:val="nil"/>
              <w:bottom w:val="single" w:sz="4" w:space="0" w:color="auto"/>
              <w:right w:val="nil"/>
            </w:tcBorders>
            <w:vAlign w:val="center"/>
          </w:tcPr>
          <w:p w14:paraId="05BDF08A"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015" w:type="pct"/>
            <w:tcBorders>
              <w:top w:val="single" w:sz="4" w:space="0" w:color="auto"/>
              <w:left w:val="single" w:sz="4" w:space="0" w:color="auto"/>
              <w:bottom w:val="single" w:sz="4" w:space="0" w:color="auto"/>
              <w:right w:val="single" w:sz="4" w:space="0" w:color="auto"/>
            </w:tcBorders>
            <w:vAlign w:val="center"/>
          </w:tcPr>
          <w:p w14:paraId="62C1919B"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结转结余总额：部门（单位）本年度的结转资金与结余资金之</w:t>
            </w:r>
            <w:proofErr w:type="gramStart"/>
            <w:r>
              <w:rPr>
                <w:rFonts w:ascii="宋体" w:hAnsi="宋体" w:cs="宋体" w:hint="eastAsia"/>
                <w:color w:val="000000"/>
                <w:kern w:val="0"/>
                <w:sz w:val="18"/>
                <w:szCs w:val="18"/>
              </w:rPr>
              <w:t>和</w:t>
            </w:r>
            <w:proofErr w:type="gramEnd"/>
            <w:r>
              <w:rPr>
                <w:rFonts w:ascii="宋体" w:hAnsi="宋体" w:cs="宋体" w:hint="eastAsia"/>
                <w:color w:val="000000"/>
                <w:kern w:val="0"/>
                <w:sz w:val="18"/>
                <w:szCs w:val="18"/>
              </w:rPr>
              <w:t>。</w:t>
            </w:r>
          </w:p>
        </w:tc>
        <w:tc>
          <w:tcPr>
            <w:tcW w:w="1247" w:type="pct"/>
            <w:tcBorders>
              <w:top w:val="single" w:sz="4" w:space="0" w:color="auto"/>
              <w:left w:val="nil"/>
              <w:bottom w:val="single" w:sz="4" w:space="0" w:color="auto"/>
              <w:right w:val="single" w:sz="4" w:space="0" w:color="auto"/>
            </w:tcBorders>
            <w:vAlign w:val="center"/>
          </w:tcPr>
          <w:p w14:paraId="36FBDF58"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w:t>
            </w:r>
            <w:proofErr w:type="gramStart"/>
            <w:r>
              <w:rPr>
                <w:rFonts w:ascii="宋体" w:hAnsi="宋体" w:cs="宋体" w:hint="eastAsia"/>
                <w:color w:val="000000"/>
                <w:kern w:val="0"/>
                <w:sz w:val="18"/>
                <w:szCs w:val="18"/>
              </w:rPr>
              <w:t>非预算</w:t>
            </w:r>
            <w:proofErr w:type="gramEnd"/>
            <w:r>
              <w:rPr>
                <w:rFonts w:ascii="宋体" w:hAnsi="宋体" w:cs="宋体" w:hint="eastAsia"/>
                <w:color w:val="000000"/>
                <w:kern w:val="0"/>
                <w:sz w:val="18"/>
                <w:szCs w:val="18"/>
              </w:rPr>
              <w:t>部门主观因素导致扣分的，在评分结果征求意见环节，经与相关部门预算主管处室共同研究，可作为例外情况酌情考虑。）</w:t>
            </w:r>
          </w:p>
        </w:tc>
      </w:tr>
      <w:tr w:rsidR="0051343C" w14:paraId="5EE81CC9" w14:textId="77777777" w:rsidTr="0051343C">
        <w:trPr>
          <w:cantSplit/>
          <w:trHeight w:val="981"/>
        </w:trPr>
        <w:tc>
          <w:tcPr>
            <w:tcW w:w="152" w:type="pct"/>
            <w:vMerge/>
            <w:tcBorders>
              <w:top w:val="nil"/>
              <w:left w:val="single" w:sz="4" w:space="0" w:color="auto"/>
              <w:bottom w:val="single" w:sz="4" w:space="0" w:color="000000"/>
              <w:right w:val="single" w:sz="4" w:space="0" w:color="auto"/>
            </w:tcBorders>
            <w:vAlign w:val="center"/>
          </w:tcPr>
          <w:p w14:paraId="514AF3A5" w14:textId="77777777" w:rsidR="0051343C" w:rsidRDefault="0051343C" w:rsidP="0051343C">
            <w:pPr>
              <w:widowControl/>
              <w:spacing w:line="360" w:lineRule="auto"/>
              <w:jc w:val="left"/>
              <w:rPr>
                <w:rFonts w:ascii="宋体" w:hAnsi="宋体" w:cs="宋体"/>
                <w:color w:val="000000"/>
                <w:kern w:val="0"/>
                <w:sz w:val="20"/>
                <w:szCs w:val="20"/>
              </w:rPr>
            </w:pPr>
          </w:p>
        </w:tc>
        <w:tc>
          <w:tcPr>
            <w:tcW w:w="282" w:type="pct"/>
            <w:tcBorders>
              <w:top w:val="nil"/>
              <w:left w:val="nil"/>
              <w:bottom w:val="single" w:sz="4" w:space="0" w:color="auto"/>
              <w:right w:val="single" w:sz="4" w:space="0" w:color="auto"/>
            </w:tcBorders>
            <w:vAlign w:val="center"/>
          </w:tcPr>
          <w:p w14:paraId="4371F30F" w14:textId="77777777" w:rsidR="0051343C" w:rsidRDefault="0051343C" w:rsidP="0051343C">
            <w:pPr>
              <w:widowControl/>
              <w:spacing w:line="360" w:lineRule="auto"/>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874" w:type="pct"/>
            <w:gridSpan w:val="2"/>
            <w:tcBorders>
              <w:top w:val="single" w:sz="4" w:space="0" w:color="auto"/>
              <w:left w:val="nil"/>
              <w:bottom w:val="single" w:sz="4" w:space="0" w:color="auto"/>
              <w:right w:val="nil"/>
            </w:tcBorders>
            <w:vAlign w:val="center"/>
          </w:tcPr>
          <w:p w14:paraId="0586526E" w14:textId="77777777" w:rsidR="0051343C" w:rsidRDefault="0051343C" w:rsidP="0051343C">
            <w:pPr>
              <w:widowControl/>
              <w:spacing w:line="360" w:lineRule="auto"/>
              <w:jc w:val="center"/>
              <w:rPr>
                <w:rFonts w:ascii="宋体" w:hAnsi="宋体" w:cs="宋体"/>
                <w:color w:val="000000"/>
                <w:kern w:val="0"/>
                <w:sz w:val="20"/>
                <w:szCs w:val="20"/>
              </w:rPr>
            </w:pPr>
          </w:p>
        </w:tc>
        <w:tc>
          <w:tcPr>
            <w:tcW w:w="916" w:type="pct"/>
            <w:tcBorders>
              <w:top w:val="nil"/>
              <w:left w:val="single" w:sz="4" w:space="0" w:color="auto"/>
              <w:bottom w:val="single" w:sz="4" w:space="0" w:color="auto"/>
              <w:right w:val="single" w:sz="4" w:space="0" w:color="auto"/>
            </w:tcBorders>
            <w:vAlign w:val="center"/>
          </w:tcPr>
          <w:p w14:paraId="0D15007C" w14:textId="25AD16FD"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3.34%</w:t>
            </w:r>
          </w:p>
        </w:tc>
        <w:tc>
          <w:tcPr>
            <w:tcW w:w="214" w:type="pct"/>
            <w:tcBorders>
              <w:top w:val="nil"/>
              <w:left w:val="nil"/>
              <w:bottom w:val="single" w:sz="4" w:space="0" w:color="auto"/>
              <w:right w:val="single" w:sz="4" w:space="0" w:color="auto"/>
            </w:tcBorders>
            <w:vAlign w:val="center"/>
          </w:tcPr>
          <w:p w14:paraId="79C04333"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1" w:type="pct"/>
            <w:tcBorders>
              <w:top w:val="nil"/>
              <w:left w:val="nil"/>
              <w:bottom w:val="single" w:sz="4" w:space="0" w:color="auto"/>
              <w:right w:val="nil"/>
            </w:tcBorders>
            <w:vAlign w:val="center"/>
          </w:tcPr>
          <w:p w14:paraId="5FDEF788"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015" w:type="pct"/>
            <w:tcBorders>
              <w:top w:val="nil"/>
              <w:left w:val="single" w:sz="4" w:space="0" w:color="auto"/>
              <w:bottom w:val="single" w:sz="4" w:space="0" w:color="auto"/>
              <w:right w:val="single" w:sz="4" w:space="0" w:color="auto"/>
            </w:tcBorders>
            <w:vAlign w:val="center"/>
          </w:tcPr>
          <w:p w14:paraId="07CB0DED"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247" w:type="pct"/>
            <w:tcBorders>
              <w:top w:val="nil"/>
              <w:left w:val="nil"/>
              <w:bottom w:val="single" w:sz="4" w:space="0" w:color="auto"/>
              <w:right w:val="single" w:sz="4" w:space="0" w:color="auto"/>
            </w:tcBorders>
            <w:vAlign w:val="center"/>
          </w:tcPr>
          <w:p w14:paraId="13E1F7B2" w14:textId="77777777" w:rsidR="0051343C" w:rsidRDefault="0051343C" w:rsidP="0051343C">
            <w:pPr>
              <w:widowControl/>
              <w:spacing w:line="360" w:lineRule="auto"/>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51343C" w14:paraId="7D6D4545" w14:textId="77777777" w:rsidTr="0051343C">
        <w:trPr>
          <w:cantSplit/>
          <w:trHeight w:val="484"/>
        </w:trPr>
        <w:tc>
          <w:tcPr>
            <w:tcW w:w="2224" w:type="pct"/>
            <w:gridSpan w:val="5"/>
            <w:tcBorders>
              <w:top w:val="single" w:sz="4" w:space="0" w:color="auto"/>
              <w:left w:val="single" w:sz="4" w:space="0" w:color="auto"/>
              <w:bottom w:val="single" w:sz="4" w:space="0" w:color="auto"/>
              <w:right w:val="single" w:sz="4" w:space="0" w:color="auto"/>
            </w:tcBorders>
            <w:vAlign w:val="center"/>
          </w:tcPr>
          <w:p w14:paraId="09A542E9"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14" w:type="pct"/>
            <w:tcBorders>
              <w:top w:val="nil"/>
              <w:left w:val="nil"/>
              <w:bottom w:val="single" w:sz="4" w:space="0" w:color="auto"/>
              <w:right w:val="single" w:sz="4" w:space="0" w:color="auto"/>
            </w:tcBorders>
            <w:vAlign w:val="center"/>
          </w:tcPr>
          <w:p w14:paraId="240489BC" w14:textId="7777777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1" w:type="pct"/>
            <w:tcBorders>
              <w:top w:val="nil"/>
              <w:left w:val="nil"/>
              <w:bottom w:val="single" w:sz="4" w:space="0" w:color="auto"/>
              <w:right w:val="nil"/>
            </w:tcBorders>
            <w:vAlign w:val="center"/>
          </w:tcPr>
          <w:p w14:paraId="5D24C7C3" w14:textId="1BBD8617" w:rsidR="0051343C" w:rsidRDefault="0051343C" w:rsidP="0051343C">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99.82　</w:t>
            </w:r>
          </w:p>
        </w:tc>
        <w:tc>
          <w:tcPr>
            <w:tcW w:w="2262" w:type="pct"/>
            <w:gridSpan w:val="2"/>
            <w:tcBorders>
              <w:top w:val="single" w:sz="4" w:space="0" w:color="auto"/>
              <w:left w:val="single" w:sz="4" w:space="0" w:color="auto"/>
              <w:bottom w:val="single" w:sz="4" w:space="0" w:color="auto"/>
              <w:right w:val="single" w:sz="4" w:space="0" w:color="000000"/>
            </w:tcBorders>
            <w:vAlign w:val="center"/>
          </w:tcPr>
          <w:p w14:paraId="67107534" w14:textId="77777777" w:rsidR="0051343C" w:rsidRDefault="0051343C" w:rsidP="0051343C">
            <w:pPr>
              <w:widowControl/>
              <w:spacing w:line="360" w:lineRule="auto"/>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14:paraId="64077228" w14:textId="77777777" w:rsidR="0051343C" w:rsidRDefault="0051343C" w:rsidP="0051343C">
      <w:pPr>
        <w:spacing w:line="360" w:lineRule="auto"/>
        <w:rPr>
          <w:rFonts w:ascii="方正小标宋简体" w:eastAsia="方正小标宋简体"/>
          <w:sz w:val="36"/>
          <w:szCs w:val="36"/>
        </w:rPr>
      </w:pPr>
    </w:p>
    <w:p w14:paraId="30008CD4" w14:textId="77777777" w:rsidR="0084361C" w:rsidRDefault="0084361C"/>
    <w:sectPr w:rsidR="0084361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EB268" w14:textId="77777777" w:rsidR="00286BC3" w:rsidRDefault="00286BC3">
      <w:r>
        <w:separator/>
      </w:r>
    </w:p>
  </w:endnote>
  <w:endnote w:type="continuationSeparator" w:id="0">
    <w:p w14:paraId="27E57B36" w14:textId="77777777" w:rsidR="00286BC3" w:rsidRDefault="0028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方正小标宋简体">
    <w:altName w:val="微软雅黑"/>
    <w:panose1 w:val="03000509000000000000"/>
    <w:charset w:val="86"/>
    <w:family w:val="script"/>
    <w:pitch w:val="fixed"/>
    <w:sig w:usb0="00000001" w:usb1="080E0000" w:usb2="00000010" w:usb3="00000000" w:csb0="00040000" w:csb1="00000000"/>
  </w:font>
  <w:font w:name="方正黑体_GBK">
    <w:altName w:val="微软雅黑"/>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0286009"/>
    </w:sdtPr>
    <w:sdtEndPr/>
    <w:sdtContent>
      <w:p w14:paraId="4EB7B5D8" w14:textId="77777777" w:rsidR="0084361C" w:rsidRDefault="00E87FF6">
        <w:pPr>
          <w:pStyle w:val="a4"/>
          <w:jc w:val="center"/>
        </w:pPr>
        <w:r>
          <w:fldChar w:fldCharType="begin"/>
        </w:r>
        <w:r>
          <w:instrText>PAGE   \* MERGEFORMAT</w:instrText>
        </w:r>
        <w:r>
          <w:fldChar w:fldCharType="separate"/>
        </w:r>
        <w:r w:rsidR="00470FE7" w:rsidRPr="00470FE7">
          <w:rPr>
            <w:noProof/>
            <w:lang w:val="zh-CN"/>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C30387" w14:textId="77777777" w:rsidR="00286BC3" w:rsidRDefault="00286BC3">
      <w:r>
        <w:separator/>
      </w:r>
    </w:p>
  </w:footnote>
  <w:footnote w:type="continuationSeparator" w:id="0">
    <w:p w14:paraId="24E6731A" w14:textId="77777777" w:rsidR="00286BC3" w:rsidRDefault="00286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30AE8" w14:textId="2C16A54B" w:rsidR="0084361C" w:rsidRDefault="00ED416F" w:rsidP="00ED416F">
    <w:pPr>
      <w:pStyle w:val="a5"/>
    </w:pPr>
    <w:r>
      <w:rPr>
        <w:rFonts w:hint="eastAsia"/>
      </w:rPr>
      <w:t>台湾民主自治同盟北京市委员会</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k5YzQ3YTk2OWE3NmU4ZTNmNTQwMjRlMTFlNDIzMzIifQ=="/>
  </w:docVars>
  <w:rsids>
    <w:rsidRoot w:val="006C115D"/>
    <w:rsid w:val="000329A0"/>
    <w:rsid w:val="000B360D"/>
    <w:rsid w:val="0011540B"/>
    <w:rsid w:val="0014592E"/>
    <w:rsid w:val="00151CD6"/>
    <w:rsid w:val="002532A4"/>
    <w:rsid w:val="00266586"/>
    <w:rsid w:val="00286BC3"/>
    <w:rsid w:val="002A2F7D"/>
    <w:rsid w:val="00315BE0"/>
    <w:rsid w:val="00322215"/>
    <w:rsid w:val="0033085A"/>
    <w:rsid w:val="00393607"/>
    <w:rsid w:val="003A5BFA"/>
    <w:rsid w:val="00470FE7"/>
    <w:rsid w:val="00506A68"/>
    <w:rsid w:val="00511C33"/>
    <w:rsid w:val="0051343C"/>
    <w:rsid w:val="005578D0"/>
    <w:rsid w:val="00612364"/>
    <w:rsid w:val="00655699"/>
    <w:rsid w:val="00691D00"/>
    <w:rsid w:val="006C00F1"/>
    <w:rsid w:val="006C115D"/>
    <w:rsid w:val="006D5CA5"/>
    <w:rsid w:val="007051FB"/>
    <w:rsid w:val="007118E4"/>
    <w:rsid w:val="00721A50"/>
    <w:rsid w:val="00767E1C"/>
    <w:rsid w:val="00785C43"/>
    <w:rsid w:val="007F6B17"/>
    <w:rsid w:val="0084361C"/>
    <w:rsid w:val="00882B5D"/>
    <w:rsid w:val="00945881"/>
    <w:rsid w:val="009D0EB2"/>
    <w:rsid w:val="00B35D8A"/>
    <w:rsid w:val="00B36B57"/>
    <w:rsid w:val="00CF2F00"/>
    <w:rsid w:val="00D6715C"/>
    <w:rsid w:val="00DC37BB"/>
    <w:rsid w:val="00E02444"/>
    <w:rsid w:val="00E87FF6"/>
    <w:rsid w:val="00ED416F"/>
    <w:rsid w:val="00FE1DD1"/>
    <w:rsid w:val="01ED415F"/>
    <w:rsid w:val="05DB2A34"/>
    <w:rsid w:val="0B5D1371"/>
    <w:rsid w:val="1BED298F"/>
    <w:rsid w:val="1DB36E82"/>
    <w:rsid w:val="23132D66"/>
    <w:rsid w:val="243377FD"/>
    <w:rsid w:val="29E06A72"/>
    <w:rsid w:val="2D046FB0"/>
    <w:rsid w:val="2DD73206"/>
    <w:rsid w:val="2DDF30B9"/>
    <w:rsid w:val="311A3B4C"/>
    <w:rsid w:val="32504871"/>
    <w:rsid w:val="331A4488"/>
    <w:rsid w:val="333746BC"/>
    <w:rsid w:val="36B90204"/>
    <w:rsid w:val="3728046D"/>
    <w:rsid w:val="373D6985"/>
    <w:rsid w:val="39D8484C"/>
    <w:rsid w:val="3A065152"/>
    <w:rsid w:val="3BA112FC"/>
    <w:rsid w:val="414B3095"/>
    <w:rsid w:val="4FBA3C98"/>
    <w:rsid w:val="55B7228C"/>
    <w:rsid w:val="59513E7A"/>
    <w:rsid w:val="5B7325F9"/>
    <w:rsid w:val="67F44ACD"/>
    <w:rsid w:val="6A1137F3"/>
    <w:rsid w:val="6AB8109C"/>
    <w:rsid w:val="6AF05C13"/>
    <w:rsid w:val="6FA770D0"/>
    <w:rsid w:val="765A4AF7"/>
    <w:rsid w:val="76EC563D"/>
    <w:rsid w:val="782902B3"/>
    <w:rsid w:val="7CDA34E6"/>
    <w:rsid w:val="7E553E73"/>
    <w:rsid w:val="7F4F0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687EEF"/>
  <w15:docId w15:val="{B75F37B9-72FD-4291-8751-F69154F74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Block Tex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1">
    <w:name w:val="heading 1"/>
    <w:basedOn w:val="a"/>
    <w:next w:val="a"/>
    <w:uiPriority w:val="9"/>
    <w:qFormat/>
    <w:pPr>
      <w:spacing w:line="600" w:lineRule="exact"/>
      <w:ind w:firstLine="640"/>
      <w:outlineLvl w:val="0"/>
    </w:pPr>
    <w:rPr>
      <w:rFonts w:ascii="黑体" w:eastAsia="黑体" w:hAnsi="黑体" w:cs="宋体"/>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qFormat/>
    <w:pPr>
      <w:spacing w:after="120"/>
      <w:ind w:leftChars="700" w:left="700" w:rightChars="700" w:right="700"/>
    </w:pPr>
  </w:style>
  <w:style w:type="paragraph" w:styleId="a4">
    <w:name w:val="footer"/>
    <w:basedOn w:val="a"/>
    <w:next w:val="a"/>
    <w:link w:val="Char"/>
    <w:uiPriority w:val="99"/>
    <w:qFormat/>
    <w:pPr>
      <w:tabs>
        <w:tab w:val="center" w:pos="4153"/>
        <w:tab w:val="right" w:pos="8306"/>
      </w:tabs>
      <w:snapToGrid w:val="0"/>
      <w:jc w:val="left"/>
    </w:pPr>
    <w:rPr>
      <w:sz w:val="18"/>
      <w:szCs w:val="20"/>
    </w:rPr>
  </w:style>
  <w:style w:type="paragraph" w:styleId="a5">
    <w:name w:val="header"/>
    <w:basedOn w:val="a"/>
    <w:link w:val="Char0"/>
    <w:uiPriority w:val="99"/>
    <w:pPr>
      <w:pBdr>
        <w:bottom w:val="single" w:sz="4"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qFormat/>
    <w:rPr>
      <w:kern w:val="2"/>
      <w:sz w:val="18"/>
      <w:szCs w:val="18"/>
    </w:rPr>
  </w:style>
  <w:style w:type="character" w:customStyle="1" w:styleId="Char">
    <w:name w:val="页脚 Char"/>
    <w:basedOn w:val="a1"/>
    <w:link w:val="a4"/>
    <w:uiPriority w:val="99"/>
    <w:qFormat/>
    <w:rPr>
      <w:kern w:val="2"/>
      <w:sz w:val="18"/>
    </w:rPr>
  </w:style>
  <w:style w:type="character" w:customStyle="1" w:styleId="font11">
    <w:name w:val="font11"/>
    <w:basedOn w:val="a1"/>
    <w:rPr>
      <w:rFonts w:ascii="宋体" w:eastAsia="宋体" w:hAnsi="宋体" w:cs="宋体" w:hint="eastAsia"/>
      <w:color w:val="000000"/>
      <w:sz w:val="18"/>
      <w:szCs w:val="18"/>
      <w:u w:val="none"/>
    </w:rPr>
  </w:style>
  <w:style w:type="paragraph" w:styleId="a6">
    <w:name w:val="Body Text"/>
    <w:basedOn w:val="a"/>
    <w:link w:val="Char1"/>
    <w:uiPriority w:val="1"/>
    <w:qFormat/>
    <w:rsid w:val="00E02444"/>
    <w:pPr>
      <w:ind w:left="109"/>
    </w:pPr>
    <w:rPr>
      <w:rFonts w:ascii="Arial Unicode MS" w:eastAsia="Arial Unicode MS" w:hAnsi="Arial Unicode MS" w:cs="Arial Unicode MS"/>
      <w:sz w:val="32"/>
      <w:szCs w:val="32"/>
    </w:rPr>
  </w:style>
  <w:style w:type="character" w:customStyle="1" w:styleId="Char1">
    <w:name w:val="正文文本 Char"/>
    <w:basedOn w:val="a1"/>
    <w:link w:val="a6"/>
    <w:uiPriority w:val="1"/>
    <w:rsid w:val="00E02444"/>
    <w:rPr>
      <w:rFonts w:ascii="Arial Unicode MS" w:eastAsia="Arial Unicode MS" w:hAnsi="Arial Unicode MS" w:cs="Arial Unicode M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19</Pages>
  <Words>1198</Words>
  <Characters>6833</Characters>
  <Application>Microsoft Office Word</Application>
  <DocSecurity>0</DocSecurity>
  <Lines>56</Lines>
  <Paragraphs>16</Paragraphs>
  <ScaleCrop>false</ScaleCrop>
  <Company/>
  <LinksUpToDate>false</LinksUpToDate>
  <CharactersWithSpaces>8015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jscxw</dc:creator>
  <cp:lastModifiedBy>lenovo</cp:lastModifiedBy>
  <cp:revision>5</cp:revision>
  <dcterms:created xsi:type="dcterms:W3CDTF">2024-05-20T09:00:00Z</dcterms:created>
  <dcterms:modified xsi:type="dcterms:W3CDTF">2024-05-22T02:55:00Z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CB880C7629894C57986C623B075C9A8B_13</vt:lpwstr>
  </property>
</Properties>
</file>