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360" w:lineRule="auto"/>
        <w:rPr>
          <w:rFonts w:ascii="方正小标宋简体" w:eastAsia="方正小标宋简体"/>
          <w:sz w:val="36"/>
          <w:szCs w:val="36"/>
        </w:rPr>
      </w:pPr>
      <w:r>
        <w:rPr>
          <w:rFonts w:hint="eastAsia" w:ascii="方正黑体_GBK" w:hAnsi="方正黑体_GBK" w:eastAsia="方正黑体_GBK" w:cs="方正黑体_GBK"/>
          <w:sz w:val="32"/>
        </w:rPr>
        <w:t>附件4</w:t>
      </w:r>
    </w:p>
    <w:p>
      <w:pPr>
        <w:spacing w:line="360" w:lineRule="auto"/>
        <w:jc w:val="center"/>
        <w:rPr>
          <w:rFonts w:ascii="方正小标宋简体" w:eastAsia="方正小标宋简体"/>
          <w:sz w:val="36"/>
          <w:szCs w:val="36"/>
        </w:rPr>
      </w:pPr>
      <w:r>
        <w:rPr>
          <w:rFonts w:hint="eastAsia" w:ascii="方正小标宋简体" w:eastAsia="方正小标宋简体"/>
          <w:sz w:val="36"/>
          <w:szCs w:val="36"/>
        </w:rPr>
        <w:t>九三学社北京市委员会</w:t>
      </w:r>
    </w:p>
    <w:p>
      <w:pPr>
        <w:spacing w:line="360" w:lineRule="auto"/>
        <w:jc w:val="center"/>
        <w:rPr>
          <w:rFonts w:ascii="方正小标宋简体" w:eastAsia="方正小标宋简体"/>
          <w:sz w:val="36"/>
          <w:szCs w:val="36"/>
        </w:rPr>
      </w:pPr>
      <w:r>
        <w:rPr>
          <w:rFonts w:hint="eastAsia" w:ascii="方正小标宋简体" w:eastAsia="方正小标宋简体"/>
          <w:sz w:val="36"/>
          <w:szCs w:val="36"/>
        </w:rPr>
        <w:t>整体绩效报告</w:t>
      </w:r>
    </w:p>
    <w:p>
      <w:pPr>
        <w:spacing w:line="360" w:lineRule="auto"/>
        <w:jc w:val="center"/>
        <w:rPr>
          <w:rFonts w:ascii="仿宋_GB2312"/>
          <w:szCs w:val="30"/>
        </w:rPr>
      </w:pPr>
    </w:p>
    <w:p>
      <w:pPr>
        <w:spacing w:line="360" w:lineRule="auto"/>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一、部门概况</w:t>
      </w:r>
    </w:p>
    <w:p>
      <w:pPr>
        <w:spacing w:line="360" w:lineRule="auto"/>
        <w:ind w:firstLine="640" w:firstLineChars="200"/>
        <w:rPr>
          <w:rFonts w:ascii="楷体_GB2312" w:eastAsia="楷体_GB2312"/>
          <w:sz w:val="32"/>
          <w:szCs w:val="32"/>
        </w:rPr>
      </w:pPr>
      <w:r>
        <w:rPr>
          <w:rFonts w:hint="eastAsia" w:ascii="楷体_GB2312" w:eastAsia="楷体_GB2312"/>
          <w:sz w:val="32"/>
          <w:szCs w:val="32"/>
        </w:rPr>
        <w:t>（一）机构设置及职责工作任务情况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九三学社北京市委员会属全额拨款的行政单位。财政预算级次为市本级，无基层单位。经市编办核定批准，我单位设有4部1室，包括：参政议政部、宣传研究部、组织部、社会工作部、办公室。</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主要职能为：九三学社是以科学技术界高、中级知识分子为主的具有政治联盟特点的政党，是接受中国共产党领导、同中国共产党通力合作的亲密友党，是中国共产党的好参谋、好帮手、好同事，是中国特色社会主义参政党。</w:t>
      </w:r>
    </w:p>
    <w:p>
      <w:pPr>
        <w:numPr>
          <w:ilvl w:val="0"/>
          <w:numId w:val="1"/>
        </w:numPr>
        <w:spacing w:line="360" w:lineRule="auto"/>
        <w:ind w:firstLine="640" w:firstLineChars="200"/>
        <w:rPr>
          <w:rFonts w:ascii="楷体_GB2312" w:eastAsia="楷体_GB2312"/>
          <w:sz w:val="32"/>
          <w:szCs w:val="32"/>
        </w:rPr>
      </w:pPr>
      <w:r>
        <w:rPr>
          <w:rFonts w:hint="eastAsia" w:ascii="楷体_GB2312" w:eastAsia="楷体_GB2312"/>
          <w:sz w:val="32"/>
          <w:szCs w:val="32"/>
        </w:rPr>
        <w:t>部门整体绩效目标设立情况（包括绩效目标设立依据、目标</w:t>
      </w:r>
      <w:r>
        <w:rPr>
          <w:rFonts w:ascii="楷体_GB2312" w:eastAsia="楷体_GB2312"/>
          <w:sz w:val="32"/>
          <w:szCs w:val="32"/>
        </w:rPr>
        <w:t>与</w:t>
      </w:r>
      <w:r>
        <w:rPr>
          <w:rFonts w:hint="eastAsia" w:ascii="楷体_GB2312" w:eastAsia="楷体_GB2312"/>
          <w:sz w:val="32"/>
          <w:szCs w:val="32"/>
        </w:rPr>
        <w:t>职责任务匹配情况、目标合理性等）。</w:t>
      </w:r>
    </w:p>
    <w:p>
      <w:pPr>
        <w:spacing w:line="360" w:lineRule="auto"/>
        <w:ind w:firstLine="640" w:firstLineChars="200"/>
        <w:rPr>
          <w:rFonts w:ascii="仿宋" w:hAnsi="仿宋" w:eastAsia="仿宋"/>
          <w:sz w:val="32"/>
          <w:szCs w:val="32"/>
        </w:rPr>
      </w:pPr>
      <w:r>
        <w:rPr>
          <w:rFonts w:hint="eastAsia" w:ascii="仿宋" w:hAnsi="仿宋" w:eastAsia="仿宋" w:cs="仿宋"/>
          <w:bCs/>
          <w:sz w:val="32"/>
          <w:szCs w:val="32"/>
        </w:rPr>
        <w:t>2023年是全面贯彻落实中共二十大精神的开局之年。</w:t>
      </w:r>
      <w:r>
        <w:rPr>
          <w:rFonts w:hint="eastAsia" w:ascii="仿宋" w:hAnsi="仿宋" w:eastAsia="仿宋"/>
          <w:sz w:val="32"/>
          <w:szCs w:val="32"/>
        </w:rPr>
        <w:t>九三学社北京市委认真筹划财政资金使用分配计划，编制《2023年部门整体支出绩效目标申报表》，明确了部门总体绩效目标：深入学习贯彻中共二十大、九三学社十二大、中共北京市第十三次代表大会精神，深刻领悟“两个确立”的决定性意义，增强“四个意识”，坚定“四个自信”，做到“两个维护”，立足新起点，聚焦新任务，以饱满的政治热情、强烈的责任担当、良好的精神状态履职尽责，不断提升政治协商、民主监督、参政议政质量水平，更好凝聚政治共识，始终做中国共产党的好参谋、好帮手、好同事，切实肩负起中国特色社会主义参政党的使命担当。根据总体目标并结合2023年工作重点，从参政议政，组织建设，宣传研究，到社会服务等工作，共设定了9个绩效指标，指标设定与九三学社北京市委职能定位、发展规划和工作计划相匹配，能够清晰反映具体要求和实现成果，符合相关法律法规的要求及部门整体支出的客观实际，目标依据充分，具有一定的可操作性和可实现性。</w:t>
      </w:r>
    </w:p>
    <w:p>
      <w:pPr>
        <w:spacing w:line="360" w:lineRule="auto"/>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二</w:t>
      </w:r>
      <w:r>
        <w:rPr>
          <w:rFonts w:ascii="黑体" w:hAnsi="黑体" w:eastAsia="黑体" w:cs="宋体"/>
          <w:color w:val="000000"/>
          <w:kern w:val="0"/>
          <w:sz w:val="32"/>
          <w:szCs w:val="32"/>
        </w:rPr>
        <w:t>、</w:t>
      </w:r>
      <w:r>
        <w:rPr>
          <w:rFonts w:hint="eastAsia" w:ascii="黑体" w:hAnsi="黑体" w:eastAsia="黑体" w:cs="宋体"/>
          <w:color w:val="000000"/>
          <w:kern w:val="0"/>
          <w:sz w:val="32"/>
          <w:szCs w:val="32"/>
        </w:rPr>
        <w:t>当年</w:t>
      </w:r>
      <w:r>
        <w:rPr>
          <w:rFonts w:ascii="黑体" w:hAnsi="黑体" w:eastAsia="黑体" w:cs="宋体"/>
          <w:color w:val="000000"/>
          <w:kern w:val="0"/>
          <w:sz w:val="32"/>
          <w:szCs w:val="32"/>
        </w:rPr>
        <w:t>预算执行情况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2023年全年预算数1543.91万元，其中，基本支出预算数1360.84万元，项目支出预算数183.07万元，其他支出预算数0万元。资金总体支出1500.13万元，其中，基本支出1324.44万元，项目支出175.69万元。预算执行率为97.16%。</w:t>
      </w:r>
    </w:p>
    <w:p>
      <w:pPr>
        <w:spacing w:line="360" w:lineRule="auto"/>
        <w:ind w:firstLine="640" w:firstLineChars="200"/>
        <w:rPr>
          <w:rFonts w:ascii="黑体" w:hAnsi="黑体" w:eastAsia="黑体" w:cs="宋体"/>
          <w:color w:val="000000"/>
          <w:kern w:val="0"/>
          <w:sz w:val="32"/>
          <w:szCs w:val="32"/>
        </w:rPr>
      </w:pPr>
      <w:r>
        <w:rPr>
          <w:rFonts w:hint="eastAsia" w:ascii="黑体" w:hAnsi="黑体" w:eastAsia="黑体" w:cs="宋体"/>
          <w:color w:val="000000"/>
          <w:kern w:val="0"/>
          <w:sz w:val="32"/>
          <w:szCs w:val="32"/>
        </w:rPr>
        <w:t>三</w:t>
      </w:r>
      <w:r>
        <w:rPr>
          <w:rFonts w:ascii="黑体" w:hAnsi="黑体" w:eastAsia="黑体" w:cs="宋体"/>
          <w:color w:val="000000"/>
          <w:kern w:val="0"/>
          <w:sz w:val="32"/>
          <w:szCs w:val="32"/>
        </w:rPr>
        <w:t>、整体绩效目标实现情况</w:t>
      </w:r>
    </w:p>
    <w:p>
      <w:pPr>
        <w:widowControl/>
        <w:adjustRightInd w:val="0"/>
        <w:snapToGrid w:val="0"/>
        <w:spacing w:line="360" w:lineRule="auto"/>
        <w:ind w:firstLine="640" w:firstLineChars="200"/>
        <w:rPr>
          <w:rFonts w:ascii="仿宋" w:eastAsia="仿宋" w:cs="仿宋"/>
          <w:sz w:val="32"/>
          <w:szCs w:val="32"/>
        </w:rPr>
      </w:pPr>
      <w:r>
        <w:rPr>
          <w:rFonts w:hint="eastAsia" w:ascii="仿宋" w:hAnsi="仿宋" w:eastAsia="仿宋" w:cs="仿宋"/>
          <w:bCs/>
          <w:sz w:val="32"/>
          <w:szCs w:val="32"/>
        </w:rPr>
        <w:t>2023年是全面贯彻落实中共二十大精神的开局之年。在九三学社中央和中共北京市委领导下，在中共市委统战部指导下，社北京市委深入学习贯彻习近平新时代中国特色社会主义思想、中共二十大精神、社十二大精神，深入开展“</w:t>
      </w:r>
      <w:r>
        <w:rPr>
          <w:rFonts w:ascii="仿宋" w:hAnsi="仿宋" w:eastAsia="仿宋" w:cs="仿宋"/>
          <w:bCs/>
          <w:sz w:val="32"/>
          <w:szCs w:val="32"/>
        </w:rPr>
        <w:t>凝心铸魂强根基、团结奋进新征程</w:t>
      </w:r>
      <w:r>
        <w:rPr>
          <w:rFonts w:hint="eastAsia" w:ascii="仿宋" w:hAnsi="仿宋" w:eastAsia="仿宋" w:cs="仿宋"/>
          <w:bCs/>
          <w:sz w:val="32"/>
          <w:szCs w:val="32"/>
        </w:rPr>
        <w:t>”主题教育，紧扣“学思想、强根基、重履职、建新功”总要求，将主题教育融入社务工作全链条，串联起自身建设、履行职能各方面，圆满完成各项任务。</w:t>
      </w:r>
    </w:p>
    <w:p>
      <w:pPr>
        <w:spacing w:line="360" w:lineRule="auto"/>
        <w:ind w:left="105" w:leftChars="50" w:firstLine="482" w:firstLineChars="150"/>
        <w:rPr>
          <w:rFonts w:ascii="楷体_GB2312" w:eastAsia="楷体_GB2312"/>
          <w:b/>
          <w:bCs/>
          <w:sz w:val="32"/>
          <w:szCs w:val="32"/>
        </w:rPr>
      </w:pPr>
      <w:r>
        <w:rPr>
          <w:rFonts w:hint="eastAsia" w:ascii="楷体_GB2312" w:eastAsia="楷体_GB2312"/>
          <w:b/>
          <w:bCs/>
          <w:sz w:val="32"/>
          <w:szCs w:val="32"/>
        </w:rPr>
        <w:t>（一）产出完成情况分析</w:t>
      </w:r>
    </w:p>
    <w:p>
      <w:pPr>
        <w:spacing w:line="360" w:lineRule="auto"/>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1.产出数量</w:t>
      </w:r>
    </w:p>
    <w:p>
      <w:pPr>
        <w:spacing w:line="360" w:lineRule="auto"/>
        <w:ind w:firstLine="640" w:firstLineChars="200"/>
        <w:rPr>
          <w:rFonts w:ascii="仿宋" w:hAnsi="仿宋" w:eastAsia="仿宋"/>
          <w:sz w:val="32"/>
          <w:szCs w:val="32"/>
        </w:rPr>
      </w:pPr>
      <w:r>
        <w:rPr>
          <w:rFonts w:hint="eastAsia" w:ascii="仿宋" w:hAnsi="仿宋" w:eastAsia="仿宋"/>
          <w:sz w:val="32"/>
          <w:szCs w:val="32"/>
        </w:rPr>
        <w:t>按照社中央和中共北京市委部署要求，九三学社北京市委开展学习宣传贯彻中共二十大精神相关工作，累计开展各类学习活动70余次。</w:t>
      </w:r>
      <w:r>
        <w:rPr>
          <w:rFonts w:hint="eastAsia" w:ascii="仿宋" w:hAnsi="仿宋" w:eastAsia="仿宋" w:cs="黑体"/>
          <w:sz w:val="32"/>
          <w:szCs w:val="32"/>
        </w:rPr>
        <w:t>强化与社外媒体合作，通过北京电视台、中国新闻报、团结报等媒体报道主题教育等重要活动、优秀人物20余次。</w:t>
      </w:r>
      <w:r>
        <w:rPr>
          <w:rFonts w:hint="eastAsia" w:ascii="仿宋" w:hAnsi="仿宋" w:eastAsia="仿宋"/>
          <w:sz w:val="32"/>
          <w:szCs w:val="32"/>
        </w:rPr>
        <w:t>在全社范围迅速兴起学习宣传贯彻热潮，使中共二十大精神深入人心。</w:t>
      </w:r>
    </w:p>
    <w:p>
      <w:pPr>
        <w:spacing w:line="360" w:lineRule="auto"/>
        <w:ind w:firstLine="640" w:firstLineChars="200"/>
        <w:rPr>
          <w:rFonts w:ascii="仿宋" w:hAnsi="仿宋" w:eastAsia="仿宋"/>
          <w:sz w:val="32"/>
          <w:szCs w:val="32"/>
        </w:rPr>
      </w:pPr>
      <w:r>
        <w:rPr>
          <w:rFonts w:hint="eastAsia" w:ascii="仿宋" w:hAnsi="仿宋" w:eastAsia="仿宋"/>
          <w:sz w:val="32"/>
          <w:szCs w:val="32"/>
        </w:rPr>
        <w:t>2023年科学制定社北京市委组织发展计划，持续推进“人才强社”战略，组织发展工作进展高效，社员数量稳步增加。全年共发展社员510人，平均年龄39.6岁，其中，长江学者、国家杰青等高层次人才10人，具有高级职称或博士学位的社员比例为60%。</w:t>
      </w:r>
    </w:p>
    <w:p>
      <w:pPr>
        <w:pStyle w:val="2"/>
        <w:spacing w:line="360" w:lineRule="auto"/>
        <w:ind w:firstLine="640"/>
        <w:rPr>
          <w:rFonts w:ascii="仿宋" w:hAnsi="仿宋" w:eastAsia="仿宋" w:cs="仿宋"/>
          <w:color w:val="FF0000"/>
          <w:sz w:val="32"/>
          <w:szCs w:val="32"/>
        </w:rPr>
      </w:pPr>
      <w:r>
        <w:rPr>
          <w:rFonts w:hint="eastAsia" w:ascii="仿宋" w:hAnsi="仿宋" w:eastAsia="仿宋" w:cs="仿宋"/>
          <w:sz w:val="32"/>
          <w:szCs w:val="32"/>
        </w:rPr>
        <w:t>健全完善参政议政工作，在“固本强基”上下功夫，深耕重点领域人才建设，将人才库数据优势转化为履职效能，让“参政议政人才库”活起来，同时构建“源头发现、全程辅导、以老带新、工作锻炼”的人才培养模式。</w:t>
      </w:r>
      <w:r>
        <w:rPr>
          <w:rFonts w:hint="eastAsia" w:ascii="仿宋" w:hAnsi="仿宋" w:eastAsia="仿宋" w:cs="仿宋"/>
          <w:bCs/>
          <w:sz w:val="32"/>
          <w:szCs w:val="32"/>
        </w:rPr>
        <w:t>结合社中央年度重点调研课题《以科技创新引领制造业重点产业链优化升级》，在北京大学举办“九三学社中央第三十三次科学座谈会”，邀请社内外院士专家15人作重点发言，形成《深化体制机制改革 提高制造业企业基础研究和原始创新能力》等5项调研成果，得到社中央领导肯定，为社中央党派大调研提供重要支撑。围绕社中央重点课题共报送建议案9篇，其中，《未来一段时期我国基础研究最需关注的几个重点方向及政策建议》被转化为全国政协协商会发言。</w:t>
      </w:r>
    </w:p>
    <w:p>
      <w:pPr>
        <w:pStyle w:val="2"/>
        <w:spacing w:line="360" w:lineRule="auto"/>
        <w:ind w:firstLine="640"/>
        <w:rPr>
          <w:rFonts w:ascii="仿宋" w:hAnsi="仿宋" w:eastAsia="仿宋" w:cs="仿宋"/>
          <w:bCs/>
          <w:sz w:val="32"/>
          <w:szCs w:val="32"/>
        </w:rPr>
      </w:pPr>
      <w:r>
        <w:rPr>
          <w:rFonts w:hint="eastAsia" w:ascii="仿宋" w:hAnsi="仿宋" w:eastAsia="仿宋" w:cs="仿宋"/>
          <w:bCs/>
          <w:sz w:val="32"/>
          <w:szCs w:val="32"/>
        </w:rPr>
        <w:t>坚持办好九三三城发展座谈会、九三京津冀协同发展座谈会、九三京西发展座谈会，分别以“强化基础研究助力产业链升级”“破除京津冀协同发展体制机制束缚”“科技创新驱动 助力京西发展”为主题举办3场座谈会。社中央主席武维华、中共市委统战部部长杨晋柏等领导出席，社内外专家500余人次参与，</w:t>
      </w:r>
      <w:r>
        <w:rPr>
          <w:rFonts w:hint="eastAsia" w:ascii="仿宋" w:hAnsi="仿宋" w:eastAsia="仿宋" w:cs="仿宋"/>
          <w:sz w:val="32"/>
          <w:szCs w:val="32"/>
        </w:rPr>
        <w:t>共收集发言材料100余篇，</w:t>
      </w:r>
      <w:r>
        <w:rPr>
          <w:rFonts w:hint="eastAsia" w:ascii="仿宋" w:hAnsi="仿宋" w:eastAsia="仿宋" w:cs="仿宋"/>
          <w:bCs/>
          <w:sz w:val="32"/>
          <w:szCs w:val="32"/>
        </w:rPr>
        <w:t>形成政策建议17件。</w:t>
      </w:r>
    </w:p>
    <w:p>
      <w:pPr>
        <w:tabs>
          <w:tab w:val="left" w:pos="0"/>
        </w:tabs>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rPr>
        <w:t>推进“九广合作”，协助四川广元医生到北京三甲医院进修。支持昌平育新学校与贵州兴义八小开展课程建设，加强交流培训。参加“九琼合作”座谈会，围绕“助力海南自贸港建设”等问题形成3篇高质量报告。</w:t>
      </w:r>
    </w:p>
    <w:p>
      <w:pPr>
        <w:spacing w:line="360" w:lineRule="auto"/>
        <w:ind w:firstLine="640" w:firstLineChars="200"/>
        <w:rPr>
          <w:rFonts w:ascii="仿宋" w:hAnsi="仿宋" w:eastAsia="仿宋" w:cs="宋体"/>
          <w:color w:val="000000"/>
          <w:kern w:val="0"/>
          <w:sz w:val="32"/>
          <w:szCs w:val="32"/>
        </w:rPr>
      </w:pPr>
      <w:r>
        <w:rPr>
          <w:rFonts w:hint="eastAsia" w:ascii="仿宋" w:hAnsi="仿宋" w:eastAsia="仿宋" w:cs="宋体"/>
          <w:color w:val="000000"/>
          <w:kern w:val="0"/>
          <w:sz w:val="32"/>
          <w:szCs w:val="32"/>
        </w:rPr>
        <w:t>2.产出</w:t>
      </w:r>
      <w:r>
        <w:rPr>
          <w:rFonts w:ascii="仿宋" w:hAnsi="仿宋" w:eastAsia="仿宋" w:cs="宋体"/>
          <w:color w:val="000000"/>
          <w:kern w:val="0"/>
          <w:sz w:val="32"/>
          <w:szCs w:val="32"/>
        </w:rPr>
        <w:t>质量</w:t>
      </w:r>
    </w:p>
    <w:p>
      <w:pPr>
        <w:spacing w:line="360" w:lineRule="auto"/>
        <w:ind w:firstLine="640" w:firstLineChars="200"/>
        <w:rPr>
          <w:rFonts w:ascii="仿宋" w:hAnsi="仿宋" w:eastAsia="仿宋" w:cs="仿宋"/>
          <w:bCs/>
          <w:sz w:val="32"/>
          <w:szCs w:val="32"/>
        </w:rPr>
      </w:pPr>
      <w:r>
        <w:rPr>
          <w:rFonts w:hint="eastAsia" w:ascii="仿宋" w:hAnsi="仿宋" w:eastAsia="仿宋"/>
          <w:sz w:val="32"/>
          <w:szCs w:val="32"/>
        </w:rPr>
        <w:t>2023年，社北京市委以助推国家和首都高质量发展为目标，深入开展参政议政工作。</w:t>
      </w:r>
      <w:r>
        <w:rPr>
          <w:rFonts w:hint="eastAsia" w:ascii="仿宋" w:hAnsi="仿宋" w:eastAsia="仿宋" w:cs="仿宋"/>
          <w:bCs/>
          <w:sz w:val="32"/>
          <w:szCs w:val="32"/>
        </w:rPr>
        <w:t>在全国政协十四届一次会议上，刘忠范主委代表社中央作题为“‘制造强国’呼唤新时代卓越工程师”的发言。刘忠范、闵庆文、李景虹、戚益军等分别撰写的建议被全国政协采用。向市政协提交党派提案8件、九三学社界别提案3件，其中，《关于完善乡村振兴背景下首都农村养老服务体系的提案》等2件提案被评为优秀提案。在市政协和中共市委统战部联合召开的2次议政会上，作《让“科技之花”结出“产业之果”打造新型研发机构的北京范本》等党派发言，得到中共北京市委、市政府领导高度肯定。参加《北京国际科技创新中心建设条例（草案）》立法协商工作，提出6条建议。《北京农村养老问题政策建议》等7篇议政建言成果，作为市政协议政性常委会、专题协商会等重点发言，得到市政协领导高度肯定，实现政协协商选题全覆盖。充分发挥党派提案办理作用，用好各级政协委员工作室，加强与政府部门联系，召开7次提案办理座谈会，部分建议被纳入有关政策法规。</w:t>
      </w:r>
    </w:p>
    <w:p>
      <w:pPr>
        <w:spacing w:line="360" w:lineRule="auto"/>
        <w:ind w:firstLine="640" w:firstLineChars="200"/>
        <w:rPr>
          <w:rFonts w:ascii="仿宋" w:hAnsi="仿宋" w:eastAsia="仿宋" w:cs="仿宋"/>
          <w:bCs/>
          <w:sz w:val="32"/>
          <w:szCs w:val="32"/>
        </w:rPr>
      </w:pPr>
      <w:r>
        <w:rPr>
          <w:rFonts w:hint="eastAsia" w:ascii="仿宋" w:hAnsi="仿宋" w:eastAsia="仿宋" w:cs="黑体"/>
          <w:sz w:val="32"/>
          <w:szCs w:val="32"/>
        </w:rPr>
        <w:t>完成青年工作委员会换届，青年工作蓬勃开展。</w:t>
      </w:r>
      <w:r>
        <w:rPr>
          <w:rFonts w:hint="eastAsia" w:ascii="仿宋" w:hAnsi="仿宋" w:eastAsia="仿宋" w:cs="仿宋"/>
          <w:bCs/>
          <w:sz w:val="32"/>
          <w:szCs w:val="32"/>
        </w:rPr>
        <w:t>新一届青工委提出“一个平台，两个抓手，三个目标，四个原则”工作方针，通过开展主题教育、口述史活动等，加强青年社员思想政治建设。组建老社员口述史工作坊，整理采访资料3万余字。举办第五届医工融合青年论坛，共300余人次参与，形成的2篇建议均被市政协采用并报送全国政协。选派24名青年社员参加社中央举办的京津冀青年论坛等活动。紧抓履职主线，举办3期“九三新引力”新社员培训班，共培训370余人，探索建立新社员临时支社10个，将人才培养与信息工作有机融合。截至目前，青工委、青年履职小组及新社员共提交信息190篇，人均上报率51.1%。其中24篇被社中央、市政协、市委统战部采用，1篇得到中共北京市委主要领导批示。</w:t>
      </w:r>
    </w:p>
    <w:p>
      <w:pPr>
        <w:tabs>
          <w:tab w:val="left" w:pos="0"/>
        </w:tabs>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rPr>
        <w:t>加强统筹谋划，各工作机构活动亮点纷呈。妇委会联合社中央举办“与智慧为伴、携健康同行”庆祝国际劳动妇女节活动。京津冀三地妇女工作委员会联合举办纪念“五一”口号发布75周年专题教育活动。老龄委举办“汉唐之间丝路考古与曹衣出水艺术”等近10场讲座。联络委筹建“</w:t>
      </w:r>
      <w:bookmarkStart w:id="0" w:name="_Hlk141820437"/>
      <w:r>
        <w:rPr>
          <w:rFonts w:hint="eastAsia" w:ascii="仿宋" w:hAnsi="仿宋" w:eastAsia="仿宋" w:cs="仿宋"/>
          <w:bCs/>
          <w:sz w:val="32"/>
          <w:szCs w:val="32"/>
        </w:rPr>
        <w:t>海外华人华裔专家</w:t>
      </w:r>
      <w:bookmarkEnd w:id="0"/>
      <w:r>
        <w:rPr>
          <w:rFonts w:hint="eastAsia" w:ascii="仿宋" w:hAnsi="仿宋" w:eastAsia="仿宋" w:cs="仿宋"/>
          <w:bCs/>
          <w:sz w:val="32"/>
          <w:szCs w:val="32"/>
        </w:rPr>
        <w:t>科技发展联络网”。法工委举办法律普及、心理咨询讲座。企业家联谊会统筹社内企业资源，参与九地合作、“8+1行动”。北京九三书画院完成换届并积极履职，举办“文化北京——延庆篇章”主题书画展，28位书画家提交作品40幅。</w:t>
      </w:r>
    </w:p>
    <w:p>
      <w:pPr>
        <w:tabs>
          <w:tab w:val="left" w:pos="0"/>
        </w:tabs>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rPr>
        <w:t>做深做实专项民主监督工作。深入开展调研，提高监督质量。调研组先后4次赴昌平未来科学城能源谷、沙河高教园等地调研，40余人次参与，实地考察</w:t>
      </w:r>
      <w:r>
        <w:rPr>
          <w:rFonts w:hint="eastAsia" w:ascii="仿宋" w:hAnsi="仿宋" w:eastAsia="仿宋" w:cs="仿宋"/>
          <w:sz w:val="32"/>
          <w:szCs w:val="32"/>
        </w:rPr>
        <w:t>国网智能电网研究院、北京科技大学国家材料服役安全科学中心、北京脑科学与类脑研究中心等</w:t>
      </w:r>
      <w:r>
        <w:rPr>
          <w:rFonts w:hint="eastAsia" w:ascii="仿宋" w:hAnsi="仿宋" w:eastAsia="仿宋" w:cs="仿宋"/>
          <w:bCs/>
          <w:sz w:val="32"/>
          <w:szCs w:val="32"/>
        </w:rPr>
        <w:t>多种类型科研机构和企业，与未来科学城管委会、昌平区相关委办局、央企研究机构、</w:t>
      </w:r>
      <w:r>
        <w:rPr>
          <w:rFonts w:hint="eastAsia" w:ascii="仿宋" w:hAnsi="仿宋" w:eastAsia="仿宋" w:cs="仿宋"/>
          <w:sz w:val="32"/>
          <w:szCs w:val="32"/>
        </w:rPr>
        <w:t>生物医药创新企业</w:t>
      </w:r>
      <w:r>
        <w:rPr>
          <w:rFonts w:hint="eastAsia" w:ascii="仿宋" w:hAnsi="仿宋" w:eastAsia="仿宋" w:cs="仿宋"/>
          <w:bCs/>
          <w:sz w:val="32"/>
          <w:szCs w:val="32"/>
        </w:rPr>
        <w:t>座谈交流。与未来科学城管委会和企业建立日常联系机制，反复沟通调研中发现的问题，保障监督质量和成效，形成3篇监督报告。</w:t>
      </w:r>
    </w:p>
    <w:p>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强化机关建设，创建“新·好”模范机关。按照社中央和中共市委统战部相关要求，围绕“凝聚思想、提升效能、建强队伍、夯实作风、树优形象”5个方面制定“新·好”模范机关建设工作方案。坚持“围绕中心 服务大局”原则，以“凝聚思想”为主题举办系列教育活动。以处室为单位开展读原著学原文活动。开展“有建议大家提”活动，全体机关干部围绕机关建设共提出建议72条。顺利完成机关搬迁北京城市副中心任务，保障社北京市委各项工作平稳进行。社北京市委社会工作部被授予第九届首都民族团结进步先进集体称号。</w:t>
      </w:r>
    </w:p>
    <w:p>
      <w:pPr>
        <w:spacing w:line="360" w:lineRule="auto"/>
        <w:ind w:firstLine="640" w:firstLineChars="200"/>
        <w:rPr>
          <w:rFonts w:ascii="仿宋" w:hAnsi="仿宋" w:eastAsia="仿宋"/>
          <w:sz w:val="32"/>
          <w:szCs w:val="32"/>
        </w:rPr>
      </w:pPr>
      <w:r>
        <w:rPr>
          <w:rFonts w:hint="eastAsia" w:ascii="仿宋" w:hAnsi="仿宋" w:eastAsia="仿宋"/>
          <w:sz w:val="32"/>
          <w:szCs w:val="32"/>
        </w:rPr>
        <w:t>3.产出</w:t>
      </w:r>
      <w:r>
        <w:rPr>
          <w:rFonts w:ascii="仿宋" w:hAnsi="仿宋" w:eastAsia="仿宋"/>
          <w:sz w:val="32"/>
          <w:szCs w:val="32"/>
        </w:rPr>
        <w:t>进度</w:t>
      </w:r>
    </w:p>
    <w:p>
      <w:pPr>
        <w:spacing w:line="360" w:lineRule="auto"/>
        <w:ind w:firstLine="640" w:firstLineChars="200"/>
        <w:rPr>
          <w:rFonts w:ascii="仿宋" w:hAnsi="仿宋" w:eastAsia="仿宋"/>
          <w:sz w:val="32"/>
          <w:szCs w:val="32"/>
        </w:rPr>
      </w:pPr>
      <w:r>
        <w:rPr>
          <w:rFonts w:hint="eastAsia" w:ascii="仿宋" w:hAnsi="仿宋" w:eastAsia="仿宋"/>
          <w:sz w:val="32"/>
          <w:szCs w:val="32"/>
        </w:rPr>
        <w:t>2023年九三学社北京市委重点工作及重点项目能够按照预期计划序时推进，并在年底达成预期目标。到2023年12月31日止，已全部完成项目各项预算工作任务。</w:t>
      </w:r>
    </w:p>
    <w:p>
      <w:pPr>
        <w:spacing w:line="360" w:lineRule="auto"/>
        <w:ind w:firstLine="640" w:firstLineChars="200"/>
        <w:rPr>
          <w:rFonts w:ascii="仿宋" w:hAnsi="仿宋" w:eastAsia="仿宋"/>
          <w:sz w:val="32"/>
          <w:szCs w:val="32"/>
        </w:rPr>
      </w:pPr>
      <w:r>
        <w:rPr>
          <w:rFonts w:hint="eastAsia" w:ascii="仿宋" w:hAnsi="仿宋" w:eastAsia="仿宋"/>
          <w:sz w:val="32"/>
          <w:szCs w:val="32"/>
        </w:rPr>
        <w:t>4.产出成本</w:t>
      </w:r>
    </w:p>
    <w:p>
      <w:pPr>
        <w:spacing w:line="360" w:lineRule="auto"/>
        <w:ind w:firstLine="640" w:firstLineChars="200"/>
        <w:rPr>
          <w:rFonts w:ascii="仿宋" w:hAnsi="仿宋" w:eastAsia="仿宋"/>
          <w:sz w:val="32"/>
          <w:szCs w:val="32"/>
        </w:rPr>
      </w:pPr>
      <w:r>
        <w:rPr>
          <w:rFonts w:hint="eastAsia" w:ascii="仿宋" w:hAnsi="仿宋" w:eastAsia="仿宋"/>
          <w:sz w:val="32"/>
          <w:szCs w:val="32"/>
        </w:rPr>
        <w:t>2023年实际支出1500.13万元，其中基本经费1324.44万元，项目经费175.69万元。基本经费中人员经费1213.00万元，公用经费111.44万元；项目经费共有8个项目，分别为：九三学社社会服务工作经费支出21.93万元，九三学社组织建设工作经费18.44万元，九三学社参政议政工作经费24.95万元，基层组织工作经费21.36万元，宣传研究工作经费支出28.89万元，专项民主监督经费支出6.85万元，办公室工作经费支出36.75万元，办公设备购置类项目支出13.95万元。</w:t>
      </w:r>
    </w:p>
    <w:p>
      <w:pPr>
        <w:spacing w:line="360" w:lineRule="auto"/>
        <w:ind w:firstLine="643" w:firstLineChars="200"/>
        <w:rPr>
          <w:rFonts w:ascii="仿宋" w:hAnsi="仿宋" w:eastAsia="仿宋"/>
          <w:b/>
          <w:bCs/>
          <w:sz w:val="32"/>
          <w:szCs w:val="32"/>
        </w:rPr>
      </w:pPr>
      <w:r>
        <w:rPr>
          <w:rFonts w:hint="eastAsia" w:ascii="仿宋" w:hAnsi="仿宋" w:eastAsia="仿宋"/>
          <w:b/>
          <w:bCs/>
          <w:sz w:val="32"/>
          <w:szCs w:val="32"/>
        </w:rPr>
        <w:t>（二）效果实现情况分析</w:t>
      </w:r>
    </w:p>
    <w:p>
      <w:pPr>
        <w:spacing w:line="360" w:lineRule="auto"/>
        <w:ind w:firstLine="640" w:firstLineChars="200"/>
        <w:rPr>
          <w:rFonts w:ascii="仿宋" w:hAnsi="仿宋" w:eastAsia="仿宋"/>
          <w:sz w:val="32"/>
          <w:szCs w:val="32"/>
        </w:rPr>
      </w:pPr>
      <w:r>
        <w:rPr>
          <w:rFonts w:hint="eastAsia" w:ascii="仿宋" w:hAnsi="仿宋" w:eastAsia="仿宋"/>
          <w:sz w:val="32"/>
          <w:szCs w:val="32"/>
        </w:rPr>
        <w:t>1.经济效益</w:t>
      </w:r>
    </w:p>
    <w:p>
      <w:pPr>
        <w:spacing w:line="360" w:lineRule="auto"/>
        <w:ind w:firstLine="640" w:firstLineChars="200"/>
        <w:rPr>
          <w:rFonts w:ascii="仿宋" w:hAnsi="仿宋" w:eastAsia="仿宋"/>
          <w:sz w:val="32"/>
          <w:szCs w:val="32"/>
        </w:rPr>
      </w:pPr>
      <w:r>
        <w:rPr>
          <w:rFonts w:hint="eastAsia" w:ascii="仿宋" w:hAnsi="仿宋" w:eastAsia="仿宋" w:cs="仿宋"/>
          <w:bCs/>
          <w:sz w:val="32"/>
          <w:szCs w:val="32"/>
        </w:rPr>
        <w:t>围绕门头沟区灾后重建，发动门头沟区基层委员会（筹）、企业家联谊会、青工委等捐款捐物共计100万元，提交相关建议69篇。</w:t>
      </w:r>
    </w:p>
    <w:p>
      <w:pPr>
        <w:spacing w:line="360" w:lineRule="auto"/>
        <w:ind w:firstLine="640" w:firstLineChars="200"/>
        <w:rPr>
          <w:rFonts w:ascii="仿宋" w:hAnsi="仿宋" w:eastAsia="仿宋"/>
          <w:sz w:val="32"/>
          <w:szCs w:val="32"/>
        </w:rPr>
      </w:pPr>
      <w:r>
        <w:rPr>
          <w:rFonts w:hint="eastAsia" w:ascii="仿宋" w:hAnsi="仿宋" w:eastAsia="仿宋"/>
          <w:sz w:val="32"/>
          <w:szCs w:val="32"/>
        </w:rPr>
        <w:t>2.社会效益</w:t>
      </w:r>
    </w:p>
    <w:p>
      <w:pPr>
        <w:tabs>
          <w:tab w:val="left" w:pos="0"/>
        </w:tabs>
        <w:spacing w:line="360" w:lineRule="auto"/>
        <w:ind w:firstLine="640" w:firstLineChars="200"/>
        <w:rPr>
          <w:rFonts w:ascii="仿宋" w:hAnsi="仿宋" w:eastAsia="仿宋" w:cs="仿宋"/>
          <w:bCs/>
          <w:sz w:val="32"/>
          <w:szCs w:val="32"/>
        </w:rPr>
      </w:pPr>
      <w:r>
        <w:rPr>
          <w:rFonts w:hint="eastAsia" w:ascii="仿宋" w:eastAsia="仿宋" w:cs="仿宋"/>
          <w:kern w:val="0"/>
          <w:sz w:val="32"/>
          <w:szCs w:val="32"/>
        </w:rPr>
        <w:t>九三学社北京市委坚持“科技强国、科普惠民”的职责使命，坚持开展形式丰富的科普活动。持续办好“科普中国——科学大咖面对面”科普品牌，</w:t>
      </w:r>
      <w:r>
        <w:rPr>
          <w:rFonts w:hint="eastAsia" w:ascii="仿宋" w:hAnsi="仿宋" w:eastAsia="仿宋" w:cs="仿宋"/>
          <w:bCs/>
          <w:sz w:val="32"/>
          <w:szCs w:val="32"/>
        </w:rPr>
        <w:t>先后邀请程和平院士、刘忠范院士、韩敏芳教授在京内外举办3场科普讲座，通过线上线下多渠道转播，</w:t>
      </w:r>
      <w:r>
        <w:rPr>
          <w:rFonts w:hint="eastAsia" w:ascii="仿宋" w:eastAsia="仿宋" w:cs="仿宋"/>
          <w:kern w:val="0"/>
          <w:sz w:val="32"/>
          <w:szCs w:val="32"/>
        </w:rPr>
        <w:t>受众约10万人。</w:t>
      </w:r>
      <w:r>
        <w:rPr>
          <w:rFonts w:hint="eastAsia" w:ascii="仿宋" w:hAnsi="仿宋" w:eastAsia="仿宋" w:cs="仿宋"/>
          <w:bCs/>
          <w:sz w:val="32"/>
          <w:szCs w:val="32"/>
        </w:rPr>
        <w:t>支持基层开展科普工作，各级组织举办“小科学大梦想”“健康益起来”等活动10余场。</w:t>
      </w:r>
    </w:p>
    <w:p>
      <w:pPr>
        <w:spacing w:line="360" w:lineRule="auto"/>
        <w:ind w:firstLine="640" w:firstLineChars="200"/>
        <w:rPr>
          <w:rFonts w:ascii="仿宋" w:eastAsia="仿宋" w:cs="仿宋"/>
          <w:kern w:val="0"/>
          <w:sz w:val="32"/>
          <w:szCs w:val="32"/>
        </w:rPr>
      </w:pPr>
      <w:r>
        <w:rPr>
          <w:rFonts w:hint="eastAsia" w:ascii="仿宋" w:hAnsi="仿宋" w:eastAsia="仿宋" w:cs="仿宋"/>
          <w:bCs/>
          <w:sz w:val="32"/>
          <w:szCs w:val="32"/>
        </w:rPr>
        <w:t>围绕中共市委统战部“8+1行动”工作部署和首届京西发展座谈会成果转化，与门头沟区签署“深化支持门头沟区发展‘8+1’行动三年计划”，推动“门头沟京白梨栽培系统”入选第七批中国重要农业文化遗产项目。坚持“名医工作室”品牌项目，组织朝阳医院、世纪坛医院专家在门头沟区妙峰山卫生院出诊带教。</w:t>
      </w:r>
    </w:p>
    <w:p>
      <w:pPr>
        <w:spacing w:line="360" w:lineRule="auto"/>
        <w:ind w:left="105" w:leftChars="50" w:firstLine="480" w:firstLineChars="15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3.环境效益</w:t>
      </w:r>
    </w:p>
    <w:p>
      <w:pPr>
        <w:spacing w:line="360" w:lineRule="auto"/>
        <w:ind w:left="105" w:leftChars="50" w:firstLine="480" w:firstLineChars="150"/>
        <w:rPr>
          <w:rFonts w:ascii="仿宋" w:eastAsia="仿宋" w:cs="仿宋_GB2312"/>
          <w:sz w:val="32"/>
          <w:szCs w:val="32"/>
        </w:rPr>
      </w:pPr>
      <w:r>
        <w:rPr>
          <w:rFonts w:hint="eastAsia" w:ascii="仿宋" w:eastAsia="仿宋" w:cs="仿宋_GB2312"/>
          <w:sz w:val="32"/>
          <w:szCs w:val="32"/>
        </w:rPr>
        <w:t>未涉及。</w:t>
      </w:r>
    </w:p>
    <w:p>
      <w:pPr>
        <w:spacing w:line="360" w:lineRule="auto"/>
        <w:ind w:left="420" w:leftChars="200" w:firstLine="218" w:firstLineChars="68"/>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4.可持续</w:t>
      </w:r>
      <w:r>
        <w:rPr>
          <w:rFonts w:ascii="仿宋_GB2312" w:hAnsi="宋体" w:eastAsia="仿宋_GB2312" w:cs="宋体"/>
          <w:color w:val="000000"/>
          <w:kern w:val="0"/>
          <w:sz w:val="32"/>
          <w:szCs w:val="32"/>
        </w:rPr>
        <w:t>性影响</w:t>
      </w:r>
    </w:p>
    <w:p>
      <w:pPr>
        <w:spacing w:line="360" w:lineRule="auto"/>
        <w:ind w:firstLine="640" w:firstLineChars="200"/>
        <w:rPr>
          <w:rFonts w:ascii="仿宋" w:eastAsia="仿宋" w:cs="仿宋"/>
          <w:kern w:val="0"/>
          <w:sz w:val="32"/>
          <w:szCs w:val="32"/>
        </w:rPr>
      </w:pPr>
      <w:r>
        <w:rPr>
          <w:rFonts w:hint="eastAsia" w:ascii="仿宋" w:hAnsi="仿宋" w:eastAsia="仿宋" w:cs="仿宋"/>
          <w:bCs/>
          <w:sz w:val="32"/>
          <w:szCs w:val="32"/>
        </w:rPr>
        <w:t>发挥科技助农示范小院作用，通过门头沟区、顺义区科技助农示范小院和密云区院士专家服务站，推动当地农业规模化、标准化、品牌化、信息化发展。在平谷区挂甲峪村开展帮扶工作，建设“鱼菜共生”示范项目并进行全国性推广</w:t>
      </w:r>
      <w:r>
        <w:rPr>
          <w:rFonts w:hint="eastAsia" w:ascii="仿宋" w:eastAsia="仿宋" w:cs="仿宋"/>
          <w:kern w:val="0"/>
          <w:sz w:val="32"/>
          <w:szCs w:val="32"/>
        </w:rPr>
        <w:t>。</w:t>
      </w:r>
    </w:p>
    <w:p>
      <w:pPr>
        <w:spacing w:line="360" w:lineRule="auto"/>
        <w:ind w:firstLine="640" w:firstLineChars="200"/>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5.服务对象</w:t>
      </w:r>
      <w:r>
        <w:rPr>
          <w:rFonts w:ascii="仿宋_GB2312" w:hAnsi="宋体" w:eastAsia="仿宋_GB2312" w:cs="宋体"/>
          <w:color w:val="000000"/>
          <w:kern w:val="0"/>
          <w:sz w:val="32"/>
          <w:szCs w:val="32"/>
        </w:rPr>
        <w:t>满意度</w:t>
      </w:r>
    </w:p>
    <w:p>
      <w:pPr>
        <w:spacing w:line="360" w:lineRule="auto"/>
        <w:ind w:firstLine="640" w:firstLineChars="200"/>
        <w:rPr>
          <w:rFonts w:ascii="仿宋" w:hAnsi="仿宋" w:eastAsia="仿宋" w:cs="仿宋"/>
          <w:bCs/>
          <w:sz w:val="32"/>
          <w:szCs w:val="32"/>
        </w:rPr>
      </w:pPr>
      <w:r>
        <w:rPr>
          <w:rFonts w:hint="eastAsia" w:ascii="仿宋" w:hAnsi="仿宋" w:eastAsia="仿宋" w:cs="仿宋"/>
          <w:bCs/>
          <w:sz w:val="32"/>
          <w:szCs w:val="32"/>
        </w:rPr>
        <w:t>2023年在九三学社中央和中共北京市委的领导下，在中共市委统战部的工作指导下，围绕工作重点，圆满完成各项重大活动，有效地发挥界别优势，积极建言资政，较好地完成了全年部门整体绩效目标，达到较高的工作满意度。</w:t>
      </w:r>
    </w:p>
    <w:p>
      <w:pPr>
        <w:spacing w:line="360" w:lineRule="auto"/>
        <w:ind w:left="105" w:leftChars="50" w:firstLine="480" w:firstLineChars="150"/>
        <w:rPr>
          <w:rFonts w:ascii="黑体" w:hAnsi="黑体" w:eastAsia="黑体" w:cs="宋体"/>
          <w:color w:val="000000"/>
          <w:kern w:val="0"/>
          <w:sz w:val="32"/>
          <w:szCs w:val="32"/>
        </w:rPr>
      </w:pPr>
      <w:r>
        <w:rPr>
          <w:rFonts w:hint="eastAsia" w:ascii="黑体" w:hAnsi="黑体" w:eastAsia="黑体" w:cs="宋体"/>
          <w:color w:val="000000"/>
          <w:kern w:val="0"/>
          <w:sz w:val="32"/>
          <w:szCs w:val="32"/>
        </w:rPr>
        <w:t>四</w:t>
      </w:r>
      <w:r>
        <w:rPr>
          <w:rFonts w:ascii="黑体" w:hAnsi="黑体" w:eastAsia="黑体" w:cs="宋体"/>
          <w:color w:val="000000"/>
          <w:kern w:val="0"/>
          <w:sz w:val="32"/>
          <w:szCs w:val="32"/>
        </w:rPr>
        <w:t>、预算管理</w:t>
      </w:r>
      <w:r>
        <w:rPr>
          <w:rFonts w:hint="eastAsia" w:ascii="黑体" w:hAnsi="黑体" w:eastAsia="黑体" w:cs="宋体"/>
          <w:color w:val="000000"/>
          <w:kern w:val="0"/>
          <w:sz w:val="32"/>
          <w:szCs w:val="32"/>
        </w:rPr>
        <w:t>情况分</w:t>
      </w:r>
      <w:r>
        <w:rPr>
          <w:rFonts w:ascii="黑体" w:hAnsi="黑体" w:eastAsia="黑体" w:cs="宋体"/>
          <w:color w:val="000000"/>
          <w:kern w:val="0"/>
          <w:sz w:val="32"/>
          <w:szCs w:val="32"/>
        </w:rPr>
        <w:t>析</w:t>
      </w:r>
    </w:p>
    <w:p>
      <w:pPr>
        <w:spacing w:line="360" w:lineRule="auto"/>
        <w:ind w:left="105" w:leftChars="50" w:firstLine="480" w:firstLineChars="150"/>
        <w:rPr>
          <w:rFonts w:ascii="楷体_GB2312" w:eastAsia="楷体_GB2312"/>
          <w:sz w:val="32"/>
          <w:szCs w:val="32"/>
        </w:rPr>
      </w:pPr>
      <w:r>
        <w:rPr>
          <w:rFonts w:hint="eastAsia" w:ascii="楷体_GB2312" w:eastAsia="楷体_GB2312"/>
          <w:sz w:val="32"/>
          <w:szCs w:val="32"/>
        </w:rPr>
        <w:t>（一）财务管理</w:t>
      </w:r>
    </w:p>
    <w:p>
      <w:pPr>
        <w:spacing w:line="360" w:lineRule="auto"/>
        <w:ind w:left="105" w:leftChars="50" w:firstLine="480" w:firstLineChars="150"/>
        <w:rPr>
          <w:rFonts w:ascii="仿宋" w:hAnsi="仿宋" w:eastAsia="仿宋" w:cs="宋体"/>
          <w:color w:val="000000"/>
          <w:kern w:val="0"/>
          <w:sz w:val="32"/>
          <w:szCs w:val="32"/>
        </w:rPr>
      </w:pPr>
      <w:r>
        <w:rPr>
          <w:rFonts w:hint="eastAsia" w:ascii="仿宋" w:hAnsi="仿宋" w:eastAsia="仿宋" w:cs="宋体"/>
          <w:color w:val="000000"/>
          <w:kern w:val="0"/>
          <w:sz w:val="32"/>
          <w:szCs w:val="32"/>
        </w:rPr>
        <w:t>1.财务</w:t>
      </w:r>
      <w:r>
        <w:rPr>
          <w:rFonts w:ascii="仿宋" w:hAnsi="仿宋" w:eastAsia="仿宋" w:cs="宋体"/>
          <w:color w:val="000000"/>
          <w:kern w:val="0"/>
          <w:sz w:val="32"/>
          <w:szCs w:val="32"/>
        </w:rPr>
        <w:t>管理制度健全性</w:t>
      </w:r>
    </w:p>
    <w:p>
      <w:pPr>
        <w:spacing w:line="360" w:lineRule="auto"/>
        <w:ind w:firstLine="640" w:firstLineChars="200"/>
        <w:rPr>
          <w:rFonts w:ascii="仿宋" w:hAnsi="仿宋" w:eastAsia="仿宋"/>
          <w:sz w:val="32"/>
          <w:szCs w:val="32"/>
        </w:rPr>
      </w:pPr>
      <w:r>
        <w:rPr>
          <w:rFonts w:hint="eastAsia" w:ascii="仿宋" w:hAnsi="仿宋" w:eastAsia="仿宋" w:cs="宋体"/>
          <w:color w:val="000000"/>
          <w:kern w:val="0"/>
          <w:sz w:val="32"/>
          <w:szCs w:val="32"/>
        </w:rPr>
        <w:t>为提高财政资金使用的合规性和安全性，进一步规范财务管理，提高</w:t>
      </w:r>
      <w:r>
        <w:rPr>
          <w:rFonts w:hint="eastAsia" w:ascii="仿宋" w:hAnsi="仿宋" w:eastAsia="仿宋"/>
          <w:sz w:val="32"/>
          <w:szCs w:val="32"/>
        </w:rPr>
        <w:t>财务管理能力和水平，九三学社北京市委建立完善了财务管理制度和内部控制体系，从资金审批、预算管理、会计核算、资产管理、政府采购等方面对财务工作进行了规范监督，保障日常工作有章可循、稳步推进。</w:t>
      </w:r>
    </w:p>
    <w:p>
      <w:pPr>
        <w:spacing w:line="360" w:lineRule="auto"/>
        <w:ind w:left="105" w:leftChars="50" w:firstLine="480" w:firstLineChars="150"/>
        <w:rPr>
          <w:rFonts w:ascii="仿宋" w:hAnsi="仿宋" w:eastAsia="仿宋" w:cs="宋体"/>
          <w:color w:val="000000"/>
          <w:kern w:val="0"/>
          <w:sz w:val="32"/>
          <w:szCs w:val="32"/>
        </w:rPr>
      </w:pPr>
      <w:r>
        <w:rPr>
          <w:rFonts w:hint="eastAsia" w:ascii="仿宋" w:hAnsi="仿宋" w:eastAsia="仿宋" w:cs="宋体"/>
          <w:color w:val="000000"/>
          <w:kern w:val="0"/>
          <w:sz w:val="32"/>
          <w:szCs w:val="32"/>
        </w:rPr>
        <w:t>2.资金使用合规性和安全性</w:t>
      </w:r>
    </w:p>
    <w:p>
      <w:pPr>
        <w:spacing w:line="360" w:lineRule="auto"/>
        <w:ind w:firstLine="640" w:firstLineChars="200"/>
        <w:rPr>
          <w:rFonts w:ascii="仿宋" w:hAnsi="仿宋" w:eastAsia="仿宋"/>
          <w:sz w:val="32"/>
          <w:szCs w:val="32"/>
        </w:rPr>
      </w:pPr>
      <w:r>
        <w:rPr>
          <w:rFonts w:hint="eastAsia" w:ascii="仿宋" w:hAnsi="仿宋" w:eastAsia="仿宋" w:cs="宋体"/>
          <w:color w:val="000000"/>
          <w:kern w:val="0"/>
          <w:sz w:val="32"/>
          <w:szCs w:val="32"/>
        </w:rPr>
        <w:t>资金使用严格遵照国家法律法规和有关管理制度执行，资金拨付审批程序完整规范，资金使用安全合规。九三学社北京市委资金收付完全按照内控</w:t>
      </w:r>
      <w:r>
        <w:rPr>
          <w:rFonts w:hint="eastAsia" w:ascii="仿宋" w:hAnsi="仿宋" w:eastAsia="仿宋"/>
          <w:sz w:val="32"/>
          <w:szCs w:val="32"/>
        </w:rPr>
        <w:t>制度有关审评流程的规定，不存在截留、挤占、挪用情况，涉及政府采购的支出完全按照政府采购程序和流程，公务卡结算符合相关制度和规定。资金支出受财务部门的全程监督,符合预算批复的用途，与年度重点工作方向相一致，资金主要根据合同约定支出，对于2</w:t>
      </w:r>
      <w:r>
        <w:rPr>
          <w:rFonts w:ascii="仿宋" w:hAnsi="仿宋" w:eastAsia="仿宋"/>
          <w:sz w:val="32"/>
          <w:szCs w:val="32"/>
        </w:rPr>
        <w:t>02</w:t>
      </w:r>
      <w:r>
        <w:rPr>
          <w:rFonts w:hint="eastAsia" w:ascii="仿宋" w:hAnsi="仿宋" w:eastAsia="仿宋"/>
          <w:sz w:val="32"/>
          <w:szCs w:val="32"/>
        </w:rPr>
        <w:t>3年当年支出计划有变的内容，及时调整预算并按有关规定将相应资金交回财政，不存在截留、挤占、挪用情况。</w:t>
      </w:r>
    </w:p>
    <w:p>
      <w:pPr>
        <w:spacing w:line="360" w:lineRule="auto"/>
        <w:ind w:firstLine="640" w:firstLineChars="200"/>
        <w:rPr>
          <w:rFonts w:ascii="仿宋" w:hAnsi="仿宋" w:eastAsia="仿宋"/>
          <w:sz w:val="32"/>
          <w:szCs w:val="32"/>
        </w:rPr>
      </w:pPr>
      <w:r>
        <w:rPr>
          <w:rFonts w:hint="eastAsia" w:ascii="仿宋" w:hAnsi="仿宋" w:eastAsia="仿宋"/>
          <w:sz w:val="32"/>
          <w:szCs w:val="32"/>
        </w:rPr>
        <w:t>3.会计基础信息完善性</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在费用报销及合同付款过程中，严格审批原始凭证，对内容不全、手续不完备的原始凭证以及未审批完成的支出不予办理支付。及时与银行和一体化国库支付系统对账，保证会计信息资料真实、正确、可靠。会计凭证、会计账簿、会计报表及其相关的电算化数据规范完整、真实详尽，原始凭证及记账凭证内容要素、签名签章齐全。会计账簿记录与原始凭证、记账凭证的时间、凭证字号、内容、金额一致，记账方向相符；总账与明细账相符，总账与日记账相符；会计账簿记录与财产等实有数额相符。</w:t>
      </w:r>
    </w:p>
    <w:p>
      <w:pPr>
        <w:spacing w:line="360" w:lineRule="auto"/>
        <w:ind w:left="105" w:leftChars="50" w:firstLine="480" w:firstLineChars="150"/>
        <w:rPr>
          <w:rFonts w:ascii="楷体_GB2312" w:eastAsia="楷体_GB2312"/>
          <w:sz w:val="32"/>
          <w:szCs w:val="32"/>
        </w:rPr>
      </w:pPr>
      <w:r>
        <w:rPr>
          <w:rFonts w:hint="eastAsia" w:ascii="楷体_GB2312" w:eastAsia="楷体_GB2312"/>
          <w:sz w:val="32"/>
          <w:szCs w:val="32"/>
        </w:rPr>
        <w:t>（二）资产管理</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九三学社北京市委制定了《九三学社北京市委机关固定资产管理办法》，并按照“合理配置、分工负责、归口管理、依规使用、毁损问责”的原则，管理调配本部门资产。日常资产管理类中，做到及时进行资产卡片信息更新，实现固定资产管理信息化,资产的审批、领用、入库基本实现内控管理信息化。每年进行资产盘点，及时全面真实地掌握固定资产的数量、价值和配置使用情况。固定资产的配置未超《北京市行政事业单位日常办公设备配置标准（试行）》中的上限数量。</w:t>
      </w:r>
    </w:p>
    <w:p>
      <w:pPr>
        <w:spacing w:line="360" w:lineRule="auto"/>
        <w:ind w:left="105" w:leftChars="50" w:firstLine="480" w:firstLineChars="150"/>
        <w:rPr>
          <w:rFonts w:ascii="楷体_GB2312" w:eastAsia="楷体_GB2312"/>
          <w:sz w:val="32"/>
          <w:szCs w:val="32"/>
        </w:rPr>
      </w:pPr>
      <w:r>
        <w:rPr>
          <w:rFonts w:hint="eastAsia" w:ascii="楷体_GB2312" w:eastAsia="楷体_GB2312"/>
          <w:sz w:val="32"/>
          <w:szCs w:val="32"/>
        </w:rPr>
        <w:t>（三）绩效</w:t>
      </w:r>
      <w:r>
        <w:rPr>
          <w:rFonts w:ascii="楷体_GB2312" w:eastAsia="楷体_GB2312"/>
          <w:sz w:val="32"/>
          <w:szCs w:val="32"/>
        </w:rPr>
        <w:t>管理</w:t>
      </w:r>
    </w:p>
    <w:p>
      <w:pPr>
        <w:spacing w:line="600" w:lineRule="exact"/>
        <w:ind w:firstLine="640" w:firstLineChars="200"/>
        <w:rPr>
          <w:rFonts w:ascii="仿宋" w:hAnsi="仿宋" w:eastAsia="仿宋"/>
          <w:color w:val="404040"/>
          <w:sz w:val="32"/>
          <w:szCs w:val="32"/>
          <w:shd w:val="clear" w:color="auto" w:fill="FFFFFF"/>
        </w:rPr>
      </w:pPr>
      <w:r>
        <w:rPr>
          <w:rFonts w:hint="eastAsia" w:ascii="仿宋" w:hAnsi="仿宋" w:eastAsia="仿宋"/>
          <w:color w:val="404040"/>
          <w:sz w:val="32"/>
          <w:szCs w:val="32"/>
          <w:shd w:val="clear" w:color="auto" w:fill="FFFFFF"/>
        </w:rPr>
        <w:t>根据北京市财政局的要求，2023年度对纳入2022年部门预算管理的所有填报绩效目标的项目开展绩效自评工作；组织对纳入绩效管理的所有项目上半年执行情况实施绩效监控，对项目的绩效目标实现程度、项目预算资金拨款到位情况及预算执行情况，进行绩效监控，提高预算执行效力和项目资金使用效率。对偏离绩效目标项目和预期无效项目及时采取措施予以纠正。开展成本预算绩效分析，充分利用成本绩效分析形成的成果，强化支出标准对预算核定的约束作用。真正实现预算编制有目标、执行过程有监控、预算完成有评价，不断强化绩效理念并逐步融入预算编制、执行、公开全过程，将降成本、提效益的理念贯穿于各项工作当中。</w:t>
      </w:r>
    </w:p>
    <w:p>
      <w:pPr>
        <w:spacing w:line="360" w:lineRule="auto"/>
        <w:ind w:left="105" w:leftChars="50" w:firstLine="480" w:firstLineChars="150"/>
        <w:rPr>
          <w:rFonts w:ascii="楷体_GB2312" w:eastAsia="楷体_GB2312"/>
          <w:sz w:val="32"/>
          <w:szCs w:val="32"/>
        </w:rPr>
      </w:pPr>
      <w:r>
        <w:rPr>
          <w:rFonts w:hint="eastAsia" w:ascii="楷体_GB2312" w:eastAsia="楷体_GB2312"/>
          <w:sz w:val="32"/>
          <w:szCs w:val="32"/>
        </w:rPr>
        <w:t>（四）结转结余率</w:t>
      </w:r>
    </w:p>
    <w:p>
      <w:pPr>
        <w:spacing w:line="360" w:lineRule="auto"/>
        <w:ind w:left="105" w:leftChars="50" w:firstLine="480" w:firstLineChars="150"/>
        <w:rPr>
          <w:rFonts w:ascii="楷体_GB2312" w:eastAsia="仿宋"/>
          <w:sz w:val="32"/>
          <w:szCs w:val="32"/>
        </w:rPr>
      </w:pPr>
      <w:r>
        <w:rPr>
          <w:rFonts w:hint="eastAsia" w:ascii="仿宋" w:hAnsi="仿宋" w:eastAsia="仿宋"/>
          <w:sz w:val="32"/>
          <w:szCs w:val="32"/>
        </w:rPr>
        <w:t>九三学社北京市委2023年年末结转结余资金总额为43.79万元，预算数为1543.91万元，资金结转结余率为2.84%，比2022年</w:t>
      </w:r>
      <w:r>
        <w:rPr>
          <w:rFonts w:hint="eastAsia" w:ascii="仿宋" w:eastAsia="仿宋" w:cs="仿宋_GB2312"/>
          <w:sz w:val="32"/>
          <w:szCs w:val="32"/>
        </w:rPr>
        <w:t>结转结余率3.38%减少0.54%，说明我社资金统筹能力有所增强。</w:t>
      </w:r>
    </w:p>
    <w:p>
      <w:pPr>
        <w:spacing w:line="360" w:lineRule="auto"/>
        <w:ind w:left="105" w:leftChars="50" w:firstLine="480" w:firstLineChars="150"/>
        <w:rPr>
          <w:rFonts w:ascii="楷体_GB2312" w:eastAsia="楷体_GB2312"/>
          <w:sz w:val="32"/>
          <w:szCs w:val="32"/>
        </w:rPr>
      </w:pPr>
      <w:r>
        <w:rPr>
          <w:rFonts w:hint="eastAsia" w:ascii="楷体_GB2312" w:eastAsia="楷体_GB2312"/>
          <w:sz w:val="32"/>
          <w:szCs w:val="32"/>
        </w:rPr>
        <w:t>（五）部门</w:t>
      </w:r>
      <w:r>
        <w:rPr>
          <w:rFonts w:ascii="楷体_GB2312" w:eastAsia="楷体_GB2312"/>
          <w:sz w:val="32"/>
          <w:szCs w:val="32"/>
        </w:rPr>
        <w:t>预决算差异率</w:t>
      </w:r>
    </w:p>
    <w:p>
      <w:pPr>
        <w:spacing w:line="360" w:lineRule="auto"/>
        <w:ind w:left="105" w:leftChars="50" w:firstLine="480" w:firstLineChars="150"/>
        <w:rPr>
          <w:rFonts w:ascii="仿宋" w:hAnsi="仿宋" w:eastAsia="仿宋"/>
          <w:sz w:val="32"/>
          <w:szCs w:val="32"/>
        </w:rPr>
      </w:pPr>
      <w:r>
        <w:rPr>
          <w:rFonts w:hint="eastAsia" w:ascii="仿宋" w:hAnsi="仿宋" w:eastAsia="仿宋"/>
          <w:sz w:val="32"/>
          <w:szCs w:val="32"/>
        </w:rPr>
        <w:t>九三学社北京市委2023年年初预算数为1529.58万元，部门年度决算数为1543.91万元，差额为14.33万元，部门预决算差异率为0.94%，比2022年预决算差异率10.01%减少9.07%，说明我社预决算差异率控制情况较好，预算管理水平不断提升。</w:t>
      </w:r>
    </w:p>
    <w:p>
      <w:pPr>
        <w:spacing w:line="360" w:lineRule="auto"/>
        <w:ind w:left="105" w:leftChars="50" w:firstLine="480" w:firstLineChars="150"/>
        <w:rPr>
          <w:rFonts w:ascii="黑体" w:hAnsi="黑体" w:eastAsia="黑体"/>
          <w:sz w:val="32"/>
          <w:szCs w:val="32"/>
        </w:rPr>
      </w:pPr>
      <w:r>
        <w:rPr>
          <w:rFonts w:hint="eastAsia" w:ascii="黑体" w:hAnsi="黑体" w:eastAsia="黑体"/>
          <w:sz w:val="32"/>
          <w:szCs w:val="32"/>
        </w:rPr>
        <w:t>五、总体</w:t>
      </w:r>
      <w:r>
        <w:rPr>
          <w:rFonts w:ascii="黑体" w:hAnsi="黑体" w:eastAsia="黑体"/>
          <w:sz w:val="32"/>
          <w:szCs w:val="32"/>
        </w:rPr>
        <w:t>评价结论</w:t>
      </w:r>
    </w:p>
    <w:p>
      <w:pPr>
        <w:spacing w:line="360" w:lineRule="auto"/>
        <w:ind w:left="105" w:leftChars="50" w:firstLine="480" w:firstLineChars="150"/>
        <w:rPr>
          <w:rFonts w:ascii="楷体_GB2312" w:eastAsia="楷体_GB2312"/>
          <w:sz w:val="32"/>
          <w:szCs w:val="32"/>
        </w:rPr>
      </w:pPr>
      <w:r>
        <w:rPr>
          <w:rFonts w:hint="eastAsia" w:ascii="楷体_GB2312" w:eastAsia="楷体_GB2312"/>
          <w:sz w:val="32"/>
          <w:szCs w:val="32"/>
        </w:rPr>
        <w:t>（一）评价</w:t>
      </w:r>
      <w:r>
        <w:rPr>
          <w:rFonts w:ascii="楷体_GB2312" w:eastAsia="楷体_GB2312"/>
          <w:sz w:val="32"/>
          <w:szCs w:val="32"/>
        </w:rPr>
        <w:t>得分</w:t>
      </w:r>
      <w:r>
        <w:rPr>
          <w:rFonts w:hint="eastAsia" w:ascii="楷体_GB2312" w:eastAsia="楷体_GB2312"/>
          <w:sz w:val="32"/>
          <w:szCs w:val="32"/>
        </w:rPr>
        <w:t>情况</w:t>
      </w:r>
    </w:p>
    <w:p>
      <w:pPr>
        <w:spacing w:line="600" w:lineRule="exact"/>
        <w:ind w:firstLine="640" w:firstLineChars="200"/>
        <w:rPr>
          <w:rFonts w:ascii="楷体_GB2312" w:eastAsia="楷体_GB2312"/>
          <w:color w:val="FF0000"/>
          <w:sz w:val="32"/>
          <w:szCs w:val="32"/>
        </w:rPr>
      </w:pPr>
      <w:r>
        <w:rPr>
          <w:rFonts w:hint="eastAsia" w:ascii="仿宋" w:eastAsia="仿宋" w:cs="仿宋_GB2312"/>
          <w:sz w:val="32"/>
          <w:szCs w:val="32"/>
        </w:rPr>
        <w:t>2023年整体绩效评价指标体系评分95.31分，其中当年预算执行情况19.43分，整体绩效目标实现情况55.88分，预算管理情况20分。综合评价等级为“优”。</w:t>
      </w:r>
    </w:p>
    <w:p>
      <w:pPr>
        <w:spacing w:line="360" w:lineRule="auto"/>
        <w:ind w:left="105" w:leftChars="50" w:firstLine="480" w:firstLineChars="150"/>
        <w:rPr>
          <w:rFonts w:ascii="楷体_GB2312" w:eastAsia="楷体_GB2312"/>
          <w:sz w:val="32"/>
          <w:szCs w:val="32"/>
        </w:rPr>
      </w:pPr>
      <w:r>
        <w:rPr>
          <w:rFonts w:hint="eastAsia" w:ascii="楷体_GB2312" w:eastAsia="楷体_GB2312"/>
          <w:sz w:val="32"/>
          <w:szCs w:val="32"/>
        </w:rPr>
        <w:t>（二）存在的问题及原因分析</w:t>
      </w:r>
    </w:p>
    <w:p>
      <w:pPr>
        <w:spacing w:line="360" w:lineRule="auto"/>
        <w:ind w:firstLine="640" w:firstLineChars="200"/>
        <w:rPr>
          <w:rFonts w:ascii="仿宋" w:hAnsi="仿宋" w:eastAsia="仿宋"/>
          <w:sz w:val="32"/>
          <w:szCs w:val="32"/>
        </w:rPr>
      </w:pPr>
      <w:r>
        <w:rPr>
          <w:rFonts w:hint="eastAsia" w:ascii="仿宋" w:hAnsi="仿宋" w:eastAsia="仿宋"/>
          <w:sz w:val="32"/>
          <w:szCs w:val="32"/>
        </w:rPr>
        <w:t>部门整体支出绩效情况较好，项目指标执行情况基本达到预期效果。</w:t>
      </w:r>
    </w:p>
    <w:p>
      <w:pPr>
        <w:spacing w:line="360" w:lineRule="auto"/>
        <w:ind w:left="105" w:leftChars="50" w:firstLine="480" w:firstLineChars="150"/>
        <w:rPr>
          <w:rFonts w:ascii="楷体_GB2312" w:eastAsia="楷体_GB2312"/>
          <w:sz w:val="32"/>
          <w:szCs w:val="32"/>
        </w:rPr>
      </w:pPr>
      <w:r>
        <w:rPr>
          <w:rFonts w:hint="eastAsia" w:ascii="黑体" w:hAnsi="黑体" w:eastAsia="黑体" w:cs="宋体"/>
          <w:color w:val="000000"/>
          <w:kern w:val="0"/>
          <w:sz w:val="32"/>
          <w:szCs w:val="32"/>
        </w:rPr>
        <w:t>六、措施建议</w:t>
      </w:r>
      <w:r>
        <w:rPr>
          <w:rFonts w:hint="eastAsia" w:ascii="仿宋_GB2312" w:hAnsi="宋体" w:eastAsia="仿宋_GB2312" w:cs="宋体"/>
          <w:color w:val="000000"/>
          <w:kern w:val="0"/>
          <w:sz w:val="32"/>
          <w:szCs w:val="32"/>
        </w:rPr>
        <w:t>（整改措施、下一步工作举措）</w:t>
      </w:r>
    </w:p>
    <w:p>
      <w:pPr>
        <w:spacing w:line="360" w:lineRule="auto"/>
        <w:ind w:firstLine="640" w:firstLineChars="200"/>
        <w:rPr>
          <w:rFonts w:ascii="仿宋_GB2312" w:eastAsia="仿宋_GB2312"/>
          <w:sz w:val="28"/>
          <w:szCs w:val="28"/>
        </w:rPr>
      </w:pPr>
      <w:r>
        <w:rPr>
          <w:rFonts w:hint="eastAsia" w:ascii="仿宋" w:hAnsi="仿宋" w:eastAsia="仿宋"/>
          <w:sz w:val="32"/>
          <w:szCs w:val="32"/>
        </w:rPr>
        <w:t>构建科学合理的绩效目标管理体系，借鉴先进的绩效管理、目标管理理念和技术方法，强化部门战略目标规划、年度工作任务、预算资金安排、项目绩效目标之间的关联。同时，建立财务部门与业务部门、项目具体负责单位的协同工作机制，强化财务与业务的有效衔接，加强预算与绩效管理一体化。强化绩效目标管理，提升各项目单位对绩效目标填报的重视程度，结合项目实际情况，合理制定绩效目标，设定全面、细化的绩效目标，保证绩效指标的可衡量性。</w:t>
      </w:r>
    </w:p>
    <w:p>
      <w:pPr>
        <w:spacing w:line="360" w:lineRule="auto"/>
        <w:ind w:firstLine="640" w:firstLineChars="200"/>
        <w:rPr>
          <w:rFonts w:ascii="仿宋" w:hAnsi="仿宋" w:eastAsia="仿宋"/>
          <w:sz w:val="32"/>
          <w:szCs w:val="32"/>
        </w:rPr>
      </w:pPr>
      <w:r>
        <w:rPr>
          <w:rFonts w:hint="eastAsia" w:ascii="仿宋" w:hAnsi="仿宋" w:eastAsia="仿宋"/>
          <w:sz w:val="32"/>
          <w:szCs w:val="32"/>
        </w:rPr>
        <w:t>进一步科学、合理、规范地确定部门绩效目标，以部门的职能定位和年度工作任务作为切入点，全面反映部门绩效，并将各相关职能或工作内容反映在分项指标中，细化、量化绩效指标，增加可考量性，提升各项指标的可考量性和完整。</w:t>
      </w:r>
    </w:p>
    <w:p>
      <w:pPr>
        <w:pStyle w:val="3"/>
        <w:spacing w:line="360" w:lineRule="auto"/>
        <w:rPr>
          <w:sz w:val="32"/>
          <w:szCs w:val="32"/>
        </w:rPr>
      </w:pPr>
      <w:bookmarkStart w:id="1" w:name="_Toc103006301"/>
      <w:r>
        <w:rPr>
          <w:rFonts w:hint="eastAsia"/>
          <w:sz w:val="32"/>
          <w:szCs w:val="32"/>
        </w:rPr>
        <w:t>七、附件</w:t>
      </w:r>
      <w:bookmarkEnd w:id="1"/>
    </w:p>
    <w:p>
      <w:pPr>
        <w:spacing w:line="360" w:lineRule="auto"/>
        <w:ind w:firstLine="641"/>
        <w:rPr>
          <w:rFonts w:ascii="仿宋_GB2312" w:hAnsi="仿宋_GB2312" w:eastAsia="仿宋_GB2312" w:cs="仿宋_GB2312"/>
          <w:sz w:val="32"/>
          <w:szCs w:val="32"/>
        </w:rPr>
        <w:sectPr>
          <w:footerReference r:id="rId4" w:type="default"/>
          <w:pgSz w:w="11906" w:h="16838"/>
          <w:pgMar w:top="1440" w:right="1800" w:bottom="1440" w:left="1800" w:header="851" w:footer="964" w:gutter="0"/>
          <w:pgNumType w:start="1"/>
          <w:cols w:space="425" w:num="1"/>
          <w:docGrid w:type="lines" w:linePitch="435" w:charSpace="0"/>
        </w:sectPr>
      </w:pPr>
      <w:r>
        <w:rPr>
          <w:rFonts w:hint="eastAsia" w:ascii="仿宋_GB2312" w:hAnsi="仿宋_GB2312" w:eastAsia="仿宋_GB2312" w:cs="仿宋_GB2312"/>
          <w:sz w:val="32"/>
          <w:szCs w:val="32"/>
        </w:rPr>
        <w:t>2023年部门整体绩效评价指标体系评分表</w:t>
      </w:r>
    </w:p>
    <w:p>
      <w:pPr>
        <w:spacing w:line="560" w:lineRule="exact"/>
        <w:jc w:val="left"/>
      </w:pPr>
      <w:r>
        <w:rPr>
          <w:rFonts w:hint="eastAsia" w:ascii="方正黑体_GBK" w:hAnsi="方正黑体_GBK" w:eastAsia="方正黑体_GBK" w:cs="方正黑体_GBK"/>
          <w:sz w:val="32"/>
        </w:rPr>
        <w:t>附件4-1</w:t>
      </w:r>
    </w:p>
    <w:tbl>
      <w:tblPr>
        <w:tblStyle w:val="11"/>
        <w:tblW w:w="1398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554"/>
        <w:gridCol w:w="78"/>
        <w:gridCol w:w="535"/>
        <w:gridCol w:w="97"/>
        <w:gridCol w:w="732"/>
        <w:gridCol w:w="146"/>
        <w:gridCol w:w="1351"/>
        <w:gridCol w:w="1212"/>
        <w:gridCol w:w="603"/>
        <w:gridCol w:w="346"/>
        <w:gridCol w:w="178"/>
        <w:gridCol w:w="85"/>
        <w:gridCol w:w="425"/>
        <w:gridCol w:w="612"/>
        <w:gridCol w:w="170"/>
        <w:gridCol w:w="2458"/>
        <w:gridCol w:w="150"/>
        <w:gridCol w:w="372"/>
        <w:gridCol w:w="153"/>
        <w:gridCol w:w="540"/>
        <w:gridCol w:w="1857"/>
        <w:gridCol w:w="13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13988" w:type="dxa"/>
            <w:gridSpan w:val="22"/>
            <w:tcBorders>
              <w:bottom w:val="single" w:color="000000" w:sz="4" w:space="0"/>
            </w:tcBorders>
            <w:vAlign w:val="bottom"/>
          </w:tcPr>
          <w:p>
            <w:pPr>
              <w:widowControl/>
              <w:jc w:val="center"/>
              <w:textAlignment w:val="bottom"/>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kern w:val="0"/>
                <w:sz w:val="44"/>
                <w:szCs w:val="44"/>
              </w:rPr>
              <w:t>202</w:t>
            </w:r>
            <w:r>
              <w:rPr>
                <w:rStyle w:val="16"/>
                <w:rFonts w:hint="default"/>
              </w:rPr>
              <w:t>3年部门整体绩效评价指标体系评分表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3988" w:type="dxa"/>
            <w:gridSpan w:val="22"/>
            <w:tcBorders>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一、</w:t>
            </w:r>
            <w:r>
              <w:rPr>
                <w:rStyle w:val="17"/>
                <w:rFonts w:hint="default"/>
              </w:rPr>
              <w:t>当年预算执行情况（20分）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29" w:hRule="atLeast"/>
        </w:trPr>
        <w:tc>
          <w:tcPr>
            <w:tcW w:w="554" w:type="dxa"/>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一</w:t>
            </w:r>
            <w:r>
              <w:rPr>
                <w:rStyle w:val="17"/>
                <w:rFonts w:hint="default"/>
              </w:rPr>
              <w:t>级指标　</w:t>
            </w:r>
          </w:p>
        </w:tc>
        <w:tc>
          <w:tcPr>
            <w:tcW w:w="613" w:type="dxa"/>
            <w:gridSpan w:val="2"/>
            <w:tcBorders>
              <w:top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二</w:t>
            </w:r>
            <w:r>
              <w:rPr>
                <w:rStyle w:val="17"/>
                <w:rFonts w:hint="default"/>
              </w:rPr>
              <w:t>级指标　</w:t>
            </w:r>
          </w:p>
        </w:tc>
        <w:tc>
          <w:tcPr>
            <w:tcW w:w="829" w:type="dxa"/>
            <w:gridSpan w:val="2"/>
            <w:tcBorders>
              <w:top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预算数（万元）</w:t>
            </w:r>
          </w:p>
        </w:tc>
        <w:tc>
          <w:tcPr>
            <w:tcW w:w="1497" w:type="dxa"/>
            <w:gridSpan w:val="2"/>
            <w:tcBorders>
              <w:top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r>
              <w:rPr>
                <w:rFonts w:hint="eastAsia" w:ascii="宋体" w:hAnsi="宋体" w:cs="宋体"/>
                <w:color w:val="000000"/>
              </w:rPr>
              <w:t>执行数（万元）</w:t>
            </w:r>
          </w:p>
        </w:tc>
        <w:tc>
          <w:tcPr>
            <w:tcW w:w="1212" w:type="dxa"/>
            <w:tcBorders>
              <w:top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预算执行率</w:t>
            </w:r>
          </w:p>
        </w:tc>
        <w:tc>
          <w:tcPr>
            <w:tcW w:w="603" w:type="dxa"/>
            <w:tcBorders>
              <w:top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分值</w:t>
            </w:r>
          </w:p>
        </w:tc>
        <w:tc>
          <w:tcPr>
            <w:tcW w:w="609" w:type="dxa"/>
            <w:gridSpan w:val="3"/>
            <w:tcBorders>
              <w:top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得分</w:t>
            </w:r>
          </w:p>
        </w:tc>
        <w:tc>
          <w:tcPr>
            <w:tcW w:w="1207" w:type="dxa"/>
            <w:gridSpan w:val="3"/>
            <w:tcBorders>
              <w:top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指标解释</w:t>
            </w:r>
          </w:p>
        </w:tc>
        <w:tc>
          <w:tcPr>
            <w:tcW w:w="6864" w:type="dxa"/>
            <w:gridSpan w:val="7"/>
            <w:tcBorders>
              <w:top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评分标准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05" w:hRule="atLeast"/>
        </w:trPr>
        <w:tc>
          <w:tcPr>
            <w:tcW w:w="554" w:type="dxa"/>
            <w:vMerge w:val="restart"/>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当年预算执行情况（20）</w:t>
            </w:r>
          </w:p>
        </w:tc>
        <w:tc>
          <w:tcPr>
            <w:tcW w:w="613" w:type="dxa"/>
            <w:gridSpan w:val="2"/>
            <w:tcBorders>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资金总体</w:t>
            </w:r>
          </w:p>
        </w:tc>
        <w:tc>
          <w:tcPr>
            <w:tcW w:w="829" w:type="dxa"/>
            <w:gridSpan w:val="2"/>
            <w:tcBorders>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1543.91</w:t>
            </w:r>
          </w:p>
        </w:tc>
        <w:tc>
          <w:tcPr>
            <w:tcW w:w="1497" w:type="dxa"/>
            <w:gridSpan w:val="2"/>
            <w:tcBorders>
              <w:bottom w:val="single" w:color="000000" w:sz="4" w:space="0"/>
              <w:right w:val="single" w:color="000000" w:sz="4" w:space="0"/>
            </w:tcBorders>
            <w:vAlign w:val="center"/>
          </w:tcPr>
          <w:p>
            <w:pPr>
              <w:jc w:val="center"/>
              <w:rPr>
                <w:rFonts w:ascii="宋体" w:hAnsi="宋体" w:cs="宋体"/>
                <w:color w:val="000000"/>
                <w:sz w:val="20"/>
                <w:szCs w:val="20"/>
              </w:rPr>
            </w:pPr>
            <w:r>
              <w:rPr>
                <w:rFonts w:hint="eastAsia" w:ascii="宋体" w:hAnsi="宋体" w:cs="宋体"/>
                <w:color w:val="000000"/>
              </w:rPr>
              <w:t>1500.13</w:t>
            </w:r>
          </w:p>
        </w:tc>
        <w:tc>
          <w:tcPr>
            <w:tcW w:w="1212" w:type="dxa"/>
            <w:tcBorders>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97.16</w:t>
            </w:r>
          </w:p>
        </w:tc>
        <w:tc>
          <w:tcPr>
            <w:tcW w:w="603" w:type="dxa"/>
            <w:vMerge w:val="restart"/>
            <w:tcBorders>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w:t>
            </w:r>
          </w:p>
        </w:tc>
        <w:tc>
          <w:tcPr>
            <w:tcW w:w="609" w:type="dxa"/>
            <w:gridSpan w:val="3"/>
            <w:vMerge w:val="restart"/>
            <w:tcBorders>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19.43</w:t>
            </w:r>
          </w:p>
        </w:tc>
        <w:tc>
          <w:tcPr>
            <w:tcW w:w="1207" w:type="dxa"/>
            <w:gridSpan w:val="3"/>
            <w:vMerge w:val="restart"/>
            <w:tcBorders>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部门全年执行数与全年预算数的比率。资金总体=基本支出+项目支出+其他</w:t>
            </w:r>
          </w:p>
        </w:tc>
        <w:tc>
          <w:tcPr>
            <w:tcW w:w="6864" w:type="dxa"/>
            <w:gridSpan w:val="7"/>
            <w:tcBorders>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①得分一档最高不能超过该指标分值上限（20分）。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554" w:type="dxa"/>
            <w:vMerge w:val="continue"/>
            <w:tcBorders>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13" w:type="dxa"/>
            <w:gridSpan w:val="2"/>
            <w:tcBorders>
              <w:bottom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基本支出</w:t>
            </w:r>
          </w:p>
        </w:tc>
        <w:tc>
          <w:tcPr>
            <w:tcW w:w="829" w:type="dxa"/>
            <w:gridSpan w:val="2"/>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1360.84</w:t>
            </w:r>
          </w:p>
        </w:tc>
        <w:tc>
          <w:tcPr>
            <w:tcW w:w="1497" w:type="dxa"/>
            <w:gridSpan w:val="2"/>
            <w:tcBorders>
              <w:bottom w:val="single" w:color="000000" w:sz="4" w:space="0"/>
              <w:right w:val="single" w:color="000000" w:sz="4" w:space="0"/>
            </w:tcBorders>
            <w:vAlign w:val="center"/>
          </w:tcPr>
          <w:p>
            <w:pPr>
              <w:jc w:val="center"/>
              <w:rPr>
                <w:rFonts w:ascii="宋体" w:hAnsi="宋体" w:cs="宋体"/>
                <w:color w:val="000000"/>
                <w:sz w:val="20"/>
                <w:szCs w:val="20"/>
              </w:rPr>
            </w:pPr>
            <w:r>
              <w:rPr>
                <w:rFonts w:hint="eastAsia" w:ascii="宋体" w:hAnsi="宋体" w:cs="宋体"/>
                <w:color w:val="000000"/>
              </w:rPr>
              <w:t>1324.44</w:t>
            </w:r>
          </w:p>
        </w:tc>
        <w:tc>
          <w:tcPr>
            <w:tcW w:w="1212" w:type="dxa"/>
            <w:vMerge w:val="restart"/>
            <w:tcBorders>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w:t>
            </w:r>
          </w:p>
        </w:tc>
        <w:tc>
          <w:tcPr>
            <w:tcW w:w="603" w:type="dxa"/>
            <w:vMerge w:val="continue"/>
            <w:tcBorders>
              <w:bottom w:val="single" w:color="000000" w:sz="4" w:space="0"/>
              <w:right w:val="single" w:color="000000" w:sz="4" w:space="0"/>
            </w:tcBorders>
            <w:vAlign w:val="center"/>
          </w:tcPr>
          <w:p>
            <w:pPr>
              <w:jc w:val="center"/>
              <w:rPr>
                <w:rFonts w:ascii="宋体" w:hAnsi="宋体" w:cs="宋体"/>
                <w:color w:val="000000"/>
                <w:sz w:val="20"/>
                <w:szCs w:val="20"/>
              </w:rPr>
            </w:pPr>
          </w:p>
        </w:tc>
        <w:tc>
          <w:tcPr>
            <w:tcW w:w="609" w:type="dxa"/>
            <w:gridSpan w:val="3"/>
            <w:vMerge w:val="continue"/>
            <w:tcBorders>
              <w:bottom w:val="single" w:color="000000" w:sz="4" w:space="0"/>
              <w:right w:val="single" w:color="000000" w:sz="4" w:space="0"/>
            </w:tcBorders>
            <w:vAlign w:val="center"/>
          </w:tcPr>
          <w:p>
            <w:pPr>
              <w:jc w:val="center"/>
              <w:rPr>
                <w:rFonts w:ascii="宋体" w:hAnsi="宋体" w:cs="宋体"/>
                <w:color w:val="000000"/>
                <w:sz w:val="20"/>
                <w:szCs w:val="20"/>
              </w:rPr>
            </w:pPr>
          </w:p>
        </w:tc>
        <w:tc>
          <w:tcPr>
            <w:tcW w:w="1207" w:type="dxa"/>
            <w:gridSpan w:val="3"/>
            <w:vMerge w:val="continue"/>
            <w:tcBorders>
              <w:bottom w:val="single" w:color="000000" w:sz="4" w:space="0"/>
              <w:right w:val="single" w:color="000000" w:sz="4" w:space="0"/>
            </w:tcBorders>
            <w:vAlign w:val="center"/>
          </w:tcPr>
          <w:p>
            <w:pPr>
              <w:jc w:val="left"/>
              <w:rPr>
                <w:rFonts w:ascii="宋体" w:hAnsi="宋体" w:cs="宋体"/>
                <w:color w:val="000000"/>
                <w:sz w:val="18"/>
                <w:szCs w:val="18"/>
              </w:rPr>
            </w:pPr>
          </w:p>
        </w:tc>
        <w:tc>
          <w:tcPr>
            <w:tcW w:w="6864" w:type="dxa"/>
            <w:gridSpan w:val="7"/>
            <w:tcBorders>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42" w:hRule="atLeast"/>
        </w:trPr>
        <w:tc>
          <w:tcPr>
            <w:tcW w:w="554" w:type="dxa"/>
            <w:vMerge w:val="continue"/>
            <w:tcBorders>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13" w:type="dxa"/>
            <w:gridSpan w:val="2"/>
            <w:tcBorders>
              <w:bottom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项目支出</w:t>
            </w:r>
          </w:p>
        </w:tc>
        <w:tc>
          <w:tcPr>
            <w:tcW w:w="829" w:type="dxa"/>
            <w:gridSpan w:val="2"/>
            <w:tcBorders>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183.07</w:t>
            </w:r>
          </w:p>
        </w:tc>
        <w:tc>
          <w:tcPr>
            <w:tcW w:w="1497" w:type="dxa"/>
            <w:gridSpan w:val="2"/>
            <w:tcBorders>
              <w:bottom w:val="single" w:color="000000" w:sz="4" w:space="0"/>
              <w:right w:val="single" w:color="000000" w:sz="4" w:space="0"/>
            </w:tcBorders>
            <w:vAlign w:val="center"/>
          </w:tcPr>
          <w:p>
            <w:pPr>
              <w:jc w:val="center"/>
              <w:rPr>
                <w:rFonts w:ascii="宋体" w:hAnsi="宋体" w:cs="宋体"/>
                <w:color w:val="000000"/>
                <w:sz w:val="20"/>
                <w:szCs w:val="20"/>
              </w:rPr>
            </w:pPr>
            <w:r>
              <w:rPr>
                <w:rFonts w:hint="eastAsia" w:ascii="宋体" w:hAnsi="宋体" w:cs="宋体"/>
                <w:color w:val="000000"/>
              </w:rPr>
              <w:t>175.69</w:t>
            </w:r>
          </w:p>
        </w:tc>
        <w:tc>
          <w:tcPr>
            <w:tcW w:w="1212" w:type="dxa"/>
            <w:vMerge w:val="continue"/>
            <w:tcBorders>
              <w:bottom w:val="single" w:color="000000" w:sz="4" w:space="0"/>
              <w:right w:val="single" w:color="000000" w:sz="4" w:space="0"/>
            </w:tcBorders>
            <w:vAlign w:val="center"/>
          </w:tcPr>
          <w:p>
            <w:pPr>
              <w:jc w:val="center"/>
              <w:rPr>
                <w:rFonts w:ascii="宋体" w:hAnsi="宋体" w:cs="宋体"/>
                <w:color w:val="000000"/>
                <w:sz w:val="20"/>
                <w:szCs w:val="20"/>
              </w:rPr>
            </w:pPr>
          </w:p>
        </w:tc>
        <w:tc>
          <w:tcPr>
            <w:tcW w:w="603" w:type="dxa"/>
            <w:vMerge w:val="continue"/>
            <w:tcBorders>
              <w:bottom w:val="single" w:color="000000" w:sz="4" w:space="0"/>
              <w:right w:val="single" w:color="000000" w:sz="4" w:space="0"/>
            </w:tcBorders>
            <w:vAlign w:val="center"/>
          </w:tcPr>
          <w:p>
            <w:pPr>
              <w:jc w:val="center"/>
              <w:rPr>
                <w:rFonts w:ascii="宋体" w:hAnsi="宋体" w:cs="宋体"/>
                <w:color w:val="000000"/>
                <w:sz w:val="20"/>
                <w:szCs w:val="20"/>
              </w:rPr>
            </w:pPr>
          </w:p>
        </w:tc>
        <w:tc>
          <w:tcPr>
            <w:tcW w:w="609" w:type="dxa"/>
            <w:gridSpan w:val="3"/>
            <w:vMerge w:val="continue"/>
            <w:tcBorders>
              <w:bottom w:val="single" w:color="000000" w:sz="4" w:space="0"/>
              <w:right w:val="single" w:color="000000" w:sz="4" w:space="0"/>
            </w:tcBorders>
            <w:vAlign w:val="center"/>
          </w:tcPr>
          <w:p>
            <w:pPr>
              <w:jc w:val="center"/>
              <w:rPr>
                <w:rFonts w:ascii="宋体" w:hAnsi="宋体" w:cs="宋体"/>
                <w:color w:val="000000"/>
                <w:sz w:val="20"/>
                <w:szCs w:val="20"/>
              </w:rPr>
            </w:pPr>
          </w:p>
        </w:tc>
        <w:tc>
          <w:tcPr>
            <w:tcW w:w="1207" w:type="dxa"/>
            <w:gridSpan w:val="3"/>
            <w:vMerge w:val="continue"/>
            <w:tcBorders>
              <w:bottom w:val="single" w:color="000000" w:sz="4" w:space="0"/>
              <w:right w:val="single" w:color="000000" w:sz="4" w:space="0"/>
            </w:tcBorders>
            <w:vAlign w:val="center"/>
          </w:tcPr>
          <w:p>
            <w:pPr>
              <w:jc w:val="left"/>
              <w:rPr>
                <w:rFonts w:ascii="宋体" w:hAnsi="宋体" w:cs="宋体"/>
                <w:color w:val="000000"/>
                <w:sz w:val="18"/>
                <w:szCs w:val="18"/>
              </w:rPr>
            </w:pPr>
          </w:p>
        </w:tc>
        <w:tc>
          <w:tcPr>
            <w:tcW w:w="6864" w:type="dxa"/>
            <w:gridSpan w:val="7"/>
            <w:tcBorders>
              <w:right w:val="single" w:color="000000" w:sz="4" w:space="0"/>
            </w:tcBorders>
            <w:vAlign w:val="center"/>
          </w:tcPr>
          <w:p>
            <w:pPr>
              <w:rPr>
                <w:rFonts w:ascii="宋体" w:hAnsi="宋体" w:cs="宋体"/>
                <w:color w:val="00000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7" w:hRule="atLeast"/>
        </w:trPr>
        <w:tc>
          <w:tcPr>
            <w:tcW w:w="554" w:type="dxa"/>
            <w:vMerge w:val="continue"/>
            <w:tcBorders>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13" w:type="dxa"/>
            <w:gridSpan w:val="2"/>
            <w:tcBorders>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其他</w:t>
            </w:r>
          </w:p>
        </w:tc>
        <w:tc>
          <w:tcPr>
            <w:tcW w:w="829" w:type="dxa"/>
            <w:gridSpan w:val="2"/>
            <w:tcBorders>
              <w:bottom w:val="single" w:color="000000" w:sz="4" w:space="0"/>
              <w:right w:val="single" w:color="000000" w:sz="4" w:space="0"/>
            </w:tcBorders>
            <w:vAlign w:val="center"/>
          </w:tcPr>
          <w:p>
            <w:pPr>
              <w:jc w:val="center"/>
              <w:rPr>
                <w:rFonts w:ascii="宋体" w:hAnsi="宋体" w:cs="宋体"/>
                <w:color w:val="000000"/>
                <w:sz w:val="20"/>
                <w:szCs w:val="20"/>
              </w:rPr>
            </w:pPr>
          </w:p>
        </w:tc>
        <w:tc>
          <w:tcPr>
            <w:tcW w:w="1497" w:type="dxa"/>
            <w:gridSpan w:val="2"/>
            <w:tcBorders>
              <w:bottom w:val="single" w:color="000000" w:sz="4" w:space="0"/>
              <w:right w:val="single" w:color="000000" w:sz="4" w:space="0"/>
            </w:tcBorders>
            <w:vAlign w:val="center"/>
          </w:tcPr>
          <w:p>
            <w:pPr>
              <w:jc w:val="center"/>
              <w:rPr>
                <w:rFonts w:ascii="宋体" w:hAnsi="宋体" w:cs="宋体"/>
                <w:color w:val="000000"/>
                <w:sz w:val="20"/>
                <w:szCs w:val="20"/>
              </w:rPr>
            </w:pPr>
          </w:p>
        </w:tc>
        <w:tc>
          <w:tcPr>
            <w:tcW w:w="1212" w:type="dxa"/>
            <w:vMerge w:val="continue"/>
            <w:tcBorders>
              <w:bottom w:val="single" w:color="000000" w:sz="4" w:space="0"/>
              <w:right w:val="single" w:color="000000" w:sz="4" w:space="0"/>
            </w:tcBorders>
            <w:vAlign w:val="center"/>
          </w:tcPr>
          <w:p>
            <w:pPr>
              <w:jc w:val="center"/>
              <w:rPr>
                <w:rFonts w:ascii="宋体" w:hAnsi="宋体" w:cs="宋体"/>
                <w:color w:val="000000"/>
                <w:sz w:val="20"/>
                <w:szCs w:val="20"/>
              </w:rPr>
            </w:pPr>
          </w:p>
        </w:tc>
        <w:tc>
          <w:tcPr>
            <w:tcW w:w="603" w:type="dxa"/>
            <w:vMerge w:val="continue"/>
            <w:tcBorders>
              <w:bottom w:val="single" w:color="000000" w:sz="4" w:space="0"/>
              <w:right w:val="single" w:color="000000" w:sz="4" w:space="0"/>
            </w:tcBorders>
            <w:vAlign w:val="center"/>
          </w:tcPr>
          <w:p>
            <w:pPr>
              <w:jc w:val="center"/>
              <w:rPr>
                <w:rFonts w:ascii="宋体" w:hAnsi="宋体" w:cs="宋体"/>
                <w:color w:val="000000"/>
                <w:sz w:val="20"/>
                <w:szCs w:val="20"/>
              </w:rPr>
            </w:pPr>
          </w:p>
        </w:tc>
        <w:tc>
          <w:tcPr>
            <w:tcW w:w="609" w:type="dxa"/>
            <w:gridSpan w:val="3"/>
            <w:vMerge w:val="continue"/>
            <w:tcBorders>
              <w:bottom w:val="single" w:color="000000" w:sz="4" w:space="0"/>
              <w:right w:val="single" w:color="000000" w:sz="4" w:space="0"/>
            </w:tcBorders>
            <w:vAlign w:val="center"/>
          </w:tcPr>
          <w:p>
            <w:pPr>
              <w:jc w:val="center"/>
              <w:rPr>
                <w:rFonts w:ascii="宋体" w:hAnsi="宋体" w:cs="宋体"/>
                <w:color w:val="000000"/>
                <w:sz w:val="20"/>
                <w:szCs w:val="20"/>
              </w:rPr>
            </w:pPr>
          </w:p>
        </w:tc>
        <w:tc>
          <w:tcPr>
            <w:tcW w:w="1207" w:type="dxa"/>
            <w:gridSpan w:val="3"/>
            <w:vMerge w:val="continue"/>
            <w:tcBorders>
              <w:bottom w:val="single" w:color="000000" w:sz="4" w:space="0"/>
              <w:right w:val="single" w:color="000000" w:sz="4" w:space="0"/>
            </w:tcBorders>
            <w:vAlign w:val="center"/>
          </w:tcPr>
          <w:p>
            <w:pPr>
              <w:jc w:val="left"/>
              <w:rPr>
                <w:rFonts w:ascii="宋体" w:hAnsi="宋体" w:cs="宋体"/>
                <w:color w:val="000000"/>
                <w:sz w:val="18"/>
                <w:szCs w:val="18"/>
              </w:rPr>
            </w:pPr>
          </w:p>
        </w:tc>
        <w:tc>
          <w:tcPr>
            <w:tcW w:w="6864" w:type="dxa"/>
            <w:gridSpan w:val="7"/>
            <w:tcBorders>
              <w:bottom w:val="single" w:color="000000" w:sz="4" w:space="0"/>
              <w:right w:val="single" w:color="000000" w:sz="4" w:space="0"/>
            </w:tcBorders>
            <w:vAlign w:val="center"/>
          </w:tcPr>
          <w:p>
            <w:pPr>
              <w:rPr>
                <w:rFonts w:ascii="宋体" w:hAnsi="宋体" w:cs="宋体"/>
                <w:color w:val="000000"/>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9" w:hRule="atLeast"/>
        </w:trPr>
        <w:tc>
          <w:tcPr>
            <w:tcW w:w="13988" w:type="dxa"/>
            <w:gridSpan w:val="22"/>
            <w:tcBorders>
              <w:left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二、</w:t>
            </w:r>
            <w:r>
              <w:rPr>
                <w:rStyle w:val="17"/>
                <w:rFonts w:hint="default"/>
              </w:rPr>
              <w:t>整体绩效目标实现情况（60分）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Style w:val="17"/>
                <w:rFonts w:hint="default"/>
              </w:rPr>
            </w:pPr>
            <w:r>
              <w:rPr>
                <w:rFonts w:hint="eastAsia" w:ascii="宋体" w:hAnsi="宋体" w:cs="宋体"/>
                <w:color w:val="000000"/>
                <w:kern w:val="0"/>
                <w:sz w:val="20"/>
                <w:szCs w:val="20"/>
              </w:rPr>
              <w:t>一</w:t>
            </w:r>
            <w:r>
              <w:rPr>
                <w:rStyle w:val="17"/>
                <w:rFonts w:hint="default"/>
              </w:rPr>
              <w:t>级</w:t>
            </w:r>
          </w:p>
          <w:p>
            <w:pPr>
              <w:widowControl/>
              <w:jc w:val="center"/>
              <w:textAlignment w:val="center"/>
              <w:rPr>
                <w:rFonts w:ascii="宋体" w:hAnsi="宋体" w:cs="宋体"/>
                <w:color w:val="000000"/>
                <w:sz w:val="20"/>
                <w:szCs w:val="20"/>
              </w:rPr>
            </w:pPr>
            <w:r>
              <w:rPr>
                <w:rStyle w:val="17"/>
                <w:rFonts w:hint="default"/>
              </w:rPr>
              <w:t>指标</w:t>
            </w:r>
          </w:p>
        </w:tc>
        <w:tc>
          <w:tcPr>
            <w:tcW w:w="6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Style w:val="17"/>
                <w:rFonts w:hint="default"/>
              </w:rPr>
            </w:pPr>
            <w:r>
              <w:rPr>
                <w:rFonts w:hint="eastAsia" w:ascii="宋体" w:hAnsi="宋体" w:cs="宋体"/>
                <w:color w:val="000000"/>
                <w:kern w:val="0"/>
                <w:sz w:val="20"/>
                <w:szCs w:val="20"/>
              </w:rPr>
              <w:t>二</w:t>
            </w:r>
            <w:r>
              <w:rPr>
                <w:rStyle w:val="17"/>
                <w:rFonts w:hint="default"/>
              </w:rPr>
              <w:t>级</w:t>
            </w:r>
          </w:p>
          <w:p>
            <w:pPr>
              <w:widowControl/>
              <w:jc w:val="center"/>
              <w:textAlignment w:val="center"/>
              <w:rPr>
                <w:rFonts w:ascii="宋体" w:hAnsi="宋体" w:cs="宋体"/>
                <w:color w:val="000000"/>
                <w:sz w:val="20"/>
                <w:szCs w:val="20"/>
              </w:rPr>
            </w:pPr>
            <w:r>
              <w:rPr>
                <w:rStyle w:val="17"/>
                <w:rFonts w:hint="default"/>
              </w:rPr>
              <w:t>指标　</w:t>
            </w:r>
          </w:p>
        </w:tc>
        <w:tc>
          <w:tcPr>
            <w:tcW w:w="878"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三</w:t>
            </w:r>
            <w:r>
              <w:rPr>
                <w:rStyle w:val="17"/>
                <w:rFonts w:hint="default"/>
              </w:rPr>
              <w:t>级指标　</w:t>
            </w:r>
          </w:p>
        </w:tc>
        <w:tc>
          <w:tcPr>
            <w:tcW w:w="3690"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指标值</w:t>
            </w:r>
          </w:p>
        </w:tc>
        <w:tc>
          <w:tcPr>
            <w:tcW w:w="3900" w:type="dxa"/>
            <w:gridSpan w:val="6"/>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完成值</w:t>
            </w:r>
          </w:p>
        </w:tc>
        <w:tc>
          <w:tcPr>
            <w:tcW w:w="5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分值</w:t>
            </w:r>
          </w:p>
        </w:tc>
        <w:tc>
          <w:tcPr>
            <w:tcW w:w="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得分</w:t>
            </w:r>
          </w:p>
        </w:tc>
        <w:tc>
          <w:tcPr>
            <w:tcW w:w="1857"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指标解释</w:t>
            </w:r>
          </w:p>
        </w:tc>
        <w:tc>
          <w:tcPr>
            <w:tcW w:w="133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评</w:t>
            </w:r>
            <w:r>
              <w:rPr>
                <w:rStyle w:val="18"/>
                <w:rFonts w:hint="default"/>
              </w:rPr>
              <w:t>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632"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整体绩效目标实现情况（60）</w:t>
            </w:r>
          </w:p>
        </w:tc>
        <w:tc>
          <w:tcPr>
            <w:tcW w:w="632"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产出（30）</w:t>
            </w:r>
          </w:p>
        </w:tc>
        <w:tc>
          <w:tcPr>
            <w:tcW w:w="878"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参政议政工作质量</w:t>
            </w:r>
          </w:p>
        </w:tc>
        <w:tc>
          <w:tcPr>
            <w:tcW w:w="369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根据中共市委市政府、九三学社中央、市政协及九三学社北京市委重点工作任务确定全年调研课题，组织专委会调研活动，形成调研成果。调研成果经评审转化，作为市政协党派提案、政协大会发言及全国政协大会提案和发言等提交。参加社中央的联合调研、会议等。参与并完成市委统战部协商任务，提交协商建议。组织参加市政协调研、议政会等。收集整理并按照程序向有关部门反映社员建议。</w:t>
            </w:r>
          </w:p>
        </w:tc>
        <w:tc>
          <w:tcPr>
            <w:tcW w:w="3900"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kern w:val="0"/>
                <w:sz w:val="18"/>
                <w:szCs w:val="18"/>
              </w:rPr>
              <w:t>高质量完成中共北京市委政党协商任务和政协北京市委政协协商任务，共形成调研成果52篇。其中，转化为党派提案8篇、界别提案3篇、政协大会发言8篇。调研报告获北京市统战系统优秀调研成果奖5篇，提案获市政协优秀提案奖3篇，12篇建议被北京市主要领导批示。高水平落实九三学社中央年度调研任务，共形成调研成果5篇报送九三学社中央。高标准办好九三学社中央科学座谈会、京西发展论坛等重点活动，得到社中央领导的表扬和肯定。</w:t>
            </w:r>
          </w:p>
        </w:tc>
        <w:tc>
          <w:tcPr>
            <w:tcW w:w="5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w:t>
            </w:r>
          </w:p>
        </w:tc>
        <w:tc>
          <w:tcPr>
            <w:tcW w:w="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4.64</w:t>
            </w:r>
          </w:p>
        </w:tc>
        <w:tc>
          <w:tcPr>
            <w:tcW w:w="185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产出数量：计划完成率=（实际完成工作数/计划工作数）×100%。实际完成工作数：一定时期（年度或规划期）内部门（单位）实际完成工作任务的数量。计划工作数：部门（单位）整体绩效目标确定的一定时期（年度或规划期）内预计完成工作任务的数量。产出质量：质量达标率=质量达标工作数/实际完成工作数×100%。质量达标工作数：一定时期（年度或规划期）内部门（单位）实际完成工作数中达到部门绩效目标要求（绩效标准值）的工作任务数量。产出进度：按时完成率=（按时完成工作数/实际完成工作数）×100%。按时完成工作数：部门（单位）按照整体绩效目标确定的时限实际完成的工作任务数量。产出成本：单位产出相对于上一年度的节约额；②单位产出相对于市场同类产出的节约额；③部门公用经费的控制情况。</w:t>
            </w:r>
          </w:p>
        </w:tc>
        <w:tc>
          <w:tcPr>
            <w:tcW w:w="133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部门根据本单位情况自行确定并选择产出指标，合理确定各项指标权重。可量化的指标按照比率*单项指标分值即为该指标得分。如果不能定量评价，则以定性的方式进行自评。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37"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878"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专项民主监督工作质量</w:t>
            </w:r>
          </w:p>
        </w:tc>
        <w:tc>
          <w:tcPr>
            <w:tcW w:w="369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完成对昌平区未来科学城建设情况的民主监督工作，对昌平区未来科学城建设中存在的问题提有针对性的意见和建议，促进昌平未来科学城建设，为加快北京国际科技创新中心建设贡献力量。</w:t>
            </w:r>
          </w:p>
        </w:tc>
        <w:tc>
          <w:tcPr>
            <w:tcW w:w="3900"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kern w:val="0"/>
                <w:sz w:val="18"/>
                <w:szCs w:val="18"/>
              </w:rPr>
              <w:t>调研组先后4次赴昌平未来科学城能源谷、沙河高教园等地调研，40余人次参与，师弟考察国网智能电网研究院、北京科技大学国家材料服役安全科学中心，北京脑科学与类脑研究中心等多种类型科研机构和企业，与未来科学城管委会、昌平区相关委办局、央企研究机构、生物医药创新企业座谈交流。与未来科学城管委会和企业建立日常联系机制，反复沟通调研中发现的问题，保障监督质量和成效，形成3篇监督报告。</w:t>
            </w:r>
          </w:p>
        </w:tc>
        <w:tc>
          <w:tcPr>
            <w:tcW w:w="5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w:t>
            </w:r>
          </w:p>
        </w:tc>
        <w:tc>
          <w:tcPr>
            <w:tcW w:w="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4.57</w:t>
            </w:r>
          </w:p>
        </w:tc>
        <w:tc>
          <w:tcPr>
            <w:tcW w:w="185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04"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878"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办公室工作质量</w:t>
            </w:r>
          </w:p>
        </w:tc>
        <w:tc>
          <w:tcPr>
            <w:tcW w:w="369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kern w:val="0"/>
                <w:sz w:val="18"/>
                <w:szCs w:val="18"/>
              </w:rPr>
              <w:t>组织、安排各项机关办公会议、社务工作会议等，保障会议顺利召开，做好会议服务工作。参与社中央组织的各项工作会议和活动。更新基层工作手册、机关文件袋、信封、红头纸等。做好社市委各项联络和服务工作。做好机关人事、财务、档案管理等各项工作。</w:t>
            </w:r>
          </w:p>
        </w:tc>
        <w:tc>
          <w:tcPr>
            <w:tcW w:w="3900"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kern w:val="0"/>
                <w:sz w:val="18"/>
                <w:szCs w:val="18"/>
              </w:rPr>
              <w:t>开展“有建议大家提”活动，全体机关干部围绕机关建设共提出建议72条。顺利完成机关搬迁北京城市副中心任务，保障社北京市委各项工作平稳进行。全年高质量服务保障各类调研、会议共260余次，制发公文120余件、办理各类公文200余件。开展线上警示教育宣传11次。节假日前对纠治“四风”问题必做警示教育提醒，全年开展机关干部集体警示教育6次。修订完成社北京市委机关公文等7项机关管理制度。开展机关公文处理工作制度宣讲、档案法宣传、档案工作培训等。组织机关干部参加各类培训10余次。</w:t>
            </w:r>
          </w:p>
        </w:tc>
        <w:tc>
          <w:tcPr>
            <w:tcW w:w="5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w:t>
            </w:r>
          </w:p>
        </w:tc>
        <w:tc>
          <w:tcPr>
            <w:tcW w:w="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4.64</w:t>
            </w:r>
          </w:p>
        </w:tc>
        <w:tc>
          <w:tcPr>
            <w:tcW w:w="185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55"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878"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组织建设和人才培养工作质量</w:t>
            </w:r>
          </w:p>
        </w:tc>
        <w:tc>
          <w:tcPr>
            <w:tcW w:w="369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围绕社员发展、基层组织建设、干部队伍建设、人才培养、监督工作等开展工作，不断提高社北京市委组织建设水平，提升各级组工干部的履职能力，指导基层组织履职作为，培训培养社员并不断挖掘优秀人才，完善社员培养体系，凝聚广大青年社员，做好社内监督工作。</w:t>
            </w:r>
          </w:p>
        </w:tc>
        <w:tc>
          <w:tcPr>
            <w:tcW w:w="3900" w:type="dxa"/>
            <w:gridSpan w:val="6"/>
            <w:tcBorders>
              <w:top w:val="single" w:color="000000" w:sz="4" w:space="0"/>
              <w:left w:val="single" w:color="000000" w:sz="4" w:space="0"/>
              <w:bottom w:val="single" w:color="000000" w:sz="4" w:space="0"/>
              <w:right w:val="single" w:color="000000" w:sz="4" w:space="0"/>
            </w:tcBorders>
            <w:vAlign w:val="center"/>
          </w:tcPr>
          <w:p>
            <w:pPr>
              <w:widowControl/>
              <w:adjustRightInd w:val="0"/>
              <w:snapToGrid w:val="0"/>
              <w:jc w:val="left"/>
              <w:rPr>
                <w:rFonts w:ascii="宋体" w:hAnsi="宋体" w:cs="宋体"/>
                <w:color w:val="000000"/>
                <w:sz w:val="20"/>
                <w:szCs w:val="20"/>
              </w:rPr>
            </w:pPr>
            <w:r>
              <w:rPr>
                <w:rFonts w:hint="eastAsia" w:ascii="宋体" w:hAnsi="宋体" w:cs="宋体"/>
                <w:kern w:val="0"/>
                <w:sz w:val="18"/>
                <w:szCs w:val="18"/>
              </w:rPr>
              <w:t>强化思想政治引领，领导班子建设全面加强。认真开展专题政治学习，不断提升政治能力、思维能力、实践能力，进一步凝聚政治共识。多措并举推进组织发展，发展质量持续提升。科学制定社北京市委2023年组织发展计划，持续推进“人才强社”战略，组织发展工作进展高效，社员数量稳步增加，新发展社员界别特色显著、层次普遍较高。全年共发展社员510人，平均年龄39.6岁，其中，长江学者、国家杰青等高层次人才10人，具有高级职称或博士学位的社员比例为60%。创新人才培养模式、搭建履职平台，让基层组织直接参与或承担社北京市委重点工作，有效推动履职水平提升。</w:t>
            </w:r>
          </w:p>
        </w:tc>
        <w:tc>
          <w:tcPr>
            <w:tcW w:w="5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w:t>
            </w:r>
          </w:p>
        </w:tc>
        <w:tc>
          <w:tcPr>
            <w:tcW w:w="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4.6</w:t>
            </w:r>
          </w:p>
        </w:tc>
        <w:tc>
          <w:tcPr>
            <w:tcW w:w="185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640"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878"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宣传研究工作质量</w:t>
            </w:r>
          </w:p>
        </w:tc>
        <w:tc>
          <w:tcPr>
            <w:tcW w:w="369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宣传党的统战理论、方针、政策。传达</w:t>
            </w:r>
            <w:bookmarkStart w:id="2" w:name="_GoBack"/>
            <w:bookmarkEnd w:id="2"/>
            <w:r>
              <w:rPr>
                <w:rFonts w:hint="eastAsia" w:ascii="宋体" w:hAnsi="宋体" w:cs="宋体"/>
                <w:color w:val="000000"/>
                <w:kern w:val="0"/>
                <w:sz w:val="20"/>
                <w:szCs w:val="20"/>
              </w:rPr>
              <w:t>社中央、中共北京市重要指示精神。报道社市委及各级组织各项工作取得的成绩。宣传报导社市委为社会发展、北京市中心工作建言献策成果。宣传九三先贤爱国精神和感人故事和社内优秀人物、业界精英所取得的优秀业绩。创建交流平台，刊登社员创作的诗歌、摄影作品、书画作品。</w:t>
            </w:r>
          </w:p>
        </w:tc>
        <w:tc>
          <w:tcPr>
            <w:tcW w:w="3900" w:type="dxa"/>
            <w:gridSpan w:val="6"/>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kern w:val="0"/>
                <w:sz w:val="18"/>
                <w:szCs w:val="18"/>
              </w:rPr>
              <w:t>完善宣传思想工作机制，加强宣传阵地建设。一是摸清宣传队伍底数，下好“先手棋”。了解各二级组织宣传队伍现状，建立人员台账，摸清各级组织宣传品牌“家底”。二是完善宣传工作机制，练好“基本功”。完善新闻稿件“三审三校”机制，明确分工，责任到人。完善上下联动机制，通过多种媒介促进各级组织联动，提升工作实效。完善宣传学习交流机制，开展新媒体工作培训。三是丰富宣传形式载体，打好“组合拳”</w:t>
            </w:r>
            <w:r>
              <w:rPr>
                <w:rFonts w:hint="eastAsia" w:ascii="宋体" w:hAnsi="宋体" w:cs="宋体"/>
                <w:kern w:val="0"/>
                <w:sz w:val="18"/>
                <w:szCs w:val="18"/>
                <w:lang w:eastAsia="zh-CN"/>
              </w:rPr>
              <w:t>。</w:t>
            </w:r>
          </w:p>
        </w:tc>
        <w:tc>
          <w:tcPr>
            <w:tcW w:w="525"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w:t>
            </w:r>
          </w:p>
        </w:tc>
        <w:tc>
          <w:tcPr>
            <w:tcW w:w="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4.69</w:t>
            </w:r>
          </w:p>
        </w:tc>
        <w:tc>
          <w:tcPr>
            <w:tcW w:w="185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40"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878"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社会服务工作质量</w:t>
            </w:r>
          </w:p>
        </w:tc>
        <w:tc>
          <w:tcPr>
            <w:tcW w:w="369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完成社市委科技助农、科技助医、科学传播、文化助推等社会服务工作，切实助力国家生态环境、科技教育、文化卫生、社会治理、乡村振兴等多领域建设。</w:t>
            </w:r>
          </w:p>
        </w:tc>
        <w:tc>
          <w:tcPr>
            <w:tcW w:w="375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kern w:val="0"/>
                <w:sz w:val="18"/>
                <w:szCs w:val="18"/>
              </w:rPr>
              <w:t>以增进民生福祉为出发点，重点打造社会服务特色。发挥界别优势，开展“九三科普行”系列活动。聚焦文化传承，推进“文化北京”专项行动。整合各方资源，帮扶项目稳中有进。多点多向发力，九地合作成果凸显。</w:t>
            </w:r>
          </w:p>
        </w:tc>
        <w:tc>
          <w:tcPr>
            <w:tcW w:w="67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5</w:t>
            </w:r>
          </w:p>
        </w:tc>
        <w:tc>
          <w:tcPr>
            <w:tcW w:w="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4.74</w:t>
            </w:r>
          </w:p>
        </w:tc>
        <w:tc>
          <w:tcPr>
            <w:tcW w:w="185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25"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32"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效果（30）</w:t>
            </w:r>
          </w:p>
        </w:tc>
        <w:tc>
          <w:tcPr>
            <w:tcW w:w="878"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联络对象满意度</w:t>
            </w:r>
          </w:p>
        </w:tc>
        <w:tc>
          <w:tcPr>
            <w:tcW w:w="369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组织、安排各项机关办公会议、社务工作会议等，保障会议顺利召开，做好会议服务工作；参与社中央组织的各项工作会议和活动；联系社中央、市政协、市委统战部、兄弟党派和社组织来访接待工作</w:t>
            </w:r>
            <w:r>
              <w:rPr>
                <w:rFonts w:hint="eastAsia" w:ascii="宋体" w:hAnsi="宋体" w:cs="宋体"/>
                <w:color w:val="000000"/>
                <w:kern w:val="0"/>
                <w:sz w:val="20"/>
                <w:szCs w:val="20"/>
                <w:lang w:eastAsia="zh-CN"/>
              </w:rPr>
              <w:t>。</w:t>
            </w:r>
          </w:p>
        </w:tc>
        <w:tc>
          <w:tcPr>
            <w:tcW w:w="3750"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达成年度指标</w:t>
            </w:r>
          </w:p>
        </w:tc>
        <w:tc>
          <w:tcPr>
            <w:tcW w:w="67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10</w:t>
            </w:r>
          </w:p>
        </w:tc>
        <w:tc>
          <w:tcPr>
            <w:tcW w:w="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w:t>
            </w:r>
          </w:p>
        </w:tc>
        <w:tc>
          <w:tcPr>
            <w:tcW w:w="1857"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经济效益：部门（单位）履行职责对经济发展所带来的直接或间接影响。社会效益：部门（单位）履行职责对社会发展所带来的直接或间接影响。环境效益：部门（单位）履行职责对环境所带来的直接或间接影响。可持续性影响：部门绩效目标实现的长效机制建设情况，部门工作效率提升措施的创新。服务对象满意度：部门（单位）的服务对象对部门履职效果的满意程度。</w:t>
            </w:r>
          </w:p>
        </w:tc>
        <w:tc>
          <w:tcPr>
            <w:tcW w:w="1334"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部门根据实际情况选择指标进行填写，并将其细化为相应的个性化指标。对于效益类指标可从受益对象瞄准度、受益广度和受益深度上进行设计分析。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878"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各项综合事务服务对象满意度</w:t>
            </w:r>
          </w:p>
        </w:tc>
        <w:tc>
          <w:tcPr>
            <w:tcW w:w="369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做好社市委各项联络和服务工作；更新基层工作手册、机关文件袋、信封、红头纸等；做好机关人事、财务、档案管理等各项综合事务工作</w:t>
            </w:r>
            <w:r>
              <w:rPr>
                <w:rFonts w:hint="eastAsia" w:ascii="宋体" w:hAnsi="宋体" w:cs="宋体"/>
                <w:color w:val="000000"/>
                <w:kern w:val="0"/>
                <w:sz w:val="20"/>
                <w:szCs w:val="20"/>
                <w:lang w:eastAsia="zh-CN"/>
              </w:rPr>
              <w:t>。</w:t>
            </w:r>
          </w:p>
        </w:tc>
        <w:tc>
          <w:tcPr>
            <w:tcW w:w="3750"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达成年度指标</w:t>
            </w:r>
          </w:p>
        </w:tc>
        <w:tc>
          <w:tcPr>
            <w:tcW w:w="67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10</w:t>
            </w:r>
          </w:p>
        </w:tc>
        <w:tc>
          <w:tcPr>
            <w:tcW w:w="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9</w:t>
            </w:r>
          </w:p>
        </w:tc>
        <w:tc>
          <w:tcPr>
            <w:tcW w:w="185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59"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878" w:type="dxa"/>
            <w:gridSpan w:val="2"/>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加强社内成员凝聚力，提高社员履职能力</w:t>
            </w:r>
          </w:p>
        </w:tc>
        <w:tc>
          <w:tcPr>
            <w:tcW w:w="3690" w:type="dxa"/>
            <w:gridSpan w:val="5"/>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20"/>
                <w:szCs w:val="20"/>
              </w:rPr>
            </w:pPr>
            <w:r>
              <w:rPr>
                <w:rFonts w:hint="eastAsia" w:ascii="宋体" w:hAnsi="宋体" w:cs="宋体"/>
                <w:color w:val="000000"/>
                <w:kern w:val="0"/>
                <w:sz w:val="20"/>
                <w:szCs w:val="20"/>
              </w:rPr>
              <w:t>搭建基层组织交流平台，通过基层组织的各项活动，加强社内交流。鼓励基层组织开展调研活动，促进履职能力提升。</w:t>
            </w:r>
          </w:p>
        </w:tc>
        <w:tc>
          <w:tcPr>
            <w:tcW w:w="3750" w:type="dxa"/>
            <w:gridSpan w:val="5"/>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达成年度指标</w:t>
            </w:r>
          </w:p>
        </w:tc>
        <w:tc>
          <w:tcPr>
            <w:tcW w:w="675"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10</w:t>
            </w:r>
          </w:p>
        </w:tc>
        <w:tc>
          <w:tcPr>
            <w:tcW w:w="54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10</w:t>
            </w:r>
          </w:p>
        </w:tc>
        <w:tc>
          <w:tcPr>
            <w:tcW w:w="1857"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c>
          <w:tcPr>
            <w:tcW w:w="1334"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13988" w:type="dxa"/>
            <w:gridSpan w:val="22"/>
            <w:tcBorders>
              <w:left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三、</w:t>
            </w:r>
            <w:r>
              <w:rPr>
                <w:rStyle w:val="17"/>
                <w:rFonts w:hint="default"/>
              </w:rPr>
              <w:t>预算管理情况（20分）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Style w:val="17"/>
                <w:rFonts w:hint="default"/>
              </w:rPr>
            </w:pPr>
            <w:r>
              <w:rPr>
                <w:rFonts w:hint="eastAsia" w:ascii="宋体" w:hAnsi="宋体" w:cs="宋体"/>
                <w:color w:val="000000"/>
                <w:kern w:val="0"/>
                <w:sz w:val="20"/>
                <w:szCs w:val="20"/>
              </w:rPr>
              <w:t>一</w:t>
            </w:r>
            <w:r>
              <w:rPr>
                <w:rStyle w:val="17"/>
                <w:rFonts w:hint="default"/>
              </w:rPr>
              <w:t>级</w:t>
            </w:r>
          </w:p>
          <w:p>
            <w:pPr>
              <w:widowControl/>
              <w:jc w:val="center"/>
              <w:textAlignment w:val="center"/>
              <w:rPr>
                <w:rFonts w:ascii="宋体" w:hAnsi="宋体" w:cs="宋体"/>
                <w:color w:val="000000"/>
                <w:sz w:val="20"/>
                <w:szCs w:val="20"/>
              </w:rPr>
            </w:pPr>
            <w:r>
              <w:rPr>
                <w:rStyle w:val="17"/>
                <w:rFonts w:hint="default"/>
              </w:rPr>
              <w:t>指标</w:t>
            </w:r>
          </w:p>
        </w:tc>
        <w:tc>
          <w:tcPr>
            <w:tcW w:w="6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Style w:val="17"/>
                <w:rFonts w:hint="default"/>
              </w:rPr>
            </w:pPr>
            <w:r>
              <w:rPr>
                <w:rFonts w:hint="eastAsia" w:ascii="宋体" w:hAnsi="宋体" w:cs="宋体"/>
                <w:color w:val="000000"/>
                <w:kern w:val="0"/>
                <w:sz w:val="20"/>
                <w:szCs w:val="20"/>
              </w:rPr>
              <w:t>二</w:t>
            </w:r>
            <w:r>
              <w:rPr>
                <w:rStyle w:val="17"/>
                <w:rFonts w:hint="default"/>
              </w:rPr>
              <w:t>级</w:t>
            </w:r>
          </w:p>
          <w:p>
            <w:pPr>
              <w:widowControl/>
              <w:jc w:val="center"/>
              <w:textAlignment w:val="center"/>
              <w:rPr>
                <w:rFonts w:ascii="宋体" w:hAnsi="宋体" w:cs="宋体"/>
                <w:color w:val="000000"/>
                <w:sz w:val="20"/>
                <w:szCs w:val="20"/>
              </w:rPr>
            </w:pPr>
            <w:r>
              <w:rPr>
                <w:rStyle w:val="17"/>
                <w:rFonts w:hint="default"/>
              </w:rPr>
              <w:t>指标</w:t>
            </w:r>
          </w:p>
        </w:tc>
        <w:tc>
          <w:tcPr>
            <w:tcW w:w="7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Style w:val="17"/>
                <w:rFonts w:hint="default"/>
              </w:rPr>
            </w:pPr>
            <w:r>
              <w:rPr>
                <w:rFonts w:hint="eastAsia" w:ascii="宋体" w:hAnsi="宋体" w:cs="宋体"/>
                <w:color w:val="000000"/>
                <w:kern w:val="0"/>
                <w:sz w:val="20"/>
                <w:szCs w:val="20"/>
              </w:rPr>
              <w:t>三</w:t>
            </w:r>
            <w:r>
              <w:rPr>
                <w:rStyle w:val="17"/>
                <w:rFonts w:hint="default"/>
              </w:rPr>
              <w:t>级</w:t>
            </w:r>
          </w:p>
          <w:p>
            <w:pPr>
              <w:widowControl/>
              <w:jc w:val="center"/>
              <w:textAlignment w:val="center"/>
              <w:rPr>
                <w:rFonts w:ascii="宋体" w:hAnsi="宋体" w:cs="宋体"/>
                <w:color w:val="000000"/>
                <w:sz w:val="20"/>
                <w:szCs w:val="20"/>
              </w:rPr>
            </w:pPr>
            <w:r>
              <w:rPr>
                <w:rStyle w:val="17"/>
                <w:rFonts w:hint="default"/>
              </w:rPr>
              <w:t>指标</w:t>
            </w:r>
          </w:p>
        </w:tc>
        <w:tc>
          <w:tcPr>
            <w:tcW w:w="1497"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r>
              <w:rPr>
                <w:rFonts w:hint="eastAsia" w:ascii="宋体" w:hAnsi="宋体" w:cs="宋体"/>
                <w:color w:val="000000"/>
                <w:sz w:val="20"/>
                <w:szCs w:val="20"/>
              </w:rPr>
              <w:t>指标值</w:t>
            </w:r>
          </w:p>
        </w:tc>
        <w:tc>
          <w:tcPr>
            <w:tcW w:w="2161"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完成</w:t>
            </w:r>
            <w:r>
              <w:rPr>
                <w:rStyle w:val="17"/>
                <w:rFonts w:hint="default"/>
              </w:rPr>
              <w:t>值</w:t>
            </w:r>
          </w:p>
        </w:tc>
        <w:tc>
          <w:tcPr>
            <w:tcW w:w="688"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分值</w:t>
            </w:r>
          </w:p>
        </w:tc>
        <w:tc>
          <w:tcPr>
            <w:tcW w:w="6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得分</w:t>
            </w:r>
          </w:p>
        </w:tc>
        <w:tc>
          <w:tcPr>
            <w:tcW w:w="3150"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指标解释</w:t>
            </w:r>
          </w:p>
        </w:tc>
        <w:tc>
          <w:tcPr>
            <w:tcW w:w="3884"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评</w:t>
            </w:r>
            <w:r>
              <w:rPr>
                <w:rStyle w:val="18"/>
                <w:rFonts w:hint="default"/>
              </w:rPr>
              <w:t>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49" w:hRule="atLeast"/>
        </w:trPr>
        <w:tc>
          <w:tcPr>
            <w:tcW w:w="632"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预算管理情况（20）</w:t>
            </w:r>
          </w:p>
        </w:tc>
        <w:tc>
          <w:tcPr>
            <w:tcW w:w="632"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财务管理（4）</w:t>
            </w:r>
          </w:p>
        </w:tc>
        <w:tc>
          <w:tcPr>
            <w:tcW w:w="7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财务管理制度健全性</w:t>
            </w:r>
          </w:p>
        </w:tc>
        <w:tc>
          <w:tcPr>
            <w:tcW w:w="1497"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r>
              <w:rPr>
                <w:rFonts w:hint="eastAsia" w:ascii="宋体" w:hAnsi="宋体" w:cs="宋体"/>
                <w:color w:val="000000"/>
                <w:sz w:val="18"/>
                <w:szCs w:val="18"/>
              </w:rPr>
              <w:t>财务制度是否健全　</w:t>
            </w:r>
          </w:p>
        </w:tc>
        <w:tc>
          <w:tcPr>
            <w:tcW w:w="216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《财务制度汇编》和《内部控制手册》涵盖了机关全部日常财务行为，使各种日常财务工作有了明确制度依据和参考流程，充实了机关内控管理内容</w:t>
            </w:r>
            <w:r>
              <w:rPr>
                <w:rStyle w:val="17"/>
                <w:rFonts w:hint="default"/>
              </w:rPr>
              <w:t>　</w:t>
            </w:r>
          </w:p>
        </w:tc>
        <w:tc>
          <w:tcPr>
            <w:tcW w:w="688"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6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3150"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财务管理制度健全性:</w:t>
            </w:r>
            <w:r>
              <w:rPr>
                <w:rStyle w:val="18"/>
                <w:rFonts w:hint="default"/>
              </w:rPr>
              <w:t>部门（单位）为加强财务管理、规范财务行为而制定的管理制度。</w:t>
            </w:r>
          </w:p>
        </w:tc>
        <w:tc>
          <w:tcPr>
            <w:tcW w:w="3884"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①预算资金管理办法、绩效跟踪管理办法、资产管理办法等各项制度是否健全；②部门内部财务管理制度是否完整、合规；③会计核算制度是否完整、合规。每有一项不合格扣0.5分，扣完为止。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936"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7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资金使用合规性和安全性</w:t>
            </w:r>
          </w:p>
        </w:tc>
        <w:tc>
          <w:tcPr>
            <w:tcW w:w="1497"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r>
              <w:rPr>
                <w:rFonts w:hint="eastAsia" w:ascii="宋体" w:hAnsi="宋体" w:cs="宋体"/>
                <w:color w:val="000000"/>
                <w:sz w:val="18"/>
                <w:szCs w:val="18"/>
              </w:rPr>
              <w:t>资金使用合规、安全</w:t>
            </w:r>
          </w:p>
        </w:tc>
        <w:tc>
          <w:tcPr>
            <w:tcW w:w="216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预算资金的使用符合相关预算财务管理制度的规定，符合相关规定的开支范围，不存在截留、挤占、挪用情况，涉及政府采购的支出符合政府采购程序和流程，公务卡结算符合相关制度和规定。</w:t>
            </w:r>
            <w:r>
              <w:rPr>
                <w:rStyle w:val="17"/>
                <w:rFonts w:hint="default"/>
              </w:rPr>
              <w:t>　</w:t>
            </w:r>
          </w:p>
        </w:tc>
        <w:tc>
          <w:tcPr>
            <w:tcW w:w="688"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w:t>
            </w:r>
          </w:p>
        </w:tc>
        <w:tc>
          <w:tcPr>
            <w:tcW w:w="6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w:t>
            </w:r>
          </w:p>
        </w:tc>
        <w:tc>
          <w:tcPr>
            <w:tcW w:w="3150"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资金使用合规性和安全性:</w:t>
            </w:r>
            <w:r>
              <w:rPr>
                <w:rStyle w:val="18"/>
                <w:rFonts w:hint="default"/>
              </w:rPr>
              <w:t>部门（单位）使用预算资金是否符合相关的预算财务管理制度的规定，是否符合相关规定的开支范围，用以反映考核部门（单位）预算资金的规范运行和安全运行情况。</w:t>
            </w:r>
          </w:p>
        </w:tc>
        <w:tc>
          <w:tcPr>
            <w:tcW w:w="3884"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68"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7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会计基础信息完善性</w:t>
            </w:r>
          </w:p>
        </w:tc>
        <w:tc>
          <w:tcPr>
            <w:tcW w:w="1497"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r>
              <w:rPr>
                <w:rFonts w:hint="eastAsia" w:ascii="宋体" w:hAnsi="宋体" w:cs="宋体"/>
                <w:color w:val="000000"/>
                <w:sz w:val="18"/>
                <w:szCs w:val="18"/>
              </w:rPr>
              <w:t>会计基础信息是否完整　</w:t>
            </w:r>
          </w:p>
        </w:tc>
        <w:tc>
          <w:tcPr>
            <w:tcW w:w="216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会计基础数据信息资料真实完整准确　</w:t>
            </w:r>
            <w:r>
              <w:rPr>
                <w:rStyle w:val="17"/>
                <w:rFonts w:hint="default"/>
              </w:rPr>
              <w:t>　</w:t>
            </w:r>
          </w:p>
        </w:tc>
        <w:tc>
          <w:tcPr>
            <w:tcW w:w="688"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6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w:t>
            </w:r>
          </w:p>
        </w:tc>
        <w:tc>
          <w:tcPr>
            <w:tcW w:w="3150"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会计基础信息完善性:</w:t>
            </w:r>
            <w:r>
              <w:rPr>
                <w:rStyle w:val="18"/>
                <w:rFonts w:hint="default"/>
              </w:rPr>
              <w:t>部门（单位）会计基础信息情况。</w:t>
            </w:r>
          </w:p>
        </w:tc>
        <w:tc>
          <w:tcPr>
            <w:tcW w:w="3884"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①基础数据信息和会计信息资料是否真实；②基础数据信息和会计信息资料是否完整；③基础数据信息和会计信息资料是否准确。每有一项不合格扣0.5分，扣完为止。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5"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资产管理（4）</w:t>
            </w:r>
          </w:p>
        </w:tc>
        <w:tc>
          <w:tcPr>
            <w:tcW w:w="7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资产管理规范性</w:t>
            </w:r>
          </w:p>
        </w:tc>
        <w:tc>
          <w:tcPr>
            <w:tcW w:w="1497"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r>
              <w:rPr>
                <w:rFonts w:hint="eastAsia" w:ascii="宋体" w:hAnsi="宋体" w:cs="宋体"/>
                <w:color w:val="000000"/>
                <w:sz w:val="18"/>
                <w:szCs w:val="18"/>
              </w:rPr>
              <w:t>资产管理是否规范</w:t>
            </w:r>
          </w:p>
        </w:tc>
        <w:tc>
          <w:tcPr>
            <w:tcW w:w="216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资产保持安全完整，资产配置符合资产相关管理规定，资产处置按照资产管理办法执行。</w:t>
            </w:r>
          </w:p>
        </w:tc>
        <w:tc>
          <w:tcPr>
            <w:tcW w:w="688"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6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3150"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资产管理规范性:</w:t>
            </w:r>
            <w:r>
              <w:rPr>
                <w:rStyle w:val="18"/>
                <w:rFonts w:hint="default"/>
              </w:rPr>
              <w:t>部门（单位）的资产是否保持安全完整，资产配置是否合理，资产使用和资产处理是否规范，用以反映和考核部门（单位）资产管理的整体水平。</w:t>
            </w:r>
          </w:p>
        </w:tc>
        <w:tc>
          <w:tcPr>
            <w:tcW w:w="3884"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其它资产管理制度办法执行情况。每有一项不合格扣0.8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绩效管理（4）</w:t>
            </w:r>
          </w:p>
        </w:tc>
        <w:tc>
          <w:tcPr>
            <w:tcW w:w="73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绩效管理情况</w:t>
            </w:r>
          </w:p>
        </w:tc>
        <w:tc>
          <w:tcPr>
            <w:tcW w:w="1497" w:type="dxa"/>
            <w:gridSpan w:val="2"/>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r>
              <w:rPr>
                <w:rFonts w:hint="eastAsia" w:ascii="宋体" w:hAnsi="宋体" w:cs="宋体"/>
                <w:color w:val="000000"/>
                <w:sz w:val="18"/>
                <w:szCs w:val="18"/>
              </w:rPr>
              <w:t>绩效管理信息汇总和应用情况</w:t>
            </w:r>
          </w:p>
        </w:tc>
        <w:tc>
          <w:tcPr>
            <w:tcW w:w="2161" w:type="dxa"/>
            <w:gridSpan w:val="3"/>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能够全面完成年度绩效目标，绩效资料齐全。</w:t>
            </w:r>
          </w:p>
        </w:tc>
        <w:tc>
          <w:tcPr>
            <w:tcW w:w="688"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6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3150"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b/>
                <w:color w:val="000000"/>
                <w:sz w:val="18"/>
                <w:szCs w:val="18"/>
              </w:rPr>
            </w:pPr>
            <w:r>
              <w:rPr>
                <w:rFonts w:hint="eastAsia" w:ascii="宋体" w:hAnsi="宋体" w:cs="宋体"/>
                <w:b/>
                <w:color w:val="000000"/>
                <w:kern w:val="0"/>
                <w:sz w:val="18"/>
                <w:szCs w:val="18"/>
              </w:rPr>
              <w:t>绩效管理情况:</w:t>
            </w:r>
            <w:r>
              <w:rPr>
                <w:rStyle w:val="18"/>
                <w:rFonts w:hint="default"/>
              </w:rPr>
              <w:t>考核部门（单位）在绩效管理信息的汇总和应用情况。</w:t>
            </w:r>
          </w:p>
        </w:tc>
        <w:tc>
          <w:tcPr>
            <w:tcW w:w="3884"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①部门（单位）是否及时对绩效信息进行汇总分析整理；②部门（单位）是否对绩效目标偏离情况及时进行矫正。每有一项不合格扣2分。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32"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指标　</w:t>
            </w:r>
          </w:p>
        </w:tc>
        <w:tc>
          <w:tcPr>
            <w:tcW w:w="222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2022</w:t>
            </w:r>
            <w:r>
              <w:rPr>
                <w:rStyle w:val="17"/>
                <w:rFonts w:hint="default"/>
              </w:rPr>
              <w:t>年</w:t>
            </w:r>
          </w:p>
        </w:tc>
        <w:tc>
          <w:tcPr>
            <w:tcW w:w="2161"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202</w:t>
            </w:r>
            <w:r>
              <w:rPr>
                <w:rStyle w:val="17"/>
                <w:rFonts w:hint="default"/>
              </w:rPr>
              <w:t>3年</w:t>
            </w:r>
          </w:p>
        </w:tc>
        <w:tc>
          <w:tcPr>
            <w:tcW w:w="688"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分值</w:t>
            </w:r>
          </w:p>
        </w:tc>
        <w:tc>
          <w:tcPr>
            <w:tcW w:w="6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得分</w:t>
            </w:r>
          </w:p>
        </w:tc>
        <w:tc>
          <w:tcPr>
            <w:tcW w:w="3150"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指标解释</w:t>
            </w:r>
          </w:p>
        </w:tc>
        <w:tc>
          <w:tcPr>
            <w:tcW w:w="3884" w:type="dxa"/>
            <w:gridSpan w:val="4"/>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rPr>
              <w:t>评</w:t>
            </w:r>
            <w:r>
              <w:rPr>
                <w:rStyle w:val="18"/>
                <w:rFonts w:hint="default"/>
              </w:rPr>
              <w:t>分标准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90"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32" w:type="dxa"/>
            <w:gridSpan w:val="2"/>
            <w:vMerge w:val="restart"/>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rPr>
              <w:t>结转结余率（4）</w:t>
            </w:r>
          </w:p>
        </w:tc>
        <w:tc>
          <w:tcPr>
            <w:tcW w:w="2229" w:type="dxa"/>
            <w:gridSpan w:val="3"/>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3.38%</w:t>
            </w:r>
          </w:p>
        </w:tc>
        <w:tc>
          <w:tcPr>
            <w:tcW w:w="2161" w:type="dxa"/>
            <w:gridSpan w:val="3"/>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2.84%</w:t>
            </w:r>
          </w:p>
        </w:tc>
        <w:tc>
          <w:tcPr>
            <w:tcW w:w="688" w:type="dxa"/>
            <w:gridSpan w:val="3"/>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612" w:type="dxa"/>
            <w:vMerge w:val="restart"/>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3150"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结转结余率=结转结余总额/支出预算数×100%。</w:t>
            </w:r>
          </w:p>
        </w:tc>
        <w:tc>
          <w:tcPr>
            <w:tcW w:w="3884" w:type="dxa"/>
            <w:gridSpan w:val="4"/>
            <w:vMerge w:val="restart"/>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5"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rPr>
                <w:rFonts w:ascii="宋体" w:hAnsi="宋体" w:cs="宋体"/>
                <w:color w:val="000000"/>
                <w:sz w:val="20"/>
                <w:szCs w:val="20"/>
              </w:rPr>
            </w:pPr>
          </w:p>
        </w:tc>
        <w:tc>
          <w:tcPr>
            <w:tcW w:w="2229" w:type="dxa"/>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2161" w:type="dxa"/>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88" w:type="dxa"/>
            <w:gridSpan w:val="3"/>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12"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3150"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结转结余总额：部门（单位）本年度的结转资金与结余资金之和。</w:t>
            </w:r>
          </w:p>
        </w:tc>
        <w:tc>
          <w:tcPr>
            <w:tcW w:w="3884" w:type="dxa"/>
            <w:gridSpan w:val="4"/>
            <w:vMerge w:val="continue"/>
            <w:tcBorders>
              <w:top w:val="single" w:color="000000" w:sz="4" w:space="0"/>
              <w:left w:val="single" w:color="000000" w:sz="4" w:space="0"/>
              <w:bottom w:val="single" w:color="000000" w:sz="4" w:space="0"/>
              <w:right w:val="single" w:color="000000" w:sz="4" w:space="0"/>
            </w:tcBorders>
            <w:vAlign w:val="center"/>
          </w:tcPr>
          <w:p>
            <w:pPr>
              <w:jc w:val="left"/>
              <w:rPr>
                <w:rFonts w:ascii="宋体" w:hAnsi="宋体" w:cs="宋体"/>
                <w:color w:val="000000"/>
                <w:sz w:val="18"/>
                <w:szCs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632" w:type="dxa"/>
            <w:gridSpan w:val="2"/>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20"/>
                <w:szCs w:val="20"/>
              </w:rPr>
            </w:pPr>
          </w:p>
        </w:tc>
        <w:tc>
          <w:tcPr>
            <w:tcW w:w="632" w:type="dxa"/>
            <w:gridSpan w:val="2"/>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ascii="宋体" w:hAnsi="宋体" w:cs="宋体"/>
                <w:color w:val="000000"/>
                <w:sz w:val="20"/>
                <w:szCs w:val="20"/>
              </w:rPr>
            </w:pPr>
            <w:r>
              <w:rPr>
                <w:rFonts w:hint="eastAsia" w:ascii="宋体" w:hAnsi="宋体" w:cs="宋体"/>
                <w:color w:val="000000"/>
                <w:kern w:val="0"/>
                <w:sz w:val="20"/>
                <w:szCs w:val="20"/>
              </w:rPr>
              <w:t>部门预决算差异率（4）</w:t>
            </w:r>
          </w:p>
        </w:tc>
        <w:tc>
          <w:tcPr>
            <w:tcW w:w="2229"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6.29%</w:t>
            </w:r>
          </w:p>
        </w:tc>
        <w:tc>
          <w:tcPr>
            <w:tcW w:w="2161"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0.94%</w:t>
            </w:r>
          </w:p>
        </w:tc>
        <w:tc>
          <w:tcPr>
            <w:tcW w:w="688"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6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4</w:t>
            </w:r>
          </w:p>
        </w:tc>
        <w:tc>
          <w:tcPr>
            <w:tcW w:w="3150"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通过年度部门决算与年初部门预算对比，对部门的年度支出情况进行考核，衡量部门预算的约束力。</w:t>
            </w:r>
          </w:p>
        </w:tc>
        <w:tc>
          <w:tcPr>
            <w:tcW w:w="3884"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ascii="宋体" w:hAnsi="宋体" w:cs="宋体"/>
                <w:color w:val="000000"/>
                <w:sz w:val="18"/>
                <w:szCs w:val="18"/>
              </w:rPr>
            </w:pPr>
            <w:r>
              <w:rPr>
                <w:rFonts w:hint="eastAsia" w:ascii="宋体" w:hAnsi="宋体" w:cs="宋体"/>
                <w:color w:val="000000"/>
                <w:kern w:val="0"/>
                <w:sz w:val="18"/>
                <w:szCs w:val="18"/>
              </w:rPr>
              <w:t>部门预决算差异率高于市级平均差异率（28.3%）的，每高出10%（含），扣0.4分，扣完为止。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5654" w:type="dxa"/>
            <w:gridSpan w:val="10"/>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合计</w:t>
            </w:r>
          </w:p>
        </w:tc>
        <w:tc>
          <w:tcPr>
            <w:tcW w:w="688"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color w:val="000000"/>
                <w:sz w:val="20"/>
                <w:szCs w:val="20"/>
              </w:rPr>
            </w:pPr>
            <w:r>
              <w:rPr>
                <w:rFonts w:hint="eastAsia" w:ascii="宋体" w:hAnsi="宋体" w:cs="宋体"/>
                <w:color w:val="000000"/>
                <w:kern w:val="0"/>
                <w:sz w:val="20"/>
                <w:szCs w:val="20"/>
              </w:rPr>
              <w:t>100</w:t>
            </w:r>
          </w:p>
        </w:tc>
        <w:tc>
          <w:tcPr>
            <w:tcW w:w="61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cs="宋体"/>
                <w:color w:val="000000"/>
                <w:sz w:val="20"/>
                <w:szCs w:val="20"/>
              </w:rPr>
            </w:pPr>
            <w:r>
              <w:rPr>
                <w:rFonts w:hint="eastAsia" w:ascii="宋体" w:hAnsi="宋体" w:cs="宋体"/>
                <w:color w:val="000000"/>
                <w:kern w:val="0"/>
                <w:sz w:val="20"/>
                <w:szCs w:val="20"/>
              </w:rPr>
              <w:t>95.31</w:t>
            </w:r>
          </w:p>
        </w:tc>
        <w:tc>
          <w:tcPr>
            <w:tcW w:w="7034" w:type="dxa"/>
            <w:gridSpan w:val="8"/>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color w:val="000000"/>
                <w:sz w:val="18"/>
                <w:szCs w:val="18"/>
              </w:rPr>
            </w:pPr>
          </w:p>
        </w:tc>
      </w:tr>
    </w:tbl>
    <w:p>
      <w:pPr>
        <w:spacing w:line="360" w:lineRule="auto"/>
        <w:rPr>
          <w:rFonts w:ascii="仿宋_GB2312" w:hAnsi="宋体" w:eastAsia="仿宋" w:cs="宋体"/>
          <w:color w:val="000000"/>
          <w:kern w:val="0"/>
          <w:sz w:val="32"/>
          <w:szCs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方正小标宋简体">
    <w:panose1 w:val="03000509000000000000"/>
    <w:charset w:val="86"/>
    <w:family w:val="auto"/>
    <w:pitch w:val="default"/>
    <w:sig w:usb0="00000001" w:usb1="080E0000" w:usb2="00000000" w:usb3="00000000" w:csb0="00040000" w:csb1="00000000"/>
  </w:font>
  <w:font w:name="方正黑体_GBK">
    <w:altName w:val="微软雅黑"/>
    <w:panose1 w:val="00000000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ind w:firstLine="360"/>
      <w:jc w:val="center"/>
      <w:rPr>
        <w:sz w:val="21"/>
        <w:szCs w:val="21"/>
      </w:rPr>
    </w:pPr>
    <w:r>
      <w:rPr>
        <w:rFonts w:ascii="Times New Roman" w:hAnsi="Times New Roman" w:eastAsia="宋体" w:cs="Times New Roman"/>
        <w:kern w:val="2"/>
        <w:sz w:val="18"/>
        <w:szCs w:val="18"/>
        <w:lang w:val="en-US" w:eastAsia="zh-CN" w:bidi="ar-SA"/>
      </w:rPr>
      <w:pict>
        <v:rect id="文本框 1" o:spid="_x0000_s1025" style="position:absolute;left:0;margin-top:0pt;height:20pt;width:4.55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8"/>
                </w:pPr>
                <w:r>
                  <w:fldChar w:fldCharType="begin"/>
                </w:r>
                <w:r>
                  <w:instrText xml:space="preserve"> PAGE  \* MERGEFORMAT </w:instrText>
                </w:r>
                <w:r>
                  <w:fldChar w:fldCharType="separate"/>
                </w:r>
                <w:r>
                  <w:t>1</w:t>
                </w:r>
                <w:r>
                  <w:fldChar w:fldCharType="end"/>
                </w:r>
              </w:p>
            </w:txbxContent>
          </v:textbox>
        </v:rect>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3339880839">
    <w:nsid w:val="C7128987"/>
    <w:multiLevelType w:val="singleLevel"/>
    <w:tmpl w:val="C7128987"/>
    <w:lvl w:ilvl="0" w:tentative="1">
      <w:start w:val="2"/>
      <w:numFmt w:val="chineseCounting"/>
      <w:suff w:val="nothing"/>
      <w:lvlText w:val="（%1）"/>
      <w:lvlJc w:val="left"/>
      <w:rPr>
        <w:rFonts w:hint="eastAsia"/>
      </w:rPr>
    </w:lvl>
  </w:abstractNum>
  <w:num w:numId="1">
    <w:abstractNumId w:val="33398808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ZTk5YzQ3YTk2OWE3NmU4ZTNmNTQwMjRlMTFlNDIzMzIifQ=="/>
  </w:docVars>
  <w:rsids>
    <w:rsidRoot w:val="00BD117D"/>
    <w:rsid w:val="00022ABF"/>
    <w:rsid w:val="00065B05"/>
    <w:rsid w:val="00071BE6"/>
    <w:rsid w:val="0007392D"/>
    <w:rsid w:val="00074F7B"/>
    <w:rsid w:val="000B07ED"/>
    <w:rsid w:val="001079F0"/>
    <w:rsid w:val="00117F14"/>
    <w:rsid w:val="001953CF"/>
    <w:rsid w:val="00203F0A"/>
    <w:rsid w:val="00230CEF"/>
    <w:rsid w:val="002311DE"/>
    <w:rsid w:val="002423A2"/>
    <w:rsid w:val="00243554"/>
    <w:rsid w:val="002514D4"/>
    <w:rsid w:val="002A5727"/>
    <w:rsid w:val="002F1E49"/>
    <w:rsid w:val="00300446"/>
    <w:rsid w:val="0034294F"/>
    <w:rsid w:val="00392AAD"/>
    <w:rsid w:val="003E1329"/>
    <w:rsid w:val="003E762A"/>
    <w:rsid w:val="003F2BA7"/>
    <w:rsid w:val="00482573"/>
    <w:rsid w:val="004D5F7A"/>
    <w:rsid w:val="0052084A"/>
    <w:rsid w:val="005335B0"/>
    <w:rsid w:val="0054246A"/>
    <w:rsid w:val="00565CBA"/>
    <w:rsid w:val="00587BF6"/>
    <w:rsid w:val="005A3CBF"/>
    <w:rsid w:val="005F1B81"/>
    <w:rsid w:val="00663B02"/>
    <w:rsid w:val="006B2B07"/>
    <w:rsid w:val="006D61E8"/>
    <w:rsid w:val="007C7E0A"/>
    <w:rsid w:val="007F3493"/>
    <w:rsid w:val="00804623"/>
    <w:rsid w:val="008314B3"/>
    <w:rsid w:val="008874A1"/>
    <w:rsid w:val="00896623"/>
    <w:rsid w:val="008D5BCA"/>
    <w:rsid w:val="00913503"/>
    <w:rsid w:val="009602D8"/>
    <w:rsid w:val="009679C3"/>
    <w:rsid w:val="009D4362"/>
    <w:rsid w:val="009F13AB"/>
    <w:rsid w:val="00A2430D"/>
    <w:rsid w:val="00A422EF"/>
    <w:rsid w:val="00B40853"/>
    <w:rsid w:val="00BC1A86"/>
    <w:rsid w:val="00BC71D8"/>
    <w:rsid w:val="00BC745C"/>
    <w:rsid w:val="00BD117D"/>
    <w:rsid w:val="00BD66F8"/>
    <w:rsid w:val="00C16A8A"/>
    <w:rsid w:val="00C30F63"/>
    <w:rsid w:val="00C65E7B"/>
    <w:rsid w:val="00D22AAF"/>
    <w:rsid w:val="00D52120"/>
    <w:rsid w:val="00D52CD5"/>
    <w:rsid w:val="00D763AF"/>
    <w:rsid w:val="00E778AC"/>
    <w:rsid w:val="00E91B7F"/>
    <w:rsid w:val="00EB0A70"/>
    <w:rsid w:val="00F773BD"/>
    <w:rsid w:val="00FC03DF"/>
    <w:rsid w:val="00FF16D5"/>
    <w:rsid w:val="00FF2490"/>
    <w:rsid w:val="087D1C8A"/>
    <w:rsid w:val="0FAA2363"/>
    <w:rsid w:val="127A0E2F"/>
    <w:rsid w:val="158C4D6A"/>
    <w:rsid w:val="181F2772"/>
    <w:rsid w:val="1D9F610D"/>
    <w:rsid w:val="1E6D10E5"/>
    <w:rsid w:val="21FB5715"/>
    <w:rsid w:val="27393520"/>
    <w:rsid w:val="28B30A92"/>
    <w:rsid w:val="29DD532D"/>
    <w:rsid w:val="2F493D6F"/>
    <w:rsid w:val="314C5377"/>
    <w:rsid w:val="33D12E95"/>
    <w:rsid w:val="35D42B52"/>
    <w:rsid w:val="3790083E"/>
    <w:rsid w:val="39DF7DFE"/>
    <w:rsid w:val="3AB16D71"/>
    <w:rsid w:val="3F411B4D"/>
    <w:rsid w:val="4018195C"/>
    <w:rsid w:val="469F284C"/>
    <w:rsid w:val="47176886"/>
    <w:rsid w:val="47A575FA"/>
    <w:rsid w:val="487C2A42"/>
    <w:rsid w:val="49741721"/>
    <w:rsid w:val="49F049D5"/>
    <w:rsid w:val="4ECB2773"/>
    <w:rsid w:val="5364642C"/>
    <w:rsid w:val="55F92B1E"/>
    <w:rsid w:val="577E4B20"/>
    <w:rsid w:val="59A77D29"/>
    <w:rsid w:val="5C494B03"/>
    <w:rsid w:val="5D544688"/>
    <w:rsid w:val="608A1A1F"/>
    <w:rsid w:val="62D03CBC"/>
    <w:rsid w:val="63AD498C"/>
    <w:rsid w:val="6A4E6CB6"/>
    <w:rsid w:val="7794726C"/>
    <w:rsid w:val="78AA0246"/>
    <w:rsid w:val="7B4E623F"/>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spacing w:line="600" w:lineRule="exact"/>
      <w:ind w:firstLine="640"/>
      <w:outlineLvl w:val="0"/>
    </w:pPr>
    <w:rPr>
      <w:rFonts w:ascii="黑体" w:hAnsi="黑体" w:eastAsia="黑体" w:cs="宋体"/>
      <w:color w:val="000000"/>
      <w:kern w:val="0"/>
    </w:rPr>
  </w:style>
  <w:style w:type="paragraph" w:styleId="4">
    <w:name w:val="heading 2"/>
    <w:next w:val="1"/>
    <w:qFormat/>
    <w:uiPriority w:val="0"/>
    <w:pPr>
      <w:keepNext/>
      <w:keepLines/>
      <w:widowControl w:val="0"/>
      <w:spacing w:before="260" w:after="260" w:line="412" w:lineRule="auto"/>
      <w:jc w:val="both"/>
      <w:outlineLvl w:val="1"/>
    </w:pPr>
    <w:rPr>
      <w:rFonts w:ascii="Arial" w:hAnsi="Arial" w:eastAsia="黑体" w:cs="Times New Roman"/>
      <w:b/>
      <w:kern w:val="2"/>
      <w:sz w:val="32"/>
      <w:lang w:val="en-US" w:eastAsia="zh-CN" w:bidi="ar-SA"/>
    </w:rPr>
  </w:style>
  <w:style w:type="character" w:default="1" w:styleId="10">
    <w:name w:val="Default Paragraph Font"/>
    <w:unhideWhenUsed/>
    <w:uiPriority w:val="1"/>
  </w:style>
  <w:style w:type="table" w:default="1" w:styleId="11">
    <w:name w:val="Normal Table"/>
    <w:unhideWhenUsed/>
    <w:uiPriority w:val="99"/>
    <w:tblPr>
      <w:tblStyle w:val="11"/>
      <w:tblLayout w:type="fixed"/>
      <w:tblCellMar>
        <w:top w:w="0" w:type="dxa"/>
        <w:left w:w="108" w:type="dxa"/>
        <w:bottom w:w="0" w:type="dxa"/>
        <w:right w:w="108" w:type="dxa"/>
      </w:tblCellMar>
    </w:tblPr>
    <w:tcPr>
      <w:textDirection w:val="lrTb"/>
    </w:tcPr>
  </w:style>
  <w:style w:type="paragraph" w:styleId="2">
    <w:name w:val="Normal Indent"/>
    <w:basedOn w:val="1"/>
    <w:qFormat/>
    <w:uiPriority w:val="0"/>
    <w:pPr>
      <w:ind w:firstLine="200" w:firstLineChars="200"/>
    </w:p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lock Text"/>
    <w:basedOn w:val="1"/>
    <w:qFormat/>
    <w:uiPriority w:val="0"/>
    <w:pPr>
      <w:spacing w:after="120"/>
      <w:ind w:left="700" w:leftChars="700" w:right="700" w:rightChars="700"/>
    </w:pPr>
  </w:style>
  <w:style w:type="paragraph" w:styleId="8">
    <w:name w:val="footer"/>
    <w:basedOn w:val="1"/>
    <w:next w:val="1"/>
    <w:qFormat/>
    <w:uiPriority w:val="0"/>
    <w:pPr>
      <w:tabs>
        <w:tab w:val="center" w:pos="4153"/>
        <w:tab w:val="right" w:pos="8306"/>
      </w:tabs>
      <w:snapToGrid w:val="0"/>
      <w:jc w:val="left"/>
    </w:pPr>
    <w:rPr>
      <w:sz w:val="18"/>
      <w:szCs w:val="18"/>
    </w:rPr>
  </w:style>
  <w:style w:type="paragraph" w:styleId="9">
    <w:name w:val="header"/>
    <w:basedOn w:val="1"/>
    <w:link w:val="15"/>
    <w:uiPriority w:val="0"/>
    <w:pPr>
      <w:tabs>
        <w:tab w:val="center" w:pos="4153"/>
        <w:tab w:val="right" w:pos="8306"/>
      </w:tabs>
      <w:snapToGrid w:val="0"/>
      <w:jc w:val="center"/>
    </w:pPr>
    <w:rPr>
      <w:sz w:val="18"/>
      <w:szCs w:val="18"/>
    </w:rPr>
  </w:style>
  <w:style w:type="paragraph" w:customStyle="1" w:styleId="12">
    <w:name w:val="列表段落1"/>
    <w:basedOn w:val="1"/>
    <w:unhideWhenUsed/>
    <w:uiPriority w:val="99"/>
    <w:pPr>
      <w:ind w:firstLine="420" w:firstLineChars="200"/>
    </w:pPr>
  </w:style>
  <w:style w:type="paragraph" w:customStyle="1" w:styleId="13">
    <w:name w:val="修订1"/>
    <w:hidden/>
    <w:unhideWhenUsed/>
    <w:uiPriority w:val="99"/>
    <w:rPr>
      <w:rFonts w:ascii="Times New Roman" w:hAnsi="Times New Roman" w:eastAsia="宋体" w:cs="Times New Roman"/>
      <w:kern w:val="2"/>
      <w:sz w:val="21"/>
      <w:szCs w:val="24"/>
      <w:lang w:val="en-US" w:eastAsia="zh-CN" w:bidi="ar-SA"/>
    </w:rPr>
  </w:style>
  <w:style w:type="paragraph" w:customStyle="1" w:styleId="14">
    <w:name w:val="Revision"/>
    <w:hidden/>
    <w:unhideWhenUsed/>
    <w:uiPriority w:val="99"/>
    <w:pPr>
      <w:spacing w:after="0" w:line="240" w:lineRule="auto"/>
    </w:pPr>
    <w:rPr>
      <w:rFonts w:ascii="Times New Roman" w:hAnsi="Times New Roman" w:eastAsia="宋体" w:cs="Times New Roman"/>
      <w:kern w:val="2"/>
      <w:sz w:val="21"/>
      <w:szCs w:val="24"/>
      <w:lang w:val="en-US" w:eastAsia="zh-CN" w:bidi="ar-SA"/>
    </w:rPr>
  </w:style>
  <w:style w:type="character" w:customStyle="1" w:styleId="15">
    <w:name w:val="页眉 字符"/>
    <w:basedOn w:val="10"/>
    <w:link w:val="9"/>
    <w:uiPriority w:val="0"/>
    <w:rPr>
      <w:kern w:val="2"/>
      <w:sz w:val="18"/>
      <w:szCs w:val="18"/>
    </w:rPr>
  </w:style>
  <w:style w:type="character" w:customStyle="1" w:styleId="16">
    <w:name w:val="font41"/>
    <w:basedOn w:val="10"/>
    <w:uiPriority w:val="0"/>
    <w:rPr>
      <w:rFonts w:hint="eastAsia" w:ascii="方正小标宋简体" w:hAnsi="方正小标宋简体" w:eastAsia="方正小标宋简体" w:cs="方正小标宋简体"/>
      <w:color w:val="000000"/>
      <w:sz w:val="44"/>
      <w:szCs w:val="44"/>
      <w:u w:val="none"/>
    </w:rPr>
  </w:style>
  <w:style w:type="character" w:customStyle="1" w:styleId="17">
    <w:name w:val="font21"/>
    <w:basedOn w:val="10"/>
    <w:uiPriority w:val="0"/>
    <w:rPr>
      <w:rFonts w:hint="eastAsia" w:ascii="宋体" w:hAnsi="宋体" w:eastAsia="宋体" w:cs="宋体"/>
      <w:color w:val="000000"/>
      <w:sz w:val="20"/>
      <w:szCs w:val="20"/>
      <w:u w:val="none"/>
    </w:rPr>
  </w:style>
  <w:style w:type="character" w:customStyle="1" w:styleId="18">
    <w:name w:val="font31"/>
    <w:basedOn w:val="10"/>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1710</Words>
  <Characters>9747</Characters>
  <Lines>81</Lines>
  <Paragraphs>22</Paragraphs>
  <TotalTime>0</TotalTime>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2024-05-20T07:16:00Z</dcterms:created>
  <dc:creator>jscxw</dc:creator>
  <cp:lastModifiedBy>tfj</cp:lastModifiedBy>
  <cp:lastPrinted>2024-05-20T01:55:00Z</cp:lastPrinted>
  <dcterms:modified xsi:type="dcterms:W3CDTF">2024-05-22T02:01:10Z</dcterms:modified>
  <dc:title>附件4</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y fmtid="{D5CDD505-2E9C-101B-9397-08002B2CF9AE}" pid="3" name="ICV">
    <vt:lpwstr>EE9F5C5097804E3290084EAA93BCE522_12</vt:lpwstr>
  </property>
</Properties>
</file>