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方正小标宋简体" w:eastAsia="方正小标宋简体"/>
          <w:sz w:val="36"/>
          <w:szCs w:val="36"/>
        </w:rPr>
      </w:pPr>
      <w:r>
        <w:rPr>
          <w:rFonts w:hint="eastAsia" w:ascii="方正黑体_GBK" w:hAnsi="方正黑体_GBK" w:eastAsia="方正黑体_GBK" w:cs="方正黑体_GBK"/>
          <w:sz w:val="32"/>
        </w:rPr>
        <w:t>附件4</w:t>
      </w:r>
    </w:p>
    <w:p>
      <w:pPr>
        <w:spacing w:line="360" w:lineRule="auto"/>
        <w:jc w:val="center"/>
        <w:rPr>
          <w:rFonts w:ascii="方正小标宋简体" w:eastAsia="方正小标宋简体"/>
          <w:sz w:val="36"/>
          <w:szCs w:val="36"/>
        </w:rPr>
      </w:pPr>
      <w:r>
        <w:rPr>
          <w:rFonts w:hint="eastAsia" w:ascii="方正小标宋简体" w:eastAsia="方正小标宋简体"/>
          <w:sz w:val="36"/>
          <w:szCs w:val="36"/>
        </w:rPr>
        <w:t>中国民主同盟北京市委员会</w:t>
      </w:r>
    </w:p>
    <w:p>
      <w:pPr>
        <w:spacing w:line="360" w:lineRule="auto"/>
        <w:jc w:val="center"/>
        <w:rPr>
          <w:rFonts w:ascii="方正小标宋简体" w:eastAsia="方正小标宋简体"/>
          <w:sz w:val="36"/>
          <w:szCs w:val="36"/>
        </w:rPr>
      </w:pPr>
      <w:r>
        <w:rPr>
          <w:rFonts w:hint="eastAsia" w:ascii="方正小标宋简体" w:eastAsia="方正小标宋简体"/>
          <w:sz w:val="36"/>
          <w:szCs w:val="36"/>
        </w:rPr>
        <w:t>整体绩效评价报告</w:t>
      </w:r>
    </w:p>
    <w:p>
      <w:pPr>
        <w:spacing w:line="360" w:lineRule="auto"/>
        <w:jc w:val="center"/>
        <w:rPr>
          <w:rFonts w:ascii="仿宋_GB2312"/>
          <w:szCs w:val="30"/>
        </w:rPr>
      </w:pPr>
    </w:p>
    <w:p>
      <w:pPr>
        <w:spacing w:line="360" w:lineRule="auto"/>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spacing w:line="360" w:lineRule="auto"/>
        <w:ind w:firstLine="640" w:firstLineChars="200"/>
        <w:rPr>
          <w:rFonts w:ascii="楷体_GB2312" w:eastAsia="楷体_GB2312"/>
          <w:sz w:val="32"/>
          <w:szCs w:val="32"/>
        </w:rPr>
      </w:pPr>
      <w:r>
        <w:rPr>
          <w:rFonts w:hint="eastAsia" w:ascii="楷体_GB2312" w:eastAsia="楷体_GB2312"/>
          <w:sz w:val="32"/>
          <w:szCs w:val="32"/>
        </w:rPr>
        <w:t>（一）机构设置及职责工作任务情况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中国民主同盟北京市委员会是财政全额拨款的行政单位，是中国民主同盟在首都北京的省级组织，无下属单位。部门设有六个部室，包括：办公室、组织部、宣传部、参政议政部、研究室和社会服务部。</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中国民主同盟是中国共产党领导的爱国统一战线的组成部分，是主要由文化教育以及相关的科学技术领域高、中级知识分子组成的，具有政治联盟特点的，接受中国共产党领导、同中国共产党通力合作，进步性与广泛性相统一的中国特色社会主义参政党。民盟北京市委的主要职责是：加强思想政治引领，为民盟北京市委加强参政党自身建设，履行参政议政、民主监督和参加中国共产党领导的政治协商等职能提供保障和服务工作。</w:t>
      </w:r>
    </w:p>
    <w:p>
      <w:pPr>
        <w:numPr>
          <w:ilvl w:val="0"/>
          <w:numId w:val="1"/>
        </w:numPr>
        <w:spacing w:line="360" w:lineRule="auto"/>
        <w:ind w:firstLine="640" w:firstLineChars="200"/>
        <w:rPr>
          <w:rFonts w:ascii="楷体_GB2312" w:eastAsia="楷体_GB2312"/>
          <w:sz w:val="32"/>
          <w:szCs w:val="32"/>
        </w:rPr>
      </w:pPr>
      <w:r>
        <w:rPr>
          <w:rFonts w:hint="eastAsia" w:ascii="楷体_GB2312" w:eastAsia="楷体_GB2312"/>
          <w:sz w:val="32"/>
          <w:szCs w:val="32"/>
        </w:rPr>
        <w:t>部门整体绩效目标设立情况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2023年是全面贯彻落实中共二十大精神的开局之年，是实施“十四五”规划关键之年。在民盟中央和中共北京市委的坚强领导下，民盟北京市委以习近平新时代中国特色社会主义思想为指导，坚持守正创新、强基固本、提质增效，为助推首都高质量发展作出积极贡献。</w:t>
      </w:r>
      <w:r>
        <w:rPr>
          <w:rFonts w:ascii="仿宋" w:hAnsi="仿宋" w:eastAsia="仿宋"/>
          <w:sz w:val="32"/>
          <w:szCs w:val="32"/>
        </w:rPr>
        <w:t>一年来，民盟北京市委</w:t>
      </w:r>
      <w:r>
        <w:rPr>
          <w:rFonts w:hint="eastAsia" w:ascii="仿宋" w:hAnsi="仿宋" w:eastAsia="仿宋"/>
          <w:sz w:val="32"/>
          <w:szCs w:val="32"/>
        </w:rPr>
        <w:t>以深入开展“凝心铸魂强根基、团结奋进新征程”主题教育为主线，把握“学思想、强根基、重履职、建新功”总要求，凝聚团结奋进力量，有效释放“两个充分”效能，进一步提升自身建设和履职尽责水平，新一轮《五年工作规划》实现良好开局。根据总体目标并结合2023年工作重点，从参政议政，组织建设，宣传研究，到社会服务等工作，共设定了10个绩效指标，指标设定与民盟北京市委职能定位、发展规划和工作计划相匹配，能够清晰反映具体要求和实现成果，符合相关法律法规的要求及部门整体支出的客观实际，目标依据充分，具有一定的可操作性和可实现性。</w:t>
      </w:r>
    </w:p>
    <w:p>
      <w:pPr>
        <w:spacing w:line="360" w:lineRule="auto"/>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2023年全年预算数1845.53万元，其中，基本支出预算数1631.91万元，项目支出预算数213.62万元。资金总体支出1763.12万元，其中，基本支出1590.82万元，项目支出172.30万元。预算执行率为95.53%。</w:t>
      </w:r>
    </w:p>
    <w:p>
      <w:pPr>
        <w:spacing w:line="360" w:lineRule="auto"/>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pPr>
        <w:widowControl/>
        <w:adjustRightInd w:val="0"/>
        <w:snapToGrid w:val="0"/>
        <w:spacing w:line="360" w:lineRule="auto"/>
        <w:ind w:firstLine="640" w:firstLineChars="200"/>
        <w:rPr>
          <w:rFonts w:ascii="仿宋" w:eastAsia="仿宋" w:cs="仿宋"/>
          <w:sz w:val="32"/>
          <w:szCs w:val="32"/>
        </w:rPr>
      </w:pPr>
      <w:r>
        <w:rPr>
          <w:rFonts w:hint="eastAsia" w:ascii="仿宋" w:hAnsi="仿宋" w:eastAsia="仿宋" w:cs="仿宋"/>
          <w:sz w:val="32"/>
          <w:szCs w:val="32"/>
        </w:rPr>
        <w:t>2023年是全面贯彻落实中共二十大精神的开局之年，</w:t>
      </w:r>
      <w:r>
        <w:rPr>
          <w:rFonts w:hint="eastAsia" w:ascii="仿宋" w:eastAsia="仿宋"/>
          <w:sz w:val="32"/>
          <w:szCs w:val="32"/>
        </w:rPr>
        <w:t>是实施“十四五”规划关键之年</w:t>
      </w:r>
      <w:r>
        <w:rPr>
          <w:rFonts w:hint="eastAsia" w:ascii="仿宋" w:hAnsi="仿宋" w:eastAsia="仿宋" w:cs="仿宋"/>
          <w:sz w:val="32"/>
          <w:szCs w:val="32"/>
        </w:rPr>
        <w:t>。在民盟中央和中共北京市委</w:t>
      </w:r>
      <w:r>
        <w:rPr>
          <w:rFonts w:hint="eastAsia" w:ascii="仿宋" w:hAnsi="仿宋" w:eastAsia="仿宋" w:cs="仿宋"/>
          <w:sz w:val="32"/>
          <w:szCs w:val="32"/>
          <w:lang w:eastAsia="zh-Hans"/>
        </w:rPr>
        <w:t>的</w:t>
      </w:r>
      <w:r>
        <w:rPr>
          <w:rFonts w:hint="eastAsia" w:ascii="仿宋" w:hAnsi="仿宋" w:eastAsia="仿宋" w:cs="仿宋"/>
          <w:sz w:val="32"/>
          <w:szCs w:val="32"/>
        </w:rPr>
        <w:t>坚强领导下，按照中国特色社会主义参政党的要求，坚持和发展中国共产党领导的多党合作和政治协商制度，坚持中国特色社会主义政党制度，提高政治站位。以首善标准加快建设符合新时代要求的中国特色社会主义参政党地方组织，不断提升参政议政和社会服务等履职能力，切实加强自身建设。夯实思想政治基础，丰富理论研究成果。围绕首都发展大局凝聚智慧建言献策，塑造参政议政品牌扩大民盟影响，增强民主监督职能，探索履职方式，顺利完成换届工作，加强基层组织建设工作。</w:t>
      </w:r>
    </w:p>
    <w:p>
      <w:pPr>
        <w:spacing w:line="360" w:lineRule="auto"/>
        <w:ind w:left="105" w:leftChars="50" w:firstLine="480" w:firstLineChars="150"/>
        <w:rPr>
          <w:rFonts w:ascii="楷体_GB2312" w:eastAsia="楷体_GB2312"/>
          <w:sz w:val="32"/>
          <w:szCs w:val="32"/>
        </w:rPr>
      </w:pPr>
      <w:r>
        <w:rPr>
          <w:rFonts w:hint="eastAsia" w:ascii="楷体_GB2312" w:eastAsia="楷体_GB2312"/>
          <w:sz w:val="32"/>
          <w:szCs w:val="32"/>
        </w:rPr>
        <w:t>（一）产出完成情况分析</w:t>
      </w:r>
    </w:p>
    <w:p>
      <w:pPr>
        <w:spacing w:line="360" w:lineRule="auto"/>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1.产出数量</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按照民盟中央和中共北京市委部署要求，民盟北京市委召开</w:t>
      </w:r>
      <w:r>
        <w:rPr>
          <w:rFonts w:hint="eastAsia" w:ascii="仿宋" w:hAnsi="仿宋" w:eastAsia="仿宋" w:cs="仿宋"/>
          <w:sz w:val="32"/>
          <w:szCs w:val="32"/>
        </w:rPr>
        <w:t>社情民意信息工作会，总结经验，表彰先进，印发《优秀建言信息选编（2022年）》，进行再动员再部署。举办新盟员信息工作培训班，持续推动“信息沙龙”进基层，提升信息报送规范化精准化水平。区级组织信息报送质量明显提升，高校等直属基层组织信息报送积极性明显增加。加大约稿力度，高层次代表人士投稿数量同比增加20%。民盟海淀区委全年开展8次信息工作培训，民盟石景山区工委、昌平区工委、房山区总支部举办参政议政暨信息工作培训沙龙，取得良好成效。全年精选报送信息915篇，同比增长9.3%。其中，全国政协、中央统战部、民盟中央和北京市共采用256篇，同比增长14.8%；副省级领导及以上批示16篇（含党和国家领导人批示1篇），同比增长167%，在全市名列前茅。</w:t>
      </w:r>
    </w:p>
    <w:p>
      <w:pPr>
        <w:spacing w:line="360" w:lineRule="auto"/>
        <w:ind w:firstLine="640" w:firstLineChars="200"/>
        <w:rPr>
          <w:rFonts w:ascii="仿宋" w:hAnsi="仿宋" w:eastAsia="仿宋"/>
          <w:sz w:val="32"/>
          <w:szCs w:val="32"/>
        </w:rPr>
      </w:pPr>
      <w:r>
        <w:rPr>
          <w:rFonts w:hint="eastAsia" w:ascii="仿宋" w:hAnsi="仿宋" w:eastAsia="仿宋"/>
          <w:sz w:val="32"/>
          <w:szCs w:val="32"/>
        </w:rPr>
        <w:t>2023年民盟北京市委</w:t>
      </w:r>
      <w:r>
        <w:rPr>
          <w:rFonts w:hint="eastAsia" w:ascii="仿宋" w:hAnsi="仿宋" w:eastAsia="仿宋" w:cs="仿宋"/>
          <w:sz w:val="32"/>
          <w:szCs w:val="32"/>
        </w:rPr>
        <w:t>荣膺民盟中央“组织工作模范集体”并在全盟作典型发言。圆满完成组织发展目标，全年发展新盟员520人，其中重点分工占比73%，高层次代表人士57人，超额完成代表人士发展目标。</w:t>
      </w:r>
    </w:p>
    <w:p>
      <w:pPr>
        <w:spacing w:line="360" w:lineRule="auto"/>
        <w:ind w:firstLine="640" w:firstLineChars="200"/>
        <w:textAlignment w:val="baseline"/>
        <w:rPr>
          <w:rFonts w:ascii="仿宋" w:hAnsi="仿宋" w:eastAsia="仿宋" w:cs="仿宋"/>
          <w:sz w:val="32"/>
          <w:szCs w:val="32"/>
        </w:rPr>
      </w:pPr>
      <w:r>
        <w:rPr>
          <w:rFonts w:hint="eastAsia" w:ascii="仿宋" w:eastAsia="仿宋"/>
          <w:sz w:val="32"/>
          <w:szCs w:val="32"/>
        </w:rPr>
        <w:t>有效发挥民盟北京市委网站、微信、盟讯等宣传平台作用，加大对主题教育和盟务工作宣传力度</w:t>
      </w:r>
      <w:r>
        <w:rPr>
          <w:rFonts w:hint="eastAsia" w:ascii="仿宋" w:hAnsi="仿宋" w:eastAsia="仿宋" w:cs="仿宋"/>
          <w:sz w:val="32"/>
          <w:szCs w:val="32"/>
        </w:rPr>
        <w:t>。增设全国两会、北京市两会、主题教育等三个网站专栏，网站全年上传稿件850余篇。持续开展“十佳微信作品”评选，全年编发微信作品335篇，同比增长10%；微信公众号长期订阅人数突破万人，同比增长16%。高质量作品及时报送上级机构微信平台，首都民盟影响力持续扩大。</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2.产出</w:t>
      </w:r>
      <w:r>
        <w:rPr>
          <w:rFonts w:ascii="仿宋" w:hAnsi="仿宋" w:eastAsia="仿宋" w:cs="仿宋"/>
          <w:sz w:val="32"/>
          <w:szCs w:val="32"/>
        </w:rPr>
        <w:t>质量</w:t>
      </w:r>
    </w:p>
    <w:p>
      <w:pPr>
        <w:spacing w:line="360" w:lineRule="auto"/>
        <w:ind w:firstLine="640" w:firstLineChars="200"/>
        <w:textAlignment w:val="baseline"/>
        <w:rPr>
          <w:rFonts w:ascii="仿宋" w:hAnsi="仿宋" w:eastAsia="仿宋" w:cs="仿宋"/>
          <w:sz w:val="32"/>
          <w:szCs w:val="32"/>
        </w:rPr>
      </w:pPr>
      <w:r>
        <w:rPr>
          <w:rFonts w:hint="eastAsia" w:ascii="仿宋" w:eastAsia="仿宋"/>
          <w:sz w:val="32"/>
          <w:szCs w:val="32"/>
        </w:rPr>
        <w:t>稳步推进“四个十”重点工程，拓展思想政治宣传载体，打造盟员自我教育精品，</w:t>
      </w:r>
      <w:r>
        <w:rPr>
          <w:rFonts w:hint="eastAsia" w:ascii="仿宋" w:hAnsi="仿宋" w:eastAsia="仿宋" w:cs="仿宋"/>
          <w:sz w:val="32"/>
          <w:szCs w:val="32"/>
        </w:rPr>
        <w:t>用生动艺术形式活化宣传中国新型政党制度迈出坚实步伐。全年举办18场“民盟先贤肖像巡回展”（其中京外8场），在全国各地累计展出62场（其中京外20场），首次走进福建、青海、河南等省和央企，受到各方面高度评价。成功举办第二届民盟先贤故事讲解比赛，展现</w:t>
      </w:r>
      <w:r>
        <w:rPr>
          <w:rFonts w:hint="eastAsia" w:ascii="仿宋" w:hAnsi="仿宋" w:eastAsia="仿宋" w:cs="仿宋"/>
          <w:sz w:val="32"/>
          <w:szCs w:val="32"/>
          <w:lang w:eastAsia="zh-Hans"/>
        </w:rPr>
        <w:t>出</w:t>
      </w:r>
      <w:r>
        <w:rPr>
          <w:rFonts w:hint="eastAsia" w:ascii="仿宋" w:hAnsi="仿宋" w:eastAsia="仿宋" w:cs="仿宋"/>
          <w:sz w:val="32"/>
          <w:szCs w:val="32"/>
        </w:rPr>
        <w:t>首都青年盟员良好精神风貌。完成10幅民盟重大历史题材美术作品创作。积极推进“三香民盟”品牌建设，在恭王府举办首期“艺香民盟”大讲堂，人民日报等多家媒体予以报道。</w:t>
      </w:r>
    </w:p>
    <w:p>
      <w:pPr>
        <w:snapToGrid w:val="0"/>
        <w:spacing w:line="580" w:lineRule="exact"/>
        <w:ind w:firstLine="640" w:firstLineChars="200"/>
        <w:textAlignment w:val="baseline"/>
        <w:rPr>
          <w:rFonts w:ascii="仿宋" w:hAnsi="仿宋" w:eastAsia="仿宋" w:cs="仿宋"/>
          <w:sz w:val="32"/>
          <w:szCs w:val="32"/>
        </w:rPr>
      </w:pPr>
      <w:r>
        <w:rPr>
          <w:rFonts w:hint="eastAsia" w:ascii="仿宋" w:eastAsia="仿宋"/>
          <w:color w:val="000000"/>
          <w:sz w:val="32"/>
          <w:szCs w:val="32"/>
        </w:rPr>
        <w:t>围</w:t>
      </w:r>
      <w:r>
        <w:rPr>
          <w:rFonts w:hint="eastAsia" w:ascii="仿宋" w:hAnsi="仿宋" w:eastAsia="仿宋" w:cs="仿宋"/>
          <w:sz w:val="32"/>
          <w:szCs w:val="32"/>
        </w:rPr>
        <w:t>绕“加强‘三条文化带’保护发展”议政会主题，主委率队赴浙江调研“上山文化”考古遗址。程红主委在政党协商会上就加快“数字贸易港”建设、民盟北京市委在议政会上所作关于加强“东胡林遗址”保护利用的发言，受到中共北京市委主要领导充分肯定，受到主流媒体高度关注。有效集成参政议政调研成果和盟员专家意见建议，就修改完善《政府工作报告》积极建言，受到市政府领导充分肯定和积极反馈。</w:t>
      </w:r>
      <w:r>
        <w:rPr>
          <w:rFonts w:hint="eastAsia" w:ascii="仿宋" w:hAnsi="仿宋" w:eastAsia="仿宋" w:cs="仿宋"/>
          <w:sz w:val="32"/>
          <w:szCs w:val="32"/>
          <w:lang w:eastAsia="zh-Hans"/>
        </w:rPr>
        <w:t>在</w:t>
      </w:r>
      <w:r>
        <w:rPr>
          <w:rFonts w:hint="eastAsia" w:ascii="仿宋" w:hAnsi="仿宋" w:eastAsia="仿宋" w:cs="仿宋"/>
          <w:sz w:val="32"/>
          <w:szCs w:val="32"/>
        </w:rPr>
        <w:t>新一届北京市政协一次全会、议政性常委会、各类专题协商会</w:t>
      </w:r>
      <w:r>
        <w:rPr>
          <w:rFonts w:hint="eastAsia" w:ascii="仿宋" w:hAnsi="仿宋" w:eastAsia="仿宋" w:cs="仿宋"/>
          <w:sz w:val="32"/>
          <w:szCs w:val="32"/>
          <w:lang w:eastAsia="zh-Hans"/>
        </w:rPr>
        <w:t>上</w:t>
      </w:r>
      <w:r>
        <w:rPr>
          <w:rFonts w:hint="eastAsia" w:ascii="仿宋" w:hAnsi="仿宋" w:eastAsia="仿宋" w:cs="仿宋"/>
          <w:sz w:val="32"/>
          <w:szCs w:val="32"/>
        </w:rPr>
        <w:t>，民盟籍政协委员和盟员专家围绕“弘扬中轴水韵文化”“数字经济”</w:t>
      </w:r>
      <w:r>
        <w:rPr>
          <w:rFonts w:hint="eastAsia" w:ascii="仿宋" w:hAnsi="仿宋" w:eastAsia="仿宋" w:cs="仿宋"/>
          <w:sz w:val="32"/>
          <w:szCs w:val="32"/>
          <w:lang w:eastAsia="zh-Hans"/>
        </w:rPr>
        <w:t>“</w:t>
      </w:r>
      <w:r>
        <w:rPr>
          <w:rFonts w:hint="eastAsia" w:ascii="仿宋" w:hAnsi="仿宋" w:eastAsia="仿宋" w:cs="仿宋"/>
          <w:sz w:val="32"/>
          <w:szCs w:val="32"/>
        </w:rPr>
        <w:t>国际科创中心建设”</w:t>
      </w:r>
      <w:r>
        <w:rPr>
          <w:rFonts w:hint="eastAsia" w:ascii="仿宋" w:hAnsi="仿宋" w:eastAsia="仿宋" w:cs="仿宋"/>
          <w:sz w:val="32"/>
          <w:szCs w:val="32"/>
          <w:lang w:eastAsia="zh-Hans"/>
        </w:rPr>
        <w:t>等主题</w:t>
      </w:r>
      <w:r>
        <w:rPr>
          <w:rFonts w:hint="eastAsia" w:ascii="仿宋" w:hAnsi="仿宋" w:eastAsia="仿宋" w:cs="仿宋"/>
          <w:sz w:val="32"/>
          <w:szCs w:val="32"/>
        </w:rPr>
        <w:t>积极建言</w:t>
      </w:r>
      <w:r>
        <w:rPr>
          <w:rFonts w:ascii="仿宋" w:hAnsi="仿宋" w:eastAsia="仿宋" w:cs="仿宋"/>
          <w:sz w:val="32"/>
          <w:szCs w:val="32"/>
        </w:rPr>
        <w:t>，</w:t>
      </w:r>
      <w:r>
        <w:rPr>
          <w:rFonts w:hint="eastAsia" w:ascii="仿宋" w:hAnsi="仿宋" w:eastAsia="仿宋" w:cs="仿宋"/>
          <w:sz w:val="32"/>
          <w:szCs w:val="32"/>
        </w:rPr>
        <w:t>获有关部门跟进落实反馈。</w:t>
      </w:r>
    </w:p>
    <w:p>
      <w:pPr>
        <w:snapToGrid w:val="0"/>
        <w:spacing w:line="580" w:lineRule="exact"/>
        <w:ind w:firstLine="640" w:firstLineChars="200"/>
        <w:rPr>
          <w:rFonts w:ascii="仿宋" w:hAnsi="仿宋" w:eastAsia="仿宋" w:cs="仿宋"/>
          <w:sz w:val="32"/>
          <w:szCs w:val="32"/>
        </w:rPr>
      </w:pPr>
      <w:r>
        <w:rPr>
          <w:rFonts w:hint="eastAsia" w:ascii="仿宋" w:eastAsia="仿宋"/>
          <w:bCs/>
          <w:color w:val="000000"/>
          <w:sz w:val="32"/>
          <w:szCs w:val="32"/>
        </w:rPr>
        <w:t>着力提升课题研究质量。</w:t>
      </w:r>
      <w:r>
        <w:rPr>
          <w:rFonts w:hint="eastAsia" w:ascii="仿宋" w:hAnsi="仿宋" w:eastAsia="仿宋" w:cs="仿宋"/>
          <w:sz w:val="32"/>
          <w:szCs w:val="32"/>
        </w:rPr>
        <w:t>主委和领导班子其他成员率先垂范，分别走访上海市政府城运中心、北京市政务服务管理局、北京市教委、北京市工商联、北京市检察院、中国证监会北京证监局等单位，就有关议题深入交流。制定颁布《参政议政调研成果评选表彰暂行办法》，量化考核评价指标，推动相关工作制度化规范化程序化。民盟北京市委获评民盟中央2022年度参政议政先进单位，同时连续获评北京市民主党派参政议政调研工作优秀组织单位。全市各级民盟组织和各课题组通过多种形式，全方位扎实开展调研。民盟中国社科院委员会首次开展“边境民族地区教育高质量发展”调研。民盟通州区工委围绕大运河文化带建设、副中心教育高质量发展等开展调研。</w:t>
      </w:r>
    </w:p>
    <w:p>
      <w:pPr>
        <w:spacing w:line="360" w:lineRule="auto"/>
        <w:ind w:firstLine="640" w:firstLineChars="200"/>
        <w:rPr>
          <w:rFonts w:ascii="仿宋" w:hAnsi="仿宋" w:eastAsia="仿宋" w:cs="仿宋"/>
          <w:bCs/>
          <w:sz w:val="32"/>
          <w:szCs w:val="32"/>
        </w:rPr>
      </w:pPr>
      <w:bookmarkStart w:id="0" w:name="_Hlk166416199"/>
      <w:r>
        <w:rPr>
          <w:rFonts w:hint="eastAsia" w:ascii="仿宋" w:hAnsi="仿宋" w:eastAsia="仿宋" w:cs="仿宋"/>
          <w:bCs/>
          <w:sz w:val="32"/>
          <w:szCs w:val="32"/>
        </w:rPr>
        <w:t>完善参政议政工作机制，发挥品牌论坛影响力。</w:t>
      </w:r>
      <w:r>
        <w:rPr>
          <w:rFonts w:hint="eastAsia" w:ascii="仿宋" w:hAnsi="仿宋" w:eastAsia="仿宋" w:cs="仿宋"/>
          <w:sz w:val="32"/>
          <w:szCs w:val="32"/>
        </w:rPr>
        <w:t>成功举办2023年度医改沙龙、北京中轴线保护传承利用研讨会、科技与民生论坛、民盟（北京）法治论坛、民盟基础教育论坛、民盟高教论坛等品牌活动，持续提升论坛质量和成果转化力度。积极参与民盟中央各类专题论坛，多篇参会</w:t>
      </w:r>
      <w:r>
        <w:rPr>
          <w:rFonts w:hint="eastAsia" w:ascii="仿宋" w:hAnsi="仿宋" w:eastAsia="仿宋" w:cs="仿宋"/>
          <w:sz w:val="32"/>
          <w:szCs w:val="32"/>
          <w:lang w:eastAsia="zh-Hans"/>
        </w:rPr>
        <w:t>论文</w:t>
      </w:r>
      <w:r>
        <w:rPr>
          <w:rFonts w:hint="eastAsia" w:ascii="仿宋" w:hAnsi="仿宋" w:eastAsia="仿宋" w:cs="仿宋"/>
          <w:sz w:val="32"/>
          <w:szCs w:val="32"/>
        </w:rPr>
        <w:t>获奖。</w:t>
      </w:r>
      <w:bookmarkEnd w:id="0"/>
    </w:p>
    <w:p>
      <w:pPr>
        <w:spacing w:line="360" w:lineRule="auto"/>
        <w:ind w:firstLine="640" w:firstLineChars="200"/>
        <w:textAlignment w:val="baseline"/>
        <w:rPr>
          <w:rFonts w:ascii="仿宋" w:hAnsi="仿宋" w:eastAsia="仿宋" w:cs="仿宋"/>
          <w:sz w:val="32"/>
          <w:szCs w:val="32"/>
        </w:rPr>
      </w:pPr>
      <w:r>
        <w:rPr>
          <w:rFonts w:hint="eastAsia" w:ascii="仿宋" w:hAnsi="仿宋" w:eastAsia="仿宋" w:cs="仿宋"/>
          <w:sz w:val="32"/>
          <w:szCs w:val="32"/>
        </w:rPr>
        <w:t>积极践行“四新”“三好”总要求，全面加强自身建设，组织建设和机关建设水平持续提升。全年召开主委会16次、主委办公会9次，就重大事项进行集体决策。召开领导班子专题民主生活会，主委代表领导班子进行对照检查，领导班子成员严肃开展批评和自我批评。领导班子成员走访部分高校党委，密切党盟关系，争取工作支持。积极发挥内部监督委员会职能作用，获评民盟中央“内部监督工作先进集体”。高质量完成新一轮《五年工作规划》编制发布，为全市盟务工作提供重要遵循。</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3.产出</w:t>
      </w:r>
      <w:r>
        <w:rPr>
          <w:rFonts w:ascii="仿宋" w:hAnsi="仿宋" w:eastAsia="仿宋" w:cs="仿宋"/>
          <w:sz w:val="32"/>
          <w:szCs w:val="32"/>
        </w:rPr>
        <w:t>进度</w:t>
      </w:r>
    </w:p>
    <w:p>
      <w:pPr>
        <w:spacing w:line="360" w:lineRule="auto"/>
        <w:ind w:firstLine="640" w:firstLineChars="200"/>
        <w:rPr>
          <w:rFonts w:ascii="仿宋" w:hAnsi="仿宋" w:eastAsia="仿宋"/>
          <w:sz w:val="32"/>
          <w:szCs w:val="32"/>
        </w:rPr>
      </w:pPr>
      <w:r>
        <w:rPr>
          <w:rFonts w:hint="eastAsia" w:ascii="仿宋" w:hAnsi="仿宋" w:eastAsia="仿宋"/>
          <w:sz w:val="32"/>
          <w:szCs w:val="32"/>
        </w:rPr>
        <w:t>2023年民盟北京市委重点工作及重点项目能够按照预期计划序时推进，并在年底达成预期目标。到2023年12月31日止，已全部完成项目各项预算工作任务。</w:t>
      </w:r>
    </w:p>
    <w:p>
      <w:pPr>
        <w:spacing w:line="360" w:lineRule="auto"/>
        <w:ind w:firstLine="640" w:firstLineChars="200"/>
        <w:rPr>
          <w:rFonts w:ascii="仿宋" w:hAnsi="仿宋" w:eastAsia="仿宋"/>
          <w:sz w:val="32"/>
          <w:szCs w:val="32"/>
        </w:rPr>
      </w:pPr>
      <w:r>
        <w:rPr>
          <w:rFonts w:hint="eastAsia" w:ascii="仿宋" w:hAnsi="仿宋" w:eastAsia="仿宋"/>
          <w:sz w:val="32"/>
          <w:szCs w:val="32"/>
        </w:rPr>
        <w:t>4.产出成本</w:t>
      </w:r>
    </w:p>
    <w:p>
      <w:pPr>
        <w:spacing w:line="360" w:lineRule="auto"/>
        <w:ind w:firstLine="640" w:firstLineChars="200"/>
        <w:rPr>
          <w:rFonts w:ascii="仿宋" w:hAnsi="仿宋" w:eastAsia="仿宋"/>
          <w:color w:val="FF0000"/>
          <w:sz w:val="32"/>
          <w:szCs w:val="32"/>
        </w:rPr>
      </w:pPr>
      <w:r>
        <w:rPr>
          <w:rFonts w:hint="eastAsia" w:ascii="仿宋" w:hAnsi="仿宋" w:eastAsia="仿宋"/>
          <w:sz w:val="32"/>
          <w:szCs w:val="32"/>
        </w:rPr>
        <w:t>2023年实际支出1763.12万元，其中基本经费1590.82万元，项目经费172.30万元。基本经费中人员经费1459.29万元，公用经费131.53万元。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（二）效果实现情况分析</w:t>
      </w:r>
    </w:p>
    <w:p>
      <w:pPr>
        <w:spacing w:line="360" w:lineRule="auto"/>
        <w:ind w:firstLine="640" w:firstLineChars="200"/>
        <w:rPr>
          <w:rFonts w:ascii="仿宋" w:hAnsi="仿宋" w:eastAsia="仿宋"/>
          <w:sz w:val="32"/>
          <w:szCs w:val="32"/>
        </w:rPr>
      </w:pPr>
      <w:r>
        <w:rPr>
          <w:rFonts w:hint="eastAsia" w:ascii="仿宋" w:hAnsi="仿宋" w:eastAsia="仿宋"/>
          <w:sz w:val="32"/>
          <w:szCs w:val="32"/>
        </w:rPr>
        <w:t>1.经济效益</w:t>
      </w:r>
    </w:p>
    <w:p>
      <w:pPr>
        <w:spacing w:line="600" w:lineRule="exact"/>
        <w:ind w:firstLine="640" w:firstLineChars="200"/>
        <w:textAlignment w:val="baseline"/>
        <w:rPr>
          <w:rFonts w:ascii="仿宋" w:hAnsi="仿宋" w:eastAsia="仿宋" w:cs="仿宋"/>
          <w:sz w:val="32"/>
          <w:szCs w:val="32"/>
        </w:rPr>
      </w:pPr>
      <w:r>
        <w:rPr>
          <w:rFonts w:hint="eastAsia" w:ascii="仿宋" w:hAnsi="仿宋" w:eastAsia="仿宋" w:cs="仿宋"/>
          <w:sz w:val="32"/>
          <w:szCs w:val="32"/>
        </w:rPr>
        <w:t>持续推进“8+1”项目实施，整合优势资源，承接门头沟帮扶项目近20项。对口帮扶军庄社区，</w:t>
      </w:r>
      <w:r>
        <w:rPr>
          <w:rFonts w:hint="eastAsia" w:ascii="仿宋" w:hAnsi="仿宋" w:eastAsia="仿宋" w:cs="仿宋"/>
          <w:sz w:val="32"/>
          <w:szCs w:val="32"/>
          <w:lang w:eastAsia="zh-Hans"/>
        </w:rPr>
        <w:t>助力</w:t>
      </w:r>
      <w:r>
        <w:rPr>
          <w:rFonts w:hint="eastAsia" w:ascii="仿宋" w:hAnsi="仿宋" w:eastAsia="仿宋" w:cs="仿宋"/>
          <w:sz w:val="32"/>
          <w:szCs w:val="32"/>
        </w:rPr>
        <w:t>更多尘肺病患者康复。</w:t>
      </w:r>
      <w:r>
        <w:rPr>
          <w:rFonts w:ascii="仿宋" w:hAnsi="仿宋" w:eastAsia="仿宋" w:cs="仿宋"/>
          <w:sz w:val="32"/>
          <w:szCs w:val="32"/>
        </w:rPr>
        <w:t>民</w:t>
      </w:r>
      <w:r>
        <w:rPr>
          <w:rFonts w:hint="eastAsia" w:ascii="仿宋" w:hAnsi="仿宋" w:eastAsia="仿宋" w:cs="仿宋"/>
          <w:sz w:val="32"/>
          <w:szCs w:val="32"/>
        </w:rPr>
        <w:t>盟中国农大委员会在门头沟签署战略合作协议。联络清华大学经管校友会向潭柘寺镇捐赠医疗设备。在全市纪念“8+1”行动10周年大会上，民盟“东胡林遗址”保护荣膺最佳成效项目，民盟北京市委社会服务委员会荣膺最佳组织奖。</w:t>
      </w:r>
    </w:p>
    <w:p>
      <w:pPr>
        <w:spacing w:line="360" w:lineRule="auto"/>
        <w:ind w:firstLine="640" w:firstLineChars="200"/>
        <w:rPr>
          <w:rFonts w:ascii="仿宋" w:hAnsi="仿宋" w:eastAsia="仿宋"/>
          <w:sz w:val="32"/>
          <w:szCs w:val="32"/>
        </w:rPr>
      </w:pPr>
      <w:r>
        <w:rPr>
          <w:rFonts w:hint="eastAsia" w:ascii="仿宋" w:hAnsi="仿宋" w:eastAsia="仿宋" w:cs="仿宋"/>
          <w:sz w:val="32"/>
          <w:szCs w:val="32"/>
        </w:rPr>
        <w:t>2023年7月，北京、河北地区遭受洪涝灾害后，全市各级民盟组织和盟员企业第一时间向灾区伸出援手，捐款捐物700多万元，有效助力受灾群众恢复生产生活，中共门头沟区委专门致函表达感谢。</w:t>
      </w:r>
    </w:p>
    <w:p>
      <w:pPr>
        <w:spacing w:line="360" w:lineRule="auto"/>
        <w:ind w:firstLine="640" w:firstLineChars="200"/>
        <w:rPr>
          <w:rFonts w:ascii="仿宋" w:hAnsi="仿宋" w:eastAsia="仿宋"/>
          <w:sz w:val="32"/>
          <w:szCs w:val="32"/>
        </w:rPr>
      </w:pPr>
      <w:r>
        <w:rPr>
          <w:rFonts w:hint="eastAsia" w:ascii="仿宋" w:hAnsi="仿宋" w:eastAsia="仿宋"/>
          <w:sz w:val="32"/>
          <w:szCs w:val="32"/>
        </w:rPr>
        <w:t>2.社会效益</w:t>
      </w:r>
    </w:p>
    <w:p>
      <w:pPr>
        <w:spacing w:line="600" w:lineRule="exact"/>
        <w:ind w:firstLine="640" w:firstLineChars="200"/>
        <w:textAlignment w:val="baseline"/>
        <w:rPr>
          <w:rFonts w:ascii="仿宋" w:hAnsi="仿宋" w:eastAsia="仿宋" w:cs="仿宋"/>
          <w:sz w:val="32"/>
          <w:szCs w:val="32"/>
        </w:rPr>
      </w:pPr>
      <w:r>
        <w:rPr>
          <w:rFonts w:hint="eastAsia" w:ascii="仿宋" w:eastAsia="仿宋" w:cs="仿宋"/>
          <w:kern w:val="0"/>
          <w:sz w:val="32"/>
          <w:szCs w:val="32"/>
        </w:rPr>
        <w:t>积极主力了乡村振兴，</w:t>
      </w:r>
      <w:r>
        <w:rPr>
          <w:rFonts w:hint="eastAsia" w:ascii="仿宋" w:hAnsi="仿宋" w:eastAsia="仿宋" w:cs="仿宋"/>
          <w:sz w:val="32"/>
          <w:szCs w:val="32"/>
        </w:rPr>
        <w:t>在河北广宗、贵州毕节等对口地区持续开展教育、科技、文化、医疗帮扶，百余名盟员专家积极参与。中国农大盟员专家张福锁院士首创并牵头的团队已在全国建立139个“科技小院”，为助力脱贫攻坚和乡村振兴作出重要贡献，受到习近平总书记高度评价，《人民日报》整版予以报道。面向毕节七星关区启动教育帮扶工作，邀请多位中小学校长到京开展供需对接。民盟清华大学委员会参与在毕节七星关区建立清华大学乡村振兴工作站。民盟中科院委员会举办“民盟乡村振兴大讲堂”，与民盟毕节市委达成科技帮扶意向。“王蓉蓉京剧艺术传承基地”在河北广宗揭牌，丰台区工委盟员艺术家定期前往授课。民盟中国农科院委员会利用全国政协和公共新媒体平台在乡村振兴领域积极发声，有效传播民盟好声音。组织盟员专家赴密云、平谷开展实地调研，积极推动乡村振兴项目落地。</w:t>
      </w:r>
    </w:p>
    <w:p>
      <w:pPr>
        <w:spacing w:line="360" w:lineRule="auto"/>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3.环境效益</w:t>
      </w:r>
    </w:p>
    <w:p>
      <w:pPr>
        <w:spacing w:line="360" w:lineRule="auto"/>
        <w:ind w:left="105" w:leftChars="50" w:firstLine="480" w:firstLineChars="150"/>
        <w:rPr>
          <w:rFonts w:ascii="仿宋" w:eastAsia="仿宋" w:cs="仿宋_GB2312"/>
          <w:sz w:val="32"/>
          <w:szCs w:val="32"/>
        </w:rPr>
      </w:pPr>
      <w:r>
        <w:rPr>
          <w:rFonts w:hint="eastAsia" w:ascii="仿宋" w:eastAsia="仿宋" w:cs="仿宋_GB2312"/>
          <w:sz w:val="32"/>
          <w:szCs w:val="32"/>
        </w:rPr>
        <w:t>未涉及。</w:t>
      </w:r>
    </w:p>
    <w:p>
      <w:pPr>
        <w:spacing w:line="360" w:lineRule="auto"/>
        <w:ind w:left="420" w:leftChars="200" w:firstLine="217" w:firstLineChars="68"/>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4.可持续</w:t>
      </w:r>
      <w:r>
        <w:rPr>
          <w:rFonts w:ascii="仿宋_GB2312" w:hAnsi="宋体" w:eastAsia="仿宋_GB2312" w:cs="宋体"/>
          <w:color w:val="000000"/>
          <w:kern w:val="0"/>
          <w:sz w:val="32"/>
          <w:szCs w:val="32"/>
        </w:rPr>
        <w:t>性影响</w:t>
      </w:r>
    </w:p>
    <w:p>
      <w:pPr>
        <w:spacing w:line="360" w:lineRule="auto"/>
        <w:ind w:firstLine="640" w:firstLineChars="200"/>
        <w:rPr>
          <w:rFonts w:ascii="仿宋" w:hAnsi="仿宋" w:eastAsia="仿宋" w:cs="仿宋"/>
          <w:sz w:val="32"/>
          <w:szCs w:val="32"/>
        </w:rPr>
      </w:pPr>
      <w:r>
        <w:rPr>
          <w:rFonts w:hint="eastAsia" w:ascii="仿宋" w:hAnsi="宋体" w:eastAsia="仿宋"/>
          <w:kern w:val="0"/>
          <w:sz w:val="32"/>
          <w:szCs w:val="32"/>
        </w:rPr>
        <w:t>围</w:t>
      </w:r>
      <w:r>
        <w:rPr>
          <w:rFonts w:hint="eastAsia" w:ascii="仿宋" w:hAnsi="仿宋" w:eastAsia="仿宋" w:cs="仿宋"/>
          <w:sz w:val="32"/>
          <w:szCs w:val="32"/>
        </w:rPr>
        <w:t>绕生态文明建设、助力乡村振兴、教育医疗服务、公益慈善事业等开展多形式社会服务。积极落实民盟中央部署，在河北广宗、贵州毕节等重点地区持续开展帮扶，推动社会服务工作优化升级。持续提升“黄丝带帮教”工作质效。全力做好新一轮“8+1”行动和助力平谷“农业中关村”建设重点项目落地实施。</w:t>
      </w:r>
    </w:p>
    <w:p>
      <w:pPr>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5.服务对象</w:t>
      </w:r>
      <w:r>
        <w:rPr>
          <w:rFonts w:ascii="仿宋_GB2312" w:hAnsi="宋体" w:eastAsia="仿宋_GB2312" w:cs="宋体"/>
          <w:color w:val="000000"/>
          <w:kern w:val="0"/>
          <w:sz w:val="32"/>
          <w:szCs w:val="32"/>
        </w:rPr>
        <w:t>满意度</w:t>
      </w:r>
    </w:p>
    <w:p>
      <w:pPr>
        <w:spacing w:line="360" w:lineRule="auto"/>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2023年在民盟中央和中共北京市委的领导下，在中共市委统战部的工作指导下，围绕工作重点，圆满完成各项重大活动，有效地发挥界别优势，积极建言资政，较好地完成了全年部门整体绩效目标，达到较高的工作满意度。</w:t>
      </w:r>
    </w:p>
    <w:p>
      <w:pPr>
        <w:spacing w:line="360" w:lineRule="auto"/>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pPr>
        <w:spacing w:line="360" w:lineRule="auto"/>
        <w:ind w:left="105" w:leftChars="50" w:firstLine="480" w:firstLineChars="150"/>
        <w:rPr>
          <w:rFonts w:ascii="楷体_GB2312" w:eastAsia="楷体_GB2312"/>
          <w:sz w:val="32"/>
          <w:szCs w:val="32"/>
        </w:rPr>
      </w:pPr>
      <w:r>
        <w:rPr>
          <w:rFonts w:hint="eastAsia" w:ascii="楷体_GB2312" w:eastAsia="楷体_GB2312"/>
          <w:sz w:val="32"/>
          <w:szCs w:val="32"/>
        </w:rPr>
        <w:t>（一）财务管理</w:t>
      </w:r>
    </w:p>
    <w:p>
      <w:pPr>
        <w:spacing w:line="360" w:lineRule="auto"/>
        <w:ind w:left="105" w:leftChars="50" w:firstLine="480" w:firstLineChars="150"/>
        <w:rPr>
          <w:rFonts w:ascii="仿宋" w:hAnsi="仿宋" w:eastAsia="仿宋" w:cs="宋体"/>
          <w:color w:val="000000"/>
          <w:kern w:val="0"/>
          <w:sz w:val="32"/>
          <w:szCs w:val="32"/>
        </w:rPr>
      </w:pPr>
      <w:r>
        <w:rPr>
          <w:rFonts w:hint="eastAsia" w:ascii="仿宋" w:hAnsi="仿宋" w:eastAsia="仿宋" w:cs="宋体"/>
          <w:color w:val="000000"/>
          <w:kern w:val="0"/>
          <w:sz w:val="32"/>
          <w:szCs w:val="32"/>
        </w:rPr>
        <w:t>1.财务</w:t>
      </w:r>
      <w:r>
        <w:rPr>
          <w:rFonts w:ascii="仿宋" w:hAnsi="仿宋" w:eastAsia="仿宋" w:cs="宋体"/>
          <w:color w:val="000000"/>
          <w:kern w:val="0"/>
          <w:sz w:val="32"/>
          <w:szCs w:val="32"/>
        </w:rPr>
        <w:t>管理制度健全性</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为提高财政资金使用的合规性和安全性，进一步规范财务管理，提高财务管理能力和水平，我社建立完善了财务管理制度体系，从资金审批、预算管理、会计核算、资产管理、政府采购等方面对财务工作进行了规范监督，保障日常工作有章可循、稳步推进。</w:t>
      </w:r>
    </w:p>
    <w:p>
      <w:pPr>
        <w:spacing w:line="360" w:lineRule="auto"/>
        <w:ind w:left="105" w:leftChars="50" w:firstLine="480" w:firstLineChars="150"/>
        <w:rPr>
          <w:rFonts w:ascii="仿宋" w:hAnsi="仿宋" w:eastAsia="仿宋" w:cs="宋体"/>
          <w:color w:val="000000"/>
          <w:kern w:val="0"/>
          <w:sz w:val="32"/>
          <w:szCs w:val="32"/>
        </w:rPr>
      </w:pPr>
      <w:r>
        <w:rPr>
          <w:rFonts w:hint="eastAsia" w:ascii="仿宋" w:hAnsi="仿宋" w:eastAsia="仿宋" w:cs="宋体"/>
          <w:color w:val="000000"/>
          <w:kern w:val="0"/>
          <w:sz w:val="32"/>
          <w:szCs w:val="32"/>
        </w:rPr>
        <w:t>2.资金使用合规性和安全性</w:t>
      </w:r>
    </w:p>
    <w:p>
      <w:pPr>
        <w:spacing w:line="360" w:lineRule="auto"/>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资金使用严格遵照国家法律法规和有关管理制度执行，资金拨付审批程序完整规范，资金使用安全合规。我部门资金收付完全按照内控</w:t>
      </w:r>
      <w:r>
        <w:rPr>
          <w:rFonts w:hint="eastAsia" w:ascii="仿宋" w:hAnsi="仿宋" w:eastAsia="仿宋"/>
          <w:sz w:val="32"/>
          <w:szCs w:val="32"/>
        </w:rPr>
        <w:t>制度有关审评流程的规定，不存在截留、挤占、挪用情况，涉及政府采购的支出完全按照政府采购程序和流程，公务卡结算符合相关制度和</w:t>
      </w:r>
      <w:r>
        <w:rPr>
          <w:rFonts w:hint="eastAsia" w:ascii="仿宋" w:hAnsi="仿宋" w:eastAsia="仿宋" w:cs="宋体"/>
          <w:color w:val="000000"/>
          <w:kern w:val="0"/>
          <w:sz w:val="32"/>
          <w:szCs w:val="32"/>
        </w:rPr>
        <w:t>规定。资金支出受财务部门的全程监督,符合预算批复的用途，与年度重点工作方向相一致，资金主要根据合同约定支出，对于2</w:t>
      </w:r>
      <w:r>
        <w:rPr>
          <w:rFonts w:ascii="仿宋" w:hAnsi="仿宋" w:eastAsia="仿宋" w:cs="宋体"/>
          <w:color w:val="000000"/>
          <w:kern w:val="0"/>
          <w:sz w:val="32"/>
          <w:szCs w:val="32"/>
        </w:rPr>
        <w:t>02</w:t>
      </w:r>
      <w:r>
        <w:rPr>
          <w:rFonts w:hint="eastAsia" w:ascii="仿宋" w:hAnsi="仿宋" w:eastAsia="仿宋" w:cs="宋体"/>
          <w:color w:val="000000"/>
          <w:kern w:val="0"/>
          <w:sz w:val="32"/>
          <w:szCs w:val="32"/>
        </w:rPr>
        <w:t>3年当年支出计划有变的内容，及时调整预算并按有关规定将相应资金交回财政，不存在截留、挤占、挪用情况。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3.会计基础信息完善性</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在费用报销及合同付款过程中，严格审批原始凭证，对内容不全、手续不完备的原始凭证以及未审批完成的支出不予办理支付。及时与银行和一体化国库支付系统对账，保证会计信息资料真实、正确、可靠。会计凭证、会计账簿、会计报表及其相关的电算化数据规范完整、真实详尽，原始凭证及记账凭证内容要素、签名签章齐全。会计账簿记录与原始凭证、记账凭证的时间、凭证字号、内容、金额一致，记账方向相符；总账与明细账相符，总账与日记账相符；会计账簿记录与财产等实有数额相符。</w:t>
      </w:r>
    </w:p>
    <w:p>
      <w:pPr>
        <w:spacing w:line="360" w:lineRule="auto"/>
        <w:ind w:left="105" w:leftChars="50" w:firstLine="480" w:firstLineChars="150"/>
        <w:rPr>
          <w:rFonts w:ascii="楷体_GB2312" w:eastAsia="楷体_GB2312"/>
          <w:sz w:val="32"/>
          <w:szCs w:val="32"/>
        </w:rPr>
      </w:pPr>
      <w:r>
        <w:rPr>
          <w:rFonts w:hint="eastAsia" w:ascii="楷体_GB2312" w:eastAsia="楷体_GB2312"/>
          <w:sz w:val="32"/>
          <w:szCs w:val="32"/>
        </w:rPr>
        <w:t>（二）资产管理</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民盟北京市委制定了《民盟北京市委机关固定资产管理办法》，并按照“合理配置、分工负责、归口管理、依规使用、毁损问责”的原则，管理调配本部门资产。日常资产管理类中，做到及时进行资产卡片信息更新，实现固定资产管理信息化,资产的审批、领用、入库基本实现内控管理信息化。每年进行资产盘点，及时全面真实地掌握固定资产的数量、价值和配置使用情况。固定资产的配置未超《北京市行政事业单位日常办公设备配置标准（试行）》中的上限数量。</w:t>
      </w:r>
    </w:p>
    <w:p>
      <w:pPr>
        <w:spacing w:line="360" w:lineRule="auto"/>
        <w:ind w:left="105" w:leftChars="50" w:firstLine="480" w:firstLineChars="150"/>
        <w:rPr>
          <w:rFonts w:ascii="楷体_GB2312" w:eastAsia="楷体_GB2312"/>
          <w:sz w:val="32"/>
          <w:szCs w:val="32"/>
        </w:rPr>
      </w:pPr>
      <w:r>
        <w:rPr>
          <w:rFonts w:hint="eastAsia" w:ascii="楷体_GB2312" w:eastAsia="楷体_GB2312"/>
          <w:sz w:val="32"/>
          <w:szCs w:val="32"/>
        </w:rPr>
        <w:t>（三）绩效</w:t>
      </w:r>
      <w:r>
        <w:rPr>
          <w:rFonts w:ascii="楷体_GB2312" w:eastAsia="楷体_GB2312"/>
          <w:sz w:val="32"/>
          <w:szCs w:val="32"/>
        </w:rPr>
        <w:t>管理</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部门高度重视绩效管理工作，将绩效理念深度融入预算编制、执行和监督全过程，构建事前、事中、事后绩效管理闭环系统，创新预算管理方式，扎实做好各项绩效管理工作。按照市财政局要求，2023年所有的预算项目均制定了的绩效目标。</w:t>
      </w:r>
    </w:p>
    <w:p>
      <w:pPr>
        <w:spacing w:line="360" w:lineRule="auto"/>
        <w:ind w:left="105" w:leftChars="50" w:firstLine="480" w:firstLineChars="150"/>
        <w:rPr>
          <w:rFonts w:ascii="楷体_GB2312" w:eastAsia="楷体_GB2312"/>
          <w:sz w:val="32"/>
          <w:szCs w:val="32"/>
        </w:rPr>
      </w:pPr>
      <w:r>
        <w:rPr>
          <w:rFonts w:hint="eastAsia" w:ascii="楷体_GB2312" w:eastAsia="楷体_GB2312"/>
          <w:sz w:val="32"/>
          <w:szCs w:val="32"/>
        </w:rPr>
        <w:t>（四）结转结余率</w:t>
      </w:r>
    </w:p>
    <w:p>
      <w:pPr>
        <w:spacing w:line="360" w:lineRule="auto"/>
        <w:ind w:left="105" w:leftChars="50" w:firstLine="480" w:firstLineChars="150"/>
        <w:rPr>
          <w:rFonts w:ascii="楷体_GB2312" w:eastAsia="仿宋"/>
          <w:sz w:val="32"/>
          <w:szCs w:val="32"/>
        </w:rPr>
      </w:pPr>
      <w:r>
        <w:rPr>
          <w:rFonts w:hint="eastAsia" w:ascii="仿宋" w:hAnsi="仿宋" w:eastAsia="仿宋"/>
          <w:sz w:val="32"/>
          <w:szCs w:val="32"/>
        </w:rPr>
        <w:t>民盟北京市委2023年年末结转结余资金总额为82.41万元，预算数为1845.53万元，资金结转结余率为4.47%</w:t>
      </w:r>
      <w:r>
        <w:rPr>
          <w:rFonts w:hint="eastAsia" w:ascii="仿宋" w:eastAsia="仿宋" w:cs="仿宋_GB2312"/>
          <w:sz w:val="32"/>
          <w:szCs w:val="32"/>
        </w:rPr>
        <w:t>。</w:t>
      </w:r>
    </w:p>
    <w:p>
      <w:pPr>
        <w:spacing w:line="360" w:lineRule="auto"/>
        <w:ind w:left="105" w:leftChars="50" w:firstLine="480" w:firstLineChars="150"/>
        <w:rPr>
          <w:rFonts w:ascii="楷体_GB2312" w:eastAsia="楷体_GB2312"/>
          <w:sz w:val="32"/>
          <w:szCs w:val="32"/>
        </w:rPr>
      </w:pPr>
      <w:r>
        <w:rPr>
          <w:rFonts w:hint="eastAsia" w:ascii="楷体_GB2312" w:eastAsia="楷体_GB2312"/>
          <w:sz w:val="32"/>
          <w:szCs w:val="32"/>
        </w:rPr>
        <w:t>（五）部门</w:t>
      </w:r>
      <w:r>
        <w:rPr>
          <w:rFonts w:ascii="楷体_GB2312" w:eastAsia="楷体_GB2312"/>
          <w:sz w:val="32"/>
          <w:szCs w:val="32"/>
        </w:rPr>
        <w:t>预决算差异率</w:t>
      </w:r>
    </w:p>
    <w:p>
      <w:pPr>
        <w:spacing w:line="360" w:lineRule="auto"/>
        <w:ind w:left="105" w:leftChars="50" w:firstLine="480" w:firstLineChars="150"/>
        <w:rPr>
          <w:rFonts w:ascii="仿宋" w:hAnsi="仿宋" w:eastAsia="仿宋"/>
          <w:sz w:val="32"/>
          <w:szCs w:val="32"/>
        </w:rPr>
      </w:pPr>
      <w:r>
        <w:rPr>
          <w:rFonts w:hint="eastAsia" w:ascii="仿宋" w:hAnsi="仿宋" w:eastAsia="仿宋"/>
          <w:sz w:val="32"/>
          <w:szCs w:val="32"/>
        </w:rPr>
        <w:t>民盟北京市委2023年年初预算数为1767.64万元，部门年度决算数为1763.12万元，差额为4.52万元，部门预决算差异率为0.26%。</w:t>
      </w:r>
    </w:p>
    <w:p>
      <w:pPr>
        <w:spacing w:line="360" w:lineRule="auto"/>
        <w:ind w:left="105" w:leftChars="50" w:firstLine="480" w:firstLineChars="15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pPr>
        <w:spacing w:line="360" w:lineRule="auto"/>
        <w:ind w:left="105" w:leftChars="50" w:firstLine="480" w:firstLineChars="150"/>
        <w:rPr>
          <w:rFonts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pPr>
        <w:spacing w:line="360" w:lineRule="auto"/>
        <w:ind w:left="105" w:leftChars="50" w:firstLine="480" w:firstLineChars="150"/>
        <w:rPr>
          <w:rFonts w:ascii="楷体_GB2312" w:eastAsia="仿宋_GB2312"/>
          <w:sz w:val="32"/>
          <w:szCs w:val="32"/>
        </w:rPr>
      </w:pPr>
      <w:r>
        <w:rPr>
          <w:rFonts w:hint="eastAsia" w:ascii="仿宋" w:hAnsi="仿宋" w:eastAsia="仿宋"/>
          <w:sz w:val="32"/>
          <w:szCs w:val="32"/>
        </w:rPr>
        <w:t>本次部门整体绩效评价通过资料分析、指标评议等方式开展了全面、系统、客观的分析评价，最终得分为99.11分，综合评价等级为“优”。</w:t>
      </w:r>
    </w:p>
    <w:p>
      <w:pPr>
        <w:spacing w:line="360" w:lineRule="auto"/>
        <w:ind w:left="105" w:leftChars="50" w:firstLine="480" w:firstLineChars="150"/>
        <w:rPr>
          <w:rFonts w:ascii="楷体_GB2312" w:eastAsia="楷体_GB2312"/>
          <w:sz w:val="32"/>
          <w:szCs w:val="32"/>
        </w:rPr>
      </w:pPr>
      <w:r>
        <w:rPr>
          <w:rFonts w:hint="eastAsia" w:ascii="楷体_GB2312" w:eastAsia="楷体_GB2312"/>
          <w:sz w:val="32"/>
          <w:szCs w:val="32"/>
        </w:rPr>
        <w:t>（二）存在的问题及原因分析</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部门整体支出绩效情况较好，项目产出基本能达到预期效果，个别项目执行率较低，年末形成有结转结余。</w:t>
      </w:r>
    </w:p>
    <w:p>
      <w:pPr>
        <w:spacing w:line="360" w:lineRule="auto"/>
        <w:ind w:left="105" w:leftChars="50" w:firstLine="480" w:firstLineChars="150"/>
        <w:rPr>
          <w:rFonts w:ascii="楷体_GB2312" w:eastAsia="楷体_GB2312"/>
          <w:sz w:val="32"/>
          <w:szCs w:val="32"/>
        </w:rPr>
      </w:pPr>
      <w:r>
        <w:rPr>
          <w:rFonts w:hint="eastAsia" w:ascii="黑体" w:hAnsi="黑体" w:eastAsia="黑体" w:cs="宋体"/>
          <w:color w:val="000000"/>
          <w:kern w:val="0"/>
          <w:sz w:val="32"/>
          <w:szCs w:val="32"/>
        </w:rPr>
        <w:t>六、措施建议</w:t>
      </w:r>
    </w:p>
    <w:p>
      <w:pPr>
        <w:spacing w:line="360" w:lineRule="auto"/>
        <w:ind w:firstLine="640" w:firstLineChars="200"/>
        <w:rPr>
          <w:rFonts w:ascii="仿宋_GB2312" w:eastAsia="仿宋_GB2312"/>
          <w:sz w:val="28"/>
          <w:szCs w:val="28"/>
        </w:rPr>
      </w:pPr>
      <w:r>
        <w:rPr>
          <w:rFonts w:hint="eastAsia" w:ascii="仿宋" w:hAnsi="仿宋" w:eastAsia="仿宋"/>
          <w:sz w:val="32"/>
          <w:szCs w:val="32"/>
        </w:rPr>
        <w:t>构建科学合理的绩效目标管理体系，借鉴先进的绩效管理、目标管理理念和技术方法，强化部门战略目标规划、年度工作任务、预算资金安排、项目绩效目标之间的关联。同时，建立财务部门与业务部门、项目具体负责单位的协同工作机制，强化财务与业务的有效衔接，加强预算与绩效管理一体化。强化绩效目标管理，提升各项目单位对绩效目标填报的重视程度，结合项目实际情况，合理制定绩效目标，设定全面、细化的绩效目标，保证绩效指标的可衡量性。</w:t>
      </w:r>
    </w:p>
    <w:p>
      <w:pPr>
        <w:spacing w:line="360" w:lineRule="auto"/>
        <w:ind w:firstLine="640" w:firstLineChars="200"/>
        <w:rPr>
          <w:rFonts w:ascii="仿宋" w:hAnsi="仿宋" w:eastAsia="仿宋"/>
          <w:sz w:val="32"/>
          <w:szCs w:val="32"/>
        </w:rPr>
      </w:pPr>
      <w:r>
        <w:rPr>
          <w:rFonts w:hint="eastAsia" w:ascii="仿宋" w:hAnsi="仿宋" w:eastAsia="仿宋"/>
          <w:sz w:val="32"/>
          <w:szCs w:val="32"/>
        </w:rPr>
        <w:t>进一步科学、合理、规范地确定部门绩效目标，以部门的职能定位和年度工作任务作为切入点，全面反映部门绩效，并将各相关职能或工作内容反映在分项指标中，细化、量化绩效指标，增加可考量性，提升各项指标的可考量性和完整。</w:t>
      </w:r>
    </w:p>
    <w:p>
      <w:pPr>
        <w:pStyle w:val="3"/>
        <w:spacing w:line="360" w:lineRule="auto"/>
        <w:rPr>
          <w:sz w:val="32"/>
          <w:szCs w:val="32"/>
        </w:rPr>
      </w:pPr>
      <w:bookmarkStart w:id="1" w:name="_Toc103006301"/>
      <w:r>
        <w:rPr>
          <w:rFonts w:hint="eastAsia"/>
          <w:sz w:val="32"/>
          <w:szCs w:val="32"/>
        </w:rPr>
        <w:t>七、附件</w:t>
      </w:r>
      <w:bookmarkEnd w:id="1"/>
    </w:p>
    <w:p>
      <w:pPr>
        <w:spacing w:line="360" w:lineRule="auto"/>
        <w:ind w:firstLine="641"/>
        <w:rPr>
          <w:rFonts w:ascii="仿宋_GB2312" w:hAnsi="仿宋_GB2312" w:eastAsia="仿宋_GB2312" w:cs="仿宋_GB2312"/>
          <w:sz w:val="32"/>
          <w:szCs w:val="32"/>
        </w:rPr>
        <w:sectPr>
          <w:footerReference r:id="rId3" w:type="default"/>
          <w:pgSz w:w="11906" w:h="16838"/>
          <w:pgMar w:top="1440" w:right="1800" w:bottom="1440" w:left="1800" w:header="851" w:footer="964" w:gutter="0"/>
          <w:pgNumType w:start="1"/>
          <w:cols w:space="425" w:num="1"/>
          <w:docGrid w:type="lines" w:linePitch="435" w:charSpace="0"/>
        </w:sectPr>
      </w:pPr>
      <w:r>
        <w:rPr>
          <w:rFonts w:hint="eastAsia" w:ascii="仿宋_GB2312" w:hAnsi="仿宋_GB2312" w:eastAsia="仿宋_GB2312" w:cs="仿宋_GB2312"/>
          <w:sz w:val="32"/>
          <w:szCs w:val="32"/>
        </w:rPr>
        <w:t>2023年部门整体绩效评价指标体系评分</w:t>
      </w:r>
    </w:p>
    <w:p>
      <w:pPr>
        <w:spacing w:line="560" w:lineRule="exact"/>
        <w:jc w:val="left"/>
        <w:rPr>
          <w:rFonts w:ascii="方正黑体_GBK" w:hAnsi="方正黑体_GBK" w:eastAsia="方正黑体_GBK" w:cs="方正黑体_GBK"/>
          <w:sz w:val="32"/>
        </w:rPr>
      </w:pPr>
      <w:r>
        <w:rPr>
          <w:rFonts w:hint="eastAsia" w:ascii="方正黑体_GBK" w:hAnsi="方正黑体_GBK" w:eastAsia="方正黑体_GBK" w:cs="方正黑体_GBK"/>
          <w:sz w:val="32"/>
        </w:rPr>
        <w:t>附件4-1</w:t>
      </w:r>
    </w:p>
    <w:p>
      <w:pPr>
        <w:spacing w:line="20" w:lineRule="exact"/>
        <w:rPr>
          <w:rFonts w:ascii="方正小标宋简体" w:eastAsia="方正小标宋简体"/>
          <w:sz w:val="36"/>
          <w:szCs w:val="36"/>
        </w:rPr>
      </w:pPr>
    </w:p>
    <w:p/>
    <w:tbl>
      <w:tblPr>
        <w:tblStyle w:val="10"/>
        <w:tblW w:w="13988" w:type="dxa"/>
        <w:tblInd w:w="0" w:type="dxa"/>
        <w:tblLayout w:type="fixed"/>
        <w:tblCellMar>
          <w:top w:w="15" w:type="dxa"/>
          <w:left w:w="15" w:type="dxa"/>
          <w:bottom w:w="15" w:type="dxa"/>
          <w:right w:w="15" w:type="dxa"/>
        </w:tblCellMar>
      </w:tblPr>
      <w:tblGrid>
        <w:gridCol w:w="554"/>
        <w:gridCol w:w="78"/>
        <w:gridCol w:w="535"/>
        <w:gridCol w:w="97"/>
        <w:gridCol w:w="732"/>
        <w:gridCol w:w="521"/>
        <w:gridCol w:w="976"/>
        <w:gridCol w:w="1212"/>
        <w:gridCol w:w="603"/>
        <w:gridCol w:w="346"/>
        <w:gridCol w:w="263"/>
        <w:gridCol w:w="425"/>
        <w:gridCol w:w="612"/>
        <w:gridCol w:w="170"/>
        <w:gridCol w:w="568"/>
        <w:gridCol w:w="737"/>
        <w:gridCol w:w="825"/>
        <w:gridCol w:w="850"/>
        <w:gridCol w:w="2550"/>
        <w:gridCol w:w="1334"/>
      </w:tblGrid>
      <w:tr>
        <w:tblPrEx>
          <w:tblLayout w:type="fixed"/>
          <w:tblCellMar>
            <w:top w:w="15" w:type="dxa"/>
            <w:left w:w="15" w:type="dxa"/>
            <w:bottom w:w="15" w:type="dxa"/>
            <w:right w:w="15" w:type="dxa"/>
          </w:tblCellMar>
        </w:tblPrEx>
        <w:trPr>
          <w:trHeight w:val="570" w:hRule="atLeast"/>
        </w:trPr>
        <w:tc>
          <w:tcPr>
            <w:tcW w:w="13988" w:type="dxa"/>
            <w:gridSpan w:val="20"/>
            <w:tcBorders>
              <w:bottom w:val="single" w:color="000000" w:sz="4" w:space="0"/>
            </w:tcBorders>
            <w:vAlign w:val="bottom"/>
          </w:tcPr>
          <w:p>
            <w:pPr>
              <w:widowControl/>
              <w:jc w:val="center"/>
              <w:textAlignment w:val="bottom"/>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kern w:val="0"/>
                <w:sz w:val="44"/>
                <w:szCs w:val="44"/>
              </w:rPr>
              <w:t>202</w:t>
            </w:r>
            <w:r>
              <w:rPr>
                <w:rStyle w:val="15"/>
                <w:rFonts w:hint="default"/>
              </w:rPr>
              <w:t>3年部门整体绩效评价指标体系评分表</w:t>
            </w:r>
          </w:p>
        </w:tc>
      </w:tr>
      <w:tr>
        <w:tblPrEx>
          <w:tblLayout w:type="fixed"/>
          <w:tblCellMar>
            <w:top w:w="15" w:type="dxa"/>
            <w:left w:w="15" w:type="dxa"/>
            <w:bottom w:w="15" w:type="dxa"/>
            <w:right w:w="15" w:type="dxa"/>
          </w:tblCellMar>
        </w:tblPrEx>
        <w:trPr>
          <w:trHeight w:val="285" w:hRule="atLeast"/>
        </w:trPr>
        <w:tc>
          <w:tcPr>
            <w:tcW w:w="13988" w:type="dxa"/>
            <w:gridSpan w:val="20"/>
            <w:tcBorders>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一、</w:t>
            </w:r>
            <w:r>
              <w:rPr>
                <w:rStyle w:val="16"/>
                <w:rFonts w:hint="default"/>
              </w:rPr>
              <w:t>当年预算执行情况（20分）</w:t>
            </w:r>
          </w:p>
        </w:tc>
      </w:tr>
      <w:tr>
        <w:tblPrEx>
          <w:tblLayout w:type="fixed"/>
          <w:tblCellMar>
            <w:top w:w="15" w:type="dxa"/>
            <w:left w:w="15" w:type="dxa"/>
            <w:bottom w:w="15" w:type="dxa"/>
            <w:right w:w="15" w:type="dxa"/>
          </w:tblCellMar>
        </w:tblPrEx>
        <w:trPr>
          <w:trHeight w:val="929" w:hRule="atLeast"/>
        </w:trPr>
        <w:tc>
          <w:tcPr>
            <w:tcW w:w="554" w:type="dxa"/>
            <w:tcBorders>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一</w:t>
            </w:r>
            <w:r>
              <w:rPr>
                <w:rStyle w:val="16"/>
                <w:rFonts w:hint="default"/>
              </w:rPr>
              <w:t>级指标　</w:t>
            </w:r>
          </w:p>
        </w:tc>
        <w:tc>
          <w:tcPr>
            <w:tcW w:w="613" w:type="dxa"/>
            <w:gridSpan w:val="2"/>
            <w:tcBorders>
              <w:top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w:t>
            </w:r>
            <w:r>
              <w:rPr>
                <w:rStyle w:val="16"/>
                <w:rFonts w:hint="default"/>
              </w:rPr>
              <w:t>级指标　</w:t>
            </w:r>
          </w:p>
        </w:tc>
        <w:tc>
          <w:tcPr>
            <w:tcW w:w="829" w:type="dxa"/>
            <w:gridSpan w:val="2"/>
            <w:tcBorders>
              <w:top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预算数（万元）</w:t>
            </w:r>
          </w:p>
        </w:tc>
        <w:tc>
          <w:tcPr>
            <w:tcW w:w="1497" w:type="dxa"/>
            <w:gridSpan w:val="2"/>
            <w:tcBorders>
              <w:top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r>
              <w:rPr>
                <w:rFonts w:hint="eastAsia" w:ascii="宋体" w:hAnsi="宋体" w:cs="宋体"/>
                <w:color w:val="000000"/>
              </w:rPr>
              <w:t>执行数（万元）</w:t>
            </w:r>
          </w:p>
        </w:tc>
        <w:tc>
          <w:tcPr>
            <w:tcW w:w="1212" w:type="dxa"/>
            <w:tcBorders>
              <w:top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预算执行率</w:t>
            </w:r>
          </w:p>
        </w:tc>
        <w:tc>
          <w:tcPr>
            <w:tcW w:w="603" w:type="dxa"/>
            <w:tcBorders>
              <w:top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分值</w:t>
            </w:r>
          </w:p>
        </w:tc>
        <w:tc>
          <w:tcPr>
            <w:tcW w:w="609" w:type="dxa"/>
            <w:gridSpan w:val="2"/>
            <w:tcBorders>
              <w:top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得分</w:t>
            </w:r>
          </w:p>
        </w:tc>
        <w:tc>
          <w:tcPr>
            <w:tcW w:w="1207" w:type="dxa"/>
            <w:gridSpan w:val="3"/>
            <w:tcBorders>
              <w:top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指标解释</w:t>
            </w:r>
          </w:p>
        </w:tc>
        <w:tc>
          <w:tcPr>
            <w:tcW w:w="6864" w:type="dxa"/>
            <w:gridSpan w:val="6"/>
            <w:tcBorders>
              <w:top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评分标准</w:t>
            </w:r>
          </w:p>
        </w:tc>
      </w:tr>
      <w:tr>
        <w:tblPrEx>
          <w:tblLayout w:type="fixed"/>
          <w:tblCellMar>
            <w:top w:w="15" w:type="dxa"/>
            <w:left w:w="15" w:type="dxa"/>
            <w:bottom w:w="15" w:type="dxa"/>
            <w:right w:w="15" w:type="dxa"/>
          </w:tblCellMar>
        </w:tblPrEx>
        <w:trPr>
          <w:trHeight w:val="1125" w:hRule="atLeast"/>
        </w:trPr>
        <w:tc>
          <w:tcPr>
            <w:tcW w:w="554" w:type="dxa"/>
            <w:vMerge w:val="restart"/>
            <w:tcBorders>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当年预算执行情况（20）</w:t>
            </w:r>
          </w:p>
        </w:tc>
        <w:tc>
          <w:tcPr>
            <w:tcW w:w="613" w:type="dxa"/>
            <w:gridSpan w:val="2"/>
            <w:tcBorders>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资金总体</w:t>
            </w:r>
          </w:p>
        </w:tc>
        <w:tc>
          <w:tcPr>
            <w:tcW w:w="829" w:type="dxa"/>
            <w:gridSpan w:val="2"/>
            <w:tcBorders>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1845.53</w:t>
            </w:r>
          </w:p>
        </w:tc>
        <w:tc>
          <w:tcPr>
            <w:tcW w:w="1497" w:type="dxa"/>
            <w:gridSpan w:val="2"/>
            <w:tcBorders>
              <w:bottom w:val="single" w:color="000000" w:sz="4" w:space="0"/>
              <w:right w:val="single" w:color="000000" w:sz="4" w:space="0"/>
            </w:tcBorders>
            <w:vAlign w:val="center"/>
          </w:tcPr>
          <w:p>
            <w:pPr>
              <w:jc w:val="center"/>
              <w:rPr>
                <w:rFonts w:hint="eastAsia" w:ascii="宋体" w:hAnsi="宋体" w:cs="宋体"/>
                <w:color w:val="000000"/>
                <w:sz w:val="20"/>
                <w:szCs w:val="20"/>
              </w:rPr>
            </w:pPr>
            <w:r>
              <w:rPr>
                <w:rFonts w:hint="eastAsia" w:ascii="宋体" w:hAnsi="宋体" w:cs="宋体"/>
                <w:color w:val="000000"/>
              </w:rPr>
              <w:t>1763.12</w:t>
            </w:r>
          </w:p>
        </w:tc>
        <w:tc>
          <w:tcPr>
            <w:tcW w:w="1212" w:type="dxa"/>
            <w:tcBorders>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95.53</w:t>
            </w:r>
          </w:p>
        </w:tc>
        <w:tc>
          <w:tcPr>
            <w:tcW w:w="603" w:type="dxa"/>
            <w:vMerge w:val="restart"/>
            <w:tcBorders>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609" w:type="dxa"/>
            <w:gridSpan w:val="2"/>
            <w:vMerge w:val="restart"/>
            <w:tcBorders>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19.11</w:t>
            </w:r>
          </w:p>
        </w:tc>
        <w:tc>
          <w:tcPr>
            <w:tcW w:w="1207" w:type="dxa"/>
            <w:gridSpan w:val="3"/>
            <w:vMerge w:val="restart"/>
            <w:tcBorders>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部门全年执行数与全年预算数的比率。资金总体=基本支出+项目支出+其他</w:t>
            </w:r>
          </w:p>
        </w:tc>
        <w:tc>
          <w:tcPr>
            <w:tcW w:w="6864" w:type="dxa"/>
            <w:gridSpan w:val="6"/>
            <w:tcBorders>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①得分一档最高不能超过该指标分值上限（20分）。</w:t>
            </w:r>
          </w:p>
        </w:tc>
      </w:tr>
      <w:tr>
        <w:tblPrEx>
          <w:tblLayout w:type="fixed"/>
          <w:tblCellMar>
            <w:top w:w="15" w:type="dxa"/>
            <w:left w:w="15" w:type="dxa"/>
            <w:bottom w:w="15" w:type="dxa"/>
            <w:right w:w="15" w:type="dxa"/>
          </w:tblCellMar>
        </w:tblPrEx>
        <w:trPr>
          <w:trHeight w:val="900" w:hRule="atLeast"/>
        </w:trPr>
        <w:tc>
          <w:tcPr>
            <w:tcW w:w="554" w:type="dxa"/>
            <w:vMerge w:val="continue"/>
            <w:tcBorders>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13" w:type="dxa"/>
            <w:gridSpan w:val="2"/>
            <w:tcBorders>
              <w:bottom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基本支出</w:t>
            </w:r>
          </w:p>
        </w:tc>
        <w:tc>
          <w:tcPr>
            <w:tcW w:w="829" w:type="dxa"/>
            <w:gridSpan w:val="2"/>
            <w:tcBorders>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1631.91</w:t>
            </w:r>
          </w:p>
        </w:tc>
        <w:tc>
          <w:tcPr>
            <w:tcW w:w="1497" w:type="dxa"/>
            <w:gridSpan w:val="2"/>
            <w:tcBorders>
              <w:bottom w:val="single" w:color="000000" w:sz="4" w:space="0"/>
              <w:right w:val="single" w:color="000000" w:sz="4" w:space="0"/>
            </w:tcBorders>
            <w:vAlign w:val="center"/>
          </w:tcPr>
          <w:p>
            <w:pPr>
              <w:jc w:val="center"/>
              <w:rPr>
                <w:rFonts w:hint="eastAsia" w:ascii="宋体" w:hAnsi="宋体" w:cs="宋体"/>
                <w:color w:val="000000"/>
                <w:sz w:val="20"/>
                <w:szCs w:val="20"/>
              </w:rPr>
            </w:pPr>
            <w:r>
              <w:rPr>
                <w:rFonts w:hint="eastAsia" w:ascii="宋体" w:hAnsi="宋体" w:cs="宋体"/>
                <w:color w:val="000000"/>
              </w:rPr>
              <w:t>1590.82</w:t>
            </w:r>
          </w:p>
        </w:tc>
        <w:tc>
          <w:tcPr>
            <w:tcW w:w="1212" w:type="dxa"/>
            <w:vMerge w:val="restart"/>
            <w:tcBorders>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w:t>
            </w:r>
          </w:p>
        </w:tc>
        <w:tc>
          <w:tcPr>
            <w:tcW w:w="603" w:type="dxa"/>
            <w:vMerge w:val="continue"/>
            <w:tcBorders>
              <w:bottom w:val="single" w:color="000000" w:sz="4" w:space="0"/>
              <w:right w:val="single" w:color="000000" w:sz="4" w:space="0"/>
            </w:tcBorders>
            <w:vAlign w:val="center"/>
          </w:tcPr>
          <w:p>
            <w:pPr>
              <w:jc w:val="center"/>
              <w:rPr>
                <w:rFonts w:ascii="宋体" w:hAnsi="宋体" w:cs="宋体"/>
                <w:color w:val="000000"/>
                <w:sz w:val="20"/>
                <w:szCs w:val="20"/>
              </w:rPr>
            </w:pPr>
          </w:p>
        </w:tc>
        <w:tc>
          <w:tcPr>
            <w:tcW w:w="609" w:type="dxa"/>
            <w:gridSpan w:val="2"/>
            <w:vMerge w:val="continue"/>
            <w:tcBorders>
              <w:bottom w:val="single" w:color="000000" w:sz="4" w:space="0"/>
              <w:right w:val="single" w:color="000000" w:sz="4" w:space="0"/>
            </w:tcBorders>
            <w:vAlign w:val="center"/>
          </w:tcPr>
          <w:p>
            <w:pPr>
              <w:jc w:val="center"/>
              <w:rPr>
                <w:rFonts w:ascii="宋体" w:hAnsi="宋体" w:cs="宋体"/>
                <w:color w:val="000000"/>
                <w:sz w:val="20"/>
                <w:szCs w:val="20"/>
              </w:rPr>
            </w:pPr>
          </w:p>
        </w:tc>
        <w:tc>
          <w:tcPr>
            <w:tcW w:w="1207" w:type="dxa"/>
            <w:gridSpan w:val="3"/>
            <w:vMerge w:val="continue"/>
            <w:tcBorders>
              <w:bottom w:val="single" w:color="000000" w:sz="4" w:space="0"/>
              <w:right w:val="single" w:color="000000" w:sz="4" w:space="0"/>
            </w:tcBorders>
            <w:vAlign w:val="center"/>
          </w:tcPr>
          <w:p>
            <w:pPr>
              <w:jc w:val="left"/>
              <w:rPr>
                <w:rFonts w:ascii="宋体" w:hAnsi="宋体" w:cs="宋体"/>
                <w:color w:val="000000"/>
                <w:sz w:val="18"/>
                <w:szCs w:val="18"/>
              </w:rPr>
            </w:pPr>
          </w:p>
        </w:tc>
        <w:tc>
          <w:tcPr>
            <w:tcW w:w="6864" w:type="dxa"/>
            <w:gridSpan w:val="6"/>
            <w:tcBorders>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Layout w:type="fixed"/>
          <w:tblCellMar>
            <w:top w:w="15" w:type="dxa"/>
            <w:left w:w="15" w:type="dxa"/>
            <w:bottom w:w="15" w:type="dxa"/>
            <w:right w:w="15" w:type="dxa"/>
          </w:tblCellMar>
        </w:tblPrEx>
        <w:trPr>
          <w:trHeight w:val="852" w:hRule="atLeast"/>
        </w:trPr>
        <w:tc>
          <w:tcPr>
            <w:tcW w:w="554" w:type="dxa"/>
            <w:vMerge w:val="continue"/>
            <w:tcBorders>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13" w:type="dxa"/>
            <w:gridSpan w:val="2"/>
            <w:tcBorders>
              <w:bottom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项目支出</w:t>
            </w:r>
          </w:p>
        </w:tc>
        <w:tc>
          <w:tcPr>
            <w:tcW w:w="829" w:type="dxa"/>
            <w:gridSpan w:val="2"/>
            <w:tcBorders>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213.62</w:t>
            </w:r>
          </w:p>
        </w:tc>
        <w:tc>
          <w:tcPr>
            <w:tcW w:w="1497" w:type="dxa"/>
            <w:gridSpan w:val="2"/>
            <w:tcBorders>
              <w:bottom w:val="single" w:color="000000" w:sz="4" w:space="0"/>
              <w:right w:val="single" w:color="000000" w:sz="4" w:space="0"/>
            </w:tcBorders>
            <w:vAlign w:val="center"/>
          </w:tcPr>
          <w:p>
            <w:pPr>
              <w:jc w:val="center"/>
              <w:rPr>
                <w:rFonts w:hint="eastAsia" w:ascii="宋体" w:hAnsi="宋体" w:cs="宋体"/>
                <w:color w:val="000000"/>
                <w:sz w:val="20"/>
                <w:szCs w:val="20"/>
              </w:rPr>
            </w:pPr>
            <w:r>
              <w:rPr>
                <w:rFonts w:hint="eastAsia" w:ascii="宋体" w:hAnsi="宋体" w:cs="宋体"/>
                <w:color w:val="000000"/>
              </w:rPr>
              <w:t>172.3</w:t>
            </w:r>
          </w:p>
        </w:tc>
        <w:tc>
          <w:tcPr>
            <w:tcW w:w="1212" w:type="dxa"/>
            <w:vMerge w:val="continue"/>
            <w:tcBorders>
              <w:bottom w:val="single" w:color="000000" w:sz="4" w:space="0"/>
              <w:right w:val="single" w:color="000000" w:sz="4" w:space="0"/>
            </w:tcBorders>
            <w:vAlign w:val="center"/>
          </w:tcPr>
          <w:p>
            <w:pPr>
              <w:jc w:val="center"/>
              <w:rPr>
                <w:rFonts w:ascii="宋体" w:hAnsi="宋体" w:cs="宋体"/>
                <w:color w:val="000000"/>
                <w:sz w:val="20"/>
                <w:szCs w:val="20"/>
              </w:rPr>
            </w:pPr>
          </w:p>
        </w:tc>
        <w:tc>
          <w:tcPr>
            <w:tcW w:w="603" w:type="dxa"/>
            <w:vMerge w:val="continue"/>
            <w:tcBorders>
              <w:bottom w:val="single" w:color="000000" w:sz="4" w:space="0"/>
              <w:right w:val="single" w:color="000000" w:sz="4" w:space="0"/>
            </w:tcBorders>
            <w:vAlign w:val="center"/>
          </w:tcPr>
          <w:p>
            <w:pPr>
              <w:jc w:val="center"/>
              <w:rPr>
                <w:rFonts w:ascii="宋体" w:hAnsi="宋体" w:cs="宋体"/>
                <w:color w:val="000000"/>
                <w:sz w:val="20"/>
                <w:szCs w:val="20"/>
              </w:rPr>
            </w:pPr>
          </w:p>
        </w:tc>
        <w:tc>
          <w:tcPr>
            <w:tcW w:w="609" w:type="dxa"/>
            <w:gridSpan w:val="2"/>
            <w:vMerge w:val="continue"/>
            <w:tcBorders>
              <w:bottom w:val="single" w:color="000000" w:sz="4" w:space="0"/>
              <w:right w:val="single" w:color="000000" w:sz="4" w:space="0"/>
            </w:tcBorders>
            <w:vAlign w:val="center"/>
          </w:tcPr>
          <w:p>
            <w:pPr>
              <w:jc w:val="center"/>
              <w:rPr>
                <w:rFonts w:ascii="宋体" w:hAnsi="宋体" w:cs="宋体"/>
                <w:color w:val="000000"/>
                <w:sz w:val="20"/>
                <w:szCs w:val="20"/>
              </w:rPr>
            </w:pPr>
          </w:p>
        </w:tc>
        <w:tc>
          <w:tcPr>
            <w:tcW w:w="1207" w:type="dxa"/>
            <w:gridSpan w:val="3"/>
            <w:vMerge w:val="continue"/>
            <w:tcBorders>
              <w:bottom w:val="single" w:color="000000" w:sz="4" w:space="0"/>
              <w:right w:val="single" w:color="000000" w:sz="4" w:space="0"/>
            </w:tcBorders>
            <w:vAlign w:val="center"/>
          </w:tcPr>
          <w:p>
            <w:pPr>
              <w:jc w:val="left"/>
              <w:rPr>
                <w:rFonts w:ascii="宋体" w:hAnsi="宋体" w:cs="宋体"/>
                <w:color w:val="000000"/>
                <w:sz w:val="18"/>
                <w:szCs w:val="18"/>
              </w:rPr>
            </w:pPr>
          </w:p>
        </w:tc>
        <w:tc>
          <w:tcPr>
            <w:tcW w:w="6864" w:type="dxa"/>
            <w:gridSpan w:val="6"/>
            <w:tcBorders>
              <w:right w:val="single" w:color="000000" w:sz="4" w:space="0"/>
            </w:tcBorders>
            <w:vAlign w:val="center"/>
          </w:tcPr>
          <w:p>
            <w:pPr>
              <w:rPr>
                <w:rFonts w:ascii="宋体" w:hAnsi="宋体" w:cs="宋体"/>
                <w:color w:val="000000"/>
                <w:sz w:val="24"/>
              </w:rPr>
            </w:pPr>
          </w:p>
        </w:tc>
      </w:tr>
      <w:tr>
        <w:tblPrEx>
          <w:tblLayout w:type="fixed"/>
          <w:tblCellMar>
            <w:top w:w="15" w:type="dxa"/>
            <w:left w:w="15" w:type="dxa"/>
            <w:bottom w:w="15" w:type="dxa"/>
            <w:right w:w="15" w:type="dxa"/>
          </w:tblCellMar>
        </w:tblPrEx>
        <w:trPr>
          <w:trHeight w:val="952" w:hRule="atLeast"/>
        </w:trPr>
        <w:tc>
          <w:tcPr>
            <w:tcW w:w="554" w:type="dxa"/>
            <w:vMerge w:val="continue"/>
            <w:tcBorders>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13" w:type="dxa"/>
            <w:gridSpan w:val="2"/>
            <w:tcBorders>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w:t>
            </w:r>
          </w:p>
        </w:tc>
        <w:tc>
          <w:tcPr>
            <w:tcW w:w="829" w:type="dxa"/>
            <w:gridSpan w:val="2"/>
            <w:tcBorders>
              <w:bottom w:val="single" w:color="000000" w:sz="4" w:space="0"/>
              <w:right w:val="single" w:color="000000" w:sz="4" w:space="0"/>
            </w:tcBorders>
            <w:vAlign w:val="center"/>
          </w:tcPr>
          <w:p>
            <w:pPr>
              <w:jc w:val="center"/>
              <w:rPr>
                <w:rFonts w:ascii="宋体" w:hAnsi="宋体" w:cs="宋体"/>
                <w:color w:val="000000"/>
                <w:sz w:val="20"/>
                <w:szCs w:val="20"/>
              </w:rPr>
            </w:pPr>
          </w:p>
        </w:tc>
        <w:tc>
          <w:tcPr>
            <w:tcW w:w="1497" w:type="dxa"/>
            <w:gridSpan w:val="2"/>
            <w:tcBorders>
              <w:bottom w:val="single" w:color="000000" w:sz="4" w:space="0"/>
              <w:right w:val="single" w:color="000000" w:sz="4" w:space="0"/>
            </w:tcBorders>
            <w:vAlign w:val="center"/>
          </w:tcPr>
          <w:p>
            <w:pPr>
              <w:jc w:val="center"/>
              <w:rPr>
                <w:rFonts w:ascii="宋体" w:hAnsi="宋体" w:cs="宋体"/>
                <w:color w:val="000000"/>
                <w:sz w:val="20"/>
                <w:szCs w:val="20"/>
              </w:rPr>
            </w:pPr>
          </w:p>
        </w:tc>
        <w:tc>
          <w:tcPr>
            <w:tcW w:w="1212" w:type="dxa"/>
            <w:vMerge w:val="continue"/>
            <w:tcBorders>
              <w:bottom w:val="single" w:color="000000" w:sz="4" w:space="0"/>
              <w:right w:val="single" w:color="000000" w:sz="4" w:space="0"/>
            </w:tcBorders>
            <w:vAlign w:val="center"/>
          </w:tcPr>
          <w:p>
            <w:pPr>
              <w:jc w:val="center"/>
              <w:rPr>
                <w:rFonts w:ascii="宋体" w:hAnsi="宋体" w:cs="宋体"/>
                <w:color w:val="000000"/>
                <w:sz w:val="20"/>
                <w:szCs w:val="20"/>
              </w:rPr>
            </w:pPr>
          </w:p>
        </w:tc>
        <w:tc>
          <w:tcPr>
            <w:tcW w:w="603" w:type="dxa"/>
            <w:vMerge w:val="continue"/>
            <w:tcBorders>
              <w:bottom w:val="single" w:color="000000" w:sz="4" w:space="0"/>
              <w:right w:val="single" w:color="000000" w:sz="4" w:space="0"/>
            </w:tcBorders>
            <w:vAlign w:val="center"/>
          </w:tcPr>
          <w:p>
            <w:pPr>
              <w:jc w:val="center"/>
              <w:rPr>
                <w:rFonts w:ascii="宋体" w:hAnsi="宋体" w:cs="宋体"/>
                <w:color w:val="000000"/>
                <w:sz w:val="20"/>
                <w:szCs w:val="20"/>
              </w:rPr>
            </w:pPr>
          </w:p>
        </w:tc>
        <w:tc>
          <w:tcPr>
            <w:tcW w:w="609" w:type="dxa"/>
            <w:gridSpan w:val="2"/>
            <w:vMerge w:val="continue"/>
            <w:tcBorders>
              <w:bottom w:val="single" w:color="000000" w:sz="4" w:space="0"/>
              <w:right w:val="single" w:color="000000" w:sz="4" w:space="0"/>
            </w:tcBorders>
            <w:vAlign w:val="center"/>
          </w:tcPr>
          <w:p>
            <w:pPr>
              <w:jc w:val="center"/>
              <w:rPr>
                <w:rFonts w:ascii="宋体" w:hAnsi="宋体" w:cs="宋体"/>
                <w:color w:val="000000"/>
                <w:sz w:val="20"/>
                <w:szCs w:val="20"/>
              </w:rPr>
            </w:pPr>
          </w:p>
        </w:tc>
        <w:tc>
          <w:tcPr>
            <w:tcW w:w="1207" w:type="dxa"/>
            <w:gridSpan w:val="3"/>
            <w:vMerge w:val="continue"/>
            <w:tcBorders>
              <w:bottom w:val="single" w:color="000000" w:sz="4" w:space="0"/>
              <w:right w:val="single" w:color="000000" w:sz="4" w:space="0"/>
            </w:tcBorders>
            <w:vAlign w:val="center"/>
          </w:tcPr>
          <w:p>
            <w:pPr>
              <w:jc w:val="left"/>
              <w:rPr>
                <w:rFonts w:ascii="宋体" w:hAnsi="宋体" w:cs="宋体"/>
                <w:color w:val="000000"/>
                <w:sz w:val="18"/>
                <w:szCs w:val="18"/>
              </w:rPr>
            </w:pPr>
          </w:p>
        </w:tc>
        <w:tc>
          <w:tcPr>
            <w:tcW w:w="6864" w:type="dxa"/>
            <w:gridSpan w:val="6"/>
            <w:tcBorders>
              <w:bottom w:val="single" w:color="000000" w:sz="4" w:space="0"/>
              <w:right w:val="single" w:color="000000" w:sz="4" w:space="0"/>
            </w:tcBorders>
            <w:vAlign w:val="center"/>
          </w:tcPr>
          <w:p>
            <w:pPr>
              <w:rPr>
                <w:rFonts w:ascii="宋体" w:hAnsi="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988" w:type="dxa"/>
            <w:gridSpan w:val="20"/>
            <w:tcBorders>
              <w:left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二、</w:t>
            </w:r>
            <w:r>
              <w:rPr>
                <w:rStyle w:val="16"/>
                <w:rFonts w:hint="default"/>
              </w:rPr>
              <w:t>整体绩效目标实现情况（60分）</w:t>
            </w:r>
          </w:p>
        </w:tc>
      </w:tr>
      <w:tr>
        <w:tblPrEx>
          <w:tblLayout w:type="fixed"/>
          <w:tblCellMar>
            <w:top w:w="15" w:type="dxa"/>
            <w:left w:w="15" w:type="dxa"/>
            <w:bottom w:w="15" w:type="dxa"/>
            <w:right w:w="15" w:type="dxa"/>
          </w:tblCellMar>
        </w:tblPrEx>
        <w:trPr>
          <w:trHeight w:val="285" w:hRule="atLeast"/>
        </w:trPr>
        <w:tc>
          <w:tcPr>
            <w:tcW w:w="6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Style w:val="16"/>
                <w:rFonts w:hint="default"/>
              </w:rPr>
            </w:pPr>
            <w:r>
              <w:rPr>
                <w:rFonts w:hint="eastAsia" w:ascii="宋体" w:hAnsi="宋体" w:cs="宋体"/>
                <w:color w:val="000000"/>
                <w:kern w:val="0"/>
                <w:sz w:val="20"/>
                <w:szCs w:val="20"/>
              </w:rPr>
              <w:t>一</w:t>
            </w:r>
            <w:r>
              <w:rPr>
                <w:rStyle w:val="16"/>
                <w:rFonts w:hint="default"/>
              </w:rPr>
              <w:t>级</w:t>
            </w:r>
          </w:p>
          <w:p>
            <w:pPr>
              <w:widowControl/>
              <w:jc w:val="center"/>
              <w:textAlignment w:val="center"/>
              <w:rPr>
                <w:rFonts w:ascii="宋体" w:hAnsi="宋体" w:cs="宋体"/>
                <w:color w:val="000000"/>
                <w:sz w:val="20"/>
                <w:szCs w:val="20"/>
              </w:rPr>
            </w:pPr>
            <w:r>
              <w:rPr>
                <w:rStyle w:val="16"/>
                <w:rFonts w:hint="default"/>
              </w:rPr>
              <w:t>指标</w:t>
            </w:r>
          </w:p>
        </w:tc>
        <w:tc>
          <w:tcPr>
            <w:tcW w:w="6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Style w:val="16"/>
                <w:rFonts w:hint="default"/>
              </w:rPr>
            </w:pPr>
            <w:r>
              <w:rPr>
                <w:rFonts w:hint="eastAsia" w:ascii="宋体" w:hAnsi="宋体" w:cs="宋体"/>
                <w:color w:val="000000"/>
                <w:kern w:val="0"/>
                <w:sz w:val="20"/>
                <w:szCs w:val="20"/>
              </w:rPr>
              <w:t>二</w:t>
            </w:r>
            <w:r>
              <w:rPr>
                <w:rStyle w:val="16"/>
                <w:rFonts w:hint="default"/>
              </w:rPr>
              <w:t>级</w:t>
            </w:r>
          </w:p>
          <w:p>
            <w:pPr>
              <w:widowControl/>
              <w:jc w:val="center"/>
              <w:textAlignment w:val="center"/>
              <w:rPr>
                <w:rFonts w:ascii="宋体" w:hAnsi="宋体" w:cs="宋体"/>
                <w:color w:val="000000"/>
                <w:sz w:val="20"/>
                <w:szCs w:val="20"/>
              </w:rPr>
            </w:pPr>
            <w:r>
              <w:rPr>
                <w:rStyle w:val="16"/>
                <w:rFonts w:hint="default"/>
              </w:rPr>
              <w:t>指标　</w:t>
            </w:r>
          </w:p>
        </w:tc>
        <w:tc>
          <w:tcPr>
            <w:tcW w:w="12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w:t>
            </w:r>
            <w:r>
              <w:rPr>
                <w:rStyle w:val="16"/>
                <w:rFonts w:hint="default"/>
              </w:rPr>
              <w:t>级指标　</w:t>
            </w:r>
          </w:p>
        </w:tc>
        <w:tc>
          <w:tcPr>
            <w:tcW w:w="3825"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指标值</w:t>
            </w:r>
          </w:p>
        </w:tc>
        <w:tc>
          <w:tcPr>
            <w:tcW w:w="135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完成值</w:t>
            </w:r>
          </w:p>
        </w:tc>
        <w:tc>
          <w:tcPr>
            <w:tcW w:w="7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分值</w:t>
            </w: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得分</w:t>
            </w:r>
          </w:p>
        </w:tc>
        <w:tc>
          <w:tcPr>
            <w:tcW w:w="3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指标解释</w:t>
            </w:r>
          </w:p>
        </w:tc>
        <w:tc>
          <w:tcPr>
            <w:tcW w:w="133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评</w:t>
            </w:r>
            <w:r>
              <w:rPr>
                <w:rStyle w:val="17"/>
                <w:rFonts w:hint="default"/>
              </w:rPr>
              <w:t>分标准</w:t>
            </w:r>
          </w:p>
        </w:tc>
      </w:tr>
      <w:tr>
        <w:tblPrEx>
          <w:tblLayout w:type="fixed"/>
          <w:tblCellMar>
            <w:top w:w="15" w:type="dxa"/>
            <w:left w:w="15" w:type="dxa"/>
            <w:bottom w:w="15" w:type="dxa"/>
            <w:right w:w="15" w:type="dxa"/>
          </w:tblCellMar>
        </w:tblPrEx>
        <w:trPr>
          <w:trHeight w:val="3360" w:hRule="atLeast"/>
        </w:trPr>
        <w:tc>
          <w:tcPr>
            <w:tcW w:w="632"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整体绩效目标实现情况（60）</w:t>
            </w:r>
          </w:p>
        </w:tc>
        <w:tc>
          <w:tcPr>
            <w:tcW w:w="632"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产出（30）</w:t>
            </w:r>
          </w:p>
        </w:tc>
        <w:tc>
          <w:tcPr>
            <w:tcW w:w="1253"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参政议政工作质量</w:t>
            </w:r>
          </w:p>
        </w:tc>
        <w:tc>
          <w:tcPr>
            <w:tcW w:w="3825"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kern w:val="0"/>
                <w:sz w:val="18"/>
                <w:szCs w:val="18"/>
              </w:rPr>
              <w:t>1.</w:t>
            </w:r>
            <w:r>
              <w:rPr>
                <w:rFonts w:hint="eastAsia" w:ascii="宋体" w:hAnsi="宋体" w:cs="宋体"/>
                <w:kern w:val="0"/>
                <w:sz w:val="18"/>
                <w:szCs w:val="18"/>
                <w:lang w:val="en-US" w:eastAsia="zh-CN"/>
              </w:rPr>
              <w:t>高质量完成年度政治协商任务，全年报送信息915篇，完成立项调研课题37项，报送建言专报4篇；</w:t>
            </w:r>
            <w:r>
              <w:rPr>
                <w:rFonts w:hint="eastAsia" w:ascii="宋体" w:hAnsi="宋体" w:cs="宋体"/>
                <w:kern w:val="0"/>
                <w:sz w:val="18"/>
                <w:szCs w:val="18"/>
              </w:rPr>
              <w:t>2.积极组织高等教育、基础教育、职业教育、教育发展研究、文化、科技、经济、城市建设和更新、人口资源环境、农业农村、创新发展、社会工作、法治、金融等14个专委会</w:t>
            </w:r>
            <w:r>
              <w:rPr>
                <w:rFonts w:hint="eastAsia" w:ascii="宋体" w:hAnsi="宋体" w:cs="宋体"/>
                <w:kern w:val="0"/>
                <w:sz w:val="18"/>
                <w:szCs w:val="18"/>
                <w:lang w:val="en-US" w:eastAsia="zh-CN"/>
              </w:rPr>
              <w:t>开展调研</w:t>
            </w:r>
            <w:r>
              <w:rPr>
                <w:rFonts w:hint="eastAsia" w:ascii="宋体" w:hAnsi="宋体" w:cs="宋体"/>
                <w:kern w:val="0"/>
                <w:sz w:val="18"/>
                <w:szCs w:val="18"/>
              </w:rPr>
              <w:t>活动；3.</w:t>
            </w:r>
            <w:r>
              <w:rPr>
                <w:rFonts w:hint="eastAsia" w:ascii="宋体" w:hAnsi="宋体" w:cs="宋体"/>
                <w:kern w:val="0"/>
                <w:sz w:val="18"/>
                <w:szCs w:val="18"/>
                <w:lang w:val="en-US" w:eastAsia="zh-CN"/>
              </w:rPr>
              <w:t>完成第二轮专项民主监督收官</w:t>
            </w:r>
            <w:r>
              <w:rPr>
                <w:rFonts w:hint="eastAsia" w:ascii="宋体" w:hAnsi="宋体" w:cs="宋体"/>
                <w:kern w:val="0"/>
                <w:sz w:val="18"/>
                <w:szCs w:val="18"/>
              </w:rPr>
              <w:t>；4.</w:t>
            </w:r>
            <w:r>
              <w:rPr>
                <w:rFonts w:hint="eastAsia" w:ascii="宋体" w:hAnsi="宋体" w:cs="宋体"/>
                <w:kern w:val="0"/>
                <w:sz w:val="18"/>
                <w:szCs w:val="18"/>
                <w:lang w:val="en-US" w:eastAsia="zh-CN"/>
              </w:rPr>
              <w:t>印发《优秀建言信息选编（2022年）》和《参政议政文集》</w:t>
            </w:r>
            <w:r>
              <w:rPr>
                <w:rFonts w:hint="eastAsia" w:ascii="宋体" w:hAnsi="宋体" w:cs="宋体"/>
                <w:kern w:val="0"/>
                <w:sz w:val="18"/>
                <w:szCs w:val="18"/>
              </w:rPr>
              <w:t>。</w:t>
            </w:r>
          </w:p>
        </w:tc>
        <w:tc>
          <w:tcPr>
            <w:tcW w:w="135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达成年度指标</w:t>
            </w:r>
          </w:p>
        </w:tc>
        <w:tc>
          <w:tcPr>
            <w:tcW w:w="7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w:t>
            </w: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w:t>
            </w:r>
          </w:p>
        </w:tc>
        <w:tc>
          <w:tcPr>
            <w:tcW w:w="3400"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产出数量：计划完成率=（实际完成工作数/计划工作数）×100%。实际完成工作数：一定时期（年度或规划期）内部门（单位）实际完成工作任务的数量。计划工作数：部门（单位）整体绩效目标确定的一定时期（年度或规划期）内预计完成工作任务的数量。产出质量：质量达标率=质量达标工作数/实际完成工作数×100%。质量达标工作数：一定时期（年度或规划期）内部门（单位）实际完成工作数中达到部门绩效目标要求（绩效标准值）的工作任务数量。产出进度：按时完成率=（按时完成工作数/实际完成工作数）×100%。按时完成工作数：部门（单位）按照整体绩效目标确定的时限实际完成的工作任务数量。产出成本：单位产出相对于上一年度的节约额；②单位产出相对于市场同类产出的节约额；③部门公用经费的控制情况。</w:t>
            </w:r>
          </w:p>
        </w:tc>
        <w:tc>
          <w:tcPr>
            <w:tcW w:w="133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tblPrEx>
          <w:tblLayout w:type="fixed"/>
          <w:tblCellMar>
            <w:top w:w="15" w:type="dxa"/>
            <w:left w:w="15" w:type="dxa"/>
            <w:bottom w:w="15" w:type="dxa"/>
            <w:right w:w="15" w:type="dxa"/>
          </w:tblCellMar>
        </w:tblPrEx>
        <w:trPr>
          <w:trHeight w:val="1680"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253"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研究室工作质量</w:t>
            </w:r>
          </w:p>
        </w:tc>
        <w:tc>
          <w:tcPr>
            <w:tcW w:w="3825"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default" w:ascii="宋体" w:hAnsi="宋体" w:eastAsia="宋体" w:cs="宋体"/>
                <w:color w:val="000000"/>
                <w:sz w:val="20"/>
                <w:szCs w:val="20"/>
                <w:lang w:val="en-US" w:eastAsia="zh-CN"/>
              </w:rPr>
            </w:pPr>
            <w:r>
              <w:rPr>
                <w:rFonts w:hint="eastAsia" w:ascii="宋体" w:hAnsi="宋体" w:cs="宋体"/>
                <w:kern w:val="0"/>
                <w:sz w:val="18"/>
                <w:szCs w:val="18"/>
              </w:rPr>
              <w:t>1、在11月底前完成选编出版《统战理论研究文集》300本；2、组织历史文化委员会、统战理论研究会开展活动</w:t>
            </w:r>
            <w:r>
              <w:rPr>
                <w:rFonts w:hint="eastAsia" w:ascii="宋体" w:hAnsi="宋体" w:cs="宋体"/>
                <w:kern w:val="0"/>
                <w:sz w:val="18"/>
                <w:szCs w:val="18"/>
                <w:lang w:eastAsia="zh-CN"/>
              </w:rPr>
              <w:t>；</w:t>
            </w:r>
            <w:r>
              <w:rPr>
                <w:rFonts w:hint="eastAsia" w:ascii="宋体" w:hAnsi="宋体" w:cs="宋体"/>
                <w:kern w:val="0"/>
                <w:sz w:val="18"/>
                <w:szCs w:val="18"/>
                <w:lang w:val="en-US" w:eastAsia="zh-CN"/>
              </w:rPr>
              <w:t>3.持续开展统战理论和多党合作历史、民盟历史课题研究，完成18项年度课题招标并顺利结题。</w:t>
            </w:r>
          </w:p>
        </w:tc>
        <w:tc>
          <w:tcPr>
            <w:tcW w:w="135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达成年度指标</w:t>
            </w:r>
          </w:p>
        </w:tc>
        <w:tc>
          <w:tcPr>
            <w:tcW w:w="7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w:t>
            </w: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w:t>
            </w:r>
          </w:p>
        </w:tc>
        <w:tc>
          <w:tcPr>
            <w:tcW w:w="3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13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404"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253"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办公室工作质量</w:t>
            </w:r>
          </w:p>
        </w:tc>
        <w:tc>
          <w:tcPr>
            <w:tcW w:w="3825"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kern w:val="0"/>
                <w:sz w:val="18"/>
                <w:szCs w:val="18"/>
                <w:lang w:val="en-US" w:eastAsia="zh-CN"/>
              </w:rPr>
              <w:t>1.</w:t>
            </w:r>
            <w:r>
              <w:rPr>
                <w:rFonts w:hint="eastAsia" w:ascii="宋体" w:hAnsi="宋体" w:cs="宋体"/>
                <w:kern w:val="0"/>
                <w:sz w:val="18"/>
                <w:szCs w:val="18"/>
              </w:rPr>
              <w:t>举办</w:t>
            </w:r>
            <w:r>
              <w:rPr>
                <w:rFonts w:hint="eastAsia" w:ascii="宋体" w:hAnsi="宋体" w:cs="宋体"/>
                <w:kern w:val="0"/>
                <w:sz w:val="18"/>
                <w:szCs w:val="18"/>
                <w:lang w:val="en-US" w:eastAsia="zh-CN"/>
              </w:rPr>
              <w:t>2</w:t>
            </w:r>
            <w:r>
              <w:rPr>
                <w:rFonts w:hint="eastAsia" w:ascii="宋体" w:hAnsi="宋体" w:cs="宋体"/>
                <w:kern w:val="0"/>
                <w:sz w:val="18"/>
                <w:szCs w:val="18"/>
              </w:rPr>
              <w:t>期盟市委全委会</w:t>
            </w:r>
            <w:r>
              <w:rPr>
                <w:rFonts w:hint="eastAsia" w:ascii="宋体" w:hAnsi="宋体" w:cs="宋体"/>
                <w:kern w:val="0"/>
                <w:sz w:val="18"/>
                <w:szCs w:val="18"/>
                <w:lang w:eastAsia="zh-CN"/>
              </w:rPr>
              <w:t>，</w:t>
            </w:r>
            <w:r>
              <w:rPr>
                <w:rFonts w:hint="eastAsia" w:ascii="宋体" w:hAnsi="宋体" w:cs="宋体"/>
                <w:kern w:val="0"/>
                <w:sz w:val="18"/>
                <w:szCs w:val="18"/>
                <w:lang w:val="en-US" w:eastAsia="zh-CN"/>
              </w:rPr>
              <w:t>全年召开主委会16次，主委办公会9次，常委会3次</w:t>
            </w:r>
            <w:r>
              <w:rPr>
                <w:rFonts w:hint="eastAsia" w:ascii="宋体" w:hAnsi="宋体" w:cs="宋体"/>
                <w:kern w:val="0"/>
                <w:sz w:val="18"/>
                <w:szCs w:val="18"/>
              </w:rPr>
              <w:t>；</w:t>
            </w:r>
            <w:r>
              <w:rPr>
                <w:rFonts w:hint="eastAsia" w:ascii="宋体" w:hAnsi="宋体" w:cs="宋体"/>
                <w:kern w:val="0"/>
                <w:sz w:val="18"/>
                <w:szCs w:val="18"/>
                <w:lang w:val="en-US" w:eastAsia="zh-CN"/>
              </w:rPr>
              <w:t>2.持续提升机关建设水平，落实领导集体决策，完成行政运行管理工作，为机关事务运行提供支持和服务保障</w:t>
            </w:r>
            <w:r>
              <w:rPr>
                <w:rFonts w:hint="eastAsia" w:ascii="宋体" w:hAnsi="宋体" w:cs="宋体"/>
                <w:kern w:val="0"/>
                <w:sz w:val="18"/>
                <w:szCs w:val="18"/>
              </w:rPr>
              <w:t>。</w:t>
            </w:r>
          </w:p>
        </w:tc>
        <w:tc>
          <w:tcPr>
            <w:tcW w:w="135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达成年度指标</w:t>
            </w:r>
          </w:p>
        </w:tc>
        <w:tc>
          <w:tcPr>
            <w:tcW w:w="7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w:t>
            </w: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w:t>
            </w:r>
          </w:p>
        </w:tc>
        <w:tc>
          <w:tcPr>
            <w:tcW w:w="3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13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2400"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253"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组织部工作质量</w:t>
            </w:r>
          </w:p>
        </w:tc>
        <w:tc>
          <w:tcPr>
            <w:tcW w:w="3825"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kern w:val="0"/>
                <w:sz w:val="18"/>
                <w:szCs w:val="18"/>
              </w:rPr>
              <w:t>1、</w:t>
            </w:r>
            <w:r>
              <w:rPr>
                <w:rFonts w:hint="eastAsia" w:ascii="宋体" w:hAnsi="宋体" w:cs="宋体"/>
                <w:kern w:val="0"/>
                <w:sz w:val="18"/>
                <w:szCs w:val="18"/>
                <w:lang w:val="en-US" w:eastAsia="zh-CN"/>
              </w:rPr>
              <w:t>发展高层次代表人士57人，</w:t>
            </w:r>
            <w:r>
              <w:rPr>
                <w:rFonts w:hint="eastAsia" w:ascii="宋体" w:hAnsi="宋体" w:cs="宋体"/>
                <w:kern w:val="0"/>
                <w:sz w:val="18"/>
                <w:szCs w:val="18"/>
              </w:rPr>
              <w:t>召开</w:t>
            </w:r>
            <w:r>
              <w:rPr>
                <w:rFonts w:hint="eastAsia" w:ascii="宋体" w:hAnsi="宋体" w:cs="宋体"/>
                <w:kern w:val="0"/>
                <w:sz w:val="18"/>
                <w:szCs w:val="18"/>
                <w:lang w:val="en-US" w:eastAsia="zh-CN"/>
              </w:rPr>
              <w:t>2期</w:t>
            </w:r>
            <w:r>
              <w:rPr>
                <w:rFonts w:hint="eastAsia" w:ascii="宋体" w:hAnsi="宋体" w:cs="宋体"/>
                <w:kern w:val="0"/>
                <w:sz w:val="18"/>
                <w:szCs w:val="18"/>
              </w:rPr>
              <w:t>新盟员学习班</w:t>
            </w:r>
            <w:r>
              <w:rPr>
                <w:rFonts w:hint="eastAsia" w:ascii="宋体" w:hAnsi="宋体" w:cs="宋体"/>
                <w:kern w:val="0"/>
                <w:sz w:val="18"/>
                <w:szCs w:val="18"/>
                <w:lang w:eastAsia="zh-CN"/>
              </w:rPr>
              <w:t>；</w:t>
            </w:r>
            <w:r>
              <w:rPr>
                <w:rFonts w:hint="eastAsia" w:ascii="宋体" w:hAnsi="宋体" w:cs="宋体"/>
                <w:kern w:val="0"/>
                <w:sz w:val="18"/>
                <w:szCs w:val="18"/>
                <w:lang w:val="en-US" w:eastAsia="zh-CN"/>
              </w:rPr>
              <w:t>2.</w:t>
            </w:r>
            <w:r>
              <w:rPr>
                <w:rFonts w:hint="eastAsia" w:ascii="宋体" w:hAnsi="宋体" w:cs="宋体"/>
                <w:kern w:val="0"/>
                <w:sz w:val="18"/>
                <w:szCs w:val="18"/>
              </w:rPr>
              <w:t>组织开展青年工作委员会、老龄工作委员会活动；3、召开区级组织季度会议。4.人才信息系统使用。</w:t>
            </w:r>
          </w:p>
        </w:tc>
        <w:tc>
          <w:tcPr>
            <w:tcW w:w="135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达成年度指标</w:t>
            </w:r>
          </w:p>
        </w:tc>
        <w:tc>
          <w:tcPr>
            <w:tcW w:w="7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w:t>
            </w: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w:t>
            </w:r>
          </w:p>
        </w:tc>
        <w:tc>
          <w:tcPr>
            <w:tcW w:w="3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13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2640"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253"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宣传部工作质量</w:t>
            </w:r>
          </w:p>
        </w:tc>
        <w:tc>
          <w:tcPr>
            <w:tcW w:w="3825"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kern w:val="0"/>
                <w:sz w:val="18"/>
                <w:szCs w:val="18"/>
              </w:rPr>
              <w:t>1、出版、印刷、邮寄6期盟讯、每期6千册；2、维护1个网站、1个公众号</w:t>
            </w:r>
            <w:r>
              <w:rPr>
                <w:rFonts w:hint="eastAsia" w:ascii="宋体" w:hAnsi="宋体" w:cs="宋体"/>
                <w:kern w:val="0"/>
                <w:sz w:val="18"/>
                <w:szCs w:val="18"/>
                <w:lang w:eastAsia="zh-CN"/>
              </w:rPr>
              <w:t>，</w:t>
            </w:r>
            <w:r>
              <w:rPr>
                <w:rFonts w:hint="eastAsia" w:ascii="宋体" w:hAnsi="宋体" w:cs="宋体"/>
                <w:kern w:val="0"/>
                <w:sz w:val="18"/>
                <w:szCs w:val="18"/>
                <w:lang w:val="en-US" w:eastAsia="zh-CN"/>
              </w:rPr>
              <w:t>全年网站上传稿件850余篇，编发微信作品335篇</w:t>
            </w:r>
            <w:r>
              <w:rPr>
                <w:rFonts w:hint="eastAsia" w:ascii="宋体" w:hAnsi="宋体" w:cs="宋体"/>
                <w:kern w:val="0"/>
                <w:sz w:val="18"/>
                <w:szCs w:val="18"/>
              </w:rPr>
              <w:t>；3、</w:t>
            </w:r>
            <w:r>
              <w:rPr>
                <w:rFonts w:hint="eastAsia" w:ascii="宋体" w:hAnsi="宋体" w:cs="宋体"/>
                <w:kern w:val="0"/>
                <w:sz w:val="18"/>
                <w:szCs w:val="18"/>
                <w:lang w:val="en-US" w:eastAsia="zh-CN"/>
              </w:rPr>
              <w:t>持续推荐“三香民盟”品牌建设，举办艺香民盟</w:t>
            </w:r>
            <w:r>
              <w:rPr>
                <w:rFonts w:hint="eastAsia" w:ascii="宋体" w:hAnsi="宋体" w:cs="宋体"/>
                <w:kern w:val="0"/>
                <w:sz w:val="18"/>
                <w:szCs w:val="18"/>
              </w:rPr>
              <w:t>大讲堂讲座活动 4、组织开展宣传工作委员会、联络委员会活动</w:t>
            </w:r>
          </w:p>
        </w:tc>
        <w:tc>
          <w:tcPr>
            <w:tcW w:w="135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达成年度指标</w:t>
            </w:r>
          </w:p>
        </w:tc>
        <w:tc>
          <w:tcPr>
            <w:tcW w:w="7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w:t>
            </w: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w:t>
            </w:r>
          </w:p>
        </w:tc>
        <w:tc>
          <w:tcPr>
            <w:tcW w:w="3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13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1440"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253"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社会服务部工作质量</w:t>
            </w:r>
          </w:p>
        </w:tc>
        <w:tc>
          <w:tcPr>
            <w:tcW w:w="3825"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default" w:ascii="宋体" w:hAnsi="宋体" w:eastAsia="宋体" w:cs="宋体"/>
                <w:color w:val="000000"/>
                <w:sz w:val="20"/>
                <w:szCs w:val="20"/>
                <w:lang w:val="en-US" w:eastAsia="zh-CN"/>
              </w:rPr>
            </w:pPr>
            <w:r>
              <w:rPr>
                <w:rFonts w:hint="eastAsia" w:ascii="宋体" w:hAnsi="宋体" w:cs="宋体"/>
                <w:kern w:val="0"/>
                <w:sz w:val="18"/>
                <w:szCs w:val="18"/>
              </w:rPr>
              <w:t>1、</w:t>
            </w:r>
            <w:r>
              <w:rPr>
                <w:rFonts w:hint="eastAsia" w:ascii="宋体" w:hAnsi="宋体" w:cs="宋体"/>
                <w:kern w:val="0"/>
                <w:sz w:val="18"/>
                <w:szCs w:val="18"/>
                <w:lang w:val="en-US" w:eastAsia="zh-CN"/>
              </w:rPr>
              <w:t>积极助力乡村振兴</w:t>
            </w:r>
            <w:r>
              <w:rPr>
                <w:rFonts w:hint="eastAsia" w:ascii="宋体" w:hAnsi="宋体" w:cs="宋体"/>
                <w:kern w:val="0"/>
                <w:sz w:val="18"/>
                <w:szCs w:val="18"/>
              </w:rPr>
              <w:t>；2、民盟先贤肖像巡回展</w:t>
            </w:r>
            <w:r>
              <w:rPr>
                <w:rFonts w:hint="eastAsia" w:ascii="宋体" w:hAnsi="宋体" w:cs="宋体"/>
                <w:kern w:val="0"/>
                <w:sz w:val="18"/>
                <w:szCs w:val="18"/>
                <w:lang w:val="en-US" w:eastAsia="zh-CN"/>
              </w:rPr>
              <w:t>1</w:t>
            </w:r>
            <w:r>
              <w:rPr>
                <w:rFonts w:hint="eastAsia" w:ascii="宋体" w:hAnsi="宋体" w:cs="宋体"/>
                <w:kern w:val="0"/>
                <w:sz w:val="18"/>
                <w:szCs w:val="18"/>
              </w:rPr>
              <w:t>8次；3、</w:t>
            </w:r>
            <w:r>
              <w:rPr>
                <w:rFonts w:hint="eastAsia" w:ascii="宋体" w:hAnsi="宋体" w:cs="宋体"/>
                <w:kern w:val="0"/>
                <w:sz w:val="18"/>
                <w:szCs w:val="18"/>
                <w:lang w:val="en-US" w:eastAsia="zh-CN"/>
              </w:rPr>
              <w:t>持续推荐“8+1”项目实施，承接门头沟帮扶项目近20项；4.荣膺民盟中央“社会服务工作先进省级组织”。</w:t>
            </w:r>
          </w:p>
        </w:tc>
        <w:tc>
          <w:tcPr>
            <w:tcW w:w="135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达成年度指标</w:t>
            </w:r>
          </w:p>
        </w:tc>
        <w:tc>
          <w:tcPr>
            <w:tcW w:w="7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w:t>
            </w: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w:t>
            </w:r>
          </w:p>
        </w:tc>
        <w:tc>
          <w:tcPr>
            <w:tcW w:w="3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13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2325"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32"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效果（30）</w:t>
            </w:r>
          </w:p>
        </w:tc>
        <w:tc>
          <w:tcPr>
            <w:tcW w:w="1253"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联络对象满意度</w:t>
            </w:r>
          </w:p>
        </w:tc>
        <w:tc>
          <w:tcPr>
            <w:tcW w:w="3825"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color w:val="000000"/>
                <w:sz w:val="20"/>
                <w:szCs w:val="20"/>
                <w:lang w:eastAsia="zh-CN"/>
              </w:rPr>
            </w:pPr>
            <w:r>
              <w:rPr>
                <w:rFonts w:hint="eastAsia" w:ascii="宋体" w:hAnsi="宋体" w:cs="宋体"/>
                <w:color w:val="000000"/>
                <w:kern w:val="0"/>
                <w:sz w:val="20"/>
                <w:szCs w:val="20"/>
              </w:rPr>
              <w:t>组织、安排各项机关办公会议，保障会议顺利召开，做好会议服务工作；参与民盟中央组织的各项工作会议和活动；联系民盟中央、市政协、市委统战部、兄弟党派和民盟组织来访接待工作</w:t>
            </w:r>
            <w:r>
              <w:rPr>
                <w:rFonts w:hint="eastAsia" w:ascii="宋体" w:hAnsi="宋体" w:cs="宋体"/>
                <w:color w:val="000000"/>
                <w:kern w:val="0"/>
                <w:sz w:val="20"/>
                <w:szCs w:val="20"/>
                <w:lang w:eastAsia="zh-CN"/>
              </w:rPr>
              <w:t>。</w:t>
            </w:r>
          </w:p>
        </w:tc>
        <w:tc>
          <w:tcPr>
            <w:tcW w:w="135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达成年度指标</w:t>
            </w:r>
          </w:p>
        </w:tc>
        <w:tc>
          <w:tcPr>
            <w:tcW w:w="7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10</w:t>
            </w: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10</w:t>
            </w:r>
          </w:p>
        </w:tc>
        <w:tc>
          <w:tcPr>
            <w:tcW w:w="3400"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经济效益：部门（单位）履行职责对经济发展所带来的直接或间接影响。社会效益：部门（单位）履行职责对社会发展所带来的直接或间接影响。环境效益：部门（单位）履行职责对环境所带来的直接或间接影响。可持续性影响：部门绩效目标实现的长效机制建设情况，部门工作效率提升措施的创新。服务对象满意度：部门（单位）的服务对象对部门履职效果的满意程度。</w:t>
            </w:r>
          </w:p>
        </w:tc>
        <w:tc>
          <w:tcPr>
            <w:tcW w:w="133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部门根据实际情况选择指标进行填写，并将其细化为相应的个性化指标。对于效益类指标可从受益对象瞄准度、受益广度和受益深度上进行设计分析。</w:t>
            </w:r>
          </w:p>
        </w:tc>
      </w:tr>
      <w:tr>
        <w:tblPrEx>
          <w:tblLayout w:type="fixed"/>
          <w:tblCellMar>
            <w:top w:w="15" w:type="dxa"/>
            <w:left w:w="15" w:type="dxa"/>
            <w:bottom w:w="15" w:type="dxa"/>
            <w:right w:w="15" w:type="dxa"/>
          </w:tblCellMar>
        </w:tblPrEx>
        <w:trPr>
          <w:trHeight w:val="2201"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253"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各项综合事务服务对象满意度</w:t>
            </w:r>
          </w:p>
        </w:tc>
        <w:tc>
          <w:tcPr>
            <w:tcW w:w="3825"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color w:val="000000"/>
                <w:sz w:val="20"/>
                <w:szCs w:val="20"/>
                <w:lang w:eastAsia="zh-CN"/>
              </w:rPr>
            </w:pPr>
            <w:r>
              <w:rPr>
                <w:rFonts w:hint="eastAsia" w:ascii="宋体" w:hAnsi="宋体" w:cs="宋体"/>
                <w:color w:val="000000"/>
                <w:kern w:val="0"/>
                <w:sz w:val="20"/>
                <w:szCs w:val="20"/>
              </w:rPr>
              <w:t>做好民盟市委各项联络和服务工作；更新基层工作手册、机关文件袋、信封、红头纸等；做好机关人事、财务、档案管理等各项综合事务工作</w:t>
            </w:r>
            <w:r>
              <w:rPr>
                <w:rFonts w:hint="eastAsia" w:ascii="宋体" w:hAnsi="宋体" w:cs="宋体"/>
                <w:color w:val="000000"/>
                <w:kern w:val="0"/>
                <w:sz w:val="20"/>
                <w:szCs w:val="20"/>
                <w:lang w:eastAsia="zh-CN"/>
              </w:rPr>
              <w:t>。</w:t>
            </w:r>
          </w:p>
        </w:tc>
        <w:tc>
          <w:tcPr>
            <w:tcW w:w="135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达成年度指标</w:t>
            </w:r>
          </w:p>
        </w:tc>
        <w:tc>
          <w:tcPr>
            <w:tcW w:w="7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10</w:t>
            </w: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10</w:t>
            </w:r>
          </w:p>
        </w:tc>
        <w:tc>
          <w:tcPr>
            <w:tcW w:w="3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13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3374"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253"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加强成员凝聚力，提高成员履职能力</w:t>
            </w:r>
          </w:p>
        </w:tc>
        <w:tc>
          <w:tcPr>
            <w:tcW w:w="3825"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搭建基层组织交流平台，通过基层组织的各项活动，加强交流。鼓励基层组织开展调研活动，促进履职能力提升。</w:t>
            </w:r>
          </w:p>
        </w:tc>
        <w:tc>
          <w:tcPr>
            <w:tcW w:w="135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达成年度指标</w:t>
            </w:r>
          </w:p>
        </w:tc>
        <w:tc>
          <w:tcPr>
            <w:tcW w:w="7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10</w:t>
            </w: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10</w:t>
            </w:r>
          </w:p>
        </w:tc>
        <w:tc>
          <w:tcPr>
            <w:tcW w:w="3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13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285" w:hRule="atLeast"/>
        </w:trPr>
        <w:tc>
          <w:tcPr>
            <w:tcW w:w="13988" w:type="dxa"/>
            <w:gridSpan w:val="20"/>
            <w:tcBorders>
              <w:left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三、</w:t>
            </w:r>
            <w:r>
              <w:rPr>
                <w:rStyle w:val="16"/>
                <w:rFonts w:hint="default"/>
              </w:rPr>
              <w:t>预算管理情况（20分）</w:t>
            </w:r>
          </w:p>
        </w:tc>
      </w:tr>
      <w:tr>
        <w:tblPrEx>
          <w:tblLayout w:type="fixed"/>
          <w:tblCellMar>
            <w:top w:w="15" w:type="dxa"/>
            <w:left w:w="15" w:type="dxa"/>
            <w:bottom w:w="15" w:type="dxa"/>
            <w:right w:w="15" w:type="dxa"/>
          </w:tblCellMar>
        </w:tblPrEx>
        <w:trPr>
          <w:trHeight w:val="285" w:hRule="atLeast"/>
        </w:trPr>
        <w:tc>
          <w:tcPr>
            <w:tcW w:w="6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Style w:val="16"/>
                <w:rFonts w:hint="default"/>
              </w:rPr>
            </w:pPr>
            <w:r>
              <w:rPr>
                <w:rFonts w:hint="eastAsia" w:ascii="宋体" w:hAnsi="宋体" w:cs="宋体"/>
                <w:color w:val="000000"/>
                <w:kern w:val="0"/>
                <w:sz w:val="20"/>
                <w:szCs w:val="20"/>
              </w:rPr>
              <w:t>一</w:t>
            </w:r>
            <w:r>
              <w:rPr>
                <w:rStyle w:val="16"/>
                <w:rFonts w:hint="default"/>
              </w:rPr>
              <w:t>级</w:t>
            </w:r>
          </w:p>
          <w:p>
            <w:pPr>
              <w:widowControl/>
              <w:jc w:val="center"/>
              <w:textAlignment w:val="center"/>
              <w:rPr>
                <w:rFonts w:ascii="宋体" w:hAnsi="宋体" w:cs="宋体"/>
                <w:color w:val="000000"/>
                <w:sz w:val="20"/>
                <w:szCs w:val="20"/>
              </w:rPr>
            </w:pPr>
            <w:r>
              <w:rPr>
                <w:rStyle w:val="16"/>
                <w:rFonts w:hint="default"/>
              </w:rPr>
              <w:t>指标</w:t>
            </w:r>
          </w:p>
        </w:tc>
        <w:tc>
          <w:tcPr>
            <w:tcW w:w="6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Style w:val="16"/>
                <w:rFonts w:hint="default"/>
              </w:rPr>
            </w:pPr>
            <w:r>
              <w:rPr>
                <w:rFonts w:hint="eastAsia" w:ascii="宋体" w:hAnsi="宋体" w:cs="宋体"/>
                <w:color w:val="000000"/>
                <w:kern w:val="0"/>
                <w:sz w:val="20"/>
                <w:szCs w:val="20"/>
              </w:rPr>
              <w:t>二</w:t>
            </w:r>
            <w:r>
              <w:rPr>
                <w:rStyle w:val="16"/>
                <w:rFonts w:hint="default"/>
              </w:rPr>
              <w:t>级</w:t>
            </w:r>
          </w:p>
          <w:p>
            <w:pPr>
              <w:widowControl/>
              <w:jc w:val="center"/>
              <w:textAlignment w:val="center"/>
              <w:rPr>
                <w:rFonts w:ascii="宋体" w:hAnsi="宋体" w:cs="宋体"/>
                <w:color w:val="000000"/>
                <w:sz w:val="20"/>
                <w:szCs w:val="20"/>
              </w:rPr>
            </w:pPr>
            <w:r>
              <w:rPr>
                <w:rStyle w:val="16"/>
                <w:rFonts w:hint="default"/>
              </w:rPr>
              <w:t>指标</w:t>
            </w:r>
          </w:p>
        </w:tc>
        <w:tc>
          <w:tcPr>
            <w:tcW w:w="7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Style w:val="16"/>
                <w:rFonts w:hint="default"/>
              </w:rPr>
            </w:pPr>
            <w:r>
              <w:rPr>
                <w:rFonts w:hint="eastAsia" w:ascii="宋体" w:hAnsi="宋体" w:cs="宋体"/>
                <w:color w:val="000000"/>
                <w:kern w:val="0"/>
                <w:sz w:val="20"/>
                <w:szCs w:val="20"/>
              </w:rPr>
              <w:t>三</w:t>
            </w:r>
            <w:r>
              <w:rPr>
                <w:rStyle w:val="16"/>
                <w:rFonts w:hint="default"/>
              </w:rPr>
              <w:t>级</w:t>
            </w:r>
          </w:p>
          <w:p>
            <w:pPr>
              <w:widowControl/>
              <w:jc w:val="center"/>
              <w:textAlignment w:val="center"/>
              <w:rPr>
                <w:rFonts w:ascii="宋体" w:hAnsi="宋体" w:cs="宋体"/>
                <w:color w:val="000000"/>
                <w:sz w:val="20"/>
                <w:szCs w:val="20"/>
              </w:rPr>
            </w:pPr>
            <w:r>
              <w:rPr>
                <w:rStyle w:val="16"/>
                <w:rFonts w:hint="default"/>
              </w:rPr>
              <w:t>指标</w:t>
            </w:r>
          </w:p>
        </w:tc>
        <w:tc>
          <w:tcPr>
            <w:tcW w:w="149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r>
              <w:rPr>
                <w:rFonts w:hint="eastAsia" w:ascii="宋体" w:hAnsi="宋体" w:cs="宋体"/>
                <w:color w:val="000000"/>
                <w:sz w:val="20"/>
                <w:szCs w:val="20"/>
              </w:rPr>
              <w:t>指标值</w:t>
            </w:r>
          </w:p>
        </w:tc>
        <w:tc>
          <w:tcPr>
            <w:tcW w:w="2161"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完成</w:t>
            </w:r>
            <w:r>
              <w:rPr>
                <w:rStyle w:val="16"/>
                <w:rFonts w:hint="default"/>
              </w:rPr>
              <w:t>值</w:t>
            </w: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分值</w:t>
            </w:r>
          </w:p>
        </w:tc>
        <w:tc>
          <w:tcPr>
            <w:tcW w:w="6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得分</w:t>
            </w:r>
          </w:p>
        </w:tc>
        <w:tc>
          <w:tcPr>
            <w:tcW w:w="3150"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指标解释</w:t>
            </w:r>
          </w:p>
        </w:tc>
        <w:tc>
          <w:tcPr>
            <w:tcW w:w="388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评</w:t>
            </w:r>
            <w:r>
              <w:rPr>
                <w:rStyle w:val="17"/>
                <w:rFonts w:hint="default"/>
              </w:rPr>
              <w:t>分标准</w:t>
            </w:r>
          </w:p>
        </w:tc>
      </w:tr>
      <w:tr>
        <w:tblPrEx>
          <w:tblLayout w:type="fixed"/>
          <w:tblCellMar>
            <w:top w:w="15" w:type="dxa"/>
            <w:left w:w="15" w:type="dxa"/>
            <w:bottom w:w="15" w:type="dxa"/>
            <w:right w:w="15" w:type="dxa"/>
          </w:tblCellMar>
        </w:tblPrEx>
        <w:trPr>
          <w:trHeight w:val="2249" w:hRule="atLeast"/>
        </w:trPr>
        <w:tc>
          <w:tcPr>
            <w:tcW w:w="632"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预算管理情况（20）</w:t>
            </w:r>
          </w:p>
        </w:tc>
        <w:tc>
          <w:tcPr>
            <w:tcW w:w="632"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财务管理（4）</w:t>
            </w:r>
          </w:p>
        </w:tc>
        <w:tc>
          <w:tcPr>
            <w:tcW w:w="7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财务管理制度健全性</w:t>
            </w:r>
          </w:p>
        </w:tc>
        <w:tc>
          <w:tcPr>
            <w:tcW w:w="1497"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r>
              <w:rPr>
                <w:rFonts w:hint="eastAsia" w:ascii="宋体" w:hAnsi="宋体" w:cs="宋体"/>
                <w:color w:val="000000"/>
                <w:sz w:val="18"/>
                <w:szCs w:val="18"/>
              </w:rPr>
              <w:t>财务制度是否健全　</w:t>
            </w:r>
          </w:p>
        </w:tc>
        <w:tc>
          <w:tcPr>
            <w:tcW w:w="216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color w:val="000000"/>
                <w:sz w:val="18"/>
                <w:szCs w:val="18"/>
                <w:lang w:eastAsia="zh-CN"/>
              </w:rPr>
            </w:pPr>
            <w:r>
              <w:rPr>
                <w:rFonts w:hint="eastAsia" w:ascii="宋体" w:hAnsi="宋体" w:cs="宋体"/>
                <w:color w:val="000000"/>
                <w:kern w:val="0"/>
                <w:sz w:val="18"/>
                <w:szCs w:val="18"/>
              </w:rPr>
              <w:t>《</w:t>
            </w:r>
            <w:r>
              <w:rPr>
                <w:rFonts w:hint="eastAsia" w:ascii="宋体" w:hAnsi="宋体" w:cs="宋体"/>
                <w:color w:val="000000"/>
                <w:kern w:val="0"/>
                <w:sz w:val="18"/>
                <w:szCs w:val="18"/>
                <w:lang w:val="en-US" w:eastAsia="zh-CN"/>
              </w:rPr>
              <w:t>机关</w:t>
            </w:r>
            <w:r>
              <w:rPr>
                <w:rFonts w:hint="eastAsia" w:ascii="宋体" w:hAnsi="宋体" w:cs="宋体"/>
                <w:color w:val="000000"/>
                <w:kern w:val="0"/>
                <w:sz w:val="18"/>
                <w:szCs w:val="18"/>
              </w:rPr>
              <w:t>制度汇编》和《内部控制手册》涵盖了机关全部日常财务行为，使各种日常财务工作有了明确制度依据和参考流程，充实了机关内控管理内容</w:t>
            </w:r>
            <w:r>
              <w:rPr>
                <w:rStyle w:val="16"/>
                <w:rFonts w:hint="default"/>
              </w:rPr>
              <w:t>　</w:t>
            </w:r>
            <w:r>
              <w:rPr>
                <w:rStyle w:val="16"/>
                <w:rFonts w:hint="eastAsia"/>
                <w:lang w:eastAsia="zh-CN"/>
              </w:rPr>
              <w:t>。</w:t>
            </w: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6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315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财务管理制度健全性:</w:t>
            </w:r>
            <w:r>
              <w:rPr>
                <w:rStyle w:val="17"/>
                <w:rFonts w:hint="default"/>
              </w:rPr>
              <w:t>部门（单位）为加强财务管理、规范财务行为而制定的管理制度。</w:t>
            </w:r>
          </w:p>
        </w:tc>
        <w:tc>
          <w:tcPr>
            <w:tcW w:w="3884"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tblPrEx>
          <w:tblLayout w:type="fixed"/>
          <w:tblCellMar>
            <w:top w:w="15" w:type="dxa"/>
            <w:left w:w="15" w:type="dxa"/>
            <w:bottom w:w="15" w:type="dxa"/>
            <w:right w:w="15" w:type="dxa"/>
          </w:tblCellMar>
        </w:tblPrEx>
        <w:trPr>
          <w:trHeight w:val="2936"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7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资金使用合规性和安全性</w:t>
            </w:r>
          </w:p>
        </w:tc>
        <w:tc>
          <w:tcPr>
            <w:tcW w:w="1497"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r>
              <w:rPr>
                <w:rFonts w:hint="eastAsia" w:ascii="宋体" w:hAnsi="宋体" w:cs="宋体"/>
                <w:color w:val="000000"/>
                <w:sz w:val="18"/>
                <w:szCs w:val="18"/>
              </w:rPr>
              <w:t>资金使用合规、安全</w:t>
            </w:r>
          </w:p>
        </w:tc>
        <w:tc>
          <w:tcPr>
            <w:tcW w:w="216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预算资金的使用符合相关预算财务管理制度的规定，符合相关规定的开支范围，不存在截留、挤占、挪用情况，涉及政府采购的支出符合政府采购程序和流程，公务卡结算符合相关制度和规定。</w:t>
            </w:r>
            <w:r>
              <w:rPr>
                <w:rStyle w:val="16"/>
                <w:rFonts w:hint="default"/>
              </w:rPr>
              <w:t>　</w:t>
            </w: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w:t>
            </w:r>
          </w:p>
        </w:tc>
        <w:tc>
          <w:tcPr>
            <w:tcW w:w="6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w:t>
            </w:r>
          </w:p>
        </w:tc>
        <w:tc>
          <w:tcPr>
            <w:tcW w:w="315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资金使用合规性和安全性:</w:t>
            </w:r>
            <w:r>
              <w:rPr>
                <w:rStyle w:val="17"/>
                <w:rFonts w:hint="default"/>
              </w:rPr>
              <w:t>部门（单位）使用预算资金是否符合相关的预算财务管理制度的规定，是否符合相关规定的开支范围，用以反映考核部门（单位）预算资金的规范运行和安全运行情况。</w:t>
            </w:r>
          </w:p>
        </w:tc>
        <w:tc>
          <w:tcPr>
            <w:tcW w:w="3884"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Layout w:type="fixed"/>
          <w:tblCellMar>
            <w:top w:w="15" w:type="dxa"/>
            <w:left w:w="15" w:type="dxa"/>
            <w:bottom w:w="15" w:type="dxa"/>
            <w:right w:w="15" w:type="dxa"/>
          </w:tblCellMar>
        </w:tblPrEx>
        <w:trPr>
          <w:trHeight w:val="1368"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7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会计基础信息完善性</w:t>
            </w:r>
          </w:p>
        </w:tc>
        <w:tc>
          <w:tcPr>
            <w:tcW w:w="1497"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r>
              <w:rPr>
                <w:rFonts w:hint="eastAsia" w:ascii="宋体" w:hAnsi="宋体" w:cs="宋体"/>
                <w:color w:val="000000"/>
                <w:sz w:val="18"/>
                <w:szCs w:val="18"/>
              </w:rPr>
              <w:t>会计基础信息是否完整　</w:t>
            </w:r>
          </w:p>
        </w:tc>
        <w:tc>
          <w:tcPr>
            <w:tcW w:w="216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会计基础数据信息资料真实完整准确</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　</w:t>
            </w:r>
            <w:r>
              <w:rPr>
                <w:rStyle w:val="16"/>
                <w:rFonts w:hint="default"/>
              </w:rPr>
              <w:t>　</w:t>
            </w: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6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315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会计基础信息完善性:</w:t>
            </w:r>
            <w:r>
              <w:rPr>
                <w:rStyle w:val="17"/>
                <w:rFonts w:hint="default"/>
              </w:rPr>
              <w:t>部门（单位）会计基础信息情况。</w:t>
            </w:r>
          </w:p>
        </w:tc>
        <w:tc>
          <w:tcPr>
            <w:tcW w:w="3884"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tblPrEx>
          <w:tblLayout w:type="fixed"/>
          <w:tblCellMar>
            <w:top w:w="15" w:type="dxa"/>
            <w:left w:w="15" w:type="dxa"/>
            <w:bottom w:w="15" w:type="dxa"/>
            <w:right w:w="15" w:type="dxa"/>
          </w:tblCellMar>
        </w:tblPrEx>
        <w:trPr>
          <w:trHeight w:val="675"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资产管理（4）</w:t>
            </w:r>
          </w:p>
        </w:tc>
        <w:tc>
          <w:tcPr>
            <w:tcW w:w="12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资产管理规范性</w:t>
            </w:r>
          </w:p>
        </w:tc>
        <w:tc>
          <w:tcPr>
            <w:tcW w:w="976"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r>
              <w:rPr>
                <w:rFonts w:hint="eastAsia" w:ascii="宋体" w:hAnsi="宋体" w:cs="宋体"/>
                <w:color w:val="000000"/>
                <w:sz w:val="18"/>
                <w:szCs w:val="18"/>
              </w:rPr>
              <w:t>资产管理是否规范</w:t>
            </w:r>
          </w:p>
        </w:tc>
        <w:tc>
          <w:tcPr>
            <w:tcW w:w="216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资产保持安全完整，资产配置符合资产相关管理规定，资产处置按照资产管理办法执行。</w:t>
            </w:r>
            <w:bookmarkStart w:id="2" w:name="_GoBack"/>
            <w:bookmarkEnd w:id="2"/>
          </w:p>
        </w:tc>
        <w:tc>
          <w:tcPr>
            <w:tcW w:w="68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6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315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资产管理规范性:</w:t>
            </w:r>
            <w:r>
              <w:rPr>
                <w:rStyle w:val="17"/>
                <w:rFonts w:hint="default"/>
              </w:rPr>
              <w:t>部门（单位）的资产是否保持安全完整，资产配置是否合理，资产使用和资产处理是否规范，用以反映和考核部门（单位）资产管理的整体水平。</w:t>
            </w:r>
          </w:p>
        </w:tc>
        <w:tc>
          <w:tcPr>
            <w:tcW w:w="3884"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Layout w:type="fixed"/>
          <w:tblCellMar>
            <w:top w:w="15" w:type="dxa"/>
            <w:left w:w="15" w:type="dxa"/>
            <w:bottom w:w="15" w:type="dxa"/>
            <w:right w:w="15" w:type="dxa"/>
          </w:tblCellMar>
        </w:tblPrEx>
        <w:trPr>
          <w:trHeight w:val="480"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绩效管理（4）</w:t>
            </w:r>
          </w:p>
        </w:tc>
        <w:tc>
          <w:tcPr>
            <w:tcW w:w="12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绩效管理情况</w:t>
            </w:r>
          </w:p>
        </w:tc>
        <w:tc>
          <w:tcPr>
            <w:tcW w:w="976"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r>
              <w:rPr>
                <w:rFonts w:hint="eastAsia" w:ascii="宋体" w:hAnsi="宋体" w:cs="宋体"/>
                <w:color w:val="000000"/>
                <w:sz w:val="18"/>
                <w:szCs w:val="18"/>
              </w:rPr>
              <w:t>绩效管理信息汇总和应用情况</w:t>
            </w:r>
          </w:p>
        </w:tc>
        <w:tc>
          <w:tcPr>
            <w:tcW w:w="216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能够全面完成年度绩效目标，绩效资料齐全。</w:t>
            </w: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6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315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绩效管理情况:</w:t>
            </w:r>
            <w:r>
              <w:rPr>
                <w:rStyle w:val="17"/>
                <w:rFonts w:hint="default"/>
              </w:rPr>
              <w:t>考核部门（单位）在绩效管理信息的汇总和应用情况。</w:t>
            </w:r>
          </w:p>
        </w:tc>
        <w:tc>
          <w:tcPr>
            <w:tcW w:w="3884"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①部门（单位）是否及时对绩效信息进行汇总分析整理；②部门（单位）是否对绩效目标偏离情况及时进行矫正。每有一项不合格扣2分。</w:t>
            </w:r>
          </w:p>
        </w:tc>
      </w:tr>
      <w:tr>
        <w:tblPrEx>
          <w:tblLayout w:type="fixed"/>
          <w:tblCellMar>
            <w:top w:w="15" w:type="dxa"/>
            <w:left w:w="15" w:type="dxa"/>
            <w:bottom w:w="15" w:type="dxa"/>
            <w:right w:w="15" w:type="dxa"/>
          </w:tblCellMar>
        </w:tblPrEx>
        <w:trPr>
          <w:trHeight w:val="285"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指标　</w:t>
            </w:r>
          </w:p>
        </w:tc>
        <w:tc>
          <w:tcPr>
            <w:tcW w:w="222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2022</w:t>
            </w:r>
            <w:r>
              <w:rPr>
                <w:rStyle w:val="16"/>
                <w:rFonts w:hint="default"/>
              </w:rPr>
              <w:t>年</w:t>
            </w:r>
          </w:p>
        </w:tc>
        <w:tc>
          <w:tcPr>
            <w:tcW w:w="2161"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202</w:t>
            </w:r>
            <w:r>
              <w:rPr>
                <w:rStyle w:val="16"/>
                <w:rFonts w:hint="default"/>
              </w:rPr>
              <w:t>3年</w:t>
            </w: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分值</w:t>
            </w:r>
          </w:p>
        </w:tc>
        <w:tc>
          <w:tcPr>
            <w:tcW w:w="6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得分</w:t>
            </w:r>
          </w:p>
        </w:tc>
        <w:tc>
          <w:tcPr>
            <w:tcW w:w="3150"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指标解释</w:t>
            </w:r>
          </w:p>
        </w:tc>
        <w:tc>
          <w:tcPr>
            <w:tcW w:w="388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评</w:t>
            </w:r>
            <w:r>
              <w:rPr>
                <w:rStyle w:val="17"/>
                <w:rFonts w:hint="default"/>
              </w:rPr>
              <w:t>分标准</w:t>
            </w:r>
          </w:p>
        </w:tc>
      </w:tr>
      <w:tr>
        <w:tblPrEx>
          <w:tblLayout w:type="fixed"/>
          <w:tblCellMar>
            <w:top w:w="15" w:type="dxa"/>
            <w:left w:w="15" w:type="dxa"/>
            <w:bottom w:w="15" w:type="dxa"/>
            <w:right w:w="15" w:type="dxa"/>
          </w:tblCellMar>
        </w:tblPrEx>
        <w:trPr>
          <w:trHeight w:val="990"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32"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rPr>
              <w:t>结转结余率（4）</w:t>
            </w:r>
          </w:p>
        </w:tc>
        <w:tc>
          <w:tcPr>
            <w:tcW w:w="2229" w:type="dxa"/>
            <w:gridSpan w:val="3"/>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p>
        </w:tc>
        <w:tc>
          <w:tcPr>
            <w:tcW w:w="2161" w:type="dxa"/>
            <w:gridSpan w:val="3"/>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4.47%</w:t>
            </w:r>
          </w:p>
        </w:tc>
        <w:tc>
          <w:tcPr>
            <w:tcW w:w="688"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61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315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结转结余率=结转结余总额/支出预算数×100%。</w:t>
            </w:r>
          </w:p>
        </w:tc>
        <w:tc>
          <w:tcPr>
            <w:tcW w:w="3884"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Layout w:type="fixed"/>
          <w:tblCellMar>
            <w:top w:w="15" w:type="dxa"/>
            <w:left w:w="15" w:type="dxa"/>
            <w:bottom w:w="15" w:type="dxa"/>
            <w:right w:w="15" w:type="dxa"/>
          </w:tblCellMar>
        </w:tblPrEx>
        <w:trPr>
          <w:trHeight w:val="675"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20"/>
                <w:szCs w:val="20"/>
              </w:rPr>
            </w:pPr>
          </w:p>
        </w:tc>
        <w:tc>
          <w:tcPr>
            <w:tcW w:w="2229" w:type="dxa"/>
            <w:gridSpan w:val="3"/>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161" w:type="dxa"/>
            <w:gridSpan w:val="3"/>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88"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1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315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结转结余总额：部门（单位）本年度的结转资金与结余资金之和。</w:t>
            </w:r>
          </w:p>
        </w:tc>
        <w:tc>
          <w:tcPr>
            <w:tcW w:w="3884"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720"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32" w:type="dxa"/>
            <w:gridSpan w:val="2"/>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rPr>
              <w:t>部门预决算差异率（4）</w:t>
            </w:r>
          </w:p>
        </w:tc>
        <w:tc>
          <w:tcPr>
            <w:tcW w:w="222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p>
        </w:tc>
        <w:tc>
          <w:tcPr>
            <w:tcW w:w="2161"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0.26%</w:t>
            </w: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6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315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通过年度部门决算与年初部门预算对比，对部门的年度支出情况进行考核，衡量部门预算的约束力。</w:t>
            </w:r>
          </w:p>
        </w:tc>
        <w:tc>
          <w:tcPr>
            <w:tcW w:w="3884"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部门预决算差异率高于市级平均差异率（28.3%）的，每高出10%（含），扣0.4分，扣完为止。</w:t>
            </w:r>
          </w:p>
        </w:tc>
      </w:tr>
      <w:tr>
        <w:tblPrEx>
          <w:tblLayout w:type="fixed"/>
          <w:tblCellMar>
            <w:top w:w="15" w:type="dxa"/>
            <w:left w:w="15" w:type="dxa"/>
            <w:bottom w:w="15" w:type="dxa"/>
            <w:right w:w="15" w:type="dxa"/>
          </w:tblCellMar>
        </w:tblPrEx>
        <w:trPr>
          <w:trHeight w:val="285" w:hRule="atLeast"/>
        </w:trPr>
        <w:tc>
          <w:tcPr>
            <w:tcW w:w="5654" w:type="dxa"/>
            <w:gridSpan w:val="10"/>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合计</w:t>
            </w: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100</w:t>
            </w:r>
          </w:p>
        </w:tc>
        <w:tc>
          <w:tcPr>
            <w:tcW w:w="6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99.11</w:t>
            </w:r>
          </w:p>
        </w:tc>
        <w:tc>
          <w:tcPr>
            <w:tcW w:w="7034" w:type="dxa"/>
            <w:gridSpan w:val="7"/>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r>
    </w:tbl>
    <w:p>
      <w:pPr>
        <w:spacing w:line="360" w:lineRule="auto"/>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auto"/>
    <w:pitch w:val="default"/>
    <w:sig w:usb0="00000000" w:usb1="00000000" w:usb2="00000000" w:usb3="00000000" w:csb0="00040000" w:csb1="00000000"/>
  </w:font>
  <w:font w:name="方正黑体_GBK">
    <w:altName w:val="微软雅黑"/>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jc w:val="center"/>
      <w:rPr>
        <w:sz w:val="21"/>
        <w:szCs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7128987"/>
    <w:multiLevelType w:val="singleLevel"/>
    <w:tmpl w:val="C712898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k5YzQ3YTk2OWE3NmU4ZTNmNTQwMjRlMTFlNDIzMzIifQ=="/>
  </w:docVars>
  <w:rsids>
    <w:rsidRoot w:val="00BD117D"/>
    <w:rsid w:val="00022ABF"/>
    <w:rsid w:val="00071BE6"/>
    <w:rsid w:val="00074F7B"/>
    <w:rsid w:val="000B48AC"/>
    <w:rsid w:val="00126515"/>
    <w:rsid w:val="00230CEF"/>
    <w:rsid w:val="002423A2"/>
    <w:rsid w:val="00243554"/>
    <w:rsid w:val="002514D4"/>
    <w:rsid w:val="002E2055"/>
    <w:rsid w:val="002F1E49"/>
    <w:rsid w:val="003359F5"/>
    <w:rsid w:val="003F2BA7"/>
    <w:rsid w:val="00482573"/>
    <w:rsid w:val="004947CA"/>
    <w:rsid w:val="004E1DE3"/>
    <w:rsid w:val="0052084A"/>
    <w:rsid w:val="00560685"/>
    <w:rsid w:val="00585ECB"/>
    <w:rsid w:val="005A3FBF"/>
    <w:rsid w:val="006B2B07"/>
    <w:rsid w:val="006E1D19"/>
    <w:rsid w:val="00710F20"/>
    <w:rsid w:val="00804623"/>
    <w:rsid w:val="008874A1"/>
    <w:rsid w:val="008D5BCA"/>
    <w:rsid w:val="009679C3"/>
    <w:rsid w:val="00994FCD"/>
    <w:rsid w:val="009A769E"/>
    <w:rsid w:val="00A2430D"/>
    <w:rsid w:val="00A70CFE"/>
    <w:rsid w:val="00AD6652"/>
    <w:rsid w:val="00B67BE6"/>
    <w:rsid w:val="00BC745C"/>
    <w:rsid w:val="00BD117D"/>
    <w:rsid w:val="00BD6678"/>
    <w:rsid w:val="00CF69CE"/>
    <w:rsid w:val="00D22AAF"/>
    <w:rsid w:val="00DA0841"/>
    <w:rsid w:val="00DA335C"/>
    <w:rsid w:val="00E72F01"/>
    <w:rsid w:val="00E778AC"/>
    <w:rsid w:val="00E91B7F"/>
    <w:rsid w:val="00EB0A70"/>
    <w:rsid w:val="00FC03DF"/>
    <w:rsid w:val="00FF16D5"/>
    <w:rsid w:val="087D1C8A"/>
    <w:rsid w:val="0FAA2363"/>
    <w:rsid w:val="116810B1"/>
    <w:rsid w:val="127A0E2F"/>
    <w:rsid w:val="12EB0411"/>
    <w:rsid w:val="158C4D6A"/>
    <w:rsid w:val="1D9F610D"/>
    <w:rsid w:val="1E6D10E5"/>
    <w:rsid w:val="21FB5715"/>
    <w:rsid w:val="24300B54"/>
    <w:rsid w:val="27393520"/>
    <w:rsid w:val="29DD532D"/>
    <w:rsid w:val="2F493D6F"/>
    <w:rsid w:val="314C5377"/>
    <w:rsid w:val="33D12E95"/>
    <w:rsid w:val="35D42B52"/>
    <w:rsid w:val="3790083E"/>
    <w:rsid w:val="39DF7DFE"/>
    <w:rsid w:val="3AB16D71"/>
    <w:rsid w:val="3F411B4D"/>
    <w:rsid w:val="4018195C"/>
    <w:rsid w:val="469F284C"/>
    <w:rsid w:val="47176886"/>
    <w:rsid w:val="47A575FA"/>
    <w:rsid w:val="487C2A42"/>
    <w:rsid w:val="49741721"/>
    <w:rsid w:val="49F049D5"/>
    <w:rsid w:val="4ECB2773"/>
    <w:rsid w:val="5364642C"/>
    <w:rsid w:val="55F92B1E"/>
    <w:rsid w:val="577E4B20"/>
    <w:rsid w:val="59A77D29"/>
    <w:rsid w:val="5C494B03"/>
    <w:rsid w:val="608A1A1F"/>
    <w:rsid w:val="62D03CBC"/>
    <w:rsid w:val="63AD498C"/>
    <w:rsid w:val="6A253BC4"/>
    <w:rsid w:val="6A4E6CB6"/>
    <w:rsid w:val="7794726C"/>
    <w:rsid w:val="78AA0246"/>
    <w:rsid w:val="7B4E62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4">
    <w:name w:val="heading 2"/>
    <w:next w:val="1"/>
    <w:qFormat/>
    <w:uiPriority w:val="0"/>
    <w:pPr>
      <w:keepNext/>
      <w:keepLines/>
      <w:widowControl w:val="0"/>
      <w:spacing w:before="260" w:after="260" w:line="412" w:lineRule="auto"/>
      <w:jc w:val="both"/>
      <w:outlineLvl w:val="1"/>
    </w:pPr>
    <w:rPr>
      <w:rFonts w:ascii="Arial" w:hAnsi="Arial" w:eastAsia="黑体" w:cs="Times New Roman"/>
      <w:b/>
      <w:kern w:val="2"/>
      <w:sz w:val="32"/>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lock Text"/>
    <w:basedOn w:val="1"/>
    <w:qFormat/>
    <w:uiPriority w:val="0"/>
    <w:pPr>
      <w:spacing w:after="120"/>
      <w:ind w:left="700" w:leftChars="700" w:right="700" w:rightChars="700"/>
    </w:pPr>
  </w:style>
  <w:style w:type="paragraph" w:styleId="8">
    <w:name w:val="footer"/>
    <w:basedOn w:val="1"/>
    <w:next w:val="1"/>
    <w:qFormat/>
    <w:uiPriority w:val="0"/>
    <w:pPr>
      <w:tabs>
        <w:tab w:val="center" w:pos="4153"/>
        <w:tab w:val="right" w:pos="8306"/>
      </w:tabs>
      <w:snapToGrid w:val="0"/>
      <w:jc w:val="left"/>
    </w:pPr>
    <w:rPr>
      <w:sz w:val="18"/>
      <w:szCs w:val="18"/>
    </w:rPr>
  </w:style>
  <w:style w:type="paragraph" w:styleId="9">
    <w:name w:val="header"/>
    <w:basedOn w:val="1"/>
    <w:link w:val="14"/>
    <w:qFormat/>
    <w:uiPriority w:val="0"/>
    <w:pPr>
      <w:tabs>
        <w:tab w:val="center" w:pos="4153"/>
        <w:tab w:val="right" w:pos="8306"/>
      </w:tabs>
      <w:snapToGrid w:val="0"/>
      <w:jc w:val="center"/>
    </w:pPr>
    <w:rPr>
      <w:sz w:val="18"/>
      <w:szCs w:val="18"/>
    </w:rPr>
  </w:style>
  <w:style w:type="paragraph" w:styleId="12">
    <w:name w:val="List Paragraph"/>
    <w:basedOn w:val="1"/>
    <w:unhideWhenUsed/>
    <w:uiPriority w:val="99"/>
    <w:pPr>
      <w:ind w:firstLine="420" w:firstLineChars="200"/>
    </w:pPr>
  </w:style>
  <w:style w:type="paragraph" w:customStyle="1" w:styleId="13">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14">
    <w:name w:val="页眉 字符"/>
    <w:basedOn w:val="11"/>
    <w:link w:val="9"/>
    <w:qFormat/>
    <w:uiPriority w:val="0"/>
    <w:rPr>
      <w:kern w:val="2"/>
      <w:sz w:val="18"/>
      <w:szCs w:val="18"/>
    </w:rPr>
  </w:style>
  <w:style w:type="character" w:customStyle="1" w:styleId="15">
    <w:name w:val="font41"/>
    <w:basedOn w:val="11"/>
    <w:qFormat/>
    <w:uiPriority w:val="0"/>
    <w:rPr>
      <w:rFonts w:hint="eastAsia" w:ascii="方正小标宋简体" w:hAnsi="方正小标宋简体" w:eastAsia="方正小标宋简体" w:cs="方正小标宋简体"/>
      <w:color w:val="000000"/>
      <w:sz w:val="44"/>
      <w:szCs w:val="44"/>
      <w:u w:val="none"/>
    </w:rPr>
  </w:style>
  <w:style w:type="character" w:customStyle="1" w:styleId="16">
    <w:name w:val="font21"/>
    <w:basedOn w:val="11"/>
    <w:uiPriority w:val="0"/>
    <w:rPr>
      <w:rFonts w:hint="eastAsia" w:ascii="宋体" w:hAnsi="宋体" w:eastAsia="宋体" w:cs="宋体"/>
      <w:color w:val="000000"/>
      <w:sz w:val="20"/>
      <w:szCs w:val="20"/>
      <w:u w:val="none"/>
    </w:rPr>
  </w:style>
  <w:style w:type="character" w:customStyle="1" w:styleId="17">
    <w:name w:val="font31"/>
    <w:basedOn w:val="11"/>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1412</Words>
  <Characters>8055</Characters>
  <Lines>67</Lines>
  <Paragraphs>18</Paragraphs>
  <TotalTime>7</TotalTime>
  <ScaleCrop>false</ScaleCrop>
  <LinksUpToDate>false</LinksUpToDate>
  <CharactersWithSpaces>9449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2024-05-20T13:10:00Z</dcterms:created>
  <dc:creator>jscxw</dc:creator>
  <cp:lastModifiedBy>民盟北京市委</cp:lastModifiedBy>
  <dcterms:modified xsi:type="dcterms:W3CDTF">2024-05-22T10:21:06Z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EE9F5C5097804E3290084EAA93BCE522_12</vt:lpwstr>
  </property>
</Properties>
</file>