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sz w:val="24"/>
          <w:szCs w:val="24"/>
        </w:rPr>
      </w:pPr>
    </w:p>
    <w:p>
      <w:pPr>
        <w:spacing w:line="360" w:lineRule="auto"/>
        <w:jc w:val="center"/>
        <w:rPr>
          <w:rFonts w:ascii="黑体" w:hAnsi="黑体" w:eastAsia="黑体"/>
          <w:b/>
          <w:sz w:val="24"/>
          <w:szCs w:val="24"/>
        </w:rPr>
      </w:pPr>
    </w:p>
    <w:p>
      <w:pPr>
        <w:adjustRightInd w:val="0"/>
        <w:snapToGrid w:val="0"/>
        <w:jc w:val="center"/>
        <w:rPr>
          <w:rFonts w:ascii="黑体" w:hAnsi="黑体" w:eastAsia="黑体"/>
          <w:sz w:val="44"/>
          <w:szCs w:val="44"/>
          <w:lang w:val="zh-CN"/>
        </w:rPr>
      </w:pPr>
    </w:p>
    <w:p>
      <w:pPr>
        <w:adjustRightInd w:val="0"/>
        <w:snapToGrid w:val="0"/>
        <w:spacing w:line="0" w:lineRule="atLeast"/>
        <w:jc w:val="center"/>
        <w:rPr>
          <w:rFonts w:hint="eastAsia" w:ascii="黑体" w:hAnsi="黑体" w:eastAsia="黑体" w:cs="黑体"/>
          <w:b w:val="0"/>
          <w:bCs/>
          <w:sz w:val="72"/>
          <w:szCs w:val="72"/>
        </w:rPr>
      </w:pPr>
      <w:r>
        <w:rPr>
          <w:rFonts w:hint="eastAsia" w:ascii="黑体" w:hAnsi="黑体" w:eastAsia="黑体" w:cs="黑体"/>
          <w:b w:val="0"/>
          <w:bCs/>
          <w:sz w:val="72"/>
          <w:szCs w:val="72"/>
        </w:rPr>
        <w:t>202</w:t>
      </w:r>
      <w:r>
        <w:rPr>
          <w:rFonts w:hint="eastAsia" w:ascii="黑体" w:hAnsi="黑体" w:eastAsia="黑体" w:cs="黑体"/>
          <w:b w:val="0"/>
          <w:bCs/>
          <w:sz w:val="72"/>
          <w:szCs w:val="72"/>
          <w:lang w:val="en-US" w:eastAsia="zh-CN"/>
        </w:rPr>
        <w:t>2</w:t>
      </w:r>
      <w:r>
        <w:rPr>
          <w:rFonts w:hint="eastAsia" w:ascii="黑体" w:hAnsi="黑体" w:eastAsia="黑体" w:cs="黑体"/>
          <w:b w:val="0"/>
          <w:bCs/>
          <w:sz w:val="72"/>
          <w:szCs w:val="72"/>
        </w:rPr>
        <w:t>年部门整体绩效</w:t>
      </w:r>
    </w:p>
    <w:p>
      <w:pPr>
        <w:adjustRightInd w:val="0"/>
        <w:snapToGrid w:val="0"/>
        <w:spacing w:line="0" w:lineRule="atLeast"/>
        <w:jc w:val="center"/>
        <w:rPr>
          <w:rFonts w:hint="eastAsia" w:ascii="黑体" w:hAnsi="黑体" w:eastAsia="黑体" w:cs="黑体"/>
          <w:b w:val="0"/>
          <w:bCs/>
          <w:sz w:val="72"/>
          <w:szCs w:val="72"/>
        </w:rPr>
      </w:pPr>
      <w:r>
        <w:rPr>
          <w:rFonts w:hint="eastAsia" w:ascii="黑体" w:hAnsi="黑体" w:eastAsia="黑体" w:cs="黑体"/>
          <w:b w:val="0"/>
          <w:bCs/>
          <w:sz w:val="72"/>
          <w:szCs w:val="72"/>
        </w:rPr>
        <w:t>评价报告</w:t>
      </w:r>
    </w:p>
    <w:p>
      <w:pPr>
        <w:spacing w:line="360" w:lineRule="auto"/>
        <w:jc w:val="center"/>
        <w:rPr>
          <w:rFonts w:ascii="黑体" w:hAnsi="黑体" w:eastAsia="黑体"/>
          <w:b/>
          <w:sz w:val="72"/>
          <w:szCs w:val="72"/>
          <w:lang w:val="zh-CN"/>
        </w:rPr>
      </w:pPr>
    </w:p>
    <w:p>
      <w:pPr>
        <w:adjustRightInd w:val="0"/>
        <w:snapToGrid w:val="0"/>
        <w:spacing w:line="0" w:lineRule="atLeast"/>
        <w:jc w:val="center"/>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pStyle w:val="12"/>
        <w:rPr>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jc w:val="center"/>
        <w:rPr>
          <w:rFonts w:ascii="楷体" w:hAnsi="楷体" w:eastAsia="楷体" w:cs="楷体"/>
          <w:b/>
          <w:sz w:val="44"/>
          <w:szCs w:val="44"/>
        </w:rPr>
      </w:pPr>
    </w:p>
    <w:p>
      <w:pPr>
        <w:pStyle w:val="12"/>
      </w:pPr>
    </w:p>
    <w:p>
      <w:pPr>
        <w:spacing w:line="660" w:lineRule="exact"/>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zh-CN"/>
        </w:rPr>
        <w:t>北京市</w:t>
      </w:r>
      <w:r>
        <w:rPr>
          <w:rFonts w:hint="eastAsia" w:ascii="楷体_GB2312" w:hAnsi="楷体_GB2312" w:eastAsia="楷体_GB2312" w:cs="楷体_GB2312"/>
          <w:sz w:val="32"/>
          <w:szCs w:val="32"/>
          <w:lang w:val="en-US" w:eastAsia="zh-CN"/>
        </w:rPr>
        <w:t>科学技术委员会</w:t>
      </w:r>
    </w:p>
    <w:p>
      <w:pPr>
        <w:spacing w:line="660" w:lineRule="exact"/>
        <w:jc w:val="center"/>
        <w:rPr>
          <w:rFonts w:ascii="楷体_GB2312" w:hAnsi="楷体_GB2312" w:eastAsia="楷体_GB2312" w:cs="楷体_GB2312"/>
          <w:sz w:val="32"/>
          <w:szCs w:val="32"/>
        </w:rPr>
      </w:pPr>
      <w:r>
        <w:rPr>
          <w:rFonts w:hint="eastAsia" w:ascii="楷体_GB2312" w:hAnsi="楷体_GB2312" w:eastAsia="楷体_GB2312" w:cs="楷体_GB2312"/>
          <w:sz w:val="32"/>
          <w:szCs w:val="32"/>
          <w:lang w:eastAsia="zh-CN"/>
        </w:rPr>
        <w:t>2023</w:t>
      </w:r>
      <w:r>
        <w:rPr>
          <w:rFonts w:hint="eastAsia" w:ascii="楷体_GB2312" w:hAnsi="楷体_GB2312" w:eastAsia="楷体_GB2312" w:cs="楷体_GB2312"/>
          <w:sz w:val="32"/>
          <w:szCs w:val="32"/>
        </w:rPr>
        <w:t>年</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月</w:t>
      </w:r>
    </w:p>
    <w:p>
      <w:pPr>
        <w:snapToGrid w:val="0"/>
        <w:jc w:val="center"/>
        <w:rPr>
          <w:rFonts w:ascii="宋体" w:hAnsi="宋体" w:cs="宋体"/>
          <w:sz w:val="36"/>
          <w:szCs w:val="36"/>
        </w:rPr>
      </w:pPr>
    </w:p>
    <w:p>
      <w:pPr>
        <w:adjustRightInd w:val="0"/>
        <w:snapToGrid w:val="0"/>
        <w:rPr>
          <w:rFonts w:ascii="仿宋" w:hAnsi="仿宋" w:eastAsia="仿宋" w:cs="仿宋"/>
          <w:sz w:val="30"/>
          <w:szCs w:val="30"/>
        </w:rPr>
        <w:sectPr>
          <w:headerReference r:id="rId3" w:type="default"/>
          <w:pgSz w:w="11906" w:h="16838"/>
          <w:pgMar w:top="1440" w:right="1800" w:bottom="1440" w:left="1800" w:header="851" w:footer="992" w:gutter="0"/>
          <w:cols w:space="720" w:num="1"/>
          <w:docGrid w:type="lines" w:linePitch="312" w:charSpace="0"/>
        </w:sectPr>
      </w:pPr>
    </w:p>
    <w:p>
      <w:pPr>
        <w:pStyle w:val="16"/>
        <w:rPr>
          <w:sz w:val="36"/>
          <w:szCs w:val="36"/>
        </w:rPr>
        <w:sectPr>
          <w:footerReference r:id="rId4" w:type="default"/>
          <w:footnotePr>
            <w:numFmt w:val="decimalEnclosedCircleChinese"/>
          </w:footnotePr>
          <w:type w:val="continuous"/>
          <w:pgSz w:w="11906" w:h="16838"/>
          <w:pgMar w:top="1440" w:right="1416" w:bottom="1440" w:left="1800" w:header="851" w:footer="992" w:gutter="0"/>
          <w:cols w:space="720" w:num="1"/>
          <w:docGrid w:type="lines" w:linePitch="312" w:charSpace="0"/>
        </w:sectPr>
      </w:pPr>
    </w:p>
    <w:p>
      <w:pPr>
        <w:pStyle w:val="16"/>
        <w:ind w:left="0" w:leftChars="0"/>
        <w:rPr>
          <w:sz w:val="36"/>
          <w:szCs w:val="36"/>
        </w:rPr>
      </w:pPr>
      <w:r>
        <w:rPr>
          <w:rFonts w:hint="eastAsia"/>
          <w:sz w:val="36"/>
          <w:szCs w:val="36"/>
        </w:rPr>
        <w:t>目  录</w:t>
      </w:r>
    </w:p>
    <w:p>
      <w:pPr>
        <w:pStyle w:val="16"/>
        <w:tabs>
          <w:tab w:val="right" w:leader="dot" w:pos="8690"/>
          <w:tab w:val="clear" w:pos="8680"/>
        </w:tabs>
      </w:pPr>
      <w:r>
        <w:rPr>
          <w:rFonts w:hint="eastAsia" w:ascii="仿宋" w:hAnsi="仿宋" w:eastAsia="仿宋" w:cs="仿宋"/>
        </w:rPr>
        <w:fldChar w:fldCharType="begin"/>
      </w:r>
      <w:r>
        <w:rPr>
          <w:rFonts w:hint="eastAsia" w:ascii="仿宋" w:hAnsi="仿宋" w:eastAsia="仿宋" w:cs="仿宋"/>
        </w:rPr>
        <w:instrText xml:space="preserve"> TOC \o "1-2" \h \z \u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HYPERLINK \l _Toc15020 </w:instrText>
      </w:r>
      <w:r>
        <w:rPr>
          <w:rFonts w:hint="eastAsia" w:ascii="仿宋" w:hAnsi="仿宋" w:eastAsia="仿宋" w:cs="仿宋"/>
        </w:rPr>
        <w:fldChar w:fldCharType="separate"/>
      </w:r>
      <w:r>
        <w:rPr>
          <w:rFonts w:hint="eastAsia" w:ascii="黑体" w:hAnsi="黑体" w:eastAsia="黑体"/>
          <w:bCs w:val="0"/>
          <w:highlight w:val="none"/>
        </w:rPr>
        <w:t>一、部门概况</w:t>
      </w:r>
      <w:r>
        <w:tab/>
      </w:r>
      <w:r>
        <w:fldChar w:fldCharType="begin"/>
      </w:r>
      <w:r>
        <w:instrText xml:space="preserve"> PAGEREF _Toc15020 \h </w:instrText>
      </w:r>
      <w:r>
        <w:fldChar w:fldCharType="separate"/>
      </w:r>
      <w:r>
        <w:t>1</w:t>
      </w:r>
      <w:r>
        <w:fldChar w:fldCharType="end"/>
      </w:r>
      <w:r>
        <w:rPr>
          <w:rFonts w:hint="eastAsia" w:ascii="仿宋" w:hAnsi="仿宋" w:eastAsia="仿宋" w:cs="仿宋"/>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_Toc17136 </w:instrText>
      </w:r>
      <w:r>
        <w:rPr>
          <w:rFonts w:hint="eastAsia" w:ascii="仿宋" w:hAnsi="仿宋" w:eastAsia="仿宋" w:cs="仿宋"/>
          <w:szCs w:val="32"/>
        </w:rPr>
        <w:fldChar w:fldCharType="separate"/>
      </w:r>
      <w:r>
        <w:rPr>
          <w:rFonts w:hint="eastAsia" w:ascii="楷体" w:hAnsi="楷体" w:eastAsia="楷体"/>
          <w:bCs w:val="0"/>
          <w:highlight w:val="none"/>
        </w:rPr>
        <w:t>（一）本部门性质、职责等情况</w:t>
      </w:r>
      <w:r>
        <w:tab/>
      </w:r>
      <w:r>
        <w:fldChar w:fldCharType="begin"/>
      </w:r>
      <w:r>
        <w:instrText xml:space="preserve"> PAGEREF _Toc17136 \h </w:instrText>
      </w:r>
      <w:r>
        <w:fldChar w:fldCharType="separate"/>
      </w:r>
      <w:r>
        <w:t>1</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_Toc5661 </w:instrText>
      </w:r>
      <w:r>
        <w:rPr>
          <w:rFonts w:hint="eastAsia" w:ascii="仿宋" w:hAnsi="仿宋" w:eastAsia="仿宋" w:cs="仿宋"/>
          <w:szCs w:val="32"/>
        </w:rPr>
        <w:fldChar w:fldCharType="separate"/>
      </w:r>
      <w:r>
        <w:rPr>
          <w:rFonts w:hint="eastAsia" w:ascii="楷体" w:hAnsi="楷体" w:eastAsia="楷体"/>
          <w:bCs w:val="0"/>
          <w:highlight w:val="none"/>
        </w:rPr>
        <w:t>（二）人员构成情况</w:t>
      </w:r>
      <w:r>
        <w:tab/>
      </w:r>
      <w:r>
        <w:fldChar w:fldCharType="begin"/>
      </w:r>
      <w:r>
        <w:instrText xml:space="preserve"> PAGEREF _Toc5661 \h </w:instrText>
      </w:r>
      <w:r>
        <w:fldChar w:fldCharType="separate"/>
      </w:r>
      <w:r>
        <w:t>1</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_Toc24541 </w:instrText>
      </w:r>
      <w:r>
        <w:rPr>
          <w:rFonts w:hint="eastAsia" w:ascii="仿宋" w:hAnsi="仿宋" w:eastAsia="仿宋" w:cs="仿宋"/>
          <w:szCs w:val="32"/>
        </w:rPr>
        <w:fldChar w:fldCharType="separate"/>
      </w:r>
      <w:r>
        <w:rPr>
          <w:rFonts w:hint="eastAsia" w:ascii="楷体" w:hAnsi="楷体" w:eastAsia="楷体"/>
          <w:bCs w:val="0"/>
        </w:rPr>
        <w:t>（</w:t>
      </w:r>
      <w:r>
        <w:rPr>
          <w:rFonts w:hint="eastAsia" w:ascii="楷体" w:hAnsi="楷体" w:eastAsia="楷体"/>
          <w:bCs w:val="0"/>
          <w:lang w:val="en-US" w:eastAsia="zh-CN"/>
        </w:rPr>
        <w:t>三</w:t>
      </w:r>
      <w:r>
        <w:rPr>
          <w:rFonts w:hint="eastAsia" w:ascii="楷体" w:hAnsi="楷体" w:eastAsia="楷体"/>
          <w:bCs w:val="0"/>
        </w:rPr>
        <w:t>）部门整体绩效目标设立情况</w:t>
      </w:r>
      <w:r>
        <w:tab/>
      </w:r>
      <w:r>
        <w:fldChar w:fldCharType="begin"/>
      </w:r>
      <w:r>
        <w:instrText xml:space="preserve"> PAGEREF _Toc24541 \h </w:instrText>
      </w:r>
      <w:r>
        <w:fldChar w:fldCharType="separate"/>
      </w:r>
      <w:r>
        <w:t>7</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_Toc25396 </w:instrText>
      </w:r>
      <w:r>
        <w:rPr>
          <w:rFonts w:hint="eastAsia" w:ascii="仿宋" w:hAnsi="仿宋" w:eastAsia="仿宋" w:cs="仿宋"/>
          <w:szCs w:val="32"/>
        </w:rPr>
        <w:fldChar w:fldCharType="separate"/>
      </w:r>
      <w:r>
        <w:rPr>
          <w:rFonts w:hint="eastAsia" w:ascii="黑体" w:hAnsi="黑体" w:eastAsia="黑体"/>
          <w:bCs w:val="0"/>
          <w:highlight w:val="none"/>
        </w:rPr>
        <w:t>二、当年预算执行情况</w:t>
      </w:r>
      <w:r>
        <w:tab/>
      </w:r>
      <w:r>
        <w:fldChar w:fldCharType="begin"/>
      </w:r>
      <w:r>
        <w:instrText xml:space="preserve"> PAGEREF _Toc25396 \h </w:instrText>
      </w:r>
      <w:r>
        <w:fldChar w:fldCharType="separate"/>
      </w:r>
      <w:r>
        <w:t>9</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_Toc30743 </w:instrText>
      </w:r>
      <w:r>
        <w:rPr>
          <w:rFonts w:hint="eastAsia" w:ascii="仿宋" w:hAnsi="仿宋" w:eastAsia="仿宋" w:cs="仿宋"/>
          <w:szCs w:val="32"/>
        </w:rPr>
        <w:fldChar w:fldCharType="separate"/>
      </w:r>
      <w:r>
        <w:rPr>
          <w:rFonts w:hint="eastAsia" w:ascii="黑体" w:hAnsi="黑体" w:eastAsia="黑体"/>
          <w:bCs w:val="0"/>
          <w:highlight w:val="none"/>
        </w:rPr>
        <w:t>三、整体绩效目标实现情况</w:t>
      </w:r>
      <w:r>
        <w:tab/>
      </w:r>
      <w:r>
        <w:fldChar w:fldCharType="begin"/>
      </w:r>
      <w:r>
        <w:instrText xml:space="preserve"> PAGEREF _Toc30743 \h </w:instrText>
      </w:r>
      <w:r>
        <w:fldChar w:fldCharType="separate"/>
      </w:r>
      <w:r>
        <w:t>9</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_Toc23211 </w:instrText>
      </w:r>
      <w:r>
        <w:rPr>
          <w:rFonts w:hint="eastAsia" w:ascii="仿宋" w:hAnsi="仿宋" w:eastAsia="仿宋" w:cs="仿宋"/>
          <w:szCs w:val="32"/>
        </w:rPr>
        <w:fldChar w:fldCharType="separate"/>
      </w:r>
      <w:r>
        <w:rPr>
          <w:rFonts w:hint="eastAsia" w:ascii="楷体" w:hAnsi="楷体" w:eastAsia="楷体"/>
          <w:bCs w:val="0"/>
          <w:highlight w:val="none"/>
        </w:rPr>
        <w:t>（一）产出完成情况分析</w:t>
      </w:r>
      <w:r>
        <w:tab/>
      </w:r>
      <w:r>
        <w:fldChar w:fldCharType="begin"/>
      </w:r>
      <w:r>
        <w:instrText xml:space="preserve"> PAGEREF _Toc23211 \h </w:instrText>
      </w:r>
      <w:r>
        <w:fldChar w:fldCharType="separate"/>
      </w:r>
      <w:r>
        <w:t>10</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_Toc5484 </w:instrText>
      </w:r>
      <w:r>
        <w:rPr>
          <w:rFonts w:hint="eastAsia" w:ascii="仿宋" w:hAnsi="仿宋" w:eastAsia="仿宋" w:cs="仿宋"/>
          <w:szCs w:val="32"/>
        </w:rPr>
        <w:fldChar w:fldCharType="separate"/>
      </w:r>
      <w:r>
        <w:rPr>
          <w:rFonts w:hint="eastAsia" w:ascii="楷体" w:hAnsi="楷体" w:eastAsia="楷体"/>
          <w:bCs w:val="0"/>
          <w:highlight w:val="none"/>
        </w:rPr>
        <w:t>（二）效果实现情况分析</w:t>
      </w:r>
      <w:r>
        <w:tab/>
      </w:r>
      <w:r>
        <w:fldChar w:fldCharType="begin"/>
      </w:r>
      <w:r>
        <w:instrText xml:space="preserve"> PAGEREF _Toc5484 \h </w:instrText>
      </w:r>
      <w:r>
        <w:fldChar w:fldCharType="separate"/>
      </w:r>
      <w:r>
        <w:t>24</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_Toc11043 </w:instrText>
      </w:r>
      <w:r>
        <w:rPr>
          <w:rFonts w:hint="eastAsia" w:ascii="仿宋" w:hAnsi="仿宋" w:eastAsia="仿宋" w:cs="仿宋"/>
          <w:szCs w:val="32"/>
        </w:rPr>
        <w:fldChar w:fldCharType="separate"/>
      </w:r>
      <w:r>
        <w:rPr>
          <w:rFonts w:hint="eastAsia" w:ascii="黑体" w:hAnsi="黑体" w:eastAsia="黑体"/>
          <w:bCs w:val="0"/>
          <w:highlight w:val="none"/>
        </w:rPr>
        <w:t>四、预算管理情况分析</w:t>
      </w:r>
      <w:r>
        <w:tab/>
      </w:r>
      <w:r>
        <w:fldChar w:fldCharType="begin"/>
      </w:r>
      <w:r>
        <w:instrText xml:space="preserve"> PAGEREF _Toc11043 \h </w:instrText>
      </w:r>
      <w:r>
        <w:fldChar w:fldCharType="separate"/>
      </w:r>
      <w:r>
        <w:t>25</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_Toc4031 </w:instrText>
      </w:r>
      <w:r>
        <w:rPr>
          <w:rFonts w:hint="eastAsia" w:ascii="仿宋" w:hAnsi="仿宋" w:eastAsia="仿宋" w:cs="仿宋"/>
          <w:szCs w:val="32"/>
        </w:rPr>
        <w:fldChar w:fldCharType="separate"/>
      </w:r>
      <w:r>
        <w:rPr>
          <w:rFonts w:hint="eastAsia" w:ascii="楷体" w:hAnsi="楷体" w:eastAsia="楷体"/>
          <w:bCs w:val="0"/>
          <w:highlight w:val="none"/>
        </w:rPr>
        <w:t>（一）财务管理</w:t>
      </w:r>
      <w:r>
        <w:tab/>
      </w:r>
      <w:r>
        <w:fldChar w:fldCharType="begin"/>
      </w:r>
      <w:r>
        <w:instrText xml:space="preserve"> PAGEREF _Toc4031 \h </w:instrText>
      </w:r>
      <w:r>
        <w:fldChar w:fldCharType="separate"/>
      </w:r>
      <w:r>
        <w:t>25</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_Toc18838 </w:instrText>
      </w:r>
      <w:r>
        <w:rPr>
          <w:rFonts w:hint="eastAsia" w:ascii="仿宋" w:hAnsi="仿宋" w:eastAsia="仿宋" w:cs="仿宋"/>
          <w:szCs w:val="32"/>
        </w:rPr>
        <w:fldChar w:fldCharType="separate"/>
      </w:r>
      <w:r>
        <w:rPr>
          <w:rFonts w:hint="eastAsia" w:ascii="楷体" w:hAnsi="楷体" w:eastAsia="楷体"/>
          <w:bCs w:val="0"/>
        </w:rPr>
        <w:t>（二）资产管理</w:t>
      </w:r>
      <w:r>
        <w:tab/>
      </w:r>
      <w:r>
        <w:fldChar w:fldCharType="begin"/>
      </w:r>
      <w:r>
        <w:instrText xml:space="preserve"> PAGEREF _Toc18838 \h </w:instrText>
      </w:r>
      <w:r>
        <w:fldChar w:fldCharType="separate"/>
      </w:r>
      <w:r>
        <w:t>26</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_Toc6717 </w:instrText>
      </w:r>
      <w:r>
        <w:rPr>
          <w:rFonts w:hint="eastAsia" w:ascii="仿宋" w:hAnsi="仿宋" w:eastAsia="仿宋" w:cs="仿宋"/>
          <w:szCs w:val="32"/>
        </w:rPr>
        <w:fldChar w:fldCharType="separate"/>
      </w:r>
      <w:r>
        <w:rPr>
          <w:rFonts w:hint="eastAsia" w:ascii="楷体" w:hAnsi="楷体" w:eastAsia="楷体"/>
          <w:bCs w:val="0"/>
        </w:rPr>
        <w:t>（三）绩效管理</w:t>
      </w:r>
      <w:r>
        <w:tab/>
      </w:r>
      <w:r>
        <w:fldChar w:fldCharType="begin"/>
      </w:r>
      <w:r>
        <w:instrText xml:space="preserve"> PAGEREF _Toc6717 \h </w:instrText>
      </w:r>
      <w:r>
        <w:fldChar w:fldCharType="separate"/>
      </w:r>
      <w:r>
        <w:t>26</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_Toc20017 </w:instrText>
      </w:r>
      <w:r>
        <w:rPr>
          <w:rFonts w:hint="eastAsia" w:ascii="仿宋" w:hAnsi="仿宋" w:eastAsia="仿宋" w:cs="仿宋"/>
          <w:szCs w:val="32"/>
        </w:rPr>
        <w:fldChar w:fldCharType="separate"/>
      </w:r>
      <w:r>
        <w:rPr>
          <w:rFonts w:hint="eastAsia" w:ascii="楷体" w:hAnsi="楷体" w:eastAsia="楷体"/>
          <w:bCs w:val="0"/>
        </w:rPr>
        <w:t>（四）结转结余率</w:t>
      </w:r>
      <w:r>
        <w:tab/>
      </w:r>
      <w:r>
        <w:fldChar w:fldCharType="begin"/>
      </w:r>
      <w:r>
        <w:instrText xml:space="preserve"> PAGEREF _Toc20017 \h </w:instrText>
      </w:r>
      <w:r>
        <w:fldChar w:fldCharType="separate"/>
      </w:r>
      <w:r>
        <w:t>27</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_Toc8013 </w:instrText>
      </w:r>
      <w:r>
        <w:rPr>
          <w:rFonts w:hint="eastAsia" w:ascii="仿宋" w:hAnsi="仿宋" w:eastAsia="仿宋" w:cs="仿宋"/>
          <w:szCs w:val="32"/>
        </w:rPr>
        <w:fldChar w:fldCharType="separate"/>
      </w:r>
      <w:r>
        <w:rPr>
          <w:rFonts w:hint="eastAsia" w:ascii="楷体" w:hAnsi="楷体" w:eastAsia="楷体"/>
          <w:bCs w:val="0"/>
        </w:rPr>
        <w:t>（五）部门预决算差异</w:t>
      </w:r>
      <w:r>
        <w:tab/>
      </w:r>
      <w:r>
        <w:fldChar w:fldCharType="begin"/>
      </w:r>
      <w:r>
        <w:instrText xml:space="preserve"> PAGEREF _Toc8013 \h </w:instrText>
      </w:r>
      <w:r>
        <w:fldChar w:fldCharType="separate"/>
      </w:r>
      <w:r>
        <w:t>28</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_Toc2304 </w:instrText>
      </w:r>
      <w:r>
        <w:rPr>
          <w:rFonts w:hint="eastAsia" w:ascii="仿宋" w:hAnsi="仿宋" w:eastAsia="仿宋" w:cs="仿宋"/>
          <w:szCs w:val="32"/>
        </w:rPr>
        <w:fldChar w:fldCharType="separate"/>
      </w:r>
      <w:r>
        <w:rPr>
          <w:rFonts w:hint="eastAsia" w:ascii="黑体" w:hAnsi="黑体" w:eastAsia="黑体"/>
          <w:bCs w:val="0"/>
          <w:highlight w:val="none"/>
          <w:lang w:val="en-US" w:eastAsia="zh-CN"/>
        </w:rPr>
        <w:t>五、</w:t>
      </w:r>
      <w:r>
        <w:rPr>
          <w:rFonts w:hint="eastAsia" w:ascii="黑体" w:hAnsi="黑体" w:eastAsia="黑体"/>
          <w:bCs w:val="0"/>
          <w:highlight w:val="none"/>
        </w:rPr>
        <w:t>总体评价结论</w:t>
      </w:r>
      <w:r>
        <w:tab/>
      </w:r>
      <w:r>
        <w:fldChar w:fldCharType="begin"/>
      </w:r>
      <w:r>
        <w:instrText xml:space="preserve"> PAGEREF _Toc2304 \h </w:instrText>
      </w:r>
      <w:r>
        <w:fldChar w:fldCharType="separate"/>
      </w:r>
      <w:r>
        <w:t>28</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_Toc2305 </w:instrText>
      </w:r>
      <w:r>
        <w:rPr>
          <w:rFonts w:hint="eastAsia" w:ascii="仿宋" w:hAnsi="仿宋" w:eastAsia="仿宋" w:cs="仿宋"/>
          <w:szCs w:val="32"/>
        </w:rPr>
        <w:fldChar w:fldCharType="separate"/>
      </w:r>
      <w:r>
        <w:rPr>
          <w:rFonts w:hint="eastAsia" w:ascii="楷体" w:hAnsi="楷体" w:eastAsia="楷体" w:cs="楷体"/>
          <w:szCs w:val="32"/>
        </w:rPr>
        <w:t>（一）评价得分情况</w:t>
      </w:r>
      <w:r>
        <w:tab/>
      </w:r>
      <w:r>
        <w:fldChar w:fldCharType="begin"/>
      </w:r>
      <w:r>
        <w:instrText xml:space="preserve"> PAGEREF _Toc2305 \h </w:instrText>
      </w:r>
      <w:r>
        <w:fldChar w:fldCharType="separate"/>
      </w:r>
      <w:r>
        <w:t>28</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_Toc5407 </w:instrText>
      </w:r>
      <w:r>
        <w:rPr>
          <w:rFonts w:hint="eastAsia" w:ascii="仿宋" w:hAnsi="仿宋" w:eastAsia="仿宋" w:cs="仿宋"/>
          <w:szCs w:val="32"/>
        </w:rPr>
        <w:fldChar w:fldCharType="separate"/>
      </w:r>
      <w:r>
        <w:rPr>
          <w:rFonts w:hint="eastAsia" w:ascii="楷体" w:hAnsi="楷体" w:eastAsia="楷体" w:cs="楷体"/>
          <w:szCs w:val="32"/>
        </w:rPr>
        <w:t>（二）存在的问题及原因分析</w:t>
      </w:r>
      <w:r>
        <w:tab/>
      </w:r>
      <w:r>
        <w:fldChar w:fldCharType="begin"/>
      </w:r>
      <w:r>
        <w:instrText xml:space="preserve"> PAGEREF _Toc5407 \h </w:instrText>
      </w:r>
      <w:r>
        <w:fldChar w:fldCharType="separate"/>
      </w:r>
      <w:r>
        <w:t>28</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_Toc16913 </w:instrText>
      </w:r>
      <w:r>
        <w:rPr>
          <w:rFonts w:hint="eastAsia" w:ascii="仿宋" w:hAnsi="仿宋" w:eastAsia="仿宋" w:cs="仿宋"/>
          <w:szCs w:val="32"/>
        </w:rPr>
        <w:fldChar w:fldCharType="separate"/>
      </w:r>
      <w:r>
        <w:rPr>
          <w:rFonts w:hint="eastAsia" w:ascii="黑体" w:hAnsi="黑体" w:eastAsia="黑体"/>
          <w:bCs w:val="0"/>
          <w:highlight w:val="none"/>
          <w:lang w:val="en-US" w:eastAsia="zh-CN"/>
        </w:rPr>
        <w:t>六、措施建议</w:t>
      </w:r>
      <w:r>
        <w:tab/>
      </w:r>
      <w:r>
        <w:fldChar w:fldCharType="begin"/>
      </w:r>
      <w:r>
        <w:instrText xml:space="preserve"> PAGEREF _Toc16913 \h </w:instrText>
      </w:r>
      <w:r>
        <w:fldChar w:fldCharType="separate"/>
      </w:r>
      <w:r>
        <w:t>29</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_Toc9801 </w:instrText>
      </w:r>
      <w:r>
        <w:rPr>
          <w:rFonts w:hint="eastAsia" w:ascii="仿宋" w:hAnsi="仿宋" w:eastAsia="仿宋" w:cs="仿宋"/>
          <w:szCs w:val="32"/>
        </w:rPr>
        <w:fldChar w:fldCharType="separate"/>
      </w:r>
      <w:r>
        <w:rPr>
          <w:rFonts w:hint="eastAsia" w:ascii="黑体" w:hAnsi="黑体" w:eastAsia="黑体" w:cs="Times New Roman"/>
          <w:bCs w:val="0"/>
          <w:highlight w:val="none"/>
        </w:rPr>
        <w:t>七、附件</w:t>
      </w:r>
      <w:r>
        <w:tab/>
      </w:r>
      <w:r>
        <w:fldChar w:fldCharType="begin"/>
      </w:r>
      <w:r>
        <w:instrText xml:space="preserve"> PAGEREF _Toc9801 \h </w:instrText>
      </w:r>
      <w:r>
        <w:fldChar w:fldCharType="separate"/>
      </w:r>
      <w:r>
        <w:t>29</w:t>
      </w:r>
      <w:r>
        <w:fldChar w:fldCharType="end"/>
      </w:r>
      <w:r>
        <w:rPr>
          <w:rFonts w:hint="eastAsia" w:ascii="仿宋" w:hAnsi="仿宋" w:eastAsia="仿宋" w:cs="仿宋"/>
          <w:szCs w:val="32"/>
        </w:rPr>
        <w:fldChar w:fldCharType="end"/>
      </w:r>
    </w:p>
    <w:p>
      <w:pPr>
        <w:keepNext w:val="0"/>
        <w:keepLines w:val="0"/>
        <w:pageBreakBefore w:val="0"/>
        <w:widowControl w:val="0"/>
        <w:kinsoku/>
        <w:wordWrap/>
        <w:overflowPunct/>
        <w:topLinePunct w:val="0"/>
        <w:autoSpaceDE/>
        <w:autoSpaceDN/>
        <w:bidi w:val="0"/>
        <w:adjustRightInd/>
        <w:snapToGrid/>
        <w:textAlignment w:val="auto"/>
        <w:outlineLvl w:val="9"/>
        <w:rPr>
          <w:rFonts w:ascii="黑体" w:hAnsi="黑体" w:eastAsia="黑体" w:cs="黑体"/>
          <w:sz w:val="44"/>
          <w:szCs w:val="44"/>
        </w:rPr>
      </w:pPr>
      <w:r>
        <w:rPr>
          <w:rFonts w:hint="eastAsia" w:ascii="仿宋" w:hAnsi="仿宋" w:eastAsia="仿宋" w:cs="仿宋"/>
          <w:szCs w:val="32"/>
        </w:rPr>
        <w:fldChar w:fldCharType="end"/>
      </w:r>
    </w:p>
    <w:p>
      <w:pPr>
        <w:pStyle w:val="3"/>
        <w:spacing w:before="0" w:after="0" w:line="360" w:lineRule="auto"/>
        <w:ind w:firstLine="643" w:firstLineChars="200"/>
        <w:rPr>
          <w:rFonts w:ascii="黑体" w:hAnsi="黑体" w:eastAsia="黑体"/>
        </w:rPr>
        <w:sectPr>
          <w:footerReference r:id="rId5" w:type="default"/>
          <w:footnotePr>
            <w:numFmt w:val="decimalEnclosedCircleChinese"/>
          </w:footnotePr>
          <w:pgSz w:w="11906" w:h="16838"/>
          <w:pgMar w:top="1440" w:right="1416" w:bottom="1440" w:left="1800" w:header="851" w:footer="992" w:gutter="0"/>
          <w:pgNumType w:start="1"/>
          <w:cols w:space="720" w:num="1"/>
          <w:docGrid w:type="lines" w:linePitch="312" w:charSpace="0"/>
        </w:sectPr>
      </w:pPr>
    </w:p>
    <w:p>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北京市科学技术委员会部门整体</w:t>
      </w:r>
    </w:p>
    <w:p>
      <w:pPr>
        <w:keepNext w:val="0"/>
        <w:keepLines w:val="0"/>
        <w:pageBreakBefore w:val="0"/>
        <w:widowControl w:val="0"/>
        <w:kinsoku/>
        <w:wordWrap/>
        <w:overflowPunct/>
        <w:topLinePunct w:val="0"/>
        <w:autoSpaceDE/>
        <w:autoSpaceDN/>
        <w:bidi w:val="0"/>
        <w:snapToGrid w:val="0"/>
        <w:spacing w:line="560" w:lineRule="exact"/>
        <w:jc w:val="center"/>
        <w:textAlignment w:val="auto"/>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绩效</w:t>
      </w:r>
      <w:r>
        <w:rPr>
          <w:rFonts w:hint="eastAsia" w:ascii="方正小标宋简体" w:hAnsi="Times New Roman" w:eastAsia="方正小标宋简体" w:cs="Times New Roman"/>
          <w:sz w:val="44"/>
          <w:szCs w:val="44"/>
          <w:lang w:eastAsia="zh-CN"/>
        </w:rPr>
        <w:t>评价</w:t>
      </w:r>
      <w:r>
        <w:rPr>
          <w:rFonts w:hint="eastAsia" w:ascii="方正小标宋简体" w:hAnsi="Times New Roman" w:eastAsia="方正小标宋简体" w:cs="Times New Roman"/>
          <w:sz w:val="44"/>
          <w:szCs w:val="44"/>
        </w:rPr>
        <w:t>报告</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420" w:firstLineChars="200"/>
        <w:textAlignment w:val="auto"/>
        <w:outlineLvl w:val="9"/>
        <w:rPr>
          <w:rFonts w:hint="eastAsia" w:ascii="黑体" w:hAnsi="黑体" w:eastAsia="黑体"/>
          <w:b w:val="0"/>
          <w:bCs w:val="0"/>
          <w:highlight w:val="none"/>
        </w:rPr>
      </w:pPr>
    </w:p>
    <w:p>
      <w:pPr>
        <w:pStyle w:val="3"/>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rPr>
          <w:rFonts w:ascii="黑体" w:hAnsi="黑体" w:eastAsia="黑体"/>
          <w:b w:val="0"/>
          <w:bCs w:val="0"/>
          <w:highlight w:val="none"/>
        </w:rPr>
      </w:pPr>
      <w:bookmarkStart w:id="0" w:name="_Toc15020"/>
      <w:r>
        <w:rPr>
          <w:rFonts w:hint="eastAsia" w:ascii="黑体" w:hAnsi="黑体" w:eastAsia="黑体"/>
          <w:b w:val="0"/>
          <w:bCs w:val="0"/>
          <w:highlight w:val="none"/>
        </w:rPr>
        <w:t>一、部门概况</w:t>
      </w:r>
      <w:bookmarkEnd w:id="0"/>
    </w:p>
    <w:p>
      <w:pPr>
        <w:pStyle w:val="3"/>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rPr>
          <w:rFonts w:hint="eastAsia" w:ascii="楷体" w:hAnsi="楷体" w:eastAsia="楷体"/>
          <w:b w:val="0"/>
          <w:bCs w:val="0"/>
          <w:highlight w:val="none"/>
        </w:rPr>
      </w:pPr>
      <w:bookmarkStart w:id="1" w:name="_Toc17136"/>
      <w:r>
        <w:rPr>
          <w:rFonts w:hint="eastAsia" w:ascii="楷体" w:hAnsi="楷体" w:eastAsia="楷体"/>
          <w:b w:val="0"/>
          <w:bCs w:val="0"/>
          <w:highlight w:val="none"/>
        </w:rPr>
        <w:t>（一）</w:t>
      </w:r>
      <w:bookmarkEnd w:id="1"/>
      <w:r>
        <w:rPr>
          <w:rFonts w:hint="eastAsia" w:ascii="楷体" w:hAnsi="楷体" w:eastAsia="楷体"/>
          <w:b w:val="0"/>
          <w:bCs w:val="0"/>
          <w:highlight w:val="none"/>
        </w:rPr>
        <w:t>本部门性质、职责等情况</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bookmarkStart w:id="2" w:name="_Toc5661"/>
      <w:r>
        <w:rPr>
          <w:rFonts w:hint="eastAsia" w:ascii="仿宋_GB2312" w:hAnsi="仿宋" w:eastAsia="仿宋_GB2312"/>
          <w:b w:val="0"/>
          <w:bCs/>
          <w:sz w:val="32"/>
          <w:szCs w:val="32"/>
        </w:rPr>
        <w:t>北京市科学技术委员会（简称市科委）是市政府组成部门，挂北京市外国专家局（简称市外专局）牌子；中关村科技园区管理委员会（简称中关村管委会）是市政府派出机构。市科委与中关村管委会合署办公，为正局级。</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市科委、中关村管委会贯彻落实党中央关于科技创新工作的方针政策、决策部署和市委有关工作要求，在履行职责过程中坚持和加强党对科技创新工作的集中统一领导。主要职责是：</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1.贯彻落实国家创新驱动发展战略和科技工作的法律法规、规章和政策，起草本市相关地方性法规草案、政府规章草案，组织拟订相关政策措施并组织实施。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2.牵头推进国际科技创新中心建设。承担北京推进科技创新中心建设办公室秘书处职能，组织拟订相关工作方案及年度计划，并开展监督落实。</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3.统筹推进首都创新体系建设和科技体制改革，健全技术创新激励机制。统筹推进“三城一区”和“一区十六园”科技创新方面的规划建设发展。优化科研体系建设，指导科研机构改革发展。负责新型研发机构的筹建、管理及服务。牵头推动企业科技创新能力建设。承担推进科技军民融合发展相关工作。</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4.推进本市重大科技决策咨询制度建设。负责提出科技发展战略建议。提出科技发展布局和优先发展领域。拟订促进科技文化融合发展、科学普及、科学传播规划政策并组织实施。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5.拟订本市基础研究规划、政策并组织实施，组织协调基础研究和应用基础研究。参与重大科技基础设施建设和运行。提出科研条件保障规划和政策建议，推进科研条件保障建设和科技资源开放共享。</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6.组织开展本市重点领域技术发展需求分析，提出重大任务。统筹推进关键共性技术、前沿引领技术、现代工程技术、颠覆性技术研发和创新，牵头组织重大技术攻关和成果应用示范，组织参与国际大科学计划和大科学工程。</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7.负责本市科技管理工作。牵头建立本市科技管理平台和科研项目资金协调、评估、监管机制。提出优化配置科技资源的政策措施建议。推动多元化科技投入体系建设。统筹财政科技计划（专项、基金等）实施。拟订科技金融相关政策，开展科技金融促进工作。</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8.组织拟订本市高新技术发展及产业化、科技服务业、科技促进城市和农业农村发展的规划、政策及措施。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9.牵头本市技术转移体系建设，拟订科技成果转移转化和促进产学研深度融合的相关政策措施并组织实施。负责应用场景建设相关工作。拟订促进技术市场发展的政策措施并组织实施。促进各类科技中介及协会组织发展。</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10.拟订本市科技项目管理的政策措施。负责科学技术奖励组织实施及自然科学基金管理。承担科技信息、科技统计、创新调查和科研成果报告工作。依据市政府授权，履行所监管企业出资人职责，依法对所监管企业国有资产进行监督管理，并加强业务指导。指导科技保密工作。</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11.负责本市科技监督评价体系建设和相关科技评估管理，统筹开展全市科研诚信建设工作。开展科技评估评价和监督检查工作。</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12.负责本市引进国外智力工作。拟订引进外国专家规划、计划并组织实施。建立外国顶尖科学家及其团队、外国科技人才吸引集聚机制和重点外国专家联系服务机制。拟订出国（境）培训规划、年度计划和政策，并组织实施。</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13.拟订本市科技人才队伍建设规划和政策，建立健全科技人才评价和激励机制，组织实施科技人才计划，推动高端科技创新人才队伍建设，统筹推进中关村科技园区人才工作。</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14.指导各区科技创新工作，联系市有关部门科技创新工作。统筹推进本市与各省区市的科技领域交流合作、科技协作和支援合作工作。</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15.拟订本市科技对外交流与创新能力开放合作的规划、政策和措施。组织开展国际科技合作、中关村科技园区国际交流与合作，推进国际技术转移。牵头组织技术出口和技术引进工作。负责涉港澳台科技合作交流。负责科技外事工作和中关村科技园区外事、宣传、联络等工作。承担中关村论坛筹办相关工作。</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16.负责中关村科技园区发展建设工作，承担统筹、规划、组织、协调、服务中关村国家自主创新示范区建设与发展的有关具体工作。组织研究园区发展规划、政策及相关改革方案，并协调落实。</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17.组织落实国家和本市促进高新技术产业开发区发展的政策措施，开展中关村科技园区创新创业、高新技术研发及其成果产业化、社会组织发展、知识产权等方面的促进和服务工作，培育战略性新兴产业、未来产业。</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18.负责指导中关村科技园区各园工作，参与组织编制中关村科技园区有关空间规划，对各园空间规划、产业布局定位、动态监测、项目准入标准等重要业务实行统一管理，优化空间布局和创新创业载体建设，开展园区发展考核评价工作，促进各园高端化、特色化、差异化发展，服务区域协调发展。</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19.完成市委、市政府交办的其他任务。</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20.职能转变。</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1）坚持创新驱动发展。贯彻实施科教兴国战略、人才强国战略、创新驱动发展战略，坚持科技自立自强，瞄准世界科技前沿，优化创新资源布局，制定实施战略行动计划，加快建设国际科技创新中心，为科技强国建设提供支撑。</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2）深化科技体制改革。加快科技管理职能转变，加强宏观统筹，减少微观管理。建立公开统一的科技管理平台。优化科技规划体系和运行机制，推动重点领域项目、基地、人才、资金一体化配置。改进科技项目组织管理方式，实行“揭榜挂帅”等制度。完善科技评价机制，优化科技奖励项目。扩大创新主体科研管理自主权。健全以创新能力、质量、实效、贡献为导向的科技人才评价体系。完善科研人员职务发明成果权益分享机制。弘扬科学家精神。实行更加开放的科技人才政策。</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3）加快形成战略科技力量。发挥新型举国体制优势，打好关键核心技术攻坚战，提高创新链整体效能。承接国家重大科技项目建设，参与重大科技基础设施建设和运行。加大对基础研究和原始创新支持力度，优化研发布局。推进科研院所、高校、企业科研力量优化配置和资源共享。</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（4）全面促进科技成果转化。加强对创新主体的支持，促进产学研深度融合，加快科技成果转化。提升中关村科技园区自主创新能力建设，推动关键技术的示范应用，支撑高精尖产业高质量发展。</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5）持续优化创新生态。完善科技治理体系，提高创新体系效能，增强创新策源功能。发挥政府制度创新的能动作用和市场配置资源的决定性作用，强化企业创新主体地位，激发创新创造活力。加强科技合作交流和智力引进，加快融入全球科技创新网络，提升科技创新影响力。</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21.与市经济和信息化局有关职责分工。市科委、中关村管委会与市经济和信息化局要加强在创新驱动发展方面协同联动，推动产学研深度融合。市科委、中关村管委会负责组织和服务企业技术创新和科研攻关，牵头负责科技成果转化的管理、指导、协调和服务工作，拟订本市科技成果转移转化、促进产学研深度融合的政策措施，并组织实施。市经济和信息化局负责组织推进产业布局调整和产业结构优化升级，协调解决产业运行和发展中有关问题，重点组织产业规划发展、市场要素配置和产品推广应用，支持企业做大做强。</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根据中共北京市委办公厅、北京市人民政府办公厅关于印发《北京市科学技术委员会、中关村科技园区管理委员会职能配置、内设机构和人员编制规定》（京办字〔2021〕5号）的通知，北京市科学技术委员会、中关村科技园区管理委员会（简称市科委、中关村管委会）内设处室分别为：办公室、科创中心建设综合协调处、发展规划处、政策法规处（研究室）、资源配置与管理处、科技监督与诚信建设处、重大专项处、科技成果转化处、科研机构管理处、科技金融处、国际合作处（港澳台科技合作办公室）、科技协作与支援合作处、外国专家服务与科技人才处（港澳台专家服务处）、科技统计分析处、信息科技处、新材料与智能制造科技处、医药健康科技处、社会发展科技处、文化科技处（科普处）、科技服务业处、园区发展建设处、创新创业服务处、中关村新技术新产品促进处、宣传处、财务处（资产监管处）、人事处、机关党委（党建工作处）、机关纪委、工会、离退休干部处。另设有市纪委市监委驻市科委、中关村管委会纪检监察组。</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rPr>
      </w:pPr>
      <w:r>
        <w:rPr>
          <w:rFonts w:hint="eastAsia" w:ascii="仿宋_GB2312" w:hAnsi="仿宋" w:eastAsia="仿宋_GB2312"/>
          <w:b w:val="0"/>
          <w:bCs/>
          <w:sz w:val="32"/>
          <w:szCs w:val="32"/>
        </w:rPr>
        <w:t>纳入市科委、中关村管委会部门决算范围共24个预算单位，分别为：北京市科学技术委员会本级行政，中关村科技园区管理委员会(本级)，北京市科学技术委员会本级事业，北京市自然科学基金委员会办公室，北京市实验动物管理办公室（北京市人类遗传资源管理办公室），北京科技创新研究中心，北京市科学技术奖励工作办公室，北京医药健康科技发展中心，北京国际科技合作中心（北京港澳台科技合作中心），北京软件产品质量检测检验中心，北京新材料和新能源科技发展中心，北京技术市场管理办公室，北京科技创新促进中心，北京科技成果转化服务中心，北京市实验室服务保障中心，北京科技审评中心，北京科技人才发展中心（北京海外学人中心中关村分中心），北京信息科技发展中心，北京市科学技术委员会、中关村科技园区管理委员会综合事务中心，中关村高科技产业促进中心，中关村政府采购促进中心，北京市科技信息中心，北京市可持续发展科技促进中心和中关村人才特区建设促进中心。</w:t>
      </w:r>
    </w:p>
    <w:p>
      <w:pPr>
        <w:pStyle w:val="3"/>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rPr>
          <w:rFonts w:hint="eastAsia" w:ascii="楷体" w:hAnsi="楷体" w:eastAsia="楷体"/>
          <w:b w:val="0"/>
          <w:bCs w:val="0"/>
          <w:highlight w:val="none"/>
        </w:rPr>
      </w:pPr>
      <w:r>
        <w:rPr>
          <w:rFonts w:hint="eastAsia" w:ascii="楷体" w:hAnsi="楷体" w:eastAsia="楷体"/>
          <w:b w:val="0"/>
          <w:bCs w:val="0"/>
          <w:highlight w:val="none"/>
        </w:rPr>
        <w:t>（二）人员构成情况</w:t>
      </w:r>
      <w:bookmarkEnd w:id="2"/>
    </w:p>
    <w:p>
      <w:pPr>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 w:eastAsia="仿宋_GB2312"/>
          <w:b w:val="0"/>
          <w:bCs/>
          <w:sz w:val="32"/>
          <w:szCs w:val="32"/>
          <w:highlight w:val="none"/>
          <w:lang w:val="en-US" w:eastAsia="zh-CN"/>
        </w:rPr>
      </w:pPr>
      <w:bookmarkStart w:id="3" w:name="_Toc24541"/>
      <w:r>
        <w:rPr>
          <w:rFonts w:hint="eastAsia" w:ascii="仿宋_GB2312" w:hAnsi="仿宋" w:eastAsia="仿宋_GB2312"/>
          <w:b w:val="0"/>
          <w:bCs/>
          <w:sz w:val="32"/>
          <w:szCs w:val="32"/>
          <w:highlight w:val="none"/>
          <w:lang w:val="en-US" w:eastAsia="zh-CN"/>
        </w:rPr>
        <w:t>行政编制209人，实有人数210人（含纪检组13人）；事业编制796人，实有人数680人。</w:t>
      </w:r>
    </w:p>
    <w:p>
      <w:pPr>
        <w:pStyle w:val="3"/>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rPr>
          <w:rFonts w:ascii="楷体" w:hAnsi="楷体" w:eastAsia="楷体"/>
          <w:b w:val="0"/>
          <w:bCs w:val="0"/>
        </w:rPr>
      </w:pPr>
      <w:r>
        <w:rPr>
          <w:rFonts w:hint="eastAsia" w:ascii="楷体" w:hAnsi="楷体" w:eastAsia="楷体"/>
          <w:b w:val="0"/>
          <w:bCs w:val="0"/>
        </w:rPr>
        <w:t>（</w:t>
      </w:r>
      <w:r>
        <w:rPr>
          <w:rFonts w:hint="eastAsia" w:ascii="楷体" w:hAnsi="楷体" w:eastAsia="楷体"/>
          <w:b w:val="0"/>
          <w:bCs w:val="0"/>
          <w:lang w:val="en-US" w:eastAsia="zh-CN"/>
        </w:rPr>
        <w:t>三</w:t>
      </w:r>
      <w:r>
        <w:rPr>
          <w:rFonts w:hint="eastAsia" w:ascii="楷体" w:hAnsi="楷体" w:eastAsia="楷体"/>
          <w:b w:val="0"/>
          <w:bCs w:val="0"/>
        </w:rPr>
        <w:t>）部门整体绩效目标设立情况</w:t>
      </w:r>
      <w:bookmarkEnd w:id="3"/>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bCs/>
          <w:color w:val="auto"/>
          <w:sz w:val="32"/>
          <w:szCs w:val="32"/>
        </w:rPr>
      </w:pPr>
      <w:r>
        <w:rPr>
          <w:rFonts w:hint="eastAsia" w:ascii="仿宋_GB2312" w:hAnsi="仿宋" w:eastAsia="仿宋_GB2312"/>
          <w:bCs/>
          <w:sz w:val="32"/>
          <w:szCs w:val="32"/>
          <w:highlight w:val="none"/>
          <w:lang w:val="en-US" w:eastAsia="zh-CN"/>
        </w:rPr>
        <w:t>市科委、中关村管委会</w:t>
      </w:r>
      <w:r>
        <w:rPr>
          <w:rFonts w:hint="eastAsia" w:ascii="仿宋_GB2312" w:hAnsi="仿宋" w:eastAsia="仿宋_GB2312"/>
          <w:bCs/>
          <w:sz w:val="32"/>
          <w:szCs w:val="32"/>
          <w:highlight w:val="none"/>
        </w:rPr>
        <w:t>结</w:t>
      </w:r>
      <w:r>
        <w:rPr>
          <w:rFonts w:hint="eastAsia" w:ascii="仿宋_GB2312" w:hAnsi="仿宋" w:eastAsia="仿宋_GB2312"/>
          <w:bCs/>
          <w:sz w:val="32"/>
          <w:szCs w:val="32"/>
        </w:rPr>
        <w:t>合部门职</w:t>
      </w:r>
      <w:r>
        <w:rPr>
          <w:rFonts w:hint="eastAsia" w:ascii="仿宋_GB2312" w:hAnsi="仿宋" w:eastAsia="仿宋_GB2312"/>
          <w:bCs/>
          <w:color w:val="auto"/>
          <w:sz w:val="32"/>
          <w:szCs w:val="32"/>
        </w:rPr>
        <w:t>责、202</w:t>
      </w:r>
      <w:r>
        <w:rPr>
          <w:rFonts w:hint="eastAsia" w:ascii="仿宋_GB2312" w:hAnsi="仿宋" w:eastAsia="仿宋_GB2312"/>
          <w:bCs/>
          <w:color w:val="auto"/>
          <w:sz w:val="32"/>
          <w:szCs w:val="32"/>
          <w:lang w:val="en-US" w:eastAsia="zh-CN"/>
        </w:rPr>
        <w:t>2</w:t>
      </w:r>
      <w:r>
        <w:rPr>
          <w:rFonts w:hint="eastAsia" w:ascii="仿宋_GB2312" w:hAnsi="仿宋" w:eastAsia="仿宋_GB2312"/>
          <w:bCs/>
          <w:color w:val="auto"/>
          <w:sz w:val="32"/>
          <w:szCs w:val="32"/>
        </w:rPr>
        <w:t>年重点工作任务及财政资金分配使用计划，制定了《北京市</w:t>
      </w:r>
      <w:r>
        <w:rPr>
          <w:rFonts w:hint="eastAsia" w:ascii="仿宋_GB2312" w:hAnsi="仿宋" w:eastAsia="仿宋_GB2312"/>
          <w:bCs/>
          <w:color w:val="auto"/>
          <w:sz w:val="32"/>
          <w:szCs w:val="32"/>
          <w:lang w:val="en-US" w:eastAsia="zh-CN"/>
        </w:rPr>
        <w:t>科学技术委员会</w:t>
      </w:r>
      <w:r>
        <w:rPr>
          <w:rFonts w:hint="eastAsia" w:ascii="仿宋_GB2312" w:hAnsi="仿宋" w:eastAsia="仿宋_GB2312"/>
          <w:bCs/>
          <w:color w:val="auto"/>
          <w:sz w:val="32"/>
          <w:szCs w:val="32"/>
        </w:rPr>
        <w:t>202</w:t>
      </w:r>
      <w:r>
        <w:rPr>
          <w:rFonts w:hint="eastAsia" w:ascii="仿宋_GB2312" w:hAnsi="仿宋" w:eastAsia="仿宋_GB2312"/>
          <w:bCs/>
          <w:color w:val="auto"/>
          <w:sz w:val="32"/>
          <w:szCs w:val="32"/>
          <w:lang w:val="en-US" w:eastAsia="zh-CN"/>
        </w:rPr>
        <w:t>2</w:t>
      </w:r>
      <w:r>
        <w:rPr>
          <w:rFonts w:hint="eastAsia" w:ascii="仿宋_GB2312" w:hAnsi="仿宋" w:eastAsia="仿宋_GB2312"/>
          <w:bCs/>
          <w:color w:val="auto"/>
          <w:sz w:val="32"/>
          <w:szCs w:val="32"/>
        </w:rPr>
        <w:t>年部门整体支出绩效目标申报表》，明确了部门总体绩效目标：坚持以习近平新时代中国特色社会主义思想为指导，深入贯彻党的十九大、十九届二中、三中、四中、五中、六中全会精神、习近平总书记关于国际科技创新中心建设和2021中关村论坛重要视频致辞精神，坚定创新自信、紧抓创新机遇，聚焦国际科技创新中心建设，补短板、挖潜力、增优势，加快实现高水平科技自立自强。</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bCs/>
          <w:color w:val="auto"/>
          <w:sz w:val="32"/>
          <w:szCs w:val="32"/>
        </w:rPr>
      </w:pPr>
      <w:r>
        <w:rPr>
          <w:rFonts w:hint="eastAsia" w:ascii="仿宋_GB2312" w:hAnsi="仿宋" w:eastAsia="仿宋_GB2312"/>
          <w:bCs/>
          <w:color w:val="auto"/>
          <w:sz w:val="32"/>
          <w:szCs w:val="32"/>
        </w:rPr>
        <w:t>一是聚焦国家战略科技力量培育。按照“面向世界科技前沿、面向经济主战场、面向国家重大需求、面向人民生命健康”原则，聚焦形成“上下衔接、差异布局、协同联动、体系发展”的战略科技力量布局。支持国家实验室建设，持续支持已设立的北京智源人工智能研究院、雁栖湖应用数学研究院等新型研发机构；推动京津冀国家技术创新中心、清华工业开发研究院等机构发展建设。</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bCs/>
          <w:color w:val="auto"/>
          <w:sz w:val="32"/>
          <w:szCs w:val="32"/>
        </w:rPr>
      </w:pPr>
      <w:r>
        <w:rPr>
          <w:rFonts w:hint="eastAsia" w:ascii="仿宋_GB2312" w:hAnsi="仿宋" w:eastAsia="仿宋_GB2312"/>
          <w:bCs/>
          <w:color w:val="auto"/>
          <w:sz w:val="32"/>
          <w:szCs w:val="32"/>
        </w:rPr>
        <w:t>二是聚焦关键领域关键环节实现重大突破。加快关键核心技术和底层技术创新，实施产业链规划图、技术路线图、应用领域图、区域分布图“四图”作业，加快打造新一代信息技术和医药健康“双发动机”，重点推进新材料与智能制造产业和科技服务业发展。</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bCs/>
          <w:color w:val="auto"/>
          <w:sz w:val="32"/>
          <w:szCs w:val="32"/>
        </w:rPr>
      </w:pPr>
      <w:r>
        <w:rPr>
          <w:rFonts w:hint="eastAsia" w:ascii="仿宋_GB2312" w:hAnsi="仿宋" w:eastAsia="仿宋_GB2312"/>
          <w:bCs/>
          <w:color w:val="auto"/>
          <w:sz w:val="32"/>
          <w:szCs w:val="32"/>
        </w:rPr>
        <w:t>三是聚焦一流创新环境营造。以“抓战略、抓改革、抓规划、抓服务”为重要抓手，在全市层面塑造科技向善理念，持续深化科技体制改革，激发广大创新主体活力；聚焦区域协同创新与城市科技创新，推进京津冀协同创新共同体建设，加强人才培养、引进、使用工作，促进科技成果转化和产业化，构建开放创新生态。</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根据总体目标并结合工作重点，我</w:t>
      </w:r>
      <w:r>
        <w:rPr>
          <w:rFonts w:hint="eastAsia" w:ascii="仿宋_GB2312" w:hAnsi="仿宋" w:eastAsia="仿宋_GB2312"/>
          <w:sz w:val="32"/>
          <w:szCs w:val="32"/>
          <w:lang w:val="en-US" w:eastAsia="zh-CN"/>
        </w:rPr>
        <w:t>委</w:t>
      </w:r>
      <w:r>
        <w:rPr>
          <w:rFonts w:hint="eastAsia" w:ascii="仿宋_GB2312" w:hAnsi="仿宋" w:eastAsia="仿宋_GB2312"/>
          <w:sz w:val="32"/>
          <w:szCs w:val="32"/>
        </w:rPr>
        <w:t>从</w:t>
      </w:r>
      <w:r>
        <w:rPr>
          <w:rFonts w:hint="eastAsia" w:ascii="仿宋_GB2312" w:eastAsia="仿宋_GB2312"/>
          <w:sz w:val="32"/>
          <w:szCs w:val="32"/>
          <w:highlight w:val="none"/>
        </w:rPr>
        <w:t>城市科技创新</w:t>
      </w:r>
      <w:r>
        <w:rPr>
          <w:rFonts w:hint="eastAsia" w:ascii="仿宋_GB2312" w:eastAsia="仿宋_GB2312"/>
          <w:sz w:val="32"/>
          <w:szCs w:val="32"/>
          <w:highlight w:val="none"/>
          <w:lang w:eastAsia="zh-CN"/>
        </w:rPr>
        <w:t>、</w:t>
      </w:r>
      <w:r>
        <w:rPr>
          <w:rFonts w:hint="eastAsia" w:ascii="仿宋_GB2312" w:hAnsi="仿宋" w:eastAsia="仿宋_GB2312"/>
          <w:sz w:val="32"/>
          <w:szCs w:val="32"/>
          <w:lang w:val="en-US" w:eastAsia="zh-CN"/>
        </w:rPr>
        <w:t>加强原创性引领性科技攻关，突破关键核心技术、科技创新区域合作、科技人才奖励选拔、科技支撑高精尖产业发展、培育国家战略科技力量等</w:t>
      </w:r>
      <w:r>
        <w:rPr>
          <w:rFonts w:hint="eastAsia" w:ascii="仿宋_GB2312" w:hAnsi="仿宋" w:eastAsia="仿宋_GB2312"/>
          <w:sz w:val="32"/>
          <w:szCs w:val="32"/>
        </w:rPr>
        <w:t>方面设定了绩效指标，指标设定与全</w:t>
      </w:r>
      <w:r>
        <w:rPr>
          <w:rFonts w:hint="eastAsia" w:ascii="仿宋_GB2312" w:hAnsi="仿宋" w:eastAsia="仿宋_GB2312"/>
          <w:sz w:val="32"/>
          <w:szCs w:val="32"/>
          <w:lang w:val="en-US" w:eastAsia="zh-CN"/>
        </w:rPr>
        <w:t>委</w:t>
      </w:r>
      <w:r>
        <w:rPr>
          <w:rFonts w:hint="eastAsia" w:ascii="仿宋_GB2312" w:hAnsi="仿宋" w:eastAsia="仿宋_GB2312"/>
          <w:sz w:val="32"/>
          <w:szCs w:val="32"/>
        </w:rPr>
        <w:t>职能任务匹配，符合相关法律法规的要求及部门整体支出的客观实际，目标依据充分，具有一定的可操作性和可实现性。</w:t>
      </w:r>
    </w:p>
    <w:p>
      <w:pPr>
        <w:pStyle w:val="3"/>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rPr>
          <w:rFonts w:ascii="黑体" w:hAnsi="黑体" w:eastAsia="黑体"/>
          <w:b w:val="0"/>
          <w:bCs w:val="0"/>
          <w:highlight w:val="none"/>
        </w:rPr>
      </w:pPr>
      <w:bookmarkStart w:id="4" w:name="_Toc25396"/>
      <w:r>
        <w:rPr>
          <w:rFonts w:hint="eastAsia" w:ascii="黑体" w:hAnsi="黑体" w:eastAsia="黑体"/>
          <w:b w:val="0"/>
          <w:bCs w:val="0"/>
          <w:highlight w:val="none"/>
        </w:rPr>
        <w:t>二、当年预算执行情况</w:t>
      </w:r>
      <w:bookmarkEnd w:id="4"/>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2022年全年预算数932,634.67万元。其中，</w:t>
      </w:r>
      <w:r>
        <w:rPr>
          <w:rFonts w:hint="eastAsia" w:ascii="仿宋_GB2312" w:hAnsi="仿宋" w:eastAsia="仿宋_GB2312"/>
          <w:sz w:val="32"/>
          <w:szCs w:val="32"/>
        </w:rPr>
        <w:t>基本</w:t>
      </w:r>
      <w:r>
        <w:rPr>
          <w:rFonts w:hint="eastAsia" w:ascii="仿宋_GB2312" w:hAnsi="仿宋" w:eastAsia="仿宋_GB2312"/>
          <w:sz w:val="32"/>
          <w:szCs w:val="32"/>
          <w:lang w:val="en-US" w:eastAsia="zh-CN"/>
        </w:rPr>
        <w:t>支出预算数</w:t>
      </w:r>
      <w:r>
        <w:rPr>
          <w:rFonts w:hint="eastAsia" w:ascii="仿宋_GB2312" w:hAnsi="仿宋" w:eastAsia="仿宋_GB2312"/>
          <w:sz w:val="32"/>
          <w:szCs w:val="32"/>
        </w:rPr>
        <w:t>36,178.6</w:t>
      </w:r>
      <w:r>
        <w:rPr>
          <w:rFonts w:hint="eastAsia" w:ascii="仿宋_GB2312" w:hAnsi="仿宋" w:eastAsia="仿宋_GB2312"/>
          <w:sz w:val="32"/>
          <w:szCs w:val="32"/>
          <w:lang w:val="en-US" w:eastAsia="zh-CN"/>
        </w:rPr>
        <w:t>4万元，项目支出预算数893,280.29万元，经营支出预算数3,175.74万元。</w:t>
      </w:r>
      <w:r>
        <w:rPr>
          <w:rFonts w:ascii="仿宋_GB2312" w:hAnsi="宋体" w:eastAsia="仿宋_GB2312" w:cs="宋体"/>
          <w:color w:val="000000"/>
          <w:kern w:val="0"/>
          <w:sz w:val="32"/>
          <w:szCs w:val="32"/>
          <w:highlight w:val="none"/>
        </w:rPr>
        <w:t>资金总体</w:t>
      </w:r>
      <w:r>
        <w:rPr>
          <w:rFonts w:hint="eastAsia" w:ascii="仿宋_GB2312" w:hAnsi="宋体" w:eastAsia="仿宋_GB2312" w:cs="宋体"/>
          <w:color w:val="000000"/>
          <w:kern w:val="0"/>
          <w:sz w:val="32"/>
          <w:szCs w:val="32"/>
          <w:highlight w:val="none"/>
        </w:rPr>
        <w:t>支出</w:t>
      </w:r>
      <w:r>
        <w:rPr>
          <w:rFonts w:hint="eastAsia" w:ascii="仿宋_GB2312" w:hAnsi="仿宋" w:eastAsia="仿宋_GB2312"/>
          <w:sz w:val="32"/>
          <w:szCs w:val="32"/>
          <w:lang w:val="en-US" w:eastAsia="zh-CN"/>
        </w:rPr>
        <w:t>657,353.71万元，其中，基本支出30,502.55万元，项目支出623,675.42万元，经营支出3,175.74万元，预算执行率为70.48%。</w:t>
      </w:r>
    </w:p>
    <w:p>
      <w:pPr>
        <w:pStyle w:val="3"/>
        <w:keepNext w:val="0"/>
        <w:keepLines w:val="0"/>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rPr>
          <w:rFonts w:ascii="黑体" w:hAnsi="黑体" w:eastAsia="黑体"/>
          <w:b w:val="0"/>
          <w:bCs w:val="0"/>
          <w:highlight w:val="none"/>
        </w:rPr>
      </w:pPr>
      <w:bookmarkStart w:id="5" w:name="_Toc30743"/>
      <w:r>
        <w:rPr>
          <w:rFonts w:hint="eastAsia" w:ascii="黑体" w:hAnsi="黑体" w:eastAsia="黑体"/>
          <w:b w:val="0"/>
          <w:bCs w:val="0"/>
          <w:highlight w:val="none"/>
        </w:rPr>
        <w:t>三、整体绩效目标实现情况</w:t>
      </w:r>
      <w:bookmarkEnd w:id="5"/>
      <w:r>
        <w:rPr>
          <w:rFonts w:ascii="黑体" w:hAnsi="黑体" w:eastAsia="黑体"/>
          <w:b w:val="0"/>
          <w:bCs w:val="0"/>
          <w:highlight w:val="none"/>
        </w:rPr>
        <w:tab/>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仿宋" w:eastAsia="仿宋_GB2312"/>
          <w:sz w:val="32"/>
          <w:szCs w:val="32"/>
          <w:lang w:val="en-US" w:eastAsia="zh-CN"/>
        </w:rPr>
        <w:t>2022年我委按照部门职责，确定了年度重点工作任务，明确了任务目标及牵头处室、印发《2023年预算绩效管理工作方案》，根据年度重点工作任务安排项目预算，并于2023年4-5月按照《北京市财政局关于2023年推</w:t>
      </w:r>
      <w:r>
        <w:rPr>
          <w:rFonts w:hint="eastAsia" w:ascii="仿宋_GB2312" w:hAnsi="Times New Roman" w:eastAsia="仿宋_GB2312" w:cs="Times New Roman"/>
          <w:color w:val="auto"/>
          <w:sz w:val="32"/>
          <w:szCs w:val="32"/>
          <w:highlight w:val="none"/>
        </w:rPr>
        <w:t>进全面实施预算绩效管理工作的通知》</w:t>
      </w:r>
      <w:r>
        <w:rPr>
          <w:rFonts w:hint="eastAsia" w:ascii="仿宋_GB2312" w:eastAsia="仿宋_GB2312"/>
          <w:color w:val="auto"/>
          <w:sz w:val="32"/>
          <w:szCs w:val="32"/>
          <w:highlight w:val="none"/>
          <w:lang w:val="en-US" w:eastAsia="zh-CN"/>
        </w:rPr>
        <w:t>要求</w:t>
      </w:r>
      <w:r>
        <w:rPr>
          <w:rFonts w:hint="eastAsia" w:ascii="仿宋_GB2312" w:eastAsia="仿宋_GB2312"/>
          <w:color w:val="auto"/>
          <w:sz w:val="32"/>
          <w:szCs w:val="32"/>
          <w:highlight w:val="none"/>
          <w:lang w:eastAsia="zh-CN"/>
        </w:rPr>
        <w:t>对202</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年度部门项目支出实施绩效</w:t>
      </w:r>
      <w:r>
        <w:rPr>
          <w:rFonts w:hint="eastAsia" w:ascii="仿宋_GB2312" w:eastAsia="仿宋_GB2312"/>
          <w:color w:val="auto"/>
          <w:sz w:val="32"/>
          <w:szCs w:val="32"/>
          <w:highlight w:val="none"/>
          <w:lang w:val="en-US" w:eastAsia="zh-CN"/>
        </w:rPr>
        <w:t>自评</w:t>
      </w:r>
      <w:r>
        <w:rPr>
          <w:rFonts w:hint="eastAsia" w:ascii="仿宋_GB2312" w:eastAsia="仿宋_GB2312"/>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评价项目</w:t>
      </w:r>
      <w:r>
        <w:rPr>
          <w:rFonts w:hint="eastAsia" w:ascii="仿宋_GB2312" w:hAnsi="仿宋" w:eastAsia="仿宋_GB2312"/>
          <w:sz w:val="32"/>
          <w:szCs w:val="32"/>
          <w:lang w:val="en-US" w:eastAsia="zh-CN"/>
        </w:rPr>
        <w:t>128个，涉及金额420,014.76万元。单位自评项目128个，评价得分在90（含）-100分的102个、评价得分在8</w:t>
      </w:r>
      <w:r>
        <w:rPr>
          <w:rFonts w:hint="eastAsia" w:ascii="仿宋_GB2312" w:hAnsi="Times New Roman" w:eastAsia="仿宋_GB2312" w:cs="Times New Roman"/>
          <w:color w:val="auto"/>
          <w:sz w:val="32"/>
          <w:szCs w:val="32"/>
          <w:highlight w:val="none"/>
          <w:lang w:eastAsia="zh-CN"/>
        </w:rPr>
        <w:t>0（含）-90分的</w:t>
      </w:r>
      <w:r>
        <w:rPr>
          <w:rFonts w:hint="eastAsia" w:ascii="仿宋_GB2312" w:hAnsi="Times New Roman" w:eastAsia="仿宋_GB2312" w:cs="Times New Roman"/>
          <w:color w:val="auto"/>
          <w:sz w:val="32"/>
          <w:szCs w:val="32"/>
          <w:highlight w:val="none"/>
          <w:lang w:val="en-US" w:eastAsia="zh-CN"/>
        </w:rPr>
        <w:t>24</w:t>
      </w:r>
      <w:r>
        <w:rPr>
          <w:rFonts w:hint="eastAsia" w:ascii="仿宋_GB2312" w:hAnsi="Times New Roman" w:eastAsia="仿宋_GB2312" w:cs="Times New Roman"/>
          <w:color w:val="auto"/>
          <w:sz w:val="32"/>
          <w:szCs w:val="32"/>
          <w:highlight w:val="none"/>
          <w:lang w:eastAsia="zh-CN"/>
        </w:rPr>
        <w:t>个、评价得分在</w:t>
      </w:r>
      <w:r>
        <w:rPr>
          <w:rFonts w:hint="eastAsia" w:ascii="仿宋_GB2312" w:hAnsi="Times New Roman" w:eastAsia="仿宋_GB2312" w:cs="Times New Roman"/>
          <w:color w:val="auto"/>
          <w:sz w:val="32"/>
          <w:szCs w:val="32"/>
          <w:highlight w:val="none"/>
          <w:lang w:val="en-US" w:eastAsia="zh-CN"/>
        </w:rPr>
        <w:t>60</w:t>
      </w:r>
      <w:r>
        <w:rPr>
          <w:rFonts w:hint="eastAsia" w:ascii="仿宋_GB2312" w:hAnsi="Times New Roman" w:eastAsia="仿宋_GB2312" w:cs="Times New Roman"/>
          <w:color w:val="auto"/>
          <w:sz w:val="32"/>
          <w:szCs w:val="32"/>
          <w:highlight w:val="none"/>
          <w:lang w:eastAsia="zh-CN"/>
        </w:rPr>
        <w:t>（含）-</w:t>
      </w:r>
      <w:r>
        <w:rPr>
          <w:rFonts w:hint="eastAsia" w:ascii="仿宋_GB2312" w:hAnsi="Times New Roman" w:eastAsia="仿宋_GB2312" w:cs="Times New Roman"/>
          <w:color w:val="auto"/>
          <w:sz w:val="32"/>
          <w:szCs w:val="32"/>
          <w:highlight w:val="none"/>
          <w:lang w:val="en-US" w:eastAsia="zh-CN"/>
        </w:rPr>
        <w:t>80</w:t>
      </w:r>
      <w:r>
        <w:rPr>
          <w:rFonts w:hint="eastAsia" w:ascii="仿宋_GB2312" w:hAnsi="Times New Roman" w:eastAsia="仿宋_GB2312" w:cs="Times New Roman"/>
          <w:color w:val="auto"/>
          <w:sz w:val="32"/>
          <w:szCs w:val="32"/>
          <w:highlight w:val="none"/>
          <w:lang w:eastAsia="zh-CN"/>
        </w:rPr>
        <w:t>分的</w:t>
      </w:r>
      <w:r>
        <w:rPr>
          <w:rFonts w:hint="eastAsia" w:ascii="仿宋_GB2312" w:hAnsi="Times New Roman"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lang w:eastAsia="zh-CN"/>
        </w:rPr>
        <w:t>个。</w:t>
      </w:r>
    </w:p>
    <w:p>
      <w:pPr>
        <w:pStyle w:val="3"/>
        <w:pageBreakBefore w:val="0"/>
        <w:widowControl w:val="0"/>
        <w:shd w:val="clear"/>
        <w:kinsoku/>
        <w:wordWrap/>
        <w:overflowPunct/>
        <w:topLinePunct w:val="0"/>
        <w:autoSpaceDE/>
        <w:autoSpaceDN/>
        <w:bidi w:val="0"/>
        <w:adjustRightInd w:val="0"/>
        <w:snapToGrid w:val="0"/>
        <w:spacing w:before="0" w:after="0" w:line="360" w:lineRule="auto"/>
        <w:ind w:leftChars="0" w:firstLine="640" w:firstLineChars="200"/>
        <w:textAlignment w:val="auto"/>
        <w:rPr>
          <w:rFonts w:ascii="楷体" w:hAnsi="楷体" w:eastAsia="楷体"/>
          <w:b w:val="0"/>
          <w:bCs w:val="0"/>
          <w:color w:val="auto"/>
          <w:highlight w:val="none"/>
        </w:rPr>
      </w:pPr>
      <w:bookmarkStart w:id="6" w:name="_Toc23211"/>
      <w:r>
        <w:rPr>
          <w:rFonts w:hint="eastAsia" w:ascii="楷体" w:hAnsi="楷体" w:eastAsia="楷体"/>
          <w:b w:val="0"/>
          <w:bCs w:val="0"/>
          <w:color w:val="auto"/>
          <w:highlight w:val="none"/>
        </w:rPr>
        <w:t>（一）产出完成情况分析</w:t>
      </w:r>
      <w:bookmarkEnd w:id="6"/>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2022年全年我委按照任务目标的数量、质量、进度和成本要求完成了各项工作。具体情况如下：</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1.城市科技创新</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我委2022年在城市科技创新方面的重点工作任务主要包括打造碳中和新技术应用场景，</w:t>
      </w:r>
      <w:r>
        <w:rPr>
          <w:rFonts w:hint="eastAsia" w:ascii="仿宋_GB2312" w:hAnsi="仿宋_GB2312" w:eastAsia="仿宋_GB2312" w:cs="仿宋_GB2312"/>
          <w:bCs/>
          <w:sz w:val="32"/>
          <w:szCs w:val="32"/>
        </w:rPr>
        <w:t>设施农业、智慧农业技术推广应用，在城市安全、交通出行、养老、环境治理等领域推动新技术融合应用及新产品示范推广三</w:t>
      </w:r>
      <w:r>
        <w:rPr>
          <w:rFonts w:hint="eastAsia" w:ascii="仿宋_GB2312" w:eastAsia="仿宋_GB2312"/>
          <w:sz w:val="32"/>
          <w:szCs w:val="32"/>
        </w:rPr>
        <w:t>方面内容，各项工作完成情况如下：</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hAnsi="仿宋_GB2312" w:eastAsia="仿宋_GB2312" w:cs="仿宋_GB2312"/>
          <w:sz w:val="32"/>
          <w:szCs w:val="32"/>
        </w:rPr>
        <w:t>（1）打造碳中和新技术应用场景</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bCs/>
          <w:sz w:val="32"/>
          <w:szCs w:val="32"/>
        </w:rPr>
      </w:pPr>
      <w:r>
        <w:rPr>
          <w:rFonts w:hint="eastAsia" w:ascii="仿宋_GB2312" w:eastAsia="仿宋_GB2312"/>
          <w:bCs/>
          <w:sz w:val="32"/>
          <w:szCs w:val="32"/>
        </w:rPr>
        <w:t>围绕能源、交通、产业节能减碳需求，组织立项6个课题，研发含二氧化碳工业尾气生物合成乙醇关键技术、跨临界二氧化碳热泵压缩机技术、工业级钙钛矿叠层电池制备工艺、高温质子膜燃料电池发电系统、轨道交通柔性牵引供电技术、固体废弃物及水泥基胶凝材料固碳矿化技术等碳减排碳中和关键技术6项，打造二氧化碳捕集利用、能源高效利用、太阳能与氢能等清洁能源制备、轨道交通节能运行、水泥行业循环利用等节能减碳应用场景6个，为切实控制二氧化碳等温室气体排放提供有力科技支撑，有效地推动北京市社会经济、生产生活方式朝着绿色低碳方向转型。</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（2）设施农业、智慧农业技术推广应用</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2022年围绕生物育种、设施农业、智慧农业等方面支持课题12项；通过支持推动生物种业技术创新平台建设，攻克种业共性关键技术3项，创制一批优质多抗的种质资源，培育具有自主知识产权的连栋温室专用品种3个；推动国家玉米种业创新中心对接通州种业园区，建立了面向政府和产业的1000余亩生物育种试验示范全景展示基地——种芯农场；推进6项大数据决策系统、高精度传感器、畜禽育种芯片等方面技术成果在海淀、平谷、通州等区域集成与示范。推动农业供给侧结构性改革，支撑农业产业转型升级和产业结构调整，实现农业增效。</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bCs/>
          <w:sz w:val="32"/>
          <w:szCs w:val="32"/>
        </w:rPr>
      </w:pPr>
      <w:r>
        <w:rPr>
          <w:rFonts w:hint="eastAsia" w:ascii="仿宋_GB2312" w:eastAsia="仿宋_GB2312"/>
          <w:bCs/>
          <w:sz w:val="32"/>
          <w:szCs w:val="32"/>
        </w:rPr>
        <w:t>（3）在城市安全、交通出行、养老、环境治理等领域推动新技术融合应用及新产品示范推广</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bCs/>
          <w:sz w:val="32"/>
          <w:szCs w:val="32"/>
        </w:rPr>
      </w:pPr>
      <w:r>
        <w:rPr>
          <w:rFonts w:hint="eastAsia" w:ascii="仿宋_GB2312" w:eastAsia="仿宋_GB2312"/>
          <w:bCs/>
          <w:sz w:val="32"/>
          <w:szCs w:val="32"/>
        </w:rPr>
        <w:t>在科技赋能智慧交通建设方面，组织开展轨道交通智慧调度和低碳运营关键技术攻关，其相关成果已在北京市轨道交通指挥中心示范应用；推动基于城轨节能装置一体化协调控制技术研发并在地铁八通线落地应用；客运枢纽非现场智慧执法技术研发成果已在首都机场、大兴机场交通执法业务中转化应用。</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bCs/>
          <w:sz w:val="32"/>
          <w:szCs w:val="32"/>
        </w:rPr>
      </w:pPr>
      <w:r>
        <w:rPr>
          <w:rFonts w:hint="eastAsia" w:ascii="仿宋_GB2312" w:eastAsia="仿宋_GB2312"/>
          <w:bCs/>
          <w:sz w:val="32"/>
          <w:szCs w:val="32"/>
        </w:rPr>
        <w:t>在持续推进智慧安全应急应用场景建设方面，推动构建北京市应急物资智能管理数据库，整合了北京市及周边区域58个应急物资库、94个应急队伍、325个消防救援站、6类物资分类标签体系及4类知识图谱信息，实现应急物资库资源的智能化管理；组织研发攻关应急物资动态调度关键技术，研制森林灭火指挥调度系统；推动建设公益诉讼线索分析研判系统，相关成果已在我市智慧应急、智慧检务相关应用场景中转化应用。</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bCs/>
          <w:sz w:val="32"/>
          <w:szCs w:val="32"/>
        </w:rPr>
      </w:pPr>
      <w:r>
        <w:rPr>
          <w:rFonts w:hint="eastAsia" w:ascii="仿宋_GB2312" w:eastAsia="仿宋_GB2312"/>
          <w:bCs/>
          <w:sz w:val="32"/>
          <w:szCs w:val="32"/>
        </w:rPr>
        <w:t>在老年人居家、出行等日常生活需求方面，促进新一代信息技术赋能养老产品，组织开展智慧养老技术及产品研发应用，推动形成两项智慧化养老产品，科技支撑养老产品自主创新和引领能力提升。</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bCs/>
          <w:sz w:val="32"/>
          <w:szCs w:val="32"/>
        </w:rPr>
      </w:pPr>
      <w:r>
        <w:rPr>
          <w:rFonts w:hint="eastAsia" w:ascii="仿宋_GB2312" w:eastAsia="仿宋_GB2312"/>
          <w:bCs/>
          <w:sz w:val="32"/>
          <w:szCs w:val="32"/>
        </w:rPr>
        <w:t>在环境治理方面，积极推进生态环境综合治理。研发雨水调蓄设施智慧化调度技术，开发智慧化运行设备；研发排水水质监测终端实现城市排水系统水质快速实时监测；围绕生化垃圾分类，研发生活垃圾分类自动识别技术、投放自动破袋设备、厨余垃圾控水和脱脂设备、厨余垃圾收费支付系统等；围绕气象科技与绿色技术领域，组织开展极端天气预报预警、人工影响天气与新型催化剂、装配式建筑等关键核心技术研发与应用，推动形成气象科技新产品、装配式建筑减隔震装置等新技术、新成果。</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2.加强原创性引领性科技攻关，突破关键核心技术</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highlight w:val="yellow"/>
        </w:rPr>
      </w:pPr>
      <w:r>
        <w:rPr>
          <w:rFonts w:hint="eastAsia" w:ascii="仿宋_GB2312" w:eastAsia="仿宋_GB2312"/>
          <w:sz w:val="32"/>
          <w:szCs w:val="32"/>
        </w:rPr>
        <w:t>我委2022年在加强原创性引领性科技攻关，突破关键核心技术方面的重点工作任务主要包括在第三代半导体、光电子、前沿新材料等领域开展前沿技术研发和关键核心技术攻关，</w:t>
      </w:r>
      <w:r>
        <w:rPr>
          <w:rFonts w:hint="eastAsia" w:ascii="仿宋_GB2312" w:hAnsi="仿宋_GB2312" w:eastAsia="仿宋_GB2312" w:cs="仿宋_GB2312"/>
          <w:bCs/>
          <w:sz w:val="32"/>
          <w:szCs w:val="32"/>
        </w:rPr>
        <w:t>在人工智能、集成电路、融合通信、互联网3.0、区块链等领域开展前沿技术研发和关键核心技术攻关，在生命科学领域取得原创性成果，组织实施好自然科学基金资助工作四</w:t>
      </w:r>
      <w:r>
        <w:rPr>
          <w:rFonts w:hint="eastAsia" w:ascii="仿宋_GB2312" w:eastAsia="仿宋_GB2312"/>
          <w:sz w:val="32"/>
          <w:szCs w:val="32"/>
        </w:rPr>
        <w:t>方面内容，各项工作完成情况如下：</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eastAsia="仿宋_GB2312"/>
          <w:sz w:val="32"/>
          <w:szCs w:val="32"/>
        </w:rPr>
        <w:t>在第三代半导体、光电子、前沿新材料等领域开展前沿技术研发和关键核心技术攻关</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通过前沿新材料技术创新专项支持，清华大学研制出世界首款可量产CMOS光谱成像芯片，实现了从微型光谱仪到光谱成像芯片的跨越；中科院半导体所研制出国际领先水平的14微米的量子级联激光器以及低功耗级联激光器；北京大学在世界上首次获得了国际最好水平的可调谐高功率集成光频梳；清华大学研制的SiC GTO单芯片封装模块，其阻断电压达到12.5kV，不重复峰值浪涌电流接近100A；至格科技建成国内首个表面浮雕光栅母版加工中心，并具备100件/月产能，已为OPPO等手机厂商供货。光学超表面加工平台实现13：1高深宽比加工能力，设计并加工出视场角42度的10层多焦面近眼显示元件。累积在光电子材料与器件、宽禁带半导体材料与器件、虚拟现实以及其他前沿材料技术领域取得国内领先、国际先进成果、申请专利、培养国内领先团队。这一系列研究成果带动了社会资本的投入，进一步推动了产业的集聚发展，有效推进技术成果落地。</w:t>
      </w:r>
    </w:p>
    <w:p>
      <w:pPr>
        <w:pageBreakBefore w:val="0"/>
        <w:numPr>
          <w:ilvl w:val="0"/>
          <w:numId w:val="1"/>
        </w:numPr>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在人工智能、集成电路、融合通信、互联网3.0、区块链等领域开展前沿技术研发和关键核心技术攻关</w:t>
      </w:r>
    </w:p>
    <w:p>
      <w:pPr>
        <w:pStyle w:val="5"/>
        <w:pageBreakBefore w:val="0"/>
        <w:numPr>
          <w:ilvl w:val="-1"/>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人工智能方向，在超大规模智能模型、高精度生命智能模型、通用视觉模型、通用智能体原型系统、科学智能等方面开展技术攻关，推动在人工智能领域原始创新突破。</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集成电路方向，推动开展可重构存算一体芯片、感存算一体芯片、高性能ADC芯片等6项关键技术攻关。</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融合通信方向，在地面终端液晶相控阵天线等卫星宽带用户终端及关键部件，数字孪生的无线网络自治等6G交叉融合，NFC等短距离通信等方面开展核心技术突破，推动抢占融合通信技术发展。</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互联网3.0方向，面向互联网3.0新兴产业发展和自主生态培育需求，围绕全国产XR操作系统、面向不同行业应用的3D渲染引擎、渲染资源调度技术、数字人表情自动绑定工具等开展自主攻关。</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eastAsia="仿宋_GB2312"/>
          <w:sz w:val="32"/>
          <w:szCs w:val="32"/>
        </w:rPr>
      </w:pPr>
      <w:r>
        <w:rPr>
          <w:rFonts w:hint="eastAsia" w:ascii="仿宋_GB2312" w:hAnsi="Calibri" w:eastAsia="仿宋_GB2312" w:cs="Times New Roman"/>
          <w:sz w:val="32"/>
          <w:szCs w:val="32"/>
        </w:rPr>
        <w:t>区块链方向，围绕物联网区块链专用芯片完成物理不可克隆关键技术、长安链底层关键技术组件和平台等方面开展的研发，推进区块链关键核心技术攻关。</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（3）在生命科学领域取得原创性成果</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着力支持科技抗疫，我市国内首款新冠中和抗体药获批上市并商业化生产，2款新冠广谱药物鼻喷剂研发进展居国内前列，全球首个数字PCR新冠检测产品获批上市，万泰鼻喷疫苗、神州细胞的二价重组蛋白疫苗获批紧急使用，两支灭活疫苗累计向全球贡献55亿剂。</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（4）组织实施好自然科学基金资助工作</w:t>
      </w:r>
    </w:p>
    <w:p>
      <w:pPr>
        <w:pageBreakBefore w:val="0"/>
        <w:kinsoku/>
        <w:wordWrap/>
        <w:overflowPunct/>
        <w:topLinePunct w:val="0"/>
        <w:autoSpaceDE/>
        <w:autoSpaceDN/>
        <w:bidi w:val="0"/>
        <w:adjustRightInd w:val="0"/>
        <w:snapToGrid w:val="0"/>
        <w:spacing w:line="360" w:lineRule="auto"/>
        <w:ind w:firstLine="640" w:firstLineChars="200"/>
        <w:textAlignment w:val="auto"/>
      </w:pPr>
      <w:r>
        <w:rPr>
          <w:rFonts w:hint="eastAsia" w:ascii="仿宋_GB2312" w:hAnsi="仿宋_GB2312" w:eastAsia="仿宋_GB2312" w:cs="仿宋_GB2312"/>
          <w:bCs/>
          <w:sz w:val="32"/>
          <w:szCs w:val="32"/>
        </w:rPr>
        <w:t>通过杰青及青年项目持续强化青年人才培养，资助了115项青年项目、30项杰青项目，围绕北京地区重点关注领域开展研究工作。</w:t>
      </w:r>
      <w:r>
        <w:rPr>
          <w:rFonts w:hint="eastAsia" w:ascii="仿宋_GB2312" w:hAnsi="仿宋_GB2312" w:eastAsia="仿宋_GB2312" w:cs="仿宋_GB2312"/>
          <w:bCs/>
          <w:sz w:val="32"/>
          <w:szCs w:val="32"/>
          <w:highlight w:val="none"/>
        </w:rPr>
        <w:t>通过重点研究专题推动基础研究交叉融合，2022年围绕数字经济、纳米材料、新一代电池、单分子单细胞等重点领域发布申报指南</w:t>
      </w:r>
      <w:r>
        <w:rPr>
          <w:rFonts w:hint="eastAsia" w:ascii="仿宋_GB2312" w:hAnsi="仿宋_GB2312" w:eastAsia="仿宋_GB2312" w:cs="仿宋_GB2312"/>
          <w:bCs/>
          <w:sz w:val="32"/>
          <w:szCs w:val="32"/>
        </w:rPr>
        <w:t>，资助25个项目，精细化过程管理，助力项目统筹开展，提升项目合作交流。通过面上项目及面上专项鼓励科研人员开展前沿探索，围绕世界科技前沿、经济主战场、首都发展需求和人民生命健康领域，资助2022年度面上项目及面上专项共846项。</w:t>
      </w:r>
      <w:r>
        <w:rPr>
          <w:rFonts w:hint="eastAsia" w:ascii="仿宋_GB2312" w:hAnsi="仿宋_GB2312" w:eastAsia="仿宋_GB2312" w:cs="仿宋_GB2312"/>
          <w:bCs/>
          <w:sz w:val="32"/>
          <w:szCs w:val="32"/>
          <w:highlight w:val="none"/>
        </w:rPr>
        <w:t>通过联合基金吸引和调动社会资源投入基础研究</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2022年新增3家企业及1家公益基金会加入联合基金工作。</w:t>
      </w:r>
      <w:r>
        <w:rPr>
          <w:rFonts w:hint="eastAsia" w:ascii="仿宋_GB2312" w:hAnsi="仿宋_GB2312" w:eastAsia="仿宋_GB2312" w:cs="仿宋_GB2312"/>
          <w:bCs/>
          <w:sz w:val="32"/>
          <w:szCs w:val="32"/>
          <w:highlight w:val="none"/>
          <w:lang w:eastAsia="zh-CN"/>
        </w:rPr>
        <w:t>通过小米、海淀、丰台联合基金，围绕</w:t>
      </w:r>
      <w:r>
        <w:rPr>
          <w:rFonts w:hint="eastAsia" w:ascii="仿宋_GB2312" w:hAnsi="仿宋_GB2312" w:eastAsia="仿宋_GB2312" w:cs="仿宋_GB2312"/>
          <w:sz w:val="32"/>
          <w:szCs w:val="40"/>
          <w:highlight w:val="none"/>
          <w:lang w:val="en-US" w:eastAsia="zh-CN"/>
        </w:rPr>
        <w:t>智能汽车、机器人、无线通信、医学工程、城市轨道交通等产业技术需求，资助项目218项</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深入推进国家自然科学基金区域创新发展联合基金。2022年度北京地区指南共申报项目179项，资助35项，资助项目中30项与北京企业合作</w:t>
      </w:r>
      <w:r>
        <w:rPr>
          <w:rFonts w:hint="eastAsia" w:ascii="仿宋_GB2312" w:hAnsi="Calibri" w:eastAsia="仿宋_GB2312" w:cs="Times New Roman"/>
          <w:bCs w:val="0"/>
          <w:sz w:val="32"/>
          <w:szCs w:val="32"/>
        </w:rPr>
        <w:t>。举办“第三届国基金优秀成果北京对接会”，推荐14个项目成果到会路演，组织30余家企业、投资机构参会，8个项目团队与有关企业达成初步合作意向。</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3.科技</w:t>
      </w:r>
      <w:r>
        <w:rPr>
          <w:rFonts w:hint="eastAsia" w:ascii="仿宋_GB2312" w:eastAsia="仿宋_GB2312"/>
          <w:sz w:val="32"/>
          <w:szCs w:val="32"/>
          <w:lang w:eastAsia="zh-CN"/>
        </w:rPr>
        <w:t>协作与支援合作</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我委2022年在</w:t>
      </w:r>
      <w:r>
        <w:rPr>
          <w:rFonts w:hint="eastAsia" w:ascii="仿宋_GB2312" w:eastAsia="仿宋_GB2312"/>
          <w:sz w:val="32"/>
          <w:szCs w:val="32"/>
          <w:lang w:eastAsia="zh-CN"/>
        </w:rPr>
        <w:t>科技协作与支援合作</w:t>
      </w:r>
      <w:r>
        <w:rPr>
          <w:rFonts w:hint="eastAsia" w:ascii="仿宋_GB2312" w:eastAsia="仿宋_GB2312"/>
          <w:sz w:val="32"/>
          <w:szCs w:val="32"/>
        </w:rPr>
        <w:t>方面的重点工作任务主要包括</w:t>
      </w:r>
      <w:r>
        <w:rPr>
          <w:rFonts w:hint="eastAsia" w:ascii="仿宋_GB2312" w:eastAsia="仿宋_GB2312"/>
          <w:sz w:val="32"/>
          <w:szCs w:val="32"/>
          <w:lang w:eastAsia="zh-CN"/>
        </w:rPr>
        <w:t>京津冀科技创新协同</w:t>
      </w:r>
      <w:r>
        <w:rPr>
          <w:rFonts w:hint="eastAsia" w:ascii="仿宋_GB2312" w:eastAsia="仿宋_GB2312"/>
          <w:sz w:val="32"/>
          <w:szCs w:val="32"/>
        </w:rPr>
        <w:t>、</w:t>
      </w:r>
      <w:r>
        <w:rPr>
          <w:rFonts w:hint="eastAsia" w:ascii="仿宋_GB2312" w:hAnsi="Calibri" w:eastAsia="仿宋_GB2312" w:cs="Times New Roman"/>
          <w:bCs w:val="0"/>
          <w:sz w:val="32"/>
          <w:szCs w:val="32"/>
          <w:lang w:eastAsia="zh-CN"/>
        </w:rPr>
        <w:t>科技创新区域合作</w:t>
      </w:r>
      <w:r>
        <w:rPr>
          <w:rFonts w:hint="eastAsia" w:ascii="仿宋_GB2312" w:hAnsi="Calibri" w:eastAsia="仿宋_GB2312" w:cs="Times New Roman"/>
          <w:bCs w:val="0"/>
          <w:sz w:val="32"/>
          <w:szCs w:val="32"/>
        </w:rPr>
        <w:t>两</w:t>
      </w:r>
      <w:r>
        <w:rPr>
          <w:rFonts w:hint="eastAsia" w:ascii="仿宋_GB2312" w:eastAsia="仿宋_GB2312"/>
          <w:sz w:val="32"/>
          <w:szCs w:val="32"/>
        </w:rPr>
        <w:t>方面内容，各项工作完成情况如下：</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推进京津冀科技创新协同</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2022年京津冀科技创新协同专项以“体系化建设、模式化发展”为主线，以“搭建平台、开展服务、对接应用场景”为内容共布局9个项目，围绕首都圈建设，突出雄安、北三县等京津冀重点区域，加强京津冀科技协同创新规划衔接和政策协同，有序推进创新链在京津冀合理布局，推进京津冀产业链数字化改造提升，持续推动年初目标任务落实。</w:t>
      </w:r>
      <w:r>
        <w:rPr>
          <w:rFonts w:hint="eastAsia" w:ascii="仿宋_GB2312" w:eastAsia="仿宋_GB2312"/>
          <w:sz w:val="32"/>
          <w:szCs w:val="32"/>
          <w:lang w:eastAsia="zh-CN"/>
        </w:rPr>
        <w:t>通过</w:t>
      </w:r>
      <w:r>
        <w:rPr>
          <w:rFonts w:hint="eastAsia" w:ascii="仿宋_GB2312" w:eastAsia="仿宋_GB2312"/>
          <w:sz w:val="32"/>
          <w:szCs w:val="32"/>
        </w:rPr>
        <w:t>引导北京适用科技成果在津冀转化，以创新链带动产业链和供应链，以科技创新</w:t>
      </w:r>
      <w:r>
        <w:rPr>
          <w:rFonts w:hint="eastAsia" w:ascii="仿宋_GB2312" w:eastAsia="仿宋_GB2312"/>
          <w:sz w:val="32"/>
          <w:szCs w:val="32"/>
          <w:lang w:eastAsia="zh-CN"/>
        </w:rPr>
        <w:t>推动京津冀协同发展</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（2）组织实施科技</w:t>
      </w:r>
      <w:r>
        <w:rPr>
          <w:rFonts w:hint="eastAsia" w:ascii="仿宋_GB2312" w:eastAsia="仿宋_GB2312"/>
          <w:sz w:val="32"/>
          <w:szCs w:val="32"/>
          <w:lang w:eastAsia="zh-CN"/>
        </w:rPr>
        <w:t>创新区域合作</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发挥首都科技资源、成果优势，围绕绿色农产品、稀土资源、智能制造等重点领域</w:t>
      </w:r>
      <w:r>
        <w:rPr>
          <w:rFonts w:hint="eastAsia" w:ascii="仿宋_GB2312" w:eastAsia="仿宋_GB2312"/>
          <w:sz w:val="32"/>
          <w:szCs w:val="32"/>
          <w:lang w:eastAsia="zh-CN"/>
        </w:rPr>
        <w:t>在</w:t>
      </w:r>
      <w:r>
        <w:rPr>
          <w:rFonts w:hint="eastAsia" w:ascii="仿宋_GB2312" w:eastAsia="仿宋_GB2312"/>
          <w:sz w:val="32"/>
          <w:szCs w:val="32"/>
        </w:rPr>
        <w:t>支援合作地区布局5个项目；通过支持成熟适用可推广、可复制的应用场景示范项目在合作地落地，推动我市成熟科技创新成果在合作地转化</w:t>
      </w:r>
      <w:r>
        <w:rPr>
          <w:rFonts w:hint="eastAsia" w:ascii="仿宋_GB2312" w:eastAsia="仿宋_GB2312"/>
          <w:sz w:val="32"/>
          <w:szCs w:val="32"/>
          <w:lang w:eastAsia="zh-CN"/>
        </w:rPr>
        <w:t>推广</w:t>
      </w:r>
      <w:r>
        <w:rPr>
          <w:rFonts w:hint="eastAsia" w:ascii="仿宋_GB2312" w:eastAsia="仿宋_GB2312"/>
          <w:sz w:val="32"/>
          <w:szCs w:val="32"/>
        </w:rPr>
        <w:t>，以科技创新引领合作地高精尖产业高质量发展，支持合作地产业经济社会效益提升。</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4.科技人才</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highlight w:val="yellow"/>
        </w:rPr>
      </w:pPr>
      <w:r>
        <w:rPr>
          <w:rFonts w:hint="eastAsia" w:ascii="仿宋_GB2312" w:eastAsia="仿宋_GB2312"/>
          <w:sz w:val="32"/>
          <w:szCs w:val="32"/>
        </w:rPr>
        <w:t>我委2022年在科技人才方面的重点工作任务主要包括</w:t>
      </w:r>
      <w:r>
        <w:rPr>
          <w:rFonts w:hint="eastAsia" w:ascii="仿宋_GB2312" w:hAnsi="仿宋_GB2312" w:eastAsia="仿宋_GB2312" w:cs="仿宋_GB2312"/>
          <w:bCs/>
          <w:sz w:val="32"/>
          <w:szCs w:val="32"/>
        </w:rPr>
        <w:t>选拔支持科技新星、组织实施本年度市科技奖励工作</w:t>
      </w:r>
      <w:r>
        <w:rPr>
          <w:rFonts w:hint="eastAsia" w:ascii="仿宋_GB2312" w:hAnsi="黑体" w:eastAsia="仿宋_GB2312"/>
          <w:bCs/>
          <w:sz w:val="32"/>
          <w:szCs w:val="32"/>
        </w:rPr>
        <w:t>两</w:t>
      </w:r>
      <w:r>
        <w:rPr>
          <w:rFonts w:hint="eastAsia" w:ascii="仿宋_GB2312" w:eastAsia="仿宋_GB2312"/>
          <w:sz w:val="32"/>
          <w:szCs w:val="32"/>
        </w:rPr>
        <w:t>方面内容，各项工作完成情况如下：</w:t>
      </w:r>
    </w:p>
    <w:p>
      <w:pPr>
        <w:pageBreakBefore w:val="0"/>
        <w:widowControl/>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（1）选拔支持科技新星</w:t>
      </w:r>
    </w:p>
    <w:p>
      <w:pPr>
        <w:pageBreakBefore w:val="0"/>
        <w:widowControl/>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2022年度通过初审、复审，产生了创新新星</w:t>
      </w:r>
      <w:r>
        <w:rPr>
          <w:rFonts w:hint="default" w:ascii="仿宋_GB2312" w:hAnsi="仿宋_GB2312" w:eastAsia="仿宋_GB2312" w:cs="仿宋_GB2312"/>
          <w:color w:val="auto"/>
          <w:sz w:val="32"/>
          <w:szCs w:val="32"/>
          <w:lang w:val="en-US"/>
        </w:rPr>
        <w:t>150</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其中联合培养人员8人，每人40万元，培养期为2-3年；创业新星14人，每人60万元，培养期为1-2年；通过专家评审等环节，已完成对2019年入选科技新星结题验收102人，领军人才27人。</w:t>
      </w:r>
    </w:p>
    <w:p>
      <w:pPr>
        <w:pageBreakBefore w:val="0"/>
        <w:widowControl/>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（2）组织实施本年度市科技奖励工作</w:t>
      </w:r>
    </w:p>
    <w:p>
      <w:pPr>
        <w:pageBreakBefore w:val="0"/>
        <w:widowControl/>
        <w:kinsoku/>
        <w:wordWrap/>
        <w:overflowPunct/>
        <w:topLinePunct w:val="0"/>
        <w:autoSpaceDE/>
        <w:autoSpaceDN/>
        <w:bidi w:val="0"/>
        <w:adjustRightInd w:val="0"/>
        <w:snapToGrid w:val="0"/>
        <w:spacing w:line="360" w:lineRule="auto"/>
        <w:ind w:firstLine="640" w:firstLineChars="200"/>
        <w:textAlignment w:val="auto"/>
        <w:rPr>
          <w:rFonts w:ascii="仿宋_GB2312" w:hAnsi="仿宋" w:eastAsia="仿宋_GB2312" w:cs="仿宋"/>
          <w:bCs/>
          <w:sz w:val="32"/>
          <w:szCs w:val="32"/>
        </w:rPr>
      </w:pPr>
      <w:r>
        <w:rPr>
          <w:rFonts w:hint="eastAsia" w:ascii="仿宋_GB2312" w:hAnsi="仿宋_GB2312" w:eastAsia="仿宋_GB2312" w:cs="仿宋_GB2312"/>
          <w:bCs/>
          <w:sz w:val="32"/>
          <w:szCs w:val="32"/>
        </w:rPr>
        <w:t>完成2021年度北京市科学技术奖评审与颁奖，人物奖16人，191项项目获奖，获奖成果在突破原始创新、支撑高精尖产业发展、服务国家重大需求、保障人民幸福生活等方面发挥了重要作用；使优秀科技人才和项目脱颖而出，使科研人员得到表彰，为提升原始创新水平、促进关键核心技术攻关、推动成果转移转化、构建高精尖经济结构、实现北京高质量发展，发挥更加积极的导向和激励作用，为北京建设国际科技创新中心提供有力支撑。</w:t>
      </w:r>
    </w:p>
    <w:p>
      <w:pPr>
        <w:pageBreakBefore w:val="0"/>
        <w:widowControl/>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5.科技支撑高精尖产业发展</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highlight w:val="yellow"/>
        </w:rPr>
      </w:pPr>
      <w:r>
        <w:rPr>
          <w:rFonts w:hint="eastAsia" w:ascii="仿宋_GB2312" w:eastAsia="仿宋_GB2312"/>
          <w:sz w:val="32"/>
          <w:szCs w:val="32"/>
        </w:rPr>
        <w:t>我委2022年在科技支撑高精尖产业发展方面的重点工作任务主要包括</w:t>
      </w:r>
      <w:r>
        <w:rPr>
          <w:rFonts w:hint="eastAsia" w:ascii="仿宋_GB2312" w:hAnsi="仿宋_GB2312" w:eastAsia="仿宋_GB2312" w:cs="仿宋_GB2312"/>
          <w:bCs/>
          <w:sz w:val="32"/>
          <w:szCs w:val="32"/>
        </w:rPr>
        <w:t>促进科技服务业发展、</w:t>
      </w:r>
      <w:r>
        <w:rPr>
          <w:rFonts w:hint="eastAsia" w:ascii="仿宋_GB2312" w:hAnsi="仿宋_GB2312" w:eastAsia="仿宋_GB2312" w:cs="仿宋_GB2312"/>
          <w:sz w:val="32"/>
          <w:szCs w:val="32"/>
        </w:rPr>
        <w:t>支持创新药品种获批上市、支持人工智能医疗产品研发和应用</w:t>
      </w:r>
      <w:r>
        <w:rPr>
          <w:rFonts w:hint="eastAsia" w:ascii="仿宋_GB2312" w:hAnsi="仿宋_GB2312" w:eastAsia="仿宋_GB2312" w:cs="仿宋_GB2312"/>
          <w:bCs/>
          <w:sz w:val="32"/>
          <w:szCs w:val="32"/>
        </w:rPr>
        <w:t>三</w:t>
      </w:r>
      <w:r>
        <w:rPr>
          <w:rFonts w:hint="eastAsia" w:ascii="仿宋_GB2312" w:eastAsia="仿宋_GB2312"/>
          <w:sz w:val="32"/>
          <w:szCs w:val="32"/>
        </w:rPr>
        <w:t>方面内容，各项工作完成情况如下：</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（1）促进科技服务业发展</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Cs/>
          <w:sz w:val="32"/>
          <w:szCs w:val="32"/>
        </w:rPr>
        <w:t>聚焦工程技术、检验检测、科技咨询领域，支持了15家科技服务品牌机构，科技服务专业开放平台搭建22家，服务11000家企业及团队</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支持38家机构聚集未来科学城、怀柔科学城、北京经济技术开发区和</w:t>
      </w:r>
      <w:bookmarkStart w:id="20" w:name="_GoBack"/>
      <w:bookmarkEnd w:id="20"/>
      <w:r>
        <w:rPr>
          <w:rFonts w:hint="eastAsia" w:ascii="仿宋_GB2312" w:hAnsi="仿宋_GB2312" w:eastAsia="仿宋_GB2312" w:cs="仿宋_GB2312"/>
          <w:bCs/>
          <w:sz w:val="32"/>
          <w:szCs w:val="32"/>
        </w:rPr>
        <w:t>北京城市副中心。</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（2）支持创新药品种获批上市</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支持10项产业创新研发和临床试验的共性关键技术平台，进一步提升产业服务能力；支持34个创新药及高端器械创新品种的临床前及临床研究，加快研发转化，储备产业发展新增量；支持5个重大新技术新产品临床示范应用研究，促进创新药、医疗产品转化，进入医院采购扩大应用。持续推动新冠中和抗体药物研发及上市工作。</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（3）支持人工智能医疗产品研发和应用</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推动25项数字医疗科技计划课题立项，并开展了项目管理和创新主体服务等工作，跟踪数字医疗领域前沿技术研发动态和发展趋势，推动了一批数字医疗新技术、新产品和装备的研发，保持北京人工智能医疗产业全国领跑势头，提升药物研发效率。推动AI辅助诊疗产品试点商业化应用，探索医保支付路径，为产业闭环良性发展提供科技支撑。支持开展人工智能医疗产品、数字疗法、AI药物研发关键技术等研究25项。</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6.培育国家战略科技力量</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highlight w:val="yellow"/>
        </w:rPr>
      </w:pPr>
      <w:r>
        <w:rPr>
          <w:rFonts w:hint="eastAsia" w:ascii="仿宋_GB2312" w:eastAsia="仿宋_GB2312"/>
          <w:sz w:val="32"/>
          <w:szCs w:val="32"/>
        </w:rPr>
        <w:t>我委2022年在科技人才方面的重点工作任务主要包括</w:t>
      </w:r>
      <w:r>
        <w:rPr>
          <w:rFonts w:hint="eastAsia" w:ascii="仿宋_GB2312" w:hAnsi="仿宋_GB2312" w:eastAsia="仿宋_GB2312" w:cs="仿宋_GB2312"/>
          <w:bCs/>
          <w:sz w:val="32"/>
          <w:szCs w:val="32"/>
        </w:rPr>
        <w:t>京津冀国家技术创新中心建设，支持基础性、前沿性机构平台建设，支持新型研发机构建设</w:t>
      </w:r>
      <w:r>
        <w:rPr>
          <w:rFonts w:hint="eastAsia" w:ascii="仿宋_GB2312" w:hAnsi="黑体" w:eastAsia="仿宋_GB2312"/>
          <w:bCs/>
          <w:sz w:val="32"/>
          <w:szCs w:val="32"/>
        </w:rPr>
        <w:t>三</w:t>
      </w:r>
      <w:r>
        <w:rPr>
          <w:rFonts w:hint="eastAsia" w:ascii="仿宋_GB2312" w:eastAsia="仿宋_GB2312"/>
          <w:sz w:val="32"/>
          <w:szCs w:val="32"/>
        </w:rPr>
        <w:t>方面内容，各项工作完成情况如下：</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（1）京津冀国家技术创新中心建设</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一是</w:t>
      </w:r>
      <w:r>
        <w:rPr>
          <w:rFonts w:hint="eastAsia" w:ascii="仿宋_GB2312" w:hAnsi="宋体" w:eastAsia="仿宋_GB2312" w:cs="宋体"/>
          <w:sz w:val="32"/>
          <w:szCs w:val="32"/>
        </w:rPr>
        <w:t>建设高水平科技成果转化体系，布局科技成果专利池5个；组织科技成果推广活动30余场；与国际工发组织、英国国立能源研究加速器联盟（ERA）等2个机构开展国际技术转移项目。完成12个项目的概念验证工作；构建高精尖经济结构要求的清华大学科技成果在京转移转化落地。</w:t>
      </w:r>
      <w:r>
        <w:rPr>
          <w:rFonts w:hint="eastAsia" w:ascii="仿宋_GB2312" w:hAnsi="仿宋_GB2312" w:eastAsia="仿宋_GB2312" w:cs="仿宋_GB2312"/>
          <w:sz w:val="32"/>
          <w:szCs w:val="32"/>
        </w:rPr>
        <w:t>二是</w:t>
      </w:r>
      <w:r>
        <w:rPr>
          <w:rFonts w:hint="eastAsia" w:ascii="仿宋_GB2312" w:hAnsi="宋体" w:eastAsia="仿宋_GB2312" w:cs="宋体"/>
          <w:sz w:val="32"/>
          <w:szCs w:val="32"/>
        </w:rPr>
        <w:t>聚焦医疗器械等医工融合的高端制造领域，为医药健康行业创新企业的高质量、可持续发展提供全链条的支撑。</w:t>
      </w:r>
      <w:r>
        <w:rPr>
          <w:rFonts w:hint="eastAsia" w:ascii="仿宋_GB2312" w:hAnsi="仿宋_GB2312" w:eastAsia="仿宋_GB2312" w:cs="仿宋_GB2312"/>
          <w:sz w:val="32"/>
          <w:szCs w:val="32"/>
        </w:rPr>
        <w:t>三是</w:t>
      </w:r>
      <w:r>
        <w:rPr>
          <w:rFonts w:hint="eastAsia" w:ascii="仿宋_GB2312" w:hAnsi="宋体" w:eastAsia="仿宋_GB2312" w:cs="宋体"/>
          <w:sz w:val="32"/>
          <w:szCs w:val="32"/>
        </w:rPr>
        <w:t>投资11个硬科技创新创业企业，实现了科技创新企业从初创到</w:t>
      </w:r>
      <w:r>
        <w:rPr>
          <w:rFonts w:hint="eastAsia" w:ascii="仿宋_GB2312" w:hAnsi="仿宋_GB2312" w:eastAsia="仿宋_GB2312" w:cs="仿宋_GB2312"/>
          <w:bCs/>
          <w:sz w:val="32"/>
          <w:szCs w:val="32"/>
        </w:rPr>
        <w:t>行业领军的跨越式发展。</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（2）支持基础性、前沿性机构平台建设</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支持北京微芯区块链与边缘计算研究院、北京数原数字化城市研究中心、北京科学智能研究院、北京通用智能研究院建设、北京生物结构前沿研究中心、全球健康药物研究中心、北京石墨烯研究院、清华工业开发研究院8家基础性、前沿性机构平台建设。具体情况如下：</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①北京微芯区块链与边缘计算研究院。围绕长安链软硬件关键技术和平台研发等4个任务顺利推进，已完成物联网区块链专用芯片关键技术完成物理不可克隆关键技术的研发，形成芯片物理不可克隆函数IP核1个。完成长安链底层关键技术组件和平台研发研究区块链高安全和强隐私保护的关键技术。完成长安链协作网络关键技术研发和示范应用。</w:t>
      </w:r>
      <w:r>
        <w:rPr>
          <w:rFonts w:hint="eastAsia" w:ascii="仿宋_GB2312" w:hAnsi="仿宋_GB2312" w:eastAsia="仿宋_GB2312" w:cs="仿宋_GB2312"/>
          <w:sz w:val="32"/>
          <w:szCs w:val="32"/>
        </w:rPr>
        <w:t>完成长安链开源社区建设，持续提升长安链开源社区品牌形象与影响力，举办线上线下活动6次，新增生态开发者7000人，社区媒体矩阵日均访问量超过4000次，长安链开源社区已成长为国内区块链领域最活跃的开源平台之一</w:t>
      </w:r>
      <w:r>
        <w:rPr>
          <w:rFonts w:hint="eastAsia" w:ascii="仿宋_GB2312" w:hAnsi="仿宋_GB2312" w:eastAsia="仿宋_GB2312" w:cs="仿宋_GB2312"/>
          <w:sz w:val="32"/>
          <w:szCs w:val="32"/>
          <w:lang w:eastAsia="zh-CN"/>
        </w:rPr>
        <w:t>。</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②北京数原数字化城市研究中心。2022年，数原中心为进一步聚焦空间计算操作系统的数字原生城市前沿技术和产业生态需求，明确空间计算操作系统的“加速器”定位，重新调整了科研方向和科研任务，在城市感知方面，为空间计算操作系统提供感知定位能力；在城市元宇宙方面，初步实现了适配与同步空间对象模型的Unity插件、弹性实时云渲染原型系统，已在东升科技园应用。</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③北京科学智能研究院。2022年，科学智能研究院持续围绕微观科学计算基础理论开展研究，加快建设材料数据库与模型库，搭建新一代科学计算软件平台，建设面向全球的科学智能开源社区，在分子动力学模拟、国产密度泛函求解软件开发、科学智能领域生态和开源社区建设等方面已取得突破。</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④</w:t>
      </w:r>
      <w:r>
        <w:rPr>
          <w:rFonts w:hint="eastAsia" w:ascii="仿宋_GB2312" w:hAnsi="仿宋_GB2312" w:eastAsia="仿宋_GB2312" w:cs="仿宋_GB2312"/>
          <w:bCs/>
          <w:sz w:val="32"/>
          <w:szCs w:val="32"/>
          <w:lang w:eastAsia="zh-CN"/>
        </w:rPr>
        <w:t>北京通用人工智能研究院</w:t>
      </w:r>
      <w:r>
        <w:rPr>
          <w:rFonts w:hint="eastAsia" w:ascii="仿宋_GB2312" w:hAnsi="仿宋_GB2312" w:eastAsia="仿宋_GB2312" w:cs="仿宋_GB2312"/>
          <w:bCs/>
          <w:sz w:val="32"/>
          <w:szCs w:val="32"/>
        </w:rPr>
        <w:t>。围绕通用智能体</w:t>
      </w:r>
      <w:r>
        <w:rPr>
          <w:rFonts w:hint="eastAsia" w:ascii="仿宋_GB2312" w:hAnsi="仿宋_GB2312" w:eastAsia="仿宋_GB2312" w:cs="仿宋_GB2312"/>
          <w:bCs/>
          <w:sz w:val="32"/>
          <w:szCs w:val="32"/>
          <w:lang w:eastAsia="zh-CN"/>
        </w:rPr>
        <w:t>开展核心技术研究，并在通用人工智能操作系统、通用人工智能编程语言等方面取得研究进展。</w:t>
      </w:r>
      <w:r>
        <w:rPr>
          <w:rFonts w:hint="eastAsia" w:ascii="仿宋_GB2312" w:hAnsi="仿宋_GB2312" w:eastAsia="仿宋_GB2312" w:cs="仿宋_GB2312"/>
          <w:bCs/>
          <w:sz w:val="32"/>
          <w:szCs w:val="32"/>
        </w:rPr>
        <w:t>人才队伍总规模190余人，海外引进科研和工程技术人才25人，具有海外背景人员50余人，硕士以上学历人员占比约90%，探索出一条“从通班到通院”的人才成长通道。在国际知名期刊及会议上投稿论文90余篇，发表（含录用）论文35篇</w:t>
      </w:r>
      <w:r>
        <w:rPr>
          <w:rFonts w:hint="eastAsia" w:ascii="仿宋_GB2312" w:hAnsi="仿宋_GB2312" w:eastAsia="仿宋_GB2312" w:cs="仿宋_GB2312"/>
          <w:bCs/>
          <w:sz w:val="32"/>
          <w:szCs w:val="32"/>
          <w:lang w:eastAsia="zh-CN"/>
        </w:rPr>
        <w:t>。</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⑤北京生物结构前沿研究中心。前沿中心已建成一支由施一公教授牵头，由院士、专家学者、杰出青年组成的梯度合理研究团队，涌现了一批前瞻性科研成果及应用，累计在《自然》等国际顶尖期刊发表论文54篇。持续支持与生物结构学密切相关的平台建设，实行24小时开放式服务。</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⑥全球健康药物研究中心。GHDDI已成功推出1款自主创新新冠小分子药物获批进入临床研究阶段，同时在结核病、疟疾、肠道疾病及包虫病等领域布局14项在研项目；已建立全自动化的药物发现高通量筛选系统以及全球已知最大的“老药新用”化合物库，以支持更快的筛选出安全且有效药物；持续发挥国际药物研发领域影响力。</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⑦北京石墨烯研究院建设。推动石墨烯材料和装备产业化，初步实现蒙烯玻纤产品的规模化销售，石墨烯检测与标准共性技术平台建设稳步推进，参与了3项石墨烯国家标准的起草编写工作，突破3项石墨烯应用技术，形成良好的应用示范。</w:t>
      </w:r>
    </w:p>
    <w:p>
      <w:pPr>
        <w:pageBreakBefore w:val="0"/>
        <w:kinsoku/>
        <w:wordWrap/>
        <w:overflowPunct/>
        <w:topLinePunct w:val="0"/>
        <w:autoSpaceDE/>
        <w:autoSpaceDN/>
        <w:bidi w:val="0"/>
        <w:adjustRightInd w:val="0"/>
        <w:snapToGrid w:val="0"/>
        <w:spacing w:line="360" w:lineRule="auto"/>
        <w:ind w:firstLine="640" w:firstLineChars="200"/>
        <w:textAlignment w:val="auto"/>
      </w:pPr>
      <w:r>
        <w:rPr>
          <w:rFonts w:hint="eastAsia" w:ascii="仿宋_GB2312" w:hAnsi="仿宋_GB2312" w:eastAsia="仿宋_GB2312" w:cs="仿宋_GB2312"/>
          <w:bCs/>
          <w:sz w:val="32"/>
          <w:szCs w:val="32"/>
        </w:rPr>
        <w:t>⑧</w:t>
      </w:r>
      <w:r>
        <w:rPr>
          <w:rFonts w:hint="eastAsia" w:ascii="仿宋_GB2312" w:hAnsi="仿宋_GB2312" w:eastAsia="仿宋_GB2312" w:cs="仿宋_GB2312"/>
          <w:bCs/>
          <w:sz w:val="32"/>
          <w:szCs w:val="32"/>
          <w:lang w:val="en-US" w:eastAsia="zh-CN"/>
        </w:rPr>
        <w:t>清华工业开发研究院发展。</w:t>
      </w:r>
      <w:r>
        <w:rPr>
          <w:rFonts w:hint="eastAsia" w:ascii="仿宋_GB2312" w:hAnsi="仿宋_GB2312" w:eastAsia="仿宋_GB2312" w:cs="仿宋_GB2312"/>
          <w:b w:val="0"/>
          <w:bCs/>
          <w:sz w:val="32"/>
          <w:szCs w:val="32"/>
          <w:lang w:val="en-US" w:eastAsia="zh-CN"/>
        </w:rPr>
        <w:t>构建高水平科技成果转移转化生态，推进全球健康药物研发中心等7个高水平技术创新中心建设，围绕“三城一区”，持续建设中关村科学城-医药健康转移转化基地等3个转移转化基地。通过科技创新投资基金，在京投资11个硬科技项目。推进生命科学、新能源、硅基光电等领域12个项目的概念验证工作。推动医药健康、智能装备、新一代信息技术等领域科技成果落地北京。</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（3）支持新型研发机构建设</w:t>
      </w:r>
    </w:p>
    <w:p>
      <w:pPr>
        <w:keepNext w:val="0"/>
        <w:keepLines w:val="0"/>
        <w:pageBreakBefore w:val="0"/>
        <w:widowControl/>
        <w:suppressAutoHyphens/>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val="en-US" w:eastAsia="zh-CN"/>
        </w:rPr>
        <w:t>支持启元实验室、北京脑科学与类脑研究中心、北京智源人工智能研究院、北京生命科学研究所、北京干细胞与再生医学研究院、北京纳米能源与系统研究所、北京雁栖湖应用数学研究院、北京通用人工智能研究院等新型研发机构建设。</w:t>
      </w:r>
    </w:p>
    <w:p>
      <w:pPr>
        <w:pageBreakBefore w:val="0"/>
        <w:shd w:val="clear"/>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具体情况如下：</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①启元实验室。实验室核心科研力量基本建成。重点攻关任务及开放合作科研机制和实验室特色的科研合作机制，取得阶段性成果。</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②北京脑科学与类脑研究中心。引进高水平人才</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名，全球科学家32位（包括6名非华裔），建设10个高水平的技术辅助中心，加快科研成果的产出，围绕脑认知原理解析、认知障碍相关重大疾病研究、神经科学新技术、类脑和脑机智能等重点方向开展科研攻关并产出重要成果，整合北京优势单位的资源共同争取国家重大任务和重大项目等。</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③北京生命科学研究所。继续立足原创性基础生命科学研究产出影响力成果，累计吸引60多位海外优秀高水平留学人员全职回国工作，探索国际领先的高端人才培养模式，深入推进3项科研成果转化，同时探索出一条从原始创新到产业转化的道路。</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④北京干细胞与再生医学研究院。多措并举加强人才队伍建设，成功引进北京市战略科技人才王金勇团队，建立血液/免疫再生与转化平台，在干细胞机理研究、再生医学新技术、干细胞药物研发等多个重要领域进行原创性研究，取得了多个突破性研究进展。</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⑤纳米能源与系统研究所。人才团队建设方面，2022年全年引进或培养PI4名。科学技术攻关方面，取得国际领先、国际先进成果17项，申请中国专利65件，国际专利2项。工程化验证方面，开展蓝色能源技术的海上验证并形成产业推进方案，在膝关节智能康复系统、自供电无线温振监测系统等方面开展应用验证。产业化推进方面，在智能安全输入设备、可穿戴应急电源系统、压力传感网络在安防的应用等方面推动产业化发展；举办产业化论坛1次。</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⑥雁栖湖应用数学研究院建设。累计引进科研人员112人。初步组建人工智能大数据、量子信息与量子计算、区块链与密码学、计算数学等11个方向的科研团队。全年在执行科研项目21项，其中国家级项目15项，省部级项目5项，横向项目1项，费用突破2500万元；跨学科、跨方向发表论文158篇，SCI收录116篇。共开设课程76门；53次学术会议、论坛等各类学术活动，512场学术报告。</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⑦智源人工智能研究院建设。在大模型研发及生态建设方面、大模型基础设施建设方面、学术生态方面取得重大进展。形成智源学者计划2.0实施办法—充分利用“双聘模式”的优势和以智源学者为核心的学术合作网络。</w:t>
      </w:r>
    </w:p>
    <w:p>
      <w:pPr>
        <w:pStyle w:val="3"/>
        <w:pageBreakBefore w:val="0"/>
        <w:widowControl w:val="0"/>
        <w:shd w:val="clear"/>
        <w:kinsoku/>
        <w:wordWrap/>
        <w:overflowPunct/>
        <w:topLinePunct w:val="0"/>
        <w:autoSpaceDE/>
        <w:autoSpaceDN/>
        <w:bidi w:val="0"/>
        <w:adjustRightInd w:val="0"/>
        <w:snapToGrid w:val="0"/>
        <w:spacing w:before="0" w:after="0" w:line="360" w:lineRule="auto"/>
        <w:ind w:leftChars="0" w:firstLine="640" w:firstLineChars="200"/>
        <w:textAlignment w:val="auto"/>
        <w:rPr>
          <w:rFonts w:hint="eastAsia" w:ascii="楷体" w:hAnsi="楷体" w:eastAsia="楷体"/>
          <w:b w:val="0"/>
          <w:bCs w:val="0"/>
          <w:color w:val="auto"/>
          <w:highlight w:val="none"/>
        </w:rPr>
      </w:pPr>
      <w:bookmarkStart w:id="7" w:name="_Toc5484"/>
      <w:r>
        <w:rPr>
          <w:rFonts w:hint="eastAsia" w:ascii="楷体" w:hAnsi="楷体" w:eastAsia="楷体"/>
          <w:b w:val="0"/>
          <w:bCs w:val="0"/>
          <w:color w:val="auto"/>
          <w:highlight w:val="none"/>
        </w:rPr>
        <w:t>（二）效果实现情况分析</w:t>
      </w:r>
      <w:bookmarkEnd w:id="7"/>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2022年，在市委市政府的坚强领导下，在市财政局等部门的支持配合下，我委团结一心、迎难而上，各项工作取得明显成效，社会效益显著。</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1.社会效益</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highlight w:val="none"/>
        </w:rPr>
        <w:t>①</w:t>
      </w:r>
      <w:r>
        <w:rPr>
          <w:rFonts w:hint="eastAsia" w:ascii="仿宋_GB2312" w:hAnsi="仿宋_GB2312" w:eastAsia="仿宋_GB2312" w:cs="仿宋_GB2312"/>
          <w:bCs/>
          <w:sz w:val="32"/>
          <w:szCs w:val="32"/>
        </w:rPr>
        <w:t>推动新材料与智能制造产业创新发展</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在前沿新材料技术创新、智能制造与机器人技术创新、智能与网联车关键技术培育、国家新能源汽车技术创新中心建设、传感器与科学仪器创新研制等方面，突破关键核心技术、关键工艺、关键零部件和高端整机产品，鼓励产学研协同，推进成果产业化在京落地集聚。</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②推进新一代信息技术产业领先发展</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加强原创性引领性科技攻关，持续打造高质量发展新引擎。坚持“四个占先”，量子信息领域，建设了超导量子计算云平台，将量子直接通信距离提升到100公里，百度网讯、启科量子等4家企业上榜全球量子计算技术发明专利TOP100；人工智能领域，发布“九鼎智算平台”及高精度智能线虫“天宝1.0”，“小数据、大任务”路线研究取得新进展；区块链领域，发布自主可控的软硬件技术体系长安链2.3和海量存储引擎“泓”；生物技术领域，1个创新药获国家批准、15个第三类创新医疗器械上市，数量均居全国前列。集成电路产研一体突破，持续实施双“1+1”工程，搭建国内第一条8英寸硅光量产工艺线并开发量产工艺，自主研发出CCP介质刻蚀机。新一代信息技术、医药健康产业“双发动机”发挥引领作用。</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③推动国家技术创新中心在京落地</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持续开展技术创新中心建设，打造符合细胞与基因治疗产业“短流程”特点的“快研发、快生产、快临床”发展新范式，推动了生物医药创新企业的快速发展。成功开展了全球规模最大的氢能商用车运营示范，首次完整展示了氢能源系统和氢交通系统。在联合国工发组织的支持下，中心主导编写的国际氢能发展报告将于年底发布。完成3个创新中心建设，吸引20家相关领域的科技企业入驻。</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.服务对象满意度</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北京市人民政府办公厅对我委2022年的绩效考评结果为97分，其中，日常考核59.46分、综合评价37.44分，考评等次为“优秀”。</w:t>
      </w:r>
    </w:p>
    <w:p>
      <w:pPr>
        <w:pStyle w:val="3"/>
        <w:pageBreakBefore w:val="0"/>
        <w:kinsoku/>
        <w:wordWrap/>
        <w:overflowPunct/>
        <w:topLinePunct w:val="0"/>
        <w:autoSpaceDE/>
        <w:autoSpaceDN/>
        <w:bidi w:val="0"/>
        <w:adjustRightInd w:val="0"/>
        <w:snapToGrid w:val="0"/>
        <w:spacing w:before="0" w:after="0" w:line="360" w:lineRule="auto"/>
        <w:ind w:firstLine="640" w:firstLineChars="200"/>
        <w:textAlignment w:val="auto"/>
        <w:rPr>
          <w:rFonts w:ascii="仿宋" w:hAnsi="仿宋" w:eastAsia="仿宋" w:cs="仿宋"/>
          <w:b w:val="0"/>
          <w:bCs w:val="0"/>
          <w:szCs w:val="36"/>
          <w:highlight w:val="none"/>
        </w:rPr>
      </w:pPr>
      <w:bookmarkStart w:id="8" w:name="_Toc11043"/>
      <w:r>
        <w:rPr>
          <w:rFonts w:hint="eastAsia" w:ascii="黑体" w:hAnsi="黑体" w:eastAsia="黑体"/>
          <w:b w:val="0"/>
          <w:bCs w:val="0"/>
          <w:highlight w:val="none"/>
        </w:rPr>
        <w:t>四、预算管理情况分析</w:t>
      </w:r>
      <w:bookmarkEnd w:id="8"/>
    </w:p>
    <w:p>
      <w:pPr>
        <w:pStyle w:val="3"/>
        <w:pageBreakBefore w:val="0"/>
        <w:kinsoku/>
        <w:wordWrap/>
        <w:overflowPunct/>
        <w:topLinePunct w:val="0"/>
        <w:autoSpaceDE/>
        <w:autoSpaceDN/>
        <w:bidi w:val="0"/>
        <w:adjustRightInd w:val="0"/>
        <w:snapToGrid w:val="0"/>
        <w:spacing w:before="0" w:after="0" w:line="360" w:lineRule="auto"/>
        <w:ind w:firstLine="640" w:firstLineChars="200"/>
        <w:textAlignment w:val="auto"/>
        <w:rPr>
          <w:rFonts w:ascii="楷体" w:hAnsi="楷体" w:eastAsia="楷体"/>
          <w:b w:val="0"/>
          <w:bCs w:val="0"/>
          <w:highlight w:val="none"/>
        </w:rPr>
      </w:pPr>
      <w:bookmarkStart w:id="9" w:name="_Toc4031"/>
      <w:r>
        <w:rPr>
          <w:rFonts w:hint="eastAsia" w:ascii="楷体" w:hAnsi="楷体" w:eastAsia="楷体"/>
          <w:b w:val="0"/>
          <w:bCs w:val="0"/>
          <w:highlight w:val="none"/>
        </w:rPr>
        <w:t>（一）财务管理</w:t>
      </w:r>
      <w:bookmarkEnd w:id="9"/>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1.财务管理制度完善健全</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为进一步提高</w:t>
      </w:r>
      <w:r>
        <w:rPr>
          <w:rFonts w:hint="eastAsia" w:ascii="仿宋_GB2312" w:hAnsi="仿宋" w:eastAsia="仿宋_GB2312"/>
          <w:sz w:val="32"/>
          <w:szCs w:val="32"/>
          <w:highlight w:val="none"/>
          <w:lang w:eastAsia="zh-CN"/>
        </w:rPr>
        <w:t>全委</w:t>
      </w:r>
      <w:r>
        <w:rPr>
          <w:rFonts w:hint="eastAsia" w:ascii="仿宋_GB2312" w:hAnsi="仿宋" w:eastAsia="仿宋_GB2312"/>
          <w:sz w:val="32"/>
          <w:szCs w:val="32"/>
          <w:highlight w:val="none"/>
        </w:rPr>
        <w:t>财务管理能力和水平，</w:t>
      </w:r>
      <w:r>
        <w:rPr>
          <w:rFonts w:hint="eastAsia" w:ascii="仿宋_GB2312" w:hAnsi="仿宋" w:eastAsia="仿宋_GB2312"/>
          <w:sz w:val="32"/>
          <w:szCs w:val="32"/>
          <w:highlight w:val="none"/>
          <w:lang w:eastAsia="zh-CN"/>
        </w:rPr>
        <w:t>我委</w:t>
      </w:r>
      <w:r>
        <w:rPr>
          <w:rFonts w:hint="eastAsia" w:ascii="仿宋_GB2312" w:hAnsi="仿宋" w:eastAsia="仿宋_GB2312"/>
          <w:sz w:val="32"/>
          <w:szCs w:val="32"/>
          <w:highlight w:val="none"/>
        </w:rPr>
        <w:t>建立了完善的财务管理制度体系，从资金审批、预算管理、经费支出、资产管理、政府采购等方面对财务工作进行了规范监督，保障日常工作有章可循、稳步推进。</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2.资金使用安全合规</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资金使用严格遵照国家法律法规和有关管理制度执行，资金拨付审批程序完整规范，资金使用安全合规。内部审计和监督机制完善，审计监督全面、纵深发展，为资金高效安全的使用保驾护航。</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3.会计基础信息完整准确</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在费用报销及合同付款过程中，严格审批原始凭证，对内容不全、手续不完备的原始凭证以及未审批完成的支出不予办理支付。</w:t>
      </w:r>
    </w:p>
    <w:p>
      <w:pPr>
        <w:pStyle w:val="3"/>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rPr>
          <w:rFonts w:ascii="楷体" w:hAnsi="楷体" w:eastAsia="楷体"/>
          <w:b w:val="0"/>
          <w:bCs w:val="0"/>
        </w:rPr>
      </w:pPr>
      <w:bookmarkStart w:id="10" w:name="_Toc18838"/>
      <w:r>
        <w:rPr>
          <w:rFonts w:hint="eastAsia" w:ascii="楷体" w:hAnsi="楷体" w:eastAsia="楷体"/>
          <w:b w:val="0"/>
          <w:bCs w:val="0"/>
        </w:rPr>
        <w:t>（二）资产管理</w:t>
      </w:r>
      <w:bookmarkEnd w:id="10"/>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2022年我委进一步加强和完善资产管理，重点抓管理机制和流程规范化，提升资产管理质效。一是成立工作小组，健全工作机制，摸清底数，建立48个资产清查难点问题台账，分类推进15家涉改单位资产清查工作。二是制定固定资产报废工作指引，细化具体工作程序和标准，规范现场技术鉴定要求。三是建立资产与预算管理相结合的工作运行机制。编制资产购置指南，强化国有资产购置预算管理。</w:t>
      </w:r>
    </w:p>
    <w:p>
      <w:pPr>
        <w:pStyle w:val="3"/>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rPr>
          <w:rFonts w:ascii="楷体" w:hAnsi="楷体" w:eastAsia="楷体"/>
          <w:b w:val="0"/>
          <w:bCs w:val="0"/>
        </w:rPr>
      </w:pPr>
      <w:bookmarkStart w:id="11" w:name="_Toc6717"/>
      <w:r>
        <w:rPr>
          <w:rFonts w:hint="eastAsia" w:ascii="楷体" w:hAnsi="楷体" w:eastAsia="楷体"/>
          <w:b w:val="0"/>
          <w:bCs w:val="0"/>
        </w:rPr>
        <w:t>（三）绩效管理</w:t>
      </w:r>
      <w:bookmarkEnd w:id="11"/>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我</w:t>
      </w:r>
      <w:r>
        <w:rPr>
          <w:rFonts w:hint="eastAsia" w:ascii="仿宋_GB2312" w:hAnsi="仿宋_GB2312" w:eastAsia="仿宋_GB2312" w:cs="仿宋_GB2312"/>
          <w:color w:val="000000"/>
          <w:sz w:val="32"/>
          <w:szCs w:val="32"/>
          <w:lang w:val="en-US" w:eastAsia="zh-CN"/>
        </w:rPr>
        <w:t>委</w:t>
      </w:r>
      <w:r>
        <w:rPr>
          <w:rFonts w:hint="eastAsia" w:ascii="仿宋_GB2312" w:hAnsi="仿宋_GB2312" w:eastAsia="仿宋_GB2312" w:cs="仿宋_GB2312"/>
          <w:color w:val="000000"/>
          <w:sz w:val="32"/>
          <w:szCs w:val="32"/>
        </w:rPr>
        <w:t>高度重视绩效管理工作，将</w:t>
      </w:r>
      <w:r>
        <w:rPr>
          <w:rFonts w:ascii="仿宋_GB2312" w:hAnsi="仿宋_GB2312" w:eastAsia="仿宋_GB2312" w:cs="仿宋_GB2312"/>
          <w:color w:val="000000"/>
          <w:sz w:val="32"/>
          <w:szCs w:val="32"/>
        </w:rPr>
        <w:t>绩效理念深度融入预算编制、执行</w:t>
      </w:r>
      <w:r>
        <w:rPr>
          <w:rFonts w:hint="eastAsia" w:ascii="仿宋_GB2312" w:hAnsi="仿宋_GB2312" w:eastAsia="仿宋_GB2312" w:cs="仿宋_GB2312"/>
          <w:color w:val="000000"/>
          <w:sz w:val="32"/>
          <w:szCs w:val="32"/>
        </w:rPr>
        <w:t>和</w:t>
      </w:r>
      <w:r>
        <w:rPr>
          <w:rFonts w:ascii="仿宋_GB2312" w:hAnsi="仿宋_GB2312" w:eastAsia="仿宋_GB2312" w:cs="仿宋_GB2312"/>
          <w:color w:val="000000"/>
          <w:sz w:val="32"/>
          <w:szCs w:val="32"/>
        </w:rPr>
        <w:t>监督全过程，构建事前、事中、事后绩效管理闭环系统，创新预算管理方式，</w:t>
      </w:r>
      <w:r>
        <w:rPr>
          <w:rFonts w:hint="eastAsia" w:ascii="仿宋_GB2312" w:hAnsi="仿宋_GB2312" w:eastAsia="仿宋_GB2312" w:cs="仿宋_GB2312"/>
          <w:color w:val="000000"/>
          <w:sz w:val="32"/>
          <w:szCs w:val="32"/>
        </w:rPr>
        <w:t>扎实做好各项绩效管理工作。</w:t>
      </w:r>
      <w:r>
        <w:rPr>
          <w:rFonts w:hint="eastAsia" w:ascii="仿宋_GB2312" w:hAnsi="仿宋_GB2312" w:eastAsia="仿宋_GB2312" w:cs="仿宋_GB2312"/>
          <w:sz w:val="32"/>
          <w:szCs w:val="32"/>
        </w:rPr>
        <w:t>成立了由我</w:t>
      </w:r>
      <w:r>
        <w:rPr>
          <w:rFonts w:hint="eastAsia" w:ascii="仿宋_GB2312" w:hAnsi="仿宋_GB2312" w:eastAsia="仿宋_GB2312" w:cs="仿宋_GB2312"/>
          <w:sz w:val="32"/>
          <w:szCs w:val="32"/>
          <w:lang w:val="en-US" w:eastAsia="zh-CN"/>
        </w:rPr>
        <w:t>委财务处</w:t>
      </w:r>
      <w:r>
        <w:rPr>
          <w:rFonts w:hint="eastAsia" w:ascii="仿宋_GB2312" w:hAnsi="仿宋_GB2312" w:eastAsia="仿宋_GB2312" w:cs="仿宋_GB2312"/>
          <w:sz w:val="32"/>
          <w:szCs w:val="32"/>
        </w:rPr>
        <w:t>牵头的预算绩效管理工作组，具体负责预算绩效管理工作的整体协调管理工作。</w:t>
      </w:r>
      <w:r>
        <w:rPr>
          <w:rFonts w:hint="eastAsia" w:ascii="仿宋" w:hAnsi="仿宋" w:eastAsia="仿宋_GB2312"/>
          <w:sz w:val="32"/>
          <w:szCs w:val="32"/>
        </w:rPr>
        <w:t>各处室和</w:t>
      </w:r>
      <w:r>
        <w:rPr>
          <w:rFonts w:hint="eastAsia" w:ascii="仿宋" w:hAnsi="仿宋" w:eastAsia="仿宋_GB2312"/>
          <w:sz w:val="32"/>
          <w:szCs w:val="32"/>
          <w:lang w:val="en-US" w:eastAsia="zh-CN"/>
        </w:rPr>
        <w:t>所</w:t>
      </w:r>
      <w:r>
        <w:rPr>
          <w:rFonts w:hint="eastAsia" w:ascii="仿宋" w:hAnsi="仿宋" w:eastAsia="仿宋_GB2312"/>
          <w:sz w:val="32"/>
          <w:szCs w:val="32"/>
        </w:rPr>
        <w:t>属各单位为绩效管理的具体实施单位，负责绩效目标申报、绩效监控和绩效自评</w:t>
      </w:r>
      <w:r>
        <w:rPr>
          <w:rFonts w:hint="eastAsia" w:ascii="仿宋_GB2312" w:hAnsi="仿宋_GB2312" w:eastAsia="仿宋_GB2312" w:cs="仿宋_GB2312"/>
          <w:sz w:val="32"/>
          <w:szCs w:val="32"/>
        </w:rPr>
        <w:t>等相关工作。</w:t>
      </w:r>
    </w:p>
    <w:p>
      <w:pPr>
        <w:keepNext w:val="0"/>
        <w:keepLines w:val="0"/>
        <w:pageBreakBefore w:val="0"/>
        <w:widowControl/>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一是加强绩效目标管理。按照市财政局要求，</w:t>
      </w:r>
      <w:r>
        <w:rPr>
          <w:rFonts w:hint="eastAsia" w:ascii="仿宋_GB2312" w:hAnsi="仿宋_GB2312" w:eastAsia="仿宋_GB2312" w:cs="仿宋_GB2312"/>
          <w:color w:val="auto"/>
          <w:sz w:val="32"/>
          <w:szCs w:val="32"/>
        </w:rPr>
        <w:t>将202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年项目全部纳入绩效目标填报范围，</w:t>
      </w:r>
      <w:r>
        <w:rPr>
          <w:rFonts w:hint="eastAsia" w:ascii="仿宋_GB2312" w:hAnsi="仿宋_GB2312" w:eastAsia="仿宋_GB2312" w:cs="仿宋_GB2312"/>
          <w:color w:val="auto"/>
          <w:sz w:val="32"/>
          <w:szCs w:val="32"/>
          <w:lang w:val="en-US" w:eastAsia="zh-CN"/>
        </w:rPr>
        <w:t>完成了106个项目绩效目标申报表的审核及系统录入工作。</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二是开展事后绩效自评及事中</w:t>
      </w:r>
      <w:r>
        <w:rPr>
          <w:rFonts w:hint="eastAsia" w:ascii="仿宋_GB2312" w:hAnsi="仿宋_GB2312" w:eastAsia="仿宋_GB2312" w:cs="仿宋_GB2312"/>
          <w:sz w:val="32"/>
          <w:szCs w:val="32"/>
          <w:lang w:val="en-US" w:eastAsia="zh-CN"/>
        </w:rPr>
        <w:t>绩效监控</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对2021年度部门项目支出实施绩效自评，评价项目173个，涉及金额361,079.04万元。其中，开展部门绩效评价项目2个，涉及金额38,995.88万元，评价得分在90（含）-100分的1个、评价得分在80（含）-90分的1个。单位自评项目173个，评价得分在90（含）-100分的149个、评价得分在80（含）-90分的24个。2022年度绩效运行监控项目87个，涉及金额374,215.77万元。</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eastAsia="仿宋_GB2312" w:cs="Times New Roman"/>
          <w:sz w:val="32"/>
          <w:szCs w:val="32"/>
          <w:lang w:eastAsia="zh-CN"/>
        </w:rPr>
      </w:pPr>
      <w:r>
        <w:rPr>
          <w:rFonts w:hint="eastAsia" w:ascii="仿宋_GB2312" w:eastAsia="仿宋_GB2312" w:cs="Times New Roman"/>
          <w:sz w:val="32"/>
          <w:szCs w:val="32"/>
          <w:lang w:val="en-US" w:eastAsia="zh-CN"/>
        </w:rPr>
        <w:t>三</w:t>
      </w:r>
      <w:r>
        <w:rPr>
          <w:rFonts w:hint="eastAsia" w:ascii="仿宋_GB2312" w:eastAsia="仿宋_GB2312" w:cs="Times New Roman"/>
          <w:sz w:val="32"/>
          <w:szCs w:val="32"/>
          <w:lang w:eastAsia="zh-CN"/>
        </w:rPr>
        <w:t>是开展成本预算绩效分析。</w:t>
      </w:r>
      <w:r>
        <w:rPr>
          <w:rFonts w:hint="eastAsia" w:ascii="仿宋_GB2312" w:eastAsia="仿宋_GB2312" w:cs="Times New Roman"/>
          <w:sz w:val="32"/>
          <w:szCs w:val="32"/>
          <w:lang w:val="en-US" w:eastAsia="zh-CN"/>
        </w:rPr>
        <w:t>对市科委、中关村管委会“全国科技创新中心网络服务平台”项目开展成本绩效分析工作</w:t>
      </w:r>
      <w:r>
        <w:rPr>
          <w:rFonts w:hint="eastAsia" w:ascii="仿宋_GB2312" w:eastAsia="仿宋_GB2312" w:cs="Times New Roman"/>
          <w:sz w:val="32"/>
          <w:szCs w:val="32"/>
          <w:lang w:eastAsia="zh-CN"/>
        </w:rPr>
        <w:t>。通过对项目开展成本绩效分析工作，降低了项目的实施成本，节约了财政资金，同时探索了项目成本定额标准的制定。</w:t>
      </w:r>
    </w:p>
    <w:p>
      <w:pPr>
        <w:pStyle w:val="3"/>
        <w:pageBreakBefore w:val="0"/>
        <w:kinsoku/>
        <w:wordWrap/>
        <w:overflowPunct/>
        <w:topLinePunct w:val="0"/>
        <w:autoSpaceDE/>
        <w:autoSpaceDN/>
        <w:bidi w:val="0"/>
        <w:adjustRightInd w:val="0"/>
        <w:snapToGrid w:val="0"/>
        <w:spacing w:before="0" w:after="0" w:line="360" w:lineRule="auto"/>
        <w:ind w:firstLine="640" w:firstLineChars="200"/>
        <w:textAlignment w:val="auto"/>
        <w:rPr>
          <w:rFonts w:ascii="楷体" w:hAnsi="楷体" w:eastAsia="楷体"/>
          <w:b w:val="0"/>
          <w:bCs w:val="0"/>
        </w:rPr>
      </w:pPr>
      <w:bookmarkStart w:id="12" w:name="_Toc20017"/>
      <w:r>
        <w:rPr>
          <w:rFonts w:hint="eastAsia" w:ascii="楷体" w:hAnsi="楷体" w:eastAsia="楷体"/>
          <w:b w:val="0"/>
          <w:bCs w:val="0"/>
        </w:rPr>
        <w:t>（四）结转结余率</w:t>
      </w:r>
      <w:bookmarkEnd w:id="12"/>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202</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年末结转结余275,230.96万元，占全年支出预算金额932,634.67万元的29.51%，较上年结转结余率</w:t>
      </w:r>
      <w:r>
        <w:rPr>
          <w:rFonts w:hint="eastAsia" w:ascii="仿宋_GB2312" w:hAnsi="仿宋" w:eastAsia="仿宋_GB2312"/>
          <w:color w:val="auto"/>
          <w:sz w:val="32"/>
          <w:szCs w:val="32"/>
          <w:highlight w:val="none"/>
        </w:rPr>
        <w:t>18.83%</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增长10个百分点</w:t>
      </w:r>
      <w:r>
        <w:rPr>
          <w:rFonts w:hint="eastAsia" w:ascii="仿宋_GB2312" w:hAnsi="仿宋" w:eastAsia="仿宋_GB2312"/>
          <w:color w:val="auto"/>
          <w:sz w:val="32"/>
          <w:szCs w:val="32"/>
        </w:rPr>
        <w:t>。上升的主要原因为：</w:t>
      </w:r>
      <w:r>
        <w:rPr>
          <w:rFonts w:hint="eastAsia" w:ascii="仿宋_GB2312" w:hAnsi="仿宋" w:eastAsia="仿宋_GB2312"/>
          <w:color w:val="auto"/>
          <w:sz w:val="32"/>
          <w:szCs w:val="32"/>
          <w:lang w:val="en-US" w:eastAsia="zh-CN"/>
        </w:rPr>
        <w:t>北京实验室服务保障中心根据工作计划，北京实验室服务保障中心部分项目结转下年执行</w:t>
      </w:r>
      <w:r>
        <w:rPr>
          <w:rFonts w:hint="eastAsia" w:ascii="仿宋_GB2312" w:hAnsi="仿宋" w:eastAsia="仿宋_GB2312"/>
          <w:color w:val="auto"/>
          <w:sz w:val="32"/>
          <w:szCs w:val="32"/>
        </w:rPr>
        <w:t>。</w:t>
      </w:r>
    </w:p>
    <w:p>
      <w:pPr>
        <w:pStyle w:val="3"/>
        <w:pageBreakBefore w:val="0"/>
        <w:widowControl w:val="0"/>
        <w:kinsoku/>
        <w:wordWrap/>
        <w:overflowPunct/>
        <w:topLinePunct w:val="0"/>
        <w:autoSpaceDE/>
        <w:autoSpaceDN/>
        <w:bidi w:val="0"/>
        <w:adjustRightInd w:val="0"/>
        <w:snapToGrid w:val="0"/>
        <w:spacing w:before="0" w:after="0" w:line="360" w:lineRule="auto"/>
        <w:ind w:firstLine="640" w:firstLineChars="200"/>
        <w:textAlignment w:val="auto"/>
        <w:rPr>
          <w:rFonts w:ascii="楷体" w:hAnsi="楷体" w:eastAsia="楷体"/>
          <w:b w:val="0"/>
          <w:bCs w:val="0"/>
        </w:rPr>
      </w:pPr>
      <w:bookmarkStart w:id="13" w:name="_Toc8013"/>
      <w:r>
        <w:rPr>
          <w:rFonts w:hint="eastAsia" w:ascii="楷体" w:hAnsi="楷体" w:eastAsia="楷体"/>
          <w:b w:val="0"/>
          <w:bCs w:val="0"/>
        </w:rPr>
        <w:t>（五）部门预决算差异</w:t>
      </w:r>
      <w:bookmarkEnd w:id="13"/>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9"/>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2022年末决算支出657,353.71万元，年初预算收入609,377.86万元，部门预算决算差异率为7.87%</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低于全市平均部门预决算差异率。</w:t>
      </w:r>
    </w:p>
    <w:p>
      <w:pPr>
        <w:pStyle w:val="3"/>
        <w:pageBreakBefore w:val="0"/>
        <w:kinsoku/>
        <w:wordWrap/>
        <w:overflowPunct/>
        <w:topLinePunct w:val="0"/>
        <w:autoSpaceDE/>
        <w:autoSpaceDN/>
        <w:bidi w:val="0"/>
        <w:adjustRightInd w:val="0"/>
        <w:snapToGrid w:val="0"/>
        <w:spacing w:before="0" w:after="0" w:line="360" w:lineRule="auto"/>
        <w:ind w:firstLine="640" w:firstLineChars="200"/>
        <w:textAlignment w:val="auto"/>
        <w:rPr>
          <w:rFonts w:hint="eastAsia" w:ascii="黑体" w:hAnsi="黑体" w:eastAsia="黑体"/>
          <w:b w:val="0"/>
          <w:bCs w:val="0"/>
          <w:highlight w:val="none"/>
        </w:rPr>
      </w:pPr>
      <w:bookmarkStart w:id="14" w:name="_Toc2304"/>
      <w:r>
        <w:rPr>
          <w:rFonts w:hint="eastAsia" w:ascii="黑体" w:hAnsi="黑体" w:eastAsia="黑体"/>
          <w:b w:val="0"/>
          <w:bCs w:val="0"/>
          <w:highlight w:val="none"/>
          <w:lang w:val="en-US" w:eastAsia="zh-CN"/>
        </w:rPr>
        <w:t>五、</w:t>
      </w:r>
      <w:r>
        <w:rPr>
          <w:rFonts w:hint="eastAsia" w:ascii="黑体" w:hAnsi="黑体" w:eastAsia="黑体"/>
          <w:b w:val="0"/>
          <w:bCs w:val="0"/>
          <w:highlight w:val="none"/>
        </w:rPr>
        <w:t>总体评价结论</w:t>
      </w:r>
      <w:bookmarkEnd w:id="14"/>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1"/>
        <w:rPr>
          <w:rFonts w:hint="eastAsia" w:ascii="楷体" w:hAnsi="楷体" w:eastAsia="楷体" w:cs="楷体"/>
          <w:sz w:val="32"/>
          <w:szCs w:val="32"/>
        </w:rPr>
      </w:pPr>
      <w:bookmarkStart w:id="15" w:name="_Toc2305"/>
      <w:r>
        <w:rPr>
          <w:rFonts w:hint="eastAsia" w:ascii="楷体" w:hAnsi="楷体" w:eastAsia="楷体" w:cs="楷体"/>
          <w:sz w:val="32"/>
          <w:szCs w:val="32"/>
        </w:rPr>
        <w:t>（一）评价得分情况</w:t>
      </w:r>
      <w:bookmarkEnd w:id="15"/>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9"/>
        <w:rPr>
          <w:rFonts w:ascii="仿宋_GB2312" w:eastAsia="仿宋_GB2312"/>
          <w:sz w:val="32"/>
          <w:szCs w:val="32"/>
        </w:rPr>
      </w:pPr>
      <w:r>
        <w:rPr>
          <w:rFonts w:hint="eastAsia" w:ascii="仿宋_GB2312" w:eastAsia="仿宋_GB2312"/>
          <w:sz w:val="32"/>
          <w:szCs w:val="32"/>
        </w:rPr>
        <w:t>本次部门整体绩效评价通过资料分析、专家评议等多种方式开展了全面、系统、</w:t>
      </w:r>
      <w:r>
        <w:rPr>
          <w:rFonts w:hint="eastAsia" w:ascii="仿宋_GB2312" w:eastAsia="仿宋_GB2312"/>
          <w:sz w:val="32"/>
          <w:szCs w:val="32"/>
          <w:highlight w:val="none"/>
        </w:rPr>
        <w:t>客观的分析</w:t>
      </w:r>
      <w:r>
        <w:rPr>
          <w:rFonts w:hint="eastAsia" w:ascii="仿宋_GB2312" w:eastAsia="仿宋_GB2312"/>
          <w:sz w:val="32"/>
          <w:szCs w:val="32"/>
        </w:rPr>
        <w:t>评价，最终得分为</w:t>
      </w:r>
      <w:r>
        <w:rPr>
          <w:rFonts w:hint="eastAsia" w:ascii="仿宋_GB2312" w:eastAsia="仿宋_GB2312"/>
          <w:sz w:val="32"/>
          <w:szCs w:val="32"/>
          <w:lang w:val="en-US" w:eastAsia="zh-CN"/>
        </w:rPr>
        <w:t>92.90</w:t>
      </w:r>
      <w:r>
        <w:rPr>
          <w:rFonts w:ascii="仿宋_GB2312" w:eastAsia="仿宋_GB2312"/>
          <w:sz w:val="32"/>
          <w:szCs w:val="32"/>
        </w:rPr>
        <w:t>分</w:t>
      </w:r>
      <w:r>
        <w:rPr>
          <w:rFonts w:hint="eastAsia" w:ascii="仿宋_GB2312" w:eastAsia="仿宋_GB2312"/>
          <w:sz w:val="32"/>
          <w:szCs w:val="32"/>
        </w:rPr>
        <w:t>，</w:t>
      </w:r>
      <w:r>
        <w:rPr>
          <w:rFonts w:hint="eastAsia" w:ascii="仿宋_GB2312" w:eastAsia="仿宋_GB2312"/>
          <w:sz w:val="32"/>
          <w:szCs w:val="32"/>
          <w:highlight w:val="none"/>
        </w:rPr>
        <w:t>综合评价等级为“优秀”。其中：当年预算执行情况</w:t>
      </w:r>
      <w:r>
        <w:rPr>
          <w:rFonts w:hint="eastAsia" w:ascii="仿宋_GB2312" w:eastAsia="仿宋_GB2312"/>
          <w:sz w:val="32"/>
          <w:szCs w:val="32"/>
          <w:highlight w:val="none"/>
          <w:lang w:val="en-US" w:eastAsia="zh-CN"/>
        </w:rPr>
        <w:t>14.10</w:t>
      </w:r>
      <w:r>
        <w:rPr>
          <w:rFonts w:hint="eastAsia" w:ascii="仿宋_GB2312" w:eastAsia="仿宋_GB2312"/>
          <w:sz w:val="32"/>
          <w:szCs w:val="32"/>
          <w:highlight w:val="none"/>
        </w:rPr>
        <w:t>分，整体绩效目标实际情况</w:t>
      </w:r>
      <w:r>
        <w:rPr>
          <w:rFonts w:hint="eastAsia" w:ascii="仿宋_GB2312" w:eastAsia="仿宋_GB2312"/>
          <w:sz w:val="32"/>
          <w:szCs w:val="32"/>
          <w:highlight w:val="none"/>
          <w:lang w:val="en-US" w:eastAsia="zh-CN"/>
        </w:rPr>
        <w:t>59.20</w:t>
      </w:r>
      <w:r>
        <w:rPr>
          <w:rFonts w:hint="eastAsia" w:ascii="仿宋_GB2312" w:eastAsia="仿宋_GB2312"/>
          <w:sz w:val="32"/>
          <w:szCs w:val="32"/>
          <w:highlight w:val="none"/>
        </w:rPr>
        <w:t>分，预算管理情况1</w:t>
      </w:r>
      <w:r>
        <w:rPr>
          <w:rFonts w:hint="eastAsia" w:ascii="仿宋_GB2312" w:eastAsia="仿宋_GB2312"/>
          <w:sz w:val="32"/>
          <w:szCs w:val="32"/>
          <w:highlight w:val="none"/>
          <w:lang w:val="en-US" w:eastAsia="zh-CN"/>
        </w:rPr>
        <w:t>9.60</w:t>
      </w:r>
      <w:r>
        <w:rPr>
          <w:rFonts w:hint="eastAsia" w:ascii="仿宋_GB2312" w:eastAsia="仿宋_GB2312"/>
          <w:sz w:val="32"/>
          <w:szCs w:val="32"/>
          <w:highlight w:val="none"/>
        </w:rPr>
        <w:t>分，具体评分见《北京市科学技术委员会202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年度部门整体绩效评价指标体系评分表》。</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1"/>
        <w:rPr>
          <w:rFonts w:hint="eastAsia" w:ascii="楷体" w:hAnsi="楷体" w:eastAsia="楷体" w:cs="楷体"/>
          <w:sz w:val="32"/>
          <w:szCs w:val="32"/>
        </w:rPr>
      </w:pPr>
      <w:bookmarkStart w:id="16" w:name="_Toc5407"/>
      <w:r>
        <w:rPr>
          <w:rFonts w:hint="eastAsia" w:ascii="楷体" w:hAnsi="楷体" w:eastAsia="楷体" w:cs="楷体"/>
          <w:sz w:val="32"/>
          <w:szCs w:val="32"/>
        </w:rPr>
        <w:t>（二）存在的问题及原因分析</w:t>
      </w:r>
      <w:bookmarkEnd w:id="16"/>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1.项目绩效目标设定的系统性、科学性有待提升。个别项目绩效指标的细化程度及</w:t>
      </w:r>
      <w:r>
        <w:rPr>
          <w:rFonts w:hint="eastAsia" w:ascii="仿宋_GB2312" w:eastAsia="仿宋_GB2312"/>
          <w:color w:val="auto"/>
          <w:sz w:val="32"/>
          <w:szCs w:val="32"/>
          <w:lang w:val="en-US" w:eastAsia="zh-CN"/>
        </w:rPr>
        <w:t>量化</w:t>
      </w:r>
      <w:r>
        <w:rPr>
          <w:rFonts w:hint="eastAsia" w:ascii="仿宋_GB2312" w:eastAsia="仿宋_GB2312"/>
          <w:color w:val="auto"/>
          <w:sz w:val="32"/>
          <w:szCs w:val="32"/>
        </w:rPr>
        <w:t>不足，导致绩效目标实现程度的可衡量性较弱。</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2.项目管理的严谨性有待加强。个别项目的实施方案不够全面和严谨，未</w:t>
      </w:r>
      <w:r>
        <w:rPr>
          <w:rFonts w:hint="eastAsia" w:ascii="仿宋_GB2312" w:eastAsia="仿宋_GB2312"/>
          <w:color w:val="auto"/>
          <w:sz w:val="32"/>
          <w:szCs w:val="32"/>
          <w:lang w:val="en-US" w:eastAsia="zh-CN"/>
        </w:rPr>
        <w:t>能</w:t>
      </w:r>
      <w:r>
        <w:rPr>
          <w:rFonts w:hint="eastAsia" w:ascii="仿宋_GB2312" w:eastAsia="仿宋_GB2312"/>
          <w:color w:val="auto"/>
          <w:sz w:val="32"/>
          <w:szCs w:val="32"/>
        </w:rPr>
        <w:t>充分反映项目的</w:t>
      </w:r>
      <w:r>
        <w:rPr>
          <w:rFonts w:hint="eastAsia" w:ascii="仿宋_GB2312" w:eastAsia="仿宋_GB2312"/>
          <w:color w:val="auto"/>
          <w:sz w:val="32"/>
          <w:szCs w:val="32"/>
          <w:lang w:val="en-US" w:eastAsia="zh-CN"/>
        </w:rPr>
        <w:t>组织架构、人员分工</w:t>
      </w:r>
      <w:r>
        <w:rPr>
          <w:rFonts w:hint="eastAsia" w:ascii="仿宋_GB2312" w:eastAsia="仿宋_GB2312"/>
          <w:color w:val="auto"/>
          <w:sz w:val="32"/>
          <w:szCs w:val="32"/>
        </w:rPr>
        <w:t>等</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风险防控措施不够明确</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9"/>
        <w:rPr>
          <w:rFonts w:ascii="仿宋_GB2312" w:eastAsia="仿宋_GB2312"/>
          <w:color w:val="auto"/>
          <w:sz w:val="32"/>
          <w:szCs w:val="32"/>
        </w:rPr>
      </w:pPr>
      <w:r>
        <w:rPr>
          <w:rFonts w:hint="eastAsia" w:ascii="仿宋_GB2312" w:eastAsia="仿宋_GB2312"/>
          <w:color w:val="auto"/>
          <w:sz w:val="32"/>
          <w:szCs w:val="32"/>
        </w:rPr>
        <w:t>3.项目绩效信息体现</w:t>
      </w:r>
      <w:r>
        <w:rPr>
          <w:rFonts w:hint="eastAsia" w:ascii="仿宋_GB2312" w:eastAsia="仿宋_GB2312"/>
          <w:color w:val="auto"/>
          <w:sz w:val="32"/>
          <w:szCs w:val="32"/>
          <w:lang w:val="en-US" w:eastAsia="zh-CN"/>
        </w:rPr>
        <w:t>还</w:t>
      </w:r>
      <w:r>
        <w:rPr>
          <w:rFonts w:hint="eastAsia" w:ascii="仿宋_GB2312" w:eastAsia="仿宋_GB2312"/>
          <w:color w:val="auto"/>
          <w:sz w:val="32"/>
          <w:szCs w:val="32"/>
        </w:rPr>
        <w:t>不够充分。</w:t>
      </w:r>
      <w:r>
        <w:rPr>
          <w:rFonts w:hint="eastAsia" w:ascii="仿宋_GB2312" w:eastAsia="仿宋_GB2312"/>
          <w:color w:val="auto"/>
          <w:sz w:val="32"/>
          <w:szCs w:val="32"/>
          <w:lang w:val="en-US" w:eastAsia="zh-CN"/>
        </w:rPr>
        <w:t>项目效益</w:t>
      </w:r>
      <w:r>
        <w:rPr>
          <w:rFonts w:hint="eastAsia" w:ascii="仿宋_GB2312" w:eastAsia="仿宋_GB2312"/>
          <w:color w:val="auto"/>
          <w:sz w:val="32"/>
          <w:szCs w:val="32"/>
        </w:rPr>
        <w:t>指标的实现情况缺乏材料支撑，</w:t>
      </w:r>
      <w:r>
        <w:rPr>
          <w:rFonts w:hint="eastAsia" w:ascii="仿宋_GB2312" w:eastAsia="仿宋_GB2312"/>
          <w:color w:val="auto"/>
          <w:sz w:val="32"/>
          <w:szCs w:val="32"/>
          <w:lang w:val="en-US" w:eastAsia="zh-CN"/>
        </w:rPr>
        <w:t>体现</w:t>
      </w:r>
      <w:r>
        <w:rPr>
          <w:rFonts w:hint="eastAsia" w:ascii="仿宋_GB2312" w:eastAsia="仿宋_GB2312"/>
          <w:color w:val="auto"/>
          <w:sz w:val="32"/>
          <w:szCs w:val="32"/>
        </w:rPr>
        <w:t>项目绩效成果</w:t>
      </w:r>
      <w:r>
        <w:rPr>
          <w:rFonts w:hint="eastAsia" w:ascii="仿宋_GB2312" w:eastAsia="仿宋_GB2312"/>
          <w:color w:val="auto"/>
          <w:sz w:val="32"/>
          <w:szCs w:val="32"/>
          <w:lang w:val="en-US" w:eastAsia="zh-CN"/>
        </w:rPr>
        <w:t>和满意度调查</w:t>
      </w:r>
      <w:r>
        <w:rPr>
          <w:rFonts w:hint="eastAsia" w:ascii="仿宋_GB2312" w:eastAsia="仿宋_GB2312"/>
          <w:color w:val="auto"/>
          <w:sz w:val="32"/>
          <w:szCs w:val="32"/>
        </w:rPr>
        <w:t>的统计分析</w:t>
      </w:r>
      <w:r>
        <w:rPr>
          <w:rFonts w:hint="eastAsia" w:ascii="仿宋_GB2312" w:eastAsia="仿宋_GB2312"/>
          <w:color w:val="auto"/>
          <w:sz w:val="32"/>
          <w:szCs w:val="32"/>
          <w:lang w:val="en-US" w:eastAsia="zh-CN"/>
        </w:rPr>
        <w:t>还不够充分</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此外科技类项目</w:t>
      </w:r>
      <w:r>
        <w:rPr>
          <w:rFonts w:hint="eastAsia" w:ascii="仿宋_GB2312" w:eastAsia="仿宋_GB2312"/>
          <w:color w:val="auto"/>
          <w:sz w:val="32"/>
          <w:szCs w:val="32"/>
        </w:rPr>
        <w:t>在实施过程中，由于诸多因素的影响，项目的实际绩效产出可能与预期产出存在差距。</w:t>
      </w:r>
    </w:p>
    <w:p>
      <w:pPr>
        <w:pStyle w:val="3"/>
        <w:pageBreakBefore w:val="0"/>
        <w:kinsoku/>
        <w:wordWrap/>
        <w:overflowPunct/>
        <w:topLinePunct w:val="0"/>
        <w:autoSpaceDE/>
        <w:autoSpaceDN/>
        <w:bidi w:val="0"/>
        <w:adjustRightInd w:val="0"/>
        <w:snapToGrid w:val="0"/>
        <w:spacing w:before="0" w:after="0" w:line="360" w:lineRule="auto"/>
        <w:ind w:firstLine="640" w:firstLineChars="200"/>
        <w:textAlignment w:val="auto"/>
        <w:rPr>
          <w:rFonts w:hint="eastAsia" w:ascii="黑体" w:hAnsi="黑体" w:eastAsia="黑体"/>
          <w:b w:val="0"/>
          <w:bCs w:val="0"/>
          <w:color w:val="auto"/>
          <w:highlight w:val="none"/>
          <w:lang w:val="en-US" w:eastAsia="zh-CN"/>
        </w:rPr>
      </w:pPr>
      <w:bookmarkStart w:id="17" w:name="_Toc16913"/>
      <w:r>
        <w:rPr>
          <w:rFonts w:hint="eastAsia" w:ascii="黑体" w:hAnsi="黑体" w:eastAsia="黑体"/>
          <w:b w:val="0"/>
          <w:bCs w:val="0"/>
          <w:color w:val="auto"/>
          <w:highlight w:val="none"/>
          <w:lang w:val="en-US" w:eastAsia="zh-CN"/>
        </w:rPr>
        <w:t>六、措施建议</w:t>
      </w:r>
      <w:bookmarkEnd w:id="17"/>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eastAsia="仿宋_GB2312"/>
          <w:color w:val="auto"/>
          <w:sz w:val="32"/>
          <w:szCs w:val="32"/>
        </w:rPr>
      </w:pPr>
      <w:r>
        <w:rPr>
          <w:rFonts w:ascii="仿宋_GB2312" w:eastAsia="仿宋_GB2312"/>
          <w:color w:val="auto"/>
          <w:sz w:val="32"/>
          <w:szCs w:val="32"/>
        </w:rPr>
        <w:t>（一）</w:t>
      </w:r>
      <w:r>
        <w:rPr>
          <w:rFonts w:hint="eastAsia" w:ascii="仿宋_GB2312" w:eastAsia="仿宋_GB2312"/>
          <w:color w:val="auto"/>
          <w:sz w:val="32"/>
          <w:szCs w:val="32"/>
        </w:rPr>
        <w:t>组织开展财政科技项目绩效指标研究</w:t>
      </w:r>
      <w:r>
        <w:rPr>
          <w:rFonts w:hint="eastAsia" w:ascii="仿宋_GB2312" w:eastAsia="仿宋_GB2312"/>
          <w:color w:val="auto"/>
          <w:sz w:val="32"/>
          <w:szCs w:val="32"/>
          <w:lang w:val="en-US" w:eastAsia="zh-CN"/>
        </w:rPr>
        <w:t>工作</w:t>
      </w:r>
      <w:r>
        <w:rPr>
          <w:rFonts w:hint="eastAsia" w:ascii="仿宋_GB2312" w:eastAsia="仿宋_GB2312"/>
          <w:color w:val="auto"/>
          <w:sz w:val="32"/>
          <w:szCs w:val="32"/>
        </w:rPr>
        <w:t>，按照机构类、科研类、政策类、</w:t>
      </w:r>
      <w:r>
        <w:rPr>
          <w:rFonts w:hint="eastAsia" w:ascii="仿宋_GB2312" w:eastAsia="仿宋_GB2312"/>
          <w:color w:val="auto"/>
          <w:sz w:val="32"/>
          <w:szCs w:val="32"/>
          <w:lang w:val="en-US" w:eastAsia="zh-CN"/>
        </w:rPr>
        <w:t>履职类</w:t>
      </w:r>
      <w:r>
        <w:rPr>
          <w:rFonts w:hint="eastAsia" w:ascii="仿宋_GB2312" w:eastAsia="仿宋_GB2312"/>
          <w:color w:val="auto"/>
          <w:sz w:val="32"/>
          <w:szCs w:val="32"/>
        </w:rPr>
        <w:t>四类梳理并制定分行业分领域指标体系，并做好绩效预算管理的培训工作。</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eastAsia="仿宋_GB2312"/>
          <w:color w:val="auto"/>
          <w:sz w:val="32"/>
          <w:szCs w:val="32"/>
        </w:rPr>
      </w:pPr>
      <w:r>
        <w:rPr>
          <w:rFonts w:ascii="仿宋_GB2312" w:eastAsia="仿宋_GB2312"/>
          <w:color w:val="auto"/>
          <w:sz w:val="32"/>
          <w:szCs w:val="32"/>
        </w:rPr>
        <w:t>（</w:t>
      </w:r>
      <w:r>
        <w:rPr>
          <w:rFonts w:hint="eastAsia" w:ascii="仿宋_GB2312" w:eastAsia="仿宋_GB2312"/>
          <w:color w:val="auto"/>
          <w:sz w:val="32"/>
          <w:szCs w:val="32"/>
          <w:lang w:val="en-US" w:eastAsia="zh-CN"/>
        </w:rPr>
        <w:t>二</w:t>
      </w:r>
      <w:r>
        <w:rPr>
          <w:rFonts w:ascii="仿宋_GB2312" w:eastAsia="仿宋_GB2312"/>
          <w:color w:val="auto"/>
          <w:sz w:val="32"/>
          <w:szCs w:val="32"/>
        </w:rPr>
        <w:t>）</w:t>
      </w:r>
      <w:r>
        <w:rPr>
          <w:rFonts w:hint="eastAsia" w:ascii="仿宋_GB2312" w:eastAsia="仿宋_GB2312"/>
          <w:color w:val="auto"/>
          <w:sz w:val="32"/>
          <w:szCs w:val="32"/>
        </w:rPr>
        <w:t>加强项目管理。进一步加强项目风险控制、风险应对措施、绩效管理机制建设等方面，注重管理痕迹的留存和归档，提升管理的规范性和精细化程度。</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eastAsia="仿宋_GB2312"/>
          <w:color w:val="auto"/>
          <w:sz w:val="32"/>
          <w:szCs w:val="32"/>
          <w:highlight w:val="none"/>
        </w:rPr>
      </w:pPr>
      <w:r>
        <w:rPr>
          <w:rFonts w:ascii="仿宋_GB2312" w:eastAsia="仿宋_GB2312"/>
          <w:color w:val="auto"/>
          <w:sz w:val="32"/>
          <w:szCs w:val="32"/>
        </w:rPr>
        <w:t>（</w:t>
      </w:r>
      <w:r>
        <w:rPr>
          <w:rFonts w:hint="eastAsia" w:ascii="仿宋_GB2312" w:eastAsia="仿宋_GB2312"/>
          <w:color w:val="auto"/>
          <w:sz w:val="32"/>
          <w:szCs w:val="32"/>
          <w:lang w:val="en-US" w:eastAsia="zh-CN"/>
        </w:rPr>
        <w:t>三</w:t>
      </w:r>
      <w:r>
        <w:rPr>
          <w:rFonts w:ascii="仿宋_GB2312" w:eastAsia="仿宋_GB2312"/>
          <w:color w:val="auto"/>
          <w:sz w:val="32"/>
          <w:szCs w:val="32"/>
        </w:rPr>
        <w:t>）</w:t>
      </w:r>
      <w:r>
        <w:rPr>
          <w:rFonts w:hint="eastAsia" w:ascii="仿宋_GB2312" w:eastAsia="仿宋_GB2312"/>
          <w:color w:val="auto"/>
          <w:sz w:val="32"/>
          <w:szCs w:val="32"/>
        </w:rPr>
        <w:t>加强绩效成果资料的归集，开展绩效分析。针对实施周期较长的项目探索建立绩效信息的跟踪机制，加强对绩效成果的跟踪及统计分析。</w:t>
      </w:r>
    </w:p>
    <w:p>
      <w:pPr>
        <w:pStyle w:val="3"/>
        <w:pageBreakBefore w:val="0"/>
        <w:widowControl w:val="0"/>
        <w:kinsoku/>
        <w:wordWrap/>
        <w:overflowPunct/>
        <w:topLinePunct w:val="0"/>
        <w:autoSpaceDE/>
        <w:autoSpaceDN/>
        <w:bidi w:val="0"/>
        <w:adjustRightInd w:val="0"/>
        <w:snapToGrid w:val="0"/>
        <w:spacing w:before="0" w:after="0" w:line="360" w:lineRule="auto"/>
        <w:ind w:leftChars="0" w:firstLine="640" w:firstLineChars="200"/>
        <w:textAlignment w:val="auto"/>
        <w:rPr>
          <w:rFonts w:hint="eastAsia" w:ascii="黑体" w:hAnsi="黑体" w:eastAsia="黑体" w:cs="Times New Roman"/>
          <w:b w:val="0"/>
          <w:bCs w:val="0"/>
          <w:highlight w:val="none"/>
        </w:rPr>
      </w:pPr>
      <w:bookmarkStart w:id="18" w:name="_Toc103006301"/>
      <w:bookmarkStart w:id="19" w:name="_Toc9801"/>
      <w:r>
        <w:rPr>
          <w:rFonts w:hint="eastAsia" w:ascii="黑体" w:hAnsi="黑体" w:eastAsia="黑体" w:cs="Times New Roman"/>
          <w:b w:val="0"/>
          <w:bCs w:val="0"/>
          <w:highlight w:val="none"/>
        </w:rPr>
        <w:t>七、附件</w:t>
      </w:r>
      <w:bookmarkEnd w:id="18"/>
      <w:bookmarkEnd w:id="19"/>
    </w:p>
    <w:p>
      <w:pPr>
        <w:pStyle w:val="12"/>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pPr>
      <w:r>
        <w:rPr>
          <w:rFonts w:hint="eastAsia" w:ascii="仿宋_GB2312" w:hAnsi="仿宋_GB2312" w:eastAsia="仿宋_GB2312" w:cs="仿宋_GB2312"/>
          <w:sz w:val="32"/>
          <w:szCs w:val="32"/>
          <w:highlight w:val="none"/>
        </w:rPr>
        <w:t>北京市科学技术委员会2022年度部门整体绩效评价指标体系评分表</w:t>
      </w:r>
    </w:p>
    <w:sectPr>
      <w:footerReference r:id="rId6" w:type="default"/>
      <w:footnotePr>
        <w:numFmt w:val="decimalEnclosedCircleChinese"/>
      </w:footnotePr>
      <w:pgSz w:w="11906" w:h="16838"/>
      <w:pgMar w:top="1440" w:right="1416"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楷体">
    <w:altName w:val="方正楷体_GBK"/>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9525">
                        <a:noFill/>
                      </a:ln>
                      <a:effectLst/>
                    </wps:spPr>
                    <wps:txbx>
                      <w:txbxContent>
                        <w:p>
                          <w:pPr>
                            <w:pStyle w:val="12"/>
                            <w:jc w:val="center"/>
                          </w:pPr>
                          <w:r>
                            <w:fldChar w:fldCharType="begin"/>
                          </w:r>
                          <w:r>
                            <w:instrText xml:space="preserve">PAGE   \* MERGEFORMAT</w:instrText>
                          </w:r>
                          <w:r>
                            <w:fldChar w:fldCharType="separate"/>
                          </w:r>
                          <w:r>
                            <w:rPr>
                              <w:lang w:val="zh-CN"/>
                            </w:rPr>
                            <w:t>34</w:t>
                          </w:r>
                          <w:r>
                            <w:rPr>
                              <w:lang w:val="zh-CN"/>
                            </w:rPr>
                            <w:fldChar w:fldCharType="end"/>
                          </w:r>
                        </w:p>
                      </w:txbxContent>
                    </wps:txbx>
                    <wps:bodyPr vert="horz" wrap="none" lIns="0" tIns="0" rIns="0" bIns="0" anchor="t" upright="false">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BYAAABkcnMvUEsBAhQAFAAAAAgAh07iQM6pebnPAAAABQEA&#10;AA8AAAAAAAAAAQAgAAAAOAAAAGRycy9kb3ducmV2LnhtbFBLAQIUABQAAAAIAIdO4kA5uomr1AEA&#10;AIMDAAAOAAAAAAAAAAEAIAAAADQBAABkcnMvZTJvRG9jLnhtbFBLBQYAAAAABgAGAFkBAAB6BQAA&#10;AAA=&#10;">
              <v:fill on="f" focussize="0,0"/>
              <v:stroke on="f"/>
              <v:imagedata o:title=""/>
              <o:lock v:ext="edit" aspectratio="f"/>
              <v:textbox inset="0mm,0mm,0mm,0mm" style="mso-fit-shape-to-text:t;">
                <w:txbxContent>
                  <w:p>
                    <w:pPr>
                      <w:pStyle w:val="12"/>
                      <w:jc w:val="center"/>
                    </w:pPr>
                    <w:r>
                      <w:fldChar w:fldCharType="begin"/>
                    </w:r>
                    <w:r>
                      <w:instrText xml:space="preserve">PAGE   \* MERGEFORMAT</w:instrText>
                    </w:r>
                    <w:r>
                      <w:fldChar w:fldCharType="separate"/>
                    </w:r>
                    <w:r>
                      <w:rPr>
                        <w:lang w:val="zh-CN"/>
                      </w:rPr>
                      <w:t>34</w:t>
                    </w:r>
                    <w:r>
                      <w:rPr>
                        <w:lang w:val="zh-CN"/>
                      </w:rPr>
                      <w:fldChar w:fldCharType="end"/>
                    </w:r>
                  </w:p>
                </w:txbxContent>
              </v:textbox>
            </v:shape>
          </w:pict>
        </mc:Fallback>
      </mc:AlternateContent>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9525">
                        <a:noFill/>
                      </a:ln>
                      <a:effectLst/>
                    </wps:spPr>
                    <wps:txbx>
                      <w:txbxContent>
                        <w:p>
                          <w:pPr>
                            <w:pStyle w:val="12"/>
                            <w:jc w:val="center"/>
                          </w:pPr>
                          <w:r>
                            <w:fldChar w:fldCharType="begin"/>
                          </w:r>
                          <w:r>
                            <w:instrText xml:space="preserve">PAGE   \* MERGEFORMAT</w:instrText>
                          </w:r>
                          <w:r>
                            <w:fldChar w:fldCharType="separate"/>
                          </w:r>
                          <w:r>
                            <w:rPr>
                              <w:lang w:val="zh-CN"/>
                            </w:rPr>
                            <w:t>20</w:t>
                          </w:r>
                          <w:r>
                            <w:rPr>
                              <w:lang w:val="zh-CN"/>
                            </w:rPr>
                            <w:fldChar w:fldCharType="end"/>
                          </w:r>
                        </w:p>
                        <w:p/>
                      </w:txbxContent>
                    </wps:txbx>
                    <wps:bodyPr wrap="none" lIns="0" tIns="0" rIns="0" bIns="0" upright="true">
                      <a:spAutoFit/>
                    </wps:bodyPr>
                  </wps:wsp>
                </a:graphicData>
              </a:graphic>
            </wp:anchor>
          </w:drawing>
        </mc:Choice>
        <mc:Fallback>
          <w:pict>
            <v:shape id="Quad Arrow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GBxGQrQBAABpAwAADgAAAAAAAAABACAAAAA0AQAAZHJzL2Uyb0Rv&#10;Yy54bWxQSwUGAAAAAAYABgBZAQAAWgUAAAAA&#10;">
              <v:fill on="f" focussize="0,0"/>
              <v:stroke on="f"/>
              <v:imagedata o:title=""/>
              <o:lock v:ext="edit" aspectratio="f"/>
              <v:textbox inset="0mm,0mm,0mm,0mm" style="mso-fit-shape-to-text:t;">
                <w:txbxContent>
                  <w:p>
                    <w:pPr>
                      <w:pStyle w:val="12"/>
                      <w:jc w:val="center"/>
                    </w:pPr>
                    <w:r>
                      <w:fldChar w:fldCharType="begin"/>
                    </w:r>
                    <w:r>
                      <w:instrText xml:space="preserve">PAGE   \* MERGEFORMAT</w:instrText>
                    </w:r>
                    <w:r>
                      <w:fldChar w:fldCharType="separate"/>
                    </w:r>
                    <w:r>
                      <w:rPr>
                        <w:lang w:val="zh-CN"/>
                      </w:rPr>
                      <w:t>20</w:t>
                    </w:r>
                    <w:r>
                      <w:rPr>
                        <w:lang w:val="zh-CN"/>
                      </w:rPr>
                      <w:fldChar w:fldCharType="end"/>
                    </w:r>
                  </w:p>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B6CB9B"/>
    <w:multiLevelType w:val="singleLevel"/>
    <w:tmpl w:val="F3B6CB9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false"/>
  <w:bordersDoNotSurroundFooter w:val="false"/>
  <w:doNotTrackMoves/>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MmQ0NTE3MTE1Nzk1ZWMzMTMxZTgxNmRjNDZmZWIifQ=="/>
  </w:docVars>
  <w:rsids>
    <w:rsidRoot w:val="008F65C7"/>
    <w:rsid w:val="00001B05"/>
    <w:rsid w:val="00004C74"/>
    <w:rsid w:val="00005A47"/>
    <w:rsid w:val="0000744B"/>
    <w:rsid w:val="00007E49"/>
    <w:rsid w:val="00014393"/>
    <w:rsid w:val="00014C28"/>
    <w:rsid w:val="0001735C"/>
    <w:rsid w:val="000178DB"/>
    <w:rsid w:val="00021247"/>
    <w:rsid w:val="000227B4"/>
    <w:rsid w:val="000259C5"/>
    <w:rsid w:val="00026745"/>
    <w:rsid w:val="000277F2"/>
    <w:rsid w:val="000334C0"/>
    <w:rsid w:val="000357A9"/>
    <w:rsid w:val="000359AF"/>
    <w:rsid w:val="00036BFA"/>
    <w:rsid w:val="000379C4"/>
    <w:rsid w:val="0005553D"/>
    <w:rsid w:val="00055E6A"/>
    <w:rsid w:val="00056D2A"/>
    <w:rsid w:val="0005742C"/>
    <w:rsid w:val="00057D1B"/>
    <w:rsid w:val="0006148C"/>
    <w:rsid w:val="000626EB"/>
    <w:rsid w:val="00062839"/>
    <w:rsid w:val="0006286F"/>
    <w:rsid w:val="00062BC6"/>
    <w:rsid w:val="00063A95"/>
    <w:rsid w:val="00063FE1"/>
    <w:rsid w:val="00065636"/>
    <w:rsid w:val="0006595C"/>
    <w:rsid w:val="00065C74"/>
    <w:rsid w:val="000704A9"/>
    <w:rsid w:val="00071BD7"/>
    <w:rsid w:val="000739F2"/>
    <w:rsid w:val="00075439"/>
    <w:rsid w:val="000830C3"/>
    <w:rsid w:val="0008321C"/>
    <w:rsid w:val="000839B8"/>
    <w:rsid w:val="00084CE9"/>
    <w:rsid w:val="00084F29"/>
    <w:rsid w:val="00091C0B"/>
    <w:rsid w:val="00097ACA"/>
    <w:rsid w:val="000A1AE9"/>
    <w:rsid w:val="000A39E6"/>
    <w:rsid w:val="000A5039"/>
    <w:rsid w:val="000A5AFD"/>
    <w:rsid w:val="000A74AC"/>
    <w:rsid w:val="000A7EDF"/>
    <w:rsid w:val="000B7BF3"/>
    <w:rsid w:val="000C352A"/>
    <w:rsid w:val="000C6B89"/>
    <w:rsid w:val="000C7684"/>
    <w:rsid w:val="000D2EC2"/>
    <w:rsid w:val="000D5841"/>
    <w:rsid w:val="000E09B2"/>
    <w:rsid w:val="000E2154"/>
    <w:rsid w:val="000F5CCA"/>
    <w:rsid w:val="00101D13"/>
    <w:rsid w:val="0010271A"/>
    <w:rsid w:val="001027AB"/>
    <w:rsid w:val="0010413F"/>
    <w:rsid w:val="00105782"/>
    <w:rsid w:val="00106AD3"/>
    <w:rsid w:val="00115276"/>
    <w:rsid w:val="00123963"/>
    <w:rsid w:val="0012746E"/>
    <w:rsid w:val="00130134"/>
    <w:rsid w:val="00134F8B"/>
    <w:rsid w:val="00135D90"/>
    <w:rsid w:val="00136629"/>
    <w:rsid w:val="00144C17"/>
    <w:rsid w:val="00145C82"/>
    <w:rsid w:val="00160221"/>
    <w:rsid w:val="001630E1"/>
    <w:rsid w:val="00163465"/>
    <w:rsid w:val="001664F0"/>
    <w:rsid w:val="00166862"/>
    <w:rsid w:val="00166DE3"/>
    <w:rsid w:val="001673D2"/>
    <w:rsid w:val="00167F5C"/>
    <w:rsid w:val="00173614"/>
    <w:rsid w:val="001742A7"/>
    <w:rsid w:val="00174A50"/>
    <w:rsid w:val="0017588C"/>
    <w:rsid w:val="001773FE"/>
    <w:rsid w:val="001818A7"/>
    <w:rsid w:val="001829C8"/>
    <w:rsid w:val="001867C6"/>
    <w:rsid w:val="00186C38"/>
    <w:rsid w:val="00186EC6"/>
    <w:rsid w:val="001909EF"/>
    <w:rsid w:val="00191DA2"/>
    <w:rsid w:val="00193788"/>
    <w:rsid w:val="00194469"/>
    <w:rsid w:val="00195E08"/>
    <w:rsid w:val="00197475"/>
    <w:rsid w:val="001974E1"/>
    <w:rsid w:val="001A1360"/>
    <w:rsid w:val="001A3085"/>
    <w:rsid w:val="001A3281"/>
    <w:rsid w:val="001A371C"/>
    <w:rsid w:val="001A7857"/>
    <w:rsid w:val="001B030A"/>
    <w:rsid w:val="001B1FD2"/>
    <w:rsid w:val="001B77A4"/>
    <w:rsid w:val="001C4ECE"/>
    <w:rsid w:val="001C51A5"/>
    <w:rsid w:val="001C7500"/>
    <w:rsid w:val="001D3D44"/>
    <w:rsid w:val="001D4548"/>
    <w:rsid w:val="001D6DAC"/>
    <w:rsid w:val="001D7E7F"/>
    <w:rsid w:val="001E1F9F"/>
    <w:rsid w:val="001E2B5C"/>
    <w:rsid w:val="001E4671"/>
    <w:rsid w:val="001E61FB"/>
    <w:rsid w:val="001E753D"/>
    <w:rsid w:val="001F089B"/>
    <w:rsid w:val="001F0D1C"/>
    <w:rsid w:val="001F15F3"/>
    <w:rsid w:val="001F364A"/>
    <w:rsid w:val="0020372A"/>
    <w:rsid w:val="002063B0"/>
    <w:rsid w:val="0021202E"/>
    <w:rsid w:val="00217F5D"/>
    <w:rsid w:val="00223ADF"/>
    <w:rsid w:val="0022607D"/>
    <w:rsid w:val="002277D5"/>
    <w:rsid w:val="00232AD8"/>
    <w:rsid w:val="002408C5"/>
    <w:rsid w:val="00242033"/>
    <w:rsid w:val="002422CC"/>
    <w:rsid w:val="0024261C"/>
    <w:rsid w:val="0024426E"/>
    <w:rsid w:val="0024602F"/>
    <w:rsid w:val="00250B0E"/>
    <w:rsid w:val="002521AD"/>
    <w:rsid w:val="00252548"/>
    <w:rsid w:val="00256018"/>
    <w:rsid w:val="00262AEF"/>
    <w:rsid w:val="002631A0"/>
    <w:rsid w:val="00263DC9"/>
    <w:rsid w:val="002655B8"/>
    <w:rsid w:val="00270119"/>
    <w:rsid w:val="0027283B"/>
    <w:rsid w:val="00273671"/>
    <w:rsid w:val="00282CEB"/>
    <w:rsid w:val="00282D8C"/>
    <w:rsid w:val="00282E74"/>
    <w:rsid w:val="002845FC"/>
    <w:rsid w:val="00285F41"/>
    <w:rsid w:val="002A4156"/>
    <w:rsid w:val="002A55A7"/>
    <w:rsid w:val="002A6DFF"/>
    <w:rsid w:val="002A6E10"/>
    <w:rsid w:val="002A7824"/>
    <w:rsid w:val="002B0F61"/>
    <w:rsid w:val="002B6452"/>
    <w:rsid w:val="002B6FF1"/>
    <w:rsid w:val="002C1CC5"/>
    <w:rsid w:val="002C277F"/>
    <w:rsid w:val="002C7047"/>
    <w:rsid w:val="002D3791"/>
    <w:rsid w:val="002E030B"/>
    <w:rsid w:val="002E354C"/>
    <w:rsid w:val="002E3D34"/>
    <w:rsid w:val="002E6D1F"/>
    <w:rsid w:val="002F3D8C"/>
    <w:rsid w:val="002F4D90"/>
    <w:rsid w:val="0030355D"/>
    <w:rsid w:val="00310C24"/>
    <w:rsid w:val="0031251F"/>
    <w:rsid w:val="00312DE7"/>
    <w:rsid w:val="00314126"/>
    <w:rsid w:val="00315AC6"/>
    <w:rsid w:val="00317136"/>
    <w:rsid w:val="00317E13"/>
    <w:rsid w:val="00323756"/>
    <w:rsid w:val="00325946"/>
    <w:rsid w:val="00330EDB"/>
    <w:rsid w:val="00331499"/>
    <w:rsid w:val="00335FCB"/>
    <w:rsid w:val="00340601"/>
    <w:rsid w:val="00340C1A"/>
    <w:rsid w:val="00343D71"/>
    <w:rsid w:val="0034725D"/>
    <w:rsid w:val="003475D9"/>
    <w:rsid w:val="00353D19"/>
    <w:rsid w:val="00356E1C"/>
    <w:rsid w:val="0035769A"/>
    <w:rsid w:val="003613BC"/>
    <w:rsid w:val="003633D7"/>
    <w:rsid w:val="003658DD"/>
    <w:rsid w:val="00365B74"/>
    <w:rsid w:val="003660D4"/>
    <w:rsid w:val="00371172"/>
    <w:rsid w:val="00373CDA"/>
    <w:rsid w:val="003742A8"/>
    <w:rsid w:val="0037594A"/>
    <w:rsid w:val="003839F5"/>
    <w:rsid w:val="00391557"/>
    <w:rsid w:val="00391D7E"/>
    <w:rsid w:val="00395AA3"/>
    <w:rsid w:val="00396B4A"/>
    <w:rsid w:val="00396E7B"/>
    <w:rsid w:val="00396E95"/>
    <w:rsid w:val="003A2161"/>
    <w:rsid w:val="003A363E"/>
    <w:rsid w:val="003A4238"/>
    <w:rsid w:val="003A4D6F"/>
    <w:rsid w:val="003A6D5E"/>
    <w:rsid w:val="003A721A"/>
    <w:rsid w:val="003B0D04"/>
    <w:rsid w:val="003B3685"/>
    <w:rsid w:val="003B3C68"/>
    <w:rsid w:val="003B4353"/>
    <w:rsid w:val="003B43F3"/>
    <w:rsid w:val="003C0693"/>
    <w:rsid w:val="003C08C0"/>
    <w:rsid w:val="003C1173"/>
    <w:rsid w:val="003C5F90"/>
    <w:rsid w:val="003D17A3"/>
    <w:rsid w:val="003D21DD"/>
    <w:rsid w:val="003D239E"/>
    <w:rsid w:val="003D4456"/>
    <w:rsid w:val="003D52A0"/>
    <w:rsid w:val="003E040B"/>
    <w:rsid w:val="003E07B3"/>
    <w:rsid w:val="003E2BF4"/>
    <w:rsid w:val="003E397B"/>
    <w:rsid w:val="003E4C1B"/>
    <w:rsid w:val="003E7732"/>
    <w:rsid w:val="003E79EB"/>
    <w:rsid w:val="003F3FF6"/>
    <w:rsid w:val="003F430F"/>
    <w:rsid w:val="003F5833"/>
    <w:rsid w:val="003F619E"/>
    <w:rsid w:val="003F6B8F"/>
    <w:rsid w:val="003F741C"/>
    <w:rsid w:val="00400B2B"/>
    <w:rsid w:val="00400E83"/>
    <w:rsid w:val="00401614"/>
    <w:rsid w:val="00401B02"/>
    <w:rsid w:val="004047BA"/>
    <w:rsid w:val="004067F0"/>
    <w:rsid w:val="004072A8"/>
    <w:rsid w:val="00413C0C"/>
    <w:rsid w:val="00413D35"/>
    <w:rsid w:val="00415A10"/>
    <w:rsid w:val="00416375"/>
    <w:rsid w:val="0042305C"/>
    <w:rsid w:val="0042307D"/>
    <w:rsid w:val="00423D52"/>
    <w:rsid w:val="00425433"/>
    <w:rsid w:val="00445B90"/>
    <w:rsid w:val="004463E0"/>
    <w:rsid w:val="004502BB"/>
    <w:rsid w:val="0045206A"/>
    <w:rsid w:val="00462472"/>
    <w:rsid w:val="0046768C"/>
    <w:rsid w:val="004733A9"/>
    <w:rsid w:val="00473F05"/>
    <w:rsid w:val="00474699"/>
    <w:rsid w:val="00476E4C"/>
    <w:rsid w:val="00480A56"/>
    <w:rsid w:val="0048680F"/>
    <w:rsid w:val="004873D3"/>
    <w:rsid w:val="00494834"/>
    <w:rsid w:val="00497AE0"/>
    <w:rsid w:val="004A2348"/>
    <w:rsid w:val="004A28DB"/>
    <w:rsid w:val="004A30D6"/>
    <w:rsid w:val="004A6F1F"/>
    <w:rsid w:val="004B13A1"/>
    <w:rsid w:val="004B4687"/>
    <w:rsid w:val="004B7105"/>
    <w:rsid w:val="004B7901"/>
    <w:rsid w:val="004C21FC"/>
    <w:rsid w:val="004C299C"/>
    <w:rsid w:val="004C3184"/>
    <w:rsid w:val="004D13E3"/>
    <w:rsid w:val="004D31B5"/>
    <w:rsid w:val="004D32AA"/>
    <w:rsid w:val="004E0083"/>
    <w:rsid w:val="004E1992"/>
    <w:rsid w:val="004E2911"/>
    <w:rsid w:val="004E3D6C"/>
    <w:rsid w:val="004E5942"/>
    <w:rsid w:val="004E5C5B"/>
    <w:rsid w:val="004E5D3F"/>
    <w:rsid w:val="004E64C7"/>
    <w:rsid w:val="004F06FD"/>
    <w:rsid w:val="004F1FD5"/>
    <w:rsid w:val="004F3F0F"/>
    <w:rsid w:val="004F4686"/>
    <w:rsid w:val="004F560A"/>
    <w:rsid w:val="004F7CEC"/>
    <w:rsid w:val="00502428"/>
    <w:rsid w:val="0050611D"/>
    <w:rsid w:val="00510E51"/>
    <w:rsid w:val="005110EE"/>
    <w:rsid w:val="0051775D"/>
    <w:rsid w:val="00523AF4"/>
    <w:rsid w:val="005271B2"/>
    <w:rsid w:val="0053300C"/>
    <w:rsid w:val="00533707"/>
    <w:rsid w:val="005401A7"/>
    <w:rsid w:val="0054416C"/>
    <w:rsid w:val="005451AC"/>
    <w:rsid w:val="00546B56"/>
    <w:rsid w:val="00550470"/>
    <w:rsid w:val="00551231"/>
    <w:rsid w:val="00554BDE"/>
    <w:rsid w:val="00554E33"/>
    <w:rsid w:val="00555705"/>
    <w:rsid w:val="0055705F"/>
    <w:rsid w:val="00561483"/>
    <w:rsid w:val="0056224D"/>
    <w:rsid w:val="005666A9"/>
    <w:rsid w:val="0056768A"/>
    <w:rsid w:val="005702D7"/>
    <w:rsid w:val="00570A3A"/>
    <w:rsid w:val="005716A7"/>
    <w:rsid w:val="00572A0D"/>
    <w:rsid w:val="005751B3"/>
    <w:rsid w:val="00575990"/>
    <w:rsid w:val="00575ABF"/>
    <w:rsid w:val="00577B86"/>
    <w:rsid w:val="00583CB9"/>
    <w:rsid w:val="005902E1"/>
    <w:rsid w:val="005A0A27"/>
    <w:rsid w:val="005A1CEB"/>
    <w:rsid w:val="005A3577"/>
    <w:rsid w:val="005A3D65"/>
    <w:rsid w:val="005A60AB"/>
    <w:rsid w:val="005B1F78"/>
    <w:rsid w:val="005B39D8"/>
    <w:rsid w:val="005B40A1"/>
    <w:rsid w:val="005B48F6"/>
    <w:rsid w:val="005B55F9"/>
    <w:rsid w:val="005B69DE"/>
    <w:rsid w:val="005C295E"/>
    <w:rsid w:val="005D20B5"/>
    <w:rsid w:val="005D73E0"/>
    <w:rsid w:val="005E37AD"/>
    <w:rsid w:val="0060142A"/>
    <w:rsid w:val="006014F4"/>
    <w:rsid w:val="00601DE4"/>
    <w:rsid w:val="0060525D"/>
    <w:rsid w:val="00612758"/>
    <w:rsid w:val="006141B9"/>
    <w:rsid w:val="00617108"/>
    <w:rsid w:val="006205B9"/>
    <w:rsid w:val="00620ACB"/>
    <w:rsid w:val="00620EC5"/>
    <w:rsid w:val="00621EA9"/>
    <w:rsid w:val="00622FC9"/>
    <w:rsid w:val="00632225"/>
    <w:rsid w:val="00633A3A"/>
    <w:rsid w:val="0063470B"/>
    <w:rsid w:val="00635CCA"/>
    <w:rsid w:val="00636B3B"/>
    <w:rsid w:val="00640F00"/>
    <w:rsid w:val="00643EE4"/>
    <w:rsid w:val="00652577"/>
    <w:rsid w:val="006538C2"/>
    <w:rsid w:val="00653D34"/>
    <w:rsid w:val="00653DB7"/>
    <w:rsid w:val="0065589A"/>
    <w:rsid w:val="00655931"/>
    <w:rsid w:val="00656A14"/>
    <w:rsid w:val="0066282A"/>
    <w:rsid w:val="00662E88"/>
    <w:rsid w:val="00664856"/>
    <w:rsid w:val="00664B2F"/>
    <w:rsid w:val="006660D2"/>
    <w:rsid w:val="00667394"/>
    <w:rsid w:val="00670C84"/>
    <w:rsid w:val="00671FB5"/>
    <w:rsid w:val="00673854"/>
    <w:rsid w:val="00676984"/>
    <w:rsid w:val="00681EA4"/>
    <w:rsid w:val="006856AA"/>
    <w:rsid w:val="00686366"/>
    <w:rsid w:val="0069091A"/>
    <w:rsid w:val="00692465"/>
    <w:rsid w:val="006A1C39"/>
    <w:rsid w:val="006A2C3A"/>
    <w:rsid w:val="006A37B8"/>
    <w:rsid w:val="006A46D3"/>
    <w:rsid w:val="006A5CBA"/>
    <w:rsid w:val="006A6C12"/>
    <w:rsid w:val="006B1794"/>
    <w:rsid w:val="006B2703"/>
    <w:rsid w:val="006C0CC3"/>
    <w:rsid w:val="006C2891"/>
    <w:rsid w:val="006C326D"/>
    <w:rsid w:val="006D0EE0"/>
    <w:rsid w:val="006D7C6E"/>
    <w:rsid w:val="006E1605"/>
    <w:rsid w:val="006E1B08"/>
    <w:rsid w:val="006E2202"/>
    <w:rsid w:val="006E2AA3"/>
    <w:rsid w:val="006E4154"/>
    <w:rsid w:val="006E464D"/>
    <w:rsid w:val="006F57FA"/>
    <w:rsid w:val="006F713E"/>
    <w:rsid w:val="006F716B"/>
    <w:rsid w:val="00700719"/>
    <w:rsid w:val="00700871"/>
    <w:rsid w:val="00701674"/>
    <w:rsid w:val="00705BCE"/>
    <w:rsid w:val="00705CDC"/>
    <w:rsid w:val="007064A4"/>
    <w:rsid w:val="00707BB1"/>
    <w:rsid w:val="00711E3E"/>
    <w:rsid w:val="007141FF"/>
    <w:rsid w:val="007164DB"/>
    <w:rsid w:val="007224D6"/>
    <w:rsid w:val="00723049"/>
    <w:rsid w:val="00723753"/>
    <w:rsid w:val="00724001"/>
    <w:rsid w:val="00730D65"/>
    <w:rsid w:val="00733341"/>
    <w:rsid w:val="007375C6"/>
    <w:rsid w:val="0073777D"/>
    <w:rsid w:val="00740583"/>
    <w:rsid w:val="0074493F"/>
    <w:rsid w:val="00745E2E"/>
    <w:rsid w:val="00750CE7"/>
    <w:rsid w:val="0075643B"/>
    <w:rsid w:val="007564C7"/>
    <w:rsid w:val="00756629"/>
    <w:rsid w:val="00761CB0"/>
    <w:rsid w:val="00767CDC"/>
    <w:rsid w:val="0077011B"/>
    <w:rsid w:val="00771B04"/>
    <w:rsid w:val="00774D7D"/>
    <w:rsid w:val="00777085"/>
    <w:rsid w:val="007800E4"/>
    <w:rsid w:val="00781D2C"/>
    <w:rsid w:val="00785F13"/>
    <w:rsid w:val="00786B97"/>
    <w:rsid w:val="00787617"/>
    <w:rsid w:val="00790841"/>
    <w:rsid w:val="0079313D"/>
    <w:rsid w:val="0079315A"/>
    <w:rsid w:val="007958BB"/>
    <w:rsid w:val="00796312"/>
    <w:rsid w:val="0079746A"/>
    <w:rsid w:val="007A3E6F"/>
    <w:rsid w:val="007B2A8F"/>
    <w:rsid w:val="007B44F5"/>
    <w:rsid w:val="007B4581"/>
    <w:rsid w:val="007B5414"/>
    <w:rsid w:val="007C10F0"/>
    <w:rsid w:val="007C2CC6"/>
    <w:rsid w:val="007C78A8"/>
    <w:rsid w:val="007D4084"/>
    <w:rsid w:val="007D5F3A"/>
    <w:rsid w:val="007D6CE9"/>
    <w:rsid w:val="007E0F3C"/>
    <w:rsid w:val="007E2BFF"/>
    <w:rsid w:val="007E4E60"/>
    <w:rsid w:val="007E6AEE"/>
    <w:rsid w:val="007E72DA"/>
    <w:rsid w:val="007E7B59"/>
    <w:rsid w:val="007F178D"/>
    <w:rsid w:val="007F1B3A"/>
    <w:rsid w:val="0080263D"/>
    <w:rsid w:val="008041F0"/>
    <w:rsid w:val="00804BD9"/>
    <w:rsid w:val="008052A8"/>
    <w:rsid w:val="00805CB8"/>
    <w:rsid w:val="00807E8F"/>
    <w:rsid w:val="00810062"/>
    <w:rsid w:val="00812094"/>
    <w:rsid w:val="00812F06"/>
    <w:rsid w:val="0081306A"/>
    <w:rsid w:val="0081481F"/>
    <w:rsid w:val="0081630F"/>
    <w:rsid w:val="0081637F"/>
    <w:rsid w:val="008168C4"/>
    <w:rsid w:val="00822FE2"/>
    <w:rsid w:val="00824813"/>
    <w:rsid w:val="00825276"/>
    <w:rsid w:val="0082669C"/>
    <w:rsid w:val="00826E2F"/>
    <w:rsid w:val="00830CC6"/>
    <w:rsid w:val="00831FB1"/>
    <w:rsid w:val="008323CB"/>
    <w:rsid w:val="008343E8"/>
    <w:rsid w:val="00845002"/>
    <w:rsid w:val="0085330D"/>
    <w:rsid w:val="0085370A"/>
    <w:rsid w:val="008548F9"/>
    <w:rsid w:val="00854F5E"/>
    <w:rsid w:val="00855166"/>
    <w:rsid w:val="00861D9F"/>
    <w:rsid w:val="00862678"/>
    <w:rsid w:val="00863ACE"/>
    <w:rsid w:val="0086589C"/>
    <w:rsid w:val="0086626D"/>
    <w:rsid w:val="0087392F"/>
    <w:rsid w:val="00873AF4"/>
    <w:rsid w:val="00877CFB"/>
    <w:rsid w:val="008818F2"/>
    <w:rsid w:val="0088457A"/>
    <w:rsid w:val="00891AC2"/>
    <w:rsid w:val="00894046"/>
    <w:rsid w:val="0089580E"/>
    <w:rsid w:val="008974A5"/>
    <w:rsid w:val="008A1D45"/>
    <w:rsid w:val="008A296E"/>
    <w:rsid w:val="008A4CB1"/>
    <w:rsid w:val="008A6381"/>
    <w:rsid w:val="008A6409"/>
    <w:rsid w:val="008B2ABB"/>
    <w:rsid w:val="008B4CA2"/>
    <w:rsid w:val="008B4FFB"/>
    <w:rsid w:val="008B6EB1"/>
    <w:rsid w:val="008C00E6"/>
    <w:rsid w:val="008C340E"/>
    <w:rsid w:val="008C4D06"/>
    <w:rsid w:val="008D1643"/>
    <w:rsid w:val="008D23FB"/>
    <w:rsid w:val="008D3EF0"/>
    <w:rsid w:val="008E0E2D"/>
    <w:rsid w:val="008E10CC"/>
    <w:rsid w:val="008E4659"/>
    <w:rsid w:val="008F487D"/>
    <w:rsid w:val="008F5C84"/>
    <w:rsid w:val="008F65C7"/>
    <w:rsid w:val="008F6A76"/>
    <w:rsid w:val="00900475"/>
    <w:rsid w:val="009044E5"/>
    <w:rsid w:val="009139CD"/>
    <w:rsid w:val="0091555B"/>
    <w:rsid w:val="0092022D"/>
    <w:rsid w:val="00922A68"/>
    <w:rsid w:val="0092617E"/>
    <w:rsid w:val="00930001"/>
    <w:rsid w:val="009306A4"/>
    <w:rsid w:val="00932C19"/>
    <w:rsid w:val="00933F93"/>
    <w:rsid w:val="00946044"/>
    <w:rsid w:val="00947346"/>
    <w:rsid w:val="00950A67"/>
    <w:rsid w:val="009541B5"/>
    <w:rsid w:val="00954591"/>
    <w:rsid w:val="00960423"/>
    <w:rsid w:val="009606C8"/>
    <w:rsid w:val="00961994"/>
    <w:rsid w:val="00961E68"/>
    <w:rsid w:val="0096345F"/>
    <w:rsid w:val="00964944"/>
    <w:rsid w:val="00973D5E"/>
    <w:rsid w:val="00975C73"/>
    <w:rsid w:val="0097643E"/>
    <w:rsid w:val="009777AC"/>
    <w:rsid w:val="00983667"/>
    <w:rsid w:val="00983BCD"/>
    <w:rsid w:val="00983CB7"/>
    <w:rsid w:val="00984091"/>
    <w:rsid w:val="009915D6"/>
    <w:rsid w:val="009A2834"/>
    <w:rsid w:val="009A3FEF"/>
    <w:rsid w:val="009A5C9F"/>
    <w:rsid w:val="009A761D"/>
    <w:rsid w:val="009B0659"/>
    <w:rsid w:val="009B17DD"/>
    <w:rsid w:val="009B3D55"/>
    <w:rsid w:val="009B585C"/>
    <w:rsid w:val="009C08CA"/>
    <w:rsid w:val="009C2DA5"/>
    <w:rsid w:val="009C3D93"/>
    <w:rsid w:val="009C3F78"/>
    <w:rsid w:val="009C4FC2"/>
    <w:rsid w:val="009C75D8"/>
    <w:rsid w:val="009D37B7"/>
    <w:rsid w:val="009D5306"/>
    <w:rsid w:val="009D64C6"/>
    <w:rsid w:val="009D7223"/>
    <w:rsid w:val="009E10C2"/>
    <w:rsid w:val="009E42D9"/>
    <w:rsid w:val="009F022D"/>
    <w:rsid w:val="009F2FF0"/>
    <w:rsid w:val="009F391C"/>
    <w:rsid w:val="009F3CA2"/>
    <w:rsid w:val="009F3FE2"/>
    <w:rsid w:val="009F494A"/>
    <w:rsid w:val="00A01C19"/>
    <w:rsid w:val="00A14E8E"/>
    <w:rsid w:val="00A1504E"/>
    <w:rsid w:val="00A20B44"/>
    <w:rsid w:val="00A24BFA"/>
    <w:rsid w:val="00A24D19"/>
    <w:rsid w:val="00A2551B"/>
    <w:rsid w:val="00A2622A"/>
    <w:rsid w:val="00A263B9"/>
    <w:rsid w:val="00A274BD"/>
    <w:rsid w:val="00A27C99"/>
    <w:rsid w:val="00A31353"/>
    <w:rsid w:val="00A318CC"/>
    <w:rsid w:val="00A33D4E"/>
    <w:rsid w:val="00A34A87"/>
    <w:rsid w:val="00A34AC7"/>
    <w:rsid w:val="00A3535B"/>
    <w:rsid w:val="00A35D34"/>
    <w:rsid w:val="00A37723"/>
    <w:rsid w:val="00A40A54"/>
    <w:rsid w:val="00A41D0F"/>
    <w:rsid w:val="00A4234C"/>
    <w:rsid w:val="00A4353B"/>
    <w:rsid w:val="00A43BF8"/>
    <w:rsid w:val="00A45916"/>
    <w:rsid w:val="00A50E4C"/>
    <w:rsid w:val="00A5298A"/>
    <w:rsid w:val="00A53693"/>
    <w:rsid w:val="00A549DA"/>
    <w:rsid w:val="00A5608C"/>
    <w:rsid w:val="00A571CB"/>
    <w:rsid w:val="00A7112F"/>
    <w:rsid w:val="00A73212"/>
    <w:rsid w:val="00A76731"/>
    <w:rsid w:val="00A7742B"/>
    <w:rsid w:val="00A805AC"/>
    <w:rsid w:val="00A80953"/>
    <w:rsid w:val="00A81A9C"/>
    <w:rsid w:val="00A8254E"/>
    <w:rsid w:val="00A837A1"/>
    <w:rsid w:val="00A87A0A"/>
    <w:rsid w:val="00A91E05"/>
    <w:rsid w:val="00A92D01"/>
    <w:rsid w:val="00A93308"/>
    <w:rsid w:val="00A9722C"/>
    <w:rsid w:val="00A97EA2"/>
    <w:rsid w:val="00AA70CD"/>
    <w:rsid w:val="00AB0B2A"/>
    <w:rsid w:val="00AB1167"/>
    <w:rsid w:val="00AB1CD7"/>
    <w:rsid w:val="00AB1E80"/>
    <w:rsid w:val="00AB2044"/>
    <w:rsid w:val="00AB28BD"/>
    <w:rsid w:val="00AC1E04"/>
    <w:rsid w:val="00AC3572"/>
    <w:rsid w:val="00AC6A2A"/>
    <w:rsid w:val="00AD02BC"/>
    <w:rsid w:val="00AD279C"/>
    <w:rsid w:val="00AD4B6D"/>
    <w:rsid w:val="00AD6A1E"/>
    <w:rsid w:val="00AD6D32"/>
    <w:rsid w:val="00AE6EA1"/>
    <w:rsid w:val="00AE710C"/>
    <w:rsid w:val="00AF18EC"/>
    <w:rsid w:val="00AF59D9"/>
    <w:rsid w:val="00AF769D"/>
    <w:rsid w:val="00B07457"/>
    <w:rsid w:val="00B10D0A"/>
    <w:rsid w:val="00B111EA"/>
    <w:rsid w:val="00B11C1F"/>
    <w:rsid w:val="00B12EC8"/>
    <w:rsid w:val="00B15CE5"/>
    <w:rsid w:val="00B21570"/>
    <w:rsid w:val="00B23601"/>
    <w:rsid w:val="00B23750"/>
    <w:rsid w:val="00B2497E"/>
    <w:rsid w:val="00B27190"/>
    <w:rsid w:val="00B34521"/>
    <w:rsid w:val="00B36B24"/>
    <w:rsid w:val="00B43537"/>
    <w:rsid w:val="00B45A08"/>
    <w:rsid w:val="00B5185B"/>
    <w:rsid w:val="00B54387"/>
    <w:rsid w:val="00B55207"/>
    <w:rsid w:val="00B56A8D"/>
    <w:rsid w:val="00B62368"/>
    <w:rsid w:val="00B62B68"/>
    <w:rsid w:val="00B65A54"/>
    <w:rsid w:val="00B65AA7"/>
    <w:rsid w:val="00B678A0"/>
    <w:rsid w:val="00B7465A"/>
    <w:rsid w:val="00B7512B"/>
    <w:rsid w:val="00B75F2B"/>
    <w:rsid w:val="00B77C63"/>
    <w:rsid w:val="00B80311"/>
    <w:rsid w:val="00B841AC"/>
    <w:rsid w:val="00B84595"/>
    <w:rsid w:val="00B84F75"/>
    <w:rsid w:val="00B86DB3"/>
    <w:rsid w:val="00B872BE"/>
    <w:rsid w:val="00B90342"/>
    <w:rsid w:val="00B9168B"/>
    <w:rsid w:val="00B91C04"/>
    <w:rsid w:val="00B955A1"/>
    <w:rsid w:val="00BA282D"/>
    <w:rsid w:val="00BA2975"/>
    <w:rsid w:val="00BA3D7A"/>
    <w:rsid w:val="00BA7A2D"/>
    <w:rsid w:val="00BB00B2"/>
    <w:rsid w:val="00BB1489"/>
    <w:rsid w:val="00BB1A1D"/>
    <w:rsid w:val="00BB35E7"/>
    <w:rsid w:val="00BB51E2"/>
    <w:rsid w:val="00BC30A1"/>
    <w:rsid w:val="00BC5EBF"/>
    <w:rsid w:val="00BC7ECB"/>
    <w:rsid w:val="00BD094F"/>
    <w:rsid w:val="00BD7E40"/>
    <w:rsid w:val="00BD7EFA"/>
    <w:rsid w:val="00BE3B9D"/>
    <w:rsid w:val="00BE3CA3"/>
    <w:rsid w:val="00BE5E86"/>
    <w:rsid w:val="00BF181E"/>
    <w:rsid w:val="00BF4937"/>
    <w:rsid w:val="00BF5913"/>
    <w:rsid w:val="00BF620C"/>
    <w:rsid w:val="00BF78E2"/>
    <w:rsid w:val="00C00B9C"/>
    <w:rsid w:val="00C03B1D"/>
    <w:rsid w:val="00C03B6E"/>
    <w:rsid w:val="00C05FAE"/>
    <w:rsid w:val="00C07890"/>
    <w:rsid w:val="00C10A45"/>
    <w:rsid w:val="00C13853"/>
    <w:rsid w:val="00C14EB3"/>
    <w:rsid w:val="00C23C00"/>
    <w:rsid w:val="00C25E9D"/>
    <w:rsid w:val="00C2691D"/>
    <w:rsid w:val="00C36E92"/>
    <w:rsid w:val="00C372C0"/>
    <w:rsid w:val="00C37304"/>
    <w:rsid w:val="00C41B74"/>
    <w:rsid w:val="00C4596D"/>
    <w:rsid w:val="00C50D9E"/>
    <w:rsid w:val="00C524F4"/>
    <w:rsid w:val="00C52613"/>
    <w:rsid w:val="00C539F4"/>
    <w:rsid w:val="00C53DAC"/>
    <w:rsid w:val="00C53F79"/>
    <w:rsid w:val="00C5439B"/>
    <w:rsid w:val="00C54A75"/>
    <w:rsid w:val="00C54BC3"/>
    <w:rsid w:val="00C54FF3"/>
    <w:rsid w:val="00C579E1"/>
    <w:rsid w:val="00C61F53"/>
    <w:rsid w:val="00C6773F"/>
    <w:rsid w:val="00C67CE5"/>
    <w:rsid w:val="00C758C0"/>
    <w:rsid w:val="00C77BB7"/>
    <w:rsid w:val="00C80F7D"/>
    <w:rsid w:val="00C855A4"/>
    <w:rsid w:val="00C86865"/>
    <w:rsid w:val="00C8775A"/>
    <w:rsid w:val="00C92603"/>
    <w:rsid w:val="00C95693"/>
    <w:rsid w:val="00C9631C"/>
    <w:rsid w:val="00C963B3"/>
    <w:rsid w:val="00C97408"/>
    <w:rsid w:val="00CA4862"/>
    <w:rsid w:val="00CA5021"/>
    <w:rsid w:val="00CB0E79"/>
    <w:rsid w:val="00CB276E"/>
    <w:rsid w:val="00CB286A"/>
    <w:rsid w:val="00CB531E"/>
    <w:rsid w:val="00CB63E1"/>
    <w:rsid w:val="00CB7A72"/>
    <w:rsid w:val="00CC2726"/>
    <w:rsid w:val="00CD05A4"/>
    <w:rsid w:val="00CD2F65"/>
    <w:rsid w:val="00CD3477"/>
    <w:rsid w:val="00CE08D0"/>
    <w:rsid w:val="00CE15D8"/>
    <w:rsid w:val="00CE3893"/>
    <w:rsid w:val="00CE645C"/>
    <w:rsid w:val="00CE6FEE"/>
    <w:rsid w:val="00CE76D1"/>
    <w:rsid w:val="00CF1AD5"/>
    <w:rsid w:val="00CF1F70"/>
    <w:rsid w:val="00CF266B"/>
    <w:rsid w:val="00CF335E"/>
    <w:rsid w:val="00CF5F0E"/>
    <w:rsid w:val="00CF6F6C"/>
    <w:rsid w:val="00CF71AD"/>
    <w:rsid w:val="00CF75C6"/>
    <w:rsid w:val="00CF779E"/>
    <w:rsid w:val="00D02D0A"/>
    <w:rsid w:val="00D02E7C"/>
    <w:rsid w:val="00D0731C"/>
    <w:rsid w:val="00D147ED"/>
    <w:rsid w:val="00D156C4"/>
    <w:rsid w:val="00D22686"/>
    <w:rsid w:val="00D237BC"/>
    <w:rsid w:val="00D24692"/>
    <w:rsid w:val="00D26BCF"/>
    <w:rsid w:val="00D3331D"/>
    <w:rsid w:val="00D343F0"/>
    <w:rsid w:val="00D373FF"/>
    <w:rsid w:val="00D449AB"/>
    <w:rsid w:val="00D4537C"/>
    <w:rsid w:val="00D47115"/>
    <w:rsid w:val="00D607C2"/>
    <w:rsid w:val="00D60A84"/>
    <w:rsid w:val="00D621C9"/>
    <w:rsid w:val="00D64D92"/>
    <w:rsid w:val="00D67702"/>
    <w:rsid w:val="00D67BE6"/>
    <w:rsid w:val="00D75171"/>
    <w:rsid w:val="00D759CE"/>
    <w:rsid w:val="00D760D4"/>
    <w:rsid w:val="00D7732F"/>
    <w:rsid w:val="00D806D8"/>
    <w:rsid w:val="00D835E3"/>
    <w:rsid w:val="00D91964"/>
    <w:rsid w:val="00D97A56"/>
    <w:rsid w:val="00D97CE4"/>
    <w:rsid w:val="00DA1CAE"/>
    <w:rsid w:val="00DA2BFA"/>
    <w:rsid w:val="00DA3701"/>
    <w:rsid w:val="00DA4AB1"/>
    <w:rsid w:val="00DA795B"/>
    <w:rsid w:val="00DB079B"/>
    <w:rsid w:val="00DB4DE3"/>
    <w:rsid w:val="00DB7EB0"/>
    <w:rsid w:val="00DC2568"/>
    <w:rsid w:val="00DC3630"/>
    <w:rsid w:val="00DC4906"/>
    <w:rsid w:val="00DC5B60"/>
    <w:rsid w:val="00DD0579"/>
    <w:rsid w:val="00DD0D20"/>
    <w:rsid w:val="00DD3BBD"/>
    <w:rsid w:val="00DD4EA5"/>
    <w:rsid w:val="00DD5061"/>
    <w:rsid w:val="00DD5B05"/>
    <w:rsid w:val="00DD6ABF"/>
    <w:rsid w:val="00DD75CD"/>
    <w:rsid w:val="00DD79B0"/>
    <w:rsid w:val="00DE109C"/>
    <w:rsid w:val="00DE112E"/>
    <w:rsid w:val="00DE5CE2"/>
    <w:rsid w:val="00DE66A7"/>
    <w:rsid w:val="00DE7F49"/>
    <w:rsid w:val="00DF3421"/>
    <w:rsid w:val="00DF4121"/>
    <w:rsid w:val="00DF5C10"/>
    <w:rsid w:val="00E01E45"/>
    <w:rsid w:val="00E02812"/>
    <w:rsid w:val="00E0696E"/>
    <w:rsid w:val="00E06C04"/>
    <w:rsid w:val="00E11893"/>
    <w:rsid w:val="00E11D62"/>
    <w:rsid w:val="00E1564B"/>
    <w:rsid w:val="00E159BF"/>
    <w:rsid w:val="00E16416"/>
    <w:rsid w:val="00E172F7"/>
    <w:rsid w:val="00E1736F"/>
    <w:rsid w:val="00E1757D"/>
    <w:rsid w:val="00E206DD"/>
    <w:rsid w:val="00E2474A"/>
    <w:rsid w:val="00E25610"/>
    <w:rsid w:val="00E26EAB"/>
    <w:rsid w:val="00E30A20"/>
    <w:rsid w:val="00E32DF8"/>
    <w:rsid w:val="00E40B34"/>
    <w:rsid w:val="00E41C73"/>
    <w:rsid w:val="00E5356B"/>
    <w:rsid w:val="00E5445A"/>
    <w:rsid w:val="00E54672"/>
    <w:rsid w:val="00E5508D"/>
    <w:rsid w:val="00E573B1"/>
    <w:rsid w:val="00E616F0"/>
    <w:rsid w:val="00E62739"/>
    <w:rsid w:val="00E62B68"/>
    <w:rsid w:val="00E63B35"/>
    <w:rsid w:val="00E66B5A"/>
    <w:rsid w:val="00E71A87"/>
    <w:rsid w:val="00E727D9"/>
    <w:rsid w:val="00E749E3"/>
    <w:rsid w:val="00E768AD"/>
    <w:rsid w:val="00E81BCA"/>
    <w:rsid w:val="00E82EDA"/>
    <w:rsid w:val="00E8541E"/>
    <w:rsid w:val="00E9343D"/>
    <w:rsid w:val="00EA215D"/>
    <w:rsid w:val="00EB0101"/>
    <w:rsid w:val="00EB2895"/>
    <w:rsid w:val="00EB323A"/>
    <w:rsid w:val="00EB67A7"/>
    <w:rsid w:val="00EB6EB6"/>
    <w:rsid w:val="00EB760E"/>
    <w:rsid w:val="00EC4313"/>
    <w:rsid w:val="00EC6525"/>
    <w:rsid w:val="00ED2B7C"/>
    <w:rsid w:val="00ED4F7F"/>
    <w:rsid w:val="00ED4F8D"/>
    <w:rsid w:val="00EE0494"/>
    <w:rsid w:val="00EE117C"/>
    <w:rsid w:val="00EE16B6"/>
    <w:rsid w:val="00EF0CF2"/>
    <w:rsid w:val="00EF1016"/>
    <w:rsid w:val="00EF5EB4"/>
    <w:rsid w:val="00EF6D64"/>
    <w:rsid w:val="00F00391"/>
    <w:rsid w:val="00F021E2"/>
    <w:rsid w:val="00F03BCB"/>
    <w:rsid w:val="00F04CC3"/>
    <w:rsid w:val="00F04D9C"/>
    <w:rsid w:val="00F0641A"/>
    <w:rsid w:val="00F06E05"/>
    <w:rsid w:val="00F123FB"/>
    <w:rsid w:val="00F20980"/>
    <w:rsid w:val="00F20EFE"/>
    <w:rsid w:val="00F21240"/>
    <w:rsid w:val="00F21381"/>
    <w:rsid w:val="00F241D8"/>
    <w:rsid w:val="00F24C10"/>
    <w:rsid w:val="00F315F3"/>
    <w:rsid w:val="00F32B82"/>
    <w:rsid w:val="00F35106"/>
    <w:rsid w:val="00F4218D"/>
    <w:rsid w:val="00F435E4"/>
    <w:rsid w:val="00F45D2E"/>
    <w:rsid w:val="00F55172"/>
    <w:rsid w:val="00F6026B"/>
    <w:rsid w:val="00F612C7"/>
    <w:rsid w:val="00F620F1"/>
    <w:rsid w:val="00F63B8D"/>
    <w:rsid w:val="00F66CD0"/>
    <w:rsid w:val="00F724E5"/>
    <w:rsid w:val="00F74A85"/>
    <w:rsid w:val="00F74F03"/>
    <w:rsid w:val="00F765C5"/>
    <w:rsid w:val="00F81415"/>
    <w:rsid w:val="00F856E9"/>
    <w:rsid w:val="00F873FC"/>
    <w:rsid w:val="00F916A4"/>
    <w:rsid w:val="00F92352"/>
    <w:rsid w:val="00FA3C24"/>
    <w:rsid w:val="00FA70BF"/>
    <w:rsid w:val="00FB4412"/>
    <w:rsid w:val="00FB46F0"/>
    <w:rsid w:val="00FC0768"/>
    <w:rsid w:val="00FC11B6"/>
    <w:rsid w:val="00FC4750"/>
    <w:rsid w:val="00FC5848"/>
    <w:rsid w:val="00FD385B"/>
    <w:rsid w:val="00FD484F"/>
    <w:rsid w:val="00FD7096"/>
    <w:rsid w:val="00FD7DB1"/>
    <w:rsid w:val="00FD7E2E"/>
    <w:rsid w:val="00FE273B"/>
    <w:rsid w:val="00FE29BC"/>
    <w:rsid w:val="00FE3D99"/>
    <w:rsid w:val="00FF1E6B"/>
    <w:rsid w:val="00FF279F"/>
    <w:rsid w:val="00FF4842"/>
    <w:rsid w:val="00FF51E8"/>
    <w:rsid w:val="00FF6780"/>
    <w:rsid w:val="010F0552"/>
    <w:rsid w:val="01171186"/>
    <w:rsid w:val="011D0840"/>
    <w:rsid w:val="011D78AE"/>
    <w:rsid w:val="011E00B5"/>
    <w:rsid w:val="011E3AF5"/>
    <w:rsid w:val="012A4928"/>
    <w:rsid w:val="01340AE2"/>
    <w:rsid w:val="01405697"/>
    <w:rsid w:val="01456907"/>
    <w:rsid w:val="014976A0"/>
    <w:rsid w:val="016F346A"/>
    <w:rsid w:val="01702627"/>
    <w:rsid w:val="01783D85"/>
    <w:rsid w:val="01873853"/>
    <w:rsid w:val="018841CA"/>
    <w:rsid w:val="019C597A"/>
    <w:rsid w:val="01A03A4F"/>
    <w:rsid w:val="01A55956"/>
    <w:rsid w:val="01A75904"/>
    <w:rsid w:val="01A907B7"/>
    <w:rsid w:val="01A90B8E"/>
    <w:rsid w:val="01C743A2"/>
    <w:rsid w:val="01D00747"/>
    <w:rsid w:val="01D23D77"/>
    <w:rsid w:val="01DB0CC9"/>
    <w:rsid w:val="01DE44F6"/>
    <w:rsid w:val="01E10A6D"/>
    <w:rsid w:val="01E1780B"/>
    <w:rsid w:val="01E41120"/>
    <w:rsid w:val="01E71180"/>
    <w:rsid w:val="01E77BEE"/>
    <w:rsid w:val="01EA4B85"/>
    <w:rsid w:val="01ED6321"/>
    <w:rsid w:val="01F74DB5"/>
    <w:rsid w:val="0202330B"/>
    <w:rsid w:val="0209253A"/>
    <w:rsid w:val="020F790C"/>
    <w:rsid w:val="02150167"/>
    <w:rsid w:val="021C2000"/>
    <w:rsid w:val="022C5A80"/>
    <w:rsid w:val="02436BA8"/>
    <w:rsid w:val="02437B74"/>
    <w:rsid w:val="024B0640"/>
    <w:rsid w:val="024B2998"/>
    <w:rsid w:val="02517C05"/>
    <w:rsid w:val="02706069"/>
    <w:rsid w:val="02787649"/>
    <w:rsid w:val="028A2470"/>
    <w:rsid w:val="029570D5"/>
    <w:rsid w:val="02981110"/>
    <w:rsid w:val="02A164F1"/>
    <w:rsid w:val="02A323B6"/>
    <w:rsid w:val="02A44DE3"/>
    <w:rsid w:val="02AA6CBC"/>
    <w:rsid w:val="02AB48D4"/>
    <w:rsid w:val="02AD74A7"/>
    <w:rsid w:val="02B820A2"/>
    <w:rsid w:val="02C167B1"/>
    <w:rsid w:val="02C64921"/>
    <w:rsid w:val="02C66D77"/>
    <w:rsid w:val="02D0613D"/>
    <w:rsid w:val="02D2627B"/>
    <w:rsid w:val="02D265ED"/>
    <w:rsid w:val="02DA6B1D"/>
    <w:rsid w:val="02DB0BD0"/>
    <w:rsid w:val="02DF5557"/>
    <w:rsid w:val="02EC6598"/>
    <w:rsid w:val="02FF5323"/>
    <w:rsid w:val="03034D08"/>
    <w:rsid w:val="03054189"/>
    <w:rsid w:val="03116497"/>
    <w:rsid w:val="0330015E"/>
    <w:rsid w:val="03304D38"/>
    <w:rsid w:val="0334635D"/>
    <w:rsid w:val="033C7A10"/>
    <w:rsid w:val="0346219A"/>
    <w:rsid w:val="03477A8E"/>
    <w:rsid w:val="034958B1"/>
    <w:rsid w:val="03574AA3"/>
    <w:rsid w:val="03575611"/>
    <w:rsid w:val="035A5EA0"/>
    <w:rsid w:val="03710A9A"/>
    <w:rsid w:val="03736871"/>
    <w:rsid w:val="03750DAF"/>
    <w:rsid w:val="03790286"/>
    <w:rsid w:val="037A1943"/>
    <w:rsid w:val="037C08E4"/>
    <w:rsid w:val="0381116F"/>
    <w:rsid w:val="03844EF2"/>
    <w:rsid w:val="038A40B4"/>
    <w:rsid w:val="038A5D17"/>
    <w:rsid w:val="03932568"/>
    <w:rsid w:val="039B53AE"/>
    <w:rsid w:val="03A031C4"/>
    <w:rsid w:val="03A15394"/>
    <w:rsid w:val="03B70B13"/>
    <w:rsid w:val="03C031D2"/>
    <w:rsid w:val="03CA6159"/>
    <w:rsid w:val="03CF0143"/>
    <w:rsid w:val="03D940EE"/>
    <w:rsid w:val="03E02175"/>
    <w:rsid w:val="03EB13E4"/>
    <w:rsid w:val="03F741E7"/>
    <w:rsid w:val="03FB29D5"/>
    <w:rsid w:val="04020C75"/>
    <w:rsid w:val="040B40E1"/>
    <w:rsid w:val="040D72D1"/>
    <w:rsid w:val="04106487"/>
    <w:rsid w:val="04132C74"/>
    <w:rsid w:val="041C0F50"/>
    <w:rsid w:val="042010F0"/>
    <w:rsid w:val="04216019"/>
    <w:rsid w:val="04272C7E"/>
    <w:rsid w:val="04297A57"/>
    <w:rsid w:val="042D12B1"/>
    <w:rsid w:val="043819F3"/>
    <w:rsid w:val="043E6D61"/>
    <w:rsid w:val="044040F4"/>
    <w:rsid w:val="044D2740"/>
    <w:rsid w:val="04542A5D"/>
    <w:rsid w:val="04585A8B"/>
    <w:rsid w:val="045A2820"/>
    <w:rsid w:val="046200EF"/>
    <w:rsid w:val="04655950"/>
    <w:rsid w:val="046736EA"/>
    <w:rsid w:val="0467541C"/>
    <w:rsid w:val="046B6145"/>
    <w:rsid w:val="04776C81"/>
    <w:rsid w:val="047A192B"/>
    <w:rsid w:val="047A3324"/>
    <w:rsid w:val="047D0309"/>
    <w:rsid w:val="048707FB"/>
    <w:rsid w:val="049B5A51"/>
    <w:rsid w:val="049F0E2C"/>
    <w:rsid w:val="04A36B65"/>
    <w:rsid w:val="04A918BC"/>
    <w:rsid w:val="04AD4A1F"/>
    <w:rsid w:val="04AE5E3F"/>
    <w:rsid w:val="04B34F96"/>
    <w:rsid w:val="04BC0624"/>
    <w:rsid w:val="04BD5B8F"/>
    <w:rsid w:val="04C0574D"/>
    <w:rsid w:val="04CE5AB2"/>
    <w:rsid w:val="04E36FED"/>
    <w:rsid w:val="04F375BD"/>
    <w:rsid w:val="04F76DEF"/>
    <w:rsid w:val="04F87901"/>
    <w:rsid w:val="04FE52A6"/>
    <w:rsid w:val="05014155"/>
    <w:rsid w:val="05032F9C"/>
    <w:rsid w:val="050372C2"/>
    <w:rsid w:val="050774D4"/>
    <w:rsid w:val="051E2627"/>
    <w:rsid w:val="05372082"/>
    <w:rsid w:val="05452C6A"/>
    <w:rsid w:val="054A1787"/>
    <w:rsid w:val="05556088"/>
    <w:rsid w:val="05591693"/>
    <w:rsid w:val="055F1886"/>
    <w:rsid w:val="056748D2"/>
    <w:rsid w:val="056A77DD"/>
    <w:rsid w:val="056B10F6"/>
    <w:rsid w:val="057023DA"/>
    <w:rsid w:val="05767A5C"/>
    <w:rsid w:val="05782413"/>
    <w:rsid w:val="05791C40"/>
    <w:rsid w:val="058B57D3"/>
    <w:rsid w:val="058D3611"/>
    <w:rsid w:val="05A7707C"/>
    <w:rsid w:val="05B25A51"/>
    <w:rsid w:val="05B34024"/>
    <w:rsid w:val="05BA54C3"/>
    <w:rsid w:val="05BC2B39"/>
    <w:rsid w:val="05C171C2"/>
    <w:rsid w:val="05DA0ADE"/>
    <w:rsid w:val="05DD43A7"/>
    <w:rsid w:val="05E029A5"/>
    <w:rsid w:val="05E20BC3"/>
    <w:rsid w:val="05E537C2"/>
    <w:rsid w:val="05E66CB7"/>
    <w:rsid w:val="05F82144"/>
    <w:rsid w:val="05F928F8"/>
    <w:rsid w:val="060047D8"/>
    <w:rsid w:val="060E7F2A"/>
    <w:rsid w:val="061A0D30"/>
    <w:rsid w:val="06275FBE"/>
    <w:rsid w:val="06292B4D"/>
    <w:rsid w:val="062D3580"/>
    <w:rsid w:val="062E1D6B"/>
    <w:rsid w:val="062F3A10"/>
    <w:rsid w:val="06321CA7"/>
    <w:rsid w:val="0632264C"/>
    <w:rsid w:val="06475461"/>
    <w:rsid w:val="06527E2F"/>
    <w:rsid w:val="06595547"/>
    <w:rsid w:val="066C3EB1"/>
    <w:rsid w:val="066E3B75"/>
    <w:rsid w:val="067B6CBA"/>
    <w:rsid w:val="069822D9"/>
    <w:rsid w:val="069A5C01"/>
    <w:rsid w:val="069E6492"/>
    <w:rsid w:val="06A527F0"/>
    <w:rsid w:val="06AC171C"/>
    <w:rsid w:val="06AE3964"/>
    <w:rsid w:val="06B324FE"/>
    <w:rsid w:val="06B37627"/>
    <w:rsid w:val="06B62719"/>
    <w:rsid w:val="06C504CE"/>
    <w:rsid w:val="06C53D03"/>
    <w:rsid w:val="06C93C5E"/>
    <w:rsid w:val="06CA5C18"/>
    <w:rsid w:val="06CC0BD5"/>
    <w:rsid w:val="06D25D71"/>
    <w:rsid w:val="06D34459"/>
    <w:rsid w:val="06D974E8"/>
    <w:rsid w:val="06ED1021"/>
    <w:rsid w:val="06F657D0"/>
    <w:rsid w:val="06F70BF4"/>
    <w:rsid w:val="071D128A"/>
    <w:rsid w:val="073711F4"/>
    <w:rsid w:val="07376561"/>
    <w:rsid w:val="073830AF"/>
    <w:rsid w:val="07386D26"/>
    <w:rsid w:val="073B4F81"/>
    <w:rsid w:val="073D03C6"/>
    <w:rsid w:val="073F714A"/>
    <w:rsid w:val="074D7D48"/>
    <w:rsid w:val="075563C9"/>
    <w:rsid w:val="07710F49"/>
    <w:rsid w:val="077146A3"/>
    <w:rsid w:val="07793CB7"/>
    <w:rsid w:val="078305C4"/>
    <w:rsid w:val="07894BBF"/>
    <w:rsid w:val="0789741D"/>
    <w:rsid w:val="078C12A5"/>
    <w:rsid w:val="078C35BD"/>
    <w:rsid w:val="0797656A"/>
    <w:rsid w:val="07A1237B"/>
    <w:rsid w:val="07AB31B8"/>
    <w:rsid w:val="07AF5CBD"/>
    <w:rsid w:val="07B36280"/>
    <w:rsid w:val="07BB756C"/>
    <w:rsid w:val="07C67BEF"/>
    <w:rsid w:val="07C74585"/>
    <w:rsid w:val="07CC25FA"/>
    <w:rsid w:val="07CD1F3F"/>
    <w:rsid w:val="07DB6A3D"/>
    <w:rsid w:val="07DF3AF2"/>
    <w:rsid w:val="07E62052"/>
    <w:rsid w:val="07EF6B7D"/>
    <w:rsid w:val="07FB705E"/>
    <w:rsid w:val="08177C1C"/>
    <w:rsid w:val="081866CE"/>
    <w:rsid w:val="082309F3"/>
    <w:rsid w:val="082B0362"/>
    <w:rsid w:val="082B5213"/>
    <w:rsid w:val="082F38AB"/>
    <w:rsid w:val="08324C29"/>
    <w:rsid w:val="08326169"/>
    <w:rsid w:val="083971E1"/>
    <w:rsid w:val="08432B91"/>
    <w:rsid w:val="084714FA"/>
    <w:rsid w:val="085D5A5A"/>
    <w:rsid w:val="086462CD"/>
    <w:rsid w:val="08740339"/>
    <w:rsid w:val="087414B6"/>
    <w:rsid w:val="08761325"/>
    <w:rsid w:val="087613FE"/>
    <w:rsid w:val="08827DF0"/>
    <w:rsid w:val="08974F89"/>
    <w:rsid w:val="089911FD"/>
    <w:rsid w:val="08A42035"/>
    <w:rsid w:val="08B920A2"/>
    <w:rsid w:val="08BB321D"/>
    <w:rsid w:val="08C517A0"/>
    <w:rsid w:val="08D144DB"/>
    <w:rsid w:val="08D151C5"/>
    <w:rsid w:val="08D37234"/>
    <w:rsid w:val="08D6248A"/>
    <w:rsid w:val="08DD60B9"/>
    <w:rsid w:val="08DE318F"/>
    <w:rsid w:val="08E4633B"/>
    <w:rsid w:val="08F36BAC"/>
    <w:rsid w:val="08F809AA"/>
    <w:rsid w:val="08F92DB8"/>
    <w:rsid w:val="09012991"/>
    <w:rsid w:val="09052BBB"/>
    <w:rsid w:val="091453FE"/>
    <w:rsid w:val="091974DF"/>
    <w:rsid w:val="09236970"/>
    <w:rsid w:val="092905B8"/>
    <w:rsid w:val="09342126"/>
    <w:rsid w:val="093B5F8B"/>
    <w:rsid w:val="09436560"/>
    <w:rsid w:val="094F59DA"/>
    <w:rsid w:val="09575089"/>
    <w:rsid w:val="095B255C"/>
    <w:rsid w:val="095C2537"/>
    <w:rsid w:val="095F1305"/>
    <w:rsid w:val="09623EF2"/>
    <w:rsid w:val="097125A0"/>
    <w:rsid w:val="09722B94"/>
    <w:rsid w:val="09804807"/>
    <w:rsid w:val="09853C90"/>
    <w:rsid w:val="098C17B9"/>
    <w:rsid w:val="09936FC3"/>
    <w:rsid w:val="09946D5C"/>
    <w:rsid w:val="09A64E42"/>
    <w:rsid w:val="09AD59EE"/>
    <w:rsid w:val="09AE12C5"/>
    <w:rsid w:val="09B12A44"/>
    <w:rsid w:val="09C32654"/>
    <w:rsid w:val="09C702DD"/>
    <w:rsid w:val="09CB0B0D"/>
    <w:rsid w:val="09D3769D"/>
    <w:rsid w:val="09DA1166"/>
    <w:rsid w:val="09E366DE"/>
    <w:rsid w:val="09E5583C"/>
    <w:rsid w:val="09ED02CC"/>
    <w:rsid w:val="09EE3AD3"/>
    <w:rsid w:val="09EE6657"/>
    <w:rsid w:val="09F66D64"/>
    <w:rsid w:val="0A031F61"/>
    <w:rsid w:val="0A0C347C"/>
    <w:rsid w:val="0A127B6F"/>
    <w:rsid w:val="0A222A1C"/>
    <w:rsid w:val="0A29722D"/>
    <w:rsid w:val="0A2C16CF"/>
    <w:rsid w:val="0A362975"/>
    <w:rsid w:val="0A384148"/>
    <w:rsid w:val="0A3A7D09"/>
    <w:rsid w:val="0A430BBD"/>
    <w:rsid w:val="0A437D58"/>
    <w:rsid w:val="0A492346"/>
    <w:rsid w:val="0A4D0BCF"/>
    <w:rsid w:val="0A4F0699"/>
    <w:rsid w:val="0A566443"/>
    <w:rsid w:val="0A634F6F"/>
    <w:rsid w:val="0A6D6118"/>
    <w:rsid w:val="0A707775"/>
    <w:rsid w:val="0A744864"/>
    <w:rsid w:val="0A7B0AEE"/>
    <w:rsid w:val="0A7F0818"/>
    <w:rsid w:val="0A81023E"/>
    <w:rsid w:val="0A840B51"/>
    <w:rsid w:val="0A93351A"/>
    <w:rsid w:val="0A974E90"/>
    <w:rsid w:val="0AA3430A"/>
    <w:rsid w:val="0AB24423"/>
    <w:rsid w:val="0AB90A56"/>
    <w:rsid w:val="0ABC1246"/>
    <w:rsid w:val="0ABD7E7A"/>
    <w:rsid w:val="0AC811C3"/>
    <w:rsid w:val="0AC8329E"/>
    <w:rsid w:val="0ACE2920"/>
    <w:rsid w:val="0ADC5956"/>
    <w:rsid w:val="0ADF714A"/>
    <w:rsid w:val="0AE51545"/>
    <w:rsid w:val="0AEC1707"/>
    <w:rsid w:val="0AEF3257"/>
    <w:rsid w:val="0AF6400E"/>
    <w:rsid w:val="0B0750F0"/>
    <w:rsid w:val="0B181B0D"/>
    <w:rsid w:val="0B185FC3"/>
    <w:rsid w:val="0B1A38DA"/>
    <w:rsid w:val="0B397DE7"/>
    <w:rsid w:val="0B3F6ED7"/>
    <w:rsid w:val="0B4E68F3"/>
    <w:rsid w:val="0B5B7494"/>
    <w:rsid w:val="0B5D2FEC"/>
    <w:rsid w:val="0B752406"/>
    <w:rsid w:val="0B781007"/>
    <w:rsid w:val="0B8B4E56"/>
    <w:rsid w:val="0B974136"/>
    <w:rsid w:val="0B9A53DA"/>
    <w:rsid w:val="0BAA094B"/>
    <w:rsid w:val="0BB95620"/>
    <w:rsid w:val="0BC46F87"/>
    <w:rsid w:val="0BC97E2A"/>
    <w:rsid w:val="0BD453CF"/>
    <w:rsid w:val="0BDB1723"/>
    <w:rsid w:val="0BE46C37"/>
    <w:rsid w:val="0BE47AEA"/>
    <w:rsid w:val="0BF31B2B"/>
    <w:rsid w:val="0BF735AB"/>
    <w:rsid w:val="0BFE6929"/>
    <w:rsid w:val="0C06165F"/>
    <w:rsid w:val="0C1D2405"/>
    <w:rsid w:val="0C3152C1"/>
    <w:rsid w:val="0C3211CF"/>
    <w:rsid w:val="0C3F1F4B"/>
    <w:rsid w:val="0C4E53DC"/>
    <w:rsid w:val="0C520F4C"/>
    <w:rsid w:val="0C5307CD"/>
    <w:rsid w:val="0C547855"/>
    <w:rsid w:val="0C564C94"/>
    <w:rsid w:val="0C623E5B"/>
    <w:rsid w:val="0C640BA5"/>
    <w:rsid w:val="0C83191D"/>
    <w:rsid w:val="0C8B2068"/>
    <w:rsid w:val="0C945B0C"/>
    <w:rsid w:val="0C9F3036"/>
    <w:rsid w:val="0CA1108E"/>
    <w:rsid w:val="0CA627DE"/>
    <w:rsid w:val="0CA92FCB"/>
    <w:rsid w:val="0CAC1FAB"/>
    <w:rsid w:val="0CAC6A0C"/>
    <w:rsid w:val="0CCB0863"/>
    <w:rsid w:val="0CCB5BE0"/>
    <w:rsid w:val="0CCE325B"/>
    <w:rsid w:val="0CCF611E"/>
    <w:rsid w:val="0CD02B56"/>
    <w:rsid w:val="0CE65050"/>
    <w:rsid w:val="0CF01379"/>
    <w:rsid w:val="0CF04C03"/>
    <w:rsid w:val="0D011728"/>
    <w:rsid w:val="0D094F4C"/>
    <w:rsid w:val="0D0A3016"/>
    <w:rsid w:val="0D112C42"/>
    <w:rsid w:val="0D142DA3"/>
    <w:rsid w:val="0D1611BE"/>
    <w:rsid w:val="0D1F7808"/>
    <w:rsid w:val="0D232094"/>
    <w:rsid w:val="0D2B69AC"/>
    <w:rsid w:val="0D3F3238"/>
    <w:rsid w:val="0D403D50"/>
    <w:rsid w:val="0D5930B4"/>
    <w:rsid w:val="0D6C37CA"/>
    <w:rsid w:val="0D6D52FB"/>
    <w:rsid w:val="0D804A00"/>
    <w:rsid w:val="0D804AF7"/>
    <w:rsid w:val="0D8A2318"/>
    <w:rsid w:val="0D8C3B39"/>
    <w:rsid w:val="0D8D2BB1"/>
    <w:rsid w:val="0D947909"/>
    <w:rsid w:val="0D9C051F"/>
    <w:rsid w:val="0D9C1F69"/>
    <w:rsid w:val="0DA51B8A"/>
    <w:rsid w:val="0DA731A8"/>
    <w:rsid w:val="0DA77AA8"/>
    <w:rsid w:val="0DAB5E3E"/>
    <w:rsid w:val="0DB5208C"/>
    <w:rsid w:val="0DC96F2A"/>
    <w:rsid w:val="0DCD21C8"/>
    <w:rsid w:val="0DCF3F5F"/>
    <w:rsid w:val="0DDE1014"/>
    <w:rsid w:val="0DE10940"/>
    <w:rsid w:val="0DE36AA8"/>
    <w:rsid w:val="0DE538B8"/>
    <w:rsid w:val="0DF50F71"/>
    <w:rsid w:val="0DF80FE8"/>
    <w:rsid w:val="0DF8136C"/>
    <w:rsid w:val="0E1D4B14"/>
    <w:rsid w:val="0E297F0A"/>
    <w:rsid w:val="0E351ED5"/>
    <w:rsid w:val="0E494D17"/>
    <w:rsid w:val="0E500971"/>
    <w:rsid w:val="0E5C0B54"/>
    <w:rsid w:val="0E6200BA"/>
    <w:rsid w:val="0E92229F"/>
    <w:rsid w:val="0EB74FB6"/>
    <w:rsid w:val="0EBA3E96"/>
    <w:rsid w:val="0EBD00B9"/>
    <w:rsid w:val="0EBD14BB"/>
    <w:rsid w:val="0EC11770"/>
    <w:rsid w:val="0ECE7C05"/>
    <w:rsid w:val="0EDA4193"/>
    <w:rsid w:val="0EE36FFE"/>
    <w:rsid w:val="0EE471DF"/>
    <w:rsid w:val="0EEF4888"/>
    <w:rsid w:val="0EF86BAF"/>
    <w:rsid w:val="0EFF695E"/>
    <w:rsid w:val="0F0A266B"/>
    <w:rsid w:val="0F0E72E0"/>
    <w:rsid w:val="0F19183D"/>
    <w:rsid w:val="0F2335AB"/>
    <w:rsid w:val="0F250BAF"/>
    <w:rsid w:val="0F262023"/>
    <w:rsid w:val="0F26508B"/>
    <w:rsid w:val="0F2817A1"/>
    <w:rsid w:val="0F2A0028"/>
    <w:rsid w:val="0F303C1E"/>
    <w:rsid w:val="0F362667"/>
    <w:rsid w:val="0F3C7401"/>
    <w:rsid w:val="0F3E3E38"/>
    <w:rsid w:val="0F402224"/>
    <w:rsid w:val="0F451577"/>
    <w:rsid w:val="0F4F4996"/>
    <w:rsid w:val="0F5229B3"/>
    <w:rsid w:val="0F58009F"/>
    <w:rsid w:val="0F612436"/>
    <w:rsid w:val="0F694AA9"/>
    <w:rsid w:val="0F6956E4"/>
    <w:rsid w:val="0F81737E"/>
    <w:rsid w:val="0F872E0F"/>
    <w:rsid w:val="0FA062F3"/>
    <w:rsid w:val="0FAE784A"/>
    <w:rsid w:val="0FB22494"/>
    <w:rsid w:val="0FB41949"/>
    <w:rsid w:val="0FB90369"/>
    <w:rsid w:val="0FBC5D75"/>
    <w:rsid w:val="0FC475B0"/>
    <w:rsid w:val="0FCB4D59"/>
    <w:rsid w:val="0FCD6509"/>
    <w:rsid w:val="0FCE27E7"/>
    <w:rsid w:val="0FD82F98"/>
    <w:rsid w:val="0FE035A6"/>
    <w:rsid w:val="0FE231CA"/>
    <w:rsid w:val="0FE82539"/>
    <w:rsid w:val="0FF45F0D"/>
    <w:rsid w:val="0FFC4CE5"/>
    <w:rsid w:val="0FFD2047"/>
    <w:rsid w:val="101677BE"/>
    <w:rsid w:val="101773DB"/>
    <w:rsid w:val="102612F5"/>
    <w:rsid w:val="102F73C2"/>
    <w:rsid w:val="10374854"/>
    <w:rsid w:val="103B4A6E"/>
    <w:rsid w:val="10500BE0"/>
    <w:rsid w:val="105110FF"/>
    <w:rsid w:val="105F0F86"/>
    <w:rsid w:val="10672A05"/>
    <w:rsid w:val="10785AA8"/>
    <w:rsid w:val="107A607D"/>
    <w:rsid w:val="107D5524"/>
    <w:rsid w:val="108816F7"/>
    <w:rsid w:val="10925381"/>
    <w:rsid w:val="10A16005"/>
    <w:rsid w:val="10A446AE"/>
    <w:rsid w:val="10B5541F"/>
    <w:rsid w:val="10C27421"/>
    <w:rsid w:val="10E155EE"/>
    <w:rsid w:val="10E66CBA"/>
    <w:rsid w:val="10EA6828"/>
    <w:rsid w:val="10EC452A"/>
    <w:rsid w:val="10EF4A7E"/>
    <w:rsid w:val="10F31B4F"/>
    <w:rsid w:val="10F35DD7"/>
    <w:rsid w:val="10F4276D"/>
    <w:rsid w:val="10FA4B0D"/>
    <w:rsid w:val="110E3A82"/>
    <w:rsid w:val="11132A39"/>
    <w:rsid w:val="1117761D"/>
    <w:rsid w:val="11196308"/>
    <w:rsid w:val="111C3718"/>
    <w:rsid w:val="11222B03"/>
    <w:rsid w:val="11297EBD"/>
    <w:rsid w:val="11365503"/>
    <w:rsid w:val="11427DE1"/>
    <w:rsid w:val="1147189A"/>
    <w:rsid w:val="114A7560"/>
    <w:rsid w:val="114B4B74"/>
    <w:rsid w:val="114E04E2"/>
    <w:rsid w:val="11506F7F"/>
    <w:rsid w:val="115D5315"/>
    <w:rsid w:val="11683BE9"/>
    <w:rsid w:val="11765A51"/>
    <w:rsid w:val="11783DD5"/>
    <w:rsid w:val="117D7A64"/>
    <w:rsid w:val="118273A1"/>
    <w:rsid w:val="118B349C"/>
    <w:rsid w:val="11A030D6"/>
    <w:rsid w:val="11B408EE"/>
    <w:rsid w:val="11B45EBA"/>
    <w:rsid w:val="11B54E0F"/>
    <w:rsid w:val="11C8237D"/>
    <w:rsid w:val="11CD1B5E"/>
    <w:rsid w:val="11D41AF6"/>
    <w:rsid w:val="11D55DA8"/>
    <w:rsid w:val="11E331E0"/>
    <w:rsid w:val="11F00300"/>
    <w:rsid w:val="11F934CC"/>
    <w:rsid w:val="11FD0BCA"/>
    <w:rsid w:val="1205755A"/>
    <w:rsid w:val="1214783D"/>
    <w:rsid w:val="12191EC2"/>
    <w:rsid w:val="122901DE"/>
    <w:rsid w:val="1229525E"/>
    <w:rsid w:val="123477BF"/>
    <w:rsid w:val="123B5BA0"/>
    <w:rsid w:val="124720AA"/>
    <w:rsid w:val="124C0A08"/>
    <w:rsid w:val="124D16D2"/>
    <w:rsid w:val="12544FD8"/>
    <w:rsid w:val="125A788A"/>
    <w:rsid w:val="125B0AC3"/>
    <w:rsid w:val="125C2979"/>
    <w:rsid w:val="125D114D"/>
    <w:rsid w:val="1269054F"/>
    <w:rsid w:val="12691ED8"/>
    <w:rsid w:val="126A0311"/>
    <w:rsid w:val="127316B6"/>
    <w:rsid w:val="12784A53"/>
    <w:rsid w:val="12825C1A"/>
    <w:rsid w:val="1288245E"/>
    <w:rsid w:val="128B3B27"/>
    <w:rsid w:val="1291433D"/>
    <w:rsid w:val="129220B8"/>
    <w:rsid w:val="12937CB3"/>
    <w:rsid w:val="12952467"/>
    <w:rsid w:val="129A7DC3"/>
    <w:rsid w:val="129D78EB"/>
    <w:rsid w:val="129E39A6"/>
    <w:rsid w:val="12A80A90"/>
    <w:rsid w:val="12AC62D3"/>
    <w:rsid w:val="12B80C15"/>
    <w:rsid w:val="12C43FAF"/>
    <w:rsid w:val="12CE5301"/>
    <w:rsid w:val="12D17696"/>
    <w:rsid w:val="12DE050E"/>
    <w:rsid w:val="12E65846"/>
    <w:rsid w:val="12E73C34"/>
    <w:rsid w:val="12EE7A34"/>
    <w:rsid w:val="12F57336"/>
    <w:rsid w:val="12F65C29"/>
    <w:rsid w:val="12FD3485"/>
    <w:rsid w:val="13022974"/>
    <w:rsid w:val="13033C0C"/>
    <w:rsid w:val="1306576C"/>
    <w:rsid w:val="130E26E1"/>
    <w:rsid w:val="131A31F0"/>
    <w:rsid w:val="131D7B8F"/>
    <w:rsid w:val="131E5414"/>
    <w:rsid w:val="13236E43"/>
    <w:rsid w:val="13283B41"/>
    <w:rsid w:val="132F480C"/>
    <w:rsid w:val="13393182"/>
    <w:rsid w:val="134145B5"/>
    <w:rsid w:val="134625FD"/>
    <w:rsid w:val="134A1A56"/>
    <w:rsid w:val="13526C9F"/>
    <w:rsid w:val="1353235A"/>
    <w:rsid w:val="13686C54"/>
    <w:rsid w:val="136B4542"/>
    <w:rsid w:val="137A2A6A"/>
    <w:rsid w:val="13966FD3"/>
    <w:rsid w:val="13A041CC"/>
    <w:rsid w:val="13A15104"/>
    <w:rsid w:val="13A51648"/>
    <w:rsid w:val="13A66E07"/>
    <w:rsid w:val="13B0617B"/>
    <w:rsid w:val="13B32590"/>
    <w:rsid w:val="13C32C46"/>
    <w:rsid w:val="13C72E82"/>
    <w:rsid w:val="13C74753"/>
    <w:rsid w:val="13CF6522"/>
    <w:rsid w:val="13D43765"/>
    <w:rsid w:val="13D521F9"/>
    <w:rsid w:val="13DB6AF6"/>
    <w:rsid w:val="13EB31F1"/>
    <w:rsid w:val="13ED31BA"/>
    <w:rsid w:val="13F4549E"/>
    <w:rsid w:val="140B2C94"/>
    <w:rsid w:val="140D0883"/>
    <w:rsid w:val="140D56A0"/>
    <w:rsid w:val="1410457B"/>
    <w:rsid w:val="141131A0"/>
    <w:rsid w:val="14122E98"/>
    <w:rsid w:val="1414340A"/>
    <w:rsid w:val="14162F2D"/>
    <w:rsid w:val="14176A23"/>
    <w:rsid w:val="141A121C"/>
    <w:rsid w:val="142B5F52"/>
    <w:rsid w:val="143A03C2"/>
    <w:rsid w:val="144168A3"/>
    <w:rsid w:val="144A0B11"/>
    <w:rsid w:val="144B56EF"/>
    <w:rsid w:val="144C008F"/>
    <w:rsid w:val="144C59B5"/>
    <w:rsid w:val="144D46EF"/>
    <w:rsid w:val="144F7241"/>
    <w:rsid w:val="14680762"/>
    <w:rsid w:val="146B69E4"/>
    <w:rsid w:val="146F5296"/>
    <w:rsid w:val="14782755"/>
    <w:rsid w:val="14801919"/>
    <w:rsid w:val="14861714"/>
    <w:rsid w:val="1492637A"/>
    <w:rsid w:val="14983A4A"/>
    <w:rsid w:val="14A94FED"/>
    <w:rsid w:val="14A9504A"/>
    <w:rsid w:val="14AB3FC0"/>
    <w:rsid w:val="14AE4E20"/>
    <w:rsid w:val="14B05AE3"/>
    <w:rsid w:val="14B247CF"/>
    <w:rsid w:val="14B63EC6"/>
    <w:rsid w:val="14BB3D85"/>
    <w:rsid w:val="14C87271"/>
    <w:rsid w:val="14C9149D"/>
    <w:rsid w:val="14C91B58"/>
    <w:rsid w:val="14D62DCD"/>
    <w:rsid w:val="14D6585D"/>
    <w:rsid w:val="14E21AEC"/>
    <w:rsid w:val="14EB5121"/>
    <w:rsid w:val="14ED1AF1"/>
    <w:rsid w:val="14EF4729"/>
    <w:rsid w:val="15050DB6"/>
    <w:rsid w:val="15054273"/>
    <w:rsid w:val="150B7290"/>
    <w:rsid w:val="150D49E0"/>
    <w:rsid w:val="15135019"/>
    <w:rsid w:val="151625F0"/>
    <w:rsid w:val="151725C0"/>
    <w:rsid w:val="15227D0B"/>
    <w:rsid w:val="15256486"/>
    <w:rsid w:val="15277D13"/>
    <w:rsid w:val="15344EF4"/>
    <w:rsid w:val="15374C81"/>
    <w:rsid w:val="154532F3"/>
    <w:rsid w:val="154630B6"/>
    <w:rsid w:val="154A0E69"/>
    <w:rsid w:val="155F0F2F"/>
    <w:rsid w:val="156170C6"/>
    <w:rsid w:val="15643FF0"/>
    <w:rsid w:val="15726376"/>
    <w:rsid w:val="15831973"/>
    <w:rsid w:val="158E0D42"/>
    <w:rsid w:val="158E1DA9"/>
    <w:rsid w:val="1592589C"/>
    <w:rsid w:val="159769BC"/>
    <w:rsid w:val="159A5864"/>
    <w:rsid w:val="159B697B"/>
    <w:rsid w:val="159F5416"/>
    <w:rsid w:val="15A54F38"/>
    <w:rsid w:val="15A602F2"/>
    <w:rsid w:val="15A912C8"/>
    <w:rsid w:val="15A97536"/>
    <w:rsid w:val="15B06493"/>
    <w:rsid w:val="15B32753"/>
    <w:rsid w:val="15B63097"/>
    <w:rsid w:val="15C34D2D"/>
    <w:rsid w:val="15C70747"/>
    <w:rsid w:val="15CF072B"/>
    <w:rsid w:val="15D565F9"/>
    <w:rsid w:val="15D90D6D"/>
    <w:rsid w:val="15DD3E84"/>
    <w:rsid w:val="15E04E1F"/>
    <w:rsid w:val="15E503B5"/>
    <w:rsid w:val="15E77567"/>
    <w:rsid w:val="15E917E8"/>
    <w:rsid w:val="15EA62E9"/>
    <w:rsid w:val="15FC1C8E"/>
    <w:rsid w:val="15FE2D6C"/>
    <w:rsid w:val="16123768"/>
    <w:rsid w:val="1617097C"/>
    <w:rsid w:val="16184C36"/>
    <w:rsid w:val="161C3E21"/>
    <w:rsid w:val="16200801"/>
    <w:rsid w:val="162674E6"/>
    <w:rsid w:val="162D6022"/>
    <w:rsid w:val="16385C65"/>
    <w:rsid w:val="163C02B5"/>
    <w:rsid w:val="163C0349"/>
    <w:rsid w:val="164D199F"/>
    <w:rsid w:val="164D5E99"/>
    <w:rsid w:val="165C683C"/>
    <w:rsid w:val="166164A5"/>
    <w:rsid w:val="16625CB6"/>
    <w:rsid w:val="1676111C"/>
    <w:rsid w:val="167F411B"/>
    <w:rsid w:val="167F4EFC"/>
    <w:rsid w:val="1685774E"/>
    <w:rsid w:val="16875C9E"/>
    <w:rsid w:val="16894593"/>
    <w:rsid w:val="168E1F79"/>
    <w:rsid w:val="169110E8"/>
    <w:rsid w:val="169644A9"/>
    <w:rsid w:val="169A7B3B"/>
    <w:rsid w:val="16AC6366"/>
    <w:rsid w:val="16B107C7"/>
    <w:rsid w:val="16B5338C"/>
    <w:rsid w:val="16B8722B"/>
    <w:rsid w:val="16BF6881"/>
    <w:rsid w:val="16C5250B"/>
    <w:rsid w:val="16C70099"/>
    <w:rsid w:val="16C87A82"/>
    <w:rsid w:val="16CB3BCC"/>
    <w:rsid w:val="16CD6F5D"/>
    <w:rsid w:val="16D9579A"/>
    <w:rsid w:val="16ED61F6"/>
    <w:rsid w:val="16F11E7F"/>
    <w:rsid w:val="16F36502"/>
    <w:rsid w:val="16F8500B"/>
    <w:rsid w:val="16FC56A3"/>
    <w:rsid w:val="171152DE"/>
    <w:rsid w:val="17180376"/>
    <w:rsid w:val="172A45AF"/>
    <w:rsid w:val="172B063D"/>
    <w:rsid w:val="17366025"/>
    <w:rsid w:val="173970B9"/>
    <w:rsid w:val="173C129F"/>
    <w:rsid w:val="173D5C8D"/>
    <w:rsid w:val="17414199"/>
    <w:rsid w:val="174677BB"/>
    <w:rsid w:val="174B21FD"/>
    <w:rsid w:val="174B7873"/>
    <w:rsid w:val="17563CDB"/>
    <w:rsid w:val="17620EEE"/>
    <w:rsid w:val="17641D0C"/>
    <w:rsid w:val="17666B8B"/>
    <w:rsid w:val="17672AE0"/>
    <w:rsid w:val="17673B2D"/>
    <w:rsid w:val="176F7856"/>
    <w:rsid w:val="177E19D4"/>
    <w:rsid w:val="1780159D"/>
    <w:rsid w:val="178907EB"/>
    <w:rsid w:val="1789394D"/>
    <w:rsid w:val="1792438C"/>
    <w:rsid w:val="17950266"/>
    <w:rsid w:val="179B410F"/>
    <w:rsid w:val="17A32EA2"/>
    <w:rsid w:val="17A3464C"/>
    <w:rsid w:val="17A42247"/>
    <w:rsid w:val="17AB0E90"/>
    <w:rsid w:val="17AE3DF9"/>
    <w:rsid w:val="17B17001"/>
    <w:rsid w:val="17B66C8C"/>
    <w:rsid w:val="17B7390A"/>
    <w:rsid w:val="17CE4EE8"/>
    <w:rsid w:val="17D30995"/>
    <w:rsid w:val="17D51474"/>
    <w:rsid w:val="17E14BE0"/>
    <w:rsid w:val="17E9009B"/>
    <w:rsid w:val="17F04B0C"/>
    <w:rsid w:val="17F9514B"/>
    <w:rsid w:val="17FA028A"/>
    <w:rsid w:val="18052C62"/>
    <w:rsid w:val="18222D01"/>
    <w:rsid w:val="18233912"/>
    <w:rsid w:val="182F4000"/>
    <w:rsid w:val="18320EDA"/>
    <w:rsid w:val="1842371C"/>
    <w:rsid w:val="18465356"/>
    <w:rsid w:val="184675AA"/>
    <w:rsid w:val="184D75B5"/>
    <w:rsid w:val="184E57AD"/>
    <w:rsid w:val="18570F48"/>
    <w:rsid w:val="185D7F03"/>
    <w:rsid w:val="18651308"/>
    <w:rsid w:val="18691228"/>
    <w:rsid w:val="187D68BE"/>
    <w:rsid w:val="187E61D4"/>
    <w:rsid w:val="188405EE"/>
    <w:rsid w:val="18870B3C"/>
    <w:rsid w:val="18887FCB"/>
    <w:rsid w:val="188D113E"/>
    <w:rsid w:val="188D2C31"/>
    <w:rsid w:val="189221DA"/>
    <w:rsid w:val="189B0340"/>
    <w:rsid w:val="189F4722"/>
    <w:rsid w:val="18AB5F50"/>
    <w:rsid w:val="18C50DCA"/>
    <w:rsid w:val="18CC5680"/>
    <w:rsid w:val="18D351C1"/>
    <w:rsid w:val="18DA0C0E"/>
    <w:rsid w:val="18E273C9"/>
    <w:rsid w:val="18E31592"/>
    <w:rsid w:val="18E46383"/>
    <w:rsid w:val="18E77C11"/>
    <w:rsid w:val="18EA422C"/>
    <w:rsid w:val="18EB4D39"/>
    <w:rsid w:val="18EC1531"/>
    <w:rsid w:val="190C148B"/>
    <w:rsid w:val="1915664F"/>
    <w:rsid w:val="191E13BC"/>
    <w:rsid w:val="19286A05"/>
    <w:rsid w:val="192D6677"/>
    <w:rsid w:val="193619AF"/>
    <w:rsid w:val="19377763"/>
    <w:rsid w:val="193A1063"/>
    <w:rsid w:val="193D169B"/>
    <w:rsid w:val="19483488"/>
    <w:rsid w:val="19541E21"/>
    <w:rsid w:val="195B2677"/>
    <w:rsid w:val="19615618"/>
    <w:rsid w:val="19726221"/>
    <w:rsid w:val="19774296"/>
    <w:rsid w:val="197A5974"/>
    <w:rsid w:val="19882C6F"/>
    <w:rsid w:val="198C7D58"/>
    <w:rsid w:val="19915327"/>
    <w:rsid w:val="19AD174C"/>
    <w:rsid w:val="19B11F24"/>
    <w:rsid w:val="19BC0BC7"/>
    <w:rsid w:val="19C94B44"/>
    <w:rsid w:val="19CA6F8B"/>
    <w:rsid w:val="19CF0F3E"/>
    <w:rsid w:val="19D72D72"/>
    <w:rsid w:val="19DE2F19"/>
    <w:rsid w:val="19E03225"/>
    <w:rsid w:val="19E172C1"/>
    <w:rsid w:val="19E222FF"/>
    <w:rsid w:val="19EC744E"/>
    <w:rsid w:val="19F517D2"/>
    <w:rsid w:val="19F6750F"/>
    <w:rsid w:val="1A086052"/>
    <w:rsid w:val="1A0F270F"/>
    <w:rsid w:val="1A1B6926"/>
    <w:rsid w:val="1A1D0E5F"/>
    <w:rsid w:val="1A1E3D8E"/>
    <w:rsid w:val="1A255D45"/>
    <w:rsid w:val="1A2B3E01"/>
    <w:rsid w:val="1A2D042A"/>
    <w:rsid w:val="1A373710"/>
    <w:rsid w:val="1A3E3664"/>
    <w:rsid w:val="1A536F52"/>
    <w:rsid w:val="1A54786E"/>
    <w:rsid w:val="1A5E0937"/>
    <w:rsid w:val="1A647A89"/>
    <w:rsid w:val="1A661089"/>
    <w:rsid w:val="1A6747D5"/>
    <w:rsid w:val="1A6C4EB1"/>
    <w:rsid w:val="1A704D89"/>
    <w:rsid w:val="1A754AB6"/>
    <w:rsid w:val="1A7A3149"/>
    <w:rsid w:val="1A7F4F97"/>
    <w:rsid w:val="1A8E5240"/>
    <w:rsid w:val="1A953D98"/>
    <w:rsid w:val="1A9E55BE"/>
    <w:rsid w:val="1AAA5D29"/>
    <w:rsid w:val="1AAB017A"/>
    <w:rsid w:val="1AAE7847"/>
    <w:rsid w:val="1AB0305E"/>
    <w:rsid w:val="1AB12E86"/>
    <w:rsid w:val="1AB61DCB"/>
    <w:rsid w:val="1AC34736"/>
    <w:rsid w:val="1AC807BD"/>
    <w:rsid w:val="1ACF4628"/>
    <w:rsid w:val="1AD305F7"/>
    <w:rsid w:val="1AD8671D"/>
    <w:rsid w:val="1ADE1CE9"/>
    <w:rsid w:val="1ADF68C2"/>
    <w:rsid w:val="1AE313A7"/>
    <w:rsid w:val="1AEB2657"/>
    <w:rsid w:val="1AED2AC5"/>
    <w:rsid w:val="1AF21441"/>
    <w:rsid w:val="1AF7720B"/>
    <w:rsid w:val="1AF86173"/>
    <w:rsid w:val="1B043150"/>
    <w:rsid w:val="1B0A0449"/>
    <w:rsid w:val="1B214344"/>
    <w:rsid w:val="1B2618AA"/>
    <w:rsid w:val="1B282A1F"/>
    <w:rsid w:val="1B2C2900"/>
    <w:rsid w:val="1B2E270D"/>
    <w:rsid w:val="1B3A6ABC"/>
    <w:rsid w:val="1B411CAD"/>
    <w:rsid w:val="1B472C60"/>
    <w:rsid w:val="1B481F20"/>
    <w:rsid w:val="1B525520"/>
    <w:rsid w:val="1B5D658A"/>
    <w:rsid w:val="1B6810CA"/>
    <w:rsid w:val="1B847190"/>
    <w:rsid w:val="1B855D1B"/>
    <w:rsid w:val="1B901D24"/>
    <w:rsid w:val="1B9238C5"/>
    <w:rsid w:val="1BA330E6"/>
    <w:rsid w:val="1BAA12C3"/>
    <w:rsid w:val="1BB11D65"/>
    <w:rsid w:val="1BBB4785"/>
    <w:rsid w:val="1BC842A7"/>
    <w:rsid w:val="1BCE55CD"/>
    <w:rsid w:val="1BCE7283"/>
    <w:rsid w:val="1BD22422"/>
    <w:rsid w:val="1BD758BF"/>
    <w:rsid w:val="1BD85C0F"/>
    <w:rsid w:val="1BE665A9"/>
    <w:rsid w:val="1BEA7134"/>
    <w:rsid w:val="1BEF752C"/>
    <w:rsid w:val="1C094D52"/>
    <w:rsid w:val="1C09660A"/>
    <w:rsid w:val="1C0C12F3"/>
    <w:rsid w:val="1C0C5FC4"/>
    <w:rsid w:val="1C121A2E"/>
    <w:rsid w:val="1C213CA2"/>
    <w:rsid w:val="1C2166E4"/>
    <w:rsid w:val="1C3450D3"/>
    <w:rsid w:val="1C395626"/>
    <w:rsid w:val="1C411BAD"/>
    <w:rsid w:val="1C4214B8"/>
    <w:rsid w:val="1C446FD1"/>
    <w:rsid w:val="1C5E4C20"/>
    <w:rsid w:val="1C627F5F"/>
    <w:rsid w:val="1C694234"/>
    <w:rsid w:val="1C6B0791"/>
    <w:rsid w:val="1C6C0803"/>
    <w:rsid w:val="1C6C2F64"/>
    <w:rsid w:val="1C6C7F45"/>
    <w:rsid w:val="1C75055D"/>
    <w:rsid w:val="1C78079F"/>
    <w:rsid w:val="1C7A5560"/>
    <w:rsid w:val="1C8F5CE6"/>
    <w:rsid w:val="1CA33E9F"/>
    <w:rsid w:val="1CA607B5"/>
    <w:rsid w:val="1CA8077E"/>
    <w:rsid w:val="1CAD3C39"/>
    <w:rsid w:val="1CAD3C3E"/>
    <w:rsid w:val="1CBE1C0E"/>
    <w:rsid w:val="1CC2215E"/>
    <w:rsid w:val="1CC94337"/>
    <w:rsid w:val="1CE449DF"/>
    <w:rsid w:val="1CED2ECD"/>
    <w:rsid w:val="1CF54195"/>
    <w:rsid w:val="1CF93E83"/>
    <w:rsid w:val="1CFA75FA"/>
    <w:rsid w:val="1D0761EB"/>
    <w:rsid w:val="1D0A56B3"/>
    <w:rsid w:val="1D0B255B"/>
    <w:rsid w:val="1D0C052F"/>
    <w:rsid w:val="1D16136B"/>
    <w:rsid w:val="1D1979CC"/>
    <w:rsid w:val="1D200E8A"/>
    <w:rsid w:val="1D24489F"/>
    <w:rsid w:val="1D276E31"/>
    <w:rsid w:val="1D324838"/>
    <w:rsid w:val="1D4A6C0C"/>
    <w:rsid w:val="1D4E0F11"/>
    <w:rsid w:val="1D544CD0"/>
    <w:rsid w:val="1D570664"/>
    <w:rsid w:val="1D5959B8"/>
    <w:rsid w:val="1D662D00"/>
    <w:rsid w:val="1D6715D4"/>
    <w:rsid w:val="1D731564"/>
    <w:rsid w:val="1D7F48D9"/>
    <w:rsid w:val="1D800675"/>
    <w:rsid w:val="1D883C26"/>
    <w:rsid w:val="1D901466"/>
    <w:rsid w:val="1D916CA9"/>
    <w:rsid w:val="1D986D58"/>
    <w:rsid w:val="1DA03981"/>
    <w:rsid w:val="1DA436CC"/>
    <w:rsid w:val="1DAA548B"/>
    <w:rsid w:val="1DAE6C6E"/>
    <w:rsid w:val="1DB03F77"/>
    <w:rsid w:val="1DBB5F1A"/>
    <w:rsid w:val="1DBC6165"/>
    <w:rsid w:val="1DCB6C52"/>
    <w:rsid w:val="1DD332A5"/>
    <w:rsid w:val="1DE75E8F"/>
    <w:rsid w:val="1DE819A8"/>
    <w:rsid w:val="1DEC5DFD"/>
    <w:rsid w:val="1DEE6BE7"/>
    <w:rsid w:val="1DF00C8B"/>
    <w:rsid w:val="1DF57CC0"/>
    <w:rsid w:val="1E0631EA"/>
    <w:rsid w:val="1E07035C"/>
    <w:rsid w:val="1E0A72C5"/>
    <w:rsid w:val="1E0E1D8B"/>
    <w:rsid w:val="1E136084"/>
    <w:rsid w:val="1E152737"/>
    <w:rsid w:val="1E19443F"/>
    <w:rsid w:val="1E1A4A82"/>
    <w:rsid w:val="1E1E7098"/>
    <w:rsid w:val="1E414076"/>
    <w:rsid w:val="1E444ACF"/>
    <w:rsid w:val="1E4809CB"/>
    <w:rsid w:val="1E4D2C6C"/>
    <w:rsid w:val="1E560B35"/>
    <w:rsid w:val="1E583CD3"/>
    <w:rsid w:val="1E5F1645"/>
    <w:rsid w:val="1E5F35E9"/>
    <w:rsid w:val="1E6142BE"/>
    <w:rsid w:val="1E7A5305"/>
    <w:rsid w:val="1E7F64D3"/>
    <w:rsid w:val="1E820C8A"/>
    <w:rsid w:val="1E86624C"/>
    <w:rsid w:val="1E9021F3"/>
    <w:rsid w:val="1EA57CBE"/>
    <w:rsid w:val="1EA920DC"/>
    <w:rsid w:val="1EAA3A02"/>
    <w:rsid w:val="1EAC1876"/>
    <w:rsid w:val="1EB31215"/>
    <w:rsid w:val="1EB41EF0"/>
    <w:rsid w:val="1ED627B8"/>
    <w:rsid w:val="1EDC0CE5"/>
    <w:rsid w:val="1EDC6549"/>
    <w:rsid w:val="1F0513B1"/>
    <w:rsid w:val="1F0C3501"/>
    <w:rsid w:val="1F1375E7"/>
    <w:rsid w:val="1F165715"/>
    <w:rsid w:val="1F1A0957"/>
    <w:rsid w:val="1F1B3A0D"/>
    <w:rsid w:val="1F1F3FCD"/>
    <w:rsid w:val="1F1F4D89"/>
    <w:rsid w:val="1F236E35"/>
    <w:rsid w:val="1F291469"/>
    <w:rsid w:val="1F2C754B"/>
    <w:rsid w:val="1F2F45FF"/>
    <w:rsid w:val="1F2F5EFC"/>
    <w:rsid w:val="1F332C99"/>
    <w:rsid w:val="1F3F43A2"/>
    <w:rsid w:val="1F46517B"/>
    <w:rsid w:val="1F490484"/>
    <w:rsid w:val="1F4E7A1B"/>
    <w:rsid w:val="1F50248D"/>
    <w:rsid w:val="1F57217C"/>
    <w:rsid w:val="1F677E03"/>
    <w:rsid w:val="1F727F37"/>
    <w:rsid w:val="1F8320D0"/>
    <w:rsid w:val="1F9920A5"/>
    <w:rsid w:val="1FA0216D"/>
    <w:rsid w:val="1FAD225B"/>
    <w:rsid w:val="1FB31D0A"/>
    <w:rsid w:val="1FB524DE"/>
    <w:rsid w:val="1FB572A9"/>
    <w:rsid w:val="1FBC7C24"/>
    <w:rsid w:val="1FC4563B"/>
    <w:rsid w:val="1FC76D3D"/>
    <w:rsid w:val="1FC81159"/>
    <w:rsid w:val="1FE34BC6"/>
    <w:rsid w:val="1FE41856"/>
    <w:rsid w:val="1FE83DDC"/>
    <w:rsid w:val="1FEB7446"/>
    <w:rsid w:val="1FFE0A77"/>
    <w:rsid w:val="20055C68"/>
    <w:rsid w:val="2008261D"/>
    <w:rsid w:val="202B2AF4"/>
    <w:rsid w:val="20316D2A"/>
    <w:rsid w:val="203F0F39"/>
    <w:rsid w:val="20461C42"/>
    <w:rsid w:val="204D2584"/>
    <w:rsid w:val="204E57D3"/>
    <w:rsid w:val="20515FBA"/>
    <w:rsid w:val="20517BEC"/>
    <w:rsid w:val="20555725"/>
    <w:rsid w:val="206538A3"/>
    <w:rsid w:val="206755AB"/>
    <w:rsid w:val="20703A0E"/>
    <w:rsid w:val="207B7A31"/>
    <w:rsid w:val="20807B83"/>
    <w:rsid w:val="208A1412"/>
    <w:rsid w:val="20925FB2"/>
    <w:rsid w:val="20B220B5"/>
    <w:rsid w:val="20B517CC"/>
    <w:rsid w:val="20C874CF"/>
    <w:rsid w:val="20D43928"/>
    <w:rsid w:val="20D44D86"/>
    <w:rsid w:val="20DA02A4"/>
    <w:rsid w:val="20DB5196"/>
    <w:rsid w:val="20F1332C"/>
    <w:rsid w:val="20FF2023"/>
    <w:rsid w:val="21012B73"/>
    <w:rsid w:val="21052FDF"/>
    <w:rsid w:val="210543B3"/>
    <w:rsid w:val="210B1F41"/>
    <w:rsid w:val="211A0F79"/>
    <w:rsid w:val="21305EA8"/>
    <w:rsid w:val="21331C19"/>
    <w:rsid w:val="213754B1"/>
    <w:rsid w:val="213C22A1"/>
    <w:rsid w:val="213E37E4"/>
    <w:rsid w:val="213E5369"/>
    <w:rsid w:val="21446326"/>
    <w:rsid w:val="21467F17"/>
    <w:rsid w:val="214833CD"/>
    <w:rsid w:val="214E64EF"/>
    <w:rsid w:val="215163F7"/>
    <w:rsid w:val="21523A44"/>
    <w:rsid w:val="21526A50"/>
    <w:rsid w:val="21590FA5"/>
    <w:rsid w:val="2159361F"/>
    <w:rsid w:val="217043C3"/>
    <w:rsid w:val="217334F8"/>
    <w:rsid w:val="21847EDE"/>
    <w:rsid w:val="21863A96"/>
    <w:rsid w:val="218671E4"/>
    <w:rsid w:val="219011FB"/>
    <w:rsid w:val="21A17DBB"/>
    <w:rsid w:val="21AB744A"/>
    <w:rsid w:val="21AC46EE"/>
    <w:rsid w:val="21AD38FB"/>
    <w:rsid w:val="21BA3FD6"/>
    <w:rsid w:val="21BA7D0C"/>
    <w:rsid w:val="21BD0253"/>
    <w:rsid w:val="21CE1B27"/>
    <w:rsid w:val="21CF3FE7"/>
    <w:rsid w:val="21D05CDD"/>
    <w:rsid w:val="21D35012"/>
    <w:rsid w:val="21D604E6"/>
    <w:rsid w:val="21DC43C2"/>
    <w:rsid w:val="21FC6987"/>
    <w:rsid w:val="21FF7960"/>
    <w:rsid w:val="22054593"/>
    <w:rsid w:val="22190DF0"/>
    <w:rsid w:val="221966A6"/>
    <w:rsid w:val="22346226"/>
    <w:rsid w:val="223660EF"/>
    <w:rsid w:val="2246615D"/>
    <w:rsid w:val="22467831"/>
    <w:rsid w:val="225709AF"/>
    <w:rsid w:val="226264E4"/>
    <w:rsid w:val="22712124"/>
    <w:rsid w:val="22756396"/>
    <w:rsid w:val="2277737E"/>
    <w:rsid w:val="227D3DD3"/>
    <w:rsid w:val="227D50AF"/>
    <w:rsid w:val="228A32ED"/>
    <w:rsid w:val="229F0FDC"/>
    <w:rsid w:val="22AB34FD"/>
    <w:rsid w:val="22B00FE3"/>
    <w:rsid w:val="22B412BB"/>
    <w:rsid w:val="22B921DA"/>
    <w:rsid w:val="22B94355"/>
    <w:rsid w:val="22C00FF6"/>
    <w:rsid w:val="22C31AB2"/>
    <w:rsid w:val="22C93511"/>
    <w:rsid w:val="22C97A4D"/>
    <w:rsid w:val="22CA1123"/>
    <w:rsid w:val="22D448A9"/>
    <w:rsid w:val="22DA4910"/>
    <w:rsid w:val="22DB44FC"/>
    <w:rsid w:val="22E67F1C"/>
    <w:rsid w:val="22E76EF6"/>
    <w:rsid w:val="22E92F5A"/>
    <w:rsid w:val="22EE232A"/>
    <w:rsid w:val="22F834E5"/>
    <w:rsid w:val="22F846D3"/>
    <w:rsid w:val="22FC38E3"/>
    <w:rsid w:val="22FF54B6"/>
    <w:rsid w:val="23140095"/>
    <w:rsid w:val="23157F61"/>
    <w:rsid w:val="231D5C46"/>
    <w:rsid w:val="232936D0"/>
    <w:rsid w:val="232D4051"/>
    <w:rsid w:val="23314992"/>
    <w:rsid w:val="2332113F"/>
    <w:rsid w:val="23351FA9"/>
    <w:rsid w:val="23393DBB"/>
    <w:rsid w:val="234472BE"/>
    <w:rsid w:val="2345336D"/>
    <w:rsid w:val="234A76EF"/>
    <w:rsid w:val="234B2789"/>
    <w:rsid w:val="234E4970"/>
    <w:rsid w:val="235B61C9"/>
    <w:rsid w:val="236E3CBA"/>
    <w:rsid w:val="23764990"/>
    <w:rsid w:val="238A6CD1"/>
    <w:rsid w:val="239E0AFE"/>
    <w:rsid w:val="23A36852"/>
    <w:rsid w:val="23A42FE5"/>
    <w:rsid w:val="23A80A91"/>
    <w:rsid w:val="23B52E13"/>
    <w:rsid w:val="23B53DAB"/>
    <w:rsid w:val="23B963A3"/>
    <w:rsid w:val="23C960C1"/>
    <w:rsid w:val="23CE7222"/>
    <w:rsid w:val="23D52154"/>
    <w:rsid w:val="23D8590C"/>
    <w:rsid w:val="23DE3EE7"/>
    <w:rsid w:val="23DF237D"/>
    <w:rsid w:val="23ED5C81"/>
    <w:rsid w:val="23EF3C87"/>
    <w:rsid w:val="23FF7332"/>
    <w:rsid w:val="24001527"/>
    <w:rsid w:val="24060475"/>
    <w:rsid w:val="240772B1"/>
    <w:rsid w:val="24134A87"/>
    <w:rsid w:val="241D0FB1"/>
    <w:rsid w:val="242949C1"/>
    <w:rsid w:val="242B3B88"/>
    <w:rsid w:val="242F5319"/>
    <w:rsid w:val="24366057"/>
    <w:rsid w:val="24395BC7"/>
    <w:rsid w:val="243E1454"/>
    <w:rsid w:val="24480B04"/>
    <w:rsid w:val="244B00C0"/>
    <w:rsid w:val="24504564"/>
    <w:rsid w:val="245E4B1C"/>
    <w:rsid w:val="245E65F7"/>
    <w:rsid w:val="246063DF"/>
    <w:rsid w:val="246451CA"/>
    <w:rsid w:val="246A734E"/>
    <w:rsid w:val="246B20E8"/>
    <w:rsid w:val="247C4CC8"/>
    <w:rsid w:val="247C711F"/>
    <w:rsid w:val="24AD0773"/>
    <w:rsid w:val="24AD5999"/>
    <w:rsid w:val="24B35271"/>
    <w:rsid w:val="24B521B5"/>
    <w:rsid w:val="24B545C8"/>
    <w:rsid w:val="24BA19EE"/>
    <w:rsid w:val="24CE4AF6"/>
    <w:rsid w:val="24D20846"/>
    <w:rsid w:val="24DD64FC"/>
    <w:rsid w:val="24E329D4"/>
    <w:rsid w:val="24E57B81"/>
    <w:rsid w:val="24E61D5B"/>
    <w:rsid w:val="24E65598"/>
    <w:rsid w:val="24E96743"/>
    <w:rsid w:val="24EA675F"/>
    <w:rsid w:val="24EE5A0B"/>
    <w:rsid w:val="25072191"/>
    <w:rsid w:val="250A037F"/>
    <w:rsid w:val="250C1650"/>
    <w:rsid w:val="25110489"/>
    <w:rsid w:val="25160237"/>
    <w:rsid w:val="251850C4"/>
    <w:rsid w:val="251C5DE8"/>
    <w:rsid w:val="251D141E"/>
    <w:rsid w:val="251F4CB8"/>
    <w:rsid w:val="254210BC"/>
    <w:rsid w:val="254A3B8D"/>
    <w:rsid w:val="254F2870"/>
    <w:rsid w:val="255C18BB"/>
    <w:rsid w:val="255C5353"/>
    <w:rsid w:val="255C5DFA"/>
    <w:rsid w:val="25614D56"/>
    <w:rsid w:val="25634FB9"/>
    <w:rsid w:val="256A3635"/>
    <w:rsid w:val="258249F5"/>
    <w:rsid w:val="25852F8D"/>
    <w:rsid w:val="258C1E50"/>
    <w:rsid w:val="25963BDC"/>
    <w:rsid w:val="259E0F52"/>
    <w:rsid w:val="25A131B1"/>
    <w:rsid w:val="25A56969"/>
    <w:rsid w:val="25AC209F"/>
    <w:rsid w:val="25AF5AD1"/>
    <w:rsid w:val="25B0694C"/>
    <w:rsid w:val="25C03F3E"/>
    <w:rsid w:val="25C913AC"/>
    <w:rsid w:val="25C94238"/>
    <w:rsid w:val="25D90F75"/>
    <w:rsid w:val="25DA3DD7"/>
    <w:rsid w:val="25E17531"/>
    <w:rsid w:val="260A62CD"/>
    <w:rsid w:val="260C0317"/>
    <w:rsid w:val="260D0F43"/>
    <w:rsid w:val="261B2A21"/>
    <w:rsid w:val="261E1AA8"/>
    <w:rsid w:val="26230FB3"/>
    <w:rsid w:val="26277D9A"/>
    <w:rsid w:val="26280A3A"/>
    <w:rsid w:val="262C2DFB"/>
    <w:rsid w:val="26362445"/>
    <w:rsid w:val="264B79AC"/>
    <w:rsid w:val="265D2C36"/>
    <w:rsid w:val="266863CC"/>
    <w:rsid w:val="266D068F"/>
    <w:rsid w:val="26771D77"/>
    <w:rsid w:val="267A3EA7"/>
    <w:rsid w:val="26811112"/>
    <w:rsid w:val="26881D7F"/>
    <w:rsid w:val="269162C2"/>
    <w:rsid w:val="26941211"/>
    <w:rsid w:val="269A39CE"/>
    <w:rsid w:val="26A364C5"/>
    <w:rsid w:val="26A44093"/>
    <w:rsid w:val="26AA72BE"/>
    <w:rsid w:val="26AC0A54"/>
    <w:rsid w:val="26B079EB"/>
    <w:rsid w:val="26B56802"/>
    <w:rsid w:val="26B93D6C"/>
    <w:rsid w:val="26B972F5"/>
    <w:rsid w:val="26CA4E13"/>
    <w:rsid w:val="26E12CEB"/>
    <w:rsid w:val="26E165B9"/>
    <w:rsid w:val="27001A1C"/>
    <w:rsid w:val="2707669F"/>
    <w:rsid w:val="27093B41"/>
    <w:rsid w:val="270975D9"/>
    <w:rsid w:val="270B0F88"/>
    <w:rsid w:val="270F6DCE"/>
    <w:rsid w:val="27104E2C"/>
    <w:rsid w:val="271D074B"/>
    <w:rsid w:val="272A076F"/>
    <w:rsid w:val="273A6D23"/>
    <w:rsid w:val="2744508E"/>
    <w:rsid w:val="27475DA8"/>
    <w:rsid w:val="27514BF7"/>
    <w:rsid w:val="275B2D4B"/>
    <w:rsid w:val="27675135"/>
    <w:rsid w:val="277D0B81"/>
    <w:rsid w:val="27811362"/>
    <w:rsid w:val="278334F7"/>
    <w:rsid w:val="278A44E6"/>
    <w:rsid w:val="27985D9D"/>
    <w:rsid w:val="279C45E8"/>
    <w:rsid w:val="27A25E51"/>
    <w:rsid w:val="27A8737C"/>
    <w:rsid w:val="27AC2852"/>
    <w:rsid w:val="27B14F29"/>
    <w:rsid w:val="27BB232A"/>
    <w:rsid w:val="27BC7000"/>
    <w:rsid w:val="27C34BCB"/>
    <w:rsid w:val="27D03B58"/>
    <w:rsid w:val="27D711E9"/>
    <w:rsid w:val="27E17E6D"/>
    <w:rsid w:val="27E5487F"/>
    <w:rsid w:val="27EC3678"/>
    <w:rsid w:val="27F87B30"/>
    <w:rsid w:val="27FC3FF5"/>
    <w:rsid w:val="27FC5B66"/>
    <w:rsid w:val="28001066"/>
    <w:rsid w:val="280964C0"/>
    <w:rsid w:val="281A3EA5"/>
    <w:rsid w:val="281F64BE"/>
    <w:rsid w:val="28271983"/>
    <w:rsid w:val="28273F08"/>
    <w:rsid w:val="282D4A2F"/>
    <w:rsid w:val="28494535"/>
    <w:rsid w:val="284D0039"/>
    <w:rsid w:val="285F1B5C"/>
    <w:rsid w:val="2864350E"/>
    <w:rsid w:val="286706B6"/>
    <w:rsid w:val="286E406A"/>
    <w:rsid w:val="28713AB4"/>
    <w:rsid w:val="28763774"/>
    <w:rsid w:val="287B2CA8"/>
    <w:rsid w:val="287C7545"/>
    <w:rsid w:val="28923372"/>
    <w:rsid w:val="28977F29"/>
    <w:rsid w:val="289B7D7E"/>
    <w:rsid w:val="28A36416"/>
    <w:rsid w:val="28B134F3"/>
    <w:rsid w:val="28C7538A"/>
    <w:rsid w:val="28CF2658"/>
    <w:rsid w:val="28DB5F36"/>
    <w:rsid w:val="28E62AF5"/>
    <w:rsid w:val="28E667CC"/>
    <w:rsid w:val="28F93D04"/>
    <w:rsid w:val="28FE1AB3"/>
    <w:rsid w:val="28FE4B2D"/>
    <w:rsid w:val="29041E6B"/>
    <w:rsid w:val="29162F3C"/>
    <w:rsid w:val="291C315B"/>
    <w:rsid w:val="29336423"/>
    <w:rsid w:val="29362C39"/>
    <w:rsid w:val="293C308A"/>
    <w:rsid w:val="293D7E8D"/>
    <w:rsid w:val="29415C67"/>
    <w:rsid w:val="2944459C"/>
    <w:rsid w:val="294B48E7"/>
    <w:rsid w:val="295623BD"/>
    <w:rsid w:val="29572119"/>
    <w:rsid w:val="295F59C2"/>
    <w:rsid w:val="29611C40"/>
    <w:rsid w:val="29763832"/>
    <w:rsid w:val="297B3133"/>
    <w:rsid w:val="297E1B70"/>
    <w:rsid w:val="29852C66"/>
    <w:rsid w:val="29887F9D"/>
    <w:rsid w:val="29893502"/>
    <w:rsid w:val="29965DD0"/>
    <w:rsid w:val="299A5C41"/>
    <w:rsid w:val="29A61CF2"/>
    <w:rsid w:val="29A81854"/>
    <w:rsid w:val="29A935D8"/>
    <w:rsid w:val="29B36F12"/>
    <w:rsid w:val="29C17AA0"/>
    <w:rsid w:val="29CD7459"/>
    <w:rsid w:val="29D44229"/>
    <w:rsid w:val="29E17195"/>
    <w:rsid w:val="29E22061"/>
    <w:rsid w:val="29E41979"/>
    <w:rsid w:val="29E6213E"/>
    <w:rsid w:val="29E672C5"/>
    <w:rsid w:val="29E77616"/>
    <w:rsid w:val="29E80F86"/>
    <w:rsid w:val="29F30E61"/>
    <w:rsid w:val="29F96629"/>
    <w:rsid w:val="29FB045E"/>
    <w:rsid w:val="29FB43E3"/>
    <w:rsid w:val="29FD43DC"/>
    <w:rsid w:val="29FD7288"/>
    <w:rsid w:val="2A053F98"/>
    <w:rsid w:val="2A0659E1"/>
    <w:rsid w:val="2A0B4CFD"/>
    <w:rsid w:val="2A0F566E"/>
    <w:rsid w:val="2A0F5AD0"/>
    <w:rsid w:val="2A122202"/>
    <w:rsid w:val="2A152DB6"/>
    <w:rsid w:val="2A1A285E"/>
    <w:rsid w:val="2A2468B8"/>
    <w:rsid w:val="2A2F2E6F"/>
    <w:rsid w:val="2A301D68"/>
    <w:rsid w:val="2A357449"/>
    <w:rsid w:val="2A4D0573"/>
    <w:rsid w:val="2A5B012D"/>
    <w:rsid w:val="2A5E6191"/>
    <w:rsid w:val="2A67601F"/>
    <w:rsid w:val="2A6932E0"/>
    <w:rsid w:val="2A6E71D0"/>
    <w:rsid w:val="2A7C0FEE"/>
    <w:rsid w:val="2AA33CFD"/>
    <w:rsid w:val="2AAE40CF"/>
    <w:rsid w:val="2AB513AF"/>
    <w:rsid w:val="2AC2238B"/>
    <w:rsid w:val="2AC5066A"/>
    <w:rsid w:val="2AC805B9"/>
    <w:rsid w:val="2ACC748C"/>
    <w:rsid w:val="2ACF6A8A"/>
    <w:rsid w:val="2AE23FC9"/>
    <w:rsid w:val="2AE609CA"/>
    <w:rsid w:val="2AE6274F"/>
    <w:rsid w:val="2AE70EB2"/>
    <w:rsid w:val="2AE75AFF"/>
    <w:rsid w:val="2AEF405A"/>
    <w:rsid w:val="2AF37208"/>
    <w:rsid w:val="2AF50B76"/>
    <w:rsid w:val="2AFD31AB"/>
    <w:rsid w:val="2B205BA3"/>
    <w:rsid w:val="2B285E7C"/>
    <w:rsid w:val="2B2C5116"/>
    <w:rsid w:val="2B3136F7"/>
    <w:rsid w:val="2B3559C2"/>
    <w:rsid w:val="2B3F1E1C"/>
    <w:rsid w:val="2B4A3D8D"/>
    <w:rsid w:val="2B4A471E"/>
    <w:rsid w:val="2B4A5FA4"/>
    <w:rsid w:val="2B4C6985"/>
    <w:rsid w:val="2B501B65"/>
    <w:rsid w:val="2B613C4D"/>
    <w:rsid w:val="2B6F182C"/>
    <w:rsid w:val="2B74171E"/>
    <w:rsid w:val="2B7C62E4"/>
    <w:rsid w:val="2B841A50"/>
    <w:rsid w:val="2B873A41"/>
    <w:rsid w:val="2BA0294D"/>
    <w:rsid w:val="2BA11B99"/>
    <w:rsid w:val="2BA864FF"/>
    <w:rsid w:val="2BC91F60"/>
    <w:rsid w:val="2BD73FEB"/>
    <w:rsid w:val="2BDC3C01"/>
    <w:rsid w:val="2BEC6C7A"/>
    <w:rsid w:val="2BF0238C"/>
    <w:rsid w:val="2BF07ED6"/>
    <w:rsid w:val="2BF44B30"/>
    <w:rsid w:val="2BF7191D"/>
    <w:rsid w:val="2C020E52"/>
    <w:rsid w:val="2C051307"/>
    <w:rsid w:val="2C0819FF"/>
    <w:rsid w:val="2C091F09"/>
    <w:rsid w:val="2C140305"/>
    <w:rsid w:val="2C155EFF"/>
    <w:rsid w:val="2C1E2655"/>
    <w:rsid w:val="2C290AD7"/>
    <w:rsid w:val="2C36789D"/>
    <w:rsid w:val="2C370649"/>
    <w:rsid w:val="2C37579C"/>
    <w:rsid w:val="2C413362"/>
    <w:rsid w:val="2C471CC1"/>
    <w:rsid w:val="2C554F9D"/>
    <w:rsid w:val="2C6124BC"/>
    <w:rsid w:val="2C6203AC"/>
    <w:rsid w:val="2C696F2A"/>
    <w:rsid w:val="2C764051"/>
    <w:rsid w:val="2C7B30C7"/>
    <w:rsid w:val="2C801670"/>
    <w:rsid w:val="2C83561C"/>
    <w:rsid w:val="2C86296A"/>
    <w:rsid w:val="2C8B4EF3"/>
    <w:rsid w:val="2C8F1FC8"/>
    <w:rsid w:val="2C8F4CA1"/>
    <w:rsid w:val="2C93279C"/>
    <w:rsid w:val="2C955175"/>
    <w:rsid w:val="2CA366B4"/>
    <w:rsid w:val="2CA75A8F"/>
    <w:rsid w:val="2CAA59A1"/>
    <w:rsid w:val="2CB60393"/>
    <w:rsid w:val="2CB6664F"/>
    <w:rsid w:val="2CBA7EE4"/>
    <w:rsid w:val="2CBC5E92"/>
    <w:rsid w:val="2CC16776"/>
    <w:rsid w:val="2CD53BF3"/>
    <w:rsid w:val="2CDF1C79"/>
    <w:rsid w:val="2CFA45B1"/>
    <w:rsid w:val="2D08622F"/>
    <w:rsid w:val="2D0D0C73"/>
    <w:rsid w:val="2D2345C7"/>
    <w:rsid w:val="2D261723"/>
    <w:rsid w:val="2D307812"/>
    <w:rsid w:val="2D494825"/>
    <w:rsid w:val="2D4C0DCE"/>
    <w:rsid w:val="2D4F3BDF"/>
    <w:rsid w:val="2D533460"/>
    <w:rsid w:val="2D581CCF"/>
    <w:rsid w:val="2D5C1DB2"/>
    <w:rsid w:val="2D5E173E"/>
    <w:rsid w:val="2D650E42"/>
    <w:rsid w:val="2D66368B"/>
    <w:rsid w:val="2D75475C"/>
    <w:rsid w:val="2D7B4B2E"/>
    <w:rsid w:val="2D801ABC"/>
    <w:rsid w:val="2D8258F3"/>
    <w:rsid w:val="2D856830"/>
    <w:rsid w:val="2D8613F9"/>
    <w:rsid w:val="2D882515"/>
    <w:rsid w:val="2D8D74A4"/>
    <w:rsid w:val="2D926137"/>
    <w:rsid w:val="2DA22417"/>
    <w:rsid w:val="2DA500D9"/>
    <w:rsid w:val="2DAC06F5"/>
    <w:rsid w:val="2DAE0F14"/>
    <w:rsid w:val="2DAF5AAF"/>
    <w:rsid w:val="2DB65AAE"/>
    <w:rsid w:val="2DC8442F"/>
    <w:rsid w:val="2DD32C8F"/>
    <w:rsid w:val="2DDD25EF"/>
    <w:rsid w:val="2DE45CFD"/>
    <w:rsid w:val="2DEF5A58"/>
    <w:rsid w:val="2DFA7F9E"/>
    <w:rsid w:val="2DFF4613"/>
    <w:rsid w:val="2E0105C4"/>
    <w:rsid w:val="2E0138AD"/>
    <w:rsid w:val="2E0441D4"/>
    <w:rsid w:val="2E1B4AFC"/>
    <w:rsid w:val="2E1C2D47"/>
    <w:rsid w:val="2E2022A8"/>
    <w:rsid w:val="2E245F9F"/>
    <w:rsid w:val="2E2603E5"/>
    <w:rsid w:val="2E2D43B8"/>
    <w:rsid w:val="2E2F11A0"/>
    <w:rsid w:val="2E316F3F"/>
    <w:rsid w:val="2E3F49AD"/>
    <w:rsid w:val="2E4462D2"/>
    <w:rsid w:val="2E4E530C"/>
    <w:rsid w:val="2E6D227D"/>
    <w:rsid w:val="2E6D7E65"/>
    <w:rsid w:val="2E787995"/>
    <w:rsid w:val="2E79424B"/>
    <w:rsid w:val="2E7C45AD"/>
    <w:rsid w:val="2E8554FA"/>
    <w:rsid w:val="2E8D7461"/>
    <w:rsid w:val="2EA60516"/>
    <w:rsid w:val="2EA8442B"/>
    <w:rsid w:val="2EAD2145"/>
    <w:rsid w:val="2EB81B62"/>
    <w:rsid w:val="2EBC2263"/>
    <w:rsid w:val="2EBD0643"/>
    <w:rsid w:val="2EC233F9"/>
    <w:rsid w:val="2EC35595"/>
    <w:rsid w:val="2EC547F2"/>
    <w:rsid w:val="2ED07EF2"/>
    <w:rsid w:val="2EDE0469"/>
    <w:rsid w:val="2EE37FA0"/>
    <w:rsid w:val="2EE711B6"/>
    <w:rsid w:val="2EEB49FA"/>
    <w:rsid w:val="2F06315B"/>
    <w:rsid w:val="2F0B0AE3"/>
    <w:rsid w:val="2F14652F"/>
    <w:rsid w:val="2F1F7372"/>
    <w:rsid w:val="2F24468F"/>
    <w:rsid w:val="2F270AC3"/>
    <w:rsid w:val="2F2D4FF3"/>
    <w:rsid w:val="2F342A84"/>
    <w:rsid w:val="2F3454EE"/>
    <w:rsid w:val="2F371654"/>
    <w:rsid w:val="2F395E92"/>
    <w:rsid w:val="2F3A4E04"/>
    <w:rsid w:val="2F4003EC"/>
    <w:rsid w:val="2F4076BB"/>
    <w:rsid w:val="2F430FF7"/>
    <w:rsid w:val="2F481044"/>
    <w:rsid w:val="2F4A7913"/>
    <w:rsid w:val="2F5A149E"/>
    <w:rsid w:val="2F5A334B"/>
    <w:rsid w:val="2F5C7A53"/>
    <w:rsid w:val="2F604ED2"/>
    <w:rsid w:val="2F6B07A4"/>
    <w:rsid w:val="2F6F6E22"/>
    <w:rsid w:val="2F75606A"/>
    <w:rsid w:val="2F780359"/>
    <w:rsid w:val="2F8E6C98"/>
    <w:rsid w:val="2F9327A7"/>
    <w:rsid w:val="2FA6537A"/>
    <w:rsid w:val="2FA67D1F"/>
    <w:rsid w:val="2FA867E1"/>
    <w:rsid w:val="2FAB76D1"/>
    <w:rsid w:val="2FB56B98"/>
    <w:rsid w:val="2FBA0D9A"/>
    <w:rsid w:val="2FBE5B8D"/>
    <w:rsid w:val="2FBF713D"/>
    <w:rsid w:val="2FC77845"/>
    <w:rsid w:val="2FC9676A"/>
    <w:rsid w:val="2FCB4DD1"/>
    <w:rsid w:val="2FDC4FF1"/>
    <w:rsid w:val="2FDC5166"/>
    <w:rsid w:val="2FDE194E"/>
    <w:rsid w:val="2FDE6B46"/>
    <w:rsid w:val="2FE232A7"/>
    <w:rsid w:val="2FE3161C"/>
    <w:rsid w:val="2FE754B4"/>
    <w:rsid w:val="2FE94B9A"/>
    <w:rsid w:val="2FF108F6"/>
    <w:rsid w:val="2FF67A42"/>
    <w:rsid w:val="30077136"/>
    <w:rsid w:val="30090875"/>
    <w:rsid w:val="300C16BD"/>
    <w:rsid w:val="3016617D"/>
    <w:rsid w:val="30251522"/>
    <w:rsid w:val="302C1774"/>
    <w:rsid w:val="30345EE8"/>
    <w:rsid w:val="30370F83"/>
    <w:rsid w:val="30372891"/>
    <w:rsid w:val="30396B10"/>
    <w:rsid w:val="303B336D"/>
    <w:rsid w:val="30433157"/>
    <w:rsid w:val="304F6B17"/>
    <w:rsid w:val="30516C77"/>
    <w:rsid w:val="30600370"/>
    <w:rsid w:val="306741DB"/>
    <w:rsid w:val="30780DFA"/>
    <w:rsid w:val="307B4F89"/>
    <w:rsid w:val="308B5CBA"/>
    <w:rsid w:val="30A706D1"/>
    <w:rsid w:val="30AB2825"/>
    <w:rsid w:val="30AB3B6B"/>
    <w:rsid w:val="30AD36ED"/>
    <w:rsid w:val="30CD2327"/>
    <w:rsid w:val="30D0530A"/>
    <w:rsid w:val="30D55375"/>
    <w:rsid w:val="30D9094A"/>
    <w:rsid w:val="30DA1C8A"/>
    <w:rsid w:val="30DB6191"/>
    <w:rsid w:val="30DD06A7"/>
    <w:rsid w:val="30DD29CE"/>
    <w:rsid w:val="30DE37F5"/>
    <w:rsid w:val="30E57BC8"/>
    <w:rsid w:val="30E6523C"/>
    <w:rsid w:val="30E7578F"/>
    <w:rsid w:val="30E91822"/>
    <w:rsid w:val="30ED62B1"/>
    <w:rsid w:val="30EE18BE"/>
    <w:rsid w:val="30EE58FA"/>
    <w:rsid w:val="30F12587"/>
    <w:rsid w:val="30F8450D"/>
    <w:rsid w:val="30F94B3F"/>
    <w:rsid w:val="30FA66F9"/>
    <w:rsid w:val="3102477E"/>
    <w:rsid w:val="31026961"/>
    <w:rsid w:val="3105390F"/>
    <w:rsid w:val="31173C30"/>
    <w:rsid w:val="311E3592"/>
    <w:rsid w:val="31225802"/>
    <w:rsid w:val="3138432A"/>
    <w:rsid w:val="313D5697"/>
    <w:rsid w:val="314E4954"/>
    <w:rsid w:val="31500B3C"/>
    <w:rsid w:val="31542211"/>
    <w:rsid w:val="315E2D3B"/>
    <w:rsid w:val="316124DC"/>
    <w:rsid w:val="31643D76"/>
    <w:rsid w:val="31682BB3"/>
    <w:rsid w:val="3168625F"/>
    <w:rsid w:val="31704633"/>
    <w:rsid w:val="3172332D"/>
    <w:rsid w:val="31864D3E"/>
    <w:rsid w:val="318F6100"/>
    <w:rsid w:val="31910D55"/>
    <w:rsid w:val="31991C66"/>
    <w:rsid w:val="319C7B3C"/>
    <w:rsid w:val="31A3175F"/>
    <w:rsid w:val="31A60F66"/>
    <w:rsid w:val="31A87ADD"/>
    <w:rsid w:val="31AA213A"/>
    <w:rsid w:val="31AB33E4"/>
    <w:rsid w:val="31B000F0"/>
    <w:rsid w:val="31BB57B1"/>
    <w:rsid w:val="31BD7DC2"/>
    <w:rsid w:val="31C50591"/>
    <w:rsid w:val="31CB53D5"/>
    <w:rsid w:val="31D36060"/>
    <w:rsid w:val="31E73000"/>
    <w:rsid w:val="31EC21BD"/>
    <w:rsid w:val="31EC7522"/>
    <w:rsid w:val="31ED2EF1"/>
    <w:rsid w:val="32017785"/>
    <w:rsid w:val="322721C8"/>
    <w:rsid w:val="32381C5F"/>
    <w:rsid w:val="323C4A2E"/>
    <w:rsid w:val="324030EE"/>
    <w:rsid w:val="32422E19"/>
    <w:rsid w:val="324E140C"/>
    <w:rsid w:val="324E4E8C"/>
    <w:rsid w:val="32614B4A"/>
    <w:rsid w:val="326B6851"/>
    <w:rsid w:val="326F4E9C"/>
    <w:rsid w:val="32702BD5"/>
    <w:rsid w:val="32811F79"/>
    <w:rsid w:val="32864655"/>
    <w:rsid w:val="32893451"/>
    <w:rsid w:val="329965F5"/>
    <w:rsid w:val="329A6A9E"/>
    <w:rsid w:val="329A736B"/>
    <w:rsid w:val="32A04A94"/>
    <w:rsid w:val="32A427CA"/>
    <w:rsid w:val="32A7197B"/>
    <w:rsid w:val="32B33797"/>
    <w:rsid w:val="32B37E0D"/>
    <w:rsid w:val="32B51BDE"/>
    <w:rsid w:val="32BC3D75"/>
    <w:rsid w:val="32C40A07"/>
    <w:rsid w:val="32CA0686"/>
    <w:rsid w:val="32D228DB"/>
    <w:rsid w:val="32D2292A"/>
    <w:rsid w:val="32D8332E"/>
    <w:rsid w:val="32DD110C"/>
    <w:rsid w:val="32E27584"/>
    <w:rsid w:val="32E4274D"/>
    <w:rsid w:val="32EA4356"/>
    <w:rsid w:val="32EA7272"/>
    <w:rsid w:val="32F87F99"/>
    <w:rsid w:val="32FB3799"/>
    <w:rsid w:val="33083D6C"/>
    <w:rsid w:val="330B4E46"/>
    <w:rsid w:val="330C1CEA"/>
    <w:rsid w:val="33102D67"/>
    <w:rsid w:val="33125B66"/>
    <w:rsid w:val="331414B9"/>
    <w:rsid w:val="33190E82"/>
    <w:rsid w:val="331A4778"/>
    <w:rsid w:val="331D2FB2"/>
    <w:rsid w:val="33304D51"/>
    <w:rsid w:val="33346406"/>
    <w:rsid w:val="33412A47"/>
    <w:rsid w:val="33443787"/>
    <w:rsid w:val="33482C37"/>
    <w:rsid w:val="335131FB"/>
    <w:rsid w:val="3360622F"/>
    <w:rsid w:val="336205A2"/>
    <w:rsid w:val="336D2C26"/>
    <w:rsid w:val="337269A6"/>
    <w:rsid w:val="33791790"/>
    <w:rsid w:val="33834D7C"/>
    <w:rsid w:val="33852819"/>
    <w:rsid w:val="33871999"/>
    <w:rsid w:val="338C37F9"/>
    <w:rsid w:val="33900DD8"/>
    <w:rsid w:val="33933FAE"/>
    <w:rsid w:val="33AC185A"/>
    <w:rsid w:val="33AD4603"/>
    <w:rsid w:val="33AD67B5"/>
    <w:rsid w:val="33B900C0"/>
    <w:rsid w:val="33BC00F2"/>
    <w:rsid w:val="33BF13B4"/>
    <w:rsid w:val="33CF792F"/>
    <w:rsid w:val="33DD1044"/>
    <w:rsid w:val="33E22A9F"/>
    <w:rsid w:val="33E252DE"/>
    <w:rsid w:val="33EF4903"/>
    <w:rsid w:val="33F319D8"/>
    <w:rsid w:val="340D1BC5"/>
    <w:rsid w:val="340D4B04"/>
    <w:rsid w:val="342B76AC"/>
    <w:rsid w:val="342F7562"/>
    <w:rsid w:val="34364B8B"/>
    <w:rsid w:val="34375332"/>
    <w:rsid w:val="34442D5D"/>
    <w:rsid w:val="34443210"/>
    <w:rsid w:val="344D76D4"/>
    <w:rsid w:val="34577CDD"/>
    <w:rsid w:val="345965FA"/>
    <w:rsid w:val="3461183B"/>
    <w:rsid w:val="34674748"/>
    <w:rsid w:val="346B2570"/>
    <w:rsid w:val="34716A18"/>
    <w:rsid w:val="34716D4F"/>
    <w:rsid w:val="347C5154"/>
    <w:rsid w:val="3482183C"/>
    <w:rsid w:val="34850D8B"/>
    <w:rsid w:val="348659F9"/>
    <w:rsid w:val="34887FF5"/>
    <w:rsid w:val="348A1767"/>
    <w:rsid w:val="34920DBA"/>
    <w:rsid w:val="3493711F"/>
    <w:rsid w:val="349F5C3D"/>
    <w:rsid w:val="34AE00F1"/>
    <w:rsid w:val="34AE5218"/>
    <w:rsid w:val="34B070F1"/>
    <w:rsid w:val="34B271E0"/>
    <w:rsid w:val="34B57A6A"/>
    <w:rsid w:val="34B90A4C"/>
    <w:rsid w:val="34BC2AEE"/>
    <w:rsid w:val="34BE4EFB"/>
    <w:rsid w:val="34CB4A12"/>
    <w:rsid w:val="34D21EE8"/>
    <w:rsid w:val="34D47537"/>
    <w:rsid w:val="34D53539"/>
    <w:rsid w:val="34E205A8"/>
    <w:rsid w:val="34EA761F"/>
    <w:rsid w:val="34F262D6"/>
    <w:rsid w:val="34F368AB"/>
    <w:rsid w:val="34F74066"/>
    <w:rsid w:val="34F741B9"/>
    <w:rsid w:val="34FA0D1C"/>
    <w:rsid w:val="34FE0255"/>
    <w:rsid w:val="350730B8"/>
    <w:rsid w:val="35124BDF"/>
    <w:rsid w:val="351547F2"/>
    <w:rsid w:val="351847DE"/>
    <w:rsid w:val="352164B6"/>
    <w:rsid w:val="35263A2B"/>
    <w:rsid w:val="3528176C"/>
    <w:rsid w:val="352A1A45"/>
    <w:rsid w:val="352B2DCA"/>
    <w:rsid w:val="352F5D97"/>
    <w:rsid w:val="35383E18"/>
    <w:rsid w:val="353E2CF6"/>
    <w:rsid w:val="353F4A21"/>
    <w:rsid w:val="35434E58"/>
    <w:rsid w:val="354E17ED"/>
    <w:rsid w:val="355149E3"/>
    <w:rsid w:val="35526504"/>
    <w:rsid w:val="355C5A55"/>
    <w:rsid w:val="356660A7"/>
    <w:rsid w:val="357C663A"/>
    <w:rsid w:val="357D5641"/>
    <w:rsid w:val="35815594"/>
    <w:rsid w:val="35825DFF"/>
    <w:rsid w:val="35985A19"/>
    <w:rsid w:val="359B36CE"/>
    <w:rsid w:val="359C2E88"/>
    <w:rsid w:val="35B821F4"/>
    <w:rsid w:val="35BB566F"/>
    <w:rsid w:val="35C04EAE"/>
    <w:rsid w:val="35C55293"/>
    <w:rsid w:val="35CA2A36"/>
    <w:rsid w:val="35D178B2"/>
    <w:rsid w:val="35D43014"/>
    <w:rsid w:val="35D650EC"/>
    <w:rsid w:val="35DB6B26"/>
    <w:rsid w:val="35DE3A4D"/>
    <w:rsid w:val="35E22D8D"/>
    <w:rsid w:val="35E55251"/>
    <w:rsid w:val="35F81772"/>
    <w:rsid w:val="36011A02"/>
    <w:rsid w:val="36094C87"/>
    <w:rsid w:val="36170DC0"/>
    <w:rsid w:val="362A1DFA"/>
    <w:rsid w:val="362B427C"/>
    <w:rsid w:val="362D0BBA"/>
    <w:rsid w:val="362D138E"/>
    <w:rsid w:val="362D79C7"/>
    <w:rsid w:val="363B3F7C"/>
    <w:rsid w:val="363F6804"/>
    <w:rsid w:val="36530F8F"/>
    <w:rsid w:val="365F6233"/>
    <w:rsid w:val="36604F52"/>
    <w:rsid w:val="36631EBB"/>
    <w:rsid w:val="36710540"/>
    <w:rsid w:val="367914DA"/>
    <w:rsid w:val="36816BEC"/>
    <w:rsid w:val="36944A6B"/>
    <w:rsid w:val="36963D16"/>
    <w:rsid w:val="36A03182"/>
    <w:rsid w:val="36A46123"/>
    <w:rsid w:val="36AB75A5"/>
    <w:rsid w:val="36CB7422"/>
    <w:rsid w:val="36D24FE3"/>
    <w:rsid w:val="36D44FD1"/>
    <w:rsid w:val="36DDB103"/>
    <w:rsid w:val="36E147DC"/>
    <w:rsid w:val="36E66A2E"/>
    <w:rsid w:val="36F8159F"/>
    <w:rsid w:val="370658EE"/>
    <w:rsid w:val="370C5A67"/>
    <w:rsid w:val="371C792D"/>
    <w:rsid w:val="371F7C4F"/>
    <w:rsid w:val="37216194"/>
    <w:rsid w:val="37292D18"/>
    <w:rsid w:val="372944A5"/>
    <w:rsid w:val="372B5434"/>
    <w:rsid w:val="372F2B17"/>
    <w:rsid w:val="373204C6"/>
    <w:rsid w:val="3733618B"/>
    <w:rsid w:val="373524E8"/>
    <w:rsid w:val="373A4572"/>
    <w:rsid w:val="37446F64"/>
    <w:rsid w:val="374638CE"/>
    <w:rsid w:val="374E1C28"/>
    <w:rsid w:val="37584853"/>
    <w:rsid w:val="37687349"/>
    <w:rsid w:val="37774AF1"/>
    <w:rsid w:val="37825B07"/>
    <w:rsid w:val="37AF4CE7"/>
    <w:rsid w:val="37BE70F0"/>
    <w:rsid w:val="37C279E6"/>
    <w:rsid w:val="37C75D9B"/>
    <w:rsid w:val="37CA1B5C"/>
    <w:rsid w:val="37D92B41"/>
    <w:rsid w:val="37DF4A7F"/>
    <w:rsid w:val="37E420C4"/>
    <w:rsid w:val="37EB040A"/>
    <w:rsid w:val="37F43B51"/>
    <w:rsid w:val="37F976E5"/>
    <w:rsid w:val="38110CEC"/>
    <w:rsid w:val="38290DB3"/>
    <w:rsid w:val="38326A66"/>
    <w:rsid w:val="38376340"/>
    <w:rsid w:val="383D70E7"/>
    <w:rsid w:val="385775AE"/>
    <w:rsid w:val="38664E2E"/>
    <w:rsid w:val="386A5665"/>
    <w:rsid w:val="38735FE6"/>
    <w:rsid w:val="38754BF2"/>
    <w:rsid w:val="3876702E"/>
    <w:rsid w:val="387828C4"/>
    <w:rsid w:val="387B6682"/>
    <w:rsid w:val="387C42B2"/>
    <w:rsid w:val="387F773D"/>
    <w:rsid w:val="38872071"/>
    <w:rsid w:val="388B73AC"/>
    <w:rsid w:val="388D2005"/>
    <w:rsid w:val="38935752"/>
    <w:rsid w:val="38A16812"/>
    <w:rsid w:val="38A81F49"/>
    <w:rsid w:val="38AA4DCF"/>
    <w:rsid w:val="38AA6CCD"/>
    <w:rsid w:val="38B067ED"/>
    <w:rsid w:val="38B61C08"/>
    <w:rsid w:val="38C016C5"/>
    <w:rsid w:val="38C5631F"/>
    <w:rsid w:val="38CA6981"/>
    <w:rsid w:val="38CE5788"/>
    <w:rsid w:val="38D0041A"/>
    <w:rsid w:val="38D03CA5"/>
    <w:rsid w:val="38D56E7C"/>
    <w:rsid w:val="38DA4C4D"/>
    <w:rsid w:val="38DF49DC"/>
    <w:rsid w:val="38E13451"/>
    <w:rsid w:val="38E16704"/>
    <w:rsid w:val="38E511CC"/>
    <w:rsid w:val="38F14A9A"/>
    <w:rsid w:val="38F55363"/>
    <w:rsid w:val="38FC27C1"/>
    <w:rsid w:val="39086667"/>
    <w:rsid w:val="390F2FF9"/>
    <w:rsid w:val="3910200E"/>
    <w:rsid w:val="391C61E0"/>
    <w:rsid w:val="391D1AF6"/>
    <w:rsid w:val="391F121C"/>
    <w:rsid w:val="39227ED6"/>
    <w:rsid w:val="39247565"/>
    <w:rsid w:val="39275CC8"/>
    <w:rsid w:val="39373005"/>
    <w:rsid w:val="39425244"/>
    <w:rsid w:val="39447834"/>
    <w:rsid w:val="39452CF0"/>
    <w:rsid w:val="394B1976"/>
    <w:rsid w:val="39576EF4"/>
    <w:rsid w:val="395A0C8B"/>
    <w:rsid w:val="39623066"/>
    <w:rsid w:val="397F20EE"/>
    <w:rsid w:val="39826C0F"/>
    <w:rsid w:val="39834066"/>
    <w:rsid w:val="39946946"/>
    <w:rsid w:val="39A40146"/>
    <w:rsid w:val="39A66893"/>
    <w:rsid w:val="39B11BBD"/>
    <w:rsid w:val="39BD380D"/>
    <w:rsid w:val="39C678D5"/>
    <w:rsid w:val="39C8188B"/>
    <w:rsid w:val="39D27FD0"/>
    <w:rsid w:val="39D33090"/>
    <w:rsid w:val="39D6511B"/>
    <w:rsid w:val="39DB63B7"/>
    <w:rsid w:val="39EC63B4"/>
    <w:rsid w:val="39EF3E2E"/>
    <w:rsid w:val="39F14B5C"/>
    <w:rsid w:val="39F31198"/>
    <w:rsid w:val="39FC5027"/>
    <w:rsid w:val="3A0251EF"/>
    <w:rsid w:val="3A052141"/>
    <w:rsid w:val="3A106E99"/>
    <w:rsid w:val="3A22354D"/>
    <w:rsid w:val="3A281AFF"/>
    <w:rsid w:val="3A334EF5"/>
    <w:rsid w:val="3A3C4A01"/>
    <w:rsid w:val="3A4241F8"/>
    <w:rsid w:val="3A4246A7"/>
    <w:rsid w:val="3A5D13E2"/>
    <w:rsid w:val="3A657FBD"/>
    <w:rsid w:val="3A6A0A69"/>
    <w:rsid w:val="3A6D151C"/>
    <w:rsid w:val="3A6D6026"/>
    <w:rsid w:val="3A7B0FED"/>
    <w:rsid w:val="3A8C4B88"/>
    <w:rsid w:val="3A92109E"/>
    <w:rsid w:val="3A94135D"/>
    <w:rsid w:val="3A975E8B"/>
    <w:rsid w:val="3AA143DE"/>
    <w:rsid w:val="3AA77A0B"/>
    <w:rsid w:val="3AA8108F"/>
    <w:rsid w:val="3AAC1FDD"/>
    <w:rsid w:val="3AB31CB2"/>
    <w:rsid w:val="3ABC3EC1"/>
    <w:rsid w:val="3ABE3B67"/>
    <w:rsid w:val="3AC419C7"/>
    <w:rsid w:val="3AC86074"/>
    <w:rsid w:val="3AD07FD8"/>
    <w:rsid w:val="3AE30733"/>
    <w:rsid w:val="3AE42081"/>
    <w:rsid w:val="3AFA2A62"/>
    <w:rsid w:val="3B022044"/>
    <w:rsid w:val="3B0320C2"/>
    <w:rsid w:val="3B050AD6"/>
    <w:rsid w:val="3B057691"/>
    <w:rsid w:val="3B070A8E"/>
    <w:rsid w:val="3B0F7440"/>
    <w:rsid w:val="3B1212F4"/>
    <w:rsid w:val="3B1337B8"/>
    <w:rsid w:val="3B172B4F"/>
    <w:rsid w:val="3B185FF2"/>
    <w:rsid w:val="3B1C653F"/>
    <w:rsid w:val="3B27041B"/>
    <w:rsid w:val="3B31003F"/>
    <w:rsid w:val="3B332AD5"/>
    <w:rsid w:val="3B3701AA"/>
    <w:rsid w:val="3B457E78"/>
    <w:rsid w:val="3B4A44AC"/>
    <w:rsid w:val="3B595F92"/>
    <w:rsid w:val="3B615221"/>
    <w:rsid w:val="3B662AA0"/>
    <w:rsid w:val="3B7B2F20"/>
    <w:rsid w:val="3B7F5877"/>
    <w:rsid w:val="3B800C8A"/>
    <w:rsid w:val="3B8915E1"/>
    <w:rsid w:val="3B904CA9"/>
    <w:rsid w:val="3B9E4948"/>
    <w:rsid w:val="3BB85C1D"/>
    <w:rsid w:val="3BBD0A80"/>
    <w:rsid w:val="3BBD3523"/>
    <w:rsid w:val="3BD00E93"/>
    <w:rsid w:val="3BD13884"/>
    <w:rsid w:val="3BDB1D94"/>
    <w:rsid w:val="3BE3271A"/>
    <w:rsid w:val="3BF0187E"/>
    <w:rsid w:val="3BF24721"/>
    <w:rsid w:val="3BF35B55"/>
    <w:rsid w:val="3BF80CB4"/>
    <w:rsid w:val="3BFE6FB8"/>
    <w:rsid w:val="3C0132E7"/>
    <w:rsid w:val="3C022CB9"/>
    <w:rsid w:val="3C0269F3"/>
    <w:rsid w:val="3C064D0A"/>
    <w:rsid w:val="3C0D6273"/>
    <w:rsid w:val="3C1220DB"/>
    <w:rsid w:val="3C1A5D98"/>
    <w:rsid w:val="3C200389"/>
    <w:rsid w:val="3C265A11"/>
    <w:rsid w:val="3C300A38"/>
    <w:rsid w:val="3C372852"/>
    <w:rsid w:val="3C383425"/>
    <w:rsid w:val="3C392C95"/>
    <w:rsid w:val="3C3950B9"/>
    <w:rsid w:val="3C3E244B"/>
    <w:rsid w:val="3C416A98"/>
    <w:rsid w:val="3C4A7F1D"/>
    <w:rsid w:val="3C4B591C"/>
    <w:rsid w:val="3C62410F"/>
    <w:rsid w:val="3C877A7E"/>
    <w:rsid w:val="3C8D6DE4"/>
    <w:rsid w:val="3C953614"/>
    <w:rsid w:val="3CBA1FE0"/>
    <w:rsid w:val="3CC44CC1"/>
    <w:rsid w:val="3CCD425B"/>
    <w:rsid w:val="3CCE048D"/>
    <w:rsid w:val="3CDA219E"/>
    <w:rsid w:val="3CDA5A95"/>
    <w:rsid w:val="3CE0091C"/>
    <w:rsid w:val="3CE30C99"/>
    <w:rsid w:val="3CE7312D"/>
    <w:rsid w:val="3CF00162"/>
    <w:rsid w:val="3CF15B83"/>
    <w:rsid w:val="3CFA2C61"/>
    <w:rsid w:val="3CFA340A"/>
    <w:rsid w:val="3CFC1871"/>
    <w:rsid w:val="3D0C3C0C"/>
    <w:rsid w:val="3D0F32E4"/>
    <w:rsid w:val="3D1A7472"/>
    <w:rsid w:val="3D21752B"/>
    <w:rsid w:val="3D2363DE"/>
    <w:rsid w:val="3D236C6B"/>
    <w:rsid w:val="3D257B7D"/>
    <w:rsid w:val="3D295CEB"/>
    <w:rsid w:val="3D2B1C09"/>
    <w:rsid w:val="3D372DF7"/>
    <w:rsid w:val="3D4C63C7"/>
    <w:rsid w:val="3D5C5D0B"/>
    <w:rsid w:val="3D5C74E1"/>
    <w:rsid w:val="3D626116"/>
    <w:rsid w:val="3D661F9E"/>
    <w:rsid w:val="3D697B45"/>
    <w:rsid w:val="3D6B1CC2"/>
    <w:rsid w:val="3D7224BB"/>
    <w:rsid w:val="3D794F2B"/>
    <w:rsid w:val="3D803C2A"/>
    <w:rsid w:val="3D921760"/>
    <w:rsid w:val="3D935DC9"/>
    <w:rsid w:val="3D9C74E3"/>
    <w:rsid w:val="3D9C7BE7"/>
    <w:rsid w:val="3D9C7D4F"/>
    <w:rsid w:val="3D9F4DE4"/>
    <w:rsid w:val="3DA73AC3"/>
    <w:rsid w:val="3DAB3355"/>
    <w:rsid w:val="3DAB6840"/>
    <w:rsid w:val="3DB260AE"/>
    <w:rsid w:val="3DBA16D5"/>
    <w:rsid w:val="3DC76976"/>
    <w:rsid w:val="3DDA4C2C"/>
    <w:rsid w:val="3DE906D1"/>
    <w:rsid w:val="3DE92602"/>
    <w:rsid w:val="3DEA7231"/>
    <w:rsid w:val="3DEC7A38"/>
    <w:rsid w:val="3DED276E"/>
    <w:rsid w:val="3DF3277A"/>
    <w:rsid w:val="3DF8397D"/>
    <w:rsid w:val="3DFA7DC1"/>
    <w:rsid w:val="3E04260E"/>
    <w:rsid w:val="3E045DF4"/>
    <w:rsid w:val="3E0735F6"/>
    <w:rsid w:val="3E0A10D6"/>
    <w:rsid w:val="3E0F5A7C"/>
    <w:rsid w:val="3E110F37"/>
    <w:rsid w:val="3E161447"/>
    <w:rsid w:val="3E195271"/>
    <w:rsid w:val="3E213816"/>
    <w:rsid w:val="3E233C25"/>
    <w:rsid w:val="3E2675E7"/>
    <w:rsid w:val="3E287A32"/>
    <w:rsid w:val="3E2E097B"/>
    <w:rsid w:val="3E3370B2"/>
    <w:rsid w:val="3E3434AD"/>
    <w:rsid w:val="3E370B80"/>
    <w:rsid w:val="3E3B6B03"/>
    <w:rsid w:val="3E4337BF"/>
    <w:rsid w:val="3E452CEA"/>
    <w:rsid w:val="3E4937FB"/>
    <w:rsid w:val="3E4D2593"/>
    <w:rsid w:val="3E746C96"/>
    <w:rsid w:val="3E7A29C4"/>
    <w:rsid w:val="3E7C0A8B"/>
    <w:rsid w:val="3E7E5709"/>
    <w:rsid w:val="3E814541"/>
    <w:rsid w:val="3E9416B0"/>
    <w:rsid w:val="3E955332"/>
    <w:rsid w:val="3E972947"/>
    <w:rsid w:val="3E977B78"/>
    <w:rsid w:val="3E9B0BD0"/>
    <w:rsid w:val="3EA831CB"/>
    <w:rsid w:val="3EAF3365"/>
    <w:rsid w:val="3EAF4DE2"/>
    <w:rsid w:val="3EB02CF7"/>
    <w:rsid w:val="3EB472EA"/>
    <w:rsid w:val="3EBA58E4"/>
    <w:rsid w:val="3EC171DE"/>
    <w:rsid w:val="3ED13664"/>
    <w:rsid w:val="3ED260B2"/>
    <w:rsid w:val="3EDC311B"/>
    <w:rsid w:val="3EEC4975"/>
    <w:rsid w:val="3EED5649"/>
    <w:rsid w:val="3EF32E4D"/>
    <w:rsid w:val="3F0119A3"/>
    <w:rsid w:val="3F085415"/>
    <w:rsid w:val="3F0F58EA"/>
    <w:rsid w:val="3F166C0A"/>
    <w:rsid w:val="3F1B3A62"/>
    <w:rsid w:val="3F20737D"/>
    <w:rsid w:val="3F2675AA"/>
    <w:rsid w:val="3F2759A8"/>
    <w:rsid w:val="3F2B4A98"/>
    <w:rsid w:val="3F323A33"/>
    <w:rsid w:val="3F352B64"/>
    <w:rsid w:val="3F3674B2"/>
    <w:rsid w:val="3F3E0999"/>
    <w:rsid w:val="3F404C89"/>
    <w:rsid w:val="3F450FDB"/>
    <w:rsid w:val="3F4E3420"/>
    <w:rsid w:val="3F5C462C"/>
    <w:rsid w:val="3F5E78C6"/>
    <w:rsid w:val="3F635A61"/>
    <w:rsid w:val="3F681639"/>
    <w:rsid w:val="3F693A5A"/>
    <w:rsid w:val="3F751D2D"/>
    <w:rsid w:val="3F8F79C6"/>
    <w:rsid w:val="3F9160E8"/>
    <w:rsid w:val="3F96388E"/>
    <w:rsid w:val="3F992E13"/>
    <w:rsid w:val="3FA65787"/>
    <w:rsid w:val="3FAE571D"/>
    <w:rsid w:val="3FB07776"/>
    <w:rsid w:val="3FB266B6"/>
    <w:rsid w:val="3FB52A2F"/>
    <w:rsid w:val="3FBA4B49"/>
    <w:rsid w:val="3FC82785"/>
    <w:rsid w:val="3FC82F10"/>
    <w:rsid w:val="3FD354C0"/>
    <w:rsid w:val="3FD77C27"/>
    <w:rsid w:val="3FDE5A2C"/>
    <w:rsid w:val="3FE70A09"/>
    <w:rsid w:val="3FEF5FE4"/>
    <w:rsid w:val="3FF34101"/>
    <w:rsid w:val="3FFC0C43"/>
    <w:rsid w:val="40010DA8"/>
    <w:rsid w:val="40130AB9"/>
    <w:rsid w:val="401C527C"/>
    <w:rsid w:val="401E24FE"/>
    <w:rsid w:val="402A405C"/>
    <w:rsid w:val="40366D92"/>
    <w:rsid w:val="404A4B00"/>
    <w:rsid w:val="40541512"/>
    <w:rsid w:val="405B69B7"/>
    <w:rsid w:val="406225E0"/>
    <w:rsid w:val="406A07A5"/>
    <w:rsid w:val="407435D3"/>
    <w:rsid w:val="407B46EF"/>
    <w:rsid w:val="407B7720"/>
    <w:rsid w:val="40986F7A"/>
    <w:rsid w:val="40A57F06"/>
    <w:rsid w:val="40CB1D2F"/>
    <w:rsid w:val="40D9702B"/>
    <w:rsid w:val="40DE16DE"/>
    <w:rsid w:val="40F036ED"/>
    <w:rsid w:val="40F2481C"/>
    <w:rsid w:val="40F31DB4"/>
    <w:rsid w:val="40F70084"/>
    <w:rsid w:val="40FC556D"/>
    <w:rsid w:val="410E63CA"/>
    <w:rsid w:val="411879D0"/>
    <w:rsid w:val="411C5801"/>
    <w:rsid w:val="412238F8"/>
    <w:rsid w:val="412F3AFF"/>
    <w:rsid w:val="412F4602"/>
    <w:rsid w:val="412F5C87"/>
    <w:rsid w:val="413167F0"/>
    <w:rsid w:val="41367747"/>
    <w:rsid w:val="41413401"/>
    <w:rsid w:val="41422405"/>
    <w:rsid w:val="414C0EAA"/>
    <w:rsid w:val="414E0B3E"/>
    <w:rsid w:val="414F6FF2"/>
    <w:rsid w:val="4153045F"/>
    <w:rsid w:val="41546154"/>
    <w:rsid w:val="41572F62"/>
    <w:rsid w:val="415B40DB"/>
    <w:rsid w:val="4160648B"/>
    <w:rsid w:val="41612A11"/>
    <w:rsid w:val="416A659E"/>
    <w:rsid w:val="416E52D2"/>
    <w:rsid w:val="417A4050"/>
    <w:rsid w:val="417F6B37"/>
    <w:rsid w:val="41834EAD"/>
    <w:rsid w:val="419F7587"/>
    <w:rsid w:val="41AC5BFD"/>
    <w:rsid w:val="41B24D0C"/>
    <w:rsid w:val="41B62584"/>
    <w:rsid w:val="41BD7C6A"/>
    <w:rsid w:val="41DA46A9"/>
    <w:rsid w:val="41DC6E65"/>
    <w:rsid w:val="41E21A59"/>
    <w:rsid w:val="41E32E1B"/>
    <w:rsid w:val="41E52704"/>
    <w:rsid w:val="41EB3A2C"/>
    <w:rsid w:val="41EE4E31"/>
    <w:rsid w:val="41F03646"/>
    <w:rsid w:val="41F13142"/>
    <w:rsid w:val="41F43008"/>
    <w:rsid w:val="4209746C"/>
    <w:rsid w:val="420F1061"/>
    <w:rsid w:val="421319BB"/>
    <w:rsid w:val="4217286E"/>
    <w:rsid w:val="421D13C7"/>
    <w:rsid w:val="421E3260"/>
    <w:rsid w:val="42392B6D"/>
    <w:rsid w:val="423C17F5"/>
    <w:rsid w:val="424A7C49"/>
    <w:rsid w:val="424B7D79"/>
    <w:rsid w:val="42682B55"/>
    <w:rsid w:val="42687C4C"/>
    <w:rsid w:val="426C0E01"/>
    <w:rsid w:val="426D3625"/>
    <w:rsid w:val="42763B2F"/>
    <w:rsid w:val="427F01E0"/>
    <w:rsid w:val="428D66F9"/>
    <w:rsid w:val="429554D5"/>
    <w:rsid w:val="42962F4C"/>
    <w:rsid w:val="429A03F4"/>
    <w:rsid w:val="42A47574"/>
    <w:rsid w:val="42A5183F"/>
    <w:rsid w:val="42A94991"/>
    <w:rsid w:val="42AC7708"/>
    <w:rsid w:val="42B55834"/>
    <w:rsid w:val="42C20EF5"/>
    <w:rsid w:val="42C24E97"/>
    <w:rsid w:val="42C953BF"/>
    <w:rsid w:val="42CB5598"/>
    <w:rsid w:val="42CC3676"/>
    <w:rsid w:val="42DC7894"/>
    <w:rsid w:val="42DD12B8"/>
    <w:rsid w:val="42E7080D"/>
    <w:rsid w:val="42EF1ECA"/>
    <w:rsid w:val="42F1358E"/>
    <w:rsid w:val="42F44D74"/>
    <w:rsid w:val="42F93A0F"/>
    <w:rsid w:val="42FA2C71"/>
    <w:rsid w:val="43001F84"/>
    <w:rsid w:val="43043A39"/>
    <w:rsid w:val="431A7B55"/>
    <w:rsid w:val="432951F6"/>
    <w:rsid w:val="432B3B3F"/>
    <w:rsid w:val="43401E67"/>
    <w:rsid w:val="434206D5"/>
    <w:rsid w:val="43627F42"/>
    <w:rsid w:val="43631EF9"/>
    <w:rsid w:val="4363310A"/>
    <w:rsid w:val="436B21D8"/>
    <w:rsid w:val="436B341D"/>
    <w:rsid w:val="437A5975"/>
    <w:rsid w:val="438A0835"/>
    <w:rsid w:val="438B52E0"/>
    <w:rsid w:val="43916981"/>
    <w:rsid w:val="439C45A4"/>
    <w:rsid w:val="43B901A7"/>
    <w:rsid w:val="43BC7EBD"/>
    <w:rsid w:val="43C64ECB"/>
    <w:rsid w:val="43CB0869"/>
    <w:rsid w:val="43D00944"/>
    <w:rsid w:val="43D25F89"/>
    <w:rsid w:val="43DD4C04"/>
    <w:rsid w:val="43E37A0E"/>
    <w:rsid w:val="43E75AC5"/>
    <w:rsid w:val="43F41C3D"/>
    <w:rsid w:val="43F44980"/>
    <w:rsid w:val="43F60B10"/>
    <w:rsid w:val="43FB6C70"/>
    <w:rsid w:val="44040CCC"/>
    <w:rsid w:val="440E51B7"/>
    <w:rsid w:val="441373B9"/>
    <w:rsid w:val="4417428C"/>
    <w:rsid w:val="4419668D"/>
    <w:rsid w:val="442E6DCD"/>
    <w:rsid w:val="443F168F"/>
    <w:rsid w:val="44416A28"/>
    <w:rsid w:val="445A16E7"/>
    <w:rsid w:val="44695A64"/>
    <w:rsid w:val="446A1F2B"/>
    <w:rsid w:val="446B2A97"/>
    <w:rsid w:val="44785348"/>
    <w:rsid w:val="44883E1A"/>
    <w:rsid w:val="448C1652"/>
    <w:rsid w:val="448D112C"/>
    <w:rsid w:val="4494718F"/>
    <w:rsid w:val="44B37920"/>
    <w:rsid w:val="44B81C74"/>
    <w:rsid w:val="44C412E0"/>
    <w:rsid w:val="44C6239C"/>
    <w:rsid w:val="44C90E74"/>
    <w:rsid w:val="44CD7B5D"/>
    <w:rsid w:val="44D242F0"/>
    <w:rsid w:val="44E25EC8"/>
    <w:rsid w:val="44ED1AB7"/>
    <w:rsid w:val="44EF5927"/>
    <w:rsid w:val="44F1176D"/>
    <w:rsid w:val="44F33246"/>
    <w:rsid w:val="450A5E13"/>
    <w:rsid w:val="451262FD"/>
    <w:rsid w:val="4516721D"/>
    <w:rsid w:val="45194E52"/>
    <w:rsid w:val="451C6E79"/>
    <w:rsid w:val="451D4342"/>
    <w:rsid w:val="451D691D"/>
    <w:rsid w:val="451D6BCE"/>
    <w:rsid w:val="452766AE"/>
    <w:rsid w:val="452B1D79"/>
    <w:rsid w:val="4538439A"/>
    <w:rsid w:val="45385597"/>
    <w:rsid w:val="453C6751"/>
    <w:rsid w:val="4541256D"/>
    <w:rsid w:val="45554DA6"/>
    <w:rsid w:val="45591BF3"/>
    <w:rsid w:val="455F4AC8"/>
    <w:rsid w:val="456C373B"/>
    <w:rsid w:val="456D33B0"/>
    <w:rsid w:val="45746190"/>
    <w:rsid w:val="457A6482"/>
    <w:rsid w:val="45805174"/>
    <w:rsid w:val="45812E66"/>
    <w:rsid w:val="4583686C"/>
    <w:rsid w:val="45845D76"/>
    <w:rsid w:val="458B3FE8"/>
    <w:rsid w:val="459643F7"/>
    <w:rsid w:val="459A7348"/>
    <w:rsid w:val="459F53F5"/>
    <w:rsid w:val="45AC2415"/>
    <w:rsid w:val="45AC7BA2"/>
    <w:rsid w:val="45B413A4"/>
    <w:rsid w:val="45BA740D"/>
    <w:rsid w:val="45BE5366"/>
    <w:rsid w:val="45C72682"/>
    <w:rsid w:val="45CD5527"/>
    <w:rsid w:val="45CE42DE"/>
    <w:rsid w:val="45D87BEF"/>
    <w:rsid w:val="45E657C3"/>
    <w:rsid w:val="45EC1FFF"/>
    <w:rsid w:val="45F25875"/>
    <w:rsid w:val="45F32D90"/>
    <w:rsid w:val="45F864BD"/>
    <w:rsid w:val="45FA0300"/>
    <w:rsid w:val="45FF0F3E"/>
    <w:rsid w:val="45FF17EF"/>
    <w:rsid w:val="460075EB"/>
    <w:rsid w:val="46035A57"/>
    <w:rsid w:val="460B47C4"/>
    <w:rsid w:val="462264EF"/>
    <w:rsid w:val="463246FD"/>
    <w:rsid w:val="46371A60"/>
    <w:rsid w:val="464014DD"/>
    <w:rsid w:val="46495061"/>
    <w:rsid w:val="4649770B"/>
    <w:rsid w:val="464A6A97"/>
    <w:rsid w:val="464C72CE"/>
    <w:rsid w:val="46521EE5"/>
    <w:rsid w:val="46525093"/>
    <w:rsid w:val="4661125D"/>
    <w:rsid w:val="468269BA"/>
    <w:rsid w:val="46861B61"/>
    <w:rsid w:val="46891BFD"/>
    <w:rsid w:val="46902F03"/>
    <w:rsid w:val="46966495"/>
    <w:rsid w:val="46975376"/>
    <w:rsid w:val="469E5829"/>
    <w:rsid w:val="46A132A1"/>
    <w:rsid w:val="46AF5785"/>
    <w:rsid w:val="46B00BEB"/>
    <w:rsid w:val="46B017DC"/>
    <w:rsid w:val="46B11DA1"/>
    <w:rsid w:val="46B3719C"/>
    <w:rsid w:val="46C7595A"/>
    <w:rsid w:val="46CA3EAC"/>
    <w:rsid w:val="46CD108A"/>
    <w:rsid w:val="46CF2B8E"/>
    <w:rsid w:val="46D039A6"/>
    <w:rsid w:val="46D1570C"/>
    <w:rsid w:val="46D835E4"/>
    <w:rsid w:val="46E90864"/>
    <w:rsid w:val="46F3301E"/>
    <w:rsid w:val="46F35F18"/>
    <w:rsid w:val="46F61C13"/>
    <w:rsid w:val="46FA6CB1"/>
    <w:rsid w:val="470A7C30"/>
    <w:rsid w:val="47141380"/>
    <w:rsid w:val="471472EB"/>
    <w:rsid w:val="47177045"/>
    <w:rsid w:val="471A0A7B"/>
    <w:rsid w:val="472D330E"/>
    <w:rsid w:val="474110AE"/>
    <w:rsid w:val="474430FA"/>
    <w:rsid w:val="474D4F88"/>
    <w:rsid w:val="475340F0"/>
    <w:rsid w:val="47562583"/>
    <w:rsid w:val="475C53EC"/>
    <w:rsid w:val="47837970"/>
    <w:rsid w:val="47845F6A"/>
    <w:rsid w:val="478522B7"/>
    <w:rsid w:val="47A76B68"/>
    <w:rsid w:val="47B47089"/>
    <w:rsid w:val="47B54119"/>
    <w:rsid w:val="47D559FD"/>
    <w:rsid w:val="47DB1730"/>
    <w:rsid w:val="47DB22FE"/>
    <w:rsid w:val="47DF492E"/>
    <w:rsid w:val="47E7533C"/>
    <w:rsid w:val="47F55F20"/>
    <w:rsid w:val="47FC24A8"/>
    <w:rsid w:val="48045892"/>
    <w:rsid w:val="480C7137"/>
    <w:rsid w:val="4810371F"/>
    <w:rsid w:val="4814777E"/>
    <w:rsid w:val="481E346C"/>
    <w:rsid w:val="482F2574"/>
    <w:rsid w:val="483D36B2"/>
    <w:rsid w:val="484A37E9"/>
    <w:rsid w:val="485C6BBC"/>
    <w:rsid w:val="485D6CD3"/>
    <w:rsid w:val="48613C9F"/>
    <w:rsid w:val="48642C1F"/>
    <w:rsid w:val="486432FB"/>
    <w:rsid w:val="4871207B"/>
    <w:rsid w:val="48751272"/>
    <w:rsid w:val="48780CF1"/>
    <w:rsid w:val="488324B7"/>
    <w:rsid w:val="488E4989"/>
    <w:rsid w:val="488F47FC"/>
    <w:rsid w:val="48905215"/>
    <w:rsid w:val="48947D88"/>
    <w:rsid w:val="48952D8E"/>
    <w:rsid w:val="489768B9"/>
    <w:rsid w:val="48990266"/>
    <w:rsid w:val="489B64E0"/>
    <w:rsid w:val="48A05398"/>
    <w:rsid w:val="48A55824"/>
    <w:rsid w:val="48AA47E4"/>
    <w:rsid w:val="48AD0D6E"/>
    <w:rsid w:val="48AF0222"/>
    <w:rsid w:val="48B118D1"/>
    <w:rsid w:val="48C32F97"/>
    <w:rsid w:val="48C82506"/>
    <w:rsid w:val="48D34DBE"/>
    <w:rsid w:val="48D42328"/>
    <w:rsid w:val="48DF2E1E"/>
    <w:rsid w:val="48E85F04"/>
    <w:rsid w:val="48EB6147"/>
    <w:rsid w:val="48EF4857"/>
    <w:rsid w:val="48F053BB"/>
    <w:rsid w:val="48F3112A"/>
    <w:rsid w:val="48F90735"/>
    <w:rsid w:val="49042FB8"/>
    <w:rsid w:val="490F71F1"/>
    <w:rsid w:val="491E1F88"/>
    <w:rsid w:val="492A51F8"/>
    <w:rsid w:val="492D76E6"/>
    <w:rsid w:val="49307255"/>
    <w:rsid w:val="49313764"/>
    <w:rsid w:val="4933374B"/>
    <w:rsid w:val="493957EA"/>
    <w:rsid w:val="493A0A08"/>
    <w:rsid w:val="494224B8"/>
    <w:rsid w:val="494275AE"/>
    <w:rsid w:val="494707A3"/>
    <w:rsid w:val="49485C35"/>
    <w:rsid w:val="495D3DC1"/>
    <w:rsid w:val="49617F11"/>
    <w:rsid w:val="49627A95"/>
    <w:rsid w:val="496B39E2"/>
    <w:rsid w:val="49721D88"/>
    <w:rsid w:val="497929CF"/>
    <w:rsid w:val="497C0DC1"/>
    <w:rsid w:val="497E39DE"/>
    <w:rsid w:val="497E4960"/>
    <w:rsid w:val="49856A68"/>
    <w:rsid w:val="49870AFA"/>
    <w:rsid w:val="49891DB7"/>
    <w:rsid w:val="498A3DFA"/>
    <w:rsid w:val="499450B3"/>
    <w:rsid w:val="4994719C"/>
    <w:rsid w:val="49964DD5"/>
    <w:rsid w:val="49994538"/>
    <w:rsid w:val="49994B15"/>
    <w:rsid w:val="499969AB"/>
    <w:rsid w:val="49A26F46"/>
    <w:rsid w:val="49A51C8E"/>
    <w:rsid w:val="49A71AE5"/>
    <w:rsid w:val="49A94277"/>
    <w:rsid w:val="49AF1190"/>
    <w:rsid w:val="49B44777"/>
    <w:rsid w:val="49BA19D7"/>
    <w:rsid w:val="49BB114E"/>
    <w:rsid w:val="49BC645D"/>
    <w:rsid w:val="49C9661F"/>
    <w:rsid w:val="49D071F1"/>
    <w:rsid w:val="49D71A3A"/>
    <w:rsid w:val="49DB050B"/>
    <w:rsid w:val="49DD728F"/>
    <w:rsid w:val="49E62680"/>
    <w:rsid w:val="49E72BDC"/>
    <w:rsid w:val="49EA7937"/>
    <w:rsid w:val="49F028E0"/>
    <w:rsid w:val="49F43609"/>
    <w:rsid w:val="49FB25F1"/>
    <w:rsid w:val="4A065FDF"/>
    <w:rsid w:val="4A0B14BE"/>
    <w:rsid w:val="4A0B3E80"/>
    <w:rsid w:val="4A0C125A"/>
    <w:rsid w:val="4A0E15C8"/>
    <w:rsid w:val="4A10048D"/>
    <w:rsid w:val="4A1D0F7A"/>
    <w:rsid w:val="4A1E2952"/>
    <w:rsid w:val="4A2234C7"/>
    <w:rsid w:val="4A2B42BD"/>
    <w:rsid w:val="4A2B5503"/>
    <w:rsid w:val="4A2E2790"/>
    <w:rsid w:val="4A3A5F22"/>
    <w:rsid w:val="4A480433"/>
    <w:rsid w:val="4A4D3C6C"/>
    <w:rsid w:val="4A6253CB"/>
    <w:rsid w:val="4A6927CE"/>
    <w:rsid w:val="4A7D1D31"/>
    <w:rsid w:val="4A847C04"/>
    <w:rsid w:val="4A865E58"/>
    <w:rsid w:val="4A9E31C7"/>
    <w:rsid w:val="4AAD74CC"/>
    <w:rsid w:val="4ABA375D"/>
    <w:rsid w:val="4AC25DDB"/>
    <w:rsid w:val="4AC86E3C"/>
    <w:rsid w:val="4AD0632C"/>
    <w:rsid w:val="4ADB024C"/>
    <w:rsid w:val="4ADF4A04"/>
    <w:rsid w:val="4AE05C37"/>
    <w:rsid w:val="4AE87EF3"/>
    <w:rsid w:val="4AFF57A0"/>
    <w:rsid w:val="4B0222FB"/>
    <w:rsid w:val="4B034199"/>
    <w:rsid w:val="4B052CF9"/>
    <w:rsid w:val="4B070135"/>
    <w:rsid w:val="4B0F34C3"/>
    <w:rsid w:val="4B1576F3"/>
    <w:rsid w:val="4B2731A5"/>
    <w:rsid w:val="4B360CA0"/>
    <w:rsid w:val="4B3E7214"/>
    <w:rsid w:val="4B465D0E"/>
    <w:rsid w:val="4B500FBC"/>
    <w:rsid w:val="4B51247A"/>
    <w:rsid w:val="4B553168"/>
    <w:rsid w:val="4B644B6E"/>
    <w:rsid w:val="4B6A4E3B"/>
    <w:rsid w:val="4B7052C7"/>
    <w:rsid w:val="4B733C5D"/>
    <w:rsid w:val="4B766759"/>
    <w:rsid w:val="4B7C3483"/>
    <w:rsid w:val="4B893B8A"/>
    <w:rsid w:val="4B8A766E"/>
    <w:rsid w:val="4B9C0FA4"/>
    <w:rsid w:val="4BBC7F50"/>
    <w:rsid w:val="4BC17D85"/>
    <w:rsid w:val="4BC31389"/>
    <w:rsid w:val="4BD22EDF"/>
    <w:rsid w:val="4BD42EDC"/>
    <w:rsid w:val="4BE3154E"/>
    <w:rsid w:val="4BE61D31"/>
    <w:rsid w:val="4BEC3947"/>
    <w:rsid w:val="4BFA060C"/>
    <w:rsid w:val="4C01015B"/>
    <w:rsid w:val="4C0479CE"/>
    <w:rsid w:val="4C176BC6"/>
    <w:rsid w:val="4C1B1631"/>
    <w:rsid w:val="4C1B5304"/>
    <w:rsid w:val="4C1B72E7"/>
    <w:rsid w:val="4C1C1F65"/>
    <w:rsid w:val="4C22424A"/>
    <w:rsid w:val="4C2B166D"/>
    <w:rsid w:val="4C2D2E4F"/>
    <w:rsid w:val="4C2D72A5"/>
    <w:rsid w:val="4C2E589B"/>
    <w:rsid w:val="4C350015"/>
    <w:rsid w:val="4C375EA1"/>
    <w:rsid w:val="4C3C7C87"/>
    <w:rsid w:val="4C424792"/>
    <w:rsid w:val="4C504585"/>
    <w:rsid w:val="4C566AB8"/>
    <w:rsid w:val="4C577AB7"/>
    <w:rsid w:val="4C5904D7"/>
    <w:rsid w:val="4C6C3DA3"/>
    <w:rsid w:val="4C7154D0"/>
    <w:rsid w:val="4C790F23"/>
    <w:rsid w:val="4C7925D2"/>
    <w:rsid w:val="4C8245B0"/>
    <w:rsid w:val="4C8347F8"/>
    <w:rsid w:val="4C863110"/>
    <w:rsid w:val="4C8D1F8F"/>
    <w:rsid w:val="4CA36DF1"/>
    <w:rsid w:val="4CAE0D95"/>
    <w:rsid w:val="4CBA06D4"/>
    <w:rsid w:val="4CBA10CB"/>
    <w:rsid w:val="4CC12BE0"/>
    <w:rsid w:val="4CCA1913"/>
    <w:rsid w:val="4CD45F49"/>
    <w:rsid w:val="4CDA60FF"/>
    <w:rsid w:val="4CEA5424"/>
    <w:rsid w:val="4CEC3C0A"/>
    <w:rsid w:val="4CEE4CBB"/>
    <w:rsid w:val="4CF02834"/>
    <w:rsid w:val="4CF527BF"/>
    <w:rsid w:val="4CF7206F"/>
    <w:rsid w:val="4D000B99"/>
    <w:rsid w:val="4D070D9A"/>
    <w:rsid w:val="4D076CF6"/>
    <w:rsid w:val="4D106337"/>
    <w:rsid w:val="4D111596"/>
    <w:rsid w:val="4D1332A6"/>
    <w:rsid w:val="4D16248A"/>
    <w:rsid w:val="4D2772AE"/>
    <w:rsid w:val="4D317C62"/>
    <w:rsid w:val="4D3D2579"/>
    <w:rsid w:val="4D4E7D77"/>
    <w:rsid w:val="4D5A7C22"/>
    <w:rsid w:val="4D5C74F5"/>
    <w:rsid w:val="4D632858"/>
    <w:rsid w:val="4D6412B2"/>
    <w:rsid w:val="4D646D2F"/>
    <w:rsid w:val="4D6C0EFF"/>
    <w:rsid w:val="4D7D11B1"/>
    <w:rsid w:val="4D833718"/>
    <w:rsid w:val="4D852A7F"/>
    <w:rsid w:val="4D86234D"/>
    <w:rsid w:val="4D89150A"/>
    <w:rsid w:val="4D896AAB"/>
    <w:rsid w:val="4D8B25FA"/>
    <w:rsid w:val="4D941C0B"/>
    <w:rsid w:val="4DA36B48"/>
    <w:rsid w:val="4DA611C9"/>
    <w:rsid w:val="4DA61737"/>
    <w:rsid w:val="4DAA2F1E"/>
    <w:rsid w:val="4DAC4A4D"/>
    <w:rsid w:val="4DAD45AB"/>
    <w:rsid w:val="4DBB5F38"/>
    <w:rsid w:val="4DC4607F"/>
    <w:rsid w:val="4DC80C04"/>
    <w:rsid w:val="4DD42F7A"/>
    <w:rsid w:val="4DDA5AB5"/>
    <w:rsid w:val="4DDC1174"/>
    <w:rsid w:val="4DDC5F80"/>
    <w:rsid w:val="4DE244DC"/>
    <w:rsid w:val="4DEA1136"/>
    <w:rsid w:val="4DED3507"/>
    <w:rsid w:val="4DED59D8"/>
    <w:rsid w:val="4DEE0BA6"/>
    <w:rsid w:val="4DF3379E"/>
    <w:rsid w:val="4E017AF8"/>
    <w:rsid w:val="4E053E33"/>
    <w:rsid w:val="4E0F3079"/>
    <w:rsid w:val="4E137F97"/>
    <w:rsid w:val="4E155F51"/>
    <w:rsid w:val="4E161CDB"/>
    <w:rsid w:val="4E2719DE"/>
    <w:rsid w:val="4E274868"/>
    <w:rsid w:val="4E293BFF"/>
    <w:rsid w:val="4E317A5B"/>
    <w:rsid w:val="4E32646C"/>
    <w:rsid w:val="4E3C091D"/>
    <w:rsid w:val="4E417944"/>
    <w:rsid w:val="4E4361B3"/>
    <w:rsid w:val="4E4C3DFB"/>
    <w:rsid w:val="4E4E5217"/>
    <w:rsid w:val="4E4F5C66"/>
    <w:rsid w:val="4E56224C"/>
    <w:rsid w:val="4E6661C9"/>
    <w:rsid w:val="4E67415E"/>
    <w:rsid w:val="4E69167C"/>
    <w:rsid w:val="4E7439DF"/>
    <w:rsid w:val="4E7A05C3"/>
    <w:rsid w:val="4E850A83"/>
    <w:rsid w:val="4E864833"/>
    <w:rsid w:val="4E89095B"/>
    <w:rsid w:val="4E8E7512"/>
    <w:rsid w:val="4E8F722D"/>
    <w:rsid w:val="4EA932FE"/>
    <w:rsid w:val="4EAC78C0"/>
    <w:rsid w:val="4EAD02DF"/>
    <w:rsid w:val="4EAE0C37"/>
    <w:rsid w:val="4EAE4D4D"/>
    <w:rsid w:val="4EB46637"/>
    <w:rsid w:val="4EBE7FEA"/>
    <w:rsid w:val="4EC1332E"/>
    <w:rsid w:val="4EC2456A"/>
    <w:rsid w:val="4EC81BF7"/>
    <w:rsid w:val="4EC847BA"/>
    <w:rsid w:val="4EE03590"/>
    <w:rsid w:val="4EE450CC"/>
    <w:rsid w:val="4EE67D8A"/>
    <w:rsid w:val="4EEC0D10"/>
    <w:rsid w:val="4EFB1846"/>
    <w:rsid w:val="4EFC3CE7"/>
    <w:rsid w:val="4F0024E4"/>
    <w:rsid w:val="4F01550E"/>
    <w:rsid w:val="4F071A2A"/>
    <w:rsid w:val="4F2D7545"/>
    <w:rsid w:val="4F3019E1"/>
    <w:rsid w:val="4F4C3DD2"/>
    <w:rsid w:val="4F541BD1"/>
    <w:rsid w:val="4F671B40"/>
    <w:rsid w:val="4F732E08"/>
    <w:rsid w:val="4F755ABA"/>
    <w:rsid w:val="4F7D7B6F"/>
    <w:rsid w:val="4F88708C"/>
    <w:rsid w:val="4F9471C8"/>
    <w:rsid w:val="4F9C59BD"/>
    <w:rsid w:val="4FA554D0"/>
    <w:rsid w:val="4FB50C3D"/>
    <w:rsid w:val="4FB70C9E"/>
    <w:rsid w:val="4FBC6C28"/>
    <w:rsid w:val="4FC2174E"/>
    <w:rsid w:val="4FC95D22"/>
    <w:rsid w:val="4FC96BDD"/>
    <w:rsid w:val="4FD84FFC"/>
    <w:rsid w:val="4FEE56C6"/>
    <w:rsid w:val="4FEF62BA"/>
    <w:rsid w:val="4FF223AF"/>
    <w:rsid w:val="4FF3250C"/>
    <w:rsid w:val="4FF4635F"/>
    <w:rsid w:val="4FF52176"/>
    <w:rsid w:val="4FFF3ACF"/>
    <w:rsid w:val="50014F85"/>
    <w:rsid w:val="500801EE"/>
    <w:rsid w:val="501577E6"/>
    <w:rsid w:val="501B12FA"/>
    <w:rsid w:val="502A3FE7"/>
    <w:rsid w:val="50437F47"/>
    <w:rsid w:val="504E0A1C"/>
    <w:rsid w:val="504F5E58"/>
    <w:rsid w:val="5050366A"/>
    <w:rsid w:val="50524B42"/>
    <w:rsid w:val="505F6968"/>
    <w:rsid w:val="50674DF4"/>
    <w:rsid w:val="506812DC"/>
    <w:rsid w:val="507546FB"/>
    <w:rsid w:val="5087340C"/>
    <w:rsid w:val="509120EA"/>
    <w:rsid w:val="50945719"/>
    <w:rsid w:val="50957357"/>
    <w:rsid w:val="50985A88"/>
    <w:rsid w:val="509C6BA1"/>
    <w:rsid w:val="509D641C"/>
    <w:rsid w:val="50A0282F"/>
    <w:rsid w:val="50A33D09"/>
    <w:rsid w:val="50A77B3B"/>
    <w:rsid w:val="50A97965"/>
    <w:rsid w:val="50B131BD"/>
    <w:rsid w:val="50B8301B"/>
    <w:rsid w:val="50CC0E90"/>
    <w:rsid w:val="50CD0B1D"/>
    <w:rsid w:val="50DC2512"/>
    <w:rsid w:val="50DE4D41"/>
    <w:rsid w:val="50E47B0A"/>
    <w:rsid w:val="50ED166F"/>
    <w:rsid w:val="50F12DEB"/>
    <w:rsid w:val="50F24353"/>
    <w:rsid w:val="50FA1F48"/>
    <w:rsid w:val="50FB0C27"/>
    <w:rsid w:val="50FF230B"/>
    <w:rsid w:val="51082401"/>
    <w:rsid w:val="510B0A7B"/>
    <w:rsid w:val="510B1E42"/>
    <w:rsid w:val="510D415F"/>
    <w:rsid w:val="511139A2"/>
    <w:rsid w:val="5116134F"/>
    <w:rsid w:val="5118245E"/>
    <w:rsid w:val="51191774"/>
    <w:rsid w:val="511E0724"/>
    <w:rsid w:val="512013C3"/>
    <w:rsid w:val="51220351"/>
    <w:rsid w:val="51224F3F"/>
    <w:rsid w:val="51296729"/>
    <w:rsid w:val="512970B2"/>
    <w:rsid w:val="51323A6D"/>
    <w:rsid w:val="513736F6"/>
    <w:rsid w:val="514D7F52"/>
    <w:rsid w:val="51515572"/>
    <w:rsid w:val="5157778E"/>
    <w:rsid w:val="5158272B"/>
    <w:rsid w:val="516F0D9A"/>
    <w:rsid w:val="51832318"/>
    <w:rsid w:val="518971ED"/>
    <w:rsid w:val="51967504"/>
    <w:rsid w:val="51A100F9"/>
    <w:rsid w:val="51A134CC"/>
    <w:rsid w:val="51B10993"/>
    <w:rsid w:val="51B31CDE"/>
    <w:rsid w:val="51B5657C"/>
    <w:rsid w:val="51B97320"/>
    <w:rsid w:val="51CB2862"/>
    <w:rsid w:val="51D35AC5"/>
    <w:rsid w:val="51DF5EE2"/>
    <w:rsid w:val="51E10EC5"/>
    <w:rsid w:val="51E11A88"/>
    <w:rsid w:val="51E4639C"/>
    <w:rsid w:val="51FE1EB4"/>
    <w:rsid w:val="520157DD"/>
    <w:rsid w:val="52042995"/>
    <w:rsid w:val="52087915"/>
    <w:rsid w:val="520F474A"/>
    <w:rsid w:val="521366A5"/>
    <w:rsid w:val="521427E5"/>
    <w:rsid w:val="52153D05"/>
    <w:rsid w:val="52203C7C"/>
    <w:rsid w:val="52204E3C"/>
    <w:rsid w:val="522119F4"/>
    <w:rsid w:val="5222456F"/>
    <w:rsid w:val="522409F1"/>
    <w:rsid w:val="523E0171"/>
    <w:rsid w:val="52443F13"/>
    <w:rsid w:val="52465F54"/>
    <w:rsid w:val="52527F91"/>
    <w:rsid w:val="5255718B"/>
    <w:rsid w:val="52626852"/>
    <w:rsid w:val="52647786"/>
    <w:rsid w:val="52660409"/>
    <w:rsid w:val="52691CEF"/>
    <w:rsid w:val="527A116F"/>
    <w:rsid w:val="52826223"/>
    <w:rsid w:val="52833F88"/>
    <w:rsid w:val="528D054C"/>
    <w:rsid w:val="5291550A"/>
    <w:rsid w:val="529156DF"/>
    <w:rsid w:val="529A1137"/>
    <w:rsid w:val="52A622E2"/>
    <w:rsid w:val="52AC685B"/>
    <w:rsid w:val="52B1645E"/>
    <w:rsid w:val="52C418D2"/>
    <w:rsid w:val="52C41EA5"/>
    <w:rsid w:val="52C45067"/>
    <w:rsid w:val="52C836EB"/>
    <w:rsid w:val="52D16561"/>
    <w:rsid w:val="52D9769B"/>
    <w:rsid w:val="52DB3C85"/>
    <w:rsid w:val="52DE7FEB"/>
    <w:rsid w:val="52E129E7"/>
    <w:rsid w:val="52E701B7"/>
    <w:rsid w:val="52E82EC3"/>
    <w:rsid w:val="52EE34B2"/>
    <w:rsid w:val="52FB1613"/>
    <w:rsid w:val="53084914"/>
    <w:rsid w:val="532B1F08"/>
    <w:rsid w:val="533C5A79"/>
    <w:rsid w:val="53455292"/>
    <w:rsid w:val="53461A42"/>
    <w:rsid w:val="53461D72"/>
    <w:rsid w:val="53483DF3"/>
    <w:rsid w:val="53485467"/>
    <w:rsid w:val="534F794F"/>
    <w:rsid w:val="53502C2C"/>
    <w:rsid w:val="53621C23"/>
    <w:rsid w:val="53653D3E"/>
    <w:rsid w:val="536900F0"/>
    <w:rsid w:val="536D1C35"/>
    <w:rsid w:val="53750EF7"/>
    <w:rsid w:val="5390208E"/>
    <w:rsid w:val="53917015"/>
    <w:rsid w:val="539B1075"/>
    <w:rsid w:val="53A37B0D"/>
    <w:rsid w:val="53A86CFC"/>
    <w:rsid w:val="53AC17E0"/>
    <w:rsid w:val="53AC42AC"/>
    <w:rsid w:val="53B275F6"/>
    <w:rsid w:val="53B612F2"/>
    <w:rsid w:val="53B724AF"/>
    <w:rsid w:val="53BC1D1A"/>
    <w:rsid w:val="53BC7D8A"/>
    <w:rsid w:val="53C3550A"/>
    <w:rsid w:val="53CF4463"/>
    <w:rsid w:val="53D75012"/>
    <w:rsid w:val="53DB0468"/>
    <w:rsid w:val="53EC109A"/>
    <w:rsid w:val="53F342C8"/>
    <w:rsid w:val="53F84C14"/>
    <w:rsid w:val="53FB3F6A"/>
    <w:rsid w:val="54045D31"/>
    <w:rsid w:val="540817BB"/>
    <w:rsid w:val="540E41E7"/>
    <w:rsid w:val="54106CA6"/>
    <w:rsid w:val="54123EA6"/>
    <w:rsid w:val="541F126E"/>
    <w:rsid w:val="54230505"/>
    <w:rsid w:val="542B7D85"/>
    <w:rsid w:val="543512B2"/>
    <w:rsid w:val="5438056D"/>
    <w:rsid w:val="543D38C7"/>
    <w:rsid w:val="544B19FF"/>
    <w:rsid w:val="544B51E5"/>
    <w:rsid w:val="544C3429"/>
    <w:rsid w:val="54523A54"/>
    <w:rsid w:val="54545D5F"/>
    <w:rsid w:val="5456436D"/>
    <w:rsid w:val="546537C4"/>
    <w:rsid w:val="54667494"/>
    <w:rsid w:val="547D04CD"/>
    <w:rsid w:val="5491674B"/>
    <w:rsid w:val="54A4171E"/>
    <w:rsid w:val="54A57BB3"/>
    <w:rsid w:val="54B906EA"/>
    <w:rsid w:val="54BF419A"/>
    <w:rsid w:val="54C96C6D"/>
    <w:rsid w:val="54CD26B0"/>
    <w:rsid w:val="54E10573"/>
    <w:rsid w:val="54E90C9C"/>
    <w:rsid w:val="54F43B90"/>
    <w:rsid w:val="55066F08"/>
    <w:rsid w:val="5507381A"/>
    <w:rsid w:val="550E01BD"/>
    <w:rsid w:val="551415E2"/>
    <w:rsid w:val="551A6C6B"/>
    <w:rsid w:val="55235E30"/>
    <w:rsid w:val="55432EB8"/>
    <w:rsid w:val="55463F5B"/>
    <w:rsid w:val="55475B0D"/>
    <w:rsid w:val="5548157C"/>
    <w:rsid w:val="554863B8"/>
    <w:rsid w:val="5555770C"/>
    <w:rsid w:val="55560268"/>
    <w:rsid w:val="55661533"/>
    <w:rsid w:val="556F5E1A"/>
    <w:rsid w:val="55741056"/>
    <w:rsid w:val="55791361"/>
    <w:rsid w:val="557B6B2B"/>
    <w:rsid w:val="558351D1"/>
    <w:rsid w:val="55877DF9"/>
    <w:rsid w:val="558A4132"/>
    <w:rsid w:val="559F173A"/>
    <w:rsid w:val="55AC2A2D"/>
    <w:rsid w:val="55B0300F"/>
    <w:rsid w:val="55B10E0C"/>
    <w:rsid w:val="55B62D99"/>
    <w:rsid w:val="55BD63A9"/>
    <w:rsid w:val="55C946A6"/>
    <w:rsid w:val="55CB06E3"/>
    <w:rsid w:val="55CC0B49"/>
    <w:rsid w:val="55D53A3D"/>
    <w:rsid w:val="55D66F30"/>
    <w:rsid w:val="55D8703F"/>
    <w:rsid w:val="55DA611C"/>
    <w:rsid w:val="55E15A70"/>
    <w:rsid w:val="55F93187"/>
    <w:rsid w:val="560D181B"/>
    <w:rsid w:val="561815A2"/>
    <w:rsid w:val="561977E3"/>
    <w:rsid w:val="56250674"/>
    <w:rsid w:val="5630661A"/>
    <w:rsid w:val="563B18C7"/>
    <w:rsid w:val="56494199"/>
    <w:rsid w:val="56581D07"/>
    <w:rsid w:val="565E398E"/>
    <w:rsid w:val="565F4B00"/>
    <w:rsid w:val="56611F01"/>
    <w:rsid w:val="56791DE5"/>
    <w:rsid w:val="56AC7BCD"/>
    <w:rsid w:val="56B87265"/>
    <w:rsid w:val="56C2705A"/>
    <w:rsid w:val="56DA7B4D"/>
    <w:rsid w:val="56E21353"/>
    <w:rsid w:val="56F23A4F"/>
    <w:rsid w:val="56F718D3"/>
    <w:rsid w:val="56FA6595"/>
    <w:rsid w:val="56FF2BE5"/>
    <w:rsid w:val="57000B67"/>
    <w:rsid w:val="57002D2C"/>
    <w:rsid w:val="57006A64"/>
    <w:rsid w:val="570850AA"/>
    <w:rsid w:val="570A3450"/>
    <w:rsid w:val="57155229"/>
    <w:rsid w:val="57193F55"/>
    <w:rsid w:val="57200B63"/>
    <w:rsid w:val="57213C62"/>
    <w:rsid w:val="5723178A"/>
    <w:rsid w:val="572E3655"/>
    <w:rsid w:val="572F1200"/>
    <w:rsid w:val="5730000D"/>
    <w:rsid w:val="57355A6E"/>
    <w:rsid w:val="573B2D6F"/>
    <w:rsid w:val="5740796C"/>
    <w:rsid w:val="574166D2"/>
    <w:rsid w:val="5749576E"/>
    <w:rsid w:val="575B25B7"/>
    <w:rsid w:val="57636C94"/>
    <w:rsid w:val="576471A6"/>
    <w:rsid w:val="57695050"/>
    <w:rsid w:val="576F67EC"/>
    <w:rsid w:val="57882CFD"/>
    <w:rsid w:val="57950F4C"/>
    <w:rsid w:val="57952103"/>
    <w:rsid w:val="57966FD7"/>
    <w:rsid w:val="5797100C"/>
    <w:rsid w:val="579A6E67"/>
    <w:rsid w:val="57A501B2"/>
    <w:rsid w:val="57A50274"/>
    <w:rsid w:val="57A61C5F"/>
    <w:rsid w:val="57A646D9"/>
    <w:rsid w:val="57AA2D40"/>
    <w:rsid w:val="57AD6BB5"/>
    <w:rsid w:val="57AD6F26"/>
    <w:rsid w:val="57B152DB"/>
    <w:rsid w:val="57B64263"/>
    <w:rsid w:val="57BA517D"/>
    <w:rsid w:val="57BF2AC3"/>
    <w:rsid w:val="57C156C8"/>
    <w:rsid w:val="57C17085"/>
    <w:rsid w:val="57C31E4A"/>
    <w:rsid w:val="57F10061"/>
    <w:rsid w:val="582E41C9"/>
    <w:rsid w:val="583120BF"/>
    <w:rsid w:val="58367BFA"/>
    <w:rsid w:val="5839331D"/>
    <w:rsid w:val="583969CB"/>
    <w:rsid w:val="584302DC"/>
    <w:rsid w:val="58477C34"/>
    <w:rsid w:val="584D0815"/>
    <w:rsid w:val="585760A2"/>
    <w:rsid w:val="586324DA"/>
    <w:rsid w:val="58663D34"/>
    <w:rsid w:val="58683E50"/>
    <w:rsid w:val="58696917"/>
    <w:rsid w:val="586C6EBC"/>
    <w:rsid w:val="588102A4"/>
    <w:rsid w:val="58824593"/>
    <w:rsid w:val="588805DE"/>
    <w:rsid w:val="58922414"/>
    <w:rsid w:val="58922742"/>
    <w:rsid w:val="589E1A25"/>
    <w:rsid w:val="58A558F7"/>
    <w:rsid w:val="58A573F5"/>
    <w:rsid w:val="58AA5221"/>
    <w:rsid w:val="58B606CF"/>
    <w:rsid w:val="58CC409F"/>
    <w:rsid w:val="58CD4299"/>
    <w:rsid w:val="58D300C1"/>
    <w:rsid w:val="58DE775E"/>
    <w:rsid w:val="58E01C45"/>
    <w:rsid w:val="58E440FE"/>
    <w:rsid w:val="58E73BE7"/>
    <w:rsid w:val="58E95FEA"/>
    <w:rsid w:val="58F92870"/>
    <w:rsid w:val="590609C7"/>
    <w:rsid w:val="590A1350"/>
    <w:rsid w:val="590C1FEF"/>
    <w:rsid w:val="59174765"/>
    <w:rsid w:val="591F3D4C"/>
    <w:rsid w:val="5932025B"/>
    <w:rsid w:val="593B4D1E"/>
    <w:rsid w:val="593C7301"/>
    <w:rsid w:val="5957333B"/>
    <w:rsid w:val="596003EE"/>
    <w:rsid w:val="59641F24"/>
    <w:rsid w:val="59681C3C"/>
    <w:rsid w:val="596C65FC"/>
    <w:rsid w:val="59741E09"/>
    <w:rsid w:val="59747622"/>
    <w:rsid w:val="59767BF5"/>
    <w:rsid w:val="59771D9E"/>
    <w:rsid w:val="5979418C"/>
    <w:rsid w:val="597E0270"/>
    <w:rsid w:val="5986345F"/>
    <w:rsid w:val="598C7E42"/>
    <w:rsid w:val="5995408F"/>
    <w:rsid w:val="5998557D"/>
    <w:rsid w:val="599A76C2"/>
    <w:rsid w:val="599C0813"/>
    <w:rsid w:val="599F0359"/>
    <w:rsid w:val="59A607BC"/>
    <w:rsid w:val="59AE3C0F"/>
    <w:rsid w:val="59B07300"/>
    <w:rsid w:val="59B07FB1"/>
    <w:rsid w:val="59B57FA8"/>
    <w:rsid w:val="59BE09ED"/>
    <w:rsid w:val="59C406D1"/>
    <w:rsid w:val="59D05500"/>
    <w:rsid w:val="59DD28A6"/>
    <w:rsid w:val="59DD4297"/>
    <w:rsid w:val="59E75A1E"/>
    <w:rsid w:val="59EB6439"/>
    <w:rsid w:val="59F4357E"/>
    <w:rsid w:val="59F827D9"/>
    <w:rsid w:val="59FA6429"/>
    <w:rsid w:val="59FD602A"/>
    <w:rsid w:val="5A041AD7"/>
    <w:rsid w:val="5A070E9C"/>
    <w:rsid w:val="5A0B0154"/>
    <w:rsid w:val="5A0D6618"/>
    <w:rsid w:val="5A251C8F"/>
    <w:rsid w:val="5A367E74"/>
    <w:rsid w:val="5A5058CB"/>
    <w:rsid w:val="5A555F76"/>
    <w:rsid w:val="5A6760B5"/>
    <w:rsid w:val="5A6B46D9"/>
    <w:rsid w:val="5A7652F3"/>
    <w:rsid w:val="5A7E7A8F"/>
    <w:rsid w:val="5A836FDF"/>
    <w:rsid w:val="5A8A56BF"/>
    <w:rsid w:val="5A8C18DD"/>
    <w:rsid w:val="5A8F5646"/>
    <w:rsid w:val="5A94004B"/>
    <w:rsid w:val="5A98006A"/>
    <w:rsid w:val="5AA07A36"/>
    <w:rsid w:val="5AA258CA"/>
    <w:rsid w:val="5AA90BDD"/>
    <w:rsid w:val="5AAB6BA6"/>
    <w:rsid w:val="5AB87E0B"/>
    <w:rsid w:val="5AC05D65"/>
    <w:rsid w:val="5AC9244F"/>
    <w:rsid w:val="5ACA6932"/>
    <w:rsid w:val="5ADE2BBA"/>
    <w:rsid w:val="5AE802C5"/>
    <w:rsid w:val="5AEA6B64"/>
    <w:rsid w:val="5AEE6466"/>
    <w:rsid w:val="5AF34186"/>
    <w:rsid w:val="5AF74542"/>
    <w:rsid w:val="5AF97841"/>
    <w:rsid w:val="5AFC1DFF"/>
    <w:rsid w:val="5B02167F"/>
    <w:rsid w:val="5B093548"/>
    <w:rsid w:val="5B09715C"/>
    <w:rsid w:val="5B0E549E"/>
    <w:rsid w:val="5B130D39"/>
    <w:rsid w:val="5B1A68F5"/>
    <w:rsid w:val="5B1D34B1"/>
    <w:rsid w:val="5B2B7067"/>
    <w:rsid w:val="5B2F694C"/>
    <w:rsid w:val="5B304F60"/>
    <w:rsid w:val="5B32089C"/>
    <w:rsid w:val="5B39513D"/>
    <w:rsid w:val="5B3E3807"/>
    <w:rsid w:val="5B443E3A"/>
    <w:rsid w:val="5B4F1FDC"/>
    <w:rsid w:val="5B685FE2"/>
    <w:rsid w:val="5B6A0AD0"/>
    <w:rsid w:val="5B6E342D"/>
    <w:rsid w:val="5B7F6D96"/>
    <w:rsid w:val="5B8158C8"/>
    <w:rsid w:val="5B8541C5"/>
    <w:rsid w:val="5B8A7460"/>
    <w:rsid w:val="5B8B09AB"/>
    <w:rsid w:val="5B923CD5"/>
    <w:rsid w:val="5B9D3914"/>
    <w:rsid w:val="5BAB4D57"/>
    <w:rsid w:val="5BB02991"/>
    <w:rsid w:val="5BBF2701"/>
    <w:rsid w:val="5BED535D"/>
    <w:rsid w:val="5BED7BB2"/>
    <w:rsid w:val="5BEE3ADC"/>
    <w:rsid w:val="5BFC7B76"/>
    <w:rsid w:val="5C094DB3"/>
    <w:rsid w:val="5C1102B0"/>
    <w:rsid w:val="5C184EF3"/>
    <w:rsid w:val="5C1D60C8"/>
    <w:rsid w:val="5C200928"/>
    <w:rsid w:val="5C3D18C9"/>
    <w:rsid w:val="5C4F18D5"/>
    <w:rsid w:val="5C57422B"/>
    <w:rsid w:val="5C5920B9"/>
    <w:rsid w:val="5C5B2FE8"/>
    <w:rsid w:val="5C742923"/>
    <w:rsid w:val="5C79451E"/>
    <w:rsid w:val="5C8678C1"/>
    <w:rsid w:val="5C8869EB"/>
    <w:rsid w:val="5C8C2731"/>
    <w:rsid w:val="5C93243D"/>
    <w:rsid w:val="5C933B25"/>
    <w:rsid w:val="5C9C7311"/>
    <w:rsid w:val="5CA819CD"/>
    <w:rsid w:val="5CAC54B9"/>
    <w:rsid w:val="5CAD75BC"/>
    <w:rsid w:val="5CB1167C"/>
    <w:rsid w:val="5CC03785"/>
    <w:rsid w:val="5CC30737"/>
    <w:rsid w:val="5CC30B73"/>
    <w:rsid w:val="5CC65634"/>
    <w:rsid w:val="5CC65D8C"/>
    <w:rsid w:val="5CC8798E"/>
    <w:rsid w:val="5CCF592A"/>
    <w:rsid w:val="5CD00C39"/>
    <w:rsid w:val="5CE43EE0"/>
    <w:rsid w:val="5CE963C2"/>
    <w:rsid w:val="5CEF7531"/>
    <w:rsid w:val="5CF15B09"/>
    <w:rsid w:val="5CF313EF"/>
    <w:rsid w:val="5CFF436D"/>
    <w:rsid w:val="5D083D48"/>
    <w:rsid w:val="5D090453"/>
    <w:rsid w:val="5D0A5312"/>
    <w:rsid w:val="5D0B519F"/>
    <w:rsid w:val="5D0C1626"/>
    <w:rsid w:val="5D0F1FBD"/>
    <w:rsid w:val="5D1718BE"/>
    <w:rsid w:val="5D183ACE"/>
    <w:rsid w:val="5D1F240F"/>
    <w:rsid w:val="5D254995"/>
    <w:rsid w:val="5D485840"/>
    <w:rsid w:val="5D51714C"/>
    <w:rsid w:val="5D535034"/>
    <w:rsid w:val="5D54036D"/>
    <w:rsid w:val="5D6B6FDD"/>
    <w:rsid w:val="5D711D7F"/>
    <w:rsid w:val="5D7602B3"/>
    <w:rsid w:val="5D7621CE"/>
    <w:rsid w:val="5D766ADE"/>
    <w:rsid w:val="5D7F1010"/>
    <w:rsid w:val="5D8240E3"/>
    <w:rsid w:val="5D856D59"/>
    <w:rsid w:val="5D86445A"/>
    <w:rsid w:val="5D897178"/>
    <w:rsid w:val="5D962018"/>
    <w:rsid w:val="5D9A703F"/>
    <w:rsid w:val="5DA40595"/>
    <w:rsid w:val="5DAC1755"/>
    <w:rsid w:val="5DAC7E65"/>
    <w:rsid w:val="5DB13ADE"/>
    <w:rsid w:val="5DB4019F"/>
    <w:rsid w:val="5DBB72FE"/>
    <w:rsid w:val="5DC70600"/>
    <w:rsid w:val="5DC717A6"/>
    <w:rsid w:val="5DC8665F"/>
    <w:rsid w:val="5DCD3D6F"/>
    <w:rsid w:val="5DCE5C1F"/>
    <w:rsid w:val="5DDA33C1"/>
    <w:rsid w:val="5DDC1927"/>
    <w:rsid w:val="5DE247A3"/>
    <w:rsid w:val="5DE53D04"/>
    <w:rsid w:val="5DE65116"/>
    <w:rsid w:val="5DEE00B1"/>
    <w:rsid w:val="5DF12A41"/>
    <w:rsid w:val="5DF5215D"/>
    <w:rsid w:val="5DFA2928"/>
    <w:rsid w:val="5DFD670B"/>
    <w:rsid w:val="5DFE1DC2"/>
    <w:rsid w:val="5E006CAF"/>
    <w:rsid w:val="5E0B0CF6"/>
    <w:rsid w:val="5E0C09BB"/>
    <w:rsid w:val="5E0F3961"/>
    <w:rsid w:val="5E143748"/>
    <w:rsid w:val="5E1A5910"/>
    <w:rsid w:val="5E2106E9"/>
    <w:rsid w:val="5E2978A3"/>
    <w:rsid w:val="5E2D1087"/>
    <w:rsid w:val="5E3522CF"/>
    <w:rsid w:val="5E3F07D8"/>
    <w:rsid w:val="5E4D12DF"/>
    <w:rsid w:val="5E4D4FC9"/>
    <w:rsid w:val="5E617B22"/>
    <w:rsid w:val="5E6F15A4"/>
    <w:rsid w:val="5E706F71"/>
    <w:rsid w:val="5E733AFE"/>
    <w:rsid w:val="5E786107"/>
    <w:rsid w:val="5E803A23"/>
    <w:rsid w:val="5E8237DF"/>
    <w:rsid w:val="5E8B3284"/>
    <w:rsid w:val="5E9F73EE"/>
    <w:rsid w:val="5EB3655C"/>
    <w:rsid w:val="5EB70C72"/>
    <w:rsid w:val="5EBD7906"/>
    <w:rsid w:val="5EC12590"/>
    <w:rsid w:val="5EC4123A"/>
    <w:rsid w:val="5EC72E48"/>
    <w:rsid w:val="5ED0419C"/>
    <w:rsid w:val="5ED27DCA"/>
    <w:rsid w:val="5ED44AFC"/>
    <w:rsid w:val="5ED722D9"/>
    <w:rsid w:val="5ED908A4"/>
    <w:rsid w:val="5EDB38C8"/>
    <w:rsid w:val="5EDD75E8"/>
    <w:rsid w:val="5EDF3EB7"/>
    <w:rsid w:val="5EF0691C"/>
    <w:rsid w:val="5EF25A1B"/>
    <w:rsid w:val="5F0A54CE"/>
    <w:rsid w:val="5F215264"/>
    <w:rsid w:val="5F3B7E49"/>
    <w:rsid w:val="5F460402"/>
    <w:rsid w:val="5F4D03DB"/>
    <w:rsid w:val="5F5E0D5A"/>
    <w:rsid w:val="5F5E5CA5"/>
    <w:rsid w:val="5F645D67"/>
    <w:rsid w:val="5F6B3D85"/>
    <w:rsid w:val="5F6B564E"/>
    <w:rsid w:val="5F6B7DEC"/>
    <w:rsid w:val="5F6E0461"/>
    <w:rsid w:val="5F747AD1"/>
    <w:rsid w:val="5F78397E"/>
    <w:rsid w:val="5F794CF2"/>
    <w:rsid w:val="5F7E2D90"/>
    <w:rsid w:val="5F801DE2"/>
    <w:rsid w:val="5F8550C7"/>
    <w:rsid w:val="5F86408B"/>
    <w:rsid w:val="5F982EAC"/>
    <w:rsid w:val="5F9A3E47"/>
    <w:rsid w:val="5FAA6187"/>
    <w:rsid w:val="5FBF19D4"/>
    <w:rsid w:val="5FCA2C2A"/>
    <w:rsid w:val="5FD712CD"/>
    <w:rsid w:val="5FE66AE4"/>
    <w:rsid w:val="5FEB593B"/>
    <w:rsid w:val="5FFC34AB"/>
    <w:rsid w:val="5FFF190C"/>
    <w:rsid w:val="601005C2"/>
    <w:rsid w:val="60174A4F"/>
    <w:rsid w:val="601B33EC"/>
    <w:rsid w:val="60303445"/>
    <w:rsid w:val="603303D1"/>
    <w:rsid w:val="60395379"/>
    <w:rsid w:val="603F6EDC"/>
    <w:rsid w:val="60406A93"/>
    <w:rsid w:val="60450393"/>
    <w:rsid w:val="6045087B"/>
    <w:rsid w:val="60567839"/>
    <w:rsid w:val="6059292E"/>
    <w:rsid w:val="60595F9E"/>
    <w:rsid w:val="606A0FF4"/>
    <w:rsid w:val="606B478A"/>
    <w:rsid w:val="606E27FE"/>
    <w:rsid w:val="608E41C0"/>
    <w:rsid w:val="60942943"/>
    <w:rsid w:val="60DD641D"/>
    <w:rsid w:val="60E00A33"/>
    <w:rsid w:val="60EF3B13"/>
    <w:rsid w:val="60FC68D3"/>
    <w:rsid w:val="61021F62"/>
    <w:rsid w:val="610E38FC"/>
    <w:rsid w:val="611722A2"/>
    <w:rsid w:val="61180C9D"/>
    <w:rsid w:val="611C0456"/>
    <w:rsid w:val="61252B28"/>
    <w:rsid w:val="61314937"/>
    <w:rsid w:val="6152291A"/>
    <w:rsid w:val="61551AF2"/>
    <w:rsid w:val="615578FA"/>
    <w:rsid w:val="61561F9F"/>
    <w:rsid w:val="616C61A7"/>
    <w:rsid w:val="616F44B1"/>
    <w:rsid w:val="617764AE"/>
    <w:rsid w:val="617827A7"/>
    <w:rsid w:val="61784E29"/>
    <w:rsid w:val="617F501C"/>
    <w:rsid w:val="61860707"/>
    <w:rsid w:val="61952AD8"/>
    <w:rsid w:val="619858D0"/>
    <w:rsid w:val="619E0BD0"/>
    <w:rsid w:val="619E41CF"/>
    <w:rsid w:val="61BB7D24"/>
    <w:rsid w:val="61BC6B36"/>
    <w:rsid w:val="61BE39F8"/>
    <w:rsid w:val="61C54A2C"/>
    <w:rsid w:val="61C839A7"/>
    <w:rsid w:val="61CA47AE"/>
    <w:rsid w:val="61DA72AB"/>
    <w:rsid w:val="61E43D0E"/>
    <w:rsid w:val="61F9272E"/>
    <w:rsid w:val="61FA1902"/>
    <w:rsid w:val="62156036"/>
    <w:rsid w:val="622A6EC2"/>
    <w:rsid w:val="622F47B0"/>
    <w:rsid w:val="62365F09"/>
    <w:rsid w:val="62390CB6"/>
    <w:rsid w:val="623A5F53"/>
    <w:rsid w:val="62435DCB"/>
    <w:rsid w:val="624A10A9"/>
    <w:rsid w:val="624B58DB"/>
    <w:rsid w:val="628407B1"/>
    <w:rsid w:val="628E2E22"/>
    <w:rsid w:val="62932032"/>
    <w:rsid w:val="62934A57"/>
    <w:rsid w:val="62975098"/>
    <w:rsid w:val="629813F8"/>
    <w:rsid w:val="62A60A16"/>
    <w:rsid w:val="62A97D63"/>
    <w:rsid w:val="62AB777F"/>
    <w:rsid w:val="62AD5A83"/>
    <w:rsid w:val="62AE20B2"/>
    <w:rsid w:val="62C40A78"/>
    <w:rsid w:val="62CA45A4"/>
    <w:rsid w:val="62CD3C18"/>
    <w:rsid w:val="62D154F4"/>
    <w:rsid w:val="62DB45F3"/>
    <w:rsid w:val="62DB66DB"/>
    <w:rsid w:val="62DD2D1D"/>
    <w:rsid w:val="62E06987"/>
    <w:rsid w:val="62E3363E"/>
    <w:rsid w:val="62E46E82"/>
    <w:rsid w:val="62EC2A0D"/>
    <w:rsid w:val="62ED2730"/>
    <w:rsid w:val="62ED4F35"/>
    <w:rsid w:val="62EF4F95"/>
    <w:rsid w:val="62F2372C"/>
    <w:rsid w:val="62FC2F6E"/>
    <w:rsid w:val="63005F59"/>
    <w:rsid w:val="63026CED"/>
    <w:rsid w:val="631509E4"/>
    <w:rsid w:val="631B5D73"/>
    <w:rsid w:val="631E6003"/>
    <w:rsid w:val="631F2AB3"/>
    <w:rsid w:val="632161A3"/>
    <w:rsid w:val="632A37BB"/>
    <w:rsid w:val="632D4F26"/>
    <w:rsid w:val="63343DAE"/>
    <w:rsid w:val="63366CF1"/>
    <w:rsid w:val="633D491F"/>
    <w:rsid w:val="633F7C7C"/>
    <w:rsid w:val="6347004C"/>
    <w:rsid w:val="6348218C"/>
    <w:rsid w:val="634906C0"/>
    <w:rsid w:val="634D119A"/>
    <w:rsid w:val="634F1A75"/>
    <w:rsid w:val="63662614"/>
    <w:rsid w:val="636B4C33"/>
    <w:rsid w:val="636C64F0"/>
    <w:rsid w:val="636F4D01"/>
    <w:rsid w:val="637C52E7"/>
    <w:rsid w:val="637F5EF4"/>
    <w:rsid w:val="63801807"/>
    <w:rsid w:val="63821837"/>
    <w:rsid w:val="63983B46"/>
    <w:rsid w:val="63A04041"/>
    <w:rsid w:val="63AF30A8"/>
    <w:rsid w:val="63B66091"/>
    <w:rsid w:val="63B84349"/>
    <w:rsid w:val="63B87B36"/>
    <w:rsid w:val="63BD2CDF"/>
    <w:rsid w:val="63BE441F"/>
    <w:rsid w:val="63C30706"/>
    <w:rsid w:val="63CE07EC"/>
    <w:rsid w:val="63D64C7A"/>
    <w:rsid w:val="63EA18E6"/>
    <w:rsid w:val="63EE35EE"/>
    <w:rsid w:val="63F66E28"/>
    <w:rsid w:val="63F71815"/>
    <w:rsid w:val="63FD003F"/>
    <w:rsid w:val="64012899"/>
    <w:rsid w:val="640A3456"/>
    <w:rsid w:val="641360FB"/>
    <w:rsid w:val="64183B3A"/>
    <w:rsid w:val="641A2856"/>
    <w:rsid w:val="64254CA9"/>
    <w:rsid w:val="643029D0"/>
    <w:rsid w:val="643D4780"/>
    <w:rsid w:val="643E241F"/>
    <w:rsid w:val="644E6B71"/>
    <w:rsid w:val="645050FA"/>
    <w:rsid w:val="64533603"/>
    <w:rsid w:val="645F5C12"/>
    <w:rsid w:val="64695447"/>
    <w:rsid w:val="646A3702"/>
    <w:rsid w:val="64704A63"/>
    <w:rsid w:val="64725549"/>
    <w:rsid w:val="647532BD"/>
    <w:rsid w:val="647A288D"/>
    <w:rsid w:val="647B128B"/>
    <w:rsid w:val="647B3E17"/>
    <w:rsid w:val="64910CD9"/>
    <w:rsid w:val="64A30365"/>
    <w:rsid w:val="64AA3309"/>
    <w:rsid w:val="64AA3E10"/>
    <w:rsid w:val="64AE4354"/>
    <w:rsid w:val="64B972BE"/>
    <w:rsid w:val="64BD1347"/>
    <w:rsid w:val="64BD4E54"/>
    <w:rsid w:val="64C24FBD"/>
    <w:rsid w:val="64C5082B"/>
    <w:rsid w:val="64C8345D"/>
    <w:rsid w:val="64CB72F5"/>
    <w:rsid w:val="64D70E03"/>
    <w:rsid w:val="64DA45FF"/>
    <w:rsid w:val="64DE09CD"/>
    <w:rsid w:val="64E06343"/>
    <w:rsid w:val="64EA0439"/>
    <w:rsid w:val="64EF7A50"/>
    <w:rsid w:val="64F06511"/>
    <w:rsid w:val="64FF6DF5"/>
    <w:rsid w:val="65026A30"/>
    <w:rsid w:val="650B60F2"/>
    <w:rsid w:val="650E3602"/>
    <w:rsid w:val="6514571A"/>
    <w:rsid w:val="6514758F"/>
    <w:rsid w:val="65165191"/>
    <w:rsid w:val="65227FE9"/>
    <w:rsid w:val="65274189"/>
    <w:rsid w:val="65314887"/>
    <w:rsid w:val="654273A2"/>
    <w:rsid w:val="654D3A68"/>
    <w:rsid w:val="65515A8C"/>
    <w:rsid w:val="655227FD"/>
    <w:rsid w:val="65540770"/>
    <w:rsid w:val="65664E54"/>
    <w:rsid w:val="656665D3"/>
    <w:rsid w:val="657B03B2"/>
    <w:rsid w:val="657C3D1E"/>
    <w:rsid w:val="658D070D"/>
    <w:rsid w:val="65907A4E"/>
    <w:rsid w:val="65950EF8"/>
    <w:rsid w:val="65AB40C0"/>
    <w:rsid w:val="65B338D0"/>
    <w:rsid w:val="65B445B5"/>
    <w:rsid w:val="65B55F45"/>
    <w:rsid w:val="65C203DF"/>
    <w:rsid w:val="65C653AB"/>
    <w:rsid w:val="65C80D0D"/>
    <w:rsid w:val="65CA6433"/>
    <w:rsid w:val="65D917F2"/>
    <w:rsid w:val="65EC4BEC"/>
    <w:rsid w:val="65F42A8E"/>
    <w:rsid w:val="65FD452A"/>
    <w:rsid w:val="66061444"/>
    <w:rsid w:val="6606776F"/>
    <w:rsid w:val="66180394"/>
    <w:rsid w:val="661F2D41"/>
    <w:rsid w:val="66366F92"/>
    <w:rsid w:val="66375B80"/>
    <w:rsid w:val="663A5677"/>
    <w:rsid w:val="66426477"/>
    <w:rsid w:val="66474439"/>
    <w:rsid w:val="66495441"/>
    <w:rsid w:val="664A2444"/>
    <w:rsid w:val="66540D83"/>
    <w:rsid w:val="66581BBC"/>
    <w:rsid w:val="66672105"/>
    <w:rsid w:val="66677CAC"/>
    <w:rsid w:val="666845A2"/>
    <w:rsid w:val="66714D68"/>
    <w:rsid w:val="66760DC5"/>
    <w:rsid w:val="667D480D"/>
    <w:rsid w:val="66887617"/>
    <w:rsid w:val="66984910"/>
    <w:rsid w:val="669B59E7"/>
    <w:rsid w:val="66A71BBE"/>
    <w:rsid w:val="66AD7F94"/>
    <w:rsid w:val="66B12236"/>
    <w:rsid w:val="66C855FF"/>
    <w:rsid w:val="66CF62BF"/>
    <w:rsid w:val="66D37B8D"/>
    <w:rsid w:val="66D87988"/>
    <w:rsid w:val="66E41805"/>
    <w:rsid w:val="66E8423D"/>
    <w:rsid w:val="66EA6D79"/>
    <w:rsid w:val="66EC2A73"/>
    <w:rsid w:val="66F028E3"/>
    <w:rsid w:val="66F5749B"/>
    <w:rsid w:val="6703581A"/>
    <w:rsid w:val="671359B7"/>
    <w:rsid w:val="67185A8E"/>
    <w:rsid w:val="671A19D9"/>
    <w:rsid w:val="671A3D72"/>
    <w:rsid w:val="671F2D72"/>
    <w:rsid w:val="67204A56"/>
    <w:rsid w:val="67255FB2"/>
    <w:rsid w:val="67271BB3"/>
    <w:rsid w:val="672826E9"/>
    <w:rsid w:val="6733494D"/>
    <w:rsid w:val="673522BC"/>
    <w:rsid w:val="673A79C2"/>
    <w:rsid w:val="674459AF"/>
    <w:rsid w:val="6753060D"/>
    <w:rsid w:val="675C67AF"/>
    <w:rsid w:val="67791B52"/>
    <w:rsid w:val="677A29C5"/>
    <w:rsid w:val="677E45A0"/>
    <w:rsid w:val="677F5D0D"/>
    <w:rsid w:val="6786497D"/>
    <w:rsid w:val="67872A49"/>
    <w:rsid w:val="67882A93"/>
    <w:rsid w:val="678F38BC"/>
    <w:rsid w:val="67965B48"/>
    <w:rsid w:val="67A943E9"/>
    <w:rsid w:val="67AA4760"/>
    <w:rsid w:val="67AD6DC0"/>
    <w:rsid w:val="67BA53CE"/>
    <w:rsid w:val="67C2591A"/>
    <w:rsid w:val="67C30CA4"/>
    <w:rsid w:val="67E13153"/>
    <w:rsid w:val="67E3779A"/>
    <w:rsid w:val="67ED58FA"/>
    <w:rsid w:val="67F507A9"/>
    <w:rsid w:val="67FA1B66"/>
    <w:rsid w:val="680A4D64"/>
    <w:rsid w:val="680E7852"/>
    <w:rsid w:val="681165DF"/>
    <w:rsid w:val="68206AA8"/>
    <w:rsid w:val="682072E8"/>
    <w:rsid w:val="68260E76"/>
    <w:rsid w:val="682D67EB"/>
    <w:rsid w:val="682F05C2"/>
    <w:rsid w:val="683A7919"/>
    <w:rsid w:val="683E7E47"/>
    <w:rsid w:val="68440EEC"/>
    <w:rsid w:val="684A6FFD"/>
    <w:rsid w:val="685378CE"/>
    <w:rsid w:val="6857778C"/>
    <w:rsid w:val="685B2AEB"/>
    <w:rsid w:val="685B5BC2"/>
    <w:rsid w:val="68613875"/>
    <w:rsid w:val="68622599"/>
    <w:rsid w:val="686A7AC1"/>
    <w:rsid w:val="686A7D67"/>
    <w:rsid w:val="687A3BC8"/>
    <w:rsid w:val="687B5854"/>
    <w:rsid w:val="68804EFC"/>
    <w:rsid w:val="688130BA"/>
    <w:rsid w:val="688346B4"/>
    <w:rsid w:val="688410AC"/>
    <w:rsid w:val="6886258F"/>
    <w:rsid w:val="688E188A"/>
    <w:rsid w:val="689147D1"/>
    <w:rsid w:val="68956F32"/>
    <w:rsid w:val="68A34C36"/>
    <w:rsid w:val="68A8486E"/>
    <w:rsid w:val="68A940B5"/>
    <w:rsid w:val="68C16AA1"/>
    <w:rsid w:val="68C271D0"/>
    <w:rsid w:val="68C426A5"/>
    <w:rsid w:val="68DA12D9"/>
    <w:rsid w:val="68F40B67"/>
    <w:rsid w:val="68F70E78"/>
    <w:rsid w:val="68FA3A40"/>
    <w:rsid w:val="69097D44"/>
    <w:rsid w:val="69143A90"/>
    <w:rsid w:val="69177FA7"/>
    <w:rsid w:val="69234727"/>
    <w:rsid w:val="69307509"/>
    <w:rsid w:val="694309C6"/>
    <w:rsid w:val="69457549"/>
    <w:rsid w:val="694D423C"/>
    <w:rsid w:val="694E623A"/>
    <w:rsid w:val="69547C77"/>
    <w:rsid w:val="695A0E2F"/>
    <w:rsid w:val="69643C47"/>
    <w:rsid w:val="69695D38"/>
    <w:rsid w:val="69732F52"/>
    <w:rsid w:val="69741E70"/>
    <w:rsid w:val="69847201"/>
    <w:rsid w:val="69860B94"/>
    <w:rsid w:val="698E6255"/>
    <w:rsid w:val="6990295B"/>
    <w:rsid w:val="69956DD0"/>
    <w:rsid w:val="69984E80"/>
    <w:rsid w:val="699A3C99"/>
    <w:rsid w:val="69A24F0E"/>
    <w:rsid w:val="69AD2238"/>
    <w:rsid w:val="69B50DD0"/>
    <w:rsid w:val="69B7411A"/>
    <w:rsid w:val="69BC243A"/>
    <w:rsid w:val="69BE53C7"/>
    <w:rsid w:val="69CA5A8F"/>
    <w:rsid w:val="69CB015D"/>
    <w:rsid w:val="69CF3BF9"/>
    <w:rsid w:val="69D00CF3"/>
    <w:rsid w:val="69DD51EA"/>
    <w:rsid w:val="69E51F20"/>
    <w:rsid w:val="69E80700"/>
    <w:rsid w:val="69E8185C"/>
    <w:rsid w:val="69F556AB"/>
    <w:rsid w:val="69FD6977"/>
    <w:rsid w:val="69FD7122"/>
    <w:rsid w:val="69FE19B4"/>
    <w:rsid w:val="6A1F30FE"/>
    <w:rsid w:val="6A235975"/>
    <w:rsid w:val="6A2971AA"/>
    <w:rsid w:val="6A2D0CE2"/>
    <w:rsid w:val="6A3111FF"/>
    <w:rsid w:val="6A321D74"/>
    <w:rsid w:val="6A34587C"/>
    <w:rsid w:val="6A397855"/>
    <w:rsid w:val="6A400776"/>
    <w:rsid w:val="6A473146"/>
    <w:rsid w:val="6A4D00FD"/>
    <w:rsid w:val="6A5307D8"/>
    <w:rsid w:val="6A6642AA"/>
    <w:rsid w:val="6A6A346F"/>
    <w:rsid w:val="6A6E5CE5"/>
    <w:rsid w:val="6A721764"/>
    <w:rsid w:val="6A826FDA"/>
    <w:rsid w:val="6A857977"/>
    <w:rsid w:val="6A934514"/>
    <w:rsid w:val="6AA45E3A"/>
    <w:rsid w:val="6AA7685F"/>
    <w:rsid w:val="6AAE7655"/>
    <w:rsid w:val="6AB077AD"/>
    <w:rsid w:val="6ABD00BE"/>
    <w:rsid w:val="6AD27C22"/>
    <w:rsid w:val="6ADB7183"/>
    <w:rsid w:val="6AE560B0"/>
    <w:rsid w:val="6AEA28C6"/>
    <w:rsid w:val="6AF33CFE"/>
    <w:rsid w:val="6AFB49D0"/>
    <w:rsid w:val="6AFC42A9"/>
    <w:rsid w:val="6AFD7431"/>
    <w:rsid w:val="6B051DF1"/>
    <w:rsid w:val="6B15539D"/>
    <w:rsid w:val="6B1A2310"/>
    <w:rsid w:val="6B246E34"/>
    <w:rsid w:val="6B28101E"/>
    <w:rsid w:val="6B2F0D68"/>
    <w:rsid w:val="6B2F162A"/>
    <w:rsid w:val="6B3F03D2"/>
    <w:rsid w:val="6B456EEE"/>
    <w:rsid w:val="6B4673DF"/>
    <w:rsid w:val="6B492CC0"/>
    <w:rsid w:val="6B500F24"/>
    <w:rsid w:val="6B510123"/>
    <w:rsid w:val="6B5A451D"/>
    <w:rsid w:val="6B6B33D1"/>
    <w:rsid w:val="6B6F155C"/>
    <w:rsid w:val="6B70322F"/>
    <w:rsid w:val="6B7F2304"/>
    <w:rsid w:val="6B8E126B"/>
    <w:rsid w:val="6B971742"/>
    <w:rsid w:val="6B971958"/>
    <w:rsid w:val="6B991C92"/>
    <w:rsid w:val="6B9D6FDD"/>
    <w:rsid w:val="6BA02CFA"/>
    <w:rsid w:val="6BB027CC"/>
    <w:rsid w:val="6BB0499C"/>
    <w:rsid w:val="6BB8620A"/>
    <w:rsid w:val="6BBA043C"/>
    <w:rsid w:val="6BBC0552"/>
    <w:rsid w:val="6BBF61CF"/>
    <w:rsid w:val="6BC36779"/>
    <w:rsid w:val="6BC527DF"/>
    <w:rsid w:val="6BC668BD"/>
    <w:rsid w:val="6BC84E73"/>
    <w:rsid w:val="6BC94361"/>
    <w:rsid w:val="6BCB165A"/>
    <w:rsid w:val="6BCC27B1"/>
    <w:rsid w:val="6BD10DD4"/>
    <w:rsid w:val="6BE434AD"/>
    <w:rsid w:val="6BE837B9"/>
    <w:rsid w:val="6BFA4DC1"/>
    <w:rsid w:val="6C121948"/>
    <w:rsid w:val="6C144F2A"/>
    <w:rsid w:val="6C17550E"/>
    <w:rsid w:val="6C1C1335"/>
    <w:rsid w:val="6C1D51FA"/>
    <w:rsid w:val="6C1D73C1"/>
    <w:rsid w:val="6C1E79B4"/>
    <w:rsid w:val="6C351E27"/>
    <w:rsid w:val="6C3B043A"/>
    <w:rsid w:val="6C55338F"/>
    <w:rsid w:val="6C5B638C"/>
    <w:rsid w:val="6C6241DE"/>
    <w:rsid w:val="6C6A69EB"/>
    <w:rsid w:val="6C764B91"/>
    <w:rsid w:val="6C7B3BAF"/>
    <w:rsid w:val="6C7F3CD0"/>
    <w:rsid w:val="6C835F93"/>
    <w:rsid w:val="6C8961C2"/>
    <w:rsid w:val="6C972684"/>
    <w:rsid w:val="6CA94313"/>
    <w:rsid w:val="6CB5554F"/>
    <w:rsid w:val="6CB772F1"/>
    <w:rsid w:val="6CB77D36"/>
    <w:rsid w:val="6CB87C36"/>
    <w:rsid w:val="6CC401BC"/>
    <w:rsid w:val="6CC81647"/>
    <w:rsid w:val="6CCB1C40"/>
    <w:rsid w:val="6CCC082F"/>
    <w:rsid w:val="6CE114A1"/>
    <w:rsid w:val="6CEE7B90"/>
    <w:rsid w:val="6CF66A19"/>
    <w:rsid w:val="6D0C2C53"/>
    <w:rsid w:val="6D14133C"/>
    <w:rsid w:val="6D176763"/>
    <w:rsid w:val="6D1A573A"/>
    <w:rsid w:val="6D1E0752"/>
    <w:rsid w:val="6D236497"/>
    <w:rsid w:val="6D293037"/>
    <w:rsid w:val="6D3B41A8"/>
    <w:rsid w:val="6D430603"/>
    <w:rsid w:val="6D43540D"/>
    <w:rsid w:val="6D4A769A"/>
    <w:rsid w:val="6D4D2999"/>
    <w:rsid w:val="6D535AF6"/>
    <w:rsid w:val="6D550BA5"/>
    <w:rsid w:val="6D5B3A36"/>
    <w:rsid w:val="6D62557E"/>
    <w:rsid w:val="6D7919D3"/>
    <w:rsid w:val="6D83148D"/>
    <w:rsid w:val="6D853FBC"/>
    <w:rsid w:val="6D9510D7"/>
    <w:rsid w:val="6D9F7FB2"/>
    <w:rsid w:val="6DA140E4"/>
    <w:rsid w:val="6DA459DA"/>
    <w:rsid w:val="6DA767C8"/>
    <w:rsid w:val="6DA94EFF"/>
    <w:rsid w:val="6DB21D88"/>
    <w:rsid w:val="6DC81284"/>
    <w:rsid w:val="6DE05A9F"/>
    <w:rsid w:val="6DE201E9"/>
    <w:rsid w:val="6DE3126F"/>
    <w:rsid w:val="6DF02946"/>
    <w:rsid w:val="6DF77AEA"/>
    <w:rsid w:val="6DFC0A3C"/>
    <w:rsid w:val="6E06513A"/>
    <w:rsid w:val="6E144771"/>
    <w:rsid w:val="6E203CB8"/>
    <w:rsid w:val="6E220E46"/>
    <w:rsid w:val="6E255F8D"/>
    <w:rsid w:val="6E3709A6"/>
    <w:rsid w:val="6E3A0DA2"/>
    <w:rsid w:val="6E520F94"/>
    <w:rsid w:val="6E592F9E"/>
    <w:rsid w:val="6E5B502D"/>
    <w:rsid w:val="6E600C41"/>
    <w:rsid w:val="6E665ABD"/>
    <w:rsid w:val="6E6F0A3D"/>
    <w:rsid w:val="6E6F3964"/>
    <w:rsid w:val="6E7D2ECF"/>
    <w:rsid w:val="6E893F46"/>
    <w:rsid w:val="6E8C44B1"/>
    <w:rsid w:val="6E922F2C"/>
    <w:rsid w:val="6E964C2C"/>
    <w:rsid w:val="6E975B13"/>
    <w:rsid w:val="6E9A52B7"/>
    <w:rsid w:val="6EA35FBB"/>
    <w:rsid w:val="6EA52E09"/>
    <w:rsid w:val="6EBC18CC"/>
    <w:rsid w:val="6EC6178C"/>
    <w:rsid w:val="6ECC4ECD"/>
    <w:rsid w:val="6ED506EB"/>
    <w:rsid w:val="6ED63D08"/>
    <w:rsid w:val="6ED92756"/>
    <w:rsid w:val="6EDF783E"/>
    <w:rsid w:val="6EE234C0"/>
    <w:rsid w:val="6EE25BB6"/>
    <w:rsid w:val="6F0125BE"/>
    <w:rsid w:val="6F0C7590"/>
    <w:rsid w:val="6F224465"/>
    <w:rsid w:val="6F257CCA"/>
    <w:rsid w:val="6F2C3D0A"/>
    <w:rsid w:val="6F2E02B8"/>
    <w:rsid w:val="6F31606A"/>
    <w:rsid w:val="6F331D37"/>
    <w:rsid w:val="6F415B22"/>
    <w:rsid w:val="6F482CA1"/>
    <w:rsid w:val="6F4B198F"/>
    <w:rsid w:val="6F4B44FC"/>
    <w:rsid w:val="6F4E452C"/>
    <w:rsid w:val="6F55416B"/>
    <w:rsid w:val="6F575EF7"/>
    <w:rsid w:val="6F5C4C8E"/>
    <w:rsid w:val="6F5D7C5B"/>
    <w:rsid w:val="6F5E5CDC"/>
    <w:rsid w:val="6F6850FA"/>
    <w:rsid w:val="6F6B59B5"/>
    <w:rsid w:val="6F8155C5"/>
    <w:rsid w:val="6F8263E4"/>
    <w:rsid w:val="6F864B2A"/>
    <w:rsid w:val="6F867DB2"/>
    <w:rsid w:val="6FAD62FF"/>
    <w:rsid w:val="6FB9429E"/>
    <w:rsid w:val="6FBA0265"/>
    <w:rsid w:val="6FBA670D"/>
    <w:rsid w:val="6FBD79D4"/>
    <w:rsid w:val="6FBF2D4F"/>
    <w:rsid w:val="6FBF7414"/>
    <w:rsid w:val="6FD259FE"/>
    <w:rsid w:val="6FDC46A0"/>
    <w:rsid w:val="6FDC661D"/>
    <w:rsid w:val="6FDD2BC8"/>
    <w:rsid w:val="6FE17C4F"/>
    <w:rsid w:val="6FEF0DA0"/>
    <w:rsid w:val="6FF13AE2"/>
    <w:rsid w:val="6FF776EA"/>
    <w:rsid w:val="6FFD2AB2"/>
    <w:rsid w:val="700919A0"/>
    <w:rsid w:val="700B1AE0"/>
    <w:rsid w:val="700B6273"/>
    <w:rsid w:val="70212DD3"/>
    <w:rsid w:val="70247F45"/>
    <w:rsid w:val="7032387B"/>
    <w:rsid w:val="704B185C"/>
    <w:rsid w:val="705F5B0A"/>
    <w:rsid w:val="706327C9"/>
    <w:rsid w:val="70671D09"/>
    <w:rsid w:val="706F05D6"/>
    <w:rsid w:val="707B3087"/>
    <w:rsid w:val="707E384E"/>
    <w:rsid w:val="707E4706"/>
    <w:rsid w:val="70877E2E"/>
    <w:rsid w:val="70892D0A"/>
    <w:rsid w:val="708A4F7F"/>
    <w:rsid w:val="708F583A"/>
    <w:rsid w:val="70950B2D"/>
    <w:rsid w:val="709915CE"/>
    <w:rsid w:val="709E2E9C"/>
    <w:rsid w:val="70A02205"/>
    <w:rsid w:val="70A02682"/>
    <w:rsid w:val="70A36C22"/>
    <w:rsid w:val="70A46059"/>
    <w:rsid w:val="70A56E6A"/>
    <w:rsid w:val="70A81615"/>
    <w:rsid w:val="70B537C6"/>
    <w:rsid w:val="70B7016A"/>
    <w:rsid w:val="70C80224"/>
    <w:rsid w:val="70C918EC"/>
    <w:rsid w:val="70CD2E7A"/>
    <w:rsid w:val="70D3117C"/>
    <w:rsid w:val="70DE0B4B"/>
    <w:rsid w:val="70DF6B8E"/>
    <w:rsid w:val="70E81623"/>
    <w:rsid w:val="70E86DC3"/>
    <w:rsid w:val="70F05911"/>
    <w:rsid w:val="70F461D1"/>
    <w:rsid w:val="70F61403"/>
    <w:rsid w:val="70F76FA1"/>
    <w:rsid w:val="71045217"/>
    <w:rsid w:val="710A2629"/>
    <w:rsid w:val="710B7772"/>
    <w:rsid w:val="710C4EEB"/>
    <w:rsid w:val="711457A4"/>
    <w:rsid w:val="71175C91"/>
    <w:rsid w:val="71177F52"/>
    <w:rsid w:val="7124733D"/>
    <w:rsid w:val="712C09D6"/>
    <w:rsid w:val="71324AC6"/>
    <w:rsid w:val="71361676"/>
    <w:rsid w:val="71401124"/>
    <w:rsid w:val="71494FD3"/>
    <w:rsid w:val="714A1050"/>
    <w:rsid w:val="715D16C2"/>
    <w:rsid w:val="717042FD"/>
    <w:rsid w:val="7171353D"/>
    <w:rsid w:val="71762C8C"/>
    <w:rsid w:val="717D392C"/>
    <w:rsid w:val="718C3F37"/>
    <w:rsid w:val="718E0997"/>
    <w:rsid w:val="71923367"/>
    <w:rsid w:val="71A36753"/>
    <w:rsid w:val="71AE0D5E"/>
    <w:rsid w:val="71B86D22"/>
    <w:rsid w:val="71CD71C6"/>
    <w:rsid w:val="71D21BF4"/>
    <w:rsid w:val="71F008A9"/>
    <w:rsid w:val="71F35DEE"/>
    <w:rsid w:val="71F57D11"/>
    <w:rsid w:val="71FA2F95"/>
    <w:rsid w:val="71FE3A37"/>
    <w:rsid w:val="71FF799F"/>
    <w:rsid w:val="720B0937"/>
    <w:rsid w:val="72261CA4"/>
    <w:rsid w:val="72274F07"/>
    <w:rsid w:val="722A124C"/>
    <w:rsid w:val="72392D35"/>
    <w:rsid w:val="723949DB"/>
    <w:rsid w:val="72413A6B"/>
    <w:rsid w:val="7245415D"/>
    <w:rsid w:val="724C7958"/>
    <w:rsid w:val="725176AD"/>
    <w:rsid w:val="725B3204"/>
    <w:rsid w:val="726114CD"/>
    <w:rsid w:val="726808B1"/>
    <w:rsid w:val="726E223C"/>
    <w:rsid w:val="726F5195"/>
    <w:rsid w:val="7272211D"/>
    <w:rsid w:val="727779F9"/>
    <w:rsid w:val="727907FE"/>
    <w:rsid w:val="7279451E"/>
    <w:rsid w:val="727C3771"/>
    <w:rsid w:val="727D60A5"/>
    <w:rsid w:val="727F4E3F"/>
    <w:rsid w:val="72806044"/>
    <w:rsid w:val="7286436D"/>
    <w:rsid w:val="728A2A12"/>
    <w:rsid w:val="728C5C63"/>
    <w:rsid w:val="72910D60"/>
    <w:rsid w:val="72923A89"/>
    <w:rsid w:val="72924838"/>
    <w:rsid w:val="7295436B"/>
    <w:rsid w:val="729B795B"/>
    <w:rsid w:val="72A52784"/>
    <w:rsid w:val="72A71A1A"/>
    <w:rsid w:val="72A87141"/>
    <w:rsid w:val="72A940B7"/>
    <w:rsid w:val="72AE543E"/>
    <w:rsid w:val="72B378B8"/>
    <w:rsid w:val="72B40D47"/>
    <w:rsid w:val="72B54CCC"/>
    <w:rsid w:val="72BD17A4"/>
    <w:rsid w:val="72C33283"/>
    <w:rsid w:val="72C57F43"/>
    <w:rsid w:val="72C6633C"/>
    <w:rsid w:val="72CB537A"/>
    <w:rsid w:val="72CE2A28"/>
    <w:rsid w:val="72D56631"/>
    <w:rsid w:val="72DE4F1F"/>
    <w:rsid w:val="72EC5980"/>
    <w:rsid w:val="72EC6E4B"/>
    <w:rsid w:val="72F115C9"/>
    <w:rsid w:val="72F70B14"/>
    <w:rsid w:val="72FA3E4C"/>
    <w:rsid w:val="72FB0D9E"/>
    <w:rsid w:val="73040B82"/>
    <w:rsid w:val="730608CD"/>
    <w:rsid w:val="730B28B2"/>
    <w:rsid w:val="731514BB"/>
    <w:rsid w:val="731B07E3"/>
    <w:rsid w:val="731C4035"/>
    <w:rsid w:val="732A4806"/>
    <w:rsid w:val="73376512"/>
    <w:rsid w:val="733D14CA"/>
    <w:rsid w:val="73406EDC"/>
    <w:rsid w:val="73481144"/>
    <w:rsid w:val="73540DC4"/>
    <w:rsid w:val="735839A5"/>
    <w:rsid w:val="736D2851"/>
    <w:rsid w:val="736D2A16"/>
    <w:rsid w:val="7376152A"/>
    <w:rsid w:val="73793495"/>
    <w:rsid w:val="73874146"/>
    <w:rsid w:val="738B71C1"/>
    <w:rsid w:val="739502A2"/>
    <w:rsid w:val="73954268"/>
    <w:rsid w:val="73B62154"/>
    <w:rsid w:val="73D2314C"/>
    <w:rsid w:val="73DA7F87"/>
    <w:rsid w:val="73DB6245"/>
    <w:rsid w:val="73DC4929"/>
    <w:rsid w:val="73DC7E17"/>
    <w:rsid w:val="73DD387B"/>
    <w:rsid w:val="73E871A3"/>
    <w:rsid w:val="74026476"/>
    <w:rsid w:val="74113740"/>
    <w:rsid w:val="74144CE1"/>
    <w:rsid w:val="7416763C"/>
    <w:rsid w:val="74183CC8"/>
    <w:rsid w:val="742363C8"/>
    <w:rsid w:val="74300D0F"/>
    <w:rsid w:val="743D3EB9"/>
    <w:rsid w:val="744011C6"/>
    <w:rsid w:val="74475758"/>
    <w:rsid w:val="74513757"/>
    <w:rsid w:val="7454028C"/>
    <w:rsid w:val="74545BB4"/>
    <w:rsid w:val="745E570F"/>
    <w:rsid w:val="74612566"/>
    <w:rsid w:val="747959BF"/>
    <w:rsid w:val="747E1A70"/>
    <w:rsid w:val="7483161A"/>
    <w:rsid w:val="74882F4D"/>
    <w:rsid w:val="748B05FD"/>
    <w:rsid w:val="74A51B18"/>
    <w:rsid w:val="74A938A5"/>
    <w:rsid w:val="74AE24F7"/>
    <w:rsid w:val="74B763D6"/>
    <w:rsid w:val="74B768C6"/>
    <w:rsid w:val="74C0442B"/>
    <w:rsid w:val="74C55B3F"/>
    <w:rsid w:val="74C7154E"/>
    <w:rsid w:val="74D813B3"/>
    <w:rsid w:val="74DF0013"/>
    <w:rsid w:val="74E249AE"/>
    <w:rsid w:val="74E62DCB"/>
    <w:rsid w:val="74EE25E0"/>
    <w:rsid w:val="74F738DE"/>
    <w:rsid w:val="750556FE"/>
    <w:rsid w:val="750F57C8"/>
    <w:rsid w:val="750F6250"/>
    <w:rsid w:val="751A009B"/>
    <w:rsid w:val="75365D06"/>
    <w:rsid w:val="753C4B9E"/>
    <w:rsid w:val="75436915"/>
    <w:rsid w:val="75446D15"/>
    <w:rsid w:val="75507D71"/>
    <w:rsid w:val="75622AAC"/>
    <w:rsid w:val="756A1004"/>
    <w:rsid w:val="756C3DC1"/>
    <w:rsid w:val="756E607F"/>
    <w:rsid w:val="757E63E1"/>
    <w:rsid w:val="75833381"/>
    <w:rsid w:val="7588189D"/>
    <w:rsid w:val="75890EEE"/>
    <w:rsid w:val="758977A2"/>
    <w:rsid w:val="758B5C71"/>
    <w:rsid w:val="75A35A3E"/>
    <w:rsid w:val="75A4194B"/>
    <w:rsid w:val="75B71A94"/>
    <w:rsid w:val="75C1144A"/>
    <w:rsid w:val="75C12685"/>
    <w:rsid w:val="75C51C20"/>
    <w:rsid w:val="75C8076E"/>
    <w:rsid w:val="75D2544B"/>
    <w:rsid w:val="75D75691"/>
    <w:rsid w:val="75E02F4D"/>
    <w:rsid w:val="75E072E7"/>
    <w:rsid w:val="75E52D02"/>
    <w:rsid w:val="75E77356"/>
    <w:rsid w:val="75E9409A"/>
    <w:rsid w:val="760B666C"/>
    <w:rsid w:val="760E2C16"/>
    <w:rsid w:val="76133896"/>
    <w:rsid w:val="76203741"/>
    <w:rsid w:val="762439CB"/>
    <w:rsid w:val="76282E2B"/>
    <w:rsid w:val="762F3B18"/>
    <w:rsid w:val="763703BC"/>
    <w:rsid w:val="763B2448"/>
    <w:rsid w:val="764366DD"/>
    <w:rsid w:val="764E6FED"/>
    <w:rsid w:val="76500980"/>
    <w:rsid w:val="765731F0"/>
    <w:rsid w:val="765E1290"/>
    <w:rsid w:val="765F5194"/>
    <w:rsid w:val="76673987"/>
    <w:rsid w:val="76695353"/>
    <w:rsid w:val="766C20C2"/>
    <w:rsid w:val="766D79B8"/>
    <w:rsid w:val="766F5CA9"/>
    <w:rsid w:val="76735C01"/>
    <w:rsid w:val="76753696"/>
    <w:rsid w:val="767845D6"/>
    <w:rsid w:val="767E6647"/>
    <w:rsid w:val="76836646"/>
    <w:rsid w:val="76907353"/>
    <w:rsid w:val="7696076E"/>
    <w:rsid w:val="76974B9D"/>
    <w:rsid w:val="76984760"/>
    <w:rsid w:val="769A22F1"/>
    <w:rsid w:val="769A300E"/>
    <w:rsid w:val="76A51258"/>
    <w:rsid w:val="76A73C3A"/>
    <w:rsid w:val="76AB7AC3"/>
    <w:rsid w:val="76B11A70"/>
    <w:rsid w:val="76BF486A"/>
    <w:rsid w:val="76CC763E"/>
    <w:rsid w:val="76CF105C"/>
    <w:rsid w:val="76DF4924"/>
    <w:rsid w:val="76E34668"/>
    <w:rsid w:val="76F02098"/>
    <w:rsid w:val="76F35976"/>
    <w:rsid w:val="76FB7C23"/>
    <w:rsid w:val="76FC595B"/>
    <w:rsid w:val="770539C1"/>
    <w:rsid w:val="77154F40"/>
    <w:rsid w:val="7719221D"/>
    <w:rsid w:val="771D7AFA"/>
    <w:rsid w:val="772477FA"/>
    <w:rsid w:val="772F28D5"/>
    <w:rsid w:val="773E131C"/>
    <w:rsid w:val="77514A70"/>
    <w:rsid w:val="775556B3"/>
    <w:rsid w:val="77560535"/>
    <w:rsid w:val="77583D64"/>
    <w:rsid w:val="775D310E"/>
    <w:rsid w:val="77653ACF"/>
    <w:rsid w:val="776B2934"/>
    <w:rsid w:val="776C2FF9"/>
    <w:rsid w:val="77823383"/>
    <w:rsid w:val="7783056B"/>
    <w:rsid w:val="778B2327"/>
    <w:rsid w:val="778D2A54"/>
    <w:rsid w:val="77915E48"/>
    <w:rsid w:val="7792467E"/>
    <w:rsid w:val="77A908D4"/>
    <w:rsid w:val="77AC4A81"/>
    <w:rsid w:val="77B82832"/>
    <w:rsid w:val="77C91CB8"/>
    <w:rsid w:val="77D0750B"/>
    <w:rsid w:val="77D81491"/>
    <w:rsid w:val="77D93481"/>
    <w:rsid w:val="77DA1060"/>
    <w:rsid w:val="77DC668C"/>
    <w:rsid w:val="77DF065C"/>
    <w:rsid w:val="77E66378"/>
    <w:rsid w:val="77F273D8"/>
    <w:rsid w:val="77FB2812"/>
    <w:rsid w:val="77FC0D3A"/>
    <w:rsid w:val="78022FDE"/>
    <w:rsid w:val="78072EA4"/>
    <w:rsid w:val="780A3BE2"/>
    <w:rsid w:val="780D421E"/>
    <w:rsid w:val="78120E1B"/>
    <w:rsid w:val="7821427B"/>
    <w:rsid w:val="783F411A"/>
    <w:rsid w:val="78576968"/>
    <w:rsid w:val="78625B50"/>
    <w:rsid w:val="78666846"/>
    <w:rsid w:val="786B48F9"/>
    <w:rsid w:val="786C5D85"/>
    <w:rsid w:val="786E4DD2"/>
    <w:rsid w:val="78704B5F"/>
    <w:rsid w:val="787410D9"/>
    <w:rsid w:val="78787F87"/>
    <w:rsid w:val="787A14BF"/>
    <w:rsid w:val="788E1BEE"/>
    <w:rsid w:val="78951396"/>
    <w:rsid w:val="789575A2"/>
    <w:rsid w:val="789772EA"/>
    <w:rsid w:val="789978D2"/>
    <w:rsid w:val="789A3FB0"/>
    <w:rsid w:val="78A6102E"/>
    <w:rsid w:val="78AB7035"/>
    <w:rsid w:val="78AC2C4D"/>
    <w:rsid w:val="78B77947"/>
    <w:rsid w:val="78C64762"/>
    <w:rsid w:val="78CF07AC"/>
    <w:rsid w:val="78DF761C"/>
    <w:rsid w:val="78E27CBF"/>
    <w:rsid w:val="78E41E10"/>
    <w:rsid w:val="78E90148"/>
    <w:rsid w:val="78E9381B"/>
    <w:rsid w:val="78F271D7"/>
    <w:rsid w:val="78F31C00"/>
    <w:rsid w:val="790009B6"/>
    <w:rsid w:val="79041A64"/>
    <w:rsid w:val="79073292"/>
    <w:rsid w:val="79083113"/>
    <w:rsid w:val="79101DE6"/>
    <w:rsid w:val="79150DEB"/>
    <w:rsid w:val="791A77A8"/>
    <w:rsid w:val="791E479F"/>
    <w:rsid w:val="791F6672"/>
    <w:rsid w:val="79215340"/>
    <w:rsid w:val="792C20EC"/>
    <w:rsid w:val="792E1E94"/>
    <w:rsid w:val="793F37B1"/>
    <w:rsid w:val="794814AA"/>
    <w:rsid w:val="79507CCE"/>
    <w:rsid w:val="79527482"/>
    <w:rsid w:val="796C3D0C"/>
    <w:rsid w:val="797875E2"/>
    <w:rsid w:val="7988126F"/>
    <w:rsid w:val="798B7B54"/>
    <w:rsid w:val="799114EA"/>
    <w:rsid w:val="79A876C5"/>
    <w:rsid w:val="79AF3DC5"/>
    <w:rsid w:val="79C3570F"/>
    <w:rsid w:val="79C6076E"/>
    <w:rsid w:val="79C83FE1"/>
    <w:rsid w:val="79CF12D7"/>
    <w:rsid w:val="79D80BE1"/>
    <w:rsid w:val="79DE0095"/>
    <w:rsid w:val="79EC0EF4"/>
    <w:rsid w:val="79ED5DA7"/>
    <w:rsid w:val="79ED7BF5"/>
    <w:rsid w:val="79F375CC"/>
    <w:rsid w:val="79F968C8"/>
    <w:rsid w:val="79FB505C"/>
    <w:rsid w:val="7A0E3DF3"/>
    <w:rsid w:val="7A165A8A"/>
    <w:rsid w:val="7A1E6D59"/>
    <w:rsid w:val="7A221A11"/>
    <w:rsid w:val="7A2D70B2"/>
    <w:rsid w:val="7A326D3D"/>
    <w:rsid w:val="7A424AD9"/>
    <w:rsid w:val="7A497DC2"/>
    <w:rsid w:val="7A612E31"/>
    <w:rsid w:val="7A626B2C"/>
    <w:rsid w:val="7A6F1486"/>
    <w:rsid w:val="7A761088"/>
    <w:rsid w:val="7A7715A2"/>
    <w:rsid w:val="7A7F60D1"/>
    <w:rsid w:val="7A8025F7"/>
    <w:rsid w:val="7A8650BD"/>
    <w:rsid w:val="7A98500E"/>
    <w:rsid w:val="7A9C4FF3"/>
    <w:rsid w:val="7A9F5728"/>
    <w:rsid w:val="7AA56864"/>
    <w:rsid w:val="7AAA217C"/>
    <w:rsid w:val="7AAE3407"/>
    <w:rsid w:val="7AB55B92"/>
    <w:rsid w:val="7AB86D75"/>
    <w:rsid w:val="7AB902F6"/>
    <w:rsid w:val="7AB93D30"/>
    <w:rsid w:val="7ABD18FF"/>
    <w:rsid w:val="7AC0670E"/>
    <w:rsid w:val="7ACE0684"/>
    <w:rsid w:val="7AD81B7E"/>
    <w:rsid w:val="7ADA6124"/>
    <w:rsid w:val="7AE45532"/>
    <w:rsid w:val="7AE82707"/>
    <w:rsid w:val="7AF226B1"/>
    <w:rsid w:val="7AF27D45"/>
    <w:rsid w:val="7AF609B5"/>
    <w:rsid w:val="7AFF4711"/>
    <w:rsid w:val="7B007416"/>
    <w:rsid w:val="7B0940E7"/>
    <w:rsid w:val="7B182183"/>
    <w:rsid w:val="7B19134A"/>
    <w:rsid w:val="7B28225E"/>
    <w:rsid w:val="7B29084A"/>
    <w:rsid w:val="7B3319CF"/>
    <w:rsid w:val="7B354382"/>
    <w:rsid w:val="7B372F65"/>
    <w:rsid w:val="7B3A6BDF"/>
    <w:rsid w:val="7B3C1F7D"/>
    <w:rsid w:val="7B47007E"/>
    <w:rsid w:val="7B544A64"/>
    <w:rsid w:val="7B68023D"/>
    <w:rsid w:val="7B691DCE"/>
    <w:rsid w:val="7B7E1F95"/>
    <w:rsid w:val="7B863477"/>
    <w:rsid w:val="7B8E47AF"/>
    <w:rsid w:val="7B9663F0"/>
    <w:rsid w:val="7B977DAA"/>
    <w:rsid w:val="7B981B14"/>
    <w:rsid w:val="7B9A151E"/>
    <w:rsid w:val="7B9B473C"/>
    <w:rsid w:val="7BA74C09"/>
    <w:rsid w:val="7BA80D18"/>
    <w:rsid w:val="7BA9632A"/>
    <w:rsid w:val="7BAD61C9"/>
    <w:rsid w:val="7BAE13D5"/>
    <w:rsid w:val="7BAE275F"/>
    <w:rsid w:val="7BB46FAC"/>
    <w:rsid w:val="7BB52976"/>
    <w:rsid w:val="7BB56A53"/>
    <w:rsid w:val="7BC021B0"/>
    <w:rsid w:val="7BC77989"/>
    <w:rsid w:val="7BCD576B"/>
    <w:rsid w:val="7BD161A0"/>
    <w:rsid w:val="7BD953C3"/>
    <w:rsid w:val="7BEF71C2"/>
    <w:rsid w:val="7BF05623"/>
    <w:rsid w:val="7BFA87E2"/>
    <w:rsid w:val="7BFB35B2"/>
    <w:rsid w:val="7BFF6F6F"/>
    <w:rsid w:val="7C0915AE"/>
    <w:rsid w:val="7C1065EC"/>
    <w:rsid w:val="7C1449D0"/>
    <w:rsid w:val="7C1B6C7E"/>
    <w:rsid w:val="7C1D3961"/>
    <w:rsid w:val="7C2A6DEA"/>
    <w:rsid w:val="7C2E3626"/>
    <w:rsid w:val="7C395C46"/>
    <w:rsid w:val="7C3A1137"/>
    <w:rsid w:val="7C3D4391"/>
    <w:rsid w:val="7C40528B"/>
    <w:rsid w:val="7C444CF8"/>
    <w:rsid w:val="7C4E6C7C"/>
    <w:rsid w:val="7C512E85"/>
    <w:rsid w:val="7C561191"/>
    <w:rsid w:val="7C6823BE"/>
    <w:rsid w:val="7C6975A9"/>
    <w:rsid w:val="7C7160C9"/>
    <w:rsid w:val="7C7F77DF"/>
    <w:rsid w:val="7C821FDC"/>
    <w:rsid w:val="7C8371B3"/>
    <w:rsid w:val="7C8426BC"/>
    <w:rsid w:val="7C94769A"/>
    <w:rsid w:val="7C9A39AF"/>
    <w:rsid w:val="7C9A5D0B"/>
    <w:rsid w:val="7CAE3FDD"/>
    <w:rsid w:val="7CBA63FB"/>
    <w:rsid w:val="7CBC6D70"/>
    <w:rsid w:val="7CBD2654"/>
    <w:rsid w:val="7CBF5429"/>
    <w:rsid w:val="7CD607F6"/>
    <w:rsid w:val="7CE84271"/>
    <w:rsid w:val="7CEC027A"/>
    <w:rsid w:val="7CEC5AA8"/>
    <w:rsid w:val="7CEC6FE9"/>
    <w:rsid w:val="7CED5325"/>
    <w:rsid w:val="7CF2748B"/>
    <w:rsid w:val="7CF35DDE"/>
    <w:rsid w:val="7CF51B63"/>
    <w:rsid w:val="7CF8049C"/>
    <w:rsid w:val="7CF84703"/>
    <w:rsid w:val="7CFE5896"/>
    <w:rsid w:val="7D0554BA"/>
    <w:rsid w:val="7D0D7D48"/>
    <w:rsid w:val="7D12671E"/>
    <w:rsid w:val="7D273622"/>
    <w:rsid w:val="7D287965"/>
    <w:rsid w:val="7D4251BD"/>
    <w:rsid w:val="7D431846"/>
    <w:rsid w:val="7D4448E3"/>
    <w:rsid w:val="7D451CAD"/>
    <w:rsid w:val="7D493283"/>
    <w:rsid w:val="7D4C09B1"/>
    <w:rsid w:val="7D607ABF"/>
    <w:rsid w:val="7D673CA9"/>
    <w:rsid w:val="7D67461A"/>
    <w:rsid w:val="7D696795"/>
    <w:rsid w:val="7D762D06"/>
    <w:rsid w:val="7D766C94"/>
    <w:rsid w:val="7D8313FA"/>
    <w:rsid w:val="7D8A0046"/>
    <w:rsid w:val="7D931EC1"/>
    <w:rsid w:val="7DBF451B"/>
    <w:rsid w:val="7DC139B5"/>
    <w:rsid w:val="7DC518DD"/>
    <w:rsid w:val="7DC774DD"/>
    <w:rsid w:val="7DCA747B"/>
    <w:rsid w:val="7DD441EB"/>
    <w:rsid w:val="7DD71D69"/>
    <w:rsid w:val="7DE92089"/>
    <w:rsid w:val="7DEE23C1"/>
    <w:rsid w:val="7DF11250"/>
    <w:rsid w:val="7DF258AE"/>
    <w:rsid w:val="7DF93975"/>
    <w:rsid w:val="7E187C04"/>
    <w:rsid w:val="7E1C4369"/>
    <w:rsid w:val="7E434B4D"/>
    <w:rsid w:val="7E44281B"/>
    <w:rsid w:val="7E4703D6"/>
    <w:rsid w:val="7E592945"/>
    <w:rsid w:val="7E602E4A"/>
    <w:rsid w:val="7E61127B"/>
    <w:rsid w:val="7E620F92"/>
    <w:rsid w:val="7E641663"/>
    <w:rsid w:val="7E6A2E14"/>
    <w:rsid w:val="7E6D011C"/>
    <w:rsid w:val="7E706E3E"/>
    <w:rsid w:val="7E722F3A"/>
    <w:rsid w:val="7E750F24"/>
    <w:rsid w:val="7E8660D0"/>
    <w:rsid w:val="7E885B32"/>
    <w:rsid w:val="7E975F10"/>
    <w:rsid w:val="7E9C140B"/>
    <w:rsid w:val="7EA03E00"/>
    <w:rsid w:val="7EA22DFC"/>
    <w:rsid w:val="7EA36D0F"/>
    <w:rsid w:val="7EA66BD6"/>
    <w:rsid w:val="7EA7120C"/>
    <w:rsid w:val="7EA87E0C"/>
    <w:rsid w:val="7EB43B0B"/>
    <w:rsid w:val="7EB72412"/>
    <w:rsid w:val="7EBE46D0"/>
    <w:rsid w:val="7EBF44B5"/>
    <w:rsid w:val="7EC05132"/>
    <w:rsid w:val="7EC81B12"/>
    <w:rsid w:val="7EC932C7"/>
    <w:rsid w:val="7ED47721"/>
    <w:rsid w:val="7ED92421"/>
    <w:rsid w:val="7EDC23EC"/>
    <w:rsid w:val="7EE31608"/>
    <w:rsid w:val="7EE73F34"/>
    <w:rsid w:val="7EED11CF"/>
    <w:rsid w:val="7EFB3D84"/>
    <w:rsid w:val="7F04112D"/>
    <w:rsid w:val="7F0D5B31"/>
    <w:rsid w:val="7F124073"/>
    <w:rsid w:val="7F15741E"/>
    <w:rsid w:val="7F1A28F4"/>
    <w:rsid w:val="7F1C6EF2"/>
    <w:rsid w:val="7F1E4274"/>
    <w:rsid w:val="7F291E09"/>
    <w:rsid w:val="7F310F6B"/>
    <w:rsid w:val="7F323B39"/>
    <w:rsid w:val="7F445491"/>
    <w:rsid w:val="7F5168FF"/>
    <w:rsid w:val="7F544A77"/>
    <w:rsid w:val="7F555F62"/>
    <w:rsid w:val="7F5851AA"/>
    <w:rsid w:val="7F6E2514"/>
    <w:rsid w:val="7F7B7F13"/>
    <w:rsid w:val="7F7E5882"/>
    <w:rsid w:val="7F8C32F3"/>
    <w:rsid w:val="7F9F7615"/>
    <w:rsid w:val="7FAA15DA"/>
    <w:rsid w:val="7FAB1120"/>
    <w:rsid w:val="7FBE2049"/>
    <w:rsid w:val="7FBF0D15"/>
    <w:rsid w:val="7FC33949"/>
    <w:rsid w:val="7FC7322C"/>
    <w:rsid w:val="7FD15A2A"/>
    <w:rsid w:val="7FDE029F"/>
    <w:rsid w:val="7FE9691C"/>
    <w:rsid w:val="BEFBF21B"/>
    <w:rsid w:val="DD673AAB"/>
    <w:rsid w:val="ED4E858F"/>
    <w:rsid w:val="FDFC962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unhideWhenUsed/>
    <w:qFormat/>
    <w:uiPriority w:val="9"/>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unhideWhenUsed/>
    <w:qFormat/>
    <w:uiPriority w:val="0"/>
    <w:pPr>
      <w:spacing w:beforeAutospacing="1" w:afterAutospacing="1"/>
      <w:jc w:val="left"/>
      <w:outlineLvl w:val="2"/>
    </w:pPr>
    <w:rPr>
      <w:rFonts w:hint="eastAsia" w:ascii="宋体" w:hAnsi="宋体"/>
      <w:b/>
      <w:kern w:val="0"/>
      <w:sz w:val="27"/>
      <w:szCs w:val="27"/>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0"/>
    <w:pPr>
      <w:ind w:firstLine="200" w:firstLineChars="200"/>
    </w:pPr>
  </w:style>
  <w:style w:type="paragraph" w:styleId="6">
    <w:name w:val="caption"/>
    <w:basedOn w:val="1"/>
    <w:next w:val="1"/>
    <w:unhideWhenUsed/>
    <w:qFormat/>
    <w:uiPriority w:val="0"/>
    <w:rPr>
      <w:rFonts w:ascii="Arial" w:hAnsi="Arial" w:eastAsia="黑体"/>
      <w:sz w:val="20"/>
    </w:rPr>
  </w:style>
  <w:style w:type="paragraph" w:styleId="7">
    <w:name w:val="annotation text"/>
    <w:basedOn w:val="1"/>
    <w:link w:val="34"/>
    <w:qFormat/>
    <w:uiPriority w:val="0"/>
    <w:pPr>
      <w:jc w:val="left"/>
    </w:pPr>
  </w:style>
  <w:style w:type="paragraph" w:styleId="8">
    <w:name w:val="Body Text"/>
    <w:basedOn w:val="1"/>
    <w:link w:val="38"/>
    <w:unhideWhenUsed/>
    <w:qFormat/>
    <w:uiPriority w:val="0"/>
    <w:pPr>
      <w:spacing w:after="120"/>
    </w:pPr>
    <w:rPr>
      <w:rFonts w:ascii="Times New Roman" w:hAnsi="Times New Roman"/>
      <w:szCs w:val="24"/>
    </w:rPr>
  </w:style>
  <w:style w:type="paragraph" w:styleId="9">
    <w:name w:val="toc 3"/>
    <w:basedOn w:val="1"/>
    <w:next w:val="1"/>
    <w:qFormat/>
    <w:uiPriority w:val="39"/>
    <w:pPr>
      <w:ind w:left="840" w:leftChars="400"/>
    </w:pPr>
  </w:style>
  <w:style w:type="paragraph" w:styleId="10">
    <w:name w:val="endnote text"/>
    <w:basedOn w:val="1"/>
    <w:link w:val="37"/>
    <w:qFormat/>
    <w:uiPriority w:val="0"/>
    <w:pPr>
      <w:snapToGrid w:val="0"/>
      <w:jc w:val="left"/>
    </w:pPr>
  </w:style>
  <w:style w:type="paragraph" w:styleId="11">
    <w:name w:val="Balloon Text"/>
    <w:basedOn w:val="1"/>
    <w:link w:val="36"/>
    <w:qFormat/>
    <w:uiPriority w:val="0"/>
    <w:rPr>
      <w:sz w:val="18"/>
      <w:szCs w:val="18"/>
    </w:rPr>
  </w:style>
  <w:style w:type="paragraph" w:styleId="12">
    <w:name w:val="footer"/>
    <w:basedOn w:val="1"/>
    <w:next w:val="1"/>
    <w:unhideWhenUsed/>
    <w:qFormat/>
    <w:uiPriority w:val="99"/>
    <w:pPr>
      <w:tabs>
        <w:tab w:val="center" w:pos="4153"/>
        <w:tab w:val="right" w:pos="8306"/>
      </w:tabs>
      <w:snapToGrid w:val="0"/>
      <w:jc w:val="left"/>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before="360"/>
      <w:jc w:val="left"/>
    </w:pPr>
    <w:rPr>
      <w:rFonts w:ascii="Cambria" w:hAnsi="Cambria" w:eastAsia="仿宋_GB2312"/>
      <w:b/>
      <w:bCs/>
      <w:caps/>
      <w:w w:val="90"/>
      <w:sz w:val="24"/>
      <w:szCs w:val="24"/>
    </w:rPr>
  </w:style>
  <w:style w:type="paragraph" w:styleId="15">
    <w:name w:val="footnote text"/>
    <w:basedOn w:val="1"/>
    <w:link w:val="29"/>
    <w:qFormat/>
    <w:uiPriority w:val="99"/>
    <w:pPr>
      <w:snapToGrid w:val="0"/>
      <w:jc w:val="left"/>
    </w:pPr>
    <w:rPr>
      <w:sz w:val="18"/>
      <w:szCs w:val="18"/>
    </w:rPr>
  </w:style>
  <w:style w:type="paragraph" w:styleId="16">
    <w:name w:val="toc 2"/>
    <w:basedOn w:val="1"/>
    <w:next w:val="1"/>
    <w:qFormat/>
    <w:uiPriority w:val="39"/>
    <w:pPr>
      <w:tabs>
        <w:tab w:val="right" w:leader="dot" w:pos="8680"/>
      </w:tabs>
      <w:ind w:left="420" w:leftChars="200"/>
      <w:jc w:val="center"/>
    </w:pPr>
    <w:rPr>
      <w:rFonts w:ascii="黑体" w:hAnsi="黑体" w:eastAsia="黑体" w:cs="黑体"/>
      <w:sz w:val="32"/>
      <w:szCs w:val="32"/>
    </w:rPr>
  </w:style>
  <w:style w:type="paragraph" w:styleId="17">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18">
    <w:name w:val="annotation subject"/>
    <w:basedOn w:val="7"/>
    <w:next w:val="7"/>
    <w:link w:val="33"/>
    <w:qFormat/>
    <w:uiPriority w:val="0"/>
    <w:rPr>
      <w:b/>
      <w:bCs/>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endnote reference"/>
    <w:basedOn w:val="21"/>
    <w:qFormat/>
    <w:uiPriority w:val="0"/>
    <w:rPr>
      <w:vertAlign w:val="superscript"/>
    </w:rPr>
  </w:style>
  <w:style w:type="character" w:styleId="23">
    <w:name w:val="Hyperlink"/>
    <w:qFormat/>
    <w:uiPriority w:val="99"/>
    <w:rPr>
      <w:rFonts w:cs="Times New Roman"/>
      <w:color w:val="0000FF"/>
      <w:u w:val="single"/>
    </w:rPr>
  </w:style>
  <w:style w:type="character" w:styleId="24">
    <w:name w:val="annotation reference"/>
    <w:basedOn w:val="21"/>
    <w:qFormat/>
    <w:uiPriority w:val="0"/>
    <w:rPr>
      <w:sz w:val="21"/>
      <w:szCs w:val="21"/>
    </w:rPr>
  </w:style>
  <w:style w:type="character" w:styleId="25">
    <w:name w:val="footnote reference"/>
    <w:basedOn w:val="21"/>
    <w:qFormat/>
    <w:uiPriority w:val="0"/>
    <w:rPr>
      <w:vertAlign w:val="superscript"/>
    </w:rPr>
  </w:style>
  <w:style w:type="paragraph" w:customStyle="1" w:styleId="26">
    <w:name w:val="Char Char Char Char"/>
    <w:basedOn w:val="1"/>
    <w:qFormat/>
    <w:uiPriority w:val="0"/>
    <w:pPr>
      <w:widowControl/>
      <w:spacing w:after="160" w:line="240" w:lineRule="exact"/>
      <w:jc w:val="left"/>
    </w:pPr>
    <w:rPr>
      <w:rFonts w:ascii="Tahoma" w:hAnsi="Tahoma" w:cs="黑体"/>
      <w:kern w:val="0"/>
      <w:sz w:val="24"/>
    </w:rPr>
  </w:style>
  <w:style w:type="paragraph" w:customStyle="1" w:styleId="27">
    <w:name w:val="列出段落1"/>
    <w:basedOn w:val="1"/>
    <w:unhideWhenUsed/>
    <w:qFormat/>
    <w:uiPriority w:val="34"/>
    <w:pPr>
      <w:ind w:firstLine="420" w:firstLineChars="200"/>
    </w:pPr>
  </w:style>
  <w:style w:type="paragraph" w:customStyle="1" w:styleId="28">
    <w:name w:val="默认段落字体 Para Char Char Char Char Char Char Char"/>
    <w:basedOn w:val="1"/>
    <w:qFormat/>
    <w:uiPriority w:val="0"/>
    <w:rPr>
      <w:rFonts w:ascii="Tahoma" w:hAnsi="Tahoma"/>
      <w:sz w:val="24"/>
      <w:szCs w:val="20"/>
    </w:rPr>
  </w:style>
  <w:style w:type="character" w:customStyle="1" w:styleId="29">
    <w:name w:val="脚注文本 Char"/>
    <w:basedOn w:val="21"/>
    <w:link w:val="15"/>
    <w:qFormat/>
    <w:uiPriority w:val="99"/>
    <w:rPr>
      <w:rFonts w:ascii="Calibri" w:hAnsi="Calibri"/>
      <w:kern w:val="2"/>
      <w:sz w:val="18"/>
      <w:szCs w:val="18"/>
    </w:rPr>
  </w:style>
  <w:style w:type="character" w:customStyle="1" w:styleId="30">
    <w:name w:val="页眉 Char"/>
    <w:basedOn w:val="21"/>
    <w:link w:val="13"/>
    <w:qFormat/>
    <w:uiPriority w:val="0"/>
    <w:rPr>
      <w:rFonts w:ascii="Calibri" w:hAnsi="Calibri"/>
      <w:kern w:val="2"/>
      <w:sz w:val="18"/>
      <w:szCs w:val="18"/>
    </w:rPr>
  </w:style>
  <w:style w:type="character" w:customStyle="1" w:styleId="31">
    <w:name w:val="标题 2 Char"/>
    <w:basedOn w:val="21"/>
    <w:link w:val="3"/>
    <w:qFormat/>
    <w:uiPriority w:val="9"/>
    <w:rPr>
      <w:rFonts w:ascii="Calibri Light" w:hAnsi="Calibri Light" w:eastAsia="宋体" w:cs="Times New Roman"/>
      <w:b/>
      <w:bCs/>
      <w:kern w:val="2"/>
      <w:sz w:val="32"/>
      <w:szCs w:val="32"/>
    </w:rPr>
  </w:style>
  <w:style w:type="character" w:customStyle="1" w:styleId="32">
    <w:name w:val="font11"/>
    <w:basedOn w:val="21"/>
    <w:qFormat/>
    <w:uiPriority w:val="0"/>
    <w:rPr>
      <w:rFonts w:hint="eastAsia" w:ascii="宋体" w:hAnsi="宋体" w:eastAsia="宋体" w:cs="宋体"/>
      <w:color w:val="000000"/>
      <w:sz w:val="20"/>
      <w:szCs w:val="20"/>
      <w:u w:val="none"/>
    </w:rPr>
  </w:style>
  <w:style w:type="character" w:customStyle="1" w:styleId="33">
    <w:name w:val="批注主题 Char"/>
    <w:basedOn w:val="34"/>
    <w:link w:val="18"/>
    <w:qFormat/>
    <w:uiPriority w:val="0"/>
    <w:rPr>
      <w:rFonts w:ascii="Calibri" w:hAnsi="Calibri"/>
      <w:b/>
      <w:bCs/>
      <w:kern w:val="2"/>
      <w:sz w:val="21"/>
      <w:szCs w:val="22"/>
    </w:rPr>
  </w:style>
  <w:style w:type="character" w:customStyle="1" w:styleId="34">
    <w:name w:val="批注文字 Char"/>
    <w:basedOn w:val="21"/>
    <w:link w:val="7"/>
    <w:qFormat/>
    <w:uiPriority w:val="0"/>
    <w:rPr>
      <w:rFonts w:ascii="Calibri" w:hAnsi="Calibri"/>
      <w:kern w:val="2"/>
      <w:sz w:val="21"/>
      <w:szCs w:val="22"/>
    </w:rPr>
  </w:style>
  <w:style w:type="character" w:customStyle="1" w:styleId="35">
    <w:name w:val="font31"/>
    <w:basedOn w:val="21"/>
    <w:qFormat/>
    <w:uiPriority w:val="0"/>
    <w:rPr>
      <w:rFonts w:hint="eastAsia" w:ascii="宋体" w:hAnsi="宋体" w:eastAsia="宋体" w:cs="宋体"/>
      <w:color w:val="000000"/>
      <w:sz w:val="20"/>
      <w:szCs w:val="20"/>
      <w:u w:val="none"/>
    </w:rPr>
  </w:style>
  <w:style w:type="character" w:customStyle="1" w:styleId="36">
    <w:name w:val="批注框文本 Char"/>
    <w:basedOn w:val="21"/>
    <w:link w:val="11"/>
    <w:qFormat/>
    <w:uiPriority w:val="0"/>
    <w:rPr>
      <w:rFonts w:ascii="Calibri" w:hAnsi="Calibri"/>
      <w:kern w:val="2"/>
      <w:sz w:val="18"/>
      <w:szCs w:val="18"/>
    </w:rPr>
  </w:style>
  <w:style w:type="character" w:customStyle="1" w:styleId="37">
    <w:name w:val="尾注文本 Char"/>
    <w:basedOn w:val="21"/>
    <w:link w:val="10"/>
    <w:qFormat/>
    <w:uiPriority w:val="0"/>
    <w:rPr>
      <w:rFonts w:ascii="Calibri" w:hAnsi="Calibri"/>
      <w:kern w:val="2"/>
      <w:sz w:val="21"/>
      <w:szCs w:val="22"/>
    </w:rPr>
  </w:style>
  <w:style w:type="character" w:customStyle="1" w:styleId="38">
    <w:name w:val="正文文本 Char"/>
    <w:basedOn w:val="21"/>
    <w:link w:val="8"/>
    <w:qFormat/>
    <w:uiPriority w:val="0"/>
    <w:rPr>
      <w:rFonts w:ascii="Times New Roman" w:hAnsi="Times New Roman"/>
      <w:kern w:val="2"/>
      <w:sz w:val="21"/>
      <w:szCs w:val="24"/>
    </w:rPr>
  </w:style>
  <w:style w:type="paragraph" w:styleId="39">
    <w:name w:val="List Paragraph"/>
    <w:basedOn w:val="1"/>
    <w:qFormat/>
    <w:uiPriority w:val="99"/>
    <w:pPr>
      <w:ind w:firstLine="420" w:firstLineChars="200"/>
    </w:pPr>
  </w:style>
  <w:style w:type="character" w:customStyle="1" w:styleId="40">
    <w:name w:val="UserStyle_0"/>
    <w:qFormat/>
    <w:uiPriority w:val="0"/>
    <w:rPr>
      <w:rFonts w:ascii="Times New Roman" w:hAnsi="Times New Roman" w:eastAsia="宋体" w:cs="Times New Roman"/>
    </w:rPr>
  </w:style>
  <w:style w:type="character" w:customStyle="1" w:styleId="41">
    <w:name w:val="UserStyle_1"/>
    <w:link w:val="42"/>
    <w:qFormat/>
    <w:locked/>
    <w:uiPriority w:val="0"/>
    <w:rPr>
      <w:kern w:val="0"/>
      <w:sz w:val="20"/>
      <w:szCs w:val="20"/>
    </w:rPr>
  </w:style>
  <w:style w:type="paragraph" w:customStyle="1" w:styleId="42">
    <w:name w:val="UserStyle_2"/>
    <w:basedOn w:val="1"/>
    <w:link w:val="41"/>
    <w:qFormat/>
    <w:uiPriority w:val="0"/>
    <w:rPr>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14716</Words>
  <Characters>15312</Characters>
  <Lines>90</Lines>
  <Paragraphs>25</Paragraphs>
  <TotalTime>1</TotalTime>
  <ScaleCrop>false</ScaleCrop>
  <LinksUpToDate>false</LinksUpToDate>
  <CharactersWithSpaces>15335</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2019-06-29T23:15:00Z</dcterms:created>
  <dc:creator>Administrator</dc:creator>
  <cp:lastModifiedBy>uos</cp:lastModifiedBy>
  <cp:lastPrinted>2019-07-15T17:04:00Z</cp:lastPrinted>
  <dcterms:modified xsi:type="dcterms:W3CDTF">2023-08-24T16:49:15Z</dcterms:modified>
  <dc:title>2020年度北京市规划和自然资源委员会</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2FF91401E70641C08315490EEF47DC15_13</vt:lpwstr>
  </property>
</Properties>
</file>