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方正小标宋简体" w:hAnsi="方正小标宋简体" w:eastAsia="方正小标宋简体" w:cs="方正小标宋简体"/>
          <w:bCs/>
          <w:color w:val="000000"/>
          <w:sz w:val="36"/>
          <w:szCs w:val="36"/>
        </w:rPr>
      </w:pPr>
      <w:bookmarkStart w:id="0" w:name="_Toc24832"/>
      <w:r>
        <w:rPr>
          <w:rFonts w:hint="eastAsia" w:ascii="方正小标宋简体" w:hAnsi="方正小标宋简体" w:eastAsia="方正小标宋简体" w:cs="方正小标宋简体"/>
          <w:bCs/>
          <w:color w:val="000000"/>
          <w:sz w:val="36"/>
          <w:szCs w:val="36"/>
        </w:rPr>
        <w:t>智慧城市规划和顶层设计管控体系服务支撑项目</w:t>
      </w:r>
      <w:bookmarkEnd w:id="0"/>
      <w:bookmarkStart w:id="1" w:name="_Toc20603"/>
      <w:bookmarkStart w:id="2" w:name="_Toc6229"/>
      <w:bookmarkStart w:id="3" w:name="_Toc4103403"/>
      <w:bookmarkStart w:id="4" w:name="_Toc35848570"/>
      <w:bookmarkStart w:id="5" w:name="_Toc35601772"/>
      <w:bookmarkStart w:id="6" w:name="_Toc9964"/>
      <w:bookmarkStart w:id="7" w:name="_Toc22484"/>
      <w:bookmarkStart w:id="8" w:name="_Toc16665"/>
      <w:bookmarkStart w:id="9" w:name="_Toc17221"/>
      <w:bookmarkStart w:id="10" w:name="_Toc36129064"/>
      <w:bookmarkStart w:id="11" w:name="_Toc15594"/>
      <w:bookmarkStart w:id="12" w:name="_Toc509325122"/>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Cs/>
          <w:color w:val="000000"/>
          <w:sz w:val="36"/>
          <w:szCs w:val="36"/>
        </w:rPr>
      </w:pPr>
      <w:r>
        <w:rPr>
          <w:rFonts w:hint="eastAsia" w:ascii="方正小标宋简体" w:hAnsi="方正小标宋简体" w:eastAsia="方正小标宋简体" w:cs="方正小标宋简体"/>
          <w:bCs/>
          <w:color w:val="000000"/>
          <w:sz w:val="36"/>
          <w:szCs w:val="36"/>
        </w:rPr>
        <w:t>支出绩效评价报告</w:t>
      </w:r>
      <w:bookmarkEnd w:id="1"/>
      <w:bookmarkEnd w:id="2"/>
      <w:bookmarkEnd w:id="3"/>
      <w:bookmarkEnd w:id="4"/>
      <w:bookmarkEnd w:id="5"/>
      <w:bookmarkEnd w:id="6"/>
      <w:bookmarkEnd w:id="7"/>
      <w:bookmarkEnd w:id="8"/>
      <w:bookmarkEnd w:id="9"/>
      <w:bookmarkEnd w:id="10"/>
      <w:bookmarkEnd w:id="11"/>
      <w:bookmarkEnd w:id="12"/>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9"/>
        <w:rPr>
          <w:rFonts w:eastAsia="黑体"/>
          <w:sz w:val="32"/>
          <w:szCs w:val="32"/>
        </w:rPr>
      </w:pPr>
      <w:bookmarkStart w:id="13" w:name="_Toc23022"/>
      <w:bookmarkStart w:id="14" w:name="_Toc17385"/>
      <w:bookmarkStart w:id="15" w:name="_Toc36129065"/>
      <w:bookmarkStart w:id="16" w:name="_Toc7025"/>
      <w:bookmarkStart w:id="17" w:name="_Toc22630"/>
      <w:bookmarkStart w:id="18" w:name="_Toc11606"/>
      <w:bookmarkStart w:id="19" w:name="_Toc26362"/>
      <w:bookmarkStart w:id="20" w:name="_Toc9632"/>
      <w:bookmarkStart w:id="21" w:name="_Toc32324"/>
      <w:bookmarkStart w:id="22" w:name="_Toc9739"/>
      <w:bookmarkStart w:id="23" w:name="_Toc14616"/>
      <w:bookmarkStart w:id="24" w:name="_Toc14117"/>
      <w:bookmarkStart w:id="25" w:name="_Toc1914"/>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0"/>
        <w:rPr>
          <w:rFonts w:eastAsia="黑体"/>
          <w:b/>
          <w:sz w:val="32"/>
          <w:szCs w:val="32"/>
        </w:rPr>
      </w:pPr>
      <w:bookmarkStart w:id="26" w:name="_Toc12425"/>
      <w:r>
        <w:rPr>
          <w:rFonts w:eastAsia="黑体"/>
          <w:sz w:val="32"/>
          <w:szCs w:val="32"/>
        </w:rPr>
        <w:t>一、基本情况</w:t>
      </w:r>
      <w:bookmarkEnd w:id="13"/>
      <w:bookmarkEnd w:id="14"/>
      <w:bookmarkEnd w:id="15"/>
      <w:bookmarkEnd w:id="16"/>
      <w:bookmarkEnd w:id="17"/>
      <w:bookmarkEnd w:id="18"/>
      <w:bookmarkEnd w:id="19"/>
      <w:bookmarkEnd w:id="20"/>
      <w:bookmarkEnd w:id="21"/>
      <w:bookmarkEnd w:id="22"/>
      <w:bookmarkEnd w:id="23"/>
      <w:bookmarkEnd w:id="24"/>
      <w:bookmarkEnd w:id="25"/>
      <w:bookmarkEnd w:id="26"/>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eastAsia" w:ascii="楷体_GB2312" w:hAnsi="楷体_GB2312" w:eastAsia="楷体_GB2312" w:cs="楷体_GB2312"/>
          <w:sz w:val="32"/>
          <w:szCs w:val="32"/>
        </w:rPr>
      </w:pPr>
      <w:bookmarkStart w:id="27" w:name="_Toc5082"/>
      <w:bookmarkStart w:id="28" w:name="_Toc3407"/>
      <w:bookmarkStart w:id="29" w:name="_Toc11334"/>
      <w:bookmarkStart w:id="30" w:name="_Toc24236"/>
      <w:bookmarkStart w:id="31" w:name="_Toc13984"/>
      <w:bookmarkStart w:id="32" w:name="_Toc35420689"/>
      <w:bookmarkStart w:id="33" w:name="_Toc14676"/>
      <w:bookmarkStart w:id="34" w:name="_Toc8740"/>
      <w:bookmarkStart w:id="35" w:name="_Toc1746"/>
      <w:bookmarkStart w:id="36" w:name="_Toc12207"/>
      <w:bookmarkStart w:id="37" w:name="_Toc36129066"/>
      <w:bookmarkStart w:id="38" w:name="_Toc22050"/>
      <w:bookmarkStart w:id="39" w:name="_Toc22008"/>
      <w:bookmarkStart w:id="40" w:name="_Toc10195"/>
      <w:bookmarkStart w:id="41" w:name="_Toc28295"/>
      <w:bookmarkStart w:id="42" w:name="_Toc14042"/>
      <w:r>
        <w:rPr>
          <w:rFonts w:hint="eastAsia" w:ascii="楷体_GB2312" w:hAnsi="楷体_GB2312" w:eastAsia="楷体_GB2312" w:cs="楷体_GB2312"/>
          <w:sz w:val="32"/>
          <w:szCs w:val="32"/>
        </w:rPr>
        <w:t>（一）</w:t>
      </w:r>
      <w:bookmarkEnd w:id="27"/>
      <w:r>
        <w:rPr>
          <w:rFonts w:hint="eastAsia" w:ascii="楷体_GB2312" w:hAnsi="楷体_GB2312" w:eastAsia="楷体_GB2312" w:cs="楷体_GB2312"/>
          <w:sz w:val="32"/>
          <w:szCs w:val="32"/>
        </w:rPr>
        <w:t>项目概况</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bCs/>
          <w:sz w:val="32"/>
          <w:szCs w:val="32"/>
          <w:lang w:val="en-US" w:eastAsia="zh-CN"/>
        </w:rPr>
      </w:pPr>
      <w:bookmarkStart w:id="43" w:name="_Toc9625"/>
      <w:bookmarkStart w:id="44" w:name="_Toc21754"/>
      <w:bookmarkStart w:id="45" w:name="_Toc30660"/>
      <w:bookmarkStart w:id="46" w:name="_Toc3180"/>
      <w:bookmarkStart w:id="47" w:name="_Toc23123"/>
      <w:bookmarkStart w:id="48" w:name="_Toc5388"/>
      <w:bookmarkStart w:id="49" w:name="_Toc10849"/>
      <w:bookmarkStart w:id="50" w:name="_Toc20199"/>
      <w:bookmarkStart w:id="51" w:name="_Toc6904"/>
      <w:bookmarkStart w:id="52" w:name="_Toc14129"/>
      <w:bookmarkStart w:id="53" w:name="_Toc2865"/>
      <w:bookmarkStart w:id="54" w:name="_Toc26439"/>
      <w:r>
        <w:rPr>
          <w:rFonts w:hint="eastAsia" w:ascii="仿宋_GB2312" w:hAnsi="仿宋_GB2312" w:eastAsia="仿宋_GB2312" w:cs="仿宋_GB2312"/>
          <w:b/>
          <w:bCs/>
          <w:sz w:val="32"/>
          <w:szCs w:val="32"/>
          <w:lang w:val="en-US" w:eastAsia="zh-CN"/>
        </w:rPr>
        <w:t>1.项目立项背景</w:t>
      </w:r>
      <w:bookmarkEnd w:id="43"/>
      <w:bookmarkEnd w:id="44"/>
      <w:bookmarkEnd w:id="45"/>
      <w:bookmarkEnd w:id="46"/>
      <w:bookmarkEnd w:id="47"/>
      <w:bookmarkEnd w:id="48"/>
      <w:bookmarkEnd w:id="49"/>
      <w:bookmarkEnd w:id="50"/>
      <w:bookmarkEnd w:id="51"/>
      <w:bookmarkEnd w:id="52"/>
      <w:bookmarkEnd w:id="53"/>
      <w:bookmarkEnd w:id="5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为贯彻落实北京市大数据行动计划、北京市智慧城市建设的总体部署和工作要求，规范北京</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市政务信息系统建设管理，《北京市“十四五”时期智慧城市发展行动纲要》</w:t>
      </w:r>
      <w:r>
        <w:rPr>
          <w:rFonts w:hint="eastAsia" w:ascii="仿宋_GB2312" w:hAnsi="仿宋_GB2312" w:eastAsia="仿宋_GB2312" w:cs="仿宋_GB2312"/>
          <w:sz w:val="32"/>
          <w:szCs w:val="32"/>
          <w:lang w:val="en-US" w:eastAsia="zh-CN"/>
        </w:rPr>
        <w:t>明确提出</w:t>
      </w:r>
      <w:r>
        <w:rPr>
          <w:rFonts w:hint="eastAsia" w:ascii="仿宋_GB2312" w:hAnsi="仿宋_GB2312" w:eastAsia="仿宋_GB2312" w:cs="仿宋_GB2312"/>
          <w:sz w:val="32"/>
          <w:szCs w:val="32"/>
        </w:rPr>
        <w:t>“强化智慧城市统筹协调力度”，“通过智慧城市推动政府管理体制机制改革，运用大数据等新技术手段，提高事中事后监管和财政绩效评估的精细化水平”，“在规划设计、项目储备、技术评审、绩效评估等环节，建立项目统筹管理‘闭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建立智慧城市评估评价体系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从而有效</w:t>
      </w:r>
      <w:r>
        <w:rPr>
          <w:rFonts w:hint="eastAsia" w:ascii="仿宋_GB2312" w:hAnsi="仿宋_GB2312" w:eastAsia="仿宋_GB2312" w:cs="仿宋_GB2312"/>
          <w:sz w:val="32"/>
          <w:szCs w:val="32"/>
        </w:rPr>
        <w:t>加强全市数据资源汇聚整合和共享应用</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加快推动</w:t>
      </w:r>
      <w:r>
        <w:rPr>
          <w:rFonts w:hint="eastAsia" w:ascii="仿宋_GB2312" w:hAnsi="仿宋_GB2312" w:eastAsia="仿宋_GB2312" w:cs="仿宋_GB2312"/>
          <w:sz w:val="32"/>
          <w:szCs w:val="32"/>
        </w:rPr>
        <w:t>“十四五”时期</w:t>
      </w:r>
      <w:r>
        <w:rPr>
          <w:rFonts w:hint="eastAsia" w:ascii="仿宋_GB2312" w:hAnsi="仿宋_GB2312" w:eastAsia="仿宋_GB2312" w:cs="仿宋_GB2312"/>
          <w:sz w:val="32"/>
          <w:szCs w:val="32"/>
          <w:lang w:val="en-US" w:eastAsia="zh-CN"/>
        </w:rPr>
        <w:t>北京</w:t>
      </w:r>
      <w:r>
        <w:rPr>
          <w:rFonts w:hint="eastAsia" w:ascii="仿宋_GB2312" w:hAnsi="仿宋_GB2312" w:eastAsia="仿宋_GB2312" w:cs="仿宋_GB2312"/>
          <w:sz w:val="32"/>
          <w:szCs w:val="32"/>
        </w:rPr>
        <w:t>智慧城市发展，按照市委、市政府</w:t>
      </w:r>
      <w:r>
        <w:rPr>
          <w:rFonts w:hint="eastAsia" w:ascii="仿宋_GB2312" w:hAnsi="仿宋_GB2312" w:eastAsia="仿宋_GB2312" w:cs="仿宋_GB2312"/>
          <w:sz w:val="32"/>
          <w:szCs w:val="32"/>
          <w:lang w:val="en-US" w:eastAsia="zh-CN"/>
        </w:rPr>
        <w:t>关于</w:t>
      </w:r>
      <w:r>
        <w:rPr>
          <w:rFonts w:hint="eastAsia" w:ascii="仿宋_GB2312" w:hAnsi="仿宋_GB2312" w:eastAsia="仿宋_GB2312" w:cs="仿宋_GB2312"/>
          <w:sz w:val="32"/>
          <w:szCs w:val="32"/>
        </w:rPr>
        <w:t>智慧城市建设</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工作部署，2021年11月北京市大数据工作推进小组印发《北京市智慧城市规划和顶层设计管理办法（试行）》（京大数据发〔2021〕3号），该办法按照总体统筹、分层设计、动态管控、闭环管理的基本原则，明确了全市总体规划</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以下简称“总规”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、市级控制性规划</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以下简称“控规”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、专项（部门或区域）规划和部门顶层设计等的设计编制、申报审核</w:t>
      </w:r>
      <w:r>
        <w:rPr>
          <w:rFonts w:hint="eastAsia" w:ascii="仿宋_GB2312" w:hAnsi="仿宋_GB2312" w:eastAsia="仿宋_GB2312" w:cs="仿宋_GB2312"/>
          <w:sz w:val="32"/>
          <w:szCs w:val="32"/>
          <w:lang w:val="en-US" w:eastAsia="zh-CN"/>
        </w:rPr>
        <w:t>及</w:t>
      </w:r>
      <w:r>
        <w:rPr>
          <w:rFonts w:hint="eastAsia" w:ascii="仿宋_GB2312" w:hAnsi="仿宋_GB2312" w:eastAsia="仿宋_GB2312" w:cs="仿宋_GB2312"/>
          <w:sz w:val="32"/>
          <w:szCs w:val="32"/>
        </w:rPr>
        <w:t>实施评估</w:t>
      </w:r>
      <w:r>
        <w:rPr>
          <w:rFonts w:hint="eastAsia" w:ascii="仿宋_GB2312" w:hAnsi="仿宋_GB2312" w:eastAsia="仿宋_GB2312" w:cs="仿宋_GB2312"/>
          <w:sz w:val="32"/>
          <w:szCs w:val="32"/>
          <w:lang w:val="en-US" w:eastAsia="zh-CN"/>
        </w:rPr>
        <w:t>的相关</w:t>
      </w:r>
      <w:r>
        <w:rPr>
          <w:rFonts w:hint="eastAsia" w:ascii="仿宋_GB2312" w:hAnsi="仿宋_GB2312" w:eastAsia="仿宋_GB2312" w:cs="仿宋_GB2312"/>
          <w:sz w:val="32"/>
          <w:szCs w:val="32"/>
        </w:rPr>
        <w:t>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进一步</w:t>
      </w:r>
      <w:r>
        <w:rPr>
          <w:rFonts w:hint="eastAsia" w:ascii="仿宋_GB2312" w:hAnsi="仿宋_GB2312" w:eastAsia="仿宋_GB2312" w:cs="仿宋_GB2312"/>
          <w:sz w:val="32"/>
          <w:szCs w:val="32"/>
        </w:rPr>
        <w:t>规范</w:t>
      </w:r>
      <w:r>
        <w:rPr>
          <w:rFonts w:hint="eastAsia" w:ascii="仿宋_GB2312" w:hAnsi="仿宋_GB2312" w:eastAsia="仿宋_GB2312" w:cs="仿宋_GB2312"/>
          <w:sz w:val="32"/>
          <w:szCs w:val="32"/>
          <w:lang w:val="en-US" w:eastAsia="zh-Hans"/>
        </w:rPr>
        <w:t>了</w:t>
      </w:r>
      <w:r>
        <w:rPr>
          <w:rFonts w:hint="eastAsia" w:ascii="仿宋_GB2312" w:hAnsi="仿宋_GB2312" w:eastAsia="仿宋_GB2312" w:cs="仿宋_GB2312"/>
          <w:sz w:val="32"/>
          <w:szCs w:val="32"/>
        </w:rPr>
        <w:t>北京市各市级政务部门、各区智慧城市规划和顶层设计工作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加强规划和顶层设计过程管控</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2.项目主要内容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进一步</w:t>
      </w:r>
      <w:r>
        <w:rPr>
          <w:rFonts w:hint="eastAsia" w:ascii="仿宋_GB2312" w:hAnsi="仿宋_GB2312" w:eastAsia="仿宋_GB2312" w:cs="仿宋_GB2312"/>
          <w:sz w:val="32"/>
          <w:szCs w:val="32"/>
        </w:rPr>
        <w:t>落实“十四五”智慧城市规划，</w:t>
      </w:r>
      <w:r>
        <w:rPr>
          <w:rFonts w:hint="eastAsia" w:ascii="仿宋_GB2312" w:hAnsi="仿宋_GB2312" w:eastAsia="仿宋_GB2312" w:cs="仿宋_GB2312"/>
          <w:sz w:val="32"/>
          <w:szCs w:val="32"/>
          <w:lang w:val="en-US" w:eastAsia="zh-CN"/>
        </w:rPr>
        <w:t>推动</w:t>
      </w:r>
      <w:r>
        <w:rPr>
          <w:rFonts w:hint="eastAsia" w:ascii="仿宋_GB2312" w:hAnsi="仿宋_GB2312" w:eastAsia="仿宋_GB2312" w:cs="仿宋_GB2312"/>
          <w:sz w:val="32"/>
          <w:szCs w:val="32"/>
        </w:rPr>
        <w:t>全市智慧城市建设，保障智慧城市建设的规范性和合理性，北京市经济和信息化局（以下简称“市经济和信息化局”）</w:t>
      </w:r>
      <w:r>
        <w:rPr>
          <w:rFonts w:hint="eastAsia" w:ascii="仿宋_GB2312" w:hAnsi="仿宋_GB2312" w:eastAsia="仿宋_GB2312" w:cs="仿宋_GB2312"/>
          <w:sz w:val="32"/>
          <w:szCs w:val="32"/>
          <w:lang w:val="en-US" w:eastAsia="zh-CN"/>
        </w:rPr>
        <w:t>申报“</w:t>
      </w:r>
      <w:r>
        <w:rPr>
          <w:rFonts w:hint="eastAsia" w:ascii="仿宋_GB2312" w:hAnsi="仿宋_GB2312" w:eastAsia="仿宋_GB2312" w:cs="仿宋_GB2312"/>
          <w:sz w:val="32"/>
          <w:szCs w:val="32"/>
        </w:rPr>
        <w:t>智慧城市规划和顶层设计管控体系服务支撑项目</w:t>
      </w:r>
      <w:r>
        <w:rPr>
          <w:rFonts w:hint="eastAsia" w:ascii="仿宋_GB2312" w:hAnsi="仿宋_GB2312" w:eastAsia="仿宋_GB2312" w:cs="仿宋_GB2312"/>
          <w:sz w:val="32"/>
          <w:szCs w:val="32"/>
          <w:lang w:val="en-US" w:eastAsia="zh-CN"/>
        </w:rPr>
        <w:t>”（以下简称“该项目”），用于开展</w:t>
      </w:r>
      <w:r>
        <w:rPr>
          <w:rFonts w:hint="eastAsia" w:ascii="仿宋_GB2312" w:hAnsi="仿宋_GB2312" w:eastAsia="仿宋_GB2312" w:cs="仿宋_GB2312"/>
          <w:sz w:val="32"/>
          <w:szCs w:val="32"/>
        </w:rPr>
        <w:t>全市各部门（领域）的</w:t>
      </w:r>
      <w:r>
        <w:rPr>
          <w:rFonts w:hint="eastAsia" w:ascii="仿宋_GB2312" w:hAnsi="仿宋_GB2312" w:eastAsia="仿宋_GB2312" w:cs="仿宋_GB2312"/>
          <w:sz w:val="32"/>
          <w:szCs w:val="32"/>
          <w:lang w:val="en-US" w:eastAsia="zh-CN"/>
        </w:rPr>
        <w:t>专项</w:t>
      </w:r>
      <w:r>
        <w:rPr>
          <w:rFonts w:hint="eastAsia" w:ascii="仿宋_GB2312" w:hAnsi="仿宋_GB2312" w:eastAsia="仿宋_GB2312" w:cs="仿宋_GB2312"/>
          <w:sz w:val="32"/>
          <w:szCs w:val="32"/>
        </w:rPr>
        <w:t>规划</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区域规划备案</w:t>
      </w:r>
      <w:r>
        <w:rPr>
          <w:rFonts w:hint="eastAsia" w:ascii="仿宋_GB2312" w:hAnsi="仿宋_GB2312" w:eastAsia="仿宋_GB2312" w:cs="仿宋_GB2312"/>
          <w:sz w:val="32"/>
          <w:szCs w:val="32"/>
          <w:lang w:val="en-US" w:eastAsia="zh-CN"/>
        </w:rPr>
        <w:t>以及</w:t>
      </w:r>
      <w:r>
        <w:rPr>
          <w:rFonts w:hint="eastAsia" w:ascii="仿宋_GB2312" w:hAnsi="仿宋_GB2312" w:eastAsia="仿宋_GB2312" w:cs="仿宋_GB2312"/>
          <w:sz w:val="32"/>
          <w:szCs w:val="32"/>
        </w:rPr>
        <w:t>顶层设计评估评价</w:t>
      </w:r>
      <w:r>
        <w:rPr>
          <w:rFonts w:hint="eastAsia" w:ascii="仿宋_GB2312" w:hAnsi="仿宋_GB2312" w:eastAsia="仿宋_GB2312" w:cs="仿宋_GB2312"/>
          <w:sz w:val="32"/>
          <w:szCs w:val="32"/>
          <w:lang w:val="en-US" w:eastAsia="zh-Hans"/>
        </w:rPr>
        <w:t>等</w:t>
      </w:r>
      <w:r>
        <w:rPr>
          <w:rFonts w:hint="eastAsia" w:ascii="仿宋_GB2312" w:hAnsi="仿宋_GB2312" w:eastAsia="仿宋_GB2312" w:cs="仿宋_GB2312"/>
          <w:sz w:val="32"/>
          <w:szCs w:val="32"/>
        </w:rPr>
        <w:t>支撑</w:t>
      </w:r>
      <w:r>
        <w:rPr>
          <w:rFonts w:hint="eastAsia" w:ascii="仿宋_GB2312" w:hAnsi="仿宋_GB2312" w:eastAsia="仿宋_GB2312" w:cs="仿宋_GB2312"/>
          <w:sz w:val="32"/>
          <w:szCs w:val="32"/>
          <w:lang w:val="en-US" w:eastAsia="zh-CN"/>
        </w:rPr>
        <w:t>工</w:t>
      </w:r>
      <w:r>
        <w:rPr>
          <w:rFonts w:hint="eastAsia" w:ascii="仿宋_GB2312" w:hAnsi="仿宋_GB2312" w:eastAsia="仿宋_GB2312" w:cs="仿宋_GB2312"/>
          <w:sz w:val="32"/>
          <w:szCs w:val="32"/>
        </w:rPr>
        <w:t>作，</w:t>
      </w:r>
      <w:r>
        <w:rPr>
          <w:rFonts w:hint="eastAsia" w:ascii="仿宋_GB2312" w:hAnsi="仿宋_GB2312" w:eastAsia="仿宋_GB2312" w:cs="仿宋_GB2312"/>
          <w:sz w:val="32"/>
          <w:szCs w:val="32"/>
          <w:lang w:val="en-US" w:eastAsia="zh-CN"/>
        </w:rPr>
        <w:t>协助建立年度项目储备库，</w:t>
      </w:r>
      <w:r>
        <w:rPr>
          <w:rFonts w:hint="eastAsia" w:ascii="仿宋_GB2312" w:hAnsi="仿宋_GB2312" w:eastAsia="仿宋_GB2312" w:cs="仿宋_GB2312"/>
          <w:sz w:val="32"/>
          <w:szCs w:val="32"/>
        </w:rPr>
        <w:t>提升智慧城市专项规划评审、顶层设计评审、信息化技术评审等相关工作的专业化水平</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val="en-US" w:eastAsia="zh-Hans"/>
        </w:rPr>
        <w:t>年，</w:t>
      </w:r>
      <w:r>
        <w:rPr>
          <w:rFonts w:hint="eastAsia" w:ascii="仿宋_GB2312" w:hAnsi="仿宋_GB2312" w:eastAsia="仿宋_GB2312" w:cs="仿宋_GB2312"/>
          <w:sz w:val="32"/>
          <w:szCs w:val="32"/>
          <w:highlight w:val="none"/>
          <w:lang w:val="en-US" w:eastAsia="zh-CN"/>
        </w:rPr>
        <w:t>市经济和信息化局通过公开招标选定</w:t>
      </w:r>
      <w:r>
        <w:rPr>
          <w:rFonts w:hint="eastAsia" w:ascii="仿宋_GB2312" w:hAnsi="仿宋_GB2312" w:eastAsia="仿宋_GB2312" w:cs="仿宋_GB2312"/>
          <w:spacing w:val="0"/>
          <w:kern w:val="2"/>
          <w:sz w:val="32"/>
          <w:szCs w:val="32"/>
          <w:highlight w:val="none"/>
          <w:u w:val="none"/>
          <w:lang w:val="en-US" w:eastAsia="zh-CN" w:bidi="ar-SA"/>
        </w:rPr>
        <w:t>北京泰豪智能工程有限公司（</w:t>
      </w:r>
      <w:r>
        <w:rPr>
          <w:rFonts w:hint="eastAsia" w:ascii="仿宋_GB2312" w:hAnsi="仿宋_GB2312" w:eastAsia="仿宋_GB2312" w:cs="仿宋_GB2312"/>
          <w:sz w:val="32"/>
          <w:szCs w:val="32"/>
          <w:highlight w:val="none"/>
          <w:lang w:val="en-US" w:eastAsia="zh-CN"/>
        </w:rPr>
        <w:t>以下简称“</w:t>
      </w:r>
      <w:r>
        <w:rPr>
          <w:rFonts w:hint="eastAsia" w:ascii="仿宋_GB2312" w:hAnsi="仿宋_GB2312" w:eastAsia="仿宋_GB2312" w:cs="仿宋_GB2312"/>
          <w:spacing w:val="0"/>
          <w:kern w:val="2"/>
          <w:sz w:val="32"/>
          <w:szCs w:val="32"/>
          <w:highlight w:val="none"/>
          <w:u w:val="none"/>
          <w:lang w:val="en-US" w:eastAsia="zh-CN" w:bidi="ar-SA"/>
        </w:rPr>
        <w:t>泰豪智能</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pacing w:val="0"/>
          <w:kern w:val="2"/>
          <w:sz w:val="32"/>
          <w:szCs w:val="32"/>
          <w:highlight w:val="none"/>
          <w:u w:val="none"/>
          <w:lang w:val="en-US" w:eastAsia="zh-CN" w:bidi="ar-SA"/>
        </w:rPr>
        <w:t>）、北京道口金科科技有限公司（</w:t>
      </w:r>
      <w:r>
        <w:rPr>
          <w:rFonts w:hint="eastAsia" w:ascii="仿宋_GB2312" w:hAnsi="仿宋_GB2312" w:eastAsia="仿宋_GB2312" w:cs="仿宋_GB2312"/>
          <w:sz w:val="32"/>
          <w:szCs w:val="32"/>
          <w:highlight w:val="none"/>
          <w:lang w:val="en-US" w:eastAsia="zh-CN"/>
        </w:rPr>
        <w:t>以下简称“</w:t>
      </w:r>
      <w:r>
        <w:rPr>
          <w:rFonts w:hint="eastAsia" w:ascii="仿宋_GB2312" w:hAnsi="仿宋_GB2312" w:eastAsia="仿宋_GB2312" w:cs="仿宋_GB2312"/>
          <w:spacing w:val="0"/>
          <w:kern w:val="2"/>
          <w:sz w:val="32"/>
          <w:szCs w:val="32"/>
          <w:highlight w:val="none"/>
          <w:u w:val="none"/>
          <w:lang w:val="en-US" w:eastAsia="zh-CN" w:bidi="ar-SA"/>
        </w:rPr>
        <w:t>道口金科</w:t>
      </w:r>
      <w:r>
        <w:rPr>
          <w:rFonts w:hint="eastAsia" w:ascii="仿宋_GB2312" w:hAnsi="仿宋_GB2312" w:eastAsia="仿宋_GB2312" w:cs="仿宋_GB2312"/>
          <w:sz w:val="32"/>
          <w:szCs w:val="32"/>
          <w:highlight w:val="none"/>
          <w:lang w:val="en-US" w:eastAsia="zh-CN"/>
        </w:rPr>
        <w:t>”）以及</w:t>
      </w:r>
      <w:r>
        <w:rPr>
          <w:rFonts w:hint="eastAsia" w:ascii="仿宋_GB2312" w:hAnsi="仿宋_GB2312" w:eastAsia="仿宋_GB2312" w:cs="仿宋_GB2312"/>
          <w:spacing w:val="0"/>
          <w:kern w:val="2"/>
          <w:sz w:val="32"/>
          <w:szCs w:val="32"/>
          <w:highlight w:val="none"/>
          <w:u w:val="none"/>
          <w:lang w:val="en-US" w:eastAsia="zh-CN" w:bidi="ar-SA"/>
        </w:rPr>
        <w:t>北京北咨信息工程咨询有限公司（</w:t>
      </w:r>
      <w:r>
        <w:rPr>
          <w:rFonts w:hint="eastAsia" w:ascii="仿宋_GB2312" w:hAnsi="仿宋_GB2312" w:eastAsia="仿宋_GB2312" w:cs="仿宋_GB2312"/>
          <w:sz w:val="32"/>
          <w:szCs w:val="32"/>
          <w:highlight w:val="none"/>
          <w:lang w:val="en-US" w:eastAsia="zh-CN"/>
        </w:rPr>
        <w:t>以下简称“北京</w:t>
      </w:r>
      <w:r>
        <w:rPr>
          <w:rFonts w:hint="eastAsia" w:ascii="仿宋_GB2312" w:hAnsi="仿宋_GB2312" w:eastAsia="仿宋_GB2312" w:cs="仿宋_GB2312"/>
          <w:spacing w:val="0"/>
          <w:kern w:val="2"/>
          <w:sz w:val="32"/>
          <w:szCs w:val="32"/>
          <w:highlight w:val="none"/>
          <w:u w:val="none"/>
          <w:lang w:val="en-US" w:eastAsia="zh-CN" w:bidi="ar-SA"/>
        </w:rPr>
        <w:t>北</w:t>
      </w:r>
      <w:r>
        <w:rPr>
          <w:rFonts w:hint="eastAsia" w:ascii="仿宋_GB2312" w:hAnsi="仿宋_GB2312" w:eastAsia="仿宋_GB2312" w:cs="仿宋_GB2312"/>
          <w:spacing w:val="0"/>
          <w:kern w:val="2"/>
          <w:sz w:val="32"/>
          <w:szCs w:val="32"/>
          <w:highlight w:val="none"/>
          <w:u w:val="none"/>
          <w:lang w:val="en-US" w:eastAsia="zh-Hans" w:bidi="ar-SA"/>
        </w:rPr>
        <w:t>咨</w:t>
      </w:r>
      <w:r>
        <w:rPr>
          <w:rFonts w:hint="eastAsia" w:ascii="仿宋_GB2312" w:hAnsi="仿宋_GB2312" w:eastAsia="仿宋_GB2312" w:cs="仿宋_GB2312"/>
          <w:sz w:val="32"/>
          <w:szCs w:val="32"/>
          <w:highlight w:val="none"/>
          <w:lang w:val="en-US" w:eastAsia="zh-CN"/>
        </w:rPr>
        <w:t>”）三家机构作为联合体承接该项目。由于受疫情影响，项目整体实施进度未达预期，原定于2022年底前完成项目全部实施内容，实际执行进度明显滞后，合同约定项目执行周期为</w:t>
      </w:r>
      <w:r>
        <w:rPr>
          <w:rFonts w:hint="eastAsia" w:ascii="仿宋_GB2312" w:hAnsi="仿宋_GB2312" w:eastAsia="仿宋_GB2312"/>
          <w:sz w:val="32"/>
          <w:szCs w:val="32"/>
          <w:lang w:val="en-US" w:eastAsia="zh-CN"/>
        </w:rPr>
        <w:t>2022年9月26日至2023年9月25日</w:t>
      </w:r>
      <w:r>
        <w:rPr>
          <w:rFonts w:hint="eastAsia" w:ascii="仿宋_GB2312" w:hAnsi="仿宋_GB2312" w:eastAsia="仿宋_GB2312"/>
          <w:sz w:val="32"/>
          <w:szCs w:val="32"/>
          <w:lang w:val="en-US" w:eastAsia="zh-Hans"/>
        </w:rPr>
        <w:t>，</w:t>
      </w:r>
      <w:r>
        <w:rPr>
          <w:rFonts w:hint="eastAsia" w:ascii="仿宋_GB2312" w:hAnsi="仿宋_GB2312" w:eastAsia="仿宋_GB2312"/>
          <w:strike w:val="0"/>
          <w:sz w:val="32"/>
          <w:szCs w:val="32"/>
          <w:lang w:val="en-US" w:eastAsia="zh-Hans"/>
        </w:rPr>
        <w:t>属于</w:t>
      </w:r>
      <w:r>
        <w:rPr>
          <w:rFonts w:hint="eastAsia" w:ascii="仿宋_GB2312" w:hAnsi="仿宋_GB2312" w:eastAsia="仿宋_GB2312" w:cstheme="minorBidi"/>
          <w:spacing w:val="0"/>
          <w:kern w:val="2"/>
          <w:sz w:val="32"/>
          <w:szCs w:val="32"/>
          <w:u w:val="none"/>
          <w:lang w:val="en-US" w:eastAsia="zh-Hans" w:bidi="ar-SA"/>
        </w:rPr>
        <w:t>跨年度执行的项目</w:t>
      </w:r>
      <w:r>
        <w:rPr>
          <w:rFonts w:hint="eastAsia" w:ascii="仿宋_GB2312" w:hAnsi="仿宋_GB2312" w:eastAsia="仿宋_GB2312" w:cstheme="minorBidi"/>
          <w:spacing w:val="0"/>
          <w:kern w:val="2"/>
          <w:sz w:val="32"/>
          <w:szCs w:val="32"/>
          <w:u w:val="none"/>
          <w:lang w:val="en-US" w:eastAsia="zh-CN" w:bidi="ar-SA"/>
        </w:rPr>
        <w:t>。该</w:t>
      </w:r>
      <w:r>
        <w:rPr>
          <w:rFonts w:hint="eastAsia" w:ascii="仿宋_GB2312" w:hAnsi="仿宋_GB2312" w:eastAsia="仿宋_GB2312" w:cs="仿宋_GB2312"/>
          <w:sz w:val="32"/>
          <w:szCs w:val="32"/>
          <w:lang w:val="en-US" w:eastAsia="zh-CN"/>
        </w:rPr>
        <w:t>项目主要内容如下：</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lang w:eastAsia="zh-CN"/>
        </w:rPr>
        <w:t>（</w:t>
      </w:r>
      <w:r>
        <w:rPr>
          <w:rFonts w:hint="eastAsia" w:ascii="仿宋_GB2312" w:hAnsi="仿宋_GB2312" w:eastAsia="仿宋_GB2312" w:cs="仿宋_GB2312"/>
          <w:b/>
          <w:bCs/>
          <w:sz w:val="32"/>
          <w:szCs w:val="32"/>
          <w:highlight w:val="none"/>
          <w:lang w:val="en-US" w:eastAsia="zh-CN"/>
        </w:rPr>
        <w:t>1</w:t>
      </w:r>
      <w:r>
        <w:rPr>
          <w:rFonts w:hint="eastAsia" w:ascii="仿宋_GB2312" w:hAnsi="仿宋_GB2312" w:eastAsia="仿宋_GB2312" w:cs="仿宋_GB2312"/>
          <w:b/>
          <w:bCs/>
          <w:sz w:val="32"/>
          <w:szCs w:val="32"/>
          <w:highlight w:val="none"/>
          <w:lang w:eastAsia="zh-CN"/>
        </w:rPr>
        <w:t>）</w:t>
      </w:r>
      <w:r>
        <w:rPr>
          <w:rFonts w:hint="eastAsia" w:ascii="仿宋_GB2312" w:hAnsi="仿宋_GB2312" w:eastAsia="仿宋_GB2312" w:cs="仿宋_GB2312"/>
          <w:b/>
          <w:bCs/>
          <w:sz w:val="32"/>
          <w:szCs w:val="32"/>
          <w:highlight w:val="none"/>
        </w:rPr>
        <w:t>部门（领域）智慧城市专项规划评估评价、区域智慧城市规划备案</w:t>
      </w:r>
      <w:r>
        <w:rPr>
          <w:rFonts w:hint="eastAsia" w:ascii="仿宋_GB2312" w:hAnsi="仿宋_GB2312" w:eastAsia="仿宋_GB2312" w:cs="仿宋_GB2312"/>
          <w:b/>
          <w:bCs/>
          <w:sz w:val="32"/>
          <w:szCs w:val="32"/>
          <w:highlight w:val="none"/>
          <w:lang w:val="en-US" w:eastAsia="zh-CN"/>
        </w:rPr>
        <w:t>支撑</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bCs/>
          <w:sz w:val="32"/>
          <w:szCs w:val="32"/>
          <w:highlight w:val="none"/>
        </w:rPr>
        <w:t>一是</w:t>
      </w:r>
      <w:r>
        <w:rPr>
          <w:rFonts w:hint="eastAsia" w:ascii="仿宋_GB2312" w:hAnsi="仿宋_GB2312" w:eastAsia="仿宋_GB2312" w:cs="仿宋_GB2312"/>
          <w:b w:val="0"/>
          <w:bCs w:val="0"/>
          <w:sz w:val="32"/>
          <w:szCs w:val="32"/>
          <w:highlight w:val="none"/>
        </w:rPr>
        <w:t>部门（领域）智慧城市专项规划评估评价支撑，包括支撑各市级部门（领域）智慧城市规划的技术评估材料搜集与整理，支撑各市级部门（领域）智慧城市规划的技术评估沟通、协调、对接，支撑各市级部门（领域）智慧城市规划的技术评估文本统筹、审核和最终交付等；</w:t>
      </w:r>
      <w:r>
        <w:rPr>
          <w:rFonts w:hint="eastAsia" w:ascii="仿宋_GB2312" w:hAnsi="仿宋_GB2312" w:eastAsia="仿宋_GB2312" w:cs="仿宋_GB2312"/>
          <w:b/>
          <w:bCs/>
          <w:sz w:val="32"/>
          <w:szCs w:val="32"/>
          <w:highlight w:val="none"/>
        </w:rPr>
        <w:t>二是</w:t>
      </w:r>
      <w:r>
        <w:rPr>
          <w:rFonts w:hint="eastAsia" w:ascii="仿宋_GB2312" w:hAnsi="仿宋_GB2312" w:eastAsia="仿宋_GB2312" w:cs="仿宋_GB2312"/>
          <w:b w:val="0"/>
          <w:bCs w:val="0"/>
          <w:sz w:val="32"/>
          <w:szCs w:val="32"/>
          <w:highlight w:val="none"/>
        </w:rPr>
        <w:t>区域智慧城市规划备案支撑，包括支撑区域智慧城市规划的技术评估材料搜集与整理，支撑区域智慧城市规划的技术评估沟通、协调、对接，支撑区域智慧城市规划的技术评估文本统筹、审核和最终交付等。规划评估拟从规划符合性、业务导向性、统筹集约性、汇聚共享性、开放创新性、衡量考核性、落地实施性等方面进行评估评价。</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lang w:eastAsia="zh-CN"/>
        </w:rPr>
        <w:t>（</w:t>
      </w:r>
      <w:r>
        <w:rPr>
          <w:rFonts w:hint="eastAsia" w:ascii="仿宋_GB2312" w:hAnsi="仿宋_GB2312" w:eastAsia="仿宋_GB2312" w:cs="仿宋_GB2312"/>
          <w:b/>
          <w:bCs/>
          <w:sz w:val="32"/>
          <w:szCs w:val="32"/>
          <w:highlight w:val="none"/>
          <w:lang w:val="en-US" w:eastAsia="zh-CN"/>
        </w:rPr>
        <w:t>2</w:t>
      </w:r>
      <w:r>
        <w:rPr>
          <w:rFonts w:hint="eastAsia" w:ascii="仿宋_GB2312" w:hAnsi="仿宋_GB2312" w:eastAsia="仿宋_GB2312" w:cs="仿宋_GB2312"/>
          <w:b/>
          <w:bCs/>
          <w:sz w:val="32"/>
          <w:szCs w:val="32"/>
          <w:highlight w:val="none"/>
          <w:lang w:eastAsia="zh-CN"/>
        </w:rPr>
        <w:t>）</w:t>
      </w:r>
      <w:r>
        <w:rPr>
          <w:rFonts w:hint="eastAsia" w:ascii="仿宋_GB2312" w:hAnsi="仿宋_GB2312" w:eastAsia="仿宋_GB2312" w:cs="仿宋_GB2312"/>
          <w:b/>
          <w:bCs/>
          <w:sz w:val="32"/>
          <w:szCs w:val="32"/>
          <w:highlight w:val="none"/>
        </w:rPr>
        <w:t>部门（领域）顶层设计的评估评价</w:t>
      </w:r>
      <w:r>
        <w:rPr>
          <w:rFonts w:hint="eastAsia" w:ascii="仿宋_GB2312" w:hAnsi="仿宋_GB2312" w:eastAsia="仿宋_GB2312" w:cs="仿宋_GB2312"/>
          <w:b/>
          <w:bCs/>
          <w:sz w:val="32"/>
          <w:szCs w:val="32"/>
          <w:highlight w:val="none"/>
          <w:lang w:val="en-US" w:eastAsia="zh-CN"/>
        </w:rPr>
        <w:t>支撑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部门（领域）顶层设计的评估评价支撑工作主要包括支撑各市级部门（领域）顶层设计评估搜集与整理，支撑各市级部门（领域）顶层设计评估过程的沟通与对接、编制评估文本内容，支撑各市级部门顶层设计的技术评估文本统筹、审核和交付。顶层设计评估拟从规划统筹一致性、业务架构合理性、数据架构完整性、系统架构整合性、基础设施集约性、标准安全规范性、产业体系开放性、项目实施必要性、保障措施可靠性等方面进行评估。</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lang w:val="en-US" w:eastAsia="zh-CN"/>
        </w:rPr>
        <w:t>（3）</w:t>
      </w:r>
      <w:r>
        <w:rPr>
          <w:rFonts w:hint="eastAsia" w:ascii="仿宋_GB2312" w:hAnsi="仿宋_GB2312" w:eastAsia="仿宋_GB2312" w:cs="仿宋_GB2312"/>
          <w:b/>
          <w:bCs/>
          <w:sz w:val="32"/>
          <w:szCs w:val="32"/>
          <w:highlight w:val="none"/>
        </w:rPr>
        <w:t>完成年度项目储备库建设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rPr>
        <w:t>建立信息化项目储备库</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按照项目储备有关管理办法，在各部门年度项目清单申报过程中，支撑开展各部门拟申报入库的政府投资信息化储备项目沟通、协调、对接等工作，对各部门项目提出统筹或整合建议，避免重复建设；协助建立信息化项目储备库，梳理顶层设计与各信息化项目的关系，协助优化项目储备库管理相关流程，提出跨部门或跨区域的项目整合建议。</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3.项目资金投入</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总预算422.33万元，其中：智慧城市规划和顶层设计管控体系服务支撑费用421.53万元，包括部门（领域）智慧城市专项规划评估评价、区域规划备案支撑111.50万元，部门（领域)顶层设计评估评价支撑310.03万元；专家费0.80万元。</w:t>
      </w:r>
      <w:r>
        <w:rPr>
          <w:rFonts w:hint="eastAsia" w:ascii="仿宋_GB2312" w:hAnsi="仿宋_GB2312" w:eastAsia="仿宋_GB2312" w:cs="仿宋_GB2312"/>
          <w:sz w:val="32"/>
          <w:szCs w:val="32"/>
          <w:highlight w:val="none"/>
        </w:rPr>
        <w:t>项目年初预算批复422.33万元，全部为</w:t>
      </w:r>
      <w:r>
        <w:rPr>
          <w:rFonts w:hint="eastAsia" w:ascii="仿宋_GB2312" w:hAnsi="仿宋_GB2312" w:eastAsia="仿宋_GB2312" w:cs="仿宋_GB2312"/>
          <w:sz w:val="32"/>
          <w:szCs w:val="32"/>
          <w:highlight w:val="none"/>
          <w:lang w:val="en-US" w:eastAsia="zh-Hans"/>
        </w:rPr>
        <w:t>市级财政</w:t>
      </w:r>
      <w:r>
        <w:rPr>
          <w:rFonts w:hint="eastAsia" w:ascii="仿宋_GB2312" w:hAnsi="仿宋_GB2312" w:eastAsia="仿宋_GB2312" w:cs="仿宋_GB2312"/>
          <w:sz w:val="32"/>
          <w:szCs w:val="32"/>
          <w:highlight w:val="none"/>
        </w:rPr>
        <w:t>资金，</w:t>
      </w:r>
      <w:r>
        <w:rPr>
          <w:rFonts w:hint="eastAsia" w:ascii="仿宋_GB2312" w:hAnsi="仿宋_GB2312" w:eastAsia="仿宋_GB2312" w:cs="仿宋_GB2312"/>
          <w:sz w:val="32"/>
          <w:szCs w:val="32"/>
          <w:highlight w:val="none"/>
          <w:lang w:val="en-US" w:eastAsia="zh-CN"/>
        </w:rPr>
        <w:t>资金到位422.33万元</w:t>
      </w:r>
      <w:r>
        <w:rPr>
          <w:rFonts w:hint="eastAsia" w:ascii="仿宋_GB2312" w:hAnsi="仿宋_GB2312" w:eastAsia="仿宋_GB2312" w:cs="仿宋_GB2312"/>
          <w:sz w:val="32"/>
          <w:szCs w:val="32"/>
          <w:highlight w:val="none"/>
          <w:lang w:val="en-US" w:eastAsia="zh-Hans"/>
        </w:rPr>
        <w:t>，实际支出</w:t>
      </w:r>
      <w:r>
        <w:rPr>
          <w:rFonts w:hint="eastAsia" w:ascii="仿宋_GB2312" w:hAnsi="仿宋_GB2312" w:eastAsia="仿宋_GB2312" w:cs="仿宋_GB2312"/>
          <w:sz w:val="32"/>
          <w:szCs w:val="32"/>
          <w:highlight w:val="none"/>
          <w:lang w:val="en-US" w:eastAsia="zh-CN"/>
        </w:rPr>
        <w:t>421</w:t>
      </w:r>
      <w:r>
        <w:rPr>
          <w:rFonts w:hint="eastAsia" w:ascii="仿宋_GB2312" w:hAnsi="仿宋_GB2312" w:eastAsia="仿宋_GB2312" w:cs="仿宋_GB2312"/>
          <w:sz w:val="32"/>
          <w:szCs w:val="32"/>
          <w:highlight w:val="none"/>
          <w:lang w:val="en-US" w:eastAsia="zh-Hans"/>
        </w:rPr>
        <w:t>万元</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项目具体预算情况见表1。</w:t>
      </w:r>
    </w:p>
    <w:p>
      <w:pPr>
        <w:pStyle w:val="4"/>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表1 2022年度项目预算构成表</w:t>
      </w:r>
    </w:p>
    <w:p>
      <w:pPr>
        <w:pStyle w:val="4"/>
        <w:spacing w:line="560" w:lineRule="exact"/>
        <w:jc w:val="right"/>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单位：人、万元</w:t>
      </w:r>
    </w:p>
    <w:tbl>
      <w:tblPr>
        <w:tblStyle w:val="9"/>
        <w:tblW w:w="8519"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40"/>
        <w:gridCol w:w="3717"/>
        <w:gridCol w:w="975"/>
        <w:gridCol w:w="1437"/>
        <w:gridCol w:w="13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 w:hRule="atLeast"/>
          <w:tblHeader/>
          <w:jc w:val="center"/>
        </w:trPr>
        <w:tc>
          <w:tcPr>
            <w:tcW w:w="1040" w:type="dxa"/>
            <w:tcBorders>
              <w:top w:val="single" w:color="auto" w:sz="4" w:space="0"/>
              <w:left w:val="single" w:color="auto" w:sz="4" w:space="0"/>
              <w:bottom w:val="single" w:color="auto" w:sz="4" w:space="0"/>
              <w:right w:val="single" w:color="auto" w:sz="4" w:space="0"/>
            </w:tcBorders>
            <w:shd w:val="clear" w:color="auto" w:fill="96B4E1" w:themeFill="background1" w:themeFillShade="BF"/>
            <w:vAlign w:val="center"/>
          </w:tcPr>
          <w:p>
            <w:pPr>
              <w:pStyle w:val="10"/>
              <w:spacing w:line="240" w:lineRule="auto"/>
              <w:jc w:val="center"/>
              <w:rPr>
                <w:rFonts w:hint="eastAsia" w:ascii="宋体" w:hAnsi="宋体" w:eastAsia="宋体" w:cs="宋体"/>
                <w:b/>
                <w:sz w:val="20"/>
                <w:szCs w:val="20"/>
              </w:rPr>
            </w:pPr>
            <w:r>
              <w:rPr>
                <w:rFonts w:hint="eastAsia" w:ascii="宋体" w:hAnsi="宋体" w:eastAsia="宋体" w:cs="宋体"/>
                <w:b/>
                <w:sz w:val="20"/>
                <w:szCs w:val="20"/>
              </w:rPr>
              <w:t>序号</w:t>
            </w:r>
          </w:p>
        </w:tc>
        <w:tc>
          <w:tcPr>
            <w:tcW w:w="3717" w:type="dxa"/>
            <w:tcBorders>
              <w:top w:val="single" w:color="auto" w:sz="4" w:space="0"/>
              <w:left w:val="single" w:color="auto" w:sz="4" w:space="0"/>
              <w:bottom w:val="single" w:color="auto" w:sz="4" w:space="0"/>
              <w:right w:val="single" w:color="auto" w:sz="4" w:space="0"/>
            </w:tcBorders>
            <w:shd w:val="clear" w:color="auto" w:fill="96B4E1" w:themeFill="background1" w:themeFillShade="BF"/>
            <w:vAlign w:val="center"/>
          </w:tcPr>
          <w:p>
            <w:pPr>
              <w:pStyle w:val="10"/>
              <w:spacing w:line="240" w:lineRule="auto"/>
              <w:jc w:val="center"/>
              <w:rPr>
                <w:rFonts w:hint="default" w:ascii="宋体" w:hAnsi="宋体" w:eastAsia="宋体" w:cs="宋体"/>
                <w:b/>
                <w:sz w:val="20"/>
                <w:szCs w:val="20"/>
                <w:lang w:val="en-US" w:eastAsia="zh-CN"/>
              </w:rPr>
            </w:pPr>
            <w:r>
              <w:rPr>
                <w:rFonts w:hint="eastAsia" w:ascii="宋体" w:hAnsi="宋体" w:cs="宋体"/>
                <w:b/>
                <w:sz w:val="20"/>
                <w:szCs w:val="20"/>
                <w:lang w:val="en-US" w:eastAsia="zh-CN"/>
              </w:rPr>
              <w:t>项目实施内容</w:t>
            </w:r>
          </w:p>
        </w:tc>
        <w:tc>
          <w:tcPr>
            <w:tcW w:w="975" w:type="dxa"/>
            <w:tcBorders>
              <w:top w:val="single" w:color="auto" w:sz="4" w:space="0"/>
              <w:left w:val="single" w:color="auto" w:sz="4" w:space="0"/>
              <w:bottom w:val="single" w:color="auto" w:sz="4" w:space="0"/>
              <w:right w:val="single" w:color="auto" w:sz="4" w:space="0"/>
            </w:tcBorders>
            <w:shd w:val="clear" w:color="auto" w:fill="96B4E1" w:themeFill="background1" w:themeFillShade="BF"/>
            <w:vAlign w:val="center"/>
          </w:tcPr>
          <w:p>
            <w:pPr>
              <w:pStyle w:val="10"/>
              <w:spacing w:line="240" w:lineRule="auto"/>
              <w:jc w:val="center"/>
              <w:rPr>
                <w:rFonts w:hint="eastAsia" w:ascii="宋体" w:hAnsi="宋体" w:eastAsia="宋体" w:cs="宋体"/>
                <w:b/>
                <w:sz w:val="20"/>
                <w:szCs w:val="20"/>
              </w:rPr>
            </w:pPr>
            <w:r>
              <w:rPr>
                <w:rFonts w:hint="eastAsia" w:ascii="宋体" w:hAnsi="宋体" w:eastAsia="宋体" w:cs="宋体"/>
                <w:b/>
                <w:sz w:val="20"/>
                <w:szCs w:val="20"/>
              </w:rPr>
              <w:t>数量</w:t>
            </w:r>
          </w:p>
        </w:tc>
        <w:tc>
          <w:tcPr>
            <w:tcW w:w="1437" w:type="dxa"/>
            <w:tcBorders>
              <w:top w:val="single" w:color="auto" w:sz="4" w:space="0"/>
              <w:left w:val="single" w:color="auto" w:sz="4" w:space="0"/>
              <w:bottom w:val="single" w:color="auto" w:sz="4" w:space="0"/>
              <w:right w:val="single" w:color="auto" w:sz="4" w:space="0"/>
            </w:tcBorders>
            <w:shd w:val="clear" w:color="auto" w:fill="96B4E1" w:themeFill="background1" w:themeFillShade="BF"/>
            <w:vAlign w:val="center"/>
          </w:tcPr>
          <w:p>
            <w:pPr>
              <w:pStyle w:val="10"/>
              <w:spacing w:line="240" w:lineRule="auto"/>
              <w:jc w:val="center"/>
              <w:rPr>
                <w:rFonts w:hint="eastAsia" w:ascii="宋体" w:hAnsi="宋体" w:eastAsia="宋体" w:cs="宋体"/>
                <w:b/>
                <w:sz w:val="20"/>
                <w:szCs w:val="20"/>
              </w:rPr>
            </w:pPr>
            <w:r>
              <w:rPr>
                <w:rFonts w:hint="eastAsia" w:ascii="宋体" w:hAnsi="宋体" w:eastAsia="宋体" w:cs="宋体"/>
                <w:b/>
                <w:sz w:val="20"/>
                <w:szCs w:val="20"/>
              </w:rPr>
              <w:t>单价</w:t>
            </w:r>
          </w:p>
        </w:tc>
        <w:tc>
          <w:tcPr>
            <w:tcW w:w="1350" w:type="dxa"/>
            <w:tcBorders>
              <w:top w:val="single" w:color="auto" w:sz="4" w:space="0"/>
              <w:left w:val="single" w:color="auto" w:sz="4" w:space="0"/>
              <w:bottom w:val="single" w:color="auto" w:sz="4" w:space="0"/>
              <w:right w:val="single" w:color="auto" w:sz="4" w:space="0"/>
            </w:tcBorders>
            <w:shd w:val="clear" w:color="auto" w:fill="96B4E1" w:themeFill="background1" w:themeFillShade="BF"/>
            <w:vAlign w:val="center"/>
          </w:tcPr>
          <w:p>
            <w:pPr>
              <w:pStyle w:val="10"/>
              <w:spacing w:line="240" w:lineRule="auto"/>
              <w:jc w:val="center"/>
              <w:rPr>
                <w:rFonts w:hint="eastAsia" w:ascii="宋体" w:hAnsi="宋体" w:eastAsia="宋体" w:cs="宋体"/>
                <w:b/>
                <w:sz w:val="20"/>
                <w:szCs w:val="20"/>
              </w:rPr>
            </w:pPr>
            <w:r>
              <w:rPr>
                <w:rFonts w:hint="eastAsia" w:ascii="宋体" w:hAnsi="宋体" w:eastAsia="宋体" w:cs="宋体"/>
                <w:b/>
                <w:sz w:val="20"/>
                <w:szCs w:val="20"/>
                <w:lang w:val="en-US" w:eastAsia="zh-CN"/>
              </w:rPr>
              <w:t>预算</w:t>
            </w:r>
            <w:r>
              <w:rPr>
                <w:rFonts w:hint="eastAsia" w:ascii="宋体" w:hAnsi="宋体" w:eastAsia="宋体" w:cs="宋体"/>
                <w:b/>
                <w:sz w:val="20"/>
                <w:szCs w:val="20"/>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 w:hRule="atLeast"/>
          <w:jc w:val="center"/>
        </w:trPr>
        <w:tc>
          <w:tcPr>
            <w:tcW w:w="1040" w:type="dxa"/>
            <w:tcBorders>
              <w:top w:val="single" w:color="auto" w:sz="4" w:space="0"/>
              <w:left w:val="single" w:color="auto" w:sz="4" w:space="0"/>
              <w:bottom w:val="single" w:color="auto" w:sz="4" w:space="0"/>
              <w:right w:val="single" w:color="auto" w:sz="4" w:space="0"/>
            </w:tcBorders>
            <w:vAlign w:val="center"/>
          </w:tcPr>
          <w:p>
            <w:pPr>
              <w:pStyle w:val="10"/>
              <w:spacing w:line="240" w:lineRule="auto"/>
              <w:jc w:val="center"/>
              <w:rPr>
                <w:rFonts w:hint="eastAsia" w:ascii="宋体" w:hAnsi="宋体" w:eastAsia="宋体" w:cs="宋体"/>
                <w:b/>
                <w:sz w:val="20"/>
                <w:szCs w:val="20"/>
              </w:rPr>
            </w:pPr>
            <w:r>
              <w:rPr>
                <w:rFonts w:hint="eastAsia" w:ascii="宋体" w:hAnsi="宋体" w:eastAsia="宋体" w:cs="宋体"/>
                <w:b/>
                <w:sz w:val="20"/>
                <w:szCs w:val="20"/>
              </w:rPr>
              <w:t>1</w:t>
            </w:r>
          </w:p>
        </w:tc>
        <w:tc>
          <w:tcPr>
            <w:tcW w:w="3717" w:type="dxa"/>
            <w:tcBorders>
              <w:top w:val="single" w:color="auto" w:sz="4" w:space="0"/>
              <w:left w:val="single" w:color="auto" w:sz="4" w:space="0"/>
              <w:bottom w:val="single" w:color="auto" w:sz="4" w:space="0"/>
              <w:right w:val="single" w:color="auto" w:sz="4" w:space="0"/>
            </w:tcBorders>
            <w:vAlign w:val="center"/>
          </w:tcPr>
          <w:p>
            <w:pPr>
              <w:pStyle w:val="10"/>
              <w:spacing w:line="240" w:lineRule="auto"/>
              <w:jc w:val="center"/>
              <w:rPr>
                <w:rFonts w:hint="eastAsia" w:ascii="宋体" w:hAnsi="宋体" w:eastAsia="宋体" w:cs="宋体"/>
                <w:b/>
                <w:sz w:val="20"/>
                <w:szCs w:val="20"/>
              </w:rPr>
            </w:pPr>
            <w:r>
              <w:rPr>
                <w:rFonts w:hint="eastAsia" w:ascii="宋体" w:hAnsi="宋体" w:eastAsia="宋体" w:cs="宋体"/>
                <w:b/>
                <w:sz w:val="20"/>
                <w:szCs w:val="20"/>
              </w:rPr>
              <w:t>部门（领域）智慧城市专项规划评估评价、区域规划备案支撑</w:t>
            </w:r>
          </w:p>
        </w:tc>
        <w:tc>
          <w:tcPr>
            <w:tcW w:w="975" w:type="dxa"/>
            <w:tcBorders>
              <w:top w:val="single" w:color="auto" w:sz="4" w:space="0"/>
              <w:left w:val="single" w:color="auto" w:sz="4" w:space="0"/>
              <w:bottom w:val="single" w:color="auto" w:sz="4" w:space="0"/>
              <w:right w:val="single" w:color="auto" w:sz="4" w:space="0"/>
            </w:tcBorders>
            <w:vAlign w:val="center"/>
          </w:tcPr>
          <w:p>
            <w:pPr>
              <w:pStyle w:val="10"/>
              <w:spacing w:line="240" w:lineRule="auto"/>
              <w:jc w:val="center"/>
              <w:rPr>
                <w:rFonts w:hint="eastAsia" w:ascii="宋体" w:hAnsi="宋体" w:eastAsia="宋体" w:cs="宋体"/>
                <w:sz w:val="20"/>
                <w:szCs w:val="20"/>
              </w:rPr>
            </w:pPr>
            <w:r>
              <w:rPr>
                <w:rFonts w:hint="eastAsia" w:ascii="宋体" w:hAnsi="宋体" w:eastAsia="宋体" w:cs="宋体"/>
                <w:sz w:val="20"/>
                <w:szCs w:val="20"/>
                <w:lang w:eastAsia="zh-CN"/>
              </w:rPr>
              <w:t>——</w:t>
            </w:r>
          </w:p>
        </w:tc>
        <w:tc>
          <w:tcPr>
            <w:tcW w:w="1437" w:type="dxa"/>
            <w:tcBorders>
              <w:top w:val="single" w:color="auto" w:sz="4" w:space="0"/>
              <w:left w:val="single" w:color="auto" w:sz="4" w:space="0"/>
              <w:bottom w:val="single" w:color="auto" w:sz="4" w:space="0"/>
              <w:right w:val="single" w:color="auto" w:sz="4" w:space="0"/>
            </w:tcBorders>
            <w:vAlign w:val="center"/>
          </w:tcPr>
          <w:p>
            <w:pPr>
              <w:pStyle w:val="10"/>
              <w:spacing w:line="240" w:lineRule="auto"/>
              <w:jc w:val="center"/>
              <w:rPr>
                <w:rFonts w:hint="eastAsia" w:ascii="宋体" w:hAnsi="宋体" w:eastAsia="宋体" w:cs="宋体"/>
                <w:sz w:val="20"/>
                <w:szCs w:val="20"/>
              </w:rPr>
            </w:pPr>
            <w:r>
              <w:rPr>
                <w:rFonts w:hint="eastAsia" w:ascii="宋体" w:hAnsi="宋体" w:eastAsia="宋体" w:cs="宋体"/>
                <w:sz w:val="20"/>
                <w:szCs w:val="20"/>
                <w:lang w:eastAsia="zh-CN"/>
              </w:rPr>
              <w:t>——</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b/>
                <w:sz w:val="20"/>
                <w:szCs w:val="20"/>
              </w:rPr>
            </w:pPr>
            <w:r>
              <w:rPr>
                <w:rFonts w:hint="eastAsia" w:ascii="宋体" w:hAnsi="宋体" w:eastAsia="宋体" w:cs="宋体"/>
                <w:b/>
                <w:kern w:val="0"/>
                <w:sz w:val="20"/>
                <w:szCs w:val="20"/>
                <w:lang w:bidi="ar"/>
              </w:rPr>
              <w:t>111.5</w:t>
            </w:r>
            <w:r>
              <w:rPr>
                <w:rFonts w:hint="eastAsia" w:ascii="宋体" w:hAnsi="宋体" w:eastAsia="宋体" w:cs="宋体"/>
                <w:b/>
                <w:kern w:val="0"/>
                <w:sz w:val="20"/>
                <w:szCs w:val="20"/>
                <w:lang w:val="en-US" w:eastAsia="zh-CN"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 w:hRule="atLeast"/>
          <w:jc w:val="center"/>
        </w:trPr>
        <w:tc>
          <w:tcPr>
            <w:tcW w:w="1040" w:type="dxa"/>
            <w:tcBorders>
              <w:top w:val="single" w:color="auto" w:sz="4" w:space="0"/>
              <w:left w:val="single" w:color="auto" w:sz="4" w:space="0"/>
              <w:bottom w:val="single" w:color="auto" w:sz="4" w:space="0"/>
              <w:right w:val="single" w:color="auto" w:sz="4" w:space="0"/>
            </w:tcBorders>
            <w:vAlign w:val="center"/>
          </w:tcPr>
          <w:p>
            <w:pPr>
              <w:pStyle w:val="10"/>
              <w:spacing w:line="240" w:lineRule="auto"/>
              <w:jc w:val="center"/>
              <w:rPr>
                <w:rFonts w:hint="eastAsia" w:ascii="宋体" w:hAnsi="宋体" w:eastAsia="宋体" w:cs="宋体"/>
                <w:b/>
                <w:bCs/>
                <w:sz w:val="20"/>
                <w:szCs w:val="20"/>
              </w:rPr>
            </w:pPr>
            <w:r>
              <w:rPr>
                <w:rFonts w:hint="eastAsia" w:ascii="宋体" w:hAnsi="宋体" w:eastAsia="宋体" w:cs="宋体"/>
                <w:b/>
                <w:bCs/>
                <w:sz w:val="20"/>
                <w:szCs w:val="20"/>
              </w:rPr>
              <w:t>1.1</w:t>
            </w:r>
          </w:p>
        </w:tc>
        <w:tc>
          <w:tcPr>
            <w:tcW w:w="3717" w:type="dxa"/>
            <w:tcBorders>
              <w:top w:val="single" w:color="auto" w:sz="4" w:space="0"/>
              <w:left w:val="single" w:color="auto" w:sz="4" w:space="0"/>
              <w:bottom w:val="single" w:color="auto" w:sz="4" w:space="0"/>
              <w:right w:val="single" w:color="auto" w:sz="4" w:space="0"/>
            </w:tcBorders>
            <w:vAlign w:val="center"/>
          </w:tcPr>
          <w:p>
            <w:pPr>
              <w:pStyle w:val="10"/>
              <w:spacing w:line="240" w:lineRule="auto"/>
              <w:jc w:val="center"/>
              <w:rPr>
                <w:rFonts w:hint="eastAsia" w:ascii="宋体" w:hAnsi="宋体" w:eastAsia="宋体" w:cs="宋体"/>
                <w:b/>
                <w:bCs/>
                <w:sz w:val="20"/>
                <w:szCs w:val="20"/>
              </w:rPr>
            </w:pPr>
            <w:r>
              <w:rPr>
                <w:rFonts w:hint="eastAsia" w:ascii="宋体" w:hAnsi="宋体" w:eastAsia="宋体" w:cs="宋体"/>
                <w:b/>
                <w:bCs/>
                <w:sz w:val="20"/>
                <w:szCs w:val="20"/>
              </w:rPr>
              <w:t>部门（领域）智慧城市专项规划评估评价支撑</w:t>
            </w:r>
          </w:p>
        </w:tc>
        <w:tc>
          <w:tcPr>
            <w:tcW w:w="975" w:type="dxa"/>
            <w:tcBorders>
              <w:top w:val="single" w:color="auto" w:sz="4" w:space="0"/>
              <w:left w:val="single" w:color="auto" w:sz="4" w:space="0"/>
              <w:bottom w:val="single" w:color="auto" w:sz="4" w:space="0"/>
              <w:right w:val="single" w:color="auto" w:sz="4" w:space="0"/>
            </w:tcBorders>
            <w:vAlign w:val="center"/>
          </w:tcPr>
          <w:p>
            <w:pPr>
              <w:pStyle w:val="10"/>
              <w:spacing w:line="240" w:lineRule="auto"/>
              <w:jc w:val="center"/>
              <w:rPr>
                <w:rFonts w:hint="eastAsia" w:ascii="宋体" w:hAnsi="宋体" w:eastAsia="宋体" w:cs="宋体"/>
                <w:sz w:val="20"/>
                <w:szCs w:val="20"/>
              </w:rPr>
            </w:pPr>
            <w:r>
              <w:rPr>
                <w:rFonts w:hint="eastAsia" w:ascii="宋体" w:hAnsi="宋体" w:eastAsia="宋体" w:cs="宋体"/>
                <w:sz w:val="20"/>
                <w:szCs w:val="20"/>
                <w:lang w:eastAsia="zh-CN"/>
              </w:rPr>
              <w:t>——</w:t>
            </w:r>
          </w:p>
        </w:tc>
        <w:tc>
          <w:tcPr>
            <w:tcW w:w="1437" w:type="dxa"/>
            <w:tcBorders>
              <w:top w:val="single" w:color="auto" w:sz="4" w:space="0"/>
              <w:left w:val="single" w:color="auto" w:sz="4" w:space="0"/>
              <w:bottom w:val="single" w:color="auto" w:sz="4" w:space="0"/>
              <w:right w:val="single" w:color="auto" w:sz="4" w:space="0"/>
            </w:tcBorders>
            <w:vAlign w:val="center"/>
          </w:tcPr>
          <w:p>
            <w:pPr>
              <w:pStyle w:val="10"/>
              <w:spacing w:line="240" w:lineRule="auto"/>
              <w:jc w:val="center"/>
              <w:rPr>
                <w:rFonts w:hint="eastAsia" w:ascii="宋体" w:hAnsi="宋体" w:eastAsia="宋体" w:cs="宋体"/>
                <w:sz w:val="20"/>
                <w:szCs w:val="20"/>
              </w:rPr>
            </w:pPr>
            <w:r>
              <w:rPr>
                <w:rFonts w:hint="eastAsia" w:ascii="宋体" w:hAnsi="宋体" w:eastAsia="宋体" w:cs="宋体"/>
                <w:sz w:val="20"/>
                <w:szCs w:val="20"/>
                <w:lang w:eastAsia="zh-CN"/>
              </w:rPr>
              <w:t>——</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b/>
                <w:kern w:val="0"/>
                <w:sz w:val="20"/>
                <w:szCs w:val="20"/>
                <w:lang w:bidi="ar"/>
              </w:rPr>
              <w:t>66.5</w:t>
            </w:r>
            <w:r>
              <w:rPr>
                <w:rFonts w:hint="eastAsia" w:ascii="宋体" w:hAnsi="宋体" w:eastAsia="宋体" w:cs="宋体"/>
                <w:b/>
                <w:kern w:val="0"/>
                <w:sz w:val="20"/>
                <w:szCs w:val="20"/>
                <w:lang w:val="en-US" w:eastAsia="zh-CN"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 w:hRule="atLeast"/>
          <w:jc w:val="center"/>
        </w:trPr>
        <w:tc>
          <w:tcPr>
            <w:tcW w:w="104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1.1.1</w:t>
            </w:r>
          </w:p>
        </w:tc>
        <w:tc>
          <w:tcPr>
            <w:tcW w:w="3717"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支撑各市级部门</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领域</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智慧城市规划的技术评估材料搜集与整理</w:t>
            </w: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13</w:t>
            </w:r>
          </w:p>
        </w:tc>
        <w:tc>
          <w:tcPr>
            <w:tcW w:w="1437"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0.80</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kern w:val="0"/>
                <w:sz w:val="20"/>
                <w:szCs w:val="20"/>
                <w:lang w:bidi="ar"/>
              </w:rPr>
            </w:pPr>
            <w:r>
              <w:rPr>
                <w:rFonts w:hint="eastAsia" w:ascii="宋体" w:hAnsi="宋体" w:eastAsia="宋体" w:cs="宋体"/>
                <w:color w:val="000000"/>
                <w:kern w:val="0"/>
                <w:sz w:val="20"/>
                <w:szCs w:val="20"/>
                <w:lang w:bidi="ar"/>
              </w:rPr>
              <w:t>10.4</w:t>
            </w:r>
            <w:r>
              <w:rPr>
                <w:rFonts w:hint="eastAsia" w:ascii="宋体" w:hAnsi="宋体" w:eastAsia="宋体" w:cs="宋体"/>
                <w:color w:val="000000"/>
                <w:kern w:val="0"/>
                <w:sz w:val="20"/>
                <w:szCs w:val="20"/>
                <w:lang w:val="en-US" w:eastAsia="zh-CN"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 w:hRule="atLeast"/>
          <w:jc w:val="center"/>
        </w:trPr>
        <w:tc>
          <w:tcPr>
            <w:tcW w:w="104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1.1.2</w:t>
            </w:r>
          </w:p>
        </w:tc>
        <w:tc>
          <w:tcPr>
            <w:tcW w:w="3717"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支撑各市级部门</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领域</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智慧城市规划的技术评估沟通、协调、对接等</w:t>
            </w: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13</w:t>
            </w:r>
          </w:p>
        </w:tc>
        <w:tc>
          <w:tcPr>
            <w:tcW w:w="1437"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1.20</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15.6</w:t>
            </w:r>
            <w:r>
              <w:rPr>
                <w:rFonts w:hint="eastAsia" w:ascii="宋体" w:hAnsi="宋体" w:eastAsia="宋体" w:cs="宋体"/>
                <w:color w:val="000000"/>
                <w:kern w:val="0"/>
                <w:sz w:val="20"/>
                <w:szCs w:val="20"/>
                <w:lang w:val="en-US" w:eastAsia="zh-CN"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 w:hRule="atLeast"/>
          <w:jc w:val="center"/>
        </w:trPr>
        <w:tc>
          <w:tcPr>
            <w:tcW w:w="104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1.1.3</w:t>
            </w:r>
          </w:p>
        </w:tc>
        <w:tc>
          <w:tcPr>
            <w:tcW w:w="3717"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支撑各市级部门</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领域</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智慧城市规划的技术评估文本统筹、审核和最终交付</w:t>
            </w: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27</w:t>
            </w:r>
          </w:p>
        </w:tc>
        <w:tc>
          <w:tcPr>
            <w:tcW w:w="1437"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1.50</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40.5</w:t>
            </w:r>
            <w:r>
              <w:rPr>
                <w:rFonts w:hint="eastAsia" w:ascii="宋体" w:hAnsi="宋体" w:eastAsia="宋体" w:cs="宋体"/>
                <w:color w:val="000000"/>
                <w:kern w:val="0"/>
                <w:sz w:val="20"/>
                <w:szCs w:val="20"/>
                <w:lang w:val="en-US" w:eastAsia="zh-CN"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 w:hRule="atLeast"/>
          <w:jc w:val="center"/>
        </w:trPr>
        <w:tc>
          <w:tcPr>
            <w:tcW w:w="104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b/>
                <w:color w:val="000000"/>
                <w:kern w:val="0"/>
                <w:sz w:val="20"/>
                <w:szCs w:val="20"/>
                <w:lang w:bidi="ar"/>
              </w:rPr>
              <w:t>1.2</w:t>
            </w:r>
          </w:p>
        </w:tc>
        <w:tc>
          <w:tcPr>
            <w:tcW w:w="3717"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b/>
                <w:color w:val="000000"/>
                <w:kern w:val="0"/>
                <w:sz w:val="20"/>
                <w:szCs w:val="20"/>
                <w:lang w:bidi="ar"/>
              </w:rPr>
              <w:t>区域智慧城市规划备案支撑</w:t>
            </w:r>
          </w:p>
        </w:tc>
        <w:tc>
          <w:tcPr>
            <w:tcW w:w="97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sz w:val="20"/>
                <w:szCs w:val="20"/>
              </w:rPr>
            </w:pPr>
            <w:r>
              <w:rPr>
                <w:rFonts w:hint="eastAsia" w:ascii="宋体" w:hAnsi="宋体" w:eastAsia="宋体" w:cs="宋体"/>
                <w:sz w:val="20"/>
                <w:szCs w:val="20"/>
                <w:lang w:eastAsia="zh-CN"/>
              </w:rPr>
              <w:t>——</w:t>
            </w:r>
          </w:p>
        </w:tc>
        <w:tc>
          <w:tcPr>
            <w:tcW w:w="1437"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sz w:val="20"/>
                <w:szCs w:val="20"/>
              </w:rPr>
            </w:pPr>
            <w:r>
              <w:rPr>
                <w:rFonts w:hint="eastAsia" w:ascii="宋体" w:hAnsi="宋体" w:eastAsia="宋体" w:cs="宋体"/>
                <w:sz w:val="20"/>
                <w:szCs w:val="20"/>
                <w:lang w:eastAsia="zh-CN"/>
              </w:rPr>
              <w:t>——</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b/>
                <w:color w:val="000000"/>
                <w:kern w:val="0"/>
                <w:sz w:val="20"/>
                <w:szCs w:val="20"/>
                <w:lang w:bidi="ar"/>
              </w:rPr>
              <w:t>45.00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 w:hRule="atLeast"/>
          <w:jc w:val="center"/>
        </w:trPr>
        <w:tc>
          <w:tcPr>
            <w:tcW w:w="104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b/>
                <w:bCs/>
                <w:sz w:val="20"/>
                <w:szCs w:val="20"/>
              </w:rPr>
            </w:pPr>
            <w:r>
              <w:rPr>
                <w:rFonts w:hint="eastAsia" w:ascii="宋体" w:hAnsi="宋体" w:eastAsia="宋体" w:cs="宋体"/>
                <w:color w:val="000000"/>
                <w:kern w:val="0"/>
                <w:sz w:val="20"/>
                <w:szCs w:val="20"/>
                <w:lang w:bidi="ar"/>
              </w:rPr>
              <w:t>1.2.1</w:t>
            </w:r>
          </w:p>
        </w:tc>
        <w:tc>
          <w:tcPr>
            <w:tcW w:w="3717"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b/>
                <w:bCs/>
                <w:sz w:val="20"/>
                <w:szCs w:val="20"/>
              </w:rPr>
            </w:pPr>
            <w:r>
              <w:rPr>
                <w:rFonts w:hint="eastAsia" w:ascii="宋体" w:hAnsi="宋体" w:eastAsia="宋体" w:cs="宋体"/>
                <w:color w:val="000000"/>
                <w:kern w:val="0"/>
                <w:sz w:val="20"/>
                <w:szCs w:val="20"/>
                <w:lang w:bidi="ar"/>
              </w:rPr>
              <w:t>支撑区域智慧城市规划的技术评估材料搜集与整理</w:t>
            </w: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9</w:t>
            </w:r>
          </w:p>
        </w:tc>
        <w:tc>
          <w:tcPr>
            <w:tcW w:w="1437"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0.80</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7.2</w:t>
            </w:r>
            <w:r>
              <w:rPr>
                <w:rFonts w:hint="eastAsia" w:ascii="宋体" w:hAnsi="宋体" w:eastAsia="宋体" w:cs="宋体"/>
                <w:color w:val="000000"/>
                <w:kern w:val="0"/>
                <w:sz w:val="20"/>
                <w:szCs w:val="20"/>
                <w:lang w:val="en-US" w:eastAsia="zh-CN"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 w:hRule="atLeast"/>
          <w:jc w:val="center"/>
        </w:trPr>
        <w:tc>
          <w:tcPr>
            <w:tcW w:w="104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1.2.2</w:t>
            </w:r>
          </w:p>
        </w:tc>
        <w:tc>
          <w:tcPr>
            <w:tcW w:w="3717"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支撑区域智慧城市规划的技术评估沟通、协调、对接等</w:t>
            </w: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9</w:t>
            </w:r>
          </w:p>
        </w:tc>
        <w:tc>
          <w:tcPr>
            <w:tcW w:w="1437"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1.20</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10.8</w:t>
            </w:r>
            <w:r>
              <w:rPr>
                <w:rFonts w:hint="eastAsia" w:ascii="宋体" w:hAnsi="宋体" w:eastAsia="宋体" w:cs="宋体"/>
                <w:color w:val="000000"/>
                <w:kern w:val="0"/>
                <w:sz w:val="20"/>
                <w:szCs w:val="20"/>
                <w:lang w:val="en-US" w:eastAsia="zh-CN"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 w:hRule="atLeast"/>
          <w:jc w:val="center"/>
        </w:trPr>
        <w:tc>
          <w:tcPr>
            <w:tcW w:w="104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1.2.3</w:t>
            </w:r>
          </w:p>
        </w:tc>
        <w:tc>
          <w:tcPr>
            <w:tcW w:w="3717"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支撑区域智慧城市规划的技术评估文本统筹、审核和最终交付</w:t>
            </w: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18</w:t>
            </w:r>
          </w:p>
        </w:tc>
        <w:tc>
          <w:tcPr>
            <w:tcW w:w="1437"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1.50</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27.0</w:t>
            </w:r>
            <w:r>
              <w:rPr>
                <w:rFonts w:hint="eastAsia" w:ascii="宋体" w:hAnsi="宋体" w:eastAsia="宋体" w:cs="宋体"/>
                <w:color w:val="000000"/>
                <w:kern w:val="0"/>
                <w:sz w:val="20"/>
                <w:szCs w:val="20"/>
                <w:lang w:val="en-US" w:eastAsia="zh-CN"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 w:hRule="atLeast"/>
          <w:jc w:val="center"/>
        </w:trPr>
        <w:tc>
          <w:tcPr>
            <w:tcW w:w="1040" w:type="dxa"/>
            <w:tcBorders>
              <w:top w:val="single" w:color="auto" w:sz="4" w:space="0"/>
              <w:left w:val="single" w:color="auto" w:sz="4" w:space="0"/>
              <w:bottom w:val="single" w:color="auto" w:sz="4" w:space="0"/>
              <w:right w:val="single" w:color="auto" w:sz="4" w:space="0"/>
            </w:tcBorders>
            <w:vAlign w:val="center"/>
          </w:tcPr>
          <w:p>
            <w:pPr>
              <w:pStyle w:val="10"/>
              <w:spacing w:line="240" w:lineRule="auto"/>
              <w:jc w:val="center"/>
              <w:rPr>
                <w:rFonts w:hint="eastAsia" w:ascii="宋体" w:hAnsi="宋体" w:eastAsia="宋体" w:cs="宋体"/>
                <w:b/>
                <w:bCs/>
                <w:sz w:val="20"/>
                <w:szCs w:val="20"/>
              </w:rPr>
            </w:pPr>
            <w:r>
              <w:rPr>
                <w:rFonts w:hint="eastAsia" w:ascii="宋体" w:hAnsi="宋体" w:eastAsia="宋体" w:cs="宋体"/>
                <w:b/>
                <w:bCs/>
                <w:sz w:val="20"/>
                <w:szCs w:val="20"/>
              </w:rPr>
              <w:t>2</w:t>
            </w:r>
          </w:p>
        </w:tc>
        <w:tc>
          <w:tcPr>
            <w:tcW w:w="3717" w:type="dxa"/>
            <w:tcBorders>
              <w:top w:val="single" w:color="auto" w:sz="4" w:space="0"/>
              <w:left w:val="single" w:color="auto" w:sz="4" w:space="0"/>
              <w:bottom w:val="single" w:color="auto" w:sz="4" w:space="0"/>
              <w:right w:val="single" w:color="auto" w:sz="4" w:space="0"/>
            </w:tcBorders>
            <w:vAlign w:val="center"/>
          </w:tcPr>
          <w:p>
            <w:pPr>
              <w:pStyle w:val="10"/>
              <w:spacing w:line="240" w:lineRule="auto"/>
              <w:jc w:val="center"/>
              <w:rPr>
                <w:rFonts w:hint="eastAsia" w:ascii="宋体" w:hAnsi="宋体" w:eastAsia="宋体" w:cs="宋体"/>
                <w:b/>
                <w:bCs/>
                <w:sz w:val="20"/>
                <w:szCs w:val="20"/>
              </w:rPr>
            </w:pPr>
            <w:r>
              <w:rPr>
                <w:rFonts w:hint="eastAsia" w:ascii="宋体" w:hAnsi="宋体" w:eastAsia="宋体" w:cs="宋体"/>
                <w:b/>
                <w:bCs/>
                <w:sz w:val="20"/>
                <w:szCs w:val="20"/>
              </w:rPr>
              <w:t>部门（领域</w:t>
            </w:r>
            <w:r>
              <w:rPr>
                <w:rFonts w:hint="eastAsia" w:ascii="宋体" w:hAnsi="宋体" w:cs="宋体"/>
                <w:b/>
                <w:bCs/>
                <w:sz w:val="20"/>
                <w:szCs w:val="20"/>
                <w:lang w:eastAsia="zh-CN"/>
              </w:rPr>
              <w:t>）</w:t>
            </w:r>
            <w:r>
              <w:rPr>
                <w:rFonts w:hint="eastAsia" w:ascii="宋体" w:hAnsi="宋体" w:eastAsia="宋体" w:cs="宋体"/>
                <w:b/>
                <w:bCs/>
                <w:sz w:val="20"/>
                <w:szCs w:val="20"/>
              </w:rPr>
              <w:t>顶层设计评估评价支撑</w:t>
            </w:r>
          </w:p>
        </w:tc>
        <w:tc>
          <w:tcPr>
            <w:tcW w:w="975" w:type="dxa"/>
            <w:tcBorders>
              <w:top w:val="single" w:color="auto" w:sz="4" w:space="0"/>
              <w:left w:val="single" w:color="auto" w:sz="4" w:space="0"/>
              <w:bottom w:val="single" w:color="auto" w:sz="4" w:space="0"/>
              <w:right w:val="single" w:color="auto" w:sz="4" w:space="0"/>
            </w:tcBorders>
            <w:vAlign w:val="center"/>
          </w:tcPr>
          <w:p>
            <w:pPr>
              <w:pStyle w:val="10"/>
              <w:spacing w:line="240" w:lineRule="auto"/>
              <w:jc w:val="center"/>
              <w:rPr>
                <w:rFonts w:hint="eastAsia" w:ascii="宋体" w:hAnsi="宋体" w:eastAsia="宋体" w:cs="宋体"/>
                <w:sz w:val="20"/>
                <w:szCs w:val="20"/>
              </w:rPr>
            </w:pPr>
            <w:r>
              <w:rPr>
                <w:rFonts w:hint="eastAsia" w:ascii="宋体" w:hAnsi="宋体" w:eastAsia="宋体" w:cs="宋体"/>
                <w:sz w:val="20"/>
                <w:szCs w:val="20"/>
                <w:lang w:eastAsia="zh-CN"/>
              </w:rPr>
              <w:t>——</w:t>
            </w:r>
          </w:p>
        </w:tc>
        <w:tc>
          <w:tcPr>
            <w:tcW w:w="1437" w:type="dxa"/>
            <w:tcBorders>
              <w:top w:val="single" w:color="auto" w:sz="4" w:space="0"/>
              <w:left w:val="single" w:color="auto" w:sz="4" w:space="0"/>
              <w:bottom w:val="single" w:color="auto" w:sz="4" w:space="0"/>
              <w:right w:val="single" w:color="auto" w:sz="4" w:space="0"/>
            </w:tcBorders>
            <w:vAlign w:val="center"/>
          </w:tcPr>
          <w:p>
            <w:pPr>
              <w:pStyle w:val="10"/>
              <w:spacing w:line="240" w:lineRule="auto"/>
              <w:jc w:val="center"/>
              <w:rPr>
                <w:rFonts w:hint="eastAsia" w:ascii="宋体" w:hAnsi="宋体" w:eastAsia="宋体" w:cs="宋体"/>
                <w:sz w:val="20"/>
                <w:szCs w:val="20"/>
              </w:rPr>
            </w:pPr>
            <w:r>
              <w:rPr>
                <w:rFonts w:hint="eastAsia" w:ascii="宋体" w:hAnsi="宋体" w:eastAsia="宋体" w:cs="宋体"/>
                <w:sz w:val="20"/>
                <w:szCs w:val="20"/>
                <w:lang w:eastAsia="zh-CN"/>
              </w:rPr>
              <w:t>——</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b/>
                <w:kern w:val="0"/>
                <w:sz w:val="20"/>
                <w:szCs w:val="20"/>
                <w:lang w:bidi="ar"/>
              </w:rPr>
              <w:t>310.0</w:t>
            </w:r>
            <w:r>
              <w:rPr>
                <w:rFonts w:hint="eastAsia" w:ascii="宋体" w:hAnsi="宋体" w:eastAsia="宋体" w:cs="宋体"/>
                <w:b/>
                <w:kern w:val="0"/>
                <w:sz w:val="20"/>
                <w:szCs w:val="20"/>
                <w:lang w:eastAsia="zh-CN" w:bidi="ar"/>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 w:hRule="atLeast"/>
          <w:jc w:val="center"/>
        </w:trPr>
        <w:tc>
          <w:tcPr>
            <w:tcW w:w="104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2.1.1</w:t>
            </w:r>
          </w:p>
        </w:tc>
        <w:tc>
          <w:tcPr>
            <w:tcW w:w="3717"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支撑各市级部门</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领域</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顶层设计评估搜集与整理</w:t>
            </w: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45</w:t>
            </w:r>
          </w:p>
        </w:tc>
        <w:tc>
          <w:tcPr>
            <w:tcW w:w="1437"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0.80</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36.0</w:t>
            </w:r>
            <w:r>
              <w:rPr>
                <w:rFonts w:hint="eastAsia" w:ascii="宋体" w:hAnsi="宋体" w:eastAsia="宋体" w:cs="宋体"/>
                <w:color w:val="000000"/>
                <w:kern w:val="0"/>
                <w:sz w:val="20"/>
                <w:szCs w:val="20"/>
                <w:lang w:val="en-US" w:eastAsia="zh-CN"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 w:hRule="atLeast"/>
          <w:jc w:val="center"/>
        </w:trPr>
        <w:tc>
          <w:tcPr>
            <w:tcW w:w="104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2.1.2</w:t>
            </w:r>
          </w:p>
        </w:tc>
        <w:tc>
          <w:tcPr>
            <w:tcW w:w="3717"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支撑各市级部门</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领域</w:t>
            </w: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顶层设计评估过程的沟通与对接，编制评估文本内容</w:t>
            </w: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90</w:t>
            </w:r>
          </w:p>
        </w:tc>
        <w:tc>
          <w:tcPr>
            <w:tcW w:w="1437"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1.20</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108.0</w:t>
            </w:r>
            <w:r>
              <w:rPr>
                <w:rFonts w:hint="eastAsia" w:ascii="宋体" w:hAnsi="宋体" w:eastAsia="宋体" w:cs="宋体"/>
                <w:color w:val="000000"/>
                <w:kern w:val="0"/>
                <w:sz w:val="20"/>
                <w:szCs w:val="20"/>
                <w:lang w:val="en-US" w:eastAsia="zh-CN"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 w:hRule="atLeast"/>
          <w:jc w:val="center"/>
        </w:trPr>
        <w:tc>
          <w:tcPr>
            <w:tcW w:w="104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2.1.3</w:t>
            </w:r>
          </w:p>
        </w:tc>
        <w:tc>
          <w:tcPr>
            <w:tcW w:w="3717"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支撑各市级部门顶层设计的技术评估</w:t>
            </w:r>
            <w:r>
              <w:rPr>
                <w:rFonts w:hint="eastAsia" w:ascii="宋体" w:hAnsi="宋体" w:eastAsia="宋体" w:cs="宋体"/>
                <w:color w:val="000000"/>
                <w:kern w:val="0"/>
                <w:sz w:val="20"/>
                <w:szCs w:val="20"/>
                <w:lang w:eastAsia="zh-CN" w:bidi="ar"/>
              </w:rPr>
              <w:t>文本</w:t>
            </w:r>
            <w:r>
              <w:rPr>
                <w:rFonts w:hint="eastAsia" w:ascii="宋体" w:hAnsi="宋体" w:eastAsia="宋体" w:cs="宋体"/>
                <w:color w:val="000000"/>
                <w:kern w:val="0"/>
                <w:sz w:val="20"/>
                <w:szCs w:val="20"/>
                <w:lang w:bidi="ar"/>
              </w:rPr>
              <w:t>统筹、审核和交付</w:t>
            </w: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90</w:t>
            </w:r>
          </w:p>
        </w:tc>
        <w:tc>
          <w:tcPr>
            <w:tcW w:w="1437"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1.50</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135.0</w:t>
            </w:r>
            <w:r>
              <w:rPr>
                <w:rFonts w:hint="eastAsia" w:ascii="宋体" w:hAnsi="宋体" w:eastAsia="宋体" w:cs="宋体"/>
                <w:color w:val="000000"/>
                <w:kern w:val="0"/>
                <w:sz w:val="20"/>
                <w:szCs w:val="20"/>
                <w:lang w:val="en-US" w:eastAsia="zh-CN"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 w:hRule="atLeast"/>
          <w:jc w:val="center"/>
        </w:trPr>
        <w:tc>
          <w:tcPr>
            <w:tcW w:w="104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2.1.4</w:t>
            </w:r>
          </w:p>
        </w:tc>
        <w:tc>
          <w:tcPr>
            <w:tcW w:w="3717"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协助建设年度政府投资信息化项目库，支撑开展各部门拟申报入库的政府投资信息化储备项目沟通、协调、对接等工作</w:t>
            </w: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39</w:t>
            </w:r>
          </w:p>
        </w:tc>
        <w:tc>
          <w:tcPr>
            <w:tcW w:w="1437"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0.80</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b/>
                <w:sz w:val="20"/>
                <w:szCs w:val="20"/>
              </w:rPr>
            </w:pPr>
            <w:r>
              <w:rPr>
                <w:rFonts w:hint="eastAsia" w:ascii="宋体" w:hAnsi="宋体" w:eastAsia="宋体" w:cs="宋体"/>
                <w:color w:val="000000"/>
                <w:kern w:val="0"/>
                <w:sz w:val="20"/>
                <w:szCs w:val="20"/>
                <w:lang w:bidi="ar"/>
              </w:rPr>
              <w:t>31.0</w:t>
            </w:r>
            <w:r>
              <w:rPr>
                <w:rFonts w:hint="eastAsia" w:ascii="宋体" w:hAnsi="宋体" w:eastAsia="宋体" w:cs="宋体"/>
                <w:color w:val="000000"/>
                <w:kern w:val="0"/>
                <w:sz w:val="20"/>
                <w:szCs w:val="20"/>
                <w:lang w:eastAsia="zh-CN" w:bidi="ar"/>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 w:hRule="atLeast"/>
          <w:jc w:val="center"/>
        </w:trPr>
        <w:tc>
          <w:tcPr>
            <w:tcW w:w="1040" w:type="dxa"/>
            <w:tcBorders>
              <w:top w:val="single" w:color="auto" w:sz="4" w:space="0"/>
              <w:left w:val="single" w:color="auto" w:sz="4" w:space="0"/>
              <w:bottom w:val="single" w:color="auto" w:sz="4" w:space="0"/>
              <w:right w:val="single" w:color="auto" w:sz="4" w:space="0"/>
            </w:tcBorders>
            <w:vAlign w:val="center"/>
          </w:tcPr>
          <w:p>
            <w:pPr>
              <w:pStyle w:val="10"/>
              <w:spacing w:line="240" w:lineRule="auto"/>
              <w:jc w:val="center"/>
              <w:rPr>
                <w:rFonts w:hint="eastAsia" w:ascii="宋体" w:hAnsi="宋体" w:eastAsia="宋体" w:cs="宋体"/>
                <w:b/>
                <w:bCs/>
                <w:sz w:val="20"/>
                <w:szCs w:val="20"/>
              </w:rPr>
            </w:pPr>
            <w:r>
              <w:rPr>
                <w:rFonts w:hint="eastAsia" w:ascii="宋体" w:hAnsi="宋体" w:eastAsia="宋体" w:cs="宋体"/>
                <w:b/>
                <w:bCs/>
                <w:sz w:val="20"/>
                <w:szCs w:val="20"/>
              </w:rPr>
              <w:t>3</w:t>
            </w:r>
          </w:p>
        </w:tc>
        <w:tc>
          <w:tcPr>
            <w:tcW w:w="3717" w:type="dxa"/>
            <w:tcBorders>
              <w:top w:val="single" w:color="auto" w:sz="4" w:space="0"/>
              <w:left w:val="single" w:color="auto" w:sz="4" w:space="0"/>
              <w:bottom w:val="single" w:color="auto" w:sz="4" w:space="0"/>
              <w:right w:val="single" w:color="auto" w:sz="4" w:space="0"/>
            </w:tcBorders>
            <w:vAlign w:val="center"/>
          </w:tcPr>
          <w:p>
            <w:pPr>
              <w:pStyle w:val="10"/>
              <w:spacing w:line="240" w:lineRule="auto"/>
              <w:jc w:val="center"/>
              <w:rPr>
                <w:rFonts w:hint="eastAsia" w:ascii="宋体" w:hAnsi="宋体" w:eastAsia="宋体" w:cs="宋体"/>
                <w:b/>
                <w:bCs/>
                <w:sz w:val="20"/>
                <w:szCs w:val="20"/>
              </w:rPr>
            </w:pPr>
            <w:r>
              <w:rPr>
                <w:rFonts w:hint="eastAsia" w:ascii="宋体" w:hAnsi="宋体" w:eastAsia="宋体" w:cs="宋体"/>
                <w:b/>
                <w:bCs/>
                <w:sz w:val="20"/>
                <w:szCs w:val="20"/>
              </w:rPr>
              <w:t>专家费</w:t>
            </w:r>
          </w:p>
        </w:tc>
        <w:tc>
          <w:tcPr>
            <w:tcW w:w="975" w:type="dxa"/>
            <w:tcBorders>
              <w:top w:val="single" w:color="auto" w:sz="4" w:space="0"/>
              <w:left w:val="single" w:color="auto" w:sz="4" w:space="0"/>
              <w:bottom w:val="single" w:color="auto" w:sz="4" w:space="0"/>
              <w:right w:val="single" w:color="auto" w:sz="4" w:space="0"/>
            </w:tcBorders>
            <w:vAlign w:val="center"/>
          </w:tcPr>
          <w:p>
            <w:pPr>
              <w:pStyle w:val="10"/>
              <w:spacing w:line="240" w:lineRule="auto"/>
              <w:jc w:val="center"/>
              <w:rPr>
                <w:rFonts w:hint="eastAsia" w:ascii="宋体" w:hAnsi="宋体" w:eastAsia="宋体" w:cs="宋体"/>
                <w:sz w:val="20"/>
                <w:szCs w:val="20"/>
              </w:rPr>
            </w:pPr>
            <w:r>
              <w:rPr>
                <w:rFonts w:hint="eastAsia" w:ascii="宋体" w:hAnsi="宋体" w:eastAsia="宋体" w:cs="宋体"/>
                <w:sz w:val="20"/>
                <w:szCs w:val="20"/>
                <w:lang w:eastAsia="zh-CN"/>
              </w:rPr>
              <w:t>——</w:t>
            </w:r>
          </w:p>
        </w:tc>
        <w:tc>
          <w:tcPr>
            <w:tcW w:w="1437" w:type="dxa"/>
            <w:tcBorders>
              <w:top w:val="single" w:color="auto" w:sz="4" w:space="0"/>
              <w:left w:val="single" w:color="auto" w:sz="4" w:space="0"/>
              <w:bottom w:val="single" w:color="auto" w:sz="4" w:space="0"/>
              <w:right w:val="single" w:color="auto" w:sz="4" w:space="0"/>
            </w:tcBorders>
            <w:vAlign w:val="center"/>
          </w:tcPr>
          <w:p>
            <w:pPr>
              <w:pStyle w:val="10"/>
              <w:spacing w:line="240" w:lineRule="auto"/>
              <w:jc w:val="center"/>
              <w:rPr>
                <w:rFonts w:hint="eastAsia" w:ascii="宋体" w:hAnsi="宋体" w:eastAsia="宋体" w:cs="宋体"/>
                <w:sz w:val="20"/>
                <w:szCs w:val="20"/>
              </w:rPr>
            </w:pPr>
            <w:r>
              <w:rPr>
                <w:rFonts w:hint="eastAsia" w:ascii="宋体" w:hAnsi="宋体" w:eastAsia="宋体" w:cs="宋体"/>
                <w:sz w:val="20"/>
                <w:szCs w:val="20"/>
                <w:lang w:eastAsia="zh-CN"/>
              </w:rPr>
              <w:t>——</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b/>
                <w:kern w:val="0"/>
                <w:sz w:val="20"/>
                <w:szCs w:val="20"/>
                <w:lang w:bidi="ar"/>
              </w:rPr>
              <w:t>0.80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 w:hRule="atLeast"/>
          <w:jc w:val="center"/>
        </w:trPr>
        <w:tc>
          <w:tcPr>
            <w:tcW w:w="1040" w:type="dxa"/>
            <w:tcBorders>
              <w:top w:val="single" w:color="auto" w:sz="4" w:space="0"/>
              <w:left w:val="single" w:color="auto" w:sz="4" w:space="0"/>
              <w:bottom w:val="single" w:color="auto" w:sz="4" w:space="0"/>
              <w:right w:val="single" w:color="auto" w:sz="4" w:space="0"/>
            </w:tcBorders>
            <w:vAlign w:val="center"/>
          </w:tcPr>
          <w:p>
            <w:pPr>
              <w:pStyle w:val="10"/>
              <w:spacing w:line="240" w:lineRule="auto"/>
              <w:jc w:val="center"/>
              <w:rPr>
                <w:rFonts w:hint="eastAsia" w:ascii="宋体" w:hAnsi="宋体" w:eastAsia="宋体" w:cs="宋体"/>
                <w:sz w:val="20"/>
                <w:szCs w:val="20"/>
              </w:rPr>
            </w:pPr>
            <w:r>
              <w:rPr>
                <w:rFonts w:hint="eastAsia" w:ascii="宋体" w:hAnsi="宋体" w:eastAsia="宋体" w:cs="宋体"/>
                <w:sz w:val="20"/>
                <w:szCs w:val="20"/>
              </w:rPr>
              <w:t>3.1</w:t>
            </w:r>
          </w:p>
        </w:tc>
        <w:tc>
          <w:tcPr>
            <w:tcW w:w="3717" w:type="dxa"/>
            <w:tcBorders>
              <w:top w:val="single" w:color="auto" w:sz="4" w:space="0"/>
              <w:left w:val="single" w:color="auto" w:sz="4" w:space="0"/>
              <w:bottom w:val="single" w:color="auto" w:sz="4" w:space="0"/>
              <w:right w:val="single" w:color="auto" w:sz="4" w:space="0"/>
            </w:tcBorders>
            <w:vAlign w:val="center"/>
          </w:tcPr>
          <w:p>
            <w:pPr>
              <w:pStyle w:val="10"/>
              <w:spacing w:line="240" w:lineRule="auto"/>
              <w:jc w:val="center"/>
              <w:rPr>
                <w:rFonts w:hint="eastAsia" w:ascii="宋体" w:hAnsi="宋体" w:eastAsia="宋体" w:cs="宋体"/>
                <w:sz w:val="20"/>
                <w:szCs w:val="20"/>
              </w:rPr>
            </w:pPr>
            <w:r>
              <w:rPr>
                <w:rFonts w:hint="eastAsia" w:ascii="宋体" w:hAnsi="宋体" w:eastAsia="宋体" w:cs="宋体"/>
                <w:sz w:val="20"/>
                <w:szCs w:val="20"/>
              </w:rPr>
              <w:t>招标评审专家费</w:t>
            </w:r>
          </w:p>
        </w:tc>
        <w:tc>
          <w:tcPr>
            <w:tcW w:w="975" w:type="dxa"/>
            <w:tcBorders>
              <w:top w:val="single" w:color="auto" w:sz="4" w:space="0"/>
              <w:left w:val="single" w:color="auto" w:sz="4" w:space="0"/>
              <w:bottom w:val="single" w:color="auto" w:sz="4" w:space="0"/>
              <w:right w:val="single" w:color="auto" w:sz="4" w:space="0"/>
            </w:tcBorders>
            <w:vAlign w:val="center"/>
          </w:tcPr>
          <w:p>
            <w:pPr>
              <w:pStyle w:val="10"/>
              <w:spacing w:line="240" w:lineRule="auto"/>
              <w:jc w:val="center"/>
              <w:rPr>
                <w:rFonts w:hint="eastAsia" w:ascii="宋体" w:hAnsi="宋体" w:eastAsia="宋体" w:cs="宋体"/>
                <w:sz w:val="20"/>
                <w:szCs w:val="20"/>
              </w:rPr>
            </w:pPr>
            <w:r>
              <w:rPr>
                <w:rFonts w:hint="eastAsia" w:ascii="宋体" w:hAnsi="宋体" w:eastAsia="宋体" w:cs="宋体"/>
                <w:sz w:val="20"/>
                <w:szCs w:val="20"/>
              </w:rPr>
              <w:t>5</w:t>
            </w:r>
          </w:p>
        </w:tc>
        <w:tc>
          <w:tcPr>
            <w:tcW w:w="1437" w:type="dxa"/>
            <w:tcBorders>
              <w:top w:val="single" w:color="auto" w:sz="4" w:space="0"/>
              <w:left w:val="single" w:color="auto" w:sz="4" w:space="0"/>
              <w:bottom w:val="single" w:color="auto" w:sz="4" w:space="0"/>
              <w:right w:val="single" w:color="auto" w:sz="4" w:space="0"/>
            </w:tcBorders>
            <w:vAlign w:val="center"/>
          </w:tcPr>
          <w:p>
            <w:pPr>
              <w:pStyle w:val="10"/>
              <w:spacing w:line="240" w:lineRule="auto"/>
              <w:jc w:val="center"/>
              <w:rPr>
                <w:rFonts w:hint="eastAsia" w:ascii="宋体" w:hAnsi="宋体" w:eastAsia="宋体" w:cs="宋体"/>
                <w:sz w:val="20"/>
                <w:szCs w:val="20"/>
              </w:rPr>
            </w:pPr>
            <w:r>
              <w:rPr>
                <w:rFonts w:hint="eastAsia" w:ascii="宋体" w:hAnsi="宋体" w:eastAsia="宋体" w:cs="宋体"/>
                <w:sz w:val="20"/>
                <w:szCs w:val="20"/>
              </w:rPr>
              <w:t>0.08</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kern w:val="0"/>
                <w:sz w:val="20"/>
                <w:szCs w:val="20"/>
                <w:lang w:bidi="ar"/>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 w:hRule="atLeast"/>
          <w:jc w:val="center"/>
        </w:trPr>
        <w:tc>
          <w:tcPr>
            <w:tcW w:w="1040" w:type="dxa"/>
            <w:tcBorders>
              <w:top w:val="single" w:color="auto" w:sz="4" w:space="0"/>
              <w:left w:val="single" w:color="auto" w:sz="4" w:space="0"/>
              <w:bottom w:val="single" w:color="auto" w:sz="4" w:space="0"/>
              <w:right w:val="single" w:color="auto" w:sz="4" w:space="0"/>
            </w:tcBorders>
            <w:vAlign w:val="center"/>
          </w:tcPr>
          <w:p>
            <w:pPr>
              <w:pStyle w:val="10"/>
              <w:spacing w:line="240" w:lineRule="auto"/>
              <w:jc w:val="center"/>
              <w:rPr>
                <w:rFonts w:hint="eastAsia" w:ascii="宋体" w:hAnsi="宋体" w:eastAsia="宋体" w:cs="宋体"/>
                <w:sz w:val="20"/>
                <w:szCs w:val="20"/>
              </w:rPr>
            </w:pPr>
            <w:r>
              <w:rPr>
                <w:rFonts w:hint="eastAsia" w:ascii="宋体" w:hAnsi="宋体" w:eastAsia="宋体" w:cs="宋体"/>
                <w:sz w:val="20"/>
                <w:szCs w:val="20"/>
              </w:rPr>
              <w:t>3.2</w:t>
            </w:r>
          </w:p>
        </w:tc>
        <w:tc>
          <w:tcPr>
            <w:tcW w:w="3717" w:type="dxa"/>
            <w:tcBorders>
              <w:top w:val="single" w:color="auto" w:sz="4" w:space="0"/>
              <w:left w:val="single" w:color="auto" w:sz="4" w:space="0"/>
              <w:bottom w:val="single" w:color="auto" w:sz="4" w:space="0"/>
              <w:right w:val="single" w:color="auto" w:sz="4" w:space="0"/>
            </w:tcBorders>
            <w:vAlign w:val="center"/>
          </w:tcPr>
          <w:p>
            <w:pPr>
              <w:pStyle w:val="10"/>
              <w:spacing w:line="240" w:lineRule="auto"/>
              <w:jc w:val="center"/>
              <w:rPr>
                <w:rFonts w:hint="eastAsia" w:ascii="宋体" w:hAnsi="宋体" w:eastAsia="宋体" w:cs="宋体"/>
                <w:sz w:val="20"/>
                <w:szCs w:val="20"/>
              </w:rPr>
            </w:pPr>
            <w:r>
              <w:rPr>
                <w:rFonts w:hint="eastAsia" w:ascii="宋体" w:hAnsi="宋体" w:eastAsia="宋体" w:cs="宋体"/>
                <w:sz w:val="20"/>
                <w:szCs w:val="20"/>
              </w:rPr>
              <w:t>验收专家费</w:t>
            </w:r>
          </w:p>
        </w:tc>
        <w:tc>
          <w:tcPr>
            <w:tcW w:w="975" w:type="dxa"/>
            <w:tcBorders>
              <w:top w:val="single" w:color="auto" w:sz="4" w:space="0"/>
              <w:left w:val="single" w:color="auto" w:sz="4" w:space="0"/>
              <w:bottom w:val="single" w:color="auto" w:sz="4" w:space="0"/>
              <w:right w:val="single" w:color="auto" w:sz="4" w:space="0"/>
            </w:tcBorders>
            <w:vAlign w:val="center"/>
          </w:tcPr>
          <w:p>
            <w:pPr>
              <w:pStyle w:val="10"/>
              <w:spacing w:line="240" w:lineRule="auto"/>
              <w:jc w:val="center"/>
              <w:rPr>
                <w:rFonts w:hint="eastAsia" w:ascii="宋体" w:hAnsi="宋体" w:eastAsia="宋体" w:cs="宋体"/>
                <w:sz w:val="20"/>
                <w:szCs w:val="20"/>
              </w:rPr>
            </w:pPr>
            <w:r>
              <w:rPr>
                <w:rFonts w:hint="eastAsia" w:ascii="宋体" w:hAnsi="宋体" w:eastAsia="宋体" w:cs="宋体"/>
                <w:sz w:val="20"/>
                <w:szCs w:val="20"/>
              </w:rPr>
              <w:t>5</w:t>
            </w:r>
          </w:p>
        </w:tc>
        <w:tc>
          <w:tcPr>
            <w:tcW w:w="1437" w:type="dxa"/>
            <w:tcBorders>
              <w:top w:val="single" w:color="auto" w:sz="4" w:space="0"/>
              <w:left w:val="single" w:color="auto" w:sz="4" w:space="0"/>
              <w:bottom w:val="single" w:color="auto" w:sz="4" w:space="0"/>
              <w:right w:val="single" w:color="auto" w:sz="4" w:space="0"/>
            </w:tcBorders>
            <w:vAlign w:val="center"/>
          </w:tcPr>
          <w:p>
            <w:pPr>
              <w:pStyle w:val="10"/>
              <w:spacing w:line="240" w:lineRule="auto"/>
              <w:jc w:val="center"/>
              <w:rPr>
                <w:rFonts w:hint="eastAsia" w:ascii="宋体" w:hAnsi="宋体" w:eastAsia="宋体" w:cs="宋体"/>
                <w:sz w:val="20"/>
                <w:szCs w:val="20"/>
              </w:rPr>
            </w:pPr>
            <w:r>
              <w:rPr>
                <w:rFonts w:hint="eastAsia" w:ascii="宋体" w:hAnsi="宋体" w:eastAsia="宋体" w:cs="宋体"/>
                <w:sz w:val="20"/>
                <w:szCs w:val="20"/>
              </w:rPr>
              <w:t>0.08</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textAlignment w:val="center"/>
              <w:rPr>
                <w:rFonts w:hint="eastAsia" w:ascii="宋体" w:hAnsi="宋体" w:eastAsia="宋体" w:cs="宋体"/>
                <w:sz w:val="20"/>
                <w:szCs w:val="20"/>
              </w:rPr>
            </w:pPr>
            <w:r>
              <w:rPr>
                <w:rFonts w:hint="eastAsia" w:ascii="宋体" w:hAnsi="宋体" w:eastAsia="宋体" w:cs="宋体"/>
                <w:kern w:val="0"/>
                <w:sz w:val="20"/>
                <w:szCs w:val="20"/>
                <w:lang w:bidi="ar"/>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3" w:hRule="atLeast"/>
          <w:jc w:val="center"/>
        </w:trPr>
        <w:tc>
          <w:tcPr>
            <w:tcW w:w="7169" w:type="dxa"/>
            <w:gridSpan w:val="4"/>
            <w:tcBorders>
              <w:top w:val="single" w:color="auto" w:sz="4" w:space="0"/>
              <w:left w:val="single" w:color="auto" w:sz="4" w:space="0"/>
              <w:bottom w:val="single" w:color="auto" w:sz="4" w:space="0"/>
              <w:right w:val="single" w:color="auto" w:sz="4" w:space="0"/>
            </w:tcBorders>
            <w:vAlign w:val="center"/>
          </w:tcPr>
          <w:p>
            <w:pPr>
              <w:pStyle w:val="10"/>
              <w:spacing w:line="240" w:lineRule="auto"/>
              <w:jc w:val="center"/>
              <w:rPr>
                <w:rFonts w:hint="eastAsia" w:ascii="宋体" w:hAnsi="宋体" w:eastAsia="宋体" w:cs="宋体"/>
                <w:b/>
                <w:sz w:val="20"/>
                <w:szCs w:val="20"/>
              </w:rPr>
            </w:pPr>
            <w:r>
              <w:rPr>
                <w:rFonts w:hint="eastAsia" w:ascii="宋体" w:hAnsi="宋体" w:eastAsia="宋体" w:cs="宋体"/>
                <w:b/>
                <w:sz w:val="20"/>
                <w:szCs w:val="20"/>
              </w:rPr>
              <w:t>合计</w:t>
            </w:r>
          </w:p>
        </w:tc>
        <w:tc>
          <w:tcPr>
            <w:tcW w:w="1350" w:type="dxa"/>
            <w:tcBorders>
              <w:top w:val="single" w:color="auto" w:sz="4" w:space="0"/>
              <w:left w:val="single" w:color="auto" w:sz="4" w:space="0"/>
              <w:bottom w:val="single" w:color="auto" w:sz="4" w:space="0"/>
              <w:right w:val="single" w:color="auto" w:sz="4" w:space="0"/>
            </w:tcBorders>
            <w:vAlign w:val="center"/>
          </w:tcPr>
          <w:p>
            <w:pPr>
              <w:pStyle w:val="10"/>
              <w:spacing w:line="240" w:lineRule="auto"/>
              <w:jc w:val="center"/>
              <w:rPr>
                <w:rFonts w:hint="eastAsia" w:ascii="宋体" w:hAnsi="宋体" w:eastAsia="宋体" w:cs="宋体"/>
                <w:b/>
                <w:bCs/>
                <w:sz w:val="20"/>
                <w:szCs w:val="20"/>
              </w:rPr>
            </w:pPr>
            <w:r>
              <w:rPr>
                <w:rFonts w:hint="eastAsia" w:ascii="宋体" w:hAnsi="宋体" w:eastAsia="宋体" w:cs="宋体"/>
                <w:b/>
                <w:bCs/>
                <w:sz w:val="20"/>
                <w:szCs w:val="20"/>
              </w:rPr>
              <w:t>422.3</w:t>
            </w:r>
            <w:r>
              <w:rPr>
                <w:rFonts w:hint="eastAsia" w:ascii="宋体" w:hAnsi="宋体" w:eastAsia="宋体" w:cs="宋体"/>
                <w:b/>
                <w:bCs/>
                <w:sz w:val="20"/>
                <w:szCs w:val="20"/>
                <w:lang w:val="en-US" w:eastAsia="zh-CN"/>
              </w:rPr>
              <w:t>3</w:t>
            </w:r>
          </w:p>
        </w:tc>
      </w:tr>
    </w:tbl>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eastAsia" w:ascii="楷体_GB2312" w:hAnsi="楷体_GB2312" w:eastAsia="楷体_GB2312" w:cs="楷体_GB2312"/>
          <w:sz w:val="32"/>
          <w:szCs w:val="32"/>
          <w:lang w:val="en-US" w:eastAsia="zh-CN"/>
        </w:rPr>
      </w:pPr>
      <w:bookmarkStart w:id="55" w:name="_Toc12921"/>
      <w:r>
        <w:rPr>
          <w:rFonts w:hint="eastAsia" w:ascii="楷体_GB2312" w:hAnsi="楷体_GB2312" w:eastAsia="楷体_GB2312" w:cs="楷体_GB2312"/>
          <w:sz w:val="32"/>
          <w:szCs w:val="32"/>
        </w:rPr>
        <w:t>（</w:t>
      </w: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rPr>
        <w:t>）项目</w:t>
      </w:r>
      <w:r>
        <w:rPr>
          <w:rFonts w:hint="eastAsia" w:ascii="楷体_GB2312" w:hAnsi="楷体_GB2312" w:eastAsia="楷体_GB2312" w:cs="楷体_GB2312"/>
          <w:sz w:val="32"/>
          <w:szCs w:val="32"/>
          <w:lang w:val="en-US" w:eastAsia="zh-CN"/>
        </w:rPr>
        <w:t>绩效目标</w:t>
      </w:r>
      <w:bookmarkEnd w:id="55"/>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default" w:ascii="仿宋_GB2312" w:hAnsi="宋体" w:eastAsia="仿宋_GB2312"/>
          <w:b/>
          <w:bCs/>
          <w:sz w:val="32"/>
          <w:szCs w:val="32"/>
          <w:lang w:val="en-US" w:eastAsia="zh-CN"/>
        </w:rPr>
      </w:pPr>
      <w:r>
        <w:rPr>
          <w:rFonts w:hint="eastAsia" w:ascii="仿宋_GB2312" w:hAnsi="宋体" w:eastAsia="仿宋_GB2312"/>
          <w:b/>
          <w:bCs/>
          <w:sz w:val="32"/>
          <w:szCs w:val="32"/>
          <w:lang w:val="en-US" w:eastAsia="zh-CN"/>
        </w:rPr>
        <w:t>1.年度目标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宋体" w:eastAsia="仿宋_GB2312"/>
          <w:b/>
          <w:bCs/>
          <w:sz w:val="32"/>
          <w:szCs w:val="32"/>
          <w:lang w:val="en-US" w:eastAsia="zh-CN"/>
        </w:rPr>
      </w:pPr>
      <w:r>
        <w:rPr>
          <w:rFonts w:hint="eastAsia" w:ascii="仿宋_GB2312" w:hAnsi="宋体" w:eastAsia="仿宋_GB2312" w:cstheme="minorBidi"/>
          <w:kern w:val="2"/>
          <w:sz w:val="32"/>
          <w:szCs w:val="32"/>
          <w:u w:val="none"/>
          <w:lang w:val="en-US" w:eastAsia="zh-CN" w:bidi="ar-SA"/>
        </w:rPr>
        <w:t>提升智慧城市专项规划评审、顶层设计评审等相关工作的专业化水平，高效支撑大数据建设处推动市级政务部门规划和顶层设计审查、重大应用项目实施后评估等相关工作，促进北京智慧城市建设，保障“一张蓝图绘到底”。</w:t>
      </w:r>
      <w:bookmarkStart w:id="56" w:name="_Toc25899"/>
      <w:bookmarkStart w:id="57" w:name="_Toc18631"/>
      <w:bookmarkStart w:id="58" w:name="_Toc9912"/>
      <w:bookmarkStart w:id="59" w:name="_Toc24024"/>
      <w:bookmarkStart w:id="60" w:name="_Toc10359"/>
      <w:bookmarkStart w:id="61" w:name="_Toc799"/>
      <w:bookmarkStart w:id="62" w:name="_Toc29350"/>
      <w:bookmarkStart w:id="63" w:name="_Toc24618"/>
      <w:bookmarkStart w:id="64" w:name="_Toc7510"/>
      <w:bookmarkStart w:id="65" w:name="_Toc8106"/>
      <w:bookmarkStart w:id="66" w:name="_Toc30747"/>
      <w:bookmarkStart w:id="67" w:name="_Toc23540"/>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default" w:ascii="仿宋_GB2312" w:hAnsi="宋体" w:eastAsia="仿宋_GB2312"/>
          <w:b/>
          <w:bCs/>
          <w:sz w:val="32"/>
          <w:szCs w:val="32"/>
          <w:highlight w:val="none"/>
          <w:lang w:val="en-US" w:eastAsia="zh-CN"/>
        </w:rPr>
      </w:pPr>
      <w:r>
        <w:rPr>
          <w:rFonts w:hint="default" w:ascii="仿宋_GB2312" w:hAnsi="宋体" w:eastAsia="仿宋_GB2312"/>
          <w:b/>
          <w:bCs/>
          <w:sz w:val="32"/>
          <w:szCs w:val="32"/>
          <w:highlight w:val="none"/>
          <w:lang w:val="en-US" w:eastAsia="zh-CN"/>
        </w:rPr>
        <w:t>2.年度绩效指标</w:t>
      </w:r>
      <w:bookmarkEnd w:id="56"/>
      <w:bookmarkEnd w:id="57"/>
      <w:bookmarkEnd w:id="58"/>
      <w:bookmarkEnd w:id="59"/>
      <w:bookmarkEnd w:id="60"/>
      <w:bookmarkEnd w:id="61"/>
      <w:bookmarkEnd w:id="62"/>
      <w:bookmarkEnd w:id="63"/>
      <w:bookmarkEnd w:id="64"/>
      <w:bookmarkEnd w:id="65"/>
      <w:bookmarkEnd w:id="66"/>
      <w:bookmarkEnd w:id="67"/>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eastAsia="仿宋"/>
          <w:sz w:val="32"/>
          <w:szCs w:val="32"/>
        </w:rPr>
      </w:pPr>
      <w:r>
        <w:rPr>
          <w:rFonts w:hint="eastAsia" w:ascii="仿宋_GB2312" w:hAnsi="宋体" w:eastAsia="仿宋_GB2312" w:cstheme="minorBidi"/>
          <w:kern w:val="2"/>
          <w:sz w:val="32"/>
          <w:szCs w:val="32"/>
          <w:u w:val="none"/>
          <w:lang w:val="en-US" w:eastAsia="zh-CN" w:bidi="ar-SA"/>
        </w:rPr>
        <w:t>2022年项目</w:t>
      </w:r>
      <w:r>
        <w:rPr>
          <w:rFonts w:hint="eastAsia" w:ascii="仿宋_GB2312" w:hAnsi="宋体" w:eastAsia="仿宋_GB2312"/>
          <w:sz w:val="32"/>
          <w:szCs w:val="32"/>
        </w:rPr>
        <w:t>绩效指标设定情况详</w:t>
      </w:r>
      <w:r>
        <w:rPr>
          <w:rFonts w:hint="eastAsia" w:ascii="仿宋_GB2312" w:hAnsi="宋体" w:eastAsia="仿宋_GB2312" w:cstheme="minorBidi"/>
          <w:sz w:val="32"/>
          <w:szCs w:val="32"/>
        </w:rPr>
        <w:t>见表2</w:t>
      </w:r>
      <w:r>
        <w:rPr>
          <w:rFonts w:hint="eastAsia" w:ascii="仿宋_GB2312" w:hAnsi="仿宋_GB2312" w:eastAsia="仿宋_GB2312" w:cs="仿宋_GB2312"/>
          <w:sz w:val="32"/>
          <w:szCs w:val="32"/>
        </w:rPr>
        <w:t>。</w:t>
      </w:r>
    </w:p>
    <w:p>
      <w:pPr>
        <w:pStyle w:val="4"/>
        <w:ind w:firstLine="0" w:firstLineChars="0"/>
        <w:jc w:val="center"/>
        <w:rPr>
          <w:rFonts w:hint="eastAsia" w:ascii="黑体" w:hAnsi="黑体" w:eastAsia="黑体" w:cs="黑体"/>
          <w:kern w:val="2"/>
          <w:sz w:val="28"/>
          <w:szCs w:val="28"/>
          <w:u w:val="none"/>
          <w:lang w:val="en-US" w:eastAsia="zh-CN" w:bidi="ar-SA"/>
        </w:rPr>
      </w:pPr>
      <w:r>
        <w:rPr>
          <w:rFonts w:hint="eastAsia" w:ascii="黑体" w:hAnsi="黑体" w:eastAsia="黑体" w:cs="黑体"/>
          <w:kern w:val="2"/>
          <w:sz w:val="28"/>
          <w:szCs w:val="28"/>
          <w:u w:val="none"/>
          <w:lang w:val="en-US" w:eastAsia="zh-CN" w:bidi="ar-SA"/>
        </w:rPr>
        <w:t>表2 智慧城市规划和顶层设计管控体系服务支撑项目</w:t>
      </w:r>
      <w:r>
        <w:rPr>
          <w:rFonts w:hint="eastAsia" w:ascii="黑体" w:hAnsi="黑体" w:eastAsia="黑体" w:cs="黑体"/>
          <w:sz w:val="28"/>
          <w:szCs w:val="28"/>
        </w:rPr>
        <w:t>绩效指标</w:t>
      </w:r>
    </w:p>
    <w:tbl>
      <w:tblPr>
        <w:tblStyle w:val="8"/>
        <w:tblW w:w="857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18"/>
        <w:gridCol w:w="1284"/>
        <w:gridCol w:w="4387"/>
        <w:gridCol w:w="16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 w:hRule="atLeast"/>
          <w:tblHeader/>
          <w:jc w:val="center"/>
        </w:trPr>
        <w:tc>
          <w:tcPr>
            <w:tcW w:w="1218" w:type="dxa"/>
            <w:tcBorders>
              <w:top w:val="single" w:color="000000" w:sz="4" w:space="0"/>
              <w:left w:val="single" w:color="000000" w:sz="4" w:space="0"/>
              <w:bottom w:val="single" w:color="auto" w:sz="4" w:space="0"/>
              <w:right w:val="single" w:color="000000" w:sz="4" w:space="0"/>
            </w:tcBorders>
            <w:shd w:val="clear" w:color="auto" w:fill="96B4E1" w:themeFill="background1" w:themeFillShade="B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一级指标</w:t>
            </w:r>
          </w:p>
        </w:tc>
        <w:tc>
          <w:tcPr>
            <w:tcW w:w="1284" w:type="dxa"/>
            <w:tcBorders>
              <w:top w:val="single" w:color="000000" w:sz="4" w:space="0"/>
              <w:left w:val="single" w:color="000000" w:sz="4" w:space="0"/>
              <w:bottom w:val="single" w:color="000000" w:sz="4" w:space="0"/>
              <w:right w:val="single" w:color="000000" w:sz="4" w:space="0"/>
            </w:tcBorders>
            <w:shd w:val="clear" w:color="auto" w:fill="96B4E1" w:themeFill="background1" w:themeFillShade="B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二级指标</w:t>
            </w:r>
          </w:p>
        </w:tc>
        <w:tc>
          <w:tcPr>
            <w:tcW w:w="4387" w:type="dxa"/>
            <w:tcBorders>
              <w:top w:val="single" w:color="000000" w:sz="4" w:space="0"/>
              <w:left w:val="single" w:color="000000" w:sz="4" w:space="0"/>
              <w:bottom w:val="single" w:color="000000" w:sz="4" w:space="0"/>
              <w:right w:val="single" w:color="000000" w:sz="4" w:space="0"/>
            </w:tcBorders>
            <w:shd w:val="clear" w:color="auto" w:fill="96B4E1" w:themeFill="background1" w:themeFillShade="B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三级指标</w:t>
            </w:r>
          </w:p>
        </w:tc>
        <w:tc>
          <w:tcPr>
            <w:tcW w:w="1681" w:type="dxa"/>
            <w:tcBorders>
              <w:top w:val="single" w:color="000000" w:sz="4" w:space="0"/>
              <w:left w:val="single" w:color="000000" w:sz="4" w:space="0"/>
              <w:bottom w:val="single" w:color="000000" w:sz="4" w:space="0"/>
              <w:right w:val="single" w:color="000000" w:sz="4" w:space="0"/>
            </w:tcBorders>
            <w:shd w:val="clear" w:color="auto" w:fill="96B4E1" w:themeFill="background1" w:themeFillShade="B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 w:hRule="atLeast"/>
          <w:tblHeader/>
          <w:jc w:val="center"/>
        </w:trPr>
        <w:tc>
          <w:tcPr>
            <w:tcW w:w="12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84"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4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协助建设年度项目储备库数量</w:t>
            </w:r>
          </w:p>
        </w:tc>
        <w:tc>
          <w:tcPr>
            <w:tcW w:w="1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23" w:hRule="atLeast"/>
          <w:tblHeader/>
          <w:jc w:val="center"/>
        </w:trPr>
        <w:tc>
          <w:tcPr>
            <w:tcW w:w="12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84"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各部门智慧城市顶层设计评估报告数量</w:t>
            </w:r>
          </w:p>
        </w:tc>
        <w:tc>
          <w:tcPr>
            <w:tcW w:w="1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≥50份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23" w:hRule="atLeast"/>
          <w:tblHeader/>
          <w:jc w:val="center"/>
        </w:trPr>
        <w:tc>
          <w:tcPr>
            <w:tcW w:w="12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84"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重点部门和重点区智慧城市规划评估报告数量</w:t>
            </w:r>
          </w:p>
        </w:tc>
        <w:tc>
          <w:tcPr>
            <w:tcW w:w="1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23" w:hRule="atLeast"/>
          <w:tblHeader/>
          <w:jc w:val="center"/>
        </w:trPr>
        <w:tc>
          <w:tcPr>
            <w:tcW w:w="12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84"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4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项目验收合格率</w:t>
            </w:r>
          </w:p>
        </w:tc>
        <w:tc>
          <w:tcPr>
            <w:tcW w:w="1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23" w:hRule="atLeast"/>
          <w:tblHeader/>
          <w:jc w:val="center"/>
        </w:trPr>
        <w:tc>
          <w:tcPr>
            <w:tcW w:w="12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84"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4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截至11月底项目支出完成率</w:t>
            </w:r>
          </w:p>
        </w:tc>
        <w:tc>
          <w:tcPr>
            <w:tcW w:w="1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 w:hRule="atLeast"/>
          <w:tblHeader/>
          <w:jc w:val="center"/>
        </w:trPr>
        <w:tc>
          <w:tcPr>
            <w:tcW w:w="12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84"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截至6月底项目招投标工作完成率</w:t>
            </w:r>
          </w:p>
        </w:tc>
        <w:tc>
          <w:tcPr>
            <w:tcW w:w="1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90" w:hRule="atLeast"/>
          <w:tblHeader/>
          <w:jc w:val="center"/>
        </w:trPr>
        <w:tc>
          <w:tcPr>
            <w:tcW w:w="12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84"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4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项目预算控制数</w:t>
            </w:r>
          </w:p>
        </w:tc>
        <w:tc>
          <w:tcPr>
            <w:tcW w:w="1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≤422.325万元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 w:hRule="atLeast"/>
          <w:tblHeader/>
          <w:jc w:val="center"/>
        </w:trPr>
        <w:tc>
          <w:tcPr>
            <w:tcW w:w="121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4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提升智慧城市专项规划评审、顶层设计评审等相关工作的专业化水平，高效支撑市级政务部门规划和顶层设计审查、重大应用项目实施后评估等相关工作。</w:t>
            </w:r>
          </w:p>
        </w:tc>
        <w:tc>
          <w:tcPr>
            <w:tcW w:w="1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lang w:val="en-US" w:eastAsia="zh-CN"/>
              </w:rPr>
            </w:pPr>
            <w:r>
              <w:rPr>
                <w:rFonts w:hint="eastAsia" w:ascii="宋体" w:hAnsi="宋体" w:eastAsia="宋体" w:cs="宋体"/>
                <w:i w:val="0"/>
                <w:iCs w:val="0"/>
                <w:color w:val="000000"/>
                <w:sz w:val="20"/>
                <w:szCs w:val="20"/>
                <w:highlight w:val="none"/>
                <w:u w:val="none"/>
                <w:lang w:val="en-US" w:eastAsia="zh-CN"/>
              </w:rPr>
              <w:t>优良中低差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 w:hRule="atLeast"/>
          <w:tblHeader/>
          <w:jc w:val="center"/>
        </w:trPr>
        <w:tc>
          <w:tcPr>
            <w:tcW w:w="121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通过规划开展项目统筹和整合，充分利用共性基础设施，提高政府投资资金使用质量；通过开展“三京”统一入口整合，加强民生服务质量，提升一体化网上政府效能</w:t>
            </w:r>
          </w:p>
        </w:tc>
        <w:tc>
          <w:tcPr>
            <w:tcW w:w="1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lang w:val="en-US" w:eastAsia="zh-CN"/>
              </w:rPr>
              <w:t>优良中低差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 w:hRule="atLeast"/>
          <w:tblHeader/>
          <w:jc w:val="center"/>
        </w:trPr>
        <w:tc>
          <w:tcPr>
            <w:tcW w:w="1218"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4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用户单位满意率</w:t>
            </w:r>
          </w:p>
        </w:tc>
        <w:tc>
          <w:tcPr>
            <w:tcW w:w="1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r>
    </w:tbl>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0"/>
        <w:rPr>
          <w:rFonts w:hint="default" w:eastAsia="黑体"/>
          <w:sz w:val="32"/>
          <w:szCs w:val="32"/>
          <w:lang w:val="en-US" w:eastAsia="zh-CN"/>
        </w:rPr>
      </w:pPr>
      <w:bookmarkStart w:id="68" w:name="_Toc17761"/>
      <w:r>
        <w:rPr>
          <w:rFonts w:hint="default" w:eastAsia="黑体"/>
          <w:sz w:val="32"/>
          <w:szCs w:val="32"/>
          <w:lang w:val="en-US" w:eastAsia="zh-CN"/>
        </w:rPr>
        <w:t>二、绩效评价工作开展情况</w:t>
      </w:r>
      <w:bookmarkEnd w:id="68"/>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eastAsia" w:ascii="楷体_GB2312" w:hAnsi="楷体_GB2312" w:eastAsia="楷体_GB2312" w:cs="楷体_GB2312"/>
          <w:sz w:val="32"/>
          <w:szCs w:val="32"/>
        </w:rPr>
      </w:pPr>
      <w:bookmarkStart w:id="69" w:name="_Toc1778"/>
      <w:bookmarkStart w:id="70" w:name="_Toc20197"/>
      <w:bookmarkStart w:id="71" w:name="_Toc26055"/>
      <w:bookmarkStart w:id="72" w:name="_Toc22616"/>
      <w:bookmarkStart w:id="73" w:name="_Toc32029"/>
      <w:bookmarkStart w:id="74" w:name="_Toc2394"/>
      <w:bookmarkStart w:id="75" w:name="_Toc29701"/>
      <w:bookmarkStart w:id="76" w:name="_Toc24793"/>
      <w:bookmarkStart w:id="77" w:name="_Toc35420692"/>
      <w:bookmarkStart w:id="78" w:name="_Toc25350"/>
      <w:bookmarkStart w:id="79" w:name="_Toc6475"/>
      <w:bookmarkStart w:id="80" w:name="_Toc12165"/>
      <w:bookmarkStart w:id="81" w:name="_Toc30825"/>
      <w:bookmarkStart w:id="82" w:name="_Toc36129069"/>
      <w:bookmarkStart w:id="83" w:name="_Toc11373"/>
      <w:bookmarkStart w:id="84" w:name="_Toc17008"/>
      <w:bookmarkStart w:id="85" w:name="_Toc9207"/>
      <w:r>
        <w:rPr>
          <w:rFonts w:hint="eastAsia" w:ascii="楷体_GB2312" w:hAnsi="楷体_GB2312" w:eastAsia="楷体_GB2312" w:cs="楷体_GB2312"/>
          <w:sz w:val="32"/>
          <w:szCs w:val="32"/>
        </w:rPr>
        <w:t>（一）</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Pr>
          <w:rFonts w:hint="eastAsia" w:ascii="楷体_GB2312" w:hAnsi="楷体_GB2312" w:eastAsia="楷体_GB2312" w:cs="楷体_GB2312"/>
          <w:sz w:val="32"/>
          <w:szCs w:val="32"/>
        </w:rPr>
        <w:t>绩效评价目的、对象和范围</w:t>
      </w:r>
      <w:bookmarkEnd w:id="84"/>
      <w:bookmarkEnd w:id="85"/>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bCs/>
          <w:sz w:val="32"/>
          <w:szCs w:val="22"/>
        </w:rPr>
      </w:pPr>
      <w:r>
        <w:rPr>
          <w:rFonts w:hint="eastAsia" w:ascii="仿宋_GB2312" w:hAnsi="仿宋_GB2312" w:eastAsia="仿宋_GB2312" w:cs="仿宋_GB2312"/>
          <w:b/>
          <w:bCs/>
          <w:sz w:val="32"/>
          <w:szCs w:val="22"/>
        </w:rPr>
        <w:t>1.评价目的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heme="minorBidi"/>
          <w:kern w:val="2"/>
          <w:sz w:val="32"/>
          <w:szCs w:val="32"/>
          <w:u w:val="none"/>
          <w:lang w:val="en-US" w:eastAsia="zh-CN" w:bidi="ar-SA"/>
        </w:rPr>
      </w:pPr>
      <w:r>
        <w:rPr>
          <w:rFonts w:hint="eastAsia" w:ascii="仿宋_GB2312" w:hAnsi="宋体" w:eastAsia="仿宋_GB2312" w:cstheme="minorBidi"/>
          <w:kern w:val="2"/>
          <w:sz w:val="32"/>
          <w:szCs w:val="32"/>
          <w:u w:val="none"/>
          <w:lang w:val="en-US" w:eastAsia="zh-CN" w:bidi="ar-SA"/>
        </w:rPr>
        <w:t>通过本次绩效评价，分析项目的经济性、效率性、效益性和公平性，发现项目在决策过程、资金投入管理和使用过程、相关管理制度办法的健全及执行过程、实现的产出及取得的效益等方面存在的问题，为主管部门改进工作提供决策建议和依据，促进项目实施单位树立以结果为导向的绩效管理理念，提高科学决策水平，规范项目管理，保证项目资金使用的规范性、安全性。</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bCs/>
          <w:sz w:val="32"/>
          <w:szCs w:val="22"/>
        </w:rPr>
      </w:pPr>
      <w:r>
        <w:rPr>
          <w:rFonts w:hint="eastAsia" w:ascii="仿宋_GB2312" w:hAnsi="仿宋_GB2312" w:eastAsia="仿宋_GB2312" w:cs="仿宋_GB2312"/>
          <w:b/>
          <w:bCs/>
          <w:sz w:val="32"/>
          <w:szCs w:val="22"/>
        </w:rPr>
        <w:t>2.评价对象及范围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Times New Roman"/>
          <w:sz w:val="32"/>
          <w:szCs w:val="22"/>
        </w:rPr>
      </w:pPr>
      <w:r>
        <w:rPr>
          <w:rFonts w:hint="eastAsia" w:ascii="仿宋_GB2312" w:hAnsi="宋体" w:eastAsia="仿宋_GB2312" w:cstheme="minorBidi"/>
          <w:kern w:val="2"/>
          <w:sz w:val="32"/>
          <w:szCs w:val="32"/>
          <w:u w:val="none"/>
          <w:lang w:val="en-US" w:eastAsia="zh-CN" w:bidi="ar-SA"/>
        </w:rPr>
        <w:t>根据市经济和</w:t>
      </w:r>
      <w:r>
        <w:rPr>
          <w:rFonts w:hint="eastAsia" w:ascii="仿宋_GB2312" w:hAnsi="仿宋_GB2312" w:eastAsia="仿宋_GB2312" w:cs="仿宋_GB2312"/>
          <w:sz w:val="32"/>
          <w:szCs w:val="22"/>
        </w:rPr>
        <w:t>信息化局202</w:t>
      </w:r>
      <w:r>
        <w:rPr>
          <w:rFonts w:hint="eastAsia" w:ascii="仿宋_GB2312" w:hAnsi="仿宋_GB2312" w:eastAsia="仿宋_GB2312" w:cs="仿宋_GB2312"/>
          <w:sz w:val="32"/>
          <w:szCs w:val="22"/>
          <w:lang w:val="en-US" w:eastAsia="zh-CN"/>
        </w:rPr>
        <w:t>2</w:t>
      </w:r>
      <w:r>
        <w:rPr>
          <w:rFonts w:hint="eastAsia" w:ascii="仿宋_GB2312" w:hAnsi="仿宋_GB2312" w:eastAsia="仿宋_GB2312" w:cs="仿宋_GB2312"/>
          <w:sz w:val="32"/>
          <w:szCs w:val="22"/>
        </w:rPr>
        <w:t>年度项目支出绩效评价工作安排，本次绩效评价工作为针对“智慧城市规划和顶层设计管控体系服务支撑”项目开展的普通程序绩效评价工作。</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bCs/>
          <w:sz w:val="32"/>
          <w:szCs w:val="22"/>
        </w:rPr>
      </w:pPr>
      <w:r>
        <w:rPr>
          <w:rFonts w:hint="eastAsia" w:ascii="仿宋_GB2312" w:hAnsi="仿宋_GB2312" w:eastAsia="仿宋_GB2312" w:cs="仿宋_GB2312"/>
          <w:b/>
          <w:bCs/>
          <w:sz w:val="32"/>
          <w:szCs w:val="22"/>
        </w:rPr>
        <w:t>3.评价依据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22"/>
        </w:rPr>
      </w:pPr>
      <w:r>
        <w:rPr>
          <w:rFonts w:hint="eastAsia" w:ascii="仿宋_GB2312" w:hAnsi="仿宋_GB2312" w:eastAsia="仿宋_GB2312" w:cs="仿宋_GB2312"/>
          <w:sz w:val="32"/>
          <w:szCs w:val="22"/>
        </w:rPr>
        <w:t>（1）《中共北京市委 北京市人民政府关于全面实施预算绩效管理的实施意见》（京发〔2019〕12号）；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22"/>
        </w:rPr>
      </w:pPr>
      <w:r>
        <w:rPr>
          <w:rFonts w:hint="eastAsia" w:ascii="仿宋_GB2312" w:hAnsi="仿宋_GB2312" w:eastAsia="仿宋_GB2312" w:cs="仿宋_GB2312"/>
          <w:sz w:val="32"/>
          <w:szCs w:val="22"/>
        </w:rPr>
        <w:t>（2）《北京市项目支出绩效评价管理办法》（京财绩效〔2020〕2146号）；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22"/>
        </w:rPr>
      </w:pPr>
      <w:r>
        <w:rPr>
          <w:rFonts w:hint="eastAsia" w:ascii="仿宋_GB2312" w:hAnsi="仿宋_GB2312" w:eastAsia="仿宋_GB2312" w:cs="仿宋_GB2312"/>
          <w:sz w:val="32"/>
          <w:szCs w:val="22"/>
        </w:rPr>
        <w:t>（3）相关行业政策、行业标准及专业技术规范；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22"/>
        </w:rPr>
      </w:pPr>
      <w:r>
        <w:rPr>
          <w:rFonts w:hint="eastAsia" w:ascii="仿宋_GB2312" w:hAnsi="仿宋_GB2312" w:eastAsia="仿宋_GB2312" w:cs="仿宋_GB2312"/>
          <w:sz w:val="32"/>
          <w:szCs w:val="22"/>
        </w:rPr>
        <w:t>（4</w:t>
      </w:r>
      <w:r>
        <w:rPr>
          <w:rFonts w:hint="eastAsia" w:ascii="仿宋_GB2312" w:hAnsi="仿宋_GB2312" w:eastAsia="仿宋_GB2312" w:cs="仿宋_GB2312"/>
          <w:sz w:val="32"/>
          <w:szCs w:val="22"/>
          <w:highlight w:val="none"/>
        </w:rPr>
        <w:t>）市经济和信息化局</w:t>
      </w:r>
      <w:r>
        <w:rPr>
          <w:rFonts w:hint="eastAsia" w:ascii="仿宋_GB2312" w:hAnsi="仿宋_GB2312" w:eastAsia="仿宋_GB2312" w:cs="仿宋_GB2312"/>
          <w:sz w:val="32"/>
          <w:szCs w:val="22"/>
        </w:rPr>
        <w:t>提供的绩效目标申报表、绩效报告以及其他相关资料。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eastAsia" w:ascii="楷体_GB2312" w:hAnsi="楷体_GB2312" w:eastAsia="楷体_GB2312" w:cs="楷体_GB2312"/>
          <w:sz w:val="32"/>
          <w:szCs w:val="32"/>
        </w:rPr>
      </w:pPr>
      <w:bookmarkStart w:id="86" w:name="_Toc21426"/>
      <w:bookmarkStart w:id="87" w:name="_Toc13953"/>
      <w:bookmarkStart w:id="88" w:name="_Toc28406"/>
      <w:r>
        <w:rPr>
          <w:rFonts w:hint="eastAsia" w:ascii="楷体_GB2312" w:hAnsi="楷体_GB2312" w:eastAsia="楷体_GB2312" w:cs="楷体_GB2312"/>
          <w:sz w:val="32"/>
          <w:szCs w:val="32"/>
        </w:rPr>
        <w:t>（二）</w:t>
      </w:r>
      <w:bookmarkEnd w:id="86"/>
      <w:r>
        <w:rPr>
          <w:rFonts w:hint="eastAsia" w:ascii="楷体_GB2312" w:hAnsi="楷体_GB2312" w:eastAsia="楷体_GB2312" w:cs="楷体_GB2312"/>
          <w:sz w:val="32"/>
          <w:szCs w:val="32"/>
        </w:rPr>
        <w:t>绩效评价原则、评价指标体系</w:t>
      </w:r>
      <w:bookmarkEnd w:id="87"/>
      <w:bookmarkEnd w:id="88"/>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bCs/>
          <w:sz w:val="32"/>
          <w:szCs w:val="22"/>
        </w:rPr>
      </w:pPr>
      <w:bookmarkStart w:id="89" w:name="_Toc6126"/>
      <w:bookmarkStart w:id="90" w:name="_Toc21010"/>
      <w:bookmarkStart w:id="91" w:name="_Toc26807"/>
      <w:r>
        <w:rPr>
          <w:rFonts w:hint="eastAsia" w:ascii="仿宋_GB2312" w:hAnsi="仿宋_GB2312" w:eastAsia="仿宋_GB2312" w:cs="仿宋_GB2312"/>
          <w:b/>
          <w:bCs/>
          <w:sz w:val="32"/>
          <w:szCs w:val="22"/>
        </w:rPr>
        <w:t>1.绩效评价原则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22"/>
          <w:u w:val="none"/>
        </w:rPr>
      </w:pPr>
      <w:r>
        <w:rPr>
          <w:rFonts w:hint="eastAsia" w:ascii="仿宋_GB2312" w:hAnsi="仿宋_GB2312" w:eastAsia="仿宋_GB2312" w:cs="仿宋_GB2312"/>
          <w:sz w:val="32"/>
          <w:szCs w:val="22"/>
          <w:u w:val="none"/>
        </w:rPr>
        <w:t>（1）绩效导向原则。以绩效导向和成本控制理念为出发点，以决策、过程、产出和效益为评价重点，注重投入产出比，对整个项目进行综合评价。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22"/>
          <w:u w:val="none"/>
        </w:rPr>
      </w:pPr>
      <w:r>
        <w:rPr>
          <w:rFonts w:hint="eastAsia" w:ascii="仿宋_GB2312" w:hAnsi="仿宋_GB2312" w:eastAsia="仿宋_GB2312" w:cs="仿宋_GB2312"/>
          <w:sz w:val="32"/>
          <w:szCs w:val="22"/>
          <w:u w:val="none"/>
        </w:rPr>
        <w:t>（2）科学规范原则。通过规范的程序，采用定性与定量相结合的方法，通过多种途径和手段充分收集证据资料，保证评价结论科学可信。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22"/>
          <w:u w:val="none"/>
        </w:rPr>
      </w:pPr>
      <w:r>
        <w:rPr>
          <w:rFonts w:hint="eastAsia" w:ascii="仿宋_GB2312" w:hAnsi="仿宋_GB2312" w:eastAsia="仿宋_GB2312" w:cs="仿宋_GB2312"/>
          <w:sz w:val="32"/>
          <w:szCs w:val="22"/>
          <w:u w:val="none"/>
        </w:rPr>
        <w:t>（3）客观公正原则。秉承公开、公平、公正原则，实事求是、公平合理地进行评价，利益相关方不得影响评价过程及评价结果。</w:t>
      </w:r>
    </w:p>
    <w:bookmarkEnd w:id="89"/>
    <w:bookmarkEnd w:id="90"/>
    <w:bookmarkEnd w:id="91"/>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bCs/>
          <w:sz w:val="32"/>
          <w:szCs w:val="22"/>
          <w:u w:val="none"/>
        </w:rPr>
      </w:pPr>
      <w:r>
        <w:rPr>
          <w:rFonts w:hint="eastAsia" w:ascii="仿宋_GB2312" w:hAnsi="仿宋_GB2312" w:eastAsia="仿宋_GB2312" w:cs="仿宋_GB2312"/>
          <w:b/>
          <w:bCs/>
          <w:sz w:val="32"/>
          <w:szCs w:val="22"/>
          <w:u w:val="none"/>
        </w:rPr>
        <w:t>2.评价指标体系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Times New Roman"/>
          <w:sz w:val="32"/>
          <w:szCs w:val="22"/>
          <w:u w:val="none"/>
        </w:rPr>
      </w:pPr>
      <w:r>
        <w:rPr>
          <w:rFonts w:hint="eastAsia" w:ascii="仿宋_GB2312" w:hAnsi="仿宋_GB2312" w:eastAsia="仿宋_GB2312" w:cs="仿宋_GB2312"/>
          <w:sz w:val="32"/>
          <w:szCs w:val="22"/>
          <w:u w:val="none"/>
        </w:rPr>
        <w:t>本次评价指标体系根据</w:t>
      </w:r>
      <w:r>
        <w:rPr>
          <w:rFonts w:hint="eastAsia" w:ascii="仿宋_GB2312" w:hAnsi="仿宋_GB2312" w:eastAsia="仿宋_GB2312" w:cs="仿宋_GB2312"/>
          <w:sz w:val="32"/>
          <w:szCs w:val="22"/>
          <w:u w:val="none"/>
          <w:lang w:eastAsia="zh-CN"/>
        </w:rPr>
        <w:t>《</w:t>
      </w:r>
      <w:r>
        <w:rPr>
          <w:rFonts w:hint="eastAsia" w:ascii="仿宋_GB2312" w:hAnsi="仿宋_GB2312" w:eastAsia="仿宋_GB2312" w:cs="仿宋_GB2312"/>
          <w:sz w:val="32"/>
          <w:szCs w:val="22"/>
        </w:rPr>
        <w:t>北京市财政局关于开展政府购买服务项目绩效评价工作的通知</w:t>
      </w:r>
      <w:r>
        <w:rPr>
          <w:rFonts w:hint="eastAsia" w:ascii="仿宋_GB2312" w:hAnsi="仿宋_GB2312" w:eastAsia="仿宋_GB2312" w:cs="仿宋_GB2312"/>
          <w:sz w:val="32"/>
          <w:szCs w:val="22"/>
          <w:u w:val="none"/>
          <w:lang w:eastAsia="zh-CN"/>
        </w:rPr>
        <w:t>》（</w:t>
      </w:r>
      <w:r>
        <w:rPr>
          <w:rFonts w:hint="eastAsia" w:ascii="仿宋_GB2312" w:hAnsi="仿宋_GB2312" w:eastAsia="仿宋_GB2312" w:cs="仿宋_GB2312"/>
          <w:sz w:val="32"/>
          <w:szCs w:val="22"/>
        </w:rPr>
        <w:t>京财综〔2023〕407号</w:t>
      </w:r>
      <w:r>
        <w:rPr>
          <w:rFonts w:hint="eastAsia" w:ascii="仿宋_GB2312" w:hAnsi="仿宋_GB2312" w:eastAsia="仿宋_GB2312" w:cs="仿宋_GB2312"/>
          <w:sz w:val="32"/>
          <w:szCs w:val="22"/>
          <w:u w:val="none"/>
          <w:lang w:eastAsia="zh-CN"/>
        </w:rPr>
        <w:t>）</w:t>
      </w:r>
      <w:r>
        <w:rPr>
          <w:rFonts w:hint="eastAsia" w:ascii="仿宋_GB2312" w:hAnsi="仿宋_GB2312" w:eastAsia="仿宋_GB2312" w:cs="仿宋_GB2312"/>
          <w:sz w:val="32"/>
          <w:szCs w:val="22"/>
          <w:u w:val="none"/>
        </w:rPr>
        <w:t>有关要求设置，围绕决策、过程、产出、效益四个维度分解制定项目绩效评价指标体系，并根据指标的重要性与相关性确定权重，详见下表3。</w:t>
      </w:r>
    </w:p>
    <w:p>
      <w:pPr>
        <w:keepNext w:val="0"/>
        <w:keepLines w:val="0"/>
        <w:pageBreakBefore w:val="0"/>
        <w:widowControl w:val="0"/>
        <w:kinsoku/>
        <w:wordWrap/>
        <w:overflowPunct/>
        <w:topLinePunct w:val="0"/>
        <w:autoSpaceDE/>
        <w:autoSpaceDN/>
        <w:bidi w:val="0"/>
        <w:adjustRightInd w:val="0"/>
        <w:snapToGrid w:val="0"/>
        <w:spacing w:after="163" w:afterLines="50" w:line="560" w:lineRule="exact"/>
        <w:jc w:val="center"/>
        <w:textAlignment w:val="auto"/>
        <w:rPr>
          <w:rFonts w:hint="eastAsia" w:ascii="黑体" w:hAnsi="黑体" w:eastAsia="黑体" w:cs="黑体"/>
          <w:color w:val="000000"/>
          <w:kern w:val="0"/>
          <w:sz w:val="28"/>
          <w:szCs w:val="28"/>
          <w:u w:val="none"/>
        </w:rPr>
      </w:pPr>
      <w:r>
        <w:rPr>
          <w:rFonts w:hint="eastAsia" w:ascii="黑体" w:hAnsi="黑体" w:eastAsia="黑体" w:cs="黑体"/>
          <w:color w:val="000000"/>
          <w:kern w:val="0"/>
          <w:sz w:val="28"/>
          <w:szCs w:val="28"/>
          <w:u w:val="none"/>
        </w:rPr>
        <w:t xml:space="preserve">表3 </w:t>
      </w:r>
      <w:r>
        <w:rPr>
          <w:rFonts w:hint="eastAsia" w:ascii="黑体" w:hAnsi="黑体" w:eastAsia="黑体" w:cs="黑体"/>
          <w:color w:val="000000"/>
          <w:kern w:val="0"/>
          <w:sz w:val="28"/>
          <w:szCs w:val="28"/>
          <w:u w:val="none"/>
          <w:lang w:eastAsia="zh-CN"/>
        </w:rPr>
        <w:t>项目</w:t>
      </w:r>
      <w:r>
        <w:rPr>
          <w:rFonts w:hint="eastAsia" w:ascii="黑体" w:hAnsi="黑体" w:eastAsia="黑体" w:cs="黑体"/>
          <w:color w:val="000000"/>
          <w:kern w:val="0"/>
          <w:sz w:val="28"/>
          <w:szCs w:val="28"/>
          <w:u w:val="none"/>
        </w:rPr>
        <w:t>绩效评价指标体系</w:t>
      </w:r>
    </w:p>
    <w:tbl>
      <w:tblPr>
        <w:tblStyle w:val="8"/>
        <w:tblW w:w="86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9"/>
        <w:gridCol w:w="2381"/>
        <w:gridCol w:w="5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blHeader/>
          <w:jc w:val="center"/>
        </w:trPr>
        <w:tc>
          <w:tcPr>
            <w:tcW w:w="1209" w:type="dxa"/>
            <w:shd w:val="clear" w:color="auto" w:fill="96B4E1" w:themeFill="background1" w:themeFillShade="BF"/>
            <w:vAlign w:val="center"/>
          </w:tcPr>
          <w:p>
            <w:pPr>
              <w:widowControl/>
              <w:jc w:val="center"/>
              <w:rPr>
                <w:rFonts w:hint="eastAsia" w:ascii="宋体" w:hAnsi="宋体" w:eastAsia="宋体" w:cs="宋体"/>
                <w:b/>
                <w:bCs/>
                <w:color w:val="000000"/>
                <w:kern w:val="0"/>
                <w:sz w:val="22"/>
                <w:szCs w:val="22"/>
                <w:u w:val="none"/>
              </w:rPr>
            </w:pPr>
            <w:r>
              <w:rPr>
                <w:rFonts w:hint="eastAsia" w:ascii="宋体" w:hAnsi="宋体" w:eastAsia="宋体" w:cs="宋体"/>
                <w:b/>
                <w:bCs/>
                <w:color w:val="000000"/>
                <w:kern w:val="0"/>
                <w:sz w:val="22"/>
                <w:szCs w:val="22"/>
                <w:u w:val="none"/>
              </w:rPr>
              <w:t>一级指标</w:t>
            </w:r>
          </w:p>
        </w:tc>
        <w:tc>
          <w:tcPr>
            <w:tcW w:w="2381" w:type="dxa"/>
            <w:shd w:val="clear" w:color="auto" w:fill="96B4E1" w:themeFill="background1" w:themeFillShade="BF"/>
            <w:vAlign w:val="center"/>
          </w:tcPr>
          <w:p>
            <w:pPr>
              <w:widowControl/>
              <w:jc w:val="center"/>
              <w:rPr>
                <w:rFonts w:hint="eastAsia" w:ascii="宋体" w:hAnsi="宋体" w:eastAsia="宋体" w:cs="宋体"/>
                <w:b/>
                <w:bCs/>
                <w:color w:val="000000"/>
                <w:kern w:val="0"/>
                <w:sz w:val="22"/>
                <w:szCs w:val="22"/>
                <w:u w:val="none"/>
              </w:rPr>
            </w:pPr>
            <w:r>
              <w:rPr>
                <w:rFonts w:hint="eastAsia" w:ascii="宋体" w:hAnsi="宋体" w:eastAsia="宋体" w:cs="宋体"/>
                <w:b/>
                <w:bCs/>
                <w:color w:val="000000"/>
                <w:kern w:val="0"/>
                <w:sz w:val="22"/>
                <w:szCs w:val="22"/>
                <w:u w:val="none"/>
              </w:rPr>
              <w:t>二级指标</w:t>
            </w:r>
          </w:p>
        </w:tc>
        <w:tc>
          <w:tcPr>
            <w:tcW w:w="5013" w:type="dxa"/>
            <w:shd w:val="clear" w:color="auto" w:fill="96B4E1" w:themeFill="background1" w:themeFillShade="BF"/>
            <w:vAlign w:val="center"/>
          </w:tcPr>
          <w:p>
            <w:pPr>
              <w:widowControl/>
              <w:jc w:val="center"/>
              <w:rPr>
                <w:rFonts w:hint="eastAsia" w:ascii="宋体" w:hAnsi="宋体" w:eastAsia="宋体" w:cs="宋体"/>
                <w:b/>
                <w:bCs/>
                <w:color w:val="000000"/>
                <w:kern w:val="0"/>
                <w:sz w:val="22"/>
                <w:szCs w:val="22"/>
                <w:u w:val="none"/>
              </w:rPr>
            </w:pPr>
            <w:r>
              <w:rPr>
                <w:rFonts w:hint="eastAsia" w:ascii="宋体" w:hAnsi="宋体" w:eastAsia="宋体" w:cs="宋体"/>
                <w:b/>
                <w:bCs/>
                <w:color w:val="000000"/>
                <w:kern w:val="0"/>
                <w:sz w:val="22"/>
                <w:szCs w:val="22"/>
                <w:u w:val="none"/>
              </w:rPr>
              <w:t>三级指标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209" w:type="dxa"/>
            <w:vMerge w:val="restart"/>
            <w:shd w:val="clear" w:color="auto" w:fill="auto"/>
            <w:vAlign w:val="center"/>
          </w:tcPr>
          <w:p>
            <w:pPr>
              <w:widowControl/>
              <w:jc w:val="center"/>
              <w:rPr>
                <w:rFonts w:hint="eastAsia" w:ascii="宋体" w:hAnsi="宋体" w:eastAsia="宋体" w:cs="宋体"/>
                <w:color w:val="000000"/>
                <w:kern w:val="0"/>
                <w:sz w:val="22"/>
                <w:szCs w:val="22"/>
                <w:u w:val="none"/>
              </w:rPr>
            </w:pPr>
            <w:r>
              <w:rPr>
                <w:rFonts w:hint="eastAsia" w:ascii="宋体" w:hAnsi="宋体" w:eastAsia="宋体" w:cs="宋体"/>
                <w:color w:val="000000"/>
                <w:kern w:val="0"/>
                <w:sz w:val="22"/>
                <w:szCs w:val="22"/>
                <w:u w:val="none"/>
              </w:rPr>
              <w:t>决策</w:t>
            </w:r>
          </w:p>
          <w:p>
            <w:pPr>
              <w:jc w:val="center"/>
              <w:rPr>
                <w:rFonts w:hint="eastAsia" w:ascii="宋体" w:hAnsi="宋体" w:eastAsia="宋体" w:cs="宋体"/>
                <w:color w:val="000000"/>
                <w:kern w:val="0"/>
                <w:sz w:val="22"/>
                <w:szCs w:val="22"/>
                <w:u w:val="none"/>
              </w:rPr>
            </w:pPr>
            <w:r>
              <w:rPr>
                <w:rFonts w:hint="eastAsia" w:ascii="宋体" w:hAnsi="宋体" w:eastAsia="宋体" w:cs="宋体"/>
                <w:color w:val="000000"/>
                <w:kern w:val="0"/>
                <w:sz w:val="22"/>
                <w:szCs w:val="22"/>
                <w:u w:val="none"/>
              </w:rPr>
              <w:t>（</w:t>
            </w:r>
            <w:r>
              <w:rPr>
                <w:rFonts w:hint="eastAsia" w:ascii="宋体" w:hAnsi="宋体" w:eastAsia="宋体" w:cs="宋体"/>
                <w:color w:val="000000"/>
                <w:kern w:val="0"/>
                <w:sz w:val="22"/>
                <w:szCs w:val="22"/>
                <w:u w:val="none"/>
                <w:lang w:val="en-US" w:eastAsia="zh-CN"/>
              </w:rPr>
              <w:t>20</w:t>
            </w:r>
            <w:r>
              <w:rPr>
                <w:rFonts w:hint="eastAsia" w:ascii="宋体" w:hAnsi="宋体" w:eastAsia="宋体" w:cs="宋体"/>
                <w:color w:val="000000"/>
                <w:kern w:val="0"/>
                <w:sz w:val="22"/>
                <w:szCs w:val="22"/>
                <w:u w:val="none"/>
              </w:rPr>
              <w:t>分）</w:t>
            </w:r>
          </w:p>
        </w:tc>
        <w:tc>
          <w:tcPr>
            <w:tcW w:w="2381" w:type="dxa"/>
            <w:vMerge w:val="restart"/>
            <w:shd w:val="clear" w:color="auto" w:fill="auto"/>
            <w:vAlign w:val="center"/>
          </w:tcPr>
          <w:p>
            <w:pPr>
              <w:widowControl/>
              <w:jc w:val="center"/>
              <w:rPr>
                <w:rFonts w:hint="eastAsia" w:ascii="宋体" w:hAnsi="宋体" w:eastAsia="宋体" w:cs="宋体"/>
                <w:color w:val="000000"/>
                <w:kern w:val="0"/>
                <w:sz w:val="22"/>
                <w:szCs w:val="22"/>
                <w:u w:val="none"/>
              </w:rPr>
            </w:pPr>
            <w:r>
              <w:rPr>
                <w:rFonts w:hint="eastAsia" w:ascii="宋体" w:hAnsi="宋体" w:eastAsia="宋体" w:cs="宋体"/>
                <w:color w:val="000000"/>
                <w:kern w:val="0"/>
                <w:sz w:val="22"/>
                <w:szCs w:val="22"/>
                <w:u w:val="none"/>
              </w:rPr>
              <w:t>项目立项（</w:t>
            </w:r>
            <w:r>
              <w:rPr>
                <w:rFonts w:hint="eastAsia" w:ascii="宋体" w:hAnsi="宋体" w:eastAsia="宋体" w:cs="宋体"/>
                <w:color w:val="000000"/>
                <w:kern w:val="0"/>
                <w:sz w:val="22"/>
                <w:szCs w:val="22"/>
                <w:u w:val="none"/>
                <w:lang w:val="en-US" w:eastAsia="zh-CN"/>
              </w:rPr>
              <w:t>8</w:t>
            </w:r>
            <w:r>
              <w:rPr>
                <w:rFonts w:hint="eastAsia" w:ascii="宋体" w:hAnsi="宋体" w:eastAsia="宋体" w:cs="宋体"/>
                <w:color w:val="000000"/>
                <w:kern w:val="0"/>
                <w:sz w:val="22"/>
                <w:szCs w:val="22"/>
                <w:u w:val="none"/>
              </w:rPr>
              <w:t>分）</w:t>
            </w:r>
          </w:p>
        </w:tc>
        <w:tc>
          <w:tcPr>
            <w:tcW w:w="5013" w:type="dxa"/>
            <w:shd w:val="clear" w:color="auto" w:fill="auto"/>
            <w:vAlign w:val="center"/>
          </w:tcPr>
          <w:p>
            <w:pPr>
              <w:widowControl/>
              <w:jc w:val="center"/>
              <w:rPr>
                <w:rFonts w:hint="eastAsia" w:ascii="宋体" w:hAnsi="宋体" w:eastAsia="宋体" w:cs="宋体"/>
                <w:color w:val="000000"/>
                <w:kern w:val="0"/>
                <w:sz w:val="22"/>
                <w:szCs w:val="22"/>
                <w:u w:val="none"/>
              </w:rPr>
            </w:pPr>
            <w:r>
              <w:rPr>
                <w:rFonts w:hint="eastAsia" w:ascii="宋体" w:hAnsi="宋体" w:eastAsia="宋体" w:cs="宋体"/>
                <w:color w:val="000000"/>
                <w:kern w:val="0"/>
                <w:sz w:val="22"/>
                <w:szCs w:val="22"/>
                <w:u w:val="none"/>
              </w:rPr>
              <w:t>立项依据充分性（4分）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 w:hRule="atLeast"/>
          <w:jc w:val="center"/>
        </w:trPr>
        <w:tc>
          <w:tcPr>
            <w:tcW w:w="1209" w:type="dxa"/>
            <w:vMerge w:val="continue"/>
            <w:shd w:val="clear" w:color="auto" w:fill="auto"/>
            <w:vAlign w:val="center"/>
          </w:tcPr>
          <w:p>
            <w:pPr>
              <w:widowControl/>
              <w:jc w:val="center"/>
              <w:rPr>
                <w:rFonts w:hint="eastAsia" w:ascii="宋体" w:hAnsi="宋体" w:eastAsia="宋体" w:cs="宋体"/>
                <w:color w:val="000000"/>
                <w:kern w:val="0"/>
                <w:sz w:val="22"/>
                <w:szCs w:val="22"/>
                <w:u w:val="none"/>
              </w:rPr>
            </w:pPr>
          </w:p>
        </w:tc>
        <w:tc>
          <w:tcPr>
            <w:tcW w:w="2381" w:type="dxa"/>
            <w:vMerge w:val="continue"/>
            <w:vAlign w:val="center"/>
          </w:tcPr>
          <w:p>
            <w:pPr>
              <w:widowControl/>
              <w:jc w:val="center"/>
              <w:rPr>
                <w:rFonts w:hint="eastAsia" w:ascii="宋体" w:hAnsi="宋体" w:eastAsia="宋体" w:cs="宋体"/>
                <w:color w:val="000000"/>
                <w:kern w:val="0"/>
                <w:sz w:val="22"/>
                <w:szCs w:val="22"/>
                <w:u w:val="none"/>
              </w:rPr>
            </w:pPr>
          </w:p>
        </w:tc>
        <w:tc>
          <w:tcPr>
            <w:tcW w:w="5013" w:type="dxa"/>
            <w:shd w:val="clear" w:color="auto" w:fill="auto"/>
            <w:vAlign w:val="center"/>
          </w:tcPr>
          <w:p>
            <w:pPr>
              <w:widowControl/>
              <w:jc w:val="center"/>
              <w:rPr>
                <w:rFonts w:hint="eastAsia" w:ascii="宋体" w:hAnsi="宋体" w:eastAsia="宋体" w:cs="宋体"/>
                <w:color w:val="000000"/>
                <w:kern w:val="0"/>
                <w:sz w:val="22"/>
                <w:szCs w:val="22"/>
                <w:u w:val="none"/>
              </w:rPr>
            </w:pPr>
            <w:r>
              <w:rPr>
                <w:rFonts w:hint="eastAsia" w:ascii="宋体" w:hAnsi="宋体" w:eastAsia="宋体" w:cs="宋体"/>
                <w:color w:val="000000"/>
                <w:kern w:val="0"/>
                <w:sz w:val="22"/>
                <w:szCs w:val="22"/>
                <w:u w:val="none"/>
              </w:rPr>
              <w:t>立项程序规范性（</w:t>
            </w:r>
            <w:r>
              <w:rPr>
                <w:rFonts w:hint="eastAsia" w:ascii="宋体" w:hAnsi="宋体" w:eastAsia="宋体" w:cs="宋体"/>
                <w:color w:val="000000"/>
                <w:kern w:val="0"/>
                <w:sz w:val="22"/>
                <w:szCs w:val="22"/>
                <w:u w:val="none"/>
                <w:lang w:val="en-US" w:eastAsia="zh-CN"/>
              </w:rPr>
              <w:t>4</w:t>
            </w:r>
            <w:r>
              <w:rPr>
                <w:rFonts w:hint="eastAsia" w:ascii="宋体" w:hAnsi="宋体" w:eastAsia="宋体" w:cs="宋体"/>
                <w:color w:val="000000"/>
                <w:kern w:val="0"/>
                <w:sz w:val="22"/>
                <w:szCs w:val="22"/>
                <w:u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209" w:type="dxa"/>
            <w:vMerge w:val="continue"/>
            <w:shd w:val="clear" w:color="auto" w:fill="auto"/>
            <w:vAlign w:val="center"/>
          </w:tcPr>
          <w:p>
            <w:pPr>
              <w:widowControl/>
              <w:jc w:val="left"/>
              <w:rPr>
                <w:rFonts w:hint="eastAsia" w:ascii="宋体" w:hAnsi="宋体" w:eastAsia="宋体" w:cs="宋体"/>
                <w:color w:val="000000"/>
                <w:kern w:val="0"/>
                <w:sz w:val="22"/>
                <w:szCs w:val="22"/>
                <w:u w:val="none"/>
              </w:rPr>
            </w:pPr>
          </w:p>
        </w:tc>
        <w:tc>
          <w:tcPr>
            <w:tcW w:w="2381" w:type="dxa"/>
            <w:vMerge w:val="restart"/>
            <w:shd w:val="clear" w:color="auto" w:fill="auto"/>
            <w:vAlign w:val="center"/>
          </w:tcPr>
          <w:p>
            <w:pPr>
              <w:widowControl/>
              <w:jc w:val="center"/>
              <w:rPr>
                <w:rFonts w:hint="eastAsia" w:ascii="宋体" w:hAnsi="宋体" w:eastAsia="宋体" w:cs="宋体"/>
                <w:color w:val="000000"/>
                <w:kern w:val="0"/>
                <w:sz w:val="22"/>
                <w:szCs w:val="22"/>
                <w:u w:val="none"/>
              </w:rPr>
            </w:pPr>
            <w:r>
              <w:rPr>
                <w:rFonts w:hint="eastAsia" w:ascii="宋体" w:hAnsi="宋体" w:eastAsia="宋体" w:cs="宋体"/>
                <w:color w:val="000000"/>
                <w:kern w:val="0"/>
                <w:sz w:val="22"/>
                <w:szCs w:val="22"/>
                <w:u w:val="none"/>
              </w:rPr>
              <w:t>绩效目标（</w:t>
            </w:r>
            <w:r>
              <w:rPr>
                <w:rFonts w:hint="eastAsia" w:ascii="宋体" w:hAnsi="宋体" w:eastAsia="宋体" w:cs="宋体"/>
                <w:color w:val="000000"/>
                <w:kern w:val="0"/>
                <w:sz w:val="22"/>
                <w:szCs w:val="22"/>
                <w:u w:val="none"/>
                <w:lang w:val="en-US" w:eastAsia="zh-CN"/>
              </w:rPr>
              <w:t>8</w:t>
            </w:r>
            <w:r>
              <w:rPr>
                <w:rFonts w:hint="eastAsia" w:ascii="宋体" w:hAnsi="宋体" w:eastAsia="宋体" w:cs="宋体"/>
                <w:color w:val="000000"/>
                <w:kern w:val="0"/>
                <w:sz w:val="22"/>
                <w:szCs w:val="22"/>
                <w:u w:val="none"/>
              </w:rPr>
              <w:t>分）</w:t>
            </w:r>
          </w:p>
        </w:tc>
        <w:tc>
          <w:tcPr>
            <w:tcW w:w="5013" w:type="dxa"/>
            <w:shd w:val="clear" w:color="auto" w:fill="auto"/>
            <w:vAlign w:val="center"/>
          </w:tcPr>
          <w:p>
            <w:pPr>
              <w:widowControl/>
              <w:jc w:val="center"/>
              <w:rPr>
                <w:rFonts w:hint="eastAsia" w:ascii="宋体" w:hAnsi="宋体" w:eastAsia="宋体" w:cs="宋体"/>
                <w:color w:val="000000"/>
                <w:kern w:val="0"/>
                <w:sz w:val="22"/>
                <w:szCs w:val="22"/>
                <w:u w:val="none"/>
              </w:rPr>
            </w:pPr>
            <w:r>
              <w:rPr>
                <w:rFonts w:hint="eastAsia" w:ascii="宋体" w:hAnsi="宋体" w:eastAsia="宋体" w:cs="宋体"/>
                <w:color w:val="000000"/>
                <w:kern w:val="0"/>
                <w:sz w:val="22"/>
                <w:szCs w:val="22"/>
                <w:u w:val="none"/>
              </w:rPr>
              <w:t>绩效目标合理性（</w:t>
            </w:r>
            <w:r>
              <w:rPr>
                <w:rFonts w:hint="eastAsia" w:ascii="宋体" w:hAnsi="宋体" w:eastAsia="宋体" w:cs="宋体"/>
                <w:color w:val="000000"/>
                <w:kern w:val="0"/>
                <w:sz w:val="22"/>
                <w:szCs w:val="22"/>
                <w:u w:val="none"/>
                <w:lang w:val="en-US" w:eastAsia="zh-CN"/>
              </w:rPr>
              <w:t>4</w:t>
            </w:r>
            <w:r>
              <w:rPr>
                <w:rFonts w:hint="eastAsia" w:ascii="宋体" w:hAnsi="宋体" w:eastAsia="宋体" w:cs="宋体"/>
                <w:color w:val="000000"/>
                <w:kern w:val="0"/>
                <w:sz w:val="22"/>
                <w:szCs w:val="22"/>
                <w:u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209" w:type="dxa"/>
            <w:vMerge w:val="continue"/>
            <w:shd w:val="clear" w:color="auto" w:fill="auto"/>
            <w:vAlign w:val="center"/>
          </w:tcPr>
          <w:p>
            <w:pPr>
              <w:widowControl/>
              <w:jc w:val="left"/>
              <w:rPr>
                <w:rFonts w:hint="eastAsia" w:ascii="宋体" w:hAnsi="宋体" w:eastAsia="宋体" w:cs="宋体"/>
                <w:color w:val="000000"/>
                <w:kern w:val="0"/>
                <w:sz w:val="22"/>
                <w:szCs w:val="22"/>
                <w:u w:val="none"/>
              </w:rPr>
            </w:pPr>
          </w:p>
        </w:tc>
        <w:tc>
          <w:tcPr>
            <w:tcW w:w="2381" w:type="dxa"/>
            <w:vMerge w:val="continue"/>
            <w:vAlign w:val="center"/>
          </w:tcPr>
          <w:p>
            <w:pPr>
              <w:widowControl/>
              <w:jc w:val="center"/>
              <w:rPr>
                <w:rFonts w:hint="eastAsia" w:ascii="宋体" w:hAnsi="宋体" w:eastAsia="宋体" w:cs="宋体"/>
                <w:color w:val="000000"/>
                <w:kern w:val="0"/>
                <w:sz w:val="22"/>
                <w:szCs w:val="22"/>
                <w:u w:val="none"/>
              </w:rPr>
            </w:pPr>
          </w:p>
        </w:tc>
        <w:tc>
          <w:tcPr>
            <w:tcW w:w="5013" w:type="dxa"/>
            <w:shd w:val="clear" w:color="auto" w:fill="auto"/>
            <w:vAlign w:val="center"/>
          </w:tcPr>
          <w:p>
            <w:pPr>
              <w:widowControl/>
              <w:jc w:val="center"/>
              <w:rPr>
                <w:rFonts w:hint="eastAsia" w:ascii="宋体" w:hAnsi="宋体" w:eastAsia="宋体" w:cs="宋体"/>
                <w:color w:val="000000"/>
                <w:kern w:val="0"/>
                <w:sz w:val="22"/>
                <w:szCs w:val="22"/>
                <w:u w:val="none"/>
              </w:rPr>
            </w:pPr>
            <w:r>
              <w:rPr>
                <w:rFonts w:hint="eastAsia" w:ascii="宋体" w:hAnsi="宋体" w:eastAsia="宋体" w:cs="宋体"/>
                <w:color w:val="000000"/>
                <w:kern w:val="0"/>
                <w:sz w:val="22"/>
                <w:szCs w:val="22"/>
                <w:u w:val="none"/>
              </w:rPr>
              <w:t>绩效指标明确性（</w:t>
            </w:r>
            <w:r>
              <w:rPr>
                <w:rFonts w:hint="eastAsia" w:ascii="宋体" w:hAnsi="宋体" w:eastAsia="宋体" w:cs="宋体"/>
                <w:color w:val="000000"/>
                <w:kern w:val="0"/>
                <w:sz w:val="22"/>
                <w:szCs w:val="22"/>
                <w:u w:val="none"/>
                <w:lang w:val="en-US" w:eastAsia="zh-CN"/>
              </w:rPr>
              <w:t>4</w:t>
            </w:r>
            <w:r>
              <w:rPr>
                <w:rFonts w:hint="eastAsia" w:ascii="宋体" w:hAnsi="宋体" w:eastAsia="宋体" w:cs="宋体"/>
                <w:color w:val="000000"/>
                <w:kern w:val="0"/>
                <w:sz w:val="22"/>
                <w:szCs w:val="22"/>
                <w:u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209" w:type="dxa"/>
            <w:vMerge w:val="continue"/>
            <w:shd w:val="clear" w:color="auto" w:fill="auto"/>
            <w:vAlign w:val="center"/>
          </w:tcPr>
          <w:p>
            <w:pPr>
              <w:widowControl/>
              <w:jc w:val="left"/>
              <w:rPr>
                <w:rFonts w:hint="eastAsia" w:ascii="宋体" w:hAnsi="宋体" w:eastAsia="宋体" w:cs="宋体"/>
                <w:color w:val="000000"/>
                <w:kern w:val="0"/>
                <w:sz w:val="22"/>
                <w:szCs w:val="22"/>
                <w:u w:val="none"/>
              </w:rPr>
            </w:pPr>
          </w:p>
        </w:tc>
        <w:tc>
          <w:tcPr>
            <w:tcW w:w="2381" w:type="dxa"/>
            <w:shd w:val="clear" w:color="auto" w:fill="auto"/>
            <w:vAlign w:val="center"/>
          </w:tcPr>
          <w:p>
            <w:pPr>
              <w:widowControl/>
              <w:jc w:val="center"/>
              <w:rPr>
                <w:rFonts w:hint="eastAsia" w:ascii="宋体" w:hAnsi="宋体" w:eastAsia="宋体" w:cs="宋体"/>
                <w:color w:val="000000"/>
                <w:kern w:val="0"/>
                <w:sz w:val="22"/>
                <w:szCs w:val="22"/>
                <w:u w:val="none"/>
              </w:rPr>
            </w:pPr>
            <w:r>
              <w:rPr>
                <w:rFonts w:hint="eastAsia" w:ascii="宋体" w:hAnsi="宋体" w:eastAsia="宋体" w:cs="宋体"/>
                <w:color w:val="000000"/>
                <w:kern w:val="0"/>
                <w:sz w:val="22"/>
                <w:szCs w:val="22"/>
                <w:u w:val="none"/>
              </w:rPr>
              <w:t>资金投入（</w:t>
            </w:r>
            <w:r>
              <w:rPr>
                <w:rFonts w:hint="eastAsia" w:ascii="宋体" w:hAnsi="宋体" w:eastAsia="宋体" w:cs="宋体"/>
                <w:color w:val="000000"/>
                <w:kern w:val="0"/>
                <w:sz w:val="22"/>
                <w:szCs w:val="22"/>
                <w:u w:val="none"/>
                <w:lang w:val="en-US" w:eastAsia="zh-CN"/>
              </w:rPr>
              <w:t>4</w:t>
            </w:r>
            <w:r>
              <w:rPr>
                <w:rFonts w:hint="eastAsia" w:ascii="宋体" w:hAnsi="宋体" w:eastAsia="宋体" w:cs="宋体"/>
                <w:color w:val="000000"/>
                <w:kern w:val="0"/>
                <w:sz w:val="22"/>
                <w:szCs w:val="22"/>
                <w:u w:val="none"/>
              </w:rPr>
              <w:t>分）</w:t>
            </w:r>
          </w:p>
        </w:tc>
        <w:tc>
          <w:tcPr>
            <w:tcW w:w="5013" w:type="dxa"/>
            <w:shd w:val="clear" w:color="auto" w:fill="auto"/>
            <w:vAlign w:val="center"/>
          </w:tcPr>
          <w:p>
            <w:pPr>
              <w:widowControl/>
              <w:jc w:val="center"/>
              <w:rPr>
                <w:rFonts w:hint="eastAsia" w:ascii="宋体" w:hAnsi="宋体" w:eastAsia="宋体" w:cs="宋体"/>
                <w:color w:val="000000"/>
                <w:kern w:val="0"/>
                <w:sz w:val="22"/>
                <w:szCs w:val="22"/>
                <w:u w:val="none"/>
              </w:rPr>
            </w:pPr>
            <w:r>
              <w:rPr>
                <w:rFonts w:hint="eastAsia" w:ascii="宋体" w:hAnsi="宋体" w:eastAsia="宋体" w:cs="宋体"/>
                <w:color w:val="000000"/>
                <w:kern w:val="0"/>
                <w:sz w:val="22"/>
                <w:szCs w:val="22"/>
                <w:u w:val="none"/>
              </w:rPr>
              <w:t>预算编制科学性（</w:t>
            </w:r>
            <w:r>
              <w:rPr>
                <w:rFonts w:hint="eastAsia" w:ascii="宋体" w:hAnsi="宋体" w:eastAsia="宋体" w:cs="宋体"/>
                <w:color w:val="000000"/>
                <w:kern w:val="0"/>
                <w:sz w:val="22"/>
                <w:szCs w:val="22"/>
                <w:u w:val="none"/>
                <w:lang w:val="en-US" w:eastAsia="zh-CN"/>
              </w:rPr>
              <w:t>4</w:t>
            </w:r>
            <w:r>
              <w:rPr>
                <w:rFonts w:hint="eastAsia" w:ascii="宋体" w:hAnsi="宋体" w:eastAsia="宋体" w:cs="宋体"/>
                <w:color w:val="000000"/>
                <w:kern w:val="0"/>
                <w:sz w:val="22"/>
                <w:szCs w:val="22"/>
                <w:u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3" w:hRule="atLeast"/>
          <w:jc w:val="center"/>
        </w:trPr>
        <w:tc>
          <w:tcPr>
            <w:tcW w:w="1209" w:type="dxa"/>
            <w:vMerge w:val="restart"/>
            <w:shd w:val="clear" w:color="auto" w:fill="auto"/>
            <w:vAlign w:val="center"/>
          </w:tcPr>
          <w:p>
            <w:pPr>
              <w:widowControl/>
              <w:jc w:val="center"/>
              <w:rPr>
                <w:rFonts w:hint="eastAsia" w:ascii="宋体" w:hAnsi="宋体" w:eastAsia="宋体" w:cs="宋体"/>
                <w:color w:val="000000"/>
                <w:kern w:val="0"/>
                <w:sz w:val="22"/>
                <w:szCs w:val="22"/>
                <w:u w:val="none"/>
              </w:rPr>
            </w:pPr>
            <w:r>
              <w:rPr>
                <w:rFonts w:hint="eastAsia" w:ascii="宋体" w:hAnsi="宋体" w:eastAsia="宋体" w:cs="宋体"/>
                <w:color w:val="000000"/>
                <w:kern w:val="0"/>
                <w:sz w:val="22"/>
                <w:szCs w:val="22"/>
                <w:u w:val="none"/>
              </w:rPr>
              <w:t>过程</w:t>
            </w:r>
          </w:p>
          <w:p>
            <w:pPr>
              <w:widowControl/>
              <w:jc w:val="center"/>
              <w:rPr>
                <w:rFonts w:hint="eastAsia" w:ascii="宋体" w:hAnsi="宋体" w:eastAsia="宋体" w:cs="宋体"/>
                <w:color w:val="000000"/>
                <w:kern w:val="0"/>
                <w:sz w:val="22"/>
                <w:szCs w:val="22"/>
                <w:u w:val="none"/>
              </w:rPr>
            </w:pPr>
            <w:r>
              <w:rPr>
                <w:rFonts w:hint="eastAsia" w:ascii="宋体" w:hAnsi="宋体" w:eastAsia="宋体" w:cs="宋体"/>
                <w:color w:val="000000"/>
                <w:kern w:val="0"/>
                <w:sz w:val="22"/>
                <w:szCs w:val="22"/>
                <w:u w:val="none"/>
              </w:rPr>
              <w:t>（</w:t>
            </w:r>
            <w:r>
              <w:rPr>
                <w:rFonts w:hint="eastAsia" w:ascii="宋体" w:hAnsi="宋体" w:eastAsia="宋体" w:cs="宋体"/>
                <w:color w:val="000000"/>
                <w:kern w:val="0"/>
                <w:sz w:val="22"/>
                <w:szCs w:val="22"/>
                <w:u w:val="none"/>
                <w:lang w:val="en-US" w:eastAsia="zh-CN"/>
              </w:rPr>
              <w:t>20</w:t>
            </w:r>
            <w:r>
              <w:rPr>
                <w:rFonts w:hint="eastAsia" w:ascii="宋体" w:hAnsi="宋体" w:eastAsia="宋体" w:cs="宋体"/>
                <w:color w:val="000000"/>
                <w:kern w:val="0"/>
                <w:sz w:val="22"/>
                <w:szCs w:val="22"/>
                <w:u w:val="none"/>
              </w:rPr>
              <w:t>分）</w:t>
            </w:r>
          </w:p>
        </w:tc>
        <w:tc>
          <w:tcPr>
            <w:tcW w:w="2381" w:type="dxa"/>
            <w:vMerge w:val="restart"/>
            <w:shd w:val="clear" w:color="auto" w:fill="auto"/>
            <w:vAlign w:val="center"/>
          </w:tcPr>
          <w:p>
            <w:pPr>
              <w:widowControl/>
              <w:jc w:val="center"/>
              <w:rPr>
                <w:rFonts w:hint="eastAsia" w:ascii="宋体" w:hAnsi="宋体" w:eastAsia="宋体" w:cs="宋体"/>
                <w:color w:val="000000"/>
                <w:kern w:val="0"/>
                <w:sz w:val="22"/>
                <w:szCs w:val="22"/>
                <w:u w:val="none"/>
              </w:rPr>
            </w:pPr>
            <w:r>
              <w:rPr>
                <w:rFonts w:hint="eastAsia" w:ascii="宋体" w:hAnsi="宋体" w:eastAsia="宋体" w:cs="宋体"/>
                <w:color w:val="000000"/>
                <w:kern w:val="0"/>
                <w:sz w:val="22"/>
                <w:szCs w:val="22"/>
                <w:u w:val="none"/>
              </w:rPr>
              <w:t>资金管理（</w:t>
            </w:r>
            <w:r>
              <w:rPr>
                <w:rFonts w:hint="eastAsia" w:ascii="宋体" w:hAnsi="宋体" w:eastAsia="宋体" w:cs="宋体"/>
                <w:color w:val="000000"/>
                <w:kern w:val="0"/>
                <w:sz w:val="22"/>
                <w:szCs w:val="22"/>
                <w:u w:val="none"/>
                <w:lang w:val="en-US" w:eastAsia="zh-CN"/>
              </w:rPr>
              <w:t>7</w:t>
            </w:r>
            <w:r>
              <w:rPr>
                <w:rFonts w:hint="eastAsia" w:ascii="宋体" w:hAnsi="宋体" w:eastAsia="宋体" w:cs="宋体"/>
                <w:color w:val="000000"/>
                <w:kern w:val="0"/>
                <w:sz w:val="22"/>
                <w:szCs w:val="22"/>
                <w:u w:val="none"/>
              </w:rPr>
              <w:t>分）</w:t>
            </w:r>
          </w:p>
        </w:tc>
        <w:tc>
          <w:tcPr>
            <w:tcW w:w="5013" w:type="dxa"/>
            <w:shd w:val="clear" w:color="auto" w:fill="auto"/>
            <w:vAlign w:val="center"/>
          </w:tcPr>
          <w:p>
            <w:pPr>
              <w:widowControl/>
              <w:jc w:val="center"/>
              <w:rPr>
                <w:rFonts w:hint="eastAsia" w:ascii="宋体" w:hAnsi="宋体" w:eastAsia="宋体" w:cs="宋体"/>
                <w:color w:val="000000"/>
                <w:kern w:val="0"/>
                <w:sz w:val="22"/>
                <w:szCs w:val="22"/>
                <w:u w:val="none"/>
              </w:rPr>
            </w:pPr>
            <w:r>
              <w:rPr>
                <w:rFonts w:hint="eastAsia" w:ascii="宋体" w:hAnsi="宋体" w:eastAsia="宋体" w:cs="宋体"/>
                <w:color w:val="000000"/>
                <w:kern w:val="0"/>
                <w:sz w:val="22"/>
                <w:szCs w:val="22"/>
                <w:u w:val="none"/>
              </w:rPr>
              <w:t>预算执行率（</w:t>
            </w:r>
            <w:r>
              <w:rPr>
                <w:rFonts w:hint="eastAsia" w:ascii="宋体" w:hAnsi="宋体" w:eastAsia="宋体" w:cs="宋体"/>
                <w:color w:val="000000"/>
                <w:kern w:val="0"/>
                <w:sz w:val="22"/>
                <w:szCs w:val="22"/>
                <w:u w:val="none"/>
                <w:lang w:val="en-US" w:eastAsia="zh-CN"/>
              </w:rPr>
              <w:t>3</w:t>
            </w:r>
            <w:r>
              <w:rPr>
                <w:rFonts w:hint="eastAsia" w:ascii="宋体" w:hAnsi="宋体" w:eastAsia="宋体" w:cs="宋体"/>
                <w:color w:val="000000"/>
                <w:kern w:val="0"/>
                <w:sz w:val="22"/>
                <w:szCs w:val="22"/>
                <w:u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209" w:type="dxa"/>
            <w:vMerge w:val="continue"/>
            <w:shd w:val="clear" w:color="auto" w:fill="auto"/>
            <w:vAlign w:val="center"/>
          </w:tcPr>
          <w:p>
            <w:pPr>
              <w:jc w:val="left"/>
              <w:rPr>
                <w:rFonts w:hint="eastAsia" w:ascii="宋体" w:hAnsi="宋体" w:eastAsia="宋体" w:cs="宋体"/>
                <w:color w:val="000000"/>
                <w:kern w:val="0"/>
                <w:sz w:val="22"/>
                <w:szCs w:val="22"/>
                <w:u w:val="none"/>
              </w:rPr>
            </w:pPr>
          </w:p>
        </w:tc>
        <w:tc>
          <w:tcPr>
            <w:tcW w:w="2381" w:type="dxa"/>
            <w:vMerge w:val="continue"/>
            <w:vAlign w:val="center"/>
          </w:tcPr>
          <w:p>
            <w:pPr>
              <w:widowControl/>
              <w:jc w:val="center"/>
              <w:rPr>
                <w:rFonts w:hint="eastAsia" w:ascii="宋体" w:hAnsi="宋体" w:eastAsia="宋体" w:cs="宋体"/>
                <w:color w:val="000000"/>
                <w:kern w:val="0"/>
                <w:sz w:val="22"/>
                <w:szCs w:val="22"/>
                <w:u w:val="none"/>
              </w:rPr>
            </w:pPr>
          </w:p>
        </w:tc>
        <w:tc>
          <w:tcPr>
            <w:tcW w:w="5013" w:type="dxa"/>
            <w:shd w:val="clear" w:color="auto" w:fill="auto"/>
            <w:vAlign w:val="center"/>
          </w:tcPr>
          <w:p>
            <w:pPr>
              <w:widowControl/>
              <w:jc w:val="center"/>
              <w:rPr>
                <w:rFonts w:hint="eastAsia" w:ascii="宋体" w:hAnsi="宋体" w:eastAsia="宋体" w:cs="宋体"/>
                <w:color w:val="000000"/>
                <w:kern w:val="0"/>
                <w:sz w:val="22"/>
                <w:szCs w:val="22"/>
                <w:u w:val="none"/>
              </w:rPr>
            </w:pPr>
            <w:r>
              <w:rPr>
                <w:rFonts w:hint="eastAsia" w:ascii="宋体" w:hAnsi="宋体" w:eastAsia="宋体" w:cs="宋体"/>
                <w:color w:val="000000"/>
                <w:kern w:val="0"/>
                <w:sz w:val="22"/>
                <w:szCs w:val="22"/>
                <w:u w:val="none"/>
              </w:rPr>
              <w:t>资金使用合规性（</w:t>
            </w:r>
            <w:r>
              <w:rPr>
                <w:rFonts w:hint="eastAsia" w:ascii="宋体" w:hAnsi="宋体" w:eastAsia="宋体" w:cs="宋体"/>
                <w:color w:val="000000"/>
                <w:kern w:val="0"/>
                <w:sz w:val="22"/>
                <w:szCs w:val="22"/>
                <w:u w:val="none"/>
                <w:lang w:val="en-US" w:eastAsia="zh-CN"/>
              </w:rPr>
              <w:t>4</w:t>
            </w:r>
            <w:r>
              <w:rPr>
                <w:rFonts w:hint="eastAsia" w:ascii="宋体" w:hAnsi="宋体" w:eastAsia="宋体" w:cs="宋体"/>
                <w:color w:val="000000"/>
                <w:kern w:val="0"/>
                <w:sz w:val="22"/>
                <w:szCs w:val="22"/>
                <w:u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209" w:type="dxa"/>
            <w:vMerge w:val="continue"/>
            <w:shd w:val="clear" w:color="auto" w:fill="auto"/>
            <w:vAlign w:val="center"/>
          </w:tcPr>
          <w:p>
            <w:pPr>
              <w:jc w:val="left"/>
              <w:rPr>
                <w:rFonts w:hint="eastAsia" w:ascii="宋体" w:hAnsi="宋体" w:eastAsia="宋体" w:cs="宋体"/>
                <w:color w:val="000000"/>
                <w:kern w:val="0"/>
                <w:sz w:val="22"/>
                <w:szCs w:val="22"/>
                <w:u w:val="none"/>
              </w:rPr>
            </w:pPr>
          </w:p>
        </w:tc>
        <w:tc>
          <w:tcPr>
            <w:tcW w:w="2381" w:type="dxa"/>
            <w:vMerge w:val="restart"/>
            <w:shd w:val="clear" w:color="auto" w:fill="auto"/>
            <w:vAlign w:val="center"/>
          </w:tcPr>
          <w:p>
            <w:pPr>
              <w:widowControl/>
              <w:jc w:val="center"/>
              <w:rPr>
                <w:rFonts w:hint="eastAsia" w:ascii="宋体" w:hAnsi="宋体" w:eastAsia="宋体" w:cs="宋体"/>
                <w:color w:val="000000"/>
                <w:kern w:val="0"/>
                <w:sz w:val="22"/>
                <w:szCs w:val="22"/>
                <w:u w:val="none"/>
              </w:rPr>
            </w:pPr>
            <w:r>
              <w:rPr>
                <w:rFonts w:hint="eastAsia" w:ascii="宋体" w:hAnsi="宋体" w:eastAsia="宋体" w:cs="宋体"/>
                <w:color w:val="000000"/>
                <w:kern w:val="0"/>
                <w:sz w:val="22"/>
                <w:szCs w:val="22"/>
                <w:u w:val="none"/>
              </w:rPr>
              <w:t>业务管理（1</w:t>
            </w:r>
            <w:r>
              <w:rPr>
                <w:rFonts w:hint="eastAsia" w:ascii="宋体" w:hAnsi="宋体" w:eastAsia="宋体" w:cs="宋体"/>
                <w:color w:val="000000"/>
                <w:kern w:val="0"/>
                <w:sz w:val="22"/>
                <w:szCs w:val="22"/>
                <w:u w:val="none"/>
                <w:lang w:val="en-US" w:eastAsia="zh-CN"/>
              </w:rPr>
              <w:t>3</w:t>
            </w:r>
            <w:r>
              <w:rPr>
                <w:rFonts w:hint="eastAsia" w:ascii="宋体" w:hAnsi="宋体" w:eastAsia="宋体" w:cs="宋体"/>
                <w:color w:val="000000"/>
                <w:kern w:val="0"/>
                <w:sz w:val="22"/>
                <w:szCs w:val="22"/>
                <w:u w:val="none"/>
              </w:rPr>
              <w:t>分）</w:t>
            </w:r>
          </w:p>
        </w:tc>
        <w:tc>
          <w:tcPr>
            <w:tcW w:w="5013" w:type="dxa"/>
            <w:shd w:val="clear" w:color="auto" w:fill="auto"/>
            <w:vAlign w:val="center"/>
          </w:tcPr>
          <w:p>
            <w:pPr>
              <w:widowControl/>
              <w:jc w:val="center"/>
              <w:rPr>
                <w:rFonts w:hint="eastAsia" w:ascii="宋体" w:hAnsi="宋体" w:eastAsia="宋体" w:cs="宋体"/>
                <w:color w:val="000000"/>
                <w:kern w:val="0"/>
                <w:sz w:val="22"/>
                <w:szCs w:val="22"/>
                <w:u w:val="none"/>
              </w:rPr>
            </w:pPr>
            <w:r>
              <w:rPr>
                <w:rFonts w:hint="eastAsia" w:ascii="宋体" w:hAnsi="宋体" w:eastAsia="宋体" w:cs="宋体"/>
                <w:color w:val="000000"/>
                <w:kern w:val="0"/>
                <w:sz w:val="22"/>
                <w:szCs w:val="22"/>
                <w:u w:val="none"/>
              </w:rPr>
              <w:t>管理制度健全性（</w:t>
            </w:r>
            <w:r>
              <w:rPr>
                <w:rFonts w:hint="eastAsia" w:ascii="宋体" w:hAnsi="宋体" w:eastAsia="宋体" w:cs="宋体"/>
                <w:color w:val="000000"/>
                <w:kern w:val="0"/>
                <w:sz w:val="22"/>
                <w:szCs w:val="22"/>
                <w:u w:val="none"/>
                <w:lang w:val="en-US" w:eastAsia="zh-CN"/>
              </w:rPr>
              <w:t>3</w:t>
            </w:r>
            <w:r>
              <w:rPr>
                <w:rFonts w:hint="eastAsia" w:ascii="宋体" w:hAnsi="宋体" w:eastAsia="宋体" w:cs="宋体"/>
                <w:color w:val="000000"/>
                <w:kern w:val="0"/>
                <w:sz w:val="22"/>
                <w:szCs w:val="22"/>
                <w:u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209" w:type="dxa"/>
            <w:vMerge w:val="continue"/>
            <w:shd w:val="clear" w:color="auto" w:fill="auto"/>
            <w:vAlign w:val="center"/>
          </w:tcPr>
          <w:p>
            <w:pPr>
              <w:widowControl/>
              <w:jc w:val="left"/>
              <w:rPr>
                <w:rFonts w:hint="eastAsia" w:ascii="宋体" w:hAnsi="宋体" w:eastAsia="宋体" w:cs="宋体"/>
                <w:color w:val="000000"/>
                <w:kern w:val="0"/>
                <w:sz w:val="22"/>
                <w:szCs w:val="22"/>
                <w:u w:val="none"/>
              </w:rPr>
            </w:pPr>
          </w:p>
        </w:tc>
        <w:tc>
          <w:tcPr>
            <w:tcW w:w="2381" w:type="dxa"/>
            <w:vMerge w:val="continue"/>
            <w:vAlign w:val="center"/>
          </w:tcPr>
          <w:p>
            <w:pPr>
              <w:widowControl/>
              <w:jc w:val="center"/>
              <w:rPr>
                <w:rFonts w:hint="eastAsia" w:ascii="宋体" w:hAnsi="宋体" w:eastAsia="宋体" w:cs="宋体"/>
                <w:color w:val="000000"/>
                <w:kern w:val="0"/>
                <w:sz w:val="22"/>
                <w:szCs w:val="22"/>
                <w:u w:val="none"/>
              </w:rPr>
            </w:pPr>
          </w:p>
        </w:tc>
        <w:tc>
          <w:tcPr>
            <w:tcW w:w="5013" w:type="dxa"/>
            <w:shd w:val="clear" w:color="auto" w:fill="auto"/>
            <w:vAlign w:val="center"/>
          </w:tcPr>
          <w:p>
            <w:pPr>
              <w:widowControl/>
              <w:jc w:val="center"/>
              <w:rPr>
                <w:rFonts w:hint="eastAsia" w:ascii="宋体" w:hAnsi="宋体" w:eastAsia="宋体" w:cs="宋体"/>
                <w:color w:val="000000"/>
                <w:kern w:val="0"/>
                <w:sz w:val="22"/>
                <w:szCs w:val="22"/>
                <w:u w:val="none"/>
              </w:rPr>
            </w:pPr>
            <w:r>
              <w:rPr>
                <w:rFonts w:hint="eastAsia" w:ascii="宋体" w:hAnsi="宋体" w:eastAsia="宋体" w:cs="宋体"/>
                <w:color w:val="000000"/>
                <w:kern w:val="0"/>
                <w:sz w:val="22"/>
                <w:szCs w:val="22"/>
                <w:u w:val="none"/>
              </w:rPr>
              <w:t>制度执行有效性（</w:t>
            </w:r>
            <w:r>
              <w:rPr>
                <w:rFonts w:hint="eastAsia" w:ascii="宋体" w:hAnsi="宋体" w:eastAsia="宋体" w:cs="宋体"/>
                <w:color w:val="000000"/>
                <w:kern w:val="0"/>
                <w:sz w:val="22"/>
                <w:szCs w:val="22"/>
                <w:u w:val="none"/>
                <w:lang w:val="en-US" w:eastAsia="zh-CN"/>
              </w:rPr>
              <w:t>10</w:t>
            </w:r>
            <w:r>
              <w:rPr>
                <w:rFonts w:hint="eastAsia" w:ascii="宋体" w:hAnsi="宋体" w:eastAsia="宋体" w:cs="宋体"/>
                <w:color w:val="000000"/>
                <w:kern w:val="0"/>
                <w:sz w:val="22"/>
                <w:szCs w:val="22"/>
                <w:u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209" w:type="dxa"/>
            <w:vMerge w:val="restart"/>
            <w:shd w:val="clear" w:color="auto" w:fill="auto"/>
            <w:vAlign w:val="center"/>
          </w:tcPr>
          <w:p>
            <w:pPr>
              <w:widowControl/>
              <w:jc w:val="center"/>
              <w:rPr>
                <w:rFonts w:hint="eastAsia" w:ascii="宋体" w:hAnsi="宋体" w:eastAsia="宋体" w:cs="宋体"/>
                <w:color w:val="000000"/>
                <w:kern w:val="0"/>
                <w:sz w:val="22"/>
                <w:szCs w:val="22"/>
                <w:u w:val="none"/>
              </w:rPr>
            </w:pPr>
            <w:r>
              <w:rPr>
                <w:rFonts w:hint="eastAsia" w:ascii="宋体" w:hAnsi="宋体" w:eastAsia="宋体" w:cs="宋体"/>
                <w:color w:val="000000"/>
                <w:kern w:val="0"/>
                <w:sz w:val="22"/>
                <w:szCs w:val="22"/>
                <w:u w:val="none"/>
              </w:rPr>
              <w:t>产出</w:t>
            </w:r>
          </w:p>
          <w:p>
            <w:pPr>
              <w:widowControl/>
              <w:jc w:val="center"/>
              <w:rPr>
                <w:rFonts w:hint="eastAsia" w:ascii="宋体" w:hAnsi="宋体" w:eastAsia="宋体" w:cs="宋体"/>
                <w:color w:val="000000"/>
                <w:kern w:val="0"/>
                <w:sz w:val="22"/>
                <w:szCs w:val="22"/>
                <w:u w:val="none"/>
              </w:rPr>
            </w:pPr>
            <w:r>
              <w:rPr>
                <w:rFonts w:hint="eastAsia" w:ascii="宋体" w:hAnsi="宋体" w:eastAsia="宋体" w:cs="宋体"/>
                <w:color w:val="000000"/>
                <w:kern w:val="0"/>
                <w:sz w:val="22"/>
                <w:szCs w:val="22"/>
                <w:u w:val="none"/>
              </w:rPr>
              <w:t>（30分）</w:t>
            </w:r>
          </w:p>
        </w:tc>
        <w:tc>
          <w:tcPr>
            <w:tcW w:w="2381" w:type="dxa"/>
            <w:shd w:val="clear" w:color="auto" w:fill="auto"/>
            <w:vAlign w:val="center"/>
          </w:tcPr>
          <w:p>
            <w:pPr>
              <w:widowControl/>
              <w:jc w:val="center"/>
              <w:rPr>
                <w:rFonts w:hint="eastAsia" w:ascii="宋体" w:hAnsi="宋体" w:eastAsia="宋体" w:cs="宋体"/>
                <w:color w:val="000000"/>
                <w:kern w:val="0"/>
                <w:sz w:val="22"/>
                <w:szCs w:val="22"/>
                <w:u w:val="none"/>
              </w:rPr>
            </w:pPr>
            <w:r>
              <w:rPr>
                <w:rFonts w:hint="eastAsia" w:ascii="宋体" w:hAnsi="宋体" w:eastAsia="宋体" w:cs="宋体"/>
                <w:color w:val="000000"/>
                <w:kern w:val="0"/>
                <w:sz w:val="22"/>
                <w:szCs w:val="22"/>
                <w:u w:val="none"/>
              </w:rPr>
              <w:t>产出数量（10分）</w:t>
            </w:r>
          </w:p>
        </w:tc>
        <w:tc>
          <w:tcPr>
            <w:tcW w:w="5013" w:type="dxa"/>
            <w:shd w:val="clear" w:color="auto" w:fill="auto"/>
            <w:vAlign w:val="center"/>
          </w:tcPr>
          <w:p>
            <w:pPr>
              <w:widowControl/>
              <w:jc w:val="center"/>
              <w:rPr>
                <w:rFonts w:hint="eastAsia" w:ascii="宋体" w:hAnsi="宋体" w:eastAsia="宋体" w:cs="宋体"/>
                <w:color w:val="000000"/>
                <w:kern w:val="0"/>
                <w:sz w:val="22"/>
                <w:szCs w:val="22"/>
                <w:u w:val="none"/>
              </w:rPr>
            </w:pPr>
            <w:r>
              <w:rPr>
                <w:rFonts w:hint="eastAsia" w:ascii="宋体" w:hAnsi="宋体" w:eastAsia="宋体" w:cs="宋体"/>
                <w:color w:val="000000"/>
                <w:kern w:val="0"/>
                <w:sz w:val="22"/>
                <w:szCs w:val="22"/>
                <w:u w:val="none"/>
              </w:rPr>
              <w:t>实际完成率（10分）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209" w:type="dxa"/>
            <w:vMerge w:val="continue"/>
            <w:shd w:val="clear" w:color="auto" w:fill="auto"/>
            <w:vAlign w:val="center"/>
          </w:tcPr>
          <w:p>
            <w:pPr>
              <w:jc w:val="left"/>
              <w:rPr>
                <w:rFonts w:hint="eastAsia" w:ascii="宋体" w:hAnsi="宋体" w:eastAsia="宋体" w:cs="宋体"/>
                <w:color w:val="000000"/>
                <w:kern w:val="0"/>
                <w:sz w:val="22"/>
                <w:szCs w:val="22"/>
                <w:u w:val="none"/>
              </w:rPr>
            </w:pPr>
          </w:p>
        </w:tc>
        <w:tc>
          <w:tcPr>
            <w:tcW w:w="2381" w:type="dxa"/>
            <w:shd w:val="clear" w:color="auto" w:fill="auto"/>
            <w:vAlign w:val="center"/>
          </w:tcPr>
          <w:p>
            <w:pPr>
              <w:widowControl/>
              <w:jc w:val="center"/>
              <w:rPr>
                <w:rFonts w:hint="eastAsia" w:ascii="宋体" w:hAnsi="宋体" w:eastAsia="宋体" w:cs="宋体"/>
                <w:color w:val="000000"/>
                <w:kern w:val="0"/>
                <w:sz w:val="22"/>
                <w:szCs w:val="22"/>
                <w:u w:val="none"/>
              </w:rPr>
            </w:pPr>
            <w:r>
              <w:rPr>
                <w:rFonts w:hint="eastAsia" w:ascii="宋体" w:hAnsi="宋体" w:eastAsia="宋体" w:cs="宋体"/>
                <w:color w:val="000000"/>
                <w:kern w:val="0"/>
                <w:sz w:val="22"/>
                <w:szCs w:val="22"/>
                <w:u w:val="none"/>
              </w:rPr>
              <w:t>产出质量（10分）</w:t>
            </w:r>
          </w:p>
        </w:tc>
        <w:tc>
          <w:tcPr>
            <w:tcW w:w="5013" w:type="dxa"/>
            <w:shd w:val="clear" w:color="auto" w:fill="auto"/>
            <w:vAlign w:val="center"/>
          </w:tcPr>
          <w:p>
            <w:pPr>
              <w:widowControl/>
              <w:jc w:val="center"/>
              <w:rPr>
                <w:rFonts w:hint="eastAsia" w:ascii="宋体" w:hAnsi="宋体" w:eastAsia="宋体" w:cs="宋体"/>
                <w:color w:val="000000"/>
                <w:kern w:val="0"/>
                <w:sz w:val="22"/>
                <w:szCs w:val="22"/>
                <w:u w:val="none"/>
              </w:rPr>
            </w:pPr>
            <w:r>
              <w:rPr>
                <w:rFonts w:hint="eastAsia" w:ascii="宋体" w:hAnsi="宋体" w:eastAsia="宋体" w:cs="宋体"/>
                <w:color w:val="000000"/>
                <w:kern w:val="0"/>
                <w:sz w:val="22"/>
                <w:szCs w:val="22"/>
                <w:u w:val="none"/>
              </w:rPr>
              <w:t>质量达标率（验收合格率）（10分）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209" w:type="dxa"/>
            <w:vMerge w:val="continue"/>
            <w:shd w:val="clear" w:color="auto" w:fill="auto"/>
            <w:vAlign w:val="center"/>
          </w:tcPr>
          <w:p>
            <w:pPr>
              <w:jc w:val="left"/>
              <w:rPr>
                <w:rFonts w:hint="eastAsia" w:ascii="宋体" w:hAnsi="宋体" w:eastAsia="宋体" w:cs="宋体"/>
                <w:color w:val="000000"/>
                <w:kern w:val="0"/>
                <w:sz w:val="22"/>
                <w:szCs w:val="22"/>
                <w:u w:val="none"/>
              </w:rPr>
            </w:pPr>
          </w:p>
        </w:tc>
        <w:tc>
          <w:tcPr>
            <w:tcW w:w="2381" w:type="dxa"/>
            <w:shd w:val="clear" w:color="auto" w:fill="auto"/>
            <w:vAlign w:val="center"/>
          </w:tcPr>
          <w:p>
            <w:pPr>
              <w:widowControl/>
              <w:jc w:val="center"/>
              <w:rPr>
                <w:rFonts w:hint="eastAsia" w:ascii="宋体" w:hAnsi="宋体" w:eastAsia="宋体" w:cs="宋体"/>
                <w:color w:val="000000"/>
                <w:kern w:val="0"/>
                <w:sz w:val="22"/>
                <w:szCs w:val="22"/>
                <w:u w:val="none"/>
              </w:rPr>
            </w:pPr>
            <w:r>
              <w:rPr>
                <w:rFonts w:hint="eastAsia" w:ascii="宋体" w:hAnsi="宋体" w:eastAsia="宋体" w:cs="宋体"/>
                <w:color w:val="000000"/>
                <w:kern w:val="0"/>
                <w:sz w:val="22"/>
                <w:szCs w:val="22"/>
                <w:u w:val="none"/>
              </w:rPr>
              <w:t>产出时效（5分）</w:t>
            </w:r>
          </w:p>
        </w:tc>
        <w:tc>
          <w:tcPr>
            <w:tcW w:w="5013" w:type="dxa"/>
            <w:shd w:val="clear" w:color="auto" w:fill="auto"/>
            <w:vAlign w:val="center"/>
          </w:tcPr>
          <w:p>
            <w:pPr>
              <w:widowControl/>
              <w:jc w:val="center"/>
              <w:rPr>
                <w:rFonts w:hint="eastAsia" w:ascii="宋体" w:hAnsi="宋体" w:eastAsia="宋体" w:cs="宋体"/>
                <w:color w:val="000000"/>
                <w:kern w:val="0"/>
                <w:sz w:val="22"/>
                <w:szCs w:val="22"/>
                <w:u w:val="none"/>
              </w:rPr>
            </w:pPr>
            <w:r>
              <w:rPr>
                <w:rFonts w:hint="eastAsia" w:ascii="宋体" w:hAnsi="宋体" w:eastAsia="宋体" w:cs="宋体"/>
                <w:color w:val="000000"/>
                <w:kern w:val="0"/>
                <w:sz w:val="22"/>
                <w:szCs w:val="22"/>
                <w:u w:val="none"/>
              </w:rPr>
              <w:t>完成及时性（5分）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2" w:hRule="atLeast"/>
          <w:jc w:val="center"/>
        </w:trPr>
        <w:tc>
          <w:tcPr>
            <w:tcW w:w="1209" w:type="dxa"/>
            <w:vMerge w:val="continue"/>
            <w:shd w:val="clear" w:color="auto" w:fill="auto"/>
            <w:vAlign w:val="center"/>
          </w:tcPr>
          <w:p>
            <w:pPr>
              <w:widowControl/>
              <w:jc w:val="left"/>
              <w:rPr>
                <w:rFonts w:hint="eastAsia" w:ascii="宋体" w:hAnsi="宋体" w:eastAsia="宋体" w:cs="宋体"/>
                <w:color w:val="000000"/>
                <w:kern w:val="0"/>
                <w:sz w:val="22"/>
                <w:szCs w:val="22"/>
                <w:u w:val="none"/>
              </w:rPr>
            </w:pPr>
          </w:p>
        </w:tc>
        <w:tc>
          <w:tcPr>
            <w:tcW w:w="2381" w:type="dxa"/>
            <w:shd w:val="clear" w:color="auto" w:fill="auto"/>
            <w:vAlign w:val="center"/>
          </w:tcPr>
          <w:p>
            <w:pPr>
              <w:widowControl/>
              <w:jc w:val="center"/>
              <w:rPr>
                <w:rFonts w:hint="eastAsia" w:ascii="宋体" w:hAnsi="宋体" w:eastAsia="宋体" w:cs="宋体"/>
                <w:color w:val="000000"/>
                <w:kern w:val="0"/>
                <w:sz w:val="22"/>
                <w:szCs w:val="22"/>
                <w:u w:val="none"/>
              </w:rPr>
            </w:pPr>
            <w:r>
              <w:rPr>
                <w:rFonts w:hint="eastAsia" w:ascii="宋体" w:hAnsi="宋体" w:eastAsia="宋体" w:cs="宋体"/>
                <w:color w:val="000000"/>
                <w:kern w:val="0"/>
                <w:sz w:val="22"/>
                <w:szCs w:val="22"/>
                <w:u w:val="none"/>
              </w:rPr>
              <w:t>产出成本（5分）</w:t>
            </w:r>
          </w:p>
        </w:tc>
        <w:tc>
          <w:tcPr>
            <w:tcW w:w="5013" w:type="dxa"/>
            <w:shd w:val="clear" w:color="auto" w:fill="auto"/>
            <w:vAlign w:val="center"/>
          </w:tcPr>
          <w:p>
            <w:pPr>
              <w:widowControl/>
              <w:jc w:val="center"/>
              <w:rPr>
                <w:rFonts w:hint="eastAsia" w:ascii="宋体" w:hAnsi="宋体" w:eastAsia="宋体" w:cs="宋体"/>
                <w:color w:val="000000"/>
                <w:kern w:val="0"/>
                <w:sz w:val="22"/>
                <w:szCs w:val="22"/>
                <w:u w:val="none"/>
              </w:rPr>
            </w:pPr>
            <w:r>
              <w:rPr>
                <w:rFonts w:hint="eastAsia" w:ascii="宋体" w:hAnsi="宋体" w:eastAsia="宋体" w:cs="宋体"/>
                <w:color w:val="000000"/>
                <w:kern w:val="0"/>
                <w:sz w:val="22"/>
                <w:szCs w:val="22"/>
                <w:u w:val="none"/>
              </w:rPr>
              <w:t>成本节约率（5分）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209" w:type="dxa"/>
            <w:vMerge w:val="restart"/>
            <w:shd w:val="clear" w:color="auto" w:fill="auto"/>
            <w:vAlign w:val="center"/>
          </w:tcPr>
          <w:p>
            <w:pPr>
              <w:widowControl/>
              <w:jc w:val="center"/>
              <w:rPr>
                <w:rFonts w:hint="eastAsia" w:ascii="宋体" w:hAnsi="宋体" w:eastAsia="宋体" w:cs="宋体"/>
                <w:color w:val="000000"/>
                <w:kern w:val="0"/>
                <w:sz w:val="22"/>
                <w:szCs w:val="22"/>
                <w:u w:val="none"/>
              </w:rPr>
            </w:pPr>
            <w:r>
              <w:rPr>
                <w:rFonts w:hint="eastAsia" w:ascii="宋体" w:hAnsi="宋体" w:eastAsia="宋体" w:cs="宋体"/>
                <w:color w:val="000000"/>
                <w:kern w:val="0"/>
                <w:sz w:val="22"/>
                <w:szCs w:val="22"/>
                <w:u w:val="none"/>
              </w:rPr>
              <w:t>效益</w:t>
            </w:r>
          </w:p>
          <w:p>
            <w:pPr>
              <w:widowControl/>
              <w:jc w:val="center"/>
              <w:rPr>
                <w:rFonts w:hint="eastAsia" w:ascii="宋体" w:hAnsi="宋体" w:eastAsia="宋体" w:cs="宋体"/>
                <w:color w:val="000000"/>
                <w:kern w:val="0"/>
                <w:sz w:val="22"/>
                <w:szCs w:val="22"/>
                <w:u w:val="none"/>
              </w:rPr>
            </w:pPr>
            <w:r>
              <w:rPr>
                <w:rFonts w:hint="eastAsia" w:ascii="宋体" w:hAnsi="宋体" w:eastAsia="宋体" w:cs="宋体"/>
                <w:color w:val="000000"/>
                <w:kern w:val="0"/>
                <w:sz w:val="22"/>
                <w:szCs w:val="22"/>
                <w:u w:val="none"/>
              </w:rPr>
              <w:t>（30分）</w:t>
            </w:r>
          </w:p>
        </w:tc>
        <w:tc>
          <w:tcPr>
            <w:tcW w:w="2381" w:type="dxa"/>
            <w:vMerge w:val="restart"/>
            <w:shd w:val="clear" w:color="auto" w:fill="auto"/>
            <w:vAlign w:val="center"/>
          </w:tcPr>
          <w:p>
            <w:pPr>
              <w:jc w:val="center"/>
              <w:rPr>
                <w:rFonts w:hint="eastAsia" w:ascii="宋体" w:hAnsi="宋体" w:eastAsia="宋体" w:cs="宋体"/>
                <w:color w:val="000000"/>
                <w:kern w:val="0"/>
                <w:sz w:val="22"/>
                <w:szCs w:val="22"/>
                <w:u w:val="none"/>
                <w:lang w:eastAsia="zh-CN"/>
              </w:rPr>
            </w:pPr>
            <w:r>
              <w:rPr>
                <w:rFonts w:hint="eastAsia" w:ascii="宋体" w:hAnsi="宋体" w:eastAsia="宋体" w:cs="宋体"/>
                <w:color w:val="000000"/>
                <w:kern w:val="0"/>
                <w:sz w:val="22"/>
                <w:szCs w:val="22"/>
                <w:u w:val="none"/>
              </w:rPr>
              <w:t>社会效益</w:t>
            </w:r>
            <w:r>
              <w:rPr>
                <w:rFonts w:hint="eastAsia" w:ascii="宋体" w:hAnsi="宋体" w:eastAsia="宋体" w:cs="宋体"/>
                <w:color w:val="000000"/>
                <w:kern w:val="0"/>
                <w:sz w:val="22"/>
                <w:szCs w:val="22"/>
                <w:u w:val="none"/>
                <w:lang w:eastAsia="zh-CN"/>
              </w:rPr>
              <w:t>（</w:t>
            </w:r>
            <w:r>
              <w:rPr>
                <w:rFonts w:hint="eastAsia" w:ascii="宋体" w:hAnsi="宋体" w:eastAsia="宋体" w:cs="宋体"/>
                <w:color w:val="000000"/>
                <w:kern w:val="0"/>
                <w:sz w:val="22"/>
                <w:szCs w:val="22"/>
                <w:u w:val="none"/>
                <w:lang w:val="en-US" w:eastAsia="zh-CN"/>
              </w:rPr>
              <w:t>7.5分</w:t>
            </w:r>
            <w:r>
              <w:rPr>
                <w:rFonts w:hint="eastAsia" w:ascii="宋体" w:hAnsi="宋体" w:eastAsia="宋体" w:cs="宋体"/>
                <w:color w:val="000000"/>
                <w:kern w:val="0"/>
                <w:sz w:val="22"/>
                <w:szCs w:val="22"/>
                <w:u w:val="none"/>
                <w:lang w:eastAsia="zh-CN"/>
              </w:rPr>
              <w:t>）</w:t>
            </w:r>
          </w:p>
        </w:tc>
        <w:tc>
          <w:tcPr>
            <w:tcW w:w="5013" w:type="dxa"/>
            <w:shd w:val="clear" w:color="auto" w:fill="auto"/>
            <w:vAlign w:val="center"/>
          </w:tcPr>
          <w:p>
            <w:pPr>
              <w:widowControl/>
              <w:jc w:val="center"/>
              <w:rPr>
                <w:rFonts w:hint="eastAsia" w:ascii="宋体" w:hAnsi="宋体" w:eastAsia="宋体" w:cs="宋体"/>
                <w:color w:val="000000"/>
                <w:kern w:val="0"/>
                <w:sz w:val="22"/>
                <w:szCs w:val="22"/>
                <w:u w:val="none"/>
              </w:rPr>
            </w:pPr>
            <w:r>
              <w:rPr>
                <w:rFonts w:hint="eastAsia" w:ascii="宋体" w:hAnsi="宋体" w:eastAsia="宋体" w:cs="宋体"/>
                <w:color w:val="000000"/>
                <w:kern w:val="0"/>
                <w:sz w:val="22"/>
                <w:szCs w:val="22"/>
                <w:u w:val="none"/>
              </w:rPr>
              <w:t>提升智慧城市建设的精细化管理水平（</w:t>
            </w:r>
            <w:r>
              <w:rPr>
                <w:rFonts w:hint="eastAsia" w:ascii="宋体" w:hAnsi="宋体" w:eastAsia="宋体" w:cs="宋体"/>
                <w:color w:val="000000"/>
                <w:kern w:val="0"/>
                <w:sz w:val="22"/>
                <w:szCs w:val="22"/>
                <w:u w:val="none"/>
                <w:lang w:val="en-US" w:eastAsia="zh-CN"/>
              </w:rPr>
              <w:t>2.5</w:t>
            </w:r>
            <w:r>
              <w:rPr>
                <w:rFonts w:hint="eastAsia" w:ascii="宋体" w:hAnsi="宋体" w:eastAsia="宋体" w:cs="宋体"/>
                <w:color w:val="000000"/>
                <w:kern w:val="0"/>
                <w:sz w:val="22"/>
                <w:szCs w:val="22"/>
                <w:u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209" w:type="dxa"/>
            <w:vMerge w:val="continue"/>
            <w:shd w:val="clear" w:color="auto" w:fill="auto"/>
            <w:vAlign w:val="center"/>
          </w:tcPr>
          <w:p>
            <w:pPr>
              <w:widowControl/>
              <w:jc w:val="center"/>
              <w:rPr>
                <w:rFonts w:hint="eastAsia" w:ascii="宋体" w:hAnsi="宋体" w:eastAsia="宋体" w:cs="宋体"/>
                <w:color w:val="000000"/>
                <w:kern w:val="0"/>
                <w:sz w:val="22"/>
                <w:szCs w:val="22"/>
                <w:u w:val="none"/>
              </w:rPr>
            </w:pPr>
          </w:p>
        </w:tc>
        <w:tc>
          <w:tcPr>
            <w:tcW w:w="2381" w:type="dxa"/>
            <w:vMerge w:val="continue"/>
            <w:shd w:val="clear" w:color="auto" w:fill="auto"/>
            <w:vAlign w:val="center"/>
          </w:tcPr>
          <w:p>
            <w:pPr>
              <w:jc w:val="center"/>
              <w:rPr>
                <w:rFonts w:hint="eastAsia" w:ascii="宋体" w:hAnsi="宋体" w:eastAsia="宋体" w:cs="宋体"/>
                <w:color w:val="000000"/>
                <w:kern w:val="0"/>
                <w:sz w:val="22"/>
                <w:szCs w:val="22"/>
                <w:u w:val="none"/>
              </w:rPr>
            </w:pPr>
          </w:p>
        </w:tc>
        <w:tc>
          <w:tcPr>
            <w:tcW w:w="5013" w:type="dxa"/>
            <w:shd w:val="clear" w:color="auto" w:fill="auto"/>
            <w:vAlign w:val="center"/>
          </w:tcPr>
          <w:p>
            <w:pPr>
              <w:widowControl/>
              <w:jc w:val="center"/>
              <w:rPr>
                <w:rFonts w:hint="eastAsia" w:ascii="宋体" w:hAnsi="宋体" w:eastAsia="宋体" w:cs="宋体"/>
                <w:color w:val="000000"/>
                <w:kern w:val="0"/>
                <w:sz w:val="22"/>
                <w:szCs w:val="22"/>
                <w:u w:val="none"/>
                <w:lang w:eastAsia="zh-CN"/>
              </w:rPr>
            </w:pPr>
            <w:r>
              <w:rPr>
                <w:rFonts w:hint="eastAsia" w:ascii="宋体" w:hAnsi="宋体" w:eastAsia="宋体" w:cs="宋体"/>
                <w:color w:val="000000"/>
                <w:kern w:val="0"/>
                <w:sz w:val="22"/>
                <w:szCs w:val="22"/>
                <w:u w:val="none"/>
                <w:lang w:eastAsia="zh-CN"/>
              </w:rPr>
              <w:t>有效规避重复建设，进一步推进工作协同与数据共享（</w:t>
            </w:r>
            <w:r>
              <w:rPr>
                <w:rFonts w:hint="eastAsia" w:ascii="宋体" w:hAnsi="宋体" w:eastAsia="宋体" w:cs="宋体"/>
                <w:color w:val="000000"/>
                <w:kern w:val="0"/>
                <w:sz w:val="22"/>
                <w:szCs w:val="22"/>
                <w:u w:val="none"/>
                <w:lang w:val="en-US" w:eastAsia="zh-CN"/>
              </w:rPr>
              <w:t>2.5分</w:t>
            </w:r>
            <w:r>
              <w:rPr>
                <w:rFonts w:hint="eastAsia" w:ascii="宋体" w:hAnsi="宋体" w:eastAsia="宋体" w:cs="宋体"/>
                <w:color w:val="000000"/>
                <w:kern w:val="0"/>
                <w:sz w:val="22"/>
                <w:szCs w:val="22"/>
                <w:u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3" w:hRule="atLeast"/>
          <w:jc w:val="center"/>
        </w:trPr>
        <w:tc>
          <w:tcPr>
            <w:tcW w:w="1209" w:type="dxa"/>
            <w:vMerge w:val="continue"/>
            <w:shd w:val="clear" w:color="auto" w:fill="auto"/>
            <w:vAlign w:val="center"/>
          </w:tcPr>
          <w:p>
            <w:pPr>
              <w:jc w:val="left"/>
              <w:rPr>
                <w:rFonts w:hint="eastAsia" w:ascii="宋体" w:hAnsi="宋体" w:eastAsia="宋体" w:cs="宋体"/>
                <w:color w:val="000000"/>
                <w:kern w:val="0"/>
                <w:sz w:val="22"/>
                <w:szCs w:val="22"/>
                <w:u w:val="none"/>
              </w:rPr>
            </w:pPr>
          </w:p>
        </w:tc>
        <w:tc>
          <w:tcPr>
            <w:tcW w:w="2381" w:type="dxa"/>
            <w:vMerge w:val="continue"/>
            <w:shd w:val="clear" w:color="auto" w:fill="auto"/>
            <w:vAlign w:val="center"/>
          </w:tcPr>
          <w:p>
            <w:pPr>
              <w:widowControl/>
              <w:jc w:val="center"/>
              <w:rPr>
                <w:rFonts w:hint="eastAsia" w:ascii="宋体" w:hAnsi="宋体" w:eastAsia="宋体" w:cs="宋体"/>
                <w:color w:val="000000"/>
                <w:kern w:val="0"/>
                <w:sz w:val="22"/>
                <w:szCs w:val="22"/>
                <w:u w:val="none"/>
                <w:lang w:eastAsia="zh-CN"/>
              </w:rPr>
            </w:pPr>
          </w:p>
        </w:tc>
        <w:tc>
          <w:tcPr>
            <w:tcW w:w="5013" w:type="dxa"/>
            <w:shd w:val="clear" w:color="auto" w:fill="auto"/>
            <w:vAlign w:val="center"/>
          </w:tcPr>
          <w:p>
            <w:pPr>
              <w:widowControl/>
              <w:jc w:val="center"/>
              <w:rPr>
                <w:rFonts w:hint="eastAsia" w:ascii="宋体" w:hAnsi="宋体" w:eastAsia="宋体" w:cs="宋体"/>
                <w:color w:val="000000"/>
                <w:kern w:val="0"/>
                <w:sz w:val="22"/>
                <w:szCs w:val="22"/>
                <w:u w:val="none"/>
                <w:lang w:eastAsia="zh-CN"/>
              </w:rPr>
            </w:pPr>
            <w:r>
              <w:rPr>
                <w:rFonts w:hint="eastAsia" w:ascii="宋体" w:hAnsi="宋体" w:eastAsia="宋体" w:cs="宋体"/>
                <w:color w:val="000000"/>
                <w:kern w:val="0"/>
                <w:sz w:val="22"/>
                <w:szCs w:val="22"/>
                <w:u w:val="none"/>
              </w:rPr>
              <w:t>有效提升智慧城市专项规划评审、顶层设计评审等工作的专业化水平</w:t>
            </w:r>
            <w:r>
              <w:rPr>
                <w:rFonts w:hint="eastAsia" w:ascii="宋体" w:hAnsi="宋体" w:eastAsia="宋体" w:cs="宋体"/>
                <w:color w:val="000000"/>
                <w:kern w:val="0"/>
                <w:sz w:val="22"/>
                <w:szCs w:val="22"/>
                <w:u w:val="none"/>
                <w:lang w:eastAsia="zh-CN"/>
              </w:rPr>
              <w:t>（</w:t>
            </w:r>
            <w:r>
              <w:rPr>
                <w:rFonts w:hint="eastAsia" w:ascii="宋体" w:hAnsi="宋体" w:eastAsia="宋体" w:cs="宋体"/>
                <w:color w:val="000000"/>
                <w:kern w:val="0"/>
                <w:sz w:val="22"/>
                <w:szCs w:val="22"/>
                <w:u w:val="none"/>
                <w:lang w:val="en-US" w:eastAsia="zh-CN"/>
              </w:rPr>
              <w:t>2.5分</w:t>
            </w:r>
            <w:r>
              <w:rPr>
                <w:rFonts w:hint="eastAsia" w:ascii="宋体" w:hAnsi="宋体" w:eastAsia="宋体" w:cs="宋体"/>
                <w:color w:val="000000"/>
                <w:kern w:val="0"/>
                <w:sz w:val="22"/>
                <w:szCs w:val="22"/>
                <w:u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209" w:type="dxa"/>
            <w:vMerge w:val="continue"/>
            <w:shd w:val="clear" w:color="auto" w:fill="auto"/>
            <w:vAlign w:val="center"/>
          </w:tcPr>
          <w:p>
            <w:pPr>
              <w:widowControl/>
              <w:jc w:val="left"/>
              <w:rPr>
                <w:rFonts w:hint="eastAsia" w:ascii="宋体" w:hAnsi="宋体" w:eastAsia="宋体" w:cs="宋体"/>
                <w:color w:val="000000"/>
                <w:kern w:val="0"/>
                <w:sz w:val="22"/>
                <w:szCs w:val="22"/>
                <w:u w:val="none"/>
              </w:rPr>
            </w:pPr>
          </w:p>
        </w:tc>
        <w:tc>
          <w:tcPr>
            <w:tcW w:w="2381" w:type="dxa"/>
            <w:shd w:val="clear" w:color="auto" w:fill="auto"/>
            <w:vAlign w:val="center"/>
          </w:tcPr>
          <w:p>
            <w:pPr>
              <w:widowControl/>
              <w:jc w:val="center"/>
              <w:rPr>
                <w:rFonts w:hint="eastAsia" w:ascii="宋体" w:hAnsi="宋体" w:eastAsia="宋体" w:cs="宋体"/>
                <w:color w:val="000000"/>
                <w:kern w:val="0"/>
                <w:sz w:val="22"/>
                <w:szCs w:val="22"/>
                <w:u w:val="none"/>
              </w:rPr>
            </w:pPr>
            <w:r>
              <w:rPr>
                <w:rFonts w:hint="eastAsia" w:ascii="宋体" w:hAnsi="宋体" w:eastAsia="宋体" w:cs="宋体"/>
                <w:color w:val="000000"/>
                <w:kern w:val="0"/>
                <w:sz w:val="22"/>
                <w:szCs w:val="22"/>
                <w:u w:val="none"/>
              </w:rPr>
              <w:t>可持续影响</w:t>
            </w:r>
            <w:r>
              <w:rPr>
                <w:rFonts w:hint="eastAsia" w:ascii="宋体" w:hAnsi="宋体" w:eastAsia="宋体" w:cs="宋体"/>
                <w:color w:val="000000"/>
                <w:kern w:val="0"/>
                <w:sz w:val="22"/>
                <w:szCs w:val="22"/>
                <w:u w:val="none"/>
                <w:lang w:eastAsia="zh-CN"/>
              </w:rPr>
              <w:t>（</w:t>
            </w:r>
            <w:r>
              <w:rPr>
                <w:rFonts w:hint="eastAsia" w:ascii="宋体" w:hAnsi="宋体" w:eastAsia="宋体" w:cs="宋体"/>
                <w:color w:val="000000"/>
                <w:kern w:val="0"/>
                <w:sz w:val="22"/>
                <w:szCs w:val="22"/>
                <w:u w:val="none"/>
                <w:lang w:val="en-US" w:eastAsia="zh-CN"/>
              </w:rPr>
              <w:t>2.5分</w:t>
            </w:r>
            <w:r>
              <w:rPr>
                <w:rFonts w:hint="eastAsia" w:ascii="宋体" w:hAnsi="宋体" w:eastAsia="宋体" w:cs="宋体"/>
                <w:color w:val="000000"/>
                <w:kern w:val="0"/>
                <w:sz w:val="22"/>
                <w:szCs w:val="22"/>
                <w:u w:val="none"/>
                <w:lang w:eastAsia="zh-CN"/>
              </w:rPr>
              <w:t>）</w:t>
            </w:r>
          </w:p>
        </w:tc>
        <w:tc>
          <w:tcPr>
            <w:tcW w:w="5013" w:type="dxa"/>
            <w:shd w:val="clear" w:color="auto" w:fill="auto"/>
            <w:vAlign w:val="center"/>
          </w:tcPr>
          <w:p>
            <w:pPr>
              <w:widowControl/>
              <w:jc w:val="center"/>
              <w:rPr>
                <w:rFonts w:hint="eastAsia" w:ascii="宋体" w:hAnsi="宋体" w:eastAsia="宋体" w:cs="宋体"/>
                <w:color w:val="000000"/>
                <w:kern w:val="0"/>
                <w:sz w:val="22"/>
                <w:szCs w:val="22"/>
                <w:u w:val="none"/>
                <w:lang w:eastAsia="zh-CN"/>
              </w:rPr>
            </w:pPr>
            <w:r>
              <w:rPr>
                <w:rFonts w:hint="eastAsia" w:ascii="宋体" w:hAnsi="宋体" w:eastAsia="宋体" w:cs="宋体"/>
                <w:color w:val="000000"/>
                <w:kern w:val="0"/>
                <w:sz w:val="22"/>
                <w:szCs w:val="22"/>
                <w:u w:val="none"/>
              </w:rPr>
              <w:t>协助建立持续迭代的四级智慧城市规划设计管控体系，高效统筹全市智慧城市建设</w:t>
            </w:r>
            <w:r>
              <w:rPr>
                <w:rFonts w:hint="eastAsia" w:ascii="宋体" w:hAnsi="宋体" w:eastAsia="宋体" w:cs="宋体"/>
                <w:color w:val="000000"/>
                <w:kern w:val="0"/>
                <w:sz w:val="22"/>
                <w:szCs w:val="22"/>
                <w:u w:val="none"/>
                <w:lang w:eastAsia="zh-CN"/>
              </w:rPr>
              <w:t>（</w:t>
            </w:r>
            <w:r>
              <w:rPr>
                <w:rFonts w:hint="eastAsia" w:ascii="宋体" w:hAnsi="宋体" w:eastAsia="宋体" w:cs="宋体"/>
                <w:color w:val="000000"/>
                <w:kern w:val="0"/>
                <w:sz w:val="22"/>
                <w:szCs w:val="22"/>
                <w:u w:val="none"/>
                <w:lang w:val="en-US" w:eastAsia="zh-CN"/>
              </w:rPr>
              <w:t>2.5分</w:t>
            </w:r>
            <w:r>
              <w:rPr>
                <w:rFonts w:hint="eastAsia" w:ascii="宋体" w:hAnsi="宋体" w:eastAsia="宋体" w:cs="宋体"/>
                <w:color w:val="000000"/>
                <w:kern w:val="0"/>
                <w:sz w:val="22"/>
                <w:szCs w:val="22"/>
                <w:u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209" w:type="dxa"/>
            <w:vMerge w:val="continue"/>
            <w:shd w:val="clear" w:color="auto" w:fill="auto"/>
            <w:vAlign w:val="center"/>
          </w:tcPr>
          <w:p>
            <w:pPr>
              <w:widowControl/>
              <w:jc w:val="left"/>
              <w:rPr>
                <w:rFonts w:hint="eastAsia" w:ascii="宋体" w:hAnsi="宋体" w:eastAsia="宋体" w:cs="宋体"/>
                <w:color w:val="000000"/>
                <w:kern w:val="0"/>
                <w:sz w:val="22"/>
                <w:szCs w:val="22"/>
                <w:u w:val="none"/>
              </w:rPr>
            </w:pPr>
          </w:p>
        </w:tc>
        <w:tc>
          <w:tcPr>
            <w:tcW w:w="2381" w:type="dxa"/>
            <w:vMerge w:val="restart"/>
            <w:shd w:val="clear" w:color="auto" w:fill="auto"/>
            <w:vAlign w:val="center"/>
          </w:tcPr>
          <w:p>
            <w:pPr>
              <w:widowControl/>
              <w:jc w:val="center"/>
              <w:rPr>
                <w:rFonts w:hint="eastAsia" w:ascii="宋体" w:hAnsi="宋体" w:eastAsia="宋体" w:cs="宋体"/>
                <w:color w:val="000000"/>
                <w:kern w:val="0"/>
                <w:sz w:val="22"/>
                <w:szCs w:val="22"/>
                <w:u w:val="none"/>
                <w:lang w:eastAsia="zh-CN"/>
              </w:rPr>
            </w:pPr>
            <w:r>
              <w:rPr>
                <w:rFonts w:hint="eastAsia" w:ascii="宋体" w:hAnsi="宋体" w:eastAsia="宋体" w:cs="宋体"/>
                <w:color w:val="000000"/>
                <w:kern w:val="0"/>
                <w:sz w:val="22"/>
                <w:szCs w:val="22"/>
                <w:u w:val="none"/>
              </w:rPr>
              <w:t>满意度</w:t>
            </w:r>
            <w:r>
              <w:rPr>
                <w:rFonts w:hint="eastAsia" w:ascii="宋体" w:hAnsi="宋体" w:eastAsia="宋体" w:cs="宋体"/>
                <w:color w:val="000000"/>
                <w:kern w:val="0"/>
                <w:sz w:val="22"/>
                <w:szCs w:val="22"/>
                <w:u w:val="none"/>
                <w:lang w:eastAsia="zh-CN"/>
              </w:rPr>
              <w:t>（</w:t>
            </w:r>
            <w:r>
              <w:rPr>
                <w:rFonts w:hint="eastAsia" w:ascii="宋体" w:hAnsi="宋体" w:eastAsia="宋体" w:cs="宋体"/>
                <w:color w:val="000000"/>
                <w:kern w:val="0"/>
                <w:sz w:val="22"/>
                <w:szCs w:val="22"/>
                <w:u w:val="none"/>
                <w:lang w:val="en-US" w:eastAsia="zh-CN"/>
              </w:rPr>
              <w:t>20分</w:t>
            </w:r>
            <w:r>
              <w:rPr>
                <w:rFonts w:hint="eastAsia" w:ascii="宋体" w:hAnsi="宋体" w:eastAsia="宋体" w:cs="宋体"/>
                <w:color w:val="000000"/>
                <w:kern w:val="0"/>
                <w:sz w:val="22"/>
                <w:szCs w:val="22"/>
                <w:u w:val="none"/>
                <w:lang w:eastAsia="zh-CN"/>
              </w:rPr>
              <w:t>）</w:t>
            </w:r>
          </w:p>
        </w:tc>
        <w:tc>
          <w:tcPr>
            <w:tcW w:w="5013" w:type="dxa"/>
            <w:shd w:val="clear" w:color="auto" w:fill="auto"/>
            <w:vAlign w:val="center"/>
          </w:tcPr>
          <w:p>
            <w:pPr>
              <w:widowControl/>
              <w:jc w:val="center"/>
              <w:rPr>
                <w:rFonts w:hint="eastAsia" w:ascii="宋体" w:hAnsi="宋体" w:eastAsia="宋体" w:cs="宋体"/>
                <w:color w:val="000000"/>
                <w:kern w:val="0"/>
                <w:sz w:val="22"/>
                <w:szCs w:val="22"/>
                <w:u w:val="none"/>
                <w:lang w:eastAsia="zh-CN"/>
              </w:rPr>
            </w:pPr>
            <w:r>
              <w:rPr>
                <w:rFonts w:hint="eastAsia" w:ascii="宋体" w:hAnsi="宋体" w:eastAsia="宋体" w:cs="宋体"/>
                <w:color w:val="000000"/>
                <w:kern w:val="0"/>
                <w:sz w:val="22"/>
                <w:szCs w:val="22"/>
                <w:u w:val="none"/>
              </w:rPr>
              <w:t>部门（领域）专项规划评估评价和区域规划备案支撑相关用户单位满意度</w:t>
            </w:r>
            <w:r>
              <w:rPr>
                <w:rFonts w:hint="eastAsia" w:ascii="宋体" w:hAnsi="宋体" w:eastAsia="宋体" w:cs="宋体"/>
                <w:color w:val="000000"/>
                <w:kern w:val="0"/>
                <w:sz w:val="22"/>
                <w:szCs w:val="22"/>
                <w:u w:val="none"/>
                <w:lang w:eastAsia="zh-CN"/>
              </w:rPr>
              <w:t>（</w:t>
            </w:r>
            <w:r>
              <w:rPr>
                <w:rFonts w:hint="eastAsia" w:ascii="宋体" w:hAnsi="宋体" w:eastAsia="宋体" w:cs="宋体"/>
                <w:color w:val="000000"/>
                <w:kern w:val="0"/>
                <w:sz w:val="22"/>
                <w:szCs w:val="22"/>
                <w:u w:val="none"/>
                <w:lang w:val="en-US" w:eastAsia="zh-CN"/>
              </w:rPr>
              <w:t>10分</w:t>
            </w:r>
            <w:r>
              <w:rPr>
                <w:rFonts w:hint="eastAsia" w:ascii="宋体" w:hAnsi="宋体" w:eastAsia="宋体" w:cs="宋体"/>
                <w:color w:val="000000"/>
                <w:kern w:val="0"/>
                <w:sz w:val="22"/>
                <w:szCs w:val="22"/>
                <w:u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209" w:type="dxa"/>
            <w:vMerge w:val="continue"/>
            <w:shd w:val="clear" w:color="auto" w:fill="auto"/>
            <w:vAlign w:val="center"/>
          </w:tcPr>
          <w:p>
            <w:pPr>
              <w:widowControl/>
              <w:jc w:val="left"/>
              <w:rPr>
                <w:rFonts w:hint="eastAsia" w:ascii="宋体" w:hAnsi="宋体" w:eastAsia="宋体" w:cs="宋体"/>
                <w:color w:val="000000"/>
                <w:kern w:val="0"/>
                <w:sz w:val="22"/>
                <w:szCs w:val="22"/>
                <w:u w:val="none"/>
              </w:rPr>
            </w:pPr>
          </w:p>
        </w:tc>
        <w:tc>
          <w:tcPr>
            <w:tcW w:w="2381" w:type="dxa"/>
            <w:vMerge w:val="continue"/>
            <w:shd w:val="clear" w:color="auto" w:fill="auto"/>
            <w:vAlign w:val="center"/>
          </w:tcPr>
          <w:p>
            <w:pPr>
              <w:widowControl/>
              <w:jc w:val="center"/>
              <w:rPr>
                <w:rFonts w:hint="eastAsia" w:ascii="宋体" w:hAnsi="宋体" w:eastAsia="宋体" w:cs="宋体"/>
                <w:color w:val="000000"/>
                <w:kern w:val="0"/>
                <w:sz w:val="22"/>
                <w:szCs w:val="22"/>
                <w:u w:val="none"/>
              </w:rPr>
            </w:pPr>
          </w:p>
        </w:tc>
        <w:tc>
          <w:tcPr>
            <w:tcW w:w="5013" w:type="dxa"/>
            <w:shd w:val="clear" w:color="auto" w:fill="auto"/>
            <w:vAlign w:val="center"/>
          </w:tcPr>
          <w:p>
            <w:pPr>
              <w:widowControl/>
              <w:jc w:val="center"/>
              <w:rPr>
                <w:rFonts w:hint="eastAsia" w:ascii="宋体" w:hAnsi="宋体" w:eastAsia="宋体" w:cs="宋体"/>
                <w:color w:val="000000"/>
                <w:kern w:val="0"/>
                <w:sz w:val="22"/>
                <w:szCs w:val="22"/>
                <w:u w:val="none"/>
                <w:lang w:eastAsia="zh-CN"/>
              </w:rPr>
            </w:pPr>
            <w:r>
              <w:rPr>
                <w:rFonts w:hint="eastAsia" w:ascii="宋体" w:hAnsi="宋体" w:eastAsia="宋体" w:cs="宋体"/>
                <w:color w:val="000000"/>
                <w:kern w:val="0"/>
                <w:sz w:val="22"/>
                <w:szCs w:val="22"/>
                <w:u w:val="none"/>
              </w:rPr>
              <w:t>部门（领域）顶层设计评估评价支撑相关用户单位满意度</w:t>
            </w:r>
            <w:r>
              <w:rPr>
                <w:rFonts w:hint="eastAsia" w:ascii="宋体" w:hAnsi="宋体" w:eastAsia="宋体" w:cs="宋体"/>
                <w:color w:val="000000"/>
                <w:kern w:val="0"/>
                <w:sz w:val="22"/>
                <w:szCs w:val="22"/>
                <w:u w:val="none"/>
                <w:lang w:eastAsia="zh-CN"/>
              </w:rPr>
              <w:t>（</w:t>
            </w:r>
            <w:r>
              <w:rPr>
                <w:rFonts w:hint="eastAsia" w:ascii="宋体" w:hAnsi="宋体" w:eastAsia="宋体" w:cs="宋体"/>
                <w:color w:val="000000"/>
                <w:kern w:val="0"/>
                <w:sz w:val="22"/>
                <w:szCs w:val="22"/>
                <w:u w:val="none"/>
                <w:lang w:val="en-US" w:eastAsia="zh-CN"/>
              </w:rPr>
              <w:t>10分</w:t>
            </w:r>
            <w:r>
              <w:rPr>
                <w:rFonts w:hint="eastAsia" w:ascii="宋体" w:hAnsi="宋体" w:eastAsia="宋体" w:cs="宋体"/>
                <w:color w:val="000000"/>
                <w:kern w:val="0"/>
                <w:sz w:val="22"/>
                <w:szCs w:val="22"/>
                <w:u w:val="none"/>
                <w:lang w:eastAsia="zh-CN"/>
              </w:rPr>
              <w:t>）</w:t>
            </w:r>
          </w:p>
        </w:tc>
      </w:tr>
    </w:tbl>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eastAsia" w:ascii="楷体_GB2312" w:hAnsi="楷体_GB2312" w:eastAsia="楷体_GB2312" w:cs="楷体_GB2312"/>
          <w:sz w:val="32"/>
          <w:szCs w:val="32"/>
        </w:rPr>
      </w:pPr>
      <w:bookmarkStart w:id="92" w:name="_Toc21968"/>
      <w:bookmarkStart w:id="93" w:name="_Toc24628"/>
      <w:r>
        <w:rPr>
          <w:rFonts w:hint="eastAsia" w:ascii="楷体_GB2312" w:hAnsi="楷体_GB2312" w:eastAsia="楷体_GB2312" w:cs="楷体_GB2312"/>
          <w:sz w:val="32"/>
          <w:szCs w:val="32"/>
          <w:lang w:val="en-US" w:eastAsia="zh-CN"/>
        </w:rPr>
        <w:t>（三）评价方法、评价标准</w:t>
      </w:r>
      <w:bookmarkEnd w:id="92"/>
      <w:bookmarkEnd w:id="93"/>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bCs/>
          <w:sz w:val="32"/>
          <w:szCs w:val="22"/>
        </w:rPr>
      </w:pPr>
      <w:r>
        <w:rPr>
          <w:rFonts w:hint="eastAsia" w:ascii="仿宋_GB2312" w:hAnsi="仿宋_GB2312" w:eastAsia="仿宋_GB2312" w:cs="仿宋_GB2312"/>
          <w:b/>
          <w:bCs/>
          <w:sz w:val="32"/>
          <w:szCs w:val="22"/>
          <w:lang w:val="en-US" w:eastAsia="zh-CN"/>
        </w:rPr>
        <w:t>1.</w:t>
      </w:r>
      <w:r>
        <w:rPr>
          <w:rFonts w:hint="eastAsia" w:ascii="仿宋_GB2312" w:hAnsi="仿宋_GB2312" w:eastAsia="仿宋_GB2312" w:cs="仿宋_GB2312"/>
          <w:b/>
          <w:bCs/>
          <w:sz w:val="32"/>
          <w:szCs w:val="22"/>
        </w:rPr>
        <w:t>评价方法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lang w:eastAsia="zh-CN"/>
        </w:rPr>
        <w:t>（</w:t>
      </w:r>
      <w:r>
        <w:rPr>
          <w:rFonts w:hint="eastAsia" w:ascii="仿宋_GB2312" w:hAnsi="仿宋_GB2312" w:eastAsia="仿宋_GB2312" w:cs="仿宋_GB2312"/>
          <w:sz w:val="32"/>
          <w:szCs w:val="22"/>
          <w:lang w:val="en-US" w:eastAsia="zh-CN"/>
        </w:rPr>
        <w:t>1</w:t>
      </w:r>
      <w:r>
        <w:rPr>
          <w:rFonts w:hint="eastAsia" w:ascii="仿宋_GB2312" w:hAnsi="仿宋_GB2312" w:eastAsia="仿宋_GB2312" w:cs="仿宋_GB2312"/>
          <w:sz w:val="32"/>
          <w:szCs w:val="22"/>
          <w:lang w:eastAsia="zh-CN"/>
        </w:rPr>
        <w:t>）</w:t>
      </w:r>
      <w:r>
        <w:rPr>
          <w:rFonts w:hint="eastAsia" w:ascii="仿宋_GB2312" w:hAnsi="仿宋_GB2312" w:eastAsia="仿宋_GB2312" w:cs="仿宋_GB2312"/>
          <w:sz w:val="32"/>
          <w:szCs w:val="22"/>
          <w:lang w:val="en-US" w:eastAsia="zh-CN"/>
        </w:rPr>
        <w:t>案卷</w:t>
      </w:r>
      <w:r>
        <w:rPr>
          <w:rFonts w:hint="eastAsia" w:ascii="仿宋_GB2312" w:hAnsi="仿宋_GB2312" w:eastAsia="仿宋_GB2312" w:cs="仿宋_GB2312"/>
          <w:sz w:val="32"/>
          <w:szCs w:val="22"/>
        </w:rPr>
        <w:t>分析法</w:t>
      </w:r>
      <w:r>
        <w:rPr>
          <w:rFonts w:hint="eastAsia"/>
          <w:lang w:eastAsia="zh-Hans"/>
        </w:rPr>
        <w:t>。</w:t>
      </w:r>
      <w:r>
        <w:rPr>
          <w:rFonts w:hint="eastAsia" w:ascii="仿宋_GB2312" w:hAnsi="仿宋_GB2312" w:eastAsia="仿宋_GB2312" w:cs="仿宋_GB2312"/>
          <w:sz w:val="32"/>
          <w:szCs w:val="22"/>
        </w:rPr>
        <w:t>查阅</w:t>
      </w:r>
      <w:r>
        <w:rPr>
          <w:rFonts w:hint="eastAsia" w:ascii="仿宋_GB2312" w:hAnsi="仿宋_GB2312" w:eastAsia="仿宋_GB2312" w:cs="仿宋_GB2312"/>
          <w:sz w:val="32"/>
          <w:szCs w:val="22"/>
          <w:highlight w:val="none"/>
        </w:rPr>
        <w:t>市经济和信息化局提供的相关资料，结合国家、北京市相关政策法规和计划等相关文件，</w:t>
      </w:r>
      <w:r>
        <w:rPr>
          <w:rFonts w:hint="eastAsia" w:ascii="仿宋_GB2312" w:hAnsi="仿宋_GB2312" w:eastAsia="仿宋_GB2312" w:cs="仿宋_GB2312"/>
          <w:sz w:val="32"/>
          <w:szCs w:val="22"/>
          <w:highlight w:val="none"/>
          <w:lang w:val="en-US" w:eastAsia="zh-CN"/>
        </w:rPr>
        <w:t>梳理</w:t>
      </w:r>
      <w:r>
        <w:rPr>
          <w:rFonts w:hint="eastAsia" w:ascii="仿宋_GB2312" w:hAnsi="仿宋_GB2312" w:eastAsia="仿宋_GB2312" w:cs="仿宋_GB2312"/>
          <w:sz w:val="32"/>
          <w:szCs w:val="22"/>
          <w:highlight w:val="none"/>
        </w:rPr>
        <w:t>项目立项依据、</w:t>
      </w:r>
      <w:r>
        <w:rPr>
          <w:rFonts w:hint="eastAsia" w:ascii="仿宋_GB2312" w:hAnsi="仿宋_GB2312" w:eastAsia="仿宋_GB2312" w:cs="仿宋_GB2312"/>
          <w:sz w:val="32"/>
          <w:szCs w:val="22"/>
          <w:highlight w:val="none"/>
          <w:lang w:val="en-US" w:eastAsia="zh-CN"/>
        </w:rPr>
        <w:t>决策流程</w:t>
      </w:r>
      <w:r>
        <w:rPr>
          <w:rFonts w:hint="eastAsia" w:ascii="仿宋_GB2312" w:hAnsi="仿宋_GB2312" w:eastAsia="仿宋_GB2312" w:cs="仿宋_GB2312"/>
          <w:sz w:val="32"/>
          <w:szCs w:val="22"/>
          <w:highlight w:val="none"/>
        </w:rPr>
        <w:t>、</w:t>
      </w:r>
      <w:r>
        <w:rPr>
          <w:rFonts w:hint="eastAsia" w:ascii="仿宋_GB2312" w:hAnsi="仿宋_GB2312" w:eastAsia="仿宋_GB2312" w:cs="仿宋_GB2312"/>
          <w:sz w:val="32"/>
          <w:szCs w:val="22"/>
          <w:highlight w:val="none"/>
          <w:lang w:val="en-US" w:eastAsia="zh-CN"/>
        </w:rPr>
        <w:t>资金使用</w:t>
      </w:r>
      <w:r>
        <w:rPr>
          <w:rFonts w:hint="eastAsia" w:ascii="仿宋_GB2312" w:hAnsi="仿宋_GB2312" w:eastAsia="仿宋_GB2312" w:cs="仿宋_GB2312"/>
          <w:sz w:val="32"/>
          <w:szCs w:val="22"/>
          <w:highlight w:val="none"/>
        </w:rPr>
        <w:t>、</w:t>
      </w:r>
      <w:r>
        <w:rPr>
          <w:rFonts w:hint="eastAsia" w:ascii="仿宋_GB2312" w:hAnsi="仿宋_GB2312" w:eastAsia="仿宋_GB2312" w:cs="仿宋_GB2312"/>
          <w:sz w:val="32"/>
          <w:szCs w:val="22"/>
          <w:highlight w:val="none"/>
          <w:lang w:val="en-US" w:eastAsia="zh-CN"/>
        </w:rPr>
        <w:t>过程</w:t>
      </w:r>
      <w:r>
        <w:rPr>
          <w:rFonts w:hint="eastAsia" w:ascii="仿宋_GB2312" w:hAnsi="仿宋_GB2312" w:eastAsia="仿宋_GB2312" w:cs="仿宋_GB2312"/>
          <w:sz w:val="32"/>
          <w:szCs w:val="22"/>
          <w:highlight w:val="none"/>
        </w:rPr>
        <w:t>管理及产出效益</w:t>
      </w:r>
      <w:r>
        <w:rPr>
          <w:rFonts w:hint="eastAsia" w:ascii="仿宋_GB2312" w:hAnsi="仿宋_GB2312" w:eastAsia="仿宋_GB2312" w:cs="仿宋_GB2312"/>
          <w:sz w:val="32"/>
          <w:szCs w:val="22"/>
          <w:highlight w:val="none"/>
          <w:lang w:val="en-US" w:eastAsia="zh-CN"/>
        </w:rPr>
        <w:t>等方面的关键内容</w:t>
      </w:r>
      <w:r>
        <w:rPr>
          <w:rFonts w:hint="eastAsia" w:ascii="仿宋_GB2312" w:hAnsi="仿宋_GB2312" w:eastAsia="仿宋_GB2312" w:cs="仿宋_GB2312"/>
          <w:sz w:val="32"/>
          <w:szCs w:val="22"/>
          <w:highlight w:val="none"/>
        </w:rPr>
        <w:t>，</w:t>
      </w:r>
      <w:r>
        <w:rPr>
          <w:rFonts w:hint="eastAsia"/>
          <w:lang w:val="en-US" w:eastAsia="zh-CN"/>
        </w:rPr>
        <w:t>明确</w:t>
      </w:r>
      <w:r>
        <w:rPr>
          <w:rFonts w:hint="eastAsia" w:ascii="仿宋_GB2312" w:hAnsi="仿宋_GB2312" w:eastAsia="仿宋_GB2312" w:cs="仿宋_GB2312"/>
          <w:sz w:val="32"/>
          <w:szCs w:val="22"/>
          <w:highlight w:val="none"/>
        </w:rPr>
        <w:t>项目问题并分析成因。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22"/>
        </w:rPr>
      </w:pPr>
      <w:r>
        <w:rPr>
          <w:rFonts w:hint="eastAsia" w:ascii="仿宋_GB2312" w:hAnsi="仿宋_GB2312" w:eastAsia="仿宋_GB2312" w:cs="仿宋_GB2312"/>
          <w:sz w:val="32"/>
          <w:szCs w:val="22"/>
          <w:lang w:eastAsia="zh-CN"/>
        </w:rPr>
        <w:t>（</w:t>
      </w:r>
      <w:r>
        <w:rPr>
          <w:rFonts w:hint="eastAsia" w:ascii="仿宋_GB2312" w:hAnsi="仿宋_GB2312" w:eastAsia="仿宋_GB2312" w:cs="仿宋_GB2312"/>
          <w:sz w:val="32"/>
          <w:szCs w:val="22"/>
          <w:lang w:val="en-US" w:eastAsia="zh-CN"/>
        </w:rPr>
        <w:t>2</w:t>
      </w:r>
      <w:r>
        <w:rPr>
          <w:rFonts w:hint="eastAsia" w:ascii="仿宋_GB2312" w:hAnsi="仿宋_GB2312" w:eastAsia="仿宋_GB2312" w:cs="仿宋_GB2312"/>
          <w:sz w:val="32"/>
          <w:szCs w:val="22"/>
          <w:lang w:eastAsia="zh-CN"/>
        </w:rPr>
        <w:t>）</w:t>
      </w:r>
      <w:r>
        <w:rPr>
          <w:rFonts w:hint="eastAsia" w:ascii="仿宋_GB2312" w:hAnsi="仿宋_GB2312" w:eastAsia="仿宋_GB2312" w:cs="仿宋_GB2312"/>
          <w:sz w:val="32"/>
          <w:szCs w:val="22"/>
        </w:rPr>
        <w:t>公众评判法</w:t>
      </w:r>
      <w:r>
        <w:rPr>
          <w:rFonts w:hint="eastAsia" w:ascii="仿宋_GB2312" w:hAnsi="仿宋_GB2312" w:eastAsia="仿宋_GB2312" w:cs="仿宋_GB2312"/>
          <w:sz w:val="32"/>
          <w:szCs w:val="22"/>
          <w:lang w:eastAsia="zh-Hans"/>
        </w:rPr>
        <w:t>。</w:t>
      </w:r>
      <w:r>
        <w:rPr>
          <w:rFonts w:hint="eastAsia" w:ascii="仿宋_GB2312" w:hAnsi="仿宋_GB2312" w:eastAsia="仿宋_GB2312" w:cs="仿宋_GB2312"/>
          <w:sz w:val="32"/>
          <w:szCs w:val="22"/>
        </w:rPr>
        <w:t>组织专家查阅相关资料</w:t>
      </w:r>
      <w:r>
        <w:rPr>
          <w:rFonts w:hint="eastAsia" w:ascii="仿宋_GB2312" w:hAnsi="仿宋_GB2312" w:eastAsia="仿宋_GB2312" w:cs="仿宋_GB2312"/>
          <w:sz w:val="32"/>
          <w:szCs w:val="22"/>
          <w:lang w:eastAsia="zh-Hans"/>
        </w:rPr>
        <w:t>，</w:t>
      </w:r>
      <w:r>
        <w:rPr>
          <w:rFonts w:hint="eastAsia" w:ascii="仿宋_GB2312" w:hAnsi="仿宋_GB2312" w:eastAsia="仿宋_GB2312" w:cs="仿宋_GB2312"/>
          <w:sz w:val="32"/>
          <w:szCs w:val="22"/>
          <w:lang w:val="en-US" w:eastAsia="zh-Hans"/>
        </w:rPr>
        <w:t>通过集中评议</w:t>
      </w:r>
      <w:r>
        <w:rPr>
          <w:rFonts w:hint="eastAsia" w:ascii="仿宋_GB2312" w:hAnsi="仿宋_GB2312" w:eastAsia="仿宋_GB2312" w:cs="仿宋_GB2312"/>
          <w:sz w:val="32"/>
          <w:szCs w:val="22"/>
        </w:rPr>
        <w:t>、听取情况介绍、质询等方法了解项目情况，</w:t>
      </w:r>
      <w:r>
        <w:rPr>
          <w:rFonts w:hint="eastAsia" w:ascii="仿宋_GB2312" w:hAnsi="仿宋_GB2312" w:eastAsia="仿宋_GB2312" w:cs="仿宋_GB2312"/>
          <w:sz w:val="32"/>
          <w:szCs w:val="22"/>
          <w:lang w:val="en-US" w:eastAsia="zh-Hans"/>
        </w:rPr>
        <w:t>集中讨论</w:t>
      </w:r>
      <w:r>
        <w:rPr>
          <w:rFonts w:hint="eastAsia" w:ascii="仿宋_GB2312" w:hAnsi="仿宋_GB2312" w:eastAsia="仿宋_GB2312" w:cs="仿宋_GB2312"/>
          <w:sz w:val="32"/>
          <w:szCs w:val="22"/>
        </w:rPr>
        <w:t>形成评价结论并提出建设性意见。</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bCs/>
          <w:sz w:val="32"/>
          <w:szCs w:val="22"/>
        </w:rPr>
      </w:pPr>
      <w:r>
        <w:rPr>
          <w:rFonts w:hint="eastAsia" w:ascii="仿宋_GB2312" w:hAnsi="仿宋_GB2312" w:eastAsia="仿宋_GB2312" w:cs="仿宋_GB2312"/>
          <w:b/>
          <w:bCs/>
          <w:sz w:val="32"/>
          <w:szCs w:val="22"/>
          <w:lang w:val="en-US" w:eastAsia="zh-CN"/>
        </w:rPr>
        <w:t>2.</w:t>
      </w:r>
      <w:r>
        <w:rPr>
          <w:rFonts w:hint="eastAsia" w:ascii="仿宋_GB2312" w:hAnsi="仿宋_GB2312" w:eastAsia="仿宋_GB2312" w:cs="仿宋_GB2312"/>
          <w:b/>
          <w:bCs/>
          <w:sz w:val="32"/>
          <w:szCs w:val="22"/>
        </w:rPr>
        <w:t>评价标准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22"/>
        </w:rPr>
      </w:pPr>
      <w:r>
        <w:rPr>
          <w:rFonts w:hint="eastAsia" w:ascii="仿宋_GB2312" w:hAnsi="仿宋_GB2312" w:eastAsia="仿宋_GB2312" w:cs="仿宋_GB2312"/>
          <w:sz w:val="32"/>
          <w:szCs w:val="22"/>
        </w:rPr>
        <w:t>评价工作组</w:t>
      </w:r>
      <w:r>
        <w:rPr>
          <w:rFonts w:hint="eastAsia" w:ascii="仿宋_GB2312" w:hAnsi="仿宋_GB2312" w:eastAsia="仿宋_GB2312" w:cs="仿宋_GB2312"/>
          <w:sz w:val="32"/>
          <w:szCs w:val="22"/>
          <w:lang w:val="en-US" w:eastAsia="zh-Hans"/>
        </w:rPr>
        <w:t>根据</w:t>
      </w:r>
      <w:r>
        <w:rPr>
          <w:rFonts w:hint="eastAsia" w:ascii="仿宋_GB2312" w:hAnsi="仿宋_GB2312" w:eastAsia="仿宋_GB2312" w:cs="仿宋_GB2312"/>
          <w:sz w:val="32"/>
          <w:szCs w:val="22"/>
        </w:rPr>
        <w:t>评价指标体系，参考历史数据及绩效评价等级要求确定评分标准，</w:t>
      </w:r>
      <w:r>
        <w:rPr>
          <w:rFonts w:hint="eastAsia" w:ascii="仿宋_GB2312" w:hAnsi="仿宋_GB2312" w:eastAsia="仿宋_GB2312" w:cs="仿宋_GB2312"/>
          <w:sz w:val="32"/>
          <w:szCs w:val="22"/>
          <w:highlight w:val="none"/>
        </w:rPr>
        <w:t>对智慧城市规划和顶层设计管控体系服务支撑项目的</w:t>
      </w:r>
      <w:r>
        <w:rPr>
          <w:rFonts w:hint="eastAsia" w:ascii="仿宋_GB2312" w:hAnsi="仿宋_GB2312" w:eastAsia="仿宋_GB2312" w:cs="仿宋_GB2312"/>
          <w:sz w:val="32"/>
          <w:szCs w:val="22"/>
        </w:rPr>
        <w:t>决策、过程、产出、效益情况进行综合评判。绩效评价结果采取评分和评级相结合的方式，具体分值和等级可根据不同评价内容设定。</w:t>
      </w:r>
      <w:r>
        <w:rPr>
          <w:rFonts w:hint="eastAsia" w:ascii="仿宋_GB2312" w:hAnsi="仿宋_GB2312" w:eastAsia="仿宋_GB2312" w:cs="仿宋_GB2312"/>
          <w:sz w:val="32"/>
          <w:szCs w:val="22"/>
          <w:lang w:val="en-US" w:eastAsia="zh-Hans"/>
        </w:rPr>
        <w:t>本次绩效评价</w:t>
      </w:r>
      <w:r>
        <w:rPr>
          <w:rFonts w:hint="eastAsia" w:ascii="仿宋_GB2312" w:hAnsi="仿宋_GB2312" w:eastAsia="仿宋_GB2312" w:cs="仿宋_GB2312"/>
          <w:sz w:val="32"/>
          <w:szCs w:val="22"/>
        </w:rPr>
        <w:t>总分100分，等级划分为4档：90（含）-100分为优、80（含）-90分为良、60（含）-80分为中、60分以下为差。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eastAsia" w:ascii="楷体_GB2312" w:hAnsi="楷体_GB2312" w:eastAsia="楷体_GB2312" w:cs="楷体_GB2312"/>
          <w:sz w:val="32"/>
          <w:szCs w:val="32"/>
        </w:rPr>
      </w:pPr>
      <w:bookmarkStart w:id="94" w:name="_Toc36129071"/>
      <w:bookmarkStart w:id="95" w:name="_Toc5750"/>
      <w:bookmarkStart w:id="96" w:name="_Toc23601"/>
      <w:bookmarkStart w:id="97" w:name="_Toc30662"/>
      <w:bookmarkStart w:id="98" w:name="_Toc11813"/>
      <w:bookmarkStart w:id="99" w:name="_Toc30996"/>
      <w:bookmarkStart w:id="100" w:name="_Toc31405"/>
      <w:bookmarkStart w:id="101" w:name="_Toc7858"/>
      <w:bookmarkStart w:id="102" w:name="_Toc17498"/>
      <w:bookmarkStart w:id="103" w:name="_Toc8099"/>
      <w:bookmarkStart w:id="104" w:name="_Toc16441"/>
      <w:bookmarkStart w:id="105" w:name="_Toc32576"/>
      <w:bookmarkStart w:id="106" w:name="_Toc35420694"/>
      <w:bookmarkStart w:id="107" w:name="_Toc24601"/>
      <w:bookmarkStart w:id="108" w:name="_Toc22352"/>
      <w:bookmarkStart w:id="109" w:name="_Toc23425"/>
      <w:bookmarkStart w:id="110" w:name="_Toc26650"/>
      <w:r>
        <w:rPr>
          <w:rFonts w:hint="eastAsia" w:ascii="楷体_GB2312" w:hAnsi="楷体_GB2312" w:eastAsia="楷体_GB2312" w:cs="楷体_GB2312"/>
          <w:sz w:val="32"/>
          <w:szCs w:val="32"/>
        </w:rPr>
        <w:t>（</w:t>
      </w:r>
      <w:r>
        <w:rPr>
          <w:rFonts w:hint="eastAsia" w:ascii="楷体_GB2312" w:hAnsi="楷体_GB2312" w:eastAsia="楷体_GB2312" w:cs="楷体_GB2312"/>
          <w:sz w:val="32"/>
          <w:szCs w:val="32"/>
          <w:lang w:eastAsia="zh-CN"/>
        </w:rPr>
        <w:t>四</w:t>
      </w:r>
      <w:r>
        <w:rPr>
          <w:rFonts w:hint="eastAsia" w:ascii="楷体_GB2312" w:hAnsi="楷体_GB2312" w:eastAsia="楷体_GB2312" w:cs="楷体_GB2312"/>
          <w:sz w:val="32"/>
          <w:szCs w:val="32"/>
        </w:rPr>
        <w:t>）绩效评价工作过程</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bCs/>
          <w:sz w:val="32"/>
          <w:szCs w:val="22"/>
          <w:u w:val="none"/>
        </w:rPr>
      </w:pPr>
      <w:bookmarkStart w:id="111" w:name="_Toc35420695"/>
      <w:r>
        <w:rPr>
          <w:rFonts w:hint="eastAsia" w:ascii="仿宋_GB2312" w:hAnsi="仿宋_GB2312" w:eastAsia="仿宋_GB2312" w:cs="仿宋_GB2312"/>
          <w:b/>
          <w:bCs/>
          <w:sz w:val="32"/>
          <w:szCs w:val="22"/>
          <w:u w:val="none"/>
        </w:rPr>
        <w:t>1.前期准备情况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22"/>
          <w:highlight w:val="none"/>
          <w:u w:val="none"/>
        </w:rPr>
      </w:pPr>
      <w:r>
        <w:rPr>
          <w:rFonts w:hint="eastAsia" w:ascii="仿宋_GB2312" w:hAnsi="仿宋_GB2312" w:eastAsia="仿宋_GB2312" w:cs="仿宋_GB2312"/>
          <w:sz w:val="32"/>
          <w:szCs w:val="22"/>
          <w:u w:val="none"/>
        </w:rPr>
        <w:t>评价工作组于评价前期</w:t>
      </w:r>
      <w:r>
        <w:rPr>
          <w:rFonts w:hint="eastAsia" w:ascii="仿宋_GB2312" w:hAnsi="仿宋_GB2312" w:eastAsia="仿宋_GB2312" w:cs="仿宋_GB2312"/>
          <w:sz w:val="32"/>
          <w:szCs w:val="22"/>
          <w:u w:val="none"/>
          <w:lang w:val="en-US" w:eastAsia="zh-Hans"/>
        </w:rPr>
        <w:t>组织</w:t>
      </w:r>
      <w:r>
        <w:rPr>
          <w:rFonts w:hint="eastAsia" w:ascii="仿宋_GB2312" w:hAnsi="仿宋_GB2312" w:eastAsia="仿宋_GB2312" w:cs="仿宋_GB2312"/>
          <w:sz w:val="32"/>
          <w:szCs w:val="22"/>
          <w:u w:val="none"/>
        </w:rPr>
        <w:t>内部研讨及培训，制定评价实施方案，并与</w:t>
      </w:r>
      <w:r>
        <w:rPr>
          <w:rFonts w:hint="eastAsia" w:ascii="仿宋_GB2312" w:hAnsi="仿宋_GB2312" w:eastAsia="仿宋_GB2312" w:cs="仿宋_GB2312"/>
          <w:sz w:val="32"/>
          <w:szCs w:val="22"/>
          <w:highlight w:val="none"/>
          <w:u w:val="none"/>
        </w:rPr>
        <w:t>市经济和信息化局建立了沟通协调工作机制。</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bCs/>
          <w:sz w:val="32"/>
          <w:szCs w:val="22"/>
          <w:u w:val="none"/>
        </w:rPr>
      </w:pPr>
      <w:r>
        <w:rPr>
          <w:rFonts w:hint="eastAsia" w:ascii="仿宋_GB2312" w:hAnsi="仿宋_GB2312" w:eastAsia="仿宋_GB2312" w:cs="仿宋_GB2312"/>
          <w:b/>
          <w:bCs/>
          <w:sz w:val="32"/>
          <w:szCs w:val="22"/>
          <w:u w:val="none"/>
        </w:rPr>
        <w:t>2.项目资料审核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22"/>
          <w:u w:val="none"/>
        </w:rPr>
      </w:pPr>
      <w:r>
        <w:rPr>
          <w:rFonts w:hint="eastAsia" w:ascii="仿宋_GB2312" w:hAnsi="仿宋_GB2312" w:eastAsia="仿宋_GB2312" w:cs="仿宋_GB2312"/>
          <w:sz w:val="32"/>
          <w:szCs w:val="22"/>
          <w:u w:val="none"/>
        </w:rPr>
        <w:t>收集和整理项目相关资料，初步了解项目特点和预期目标，</w:t>
      </w:r>
      <w:r>
        <w:rPr>
          <w:rFonts w:hint="eastAsia" w:ascii="仿宋_GB2312" w:hAnsi="仿宋_GB2312" w:eastAsia="仿宋_GB2312" w:cs="仿宋_GB2312"/>
          <w:sz w:val="32"/>
          <w:szCs w:val="22"/>
          <w:u w:val="none"/>
          <w:lang w:val="en-US" w:eastAsia="zh-Hans"/>
        </w:rPr>
        <w:t>审核反映</w:t>
      </w:r>
      <w:r>
        <w:rPr>
          <w:rFonts w:hint="eastAsia" w:ascii="仿宋_GB2312" w:hAnsi="仿宋_GB2312" w:eastAsia="仿宋_GB2312" w:cs="仿宋_GB2312"/>
          <w:sz w:val="32"/>
          <w:szCs w:val="22"/>
          <w:u w:val="none"/>
        </w:rPr>
        <w:t>项目完成情况和资金使用</w:t>
      </w:r>
      <w:r>
        <w:rPr>
          <w:rFonts w:hint="eastAsia" w:ascii="仿宋_GB2312" w:hAnsi="仿宋_GB2312" w:eastAsia="仿宋_GB2312" w:cs="仿宋_GB2312"/>
          <w:sz w:val="32"/>
          <w:szCs w:val="22"/>
          <w:u w:val="none"/>
          <w:lang w:val="en-US" w:eastAsia="zh-Hans"/>
        </w:rPr>
        <w:t>情况的资料</w:t>
      </w:r>
      <w:r>
        <w:rPr>
          <w:rFonts w:hint="eastAsia" w:ascii="仿宋_GB2312" w:hAnsi="仿宋_GB2312" w:eastAsia="仿宋_GB2312" w:cs="仿宋_GB2312"/>
          <w:sz w:val="32"/>
          <w:szCs w:val="22"/>
          <w:u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bCs/>
          <w:sz w:val="32"/>
          <w:szCs w:val="22"/>
          <w:u w:val="none"/>
        </w:rPr>
      </w:pPr>
      <w:r>
        <w:rPr>
          <w:rFonts w:hint="eastAsia" w:ascii="仿宋_GB2312" w:hAnsi="仿宋_GB2312" w:eastAsia="仿宋_GB2312" w:cs="仿宋_GB2312"/>
          <w:b/>
          <w:bCs/>
          <w:sz w:val="32"/>
          <w:szCs w:val="22"/>
          <w:u w:val="none"/>
          <w:lang w:val="en-US" w:eastAsia="zh-CN"/>
        </w:rPr>
        <w:t>3</w:t>
      </w:r>
      <w:r>
        <w:rPr>
          <w:rFonts w:hint="eastAsia" w:ascii="仿宋_GB2312" w:hAnsi="仿宋_GB2312" w:eastAsia="仿宋_GB2312" w:cs="仿宋_GB2312"/>
          <w:b/>
          <w:bCs/>
          <w:sz w:val="32"/>
          <w:szCs w:val="22"/>
          <w:u w:val="none"/>
        </w:rPr>
        <w:t>.专家评价会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22"/>
          <w:u w:val="none"/>
        </w:rPr>
      </w:pPr>
      <w:r>
        <w:rPr>
          <w:rFonts w:hint="eastAsia" w:ascii="仿宋_GB2312" w:hAnsi="仿宋_GB2312" w:eastAsia="仿宋_GB2312" w:cs="仿宋_GB2312"/>
          <w:sz w:val="32"/>
          <w:szCs w:val="22"/>
          <w:u w:val="none"/>
        </w:rPr>
        <w:t>结合专家</w:t>
      </w:r>
      <w:r>
        <w:rPr>
          <w:rFonts w:hint="eastAsia" w:ascii="仿宋_GB2312" w:hAnsi="仿宋_GB2312" w:eastAsia="仿宋_GB2312" w:cs="仿宋_GB2312"/>
          <w:sz w:val="32"/>
          <w:szCs w:val="22"/>
          <w:u w:val="none"/>
          <w:lang w:val="en-US" w:eastAsia="zh-CN"/>
        </w:rPr>
        <w:t>反馈</w:t>
      </w:r>
      <w:r>
        <w:rPr>
          <w:rFonts w:hint="eastAsia" w:ascii="仿宋_GB2312" w:hAnsi="仿宋_GB2312" w:eastAsia="仿宋_GB2312" w:cs="仿宋_GB2312"/>
          <w:sz w:val="32"/>
          <w:szCs w:val="22"/>
          <w:u w:val="none"/>
        </w:rPr>
        <w:t>意见</w:t>
      </w:r>
      <w:r>
        <w:rPr>
          <w:rFonts w:hint="eastAsia" w:ascii="仿宋_GB2312" w:hAnsi="仿宋_GB2312" w:eastAsia="仿宋_GB2312" w:cs="仿宋_GB2312"/>
          <w:sz w:val="32"/>
          <w:szCs w:val="22"/>
          <w:u w:val="none"/>
          <w:lang w:val="en-US" w:eastAsia="zh-CN"/>
        </w:rPr>
        <w:t>以及</w:t>
      </w:r>
      <w:r>
        <w:rPr>
          <w:rFonts w:hint="eastAsia" w:ascii="仿宋_GB2312" w:hAnsi="仿宋_GB2312" w:eastAsia="仿宋_GB2312" w:cs="仿宋_GB2312"/>
          <w:sz w:val="32"/>
          <w:szCs w:val="22"/>
          <w:u w:val="none"/>
        </w:rPr>
        <w:t>项目单位补充资料情况，评价工作</w:t>
      </w:r>
      <w:r>
        <w:rPr>
          <w:rFonts w:hint="eastAsia" w:ascii="仿宋_GB2312" w:hAnsi="仿宋_GB2312" w:eastAsia="仿宋_GB2312" w:cs="仿宋_GB2312"/>
          <w:sz w:val="32"/>
          <w:szCs w:val="22"/>
          <w:highlight w:val="none"/>
          <w:u w:val="none"/>
        </w:rPr>
        <w:t>组于202</w:t>
      </w:r>
      <w:r>
        <w:rPr>
          <w:rFonts w:hint="eastAsia" w:ascii="仿宋_GB2312" w:hAnsi="仿宋_GB2312" w:eastAsia="仿宋_GB2312" w:cs="仿宋_GB2312"/>
          <w:sz w:val="32"/>
          <w:szCs w:val="22"/>
          <w:highlight w:val="none"/>
          <w:u w:val="none"/>
          <w:lang w:val="en-US" w:eastAsia="zh-CN"/>
        </w:rPr>
        <w:t>3</w:t>
      </w:r>
      <w:r>
        <w:rPr>
          <w:rFonts w:hint="eastAsia" w:ascii="仿宋_GB2312" w:hAnsi="仿宋_GB2312" w:eastAsia="仿宋_GB2312" w:cs="仿宋_GB2312"/>
          <w:sz w:val="32"/>
          <w:szCs w:val="22"/>
          <w:highlight w:val="none"/>
          <w:u w:val="none"/>
        </w:rPr>
        <w:t>年5月</w:t>
      </w:r>
      <w:r>
        <w:rPr>
          <w:rFonts w:hint="eastAsia" w:ascii="仿宋_GB2312" w:hAnsi="仿宋_GB2312" w:eastAsia="仿宋_GB2312" w:cs="仿宋_GB2312"/>
          <w:sz w:val="32"/>
          <w:szCs w:val="22"/>
          <w:highlight w:val="none"/>
          <w:u w:val="none"/>
          <w:lang w:val="en-US" w:eastAsia="zh-CN"/>
        </w:rPr>
        <w:t>6</w:t>
      </w:r>
      <w:r>
        <w:rPr>
          <w:rFonts w:hint="eastAsia" w:ascii="仿宋_GB2312" w:hAnsi="仿宋_GB2312" w:eastAsia="仿宋_GB2312" w:cs="仿宋_GB2312"/>
          <w:sz w:val="32"/>
          <w:szCs w:val="22"/>
          <w:highlight w:val="none"/>
          <w:u w:val="none"/>
        </w:rPr>
        <w:t>日组织召开了专家评价会</w:t>
      </w:r>
      <w:r>
        <w:rPr>
          <w:rFonts w:hint="eastAsia" w:ascii="仿宋_GB2312" w:hAnsi="仿宋_GB2312" w:eastAsia="仿宋_GB2312" w:cs="仿宋_GB2312"/>
          <w:sz w:val="32"/>
          <w:szCs w:val="22"/>
          <w:highlight w:val="none"/>
          <w:u w:val="none"/>
          <w:lang w:eastAsia="zh-Hans"/>
        </w:rPr>
        <w:t>。</w:t>
      </w:r>
      <w:r>
        <w:rPr>
          <w:rFonts w:hint="eastAsia" w:ascii="仿宋_GB2312" w:hAnsi="仿宋_GB2312" w:eastAsia="仿宋_GB2312" w:cs="仿宋_GB2312"/>
          <w:sz w:val="32"/>
          <w:szCs w:val="22"/>
          <w:highlight w:val="none"/>
          <w:u w:val="none"/>
          <w:lang w:val="en-US" w:eastAsia="zh-Hans"/>
        </w:rPr>
        <w:t>会上，</w:t>
      </w:r>
      <w:r>
        <w:rPr>
          <w:rFonts w:hint="eastAsia" w:ascii="仿宋_GB2312" w:hAnsi="仿宋_GB2312" w:eastAsia="仿宋_GB2312" w:cs="仿宋_GB2312"/>
          <w:sz w:val="32"/>
          <w:szCs w:val="22"/>
          <w:highlight w:val="none"/>
          <w:u w:val="none"/>
        </w:rPr>
        <w:t>专家</w:t>
      </w:r>
      <w:r>
        <w:rPr>
          <w:rFonts w:hint="eastAsia" w:ascii="仿宋_GB2312" w:hAnsi="仿宋_GB2312" w:eastAsia="仿宋_GB2312" w:cs="仿宋_GB2312"/>
          <w:sz w:val="32"/>
          <w:szCs w:val="22"/>
          <w:highlight w:val="none"/>
          <w:u w:val="none"/>
          <w:lang w:val="en-US" w:eastAsia="zh-Hans"/>
        </w:rPr>
        <w:t>组</w:t>
      </w:r>
      <w:r>
        <w:rPr>
          <w:rFonts w:hint="eastAsia" w:ascii="仿宋_GB2312" w:hAnsi="仿宋_GB2312" w:eastAsia="仿宋_GB2312" w:cs="仿宋_GB2312"/>
          <w:sz w:val="32"/>
          <w:szCs w:val="22"/>
          <w:highlight w:val="none"/>
          <w:u w:val="none"/>
        </w:rPr>
        <w:t>就项目审核中发现的问题</w:t>
      </w:r>
      <w:r>
        <w:rPr>
          <w:rFonts w:hint="eastAsia" w:ascii="仿宋_GB2312" w:hAnsi="仿宋_GB2312" w:eastAsia="仿宋_GB2312" w:cs="仿宋_GB2312"/>
          <w:sz w:val="32"/>
          <w:szCs w:val="22"/>
          <w:highlight w:val="none"/>
          <w:u w:val="none"/>
          <w:lang w:val="en-US" w:eastAsia="zh-Hans"/>
        </w:rPr>
        <w:t>与</w:t>
      </w:r>
      <w:r>
        <w:rPr>
          <w:rFonts w:hint="eastAsia" w:ascii="仿宋_GB2312" w:hAnsi="仿宋_GB2312" w:eastAsia="仿宋_GB2312" w:cs="仿宋_GB2312"/>
          <w:sz w:val="32"/>
          <w:szCs w:val="22"/>
          <w:highlight w:val="none"/>
          <w:u w:val="none"/>
        </w:rPr>
        <w:t>项目单位进行问询，项目单位就问题进行解答</w:t>
      </w:r>
      <w:r>
        <w:rPr>
          <w:rFonts w:hint="eastAsia" w:ascii="仿宋_GB2312" w:hAnsi="仿宋_GB2312" w:eastAsia="仿宋_GB2312" w:cs="仿宋_GB2312"/>
          <w:sz w:val="32"/>
          <w:szCs w:val="22"/>
          <w:highlight w:val="none"/>
          <w:u w:val="none"/>
          <w:lang w:eastAsia="zh-Hans"/>
        </w:rPr>
        <w:t>。</w:t>
      </w:r>
      <w:r>
        <w:rPr>
          <w:rFonts w:hint="eastAsia" w:ascii="仿宋_GB2312" w:hAnsi="仿宋_GB2312" w:eastAsia="仿宋_GB2312" w:cs="仿宋_GB2312"/>
          <w:sz w:val="32"/>
          <w:szCs w:val="22"/>
          <w:highlight w:val="none"/>
          <w:u w:val="none"/>
        </w:rPr>
        <w:t>经充分讨论后，</w:t>
      </w:r>
      <w:r>
        <w:rPr>
          <w:rFonts w:hint="eastAsia" w:ascii="仿宋_GB2312" w:hAnsi="仿宋_GB2312" w:eastAsia="仿宋_GB2312" w:cs="仿宋_GB2312"/>
          <w:sz w:val="32"/>
          <w:szCs w:val="22"/>
          <w:highlight w:val="none"/>
          <w:u w:val="none"/>
          <w:lang w:val="en-US" w:eastAsia="zh-Hans"/>
        </w:rPr>
        <w:t>专家独立出具个人评价意见，讨论形成</w:t>
      </w:r>
      <w:r>
        <w:rPr>
          <w:rFonts w:hint="eastAsia" w:ascii="仿宋_GB2312" w:hAnsi="仿宋_GB2312" w:eastAsia="仿宋_GB2312" w:cs="仿宋_GB2312"/>
          <w:sz w:val="32"/>
          <w:szCs w:val="22"/>
          <w:u w:val="none"/>
        </w:rPr>
        <w:t>专家组评价</w:t>
      </w:r>
      <w:r>
        <w:rPr>
          <w:rFonts w:hint="eastAsia" w:ascii="仿宋_GB2312" w:hAnsi="仿宋_GB2312" w:eastAsia="仿宋_GB2312" w:cs="仿宋_GB2312"/>
          <w:sz w:val="32"/>
          <w:szCs w:val="22"/>
          <w:u w:val="none"/>
          <w:lang w:val="en-US" w:eastAsia="zh-Hans"/>
        </w:rPr>
        <w:t>结论</w:t>
      </w:r>
      <w:r>
        <w:rPr>
          <w:rFonts w:hint="eastAsia" w:ascii="仿宋_GB2312" w:hAnsi="仿宋_GB2312" w:eastAsia="仿宋_GB2312" w:cs="仿宋_GB2312"/>
          <w:sz w:val="32"/>
          <w:szCs w:val="22"/>
          <w:u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bCs/>
          <w:sz w:val="32"/>
          <w:szCs w:val="22"/>
          <w:u w:val="none"/>
        </w:rPr>
      </w:pPr>
      <w:r>
        <w:rPr>
          <w:rFonts w:hint="eastAsia" w:ascii="仿宋_GB2312" w:hAnsi="仿宋_GB2312" w:eastAsia="仿宋_GB2312" w:cs="仿宋_GB2312"/>
          <w:b/>
          <w:bCs/>
          <w:sz w:val="32"/>
          <w:szCs w:val="22"/>
          <w:u w:val="none"/>
          <w:lang w:val="en-US" w:eastAsia="zh-CN"/>
        </w:rPr>
        <w:t>4</w:t>
      </w:r>
      <w:r>
        <w:rPr>
          <w:rFonts w:hint="eastAsia" w:ascii="仿宋_GB2312" w:hAnsi="仿宋_GB2312" w:eastAsia="仿宋_GB2312" w:cs="仿宋_GB2312"/>
          <w:b/>
          <w:bCs/>
          <w:sz w:val="32"/>
          <w:szCs w:val="22"/>
          <w:u w:val="none"/>
        </w:rPr>
        <w:t>.撰写绩效评价报告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_GB2312" w:eastAsia="仿宋_GB2312" w:cs="仿宋_GB2312"/>
          <w:sz w:val="32"/>
          <w:szCs w:val="22"/>
          <w:u w:val="none"/>
        </w:rPr>
        <w:t>评价工作组根据专家评价意见，完成绩效评价报告初稿撰写，与市经济和信息化局及项目单位沟通后，形成最终评价报告。</w:t>
      </w:r>
      <w:bookmarkEnd w:id="111"/>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0"/>
        <w:rPr>
          <w:rFonts w:hint="default" w:eastAsia="黑体"/>
          <w:sz w:val="32"/>
          <w:szCs w:val="32"/>
          <w:lang w:val="en-US" w:eastAsia="zh-CN"/>
        </w:rPr>
      </w:pPr>
      <w:bookmarkStart w:id="112" w:name="_Toc18422"/>
      <w:r>
        <w:rPr>
          <w:rFonts w:hint="eastAsia" w:eastAsia="黑体"/>
          <w:sz w:val="32"/>
          <w:szCs w:val="32"/>
          <w:lang w:val="en-US" w:eastAsia="zh-CN"/>
        </w:rPr>
        <w:t>三</w:t>
      </w:r>
      <w:r>
        <w:rPr>
          <w:rFonts w:hint="default" w:eastAsia="黑体"/>
          <w:sz w:val="32"/>
          <w:szCs w:val="32"/>
          <w:lang w:val="en-US" w:eastAsia="zh-CN"/>
        </w:rPr>
        <w:t>、综合评价情况及评价结论</w:t>
      </w:r>
      <w:bookmarkEnd w:id="112"/>
    </w:p>
    <w:p>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heme="minorBidi"/>
          <w:kern w:val="2"/>
          <w:sz w:val="32"/>
          <w:szCs w:val="32"/>
          <w:highlight w:val="none"/>
          <w:u w:val="none"/>
          <w:lang w:val="en-US" w:eastAsia="zh-CN" w:bidi="ar-SA"/>
        </w:rPr>
      </w:pPr>
      <w:r>
        <w:rPr>
          <w:rFonts w:hint="eastAsia" w:ascii="仿宋_GB2312" w:hAnsi="宋体" w:eastAsia="仿宋_GB2312" w:cstheme="minorBidi"/>
          <w:kern w:val="2"/>
          <w:sz w:val="32"/>
          <w:szCs w:val="32"/>
          <w:highlight w:val="none"/>
          <w:u w:val="none"/>
          <w:lang w:val="en-US" w:eastAsia="zh-CN" w:bidi="ar-SA"/>
        </w:rPr>
        <w:t>截至评价日，项目共计完成51份评估报告，其中，部门（领域）智慧城市专项规划、区域规划备案评估报告21份；部门（领域）顶层设计评估报告30份。协助建设年度项目储备库1个。</w:t>
      </w:r>
      <w:r>
        <w:rPr>
          <w:rFonts w:hint="eastAsia" w:ascii="仿宋_GB2312" w:hAnsi="宋体" w:eastAsia="仿宋_GB2312"/>
          <w:b w:val="0"/>
          <w:bCs w:val="0"/>
          <w:sz w:val="32"/>
          <w:szCs w:val="32"/>
        </w:rPr>
        <w:t>通过项目实施可有效提升智慧城市专项规划评审、顶层设计评审等相关工作的专业化水平，支撑市级政务部门规划和顶层设计审查、重大应用项目实施后评估等相关工作。</w:t>
      </w:r>
    </w:p>
    <w:p>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kern w:val="2"/>
          <w:sz w:val="28"/>
          <w:szCs w:val="28"/>
          <w:highlight w:val="none"/>
          <w:u w:val="none"/>
          <w:lang w:val="en-US" w:eastAsia="zh-CN" w:bidi="ar-SA"/>
        </w:rPr>
      </w:pPr>
      <w:r>
        <w:rPr>
          <w:rFonts w:hint="eastAsia" w:ascii="仿宋_GB2312" w:hAnsi="宋体" w:eastAsia="仿宋_GB2312" w:cstheme="minorBidi"/>
          <w:kern w:val="2"/>
          <w:sz w:val="32"/>
          <w:szCs w:val="32"/>
          <w:highlight w:val="none"/>
          <w:u w:val="none"/>
          <w:lang w:val="en-US" w:eastAsia="zh-CN" w:bidi="ar-SA"/>
        </w:rPr>
        <w:t>但本次评价发现，项目绩效指标设置、预算编制及过程管理等方面仍需进一步完善。根据绩效评价指标体系，综合对项目决策、过程、产出、效益四个方面进行评价，2022年度项目绩效评价综合得分82.66分，绩效评定结论为“良”，具体得分情况详见表4。</w:t>
      </w:r>
    </w:p>
    <w:p>
      <w:pPr>
        <w:pStyle w:val="4"/>
        <w:spacing w:line="560" w:lineRule="exact"/>
        <w:ind w:firstLine="0" w:firstLineChars="0"/>
        <w:jc w:val="center"/>
        <w:rPr>
          <w:rFonts w:hint="eastAsia" w:ascii="黑体" w:hAnsi="黑体" w:eastAsia="黑体" w:cs="黑体"/>
          <w:kern w:val="2"/>
          <w:sz w:val="28"/>
          <w:szCs w:val="28"/>
          <w:u w:val="none"/>
          <w:lang w:val="en-US" w:eastAsia="zh-CN" w:bidi="ar-SA"/>
        </w:rPr>
      </w:pPr>
      <w:r>
        <w:rPr>
          <w:rFonts w:hint="eastAsia" w:ascii="黑体" w:hAnsi="黑体" w:eastAsia="黑体" w:cs="黑体"/>
          <w:kern w:val="2"/>
          <w:sz w:val="28"/>
          <w:szCs w:val="28"/>
          <w:u w:val="none"/>
          <w:lang w:val="en-US" w:eastAsia="zh-CN" w:bidi="ar-SA"/>
        </w:rPr>
        <w:t>表4 综合绩效评价得分情况表</w:t>
      </w:r>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9"/>
        <w:gridCol w:w="2131"/>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5" w:hRule="atLeast"/>
          <w:tblHeader/>
          <w:jc w:val="center"/>
        </w:trPr>
        <w:tc>
          <w:tcPr>
            <w:tcW w:w="2129" w:type="dxa"/>
            <w:shd w:val="clear" w:color="auto" w:fill="96B4E1" w:themeFill="background1" w:themeFillShade="BF"/>
            <w:vAlign w:val="center"/>
          </w:tcPr>
          <w:p>
            <w:pPr>
              <w:adjustRightInd w:val="0"/>
              <w:snapToGrid w:val="0"/>
              <w:jc w:val="center"/>
              <w:rPr>
                <w:rFonts w:hint="eastAsia" w:ascii="宋体" w:hAnsi="宋体" w:eastAsia="宋体" w:cs="宋体"/>
                <w:b/>
                <w:bCs/>
                <w:sz w:val="22"/>
                <w:szCs w:val="22"/>
              </w:rPr>
            </w:pPr>
            <w:r>
              <w:rPr>
                <w:rFonts w:hint="eastAsia" w:ascii="宋体" w:hAnsi="宋体" w:eastAsia="宋体" w:cs="宋体"/>
                <w:b/>
                <w:bCs/>
                <w:sz w:val="22"/>
                <w:szCs w:val="22"/>
              </w:rPr>
              <w:t>评价内容</w:t>
            </w:r>
          </w:p>
        </w:tc>
        <w:tc>
          <w:tcPr>
            <w:tcW w:w="2131" w:type="dxa"/>
            <w:shd w:val="clear" w:color="auto" w:fill="96B4E1" w:themeFill="background1" w:themeFillShade="BF"/>
            <w:vAlign w:val="center"/>
          </w:tcPr>
          <w:p>
            <w:pPr>
              <w:adjustRightInd w:val="0"/>
              <w:snapToGrid w:val="0"/>
              <w:jc w:val="center"/>
              <w:rPr>
                <w:rFonts w:hint="eastAsia" w:ascii="宋体" w:hAnsi="宋体" w:eastAsia="宋体" w:cs="宋体"/>
                <w:b/>
                <w:bCs/>
                <w:sz w:val="22"/>
                <w:szCs w:val="22"/>
              </w:rPr>
            </w:pPr>
            <w:bookmarkStart w:id="113" w:name="_Toc29424"/>
            <w:r>
              <w:rPr>
                <w:rFonts w:hint="eastAsia" w:ascii="宋体" w:hAnsi="宋体" w:eastAsia="宋体" w:cs="宋体"/>
                <w:b/>
                <w:bCs/>
                <w:sz w:val="22"/>
                <w:szCs w:val="22"/>
              </w:rPr>
              <w:t>分值</w:t>
            </w:r>
            <w:bookmarkEnd w:id="113"/>
          </w:p>
        </w:tc>
        <w:tc>
          <w:tcPr>
            <w:tcW w:w="2131" w:type="dxa"/>
            <w:shd w:val="clear" w:color="auto" w:fill="96B4E1" w:themeFill="background1" w:themeFillShade="BF"/>
            <w:vAlign w:val="center"/>
          </w:tcPr>
          <w:p>
            <w:pPr>
              <w:adjustRightInd w:val="0"/>
              <w:snapToGrid w:val="0"/>
              <w:jc w:val="center"/>
              <w:rPr>
                <w:rFonts w:hint="eastAsia" w:ascii="宋体" w:hAnsi="宋体" w:eastAsia="宋体" w:cs="宋体"/>
                <w:b/>
                <w:bCs/>
                <w:sz w:val="22"/>
                <w:szCs w:val="22"/>
              </w:rPr>
            </w:pPr>
            <w:bookmarkStart w:id="114" w:name="_Toc28362"/>
            <w:r>
              <w:rPr>
                <w:rFonts w:hint="eastAsia" w:ascii="宋体" w:hAnsi="宋体" w:eastAsia="宋体" w:cs="宋体"/>
                <w:b/>
                <w:bCs/>
                <w:sz w:val="22"/>
                <w:szCs w:val="22"/>
              </w:rPr>
              <w:t>评价得分</w:t>
            </w:r>
            <w:bookmarkEnd w:id="114"/>
          </w:p>
        </w:tc>
        <w:tc>
          <w:tcPr>
            <w:tcW w:w="2131" w:type="dxa"/>
            <w:shd w:val="clear" w:color="auto" w:fill="96B4E1" w:themeFill="background1" w:themeFillShade="BF"/>
            <w:vAlign w:val="center"/>
          </w:tcPr>
          <w:p>
            <w:pPr>
              <w:adjustRightInd w:val="0"/>
              <w:snapToGrid w:val="0"/>
              <w:jc w:val="center"/>
              <w:rPr>
                <w:rFonts w:hint="eastAsia" w:ascii="宋体" w:hAnsi="宋体" w:eastAsia="宋体" w:cs="宋体"/>
                <w:b/>
                <w:bCs/>
                <w:sz w:val="22"/>
                <w:szCs w:val="22"/>
              </w:rPr>
            </w:pPr>
            <w:bookmarkStart w:id="115" w:name="_Toc26796"/>
            <w:r>
              <w:rPr>
                <w:rFonts w:hint="eastAsia" w:ascii="宋体" w:hAnsi="宋体" w:eastAsia="宋体" w:cs="宋体"/>
                <w:b/>
                <w:bCs/>
                <w:sz w:val="22"/>
                <w:szCs w:val="22"/>
              </w:rPr>
              <w:t>得分率</w:t>
            </w:r>
            <w:bookmarkEnd w:id="11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0" w:hRule="atLeast"/>
          <w:jc w:val="center"/>
        </w:trPr>
        <w:tc>
          <w:tcPr>
            <w:tcW w:w="2129" w:type="dxa"/>
            <w:vAlign w:val="center"/>
          </w:tcPr>
          <w:p>
            <w:pPr>
              <w:adjustRightInd w:val="0"/>
              <w:snapToGrid w:val="0"/>
              <w:jc w:val="center"/>
              <w:rPr>
                <w:rFonts w:hint="eastAsia" w:ascii="宋体" w:hAnsi="宋体" w:eastAsia="宋体" w:cs="宋体"/>
                <w:sz w:val="22"/>
                <w:szCs w:val="22"/>
              </w:rPr>
            </w:pPr>
            <w:bookmarkStart w:id="116" w:name="_Toc10659"/>
            <w:r>
              <w:rPr>
                <w:rFonts w:hint="eastAsia" w:ascii="宋体" w:hAnsi="宋体" w:eastAsia="宋体" w:cs="宋体"/>
                <w:sz w:val="22"/>
                <w:szCs w:val="22"/>
              </w:rPr>
              <w:t>决策</w:t>
            </w:r>
            <w:bookmarkEnd w:id="116"/>
          </w:p>
        </w:tc>
        <w:tc>
          <w:tcPr>
            <w:tcW w:w="2131" w:type="dxa"/>
            <w:vAlign w:val="center"/>
          </w:tcPr>
          <w:p>
            <w:pPr>
              <w:adjustRightInd w:val="0"/>
              <w:snapToGrid w:val="0"/>
              <w:jc w:val="center"/>
              <w:rPr>
                <w:rFonts w:hint="eastAsia" w:ascii="宋体" w:hAnsi="宋体" w:eastAsia="宋体" w:cs="宋体"/>
                <w:sz w:val="22"/>
                <w:szCs w:val="22"/>
              </w:rPr>
            </w:pPr>
            <w:r>
              <w:rPr>
                <w:rFonts w:hint="eastAsia" w:ascii="宋体" w:hAnsi="宋体" w:eastAsia="宋体" w:cs="宋体"/>
                <w:sz w:val="22"/>
                <w:szCs w:val="22"/>
                <w:lang w:val="en-US" w:eastAsia="zh-CN"/>
              </w:rPr>
              <w:t>20</w:t>
            </w:r>
            <w:r>
              <w:rPr>
                <w:rFonts w:hint="eastAsia" w:ascii="宋体" w:hAnsi="宋体" w:eastAsia="宋体" w:cs="宋体"/>
                <w:sz w:val="22"/>
                <w:szCs w:val="22"/>
              </w:rPr>
              <w:t>.00</w:t>
            </w:r>
          </w:p>
        </w:tc>
        <w:tc>
          <w:tcPr>
            <w:tcW w:w="2131" w:type="dxa"/>
            <w:vAlign w:val="center"/>
          </w:tcPr>
          <w:p>
            <w:pPr>
              <w:adjustRightInd w:val="0"/>
              <w:snapToGrid w:val="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17.06</w:t>
            </w:r>
          </w:p>
        </w:tc>
        <w:tc>
          <w:tcPr>
            <w:tcW w:w="2131" w:type="dxa"/>
            <w:vAlign w:val="center"/>
          </w:tcPr>
          <w:p>
            <w:pPr>
              <w:adjustRightInd w:val="0"/>
              <w:snapToGrid w:val="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85.30%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2129" w:type="dxa"/>
            <w:vAlign w:val="center"/>
          </w:tcPr>
          <w:p>
            <w:pPr>
              <w:adjustRightInd w:val="0"/>
              <w:snapToGrid w:val="0"/>
              <w:jc w:val="center"/>
              <w:rPr>
                <w:rFonts w:hint="eastAsia" w:ascii="宋体" w:hAnsi="宋体" w:eastAsia="宋体" w:cs="宋体"/>
                <w:sz w:val="22"/>
                <w:szCs w:val="22"/>
              </w:rPr>
            </w:pPr>
            <w:bookmarkStart w:id="117" w:name="_Toc21448"/>
            <w:r>
              <w:rPr>
                <w:rFonts w:hint="eastAsia" w:ascii="宋体" w:hAnsi="宋体" w:eastAsia="宋体" w:cs="宋体"/>
                <w:sz w:val="22"/>
                <w:szCs w:val="22"/>
              </w:rPr>
              <w:t>过程</w:t>
            </w:r>
            <w:bookmarkEnd w:id="117"/>
          </w:p>
        </w:tc>
        <w:tc>
          <w:tcPr>
            <w:tcW w:w="2131" w:type="dxa"/>
            <w:vAlign w:val="center"/>
          </w:tcPr>
          <w:p>
            <w:pPr>
              <w:adjustRightInd w:val="0"/>
              <w:snapToGrid w:val="0"/>
              <w:jc w:val="center"/>
              <w:rPr>
                <w:rFonts w:hint="eastAsia" w:ascii="宋体" w:hAnsi="宋体" w:eastAsia="宋体" w:cs="宋体"/>
                <w:sz w:val="22"/>
                <w:szCs w:val="22"/>
              </w:rPr>
            </w:pPr>
            <w:r>
              <w:rPr>
                <w:rFonts w:hint="eastAsia" w:ascii="宋体" w:hAnsi="宋体" w:eastAsia="宋体" w:cs="宋体"/>
                <w:sz w:val="22"/>
                <w:szCs w:val="22"/>
                <w:lang w:val="en-US" w:eastAsia="zh-CN"/>
              </w:rPr>
              <w:t>20</w:t>
            </w:r>
            <w:r>
              <w:rPr>
                <w:rFonts w:hint="eastAsia" w:ascii="宋体" w:hAnsi="宋体" w:eastAsia="宋体" w:cs="宋体"/>
                <w:sz w:val="22"/>
                <w:szCs w:val="22"/>
              </w:rPr>
              <w:t>.00</w:t>
            </w:r>
          </w:p>
        </w:tc>
        <w:tc>
          <w:tcPr>
            <w:tcW w:w="2131" w:type="dxa"/>
            <w:vAlign w:val="center"/>
          </w:tcPr>
          <w:p>
            <w:pPr>
              <w:adjustRightInd w:val="0"/>
              <w:snapToGrid w:val="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16.70</w:t>
            </w:r>
          </w:p>
        </w:tc>
        <w:tc>
          <w:tcPr>
            <w:tcW w:w="2131" w:type="dxa"/>
            <w:vAlign w:val="center"/>
          </w:tcPr>
          <w:p>
            <w:pPr>
              <w:adjustRightInd w:val="0"/>
              <w:snapToGrid w:val="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83.50%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0" w:hRule="atLeast"/>
          <w:jc w:val="center"/>
        </w:trPr>
        <w:tc>
          <w:tcPr>
            <w:tcW w:w="2129" w:type="dxa"/>
            <w:vAlign w:val="center"/>
          </w:tcPr>
          <w:p>
            <w:pPr>
              <w:adjustRightInd w:val="0"/>
              <w:snapToGrid w:val="0"/>
              <w:jc w:val="center"/>
              <w:rPr>
                <w:rFonts w:hint="eastAsia" w:ascii="宋体" w:hAnsi="宋体" w:eastAsia="宋体" w:cs="宋体"/>
                <w:sz w:val="22"/>
                <w:szCs w:val="22"/>
              </w:rPr>
            </w:pPr>
            <w:bookmarkStart w:id="118" w:name="_Toc14619"/>
            <w:r>
              <w:rPr>
                <w:rFonts w:hint="eastAsia" w:ascii="宋体" w:hAnsi="宋体" w:eastAsia="宋体" w:cs="宋体"/>
                <w:sz w:val="22"/>
                <w:szCs w:val="22"/>
              </w:rPr>
              <w:t>产出</w:t>
            </w:r>
            <w:bookmarkEnd w:id="118"/>
          </w:p>
        </w:tc>
        <w:tc>
          <w:tcPr>
            <w:tcW w:w="2131" w:type="dxa"/>
            <w:vAlign w:val="center"/>
          </w:tcPr>
          <w:p>
            <w:pPr>
              <w:adjustRightInd w:val="0"/>
              <w:snapToGrid w:val="0"/>
              <w:jc w:val="center"/>
              <w:rPr>
                <w:rFonts w:hint="eastAsia" w:ascii="宋体" w:hAnsi="宋体" w:eastAsia="宋体" w:cs="宋体"/>
                <w:sz w:val="22"/>
                <w:szCs w:val="22"/>
              </w:rPr>
            </w:pPr>
            <w:r>
              <w:rPr>
                <w:rFonts w:hint="eastAsia" w:ascii="宋体" w:hAnsi="宋体" w:eastAsia="宋体" w:cs="宋体"/>
                <w:sz w:val="22"/>
                <w:szCs w:val="22"/>
                <w:lang w:val="en-US" w:eastAsia="zh-CN"/>
              </w:rPr>
              <w:t>30</w:t>
            </w:r>
            <w:r>
              <w:rPr>
                <w:rFonts w:hint="eastAsia" w:ascii="宋体" w:hAnsi="宋体" w:eastAsia="宋体" w:cs="宋体"/>
                <w:sz w:val="22"/>
                <w:szCs w:val="22"/>
              </w:rPr>
              <w:t>.00</w:t>
            </w:r>
          </w:p>
        </w:tc>
        <w:tc>
          <w:tcPr>
            <w:tcW w:w="2131" w:type="dxa"/>
            <w:vAlign w:val="center"/>
          </w:tcPr>
          <w:p>
            <w:pPr>
              <w:adjustRightInd w:val="0"/>
              <w:snapToGrid w:val="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25.80</w:t>
            </w:r>
          </w:p>
        </w:tc>
        <w:tc>
          <w:tcPr>
            <w:tcW w:w="2131" w:type="dxa"/>
            <w:vAlign w:val="center"/>
          </w:tcPr>
          <w:p>
            <w:pPr>
              <w:adjustRightInd w:val="0"/>
              <w:snapToGrid w:val="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86.00%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00" w:hRule="atLeast"/>
          <w:jc w:val="center"/>
        </w:trPr>
        <w:tc>
          <w:tcPr>
            <w:tcW w:w="2129" w:type="dxa"/>
            <w:vAlign w:val="center"/>
          </w:tcPr>
          <w:p>
            <w:pPr>
              <w:adjustRightInd w:val="0"/>
              <w:snapToGrid w:val="0"/>
              <w:jc w:val="center"/>
              <w:rPr>
                <w:rFonts w:hint="eastAsia" w:ascii="宋体" w:hAnsi="宋体" w:eastAsia="宋体" w:cs="宋体"/>
                <w:sz w:val="22"/>
                <w:szCs w:val="22"/>
              </w:rPr>
            </w:pPr>
            <w:bookmarkStart w:id="119" w:name="_Toc18420"/>
            <w:r>
              <w:rPr>
                <w:rFonts w:hint="eastAsia" w:ascii="宋体" w:hAnsi="宋体" w:eastAsia="宋体" w:cs="宋体"/>
                <w:sz w:val="22"/>
                <w:szCs w:val="22"/>
              </w:rPr>
              <w:t>效益</w:t>
            </w:r>
            <w:bookmarkEnd w:id="119"/>
          </w:p>
        </w:tc>
        <w:tc>
          <w:tcPr>
            <w:tcW w:w="2131" w:type="dxa"/>
            <w:vAlign w:val="center"/>
          </w:tcPr>
          <w:p>
            <w:pPr>
              <w:adjustRightInd w:val="0"/>
              <w:snapToGrid w:val="0"/>
              <w:jc w:val="center"/>
              <w:rPr>
                <w:rFonts w:hint="eastAsia" w:ascii="宋体" w:hAnsi="宋体" w:eastAsia="宋体" w:cs="宋体"/>
                <w:sz w:val="22"/>
                <w:szCs w:val="22"/>
              </w:rPr>
            </w:pPr>
            <w:bookmarkStart w:id="120" w:name="_Toc26919"/>
            <w:r>
              <w:rPr>
                <w:rFonts w:hint="eastAsia" w:ascii="宋体" w:hAnsi="宋体" w:eastAsia="宋体" w:cs="宋体"/>
                <w:sz w:val="22"/>
                <w:szCs w:val="22"/>
              </w:rPr>
              <w:t>30</w:t>
            </w:r>
            <w:bookmarkEnd w:id="120"/>
            <w:r>
              <w:rPr>
                <w:rFonts w:hint="eastAsia" w:ascii="宋体" w:hAnsi="宋体" w:eastAsia="宋体" w:cs="宋体"/>
                <w:sz w:val="22"/>
                <w:szCs w:val="22"/>
              </w:rPr>
              <w:t>.00</w:t>
            </w:r>
          </w:p>
        </w:tc>
        <w:tc>
          <w:tcPr>
            <w:tcW w:w="2131" w:type="dxa"/>
            <w:vAlign w:val="center"/>
          </w:tcPr>
          <w:p>
            <w:pPr>
              <w:adjustRightInd w:val="0"/>
              <w:snapToGrid w:val="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23.10</w:t>
            </w:r>
          </w:p>
        </w:tc>
        <w:tc>
          <w:tcPr>
            <w:tcW w:w="2131" w:type="dxa"/>
            <w:vAlign w:val="center"/>
          </w:tcPr>
          <w:p>
            <w:pPr>
              <w:adjustRightInd w:val="0"/>
              <w:snapToGrid w:val="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77.00%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0" w:hRule="atLeast"/>
          <w:jc w:val="center"/>
        </w:trPr>
        <w:tc>
          <w:tcPr>
            <w:tcW w:w="2129" w:type="dxa"/>
            <w:vAlign w:val="center"/>
          </w:tcPr>
          <w:p>
            <w:pPr>
              <w:adjustRightInd w:val="0"/>
              <w:snapToGrid w:val="0"/>
              <w:jc w:val="center"/>
              <w:rPr>
                <w:rFonts w:hint="eastAsia" w:ascii="宋体" w:hAnsi="宋体" w:eastAsia="宋体" w:cs="宋体"/>
                <w:b/>
                <w:bCs/>
                <w:sz w:val="22"/>
                <w:szCs w:val="22"/>
              </w:rPr>
            </w:pPr>
            <w:bookmarkStart w:id="121" w:name="_Toc5915"/>
            <w:r>
              <w:rPr>
                <w:rFonts w:hint="eastAsia" w:ascii="宋体" w:hAnsi="宋体" w:eastAsia="宋体" w:cs="宋体"/>
                <w:b/>
                <w:bCs/>
                <w:sz w:val="22"/>
                <w:szCs w:val="22"/>
              </w:rPr>
              <w:t>合计</w:t>
            </w:r>
            <w:bookmarkEnd w:id="121"/>
          </w:p>
        </w:tc>
        <w:tc>
          <w:tcPr>
            <w:tcW w:w="2131" w:type="dxa"/>
            <w:vAlign w:val="center"/>
          </w:tcPr>
          <w:p>
            <w:pPr>
              <w:adjustRightInd w:val="0"/>
              <w:snapToGrid w:val="0"/>
              <w:jc w:val="center"/>
              <w:rPr>
                <w:rFonts w:hint="eastAsia" w:ascii="宋体" w:hAnsi="宋体" w:eastAsia="宋体" w:cs="宋体"/>
                <w:b/>
                <w:bCs/>
                <w:sz w:val="22"/>
                <w:szCs w:val="22"/>
              </w:rPr>
            </w:pPr>
            <w:bookmarkStart w:id="122" w:name="_Toc12909"/>
            <w:r>
              <w:rPr>
                <w:rFonts w:hint="eastAsia" w:ascii="宋体" w:hAnsi="宋体" w:eastAsia="宋体" w:cs="宋体"/>
                <w:b/>
                <w:bCs/>
                <w:sz w:val="22"/>
                <w:szCs w:val="22"/>
              </w:rPr>
              <w:t>100</w:t>
            </w:r>
            <w:bookmarkEnd w:id="122"/>
            <w:r>
              <w:rPr>
                <w:rFonts w:hint="eastAsia" w:ascii="宋体" w:hAnsi="宋体" w:eastAsia="宋体" w:cs="宋体"/>
                <w:b/>
                <w:bCs/>
                <w:sz w:val="22"/>
                <w:szCs w:val="22"/>
              </w:rPr>
              <w:t>.00</w:t>
            </w:r>
          </w:p>
        </w:tc>
        <w:tc>
          <w:tcPr>
            <w:tcW w:w="2131" w:type="dxa"/>
            <w:vAlign w:val="center"/>
          </w:tcPr>
          <w:p>
            <w:pPr>
              <w:adjustRightInd w:val="0"/>
              <w:snapToGrid w:val="0"/>
              <w:jc w:val="center"/>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t>82.66</w:t>
            </w:r>
          </w:p>
        </w:tc>
        <w:tc>
          <w:tcPr>
            <w:tcW w:w="2131" w:type="dxa"/>
            <w:vAlign w:val="center"/>
          </w:tcPr>
          <w:p>
            <w:pPr>
              <w:adjustRightInd w:val="0"/>
              <w:snapToGrid w:val="0"/>
              <w:jc w:val="center"/>
              <w:rPr>
                <w:rFonts w:hint="eastAsia" w:ascii="宋体" w:hAnsi="宋体" w:eastAsia="宋体" w:cs="宋体"/>
                <w:b/>
                <w:bCs/>
                <w:sz w:val="22"/>
                <w:szCs w:val="22"/>
              </w:rPr>
            </w:pPr>
            <w:bookmarkStart w:id="123" w:name="_Toc24261"/>
            <w:r>
              <w:rPr>
                <w:rFonts w:hint="eastAsia" w:ascii="宋体" w:hAnsi="宋体" w:eastAsia="宋体" w:cs="宋体"/>
                <w:b/>
                <w:bCs/>
                <w:sz w:val="22"/>
                <w:szCs w:val="22"/>
                <w:lang w:val="en-US" w:eastAsia="zh-CN"/>
              </w:rPr>
              <w:t>82.66</w:t>
            </w:r>
            <w:r>
              <w:rPr>
                <w:rFonts w:hint="eastAsia" w:ascii="宋体" w:hAnsi="宋体" w:eastAsia="宋体" w:cs="宋体"/>
                <w:b/>
                <w:bCs/>
                <w:sz w:val="22"/>
                <w:szCs w:val="22"/>
              </w:rPr>
              <w:t>%</w:t>
            </w:r>
            <w:bookmarkEnd w:id="12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2129" w:type="dxa"/>
            <w:vAlign w:val="center"/>
          </w:tcPr>
          <w:p>
            <w:pPr>
              <w:adjustRightInd w:val="0"/>
              <w:snapToGrid w:val="0"/>
              <w:jc w:val="center"/>
              <w:rPr>
                <w:rFonts w:hint="eastAsia" w:ascii="宋体" w:hAnsi="宋体" w:eastAsia="宋体" w:cs="宋体"/>
                <w:b/>
                <w:bCs/>
                <w:sz w:val="22"/>
                <w:szCs w:val="22"/>
              </w:rPr>
            </w:pPr>
            <w:r>
              <w:rPr>
                <w:rFonts w:hint="eastAsia" w:ascii="宋体" w:hAnsi="宋体" w:eastAsia="宋体" w:cs="宋体"/>
                <w:b/>
                <w:bCs/>
                <w:sz w:val="22"/>
                <w:szCs w:val="22"/>
              </w:rPr>
              <w:t>绩效评定级别</w:t>
            </w:r>
          </w:p>
        </w:tc>
        <w:tc>
          <w:tcPr>
            <w:tcW w:w="6393" w:type="dxa"/>
            <w:gridSpan w:val="3"/>
            <w:vAlign w:val="center"/>
          </w:tcPr>
          <w:p>
            <w:pPr>
              <w:adjustRightInd w:val="0"/>
              <w:snapToGrid w:val="0"/>
              <w:jc w:val="center"/>
              <w:rPr>
                <w:rFonts w:hint="eastAsia" w:ascii="宋体" w:hAnsi="宋体" w:eastAsia="宋体" w:cs="宋体"/>
                <w:b/>
                <w:bCs/>
                <w:sz w:val="22"/>
                <w:szCs w:val="22"/>
              </w:rPr>
            </w:pPr>
            <w:r>
              <w:rPr>
                <w:rFonts w:hint="eastAsia" w:ascii="宋体" w:hAnsi="宋体" w:eastAsia="宋体" w:cs="宋体"/>
                <w:b/>
                <w:bCs/>
                <w:sz w:val="22"/>
                <w:szCs w:val="22"/>
              </w:rPr>
              <w:t>良</w:t>
            </w:r>
          </w:p>
        </w:tc>
      </w:tr>
    </w:tbl>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0"/>
        <w:rPr>
          <w:rFonts w:hint="eastAsia" w:eastAsia="黑体"/>
          <w:sz w:val="32"/>
          <w:szCs w:val="32"/>
          <w:lang w:val="en-US" w:eastAsia="zh-CN"/>
        </w:rPr>
      </w:pPr>
      <w:bookmarkStart w:id="124" w:name="_Toc2242"/>
      <w:bookmarkStart w:id="125" w:name="_Toc7235"/>
      <w:r>
        <w:rPr>
          <w:rFonts w:hint="eastAsia" w:eastAsia="黑体"/>
          <w:sz w:val="32"/>
          <w:szCs w:val="32"/>
          <w:lang w:val="en-US" w:eastAsia="zh-CN"/>
        </w:rPr>
        <w:t>四、绩效评价指标分析</w:t>
      </w:r>
      <w:bookmarkEnd w:id="124"/>
      <w:bookmarkEnd w:id="125"/>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eastAsia" w:ascii="楷体_GB2312" w:hAnsi="楷体_GB2312" w:eastAsia="楷体_GB2312" w:cs="楷体_GB2312"/>
          <w:sz w:val="32"/>
          <w:szCs w:val="32"/>
        </w:rPr>
      </w:pPr>
      <w:bookmarkStart w:id="126" w:name="_Toc28166"/>
      <w:bookmarkStart w:id="127" w:name="_Toc8401"/>
      <w:bookmarkStart w:id="128" w:name="_Toc22395"/>
      <w:bookmarkStart w:id="129" w:name="_Toc27638"/>
      <w:bookmarkStart w:id="130" w:name="_Toc36129074"/>
      <w:bookmarkStart w:id="131" w:name="_Toc24254"/>
      <w:bookmarkStart w:id="132" w:name="_Toc30381"/>
      <w:bookmarkStart w:id="133" w:name="_Toc28594"/>
      <w:bookmarkStart w:id="134" w:name="_Toc8402"/>
      <w:bookmarkStart w:id="135" w:name="_Toc17492"/>
      <w:bookmarkStart w:id="136" w:name="_Toc9525"/>
      <w:bookmarkStart w:id="137" w:name="_Toc6480"/>
      <w:bookmarkStart w:id="138" w:name="_Toc35420697"/>
      <w:bookmarkStart w:id="139" w:name="_Toc23440"/>
      <w:bookmarkStart w:id="140" w:name="_Toc30144"/>
      <w:r>
        <w:rPr>
          <w:rFonts w:hint="eastAsia" w:ascii="楷体_GB2312" w:hAnsi="楷体_GB2312" w:eastAsia="楷体_GB2312" w:cs="楷体_GB2312"/>
          <w:sz w:val="32"/>
          <w:szCs w:val="32"/>
        </w:rPr>
        <w:t>（一）项目决策情况</w:t>
      </w:r>
      <w:bookmarkEnd w:id="126"/>
      <w:bookmarkEnd w:id="127"/>
      <w:bookmarkEnd w:id="128"/>
      <w:bookmarkEnd w:id="129"/>
      <w:bookmarkEnd w:id="130"/>
      <w:bookmarkEnd w:id="131"/>
      <w:bookmarkEnd w:id="132"/>
      <w:bookmarkEnd w:id="133"/>
      <w:bookmarkEnd w:id="134"/>
      <w:bookmarkEnd w:id="135"/>
      <w:bookmarkEnd w:id="136"/>
      <w:bookmarkEnd w:id="137"/>
      <w:bookmarkEnd w:id="138"/>
      <w:r>
        <w:rPr>
          <w:rFonts w:hint="eastAsia" w:ascii="楷体_GB2312" w:hAnsi="楷体_GB2312" w:eastAsia="楷体_GB2312" w:cs="楷体_GB2312"/>
          <w:sz w:val="32"/>
          <w:szCs w:val="32"/>
        </w:rPr>
        <w:t>分析</w:t>
      </w:r>
      <w:bookmarkEnd w:id="139"/>
      <w:bookmarkEnd w:id="140"/>
    </w:p>
    <w:p>
      <w:pPr>
        <w:pStyle w:val="4"/>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cstheme="minorBidi"/>
          <w:kern w:val="2"/>
          <w:sz w:val="32"/>
          <w:szCs w:val="32"/>
          <w:highlight w:val="none"/>
          <w:u w:val="none"/>
          <w:lang w:val="en-US" w:eastAsia="zh-CN" w:bidi="ar-SA"/>
        </w:rPr>
      </w:pPr>
      <w:r>
        <w:rPr>
          <w:rFonts w:hint="eastAsia" w:ascii="仿宋_GB2312" w:hAnsi="宋体" w:eastAsia="仿宋_GB2312" w:cstheme="minorBidi"/>
          <w:kern w:val="2"/>
          <w:sz w:val="32"/>
          <w:szCs w:val="32"/>
          <w:highlight w:val="none"/>
          <w:u w:val="none"/>
          <w:lang w:val="en-US" w:eastAsia="zh-CN" w:bidi="ar-SA"/>
        </w:rPr>
        <w:t>决策指标分值20分，下设3个二级指标，5个三级指标，绩效评价得分为17.06分</w:t>
      </w:r>
      <w:r>
        <w:rPr>
          <w:rFonts w:hint="eastAsia" w:ascii="仿宋_GB2312" w:hAnsi="宋体" w:eastAsia="仿宋_GB2312" w:cstheme="minorBidi"/>
          <w:kern w:val="2"/>
          <w:sz w:val="32"/>
          <w:szCs w:val="32"/>
          <w:highlight w:val="none"/>
          <w:u w:val="none"/>
          <w:lang w:val="en-US" w:eastAsia="zh-Hans" w:bidi="ar-SA"/>
        </w:rPr>
        <w:t>，</w:t>
      </w:r>
      <w:r>
        <w:rPr>
          <w:rFonts w:hint="eastAsia" w:ascii="仿宋_GB2312" w:hAnsi="宋体" w:eastAsia="仿宋_GB2312" w:cstheme="minorBidi"/>
          <w:kern w:val="2"/>
          <w:sz w:val="32"/>
          <w:szCs w:val="32"/>
          <w:highlight w:val="none"/>
          <w:u w:val="none"/>
          <w:lang w:val="en-US" w:eastAsia="zh-CN" w:bidi="ar-SA"/>
        </w:rPr>
        <w:t>评分详见表5。</w:t>
      </w:r>
    </w:p>
    <w:p>
      <w:pPr>
        <w:pStyle w:val="4"/>
        <w:spacing w:line="560" w:lineRule="exact"/>
        <w:ind w:firstLine="0" w:firstLineChars="0"/>
        <w:jc w:val="center"/>
        <w:rPr>
          <w:rFonts w:hint="eastAsia" w:ascii="黑体" w:hAnsi="黑体" w:eastAsia="黑体" w:cs="黑体"/>
          <w:kern w:val="2"/>
          <w:sz w:val="28"/>
          <w:szCs w:val="28"/>
          <w:highlight w:val="none"/>
          <w:u w:val="none"/>
          <w:lang w:val="en-US" w:eastAsia="zh-CN" w:bidi="ar-SA"/>
        </w:rPr>
      </w:pPr>
      <w:r>
        <w:rPr>
          <w:rFonts w:hint="eastAsia" w:ascii="黑体" w:hAnsi="黑体" w:eastAsia="黑体" w:cs="黑体"/>
          <w:kern w:val="2"/>
          <w:sz w:val="28"/>
          <w:szCs w:val="28"/>
          <w:highlight w:val="none"/>
          <w:u w:val="none"/>
          <w:lang w:val="en-US" w:eastAsia="zh-CN" w:bidi="ar-SA"/>
        </w:rPr>
        <w:t>表5 项目决策指标设定及评分情况表</w:t>
      </w:r>
    </w:p>
    <w:tbl>
      <w:tblPr>
        <w:tblStyle w:val="8"/>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1"/>
        <w:gridCol w:w="1838"/>
        <w:gridCol w:w="2229"/>
        <w:gridCol w:w="1057"/>
        <w:gridCol w:w="1057"/>
        <w:gridCol w:w="1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tblHeader/>
          <w:jc w:val="center"/>
        </w:trPr>
        <w:tc>
          <w:tcPr>
            <w:tcW w:w="1281" w:type="dxa"/>
            <w:shd w:val="clear" w:color="auto" w:fill="96B4E1" w:themeFill="background1" w:themeFillShade="BF"/>
            <w:vAlign w:val="center"/>
          </w:tcPr>
          <w:p>
            <w:pPr>
              <w:jc w:val="center"/>
              <w:rPr>
                <w:rFonts w:hint="eastAsia" w:ascii="宋体" w:hAnsi="宋体" w:eastAsia="宋体" w:cs="宋体"/>
                <w:b/>
                <w:sz w:val="22"/>
                <w:szCs w:val="22"/>
              </w:rPr>
            </w:pPr>
            <w:r>
              <w:rPr>
                <w:rFonts w:hint="eastAsia" w:ascii="宋体" w:hAnsi="宋体" w:eastAsia="宋体" w:cs="宋体"/>
                <w:b/>
                <w:sz w:val="22"/>
                <w:szCs w:val="22"/>
              </w:rPr>
              <w:t>一级指标</w:t>
            </w:r>
          </w:p>
        </w:tc>
        <w:tc>
          <w:tcPr>
            <w:tcW w:w="1838" w:type="dxa"/>
            <w:shd w:val="clear" w:color="auto" w:fill="96B4E1" w:themeFill="background1" w:themeFillShade="BF"/>
            <w:vAlign w:val="center"/>
          </w:tcPr>
          <w:p>
            <w:pPr>
              <w:jc w:val="center"/>
              <w:rPr>
                <w:rFonts w:hint="eastAsia" w:ascii="宋体" w:hAnsi="宋体" w:eastAsia="宋体" w:cs="宋体"/>
                <w:b/>
                <w:sz w:val="22"/>
                <w:szCs w:val="22"/>
              </w:rPr>
            </w:pPr>
            <w:r>
              <w:rPr>
                <w:rFonts w:hint="eastAsia" w:ascii="宋体" w:hAnsi="宋体" w:eastAsia="宋体" w:cs="宋体"/>
                <w:b/>
                <w:sz w:val="22"/>
                <w:szCs w:val="22"/>
              </w:rPr>
              <w:t>二级指标</w:t>
            </w:r>
          </w:p>
        </w:tc>
        <w:tc>
          <w:tcPr>
            <w:tcW w:w="2229" w:type="dxa"/>
            <w:shd w:val="clear" w:color="auto" w:fill="96B4E1" w:themeFill="background1" w:themeFillShade="BF"/>
            <w:vAlign w:val="center"/>
          </w:tcPr>
          <w:p>
            <w:pPr>
              <w:jc w:val="center"/>
              <w:rPr>
                <w:rFonts w:hint="eastAsia" w:ascii="宋体" w:hAnsi="宋体" w:eastAsia="宋体" w:cs="宋体"/>
                <w:b/>
                <w:sz w:val="22"/>
                <w:szCs w:val="22"/>
              </w:rPr>
            </w:pPr>
            <w:r>
              <w:rPr>
                <w:rFonts w:hint="eastAsia" w:ascii="宋体" w:hAnsi="宋体" w:eastAsia="宋体" w:cs="宋体"/>
                <w:b/>
                <w:sz w:val="22"/>
                <w:szCs w:val="22"/>
              </w:rPr>
              <w:t>三级指标</w:t>
            </w:r>
          </w:p>
        </w:tc>
        <w:tc>
          <w:tcPr>
            <w:tcW w:w="1057" w:type="dxa"/>
            <w:shd w:val="clear" w:color="auto" w:fill="96B4E1" w:themeFill="background1" w:themeFillShade="BF"/>
            <w:vAlign w:val="center"/>
          </w:tcPr>
          <w:p>
            <w:pPr>
              <w:jc w:val="center"/>
              <w:rPr>
                <w:rFonts w:hint="eastAsia" w:ascii="宋体" w:hAnsi="宋体" w:eastAsia="宋体" w:cs="宋体"/>
                <w:b/>
                <w:sz w:val="22"/>
                <w:szCs w:val="22"/>
              </w:rPr>
            </w:pPr>
            <w:r>
              <w:rPr>
                <w:rFonts w:hint="eastAsia" w:ascii="宋体" w:hAnsi="宋体" w:eastAsia="宋体" w:cs="宋体"/>
                <w:b/>
                <w:sz w:val="22"/>
                <w:szCs w:val="22"/>
              </w:rPr>
              <w:t>分值</w:t>
            </w:r>
          </w:p>
        </w:tc>
        <w:tc>
          <w:tcPr>
            <w:tcW w:w="1057" w:type="dxa"/>
            <w:shd w:val="clear" w:color="auto" w:fill="96B4E1" w:themeFill="background1" w:themeFillShade="BF"/>
            <w:vAlign w:val="center"/>
          </w:tcPr>
          <w:p>
            <w:pPr>
              <w:jc w:val="center"/>
              <w:rPr>
                <w:rFonts w:hint="eastAsia" w:ascii="宋体" w:hAnsi="宋体" w:eastAsia="宋体" w:cs="宋体"/>
                <w:b/>
                <w:sz w:val="22"/>
                <w:szCs w:val="22"/>
              </w:rPr>
            </w:pPr>
            <w:r>
              <w:rPr>
                <w:rFonts w:hint="eastAsia" w:ascii="宋体" w:hAnsi="宋体" w:eastAsia="宋体" w:cs="宋体"/>
                <w:b/>
                <w:sz w:val="22"/>
                <w:szCs w:val="22"/>
              </w:rPr>
              <w:t>得分</w:t>
            </w:r>
          </w:p>
        </w:tc>
        <w:tc>
          <w:tcPr>
            <w:tcW w:w="1058" w:type="dxa"/>
            <w:shd w:val="clear" w:color="auto" w:fill="96B4E1" w:themeFill="background1" w:themeFillShade="BF"/>
            <w:vAlign w:val="center"/>
          </w:tcPr>
          <w:p>
            <w:pPr>
              <w:jc w:val="center"/>
              <w:rPr>
                <w:rFonts w:hint="eastAsia" w:ascii="宋体" w:hAnsi="宋体" w:eastAsia="宋体" w:cs="宋体"/>
                <w:b/>
                <w:sz w:val="22"/>
                <w:szCs w:val="22"/>
              </w:rPr>
            </w:pPr>
            <w:r>
              <w:rPr>
                <w:rFonts w:hint="eastAsia" w:ascii="宋体" w:hAnsi="宋体" w:eastAsia="宋体" w:cs="宋体"/>
                <w:b/>
                <w:sz w:val="22"/>
                <w:szCs w:val="22"/>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281" w:type="dxa"/>
            <w:vMerge w:val="restart"/>
            <w:vAlign w:val="center"/>
          </w:tcPr>
          <w:p>
            <w:pPr>
              <w:jc w:val="center"/>
              <w:rPr>
                <w:rFonts w:hint="eastAsia" w:ascii="宋体" w:hAnsi="宋体" w:eastAsia="宋体" w:cs="宋体"/>
                <w:sz w:val="22"/>
                <w:szCs w:val="22"/>
              </w:rPr>
            </w:pPr>
            <w:r>
              <w:rPr>
                <w:rFonts w:hint="eastAsia" w:ascii="宋体" w:hAnsi="宋体" w:eastAsia="宋体" w:cs="宋体"/>
                <w:sz w:val="22"/>
                <w:szCs w:val="22"/>
              </w:rPr>
              <w:t>决策</w:t>
            </w:r>
          </w:p>
          <w:p>
            <w:pPr>
              <w:jc w:val="center"/>
              <w:rPr>
                <w:rFonts w:hint="eastAsia" w:ascii="宋体" w:hAnsi="宋体" w:eastAsia="宋体" w:cs="宋体"/>
                <w:sz w:val="22"/>
                <w:szCs w:val="22"/>
              </w:rPr>
            </w:pPr>
            <w:r>
              <w:rPr>
                <w:rFonts w:hint="eastAsia" w:ascii="宋体" w:hAnsi="宋体" w:eastAsia="宋体" w:cs="宋体"/>
                <w:sz w:val="22"/>
                <w:szCs w:val="22"/>
              </w:rPr>
              <w:t>（</w:t>
            </w:r>
            <w:r>
              <w:rPr>
                <w:rFonts w:hint="eastAsia" w:ascii="宋体" w:hAnsi="宋体" w:eastAsia="宋体" w:cs="宋体"/>
                <w:sz w:val="22"/>
                <w:szCs w:val="22"/>
                <w:lang w:val="en-US" w:eastAsia="zh-CN"/>
              </w:rPr>
              <w:t>20</w:t>
            </w:r>
            <w:r>
              <w:rPr>
                <w:rFonts w:hint="eastAsia" w:ascii="宋体" w:hAnsi="宋体" w:eastAsia="宋体" w:cs="宋体"/>
                <w:sz w:val="22"/>
                <w:szCs w:val="22"/>
              </w:rPr>
              <w:t>分）</w:t>
            </w:r>
          </w:p>
        </w:tc>
        <w:tc>
          <w:tcPr>
            <w:tcW w:w="1838" w:type="dxa"/>
            <w:vMerge w:val="restart"/>
            <w:vAlign w:val="center"/>
          </w:tcPr>
          <w:p>
            <w:pPr>
              <w:jc w:val="center"/>
              <w:rPr>
                <w:rFonts w:hint="eastAsia" w:ascii="宋体" w:hAnsi="宋体" w:eastAsia="宋体" w:cs="宋体"/>
                <w:sz w:val="22"/>
                <w:szCs w:val="22"/>
              </w:rPr>
            </w:pPr>
            <w:r>
              <w:rPr>
                <w:rFonts w:hint="eastAsia" w:ascii="宋体" w:hAnsi="宋体" w:eastAsia="宋体" w:cs="宋体"/>
                <w:sz w:val="22"/>
                <w:szCs w:val="22"/>
              </w:rPr>
              <w:t>项目立项（</w:t>
            </w:r>
            <w:r>
              <w:rPr>
                <w:rFonts w:hint="eastAsia" w:ascii="宋体" w:hAnsi="宋体" w:eastAsia="宋体" w:cs="宋体"/>
                <w:sz w:val="22"/>
                <w:szCs w:val="22"/>
                <w:lang w:val="en-US" w:eastAsia="zh-CN"/>
              </w:rPr>
              <w:t>8</w:t>
            </w:r>
            <w:r>
              <w:rPr>
                <w:rFonts w:hint="eastAsia" w:ascii="宋体" w:hAnsi="宋体" w:eastAsia="宋体" w:cs="宋体"/>
                <w:sz w:val="22"/>
                <w:szCs w:val="22"/>
              </w:rPr>
              <w:t>分）</w:t>
            </w:r>
          </w:p>
        </w:tc>
        <w:tc>
          <w:tcPr>
            <w:tcW w:w="2229" w:type="dxa"/>
            <w:vAlign w:val="center"/>
          </w:tcPr>
          <w:p>
            <w:pPr>
              <w:jc w:val="center"/>
              <w:rPr>
                <w:rFonts w:hint="eastAsia" w:ascii="宋体" w:hAnsi="宋体" w:eastAsia="宋体" w:cs="宋体"/>
                <w:sz w:val="22"/>
                <w:szCs w:val="22"/>
              </w:rPr>
            </w:pPr>
            <w:r>
              <w:rPr>
                <w:rFonts w:hint="eastAsia" w:ascii="宋体" w:hAnsi="宋体" w:eastAsia="宋体" w:cs="宋体"/>
                <w:sz w:val="22"/>
                <w:szCs w:val="22"/>
              </w:rPr>
              <w:t>立项依据充分性</w:t>
            </w:r>
          </w:p>
        </w:tc>
        <w:tc>
          <w:tcPr>
            <w:tcW w:w="1057" w:type="dxa"/>
            <w:vAlign w:val="center"/>
          </w:tcPr>
          <w:p>
            <w:pPr>
              <w:jc w:val="center"/>
              <w:rPr>
                <w:rFonts w:hint="eastAsia" w:ascii="宋体" w:hAnsi="宋体" w:eastAsia="宋体" w:cs="宋体"/>
                <w:sz w:val="22"/>
                <w:szCs w:val="22"/>
              </w:rPr>
            </w:pPr>
            <w:r>
              <w:rPr>
                <w:rFonts w:hint="eastAsia" w:ascii="宋体" w:hAnsi="宋体" w:eastAsia="宋体" w:cs="宋体"/>
                <w:sz w:val="22"/>
                <w:szCs w:val="22"/>
                <w:lang w:val="en-US" w:eastAsia="zh-CN"/>
              </w:rPr>
              <w:t>4</w:t>
            </w:r>
            <w:r>
              <w:rPr>
                <w:rFonts w:hint="eastAsia" w:ascii="宋体" w:hAnsi="宋体" w:eastAsia="宋体" w:cs="宋体"/>
                <w:sz w:val="22"/>
                <w:szCs w:val="22"/>
              </w:rPr>
              <w:t>.00</w:t>
            </w:r>
          </w:p>
        </w:tc>
        <w:tc>
          <w:tcPr>
            <w:tcW w:w="1057" w:type="dxa"/>
            <w:vAlign w:val="center"/>
          </w:tcPr>
          <w:p>
            <w:pPr>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3.96</w:t>
            </w:r>
          </w:p>
        </w:tc>
        <w:tc>
          <w:tcPr>
            <w:tcW w:w="1058" w:type="dxa"/>
            <w:vAlign w:val="center"/>
          </w:tcPr>
          <w:p>
            <w:pPr>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99.00%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281" w:type="dxa"/>
            <w:vMerge w:val="continue"/>
            <w:vAlign w:val="center"/>
          </w:tcPr>
          <w:p>
            <w:pPr>
              <w:jc w:val="center"/>
              <w:rPr>
                <w:rFonts w:hint="eastAsia" w:ascii="宋体" w:hAnsi="宋体" w:eastAsia="宋体" w:cs="宋体"/>
                <w:sz w:val="22"/>
                <w:szCs w:val="22"/>
              </w:rPr>
            </w:pPr>
          </w:p>
        </w:tc>
        <w:tc>
          <w:tcPr>
            <w:tcW w:w="1838" w:type="dxa"/>
            <w:vMerge w:val="continue"/>
            <w:vAlign w:val="center"/>
          </w:tcPr>
          <w:p>
            <w:pPr>
              <w:jc w:val="center"/>
              <w:rPr>
                <w:rFonts w:hint="eastAsia" w:ascii="宋体" w:hAnsi="宋体" w:eastAsia="宋体" w:cs="宋体"/>
                <w:sz w:val="22"/>
                <w:szCs w:val="22"/>
              </w:rPr>
            </w:pPr>
          </w:p>
        </w:tc>
        <w:tc>
          <w:tcPr>
            <w:tcW w:w="2229" w:type="dxa"/>
            <w:vAlign w:val="center"/>
          </w:tcPr>
          <w:p>
            <w:pPr>
              <w:jc w:val="center"/>
              <w:rPr>
                <w:rFonts w:hint="eastAsia" w:ascii="宋体" w:hAnsi="宋体" w:eastAsia="宋体" w:cs="宋体"/>
                <w:sz w:val="22"/>
                <w:szCs w:val="22"/>
              </w:rPr>
            </w:pPr>
            <w:r>
              <w:rPr>
                <w:rFonts w:hint="eastAsia" w:ascii="宋体" w:hAnsi="宋体" w:eastAsia="宋体" w:cs="宋体"/>
                <w:sz w:val="22"/>
                <w:szCs w:val="22"/>
              </w:rPr>
              <w:t>立项程序规范性</w:t>
            </w:r>
          </w:p>
        </w:tc>
        <w:tc>
          <w:tcPr>
            <w:tcW w:w="1057" w:type="dxa"/>
            <w:vAlign w:val="center"/>
          </w:tcPr>
          <w:p>
            <w:pPr>
              <w:jc w:val="center"/>
              <w:rPr>
                <w:rFonts w:hint="eastAsia" w:ascii="宋体" w:hAnsi="宋体" w:eastAsia="宋体" w:cs="宋体"/>
                <w:sz w:val="22"/>
                <w:szCs w:val="22"/>
              </w:rPr>
            </w:pPr>
            <w:r>
              <w:rPr>
                <w:rFonts w:hint="eastAsia" w:ascii="宋体" w:hAnsi="宋体" w:eastAsia="宋体" w:cs="宋体"/>
                <w:sz w:val="22"/>
                <w:szCs w:val="22"/>
                <w:lang w:val="en-US" w:eastAsia="zh-CN"/>
              </w:rPr>
              <w:t>4</w:t>
            </w:r>
            <w:r>
              <w:rPr>
                <w:rFonts w:hint="eastAsia" w:ascii="宋体" w:hAnsi="宋体" w:eastAsia="宋体" w:cs="宋体"/>
                <w:sz w:val="22"/>
                <w:szCs w:val="22"/>
              </w:rPr>
              <w:t>.00</w:t>
            </w:r>
          </w:p>
        </w:tc>
        <w:tc>
          <w:tcPr>
            <w:tcW w:w="1057" w:type="dxa"/>
            <w:vAlign w:val="center"/>
          </w:tcPr>
          <w:p>
            <w:pPr>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3.76</w:t>
            </w:r>
          </w:p>
        </w:tc>
        <w:tc>
          <w:tcPr>
            <w:tcW w:w="1058" w:type="dxa"/>
            <w:vAlign w:val="center"/>
          </w:tcPr>
          <w:p>
            <w:pPr>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94.00%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281" w:type="dxa"/>
            <w:vMerge w:val="continue"/>
            <w:vAlign w:val="center"/>
          </w:tcPr>
          <w:p>
            <w:pPr>
              <w:jc w:val="center"/>
              <w:rPr>
                <w:rFonts w:hint="eastAsia" w:ascii="宋体" w:hAnsi="宋体" w:eastAsia="宋体" w:cs="宋体"/>
                <w:sz w:val="22"/>
                <w:szCs w:val="22"/>
              </w:rPr>
            </w:pPr>
          </w:p>
        </w:tc>
        <w:tc>
          <w:tcPr>
            <w:tcW w:w="1838" w:type="dxa"/>
            <w:vMerge w:val="restart"/>
            <w:vAlign w:val="center"/>
          </w:tcPr>
          <w:p>
            <w:pPr>
              <w:jc w:val="center"/>
              <w:rPr>
                <w:rFonts w:hint="eastAsia" w:ascii="宋体" w:hAnsi="宋体" w:eastAsia="宋体" w:cs="宋体"/>
                <w:sz w:val="22"/>
                <w:szCs w:val="22"/>
              </w:rPr>
            </w:pPr>
            <w:r>
              <w:rPr>
                <w:rFonts w:hint="eastAsia" w:ascii="宋体" w:hAnsi="宋体" w:eastAsia="宋体" w:cs="宋体"/>
                <w:sz w:val="22"/>
                <w:szCs w:val="22"/>
              </w:rPr>
              <w:t>绩效目标（</w:t>
            </w:r>
            <w:r>
              <w:rPr>
                <w:rFonts w:hint="eastAsia" w:ascii="宋体" w:hAnsi="宋体" w:eastAsia="宋体" w:cs="宋体"/>
                <w:sz w:val="22"/>
                <w:szCs w:val="22"/>
                <w:lang w:val="en-US" w:eastAsia="zh-CN"/>
              </w:rPr>
              <w:t>8</w:t>
            </w:r>
            <w:r>
              <w:rPr>
                <w:rFonts w:hint="eastAsia" w:ascii="宋体" w:hAnsi="宋体" w:eastAsia="宋体" w:cs="宋体"/>
                <w:sz w:val="22"/>
                <w:szCs w:val="22"/>
              </w:rPr>
              <w:t>分）</w:t>
            </w:r>
          </w:p>
        </w:tc>
        <w:tc>
          <w:tcPr>
            <w:tcW w:w="2229" w:type="dxa"/>
            <w:vAlign w:val="center"/>
          </w:tcPr>
          <w:p>
            <w:pPr>
              <w:jc w:val="center"/>
              <w:rPr>
                <w:rFonts w:hint="eastAsia" w:ascii="宋体" w:hAnsi="宋体" w:eastAsia="宋体" w:cs="宋体"/>
                <w:sz w:val="22"/>
                <w:szCs w:val="22"/>
              </w:rPr>
            </w:pPr>
            <w:r>
              <w:rPr>
                <w:rFonts w:hint="eastAsia" w:ascii="宋体" w:hAnsi="宋体" w:eastAsia="宋体" w:cs="宋体"/>
                <w:sz w:val="22"/>
                <w:szCs w:val="22"/>
              </w:rPr>
              <w:t>绩效目标合理性</w:t>
            </w:r>
          </w:p>
        </w:tc>
        <w:tc>
          <w:tcPr>
            <w:tcW w:w="1057" w:type="dxa"/>
            <w:vAlign w:val="center"/>
          </w:tcPr>
          <w:p>
            <w:pPr>
              <w:jc w:val="center"/>
              <w:rPr>
                <w:rFonts w:hint="eastAsia" w:ascii="宋体" w:hAnsi="宋体" w:eastAsia="宋体" w:cs="宋体"/>
                <w:sz w:val="22"/>
                <w:szCs w:val="22"/>
              </w:rPr>
            </w:pPr>
            <w:r>
              <w:rPr>
                <w:rFonts w:hint="eastAsia" w:ascii="宋体" w:hAnsi="宋体" w:eastAsia="宋体" w:cs="宋体"/>
                <w:sz w:val="22"/>
                <w:szCs w:val="22"/>
                <w:lang w:val="en-US" w:eastAsia="zh-CN"/>
              </w:rPr>
              <w:t>4</w:t>
            </w:r>
            <w:r>
              <w:rPr>
                <w:rFonts w:hint="eastAsia" w:ascii="宋体" w:hAnsi="宋体" w:eastAsia="宋体" w:cs="宋体"/>
                <w:sz w:val="22"/>
                <w:szCs w:val="22"/>
              </w:rPr>
              <w:t>.00</w:t>
            </w:r>
          </w:p>
        </w:tc>
        <w:tc>
          <w:tcPr>
            <w:tcW w:w="1057" w:type="dxa"/>
            <w:vAlign w:val="center"/>
          </w:tcPr>
          <w:p>
            <w:pPr>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3.24</w:t>
            </w:r>
          </w:p>
        </w:tc>
        <w:tc>
          <w:tcPr>
            <w:tcW w:w="1058" w:type="dxa"/>
            <w:vAlign w:val="center"/>
          </w:tcPr>
          <w:p>
            <w:pPr>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81.00%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jc w:val="center"/>
        </w:trPr>
        <w:tc>
          <w:tcPr>
            <w:tcW w:w="1281" w:type="dxa"/>
            <w:vMerge w:val="continue"/>
            <w:vAlign w:val="center"/>
          </w:tcPr>
          <w:p>
            <w:pPr>
              <w:jc w:val="center"/>
              <w:rPr>
                <w:rFonts w:hint="eastAsia" w:ascii="宋体" w:hAnsi="宋体" w:eastAsia="宋体" w:cs="宋体"/>
                <w:sz w:val="22"/>
                <w:szCs w:val="22"/>
              </w:rPr>
            </w:pPr>
          </w:p>
        </w:tc>
        <w:tc>
          <w:tcPr>
            <w:tcW w:w="1838" w:type="dxa"/>
            <w:vMerge w:val="continue"/>
            <w:vAlign w:val="center"/>
          </w:tcPr>
          <w:p>
            <w:pPr>
              <w:jc w:val="center"/>
              <w:rPr>
                <w:rFonts w:hint="eastAsia" w:ascii="宋体" w:hAnsi="宋体" w:eastAsia="宋体" w:cs="宋体"/>
                <w:sz w:val="22"/>
                <w:szCs w:val="22"/>
              </w:rPr>
            </w:pPr>
          </w:p>
        </w:tc>
        <w:tc>
          <w:tcPr>
            <w:tcW w:w="2229" w:type="dxa"/>
            <w:vAlign w:val="center"/>
          </w:tcPr>
          <w:p>
            <w:pPr>
              <w:jc w:val="center"/>
              <w:rPr>
                <w:rFonts w:hint="eastAsia" w:ascii="宋体" w:hAnsi="宋体" w:eastAsia="宋体" w:cs="宋体"/>
                <w:sz w:val="22"/>
                <w:szCs w:val="22"/>
              </w:rPr>
            </w:pPr>
            <w:r>
              <w:rPr>
                <w:rFonts w:hint="eastAsia" w:ascii="宋体" w:hAnsi="宋体" w:eastAsia="宋体" w:cs="宋体"/>
                <w:sz w:val="22"/>
                <w:szCs w:val="22"/>
              </w:rPr>
              <w:t>绩效指标明确性</w:t>
            </w:r>
          </w:p>
        </w:tc>
        <w:tc>
          <w:tcPr>
            <w:tcW w:w="1057" w:type="dxa"/>
            <w:vAlign w:val="center"/>
          </w:tcPr>
          <w:p>
            <w:pPr>
              <w:jc w:val="center"/>
              <w:rPr>
                <w:rFonts w:hint="eastAsia" w:ascii="宋体" w:hAnsi="宋体" w:eastAsia="宋体" w:cs="宋体"/>
                <w:sz w:val="22"/>
                <w:szCs w:val="22"/>
              </w:rPr>
            </w:pPr>
            <w:r>
              <w:rPr>
                <w:rFonts w:hint="eastAsia" w:ascii="宋体" w:hAnsi="宋体" w:eastAsia="宋体" w:cs="宋体"/>
                <w:sz w:val="22"/>
                <w:szCs w:val="22"/>
                <w:lang w:val="en-US" w:eastAsia="zh-CN"/>
              </w:rPr>
              <w:t>4</w:t>
            </w:r>
            <w:r>
              <w:rPr>
                <w:rFonts w:hint="eastAsia" w:ascii="宋体" w:hAnsi="宋体" w:eastAsia="宋体" w:cs="宋体"/>
                <w:sz w:val="22"/>
                <w:szCs w:val="22"/>
              </w:rPr>
              <w:t>.00</w:t>
            </w:r>
          </w:p>
        </w:tc>
        <w:tc>
          <w:tcPr>
            <w:tcW w:w="1057" w:type="dxa"/>
            <w:vAlign w:val="center"/>
          </w:tcPr>
          <w:p>
            <w:pPr>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3.04</w:t>
            </w:r>
          </w:p>
        </w:tc>
        <w:tc>
          <w:tcPr>
            <w:tcW w:w="1058" w:type="dxa"/>
            <w:vAlign w:val="center"/>
          </w:tcPr>
          <w:p>
            <w:pPr>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76.00%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1281" w:type="dxa"/>
            <w:vMerge w:val="continue"/>
            <w:vAlign w:val="center"/>
          </w:tcPr>
          <w:p>
            <w:pPr>
              <w:jc w:val="center"/>
              <w:rPr>
                <w:rFonts w:hint="eastAsia" w:ascii="宋体" w:hAnsi="宋体" w:eastAsia="宋体" w:cs="宋体"/>
                <w:sz w:val="22"/>
                <w:szCs w:val="22"/>
              </w:rPr>
            </w:pPr>
          </w:p>
        </w:tc>
        <w:tc>
          <w:tcPr>
            <w:tcW w:w="1838" w:type="dxa"/>
            <w:vAlign w:val="center"/>
          </w:tcPr>
          <w:p>
            <w:pPr>
              <w:jc w:val="center"/>
              <w:rPr>
                <w:rFonts w:hint="eastAsia" w:ascii="宋体" w:hAnsi="宋体" w:eastAsia="宋体" w:cs="宋体"/>
                <w:sz w:val="22"/>
                <w:szCs w:val="22"/>
              </w:rPr>
            </w:pPr>
            <w:r>
              <w:rPr>
                <w:rFonts w:hint="eastAsia" w:ascii="宋体" w:hAnsi="宋体" w:eastAsia="宋体" w:cs="宋体"/>
                <w:sz w:val="22"/>
                <w:szCs w:val="22"/>
              </w:rPr>
              <w:t>资金投入（</w:t>
            </w:r>
            <w:r>
              <w:rPr>
                <w:rFonts w:hint="eastAsia" w:ascii="宋体" w:hAnsi="宋体" w:eastAsia="宋体" w:cs="宋体"/>
                <w:sz w:val="22"/>
                <w:szCs w:val="22"/>
                <w:lang w:val="en-US" w:eastAsia="zh-CN"/>
              </w:rPr>
              <w:t>4</w:t>
            </w:r>
            <w:r>
              <w:rPr>
                <w:rFonts w:hint="eastAsia" w:ascii="宋体" w:hAnsi="宋体" w:eastAsia="宋体" w:cs="宋体"/>
                <w:sz w:val="22"/>
                <w:szCs w:val="22"/>
              </w:rPr>
              <w:t>分）</w:t>
            </w:r>
          </w:p>
        </w:tc>
        <w:tc>
          <w:tcPr>
            <w:tcW w:w="2229" w:type="dxa"/>
            <w:vAlign w:val="center"/>
          </w:tcPr>
          <w:p>
            <w:pPr>
              <w:jc w:val="center"/>
              <w:rPr>
                <w:rFonts w:hint="eastAsia" w:ascii="宋体" w:hAnsi="宋体" w:eastAsia="宋体" w:cs="宋体"/>
                <w:sz w:val="22"/>
                <w:szCs w:val="22"/>
              </w:rPr>
            </w:pPr>
            <w:r>
              <w:rPr>
                <w:rFonts w:hint="eastAsia" w:ascii="宋体" w:hAnsi="宋体" w:eastAsia="宋体" w:cs="宋体"/>
                <w:sz w:val="22"/>
                <w:szCs w:val="22"/>
              </w:rPr>
              <w:t>预算编制科学性</w:t>
            </w:r>
          </w:p>
        </w:tc>
        <w:tc>
          <w:tcPr>
            <w:tcW w:w="1057" w:type="dxa"/>
            <w:vAlign w:val="center"/>
          </w:tcPr>
          <w:p>
            <w:pPr>
              <w:jc w:val="center"/>
              <w:rPr>
                <w:rFonts w:hint="eastAsia" w:ascii="宋体" w:hAnsi="宋体" w:eastAsia="宋体" w:cs="宋体"/>
                <w:sz w:val="22"/>
                <w:szCs w:val="22"/>
              </w:rPr>
            </w:pPr>
            <w:r>
              <w:rPr>
                <w:rFonts w:hint="eastAsia" w:ascii="宋体" w:hAnsi="宋体" w:eastAsia="宋体" w:cs="宋体"/>
                <w:sz w:val="22"/>
                <w:szCs w:val="22"/>
                <w:lang w:val="en-US" w:eastAsia="zh-CN"/>
              </w:rPr>
              <w:t>4</w:t>
            </w:r>
            <w:r>
              <w:rPr>
                <w:rFonts w:hint="eastAsia" w:ascii="宋体" w:hAnsi="宋体" w:eastAsia="宋体" w:cs="宋体"/>
                <w:sz w:val="22"/>
                <w:szCs w:val="22"/>
              </w:rPr>
              <w:t>.00</w:t>
            </w:r>
          </w:p>
        </w:tc>
        <w:tc>
          <w:tcPr>
            <w:tcW w:w="1057" w:type="dxa"/>
            <w:vAlign w:val="center"/>
          </w:tcPr>
          <w:p>
            <w:pPr>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3.06</w:t>
            </w:r>
          </w:p>
        </w:tc>
        <w:tc>
          <w:tcPr>
            <w:tcW w:w="1058" w:type="dxa"/>
            <w:vAlign w:val="center"/>
          </w:tcPr>
          <w:p>
            <w:pPr>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76.50%</w:t>
            </w:r>
          </w:p>
        </w:tc>
      </w:tr>
    </w:tbl>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宋体" w:eastAsia="仿宋_GB2312"/>
          <w:b/>
          <w:bCs/>
          <w:sz w:val="32"/>
          <w:szCs w:val="32"/>
          <w:lang w:val="en-US" w:eastAsia="zh-CN"/>
        </w:rPr>
      </w:pPr>
      <w:r>
        <w:rPr>
          <w:rFonts w:hint="eastAsia" w:ascii="仿宋_GB2312" w:hAnsi="宋体" w:eastAsia="仿宋_GB2312"/>
          <w:b/>
          <w:bCs/>
          <w:sz w:val="32"/>
          <w:szCs w:val="32"/>
          <w:lang w:val="en-US" w:eastAsia="zh-CN"/>
        </w:rPr>
        <w:t>1.项目立项情况分析</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theme="minorBidi"/>
          <w:kern w:val="2"/>
          <w:sz w:val="32"/>
          <w:szCs w:val="32"/>
          <w:u w:val="none"/>
          <w:lang w:val="en-US" w:eastAsia="zh-CN" w:bidi="ar-SA"/>
        </w:rPr>
      </w:pPr>
      <w:r>
        <w:rPr>
          <w:rFonts w:hint="eastAsia" w:ascii="仿宋_GB2312" w:hAnsi="宋体" w:eastAsia="仿宋_GB2312" w:cstheme="minorBidi"/>
          <w:kern w:val="2"/>
          <w:sz w:val="32"/>
          <w:szCs w:val="32"/>
          <w:u w:val="none"/>
          <w:lang w:val="en-US" w:eastAsia="zh-CN" w:bidi="ar-SA"/>
        </w:rPr>
        <w:t>（1）项目立项依据充分性</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《北京市“十四五”时期智慧城市发展行动纲要》《北京市“十四五”时期智慧城市建设控制性规划要求（试行）》《北京市智慧城市规划和顶层设计管理办法（试行）》等文件</w:t>
      </w:r>
      <w:r>
        <w:rPr>
          <w:rFonts w:hint="eastAsia" w:ascii="仿宋_GB2312" w:hAnsi="仿宋_GB2312" w:eastAsia="仿宋_GB2312" w:cs="仿宋_GB2312"/>
          <w:sz w:val="32"/>
          <w:szCs w:val="32"/>
          <w:highlight w:val="none"/>
          <w:lang w:val="en-US" w:eastAsia="zh-Hans"/>
        </w:rPr>
        <w:t>明确要</w:t>
      </w:r>
      <w:r>
        <w:rPr>
          <w:rFonts w:hint="eastAsia" w:ascii="仿宋_GB2312" w:hAnsi="仿宋_GB2312" w:eastAsia="仿宋_GB2312" w:cs="仿宋_GB2312"/>
          <w:sz w:val="32"/>
          <w:szCs w:val="32"/>
          <w:highlight w:val="none"/>
          <w:lang w:val="en-US" w:eastAsia="zh-CN"/>
        </w:rPr>
        <w:t>“完善智慧城市统筹协调机制，强化智慧城市建设统筹力度”“完善政府投资信息化项目评审管理办法，建立项目统筹管理闭环”“建立智慧城市评估评价体系”</w:t>
      </w:r>
      <w:r>
        <w:rPr>
          <w:rFonts w:hint="eastAsia" w:ascii="仿宋_GB2312" w:hAnsi="仿宋_GB2312" w:eastAsia="仿宋_GB2312" w:cs="仿宋_GB2312"/>
          <w:sz w:val="32"/>
          <w:szCs w:val="32"/>
          <w:highlight w:val="none"/>
          <w:lang w:val="en-US" w:eastAsia="zh-Hans"/>
        </w:rPr>
        <w:t>。为</w:t>
      </w:r>
      <w:r>
        <w:rPr>
          <w:rFonts w:hint="eastAsia" w:ascii="仿宋_GB2312" w:hAnsi="仿宋_GB2312" w:eastAsia="仿宋_GB2312" w:cs="仿宋_GB2312"/>
          <w:sz w:val="32"/>
          <w:szCs w:val="32"/>
          <w:highlight w:val="none"/>
        </w:rPr>
        <w:t>规范全市智慧城市规划、顶层设计的编制、</w:t>
      </w:r>
      <w:r>
        <w:rPr>
          <w:rFonts w:hint="eastAsia" w:ascii="仿宋_GB2312" w:hAnsi="仿宋_GB2312" w:eastAsia="仿宋_GB2312" w:cs="仿宋_GB2312"/>
          <w:sz w:val="32"/>
          <w:szCs w:val="32"/>
          <w:highlight w:val="none"/>
          <w:lang w:val="en-US" w:eastAsia="zh-Hans"/>
        </w:rPr>
        <w:t>申报、审批等工作，</w:t>
      </w:r>
      <w:r>
        <w:rPr>
          <w:rFonts w:hint="eastAsia" w:ascii="仿宋_GB2312" w:hAnsi="仿宋_GB2312" w:eastAsia="仿宋_GB2312" w:cs="仿宋_GB2312"/>
          <w:sz w:val="32"/>
          <w:szCs w:val="32"/>
          <w:highlight w:val="none"/>
        </w:rPr>
        <w:t>逐级落实行动纲要的建设要求</w:t>
      </w:r>
      <w:r>
        <w:rPr>
          <w:rFonts w:hint="eastAsia"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val="en-US" w:eastAsia="zh-CN"/>
        </w:rPr>
        <w:t>采用以政府投资为主导</w:t>
      </w:r>
      <w:r>
        <w:rPr>
          <w:rFonts w:hint="eastAsia" w:ascii="仿宋_GB2312" w:hAnsi="仿宋_GB2312" w:eastAsia="仿宋_GB2312" w:cs="仿宋_GB2312"/>
          <w:sz w:val="32"/>
          <w:szCs w:val="32"/>
          <w:highlight w:val="none"/>
          <w:lang w:val="en-US" w:eastAsia="zh-Hans"/>
        </w:rPr>
        <w:t>的方式，</w:t>
      </w:r>
      <w:r>
        <w:rPr>
          <w:rFonts w:hint="eastAsia" w:ascii="仿宋_GB2312" w:hAnsi="仿宋_GB2312" w:eastAsia="仿宋_GB2312" w:cs="仿宋_GB2312"/>
          <w:sz w:val="32"/>
          <w:szCs w:val="32"/>
          <w:highlight w:val="none"/>
        </w:rPr>
        <w:t>站在全市的角度开展专项规划和顶层设计评估</w:t>
      </w:r>
      <w:r>
        <w:rPr>
          <w:rFonts w:hint="eastAsia" w:ascii="仿宋_GB2312" w:hAnsi="仿宋_GB2312" w:eastAsia="仿宋_GB2312" w:cs="仿宋_GB2312"/>
          <w:sz w:val="32"/>
          <w:szCs w:val="32"/>
          <w:highlight w:val="none"/>
          <w:lang w:val="en-US" w:eastAsia="zh-Hans"/>
        </w:rPr>
        <w:t>工作</w:t>
      </w:r>
      <w:r>
        <w:rPr>
          <w:rFonts w:hint="eastAsia" w:ascii="仿宋_GB2312" w:hAnsi="仿宋_GB2312" w:eastAsia="仿宋_GB2312" w:cs="仿宋_GB2312"/>
          <w:sz w:val="32"/>
          <w:szCs w:val="32"/>
          <w:highlight w:val="none"/>
        </w:rPr>
        <w:t>，进一步</w:t>
      </w:r>
      <w:r>
        <w:rPr>
          <w:rFonts w:hint="eastAsia" w:ascii="仿宋_GB2312" w:hAnsi="仿宋_GB2312" w:eastAsia="仿宋_GB2312" w:cs="仿宋_GB2312"/>
          <w:sz w:val="32"/>
          <w:szCs w:val="32"/>
          <w:highlight w:val="none"/>
          <w:lang w:val="en-US" w:eastAsia="zh-CN"/>
        </w:rPr>
        <w:t>规范</w:t>
      </w:r>
      <w:r>
        <w:rPr>
          <w:rFonts w:hint="eastAsia" w:ascii="仿宋_GB2312" w:hAnsi="仿宋_GB2312" w:eastAsia="仿宋_GB2312" w:cs="仿宋_GB2312"/>
          <w:sz w:val="32"/>
          <w:szCs w:val="32"/>
          <w:highlight w:val="none"/>
        </w:rPr>
        <w:t>申报、审批和评估工作</w:t>
      </w:r>
      <w:r>
        <w:rPr>
          <w:rFonts w:hint="eastAsia" w:ascii="仿宋_GB2312" w:hAnsi="仿宋_GB2312" w:eastAsia="仿宋_GB2312" w:cs="仿宋_GB2312"/>
          <w:sz w:val="32"/>
          <w:szCs w:val="32"/>
          <w:highlight w:val="none"/>
          <w:lang w:val="en-US" w:eastAsia="zh-CN"/>
        </w:rPr>
        <w:t>流程</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Hans"/>
        </w:rPr>
        <w:t>符合</w:t>
      </w:r>
      <w:r>
        <w:rPr>
          <w:rFonts w:hint="eastAsia" w:ascii="仿宋_GB2312" w:hAnsi="仿宋_GB2312" w:eastAsia="仿宋_GB2312" w:cs="仿宋_GB2312"/>
          <w:sz w:val="32"/>
          <w:szCs w:val="32"/>
          <w:highlight w:val="none"/>
        </w:rPr>
        <w:t>北京市</w:t>
      </w:r>
      <w:r>
        <w:rPr>
          <w:rFonts w:hint="eastAsia" w:ascii="仿宋_GB2312" w:hAnsi="仿宋_GB2312" w:eastAsia="仿宋_GB2312" w:cs="仿宋_GB2312"/>
          <w:sz w:val="32"/>
          <w:szCs w:val="32"/>
          <w:highlight w:val="none"/>
          <w:lang w:val="en-US" w:eastAsia="zh-CN"/>
        </w:rPr>
        <w:t>关于智慧城市建设的</w:t>
      </w:r>
      <w:r>
        <w:rPr>
          <w:rFonts w:hint="eastAsia" w:ascii="仿宋_GB2312" w:hAnsi="仿宋_GB2312" w:eastAsia="仿宋_GB2312" w:cs="仿宋_GB2312"/>
          <w:sz w:val="32"/>
          <w:szCs w:val="32"/>
          <w:highlight w:val="none"/>
        </w:rPr>
        <w:t>政策</w:t>
      </w:r>
      <w:r>
        <w:rPr>
          <w:rFonts w:hint="eastAsia" w:ascii="仿宋_GB2312" w:hAnsi="仿宋_GB2312" w:eastAsia="仿宋_GB2312" w:cs="仿宋_GB2312"/>
          <w:sz w:val="32"/>
          <w:szCs w:val="32"/>
          <w:highlight w:val="none"/>
          <w:lang w:val="en-US" w:eastAsia="zh-Hans"/>
        </w:rPr>
        <w:t>要求</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sz w:val="32"/>
          <w:szCs w:val="32"/>
          <w:lang w:eastAsia="zh-CN"/>
        </w:rPr>
      </w:pPr>
      <w:r>
        <w:rPr>
          <w:rFonts w:hint="eastAsia" w:ascii="仿宋_GB2312" w:hAnsi="宋体" w:eastAsia="仿宋_GB2312"/>
          <w:sz w:val="32"/>
          <w:szCs w:val="32"/>
          <w:lang w:val="en-US" w:eastAsia="zh-Hans"/>
        </w:rPr>
        <w:t>市经济和信息化局</w:t>
      </w:r>
      <w:r>
        <w:rPr>
          <w:rFonts w:hint="eastAsia" w:ascii="仿宋_GB2312" w:hAnsi="宋体" w:eastAsia="仿宋_GB2312"/>
          <w:sz w:val="32"/>
          <w:szCs w:val="32"/>
          <w:lang w:val="en-US" w:eastAsia="zh-CN"/>
        </w:rPr>
        <w:t>作为统筹推进大数据各项工作</w:t>
      </w:r>
      <w:r>
        <w:rPr>
          <w:rFonts w:hint="eastAsia" w:ascii="仿宋_GB2312" w:hAnsi="宋体" w:eastAsia="仿宋_GB2312"/>
          <w:sz w:val="32"/>
          <w:szCs w:val="32"/>
          <w:lang w:val="en-US" w:eastAsia="zh-Hans"/>
        </w:rPr>
        <w:t>的</w:t>
      </w:r>
      <w:r>
        <w:rPr>
          <w:rFonts w:hint="eastAsia" w:ascii="仿宋_GB2312" w:hAnsi="宋体" w:eastAsia="仿宋_GB2312"/>
          <w:sz w:val="32"/>
          <w:szCs w:val="32"/>
          <w:lang w:val="en-US" w:eastAsia="zh-CN"/>
        </w:rPr>
        <w:t>主管</w:t>
      </w:r>
      <w:r>
        <w:rPr>
          <w:rFonts w:hint="eastAsia" w:ascii="仿宋_GB2312" w:hAnsi="宋体" w:eastAsia="仿宋_GB2312"/>
          <w:sz w:val="32"/>
          <w:szCs w:val="32"/>
          <w:lang w:val="en-US" w:eastAsia="zh-Hans"/>
        </w:rPr>
        <w:t>部门，承担</w:t>
      </w:r>
      <w:r>
        <w:rPr>
          <w:rFonts w:hint="eastAsia" w:ascii="仿宋_GB2312" w:hAnsi="宋体" w:eastAsia="仿宋_GB2312"/>
          <w:sz w:val="32"/>
          <w:szCs w:val="32"/>
        </w:rPr>
        <w:t>“统筹推进本市大数据工作</w:t>
      </w:r>
      <w:r>
        <w:rPr>
          <w:rFonts w:hint="eastAsia" w:ascii="仿宋_GB2312" w:hAnsi="宋体" w:eastAsia="仿宋_GB2312"/>
          <w:sz w:val="32"/>
          <w:szCs w:val="32"/>
          <w:lang w:eastAsia="zh-CN"/>
        </w:rPr>
        <w:t>，</w:t>
      </w:r>
      <w:r>
        <w:rPr>
          <w:rFonts w:hint="eastAsia" w:ascii="仿宋_GB2312" w:hAnsi="宋体" w:eastAsia="仿宋_GB2312"/>
          <w:sz w:val="32"/>
          <w:szCs w:val="32"/>
        </w:rPr>
        <w:t>强化大数据管理职责，加强顶层设计和统筹协调，推进数据汇集和发掘，深化大数据在各行业创新应用，促进大数据产业健康发展”的</w:t>
      </w:r>
      <w:r>
        <w:rPr>
          <w:rFonts w:hint="eastAsia" w:ascii="仿宋_GB2312" w:hAnsi="宋体" w:eastAsia="仿宋_GB2312"/>
          <w:sz w:val="32"/>
          <w:szCs w:val="32"/>
          <w:lang w:val="en-US" w:eastAsia="zh-Hans"/>
        </w:rPr>
        <w:t>职责，</w:t>
      </w:r>
      <w:r>
        <w:rPr>
          <w:rFonts w:hint="eastAsia" w:ascii="仿宋_GB2312" w:hAnsi="宋体" w:eastAsia="仿宋_GB2312"/>
          <w:sz w:val="32"/>
          <w:szCs w:val="32"/>
        </w:rPr>
        <w:t>在北京市大数据工作推进小组和市经济信息化局指导下</w:t>
      </w:r>
      <w:r>
        <w:rPr>
          <w:rFonts w:hint="eastAsia" w:ascii="仿宋_GB2312" w:hAnsi="宋体" w:eastAsia="仿宋_GB2312"/>
          <w:sz w:val="32"/>
          <w:szCs w:val="32"/>
          <w:lang w:val="en-US" w:eastAsia="zh-Hans"/>
        </w:rPr>
        <w:t>组织项目</w:t>
      </w:r>
      <w:r>
        <w:rPr>
          <w:rFonts w:hint="eastAsia" w:ascii="仿宋_GB2312" w:hAnsi="宋体" w:eastAsia="仿宋_GB2312"/>
          <w:sz w:val="32"/>
          <w:szCs w:val="32"/>
          <w:lang w:val="en-US" w:eastAsia="zh-CN"/>
        </w:rPr>
        <w:t>实施</w:t>
      </w:r>
      <w:r>
        <w:rPr>
          <w:rFonts w:hint="eastAsia" w:ascii="仿宋_GB2312" w:hAnsi="宋体" w:eastAsia="仿宋_GB2312"/>
          <w:sz w:val="32"/>
          <w:szCs w:val="32"/>
        </w:rPr>
        <w:t>，</w:t>
      </w:r>
      <w:r>
        <w:rPr>
          <w:rFonts w:hint="eastAsia" w:ascii="仿宋_GB2312" w:hAnsi="宋体" w:eastAsia="仿宋_GB2312"/>
          <w:sz w:val="32"/>
          <w:szCs w:val="32"/>
          <w:lang w:val="en-US" w:eastAsia="zh-Hans"/>
        </w:rPr>
        <w:t>具体工作由</w:t>
      </w:r>
      <w:r>
        <w:rPr>
          <w:rFonts w:hint="eastAsia" w:ascii="仿宋_GB2312" w:hAnsi="宋体" w:eastAsia="仿宋_GB2312"/>
          <w:sz w:val="32"/>
          <w:szCs w:val="32"/>
        </w:rPr>
        <w:t>大数据建设处</w:t>
      </w:r>
      <w:r>
        <w:rPr>
          <w:rFonts w:hint="eastAsia" w:ascii="仿宋_GB2312" w:hAnsi="宋体" w:eastAsia="仿宋_GB2312"/>
          <w:sz w:val="32"/>
          <w:szCs w:val="32"/>
          <w:lang w:val="en-US" w:eastAsia="zh-Hans"/>
        </w:rPr>
        <w:t>负责落实，</w:t>
      </w:r>
      <w:r>
        <w:rPr>
          <w:rFonts w:hint="eastAsia" w:ascii="仿宋_GB2312" w:hAnsi="宋体" w:eastAsia="仿宋_GB2312"/>
          <w:sz w:val="32"/>
          <w:szCs w:val="32"/>
        </w:rPr>
        <w:t>大数据建设处的主要职责是统筹本市数据资源管理和建设工作，负责推进智慧城市建设相关工作等</w:t>
      </w:r>
      <w:r>
        <w:rPr>
          <w:rFonts w:hint="eastAsia" w:ascii="仿宋_GB2312" w:hAnsi="宋体" w:eastAsia="仿宋_GB2312"/>
          <w:sz w:val="32"/>
          <w:szCs w:val="32"/>
          <w:lang w:eastAsia="zh-Hans"/>
        </w:rPr>
        <w:t>，</w:t>
      </w:r>
      <w:r>
        <w:rPr>
          <w:rFonts w:hint="eastAsia" w:ascii="仿宋_GB2312" w:hAnsi="宋体" w:eastAsia="仿宋_GB2312"/>
          <w:sz w:val="32"/>
          <w:szCs w:val="32"/>
        </w:rPr>
        <w:t>项目立项</w:t>
      </w:r>
      <w:r>
        <w:rPr>
          <w:rFonts w:hint="eastAsia" w:ascii="仿宋_GB2312" w:hAnsi="宋体" w:eastAsia="仿宋_GB2312"/>
          <w:sz w:val="32"/>
          <w:szCs w:val="32"/>
          <w:lang w:val="en-US" w:eastAsia="zh-Hans"/>
        </w:rPr>
        <w:t>符合</w:t>
      </w:r>
      <w:r>
        <w:rPr>
          <w:rFonts w:hint="eastAsia" w:ascii="仿宋_GB2312" w:hAnsi="宋体" w:eastAsia="仿宋_GB2312"/>
          <w:sz w:val="32"/>
          <w:szCs w:val="32"/>
        </w:rPr>
        <w:t>部门职责范围</w:t>
      </w:r>
      <w:r>
        <w:rPr>
          <w:rFonts w:hint="eastAsia" w:ascii="仿宋_GB2312" w:hAnsi="宋体" w:eastAsia="仿宋_GB2312"/>
          <w:sz w:val="32"/>
          <w:szCs w:val="32"/>
          <w:lang w:eastAsia="zh-CN"/>
        </w:rPr>
        <w:t>。</w:t>
      </w:r>
    </w:p>
    <w:p>
      <w:pPr>
        <w:keepNext w:val="0"/>
        <w:keepLines w:val="0"/>
        <w:pageBreakBefore w:val="0"/>
        <w:widowControl w:val="0"/>
        <w:kinsoku/>
        <w:wordWrap/>
        <w:overflowPunct/>
        <w:topLinePunct w:val="0"/>
        <w:autoSpaceDE/>
        <w:autoSpaceDN/>
        <w:bidi w:val="0"/>
        <w:spacing w:line="560" w:lineRule="exact"/>
        <w:ind w:firstLine="642" w:firstLineChars="200"/>
        <w:textAlignment w:val="auto"/>
        <w:rPr>
          <w:rFonts w:hint="default" w:ascii="仿宋_GB2312" w:hAnsi="宋体" w:eastAsia="仿宋_GB2312"/>
          <w:sz w:val="32"/>
          <w:szCs w:val="32"/>
          <w:lang w:val="en-US" w:eastAsia="zh-CN"/>
        </w:rPr>
      </w:pPr>
      <w:r>
        <w:rPr>
          <w:rFonts w:hint="eastAsia" w:ascii="仿宋_GB2312" w:hAnsi="宋体" w:eastAsia="仿宋_GB2312"/>
          <w:b/>
          <w:bCs/>
          <w:sz w:val="32"/>
          <w:szCs w:val="32"/>
          <w:lang w:val="en-US" w:eastAsia="zh-CN"/>
        </w:rPr>
        <w:t>评价认为，</w:t>
      </w:r>
      <w:r>
        <w:rPr>
          <w:rFonts w:hint="eastAsia" w:ascii="仿宋_GB2312" w:hAnsi="宋体" w:eastAsia="仿宋_GB2312"/>
          <w:sz w:val="32"/>
          <w:szCs w:val="32"/>
        </w:rPr>
        <w:t>项目</w:t>
      </w:r>
      <w:r>
        <w:rPr>
          <w:rFonts w:hint="eastAsia" w:ascii="仿宋_GB2312" w:hAnsi="宋体" w:eastAsia="仿宋_GB2312"/>
          <w:sz w:val="32"/>
          <w:szCs w:val="32"/>
          <w:lang w:val="en-US" w:eastAsia="zh-CN"/>
        </w:rPr>
        <w:t>设立</w:t>
      </w:r>
      <w:r>
        <w:rPr>
          <w:rFonts w:hint="eastAsia" w:ascii="仿宋_GB2312" w:hAnsi="宋体" w:eastAsia="仿宋_GB2312"/>
          <w:sz w:val="32"/>
          <w:szCs w:val="32"/>
          <w:lang w:val="en-US" w:eastAsia="zh-Hans"/>
        </w:rPr>
        <w:t>符合</w:t>
      </w:r>
      <w:r>
        <w:rPr>
          <w:rFonts w:hint="eastAsia" w:ascii="仿宋_GB2312" w:hAnsi="宋体" w:eastAsia="仿宋_GB2312"/>
          <w:sz w:val="32"/>
          <w:szCs w:val="32"/>
        </w:rPr>
        <w:t>国家智慧城市建设发展</w:t>
      </w:r>
      <w:r>
        <w:rPr>
          <w:rFonts w:hint="eastAsia" w:ascii="仿宋_GB2312" w:hAnsi="宋体" w:eastAsia="仿宋_GB2312"/>
          <w:sz w:val="32"/>
          <w:szCs w:val="32"/>
          <w:lang w:val="en-US" w:eastAsia="zh-Hans"/>
        </w:rPr>
        <w:t>要求</w:t>
      </w:r>
      <w:r>
        <w:rPr>
          <w:rFonts w:hint="eastAsia" w:ascii="仿宋_GB2312" w:hAnsi="宋体" w:eastAsia="仿宋_GB2312"/>
          <w:sz w:val="32"/>
          <w:szCs w:val="32"/>
        </w:rPr>
        <w:t>，符合北京市</w:t>
      </w:r>
      <w:r>
        <w:rPr>
          <w:rFonts w:hint="eastAsia" w:ascii="仿宋_GB2312" w:hAnsi="宋体" w:eastAsia="仿宋_GB2312"/>
          <w:sz w:val="32"/>
          <w:szCs w:val="32"/>
          <w:lang w:val="en-US" w:eastAsia="zh-CN"/>
        </w:rPr>
        <w:t>“十四五”时期</w:t>
      </w:r>
      <w:r>
        <w:rPr>
          <w:rFonts w:hint="eastAsia" w:ascii="仿宋_GB2312" w:hAnsi="宋体" w:eastAsia="仿宋_GB2312"/>
          <w:sz w:val="32"/>
          <w:szCs w:val="32"/>
        </w:rPr>
        <w:t>数字经济、智慧城市建设规划</w:t>
      </w:r>
      <w:r>
        <w:rPr>
          <w:rFonts w:hint="eastAsia" w:ascii="仿宋_GB2312" w:hAnsi="宋体" w:eastAsia="仿宋_GB2312"/>
          <w:sz w:val="32"/>
          <w:szCs w:val="32"/>
          <w:lang w:val="en-US" w:eastAsia="zh-Hans"/>
        </w:rPr>
        <w:t>等文件精神</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Hans"/>
        </w:rPr>
        <w:t>项目实施</w:t>
      </w:r>
      <w:r>
        <w:rPr>
          <w:rFonts w:hint="eastAsia" w:ascii="仿宋_GB2312" w:hAnsi="宋体" w:eastAsia="仿宋_GB2312"/>
          <w:sz w:val="32"/>
          <w:szCs w:val="32"/>
          <w:lang w:val="en-US" w:eastAsia="zh-CN"/>
        </w:rPr>
        <w:t>有助于</w:t>
      </w:r>
      <w:r>
        <w:rPr>
          <w:rFonts w:hint="eastAsia" w:ascii="仿宋_GB2312" w:hAnsi="宋体" w:eastAsia="仿宋_GB2312"/>
          <w:sz w:val="32"/>
          <w:szCs w:val="32"/>
        </w:rPr>
        <w:t>强化智慧城市统筹协调力度</w:t>
      </w:r>
      <w:r>
        <w:rPr>
          <w:rFonts w:hint="eastAsia" w:ascii="仿宋_GB2312" w:hAnsi="宋体" w:eastAsia="仿宋_GB2312"/>
          <w:sz w:val="32"/>
          <w:szCs w:val="32"/>
          <w:lang w:eastAsia="zh-CN"/>
        </w:rPr>
        <w:t>，</w:t>
      </w:r>
      <w:r>
        <w:rPr>
          <w:rFonts w:hint="eastAsia" w:ascii="仿宋_GB2312" w:hAnsi="宋体" w:eastAsia="仿宋_GB2312"/>
          <w:sz w:val="32"/>
          <w:szCs w:val="32"/>
        </w:rPr>
        <w:t>支撑落实总规、控规、专项规划、顶层设计四级管控体系，提升智慧城市专项规划评审、顶层设计评审等相关工作的专业化水平，保障智慧城市建设“一张蓝图绘到底”</w:t>
      </w:r>
      <w:r>
        <w:rPr>
          <w:rFonts w:hint="eastAsia" w:ascii="仿宋_GB2312" w:hAnsi="宋体" w:eastAsia="仿宋_GB2312"/>
          <w:sz w:val="32"/>
          <w:szCs w:val="32"/>
          <w:lang w:val="en-US" w:eastAsia="zh-Hans"/>
        </w:rPr>
        <w:t>目标实现</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项目</w:t>
      </w:r>
      <w:r>
        <w:rPr>
          <w:rFonts w:hint="eastAsia" w:ascii="仿宋_GB2312" w:hAnsi="宋体" w:eastAsia="仿宋_GB2312"/>
          <w:sz w:val="32"/>
          <w:szCs w:val="32"/>
          <w:lang w:val="en-US" w:eastAsia="zh-Hans"/>
        </w:rPr>
        <w:t>实施</w:t>
      </w:r>
      <w:r>
        <w:rPr>
          <w:rFonts w:hint="eastAsia" w:ascii="仿宋_GB2312" w:hAnsi="宋体" w:eastAsia="仿宋_GB2312"/>
          <w:sz w:val="32"/>
          <w:szCs w:val="32"/>
          <w:lang w:val="en-US" w:eastAsia="zh-CN"/>
        </w:rPr>
        <w:t>与市经济和信息化局统筹推进本市大数据工作的职能相匹配</w:t>
      </w:r>
      <w:r>
        <w:rPr>
          <w:rFonts w:hint="eastAsia" w:ascii="仿宋_GB2312" w:hAnsi="宋体" w:eastAsia="仿宋_GB2312"/>
          <w:sz w:val="32"/>
          <w:szCs w:val="32"/>
          <w:lang w:val="en-US" w:eastAsia="zh-Hans"/>
        </w:rPr>
        <w:t>，</w:t>
      </w:r>
      <w:r>
        <w:rPr>
          <w:rFonts w:hint="eastAsia" w:ascii="仿宋_GB2312" w:hAnsi="宋体" w:eastAsia="仿宋_GB2312"/>
          <w:sz w:val="32"/>
          <w:szCs w:val="32"/>
          <w:lang w:val="en-US" w:eastAsia="zh-CN"/>
        </w:rPr>
        <w:t>项目立项依据充分。</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（2）立项程序规范性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val="0"/>
          <w:sz w:val="32"/>
          <w:szCs w:val="32"/>
        </w:rPr>
      </w:pPr>
      <w:r>
        <w:rPr>
          <w:rFonts w:hint="eastAsia" w:ascii="仿宋_GB2312" w:hAnsi="仿宋_GB2312" w:eastAsia="仿宋_GB2312" w:cs="仿宋_GB2312"/>
          <w:sz w:val="32"/>
          <w:szCs w:val="32"/>
          <w:lang w:val="en-US" w:eastAsia="zh-Hans"/>
        </w:rPr>
        <w:t>市经济和信息化局大数据建设处</w:t>
      </w:r>
      <w:r>
        <w:rPr>
          <w:rFonts w:hint="eastAsia" w:ascii="仿宋_GB2312" w:hAnsi="仿宋_GB2312" w:eastAsia="仿宋_GB2312" w:cs="仿宋_GB2312"/>
          <w:sz w:val="32"/>
          <w:szCs w:val="32"/>
          <w:lang w:val="en-US" w:eastAsia="zh-CN"/>
        </w:rPr>
        <w:t>根据2022年</w:t>
      </w:r>
      <w:r>
        <w:rPr>
          <w:rFonts w:hint="eastAsia" w:ascii="仿宋_GB2312" w:hAnsi="仿宋_GB2312" w:eastAsia="仿宋_GB2312" w:cs="仿宋_GB2312"/>
          <w:sz w:val="32"/>
          <w:szCs w:val="32"/>
        </w:rPr>
        <w:t>全市智慧城市</w:t>
      </w:r>
      <w:r>
        <w:rPr>
          <w:rFonts w:hint="eastAsia" w:ascii="仿宋_GB2312" w:hAnsi="仿宋_GB2312" w:eastAsia="仿宋_GB2312" w:cs="仿宋_GB2312"/>
          <w:sz w:val="32"/>
          <w:szCs w:val="32"/>
          <w:lang w:val="en-US" w:eastAsia="zh-CN"/>
        </w:rPr>
        <w:t>建设的</w:t>
      </w:r>
      <w:r>
        <w:rPr>
          <w:rFonts w:hint="eastAsia" w:ascii="仿宋_GB2312" w:hAnsi="仿宋_GB2312" w:eastAsia="仿宋_GB2312" w:cs="仿宋_GB2312"/>
          <w:sz w:val="32"/>
          <w:szCs w:val="32"/>
        </w:rPr>
        <w:t>工作重点</w:t>
      </w:r>
      <w:r>
        <w:rPr>
          <w:rFonts w:hint="eastAsia" w:ascii="仿宋_GB2312" w:hAnsi="仿宋_GB2312" w:eastAsia="仿宋_GB2312" w:cs="仿宋_GB2312"/>
          <w:sz w:val="32"/>
          <w:szCs w:val="32"/>
          <w:lang w:val="en-US" w:eastAsia="zh-CN"/>
        </w:rPr>
        <w:t>以及</w:t>
      </w:r>
      <w:r>
        <w:rPr>
          <w:rFonts w:hint="eastAsia" w:ascii="仿宋_GB2312" w:hAnsi="仿宋_GB2312" w:eastAsia="仿宋_GB2312" w:cs="仿宋_GB2312"/>
          <w:sz w:val="32"/>
          <w:szCs w:val="32"/>
        </w:rPr>
        <w:t>各部门（领域）的专项规划、区域规划备案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顶层设计评估评价支撑工作</w:t>
      </w:r>
      <w:r>
        <w:rPr>
          <w:rFonts w:hint="eastAsia" w:ascii="仿宋_GB2312" w:hAnsi="仿宋_GB2312" w:eastAsia="仿宋_GB2312" w:cs="仿宋_GB2312"/>
          <w:sz w:val="32"/>
          <w:szCs w:val="32"/>
          <w:lang w:val="en-US" w:eastAsia="zh-CN"/>
        </w:rPr>
        <w:t>的重点任务确定项目</w:t>
      </w:r>
      <w:r>
        <w:rPr>
          <w:rFonts w:hint="eastAsia" w:ascii="仿宋_GB2312" w:hAnsi="仿宋_GB2312" w:eastAsia="仿宋_GB2312" w:cs="仿宋_GB2312"/>
          <w:sz w:val="32"/>
          <w:szCs w:val="32"/>
          <w:lang w:val="en-US" w:eastAsia="zh-Hans"/>
        </w:rPr>
        <w:t>内容，按照北京市财政局（以下简称“市财政局”）关于部门预算编制的工作要求编制项目预算，经市经济和信息化局财务处审核、</w:t>
      </w:r>
      <w:r>
        <w:rPr>
          <w:rFonts w:hint="eastAsia" w:ascii="仿宋_GB2312" w:hAnsi="仿宋_GB2312" w:eastAsia="仿宋_GB2312" w:cs="仿宋_GB2312"/>
          <w:sz w:val="32"/>
          <w:szCs w:val="32"/>
        </w:rPr>
        <w:t>局党组（扩大）会议审议通过</w:t>
      </w:r>
      <w:r>
        <w:rPr>
          <w:rFonts w:hint="eastAsia" w:ascii="仿宋_GB2312" w:hAnsi="仿宋_GB2312" w:eastAsia="仿宋_GB2312" w:cs="仿宋_GB2312"/>
          <w:sz w:val="32"/>
          <w:szCs w:val="32"/>
          <w:lang w:val="en-US" w:eastAsia="zh-Hans"/>
        </w:rPr>
        <w:t>后，纳入部门预算上报市财政局，</w:t>
      </w:r>
      <w:r>
        <w:rPr>
          <w:rFonts w:hint="eastAsia" w:ascii="仿宋_GB2312" w:hAnsi="仿宋_GB2312" w:eastAsia="仿宋_GB2312" w:cs="仿宋_GB2312"/>
          <w:sz w:val="32"/>
          <w:szCs w:val="32"/>
        </w:rPr>
        <w:t>项目立项程序较为规范。</w:t>
      </w:r>
      <w:bookmarkStart w:id="141" w:name="_Toc17724"/>
      <w:bookmarkStart w:id="142" w:name="_Toc7415"/>
      <w:bookmarkStart w:id="143" w:name="_Toc26976"/>
      <w:bookmarkStart w:id="144" w:name="_Toc17813"/>
      <w:bookmarkStart w:id="145" w:name="_Toc32201"/>
      <w:bookmarkStart w:id="146" w:name="_Toc10265"/>
      <w:bookmarkStart w:id="147" w:name="_Toc16741"/>
      <w:bookmarkStart w:id="148" w:name="_Toc1395"/>
      <w:bookmarkStart w:id="149" w:name="_Toc4417"/>
      <w:bookmarkStart w:id="150" w:name="_Toc807"/>
      <w:bookmarkStart w:id="151" w:name="_Toc2847"/>
      <w:bookmarkStart w:id="152" w:name="_Toc6252"/>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2.绩效目标情况分析</w:t>
      </w:r>
      <w:bookmarkEnd w:id="141"/>
      <w:bookmarkEnd w:id="142"/>
      <w:bookmarkEnd w:id="143"/>
      <w:bookmarkEnd w:id="144"/>
      <w:bookmarkEnd w:id="145"/>
      <w:bookmarkEnd w:id="146"/>
      <w:bookmarkEnd w:id="147"/>
      <w:bookmarkEnd w:id="148"/>
      <w:bookmarkEnd w:id="149"/>
      <w:bookmarkEnd w:id="150"/>
      <w:bookmarkEnd w:id="151"/>
      <w:bookmarkEnd w:id="152"/>
    </w:p>
    <w:p>
      <w:pPr>
        <w:pStyle w:val="11"/>
        <w:keepNext w:val="0"/>
        <w:keepLines w:val="0"/>
        <w:pageBreakBefore w:val="0"/>
        <w:widowControl w:val="0"/>
        <w:kinsoku/>
        <w:wordWrap/>
        <w:overflowPunct/>
        <w:topLinePunct w:val="0"/>
        <w:bidi w:val="0"/>
        <w:spacing w:line="560" w:lineRule="exact"/>
        <w:ind w:firstLine="640"/>
        <w:textAlignment w:val="auto"/>
        <w:rPr>
          <w:rFonts w:hint="eastAsia" w:ascii="仿宋_GB2312" w:hAnsi="仿宋_GB2312" w:eastAsia="仿宋_GB2312" w:cs="仿宋_GB2312"/>
          <w:spacing w:val="0"/>
          <w:kern w:val="2"/>
          <w:sz w:val="32"/>
          <w:szCs w:val="32"/>
          <w:u w:val="none"/>
          <w:lang w:val="en-US" w:eastAsia="zh-CN" w:bidi="ar-SA"/>
        </w:rPr>
      </w:pPr>
      <w:r>
        <w:rPr>
          <w:rFonts w:hint="eastAsia" w:ascii="仿宋_GB2312" w:hAnsi="仿宋_GB2312" w:eastAsia="仿宋_GB2312" w:cs="仿宋_GB2312"/>
          <w:spacing w:val="0"/>
          <w:kern w:val="2"/>
          <w:sz w:val="32"/>
          <w:szCs w:val="32"/>
          <w:u w:val="none"/>
          <w:lang w:val="en-US" w:eastAsia="zh-CN" w:bidi="ar-SA"/>
        </w:rPr>
        <w:t>（1）绩效目标合理性</w:t>
      </w:r>
    </w:p>
    <w:p>
      <w:pPr>
        <w:pStyle w:val="4"/>
        <w:keepNext w:val="0"/>
        <w:keepLines w:val="0"/>
        <w:pageBreakBefore w:val="0"/>
        <w:widowControl w:val="0"/>
        <w:kinsoku/>
        <w:wordWrap/>
        <w:overflowPunct/>
        <w:topLinePunct w:val="0"/>
        <w:bidi w:val="0"/>
        <w:spacing w:line="560" w:lineRule="exact"/>
        <w:ind w:firstLine="640" w:firstLineChars="200"/>
        <w:textAlignment w:val="auto"/>
        <w:rPr>
          <w:rFonts w:hint="eastAsia" w:ascii="仿宋_GB2312" w:hAnsi="仿宋_GB2312" w:eastAsia="仿宋_GB2312" w:cs="仿宋_GB2312"/>
          <w:spacing w:val="0"/>
          <w:kern w:val="2"/>
          <w:sz w:val="32"/>
          <w:szCs w:val="32"/>
          <w:u w:val="none"/>
          <w:lang w:val="en-US" w:eastAsia="zh-CN" w:bidi="ar-SA"/>
        </w:rPr>
      </w:pPr>
      <w:r>
        <w:rPr>
          <w:rFonts w:hint="eastAsia" w:ascii="仿宋_GB2312" w:hAnsi="仿宋_GB2312" w:eastAsia="仿宋_GB2312" w:cs="仿宋_GB2312"/>
          <w:spacing w:val="0"/>
          <w:kern w:val="2"/>
          <w:sz w:val="32"/>
          <w:szCs w:val="32"/>
          <w:u w:val="none"/>
          <w:lang w:val="en-US" w:eastAsia="zh-Hans" w:bidi="ar-SA"/>
        </w:rPr>
        <w:t>市经济和信息化局根据规划任务及年度计划实施内容</w:t>
      </w:r>
      <w:r>
        <w:rPr>
          <w:rFonts w:hint="eastAsia" w:ascii="仿宋_GB2312" w:hAnsi="仿宋_GB2312" w:eastAsia="仿宋_GB2312" w:cs="仿宋_GB2312"/>
          <w:spacing w:val="0"/>
          <w:kern w:val="2"/>
          <w:sz w:val="32"/>
          <w:szCs w:val="32"/>
          <w:u w:val="none"/>
          <w:lang w:val="en-US" w:eastAsia="zh-CN" w:bidi="ar-SA"/>
        </w:rPr>
        <w:t>设置</w:t>
      </w:r>
      <w:r>
        <w:rPr>
          <w:rFonts w:hint="eastAsia" w:ascii="仿宋_GB2312" w:hAnsi="仿宋_GB2312" w:eastAsia="仿宋_GB2312" w:cs="仿宋_GB2312"/>
          <w:spacing w:val="0"/>
          <w:kern w:val="2"/>
          <w:sz w:val="32"/>
          <w:szCs w:val="32"/>
          <w:u w:val="none"/>
          <w:lang w:val="en-US" w:eastAsia="zh-Hans" w:bidi="ar-SA"/>
        </w:rPr>
        <w:t>了项目</w:t>
      </w:r>
      <w:r>
        <w:rPr>
          <w:rFonts w:hint="eastAsia" w:ascii="仿宋_GB2312" w:hAnsi="仿宋_GB2312" w:eastAsia="仿宋_GB2312" w:cs="仿宋_GB2312"/>
          <w:spacing w:val="0"/>
          <w:kern w:val="2"/>
          <w:sz w:val="32"/>
          <w:szCs w:val="32"/>
          <w:u w:val="none"/>
          <w:lang w:val="en-US" w:eastAsia="zh-CN" w:bidi="ar-SA"/>
        </w:rPr>
        <w:t>年度绩效目标，绩效目标反映了项目实施在北京市智慧城市建设方面的预期效益</w:t>
      </w:r>
      <w:r>
        <w:rPr>
          <w:rFonts w:hint="eastAsia" w:ascii="仿宋_GB2312" w:hAnsi="仿宋_GB2312" w:eastAsia="仿宋_GB2312" w:cs="仿宋_GB2312"/>
          <w:spacing w:val="0"/>
          <w:kern w:val="2"/>
          <w:sz w:val="32"/>
          <w:szCs w:val="32"/>
          <w:u w:val="none"/>
          <w:lang w:val="en-US" w:eastAsia="zh-Hans" w:bidi="ar-SA"/>
        </w:rPr>
        <w:t>，目标设置依据较为充分，内容较为合理</w:t>
      </w:r>
      <w:r>
        <w:rPr>
          <w:rFonts w:hint="eastAsia" w:ascii="仿宋_GB2312" w:hAnsi="仿宋_GB2312" w:eastAsia="仿宋_GB2312" w:cs="仿宋_GB2312"/>
          <w:spacing w:val="0"/>
          <w:kern w:val="2"/>
          <w:sz w:val="32"/>
          <w:szCs w:val="32"/>
          <w:u w:val="none"/>
          <w:lang w:val="en-US" w:eastAsia="zh-CN" w:bidi="ar-SA"/>
        </w:rPr>
        <w:t>。但项目年度目标对项目实施的预期产出阐述偏笼统，不够明确、具体。</w:t>
      </w:r>
    </w:p>
    <w:p>
      <w:pPr>
        <w:pStyle w:val="11"/>
        <w:keepNext w:val="0"/>
        <w:keepLines w:val="0"/>
        <w:pageBreakBefore w:val="0"/>
        <w:widowControl w:val="0"/>
        <w:kinsoku/>
        <w:wordWrap/>
        <w:overflowPunct/>
        <w:topLinePunct w:val="0"/>
        <w:bidi w:val="0"/>
        <w:spacing w:line="560" w:lineRule="exact"/>
        <w:ind w:firstLine="640"/>
        <w:textAlignment w:val="auto"/>
        <w:rPr>
          <w:rFonts w:hint="eastAsia" w:ascii="仿宋_GB2312" w:hAnsi="仿宋_GB2312" w:eastAsia="仿宋_GB2312" w:cs="仿宋_GB2312"/>
          <w:spacing w:val="0"/>
          <w:kern w:val="2"/>
          <w:sz w:val="32"/>
          <w:szCs w:val="32"/>
          <w:u w:val="none"/>
          <w:lang w:val="en-US" w:eastAsia="zh-CN" w:bidi="ar-SA"/>
        </w:rPr>
      </w:pPr>
      <w:r>
        <w:rPr>
          <w:rFonts w:hint="eastAsia" w:ascii="仿宋_GB2312" w:hAnsi="仿宋_GB2312" w:eastAsia="仿宋_GB2312" w:cs="仿宋_GB2312"/>
          <w:spacing w:val="0"/>
          <w:kern w:val="2"/>
          <w:sz w:val="32"/>
          <w:szCs w:val="32"/>
          <w:u w:val="none"/>
          <w:lang w:val="en-US" w:eastAsia="zh-CN" w:bidi="ar-SA"/>
        </w:rPr>
        <w:t>（2）绩效指标明确性</w:t>
      </w:r>
    </w:p>
    <w:p>
      <w:pPr>
        <w:keepNext w:val="0"/>
        <w:keepLines w:val="0"/>
        <w:pageBreakBefore w:val="0"/>
        <w:widowControl w:val="0"/>
        <w:kinsoku/>
        <w:wordWrap/>
        <w:overflowPunct/>
        <w:topLinePunct w:val="0"/>
        <w:bidi w:val="0"/>
        <w:spacing w:line="560" w:lineRule="exact"/>
        <w:ind w:firstLine="640" w:firstLineChars="200"/>
        <w:textAlignment w:val="auto"/>
        <w:rPr>
          <w:rFonts w:hint="eastAsia" w:ascii="仿宋_GB2312" w:hAnsi="仿宋_GB2312" w:eastAsia="仿宋_GB2312"/>
          <w:sz w:val="32"/>
          <w:szCs w:val="32"/>
          <w:lang w:val="en-US" w:eastAsia="zh-CN"/>
        </w:rPr>
      </w:pPr>
      <w:r>
        <w:rPr>
          <w:rFonts w:hint="eastAsia" w:ascii="仿宋_GB2312" w:hAnsi="仿宋_GB2312" w:eastAsia="仿宋_GB2312" w:cs="仿宋_GB2312"/>
          <w:spacing w:val="0"/>
          <w:kern w:val="2"/>
          <w:sz w:val="32"/>
          <w:szCs w:val="32"/>
          <w:u w:val="none"/>
          <w:lang w:val="en-US" w:eastAsia="zh-Hans" w:bidi="ar-SA"/>
        </w:rPr>
        <w:t>市经济和信息化局</w:t>
      </w:r>
      <w:r>
        <w:rPr>
          <w:rFonts w:hint="eastAsia" w:ascii="仿宋_GB2312" w:hAnsi="仿宋_GB2312" w:eastAsia="仿宋_GB2312" w:cs="仿宋_GB2312"/>
          <w:spacing w:val="0"/>
          <w:kern w:val="2"/>
          <w:sz w:val="32"/>
          <w:szCs w:val="32"/>
          <w:u w:val="none"/>
          <w:lang w:val="en-US" w:eastAsia="zh-CN" w:bidi="ar-SA"/>
        </w:rPr>
        <w:t>从产出、效益及满意度等方面对年度绩效目标进行细化分解，设置绩效指标</w:t>
      </w:r>
      <w:r>
        <w:rPr>
          <w:rFonts w:hint="eastAsia" w:ascii="仿宋_GB2312" w:hAnsi="仿宋_GB2312" w:eastAsia="仿宋_GB2312" w:cs="仿宋_GB2312"/>
          <w:spacing w:val="0"/>
          <w:kern w:val="2"/>
          <w:sz w:val="32"/>
          <w:szCs w:val="32"/>
          <w:u w:val="none"/>
          <w:lang w:val="en-US" w:eastAsia="zh-Hans" w:bidi="ar-SA"/>
        </w:rPr>
        <w:t>并明确了绩效指标值</w:t>
      </w:r>
      <w:r>
        <w:rPr>
          <w:rFonts w:hint="eastAsia" w:ascii="仿宋_GB2312" w:hAnsi="仿宋_GB2312" w:eastAsia="仿宋_GB2312" w:cs="仿宋_GB2312"/>
          <w:spacing w:val="0"/>
          <w:kern w:val="2"/>
          <w:sz w:val="32"/>
          <w:szCs w:val="32"/>
          <w:u w:val="none"/>
          <w:lang w:val="en-US" w:eastAsia="zh-CN" w:bidi="ar-SA"/>
        </w:rPr>
        <w:t>，但项目绩效指标的设置存在以下不足：</w:t>
      </w:r>
      <w:r>
        <w:rPr>
          <w:rFonts w:hint="eastAsia" w:ascii="仿宋_GB2312" w:hAnsi="仿宋_GB2312" w:eastAsia="仿宋_GB2312" w:cs="仿宋_GB2312"/>
          <w:b/>
          <w:bCs/>
          <w:spacing w:val="0"/>
          <w:kern w:val="2"/>
          <w:sz w:val="32"/>
          <w:szCs w:val="32"/>
          <w:u w:val="none"/>
          <w:lang w:val="en-US" w:eastAsia="zh-CN" w:bidi="ar-SA"/>
        </w:rPr>
        <w:t>一是</w:t>
      </w:r>
      <w:r>
        <w:rPr>
          <w:rFonts w:hint="eastAsia" w:ascii="仿宋_GB2312" w:hAnsi="仿宋_GB2312" w:eastAsia="仿宋_GB2312" w:cs="仿宋_GB2312"/>
          <w:b w:val="0"/>
          <w:bCs w:val="0"/>
          <w:spacing w:val="0"/>
          <w:kern w:val="2"/>
          <w:sz w:val="32"/>
          <w:szCs w:val="32"/>
          <w:u w:val="none"/>
          <w:lang w:val="en-US" w:eastAsia="zh-CN" w:bidi="ar-SA"/>
        </w:rPr>
        <w:t>绩效指标明确性不足。</w:t>
      </w:r>
      <w:r>
        <w:rPr>
          <w:rFonts w:hint="eastAsia" w:ascii="仿宋_GB2312" w:hAnsi="仿宋_GB2312" w:eastAsia="仿宋_GB2312" w:cs="仿宋_GB2312"/>
          <w:b/>
          <w:bCs/>
          <w:spacing w:val="0"/>
          <w:kern w:val="2"/>
          <w:sz w:val="32"/>
          <w:szCs w:val="32"/>
          <w:u w:val="none"/>
          <w:lang w:val="en-US" w:eastAsia="zh-CN" w:bidi="ar-SA"/>
        </w:rPr>
        <w:t>质量指标</w:t>
      </w:r>
      <w:r>
        <w:rPr>
          <w:rFonts w:hint="eastAsia" w:ascii="仿宋_GB2312" w:hAnsi="仿宋_GB2312" w:eastAsia="仿宋_GB2312" w:cs="仿宋_GB2312"/>
          <w:b w:val="0"/>
          <w:bCs w:val="0"/>
          <w:spacing w:val="0"/>
          <w:kern w:val="2"/>
          <w:sz w:val="32"/>
          <w:szCs w:val="32"/>
          <w:u w:val="none"/>
          <w:lang w:val="en-US" w:eastAsia="zh-CN" w:bidi="ar-SA"/>
        </w:rPr>
        <w:t>设置为验收合格率100%，未针对</w:t>
      </w:r>
      <w:r>
        <w:rPr>
          <w:rFonts w:hint="eastAsia" w:ascii="仿宋_GB2312" w:hAnsi="仿宋_GB2312" w:eastAsia="仿宋_GB2312" w:cs="仿宋_GB2312"/>
          <w:sz w:val="32"/>
          <w:szCs w:val="32"/>
        </w:rPr>
        <w:t>项目实际产出明确质量考核指标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质量指标</w:t>
      </w:r>
      <w:r>
        <w:rPr>
          <w:rFonts w:hint="eastAsia" w:ascii="仿宋_GB2312" w:hAnsi="仿宋_GB2312" w:eastAsia="仿宋_GB2312" w:cs="仿宋_GB2312"/>
          <w:sz w:val="32"/>
          <w:szCs w:val="32"/>
          <w:lang w:val="en-US" w:eastAsia="zh-CN"/>
        </w:rPr>
        <w:t>明确性不足</w:t>
      </w:r>
      <w:r>
        <w:rPr>
          <w:rFonts w:hint="eastAsia" w:ascii="仿宋_GB2312" w:hAnsi="仿宋_GB2312" w:eastAsia="仿宋_GB2312" w:cs="仿宋_GB2312"/>
          <w:b w:val="0"/>
          <w:bCs w:val="0"/>
          <w:spacing w:val="0"/>
          <w:kern w:val="2"/>
          <w:sz w:val="32"/>
          <w:szCs w:val="32"/>
          <w:u w:val="none"/>
          <w:lang w:val="en-US" w:eastAsia="zh-CN" w:bidi="ar-SA"/>
        </w:rPr>
        <w:t>。</w:t>
      </w:r>
      <w:r>
        <w:rPr>
          <w:rFonts w:hint="eastAsia" w:ascii="仿宋_GB2312" w:hAnsi="仿宋_GB2312" w:eastAsia="仿宋_GB2312" w:cs="仿宋_GB2312"/>
          <w:b/>
          <w:bCs/>
          <w:spacing w:val="0"/>
          <w:kern w:val="2"/>
          <w:sz w:val="32"/>
          <w:szCs w:val="32"/>
          <w:u w:val="none"/>
          <w:lang w:val="en-US" w:eastAsia="zh-CN" w:bidi="ar-SA"/>
        </w:rPr>
        <w:t>二是</w:t>
      </w:r>
      <w:r>
        <w:rPr>
          <w:rFonts w:hint="eastAsia" w:ascii="仿宋_GB2312" w:hAnsi="仿宋_GB2312" w:eastAsia="仿宋_GB2312" w:cs="仿宋_GB2312"/>
          <w:sz w:val="32"/>
          <w:szCs w:val="32"/>
          <w:lang w:val="en-US" w:eastAsia="zh-CN"/>
        </w:rPr>
        <w:t>绩效指标细化程度</w:t>
      </w:r>
      <w:r>
        <w:rPr>
          <w:rFonts w:hint="eastAsia" w:ascii="仿宋_GB2312" w:hAnsi="仿宋_GB2312" w:eastAsia="仿宋_GB2312" w:cs="仿宋_GB2312"/>
          <w:b w:val="0"/>
          <w:bCs w:val="0"/>
          <w:spacing w:val="0"/>
          <w:kern w:val="2"/>
          <w:sz w:val="32"/>
          <w:szCs w:val="32"/>
          <w:u w:val="none"/>
          <w:lang w:val="en-US" w:eastAsia="zh-CN" w:bidi="ar-SA"/>
        </w:rPr>
        <w:t>不足。</w:t>
      </w:r>
      <w:r>
        <w:rPr>
          <w:rFonts w:hint="eastAsia" w:ascii="仿宋_GB2312" w:hAnsi="仿宋_GB2312" w:eastAsia="仿宋_GB2312" w:cs="仿宋_GB2312"/>
          <w:b/>
          <w:bCs/>
          <w:spacing w:val="0"/>
          <w:kern w:val="2"/>
          <w:sz w:val="32"/>
          <w:szCs w:val="32"/>
          <w:u w:val="none"/>
          <w:lang w:val="en-US" w:eastAsia="zh-CN" w:bidi="ar-SA"/>
        </w:rPr>
        <w:t>时效指标</w:t>
      </w:r>
      <w:r>
        <w:rPr>
          <w:rFonts w:hint="eastAsia" w:ascii="仿宋_GB2312" w:hAnsi="仿宋_GB2312" w:eastAsia="仿宋_GB2312" w:cs="仿宋_GB2312"/>
          <w:sz w:val="32"/>
          <w:szCs w:val="32"/>
          <w:lang w:val="en-US" w:eastAsia="zh-CN"/>
        </w:rPr>
        <w:t>设置为“截至11月底项目支出完成率100%”等普适性指标，</w:t>
      </w:r>
      <w:r>
        <w:rPr>
          <w:rFonts w:hint="eastAsia" w:ascii="仿宋_GB2312" w:hAnsi="仿宋_GB2312" w:eastAsia="仿宋_GB2312" w:cs="仿宋_GB2312"/>
          <w:sz w:val="32"/>
          <w:szCs w:val="32"/>
        </w:rPr>
        <w:t>该项目实施</w:t>
      </w:r>
      <w:r>
        <w:rPr>
          <w:rFonts w:hint="eastAsia" w:ascii="仿宋_GB2312" w:hAnsi="仿宋_GB2312" w:eastAsia="仿宋_GB2312"/>
          <w:sz w:val="32"/>
          <w:szCs w:val="32"/>
        </w:rPr>
        <w:t>具有较为明确工作要求及进度安排，时间效率较强，时效指标设定不够细化</w:t>
      </w:r>
      <w:r>
        <w:rPr>
          <w:rFonts w:hint="eastAsia" w:ascii="仿宋_GB2312" w:hAnsi="仿宋_GB2312" w:eastAsia="仿宋_GB2312"/>
          <w:sz w:val="32"/>
          <w:szCs w:val="32"/>
          <w:lang w:val="en-US" w:eastAsia="zh-CN"/>
        </w:rPr>
        <w:t>；</w:t>
      </w:r>
      <w:r>
        <w:rPr>
          <w:rFonts w:hint="eastAsia" w:ascii="仿宋_GB2312" w:hAnsi="仿宋_GB2312" w:eastAsia="仿宋_GB2312"/>
          <w:b/>
          <w:bCs/>
          <w:sz w:val="32"/>
          <w:szCs w:val="32"/>
          <w:lang w:val="en-US" w:eastAsia="zh-CN"/>
        </w:rPr>
        <w:t>成本指标</w:t>
      </w:r>
      <w:r>
        <w:rPr>
          <w:rFonts w:hint="eastAsia" w:ascii="仿宋_GB2312" w:hAnsi="仿宋_GB2312" w:eastAsia="仿宋_GB2312"/>
          <w:sz w:val="32"/>
          <w:szCs w:val="32"/>
          <w:lang w:val="en-US" w:eastAsia="zh-CN"/>
        </w:rPr>
        <w:t>仅明确项目总体预算控制数，未根据3项实施内容进行成本拆分，细化程度不足</w:t>
      </w:r>
      <w:r>
        <w:rPr>
          <w:rFonts w:hint="eastAsia" w:ascii="仿宋_GB2312" w:hAnsi="仿宋_GB2312" w:eastAsia="仿宋_GB2312"/>
          <w:sz w:val="32"/>
          <w:szCs w:val="32"/>
          <w:lang w:eastAsia="zh-CN"/>
        </w:rPr>
        <w:t>。</w:t>
      </w:r>
      <w:r>
        <w:rPr>
          <w:rFonts w:hint="eastAsia" w:ascii="仿宋_GB2312" w:hAnsi="仿宋_GB2312" w:eastAsia="仿宋_GB2312"/>
          <w:b/>
          <w:bCs/>
          <w:sz w:val="32"/>
          <w:szCs w:val="32"/>
          <w:lang w:val="en-US" w:eastAsia="zh-CN"/>
        </w:rPr>
        <w:t>三是</w:t>
      </w:r>
      <w:r>
        <w:rPr>
          <w:rFonts w:hint="eastAsia" w:ascii="仿宋_GB2312" w:hAnsi="仿宋_GB2312" w:eastAsia="仿宋_GB2312"/>
          <w:sz w:val="32"/>
          <w:szCs w:val="32"/>
          <w:lang w:val="en-US" w:eastAsia="zh-CN"/>
        </w:rPr>
        <w:t>绩效指标</w:t>
      </w:r>
      <w:r>
        <w:rPr>
          <w:rFonts w:hint="eastAsia" w:ascii="仿宋_GB2312" w:hAnsi="仿宋_GB2312" w:eastAsia="仿宋_GB2312"/>
          <w:sz w:val="32"/>
          <w:szCs w:val="32"/>
          <w:lang w:val="en-US" w:eastAsia="zh-Hans"/>
        </w:rPr>
        <w:t>可评价性不高</w:t>
      </w:r>
      <w:r>
        <w:rPr>
          <w:rFonts w:hint="eastAsia" w:ascii="仿宋_GB2312" w:hAnsi="仿宋_GB2312" w:eastAsia="仿宋_GB2312"/>
          <w:sz w:val="32"/>
          <w:szCs w:val="32"/>
          <w:lang w:val="en-US" w:eastAsia="zh-CN"/>
        </w:rPr>
        <w:t>。</w:t>
      </w:r>
      <w:r>
        <w:rPr>
          <w:rFonts w:hint="eastAsia" w:ascii="仿宋_GB2312" w:hAnsi="仿宋_GB2312" w:eastAsia="仿宋_GB2312"/>
          <w:b/>
          <w:bCs/>
          <w:sz w:val="32"/>
          <w:szCs w:val="32"/>
          <w:lang w:val="en-US" w:eastAsia="zh-CN"/>
        </w:rPr>
        <w:t>社会效益指标</w:t>
      </w:r>
      <w:r>
        <w:rPr>
          <w:rFonts w:hint="eastAsia" w:ascii="仿宋_GB2312" w:hAnsi="仿宋_GB2312" w:eastAsia="仿宋_GB2312"/>
          <w:sz w:val="32"/>
          <w:szCs w:val="32"/>
          <w:lang w:val="en-US" w:eastAsia="zh-CN"/>
        </w:rPr>
        <w:t>“提升智慧城市专项规划评审、顶层设计评审等相关工作的专业化水平”“高效支撑大数据建设处推动市级政务部门</w:t>
      </w:r>
      <w:r>
        <w:rPr>
          <w:rFonts w:hint="eastAsia" w:ascii="仿宋_GB2312" w:hAnsi="仿宋_GB2312" w:eastAsia="仿宋_GB2312"/>
          <w:sz w:val="32"/>
          <w:szCs w:val="32"/>
          <w:highlight w:val="none"/>
          <w:lang w:val="en-US" w:eastAsia="zh-CN"/>
        </w:rPr>
        <w:t>规划和顶层设计审查、重大应用项目实施后评估等相关工作”设置</w:t>
      </w:r>
      <w:r>
        <w:rPr>
          <w:rFonts w:hint="eastAsia" w:ascii="仿宋_GB2312" w:hAnsi="仿宋_GB2312" w:eastAsia="仿宋_GB2312"/>
          <w:sz w:val="32"/>
          <w:szCs w:val="32"/>
          <w:highlight w:val="none"/>
          <w:lang w:val="en-US" w:eastAsia="zh-Hans"/>
        </w:rPr>
        <w:t>为定性表述，但未定性分级</w:t>
      </w:r>
      <w:r>
        <w:rPr>
          <w:rFonts w:hint="eastAsia" w:ascii="仿宋_GB2312" w:hAnsi="仿宋_GB2312" w:eastAsia="仿宋_GB2312"/>
          <w:sz w:val="32"/>
          <w:szCs w:val="32"/>
          <w:highlight w:val="none"/>
          <w:lang w:val="en-US" w:eastAsia="zh-CN"/>
        </w:rPr>
        <w:t>，指标可</w:t>
      </w:r>
      <w:r>
        <w:rPr>
          <w:rFonts w:hint="eastAsia" w:ascii="仿宋_GB2312" w:hAnsi="仿宋_GB2312" w:eastAsia="仿宋_GB2312"/>
          <w:sz w:val="32"/>
          <w:szCs w:val="32"/>
          <w:highlight w:val="none"/>
          <w:lang w:val="en-US" w:eastAsia="zh-Hans"/>
        </w:rPr>
        <w:t>评价性不高</w:t>
      </w:r>
      <w:r>
        <w:rPr>
          <w:rFonts w:hint="eastAsia" w:ascii="仿宋_GB2312" w:hAns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default" w:ascii="仿宋_GB2312" w:hAnsi="宋体" w:eastAsia="仿宋_GB2312"/>
          <w:b/>
          <w:bCs/>
          <w:sz w:val="32"/>
          <w:szCs w:val="32"/>
          <w:lang w:val="en-US" w:eastAsia="zh-CN"/>
        </w:rPr>
      </w:pPr>
      <w:r>
        <w:rPr>
          <w:rFonts w:hint="eastAsia" w:ascii="仿宋_GB2312" w:hAnsi="宋体" w:eastAsia="仿宋_GB2312"/>
          <w:b/>
          <w:bCs/>
          <w:sz w:val="32"/>
          <w:szCs w:val="32"/>
          <w:lang w:val="en-US" w:eastAsia="zh-CN"/>
        </w:rPr>
        <w:t>3.资金投入情况分析</w:t>
      </w:r>
    </w:p>
    <w:p>
      <w:pPr>
        <w:pStyle w:val="11"/>
        <w:keepNext w:val="0"/>
        <w:keepLines w:val="0"/>
        <w:pageBreakBefore w:val="0"/>
        <w:widowControl w:val="0"/>
        <w:kinsoku/>
        <w:wordWrap/>
        <w:overflowPunct/>
        <w:topLinePunct w:val="0"/>
        <w:bidi w:val="0"/>
        <w:spacing w:line="560" w:lineRule="exact"/>
        <w:ind w:firstLine="640"/>
        <w:textAlignment w:val="auto"/>
        <w:rPr>
          <w:rFonts w:hint="default" w:ascii="仿宋_GB2312" w:hAnsi="仿宋_GB2312" w:eastAsia="仿宋_GB2312" w:cstheme="minorBidi"/>
          <w:spacing w:val="0"/>
          <w:kern w:val="2"/>
          <w:sz w:val="32"/>
          <w:szCs w:val="32"/>
          <w:u w:val="none"/>
          <w:lang w:val="en-US" w:eastAsia="zh-CN" w:bidi="ar-SA"/>
        </w:rPr>
      </w:pPr>
      <w:r>
        <w:rPr>
          <w:rFonts w:hint="eastAsia" w:ascii="仿宋_GB2312" w:hAnsi="仿宋_GB2312" w:eastAsia="仿宋_GB2312" w:cstheme="minorBidi"/>
          <w:spacing w:val="0"/>
          <w:kern w:val="2"/>
          <w:sz w:val="32"/>
          <w:szCs w:val="32"/>
          <w:u w:val="none"/>
          <w:lang w:val="en-US" w:eastAsia="zh-CN" w:bidi="ar-SA"/>
        </w:rPr>
        <w:t>（1）预算编制科学性</w:t>
      </w:r>
    </w:p>
    <w:p>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theme="minorBidi"/>
          <w:i w:val="0"/>
          <w:iCs w:val="0"/>
          <w:kern w:val="2"/>
          <w:sz w:val="32"/>
          <w:szCs w:val="32"/>
          <w:u w:val="none"/>
          <w:lang w:val="en-US" w:eastAsia="zh-CN" w:bidi="ar-SA"/>
        </w:rPr>
      </w:pPr>
      <w:r>
        <w:rPr>
          <w:rFonts w:hint="eastAsia" w:ascii="仿宋_GB2312" w:hAnsi="仿宋_GB2312" w:eastAsia="仿宋_GB2312" w:cstheme="minorBidi"/>
          <w:spacing w:val="0"/>
          <w:kern w:val="2"/>
          <w:sz w:val="32"/>
          <w:szCs w:val="32"/>
          <w:u w:val="none"/>
          <w:lang w:val="en-US" w:eastAsia="zh-CN" w:bidi="ar-SA"/>
        </w:rPr>
        <w:t>市经济和信息化局</w:t>
      </w:r>
      <w:r>
        <w:rPr>
          <w:rFonts w:hint="eastAsia" w:ascii="仿宋_GB2312" w:hAnsi="仿宋_GB2312" w:eastAsia="仿宋_GB2312" w:cstheme="minorBidi"/>
          <w:spacing w:val="0"/>
          <w:kern w:val="2"/>
          <w:sz w:val="32"/>
          <w:szCs w:val="32"/>
          <w:u w:val="none"/>
          <w:lang w:val="en-US" w:eastAsia="zh-Hans" w:bidi="ar-SA"/>
        </w:rPr>
        <w:t>大数据建设处按照</w:t>
      </w:r>
      <w:r>
        <w:rPr>
          <w:rFonts w:hint="eastAsia" w:ascii="仿宋_GB2312" w:hAnsi="仿宋_GB2312" w:eastAsia="仿宋_GB2312" w:cstheme="minorBidi"/>
          <w:spacing w:val="0"/>
          <w:kern w:val="2"/>
          <w:sz w:val="32"/>
          <w:szCs w:val="32"/>
          <w:u w:val="none"/>
          <w:lang w:val="en-US" w:eastAsia="zh-CN" w:bidi="ar-SA"/>
        </w:rPr>
        <w:t>年度项目实施内容及费用支出类别</w:t>
      </w:r>
      <w:r>
        <w:rPr>
          <w:rFonts w:hint="eastAsia" w:ascii="仿宋_GB2312" w:hAnsi="仿宋_GB2312" w:eastAsia="仿宋_GB2312" w:cstheme="minorBidi"/>
          <w:spacing w:val="0"/>
          <w:kern w:val="2"/>
          <w:sz w:val="32"/>
          <w:szCs w:val="32"/>
          <w:u w:val="none"/>
          <w:lang w:val="en-US" w:eastAsia="zh-Hans" w:bidi="ar-SA"/>
        </w:rPr>
        <w:t>编制了项目预算，项目预算</w:t>
      </w:r>
      <w:r>
        <w:rPr>
          <w:rFonts w:hint="eastAsia" w:ascii="仿宋_GB2312" w:hAnsi="仿宋_GB2312" w:eastAsia="仿宋_GB2312" w:cstheme="minorBidi"/>
          <w:spacing w:val="0"/>
          <w:kern w:val="2"/>
          <w:sz w:val="32"/>
          <w:szCs w:val="32"/>
          <w:u w:val="none"/>
          <w:lang w:eastAsia="zh-Hans" w:bidi="ar-SA"/>
        </w:rPr>
        <w:t>422.33</w:t>
      </w:r>
      <w:r>
        <w:rPr>
          <w:rFonts w:hint="eastAsia" w:ascii="仿宋_GB2312" w:hAnsi="仿宋_GB2312" w:eastAsia="仿宋_GB2312" w:cstheme="minorBidi"/>
          <w:spacing w:val="0"/>
          <w:kern w:val="2"/>
          <w:sz w:val="32"/>
          <w:szCs w:val="32"/>
          <w:u w:val="none"/>
          <w:lang w:val="en-US" w:eastAsia="zh-Hans" w:bidi="ar-SA"/>
        </w:rPr>
        <w:t>万元，</w:t>
      </w:r>
      <w:r>
        <w:rPr>
          <w:rFonts w:hint="eastAsia" w:ascii="仿宋_GB2312" w:hAnsi="仿宋_GB2312" w:eastAsia="仿宋_GB2312" w:cstheme="minorBidi"/>
          <w:spacing w:val="0"/>
          <w:kern w:val="2"/>
          <w:sz w:val="32"/>
          <w:szCs w:val="32"/>
          <w:u w:val="none"/>
          <w:lang w:val="en-US" w:eastAsia="zh-CN" w:bidi="ar-SA"/>
        </w:rPr>
        <w:t>由委托业务费和专家费构成，其中委托业务费</w:t>
      </w:r>
      <w:r>
        <w:rPr>
          <w:rFonts w:hint="eastAsia" w:ascii="仿宋_GB2312" w:hAnsi="仿宋_GB2312" w:eastAsia="仿宋_GB2312" w:cstheme="minorBidi"/>
          <w:spacing w:val="0"/>
          <w:kern w:val="2"/>
          <w:sz w:val="32"/>
          <w:szCs w:val="32"/>
          <w:u w:val="none"/>
          <w:lang w:val="en-US" w:eastAsia="zh-Hans" w:bidi="ar-SA"/>
        </w:rPr>
        <w:t>包括部门（领域）智慧城市专项规划评估评价、区域规划备案支撑</w:t>
      </w:r>
      <w:r>
        <w:rPr>
          <w:rFonts w:hint="eastAsia" w:ascii="仿宋_GB2312" w:hAnsi="仿宋_GB2312" w:eastAsia="仿宋_GB2312"/>
          <w:sz w:val="32"/>
          <w:szCs w:val="32"/>
          <w:lang w:eastAsia="zh-Hans"/>
        </w:rPr>
        <w:t>111.50</w:t>
      </w:r>
      <w:r>
        <w:rPr>
          <w:rFonts w:hint="eastAsia" w:ascii="仿宋_GB2312" w:hAnsi="仿宋_GB2312" w:eastAsia="仿宋_GB2312"/>
          <w:sz w:val="32"/>
          <w:szCs w:val="32"/>
          <w:lang w:val="en-US" w:eastAsia="zh-CN"/>
        </w:rPr>
        <w:t>万元</w:t>
      </w:r>
      <w:r>
        <w:rPr>
          <w:rFonts w:hint="eastAsia" w:ascii="仿宋_GB2312" w:hAnsi="仿宋_GB2312" w:eastAsia="仿宋_GB2312" w:cstheme="minorBidi"/>
          <w:spacing w:val="0"/>
          <w:kern w:val="2"/>
          <w:sz w:val="32"/>
          <w:szCs w:val="32"/>
          <w:u w:val="none"/>
          <w:lang w:val="en-US" w:eastAsia="zh-CN" w:bidi="ar-SA"/>
        </w:rPr>
        <w:t>，部门（领域）顶层设计评估评价支撑310.03万元；</w:t>
      </w:r>
      <w:r>
        <w:rPr>
          <w:rFonts w:hint="eastAsia" w:ascii="仿宋_GB2312" w:hAnsi="仿宋_GB2312" w:eastAsia="仿宋_GB2312" w:cstheme="minorBidi"/>
          <w:i w:val="0"/>
          <w:iCs w:val="0"/>
          <w:kern w:val="2"/>
          <w:sz w:val="32"/>
          <w:szCs w:val="32"/>
          <w:u w:val="none"/>
          <w:lang w:val="en-US" w:eastAsia="zh-CN" w:bidi="ar-SA"/>
        </w:rPr>
        <w:t>专家费0.80万元。</w:t>
      </w:r>
    </w:p>
    <w:p>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strike w:val="0"/>
          <w:sz w:val="32"/>
          <w:szCs w:val="32"/>
          <w:lang w:val="en-US" w:eastAsia="zh-Hans"/>
        </w:rPr>
        <w:t>预算内容与项目实施内容较为匹配，预算测算过程较为明确，</w:t>
      </w:r>
      <w:r>
        <w:rPr>
          <w:rFonts w:hint="eastAsia" w:ascii="仿宋_GB2312" w:hAnsi="仿宋_GB2312" w:eastAsia="仿宋_GB2312"/>
          <w:strike w:val="0"/>
          <w:sz w:val="32"/>
          <w:szCs w:val="32"/>
          <w:lang w:val="en-US" w:eastAsia="zh-CN"/>
        </w:rPr>
        <w:t>但</w:t>
      </w:r>
      <w:r>
        <w:rPr>
          <w:rFonts w:hint="eastAsia" w:ascii="仿宋_GB2312" w:hAnsi="仿宋_GB2312" w:eastAsia="仿宋_GB2312" w:cstheme="minorBidi"/>
          <w:spacing w:val="0"/>
          <w:kern w:val="2"/>
          <w:sz w:val="32"/>
          <w:szCs w:val="32"/>
          <w:highlight w:val="none"/>
          <w:u w:val="none"/>
          <w:lang w:val="en-US" w:eastAsia="zh-CN" w:bidi="ar-SA"/>
        </w:rPr>
        <w:t>预算测算依据不充分，缺少每项工作需要投入的人月数量的测算依据，具体投入的人数及工作时长不清晰；预算测算细化程度略有不足，按照每项工作的平均数进行测算，未根据各部门或单位特点分别测算投入的成本，未明确每项工作投入人员的岗位、工作内容以及人员级别；</w:t>
      </w:r>
      <w:r>
        <w:rPr>
          <w:rFonts w:hint="eastAsia" w:ascii="仿宋_GB2312" w:hAnsi="仿宋_GB2312" w:eastAsia="仿宋_GB2312" w:cs="仿宋_GB2312"/>
          <w:sz w:val="32"/>
          <w:szCs w:val="32"/>
          <w:highlight w:val="none"/>
        </w:rPr>
        <w:t>资金分配合理性</w:t>
      </w:r>
      <w:r>
        <w:rPr>
          <w:rFonts w:hint="eastAsia" w:ascii="仿宋_GB2312" w:hAnsi="仿宋_GB2312" w:eastAsia="仿宋_GB2312" w:cs="仿宋_GB2312"/>
          <w:sz w:val="32"/>
          <w:szCs w:val="32"/>
          <w:highlight w:val="none"/>
          <w:lang w:val="en-US" w:eastAsia="zh-CN"/>
        </w:rPr>
        <w:t>有待提升，</w:t>
      </w:r>
      <w:r>
        <w:rPr>
          <w:rFonts w:hint="eastAsia" w:ascii="仿宋_GB2312" w:hAnsi="仿宋_GB2312" w:eastAsia="仿宋_GB2312" w:cs="仿宋_GB2312"/>
          <w:spacing w:val="0"/>
          <w:kern w:val="2"/>
          <w:sz w:val="32"/>
          <w:szCs w:val="32"/>
          <w:highlight w:val="none"/>
          <w:u w:val="none"/>
          <w:lang w:val="en-US" w:eastAsia="zh-CN" w:bidi="ar-SA"/>
        </w:rPr>
        <w:t>泰豪智能、道口金科</w:t>
      </w:r>
      <w:r>
        <w:rPr>
          <w:rFonts w:hint="eastAsia" w:ascii="仿宋_GB2312" w:hAnsi="仿宋_GB2312" w:eastAsia="仿宋_GB2312" w:cs="仿宋_GB2312"/>
          <w:sz w:val="32"/>
          <w:szCs w:val="32"/>
          <w:highlight w:val="none"/>
          <w:lang w:val="en-US" w:eastAsia="zh-CN"/>
        </w:rPr>
        <w:t>、北京</w:t>
      </w:r>
      <w:r>
        <w:rPr>
          <w:rFonts w:hint="eastAsia" w:ascii="仿宋_GB2312" w:hAnsi="仿宋_GB2312" w:eastAsia="仿宋_GB2312" w:cs="仿宋_GB2312"/>
          <w:spacing w:val="0"/>
          <w:kern w:val="2"/>
          <w:sz w:val="32"/>
          <w:szCs w:val="32"/>
          <w:highlight w:val="none"/>
          <w:u w:val="none"/>
          <w:lang w:val="en-US" w:eastAsia="zh-CN" w:bidi="ar-SA"/>
        </w:rPr>
        <w:t>北资</w:t>
      </w:r>
      <w:r>
        <w:rPr>
          <w:rFonts w:hint="eastAsia" w:ascii="仿宋_GB2312" w:hAnsi="仿宋_GB2312" w:eastAsia="仿宋_GB2312" w:cs="仿宋_GB2312"/>
          <w:sz w:val="32"/>
          <w:szCs w:val="32"/>
          <w:highlight w:val="none"/>
          <w:lang w:val="en-US" w:eastAsia="zh-CN"/>
        </w:rPr>
        <w:t>作为投标联合体承接该项目，按照</w:t>
      </w:r>
      <w:r>
        <w:rPr>
          <w:rFonts w:hint="eastAsia" w:ascii="仿宋_GB2312" w:hAnsi="仿宋_GB2312" w:eastAsia="仿宋_GB2312" w:cs="仿宋_GB2312"/>
          <w:spacing w:val="0"/>
          <w:kern w:val="2"/>
          <w:sz w:val="32"/>
          <w:szCs w:val="32"/>
          <w:highlight w:val="none"/>
          <w:u w:val="none"/>
          <w:lang w:val="en-US" w:eastAsia="zh-CN" w:bidi="ar-SA"/>
        </w:rPr>
        <w:t>泰豪智能146万</w:t>
      </w:r>
      <w:r>
        <w:rPr>
          <w:rFonts w:hint="eastAsia" w:ascii="仿宋_GB2312" w:hAnsi="仿宋_GB2312" w:eastAsia="仿宋_GB2312" w:cs="仿宋_GB2312"/>
          <w:sz w:val="32"/>
          <w:szCs w:val="32"/>
          <w:highlight w:val="none"/>
          <w:lang w:val="en-US" w:eastAsia="zh-CN"/>
        </w:rPr>
        <w:t>元、</w:t>
      </w:r>
      <w:r>
        <w:rPr>
          <w:rFonts w:hint="eastAsia" w:ascii="仿宋_GB2312" w:hAnsi="仿宋_GB2312" w:eastAsia="仿宋_GB2312" w:cs="仿宋_GB2312"/>
          <w:spacing w:val="0"/>
          <w:kern w:val="2"/>
          <w:sz w:val="32"/>
          <w:szCs w:val="32"/>
          <w:highlight w:val="none"/>
          <w:u w:val="none"/>
          <w:lang w:val="en-US" w:eastAsia="zh-CN" w:bidi="ar-SA"/>
        </w:rPr>
        <w:t>道口金科195万元以及北资80万元</w:t>
      </w:r>
      <w:r>
        <w:rPr>
          <w:rFonts w:hint="eastAsia" w:ascii="仿宋_GB2312" w:hAnsi="仿宋_GB2312" w:eastAsia="仿宋_GB2312" w:cs="仿宋_GB2312"/>
          <w:sz w:val="32"/>
          <w:szCs w:val="32"/>
          <w:highlight w:val="none"/>
          <w:lang w:val="en-US" w:eastAsia="zh-CN"/>
        </w:rPr>
        <w:t>进行合同资金分配，但</w:t>
      </w:r>
      <w:r>
        <w:rPr>
          <w:rFonts w:hint="eastAsia" w:ascii="仿宋_GB2312" w:hAnsi="仿宋_GB2312" w:eastAsia="仿宋_GB2312" w:cs="仿宋_GB2312"/>
          <w:spacing w:val="0"/>
          <w:kern w:val="2"/>
          <w:sz w:val="32"/>
          <w:szCs w:val="32"/>
          <w:highlight w:val="none"/>
          <w:u w:val="none"/>
          <w:lang w:val="en-US" w:eastAsia="zh-CN" w:bidi="ar-SA"/>
        </w:rPr>
        <w:t>资金分配与三个实施主体具体承担的工作任务量对应性不足；预算管理规范性有待加强，</w:t>
      </w:r>
      <w:r>
        <w:rPr>
          <w:rFonts w:hint="eastAsia" w:ascii="仿宋_GB2312" w:hAnsi="仿宋_GB2312" w:eastAsia="仿宋_GB2312" w:cstheme="minorBidi"/>
          <w:spacing w:val="0"/>
          <w:kern w:val="2"/>
          <w:sz w:val="32"/>
          <w:szCs w:val="32"/>
          <w:u w:val="none"/>
          <w:lang w:eastAsia="zh-Hans" w:bidi="ar-SA"/>
        </w:rPr>
        <w:t>2022</w:t>
      </w:r>
      <w:r>
        <w:rPr>
          <w:rFonts w:hint="eastAsia" w:ascii="仿宋_GB2312" w:hAnsi="仿宋_GB2312" w:eastAsia="仿宋_GB2312" w:cstheme="minorBidi"/>
          <w:spacing w:val="0"/>
          <w:kern w:val="2"/>
          <w:sz w:val="32"/>
          <w:szCs w:val="32"/>
          <w:u w:val="none"/>
          <w:lang w:val="en-US" w:eastAsia="zh-Hans" w:bidi="ar-SA"/>
        </w:rPr>
        <w:t>年大数据建设处按照项目完整周期申请预算，</w:t>
      </w:r>
      <w:r>
        <w:rPr>
          <w:rFonts w:hint="eastAsia" w:ascii="仿宋_GB2312" w:hAnsi="仿宋_GB2312" w:eastAsia="仿宋_GB2312" w:cstheme="minorBidi"/>
          <w:spacing w:val="0"/>
          <w:kern w:val="2"/>
          <w:sz w:val="32"/>
          <w:szCs w:val="32"/>
          <w:u w:val="none"/>
          <w:lang w:val="en-US" w:eastAsia="zh-CN" w:bidi="ar-SA"/>
        </w:rPr>
        <w:t>在项目执行进度明显滞后的情况下未及时履行预算调整手续，</w:t>
      </w:r>
      <w:r>
        <w:rPr>
          <w:rFonts w:hint="eastAsia" w:ascii="仿宋_GB2312" w:hAnsi="仿宋_GB2312" w:eastAsia="仿宋_GB2312"/>
          <w:sz w:val="32"/>
          <w:szCs w:val="32"/>
          <w:lang w:val="en-US" w:eastAsia="zh-Hans"/>
        </w:rPr>
        <w:t>项目周期</w:t>
      </w:r>
      <w:r>
        <w:rPr>
          <w:rFonts w:hint="eastAsia" w:ascii="仿宋_GB2312" w:hAnsi="仿宋_GB2312" w:eastAsia="仿宋_GB2312"/>
          <w:sz w:val="32"/>
          <w:szCs w:val="32"/>
          <w:lang w:val="en-US" w:eastAsia="zh-CN"/>
        </w:rPr>
        <w:t>为2022年9月26日至2023年9月25日</w:t>
      </w:r>
      <w:r>
        <w:rPr>
          <w:rFonts w:hint="eastAsia" w:ascii="仿宋_GB2312" w:hAnsi="仿宋_GB2312" w:eastAsia="仿宋_GB2312"/>
          <w:sz w:val="32"/>
          <w:szCs w:val="32"/>
          <w:lang w:val="en-US" w:eastAsia="zh-Hans"/>
        </w:rPr>
        <w:t>，</w:t>
      </w:r>
      <w:r>
        <w:rPr>
          <w:rFonts w:hint="eastAsia" w:ascii="仿宋_GB2312" w:hAnsi="仿宋_GB2312" w:eastAsia="仿宋_GB2312" w:cstheme="minorBidi"/>
          <w:spacing w:val="0"/>
          <w:kern w:val="2"/>
          <w:sz w:val="32"/>
          <w:szCs w:val="32"/>
          <w:u w:val="none"/>
          <w:lang w:val="en-US" w:eastAsia="zh-Hans" w:bidi="ar-SA"/>
        </w:rPr>
        <w:t>与年度实际资金需求不符</w:t>
      </w:r>
      <w:r>
        <w:rPr>
          <w:rFonts w:hint="eastAsia" w:ascii="仿宋_GB2312" w:hAnsi="仿宋_GB2312" w:eastAsia="仿宋_GB2312" w:cstheme="minorBidi"/>
          <w:spacing w:val="0"/>
          <w:kern w:val="2"/>
          <w:sz w:val="32"/>
          <w:szCs w:val="32"/>
          <w:u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default" w:ascii="楷体_GB2312" w:hAnsi="楷体_GB2312" w:eastAsia="楷体_GB2312" w:cs="楷体_GB2312"/>
          <w:sz w:val="32"/>
          <w:szCs w:val="32"/>
          <w:lang w:val="en-US" w:eastAsia="zh-CN"/>
        </w:rPr>
      </w:pPr>
      <w:bookmarkStart w:id="153" w:name="_Toc7230"/>
      <w:r>
        <w:rPr>
          <w:rFonts w:hint="default" w:ascii="楷体_GB2312" w:hAnsi="楷体_GB2312" w:eastAsia="楷体_GB2312" w:cs="楷体_GB2312"/>
          <w:sz w:val="32"/>
          <w:szCs w:val="32"/>
          <w:lang w:val="en-US" w:eastAsia="zh-CN"/>
        </w:rPr>
        <w:t>（二）项目过程情况分析</w:t>
      </w:r>
      <w:bookmarkEnd w:id="15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过程指标分值</w:t>
      </w:r>
      <w:r>
        <w:rPr>
          <w:rFonts w:hint="eastAsia" w:ascii="仿宋_GB2312" w:hAnsi="仿宋_GB2312" w:eastAsia="仿宋_GB2312" w:cs="仿宋_GB2312"/>
          <w:sz w:val="32"/>
          <w:szCs w:val="32"/>
          <w:highlight w:val="none"/>
          <w:lang w:val="en-US" w:eastAsia="zh-CN"/>
        </w:rPr>
        <w:t>20</w:t>
      </w:r>
      <w:r>
        <w:rPr>
          <w:rFonts w:hint="default" w:ascii="仿宋_GB2312" w:hAnsi="仿宋_GB2312" w:eastAsia="仿宋_GB2312" w:cs="仿宋_GB2312"/>
          <w:sz w:val="32"/>
          <w:szCs w:val="32"/>
          <w:highlight w:val="none"/>
          <w:lang w:val="en-US" w:eastAsia="zh-CN"/>
        </w:rPr>
        <w:t>分，下设2个二级指标，</w:t>
      </w:r>
      <w:r>
        <w:rPr>
          <w:rFonts w:hint="eastAsia" w:ascii="仿宋_GB2312" w:hAnsi="仿宋_GB2312" w:eastAsia="仿宋_GB2312" w:cs="仿宋_GB2312"/>
          <w:sz w:val="32"/>
          <w:szCs w:val="32"/>
          <w:highlight w:val="none"/>
          <w:lang w:val="en-US" w:eastAsia="zh-CN"/>
        </w:rPr>
        <w:t>4</w:t>
      </w:r>
      <w:r>
        <w:rPr>
          <w:rFonts w:hint="default" w:ascii="仿宋_GB2312" w:hAnsi="仿宋_GB2312" w:eastAsia="仿宋_GB2312" w:cs="仿宋_GB2312"/>
          <w:sz w:val="32"/>
          <w:szCs w:val="32"/>
          <w:highlight w:val="none"/>
          <w:lang w:val="en-US" w:eastAsia="zh-CN"/>
        </w:rPr>
        <w:t>个三级指标，绩效评价得分为</w:t>
      </w:r>
      <w:r>
        <w:rPr>
          <w:rFonts w:hint="eastAsia" w:ascii="仿宋_GB2312" w:hAnsi="仿宋_GB2312" w:eastAsia="仿宋_GB2312" w:cs="仿宋_GB2312"/>
          <w:sz w:val="32"/>
          <w:szCs w:val="32"/>
          <w:highlight w:val="none"/>
          <w:lang w:val="en-US" w:eastAsia="zh-CN"/>
        </w:rPr>
        <w:t>16.70</w:t>
      </w:r>
      <w:r>
        <w:rPr>
          <w:rFonts w:hint="default" w:ascii="仿宋_GB2312" w:hAnsi="仿宋_GB2312" w:eastAsia="仿宋_GB2312" w:cs="仿宋_GB2312"/>
          <w:sz w:val="32"/>
          <w:szCs w:val="32"/>
          <w:highlight w:val="none"/>
          <w:lang w:val="en-US" w:eastAsia="zh-CN"/>
        </w:rPr>
        <w:t>分</w:t>
      </w:r>
      <w:r>
        <w:rPr>
          <w:rFonts w:hint="eastAsia" w:ascii="仿宋_GB2312" w:hAnsi="仿宋_GB2312" w:eastAsia="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CN"/>
        </w:rPr>
        <w:t>评分详见表</w:t>
      </w:r>
      <w:r>
        <w:rPr>
          <w:rFonts w:hint="eastAsia" w:ascii="仿宋_GB2312" w:hAnsi="仿宋_GB2312" w:eastAsia="仿宋_GB2312" w:cs="仿宋_GB2312"/>
          <w:sz w:val="32"/>
          <w:szCs w:val="32"/>
          <w:highlight w:val="none"/>
          <w:lang w:val="en-US" w:eastAsia="zh-CN"/>
        </w:rPr>
        <w:t>6</w:t>
      </w:r>
      <w:r>
        <w:rPr>
          <w:rFonts w:hint="default" w:ascii="仿宋_GB2312" w:hAnsi="仿宋_GB2312" w:eastAsia="仿宋_GB2312" w:cs="仿宋_GB231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after="156" w:afterLines="50" w:line="560" w:lineRule="exact"/>
        <w:jc w:val="center"/>
        <w:textAlignment w:val="auto"/>
        <w:rPr>
          <w:rFonts w:eastAsia="黑体"/>
          <w:color w:val="000000"/>
          <w:kern w:val="0"/>
          <w:sz w:val="28"/>
          <w:szCs w:val="28"/>
          <w:highlight w:val="none"/>
        </w:rPr>
      </w:pPr>
      <w:r>
        <w:rPr>
          <w:rFonts w:eastAsia="黑体"/>
          <w:color w:val="000000"/>
          <w:kern w:val="0"/>
          <w:sz w:val="28"/>
          <w:szCs w:val="28"/>
          <w:highlight w:val="none"/>
        </w:rPr>
        <w:t>表</w:t>
      </w:r>
      <w:r>
        <w:rPr>
          <w:rFonts w:hint="eastAsia" w:eastAsia="黑体"/>
          <w:color w:val="000000"/>
          <w:kern w:val="0"/>
          <w:sz w:val="28"/>
          <w:szCs w:val="28"/>
          <w:highlight w:val="none"/>
          <w:lang w:val="en-US" w:eastAsia="zh-CN"/>
        </w:rPr>
        <w:t>6</w:t>
      </w:r>
      <w:r>
        <w:rPr>
          <w:rFonts w:hint="eastAsia" w:ascii="仿宋" w:hAnsi="仿宋" w:eastAsia="仿宋" w:cs="仿宋"/>
          <w:color w:val="000000"/>
          <w:kern w:val="0"/>
          <w:sz w:val="28"/>
          <w:szCs w:val="28"/>
          <w:highlight w:val="none"/>
        </w:rPr>
        <w:t xml:space="preserve"> </w:t>
      </w:r>
      <w:r>
        <w:rPr>
          <w:rFonts w:eastAsia="黑体"/>
          <w:color w:val="000000"/>
          <w:kern w:val="0"/>
          <w:sz w:val="28"/>
          <w:szCs w:val="28"/>
          <w:highlight w:val="none"/>
        </w:rPr>
        <w:t>项目过程指标设定及评分情况表</w:t>
      </w:r>
    </w:p>
    <w:tbl>
      <w:tblPr>
        <w:tblStyle w:val="8"/>
        <w:tblW w:w="86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7"/>
        <w:gridCol w:w="1930"/>
        <w:gridCol w:w="2268"/>
        <w:gridCol w:w="1077"/>
        <w:gridCol w:w="1077"/>
        <w:gridCol w:w="10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tblHeader/>
          <w:jc w:val="center"/>
        </w:trPr>
        <w:tc>
          <w:tcPr>
            <w:tcW w:w="1247" w:type="dxa"/>
            <w:shd w:val="clear" w:color="auto" w:fill="96B4E1" w:themeFill="background1" w:themeFillShade="BF"/>
            <w:vAlign w:val="center"/>
          </w:tcPr>
          <w:p>
            <w:pPr>
              <w:jc w:val="center"/>
              <w:rPr>
                <w:rFonts w:hint="eastAsia" w:asciiTheme="minorEastAsia" w:hAnsiTheme="minorEastAsia" w:eastAsiaTheme="minorEastAsia" w:cstheme="minorEastAsia"/>
                <w:b/>
                <w:sz w:val="22"/>
                <w:szCs w:val="22"/>
              </w:rPr>
            </w:pPr>
            <w:r>
              <w:rPr>
                <w:rFonts w:hint="eastAsia" w:asciiTheme="minorEastAsia" w:hAnsiTheme="minorEastAsia" w:eastAsiaTheme="minorEastAsia" w:cstheme="minorEastAsia"/>
                <w:b/>
                <w:sz w:val="22"/>
                <w:szCs w:val="22"/>
              </w:rPr>
              <w:t>一级指标</w:t>
            </w:r>
          </w:p>
        </w:tc>
        <w:tc>
          <w:tcPr>
            <w:tcW w:w="1930" w:type="dxa"/>
            <w:shd w:val="clear" w:color="auto" w:fill="96B4E1" w:themeFill="background1" w:themeFillShade="BF"/>
            <w:vAlign w:val="center"/>
          </w:tcPr>
          <w:p>
            <w:pPr>
              <w:jc w:val="center"/>
              <w:rPr>
                <w:rFonts w:hint="eastAsia" w:asciiTheme="minorEastAsia" w:hAnsiTheme="minorEastAsia" w:eastAsiaTheme="minorEastAsia" w:cstheme="minorEastAsia"/>
                <w:b/>
                <w:sz w:val="22"/>
                <w:szCs w:val="22"/>
              </w:rPr>
            </w:pPr>
            <w:r>
              <w:rPr>
                <w:rFonts w:hint="eastAsia" w:asciiTheme="minorEastAsia" w:hAnsiTheme="minorEastAsia" w:eastAsiaTheme="minorEastAsia" w:cstheme="minorEastAsia"/>
                <w:b/>
                <w:sz w:val="22"/>
                <w:szCs w:val="22"/>
              </w:rPr>
              <w:t>二级指标</w:t>
            </w:r>
          </w:p>
        </w:tc>
        <w:tc>
          <w:tcPr>
            <w:tcW w:w="2268" w:type="dxa"/>
            <w:shd w:val="clear" w:color="auto" w:fill="96B4E1" w:themeFill="background1" w:themeFillShade="BF"/>
            <w:vAlign w:val="center"/>
          </w:tcPr>
          <w:p>
            <w:pPr>
              <w:jc w:val="center"/>
              <w:rPr>
                <w:rFonts w:hint="eastAsia" w:asciiTheme="minorEastAsia" w:hAnsiTheme="minorEastAsia" w:eastAsiaTheme="minorEastAsia" w:cstheme="minorEastAsia"/>
                <w:b/>
                <w:sz w:val="22"/>
                <w:szCs w:val="22"/>
              </w:rPr>
            </w:pPr>
            <w:r>
              <w:rPr>
                <w:rFonts w:hint="eastAsia" w:asciiTheme="minorEastAsia" w:hAnsiTheme="minorEastAsia" w:eastAsiaTheme="minorEastAsia" w:cstheme="minorEastAsia"/>
                <w:b/>
                <w:sz w:val="22"/>
                <w:szCs w:val="22"/>
              </w:rPr>
              <w:t>三级指标</w:t>
            </w:r>
          </w:p>
        </w:tc>
        <w:tc>
          <w:tcPr>
            <w:tcW w:w="1077" w:type="dxa"/>
            <w:shd w:val="clear" w:color="auto" w:fill="96B4E1" w:themeFill="background1" w:themeFillShade="BF"/>
            <w:vAlign w:val="center"/>
          </w:tcPr>
          <w:p>
            <w:pPr>
              <w:jc w:val="center"/>
              <w:rPr>
                <w:rFonts w:hint="eastAsia" w:asciiTheme="minorEastAsia" w:hAnsiTheme="minorEastAsia" w:eastAsiaTheme="minorEastAsia" w:cstheme="minorEastAsia"/>
                <w:b/>
                <w:sz w:val="22"/>
                <w:szCs w:val="22"/>
              </w:rPr>
            </w:pPr>
            <w:r>
              <w:rPr>
                <w:rFonts w:hint="eastAsia" w:asciiTheme="minorEastAsia" w:hAnsiTheme="minorEastAsia" w:eastAsiaTheme="minorEastAsia" w:cstheme="minorEastAsia"/>
                <w:b/>
                <w:sz w:val="22"/>
                <w:szCs w:val="22"/>
              </w:rPr>
              <w:t>分值</w:t>
            </w:r>
          </w:p>
        </w:tc>
        <w:tc>
          <w:tcPr>
            <w:tcW w:w="1077" w:type="dxa"/>
            <w:shd w:val="clear" w:color="auto" w:fill="96B4E1" w:themeFill="background1" w:themeFillShade="BF"/>
            <w:vAlign w:val="center"/>
          </w:tcPr>
          <w:p>
            <w:pPr>
              <w:jc w:val="center"/>
              <w:rPr>
                <w:rFonts w:hint="eastAsia" w:asciiTheme="minorEastAsia" w:hAnsiTheme="minorEastAsia" w:eastAsiaTheme="minorEastAsia" w:cstheme="minorEastAsia"/>
                <w:b/>
                <w:sz w:val="22"/>
                <w:szCs w:val="22"/>
              </w:rPr>
            </w:pPr>
            <w:r>
              <w:rPr>
                <w:rFonts w:hint="eastAsia" w:asciiTheme="minorEastAsia" w:hAnsiTheme="minorEastAsia" w:eastAsiaTheme="minorEastAsia" w:cstheme="minorEastAsia"/>
                <w:b/>
                <w:sz w:val="22"/>
                <w:szCs w:val="22"/>
              </w:rPr>
              <w:t>得分</w:t>
            </w:r>
          </w:p>
        </w:tc>
        <w:tc>
          <w:tcPr>
            <w:tcW w:w="1077" w:type="dxa"/>
            <w:shd w:val="clear" w:color="auto" w:fill="96B4E1" w:themeFill="background1" w:themeFillShade="BF"/>
            <w:vAlign w:val="center"/>
          </w:tcPr>
          <w:p>
            <w:pPr>
              <w:jc w:val="center"/>
              <w:rPr>
                <w:rFonts w:hint="eastAsia" w:asciiTheme="minorEastAsia" w:hAnsiTheme="minorEastAsia" w:eastAsiaTheme="minorEastAsia" w:cstheme="minorEastAsia"/>
                <w:b/>
                <w:sz w:val="22"/>
                <w:szCs w:val="22"/>
              </w:rPr>
            </w:pPr>
            <w:r>
              <w:rPr>
                <w:rFonts w:hint="eastAsia" w:asciiTheme="minorEastAsia" w:hAnsiTheme="minorEastAsia" w:eastAsiaTheme="minorEastAsia" w:cstheme="minorEastAsia"/>
                <w:b/>
                <w:sz w:val="22"/>
                <w:szCs w:val="22"/>
              </w:rPr>
              <w:t>得分率</w:t>
            </w:r>
          </w:p>
        </w:tc>
      </w:tr>
      <w:tr>
        <w:tblPrEx>
          <w:tblLayout w:type="fixed"/>
          <w:tblCellMar>
            <w:top w:w="0" w:type="dxa"/>
            <w:left w:w="108" w:type="dxa"/>
            <w:bottom w:w="0" w:type="dxa"/>
            <w:right w:w="108" w:type="dxa"/>
          </w:tblCellMar>
        </w:tblPrEx>
        <w:trPr>
          <w:cantSplit/>
          <w:trHeight w:val="369" w:hRule="atLeast"/>
          <w:tblHeader/>
          <w:jc w:val="center"/>
        </w:trPr>
        <w:tc>
          <w:tcPr>
            <w:tcW w:w="1247" w:type="dxa"/>
            <w:vMerge w:val="restart"/>
            <w:vAlign w:val="center"/>
          </w:tcPr>
          <w:p>
            <w:pPr>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过程</w:t>
            </w:r>
          </w:p>
          <w:p>
            <w:pPr>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w:t>
            </w:r>
            <w:r>
              <w:rPr>
                <w:rFonts w:hint="eastAsia" w:asciiTheme="minorEastAsia" w:hAnsiTheme="minorEastAsia" w:eastAsiaTheme="minorEastAsia" w:cstheme="minorEastAsia"/>
                <w:sz w:val="22"/>
                <w:szCs w:val="22"/>
                <w:lang w:val="en-US" w:eastAsia="zh-CN"/>
              </w:rPr>
              <w:t>20</w:t>
            </w:r>
            <w:r>
              <w:rPr>
                <w:rFonts w:hint="eastAsia" w:asciiTheme="minorEastAsia" w:hAnsiTheme="minorEastAsia" w:eastAsiaTheme="minorEastAsia" w:cstheme="minorEastAsia"/>
                <w:sz w:val="22"/>
                <w:szCs w:val="22"/>
              </w:rPr>
              <w:t>分）</w:t>
            </w:r>
          </w:p>
        </w:tc>
        <w:tc>
          <w:tcPr>
            <w:tcW w:w="1930" w:type="dxa"/>
            <w:vMerge w:val="restart"/>
            <w:vAlign w:val="center"/>
          </w:tcPr>
          <w:p>
            <w:pPr>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资金管理（</w:t>
            </w:r>
            <w:r>
              <w:rPr>
                <w:rFonts w:hint="eastAsia" w:asciiTheme="minorEastAsia" w:hAnsiTheme="minorEastAsia" w:eastAsiaTheme="minorEastAsia" w:cstheme="minorEastAsia"/>
                <w:sz w:val="22"/>
                <w:szCs w:val="22"/>
                <w:lang w:val="en-US" w:eastAsia="zh-CN"/>
              </w:rPr>
              <w:t>7</w:t>
            </w:r>
            <w:r>
              <w:rPr>
                <w:rFonts w:hint="eastAsia" w:asciiTheme="minorEastAsia" w:hAnsiTheme="minorEastAsia" w:eastAsiaTheme="minorEastAsia" w:cstheme="minorEastAsia"/>
                <w:sz w:val="22"/>
                <w:szCs w:val="22"/>
              </w:rPr>
              <w:t>分）</w:t>
            </w:r>
          </w:p>
        </w:tc>
        <w:tc>
          <w:tcPr>
            <w:tcW w:w="2268" w:type="dxa"/>
            <w:vAlign w:val="center"/>
          </w:tcPr>
          <w:p>
            <w:pPr>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预算执行率</w:t>
            </w:r>
          </w:p>
        </w:tc>
        <w:tc>
          <w:tcPr>
            <w:tcW w:w="1077" w:type="dxa"/>
            <w:vAlign w:val="center"/>
          </w:tcPr>
          <w:p>
            <w:pPr>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color w:val="000000"/>
                <w:kern w:val="0"/>
                <w:sz w:val="22"/>
                <w:szCs w:val="22"/>
                <w:lang w:val="en-US" w:eastAsia="zh-CN" w:bidi="ar"/>
              </w:rPr>
              <w:t>3</w:t>
            </w:r>
            <w:r>
              <w:rPr>
                <w:rFonts w:hint="eastAsia" w:asciiTheme="minorEastAsia" w:hAnsiTheme="minorEastAsia" w:eastAsiaTheme="minorEastAsia" w:cstheme="minorEastAsia"/>
                <w:color w:val="000000"/>
                <w:kern w:val="0"/>
                <w:sz w:val="22"/>
                <w:szCs w:val="22"/>
                <w:lang w:bidi="ar"/>
              </w:rPr>
              <w:t>.00</w:t>
            </w:r>
          </w:p>
        </w:tc>
        <w:tc>
          <w:tcPr>
            <w:tcW w:w="1077" w:type="dxa"/>
            <w:vAlign w:val="center"/>
          </w:tcPr>
          <w:p>
            <w:pPr>
              <w:widowControl/>
              <w:jc w:val="center"/>
              <w:textAlignment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2.58</w:t>
            </w:r>
          </w:p>
        </w:tc>
        <w:tc>
          <w:tcPr>
            <w:tcW w:w="1077" w:type="dxa"/>
            <w:vAlign w:val="center"/>
          </w:tcPr>
          <w:p>
            <w:pPr>
              <w:keepNext w:val="0"/>
              <w:keepLines w:val="0"/>
              <w:widowControl/>
              <w:suppressLineNumbers w:val="0"/>
              <w:jc w:val="right"/>
              <w:textAlignment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i w:val="0"/>
                <w:iCs w:val="0"/>
                <w:color w:val="000000"/>
                <w:kern w:val="0"/>
                <w:sz w:val="22"/>
                <w:szCs w:val="22"/>
                <w:u w:val="none"/>
                <w:lang w:val="en-US" w:eastAsia="zh-CN" w:bidi="ar"/>
              </w:rPr>
              <w:t>86.00%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4" w:hRule="atLeast"/>
          <w:tblHeader/>
          <w:jc w:val="center"/>
        </w:trPr>
        <w:tc>
          <w:tcPr>
            <w:tcW w:w="1247" w:type="dxa"/>
            <w:vMerge w:val="continue"/>
            <w:vAlign w:val="center"/>
          </w:tcPr>
          <w:p>
            <w:pPr>
              <w:jc w:val="center"/>
              <w:rPr>
                <w:rFonts w:hint="eastAsia" w:asciiTheme="minorEastAsia" w:hAnsiTheme="minorEastAsia" w:eastAsiaTheme="minorEastAsia" w:cstheme="minorEastAsia"/>
                <w:sz w:val="22"/>
                <w:szCs w:val="22"/>
              </w:rPr>
            </w:pPr>
          </w:p>
        </w:tc>
        <w:tc>
          <w:tcPr>
            <w:tcW w:w="1930" w:type="dxa"/>
            <w:vMerge w:val="continue"/>
            <w:vAlign w:val="center"/>
          </w:tcPr>
          <w:p>
            <w:pPr>
              <w:jc w:val="center"/>
              <w:rPr>
                <w:rFonts w:hint="eastAsia" w:asciiTheme="minorEastAsia" w:hAnsiTheme="minorEastAsia" w:eastAsiaTheme="minorEastAsia" w:cstheme="minorEastAsia"/>
                <w:sz w:val="22"/>
                <w:szCs w:val="22"/>
              </w:rPr>
            </w:pPr>
          </w:p>
        </w:tc>
        <w:tc>
          <w:tcPr>
            <w:tcW w:w="2268" w:type="dxa"/>
            <w:vAlign w:val="center"/>
          </w:tcPr>
          <w:p>
            <w:pPr>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资金使用合规性</w:t>
            </w:r>
          </w:p>
        </w:tc>
        <w:tc>
          <w:tcPr>
            <w:tcW w:w="1077" w:type="dxa"/>
            <w:vAlign w:val="center"/>
          </w:tcPr>
          <w:p>
            <w:pPr>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4</w:t>
            </w:r>
            <w:r>
              <w:rPr>
                <w:rFonts w:hint="eastAsia" w:asciiTheme="minorEastAsia" w:hAnsiTheme="minorEastAsia" w:eastAsiaTheme="minorEastAsia" w:cstheme="minorEastAsia"/>
                <w:color w:val="000000"/>
                <w:kern w:val="0"/>
                <w:sz w:val="22"/>
                <w:szCs w:val="22"/>
                <w:lang w:bidi="ar"/>
              </w:rPr>
              <w:t>.00</w:t>
            </w:r>
          </w:p>
        </w:tc>
        <w:tc>
          <w:tcPr>
            <w:tcW w:w="1077" w:type="dxa"/>
            <w:vAlign w:val="center"/>
          </w:tcPr>
          <w:p>
            <w:pPr>
              <w:widowControl/>
              <w:jc w:val="center"/>
              <w:textAlignment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3.36</w:t>
            </w:r>
          </w:p>
        </w:tc>
        <w:tc>
          <w:tcPr>
            <w:tcW w:w="1077" w:type="dxa"/>
            <w:vAlign w:val="center"/>
          </w:tcPr>
          <w:p>
            <w:pPr>
              <w:keepNext w:val="0"/>
              <w:keepLines w:val="0"/>
              <w:widowControl/>
              <w:suppressLineNumbers w:val="0"/>
              <w:jc w:val="right"/>
              <w:textAlignment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i w:val="0"/>
                <w:iCs w:val="0"/>
                <w:color w:val="000000"/>
                <w:kern w:val="0"/>
                <w:sz w:val="22"/>
                <w:szCs w:val="22"/>
                <w:u w:val="none"/>
                <w:lang w:val="en-US" w:eastAsia="zh-CN" w:bidi="ar"/>
              </w:rPr>
              <w:t>84.00%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2" w:hRule="atLeast"/>
          <w:tblHeader/>
          <w:jc w:val="center"/>
        </w:trPr>
        <w:tc>
          <w:tcPr>
            <w:tcW w:w="1247" w:type="dxa"/>
            <w:vMerge w:val="continue"/>
            <w:vAlign w:val="center"/>
          </w:tcPr>
          <w:p>
            <w:pPr>
              <w:jc w:val="center"/>
              <w:rPr>
                <w:rFonts w:hint="eastAsia" w:asciiTheme="minorEastAsia" w:hAnsiTheme="minorEastAsia" w:eastAsiaTheme="minorEastAsia" w:cstheme="minorEastAsia"/>
                <w:sz w:val="22"/>
                <w:szCs w:val="22"/>
              </w:rPr>
            </w:pPr>
          </w:p>
        </w:tc>
        <w:tc>
          <w:tcPr>
            <w:tcW w:w="1930" w:type="dxa"/>
            <w:vMerge w:val="restart"/>
            <w:vAlign w:val="center"/>
          </w:tcPr>
          <w:p>
            <w:pPr>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业务管理（</w:t>
            </w:r>
            <w:r>
              <w:rPr>
                <w:rFonts w:hint="eastAsia" w:asciiTheme="minorEastAsia" w:hAnsiTheme="minorEastAsia" w:eastAsiaTheme="minorEastAsia" w:cstheme="minorEastAsia"/>
                <w:sz w:val="22"/>
                <w:szCs w:val="22"/>
                <w:lang w:val="en-US" w:eastAsia="zh-CN"/>
              </w:rPr>
              <w:t>13</w:t>
            </w:r>
            <w:r>
              <w:rPr>
                <w:rFonts w:hint="eastAsia" w:asciiTheme="minorEastAsia" w:hAnsiTheme="minorEastAsia" w:eastAsiaTheme="minorEastAsia" w:cstheme="minorEastAsia"/>
                <w:sz w:val="22"/>
                <w:szCs w:val="22"/>
              </w:rPr>
              <w:t>分）</w:t>
            </w:r>
          </w:p>
        </w:tc>
        <w:tc>
          <w:tcPr>
            <w:tcW w:w="2268" w:type="dxa"/>
            <w:vAlign w:val="center"/>
          </w:tcPr>
          <w:p>
            <w:pPr>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管理制度健全性</w:t>
            </w:r>
          </w:p>
        </w:tc>
        <w:tc>
          <w:tcPr>
            <w:tcW w:w="1077" w:type="dxa"/>
            <w:vAlign w:val="center"/>
          </w:tcPr>
          <w:p>
            <w:pPr>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3</w:t>
            </w:r>
            <w:r>
              <w:rPr>
                <w:rFonts w:hint="eastAsia" w:asciiTheme="minorEastAsia" w:hAnsiTheme="minorEastAsia" w:eastAsiaTheme="minorEastAsia" w:cstheme="minorEastAsia"/>
                <w:color w:val="000000"/>
                <w:kern w:val="0"/>
                <w:sz w:val="22"/>
                <w:szCs w:val="22"/>
                <w:lang w:bidi="ar"/>
              </w:rPr>
              <w:t>.00</w:t>
            </w:r>
          </w:p>
        </w:tc>
        <w:tc>
          <w:tcPr>
            <w:tcW w:w="1077" w:type="dxa"/>
            <w:vAlign w:val="center"/>
          </w:tcPr>
          <w:p>
            <w:pPr>
              <w:widowControl/>
              <w:jc w:val="center"/>
              <w:textAlignment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2.</w:t>
            </w:r>
            <w:r>
              <w:rPr>
                <w:rFonts w:hint="eastAsia" w:asciiTheme="minorEastAsia" w:hAnsiTheme="minorEastAsia" w:eastAsiaTheme="minorEastAsia" w:cstheme="minorEastAsia"/>
                <w:sz w:val="22"/>
                <w:szCs w:val="22"/>
                <w:lang w:val="en-US" w:eastAsia="zh-CN"/>
              </w:rPr>
              <w:t>7</w:t>
            </w:r>
            <w:r>
              <w:rPr>
                <w:rFonts w:hint="eastAsia" w:asciiTheme="minorEastAsia" w:hAnsiTheme="minorEastAsia" w:eastAsiaTheme="minorEastAsia" w:cstheme="minorEastAsia"/>
                <w:sz w:val="22"/>
                <w:szCs w:val="22"/>
              </w:rPr>
              <w:t>6</w:t>
            </w:r>
          </w:p>
        </w:tc>
        <w:tc>
          <w:tcPr>
            <w:tcW w:w="1077" w:type="dxa"/>
            <w:vAlign w:val="center"/>
          </w:tcPr>
          <w:p>
            <w:pPr>
              <w:keepNext w:val="0"/>
              <w:keepLines w:val="0"/>
              <w:widowControl/>
              <w:suppressLineNumbers w:val="0"/>
              <w:jc w:val="right"/>
              <w:textAlignment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i w:val="0"/>
                <w:iCs w:val="0"/>
                <w:color w:val="000000"/>
                <w:kern w:val="0"/>
                <w:sz w:val="22"/>
                <w:szCs w:val="22"/>
                <w:u w:val="none"/>
                <w:lang w:val="en-US" w:eastAsia="zh-CN" w:bidi="ar"/>
              </w:rPr>
              <w:t>92.00%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8" w:hRule="atLeast"/>
          <w:tblHeader/>
          <w:jc w:val="center"/>
        </w:trPr>
        <w:tc>
          <w:tcPr>
            <w:tcW w:w="1247" w:type="dxa"/>
            <w:vMerge w:val="continue"/>
            <w:vAlign w:val="center"/>
          </w:tcPr>
          <w:p>
            <w:pPr>
              <w:jc w:val="center"/>
              <w:rPr>
                <w:rFonts w:hint="eastAsia" w:asciiTheme="minorEastAsia" w:hAnsiTheme="minorEastAsia" w:eastAsiaTheme="minorEastAsia" w:cstheme="minorEastAsia"/>
                <w:sz w:val="22"/>
                <w:szCs w:val="22"/>
              </w:rPr>
            </w:pPr>
          </w:p>
        </w:tc>
        <w:tc>
          <w:tcPr>
            <w:tcW w:w="1930" w:type="dxa"/>
            <w:vMerge w:val="continue"/>
            <w:vAlign w:val="center"/>
          </w:tcPr>
          <w:p>
            <w:pPr>
              <w:jc w:val="center"/>
              <w:rPr>
                <w:rFonts w:hint="eastAsia" w:asciiTheme="minorEastAsia" w:hAnsiTheme="minorEastAsia" w:eastAsiaTheme="minorEastAsia" w:cstheme="minorEastAsia"/>
                <w:sz w:val="22"/>
                <w:szCs w:val="22"/>
              </w:rPr>
            </w:pPr>
          </w:p>
        </w:tc>
        <w:tc>
          <w:tcPr>
            <w:tcW w:w="2268" w:type="dxa"/>
            <w:vAlign w:val="center"/>
          </w:tcPr>
          <w:p>
            <w:pPr>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制度执行有效性</w:t>
            </w:r>
          </w:p>
        </w:tc>
        <w:tc>
          <w:tcPr>
            <w:tcW w:w="1077" w:type="dxa"/>
            <w:vAlign w:val="center"/>
          </w:tcPr>
          <w:p>
            <w:pPr>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color w:val="000000"/>
                <w:kern w:val="0"/>
                <w:sz w:val="22"/>
                <w:szCs w:val="22"/>
                <w:lang w:val="en-US" w:eastAsia="zh-CN" w:bidi="ar"/>
              </w:rPr>
              <w:t>10</w:t>
            </w:r>
            <w:r>
              <w:rPr>
                <w:rFonts w:hint="eastAsia" w:asciiTheme="minorEastAsia" w:hAnsiTheme="minorEastAsia" w:eastAsiaTheme="minorEastAsia" w:cstheme="minorEastAsia"/>
                <w:color w:val="000000"/>
                <w:kern w:val="0"/>
                <w:sz w:val="22"/>
                <w:szCs w:val="22"/>
                <w:lang w:bidi="ar"/>
              </w:rPr>
              <w:t>.00</w:t>
            </w:r>
          </w:p>
        </w:tc>
        <w:tc>
          <w:tcPr>
            <w:tcW w:w="1077" w:type="dxa"/>
            <w:vAlign w:val="center"/>
          </w:tcPr>
          <w:p>
            <w:pPr>
              <w:widowControl/>
              <w:jc w:val="center"/>
              <w:textAlignment w:val="cente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8.00</w:t>
            </w:r>
          </w:p>
        </w:tc>
        <w:tc>
          <w:tcPr>
            <w:tcW w:w="1077" w:type="dxa"/>
            <w:vAlign w:val="center"/>
          </w:tcPr>
          <w:p>
            <w:pPr>
              <w:keepNext w:val="0"/>
              <w:keepLines w:val="0"/>
              <w:widowControl/>
              <w:suppressLineNumbers w:val="0"/>
              <w:jc w:val="right"/>
              <w:textAlignment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i w:val="0"/>
                <w:iCs w:val="0"/>
                <w:color w:val="000000"/>
                <w:kern w:val="0"/>
                <w:sz w:val="22"/>
                <w:szCs w:val="22"/>
                <w:u w:val="none"/>
                <w:lang w:val="en-US" w:eastAsia="zh-CN" w:bidi="ar"/>
              </w:rPr>
              <w:t>80.00%</w:t>
            </w:r>
          </w:p>
        </w:tc>
      </w:tr>
    </w:tbl>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default" w:ascii="仿宋_GB2312" w:hAnsi="宋体" w:eastAsia="仿宋_GB2312"/>
          <w:b/>
          <w:bCs/>
          <w:sz w:val="32"/>
          <w:szCs w:val="32"/>
          <w:highlight w:val="none"/>
          <w:lang w:val="en-US" w:eastAsia="zh-CN"/>
        </w:rPr>
      </w:pPr>
      <w:r>
        <w:rPr>
          <w:rFonts w:hint="eastAsia" w:ascii="仿宋_GB2312" w:hAnsi="宋体" w:eastAsia="仿宋_GB2312"/>
          <w:b/>
          <w:bCs/>
          <w:sz w:val="32"/>
          <w:szCs w:val="32"/>
          <w:highlight w:val="none"/>
          <w:lang w:val="en-US" w:eastAsia="zh-CN"/>
        </w:rPr>
        <w:t>1.资金管理情况分析</w:t>
      </w:r>
    </w:p>
    <w:p>
      <w:pPr>
        <w:pStyle w:val="11"/>
        <w:keepNext w:val="0"/>
        <w:keepLines w:val="0"/>
        <w:pageBreakBefore w:val="0"/>
        <w:widowControl w:val="0"/>
        <w:kinsoku/>
        <w:wordWrap/>
        <w:overflowPunct/>
        <w:topLinePunct w:val="0"/>
        <w:bidi w:val="0"/>
        <w:spacing w:line="560" w:lineRule="exact"/>
        <w:ind w:firstLine="640"/>
        <w:textAlignment w:val="auto"/>
        <w:rPr>
          <w:rFonts w:hint="eastAsia" w:ascii="仿宋_GB2312" w:hAnsi="仿宋_GB2312" w:eastAsia="仿宋_GB2312" w:cs="仿宋_GB2312"/>
          <w:spacing w:val="0"/>
          <w:kern w:val="2"/>
          <w:sz w:val="32"/>
          <w:szCs w:val="32"/>
          <w:highlight w:val="none"/>
          <w:u w:val="none"/>
          <w:lang w:val="en-US" w:eastAsia="zh-CN" w:bidi="ar-SA"/>
        </w:rPr>
      </w:pPr>
      <w:r>
        <w:rPr>
          <w:rFonts w:hint="eastAsia" w:ascii="仿宋_GB2312" w:hAnsi="仿宋_GB2312" w:eastAsia="仿宋_GB2312" w:cs="仿宋_GB2312"/>
          <w:spacing w:val="0"/>
          <w:kern w:val="2"/>
          <w:sz w:val="32"/>
          <w:szCs w:val="32"/>
          <w:highlight w:val="none"/>
          <w:u w:val="none"/>
          <w:lang w:val="en-US" w:eastAsia="zh-CN" w:bidi="ar-SA"/>
        </w:rPr>
        <w:t>（1）预算执行情况</w:t>
      </w:r>
    </w:p>
    <w:p>
      <w:pPr>
        <w:pStyle w:val="4"/>
        <w:keepNext w:val="0"/>
        <w:keepLines w:val="0"/>
        <w:pageBreakBefore w:val="0"/>
        <w:widowControl w:val="0"/>
        <w:kinsoku/>
        <w:wordWrap/>
        <w:overflowPunct/>
        <w:topLinePunct w:val="0"/>
        <w:bidi w:val="0"/>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shd w:val="clear"/>
          <w:lang w:val="en-US" w:eastAsia="zh-CN"/>
        </w:rPr>
        <w:t>该项目预算</w:t>
      </w:r>
      <w:r>
        <w:rPr>
          <w:rFonts w:hint="default" w:ascii="仿宋_GB2312" w:hAnsi="仿宋_GB2312" w:eastAsia="仿宋_GB2312" w:cs="仿宋_GB2312"/>
          <w:sz w:val="32"/>
          <w:szCs w:val="32"/>
          <w:highlight w:val="none"/>
          <w:shd w:val="clear"/>
          <w:lang w:val="en-US" w:eastAsia="zh-CN"/>
        </w:rPr>
        <w:t>金额422.3</w:t>
      </w:r>
      <w:r>
        <w:rPr>
          <w:rFonts w:hint="eastAsia" w:ascii="仿宋_GB2312" w:hAnsi="仿宋_GB2312" w:eastAsia="仿宋_GB2312" w:cs="仿宋_GB2312"/>
          <w:sz w:val="32"/>
          <w:szCs w:val="32"/>
          <w:highlight w:val="none"/>
          <w:shd w:val="clear"/>
          <w:lang w:val="en-US" w:eastAsia="zh-CN"/>
        </w:rPr>
        <w:t>3</w:t>
      </w:r>
      <w:r>
        <w:rPr>
          <w:rFonts w:hint="default" w:ascii="仿宋_GB2312" w:hAnsi="仿宋_GB2312" w:eastAsia="仿宋_GB2312" w:cs="仿宋_GB2312"/>
          <w:sz w:val="32"/>
          <w:szCs w:val="32"/>
          <w:highlight w:val="none"/>
          <w:shd w:val="clear"/>
          <w:lang w:val="en-US" w:eastAsia="zh-CN"/>
        </w:rPr>
        <w:t>万元，实际批复</w:t>
      </w:r>
      <w:r>
        <w:rPr>
          <w:rFonts w:hint="eastAsia" w:ascii="仿宋_GB2312" w:hAnsi="仿宋_GB2312" w:eastAsia="仿宋_GB2312" w:cs="仿宋_GB2312"/>
          <w:sz w:val="32"/>
          <w:szCs w:val="32"/>
          <w:highlight w:val="none"/>
          <w:shd w:val="clear"/>
          <w:lang w:val="en-US" w:eastAsia="zh-CN"/>
        </w:rPr>
        <w:t>金额</w:t>
      </w:r>
      <w:r>
        <w:rPr>
          <w:rFonts w:hint="default" w:ascii="仿宋_GB2312" w:hAnsi="仿宋_GB2312" w:eastAsia="仿宋_GB2312" w:cs="仿宋_GB2312"/>
          <w:sz w:val="32"/>
          <w:szCs w:val="32"/>
          <w:highlight w:val="none"/>
          <w:shd w:val="clear"/>
          <w:lang w:val="en-US" w:eastAsia="zh-CN"/>
        </w:rPr>
        <w:t>422.</w:t>
      </w:r>
      <w:r>
        <w:rPr>
          <w:rFonts w:hint="eastAsia" w:ascii="仿宋_GB2312" w:hAnsi="仿宋_GB2312" w:eastAsia="仿宋_GB2312" w:cs="仿宋_GB2312"/>
          <w:sz w:val="32"/>
          <w:szCs w:val="32"/>
          <w:highlight w:val="none"/>
          <w:shd w:val="clear"/>
          <w:lang w:val="en-US" w:eastAsia="zh-CN"/>
        </w:rPr>
        <w:t>33</w:t>
      </w:r>
      <w:r>
        <w:rPr>
          <w:rFonts w:hint="default" w:ascii="仿宋_GB2312" w:hAnsi="仿宋_GB2312" w:eastAsia="仿宋_GB2312" w:cs="仿宋_GB2312"/>
          <w:sz w:val="32"/>
          <w:szCs w:val="32"/>
          <w:highlight w:val="none"/>
          <w:shd w:val="clear"/>
          <w:lang w:val="en-US" w:eastAsia="zh-CN"/>
        </w:rPr>
        <w:t>万元</w:t>
      </w:r>
      <w:r>
        <w:rPr>
          <w:rFonts w:hint="eastAsia" w:ascii="仿宋_GB2312" w:hAnsi="仿宋_GB2312" w:eastAsia="仿宋_GB2312" w:cs="仿宋_GB2312"/>
          <w:sz w:val="32"/>
          <w:szCs w:val="32"/>
          <w:highlight w:val="none"/>
          <w:shd w:val="clear"/>
          <w:lang w:val="en-US" w:eastAsia="zh-CN"/>
        </w:rPr>
        <w:t>。</w:t>
      </w:r>
      <w:r>
        <w:rPr>
          <w:rFonts w:hint="eastAsia" w:ascii="仿宋_GB2312" w:hAnsi="仿宋_GB2312" w:eastAsia="仿宋_GB2312" w:cs="仿宋_GB2312"/>
          <w:sz w:val="32"/>
          <w:szCs w:val="32"/>
          <w:highlight w:val="none"/>
          <w:shd w:val="clear"/>
          <w:lang w:val="en-US" w:eastAsia="zh-Hans"/>
        </w:rPr>
        <w:t>部门预算批复后，市经济和信息化</w:t>
      </w:r>
      <w:r>
        <w:rPr>
          <w:rFonts w:hint="eastAsia" w:ascii="仿宋_GB2312" w:hAnsi="仿宋_GB2312" w:eastAsia="仿宋_GB2312" w:cstheme="minorBidi"/>
          <w:spacing w:val="0"/>
          <w:kern w:val="2"/>
          <w:sz w:val="32"/>
          <w:szCs w:val="32"/>
          <w:highlight w:val="none"/>
          <w:u w:val="none"/>
          <w:shd w:val="clear"/>
          <w:lang w:val="en-US" w:eastAsia="zh-Hans" w:bidi="ar-SA"/>
        </w:rPr>
        <w:t>局财务处委托</w:t>
      </w:r>
      <w:r>
        <w:rPr>
          <w:rFonts w:hint="eastAsia" w:ascii="仿宋_GB2312" w:hAnsi="仿宋_GB2312" w:eastAsia="仿宋_GB2312" w:cstheme="minorBidi"/>
          <w:spacing w:val="0"/>
          <w:kern w:val="2"/>
          <w:sz w:val="32"/>
          <w:szCs w:val="32"/>
          <w:highlight w:val="none"/>
          <w:u w:val="none"/>
          <w:shd w:val="clear"/>
          <w:lang w:val="en-US" w:eastAsia="zh-CN" w:bidi="ar-SA"/>
        </w:rPr>
        <w:t>中逸会计师事务所有限公司</w:t>
      </w:r>
      <w:r>
        <w:rPr>
          <w:rFonts w:hint="default" w:ascii="仿宋_GB2312" w:hAnsi="仿宋_GB2312" w:eastAsia="仿宋_GB2312" w:cstheme="minorBidi"/>
          <w:spacing w:val="0"/>
          <w:kern w:val="2"/>
          <w:sz w:val="32"/>
          <w:szCs w:val="32"/>
          <w:highlight w:val="none"/>
          <w:u w:val="none"/>
          <w:shd w:val="clear"/>
          <w:lang w:val="en-US" w:eastAsia="zh-CN" w:bidi="ar-SA"/>
        </w:rPr>
        <w:t>对项目</w:t>
      </w:r>
      <w:r>
        <w:rPr>
          <w:rFonts w:hint="eastAsia" w:ascii="仿宋_GB2312" w:hAnsi="仿宋_GB2312" w:eastAsia="仿宋_GB2312" w:cstheme="minorBidi"/>
          <w:spacing w:val="0"/>
          <w:kern w:val="2"/>
          <w:sz w:val="32"/>
          <w:szCs w:val="32"/>
          <w:highlight w:val="none"/>
          <w:u w:val="none"/>
          <w:shd w:val="clear"/>
          <w:lang w:val="en-US" w:eastAsia="zh-CN" w:bidi="ar-SA"/>
        </w:rPr>
        <w:t>进行预算评审，</w:t>
      </w:r>
      <w:r>
        <w:rPr>
          <w:rFonts w:hint="eastAsia" w:ascii="仿宋_GB2312" w:hAnsi="仿宋_GB2312" w:eastAsia="仿宋_GB2312" w:cstheme="minorBidi"/>
          <w:spacing w:val="0"/>
          <w:kern w:val="2"/>
          <w:sz w:val="32"/>
          <w:szCs w:val="32"/>
          <w:highlight w:val="none"/>
          <w:u w:val="none"/>
          <w:shd w:val="clear"/>
          <w:lang w:val="en-US" w:eastAsia="zh-Hans" w:bidi="ar-SA"/>
        </w:rPr>
        <w:t>经评审，审定预算</w:t>
      </w:r>
      <w:r>
        <w:rPr>
          <w:rFonts w:hint="eastAsia" w:ascii="仿宋_GB2312" w:hAnsi="仿宋_GB2312" w:eastAsia="仿宋_GB2312" w:cstheme="minorBidi"/>
          <w:spacing w:val="0"/>
          <w:kern w:val="2"/>
          <w:sz w:val="32"/>
          <w:szCs w:val="32"/>
          <w:highlight w:val="none"/>
          <w:u w:val="none"/>
          <w:shd w:val="clear"/>
          <w:lang w:val="en-US" w:eastAsia="zh-CN" w:bidi="ar-SA"/>
        </w:rPr>
        <w:t>422.18万元</w:t>
      </w:r>
      <w:r>
        <w:rPr>
          <w:rFonts w:hint="eastAsia" w:ascii="仿宋_GB2312" w:hAnsi="仿宋_GB2312" w:eastAsia="仿宋_GB2312" w:cstheme="minorBidi"/>
          <w:spacing w:val="0"/>
          <w:kern w:val="2"/>
          <w:sz w:val="32"/>
          <w:szCs w:val="32"/>
          <w:highlight w:val="none"/>
          <w:u w:val="none"/>
          <w:shd w:val="clear"/>
          <w:lang w:val="en-US" w:eastAsia="zh-Hans" w:bidi="ar-SA"/>
        </w:rPr>
        <w:t>，主</w:t>
      </w:r>
      <w:r>
        <w:rPr>
          <w:rFonts w:hint="default" w:ascii="仿宋_GB2312" w:hAnsi="仿宋_GB2312" w:eastAsia="仿宋_GB2312" w:cstheme="minorBidi"/>
          <w:spacing w:val="0"/>
          <w:kern w:val="2"/>
          <w:sz w:val="32"/>
          <w:szCs w:val="32"/>
          <w:highlight w:val="none"/>
          <w:u w:val="none"/>
          <w:shd w:val="clear"/>
          <w:lang w:val="en-US" w:eastAsia="zh-CN" w:bidi="ar-SA"/>
        </w:rPr>
        <w:t>要包括</w:t>
      </w:r>
      <w:r>
        <w:rPr>
          <w:rFonts w:hint="default" w:ascii="仿宋_GB2312" w:hAnsi="仿宋_GB2312" w:eastAsia="仿宋_GB2312" w:cstheme="minorBidi"/>
          <w:i w:val="0"/>
          <w:iCs w:val="0"/>
          <w:kern w:val="2"/>
          <w:sz w:val="32"/>
          <w:szCs w:val="32"/>
          <w:highlight w:val="none"/>
          <w:u w:val="none"/>
          <w:shd w:val="clear"/>
          <w:lang w:val="en-US" w:eastAsia="zh-CN" w:bidi="ar-SA"/>
        </w:rPr>
        <w:t>部门（领域）智慧城市专项规划评估评价、区域规划备案支撑</w:t>
      </w:r>
      <w:r>
        <w:rPr>
          <w:rFonts w:hint="default" w:ascii="仿宋_GB2312" w:hAnsi="仿宋_GB2312" w:eastAsia="仿宋_GB2312" w:cstheme="minorBidi"/>
          <w:i w:val="0"/>
          <w:iCs w:val="0"/>
          <w:kern w:val="2"/>
          <w:sz w:val="32"/>
          <w:szCs w:val="32"/>
          <w:highlight w:val="none"/>
          <w:u w:val="none"/>
          <w:shd w:val="clear"/>
          <w:lang w:eastAsia="zh-CN" w:bidi="ar-SA"/>
        </w:rPr>
        <w:t>111.50</w:t>
      </w:r>
      <w:r>
        <w:rPr>
          <w:rFonts w:hint="eastAsia" w:ascii="仿宋_GB2312" w:hAnsi="仿宋_GB2312" w:eastAsia="仿宋_GB2312" w:cstheme="minorBidi"/>
          <w:i w:val="0"/>
          <w:iCs w:val="0"/>
          <w:kern w:val="2"/>
          <w:sz w:val="32"/>
          <w:szCs w:val="32"/>
          <w:highlight w:val="none"/>
          <w:u w:val="none"/>
          <w:shd w:val="clear"/>
          <w:lang w:val="en-US" w:eastAsia="zh-Hans" w:bidi="ar-SA"/>
        </w:rPr>
        <w:t>万元，部门（领</w:t>
      </w:r>
      <w:r>
        <w:rPr>
          <w:rFonts w:hint="default" w:ascii="仿宋_GB2312" w:hAnsi="仿宋_GB2312" w:eastAsia="仿宋_GB2312" w:cstheme="minorBidi"/>
          <w:i w:val="0"/>
          <w:iCs w:val="0"/>
          <w:kern w:val="2"/>
          <w:sz w:val="32"/>
          <w:szCs w:val="32"/>
          <w:highlight w:val="none"/>
          <w:u w:val="none"/>
          <w:shd w:val="clear"/>
          <w:lang w:val="en-US" w:eastAsia="zh-CN" w:bidi="ar-SA"/>
        </w:rPr>
        <w:t>域）顶层设计评估评价支撑</w:t>
      </w:r>
      <w:r>
        <w:rPr>
          <w:rFonts w:hint="default" w:ascii="仿宋_GB2312" w:hAnsi="仿宋_GB2312" w:eastAsia="仿宋_GB2312" w:cstheme="minorBidi"/>
          <w:i w:val="0"/>
          <w:iCs w:val="0"/>
          <w:kern w:val="2"/>
          <w:sz w:val="32"/>
          <w:szCs w:val="32"/>
          <w:highlight w:val="none"/>
          <w:u w:val="none"/>
          <w:shd w:val="clear"/>
          <w:lang w:eastAsia="zh-CN" w:bidi="ar-SA"/>
        </w:rPr>
        <w:t>310.03</w:t>
      </w:r>
      <w:r>
        <w:rPr>
          <w:rFonts w:hint="default" w:ascii="仿宋_GB2312" w:hAnsi="仿宋_GB2312" w:eastAsia="仿宋_GB2312" w:cstheme="minorBidi"/>
          <w:i w:val="0"/>
          <w:iCs w:val="0"/>
          <w:kern w:val="2"/>
          <w:sz w:val="32"/>
          <w:szCs w:val="32"/>
          <w:highlight w:val="none"/>
          <w:u w:val="none"/>
          <w:shd w:val="clear"/>
          <w:lang w:val="en-US" w:eastAsia="zh-CN" w:bidi="ar-SA"/>
        </w:rPr>
        <w:t>万元，专家费</w:t>
      </w:r>
      <w:r>
        <w:rPr>
          <w:rFonts w:hint="default" w:ascii="仿宋_GB2312" w:hAnsi="仿宋_GB2312" w:eastAsia="仿宋_GB2312" w:cstheme="minorBidi"/>
          <w:i w:val="0"/>
          <w:iCs w:val="0"/>
          <w:kern w:val="2"/>
          <w:sz w:val="32"/>
          <w:szCs w:val="32"/>
          <w:highlight w:val="none"/>
          <w:u w:val="none"/>
          <w:shd w:val="clear"/>
          <w:lang w:eastAsia="zh-CN" w:bidi="ar-SA"/>
        </w:rPr>
        <w:t>0.65</w:t>
      </w:r>
      <w:r>
        <w:rPr>
          <w:rFonts w:hint="default" w:ascii="仿宋_GB2312" w:hAnsi="仿宋_GB2312" w:eastAsia="仿宋_GB2312" w:cstheme="minorBidi"/>
          <w:i w:val="0"/>
          <w:iCs w:val="0"/>
          <w:kern w:val="2"/>
          <w:sz w:val="32"/>
          <w:szCs w:val="32"/>
          <w:highlight w:val="none"/>
          <w:u w:val="none"/>
          <w:shd w:val="clear"/>
          <w:lang w:val="en-US" w:eastAsia="zh-CN" w:bidi="ar-SA"/>
        </w:rPr>
        <w:t>万元</w:t>
      </w:r>
      <w:r>
        <w:rPr>
          <w:rFonts w:hint="default" w:ascii="仿宋_GB2312" w:hAnsi="仿宋_GB2312" w:eastAsia="仿宋_GB2312"/>
          <w:sz w:val="32"/>
          <w:szCs w:val="32"/>
          <w:highlight w:val="none"/>
          <w:shd w:val="clear"/>
          <w:lang w:eastAsia="zh-CN"/>
        </w:rPr>
        <w:t>，</w:t>
      </w:r>
      <w:r>
        <w:rPr>
          <w:rFonts w:hint="default" w:ascii="仿宋_GB2312" w:hAnsi="仿宋_GB2312" w:eastAsia="仿宋_GB2312"/>
          <w:sz w:val="32"/>
          <w:szCs w:val="32"/>
          <w:highlight w:val="none"/>
          <w:shd w:val="clear"/>
          <w:lang w:val="en-US" w:eastAsia="zh-CN"/>
        </w:rPr>
        <w:t>市经济和信息化局大数据建设处据此金额开展政府采购，并签订委托合同。</w:t>
      </w:r>
      <w:r>
        <w:rPr>
          <w:rFonts w:hint="default" w:ascii="仿宋_GB2312" w:hAnsi="仿宋_GB2312" w:eastAsia="仿宋_GB2312" w:cs="仿宋_GB2312"/>
          <w:sz w:val="32"/>
          <w:szCs w:val="32"/>
          <w:highlight w:val="none"/>
          <w:lang w:val="en-US" w:eastAsia="zh-CN"/>
        </w:rPr>
        <w:t>截至2022年12月31日，</w:t>
      </w:r>
      <w:r>
        <w:rPr>
          <w:rFonts w:hint="eastAsia" w:ascii="仿宋_GB2312" w:hAnsi="仿宋_GB2312" w:eastAsia="仿宋_GB2312" w:cs="仿宋_GB2312"/>
          <w:sz w:val="32"/>
          <w:szCs w:val="32"/>
          <w:highlight w:val="none"/>
          <w:lang w:val="en-US" w:eastAsia="zh-Hans"/>
        </w:rPr>
        <w:t>该项目</w:t>
      </w:r>
      <w:r>
        <w:rPr>
          <w:rFonts w:hint="default" w:ascii="仿宋_GB2312" w:hAnsi="仿宋_GB2312" w:eastAsia="仿宋_GB2312" w:cs="仿宋_GB2312"/>
          <w:sz w:val="32"/>
          <w:szCs w:val="32"/>
          <w:highlight w:val="none"/>
          <w:lang w:val="en-US" w:eastAsia="zh-CN"/>
        </w:rPr>
        <w:t>实际</w:t>
      </w:r>
      <w:r>
        <w:rPr>
          <w:rFonts w:hint="eastAsia" w:ascii="仿宋_GB2312" w:hAnsi="仿宋_GB2312" w:eastAsia="仿宋_GB2312" w:cs="仿宋_GB2312"/>
          <w:sz w:val="32"/>
          <w:szCs w:val="32"/>
          <w:highlight w:val="none"/>
          <w:lang w:val="en-US" w:eastAsia="zh-Hans"/>
        </w:rPr>
        <w:t>支出</w:t>
      </w:r>
      <w:r>
        <w:rPr>
          <w:rFonts w:hint="default" w:ascii="仿宋_GB2312" w:hAnsi="仿宋_GB2312" w:eastAsia="仿宋_GB2312" w:cs="仿宋_GB2312"/>
          <w:sz w:val="32"/>
          <w:szCs w:val="32"/>
          <w:highlight w:val="none"/>
          <w:lang w:val="en-US" w:eastAsia="zh-CN"/>
        </w:rPr>
        <w:t>资金421万元，预算执行率99.</w:t>
      </w:r>
      <w:r>
        <w:rPr>
          <w:rFonts w:hint="eastAsia" w:ascii="仿宋_GB2312" w:hAnsi="仿宋_GB2312" w:eastAsia="仿宋_GB2312" w:cs="仿宋_GB2312"/>
          <w:sz w:val="32"/>
          <w:szCs w:val="32"/>
          <w:highlight w:val="none"/>
          <w:lang w:val="en-US" w:eastAsia="zh-CN"/>
        </w:rPr>
        <w:t>69</w:t>
      </w:r>
      <w:r>
        <w:rPr>
          <w:rFonts w:hint="default"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lang w:val="en-US" w:eastAsia="zh-Hans"/>
        </w:rPr>
        <w:t>；</w:t>
      </w:r>
      <w:r>
        <w:rPr>
          <w:rFonts w:hint="default" w:ascii="仿宋_GB2312" w:hAnsi="仿宋_GB2312" w:eastAsia="仿宋_GB2312" w:cs="仿宋_GB2312"/>
          <w:sz w:val="32"/>
          <w:szCs w:val="32"/>
          <w:highlight w:val="none"/>
          <w:lang w:val="en-US" w:eastAsia="zh-CN"/>
        </w:rPr>
        <w:t>资金结余1.</w:t>
      </w:r>
      <w:r>
        <w:rPr>
          <w:rFonts w:hint="eastAsia" w:ascii="仿宋_GB2312" w:hAnsi="仿宋_GB2312" w:eastAsia="仿宋_GB2312" w:cs="仿宋_GB2312"/>
          <w:sz w:val="32"/>
          <w:szCs w:val="32"/>
          <w:highlight w:val="none"/>
          <w:lang w:val="en-US" w:eastAsia="zh-CN"/>
        </w:rPr>
        <w:t>33</w:t>
      </w:r>
      <w:r>
        <w:rPr>
          <w:rFonts w:hint="default"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lang w:val="en-US" w:eastAsia="zh-CN"/>
        </w:rPr>
        <w:t>包括预算评审审减0.15万元和</w:t>
      </w:r>
      <w:r>
        <w:rPr>
          <w:rFonts w:hint="default" w:ascii="仿宋_GB2312" w:hAnsi="仿宋_GB2312" w:eastAsia="仿宋_GB2312" w:cs="仿宋_GB2312"/>
          <w:sz w:val="32"/>
          <w:szCs w:val="32"/>
          <w:highlight w:val="none"/>
          <w:lang w:val="en-US" w:eastAsia="zh-CN"/>
        </w:rPr>
        <w:t>招标结余</w:t>
      </w:r>
      <w:r>
        <w:rPr>
          <w:rFonts w:hint="eastAsia" w:ascii="仿宋_GB2312" w:hAnsi="仿宋_GB2312" w:eastAsia="仿宋_GB2312" w:cs="仿宋_GB2312"/>
          <w:sz w:val="32"/>
          <w:szCs w:val="32"/>
          <w:highlight w:val="none"/>
          <w:lang w:val="en-US" w:eastAsia="zh-CN"/>
        </w:rPr>
        <w:t>1.18万元</w:t>
      </w:r>
      <w:r>
        <w:rPr>
          <w:rFonts w:hint="default" w:ascii="仿宋_GB2312" w:hAnsi="仿宋_GB2312" w:eastAsia="仿宋_GB2312" w:cs="仿宋_GB2312"/>
          <w:sz w:val="32"/>
          <w:szCs w:val="32"/>
          <w:highlight w:val="none"/>
          <w:lang w:val="en-US" w:eastAsia="zh-CN"/>
        </w:rPr>
        <w:t>，结余资金已于2022年底被市财政局调整收回。</w:t>
      </w:r>
    </w:p>
    <w:p>
      <w:pPr>
        <w:pStyle w:val="11"/>
        <w:keepNext w:val="0"/>
        <w:keepLines w:val="0"/>
        <w:pageBreakBefore w:val="0"/>
        <w:widowControl w:val="0"/>
        <w:kinsoku/>
        <w:wordWrap/>
        <w:overflowPunct/>
        <w:topLinePunct w:val="0"/>
        <w:bidi w:val="0"/>
        <w:spacing w:line="560" w:lineRule="exact"/>
        <w:ind w:firstLine="640"/>
        <w:textAlignment w:val="auto"/>
        <w:rPr>
          <w:rFonts w:hint="eastAsia" w:ascii="仿宋_GB2312" w:hAnsi="仿宋_GB2312" w:eastAsia="仿宋_GB2312" w:cs="仿宋_GB2312"/>
          <w:spacing w:val="0"/>
          <w:kern w:val="2"/>
          <w:sz w:val="32"/>
          <w:szCs w:val="32"/>
          <w:u w:val="none"/>
          <w:lang w:val="en-US" w:eastAsia="zh-CN" w:bidi="ar-SA"/>
        </w:rPr>
      </w:pPr>
      <w:r>
        <w:rPr>
          <w:rFonts w:hint="eastAsia" w:ascii="仿宋_GB2312" w:hAnsi="仿宋_GB2312" w:eastAsia="仿宋_GB2312" w:cs="仿宋_GB2312"/>
          <w:spacing w:val="0"/>
          <w:kern w:val="2"/>
          <w:sz w:val="32"/>
          <w:szCs w:val="32"/>
          <w:u w:val="none"/>
          <w:lang w:val="en-US" w:eastAsia="zh-CN" w:bidi="ar-SA"/>
        </w:rPr>
        <w:t>（</w:t>
      </w:r>
      <w:r>
        <w:rPr>
          <w:rFonts w:hint="eastAsia" w:ascii="仿宋_GB2312" w:hAnsi="仿宋_GB2312" w:cs="仿宋_GB2312"/>
          <w:spacing w:val="0"/>
          <w:kern w:val="2"/>
          <w:sz w:val="32"/>
          <w:szCs w:val="32"/>
          <w:u w:val="none"/>
          <w:lang w:val="en-US" w:eastAsia="zh-CN" w:bidi="ar-SA"/>
        </w:rPr>
        <w:t>2</w:t>
      </w:r>
      <w:r>
        <w:rPr>
          <w:rFonts w:hint="eastAsia" w:ascii="仿宋_GB2312" w:hAnsi="仿宋_GB2312" w:eastAsia="仿宋_GB2312" w:cs="仿宋_GB2312"/>
          <w:spacing w:val="0"/>
          <w:kern w:val="2"/>
          <w:sz w:val="32"/>
          <w:szCs w:val="32"/>
          <w:u w:val="none"/>
          <w:lang w:val="en-US" w:eastAsia="zh-CN" w:bidi="ar-SA"/>
        </w:rPr>
        <w:t>）资金使用合规性</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default" w:ascii="仿宋_GB2312" w:hAnsi="仿宋_GB2312" w:eastAsia="仿宋_GB2312" w:cs="仿宋_GB2312"/>
          <w:kern w:val="2"/>
          <w:sz w:val="32"/>
          <w:szCs w:val="32"/>
          <w:u w:val="none"/>
          <w:lang w:val="en-US" w:eastAsia="zh-CN" w:bidi="ar-SA"/>
        </w:rPr>
      </w:pPr>
      <w:r>
        <w:rPr>
          <w:rFonts w:hint="eastAsia" w:ascii="仿宋_GB2312" w:hAnsi="仿宋_GB2312" w:eastAsia="仿宋_GB2312" w:cs="仿宋_GB2312"/>
          <w:kern w:val="2"/>
          <w:sz w:val="32"/>
          <w:szCs w:val="32"/>
          <w:u w:val="none"/>
          <w:lang w:val="en-US" w:eastAsia="zh-Hans" w:bidi="ar-SA"/>
        </w:rPr>
        <w:t>市经济和信息化局</w:t>
      </w:r>
      <w:r>
        <w:rPr>
          <w:rFonts w:hint="eastAsia" w:ascii="仿宋_GB2312" w:hAnsi="仿宋_GB2312" w:eastAsia="仿宋_GB2312" w:cs="仿宋_GB2312"/>
          <w:kern w:val="2"/>
          <w:sz w:val="32"/>
          <w:szCs w:val="32"/>
          <w:u w:val="none"/>
          <w:lang w:val="en-US" w:eastAsia="zh-CN" w:bidi="ar-SA"/>
        </w:rPr>
        <w:t>根据</w:t>
      </w:r>
      <w:r>
        <w:rPr>
          <w:rFonts w:hint="eastAsia" w:ascii="仿宋_GB2312" w:hAnsi="仿宋_GB2312" w:eastAsia="仿宋_GB2312" w:cs="仿宋_GB2312"/>
          <w:sz w:val="32"/>
          <w:szCs w:val="32"/>
        </w:rPr>
        <w:t>《北京市经济和信息化局预算管理办法》《北京市经济和信息化局政府采购管理办法》《北京市经济和信息化局公开招标管理办法》</w:t>
      </w:r>
      <w:r>
        <w:rPr>
          <w:rFonts w:hint="default" w:ascii="仿宋_GB2312" w:hAnsi="仿宋_GB2312" w:eastAsia="仿宋_GB2312" w:cs="仿宋_GB2312"/>
          <w:kern w:val="2"/>
          <w:sz w:val="32"/>
          <w:szCs w:val="32"/>
          <w:u w:val="none"/>
          <w:lang w:val="en-US" w:eastAsia="zh-CN" w:bidi="ar-SA"/>
        </w:rPr>
        <w:t>等相关制度的管理要求，按照内部控制流程，对项目预算申报、招标、合同签订、项目经费支付等环节进行管控</w:t>
      </w:r>
      <w:r>
        <w:rPr>
          <w:rFonts w:hint="eastAsia" w:ascii="仿宋_GB2312" w:hAnsi="仿宋_GB2312" w:eastAsia="仿宋_GB2312" w:cs="仿宋_GB2312"/>
          <w:kern w:val="2"/>
          <w:sz w:val="32"/>
          <w:szCs w:val="32"/>
          <w:u w:val="none"/>
          <w:lang w:val="en-US" w:eastAsia="zh-Hans" w:bidi="ar-SA"/>
        </w:rPr>
        <w:t>。评价</w:t>
      </w:r>
      <w:r>
        <w:rPr>
          <w:rFonts w:hint="default" w:ascii="仿宋_GB2312" w:hAnsi="仿宋_GB2312" w:eastAsia="仿宋_GB2312" w:cs="仿宋_GB2312"/>
          <w:kern w:val="2"/>
          <w:sz w:val="32"/>
          <w:szCs w:val="32"/>
          <w:u w:val="none"/>
          <w:lang w:val="en-US" w:eastAsia="zh-CN" w:bidi="ar-SA"/>
        </w:rPr>
        <w:t>未发现资金截留、挤占、挪用、虚列支出等问题</w:t>
      </w:r>
      <w:r>
        <w:rPr>
          <w:rFonts w:hint="eastAsia" w:ascii="仿宋_GB2312" w:hAnsi="仿宋_GB2312" w:eastAsia="仿宋_GB2312" w:cs="仿宋_GB2312"/>
          <w:kern w:val="2"/>
          <w:sz w:val="32"/>
          <w:szCs w:val="32"/>
          <w:u w:val="none"/>
          <w:lang w:val="en-US" w:eastAsia="zh-Hans" w:bidi="ar-SA"/>
        </w:rPr>
        <w:t>，</w:t>
      </w:r>
      <w:r>
        <w:rPr>
          <w:rFonts w:hint="eastAsia" w:ascii="仿宋_GB2312" w:hAnsi="仿宋_GB2312" w:eastAsia="仿宋_GB2312" w:cs="仿宋_GB2312"/>
          <w:sz w:val="32"/>
          <w:szCs w:val="32"/>
          <w:lang w:val="en-US" w:eastAsia="zh-CN"/>
        </w:rPr>
        <w:t>但</w:t>
      </w:r>
      <w:r>
        <w:rPr>
          <w:rFonts w:hint="eastAsia" w:ascii="仿宋_GB2312" w:hAnsi="仿宋_GB2312" w:eastAsia="仿宋_GB2312" w:cs="仿宋_GB2312"/>
          <w:sz w:val="32"/>
          <w:szCs w:val="32"/>
          <w:lang w:val="en-US" w:eastAsia="zh-Hans"/>
        </w:rPr>
        <w:t>根据市经济和信息化局与</w:t>
      </w:r>
      <w:r>
        <w:rPr>
          <w:rFonts w:hint="eastAsia" w:ascii="仿宋_GB2312" w:hAnsi="仿宋_GB2312" w:eastAsia="仿宋_GB2312" w:cs="仿宋_GB2312"/>
          <w:sz w:val="32"/>
          <w:szCs w:val="32"/>
          <w:lang w:val="en-US" w:eastAsia="zh-CN"/>
        </w:rPr>
        <w:t>项目承担机构</w:t>
      </w:r>
      <w:r>
        <w:rPr>
          <w:rFonts w:hint="eastAsia" w:ascii="仿宋_GB2312" w:hAnsi="仿宋_GB2312" w:eastAsia="仿宋_GB2312" w:cs="仿宋_GB2312"/>
          <w:sz w:val="32"/>
          <w:szCs w:val="32"/>
          <w:lang w:val="en-US" w:eastAsia="zh-Hans"/>
        </w:rPr>
        <w:t>签订的合同，合同约定</w:t>
      </w:r>
      <w:r>
        <w:rPr>
          <w:rFonts w:hint="default" w:ascii="仿宋_GB2312" w:hAnsi="仿宋_GB2312" w:eastAsia="仿宋_GB2312" w:cs="仿宋_GB2312"/>
          <w:sz w:val="32"/>
          <w:szCs w:val="32"/>
        </w:rPr>
        <w:t>的支付条款</w:t>
      </w:r>
      <w:r>
        <w:rPr>
          <w:rFonts w:hint="eastAsia" w:ascii="仿宋_GB2312" w:hAnsi="仿宋_GB2312" w:eastAsia="仿宋_GB2312" w:cs="仿宋_GB2312"/>
          <w:sz w:val="32"/>
          <w:szCs w:val="32"/>
          <w:lang w:val="en-US" w:eastAsia="zh-Hans"/>
        </w:rPr>
        <w:t>为市经济和信息化局</w:t>
      </w:r>
      <w:r>
        <w:rPr>
          <w:rFonts w:hint="eastAsia" w:ascii="仿宋_GB2312" w:hAnsi="仿宋_GB2312" w:eastAsia="仿宋_GB2312" w:cs="仿宋_GB2312"/>
          <w:sz w:val="32"/>
          <w:szCs w:val="32"/>
          <w:lang w:val="en-US" w:eastAsia="zh-CN"/>
        </w:rPr>
        <w:t>于2022年11月30日一次性支付合同价款421万元，</w:t>
      </w:r>
      <w:r>
        <w:rPr>
          <w:rFonts w:hint="eastAsia" w:ascii="仿宋_GB2312" w:hAnsi="仿宋_GB2312" w:eastAsia="仿宋_GB2312" w:cs="仿宋_GB2312"/>
          <w:sz w:val="32"/>
          <w:szCs w:val="32"/>
        </w:rPr>
        <w:t>泰豪智能、道口金科、北京北资</w:t>
      </w:r>
      <w:r>
        <w:rPr>
          <w:rFonts w:hint="eastAsia" w:ascii="仿宋_GB2312" w:hAnsi="仿宋_GB2312" w:eastAsia="仿宋_GB2312" w:cs="仿宋_GB2312"/>
          <w:sz w:val="32"/>
          <w:szCs w:val="32"/>
          <w:lang w:val="en-US" w:eastAsia="zh-Hans"/>
        </w:rPr>
        <w:t>三家机构应向市经济和信息化局出局</w:t>
      </w:r>
      <w:r>
        <w:rPr>
          <w:rFonts w:hint="default" w:ascii="仿宋_GB2312" w:hAnsi="仿宋_GB2312" w:eastAsia="仿宋_GB2312" w:cs="仿宋_GB2312"/>
          <w:sz w:val="32"/>
          <w:szCs w:val="32"/>
        </w:rPr>
        <w:t>银行开具的履约保函，保证金额为合同金额的10%，用于保证供应商全面履行合同义务</w:t>
      </w:r>
      <w:r>
        <w:rPr>
          <w:rFonts w:hint="eastAsia" w:ascii="仿宋_GB2312" w:hAnsi="仿宋_GB2312" w:eastAsia="仿宋_GB2312" w:cs="仿宋_GB2312"/>
          <w:sz w:val="32"/>
          <w:szCs w:val="32"/>
          <w:lang w:eastAsia="zh-Hans"/>
        </w:rPr>
        <w:t>，</w:t>
      </w:r>
      <w:r>
        <w:rPr>
          <w:rFonts w:hint="default" w:ascii="仿宋_GB2312" w:hAnsi="仿宋_GB2312" w:eastAsia="仿宋_GB2312" w:cs="仿宋_GB2312"/>
          <w:sz w:val="32"/>
          <w:szCs w:val="32"/>
        </w:rPr>
        <w:t>资金支出进度未与实施进度有效挂钩，存在一定的支出风险。</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宋体" w:eastAsia="仿宋_GB2312"/>
          <w:b/>
          <w:bCs/>
          <w:sz w:val="32"/>
          <w:szCs w:val="32"/>
          <w:highlight w:val="none"/>
          <w:lang w:val="en-US" w:eastAsia="zh-CN"/>
        </w:rPr>
      </w:pPr>
      <w:r>
        <w:rPr>
          <w:rFonts w:hint="default" w:ascii="仿宋_GB2312" w:hAnsi="宋体" w:eastAsia="仿宋_GB2312"/>
          <w:b/>
          <w:bCs/>
          <w:sz w:val="32"/>
          <w:szCs w:val="32"/>
          <w:highlight w:val="none"/>
          <w:lang w:val="en-US" w:eastAsia="zh-CN"/>
        </w:rPr>
        <w:t>2.</w:t>
      </w:r>
      <w:r>
        <w:rPr>
          <w:rFonts w:hint="eastAsia" w:ascii="仿宋_GB2312" w:hAnsi="宋体" w:eastAsia="仿宋_GB2312"/>
          <w:b/>
          <w:bCs/>
          <w:sz w:val="32"/>
          <w:szCs w:val="32"/>
          <w:highlight w:val="none"/>
          <w:lang w:val="en-US" w:eastAsia="zh-CN"/>
        </w:rPr>
        <w:t>业务管理情况分析</w:t>
      </w:r>
    </w:p>
    <w:p>
      <w:pPr>
        <w:pStyle w:val="11"/>
        <w:keepNext w:val="0"/>
        <w:keepLines w:val="0"/>
        <w:pageBreakBefore w:val="0"/>
        <w:widowControl w:val="0"/>
        <w:kinsoku/>
        <w:wordWrap/>
        <w:overflowPunct/>
        <w:topLinePunct w:val="0"/>
        <w:bidi w:val="0"/>
        <w:spacing w:line="560" w:lineRule="exact"/>
        <w:ind w:firstLine="640"/>
        <w:textAlignment w:val="auto"/>
        <w:rPr>
          <w:rFonts w:hint="eastAsia" w:ascii="仿宋_GB2312" w:hAnsi="仿宋_GB2312" w:eastAsia="仿宋_GB2312" w:cs="仿宋_GB2312"/>
          <w:spacing w:val="0"/>
          <w:kern w:val="2"/>
          <w:sz w:val="32"/>
          <w:szCs w:val="32"/>
          <w:u w:val="none"/>
          <w:lang w:val="en-US" w:eastAsia="zh-CN" w:bidi="ar-SA"/>
        </w:rPr>
      </w:pPr>
      <w:r>
        <w:rPr>
          <w:rFonts w:hint="eastAsia" w:ascii="仿宋_GB2312" w:hAnsi="仿宋_GB2312" w:eastAsia="仿宋_GB2312" w:cs="仿宋_GB2312"/>
          <w:spacing w:val="0"/>
          <w:kern w:val="2"/>
          <w:sz w:val="32"/>
          <w:szCs w:val="32"/>
          <w:u w:val="none"/>
          <w:lang w:val="en-US" w:eastAsia="zh-CN" w:bidi="ar-SA"/>
        </w:rPr>
        <w:t>（1）管理制度健全性</w:t>
      </w:r>
    </w:p>
    <w:p>
      <w:pPr>
        <w:keepNext w:val="0"/>
        <w:keepLines w:val="0"/>
        <w:pageBreakBefore w:val="0"/>
        <w:widowControl w:val="0"/>
        <w:kinsoku/>
        <w:wordWrap/>
        <w:overflowPunct/>
        <w:topLinePunct w:val="0"/>
        <w:bidi w:val="0"/>
        <w:spacing w:line="560" w:lineRule="exact"/>
        <w:ind w:firstLine="640" w:firstLineChars="200"/>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为保障项目资金支出的合规性和项目组织管理的规范性，</w:t>
      </w:r>
      <w:r>
        <w:rPr>
          <w:rFonts w:hint="eastAsia" w:ascii="仿宋_GB2312" w:hAnsi="仿宋_GB2312" w:eastAsia="仿宋_GB2312" w:cs="仿宋_GB2312"/>
          <w:kern w:val="2"/>
          <w:sz w:val="32"/>
          <w:szCs w:val="32"/>
          <w:u w:val="none"/>
          <w:lang w:val="en-US" w:eastAsia="zh-Hans" w:bidi="ar-SA"/>
        </w:rPr>
        <w:t>市经济和信息化局在项目实施过程中</w:t>
      </w:r>
      <w:r>
        <w:rPr>
          <w:rFonts w:hint="eastAsia" w:ascii="仿宋_GB2312" w:hAnsi="仿宋_GB2312" w:eastAsia="仿宋_GB2312" w:cs="仿宋_GB2312"/>
          <w:sz w:val="32"/>
          <w:szCs w:val="32"/>
        </w:rPr>
        <w:t>严格履行《北京市经济和信息化局预算管理办法》《北京市经济和信息化局政府采购管理办法》等财务制度</w:t>
      </w:r>
      <w:r>
        <w:rPr>
          <w:rFonts w:hint="eastAsia" w:ascii="仿宋_GB2312" w:hAnsi="仿宋_GB2312" w:eastAsia="仿宋_GB2312" w:cs="仿宋_GB2312"/>
          <w:sz w:val="32"/>
          <w:szCs w:val="32"/>
          <w:lang w:val="en-US" w:eastAsia="zh-Hans"/>
        </w:rPr>
        <w:t>、</w:t>
      </w:r>
      <w:r>
        <w:rPr>
          <w:rFonts w:hint="eastAsia" w:ascii="仿宋_GB2312" w:hAnsi="仿宋_GB2312" w:eastAsia="仿宋_GB2312" w:cs="仿宋_GB2312"/>
          <w:sz w:val="32"/>
          <w:szCs w:val="32"/>
        </w:rPr>
        <w:t>《北京市经济和信息化局公开招标管理办法》《北京市经济和信息化局合同管理办法》等管理制度</w:t>
      </w:r>
      <w:r>
        <w:rPr>
          <w:rFonts w:hint="eastAsia" w:ascii="仿宋_GB2312" w:hAnsi="仿宋_GB2312" w:eastAsia="仿宋_GB2312" w:cs="仿宋_GB2312"/>
          <w:sz w:val="32"/>
          <w:szCs w:val="32"/>
          <w:lang w:val="en-US" w:eastAsia="zh-Hans"/>
        </w:rPr>
        <w:t>进行项目管理</w:t>
      </w:r>
      <w:r>
        <w:rPr>
          <w:rFonts w:hint="eastAsia" w:ascii="仿宋_GB2312" w:hAnsi="仿宋_GB2312" w:eastAsia="仿宋_GB2312" w:cs="仿宋_GB2312"/>
          <w:sz w:val="32"/>
          <w:szCs w:val="32"/>
          <w:lang w:val="en-US" w:eastAsia="zh-CN"/>
        </w:rPr>
        <w:t>。评价认为，</w:t>
      </w:r>
      <w:r>
        <w:rPr>
          <w:rFonts w:hint="eastAsia" w:ascii="仿宋_GB2312" w:hAnsi="仿宋_GB2312" w:eastAsia="仿宋_GB2312" w:cs="仿宋_GB2312"/>
          <w:sz w:val="32"/>
          <w:szCs w:val="32"/>
        </w:rPr>
        <w:t>项目管理制度</w:t>
      </w:r>
      <w:r>
        <w:rPr>
          <w:rFonts w:hint="eastAsia" w:ascii="仿宋_GB2312" w:hAnsi="仿宋_GB2312" w:eastAsia="仿宋_GB2312" w:cs="仿宋_GB2312"/>
          <w:sz w:val="32"/>
          <w:szCs w:val="32"/>
          <w:lang w:val="en-US" w:eastAsia="zh-CN"/>
        </w:rPr>
        <w:t>较为</w:t>
      </w:r>
      <w:r>
        <w:rPr>
          <w:rFonts w:hint="eastAsia" w:ascii="仿宋_GB2312" w:hAnsi="仿宋_GB2312" w:eastAsia="仿宋_GB2312" w:cs="仿宋_GB2312"/>
          <w:sz w:val="32"/>
          <w:szCs w:val="32"/>
        </w:rPr>
        <w:t>健全。</w:t>
      </w:r>
    </w:p>
    <w:p>
      <w:pPr>
        <w:pStyle w:val="11"/>
        <w:keepNext w:val="0"/>
        <w:keepLines w:val="0"/>
        <w:pageBreakBefore w:val="0"/>
        <w:widowControl w:val="0"/>
        <w:kinsoku/>
        <w:wordWrap/>
        <w:overflowPunct/>
        <w:topLinePunct w:val="0"/>
        <w:bidi w:val="0"/>
        <w:spacing w:line="560" w:lineRule="exact"/>
        <w:ind w:firstLine="640"/>
        <w:textAlignment w:val="auto"/>
        <w:rPr>
          <w:rFonts w:hint="default" w:ascii="仿宋_GB2312" w:hAnsi="仿宋_GB2312" w:eastAsia="仿宋_GB2312" w:cs="仿宋_GB2312"/>
          <w:spacing w:val="0"/>
          <w:kern w:val="2"/>
          <w:sz w:val="32"/>
          <w:szCs w:val="32"/>
          <w:u w:val="none"/>
          <w:lang w:val="en-US" w:eastAsia="zh-CN" w:bidi="ar-SA"/>
        </w:rPr>
      </w:pPr>
      <w:r>
        <w:rPr>
          <w:rFonts w:hint="eastAsia" w:ascii="仿宋_GB2312" w:hAnsi="仿宋_GB2312" w:eastAsia="仿宋_GB2312" w:cs="仿宋_GB2312"/>
          <w:spacing w:val="0"/>
          <w:kern w:val="2"/>
          <w:sz w:val="32"/>
          <w:szCs w:val="32"/>
          <w:u w:val="none"/>
          <w:lang w:val="en-US" w:eastAsia="zh-CN" w:bidi="ar-SA"/>
        </w:rPr>
        <w:t>（2）制度执行有效性</w:t>
      </w:r>
    </w:p>
    <w:p>
      <w:pPr>
        <w:keepNext w:val="0"/>
        <w:keepLines w:val="0"/>
        <w:pageBreakBefore w:val="0"/>
        <w:widowControl w:val="0"/>
        <w:kinsoku/>
        <w:wordWrap/>
        <w:overflowPunct/>
        <w:topLinePunct w:val="0"/>
        <w:bidi w:val="0"/>
        <w:spacing w:line="560" w:lineRule="exact"/>
        <w:ind w:firstLine="642"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rPr>
        <w:t>组织管理机构方面：</w:t>
      </w:r>
      <w:r>
        <w:rPr>
          <w:rFonts w:hint="eastAsia" w:ascii="仿宋_GB2312" w:hAnsi="仿宋_GB2312" w:eastAsia="仿宋_GB2312" w:cs="仿宋_GB2312"/>
          <w:b w:val="0"/>
          <w:bCs w:val="0"/>
          <w:sz w:val="32"/>
          <w:szCs w:val="32"/>
          <w:lang w:val="en-US" w:eastAsia="zh-CN"/>
        </w:rPr>
        <w:t>该项目由三方参与实施，分别为</w:t>
      </w:r>
      <w:r>
        <w:rPr>
          <w:rFonts w:hint="eastAsia" w:ascii="仿宋_GB2312" w:hAnsi="仿宋_GB2312" w:eastAsia="仿宋_GB2312" w:cs="仿宋_GB2312"/>
          <w:b w:val="0"/>
          <w:bCs w:val="0"/>
          <w:sz w:val="32"/>
          <w:szCs w:val="32"/>
        </w:rPr>
        <w:t>大数据建设处、项目承担机构</w:t>
      </w:r>
      <w:r>
        <w:rPr>
          <w:rFonts w:hint="eastAsia" w:ascii="仿宋_GB2312" w:hAnsi="仿宋_GB2312" w:eastAsia="仿宋_GB2312" w:cs="仿宋_GB2312"/>
          <w:b w:val="0"/>
          <w:bCs w:val="0"/>
          <w:sz w:val="32"/>
          <w:szCs w:val="32"/>
          <w:lang w:val="en-US" w:eastAsia="zh-CN"/>
        </w:rPr>
        <w:t>以及</w:t>
      </w:r>
      <w:r>
        <w:rPr>
          <w:rFonts w:hint="eastAsia" w:ascii="仿宋_GB2312" w:hAnsi="仿宋_GB2312" w:eastAsia="仿宋_GB2312" w:cs="仿宋_GB2312"/>
          <w:b w:val="0"/>
          <w:bCs w:val="0"/>
          <w:sz w:val="32"/>
          <w:szCs w:val="32"/>
        </w:rPr>
        <w:t>专家顾问团队</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其中，大数据建设处负责统筹协调项目整体实施，对项目承担机构进行监督指导；</w:t>
      </w:r>
      <w:r>
        <w:rPr>
          <w:rFonts w:hint="eastAsia" w:ascii="仿宋_GB2312" w:hAnsi="仿宋_GB2312" w:eastAsia="仿宋_GB2312" w:cs="仿宋_GB2312"/>
          <w:b w:val="0"/>
          <w:bCs w:val="0"/>
          <w:sz w:val="32"/>
          <w:szCs w:val="32"/>
        </w:rPr>
        <w:t>项目承担机构</w:t>
      </w:r>
      <w:r>
        <w:rPr>
          <w:rFonts w:hint="eastAsia" w:ascii="仿宋_GB2312" w:hAnsi="仿宋_GB2312" w:eastAsia="仿宋_GB2312" w:cs="仿宋_GB2312"/>
          <w:b w:val="0"/>
          <w:bCs w:val="0"/>
          <w:sz w:val="32"/>
          <w:szCs w:val="32"/>
          <w:lang w:val="en-US" w:eastAsia="zh-CN"/>
        </w:rPr>
        <w:t>为</w:t>
      </w:r>
      <w:r>
        <w:rPr>
          <w:rFonts w:hint="eastAsia" w:ascii="仿宋_GB2312" w:hAnsi="仿宋_GB2312" w:eastAsia="仿宋_GB2312" w:cs="仿宋_GB2312"/>
          <w:sz w:val="32"/>
          <w:szCs w:val="32"/>
        </w:rPr>
        <w:t>泰豪智能、道口金科、北京北资</w:t>
      </w:r>
      <w:r>
        <w:rPr>
          <w:rFonts w:hint="eastAsia" w:ascii="仿宋_GB2312" w:hAnsi="仿宋_GB2312" w:eastAsia="仿宋_GB2312" w:cs="仿宋_GB2312"/>
          <w:sz w:val="32"/>
          <w:szCs w:val="32"/>
          <w:lang w:val="en-US" w:eastAsia="zh-CN"/>
        </w:rPr>
        <w:t>三家机构组成的联合体，</w:t>
      </w:r>
      <w:r>
        <w:rPr>
          <w:rFonts w:hint="eastAsia" w:ascii="仿宋_GB2312" w:hAnsi="仿宋_GB2312" w:eastAsia="仿宋_GB2312" w:cs="仿宋_GB2312"/>
          <w:b w:val="0"/>
          <w:bCs w:val="0"/>
          <w:sz w:val="32"/>
          <w:szCs w:val="32"/>
        </w:rPr>
        <w:t>负责对</w:t>
      </w:r>
      <w:r>
        <w:rPr>
          <w:rFonts w:hint="eastAsia" w:ascii="仿宋_GB2312" w:hAnsi="仿宋_GB2312" w:eastAsia="仿宋_GB2312" w:cs="仿宋_GB2312"/>
          <w:b w:val="0"/>
          <w:bCs w:val="0"/>
          <w:sz w:val="32"/>
          <w:szCs w:val="32"/>
          <w:lang w:val="en-US" w:eastAsia="zh-CN"/>
        </w:rPr>
        <w:t>该</w:t>
      </w:r>
      <w:r>
        <w:rPr>
          <w:rFonts w:hint="eastAsia" w:ascii="仿宋_GB2312" w:hAnsi="仿宋_GB2312" w:eastAsia="仿宋_GB2312" w:cs="仿宋_GB2312"/>
          <w:b w:val="0"/>
          <w:bCs w:val="0"/>
          <w:sz w:val="32"/>
          <w:szCs w:val="32"/>
        </w:rPr>
        <w:t>项目各项工作提供总体规划和落地支撑，包括总体工作计划、任务规划、评估评审、标准规范制定等全方位、全流程的系列咨询服务</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专家顾问团队</w:t>
      </w:r>
      <w:r>
        <w:rPr>
          <w:rFonts w:hint="eastAsia" w:ascii="仿宋_GB2312" w:hAnsi="仿宋_GB2312" w:eastAsia="仿宋_GB2312" w:cs="仿宋_GB2312"/>
          <w:b w:val="0"/>
          <w:bCs w:val="0"/>
          <w:sz w:val="32"/>
          <w:szCs w:val="32"/>
          <w:lang w:val="en-US" w:eastAsia="zh-CN"/>
        </w:rPr>
        <w:t>负责对</w:t>
      </w:r>
      <w:r>
        <w:rPr>
          <w:rFonts w:hint="eastAsia" w:ascii="仿宋_GB2312" w:hAnsi="仿宋_GB2312" w:eastAsia="仿宋_GB2312" w:cs="仿宋_GB2312"/>
          <w:b w:val="0"/>
          <w:bCs w:val="0"/>
          <w:sz w:val="32"/>
          <w:szCs w:val="32"/>
        </w:rPr>
        <w:t>项目的总体规划、工作方案以及各分项目交付成果进行指导和评审，专家顾问团队的意见作为项目执行过程中批准文件的重要依据。</w:t>
      </w:r>
      <w:r>
        <w:rPr>
          <w:rFonts w:hint="eastAsia" w:ascii="仿宋_GB2312" w:hAnsi="仿宋_GB2312" w:eastAsia="仿宋_GB2312" w:cs="仿宋_GB2312"/>
          <w:b w:val="0"/>
          <w:bCs w:val="0"/>
          <w:sz w:val="32"/>
          <w:szCs w:val="32"/>
          <w:lang w:val="en-US" w:eastAsia="zh-Hans"/>
        </w:rPr>
        <w:t>评价认为，</w:t>
      </w:r>
      <w:r>
        <w:rPr>
          <w:rFonts w:hint="eastAsia" w:ascii="仿宋_GB2312" w:hAnsi="仿宋_GB2312" w:eastAsia="仿宋_GB2312" w:cs="仿宋_GB2312"/>
          <w:b w:val="0"/>
          <w:bCs w:val="0"/>
          <w:sz w:val="32"/>
          <w:szCs w:val="32"/>
          <w:lang w:val="en-US" w:eastAsia="zh-CN"/>
        </w:rPr>
        <w:t>项目组织架构基本明确，但大数据建设处作为主管部门在项目中承担的职责不够明确，与项目承担机构的协调机制有待加强。</w:t>
      </w:r>
    </w:p>
    <w:p>
      <w:pPr>
        <w:keepNext w:val="0"/>
        <w:keepLines w:val="0"/>
        <w:pageBreakBefore w:val="0"/>
        <w:widowControl w:val="0"/>
        <w:kinsoku/>
        <w:wordWrap/>
        <w:overflowPunct/>
        <w:topLinePunct w:val="0"/>
        <w:bidi w:val="0"/>
        <w:spacing w:line="560" w:lineRule="exact"/>
        <w:ind w:firstLine="642" w:firstLineChars="200"/>
        <w:textAlignment w:val="auto"/>
        <w:rPr>
          <w:rFonts w:hint="default" w:ascii="仿宋_GB2312" w:hAnsi="仿宋_GB2312" w:eastAsia="仿宋_GB2312" w:cs="仿宋_GB2312"/>
          <w:spacing w:val="0"/>
          <w:kern w:val="2"/>
          <w:sz w:val="32"/>
          <w:szCs w:val="32"/>
          <w:u w:val="none"/>
          <w:lang w:val="en-US" w:eastAsia="zh-Hans" w:bidi="ar-SA"/>
        </w:rPr>
      </w:pPr>
      <w:r>
        <w:rPr>
          <w:rFonts w:hint="eastAsia" w:ascii="仿宋_GB2312" w:hAnsi="仿宋_GB2312" w:eastAsia="仿宋_GB2312" w:cs="仿宋_GB2312"/>
          <w:b/>
          <w:bCs/>
          <w:spacing w:val="0"/>
          <w:kern w:val="2"/>
          <w:sz w:val="32"/>
          <w:szCs w:val="32"/>
          <w:u w:val="none"/>
          <w:lang w:val="en-US" w:eastAsia="zh-CN" w:bidi="ar-SA"/>
        </w:rPr>
        <w:t>项目招标与合同管理方面</w:t>
      </w:r>
      <w:r>
        <w:rPr>
          <w:rFonts w:hint="eastAsia" w:ascii="仿宋_GB2312" w:hAnsi="仿宋_GB2312" w:eastAsia="仿宋_GB2312" w:cs="仿宋_GB2312"/>
          <w:spacing w:val="0"/>
          <w:kern w:val="2"/>
          <w:sz w:val="32"/>
          <w:szCs w:val="32"/>
          <w:u w:val="none"/>
          <w:lang w:val="en-US" w:eastAsia="zh-CN" w:bidi="ar-SA"/>
        </w:rPr>
        <w:t>，项目单位</w:t>
      </w:r>
      <w:r>
        <w:rPr>
          <w:rFonts w:hint="eastAsia" w:ascii="仿宋_GB2312" w:hAnsi="仿宋_GB2312" w:eastAsia="仿宋_GB2312" w:cs="仿宋_GB2312"/>
          <w:sz w:val="32"/>
          <w:szCs w:val="32"/>
        </w:rPr>
        <w:t>按照《北京市经济和信息化局公开招标管理办法》的要求制定项目招标方案，</w:t>
      </w:r>
      <w:r>
        <w:rPr>
          <w:rFonts w:hint="eastAsia" w:ascii="仿宋_GB2312" w:hAnsi="仿宋_GB2312" w:eastAsia="仿宋_GB2312" w:cs="仿宋_GB2312"/>
          <w:sz w:val="32"/>
          <w:szCs w:val="32"/>
          <w:lang w:val="en-US" w:eastAsia="zh-CN"/>
        </w:rPr>
        <w:t>采取公开招标的方式遴选项目承担机构</w:t>
      </w:r>
      <w:r>
        <w:rPr>
          <w:rFonts w:hint="eastAsia" w:ascii="仿宋_GB2312" w:hAnsi="仿宋_GB2312" w:eastAsia="仿宋_GB2312" w:cs="仿宋_GB2312"/>
          <w:sz w:val="32"/>
          <w:szCs w:val="32"/>
          <w:lang w:val="en-US" w:eastAsia="zh-Hans"/>
        </w:rPr>
        <w:t>。</w:t>
      </w:r>
      <w:r>
        <w:rPr>
          <w:rFonts w:hint="eastAsia" w:ascii="仿宋_GB2312" w:hAnsi="仿宋_GB2312" w:eastAsia="仿宋_GB2312" w:cs="仿宋_GB2312"/>
          <w:spacing w:val="0"/>
          <w:kern w:val="2"/>
          <w:sz w:val="32"/>
          <w:szCs w:val="32"/>
          <w:u w:val="none"/>
          <w:lang w:val="en-US" w:eastAsia="zh-CN" w:bidi="ar-SA"/>
        </w:rPr>
        <w:t>经评标委员会评审后，</w:t>
      </w:r>
      <w:r>
        <w:rPr>
          <w:rFonts w:hint="eastAsia" w:ascii="仿宋_GB2312" w:hAnsi="仿宋_GB2312" w:eastAsia="仿宋_GB2312" w:cs="仿宋_GB2312"/>
          <w:spacing w:val="0"/>
          <w:kern w:val="2"/>
          <w:sz w:val="32"/>
          <w:szCs w:val="32"/>
          <w:u w:val="none"/>
          <w:lang w:val="en-US" w:eastAsia="zh-Hans" w:bidi="ar-SA"/>
        </w:rPr>
        <w:t>确定</w:t>
      </w:r>
      <w:r>
        <w:rPr>
          <w:rFonts w:hint="eastAsia" w:ascii="仿宋_GB2312" w:hAnsi="仿宋_GB2312" w:eastAsia="仿宋_GB2312" w:cs="仿宋_GB2312"/>
          <w:spacing w:val="0"/>
          <w:kern w:val="2"/>
          <w:sz w:val="32"/>
          <w:szCs w:val="32"/>
          <w:u w:val="none"/>
          <w:lang w:val="en-US" w:eastAsia="zh-CN" w:bidi="ar-SA"/>
        </w:rPr>
        <w:t>泰豪智能、道口金科、北京北咨为本项目的中标单位，</w:t>
      </w:r>
      <w:r>
        <w:rPr>
          <w:rFonts w:hint="eastAsia" w:ascii="仿宋_GB2312" w:hAnsi="仿宋_GB2312" w:eastAsia="仿宋_GB2312" w:cs="仿宋_GB2312"/>
          <w:spacing w:val="0"/>
          <w:kern w:val="2"/>
          <w:sz w:val="32"/>
          <w:szCs w:val="32"/>
          <w:u w:val="none"/>
          <w:lang w:val="en-US" w:eastAsia="zh-Hans" w:bidi="ar-SA"/>
        </w:rPr>
        <w:t>市经济和信息化局</w:t>
      </w:r>
      <w:r>
        <w:rPr>
          <w:rFonts w:hint="eastAsia" w:ascii="仿宋_GB2312" w:hAnsi="仿宋_GB2312" w:eastAsia="仿宋_GB2312" w:cs="仿宋_GB2312"/>
          <w:spacing w:val="0"/>
          <w:kern w:val="2"/>
          <w:sz w:val="32"/>
          <w:szCs w:val="32"/>
          <w:u w:val="none"/>
          <w:lang w:val="en-US" w:eastAsia="zh-CN" w:bidi="ar-SA"/>
        </w:rPr>
        <w:t>于2022年9月30日</w:t>
      </w:r>
      <w:r>
        <w:rPr>
          <w:rFonts w:hint="eastAsia" w:ascii="仿宋_GB2312" w:hAnsi="仿宋_GB2312" w:eastAsia="仿宋_GB2312" w:cs="仿宋_GB2312"/>
          <w:spacing w:val="0"/>
          <w:kern w:val="2"/>
          <w:sz w:val="32"/>
          <w:szCs w:val="32"/>
          <w:u w:val="none"/>
          <w:lang w:val="en-US" w:eastAsia="zh-Hans" w:bidi="ar-SA"/>
        </w:rPr>
        <w:t>与三家机构</w:t>
      </w:r>
      <w:r>
        <w:rPr>
          <w:rFonts w:hint="eastAsia" w:ascii="仿宋_GB2312" w:hAnsi="仿宋_GB2312" w:eastAsia="仿宋_GB2312" w:cs="仿宋_GB2312"/>
          <w:spacing w:val="0"/>
          <w:kern w:val="2"/>
          <w:sz w:val="32"/>
          <w:szCs w:val="32"/>
          <w:u w:val="none"/>
          <w:lang w:val="en-US" w:eastAsia="zh-CN" w:bidi="ar-SA"/>
        </w:rPr>
        <w:t>签署</w:t>
      </w:r>
      <w:r>
        <w:rPr>
          <w:rFonts w:hint="eastAsia" w:ascii="仿宋_GB2312" w:hAnsi="仿宋_GB2312" w:eastAsia="仿宋_GB2312" w:cs="仿宋_GB2312"/>
          <w:spacing w:val="0"/>
          <w:kern w:val="2"/>
          <w:sz w:val="32"/>
          <w:szCs w:val="32"/>
          <w:u w:val="none"/>
          <w:lang w:val="en-US" w:eastAsia="zh-Hans" w:bidi="ar-SA"/>
        </w:rPr>
        <w:t>了委托</w:t>
      </w:r>
      <w:r>
        <w:rPr>
          <w:rFonts w:hint="eastAsia" w:ascii="仿宋_GB2312" w:hAnsi="仿宋_GB2312" w:eastAsia="仿宋_GB2312" w:cs="仿宋_GB2312"/>
          <w:spacing w:val="0"/>
          <w:kern w:val="2"/>
          <w:sz w:val="32"/>
          <w:szCs w:val="32"/>
          <w:u w:val="none"/>
          <w:lang w:val="en-US" w:eastAsia="zh-CN" w:bidi="ar-SA"/>
        </w:rPr>
        <w:t>合同。</w:t>
      </w:r>
      <w:r>
        <w:rPr>
          <w:rFonts w:hint="eastAsia" w:ascii="仿宋_GB2312" w:hAnsi="仿宋_GB2312" w:eastAsia="仿宋_GB2312" w:cs="仿宋_GB2312"/>
          <w:spacing w:val="0"/>
          <w:kern w:val="2"/>
          <w:sz w:val="32"/>
          <w:szCs w:val="32"/>
          <w:u w:val="none"/>
          <w:lang w:val="en-US" w:eastAsia="zh-Hans" w:bidi="ar-SA"/>
        </w:rPr>
        <w:t>评价认为，市经济和信息化局</w:t>
      </w:r>
      <w:r>
        <w:rPr>
          <w:rFonts w:hint="eastAsia" w:ascii="仿宋_GB2312" w:hAnsi="仿宋_GB2312" w:eastAsia="仿宋_GB2312" w:cs="仿宋_GB2312"/>
          <w:spacing w:val="0"/>
          <w:kern w:val="2"/>
          <w:sz w:val="32"/>
          <w:szCs w:val="32"/>
          <w:u w:val="none"/>
          <w:lang w:val="en-US" w:eastAsia="zh-CN" w:bidi="ar-SA"/>
        </w:rPr>
        <w:t>严格履行政府采购规定，</w:t>
      </w:r>
      <w:r>
        <w:rPr>
          <w:rFonts w:hint="eastAsia" w:ascii="仿宋_GB2312" w:hAnsi="仿宋_GB2312" w:eastAsia="仿宋_GB2312" w:cs="仿宋_GB2312"/>
          <w:spacing w:val="0"/>
          <w:kern w:val="2"/>
          <w:sz w:val="32"/>
          <w:szCs w:val="32"/>
          <w:u w:val="none"/>
          <w:lang w:val="en-US" w:eastAsia="zh-Hans" w:bidi="ar-SA"/>
        </w:rPr>
        <w:t>采购</w:t>
      </w:r>
      <w:r>
        <w:rPr>
          <w:rFonts w:hint="eastAsia" w:ascii="仿宋_GB2312" w:hAnsi="仿宋_GB2312" w:eastAsia="仿宋_GB2312" w:cs="仿宋_GB2312"/>
          <w:spacing w:val="0"/>
          <w:kern w:val="2"/>
          <w:sz w:val="32"/>
          <w:szCs w:val="32"/>
          <w:u w:val="none"/>
          <w:lang w:val="en-US" w:eastAsia="zh-CN" w:bidi="ar-SA"/>
        </w:rPr>
        <w:t>流程较为严谨、规范</w:t>
      </w:r>
      <w:r>
        <w:rPr>
          <w:rFonts w:hint="eastAsia" w:ascii="仿宋_GB2312" w:hAnsi="仿宋_GB2312" w:eastAsia="仿宋_GB2312" w:cs="仿宋_GB2312"/>
          <w:spacing w:val="0"/>
          <w:kern w:val="2"/>
          <w:sz w:val="32"/>
          <w:szCs w:val="32"/>
          <w:u w:val="none"/>
          <w:lang w:val="en-US" w:eastAsia="zh-Hans" w:bidi="ar-SA"/>
        </w:rPr>
        <w:t>，</w:t>
      </w:r>
      <w:r>
        <w:rPr>
          <w:rFonts w:hint="eastAsia" w:ascii="仿宋_GB2312" w:hAnsi="仿宋_GB2312" w:eastAsia="仿宋_GB2312" w:cs="仿宋_GB2312"/>
          <w:spacing w:val="0"/>
          <w:kern w:val="2"/>
          <w:sz w:val="32"/>
          <w:szCs w:val="32"/>
          <w:u w:val="none"/>
          <w:lang w:val="en-US" w:eastAsia="zh-CN" w:bidi="ar-SA"/>
        </w:rPr>
        <w:t>但</w:t>
      </w:r>
      <w:r>
        <w:rPr>
          <w:rFonts w:hint="eastAsia" w:ascii="仿宋_GB2312" w:hAnsi="仿宋_GB2312" w:eastAsia="仿宋_GB2312" w:cs="仿宋_GB2312"/>
          <w:spacing w:val="0"/>
          <w:kern w:val="2"/>
          <w:sz w:val="32"/>
          <w:szCs w:val="32"/>
          <w:u w:val="none"/>
          <w:lang w:val="en-US" w:eastAsia="zh-Hans" w:bidi="ar-SA"/>
        </w:rPr>
        <w:t>项目委托</w:t>
      </w:r>
      <w:r>
        <w:rPr>
          <w:rFonts w:hint="eastAsia" w:ascii="仿宋_GB2312" w:hAnsi="仿宋_GB2312" w:eastAsia="仿宋_GB2312" w:cs="仿宋_GB2312"/>
          <w:sz w:val="32"/>
          <w:szCs w:val="32"/>
        </w:rPr>
        <w:t>合同</w:t>
      </w:r>
      <w:r>
        <w:rPr>
          <w:rFonts w:hint="eastAsia" w:ascii="仿宋_GB2312" w:hAnsi="仿宋_GB2312" w:eastAsia="仿宋_GB2312" w:cs="仿宋_GB2312"/>
          <w:sz w:val="32"/>
          <w:szCs w:val="32"/>
          <w:lang w:val="en-US" w:eastAsia="zh-CN"/>
        </w:rPr>
        <w:t>中</w:t>
      </w:r>
      <w:r>
        <w:rPr>
          <w:rFonts w:hint="eastAsia" w:ascii="仿宋_GB2312" w:hAnsi="仿宋_GB2312" w:eastAsia="仿宋_GB2312" w:cs="仿宋_GB2312"/>
          <w:sz w:val="32"/>
          <w:szCs w:val="32"/>
        </w:rPr>
        <w:t>对工作任务、工作质量等</w:t>
      </w:r>
      <w:r>
        <w:rPr>
          <w:rFonts w:hint="eastAsia" w:ascii="仿宋_GB2312" w:hAnsi="仿宋_GB2312" w:eastAsia="仿宋_GB2312" w:cs="仿宋_GB2312"/>
          <w:sz w:val="32"/>
          <w:szCs w:val="32"/>
          <w:lang w:val="en-US" w:eastAsia="zh-CN"/>
        </w:rPr>
        <w:t>方面</w:t>
      </w:r>
      <w:r>
        <w:rPr>
          <w:rFonts w:hint="eastAsia" w:ascii="仿宋_GB2312" w:hAnsi="仿宋_GB2312" w:eastAsia="仿宋_GB2312" w:cs="仿宋_GB2312"/>
          <w:sz w:val="32"/>
          <w:szCs w:val="32"/>
        </w:rPr>
        <w:t>的要求不够清晰明确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且合同中约定一次性付清项目款项，未充分考虑承担机构履约风险，资金支付进度未与项目实施进度相匹配</w:t>
      </w:r>
      <w:r>
        <w:rPr>
          <w:rFonts w:hint="eastAsia" w:ascii="仿宋_GB2312" w:hAnsi="仿宋_GB2312" w:eastAsia="仿宋_GB2312" w:cs="仿宋_GB2312"/>
          <w:sz w:val="32"/>
          <w:szCs w:val="32"/>
          <w:lang w:val="en-US" w:eastAsia="zh-Hans"/>
        </w:rPr>
        <w:t>，合同管理有待加强。</w:t>
      </w:r>
    </w:p>
    <w:p>
      <w:pPr>
        <w:keepNext w:val="0"/>
        <w:keepLines w:val="0"/>
        <w:pageBreakBefore w:val="0"/>
        <w:widowControl w:val="0"/>
        <w:kinsoku/>
        <w:wordWrap/>
        <w:overflowPunct/>
        <w:topLinePunct w:val="0"/>
        <w:bidi w:val="0"/>
        <w:spacing w:line="560" w:lineRule="exact"/>
        <w:ind w:firstLine="642" w:firstLineChars="200"/>
        <w:textAlignment w:val="auto"/>
        <w:rPr>
          <w:rFonts w:hint="eastAsia" w:ascii="仿宋_GB2312" w:hAnsi="仿宋_GB2312" w:eastAsia="仿宋_GB2312" w:cs="仿宋_GB2312"/>
          <w:b w:val="0"/>
          <w:bCs w:val="0"/>
          <w:spacing w:val="0"/>
          <w:kern w:val="2"/>
          <w:sz w:val="32"/>
          <w:szCs w:val="32"/>
          <w:u w:val="none"/>
          <w:lang w:val="en-US" w:eastAsia="zh-CN" w:bidi="ar-SA"/>
        </w:rPr>
      </w:pPr>
      <w:r>
        <w:rPr>
          <w:rFonts w:hint="eastAsia" w:ascii="仿宋_GB2312" w:hAnsi="仿宋_GB2312" w:eastAsia="仿宋_GB2312" w:cs="仿宋_GB2312"/>
          <w:b/>
          <w:bCs/>
          <w:spacing w:val="0"/>
          <w:kern w:val="2"/>
          <w:sz w:val="32"/>
          <w:szCs w:val="32"/>
          <w:u w:val="none"/>
          <w:lang w:val="en-US" w:eastAsia="zh-CN" w:bidi="ar-SA"/>
        </w:rPr>
        <w:t>项目过程管理方面，</w:t>
      </w:r>
      <w:r>
        <w:rPr>
          <w:rFonts w:hint="eastAsia" w:ascii="仿宋_GB2312" w:hAnsi="仿宋_GB2312" w:eastAsia="仿宋_GB2312" w:cs="仿宋_GB2312"/>
          <w:b w:val="0"/>
          <w:bCs w:val="0"/>
          <w:spacing w:val="0"/>
          <w:kern w:val="2"/>
          <w:sz w:val="32"/>
          <w:szCs w:val="32"/>
          <w:u w:val="none"/>
          <w:lang w:val="en-US" w:eastAsia="zh-CN" w:bidi="ar-SA"/>
        </w:rPr>
        <w:t>在项目执行过程中，大数据建设处定期组织</w:t>
      </w:r>
      <w:r>
        <w:rPr>
          <w:rFonts w:hint="eastAsia" w:ascii="仿宋_GB2312" w:hAnsi="仿宋_GB2312" w:eastAsia="仿宋_GB2312" w:cs="仿宋_GB2312"/>
          <w:b w:val="0"/>
          <w:bCs w:val="0"/>
          <w:spacing w:val="0"/>
          <w:kern w:val="2"/>
          <w:sz w:val="32"/>
          <w:szCs w:val="32"/>
          <w:u w:val="none"/>
          <w:lang w:val="en-US" w:eastAsia="zh-Hans" w:bidi="ar-SA"/>
        </w:rPr>
        <w:t>由</w:t>
      </w:r>
      <w:r>
        <w:rPr>
          <w:rFonts w:hint="eastAsia" w:ascii="仿宋_GB2312" w:hAnsi="仿宋_GB2312" w:eastAsia="仿宋_GB2312" w:cs="仿宋_GB2312"/>
          <w:sz w:val="32"/>
          <w:szCs w:val="32"/>
        </w:rPr>
        <w:t>大数据建设处项目相关负责人、项目承担机构项目负责人、专家顾问团队、各专项任务单位项目负责人等参加</w:t>
      </w:r>
      <w:r>
        <w:rPr>
          <w:rFonts w:hint="eastAsia" w:ascii="仿宋_GB2312" w:hAnsi="仿宋_GB2312" w:eastAsia="仿宋_GB2312" w:cs="仿宋_GB2312"/>
          <w:sz w:val="32"/>
          <w:szCs w:val="32"/>
          <w:lang w:val="en-US" w:eastAsia="zh-Hans"/>
        </w:rPr>
        <w:t>的</w:t>
      </w:r>
      <w:r>
        <w:rPr>
          <w:rFonts w:hint="eastAsia" w:ascii="仿宋_GB2312" w:hAnsi="仿宋_GB2312" w:eastAsia="仿宋_GB2312" w:cs="仿宋_GB2312"/>
          <w:sz w:val="32"/>
          <w:szCs w:val="32"/>
        </w:rPr>
        <w:t>评审调度会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审查每周评审工作进度，就评审主要问题开展讨论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并根据项目实际</w:t>
      </w:r>
      <w:r>
        <w:rPr>
          <w:rFonts w:hint="eastAsia" w:ascii="仿宋_GB2312" w:hAnsi="仿宋_GB2312" w:eastAsia="仿宋_GB2312" w:cs="仿宋_GB2312"/>
          <w:sz w:val="32"/>
          <w:szCs w:val="32"/>
          <w:lang w:val="en-US" w:eastAsia="zh-CN"/>
        </w:rPr>
        <w:t>进展</w:t>
      </w:r>
      <w:r>
        <w:rPr>
          <w:rFonts w:hint="eastAsia" w:ascii="仿宋_GB2312" w:hAnsi="仿宋_GB2312" w:eastAsia="仿宋_GB2312" w:cs="仿宋_GB2312"/>
          <w:sz w:val="32"/>
          <w:szCs w:val="32"/>
        </w:rPr>
        <w:t>情况，</w:t>
      </w:r>
      <w:r>
        <w:rPr>
          <w:rFonts w:hint="eastAsia" w:ascii="仿宋_GB2312" w:hAnsi="仿宋_GB2312" w:eastAsia="仿宋_GB2312" w:cs="仿宋_GB2312"/>
          <w:sz w:val="32"/>
          <w:szCs w:val="32"/>
          <w:lang w:val="en-US" w:eastAsia="zh-CN"/>
        </w:rPr>
        <w:t>布置</w:t>
      </w:r>
      <w:r>
        <w:rPr>
          <w:rFonts w:hint="eastAsia" w:ascii="仿宋_GB2312" w:hAnsi="仿宋_GB2312" w:eastAsia="仿宋_GB2312" w:cs="仿宋_GB2312"/>
          <w:sz w:val="32"/>
          <w:szCs w:val="32"/>
        </w:rPr>
        <w:t>后续工作安排</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同时，在项目实施中期，大数据建设处组织召开</w:t>
      </w:r>
      <w:r>
        <w:rPr>
          <w:rFonts w:hint="eastAsia" w:ascii="仿宋_GB2312" w:hAnsi="仿宋_GB2312" w:eastAsia="仿宋_GB2312" w:cs="仿宋_GB2312"/>
          <w:sz w:val="32"/>
          <w:szCs w:val="32"/>
          <w:lang w:val="en-US" w:eastAsia="zh-Hans"/>
        </w:rPr>
        <w:t>了</w:t>
      </w:r>
      <w:r>
        <w:rPr>
          <w:rFonts w:hint="eastAsia" w:ascii="仿宋_GB2312" w:hAnsi="仿宋_GB2312" w:eastAsia="仿宋_GB2312" w:cs="仿宋_GB2312"/>
          <w:sz w:val="32"/>
          <w:szCs w:val="32"/>
          <w:lang w:val="en-US" w:eastAsia="zh-CN"/>
        </w:rPr>
        <w:t>中期检查调度会议，并出具中期检查报告。</w:t>
      </w:r>
      <w:r>
        <w:rPr>
          <w:rFonts w:hint="eastAsia" w:ascii="仿宋_GB2312" w:hAnsi="仿宋_GB2312" w:eastAsia="仿宋_GB2312" w:cs="仿宋_GB2312"/>
          <w:sz w:val="32"/>
          <w:szCs w:val="32"/>
          <w:lang w:val="en-US" w:eastAsia="zh-Hans"/>
        </w:rPr>
        <w:t>评价认为，</w:t>
      </w:r>
      <w:r>
        <w:rPr>
          <w:rFonts w:hint="eastAsia" w:ascii="仿宋_GB2312" w:hAnsi="仿宋_GB2312" w:eastAsia="仿宋_GB2312" w:cs="仿宋_GB2312"/>
          <w:sz w:val="32"/>
          <w:szCs w:val="32"/>
          <w:lang w:val="en-US" w:eastAsia="zh-CN"/>
        </w:rPr>
        <w:t>项目过程管理较为规范。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default" w:ascii="楷体_GB2312" w:hAnsi="楷体_GB2312" w:eastAsia="楷体_GB2312" w:cs="楷体_GB2312"/>
          <w:sz w:val="32"/>
          <w:szCs w:val="32"/>
          <w:lang w:val="en-US" w:eastAsia="zh-CN"/>
        </w:rPr>
      </w:pPr>
      <w:bookmarkStart w:id="154" w:name="_Toc26710"/>
      <w:bookmarkStart w:id="155" w:name="_Toc10545"/>
      <w:bookmarkStart w:id="156" w:name="_Toc6270"/>
      <w:bookmarkStart w:id="157" w:name="_Toc8605"/>
      <w:bookmarkStart w:id="158" w:name="_Toc22345"/>
      <w:bookmarkStart w:id="159" w:name="_Toc28129"/>
      <w:bookmarkStart w:id="160" w:name="_Toc36129076"/>
      <w:bookmarkStart w:id="161" w:name="_Toc1248"/>
      <w:bookmarkStart w:id="162" w:name="_Toc18088"/>
      <w:bookmarkStart w:id="163" w:name="_Toc7883"/>
      <w:bookmarkStart w:id="164" w:name="_Toc35420699"/>
      <w:bookmarkStart w:id="165" w:name="_Toc18112"/>
      <w:bookmarkStart w:id="166" w:name="_Toc20269"/>
      <w:bookmarkStart w:id="167" w:name="_Toc8582"/>
      <w:bookmarkStart w:id="168" w:name="_Toc17010"/>
      <w:r>
        <w:rPr>
          <w:rFonts w:hint="default" w:ascii="楷体_GB2312" w:hAnsi="楷体_GB2312" w:eastAsia="楷体_GB2312" w:cs="楷体_GB2312"/>
          <w:sz w:val="32"/>
          <w:szCs w:val="32"/>
          <w:lang w:val="en-US" w:eastAsia="zh-CN"/>
        </w:rPr>
        <w:t>（三）项目产出情况分析</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pacing w:val="0"/>
          <w:kern w:val="2"/>
          <w:sz w:val="32"/>
          <w:szCs w:val="32"/>
          <w:highlight w:val="none"/>
          <w:u w:val="none"/>
          <w:lang w:val="en-US" w:eastAsia="zh-CN" w:bidi="ar-SA"/>
        </w:rPr>
      </w:pPr>
      <w:r>
        <w:rPr>
          <w:rFonts w:hint="eastAsia" w:ascii="仿宋_GB2312" w:hAnsi="仿宋_GB2312" w:eastAsia="仿宋_GB2312" w:cs="仿宋_GB2312"/>
          <w:b w:val="0"/>
          <w:bCs w:val="0"/>
          <w:spacing w:val="0"/>
          <w:kern w:val="2"/>
          <w:sz w:val="32"/>
          <w:szCs w:val="32"/>
          <w:highlight w:val="none"/>
          <w:u w:val="none"/>
          <w:lang w:val="en-US" w:eastAsia="zh-CN" w:bidi="ar-SA"/>
        </w:rPr>
        <w:t>产出指标分值30分，下设4个二级指标，4个三级指标，绩效评价得分为25.80分，评分详见表7。</w:t>
      </w:r>
    </w:p>
    <w:p>
      <w:pPr>
        <w:keepNext w:val="0"/>
        <w:keepLines w:val="0"/>
        <w:pageBreakBefore w:val="0"/>
        <w:widowControl w:val="0"/>
        <w:kinsoku/>
        <w:wordWrap/>
        <w:overflowPunct/>
        <w:topLinePunct w:val="0"/>
        <w:autoSpaceDE/>
        <w:autoSpaceDN/>
        <w:bidi w:val="0"/>
        <w:adjustRightInd w:val="0"/>
        <w:snapToGrid w:val="0"/>
        <w:spacing w:after="156" w:afterLines="50" w:line="560" w:lineRule="exact"/>
        <w:jc w:val="center"/>
        <w:textAlignment w:val="auto"/>
        <w:rPr>
          <w:rFonts w:hint="eastAsia" w:ascii="黑体" w:hAnsi="黑体" w:eastAsia="黑体" w:cs="黑体"/>
          <w:bCs/>
          <w:sz w:val="28"/>
          <w:szCs w:val="28"/>
          <w:highlight w:val="none"/>
        </w:rPr>
      </w:pPr>
      <w:r>
        <w:rPr>
          <w:rFonts w:hint="eastAsia" w:ascii="黑体" w:hAnsi="黑体" w:eastAsia="黑体" w:cs="黑体"/>
          <w:bCs/>
          <w:sz w:val="28"/>
          <w:szCs w:val="28"/>
          <w:highlight w:val="none"/>
        </w:rPr>
        <w:t>表</w:t>
      </w:r>
      <w:r>
        <w:rPr>
          <w:rFonts w:hint="eastAsia" w:ascii="黑体" w:hAnsi="黑体" w:eastAsia="黑体" w:cs="黑体"/>
          <w:bCs/>
          <w:sz w:val="28"/>
          <w:szCs w:val="28"/>
          <w:highlight w:val="none"/>
          <w:lang w:val="en-US" w:eastAsia="zh-CN"/>
        </w:rPr>
        <w:t>8</w:t>
      </w:r>
      <w:r>
        <w:rPr>
          <w:rFonts w:hint="eastAsia" w:ascii="黑体" w:hAnsi="黑体" w:eastAsia="黑体" w:cs="黑体"/>
          <w:color w:val="000000"/>
          <w:kern w:val="0"/>
          <w:sz w:val="28"/>
          <w:szCs w:val="28"/>
          <w:highlight w:val="none"/>
        </w:rPr>
        <w:t xml:space="preserve"> </w:t>
      </w:r>
      <w:r>
        <w:rPr>
          <w:rFonts w:hint="eastAsia" w:ascii="黑体" w:hAnsi="黑体" w:eastAsia="黑体" w:cs="黑体"/>
          <w:bCs/>
          <w:sz w:val="28"/>
          <w:szCs w:val="28"/>
          <w:highlight w:val="none"/>
        </w:rPr>
        <w:t>项目产出指标设定及评分情况表</w:t>
      </w:r>
    </w:p>
    <w:tbl>
      <w:tblPr>
        <w:tblStyle w:val="8"/>
        <w:tblW w:w="864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2039"/>
        <w:gridCol w:w="2675"/>
        <w:gridCol w:w="825"/>
        <w:gridCol w:w="795"/>
        <w:gridCol w:w="1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tblHeader/>
          <w:jc w:val="center"/>
        </w:trPr>
        <w:tc>
          <w:tcPr>
            <w:tcW w:w="1187" w:type="dxa"/>
            <w:shd w:val="clear" w:color="auto" w:fill="96B4E1" w:themeFill="background1" w:themeFillShade="BF"/>
            <w:vAlign w:val="center"/>
          </w:tcPr>
          <w:p>
            <w:pPr>
              <w:jc w:val="center"/>
              <w:rPr>
                <w:rFonts w:hint="eastAsia" w:ascii="宋体" w:hAnsi="宋体" w:eastAsia="宋体" w:cs="宋体"/>
                <w:b/>
                <w:sz w:val="22"/>
                <w:szCs w:val="22"/>
              </w:rPr>
            </w:pPr>
            <w:r>
              <w:rPr>
                <w:rFonts w:hint="eastAsia" w:ascii="宋体" w:hAnsi="宋体" w:eastAsia="宋体" w:cs="宋体"/>
                <w:b/>
                <w:sz w:val="22"/>
                <w:szCs w:val="22"/>
              </w:rPr>
              <w:t>一级指标</w:t>
            </w:r>
          </w:p>
        </w:tc>
        <w:tc>
          <w:tcPr>
            <w:tcW w:w="2039" w:type="dxa"/>
            <w:shd w:val="clear" w:color="auto" w:fill="96B4E1" w:themeFill="background1" w:themeFillShade="BF"/>
            <w:vAlign w:val="center"/>
          </w:tcPr>
          <w:p>
            <w:pPr>
              <w:jc w:val="center"/>
              <w:rPr>
                <w:rFonts w:hint="eastAsia" w:ascii="宋体" w:hAnsi="宋体" w:eastAsia="宋体" w:cs="宋体"/>
                <w:b/>
                <w:sz w:val="22"/>
                <w:szCs w:val="22"/>
              </w:rPr>
            </w:pPr>
            <w:r>
              <w:rPr>
                <w:rFonts w:hint="eastAsia" w:ascii="宋体" w:hAnsi="宋体" w:eastAsia="宋体" w:cs="宋体"/>
                <w:b/>
                <w:sz w:val="22"/>
                <w:szCs w:val="22"/>
              </w:rPr>
              <w:t>二级指标</w:t>
            </w:r>
          </w:p>
        </w:tc>
        <w:tc>
          <w:tcPr>
            <w:tcW w:w="2675" w:type="dxa"/>
            <w:shd w:val="clear" w:color="auto" w:fill="96B4E1" w:themeFill="background1" w:themeFillShade="BF"/>
            <w:vAlign w:val="center"/>
          </w:tcPr>
          <w:p>
            <w:pPr>
              <w:jc w:val="center"/>
              <w:rPr>
                <w:rFonts w:hint="eastAsia" w:ascii="宋体" w:hAnsi="宋体" w:eastAsia="宋体" w:cs="宋体"/>
                <w:b/>
                <w:sz w:val="22"/>
                <w:szCs w:val="22"/>
              </w:rPr>
            </w:pPr>
            <w:r>
              <w:rPr>
                <w:rFonts w:hint="eastAsia" w:ascii="宋体" w:hAnsi="宋体" w:eastAsia="宋体" w:cs="宋体"/>
                <w:b/>
                <w:sz w:val="22"/>
                <w:szCs w:val="22"/>
              </w:rPr>
              <w:t>三级指标</w:t>
            </w:r>
          </w:p>
        </w:tc>
        <w:tc>
          <w:tcPr>
            <w:tcW w:w="825" w:type="dxa"/>
            <w:shd w:val="clear" w:color="auto" w:fill="96B4E1" w:themeFill="background1" w:themeFillShade="BF"/>
            <w:vAlign w:val="center"/>
          </w:tcPr>
          <w:p>
            <w:pPr>
              <w:jc w:val="center"/>
              <w:rPr>
                <w:rFonts w:hint="eastAsia" w:ascii="宋体" w:hAnsi="宋体" w:eastAsia="宋体" w:cs="宋体"/>
                <w:b/>
                <w:sz w:val="22"/>
                <w:szCs w:val="22"/>
              </w:rPr>
            </w:pPr>
            <w:r>
              <w:rPr>
                <w:rFonts w:hint="eastAsia" w:ascii="宋体" w:hAnsi="宋体" w:eastAsia="宋体" w:cs="宋体"/>
                <w:b/>
                <w:sz w:val="22"/>
                <w:szCs w:val="22"/>
              </w:rPr>
              <w:t>分值</w:t>
            </w:r>
          </w:p>
        </w:tc>
        <w:tc>
          <w:tcPr>
            <w:tcW w:w="795" w:type="dxa"/>
            <w:shd w:val="clear" w:color="auto" w:fill="96B4E1" w:themeFill="background1" w:themeFillShade="BF"/>
            <w:vAlign w:val="center"/>
          </w:tcPr>
          <w:p>
            <w:pPr>
              <w:jc w:val="center"/>
              <w:rPr>
                <w:rFonts w:hint="eastAsia" w:ascii="宋体" w:hAnsi="宋体" w:eastAsia="宋体" w:cs="宋体"/>
                <w:b/>
                <w:sz w:val="22"/>
                <w:szCs w:val="22"/>
              </w:rPr>
            </w:pPr>
            <w:r>
              <w:rPr>
                <w:rFonts w:hint="eastAsia" w:ascii="宋体" w:hAnsi="宋体" w:eastAsia="宋体" w:cs="宋体"/>
                <w:b/>
                <w:sz w:val="22"/>
                <w:szCs w:val="22"/>
              </w:rPr>
              <w:t>得分</w:t>
            </w:r>
          </w:p>
        </w:tc>
        <w:tc>
          <w:tcPr>
            <w:tcW w:w="1124" w:type="dxa"/>
            <w:shd w:val="clear" w:color="auto" w:fill="96B4E1" w:themeFill="background1" w:themeFillShade="BF"/>
            <w:vAlign w:val="center"/>
          </w:tcPr>
          <w:p>
            <w:pPr>
              <w:jc w:val="center"/>
              <w:rPr>
                <w:rFonts w:hint="eastAsia" w:ascii="宋体" w:hAnsi="宋体" w:eastAsia="宋体" w:cs="宋体"/>
                <w:b/>
                <w:sz w:val="22"/>
                <w:szCs w:val="22"/>
              </w:rPr>
            </w:pPr>
            <w:r>
              <w:rPr>
                <w:rFonts w:hint="eastAsia" w:ascii="宋体" w:hAnsi="宋体" w:eastAsia="宋体" w:cs="宋体"/>
                <w:b/>
                <w:sz w:val="22"/>
                <w:szCs w:val="22"/>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187" w:type="dxa"/>
            <w:vMerge w:val="restart"/>
            <w:vAlign w:val="center"/>
          </w:tcPr>
          <w:p>
            <w:pPr>
              <w:jc w:val="center"/>
              <w:rPr>
                <w:rFonts w:hint="eastAsia" w:ascii="宋体" w:hAnsi="宋体" w:eastAsia="宋体" w:cs="宋体"/>
                <w:sz w:val="22"/>
                <w:szCs w:val="22"/>
              </w:rPr>
            </w:pPr>
            <w:r>
              <w:rPr>
                <w:rFonts w:hint="eastAsia" w:ascii="宋体" w:hAnsi="宋体" w:eastAsia="宋体" w:cs="宋体"/>
                <w:sz w:val="22"/>
                <w:szCs w:val="22"/>
              </w:rPr>
              <w:t>产出</w:t>
            </w:r>
          </w:p>
          <w:p>
            <w:pPr>
              <w:jc w:val="center"/>
              <w:rPr>
                <w:rFonts w:hint="eastAsia" w:ascii="宋体" w:hAnsi="宋体" w:eastAsia="宋体" w:cs="宋体"/>
                <w:sz w:val="22"/>
                <w:szCs w:val="22"/>
              </w:rPr>
            </w:pPr>
            <w:r>
              <w:rPr>
                <w:rFonts w:hint="eastAsia" w:ascii="宋体" w:hAnsi="宋体" w:eastAsia="宋体" w:cs="宋体"/>
                <w:sz w:val="22"/>
                <w:szCs w:val="22"/>
              </w:rPr>
              <w:t>（</w:t>
            </w:r>
            <w:r>
              <w:rPr>
                <w:rFonts w:hint="eastAsia" w:ascii="宋体" w:hAnsi="宋体" w:eastAsia="宋体" w:cs="宋体"/>
                <w:sz w:val="22"/>
                <w:szCs w:val="22"/>
                <w:lang w:val="en-US" w:eastAsia="zh-CN"/>
              </w:rPr>
              <w:t>3</w:t>
            </w:r>
            <w:r>
              <w:rPr>
                <w:rFonts w:hint="eastAsia" w:ascii="宋体" w:hAnsi="宋体" w:eastAsia="宋体" w:cs="宋体"/>
                <w:sz w:val="22"/>
                <w:szCs w:val="22"/>
              </w:rPr>
              <w:t>0分）</w:t>
            </w:r>
          </w:p>
        </w:tc>
        <w:tc>
          <w:tcPr>
            <w:tcW w:w="2039" w:type="dxa"/>
            <w:vAlign w:val="center"/>
          </w:tcPr>
          <w:p>
            <w:pPr>
              <w:jc w:val="center"/>
              <w:rPr>
                <w:rFonts w:hint="eastAsia" w:ascii="宋体" w:hAnsi="宋体" w:eastAsia="宋体" w:cs="宋体"/>
                <w:sz w:val="22"/>
                <w:szCs w:val="22"/>
              </w:rPr>
            </w:pPr>
            <w:r>
              <w:rPr>
                <w:rFonts w:hint="eastAsia" w:ascii="宋体" w:hAnsi="宋体" w:eastAsia="宋体" w:cs="宋体"/>
                <w:sz w:val="22"/>
                <w:szCs w:val="22"/>
              </w:rPr>
              <w:t>产出数量（10分）</w:t>
            </w:r>
          </w:p>
        </w:tc>
        <w:tc>
          <w:tcPr>
            <w:tcW w:w="2675" w:type="dxa"/>
            <w:vAlign w:val="center"/>
          </w:tcPr>
          <w:p>
            <w:pPr>
              <w:jc w:val="center"/>
              <w:rPr>
                <w:rFonts w:hint="eastAsia" w:ascii="宋体" w:hAnsi="宋体" w:eastAsia="宋体" w:cs="宋体"/>
                <w:sz w:val="22"/>
                <w:szCs w:val="22"/>
              </w:rPr>
            </w:pPr>
            <w:r>
              <w:rPr>
                <w:rFonts w:hint="eastAsia" w:ascii="宋体" w:hAnsi="宋体" w:eastAsia="宋体" w:cs="宋体"/>
                <w:sz w:val="22"/>
                <w:szCs w:val="22"/>
              </w:rPr>
              <w:t>实际完成率</w:t>
            </w:r>
          </w:p>
        </w:tc>
        <w:tc>
          <w:tcPr>
            <w:tcW w:w="825" w:type="dxa"/>
            <w:vAlign w:val="center"/>
          </w:tcPr>
          <w:p>
            <w:pPr>
              <w:jc w:val="center"/>
              <w:rPr>
                <w:rFonts w:hint="eastAsia" w:ascii="宋体" w:hAnsi="宋体" w:eastAsia="宋体" w:cs="宋体"/>
                <w:sz w:val="22"/>
                <w:szCs w:val="22"/>
              </w:rPr>
            </w:pPr>
            <w:r>
              <w:rPr>
                <w:rFonts w:hint="eastAsia" w:ascii="宋体" w:hAnsi="宋体" w:eastAsia="宋体" w:cs="宋体"/>
                <w:sz w:val="22"/>
                <w:szCs w:val="22"/>
              </w:rPr>
              <w:t>10</w:t>
            </w:r>
            <w:r>
              <w:rPr>
                <w:rFonts w:hint="eastAsia" w:ascii="宋体" w:hAnsi="宋体" w:eastAsia="宋体" w:cs="宋体"/>
                <w:color w:val="000000"/>
                <w:kern w:val="0"/>
                <w:sz w:val="22"/>
                <w:szCs w:val="22"/>
                <w:lang w:bidi="ar"/>
              </w:rPr>
              <w:t>.00</w:t>
            </w:r>
          </w:p>
        </w:tc>
        <w:tc>
          <w:tcPr>
            <w:tcW w:w="795" w:type="dxa"/>
            <w:vAlign w:val="center"/>
          </w:tcPr>
          <w:p>
            <w:pPr>
              <w:jc w:val="center"/>
              <w:rPr>
                <w:rFonts w:hint="default" w:ascii="宋体" w:hAnsi="宋体" w:eastAsia="宋体" w:cs="宋体"/>
                <w:sz w:val="22"/>
                <w:szCs w:val="22"/>
                <w:lang w:val="en-US"/>
              </w:rPr>
            </w:pPr>
            <w:r>
              <w:rPr>
                <w:rFonts w:hint="eastAsia" w:ascii="宋体" w:hAnsi="宋体" w:eastAsia="宋体" w:cs="宋体"/>
                <w:sz w:val="22"/>
                <w:szCs w:val="22"/>
                <w:lang w:val="en-US" w:eastAsia="zh-CN"/>
              </w:rPr>
              <w:t>9.00</w:t>
            </w:r>
          </w:p>
        </w:tc>
        <w:tc>
          <w:tcPr>
            <w:tcW w:w="1124" w:type="dxa"/>
            <w:vAlign w:val="center"/>
          </w:tcPr>
          <w:p>
            <w:pPr>
              <w:jc w:val="center"/>
              <w:rPr>
                <w:rFonts w:hint="eastAsia" w:ascii="宋体" w:hAnsi="宋体" w:eastAsia="宋体" w:cs="宋体"/>
                <w:sz w:val="22"/>
                <w:szCs w:val="22"/>
              </w:rPr>
            </w:pPr>
            <w:r>
              <w:rPr>
                <w:rFonts w:hint="eastAsia" w:ascii="宋体" w:hAnsi="宋体" w:eastAsia="宋体" w:cs="宋体"/>
                <w:sz w:val="22"/>
                <w:szCs w:val="22"/>
                <w:lang w:val="en-US" w:eastAsia="zh-CN"/>
              </w:rPr>
              <w:t>90.00%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187" w:type="dxa"/>
            <w:vMerge w:val="continue"/>
            <w:vAlign w:val="center"/>
          </w:tcPr>
          <w:p>
            <w:pPr>
              <w:jc w:val="center"/>
              <w:rPr>
                <w:rFonts w:hint="eastAsia" w:ascii="宋体" w:hAnsi="宋体" w:eastAsia="宋体" w:cs="宋体"/>
                <w:sz w:val="22"/>
                <w:szCs w:val="22"/>
              </w:rPr>
            </w:pPr>
          </w:p>
        </w:tc>
        <w:tc>
          <w:tcPr>
            <w:tcW w:w="2039" w:type="dxa"/>
            <w:vAlign w:val="center"/>
          </w:tcPr>
          <w:p>
            <w:pPr>
              <w:jc w:val="center"/>
              <w:rPr>
                <w:rFonts w:hint="eastAsia" w:ascii="宋体" w:hAnsi="宋体" w:eastAsia="宋体" w:cs="宋体"/>
                <w:sz w:val="22"/>
                <w:szCs w:val="22"/>
              </w:rPr>
            </w:pPr>
            <w:r>
              <w:rPr>
                <w:rFonts w:hint="eastAsia" w:ascii="宋体" w:hAnsi="宋体" w:eastAsia="宋体" w:cs="宋体"/>
                <w:sz w:val="22"/>
                <w:szCs w:val="22"/>
              </w:rPr>
              <w:t>产出质量（10分）</w:t>
            </w:r>
          </w:p>
        </w:tc>
        <w:tc>
          <w:tcPr>
            <w:tcW w:w="2675" w:type="dxa"/>
            <w:vAlign w:val="center"/>
          </w:tcPr>
          <w:p>
            <w:pPr>
              <w:jc w:val="center"/>
              <w:rPr>
                <w:rFonts w:hint="eastAsia" w:ascii="宋体" w:hAnsi="宋体" w:eastAsia="宋体" w:cs="宋体"/>
                <w:sz w:val="22"/>
                <w:szCs w:val="22"/>
              </w:rPr>
            </w:pPr>
            <w:r>
              <w:rPr>
                <w:rFonts w:hint="eastAsia" w:ascii="宋体" w:hAnsi="宋体" w:eastAsia="宋体" w:cs="宋体"/>
                <w:sz w:val="22"/>
                <w:szCs w:val="22"/>
              </w:rPr>
              <w:t>质量达标率（验收合格率）</w:t>
            </w:r>
          </w:p>
        </w:tc>
        <w:tc>
          <w:tcPr>
            <w:tcW w:w="825" w:type="dxa"/>
            <w:vAlign w:val="center"/>
          </w:tcPr>
          <w:p>
            <w:pPr>
              <w:jc w:val="center"/>
              <w:rPr>
                <w:rFonts w:hint="eastAsia" w:ascii="宋体" w:hAnsi="宋体" w:eastAsia="宋体" w:cs="宋体"/>
                <w:sz w:val="22"/>
                <w:szCs w:val="22"/>
              </w:rPr>
            </w:pPr>
            <w:r>
              <w:rPr>
                <w:rFonts w:hint="eastAsia" w:ascii="宋体" w:hAnsi="宋体" w:eastAsia="宋体" w:cs="宋体"/>
                <w:color w:val="000000"/>
                <w:kern w:val="0"/>
                <w:sz w:val="22"/>
                <w:szCs w:val="22"/>
                <w:lang w:bidi="ar"/>
              </w:rPr>
              <w:t>10.00</w:t>
            </w:r>
          </w:p>
        </w:tc>
        <w:tc>
          <w:tcPr>
            <w:tcW w:w="795" w:type="dxa"/>
            <w:vAlign w:val="center"/>
          </w:tcPr>
          <w:p>
            <w:pPr>
              <w:jc w:val="center"/>
              <w:rPr>
                <w:rFonts w:hint="default" w:ascii="宋体" w:hAnsi="宋体" w:eastAsia="宋体" w:cs="宋体"/>
                <w:sz w:val="22"/>
                <w:szCs w:val="22"/>
                <w:lang w:val="en-US"/>
              </w:rPr>
            </w:pPr>
            <w:r>
              <w:rPr>
                <w:rFonts w:hint="eastAsia" w:ascii="宋体" w:hAnsi="宋体" w:eastAsia="宋体" w:cs="宋体"/>
                <w:sz w:val="22"/>
                <w:szCs w:val="22"/>
                <w:lang w:val="en-US" w:eastAsia="zh-CN"/>
              </w:rPr>
              <w:t>8.00</w:t>
            </w:r>
          </w:p>
        </w:tc>
        <w:tc>
          <w:tcPr>
            <w:tcW w:w="1124" w:type="dxa"/>
            <w:vAlign w:val="center"/>
          </w:tcPr>
          <w:p>
            <w:pPr>
              <w:jc w:val="center"/>
              <w:rPr>
                <w:rFonts w:hint="eastAsia" w:ascii="宋体" w:hAnsi="宋体" w:eastAsia="宋体" w:cs="宋体"/>
                <w:sz w:val="22"/>
                <w:szCs w:val="22"/>
              </w:rPr>
            </w:pPr>
            <w:r>
              <w:rPr>
                <w:rFonts w:hint="eastAsia" w:ascii="宋体" w:hAnsi="宋体" w:eastAsia="宋体" w:cs="宋体"/>
                <w:sz w:val="22"/>
                <w:szCs w:val="22"/>
                <w:lang w:val="en-US" w:eastAsia="zh-CN"/>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187" w:type="dxa"/>
            <w:vMerge w:val="continue"/>
            <w:vAlign w:val="center"/>
          </w:tcPr>
          <w:p>
            <w:pPr>
              <w:rPr>
                <w:rFonts w:hint="eastAsia" w:ascii="宋体" w:hAnsi="宋体" w:eastAsia="宋体" w:cs="宋体"/>
                <w:sz w:val="22"/>
                <w:szCs w:val="22"/>
              </w:rPr>
            </w:pPr>
          </w:p>
        </w:tc>
        <w:tc>
          <w:tcPr>
            <w:tcW w:w="2039" w:type="dxa"/>
            <w:vAlign w:val="center"/>
          </w:tcPr>
          <w:p>
            <w:pPr>
              <w:jc w:val="center"/>
              <w:rPr>
                <w:rFonts w:hint="eastAsia" w:ascii="宋体" w:hAnsi="宋体" w:eastAsia="宋体" w:cs="宋体"/>
                <w:sz w:val="22"/>
                <w:szCs w:val="22"/>
              </w:rPr>
            </w:pPr>
            <w:r>
              <w:rPr>
                <w:rFonts w:hint="eastAsia" w:ascii="宋体" w:hAnsi="宋体" w:eastAsia="宋体" w:cs="宋体"/>
                <w:sz w:val="22"/>
                <w:szCs w:val="22"/>
              </w:rPr>
              <w:t>产出时效（</w:t>
            </w:r>
            <w:r>
              <w:rPr>
                <w:rFonts w:hint="eastAsia" w:ascii="宋体" w:hAnsi="宋体" w:eastAsia="宋体" w:cs="宋体"/>
                <w:sz w:val="22"/>
                <w:szCs w:val="22"/>
                <w:lang w:val="en-US" w:eastAsia="zh-CN"/>
              </w:rPr>
              <w:t>5</w:t>
            </w:r>
            <w:r>
              <w:rPr>
                <w:rFonts w:hint="eastAsia" w:ascii="宋体" w:hAnsi="宋体" w:eastAsia="宋体" w:cs="宋体"/>
                <w:sz w:val="22"/>
                <w:szCs w:val="22"/>
              </w:rPr>
              <w:t>分）</w:t>
            </w:r>
          </w:p>
        </w:tc>
        <w:tc>
          <w:tcPr>
            <w:tcW w:w="2675" w:type="dxa"/>
            <w:vAlign w:val="center"/>
          </w:tcPr>
          <w:p>
            <w:pPr>
              <w:jc w:val="center"/>
              <w:rPr>
                <w:rFonts w:hint="eastAsia" w:ascii="宋体" w:hAnsi="宋体" w:eastAsia="宋体" w:cs="宋体"/>
                <w:sz w:val="22"/>
                <w:szCs w:val="22"/>
              </w:rPr>
            </w:pPr>
            <w:r>
              <w:rPr>
                <w:rFonts w:hint="eastAsia" w:ascii="宋体" w:hAnsi="宋体" w:eastAsia="宋体" w:cs="宋体"/>
                <w:sz w:val="22"/>
                <w:szCs w:val="22"/>
              </w:rPr>
              <w:t>完成及时性</w:t>
            </w:r>
          </w:p>
        </w:tc>
        <w:tc>
          <w:tcPr>
            <w:tcW w:w="825" w:type="dxa"/>
            <w:vAlign w:val="center"/>
          </w:tcPr>
          <w:p>
            <w:pPr>
              <w:jc w:val="center"/>
              <w:rPr>
                <w:rFonts w:hint="eastAsia" w:ascii="宋体" w:hAnsi="宋体" w:eastAsia="宋体" w:cs="宋体"/>
                <w:sz w:val="22"/>
                <w:szCs w:val="22"/>
              </w:rPr>
            </w:pPr>
            <w:r>
              <w:rPr>
                <w:rFonts w:hint="eastAsia" w:ascii="宋体" w:hAnsi="宋体" w:eastAsia="宋体" w:cs="宋体"/>
                <w:color w:val="000000"/>
                <w:kern w:val="0"/>
                <w:sz w:val="22"/>
                <w:szCs w:val="22"/>
                <w:lang w:val="en-US" w:eastAsia="zh-CN" w:bidi="ar"/>
              </w:rPr>
              <w:t>5</w:t>
            </w:r>
            <w:r>
              <w:rPr>
                <w:rFonts w:hint="eastAsia" w:ascii="宋体" w:hAnsi="宋体" w:eastAsia="宋体" w:cs="宋体"/>
                <w:color w:val="000000"/>
                <w:kern w:val="0"/>
                <w:sz w:val="22"/>
                <w:szCs w:val="22"/>
                <w:lang w:bidi="ar"/>
              </w:rPr>
              <w:t>.00</w:t>
            </w:r>
          </w:p>
        </w:tc>
        <w:tc>
          <w:tcPr>
            <w:tcW w:w="795" w:type="dxa"/>
            <w:vAlign w:val="center"/>
          </w:tcPr>
          <w:p>
            <w:pPr>
              <w:jc w:val="center"/>
              <w:rPr>
                <w:rFonts w:hint="default" w:ascii="宋体" w:hAnsi="宋体" w:eastAsia="宋体" w:cs="宋体"/>
                <w:sz w:val="22"/>
                <w:szCs w:val="22"/>
                <w:lang w:val="en-US"/>
              </w:rPr>
            </w:pPr>
            <w:r>
              <w:rPr>
                <w:rFonts w:hint="eastAsia" w:ascii="宋体" w:hAnsi="宋体" w:eastAsia="宋体" w:cs="宋体"/>
                <w:sz w:val="22"/>
                <w:szCs w:val="22"/>
                <w:lang w:val="en-US" w:eastAsia="zh-CN"/>
              </w:rPr>
              <w:t>4.20</w:t>
            </w:r>
          </w:p>
        </w:tc>
        <w:tc>
          <w:tcPr>
            <w:tcW w:w="1124" w:type="dxa"/>
            <w:vAlign w:val="center"/>
          </w:tcPr>
          <w:p>
            <w:pPr>
              <w:jc w:val="center"/>
              <w:rPr>
                <w:rFonts w:hint="eastAsia" w:ascii="宋体" w:hAnsi="宋体" w:eastAsia="宋体" w:cs="宋体"/>
                <w:sz w:val="22"/>
                <w:szCs w:val="22"/>
              </w:rPr>
            </w:pPr>
            <w:r>
              <w:rPr>
                <w:rFonts w:hint="eastAsia" w:ascii="宋体" w:hAnsi="宋体" w:eastAsia="宋体" w:cs="宋体"/>
                <w:sz w:val="22"/>
                <w:szCs w:val="22"/>
                <w:lang w:val="en-US" w:eastAsia="zh-CN"/>
              </w:rPr>
              <w:t>84.00%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340" w:hRule="atLeast"/>
          <w:jc w:val="center"/>
        </w:trPr>
        <w:tc>
          <w:tcPr>
            <w:tcW w:w="1187" w:type="dxa"/>
            <w:vMerge w:val="continue"/>
            <w:vAlign w:val="center"/>
          </w:tcPr>
          <w:p>
            <w:pPr>
              <w:jc w:val="center"/>
              <w:rPr>
                <w:rFonts w:hint="eastAsia" w:ascii="宋体" w:hAnsi="宋体" w:eastAsia="宋体" w:cs="宋体"/>
                <w:sz w:val="22"/>
                <w:szCs w:val="22"/>
              </w:rPr>
            </w:pPr>
          </w:p>
        </w:tc>
        <w:tc>
          <w:tcPr>
            <w:tcW w:w="2039" w:type="dxa"/>
            <w:vAlign w:val="center"/>
          </w:tcPr>
          <w:p>
            <w:pPr>
              <w:jc w:val="center"/>
              <w:rPr>
                <w:rFonts w:hint="eastAsia" w:ascii="宋体" w:hAnsi="宋体" w:eastAsia="宋体" w:cs="宋体"/>
                <w:sz w:val="22"/>
                <w:szCs w:val="22"/>
              </w:rPr>
            </w:pPr>
            <w:r>
              <w:rPr>
                <w:rFonts w:hint="eastAsia" w:ascii="宋体" w:hAnsi="宋体" w:eastAsia="宋体" w:cs="宋体"/>
                <w:sz w:val="22"/>
                <w:szCs w:val="22"/>
              </w:rPr>
              <w:t>产出成本（</w:t>
            </w:r>
            <w:r>
              <w:rPr>
                <w:rFonts w:hint="eastAsia" w:ascii="宋体" w:hAnsi="宋体" w:eastAsia="宋体" w:cs="宋体"/>
                <w:sz w:val="22"/>
                <w:szCs w:val="22"/>
                <w:lang w:val="en-US" w:eastAsia="zh-CN"/>
              </w:rPr>
              <w:t>5</w:t>
            </w:r>
            <w:r>
              <w:rPr>
                <w:rFonts w:hint="eastAsia" w:ascii="宋体" w:hAnsi="宋体" w:eastAsia="宋体" w:cs="宋体"/>
                <w:sz w:val="22"/>
                <w:szCs w:val="22"/>
              </w:rPr>
              <w:t>分）</w:t>
            </w:r>
          </w:p>
        </w:tc>
        <w:tc>
          <w:tcPr>
            <w:tcW w:w="2675" w:type="dxa"/>
            <w:vAlign w:val="center"/>
          </w:tcPr>
          <w:p>
            <w:pPr>
              <w:jc w:val="center"/>
              <w:rPr>
                <w:rFonts w:hint="eastAsia" w:ascii="宋体" w:hAnsi="宋体" w:eastAsia="宋体" w:cs="宋体"/>
                <w:sz w:val="22"/>
                <w:szCs w:val="22"/>
              </w:rPr>
            </w:pPr>
            <w:r>
              <w:rPr>
                <w:rFonts w:hint="eastAsia" w:ascii="宋体" w:hAnsi="宋体" w:eastAsia="宋体" w:cs="宋体"/>
                <w:sz w:val="22"/>
                <w:szCs w:val="22"/>
              </w:rPr>
              <w:t>成本节约率</w:t>
            </w:r>
          </w:p>
        </w:tc>
        <w:tc>
          <w:tcPr>
            <w:tcW w:w="825" w:type="dxa"/>
            <w:vAlign w:val="center"/>
          </w:tcPr>
          <w:p>
            <w:pPr>
              <w:jc w:val="center"/>
              <w:rPr>
                <w:rFonts w:hint="eastAsia" w:ascii="宋体" w:hAnsi="宋体" w:eastAsia="宋体" w:cs="宋体"/>
                <w:sz w:val="22"/>
                <w:szCs w:val="22"/>
              </w:rPr>
            </w:pPr>
            <w:r>
              <w:rPr>
                <w:rFonts w:hint="eastAsia" w:ascii="宋体" w:hAnsi="宋体" w:eastAsia="宋体" w:cs="宋体"/>
                <w:color w:val="000000"/>
                <w:kern w:val="0"/>
                <w:sz w:val="22"/>
                <w:szCs w:val="22"/>
                <w:lang w:val="en-US" w:eastAsia="zh-CN" w:bidi="ar"/>
              </w:rPr>
              <w:t>5</w:t>
            </w:r>
            <w:r>
              <w:rPr>
                <w:rFonts w:hint="eastAsia" w:ascii="宋体" w:hAnsi="宋体" w:eastAsia="宋体" w:cs="宋体"/>
                <w:color w:val="000000"/>
                <w:kern w:val="0"/>
                <w:sz w:val="22"/>
                <w:szCs w:val="22"/>
                <w:lang w:bidi="ar"/>
              </w:rPr>
              <w:t>.00</w:t>
            </w:r>
          </w:p>
        </w:tc>
        <w:tc>
          <w:tcPr>
            <w:tcW w:w="795" w:type="dxa"/>
            <w:vAlign w:val="center"/>
          </w:tcPr>
          <w:p>
            <w:pPr>
              <w:jc w:val="center"/>
              <w:rPr>
                <w:rFonts w:hint="default" w:ascii="宋体" w:hAnsi="宋体" w:eastAsia="宋体" w:cs="宋体"/>
                <w:sz w:val="22"/>
                <w:szCs w:val="22"/>
                <w:lang w:val="en-US"/>
              </w:rPr>
            </w:pPr>
            <w:r>
              <w:rPr>
                <w:rFonts w:hint="eastAsia" w:ascii="宋体" w:hAnsi="宋体" w:eastAsia="宋体" w:cs="宋体"/>
                <w:sz w:val="22"/>
                <w:szCs w:val="22"/>
                <w:lang w:val="en-US" w:eastAsia="zh-CN"/>
              </w:rPr>
              <w:t>4.60</w:t>
            </w:r>
          </w:p>
        </w:tc>
        <w:tc>
          <w:tcPr>
            <w:tcW w:w="1124" w:type="dxa"/>
            <w:vAlign w:val="center"/>
          </w:tcPr>
          <w:p>
            <w:pPr>
              <w:jc w:val="center"/>
              <w:rPr>
                <w:rFonts w:hint="eastAsia" w:ascii="宋体" w:hAnsi="宋体" w:eastAsia="宋体" w:cs="宋体"/>
                <w:sz w:val="22"/>
                <w:szCs w:val="22"/>
              </w:rPr>
            </w:pPr>
            <w:r>
              <w:rPr>
                <w:rFonts w:hint="eastAsia" w:ascii="宋体" w:hAnsi="宋体" w:eastAsia="宋体" w:cs="宋体"/>
                <w:sz w:val="22"/>
                <w:szCs w:val="22"/>
                <w:lang w:val="en-US" w:eastAsia="zh-CN"/>
              </w:rPr>
              <w:t>92.00%</w:t>
            </w:r>
          </w:p>
        </w:tc>
      </w:tr>
    </w:tbl>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default" w:ascii="仿宋_GB2312" w:hAnsi="宋体" w:eastAsia="仿宋_GB2312"/>
          <w:b/>
          <w:bCs/>
          <w:sz w:val="32"/>
          <w:szCs w:val="32"/>
          <w:highlight w:val="none"/>
          <w:lang w:val="en-US" w:eastAsia="zh-CN"/>
        </w:rPr>
      </w:pPr>
      <w:r>
        <w:rPr>
          <w:rFonts w:hint="default" w:ascii="仿宋_GB2312" w:hAnsi="宋体" w:eastAsia="仿宋_GB2312"/>
          <w:b/>
          <w:bCs/>
          <w:sz w:val="32"/>
          <w:szCs w:val="32"/>
          <w:highlight w:val="none"/>
          <w:lang w:val="en-US" w:eastAsia="zh-CN"/>
        </w:rPr>
        <w:t>1.产出数量完成情况</w:t>
      </w:r>
    </w:p>
    <w:p>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pacing w:val="0"/>
          <w:kern w:val="2"/>
          <w:sz w:val="32"/>
          <w:szCs w:val="32"/>
          <w:u w:val="none"/>
          <w:lang w:val="en-US" w:eastAsia="zh-CN" w:bidi="ar-SA"/>
        </w:rPr>
      </w:pPr>
      <w:r>
        <w:rPr>
          <w:rFonts w:hint="eastAsia" w:ascii="仿宋_GB2312" w:hAnsi="仿宋_GB2312" w:eastAsia="仿宋_GB2312" w:cs="仿宋_GB2312"/>
          <w:b w:val="0"/>
          <w:bCs w:val="0"/>
          <w:spacing w:val="0"/>
          <w:kern w:val="2"/>
          <w:sz w:val="32"/>
          <w:szCs w:val="32"/>
          <w:u w:val="none"/>
          <w:lang w:val="en-US" w:eastAsia="zh-CN" w:bidi="ar-SA"/>
        </w:rPr>
        <w:t>该项目目前仍处于执行过程中，截至</w:t>
      </w:r>
      <w:r>
        <w:rPr>
          <w:rFonts w:hint="eastAsia" w:ascii="仿宋_GB2312" w:hAnsi="仿宋_GB2312" w:eastAsia="仿宋_GB2312" w:cs="仿宋_GB2312"/>
          <w:sz w:val="32"/>
          <w:szCs w:val="32"/>
        </w:rPr>
        <w:t>评价日</w:t>
      </w:r>
      <w:r>
        <w:rPr>
          <w:rFonts w:hint="eastAsia" w:ascii="仿宋_GB2312" w:hAnsi="仿宋_GB2312" w:eastAsia="仿宋_GB2312" w:cs="仿宋_GB2312"/>
          <w:b w:val="0"/>
          <w:bCs w:val="0"/>
          <w:spacing w:val="0"/>
          <w:kern w:val="2"/>
          <w:sz w:val="32"/>
          <w:szCs w:val="32"/>
          <w:u w:val="none"/>
          <w:lang w:val="en-US" w:eastAsia="zh-CN" w:bidi="ar-SA"/>
        </w:rPr>
        <w:t>，项目共计完成51份评估报告，其中，部门</w:t>
      </w:r>
      <w:r>
        <w:rPr>
          <w:rFonts w:hint="eastAsia" w:ascii="仿宋_GB2312" w:hAnsi="仿宋_GB2312" w:eastAsia="仿宋_GB2312" w:cs="仿宋_GB2312"/>
          <w:sz w:val="32"/>
          <w:szCs w:val="32"/>
        </w:rPr>
        <w:t>（领域）智慧城市</w:t>
      </w:r>
      <w:r>
        <w:rPr>
          <w:rFonts w:hint="eastAsia" w:ascii="仿宋_GB2312" w:hAnsi="仿宋_GB2312" w:eastAsia="仿宋_GB2312" w:cs="仿宋_GB2312"/>
          <w:sz w:val="32"/>
          <w:szCs w:val="32"/>
          <w:lang w:val="en-US" w:eastAsia="zh-CN"/>
        </w:rPr>
        <w:t>专项</w:t>
      </w:r>
      <w:r>
        <w:rPr>
          <w:rFonts w:hint="eastAsia" w:ascii="仿宋_GB2312" w:hAnsi="仿宋_GB2312" w:eastAsia="仿宋_GB2312" w:cs="仿宋_GB2312"/>
          <w:sz w:val="32"/>
          <w:szCs w:val="32"/>
        </w:rPr>
        <w:t>规划、区域规划备案评估报告21份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领域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顶层设计评估报告30份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协助</w:t>
      </w:r>
      <w:r>
        <w:rPr>
          <w:rFonts w:hint="eastAsia" w:ascii="仿宋_GB2312" w:hAnsi="仿宋_GB2312" w:eastAsia="仿宋_GB2312" w:cs="仿宋_GB2312"/>
          <w:sz w:val="32"/>
          <w:szCs w:val="32"/>
          <w:lang w:val="en-US" w:eastAsia="zh-CN"/>
        </w:rPr>
        <w:t>建设</w:t>
      </w:r>
      <w:r>
        <w:rPr>
          <w:rFonts w:hint="eastAsia" w:ascii="仿宋_GB2312" w:hAnsi="仿宋_GB2312" w:eastAsia="仿宋_GB2312" w:cs="仿宋_GB2312"/>
          <w:sz w:val="32"/>
          <w:szCs w:val="32"/>
        </w:rPr>
        <w:t>年度项目储备库1个。</w:t>
      </w:r>
      <w:r>
        <w:rPr>
          <w:rFonts w:hint="eastAsia" w:ascii="仿宋_GB2312" w:hAnsi="仿宋_GB2312" w:eastAsia="仿宋_GB2312" w:cs="仿宋_GB2312"/>
          <w:sz w:val="32"/>
          <w:szCs w:val="32"/>
          <w:lang w:val="en-US" w:eastAsia="zh-CN"/>
        </w:rPr>
        <w:t>项目</w:t>
      </w:r>
      <w:r>
        <w:rPr>
          <w:rFonts w:hint="eastAsia" w:ascii="仿宋_GB2312" w:hAnsi="仿宋_GB2312" w:eastAsia="仿宋_GB2312" w:cs="仿宋_GB2312"/>
          <w:sz w:val="32"/>
          <w:szCs w:val="32"/>
          <w:lang w:val="en-US" w:eastAsia="zh-Hans"/>
        </w:rPr>
        <w:t>实际</w:t>
      </w:r>
      <w:r>
        <w:rPr>
          <w:rFonts w:hint="eastAsia" w:ascii="仿宋_GB2312" w:hAnsi="仿宋_GB2312" w:eastAsia="仿宋_GB2312" w:cs="仿宋_GB2312"/>
          <w:sz w:val="32"/>
          <w:szCs w:val="32"/>
          <w:lang w:val="en-US" w:eastAsia="zh-CN"/>
        </w:rPr>
        <w:t>产出与计划产出对照情况见表8：</w:t>
      </w:r>
    </w:p>
    <w:p>
      <w:pPr>
        <w:keepNext w:val="0"/>
        <w:keepLines w:val="0"/>
        <w:pageBreakBefore w:val="0"/>
        <w:widowControl w:val="0"/>
        <w:kinsoku/>
        <w:wordWrap/>
        <w:overflowPunct/>
        <w:topLinePunct w:val="0"/>
        <w:autoSpaceDE/>
        <w:autoSpaceDN/>
        <w:bidi w:val="0"/>
        <w:adjustRightInd w:val="0"/>
        <w:snapToGrid w:val="0"/>
        <w:spacing w:after="156" w:afterLines="50" w:line="560" w:lineRule="exact"/>
        <w:jc w:val="center"/>
        <w:textAlignment w:val="auto"/>
        <w:rPr>
          <w:rFonts w:hint="eastAsia" w:ascii="黑体" w:hAnsi="黑体" w:eastAsia="黑体" w:cs="黑体"/>
          <w:bCs/>
          <w:sz w:val="28"/>
          <w:szCs w:val="28"/>
          <w:highlight w:val="none"/>
          <w:lang w:val="en-US" w:eastAsia="zh-CN"/>
        </w:rPr>
      </w:pPr>
      <w:r>
        <w:rPr>
          <w:rFonts w:hint="eastAsia" w:ascii="黑体" w:hAnsi="黑体" w:eastAsia="黑体" w:cs="黑体"/>
          <w:bCs/>
          <w:sz w:val="28"/>
          <w:szCs w:val="28"/>
          <w:highlight w:val="none"/>
        </w:rPr>
        <w:t>表</w:t>
      </w:r>
      <w:r>
        <w:rPr>
          <w:rFonts w:hint="eastAsia" w:ascii="黑体" w:hAnsi="黑体" w:eastAsia="黑体" w:cs="黑体"/>
          <w:bCs/>
          <w:sz w:val="28"/>
          <w:szCs w:val="28"/>
          <w:highlight w:val="none"/>
          <w:lang w:val="en-US" w:eastAsia="zh-CN"/>
        </w:rPr>
        <w:t>8</w:t>
      </w:r>
      <w:r>
        <w:rPr>
          <w:rFonts w:hint="eastAsia" w:ascii="黑体" w:hAnsi="黑体" w:eastAsia="黑体" w:cs="黑体"/>
          <w:color w:val="000000"/>
          <w:kern w:val="0"/>
          <w:sz w:val="28"/>
          <w:szCs w:val="28"/>
          <w:highlight w:val="none"/>
        </w:rPr>
        <w:t xml:space="preserve"> </w:t>
      </w:r>
      <w:r>
        <w:rPr>
          <w:rFonts w:hint="eastAsia" w:ascii="黑体" w:hAnsi="黑体" w:eastAsia="黑体" w:cs="黑体"/>
          <w:bCs/>
          <w:sz w:val="28"/>
          <w:szCs w:val="28"/>
          <w:highlight w:val="none"/>
        </w:rPr>
        <w:t>项目当前产出与计划产出对照情况</w:t>
      </w:r>
      <w:r>
        <w:rPr>
          <w:rFonts w:hint="eastAsia" w:ascii="黑体" w:hAnsi="黑体" w:eastAsia="黑体" w:cs="黑体"/>
          <w:bCs/>
          <w:sz w:val="28"/>
          <w:szCs w:val="28"/>
          <w:highlight w:val="none"/>
          <w:lang w:val="en-US" w:eastAsia="zh-CN"/>
        </w:rPr>
        <w:t>表</w:t>
      </w:r>
    </w:p>
    <w:tbl>
      <w:tblPr>
        <w:tblStyle w:val="8"/>
        <w:tblW w:w="8699"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47"/>
        <w:gridCol w:w="4555"/>
        <w:gridCol w:w="1149"/>
        <w:gridCol w:w="1152"/>
        <w:gridCol w:w="11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 w:hRule="atLeast"/>
          <w:tblHeader/>
          <w:jc w:val="center"/>
        </w:trPr>
        <w:tc>
          <w:tcPr>
            <w:tcW w:w="647" w:type="dxa"/>
            <w:tcBorders>
              <w:top w:val="single" w:color="000000" w:sz="4" w:space="0"/>
              <w:left w:val="single" w:color="000000" w:sz="4" w:space="0"/>
              <w:bottom w:val="single" w:color="000000" w:sz="4" w:space="0"/>
              <w:right w:val="single" w:color="000000" w:sz="4" w:space="0"/>
            </w:tcBorders>
            <w:shd w:val="clear" w:color="auto" w:fill="96B4E1" w:themeFill="background1" w:themeFillShade="BF"/>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序号</w:t>
            </w:r>
          </w:p>
        </w:tc>
        <w:tc>
          <w:tcPr>
            <w:tcW w:w="4555" w:type="dxa"/>
            <w:tcBorders>
              <w:top w:val="single" w:color="000000" w:sz="4" w:space="0"/>
              <w:left w:val="single" w:color="000000" w:sz="4" w:space="0"/>
              <w:bottom w:val="single" w:color="000000" w:sz="4" w:space="0"/>
              <w:right w:val="single" w:color="000000" w:sz="4" w:space="0"/>
            </w:tcBorders>
            <w:shd w:val="clear" w:color="auto" w:fill="96B4E1" w:themeFill="background1" w:themeFillShade="BF"/>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产出内容</w:t>
            </w:r>
          </w:p>
        </w:tc>
        <w:tc>
          <w:tcPr>
            <w:tcW w:w="1149" w:type="dxa"/>
            <w:tcBorders>
              <w:top w:val="single" w:color="000000" w:sz="4" w:space="0"/>
              <w:left w:val="single" w:color="000000" w:sz="4" w:space="0"/>
              <w:bottom w:val="single" w:color="000000" w:sz="4" w:space="0"/>
              <w:right w:val="single" w:color="000000" w:sz="4" w:space="0"/>
            </w:tcBorders>
            <w:shd w:val="clear" w:color="auto" w:fill="96B4E1" w:themeFill="background1" w:themeFillShade="BF"/>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计划产出</w:t>
            </w:r>
          </w:p>
        </w:tc>
        <w:tc>
          <w:tcPr>
            <w:tcW w:w="1152" w:type="dxa"/>
            <w:tcBorders>
              <w:top w:val="single" w:color="000000" w:sz="4" w:space="0"/>
              <w:left w:val="single" w:color="000000" w:sz="4" w:space="0"/>
              <w:bottom w:val="single" w:color="000000" w:sz="4" w:space="0"/>
              <w:right w:val="single" w:color="000000" w:sz="4" w:space="0"/>
            </w:tcBorders>
            <w:shd w:val="clear" w:color="auto" w:fill="96B4E1" w:themeFill="background1" w:themeFillShade="BF"/>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实际产出</w:t>
            </w:r>
          </w:p>
        </w:tc>
        <w:tc>
          <w:tcPr>
            <w:tcW w:w="1196" w:type="dxa"/>
            <w:tcBorders>
              <w:top w:val="single" w:color="000000" w:sz="4" w:space="0"/>
              <w:left w:val="single" w:color="000000" w:sz="4" w:space="0"/>
              <w:bottom w:val="single" w:color="000000" w:sz="4" w:space="0"/>
              <w:right w:val="single" w:color="000000" w:sz="4" w:space="0"/>
            </w:tcBorders>
            <w:shd w:val="clear" w:color="auto" w:fill="96B4E1" w:themeFill="background1" w:themeFillShade="BF"/>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2" w:hRule="atLeast"/>
          <w:jc w:val="center"/>
        </w:trPr>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4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部门（领域）智慧城市专项规划、区域规划备案评估报告</w:t>
            </w: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≥25份</w:t>
            </w:r>
          </w:p>
        </w:tc>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21份</w:t>
            </w: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未完成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5" w:hRule="atLeast"/>
          <w:jc w:val="center"/>
        </w:trPr>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4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部门（领域）顶层设计评估报告</w:t>
            </w: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≥50份</w:t>
            </w:r>
          </w:p>
        </w:tc>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30份</w:t>
            </w: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未完成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jc w:val="center"/>
        </w:trPr>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w:t>
            </w:r>
          </w:p>
        </w:tc>
        <w:tc>
          <w:tcPr>
            <w:tcW w:w="4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协助建设</w:t>
            </w:r>
            <w:r>
              <w:rPr>
                <w:rFonts w:hint="eastAsia" w:ascii="宋体" w:hAnsi="宋体" w:eastAsia="宋体" w:cs="宋体"/>
                <w:i w:val="0"/>
                <w:iCs w:val="0"/>
                <w:color w:val="000000"/>
                <w:sz w:val="20"/>
                <w:szCs w:val="20"/>
                <w:u w:val="none"/>
              </w:rPr>
              <w:t>年度项目储备库</w:t>
            </w:r>
          </w:p>
        </w:tc>
        <w:tc>
          <w:tcPr>
            <w:tcW w:w="11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1个</w:t>
            </w:r>
          </w:p>
        </w:tc>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1个</w:t>
            </w:r>
          </w:p>
        </w:tc>
        <w:tc>
          <w:tcPr>
            <w:tcW w:w="1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已完成</w:t>
            </w:r>
          </w:p>
        </w:tc>
      </w:tr>
    </w:tbl>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default" w:ascii="仿宋_GB2312" w:hAnsi="宋体" w:eastAsia="仿宋_GB2312"/>
          <w:b/>
          <w:bCs/>
          <w:sz w:val="32"/>
          <w:szCs w:val="32"/>
          <w:highlight w:val="none"/>
          <w:lang w:val="en-US" w:eastAsia="zh-CN"/>
        </w:rPr>
      </w:pPr>
      <w:bookmarkStart w:id="169" w:name="_Toc22608"/>
      <w:bookmarkStart w:id="170" w:name="_Toc7494"/>
      <w:bookmarkStart w:id="171" w:name="_Toc5132"/>
      <w:bookmarkStart w:id="172" w:name="_Toc5310"/>
      <w:bookmarkStart w:id="173" w:name="_Toc23412"/>
      <w:bookmarkStart w:id="174" w:name="_Toc31906"/>
      <w:bookmarkStart w:id="175" w:name="_Toc24322"/>
      <w:r>
        <w:rPr>
          <w:rFonts w:hint="default" w:ascii="仿宋_GB2312" w:hAnsi="宋体" w:eastAsia="仿宋_GB2312"/>
          <w:b/>
          <w:bCs/>
          <w:sz w:val="32"/>
          <w:szCs w:val="32"/>
          <w:highlight w:val="none"/>
          <w:lang w:val="en-US" w:eastAsia="zh-CN"/>
        </w:rPr>
        <w:t>2.</w:t>
      </w:r>
      <w:bookmarkEnd w:id="169"/>
      <w:bookmarkEnd w:id="170"/>
      <w:bookmarkEnd w:id="171"/>
      <w:bookmarkEnd w:id="172"/>
      <w:bookmarkEnd w:id="173"/>
      <w:bookmarkEnd w:id="174"/>
      <w:bookmarkEnd w:id="175"/>
      <w:r>
        <w:rPr>
          <w:rFonts w:hint="default" w:ascii="仿宋_GB2312" w:hAnsi="宋体" w:eastAsia="仿宋_GB2312"/>
          <w:b/>
          <w:bCs/>
          <w:sz w:val="32"/>
          <w:szCs w:val="32"/>
          <w:highlight w:val="none"/>
          <w:lang w:val="en-US" w:eastAsia="zh-CN"/>
        </w:rPr>
        <w:t>产出</w:t>
      </w:r>
      <w:r>
        <w:rPr>
          <w:rFonts w:hint="eastAsia" w:ascii="仿宋_GB2312" w:hAnsi="宋体" w:eastAsia="仿宋_GB2312"/>
          <w:b/>
          <w:bCs/>
          <w:sz w:val="32"/>
          <w:szCs w:val="32"/>
          <w:highlight w:val="none"/>
          <w:lang w:val="en-US" w:eastAsia="zh-CN"/>
        </w:rPr>
        <w:t>质量</w:t>
      </w:r>
      <w:r>
        <w:rPr>
          <w:rFonts w:hint="default" w:ascii="仿宋_GB2312" w:hAnsi="宋体" w:eastAsia="仿宋_GB2312"/>
          <w:b/>
          <w:bCs/>
          <w:sz w:val="32"/>
          <w:szCs w:val="32"/>
          <w:highlight w:val="none"/>
          <w:lang w:val="en-US" w:eastAsia="zh-CN"/>
        </w:rPr>
        <w:t>完成情况</w:t>
      </w:r>
    </w:p>
    <w:p>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pacing w:val="0"/>
          <w:kern w:val="2"/>
          <w:sz w:val="32"/>
          <w:szCs w:val="32"/>
          <w:u w:val="none"/>
          <w:lang w:val="en-US" w:eastAsia="zh-CN" w:bidi="ar-SA"/>
        </w:rPr>
      </w:pPr>
      <w:r>
        <w:rPr>
          <w:rFonts w:hint="eastAsia" w:ascii="仿宋_GB2312" w:hAnsi="仿宋_GB2312" w:eastAsia="仿宋_GB2312" w:cs="仿宋_GB2312"/>
          <w:sz w:val="32"/>
          <w:szCs w:val="32"/>
          <w:lang w:val="en-US" w:eastAsia="zh-Hans"/>
        </w:rPr>
        <w:t>因项目目前</w:t>
      </w:r>
      <w:r>
        <w:rPr>
          <w:rFonts w:hint="eastAsia" w:ascii="仿宋_GB2312" w:hAnsi="仿宋_GB2312" w:eastAsia="仿宋_GB2312" w:cs="仿宋_GB2312"/>
          <w:sz w:val="32"/>
          <w:szCs w:val="32"/>
        </w:rPr>
        <w:t>尚未完成，</w:t>
      </w:r>
      <w:r>
        <w:rPr>
          <w:rFonts w:hint="eastAsia" w:ascii="仿宋_GB2312" w:hAnsi="仿宋_GB2312" w:eastAsia="仿宋_GB2312" w:cs="仿宋_GB2312"/>
          <w:sz w:val="32"/>
          <w:szCs w:val="32"/>
          <w:lang w:val="en-US" w:eastAsia="zh-Hans"/>
        </w:rPr>
        <w:t>尚未</w:t>
      </w:r>
      <w:r>
        <w:rPr>
          <w:rFonts w:hint="eastAsia" w:ascii="仿宋_GB2312" w:hAnsi="仿宋_GB2312" w:eastAsia="仿宋_GB2312" w:cs="仿宋_GB2312"/>
          <w:sz w:val="32"/>
          <w:szCs w:val="32"/>
          <w:lang w:val="en-US" w:eastAsia="zh-CN"/>
        </w:rPr>
        <w:t>进行项目验收，</w:t>
      </w:r>
      <w:r>
        <w:rPr>
          <w:rFonts w:hint="eastAsia" w:ascii="仿宋_GB2312" w:hAnsi="仿宋_GB2312" w:eastAsia="仿宋_GB2312" w:cs="仿宋_GB2312"/>
          <w:sz w:val="32"/>
          <w:szCs w:val="32"/>
          <w:lang w:val="en-US" w:eastAsia="zh-Hans"/>
        </w:rPr>
        <w:t>难以</w:t>
      </w:r>
      <w:r>
        <w:rPr>
          <w:rFonts w:hint="eastAsia" w:ascii="仿宋_GB2312" w:hAnsi="仿宋_GB2312" w:eastAsia="仿宋_GB2312" w:cs="仿宋_GB2312"/>
          <w:sz w:val="32"/>
          <w:szCs w:val="32"/>
        </w:rPr>
        <w:t>对项目</w:t>
      </w:r>
      <w:r>
        <w:rPr>
          <w:rFonts w:hint="eastAsia" w:ascii="仿宋_GB2312" w:hAnsi="仿宋_GB2312" w:eastAsia="仿宋_GB2312" w:cs="仿宋_GB2312"/>
          <w:sz w:val="32"/>
          <w:szCs w:val="32"/>
          <w:lang w:val="en-US" w:eastAsia="zh-CN"/>
        </w:rPr>
        <w:t>完成质量</w:t>
      </w:r>
      <w:r>
        <w:rPr>
          <w:rFonts w:hint="eastAsia" w:ascii="仿宋_GB2312" w:hAnsi="仿宋_GB2312" w:eastAsia="仿宋_GB2312" w:cs="仿宋_GB2312"/>
          <w:sz w:val="32"/>
          <w:szCs w:val="32"/>
        </w:rPr>
        <w:t>做出全面充分的判断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但从项目质量的可考核性来看，</w:t>
      </w:r>
      <w:r>
        <w:rPr>
          <w:rFonts w:hint="eastAsia" w:ascii="仿宋_GB2312" w:hAnsi="仿宋_GB2312" w:eastAsia="仿宋_GB2312" w:cs="仿宋_GB2312"/>
          <w:sz w:val="32"/>
          <w:szCs w:val="32"/>
          <w:lang w:val="en-US" w:eastAsia="zh-Hans"/>
        </w:rPr>
        <w:t>委托</w:t>
      </w:r>
      <w:r>
        <w:rPr>
          <w:rFonts w:hint="eastAsia" w:ascii="仿宋_GB2312" w:hAnsi="仿宋_GB2312" w:eastAsia="仿宋_GB2312" w:cs="仿宋_GB2312"/>
          <w:b w:val="0"/>
          <w:bCs w:val="0"/>
          <w:spacing w:val="0"/>
          <w:kern w:val="2"/>
          <w:sz w:val="32"/>
          <w:szCs w:val="32"/>
          <w:u w:val="none"/>
          <w:lang w:val="en-US" w:eastAsia="zh-CN" w:bidi="ar-SA"/>
        </w:rPr>
        <w:t>合同中对项目质量仅规定“乙方、丙方、丁方三方为甲方提供的服务质量应符合国家或相关行业的标准”“本项目验收时，乙方、丙方、丁方三方共应提交的配套文档成果至少包括，部门（领域）智城市规划评估报告15份以上、部门（领域）智慧城市顶层设计评价报告50份以上、年度智慧城市项目储备库建设相关文档，包含不少于100个储备项目、其他项目文档：如会议纪要、简报、培训材料等”，</w:t>
      </w:r>
      <w:r>
        <w:rPr>
          <w:rFonts w:hint="default" w:ascii="仿宋_GB2312" w:hAnsi="仿宋_GB2312" w:eastAsia="仿宋_GB2312" w:cs="仿宋_GB2312"/>
          <w:b w:val="0"/>
          <w:bCs w:val="0"/>
          <w:spacing w:val="0"/>
          <w:kern w:val="2"/>
          <w:sz w:val="32"/>
          <w:szCs w:val="32"/>
          <w:u w:val="none"/>
          <w:lang w:val="en-US" w:eastAsia="zh-CN" w:bidi="ar-SA"/>
        </w:rPr>
        <w:t>缺乏</w:t>
      </w:r>
      <w:r>
        <w:rPr>
          <w:rFonts w:hint="eastAsia" w:ascii="仿宋_GB2312" w:hAnsi="仿宋_GB2312" w:eastAsia="仿宋_GB2312" w:cs="仿宋_GB2312"/>
          <w:b w:val="0"/>
          <w:bCs w:val="0"/>
          <w:spacing w:val="0"/>
          <w:kern w:val="2"/>
          <w:sz w:val="32"/>
          <w:szCs w:val="32"/>
          <w:u w:val="none"/>
          <w:lang w:val="en-US" w:eastAsia="zh-CN" w:bidi="ar-SA"/>
        </w:rPr>
        <w:t>对项目</w:t>
      </w:r>
      <w:r>
        <w:rPr>
          <w:rFonts w:hint="default" w:ascii="仿宋_GB2312" w:hAnsi="仿宋_GB2312" w:eastAsia="仿宋_GB2312" w:cs="仿宋_GB2312"/>
          <w:b w:val="0"/>
          <w:bCs w:val="0"/>
          <w:spacing w:val="0"/>
          <w:kern w:val="2"/>
          <w:sz w:val="32"/>
          <w:szCs w:val="32"/>
          <w:u w:val="none"/>
          <w:lang w:val="en-US" w:eastAsia="zh-CN" w:bidi="ar-SA"/>
        </w:rPr>
        <w:t>明确的质量标准</w:t>
      </w:r>
      <w:r>
        <w:rPr>
          <w:rFonts w:hint="eastAsia" w:ascii="仿宋_GB2312" w:hAnsi="仿宋_GB2312" w:eastAsia="仿宋_GB2312" w:cs="仿宋_GB2312"/>
          <w:b w:val="0"/>
          <w:bCs w:val="0"/>
          <w:spacing w:val="0"/>
          <w:kern w:val="2"/>
          <w:sz w:val="32"/>
          <w:szCs w:val="32"/>
          <w:u w:val="none"/>
          <w:lang w:val="en-US" w:eastAsia="zh-CN" w:bidi="ar-SA"/>
        </w:rPr>
        <w:t>，评估评价报告以及项目储备库建设的标准或水平不够明确，验收标准不够健全、完善。项目产出质量可考核性不足，质量管控有待加强。</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val="0"/>
          <w:bCs w:val="0"/>
          <w:spacing w:val="0"/>
          <w:kern w:val="2"/>
          <w:sz w:val="32"/>
          <w:szCs w:val="32"/>
          <w:u w:val="none"/>
          <w:lang w:val="en-US" w:eastAsia="zh-CN" w:bidi="ar-SA"/>
        </w:rPr>
      </w:pPr>
      <w:bookmarkStart w:id="176" w:name="_Toc31340"/>
      <w:bookmarkStart w:id="177" w:name="_Toc12616"/>
      <w:bookmarkStart w:id="178" w:name="_Toc20806"/>
      <w:bookmarkStart w:id="179" w:name="_Toc15966"/>
      <w:bookmarkStart w:id="180" w:name="_Toc19159"/>
      <w:bookmarkStart w:id="181" w:name="_Toc21216"/>
      <w:bookmarkStart w:id="182" w:name="_Toc7637"/>
      <w:bookmarkStart w:id="183" w:name="_Toc6777"/>
      <w:bookmarkStart w:id="184" w:name="_Toc18387"/>
      <w:r>
        <w:rPr>
          <w:rFonts w:hint="default" w:ascii="仿宋_GB2312" w:hAnsi="宋体" w:eastAsia="仿宋_GB2312"/>
          <w:b/>
          <w:bCs/>
          <w:sz w:val="32"/>
          <w:szCs w:val="32"/>
          <w:highlight w:val="none"/>
          <w:lang w:val="en-US" w:eastAsia="zh-CN"/>
        </w:rPr>
        <w:t>3.产出</w:t>
      </w:r>
      <w:r>
        <w:rPr>
          <w:rFonts w:hint="eastAsia" w:ascii="仿宋_GB2312" w:hAnsi="宋体" w:eastAsia="仿宋_GB2312"/>
          <w:b/>
          <w:bCs/>
          <w:sz w:val="32"/>
          <w:szCs w:val="32"/>
          <w:highlight w:val="none"/>
          <w:lang w:val="en-US" w:eastAsia="zh-CN"/>
        </w:rPr>
        <w:t>时效</w:t>
      </w:r>
      <w:r>
        <w:rPr>
          <w:rFonts w:hint="default" w:ascii="仿宋_GB2312" w:hAnsi="宋体" w:eastAsia="仿宋_GB2312"/>
          <w:b/>
          <w:bCs/>
          <w:sz w:val="32"/>
          <w:szCs w:val="32"/>
          <w:highlight w:val="none"/>
          <w:lang w:val="en-US" w:eastAsia="zh-CN"/>
        </w:rPr>
        <w:t>完成情况</w:t>
      </w:r>
      <w:bookmarkEnd w:id="176"/>
      <w:bookmarkEnd w:id="177"/>
      <w:bookmarkEnd w:id="178"/>
      <w:bookmarkEnd w:id="179"/>
      <w:bookmarkEnd w:id="180"/>
      <w:bookmarkEnd w:id="181"/>
      <w:bookmarkEnd w:id="182"/>
      <w:bookmarkEnd w:id="183"/>
      <w:bookmarkEnd w:id="184"/>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仿宋_GB2312" w:eastAsia="仿宋_GB2312" w:cs="仿宋_GB2312"/>
          <w:b w:val="0"/>
          <w:bCs w:val="0"/>
          <w:spacing w:val="0"/>
          <w:kern w:val="2"/>
          <w:sz w:val="32"/>
          <w:szCs w:val="32"/>
          <w:u w:val="none"/>
          <w:lang w:val="en-US" w:eastAsia="zh-CN" w:bidi="ar-SA"/>
        </w:rPr>
        <w:t>项目实施项目进度滞后，截至评价日项目尚未完成。项目原定计划于</w:t>
      </w:r>
      <w:r>
        <w:rPr>
          <w:rFonts w:hint="eastAsia" w:ascii="仿宋_GB2312" w:hAnsi="宋体" w:eastAsia="仿宋_GB2312"/>
          <w:sz w:val="32"/>
          <w:szCs w:val="32"/>
        </w:rPr>
        <w:t>2022年5月底</w:t>
      </w:r>
      <w:r>
        <w:rPr>
          <w:rFonts w:hint="eastAsia" w:ascii="仿宋_GB2312" w:hAnsi="宋体" w:eastAsia="仿宋_GB2312"/>
          <w:sz w:val="32"/>
          <w:szCs w:val="32"/>
          <w:lang w:val="en-US" w:eastAsia="zh-CN"/>
        </w:rPr>
        <w:t>前</w:t>
      </w:r>
      <w:r>
        <w:rPr>
          <w:rFonts w:hint="eastAsia" w:ascii="仿宋_GB2312" w:hAnsi="宋体" w:eastAsia="仿宋_GB2312"/>
          <w:sz w:val="32"/>
          <w:szCs w:val="32"/>
        </w:rPr>
        <w:t>启动项目公开招标</w:t>
      </w:r>
      <w:r>
        <w:rPr>
          <w:rFonts w:hint="eastAsia" w:ascii="仿宋_GB2312" w:hAnsi="宋体" w:eastAsia="仿宋_GB2312"/>
          <w:sz w:val="32"/>
          <w:szCs w:val="32"/>
          <w:lang w:eastAsia="zh-CN"/>
        </w:rPr>
        <w:t>；</w:t>
      </w:r>
      <w:r>
        <w:rPr>
          <w:rFonts w:hint="eastAsia" w:ascii="仿宋_GB2312" w:hAnsi="宋体" w:eastAsia="仿宋_GB2312"/>
          <w:sz w:val="32"/>
          <w:szCs w:val="32"/>
        </w:rPr>
        <w:t>6月底</w:t>
      </w:r>
      <w:r>
        <w:rPr>
          <w:rFonts w:hint="eastAsia" w:ascii="仿宋_GB2312" w:hAnsi="宋体" w:eastAsia="仿宋_GB2312"/>
          <w:sz w:val="32"/>
          <w:szCs w:val="32"/>
          <w:lang w:val="en-US" w:eastAsia="zh-CN"/>
        </w:rPr>
        <w:t>前</w:t>
      </w:r>
      <w:r>
        <w:rPr>
          <w:rFonts w:hint="eastAsia" w:ascii="仿宋_GB2312" w:hAnsi="宋体" w:eastAsia="仿宋_GB2312"/>
          <w:sz w:val="32"/>
          <w:szCs w:val="32"/>
        </w:rPr>
        <w:t>完成招标评选与结果公示，确定项目承担机构</w:t>
      </w:r>
      <w:r>
        <w:rPr>
          <w:rFonts w:hint="eastAsia" w:ascii="仿宋_GB2312" w:hAnsi="宋体" w:eastAsia="仿宋_GB2312"/>
          <w:sz w:val="32"/>
          <w:szCs w:val="32"/>
          <w:lang w:eastAsia="zh-CN"/>
        </w:rPr>
        <w:t>；</w:t>
      </w:r>
      <w:r>
        <w:rPr>
          <w:rFonts w:hint="eastAsia" w:ascii="仿宋_GB2312" w:hAnsi="宋体" w:eastAsia="仿宋_GB2312"/>
          <w:sz w:val="32"/>
          <w:szCs w:val="32"/>
        </w:rPr>
        <w:t>11月底</w:t>
      </w:r>
      <w:r>
        <w:rPr>
          <w:rFonts w:hint="eastAsia" w:ascii="仿宋_GB2312" w:hAnsi="宋体" w:eastAsia="仿宋_GB2312"/>
          <w:sz w:val="32"/>
          <w:szCs w:val="32"/>
          <w:lang w:val="en-US" w:eastAsia="zh-CN"/>
        </w:rPr>
        <w:t>前</w:t>
      </w:r>
      <w:r>
        <w:rPr>
          <w:rFonts w:hint="eastAsia" w:ascii="仿宋_GB2312" w:hAnsi="宋体" w:eastAsia="仿宋_GB2312"/>
          <w:sz w:val="32"/>
          <w:szCs w:val="32"/>
        </w:rPr>
        <w:t>完成专项规划及顶层设计的评估评审工作，并形成专项工作总结报告</w:t>
      </w:r>
      <w:r>
        <w:rPr>
          <w:rFonts w:hint="eastAsia" w:ascii="仿宋_GB2312" w:hAnsi="宋体" w:eastAsia="仿宋_GB2312"/>
          <w:sz w:val="32"/>
          <w:szCs w:val="32"/>
          <w:lang w:eastAsia="zh-CN"/>
        </w:rPr>
        <w:t>；</w:t>
      </w:r>
      <w:r>
        <w:rPr>
          <w:rFonts w:hint="eastAsia" w:ascii="仿宋_GB2312" w:hAnsi="宋体" w:eastAsia="仿宋_GB2312"/>
          <w:sz w:val="32"/>
          <w:szCs w:val="32"/>
        </w:rPr>
        <w:t>1</w:t>
      </w:r>
      <w:r>
        <w:rPr>
          <w:rFonts w:ascii="仿宋_GB2312" w:hAnsi="宋体" w:eastAsia="仿宋_GB2312"/>
          <w:sz w:val="32"/>
          <w:szCs w:val="32"/>
        </w:rPr>
        <w:t>2</w:t>
      </w:r>
      <w:r>
        <w:rPr>
          <w:rFonts w:hint="eastAsia" w:ascii="仿宋_GB2312" w:hAnsi="宋体" w:eastAsia="仿宋_GB2312"/>
          <w:sz w:val="32"/>
          <w:szCs w:val="32"/>
        </w:rPr>
        <w:t>月底</w:t>
      </w:r>
      <w:r>
        <w:rPr>
          <w:rFonts w:hint="eastAsia" w:ascii="仿宋_GB2312" w:hAnsi="宋体" w:eastAsia="仿宋_GB2312"/>
          <w:sz w:val="32"/>
          <w:szCs w:val="32"/>
          <w:lang w:val="en-US" w:eastAsia="zh-CN"/>
        </w:rPr>
        <w:t>前</w:t>
      </w:r>
      <w:r>
        <w:rPr>
          <w:rFonts w:hint="eastAsia" w:ascii="仿宋_GB2312" w:hAnsi="宋体" w:eastAsia="仿宋_GB2312"/>
          <w:sz w:val="32"/>
          <w:szCs w:val="32"/>
        </w:rPr>
        <w:t>完成</w:t>
      </w:r>
      <w:r>
        <w:rPr>
          <w:rFonts w:hint="eastAsia" w:ascii="仿宋_GB2312" w:hAnsi="宋体" w:eastAsia="仿宋_GB2312"/>
          <w:sz w:val="32"/>
          <w:szCs w:val="32"/>
          <w:lang w:val="en-US" w:eastAsia="zh-CN"/>
        </w:rPr>
        <w:t>项目</w:t>
      </w:r>
      <w:r>
        <w:rPr>
          <w:rFonts w:hint="eastAsia" w:ascii="仿宋_GB2312" w:hAnsi="宋体" w:eastAsia="仿宋_GB2312"/>
          <w:sz w:val="32"/>
          <w:szCs w:val="32"/>
        </w:rPr>
        <w:t>验收</w:t>
      </w:r>
      <w:r>
        <w:rPr>
          <w:rFonts w:hint="eastAsia" w:ascii="仿宋_GB2312" w:hAnsi="宋体" w:eastAsia="仿宋_GB2312"/>
          <w:sz w:val="32"/>
          <w:szCs w:val="32"/>
          <w:lang w:val="en-US" w:eastAsia="zh-CN"/>
        </w:rPr>
        <w:t>工作</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但</w:t>
      </w:r>
      <w:r>
        <w:rPr>
          <w:rFonts w:hint="eastAsia" w:ascii="仿宋_GB2312" w:hAnsi="宋体" w:eastAsia="仿宋_GB2312"/>
          <w:sz w:val="32"/>
          <w:szCs w:val="32"/>
        </w:rPr>
        <w:t>由于疫情原因</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项目</w:t>
      </w:r>
      <w:r>
        <w:rPr>
          <w:rFonts w:hint="eastAsia" w:ascii="仿宋_GB2312" w:hAnsi="宋体" w:eastAsia="仿宋_GB2312"/>
          <w:sz w:val="32"/>
          <w:szCs w:val="32"/>
          <w:lang w:eastAsia="zh-CN"/>
        </w:rPr>
        <w:t>实际</w:t>
      </w:r>
      <w:r>
        <w:rPr>
          <w:rFonts w:hint="eastAsia" w:ascii="仿宋_GB2312" w:hAnsi="宋体" w:eastAsia="仿宋_GB2312"/>
          <w:sz w:val="32"/>
          <w:szCs w:val="32"/>
          <w:lang w:val="en-US" w:eastAsia="zh-CN"/>
        </w:rPr>
        <w:t>执行进度</w:t>
      </w:r>
      <w:r>
        <w:rPr>
          <w:rFonts w:hint="eastAsia" w:ascii="仿宋_GB2312" w:hAnsi="宋体" w:eastAsia="仿宋_GB2312"/>
          <w:sz w:val="32"/>
          <w:szCs w:val="32"/>
          <w:lang w:eastAsia="zh-CN"/>
        </w:rPr>
        <w:t>与计划</w:t>
      </w:r>
      <w:r>
        <w:rPr>
          <w:rFonts w:hint="eastAsia" w:ascii="仿宋_GB2312" w:hAnsi="宋体" w:eastAsia="仿宋_GB2312"/>
          <w:sz w:val="32"/>
          <w:szCs w:val="32"/>
          <w:lang w:val="en-US" w:eastAsia="zh-CN"/>
        </w:rPr>
        <w:t>时间安排存在较大</w:t>
      </w:r>
      <w:r>
        <w:rPr>
          <w:rFonts w:hint="eastAsia" w:ascii="仿宋_GB2312" w:hAnsi="宋体" w:eastAsia="仿宋_GB2312"/>
          <w:sz w:val="32"/>
          <w:szCs w:val="32"/>
          <w:lang w:eastAsia="zh-CN"/>
        </w:rPr>
        <w:t>差异，</w:t>
      </w:r>
      <w:r>
        <w:rPr>
          <w:rFonts w:hint="eastAsia" w:ascii="仿宋_GB2312" w:hAnsi="宋体" w:eastAsia="仿宋_GB2312"/>
          <w:sz w:val="32"/>
          <w:szCs w:val="32"/>
          <w:lang w:val="en-US" w:eastAsia="zh-CN"/>
        </w:rPr>
        <w:t>项目实际于2022年8月启动公开招标，9月完成招标评选与结果公示，确定项目承担机构，9月底正式启动项目，目前项目仍处于实施过程中，预计于2023年9月底前完成项目验收，后续项目单位应做好工作规划，持续对项目开展情况及执行进度进行监管。</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default" w:ascii="仿宋_GB2312" w:hAnsi="宋体" w:eastAsia="仿宋_GB2312"/>
          <w:b/>
          <w:bCs/>
          <w:sz w:val="32"/>
          <w:szCs w:val="32"/>
          <w:highlight w:val="none"/>
          <w:lang w:val="en-US" w:eastAsia="zh-CN"/>
        </w:rPr>
      </w:pPr>
      <w:r>
        <w:rPr>
          <w:rFonts w:hint="eastAsia" w:ascii="仿宋_GB2312" w:hAnsi="宋体" w:eastAsia="仿宋_GB2312"/>
          <w:b/>
          <w:bCs/>
          <w:sz w:val="32"/>
          <w:szCs w:val="32"/>
          <w:highlight w:val="none"/>
          <w:lang w:val="en-US" w:eastAsia="zh-CN"/>
        </w:rPr>
        <w:t>4</w:t>
      </w:r>
      <w:r>
        <w:rPr>
          <w:rFonts w:hint="default" w:ascii="仿宋_GB2312" w:hAnsi="宋体" w:eastAsia="仿宋_GB2312"/>
          <w:b/>
          <w:bCs/>
          <w:sz w:val="32"/>
          <w:szCs w:val="32"/>
          <w:highlight w:val="none"/>
          <w:lang w:val="en-US" w:eastAsia="zh-CN"/>
        </w:rPr>
        <w:t>.产出</w:t>
      </w:r>
      <w:r>
        <w:rPr>
          <w:rFonts w:hint="eastAsia" w:ascii="仿宋_GB2312" w:hAnsi="宋体" w:eastAsia="仿宋_GB2312"/>
          <w:b/>
          <w:bCs/>
          <w:sz w:val="32"/>
          <w:szCs w:val="32"/>
          <w:highlight w:val="none"/>
          <w:lang w:val="en-US" w:eastAsia="zh-CN"/>
        </w:rPr>
        <w:t>成本</w:t>
      </w:r>
      <w:r>
        <w:rPr>
          <w:rFonts w:hint="default" w:ascii="仿宋_GB2312" w:hAnsi="宋体" w:eastAsia="仿宋_GB2312"/>
          <w:b/>
          <w:bCs/>
          <w:sz w:val="32"/>
          <w:szCs w:val="32"/>
          <w:highlight w:val="none"/>
          <w:lang w:val="en-US" w:eastAsia="zh-CN"/>
        </w:rPr>
        <w:t>完成情况</w:t>
      </w:r>
    </w:p>
    <w:p>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heme="minorBidi"/>
          <w:kern w:val="2"/>
          <w:sz w:val="32"/>
          <w:szCs w:val="32"/>
          <w:u w:val="none"/>
          <w:lang w:val="en-US" w:eastAsia="zh-CN" w:bidi="ar-SA"/>
        </w:rPr>
      </w:pPr>
      <w:r>
        <w:rPr>
          <w:rFonts w:hint="eastAsia" w:ascii="仿宋_GB2312" w:hAnsi="宋体" w:eastAsia="仿宋_GB2312" w:cstheme="minorBidi"/>
          <w:kern w:val="2"/>
          <w:sz w:val="32"/>
          <w:szCs w:val="32"/>
          <w:u w:val="none"/>
          <w:lang w:val="en-US" w:eastAsia="zh-CN" w:bidi="ar-SA"/>
        </w:rPr>
        <w:t>该项目申报预算资金422.33万元，</w:t>
      </w:r>
      <w:r>
        <w:rPr>
          <w:rFonts w:hint="eastAsia" w:ascii="仿宋_GB2312" w:hAnsi="仿宋_GB2312" w:eastAsia="仿宋_GB2312" w:cs="仿宋_GB2312"/>
          <w:kern w:val="2"/>
          <w:sz w:val="32"/>
          <w:szCs w:val="32"/>
          <w:u w:val="none"/>
          <w:lang w:val="en-US" w:eastAsia="zh-CN" w:bidi="ar-SA"/>
        </w:rPr>
        <w:t>实际批复金额42</w:t>
      </w:r>
      <w:r>
        <w:rPr>
          <w:rFonts w:hint="eastAsia" w:ascii="仿宋_GB2312" w:hAnsi="宋体" w:eastAsia="仿宋_GB2312" w:cstheme="minorBidi"/>
          <w:kern w:val="2"/>
          <w:sz w:val="32"/>
          <w:szCs w:val="32"/>
          <w:u w:val="none"/>
          <w:lang w:val="en-US" w:eastAsia="zh-CN" w:bidi="ar-SA"/>
        </w:rPr>
        <w:t>2.33万元。截至2022年12月31日，项目共计支出421万元。从项目总成本控制上看，项目实施过程中，项目单位按照从严控制的原则规范资金支出，项目总体经费支出控制在预算范围内；从单项成本控制上看，为控制各项委托业务费用支出，项目单位采用公开招标方式选定项目承担单位，各项成本均控制在预算范围内，总体成本控制情况较好。</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default" w:ascii="楷体_GB2312" w:hAnsi="楷体_GB2312" w:eastAsia="楷体_GB2312" w:cs="楷体_GB2312"/>
          <w:sz w:val="32"/>
          <w:szCs w:val="32"/>
          <w:lang w:val="en-US" w:eastAsia="zh-CN"/>
        </w:rPr>
      </w:pPr>
      <w:bookmarkStart w:id="185" w:name="_Toc30318"/>
      <w:bookmarkStart w:id="186" w:name="_Toc32750"/>
      <w:bookmarkStart w:id="187" w:name="_Toc6021"/>
      <w:bookmarkStart w:id="188" w:name="_Toc35420700"/>
      <w:bookmarkStart w:id="189" w:name="_Toc8291"/>
      <w:bookmarkStart w:id="190" w:name="_Toc1747"/>
      <w:bookmarkStart w:id="191" w:name="_Toc8114"/>
      <w:bookmarkStart w:id="192" w:name="_Toc16583"/>
      <w:bookmarkStart w:id="193" w:name="_Toc29109"/>
      <w:bookmarkStart w:id="194" w:name="_Toc26880"/>
      <w:bookmarkStart w:id="195" w:name="_Toc31875"/>
      <w:bookmarkStart w:id="196" w:name="_Toc16022"/>
      <w:bookmarkStart w:id="197" w:name="_Toc36129077"/>
      <w:bookmarkStart w:id="198" w:name="_Toc6595"/>
      <w:bookmarkStart w:id="199" w:name="_Toc6057"/>
      <w:r>
        <w:rPr>
          <w:rFonts w:hint="default" w:ascii="楷体_GB2312" w:hAnsi="楷体_GB2312" w:eastAsia="楷体_GB2312" w:cs="楷体_GB2312"/>
          <w:sz w:val="32"/>
          <w:szCs w:val="32"/>
          <w:lang w:val="en-US" w:eastAsia="zh-CN"/>
        </w:rPr>
        <w:t>（四）项目效益情况分析</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rPr>
          <w:rFonts w:eastAsia="黑体"/>
          <w:bCs/>
          <w:sz w:val="32"/>
          <w:szCs w:val="32"/>
          <w:highlight w:val="none"/>
        </w:rPr>
      </w:pPr>
      <w:r>
        <w:rPr>
          <w:rFonts w:hint="eastAsia" w:ascii="仿宋_GB2312" w:hAnsi="宋体" w:eastAsia="仿宋_GB2312" w:cstheme="minorBidi"/>
          <w:kern w:val="2"/>
          <w:sz w:val="32"/>
          <w:szCs w:val="32"/>
          <w:highlight w:val="none"/>
          <w:u w:val="none"/>
          <w:lang w:val="en-US" w:eastAsia="zh-CN" w:bidi="ar-SA"/>
        </w:rPr>
        <w:t>效益指标分值30分，下设3个二级指标，6个三级指标，绩效评价得分为23.10分，评分详见表9。</w:t>
      </w:r>
    </w:p>
    <w:p>
      <w:pPr>
        <w:keepNext w:val="0"/>
        <w:keepLines w:val="0"/>
        <w:pageBreakBefore w:val="0"/>
        <w:widowControl w:val="0"/>
        <w:shd w:val="clear"/>
        <w:kinsoku/>
        <w:wordWrap/>
        <w:overflowPunct/>
        <w:topLinePunct w:val="0"/>
        <w:autoSpaceDE/>
        <w:autoSpaceDN/>
        <w:bidi w:val="0"/>
        <w:adjustRightInd w:val="0"/>
        <w:snapToGrid w:val="0"/>
        <w:spacing w:after="156" w:afterLines="50" w:line="560" w:lineRule="exact"/>
        <w:jc w:val="center"/>
        <w:textAlignment w:val="auto"/>
        <w:rPr>
          <w:rFonts w:hint="eastAsia" w:ascii="宋体" w:hAnsi="宋体" w:eastAsia="宋体" w:cs="宋体"/>
          <w:bCs/>
          <w:sz w:val="28"/>
          <w:szCs w:val="28"/>
          <w:highlight w:val="none"/>
        </w:rPr>
      </w:pPr>
      <w:r>
        <w:rPr>
          <w:rFonts w:hint="eastAsia" w:ascii="黑体" w:hAnsi="黑体" w:eastAsia="黑体" w:cs="黑体"/>
          <w:bCs/>
          <w:sz w:val="28"/>
          <w:szCs w:val="28"/>
          <w:highlight w:val="none"/>
        </w:rPr>
        <w:t>表</w:t>
      </w:r>
      <w:r>
        <w:rPr>
          <w:rFonts w:hint="eastAsia" w:ascii="黑体" w:hAnsi="黑体" w:eastAsia="黑体" w:cs="黑体"/>
          <w:bCs/>
          <w:sz w:val="28"/>
          <w:szCs w:val="28"/>
          <w:highlight w:val="none"/>
          <w:lang w:val="en-US" w:eastAsia="zh-CN"/>
        </w:rPr>
        <w:t>9</w:t>
      </w:r>
      <w:r>
        <w:rPr>
          <w:rFonts w:hint="eastAsia" w:ascii="黑体" w:hAnsi="黑体" w:eastAsia="黑体" w:cs="黑体"/>
          <w:color w:val="000000"/>
          <w:kern w:val="0"/>
          <w:sz w:val="28"/>
          <w:szCs w:val="28"/>
          <w:highlight w:val="none"/>
        </w:rPr>
        <w:t xml:space="preserve"> </w:t>
      </w:r>
      <w:r>
        <w:rPr>
          <w:rFonts w:hint="eastAsia" w:ascii="黑体" w:hAnsi="黑体" w:eastAsia="黑体" w:cs="黑体"/>
          <w:bCs/>
          <w:sz w:val="28"/>
          <w:szCs w:val="28"/>
          <w:highlight w:val="none"/>
        </w:rPr>
        <w:t>项目效益指标设定及评分情况表</w:t>
      </w:r>
    </w:p>
    <w:tbl>
      <w:tblPr>
        <w:tblStyle w:val="8"/>
        <w:tblW w:w="900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9"/>
        <w:gridCol w:w="1387"/>
        <w:gridCol w:w="3905"/>
        <w:gridCol w:w="845"/>
        <w:gridCol w:w="813"/>
        <w:gridCol w:w="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tblHeader/>
          <w:jc w:val="center"/>
        </w:trPr>
        <w:tc>
          <w:tcPr>
            <w:tcW w:w="1139" w:type="dxa"/>
            <w:shd w:val="clear" w:color="auto" w:fill="96B4E1" w:themeFill="background1" w:themeFillShade="BF"/>
            <w:vAlign w:val="center"/>
          </w:tcPr>
          <w:p>
            <w:pPr>
              <w:adjustRightInd w:val="0"/>
              <w:snapToGrid w:val="0"/>
              <w:jc w:val="center"/>
              <w:rPr>
                <w:rFonts w:hint="eastAsia" w:ascii="宋体" w:hAnsi="宋体" w:eastAsia="宋体" w:cs="宋体"/>
                <w:b/>
                <w:sz w:val="22"/>
                <w:szCs w:val="22"/>
              </w:rPr>
            </w:pPr>
            <w:r>
              <w:rPr>
                <w:rFonts w:hint="eastAsia" w:ascii="宋体" w:hAnsi="宋体" w:eastAsia="宋体" w:cs="宋体"/>
                <w:b/>
                <w:sz w:val="22"/>
                <w:szCs w:val="22"/>
              </w:rPr>
              <w:t>一级指标</w:t>
            </w:r>
          </w:p>
        </w:tc>
        <w:tc>
          <w:tcPr>
            <w:tcW w:w="1387" w:type="dxa"/>
            <w:shd w:val="clear" w:color="auto" w:fill="96B4E1" w:themeFill="background1" w:themeFillShade="BF"/>
            <w:vAlign w:val="center"/>
          </w:tcPr>
          <w:p>
            <w:pPr>
              <w:jc w:val="center"/>
              <w:rPr>
                <w:rFonts w:hint="eastAsia" w:ascii="宋体" w:hAnsi="宋体" w:eastAsia="宋体" w:cs="宋体"/>
                <w:b/>
                <w:sz w:val="22"/>
                <w:szCs w:val="22"/>
              </w:rPr>
            </w:pPr>
            <w:r>
              <w:rPr>
                <w:rFonts w:hint="eastAsia" w:ascii="宋体" w:hAnsi="宋体" w:eastAsia="宋体" w:cs="宋体"/>
                <w:b/>
                <w:sz w:val="22"/>
                <w:szCs w:val="22"/>
              </w:rPr>
              <w:t>二级指标</w:t>
            </w:r>
          </w:p>
        </w:tc>
        <w:tc>
          <w:tcPr>
            <w:tcW w:w="3905" w:type="dxa"/>
            <w:shd w:val="clear" w:color="auto" w:fill="96B4E1" w:themeFill="background1" w:themeFillShade="BF"/>
            <w:vAlign w:val="center"/>
          </w:tcPr>
          <w:p>
            <w:pPr>
              <w:jc w:val="center"/>
              <w:rPr>
                <w:rFonts w:hint="eastAsia" w:ascii="宋体" w:hAnsi="宋体" w:eastAsia="宋体" w:cs="宋体"/>
                <w:b/>
                <w:sz w:val="22"/>
                <w:szCs w:val="22"/>
              </w:rPr>
            </w:pPr>
            <w:r>
              <w:rPr>
                <w:rFonts w:hint="eastAsia" w:ascii="宋体" w:hAnsi="宋体" w:eastAsia="宋体" w:cs="宋体"/>
                <w:b/>
                <w:sz w:val="22"/>
                <w:szCs w:val="22"/>
              </w:rPr>
              <w:t>三级指标</w:t>
            </w:r>
          </w:p>
        </w:tc>
        <w:tc>
          <w:tcPr>
            <w:tcW w:w="845" w:type="dxa"/>
            <w:shd w:val="clear" w:color="auto" w:fill="96B4E1" w:themeFill="background1" w:themeFillShade="BF"/>
            <w:vAlign w:val="center"/>
          </w:tcPr>
          <w:p>
            <w:pPr>
              <w:jc w:val="center"/>
              <w:rPr>
                <w:rFonts w:hint="eastAsia" w:ascii="宋体" w:hAnsi="宋体" w:eastAsia="宋体" w:cs="宋体"/>
                <w:b/>
                <w:sz w:val="22"/>
                <w:szCs w:val="22"/>
              </w:rPr>
            </w:pPr>
            <w:r>
              <w:rPr>
                <w:rFonts w:hint="eastAsia" w:ascii="宋体" w:hAnsi="宋体" w:eastAsia="宋体" w:cs="宋体"/>
                <w:b/>
                <w:sz w:val="22"/>
                <w:szCs w:val="22"/>
              </w:rPr>
              <w:t>分值</w:t>
            </w:r>
          </w:p>
        </w:tc>
        <w:tc>
          <w:tcPr>
            <w:tcW w:w="813" w:type="dxa"/>
            <w:shd w:val="clear" w:color="auto" w:fill="96B4E1" w:themeFill="background1" w:themeFillShade="BF"/>
            <w:vAlign w:val="center"/>
          </w:tcPr>
          <w:p>
            <w:pPr>
              <w:jc w:val="center"/>
              <w:rPr>
                <w:rFonts w:hint="eastAsia" w:ascii="宋体" w:hAnsi="宋体" w:eastAsia="宋体" w:cs="宋体"/>
                <w:b/>
                <w:sz w:val="22"/>
                <w:szCs w:val="22"/>
              </w:rPr>
            </w:pPr>
            <w:r>
              <w:rPr>
                <w:rFonts w:hint="eastAsia" w:ascii="宋体" w:hAnsi="宋体" w:eastAsia="宋体" w:cs="宋体"/>
                <w:b/>
                <w:sz w:val="22"/>
                <w:szCs w:val="22"/>
              </w:rPr>
              <w:t>得分</w:t>
            </w:r>
          </w:p>
        </w:tc>
        <w:tc>
          <w:tcPr>
            <w:tcW w:w="912" w:type="dxa"/>
            <w:shd w:val="clear" w:color="auto" w:fill="96B4E1" w:themeFill="background1" w:themeFillShade="BF"/>
            <w:vAlign w:val="center"/>
          </w:tcPr>
          <w:p>
            <w:pPr>
              <w:jc w:val="center"/>
              <w:rPr>
                <w:rFonts w:hint="eastAsia" w:ascii="宋体" w:hAnsi="宋体" w:eastAsia="宋体" w:cs="宋体"/>
                <w:b/>
                <w:sz w:val="22"/>
                <w:szCs w:val="22"/>
              </w:rPr>
            </w:pPr>
            <w:r>
              <w:rPr>
                <w:rFonts w:hint="eastAsia" w:ascii="宋体" w:hAnsi="宋体" w:eastAsia="宋体" w:cs="宋体"/>
                <w:b/>
                <w:sz w:val="22"/>
                <w:szCs w:val="22"/>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139" w:type="dxa"/>
            <w:vMerge w:val="restart"/>
            <w:vAlign w:val="center"/>
          </w:tcPr>
          <w:p>
            <w:pPr>
              <w:jc w:val="center"/>
              <w:rPr>
                <w:rFonts w:hint="eastAsia" w:ascii="宋体" w:hAnsi="宋体" w:eastAsia="宋体" w:cs="宋体"/>
                <w:sz w:val="22"/>
                <w:szCs w:val="22"/>
              </w:rPr>
            </w:pPr>
            <w:r>
              <w:rPr>
                <w:rFonts w:hint="eastAsia" w:ascii="宋体" w:hAnsi="宋体" w:eastAsia="宋体" w:cs="宋体"/>
                <w:sz w:val="22"/>
                <w:szCs w:val="22"/>
              </w:rPr>
              <w:t>效益</w:t>
            </w:r>
          </w:p>
          <w:p>
            <w:pPr>
              <w:jc w:val="both"/>
              <w:rPr>
                <w:rFonts w:hint="eastAsia" w:ascii="宋体" w:hAnsi="宋体" w:eastAsia="宋体" w:cs="宋体"/>
                <w:sz w:val="22"/>
                <w:szCs w:val="22"/>
              </w:rPr>
            </w:pPr>
            <w:r>
              <w:rPr>
                <w:rFonts w:hint="eastAsia" w:ascii="宋体" w:hAnsi="宋体" w:eastAsia="宋体" w:cs="宋体"/>
                <w:sz w:val="22"/>
                <w:szCs w:val="22"/>
                <w:lang w:eastAsia="zh-CN"/>
              </w:rPr>
              <w:t>（</w:t>
            </w:r>
            <w:r>
              <w:rPr>
                <w:rFonts w:hint="eastAsia" w:ascii="宋体" w:hAnsi="宋体" w:eastAsia="宋体" w:cs="宋体"/>
                <w:sz w:val="22"/>
                <w:szCs w:val="22"/>
              </w:rPr>
              <w:t>30分）</w:t>
            </w:r>
          </w:p>
        </w:tc>
        <w:tc>
          <w:tcPr>
            <w:tcW w:w="1387" w:type="dxa"/>
            <w:vMerge w:val="restart"/>
            <w:vAlign w:val="center"/>
          </w:tcPr>
          <w:p>
            <w:pPr>
              <w:jc w:val="center"/>
              <w:rPr>
                <w:rFonts w:hint="eastAsia" w:ascii="宋体" w:hAnsi="宋体" w:eastAsia="宋体" w:cs="宋体"/>
                <w:sz w:val="22"/>
                <w:szCs w:val="22"/>
              </w:rPr>
            </w:pPr>
            <w:r>
              <w:rPr>
                <w:rFonts w:hint="eastAsia" w:ascii="宋体" w:hAnsi="宋体" w:eastAsia="宋体" w:cs="宋体"/>
                <w:sz w:val="22"/>
                <w:szCs w:val="22"/>
              </w:rPr>
              <w:t>社会效益</w:t>
            </w:r>
          </w:p>
          <w:p>
            <w:pPr>
              <w:jc w:val="center"/>
              <w:rPr>
                <w:rFonts w:hint="eastAsia" w:ascii="宋体" w:hAnsi="宋体" w:eastAsia="宋体" w:cs="宋体"/>
                <w:sz w:val="22"/>
                <w:szCs w:val="22"/>
              </w:rPr>
            </w:pPr>
            <w:r>
              <w:rPr>
                <w:rFonts w:hint="eastAsia" w:ascii="宋体" w:hAnsi="宋体" w:eastAsia="宋体" w:cs="宋体"/>
                <w:sz w:val="22"/>
                <w:szCs w:val="22"/>
              </w:rPr>
              <w:t>（</w:t>
            </w:r>
            <w:r>
              <w:rPr>
                <w:rFonts w:hint="eastAsia" w:ascii="宋体" w:hAnsi="宋体" w:eastAsia="宋体" w:cs="宋体"/>
                <w:sz w:val="22"/>
                <w:szCs w:val="22"/>
                <w:lang w:val="en-US" w:eastAsia="zh-CN"/>
              </w:rPr>
              <w:t>7.5</w:t>
            </w:r>
            <w:r>
              <w:rPr>
                <w:rFonts w:hint="eastAsia" w:ascii="宋体" w:hAnsi="宋体" w:eastAsia="宋体" w:cs="宋体"/>
                <w:sz w:val="22"/>
                <w:szCs w:val="22"/>
              </w:rPr>
              <w:t>分）</w:t>
            </w:r>
          </w:p>
        </w:tc>
        <w:tc>
          <w:tcPr>
            <w:tcW w:w="3905" w:type="dxa"/>
            <w:vAlign w:val="center"/>
          </w:tcPr>
          <w:p>
            <w:pPr>
              <w:jc w:val="center"/>
              <w:rPr>
                <w:rFonts w:hint="eastAsia" w:ascii="宋体" w:hAnsi="宋体" w:eastAsia="宋体" w:cs="宋体"/>
                <w:sz w:val="22"/>
                <w:szCs w:val="22"/>
              </w:rPr>
            </w:pPr>
            <w:r>
              <w:rPr>
                <w:rFonts w:hint="eastAsia" w:ascii="宋体" w:hAnsi="宋体" w:eastAsia="宋体" w:cs="宋体"/>
                <w:sz w:val="22"/>
                <w:szCs w:val="22"/>
              </w:rPr>
              <w:t>提升智慧城市建设的精细化管理水平</w:t>
            </w:r>
          </w:p>
        </w:tc>
        <w:tc>
          <w:tcPr>
            <w:tcW w:w="845" w:type="dxa"/>
            <w:vAlign w:val="center"/>
          </w:tcPr>
          <w:p>
            <w:pPr>
              <w:jc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2.50</w:t>
            </w:r>
          </w:p>
        </w:tc>
        <w:tc>
          <w:tcPr>
            <w:tcW w:w="813" w:type="dxa"/>
            <w:vAlign w:val="center"/>
          </w:tcPr>
          <w:p>
            <w:pPr>
              <w:widowControl/>
              <w:jc w:val="center"/>
              <w:textAlignment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2.30</w:t>
            </w:r>
          </w:p>
        </w:tc>
        <w:tc>
          <w:tcPr>
            <w:tcW w:w="912" w:type="dxa"/>
            <w:vAlign w:val="center"/>
          </w:tcPr>
          <w:p>
            <w:pPr>
              <w:keepNext w:val="0"/>
              <w:keepLines w:val="0"/>
              <w:widowControl/>
              <w:suppressLineNumbers w:val="0"/>
              <w:jc w:val="center"/>
              <w:textAlignment w:val="center"/>
              <w:rPr>
                <w:rFonts w:hint="eastAsia" w:ascii="宋体" w:hAnsi="宋体" w:eastAsia="宋体" w:cs="宋体"/>
                <w:sz w:val="22"/>
                <w:szCs w:val="22"/>
              </w:rPr>
            </w:pPr>
            <w:r>
              <w:rPr>
                <w:rFonts w:hint="eastAsia" w:ascii="宋体" w:hAnsi="宋体" w:eastAsia="宋体" w:cs="宋体"/>
                <w:i w:val="0"/>
                <w:iCs w:val="0"/>
                <w:color w:val="000000"/>
                <w:kern w:val="0"/>
                <w:sz w:val="22"/>
                <w:szCs w:val="22"/>
                <w:u w:val="none"/>
                <w:lang w:val="en-US" w:eastAsia="zh-CN" w:bidi="ar"/>
              </w:rPr>
              <w:t>92.00%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jc w:val="center"/>
        </w:trPr>
        <w:tc>
          <w:tcPr>
            <w:tcW w:w="1139" w:type="dxa"/>
            <w:vMerge w:val="continue"/>
            <w:vAlign w:val="center"/>
          </w:tcPr>
          <w:p>
            <w:pPr>
              <w:jc w:val="center"/>
              <w:rPr>
                <w:rFonts w:hint="eastAsia" w:ascii="宋体" w:hAnsi="宋体" w:eastAsia="宋体" w:cs="宋体"/>
                <w:sz w:val="22"/>
                <w:szCs w:val="22"/>
              </w:rPr>
            </w:pPr>
          </w:p>
        </w:tc>
        <w:tc>
          <w:tcPr>
            <w:tcW w:w="1387" w:type="dxa"/>
            <w:vMerge w:val="continue"/>
            <w:vAlign w:val="center"/>
          </w:tcPr>
          <w:p>
            <w:pPr>
              <w:jc w:val="center"/>
              <w:rPr>
                <w:rFonts w:hint="eastAsia" w:ascii="宋体" w:hAnsi="宋体" w:eastAsia="宋体" w:cs="宋体"/>
                <w:sz w:val="22"/>
                <w:szCs w:val="22"/>
              </w:rPr>
            </w:pPr>
          </w:p>
        </w:tc>
        <w:tc>
          <w:tcPr>
            <w:tcW w:w="3905" w:type="dxa"/>
            <w:vAlign w:val="center"/>
          </w:tcPr>
          <w:p>
            <w:pPr>
              <w:jc w:val="center"/>
              <w:rPr>
                <w:rFonts w:hint="eastAsia" w:ascii="宋体" w:hAnsi="宋体" w:eastAsia="宋体" w:cs="宋体"/>
                <w:sz w:val="22"/>
                <w:szCs w:val="22"/>
              </w:rPr>
            </w:pPr>
            <w:r>
              <w:rPr>
                <w:rFonts w:hint="eastAsia" w:ascii="宋体" w:hAnsi="宋体" w:eastAsia="宋体" w:cs="宋体"/>
                <w:sz w:val="22"/>
                <w:szCs w:val="22"/>
              </w:rPr>
              <w:t>有效规避重复建设，进一步推进工作协同与数据共享。</w:t>
            </w:r>
          </w:p>
        </w:tc>
        <w:tc>
          <w:tcPr>
            <w:tcW w:w="845" w:type="dxa"/>
            <w:vAlign w:val="center"/>
          </w:tcPr>
          <w:p>
            <w:pPr>
              <w:jc w:val="center"/>
              <w:rPr>
                <w:rFonts w:hint="default" w:ascii="宋体" w:hAnsi="宋体" w:eastAsia="宋体" w:cs="宋体"/>
                <w:sz w:val="22"/>
                <w:szCs w:val="22"/>
                <w:lang w:val="en-US"/>
              </w:rPr>
            </w:pPr>
            <w:r>
              <w:rPr>
                <w:rFonts w:hint="eastAsia" w:ascii="宋体" w:hAnsi="宋体" w:eastAsia="宋体" w:cs="宋体"/>
                <w:sz w:val="22"/>
                <w:szCs w:val="22"/>
                <w:lang w:val="en-US" w:eastAsia="zh-CN"/>
              </w:rPr>
              <w:t>2.50</w:t>
            </w:r>
          </w:p>
        </w:tc>
        <w:tc>
          <w:tcPr>
            <w:tcW w:w="813" w:type="dxa"/>
            <w:vAlign w:val="center"/>
          </w:tcPr>
          <w:p>
            <w:pPr>
              <w:widowControl/>
              <w:jc w:val="center"/>
              <w:textAlignment w:val="center"/>
              <w:rPr>
                <w:rFonts w:hint="default" w:ascii="宋体" w:hAnsi="宋体" w:eastAsia="宋体" w:cs="宋体"/>
                <w:sz w:val="22"/>
                <w:szCs w:val="22"/>
                <w:lang w:val="en-US"/>
              </w:rPr>
            </w:pPr>
            <w:r>
              <w:rPr>
                <w:rFonts w:hint="eastAsia" w:ascii="宋体" w:hAnsi="宋体" w:eastAsia="宋体" w:cs="宋体"/>
                <w:sz w:val="22"/>
                <w:szCs w:val="22"/>
                <w:lang w:val="en-US" w:eastAsia="zh-CN"/>
              </w:rPr>
              <w:t>2.30</w:t>
            </w:r>
          </w:p>
        </w:tc>
        <w:tc>
          <w:tcPr>
            <w:tcW w:w="912" w:type="dxa"/>
            <w:vAlign w:val="center"/>
          </w:tcPr>
          <w:p>
            <w:pPr>
              <w:keepNext w:val="0"/>
              <w:keepLines w:val="0"/>
              <w:widowControl/>
              <w:suppressLineNumbers w:val="0"/>
              <w:jc w:val="center"/>
              <w:textAlignment w:val="center"/>
              <w:rPr>
                <w:rFonts w:hint="eastAsia" w:ascii="宋体" w:hAnsi="宋体" w:eastAsia="宋体" w:cs="宋体"/>
                <w:sz w:val="22"/>
                <w:szCs w:val="22"/>
              </w:rPr>
            </w:pPr>
            <w:r>
              <w:rPr>
                <w:rFonts w:hint="eastAsia" w:ascii="宋体" w:hAnsi="宋体" w:eastAsia="宋体" w:cs="宋体"/>
                <w:i w:val="0"/>
                <w:iCs w:val="0"/>
                <w:color w:val="000000"/>
                <w:kern w:val="0"/>
                <w:sz w:val="22"/>
                <w:szCs w:val="22"/>
                <w:u w:val="none"/>
                <w:lang w:val="en-US" w:eastAsia="zh-CN" w:bidi="ar"/>
              </w:rPr>
              <w:t>92.00%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jc w:val="center"/>
        </w:trPr>
        <w:tc>
          <w:tcPr>
            <w:tcW w:w="1139" w:type="dxa"/>
            <w:vMerge w:val="continue"/>
            <w:vAlign w:val="center"/>
          </w:tcPr>
          <w:p>
            <w:pPr>
              <w:jc w:val="center"/>
              <w:rPr>
                <w:rFonts w:hint="eastAsia" w:ascii="宋体" w:hAnsi="宋体" w:eastAsia="宋体" w:cs="宋体"/>
                <w:sz w:val="22"/>
                <w:szCs w:val="22"/>
              </w:rPr>
            </w:pPr>
          </w:p>
        </w:tc>
        <w:tc>
          <w:tcPr>
            <w:tcW w:w="1387" w:type="dxa"/>
            <w:vMerge w:val="continue"/>
            <w:vAlign w:val="center"/>
          </w:tcPr>
          <w:p>
            <w:pPr>
              <w:jc w:val="center"/>
              <w:rPr>
                <w:rFonts w:hint="eastAsia" w:ascii="宋体" w:hAnsi="宋体" w:eastAsia="宋体" w:cs="宋体"/>
                <w:sz w:val="22"/>
                <w:szCs w:val="22"/>
              </w:rPr>
            </w:pPr>
          </w:p>
        </w:tc>
        <w:tc>
          <w:tcPr>
            <w:tcW w:w="3905" w:type="dxa"/>
            <w:vAlign w:val="center"/>
          </w:tcPr>
          <w:p>
            <w:pPr>
              <w:jc w:val="center"/>
              <w:rPr>
                <w:rFonts w:hint="eastAsia" w:ascii="宋体" w:hAnsi="宋体" w:eastAsia="宋体" w:cs="宋体"/>
                <w:sz w:val="22"/>
                <w:szCs w:val="22"/>
              </w:rPr>
            </w:pPr>
            <w:r>
              <w:rPr>
                <w:rFonts w:hint="eastAsia" w:ascii="宋体" w:hAnsi="宋体" w:eastAsia="宋体" w:cs="宋体"/>
                <w:sz w:val="22"/>
                <w:szCs w:val="22"/>
              </w:rPr>
              <w:t>有效提升智慧城市专项规划评审、顶层设计评审等工作的专业化水平。</w:t>
            </w:r>
          </w:p>
        </w:tc>
        <w:tc>
          <w:tcPr>
            <w:tcW w:w="845" w:type="dxa"/>
            <w:vAlign w:val="center"/>
          </w:tcPr>
          <w:p>
            <w:pPr>
              <w:jc w:val="center"/>
              <w:rPr>
                <w:rFonts w:hint="default" w:ascii="宋体" w:hAnsi="宋体" w:eastAsia="宋体" w:cs="宋体"/>
                <w:kern w:val="2"/>
                <w:sz w:val="22"/>
                <w:szCs w:val="22"/>
                <w:u w:val="none"/>
                <w:lang w:val="en-US" w:eastAsia="zh-CN" w:bidi="ar-SA"/>
              </w:rPr>
            </w:pPr>
            <w:r>
              <w:rPr>
                <w:rFonts w:hint="eastAsia" w:ascii="宋体" w:hAnsi="宋体" w:eastAsia="宋体" w:cs="宋体"/>
                <w:sz w:val="22"/>
                <w:szCs w:val="22"/>
                <w:lang w:val="en-US" w:eastAsia="zh-CN"/>
              </w:rPr>
              <w:t>2.50</w:t>
            </w:r>
          </w:p>
        </w:tc>
        <w:tc>
          <w:tcPr>
            <w:tcW w:w="813" w:type="dxa"/>
            <w:vAlign w:val="center"/>
          </w:tcPr>
          <w:p>
            <w:pPr>
              <w:widowControl/>
              <w:jc w:val="center"/>
              <w:textAlignment w:val="center"/>
              <w:rPr>
                <w:rFonts w:hint="default" w:ascii="宋体" w:hAnsi="宋体" w:eastAsia="宋体" w:cs="宋体"/>
                <w:kern w:val="2"/>
                <w:sz w:val="22"/>
                <w:szCs w:val="22"/>
                <w:u w:val="none"/>
                <w:lang w:val="en-US" w:eastAsia="zh-CN" w:bidi="ar-SA"/>
              </w:rPr>
            </w:pPr>
            <w:r>
              <w:rPr>
                <w:rFonts w:hint="eastAsia" w:ascii="宋体" w:hAnsi="宋体" w:eastAsia="宋体" w:cs="宋体"/>
                <w:sz w:val="22"/>
                <w:szCs w:val="22"/>
                <w:lang w:val="en-US" w:eastAsia="zh-CN"/>
              </w:rPr>
              <w:t>2.20</w:t>
            </w:r>
          </w:p>
        </w:tc>
        <w:tc>
          <w:tcPr>
            <w:tcW w:w="912" w:type="dxa"/>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i w:val="0"/>
                <w:iCs w:val="0"/>
                <w:color w:val="000000"/>
                <w:kern w:val="0"/>
                <w:sz w:val="22"/>
                <w:szCs w:val="22"/>
                <w:u w:val="none"/>
                <w:lang w:val="en-US" w:eastAsia="zh-CN" w:bidi="ar"/>
              </w:rPr>
              <w:t>88.00%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jc w:val="center"/>
        </w:trPr>
        <w:tc>
          <w:tcPr>
            <w:tcW w:w="1139" w:type="dxa"/>
            <w:vMerge w:val="continue"/>
            <w:vAlign w:val="center"/>
          </w:tcPr>
          <w:p>
            <w:pPr>
              <w:jc w:val="center"/>
              <w:rPr>
                <w:rFonts w:hint="eastAsia" w:ascii="宋体" w:hAnsi="宋体" w:eastAsia="宋体" w:cs="宋体"/>
                <w:sz w:val="22"/>
                <w:szCs w:val="22"/>
              </w:rPr>
            </w:pPr>
          </w:p>
        </w:tc>
        <w:tc>
          <w:tcPr>
            <w:tcW w:w="1387" w:type="dxa"/>
            <w:vAlign w:val="center"/>
          </w:tcPr>
          <w:p>
            <w:pPr>
              <w:jc w:val="center"/>
              <w:rPr>
                <w:rFonts w:hint="eastAsia" w:ascii="宋体" w:hAnsi="宋体" w:eastAsia="宋体" w:cs="宋体"/>
                <w:sz w:val="22"/>
                <w:szCs w:val="22"/>
              </w:rPr>
            </w:pPr>
            <w:r>
              <w:rPr>
                <w:rFonts w:hint="eastAsia" w:ascii="宋体" w:hAnsi="宋体" w:eastAsia="宋体" w:cs="宋体"/>
                <w:sz w:val="22"/>
                <w:szCs w:val="22"/>
              </w:rPr>
              <w:t>可持续影响</w:t>
            </w:r>
          </w:p>
          <w:p>
            <w:pPr>
              <w:jc w:val="center"/>
              <w:rPr>
                <w:rFonts w:hint="eastAsia" w:ascii="宋体" w:hAnsi="宋体" w:eastAsia="宋体" w:cs="宋体"/>
                <w:sz w:val="22"/>
                <w:szCs w:val="22"/>
              </w:rPr>
            </w:pPr>
            <w:r>
              <w:rPr>
                <w:rFonts w:hint="eastAsia" w:ascii="宋体" w:hAnsi="宋体" w:eastAsia="宋体" w:cs="宋体"/>
                <w:sz w:val="22"/>
                <w:szCs w:val="22"/>
              </w:rPr>
              <w:t>（</w:t>
            </w:r>
            <w:r>
              <w:rPr>
                <w:rFonts w:hint="eastAsia" w:ascii="宋体" w:hAnsi="宋体" w:eastAsia="宋体" w:cs="宋体"/>
                <w:sz w:val="22"/>
                <w:szCs w:val="22"/>
                <w:lang w:val="en-US" w:eastAsia="zh-CN"/>
              </w:rPr>
              <w:t>2.5</w:t>
            </w:r>
            <w:r>
              <w:rPr>
                <w:rFonts w:hint="eastAsia" w:ascii="宋体" w:hAnsi="宋体" w:eastAsia="宋体" w:cs="宋体"/>
                <w:sz w:val="22"/>
                <w:szCs w:val="22"/>
              </w:rPr>
              <w:t>分）</w:t>
            </w:r>
          </w:p>
        </w:tc>
        <w:tc>
          <w:tcPr>
            <w:tcW w:w="3905" w:type="dxa"/>
            <w:vAlign w:val="center"/>
          </w:tcPr>
          <w:p>
            <w:pPr>
              <w:jc w:val="center"/>
              <w:rPr>
                <w:rFonts w:hint="eastAsia" w:ascii="宋体" w:hAnsi="宋体" w:eastAsia="宋体" w:cs="宋体"/>
                <w:sz w:val="22"/>
                <w:szCs w:val="22"/>
              </w:rPr>
            </w:pPr>
            <w:r>
              <w:rPr>
                <w:rFonts w:hint="eastAsia" w:ascii="宋体" w:hAnsi="宋体" w:eastAsia="宋体" w:cs="宋体"/>
                <w:sz w:val="22"/>
                <w:szCs w:val="22"/>
              </w:rPr>
              <w:t>协助建立持续迭代的四级智慧城市规划设计管控体系，高效统筹全市智慧城市建设。</w:t>
            </w:r>
          </w:p>
        </w:tc>
        <w:tc>
          <w:tcPr>
            <w:tcW w:w="845" w:type="dxa"/>
            <w:vAlign w:val="center"/>
          </w:tcPr>
          <w:p>
            <w:pPr>
              <w:jc w:val="center"/>
              <w:rPr>
                <w:rFonts w:hint="default" w:ascii="宋体" w:hAnsi="宋体" w:eastAsia="宋体" w:cs="宋体"/>
                <w:sz w:val="22"/>
                <w:szCs w:val="22"/>
                <w:lang w:val="en-US"/>
              </w:rPr>
            </w:pPr>
            <w:r>
              <w:rPr>
                <w:rFonts w:hint="eastAsia" w:ascii="宋体" w:hAnsi="宋体" w:eastAsia="宋体" w:cs="宋体"/>
                <w:sz w:val="22"/>
                <w:szCs w:val="22"/>
                <w:lang w:val="en-US" w:eastAsia="zh-CN"/>
              </w:rPr>
              <w:t>2.50</w:t>
            </w:r>
          </w:p>
        </w:tc>
        <w:tc>
          <w:tcPr>
            <w:tcW w:w="813" w:type="dxa"/>
            <w:vAlign w:val="center"/>
          </w:tcPr>
          <w:p>
            <w:pPr>
              <w:widowControl/>
              <w:jc w:val="center"/>
              <w:textAlignment w:val="center"/>
              <w:rPr>
                <w:rFonts w:hint="default" w:ascii="宋体" w:hAnsi="宋体" w:eastAsia="宋体" w:cs="宋体"/>
                <w:sz w:val="22"/>
                <w:szCs w:val="22"/>
                <w:lang w:val="en-US"/>
              </w:rPr>
            </w:pPr>
            <w:r>
              <w:rPr>
                <w:rFonts w:hint="eastAsia" w:ascii="宋体" w:hAnsi="宋体" w:eastAsia="宋体" w:cs="宋体"/>
                <w:sz w:val="22"/>
                <w:szCs w:val="22"/>
                <w:lang w:val="en-US" w:eastAsia="zh-CN"/>
              </w:rPr>
              <w:t>2.30</w:t>
            </w:r>
          </w:p>
        </w:tc>
        <w:tc>
          <w:tcPr>
            <w:tcW w:w="912" w:type="dxa"/>
            <w:vAlign w:val="center"/>
          </w:tcPr>
          <w:p>
            <w:pPr>
              <w:keepNext w:val="0"/>
              <w:keepLines w:val="0"/>
              <w:widowControl/>
              <w:suppressLineNumbers w:val="0"/>
              <w:jc w:val="center"/>
              <w:textAlignment w:val="center"/>
              <w:rPr>
                <w:rFonts w:hint="eastAsia" w:ascii="宋体" w:hAnsi="宋体" w:eastAsia="宋体" w:cs="宋体"/>
                <w:sz w:val="22"/>
                <w:szCs w:val="22"/>
              </w:rPr>
            </w:pPr>
            <w:r>
              <w:rPr>
                <w:rFonts w:hint="eastAsia" w:ascii="宋体" w:hAnsi="宋体" w:eastAsia="宋体" w:cs="宋体"/>
                <w:i w:val="0"/>
                <w:iCs w:val="0"/>
                <w:color w:val="000000"/>
                <w:kern w:val="0"/>
                <w:sz w:val="22"/>
                <w:szCs w:val="22"/>
                <w:u w:val="none"/>
                <w:lang w:val="en-US" w:eastAsia="zh-CN" w:bidi="ar"/>
              </w:rPr>
              <w:t>92.00%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1139" w:type="dxa"/>
            <w:vMerge w:val="continue"/>
            <w:vAlign w:val="center"/>
          </w:tcPr>
          <w:p>
            <w:pPr>
              <w:jc w:val="center"/>
              <w:rPr>
                <w:rFonts w:hint="eastAsia" w:ascii="宋体" w:hAnsi="宋体" w:eastAsia="宋体" w:cs="宋体"/>
                <w:sz w:val="22"/>
                <w:szCs w:val="22"/>
              </w:rPr>
            </w:pPr>
          </w:p>
        </w:tc>
        <w:tc>
          <w:tcPr>
            <w:tcW w:w="1387" w:type="dxa"/>
            <w:vMerge w:val="restart"/>
            <w:vAlign w:val="center"/>
          </w:tcPr>
          <w:p>
            <w:pPr>
              <w:jc w:val="center"/>
              <w:rPr>
                <w:rFonts w:hint="eastAsia" w:ascii="宋体" w:hAnsi="宋体" w:eastAsia="宋体" w:cs="宋体"/>
                <w:sz w:val="22"/>
                <w:szCs w:val="22"/>
              </w:rPr>
            </w:pPr>
            <w:r>
              <w:rPr>
                <w:rFonts w:hint="eastAsia" w:ascii="宋体" w:hAnsi="宋体" w:eastAsia="宋体" w:cs="宋体"/>
                <w:sz w:val="22"/>
                <w:szCs w:val="22"/>
              </w:rPr>
              <w:t>满意度</w:t>
            </w:r>
          </w:p>
          <w:p>
            <w:pPr>
              <w:jc w:val="center"/>
              <w:rPr>
                <w:rFonts w:hint="eastAsia" w:ascii="宋体" w:hAnsi="宋体" w:eastAsia="宋体" w:cs="宋体"/>
                <w:sz w:val="22"/>
                <w:szCs w:val="22"/>
              </w:rPr>
            </w:pPr>
            <w:r>
              <w:rPr>
                <w:rFonts w:hint="eastAsia" w:ascii="宋体" w:hAnsi="宋体" w:eastAsia="宋体" w:cs="宋体"/>
                <w:sz w:val="22"/>
                <w:szCs w:val="22"/>
              </w:rPr>
              <w:t>（</w:t>
            </w:r>
            <w:r>
              <w:rPr>
                <w:rFonts w:hint="eastAsia" w:ascii="宋体" w:hAnsi="宋体" w:eastAsia="宋体" w:cs="宋体"/>
                <w:sz w:val="22"/>
                <w:szCs w:val="22"/>
                <w:lang w:val="en-US" w:eastAsia="zh-CN"/>
              </w:rPr>
              <w:t>2</w:t>
            </w:r>
            <w:r>
              <w:rPr>
                <w:rFonts w:hint="eastAsia" w:ascii="宋体" w:hAnsi="宋体" w:eastAsia="宋体" w:cs="宋体"/>
                <w:sz w:val="22"/>
                <w:szCs w:val="22"/>
              </w:rPr>
              <w:t>0分）</w:t>
            </w:r>
          </w:p>
        </w:tc>
        <w:tc>
          <w:tcPr>
            <w:tcW w:w="3905" w:type="dxa"/>
            <w:vAlign w:val="center"/>
          </w:tcPr>
          <w:p>
            <w:pPr>
              <w:jc w:val="center"/>
              <w:rPr>
                <w:rFonts w:hint="eastAsia" w:ascii="宋体" w:hAnsi="宋体" w:eastAsia="宋体" w:cs="宋体"/>
                <w:sz w:val="22"/>
                <w:szCs w:val="22"/>
              </w:rPr>
            </w:pPr>
            <w:r>
              <w:rPr>
                <w:rFonts w:hint="eastAsia" w:ascii="宋体" w:hAnsi="宋体" w:eastAsia="宋体" w:cs="宋体"/>
                <w:sz w:val="22"/>
                <w:szCs w:val="22"/>
              </w:rPr>
              <w:t>部门（领域）专项规划评估评价和区域规划备案支撑相关用户单位满意度</w:t>
            </w:r>
          </w:p>
        </w:tc>
        <w:tc>
          <w:tcPr>
            <w:tcW w:w="845" w:type="dxa"/>
            <w:vAlign w:val="center"/>
          </w:tcPr>
          <w:p>
            <w:pPr>
              <w:jc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10.00</w:t>
            </w:r>
          </w:p>
        </w:tc>
        <w:tc>
          <w:tcPr>
            <w:tcW w:w="813" w:type="dxa"/>
            <w:vAlign w:val="center"/>
          </w:tcPr>
          <w:p>
            <w:pPr>
              <w:widowControl/>
              <w:jc w:val="center"/>
              <w:textAlignment w:val="center"/>
              <w:rPr>
                <w:rFonts w:hint="default"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7.00</w:t>
            </w:r>
          </w:p>
        </w:tc>
        <w:tc>
          <w:tcPr>
            <w:tcW w:w="912" w:type="dxa"/>
            <w:vAlign w:val="center"/>
          </w:tcPr>
          <w:p>
            <w:pPr>
              <w:keepNext w:val="0"/>
              <w:keepLines w:val="0"/>
              <w:widowControl/>
              <w:suppressLineNumbers w:val="0"/>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i w:val="0"/>
                <w:iCs w:val="0"/>
                <w:color w:val="000000"/>
                <w:kern w:val="0"/>
                <w:sz w:val="22"/>
                <w:szCs w:val="22"/>
                <w:u w:val="none"/>
                <w:lang w:val="en-US" w:eastAsia="zh-CN" w:bidi="ar"/>
              </w:rPr>
              <w:t>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jc w:val="center"/>
        </w:trPr>
        <w:tc>
          <w:tcPr>
            <w:tcW w:w="1139" w:type="dxa"/>
            <w:vMerge w:val="continue"/>
            <w:vAlign w:val="center"/>
          </w:tcPr>
          <w:p>
            <w:pPr>
              <w:jc w:val="center"/>
              <w:rPr>
                <w:rFonts w:hint="eastAsia" w:ascii="宋体" w:hAnsi="宋体" w:eastAsia="宋体" w:cs="宋体"/>
                <w:sz w:val="22"/>
                <w:szCs w:val="22"/>
              </w:rPr>
            </w:pPr>
          </w:p>
        </w:tc>
        <w:tc>
          <w:tcPr>
            <w:tcW w:w="1387" w:type="dxa"/>
            <w:vMerge w:val="continue"/>
            <w:vAlign w:val="center"/>
          </w:tcPr>
          <w:p>
            <w:pPr>
              <w:jc w:val="center"/>
              <w:rPr>
                <w:rFonts w:hint="eastAsia" w:ascii="宋体" w:hAnsi="宋体" w:eastAsia="宋体" w:cs="宋体"/>
                <w:sz w:val="22"/>
                <w:szCs w:val="22"/>
              </w:rPr>
            </w:pPr>
          </w:p>
        </w:tc>
        <w:tc>
          <w:tcPr>
            <w:tcW w:w="3905" w:type="dxa"/>
            <w:vAlign w:val="center"/>
          </w:tcPr>
          <w:p>
            <w:pPr>
              <w:jc w:val="center"/>
              <w:rPr>
                <w:rFonts w:hint="eastAsia" w:ascii="宋体" w:hAnsi="宋体" w:eastAsia="宋体" w:cs="宋体"/>
                <w:sz w:val="22"/>
                <w:szCs w:val="22"/>
              </w:rPr>
            </w:pPr>
            <w:r>
              <w:rPr>
                <w:rFonts w:hint="eastAsia" w:ascii="宋体" w:hAnsi="宋体" w:eastAsia="宋体" w:cs="宋体"/>
                <w:sz w:val="22"/>
                <w:szCs w:val="22"/>
              </w:rPr>
              <w:t>部门（领域）顶层设计评估评价支撑相关用户单位满意度</w:t>
            </w:r>
          </w:p>
        </w:tc>
        <w:tc>
          <w:tcPr>
            <w:tcW w:w="845" w:type="dxa"/>
            <w:vAlign w:val="center"/>
          </w:tcPr>
          <w:p>
            <w:pPr>
              <w:jc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10.00</w:t>
            </w:r>
          </w:p>
        </w:tc>
        <w:tc>
          <w:tcPr>
            <w:tcW w:w="813" w:type="dxa"/>
            <w:vAlign w:val="center"/>
          </w:tcPr>
          <w:p>
            <w:pPr>
              <w:widowControl/>
              <w:jc w:val="center"/>
              <w:textAlignment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7.00</w:t>
            </w:r>
          </w:p>
        </w:tc>
        <w:tc>
          <w:tcPr>
            <w:tcW w:w="912" w:type="dxa"/>
            <w:vAlign w:val="center"/>
          </w:tcPr>
          <w:p>
            <w:pPr>
              <w:keepNext w:val="0"/>
              <w:keepLines w:val="0"/>
              <w:widowControl/>
              <w:suppressLineNumbers w:val="0"/>
              <w:jc w:val="center"/>
              <w:textAlignment w:val="center"/>
              <w:rPr>
                <w:rFonts w:hint="eastAsia" w:ascii="宋体" w:hAnsi="宋体" w:eastAsia="宋体" w:cs="宋体"/>
                <w:sz w:val="22"/>
                <w:szCs w:val="22"/>
              </w:rPr>
            </w:pPr>
            <w:r>
              <w:rPr>
                <w:rFonts w:hint="eastAsia" w:ascii="宋体" w:hAnsi="宋体" w:eastAsia="宋体" w:cs="宋体"/>
                <w:i w:val="0"/>
                <w:iCs w:val="0"/>
                <w:color w:val="000000"/>
                <w:kern w:val="0"/>
                <w:sz w:val="22"/>
                <w:szCs w:val="22"/>
                <w:u w:val="none"/>
                <w:lang w:val="en-US" w:eastAsia="zh-CN" w:bidi="ar"/>
              </w:rPr>
              <w:t>70.00%</w:t>
            </w:r>
          </w:p>
        </w:tc>
      </w:tr>
    </w:tbl>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1.项目社会效益情况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Hans"/>
        </w:rPr>
      </w:pPr>
      <w:r>
        <w:rPr>
          <w:rFonts w:hint="eastAsia" w:ascii="仿宋_GB2312" w:hAnsi="仿宋_GB2312" w:eastAsia="仿宋_GB2312" w:cs="仿宋_GB2312"/>
          <w:b w:val="0"/>
          <w:bCs w:val="0"/>
          <w:sz w:val="32"/>
          <w:szCs w:val="32"/>
          <w:lang w:val="en-US" w:eastAsia="zh-CN"/>
        </w:rPr>
        <w:t>项目实施具备一定效果，</w:t>
      </w:r>
      <w:r>
        <w:rPr>
          <w:rFonts w:hint="eastAsia" w:ascii="仿宋_GB2312" w:hAnsi="仿宋_GB2312" w:eastAsia="仿宋_GB2312" w:cs="仿宋_GB2312"/>
          <w:b w:val="0"/>
          <w:bCs w:val="0"/>
          <w:sz w:val="32"/>
          <w:szCs w:val="32"/>
        </w:rPr>
        <w:t>但</w:t>
      </w:r>
      <w:r>
        <w:rPr>
          <w:rFonts w:hint="eastAsia" w:ascii="仿宋_GB2312" w:hAnsi="仿宋_GB2312" w:eastAsia="仿宋_GB2312" w:cs="仿宋_GB2312"/>
          <w:b w:val="0"/>
          <w:bCs w:val="0"/>
          <w:sz w:val="32"/>
          <w:szCs w:val="32"/>
          <w:lang w:val="en-US" w:eastAsia="zh-Hans"/>
        </w:rPr>
        <w:t>因</w:t>
      </w:r>
      <w:r>
        <w:rPr>
          <w:rFonts w:hint="eastAsia" w:ascii="仿宋_GB2312" w:hAnsi="仿宋_GB2312" w:eastAsia="仿宋_GB2312" w:cs="仿宋_GB2312"/>
          <w:b w:val="0"/>
          <w:bCs w:val="0"/>
          <w:sz w:val="32"/>
          <w:szCs w:val="32"/>
          <w:lang w:val="en-US" w:eastAsia="zh-CN"/>
        </w:rPr>
        <w:t>截至评价日</w:t>
      </w:r>
      <w:r>
        <w:rPr>
          <w:rFonts w:hint="eastAsia" w:ascii="仿宋_GB2312" w:hAnsi="仿宋_GB2312" w:eastAsia="仿宋_GB2312" w:cs="仿宋_GB2312"/>
          <w:b w:val="0"/>
          <w:bCs w:val="0"/>
          <w:sz w:val="32"/>
          <w:szCs w:val="32"/>
        </w:rPr>
        <w:t>项目</w:t>
      </w:r>
      <w:r>
        <w:rPr>
          <w:rFonts w:hint="eastAsia" w:ascii="仿宋_GB2312" w:hAnsi="仿宋_GB2312" w:eastAsia="仿宋_GB2312" w:cs="仿宋_GB2312"/>
          <w:b w:val="0"/>
          <w:bCs w:val="0"/>
          <w:sz w:val="32"/>
          <w:szCs w:val="32"/>
          <w:lang w:val="en-US" w:eastAsia="zh-CN"/>
        </w:rPr>
        <w:t>尚</w:t>
      </w:r>
      <w:r>
        <w:rPr>
          <w:rFonts w:hint="eastAsia" w:ascii="仿宋_GB2312" w:hAnsi="仿宋_GB2312" w:eastAsia="仿宋_GB2312" w:cs="仿宋_GB2312"/>
          <w:b w:val="0"/>
          <w:bCs w:val="0"/>
          <w:sz w:val="32"/>
          <w:szCs w:val="32"/>
        </w:rPr>
        <w:t>未</w:t>
      </w:r>
      <w:r>
        <w:rPr>
          <w:rFonts w:hint="eastAsia" w:ascii="仿宋_GB2312" w:hAnsi="仿宋_GB2312" w:eastAsia="仿宋_GB2312" w:cs="仿宋_GB2312"/>
          <w:b w:val="0"/>
          <w:bCs w:val="0"/>
          <w:sz w:val="32"/>
          <w:szCs w:val="32"/>
          <w:lang w:val="en-US" w:eastAsia="zh-CN"/>
        </w:rPr>
        <w:t>完成</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val="en-US" w:eastAsia="zh-CN"/>
        </w:rPr>
        <w:t>无法对项目实施效益做出全面充分的判断，</w:t>
      </w:r>
      <w:r>
        <w:rPr>
          <w:rFonts w:hint="eastAsia" w:ascii="仿宋_GB2312" w:hAnsi="仿宋_GB2312" w:eastAsia="仿宋_GB2312" w:cs="仿宋_GB2312"/>
          <w:b w:val="0"/>
          <w:bCs w:val="0"/>
          <w:sz w:val="32"/>
          <w:szCs w:val="32"/>
          <w:lang w:val="en-US" w:eastAsia="zh-Hans"/>
        </w:rPr>
        <w:t>以下仅</w:t>
      </w:r>
      <w:r>
        <w:rPr>
          <w:rFonts w:hint="eastAsia" w:ascii="仿宋_GB2312" w:hAnsi="仿宋_GB2312" w:eastAsia="仿宋_GB2312" w:cs="仿宋_GB2312"/>
          <w:b w:val="0"/>
          <w:bCs w:val="0"/>
          <w:sz w:val="32"/>
          <w:szCs w:val="32"/>
        </w:rPr>
        <w:t>就</w:t>
      </w:r>
      <w:r>
        <w:rPr>
          <w:rFonts w:hint="eastAsia" w:ascii="仿宋_GB2312" w:hAnsi="仿宋_GB2312" w:eastAsia="仿宋_GB2312" w:cs="仿宋_GB2312"/>
          <w:b w:val="0"/>
          <w:bCs w:val="0"/>
          <w:sz w:val="32"/>
          <w:szCs w:val="32"/>
          <w:lang w:val="en-US" w:eastAsia="zh-CN"/>
        </w:rPr>
        <w:t>截至评价日</w:t>
      </w:r>
      <w:r>
        <w:rPr>
          <w:rFonts w:hint="eastAsia" w:ascii="仿宋_GB2312" w:hAnsi="仿宋_GB2312" w:eastAsia="仿宋_GB2312" w:cs="仿宋_GB2312"/>
          <w:b w:val="0"/>
          <w:bCs w:val="0"/>
          <w:sz w:val="32"/>
          <w:szCs w:val="32"/>
        </w:rPr>
        <w:t>项目</w:t>
      </w:r>
      <w:r>
        <w:rPr>
          <w:rFonts w:hint="eastAsia" w:ascii="仿宋_GB2312" w:hAnsi="仿宋_GB2312" w:eastAsia="仿宋_GB2312" w:cs="仿宋_GB2312"/>
          <w:b w:val="0"/>
          <w:bCs w:val="0"/>
          <w:sz w:val="32"/>
          <w:szCs w:val="32"/>
          <w:lang w:val="en-US" w:eastAsia="zh-CN"/>
        </w:rPr>
        <w:t>实际</w:t>
      </w:r>
      <w:r>
        <w:rPr>
          <w:rFonts w:hint="eastAsia" w:ascii="仿宋_GB2312" w:hAnsi="仿宋_GB2312" w:eastAsia="仿宋_GB2312" w:cs="仿宋_GB2312"/>
          <w:b w:val="0"/>
          <w:bCs w:val="0"/>
          <w:sz w:val="32"/>
          <w:szCs w:val="32"/>
        </w:rPr>
        <w:t>执行情况进行</w:t>
      </w:r>
      <w:r>
        <w:rPr>
          <w:rFonts w:hint="eastAsia" w:ascii="仿宋_GB2312" w:hAnsi="仿宋_GB2312" w:eastAsia="仿宋_GB2312" w:cs="仿宋_GB2312"/>
          <w:b w:val="0"/>
          <w:bCs w:val="0"/>
          <w:sz w:val="32"/>
          <w:szCs w:val="32"/>
          <w:lang w:val="en-US" w:eastAsia="zh-Hans"/>
        </w:rPr>
        <w:t>分析</w:t>
      </w:r>
      <w:r>
        <w:rPr>
          <w:rFonts w:hint="eastAsia" w:ascii="仿宋_GB2312" w:hAnsi="仿宋_GB2312" w:eastAsia="仿宋_GB2312" w:cs="仿宋_GB2312"/>
          <w:b w:val="0"/>
          <w:b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sz w:val="32"/>
          <w:szCs w:val="32"/>
          <w:lang w:eastAsia="zh-Hans"/>
        </w:rPr>
      </w:pPr>
      <w:r>
        <w:rPr>
          <w:rFonts w:hint="eastAsia" w:ascii="仿宋_GB2312" w:hAnsi="仿宋_GB2312" w:eastAsia="仿宋_GB2312" w:cs="仿宋_GB2312"/>
          <w:b/>
          <w:bCs/>
          <w:sz w:val="32"/>
          <w:szCs w:val="32"/>
          <w:lang w:val="en-US" w:eastAsia="zh-Hans"/>
        </w:rPr>
        <w:t>一是</w:t>
      </w:r>
      <w:r>
        <w:rPr>
          <w:rFonts w:hint="eastAsia" w:ascii="仿宋_GB2312" w:hAnsi="仿宋_GB2312" w:eastAsia="仿宋_GB2312" w:cs="仿宋_GB2312"/>
          <w:b w:val="0"/>
          <w:bCs w:val="0"/>
          <w:sz w:val="32"/>
          <w:szCs w:val="32"/>
          <w:lang w:val="en-US" w:eastAsia="zh-Hans"/>
        </w:rPr>
        <w:t>在</w:t>
      </w:r>
      <w:r>
        <w:rPr>
          <w:rFonts w:hint="eastAsia" w:ascii="仿宋_GB2312" w:hAnsi="仿宋_GB2312" w:eastAsia="仿宋_GB2312" w:cs="仿宋_GB2312"/>
          <w:b w:val="0"/>
          <w:bCs w:val="0"/>
          <w:kern w:val="2"/>
          <w:sz w:val="32"/>
          <w:szCs w:val="32"/>
          <w:u w:val="none"/>
          <w:lang w:val="en-US" w:eastAsia="zh-CN" w:bidi="ar-SA"/>
        </w:rPr>
        <w:t>提升智慧城市建设的精细化管理水平</w:t>
      </w:r>
      <w:r>
        <w:rPr>
          <w:rFonts w:hint="eastAsia" w:ascii="仿宋_GB2312" w:hAnsi="仿宋_GB2312" w:eastAsia="仿宋_GB2312" w:cs="仿宋_GB2312"/>
          <w:b w:val="0"/>
          <w:bCs w:val="0"/>
          <w:kern w:val="2"/>
          <w:sz w:val="32"/>
          <w:szCs w:val="32"/>
          <w:u w:val="none"/>
          <w:lang w:val="en-US" w:eastAsia="zh-Hans" w:bidi="ar-SA"/>
        </w:rPr>
        <w:t>方面，</w:t>
      </w:r>
      <w:r>
        <w:rPr>
          <w:rFonts w:hint="eastAsia" w:ascii="仿宋_GB2312" w:hAnsi="仿宋_GB2312" w:eastAsia="仿宋_GB2312" w:cs="仿宋_GB2312"/>
          <w:kern w:val="2"/>
          <w:sz w:val="32"/>
          <w:szCs w:val="32"/>
          <w:u w:val="none"/>
          <w:lang w:val="en-US" w:eastAsia="zh-CN" w:bidi="ar-SA"/>
        </w:rPr>
        <w:t>完善智慧城市统筹协调机制，</w:t>
      </w:r>
      <w:r>
        <w:rPr>
          <w:rFonts w:hint="eastAsia" w:ascii="仿宋_GB2312" w:hAnsi="仿宋_GB2312" w:eastAsia="仿宋_GB2312" w:cs="仿宋_GB2312"/>
          <w:sz w:val="32"/>
          <w:szCs w:val="32"/>
          <w:lang w:val="en-US" w:eastAsia="zh-CN"/>
        </w:rPr>
        <w:t>帮助</w:t>
      </w:r>
      <w:r>
        <w:rPr>
          <w:rFonts w:hint="eastAsia" w:ascii="仿宋_GB2312" w:hAnsi="仿宋_GB2312" w:eastAsia="仿宋_GB2312" w:cs="仿宋_GB2312"/>
          <w:sz w:val="32"/>
          <w:szCs w:val="32"/>
        </w:rPr>
        <w:t>市领导全面、及时、准确掌握各部门、各领域在智慧城市建设方面的建设思路及规划，有利于主管部门总体把控全市智慧城市建设的合理性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有效提升智慧城市建设的精细化管理水平。截至目前，已有24家重点领域单位完成规划编制</w:t>
      </w:r>
      <w:r>
        <w:rPr>
          <w:rFonts w:hint="eastAsia" w:ascii="仿宋_GB2312" w:hAnsi="仿宋_GB2312" w:eastAsia="仿宋_GB2312" w:cs="仿宋_GB2312"/>
          <w:sz w:val="32"/>
          <w:szCs w:val="32"/>
          <w:lang w:eastAsia="zh-Hans"/>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kern w:val="2"/>
          <w:sz w:val="32"/>
          <w:szCs w:val="32"/>
          <w:u w:val="none"/>
          <w:lang w:val="en-US" w:eastAsia="zh-CN" w:bidi="ar-SA"/>
        </w:rPr>
      </w:pPr>
      <w:r>
        <w:rPr>
          <w:rFonts w:hint="eastAsia" w:ascii="仿宋_GB2312" w:hAnsi="仿宋_GB2312" w:eastAsia="仿宋_GB2312" w:cs="仿宋_GB2312"/>
          <w:b/>
          <w:bCs/>
          <w:kern w:val="2"/>
          <w:sz w:val="32"/>
          <w:szCs w:val="32"/>
          <w:u w:val="none"/>
          <w:lang w:val="en-US" w:eastAsia="zh-Hans" w:bidi="ar-SA"/>
        </w:rPr>
        <w:t>二是</w:t>
      </w:r>
      <w:r>
        <w:rPr>
          <w:rFonts w:hint="eastAsia" w:ascii="仿宋_GB2312" w:hAnsi="仿宋_GB2312" w:eastAsia="仿宋_GB2312" w:cs="仿宋_GB2312"/>
          <w:b w:val="0"/>
          <w:bCs w:val="0"/>
          <w:kern w:val="2"/>
          <w:sz w:val="32"/>
          <w:szCs w:val="32"/>
          <w:u w:val="none"/>
          <w:lang w:val="en-US" w:eastAsia="zh-Hans" w:bidi="ar-SA"/>
        </w:rPr>
        <w:t>在推进工作协同与数据共享方面，</w:t>
      </w:r>
      <w:r>
        <w:rPr>
          <w:rFonts w:hint="eastAsia" w:ascii="仿宋_GB2312" w:hAnsi="仿宋_GB2312" w:eastAsia="仿宋_GB2312" w:cs="仿宋_GB2312"/>
          <w:b w:val="0"/>
          <w:bCs w:val="0"/>
          <w:kern w:val="2"/>
          <w:sz w:val="32"/>
          <w:szCs w:val="32"/>
          <w:u w:val="none"/>
          <w:lang w:val="en-US" w:eastAsia="zh-CN" w:bidi="ar-SA"/>
        </w:rPr>
        <w:t>通过</w:t>
      </w:r>
      <w:r>
        <w:rPr>
          <w:rFonts w:hint="eastAsia" w:ascii="仿宋_GB2312" w:hAnsi="仿宋_GB2312" w:eastAsia="仿宋_GB2312" w:cs="仿宋_GB2312"/>
          <w:b w:val="0"/>
          <w:bCs w:val="0"/>
          <w:sz w:val="32"/>
          <w:szCs w:val="32"/>
        </w:rPr>
        <w:t>对重复内容进行</w:t>
      </w:r>
      <w:r>
        <w:rPr>
          <w:rFonts w:hint="eastAsia" w:ascii="仿宋_GB2312" w:hAnsi="仿宋_GB2312" w:eastAsia="仿宋_GB2312" w:cs="仿宋_GB2312"/>
          <w:b w:val="0"/>
          <w:bCs w:val="0"/>
          <w:sz w:val="32"/>
          <w:szCs w:val="32"/>
          <w:lang w:val="en-US" w:eastAsia="zh-CN"/>
        </w:rPr>
        <w:t>甄别</w:t>
      </w:r>
      <w:r>
        <w:rPr>
          <w:rFonts w:hint="eastAsia" w:ascii="仿宋_GB2312" w:hAnsi="仿宋_GB2312" w:eastAsia="仿宋_GB2312" w:cs="仿宋_GB2312"/>
          <w:b w:val="0"/>
          <w:bCs w:val="0"/>
          <w:sz w:val="32"/>
          <w:szCs w:val="32"/>
        </w:rPr>
        <w:t>调整，</w:t>
      </w:r>
      <w:r>
        <w:rPr>
          <w:rFonts w:hint="eastAsia" w:ascii="仿宋_GB2312" w:hAnsi="仿宋_GB2312" w:eastAsia="仿宋_GB2312" w:cs="仿宋_GB2312"/>
          <w:b w:val="0"/>
          <w:bCs w:val="0"/>
          <w:kern w:val="2"/>
          <w:sz w:val="32"/>
          <w:szCs w:val="32"/>
          <w:u w:val="none"/>
          <w:lang w:val="en-US" w:eastAsia="zh-CN" w:bidi="ar-SA"/>
        </w:rPr>
        <w:t>进一步优化各部门的建设项目，明确需要共享的信息资源，</w:t>
      </w:r>
      <w:r>
        <w:rPr>
          <w:rFonts w:hint="eastAsia" w:ascii="仿宋_GB2312" w:hAnsi="仿宋_GB2312" w:eastAsia="仿宋_GB2312" w:cs="仿宋_GB2312"/>
          <w:b w:val="0"/>
          <w:bCs w:val="0"/>
          <w:sz w:val="32"/>
          <w:szCs w:val="32"/>
        </w:rPr>
        <w:t>促进各部门间的跨部门工作协同，实现跨领域、跨系统的数据资源共享</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kern w:val="2"/>
          <w:sz w:val="32"/>
          <w:szCs w:val="32"/>
          <w:u w:val="none"/>
          <w:lang w:val="en-US" w:eastAsia="zh-Hans" w:bidi="ar-SA"/>
        </w:rPr>
        <w:t>截至评价日，</w:t>
      </w:r>
      <w:r>
        <w:rPr>
          <w:rFonts w:hint="eastAsia" w:ascii="仿宋_GB2312" w:hAnsi="仿宋_GB2312" w:eastAsia="仿宋_GB2312" w:cs="仿宋_GB2312"/>
          <w:b w:val="0"/>
          <w:bCs w:val="0"/>
          <w:sz w:val="32"/>
          <w:szCs w:val="32"/>
        </w:rPr>
        <w:t>通过评审工作核减整合项目35%</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有效</w:t>
      </w:r>
      <w:r>
        <w:rPr>
          <w:rFonts w:hint="eastAsia" w:ascii="仿宋_GB2312" w:hAnsi="仿宋_GB2312" w:eastAsia="仿宋_GB2312" w:cs="仿宋_GB2312"/>
          <w:b w:val="0"/>
          <w:bCs w:val="0"/>
          <w:sz w:val="32"/>
          <w:szCs w:val="32"/>
        </w:rPr>
        <w:t>促进“三京”“七通一平”等共性约束要求落地实施</w:t>
      </w:r>
      <w:r>
        <w:rPr>
          <w:rFonts w:hint="eastAsia" w:ascii="仿宋_GB2312" w:hAnsi="仿宋_GB2312" w:eastAsia="仿宋_GB2312" w:cs="仿宋_GB2312"/>
          <w:b w:val="0"/>
          <w:bCs w:val="0"/>
          <w:sz w:val="32"/>
          <w:szCs w:val="32"/>
          <w:lang w:eastAsia="zh-Hans"/>
        </w:rPr>
        <w:t>，</w:t>
      </w:r>
      <w:r>
        <w:rPr>
          <w:rFonts w:hint="eastAsia" w:ascii="仿宋_GB2312" w:hAnsi="仿宋_GB2312" w:eastAsia="仿宋_GB2312" w:cs="仿宋_GB2312"/>
          <w:b w:val="0"/>
          <w:bCs w:val="0"/>
          <w:sz w:val="32"/>
          <w:szCs w:val="32"/>
        </w:rPr>
        <w:t>有效规避</w:t>
      </w:r>
      <w:r>
        <w:rPr>
          <w:rFonts w:hint="eastAsia" w:ascii="仿宋_GB2312" w:hAnsi="仿宋_GB2312" w:eastAsia="仿宋_GB2312" w:cs="仿宋_GB2312"/>
          <w:b w:val="0"/>
          <w:bCs w:val="0"/>
          <w:sz w:val="32"/>
          <w:szCs w:val="32"/>
          <w:lang w:val="en-US" w:eastAsia="zh-Hans"/>
        </w:rPr>
        <w:t>了</w:t>
      </w:r>
      <w:r>
        <w:rPr>
          <w:rFonts w:hint="eastAsia" w:ascii="仿宋_GB2312" w:hAnsi="仿宋_GB2312" w:eastAsia="仿宋_GB2312" w:cs="仿宋_GB2312"/>
          <w:b w:val="0"/>
          <w:bCs w:val="0"/>
          <w:sz w:val="32"/>
          <w:szCs w:val="32"/>
        </w:rPr>
        <w:t>重复建设，</w:t>
      </w:r>
      <w:r>
        <w:rPr>
          <w:rFonts w:hint="eastAsia" w:ascii="仿宋_GB2312" w:hAnsi="仿宋_GB2312" w:eastAsia="仿宋_GB2312" w:cs="仿宋_GB2312"/>
          <w:kern w:val="2"/>
          <w:sz w:val="32"/>
          <w:szCs w:val="32"/>
          <w:u w:val="none"/>
          <w:lang w:val="en-US" w:eastAsia="zh-CN" w:bidi="ar-SA"/>
        </w:rPr>
        <w:t>促进多个项目与控规衔接，推动相关应用系统上下链有效实施，推动历史遗留项目验收报备，清理“僵尸系统”。</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kern w:val="2"/>
          <w:sz w:val="32"/>
          <w:szCs w:val="32"/>
          <w:u w:val="none"/>
          <w:lang w:val="en-US" w:eastAsia="zh-CN" w:bidi="ar-SA"/>
        </w:rPr>
      </w:pPr>
      <w:r>
        <w:rPr>
          <w:rFonts w:hint="eastAsia" w:ascii="仿宋_GB2312" w:hAnsi="仿宋_GB2312" w:eastAsia="仿宋_GB2312" w:cs="仿宋_GB2312"/>
          <w:b/>
          <w:bCs/>
          <w:kern w:val="2"/>
          <w:sz w:val="32"/>
          <w:szCs w:val="32"/>
          <w:u w:val="none"/>
          <w:lang w:val="en-US" w:eastAsia="zh-Hans" w:bidi="ar-SA"/>
        </w:rPr>
        <w:t>三是</w:t>
      </w:r>
      <w:r>
        <w:rPr>
          <w:rFonts w:hint="eastAsia" w:ascii="仿宋_GB2312" w:hAnsi="仿宋_GB2312" w:eastAsia="仿宋_GB2312" w:cs="仿宋_GB2312"/>
          <w:kern w:val="2"/>
          <w:sz w:val="32"/>
          <w:szCs w:val="32"/>
          <w:u w:val="none"/>
          <w:lang w:val="en-US" w:eastAsia="zh-Hans" w:bidi="ar-SA"/>
        </w:rPr>
        <w:t>在提升评审工作专业化水平方面，</w:t>
      </w:r>
      <w:r>
        <w:rPr>
          <w:rFonts w:hint="eastAsia" w:ascii="仿宋_GB2312" w:hAnsi="仿宋_GB2312" w:eastAsia="仿宋_GB2312" w:cs="仿宋_GB2312"/>
          <w:sz w:val="32"/>
          <w:szCs w:val="32"/>
          <w:lang w:val="en-US" w:eastAsia="zh-CN"/>
        </w:rPr>
        <w:t>项目实施</w:t>
      </w:r>
      <w:r>
        <w:rPr>
          <w:rFonts w:hint="eastAsia" w:ascii="仿宋_GB2312" w:hAnsi="仿宋_GB2312" w:eastAsia="仿宋_GB2312" w:cs="仿宋_GB2312"/>
          <w:sz w:val="32"/>
          <w:szCs w:val="32"/>
        </w:rPr>
        <w:t>进一步明确</w:t>
      </w:r>
      <w:r>
        <w:rPr>
          <w:rFonts w:hint="eastAsia" w:ascii="仿宋_GB2312" w:hAnsi="仿宋_GB2312" w:eastAsia="仿宋_GB2312" w:cs="仿宋_GB2312"/>
          <w:sz w:val="32"/>
          <w:szCs w:val="32"/>
          <w:lang w:val="en-US" w:eastAsia="zh-CN"/>
        </w:rPr>
        <w:t>专项</w:t>
      </w:r>
      <w:r>
        <w:rPr>
          <w:rFonts w:hint="eastAsia" w:ascii="仿宋_GB2312" w:hAnsi="仿宋_GB2312" w:eastAsia="仿宋_GB2312" w:cs="仿宋_GB2312"/>
          <w:sz w:val="32"/>
          <w:szCs w:val="32"/>
        </w:rPr>
        <w:t>规划和顶层设计评价评估要点，制定评分标准，形成</w:t>
      </w:r>
      <w:r>
        <w:rPr>
          <w:rFonts w:hint="eastAsia" w:ascii="仿宋_GB2312" w:hAnsi="仿宋_GB2312" w:eastAsia="仿宋_GB2312" w:cs="仿宋_GB2312"/>
          <w:sz w:val="32"/>
          <w:szCs w:val="32"/>
          <w:lang w:val="en-US" w:eastAsia="zh-CN"/>
        </w:rPr>
        <w:t>评价指标</w:t>
      </w:r>
      <w:r>
        <w:rPr>
          <w:rFonts w:hint="eastAsia" w:ascii="仿宋_GB2312" w:hAnsi="仿宋_GB2312" w:eastAsia="仿宋_GB2312" w:cs="仿宋_GB2312"/>
          <w:sz w:val="32"/>
          <w:szCs w:val="32"/>
        </w:rPr>
        <w:t>体系，使得北京市智慧城市的建设和管理</w:t>
      </w:r>
      <w:r>
        <w:rPr>
          <w:rFonts w:hint="eastAsia" w:ascii="仿宋_GB2312" w:hAnsi="仿宋_GB2312" w:eastAsia="仿宋_GB2312" w:cs="仿宋_GB2312"/>
          <w:sz w:val="32"/>
          <w:szCs w:val="32"/>
          <w:lang w:val="en-US" w:eastAsia="zh-CN"/>
        </w:rPr>
        <w:t>具备规范的</w:t>
      </w:r>
      <w:r>
        <w:rPr>
          <w:rFonts w:hint="eastAsia" w:ascii="仿宋_GB2312" w:hAnsi="仿宋_GB2312" w:eastAsia="仿宋_GB2312" w:cs="仿宋_GB2312"/>
          <w:sz w:val="32"/>
          <w:szCs w:val="32"/>
        </w:rPr>
        <w:t>标准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流程</w:t>
      </w:r>
      <w:r>
        <w:rPr>
          <w:rFonts w:hint="eastAsia" w:ascii="仿宋_GB2312" w:hAnsi="仿宋_GB2312" w:eastAsia="仿宋_GB2312" w:cs="仿宋_GB2312"/>
          <w:sz w:val="32"/>
          <w:szCs w:val="32"/>
          <w:lang w:val="en-US" w:eastAsia="zh-CN"/>
        </w:rPr>
        <w:t>以及</w:t>
      </w:r>
      <w:r>
        <w:rPr>
          <w:rFonts w:hint="eastAsia" w:ascii="仿宋_GB2312" w:hAnsi="仿宋_GB2312" w:eastAsia="仿宋_GB2312" w:cs="仿宋_GB2312"/>
          <w:sz w:val="32"/>
          <w:szCs w:val="32"/>
        </w:rPr>
        <w:t>考核指标，以评审为抓手促进各部门深化“一网通办”“一网统管”“一网慧治”等跨领域及医疗、教育、交通等重点领域的统筹规划和项目设计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使得今后智慧城市建设更加井然有序。</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2.项目可持续影响情况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u w:val="none"/>
          <w:lang w:val="en-US" w:eastAsia="zh-CN" w:bidi="ar-SA"/>
        </w:rPr>
      </w:pPr>
      <w:r>
        <w:rPr>
          <w:rFonts w:hint="eastAsia" w:ascii="仿宋_GB2312" w:hAnsi="仿宋_GB2312" w:eastAsia="仿宋_GB2312" w:cs="仿宋_GB2312"/>
          <w:kern w:val="2"/>
          <w:sz w:val="32"/>
          <w:szCs w:val="32"/>
          <w:u w:val="none"/>
          <w:lang w:val="en-US" w:eastAsia="zh-CN" w:bidi="ar-SA"/>
        </w:rPr>
        <w:t>通过建立总规、控规、专项设计、顶层规划的四级政策管控机制，各部门严格按照市级规划框架内的各项要求编制相关规划，在智慧城市建设规划、立项、实施过程中可以及时发现问题并得到“纠偏”，使得最终完成的项目能够满足受众需要，有利于提高政府投资效率。项目可持续性较好。</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3.项目满意度情况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u w:val="none"/>
          <w:lang w:val="en-US" w:eastAsia="zh-CN" w:bidi="ar-SA"/>
        </w:rPr>
      </w:pPr>
      <w:r>
        <w:rPr>
          <w:rFonts w:hint="eastAsia" w:ascii="仿宋_GB2312" w:hAnsi="仿宋_GB2312" w:eastAsia="仿宋_GB2312" w:cs="仿宋_GB2312"/>
          <w:kern w:val="2"/>
          <w:sz w:val="32"/>
          <w:szCs w:val="32"/>
          <w:u w:val="none"/>
          <w:lang w:val="en-US" w:eastAsia="zh-CN" w:bidi="ar-SA"/>
        </w:rPr>
        <w:t>截至评价日，项目仍处于执行过程中，因此未开展服务对象满意度调查。建议项目单位在项目结束后及时开展满意度调查工作，根据项目服务对象范围和具体服务内容编制细化的满意度调查问卷，并对</w:t>
      </w:r>
      <w:r>
        <w:rPr>
          <w:rFonts w:hint="eastAsia" w:ascii="仿宋_GB2312" w:hAnsi="仿宋_GB2312" w:eastAsia="仿宋_GB2312" w:cs="仿宋_GB2312"/>
          <w:sz w:val="32"/>
          <w:szCs w:val="32"/>
          <w:lang w:val="en-US" w:eastAsia="zh-CN"/>
        </w:rPr>
        <w:t>满意度调查结果进行统计分析，保证满意度调查的结果应用。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0"/>
        <w:rPr>
          <w:rFonts w:eastAsia="黑体"/>
          <w:sz w:val="32"/>
          <w:szCs w:val="32"/>
        </w:rPr>
      </w:pPr>
      <w:bookmarkStart w:id="200" w:name="_Toc21300"/>
      <w:bookmarkStart w:id="201" w:name="_Toc21930"/>
      <w:r>
        <w:rPr>
          <w:rFonts w:hint="default" w:eastAsia="黑体"/>
          <w:sz w:val="32"/>
          <w:szCs w:val="32"/>
        </w:rPr>
        <w:t>五、主要经验及做法、存在的问题及原因分析</w:t>
      </w:r>
      <w:bookmarkEnd w:id="200"/>
      <w:bookmarkEnd w:id="201"/>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eastAsia" w:ascii="楷体_GB2312" w:hAnsi="楷体_GB2312" w:eastAsia="楷体_GB2312" w:cs="楷体_GB2312"/>
          <w:sz w:val="32"/>
          <w:szCs w:val="32"/>
          <w:lang w:val="en-US" w:eastAsia="zh-CN"/>
        </w:rPr>
      </w:pPr>
      <w:bookmarkStart w:id="202" w:name="_Toc30479"/>
      <w:bookmarkStart w:id="203" w:name="_Toc27646"/>
      <w:r>
        <w:rPr>
          <w:rFonts w:hint="default" w:ascii="楷体_GB2312" w:hAnsi="楷体_GB2312" w:eastAsia="楷体_GB2312" w:cs="楷体_GB2312"/>
          <w:sz w:val="32"/>
          <w:szCs w:val="32"/>
          <w:lang w:val="en-US" w:eastAsia="zh-CN"/>
        </w:rPr>
        <w:t>（一）主要经验及做法</w:t>
      </w:r>
      <w:bookmarkEnd w:id="202"/>
      <w:bookmarkEnd w:id="203"/>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lang w:eastAsia="zh-CN"/>
        </w:rPr>
      </w:pPr>
      <w:bookmarkStart w:id="204" w:name="_Toc17687"/>
      <w:bookmarkStart w:id="205" w:name="_Toc1912"/>
      <w:r>
        <w:rPr>
          <w:rFonts w:hint="default" w:ascii="仿宋_GB2312" w:hAnsi="仿宋_GB2312" w:eastAsia="仿宋_GB2312" w:cs="仿宋_GB2312"/>
          <w:b w:val="0"/>
          <w:bCs w:val="0"/>
          <w:sz w:val="32"/>
          <w:szCs w:val="32"/>
        </w:rPr>
        <w:t>项目单位</w:t>
      </w:r>
      <w:r>
        <w:rPr>
          <w:rFonts w:hint="default" w:ascii="仿宋_GB2312" w:hAnsi="仿宋_GB2312" w:eastAsia="仿宋_GB2312" w:cs="仿宋_GB2312"/>
          <w:sz w:val="32"/>
          <w:szCs w:val="32"/>
        </w:rPr>
        <w:t>根据智慧城市规划和顶层设计管控体系服务</w:t>
      </w:r>
      <w:r>
        <w:rPr>
          <w:rFonts w:hint="default" w:ascii="仿宋_GB2312" w:hAnsi="仿宋_GB2312" w:eastAsia="仿宋_GB2312" w:cs="仿宋_GB2312"/>
          <w:sz w:val="32"/>
          <w:szCs w:val="32"/>
          <w:lang w:val="en-US" w:eastAsia="zh-CN"/>
        </w:rPr>
        <w:t>支</w:t>
      </w:r>
      <w:r>
        <w:rPr>
          <w:rFonts w:hint="eastAsia" w:ascii="仿宋_GB2312" w:hAnsi="仿宋_GB2312" w:eastAsia="仿宋_GB2312" w:cs="仿宋_GB2312"/>
          <w:sz w:val="32"/>
          <w:szCs w:val="32"/>
          <w:lang w:val="en-US" w:eastAsia="zh-CN"/>
        </w:rPr>
        <w:t>撑情况</w:t>
      </w:r>
      <w:r>
        <w:rPr>
          <w:rFonts w:hint="eastAsia" w:ascii="仿宋_GB2312" w:hAnsi="仿宋_GB2312" w:eastAsia="仿宋_GB2312" w:cs="仿宋_GB2312"/>
          <w:sz w:val="32"/>
          <w:szCs w:val="32"/>
        </w:rPr>
        <w:t>，</w:t>
      </w:r>
      <w:r>
        <w:rPr>
          <w:rFonts w:hint="default" w:ascii="仿宋_GB2312" w:hAnsi="仿宋_GB2312" w:eastAsia="仿宋_GB2312" w:cs="仿宋_GB2312"/>
          <w:b w:val="0"/>
          <w:bCs w:val="0"/>
          <w:sz w:val="32"/>
          <w:szCs w:val="32"/>
        </w:rPr>
        <w:t>结合实际</w:t>
      </w:r>
      <w:bookmarkEnd w:id="204"/>
      <w:r>
        <w:rPr>
          <w:rFonts w:hint="default" w:ascii="仿宋_GB2312" w:hAnsi="仿宋_GB2312" w:eastAsia="仿宋_GB2312" w:cs="仿宋_GB2312"/>
          <w:b w:val="0"/>
          <w:bCs w:val="0"/>
          <w:sz w:val="32"/>
          <w:szCs w:val="32"/>
        </w:rPr>
        <w:t>深化落实四级规划管控体系，完善规划管控工作机制</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sz w:val="32"/>
          <w:szCs w:val="32"/>
          <w:lang w:eastAsia="zh-CN"/>
        </w:rPr>
        <w:t>对外明确重点领域规划评审、追加项目清单评审、跨部门联审联评机制和区域规划备案等工作要求，指导全市智慧城市规划、顶层设计及智慧城市建设；对内</w:t>
      </w:r>
      <w:r>
        <w:rPr>
          <w:rFonts w:hint="eastAsia" w:ascii="仿宋_GB2312" w:hAnsi="仿宋_GB2312" w:eastAsia="仿宋_GB2312" w:cs="仿宋_GB2312"/>
          <w:sz w:val="32"/>
          <w:szCs w:val="32"/>
          <w:lang w:val="en-US" w:eastAsia="zh-CN"/>
        </w:rPr>
        <w:t>明确</w:t>
      </w:r>
      <w:r>
        <w:rPr>
          <w:rFonts w:hint="eastAsia" w:ascii="仿宋_GB2312" w:hAnsi="仿宋_GB2312" w:eastAsia="仿宋_GB2312" w:cs="仿宋_GB2312"/>
          <w:sz w:val="32"/>
          <w:szCs w:val="32"/>
          <w:lang w:eastAsia="zh-CN"/>
        </w:rPr>
        <w:t>流程、细化分工，完善内部评审管理规定、形成评审打分规则、完成评审相关支撑系统研究，加强</w:t>
      </w:r>
      <w:r>
        <w:rPr>
          <w:rFonts w:hint="eastAsia" w:ascii="仿宋_GB2312" w:hAnsi="仿宋_GB2312" w:eastAsia="仿宋_GB2312" w:cs="仿宋_GB2312"/>
          <w:sz w:val="32"/>
          <w:szCs w:val="32"/>
          <w:lang w:val="en-US" w:eastAsia="zh-CN"/>
        </w:rPr>
        <w:t>智慧城市建设工作的</w:t>
      </w:r>
      <w:r>
        <w:rPr>
          <w:rFonts w:hint="eastAsia" w:ascii="仿宋_GB2312" w:hAnsi="仿宋_GB2312" w:eastAsia="仿宋_GB2312" w:cs="仿宋_GB2312"/>
          <w:sz w:val="32"/>
          <w:szCs w:val="32"/>
          <w:lang w:eastAsia="zh-CN"/>
        </w:rPr>
        <w:t>标准化、规范化。</w:t>
      </w:r>
      <w:bookmarkEnd w:id="205"/>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default" w:ascii="楷体_GB2312" w:hAnsi="楷体_GB2312" w:eastAsia="楷体_GB2312" w:cs="楷体_GB2312"/>
          <w:sz w:val="32"/>
          <w:szCs w:val="32"/>
          <w:highlight w:val="none"/>
          <w:lang w:val="en-US" w:eastAsia="zh-CN"/>
        </w:rPr>
      </w:pPr>
      <w:bookmarkStart w:id="206" w:name="_Toc12667"/>
      <w:bookmarkStart w:id="207" w:name="_Toc3928"/>
      <w:r>
        <w:rPr>
          <w:rFonts w:hint="eastAsia" w:ascii="楷体_GB2312" w:hAnsi="楷体_GB2312" w:eastAsia="楷体_GB2312" w:cs="楷体_GB2312"/>
          <w:sz w:val="32"/>
          <w:szCs w:val="32"/>
          <w:highlight w:val="none"/>
          <w:lang w:val="en-US" w:eastAsia="zh-CN"/>
        </w:rPr>
        <w:t>（二）存在的问题及原因分析</w:t>
      </w:r>
      <w:bookmarkEnd w:id="206"/>
      <w:bookmarkEnd w:id="207"/>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outlineLvl w:val="1"/>
        <w:rPr>
          <w:rFonts w:hint="default" w:ascii="仿宋_GB2312" w:hAnsi="仿宋_GB2312" w:eastAsia="仿宋_GB2312" w:cs="仿宋_GB2312"/>
          <w:b/>
          <w:bCs/>
          <w:sz w:val="32"/>
          <w:szCs w:val="32"/>
          <w:lang w:val="en-US" w:eastAsia="zh-CN"/>
        </w:rPr>
      </w:pPr>
      <w:bookmarkStart w:id="208" w:name="_Toc21488"/>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rPr>
        <w:t>预算编制科学合理性不足</w:t>
      </w:r>
      <w:bookmarkEnd w:id="208"/>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default" w:ascii="仿宋_GB2312" w:hAnsi="仿宋_GB2312" w:eastAsia="仿宋_GB2312" w:cs="仿宋_GB2312"/>
          <w:b w:val="0"/>
          <w:bCs w:val="0"/>
          <w:sz w:val="32"/>
          <w:szCs w:val="32"/>
          <w:lang w:val="en-US" w:eastAsia="zh-CN"/>
        </w:rPr>
      </w:pPr>
      <w:bookmarkStart w:id="209" w:name="_Toc10058"/>
      <w:r>
        <w:rPr>
          <w:rFonts w:hint="eastAsia" w:ascii="仿宋_GB2312" w:hAnsi="仿宋_GB2312" w:eastAsia="仿宋_GB2312" w:cs="仿宋_GB2312"/>
          <w:b w:val="0"/>
          <w:bCs w:val="0"/>
          <w:sz w:val="32"/>
          <w:szCs w:val="32"/>
          <w:lang w:val="en-US" w:eastAsia="zh-CN"/>
        </w:rPr>
        <w:t>预算测算依据不充分，缺少各项工作需要投入的人月数量的测算依据；预算测算细化程度略有不足，未根据各部门或单位特点分别测算投入的成本，未明确各项工作投入人员的岗位、工作内容以及人员级别；资金分配合理性有待提升，泰豪智能、道口金科、北京北资作为投标联合体承接该项目，但资金分配与三个实施主体具体承担的工作任务量对应性不足</w:t>
      </w:r>
      <w:bookmarkEnd w:id="209"/>
      <w:r>
        <w:rPr>
          <w:rFonts w:hint="eastAsia" w:ascii="仿宋_GB2312" w:hAnsi="仿宋_GB2312" w:eastAsia="仿宋_GB2312" w:cs="仿宋_GB2312"/>
          <w:b w:val="0"/>
          <w:bCs w:val="0"/>
          <w:sz w:val="32"/>
          <w:szCs w:val="32"/>
          <w:lang w:val="en-US" w:eastAsia="zh-CN"/>
        </w:rPr>
        <w:t>；预算管理规范性有待加强，在项目执行进度明显滞后的情况下未及时履行预算调整手续，项目周期为2022年9月26日至2023年9月25日，与年度实际资金需求不符。</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outlineLvl w:val="1"/>
        <w:rPr>
          <w:rFonts w:hint="eastAsia" w:ascii="仿宋_GB2312" w:hAnsi="仿宋_GB2312" w:eastAsia="仿宋_GB2312" w:cs="仿宋_GB2312"/>
          <w:b/>
          <w:bCs/>
          <w:sz w:val="32"/>
          <w:szCs w:val="32"/>
          <w:lang w:val="en-US" w:eastAsia="zh-CN"/>
        </w:rPr>
      </w:pPr>
      <w:bookmarkStart w:id="210" w:name="_Toc27735"/>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项目绩效目标及绩效指标设置科学合理性不足</w:t>
      </w:r>
      <w:bookmarkEnd w:id="210"/>
    </w:p>
    <w:p>
      <w:pPr>
        <w:keepNext w:val="0"/>
        <w:keepLines w:val="0"/>
        <w:pageBreakBefore w:val="0"/>
        <w:widowControl w:val="0"/>
        <w:kinsoku/>
        <w:wordWrap/>
        <w:overflowPunct/>
        <w:topLinePunct w:val="0"/>
        <w:autoSpaceDE/>
        <w:autoSpaceDN/>
        <w:bidi w:val="0"/>
        <w:spacing w:line="560" w:lineRule="exact"/>
        <w:ind w:firstLine="642"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pacing w:val="0"/>
          <w:kern w:val="2"/>
          <w:sz w:val="32"/>
          <w:szCs w:val="32"/>
          <w:u w:val="none"/>
          <w:lang w:val="en-US" w:eastAsia="zh-CN" w:bidi="ar-SA"/>
        </w:rPr>
        <w:t>绩效目标设置方面，</w:t>
      </w:r>
      <w:r>
        <w:rPr>
          <w:rFonts w:hint="eastAsia" w:ascii="仿宋_GB2312" w:hAnsi="仿宋_GB2312" w:eastAsia="仿宋_GB2312" w:cs="仿宋_GB2312"/>
          <w:spacing w:val="0"/>
          <w:kern w:val="2"/>
          <w:sz w:val="32"/>
          <w:szCs w:val="32"/>
          <w:u w:val="none"/>
          <w:lang w:val="en-US" w:eastAsia="zh-CN" w:bidi="ar-SA"/>
        </w:rPr>
        <w:t>项目年度目标对项目实施的预期产出阐述偏笼统，不够明确、具体。</w:t>
      </w:r>
      <w:r>
        <w:rPr>
          <w:rFonts w:hint="eastAsia" w:ascii="仿宋_GB2312" w:hAnsi="仿宋_GB2312" w:eastAsia="仿宋_GB2312" w:cs="仿宋_GB2312"/>
          <w:b/>
          <w:bCs/>
          <w:spacing w:val="0"/>
          <w:kern w:val="2"/>
          <w:sz w:val="32"/>
          <w:szCs w:val="32"/>
          <w:u w:val="none"/>
          <w:lang w:val="en-US" w:eastAsia="zh-CN" w:bidi="ar-SA"/>
        </w:rPr>
        <w:t>绩效指标设置方面，质量指标</w:t>
      </w:r>
      <w:r>
        <w:rPr>
          <w:rFonts w:hint="eastAsia" w:ascii="仿宋_GB2312" w:hAnsi="仿宋_GB2312" w:eastAsia="仿宋_GB2312" w:cs="仿宋_GB2312"/>
          <w:b w:val="0"/>
          <w:bCs w:val="0"/>
          <w:spacing w:val="0"/>
          <w:kern w:val="2"/>
          <w:sz w:val="32"/>
          <w:szCs w:val="32"/>
          <w:u w:val="none"/>
          <w:lang w:val="en-US" w:eastAsia="zh-CN" w:bidi="ar-SA"/>
        </w:rPr>
        <w:t>仅设置为验收合格率100%，未针对项目实际产出明确质量考核指标，质量指标明确性不足；</w:t>
      </w:r>
      <w:r>
        <w:rPr>
          <w:rFonts w:hint="eastAsia" w:ascii="仿宋_GB2312" w:hAnsi="仿宋_GB2312" w:eastAsia="仿宋_GB2312" w:cs="仿宋_GB2312"/>
          <w:b/>
          <w:bCs/>
          <w:spacing w:val="0"/>
          <w:kern w:val="2"/>
          <w:sz w:val="32"/>
          <w:szCs w:val="32"/>
          <w:u w:val="none"/>
          <w:lang w:val="en-US" w:eastAsia="zh-CN" w:bidi="ar-SA"/>
        </w:rPr>
        <w:t>时效指标</w:t>
      </w:r>
      <w:r>
        <w:rPr>
          <w:rFonts w:hint="eastAsia" w:ascii="仿宋_GB2312" w:hAnsi="仿宋_GB2312" w:eastAsia="仿宋_GB2312" w:cs="仿宋_GB2312"/>
          <w:sz w:val="32"/>
          <w:szCs w:val="32"/>
          <w:lang w:val="en-US" w:eastAsia="zh-CN"/>
        </w:rPr>
        <w:t>设置“截至11月底项目支出完成率100%”等该类普适性指标，</w:t>
      </w:r>
      <w:r>
        <w:rPr>
          <w:rFonts w:hint="eastAsia" w:ascii="仿宋_GB2312" w:hAnsi="仿宋_GB2312" w:eastAsia="仿宋_GB2312" w:cs="仿宋_GB2312"/>
          <w:sz w:val="32"/>
          <w:szCs w:val="32"/>
        </w:rPr>
        <w:t>该项目实施具有较为明确工作要求及进度安排，但时效指标设定不够细化</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bCs/>
          <w:sz w:val="32"/>
          <w:szCs w:val="32"/>
        </w:rPr>
        <w:t>成本指标</w:t>
      </w:r>
      <w:r>
        <w:rPr>
          <w:rFonts w:hint="eastAsia" w:ascii="仿宋_GB2312" w:hAnsi="仿宋_GB2312" w:eastAsia="仿宋_GB2312" w:cs="仿宋_GB2312"/>
          <w:sz w:val="32"/>
          <w:szCs w:val="32"/>
        </w:rPr>
        <w:t>仅明确项目总体预算控制数，未根据3项实施内容进行成本拆分，细化程度不足</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sz w:val="32"/>
          <w:szCs w:val="32"/>
          <w:lang w:val="en-US" w:eastAsia="zh-CN"/>
        </w:rPr>
        <w:t>社会效益指标</w:t>
      </w:r>
      <w:r>
        <w:rPr>
          <w:rFonts w:hint="eastAsia" w:ascii="仿宋_GB2312" w:hAnsi="仿宋_GB2312" w:eastAsia="仿宋_GB2312" w:cs="仿宋_GB2312"/>
          <w:sz w:val="32"/>
          <w:szCs w:val="32"/>
          <w:lang w:val="en-US" w:eastAsia="zh-CN"/>
        </w:rPr>
        <w:t>“提升智慧城市专项规划评审、顶层设计评审等相关工作的专业化水平”等设置</w:t>
      </w:r>
      <w:r>
        <w:rPr>
          <w:rFonts w:hint="eastAsia" w:ascii="仿宋_GB2312" w:hAnsi="仿宋_GB2312" w:eastAsia="仿宋_GB2312" w:cs="仿宋_GB2312"/>
          <w:sz w:val="32"/>
          <w:szCs w:val="32"/>
          <w:highlight w:val="none"/>
          <w:lang w:val="en-US" w:eastAsia="zh-CN"/>
        </w:rPr>
        <w:t>为定性表述，但未定性分级，指标可评价性不高。</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outlineLvl w:val="1"/>
        <w:rPr>
          <w:rFonts w:hint="default" w:ascii="仿宋_GB2312" w:hAnsi="仿宋_GB2312" w:eastAsia="仿宋_GB2312" w:cs="仿宋_GB2312"/>
          <w:b/>
          <w:bCs/>
          <w:sz w:val="32"/>
          <w:szCs w:val="32"/>
          <w:lang w:val="en-US" w:eastAsia="zh-CN"/>
        </w:rPr>
      </w:pPr>
      <w:bookmarkStart w:id="211" w:name="_Toc1279"/>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项目过程管理</w:t>
      </w:r>
      <w:r>
        <w:rPr>
          <w:rFonts w:hint="eastAsia" w:ascii="仿宋_GB2312" w:hAnsi="仿宋_GB2312" w:eastAsia="仿宋_GB2312" w:cs="仿宋_GB2312"/>
          <w:b/>
          <w:bCs/>
          <w:sz w:val="32"/>
          <w:szCs w:val="32"/>
          <w:lang w:val="en-US" w:eastAsia="zh-CN"/>
        </w:rPr>
        <w:t>及资金管理严谨</w:t>
      </w:r>
      <w:r>
        <w:rPr>
          <w:rFonts w:hint="eastAsia" w:ascii="仿宋_GB2312" w:hAnsi="仿宋_GB2312" w:eastAsia="仿宋_GB2312" w:cs="仿宋_GB2312"/>
          <w:b/>
          <w:bCs/>
          <w:sz w:val="32"/>
          <w:szCs w:val="32"/>
        </w:rPr>
        <w:t>性不足，风险防控意识有待提升</w:t>
      </w:r>
      <w:bookmarkEnd w:id="211"/>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outlineLvl w:val="9"/>
        <w:rPr>
          <w:rFonts w:hint="eastAsia" w:ascii="仿宋_GB2312" w:hAnsi="仿宋_GB2312" w:eastAsia="仿宋_GB2312" w:cs="仿宋_GB2312"/>
          <w:b w:val="0"/>
          <w:bCs w:val="0"/>
          <w:sz w:val="32"/>
          <w:szCs w:val="32"/>
          <w:lang w:val="en-US" w:eastAsia="zh-CN"/>
        </w:rPr>
      </w:pPr>
      <w:bookmarkStart w:id="212" w:name="_Toc19530"/>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b w:val="0"/>
          <w:bCs w:val="0"/>
          <w:sz w:val="32"/>
          <w:szCs w:val="32"/>
          <w:lang w:val="en-US" w:eastAsia="zh-CN"/>
        </w:rPr>
        <w:t>大数据建设处作为主管部门在项目中承担的职责不够明确，与项目承担机构的协调机制有待加强；</w:t>
      </w:r>
      <w:r>
        <w:rPr>
          <w:rFonts w:hint="eastAsia" w:ascii="仿宋_GB2312" w:hAnsi="仿宋_GB2312" w:eastAsia="仿宋_GB2312" w:cs="仿宋_GB2312"/>
          <w:b/>
          <w:bCs/>
          <w:sz w:val="32"/>
          <w:szCs w:val="32"/>
          <w:lang w:val="en-US" w:eastAsia="zh-CN"/>
        </w:rPr>
        <w:t>二是</w:t>
      </w:r>
      <w:r>
        <w:rPr>
          <w:rFonts w:hint="default" w:ascii="仿宋_GB2312" w:hAnsi="仿宋_GB2312" w:eastAsia="仿宋_GB2312" w:cs="仿宋_GB2312"/>
          <w:sz w:val="32"/>
          <w:szCs w:val="32"/>
        </w:rPr>
        <w:t>项目资金于合同签订后一次性支付，资金支出进度未与实施进度有效挂钩，存在一定的支出风险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b w:val="0"/>
          <w:bCs w:val="0"/>
          <w:sz w:val="32"/>
          <w:szCs w:val="32"/>
          <w:lang w:val="en-US" w:eastAsia="zh-CN"/>
        </w:rPr>
        <w:t>政府采购合同的严谨性有待加强，合同中对工作任务、工作质量等方面的要求不够清晰明确，且合同中约定一次性付清项目款项，未充分考虑承担机构履约风险；</w:t>
      </w:r>
      <w:r>
        <w:rPr>
          <w:rFonts w:hint="eastAsia" w:ascii="仿宋_GB2312" w:hAnsi="仿宋_GB2312" w:eastAsia="仿宋_GB2312" w:cs="仿宋_GB2312"/>
          <w:b/>
          <w:bCs/>
          <w:sz w:val="32"/>
          <w:szCs w:val="32"/>
          <w:lang w:val="en-US" w:eastAsia="zh-CN"/>
        </w:rPr>
        <w:t>四是</w:t>
      </w:r>
      <w:r>
        <w:rPr>
          <w:rFonts w:hint="eastAsia" w:ascii="仿宋_GB2312" w:hAnsi="仿宋_GB2312" w:eastAsia="仿宋_GB2312" w:cs="仿宋_GB2312"/>
          <w:b w:val="0"/>
          <w:bCs w:val="0"/>
          <w:spacing w:val="0"/>
          <w:kern w:val="2"/>
          <w:sz w:val="32"/>
          <w:szCs w:val="32"/>
          <w:u w:val="none"/>
          <w:lang w:val="en-US" w:eastAsia="zh-CN" w:bidi="ar-SA"/>
        </w:rPr>
        <w:t>验收标准不够健全、完善，</w:t>
      </w:r>
      <w:r>
        <w:rPr>
          <w:rFonts w:hint="default" w:ascii="仿宋_GB2312" w:hAnsi="仿宋_GB2312" w:eastAsia="仿宋_GB2312" w:cs="仿宋_GB2312"/>
          <w:b w:val="0"/>
          <w:bCs w:val="0"/>
          <w:spacing w:val="0"/>
          <w:kern w:val="2"/>
          <w:sz w:val="32"/>
          <w:szCs w:val="32"/>
          <w:u w:val="none"/>
          <w:lang w:val="en-US" w:eastAsia="zh-CN" w:bidi="ar-SA"/>
        </w:rPr>
        <w:t>缺乏</w:t>
      </w:r>
      <w:r>
        <w:rPr>
          <w:rFonts w:hint="eastAsia" w:ascii="仿宋_GB2312" w:hAnsi="仿宋_GB2312" w:eastAsia="仿宋_GB2312" w:cs="仿宋_GB2312"/>
          <w:b w:val="0"/>
          <w:bCs w:val="0"/>
          <w:spacing w:val="0"/>
          <w:kern w:val="2"/>
          <w:sz w:val="32"/>
          <w:szCs w:val="32"/>
          <w:u w:val="none"/>
          <w:lang w:val="en-US" w:eastAsia="zh-CN" w:bidi="ar-SA"/>
        </w:rPr>
        <w:t>对项目</w:t>
      </w:r>
      <w:r>
        <w:rPr>
          <w:rFonts w:hint="default" w:ascii="仿宋_GB2312" w:hAnsi="仿宋_GB2312" w:eastAsia="仿宋_GB2312" w:cs="仿宋_GB2312"/>
          <w:b w:val="0"/>
          <w:bCs w:val="0"/>
          <w:spacing w:val="0"/>
          <w:kern w:val="2"/>
          <w:sz w:val="32"/>
          <w:szCs w:val="32"/>
          <w:u w:val="none"/>
          <w:lang w:val="en-US" w:eastAsia="zh-CN" w:bidi="ar-SA"/>
        </w:rPr>
        <w:t>明确的质量标准</w:t>
      </w:r>
      <w:r>
        <w:rPr>
          <w:rFonts w:hint="eastAsia" w:ascii="仿宋_GB2312" w:hAnsi="仿宋_GB2312" w:eastAsia="仿宋_GB2312" w:cs="仿宋_GB2312"/>
          <w:b w:val="0"/>
          <w:bCs w:val="0"/>
          <w:spacing w:val="0"/>
          <w:kern w:val="2"/>
          <w:sz w:val="32"/>
          <w:szCs w:val="32"/>
          <w:u w:val="none"/>
          <w:lang w:val="en-US" w:eastAsia="zh-CN" w:bidi="ar-SA"/>
        </w:rPr>
        <w:t>，评估评价报告以及项目储备库建设的标准或水平不够明确，项目质量管控有待加强。</w:t>
      </w:r>
      <w:bookmarkEnd w:id="212"/>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0"/>
        <w:rPr>
          <w:rFonts w:hint="default" w:eastAsia="黑体"/>
          <w:sz w:val="32"/>
          <w:szCs w:val="32"/>
          <w:lang w:val="en-US" w:eastAsia="zh-CN"/>
        </w:rPr>
      </w:pPr>
      <w:bookmarkStart w:id="213" w:name="_Toc12769"/>
      <w:r>
        <w:rPr>
          <w:rFonts w:hint="eastAsia" w:eastAsia="黑体"/>
          <w:sz w:val="32"/>
          <w:szCs w:val="32"/>
          <w:lang w:val="en-US" w:eastAsia="zh-CN"/>
        </w:rPr>
        <w:t>六、相关建议</w:t>
      </w:r>
      <w:bookmarkEnd w:id="213"/>
    </w:p>
    <w:p>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default" w:ascii="楷体_GB2312" w:hAnsi="楷体_GB2312" w:eastAsia="楷体_GB2312" w:cs="楷体_GB2312"/>
          <w:kern w:val="2"/>
          <w:sz w:val="32"/>
          <w:szCs w:val="32"/>
          <w:u w:val="none"/>
          <w:lang w:val="en-US" w:eastAsia="zh-CN" w:bidi="ar-SA"/>
        </w:rPr>
      </w:pPr>
      <w:bookmarkStart w:id="214" w:name="_Toc12634"/>
      <w:r>
        <w:rPr>
          <w:rFonts w:hint="eastAsia" w:ascii="楷体_GB2312" w:hAnsi="楷体_GB2312" w:eastAsia="楷体_GB2312" w:cs="楷体_GB2312"/>
          <w:kern w:val="2"/>
          <w:sz w:val="32"/>
          <w:szCs w:val="32"/>
          <w:u w:val="none"/>
          <w:lang w:val="en-US" w:eastAsia="zh-CN" w:bidi="ar-SA"/>
        </w:rPr>
        <w:t>（一）建议加强项目前期论证，</w:t>
      </w:r>
      <w:r>
        <w:rPr>
          <w:rFonts w:hint="eastAsia" w:ascii="楷体_GB2312" w:hAnsi="楷体_GB2312" w:eastAsia="楷体_GB2312" w:cs="楷体_GB2312"/>
          <w:sz w:val="32"/>
          <w:szCs w:val="32"/>
        </w:rPr>
        <w:t>合理编制预算</w:t>
      </w:r>
      <w:bookmarkEnd w:id="214"/>
    </w:p>
    <w:p>
      <w:pPr>
        <w:pStyle w:val="4"/>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9"/>
        <w:rPr>
          <w:rFonts w:hint="eastAsia" w:ascii="仿宋_GB2312" w:hAnsi="仿宋_GB2312" w:eastAsia="仿宋_GB2312" w:cs="仿宋_GB2312"/>
          <w:kern w:val="2"/>
          <w:sz w:val="32"/>
          <w:szCs w:val="32"/>
          <w:u w:val="none"/>
          <w:lang w:val="en-US" w:eastAsia="zh-CN" w:bidi="ar-SA"/>
        </w:rPr>
      </w:pPr>
      <w:r>
        <w:rPr>
          <w:rFonts w:hint="eastAsia" w:ascii="仿宋_GB2312" w:hAnsi="仿宋_GB2312" w:eastAsia="仿宋_GB2312" w:cs="仿宋_GB2312"/>
          <w:kern w:val="2"/>
          <w:sz w:val="32"/>
          <w:szCs w:val="32"/>
          <w:u w:val="none"/>
          <w:lang w:val="en-US" w:eastAsia="zh-CN" w:bidi="ar-SA"/>
        </w:rPr>
        <w:t>建议项目单位提升决策管理意识，对于需要委托项目承担机构承担的项目，在立项前期应加强需求分析，充分论证项目对外委托的必要性和迫切性。同时</w:t>
      </w:r>
      <w:r>
        <w:rPr>
          <w:rFonts w:hint="eastAsia" w:ascii="仿宋_GB2312" w:hAnsi="仿宋_GB2312" w:eastAsia="仿宋_GB2312" w:cs="仿宋_GB2312"/>
          <w:sz w:val="32"/>
          <w:szCs w:val="32"/>
        </w:rPr>
        <w:t>建议项目单位夯实预算</w:t>
      </w:r>
      <w:r>
        <w:rPr>
          <w:rFonts w:hint="eastAsia" w:ascii="仿宋_GB2312" w:hAnsi="仿宋_GB2312" w:eastAsia="仿宋_GB2312" w:cs="仿宋_GB2312"/>
          <w:sz w:val="32"/>
          <w:szCs w:val="32"/>
          <w:lang w:val="en-US" w:eastAsia="zh-CN"/>
        </w:rPr>
        <w:t>编制</w:t>
      </w:r>
      <w:r>
        <w:rPr>
          <w:rFonts w:hint="eastAsia" w:ascii="仿宋_GB2312" w:hAnsi="仿宋_GB2312" w:eastAsia="仿宋_GB2312" w:cs="仿宋_GB2312"/>
          <w:sz w:val="32"/>
          <w:szCs w:val="32"/>
        </w:rPr>
        <w:t>基础，</w:t>
      </w:r>
      <w:r>
        <w:rPr>
          <w:rFonts w:hint="eastAsia" w:ascii="仿宋_GB2312" w:hAnsi="仿宋_GB2312" w:eastAsia="仿宋_GB2312" w:cs="仿宋_GB2312"/>
          <w:sz w:val="32"/>
          <w:szCs w:val="32"/>
          <w:lang w:val="en-US" w:eastAsia="zh-CN"/>
        </w:rPr>
        <w:t>跨年项目应按照当年资金需求申报预算，</w:t>
      </w:r>
      <w:r>
        <w:rPr>
          <w:rFonts w:hint="eastAsia" w:ascii="仿宋_GB2312" w:hAnsi="仿宋_GB2312" w:eastAsia="仿宋_GB2312" w:cs="仿宋_GB2312"/>
          <w:sz w:val="32"/>
          <w:szCs w:val="32"/>
        </w:rPr>
        <w:t>根据项目实施内容、预期目标、实施方案编制预算，</w:t>
      </w:r>
      <w:r>
        <w:rPr>
          <w:rFonts w:hint="eastAsia" w:ascii="仿宋_GB2312" w:hAnsi="仿宋_GB2312" w:eastAsia="仿宋_GB2312" w:cs="仿宋_GB2312"/>
          <w:sz w:val="32"/>
          <w:szCs w:val="32"/>
          <w:lang w:val="en-US" w:eastAsia="zh-CN"/>
        </w:rPr>
        <w:t>明确各项</w:t>
      </w:r>
      <w:r>
        <w:rPr>
          <w:rFonts w:hint="eastAsia" w:ascii="仿宋_GB2312" w:hAnsi="仿宋_GB2312" w:eastAsia="仿宋_GB2312" w:cs="仿宋_GB2312"/>
          <w:sz w:val="32"/>
          <w:szCs w:val="32"/>
        </w:rPr>
        <w:t>工作需要投入的人月数量的测算依据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根据各部门或单位特点分别测算投入的成本，明确</w:t>
      </w:r>
      <w:r>
        <w:rPr>
          <w:rFonts w:hint="eastAsia" w:ascii="仿宋_GB2312" w:hAnsi="仿宋_GB2312" w:eastAsia="仿宋_GB2312" w:cs="仿宋_GB2312"/>
          <w:sz w:val="32"/>
          <w:szCs w:val="32"/>
          <w:lang w:val="en-US" w:eastAsia="zh-CN"/>
        </w:rPr>
        <w:t>各</w:t>
      </w:r>
      <w:r>
        <w:rPr>
          <w:rFonts w:hint="eastAsia" w:ascii="仿宋_GB2312" w:hAnsi="仿宋_GB2312" w:eastAsia="仿宋_GB2312" w:cs="仿宋_GB2312"/>
          <w:sz w:val="32"/>
          <w:szCs w:val="32"/>
        </w:rPr>
        <w:t>项工作投入人员的岗位、工作内容以及人员级别</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细化并清晰呈现预算测算过程，准确选取各类费用的测算标准和依据，提高预算编制的准确性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资金分配方面，建议根据各</w:t>
      </w:r>
      <w:r>
        <w:rPr>
          <w:rFonts w:hint="eastAsia" w:ascii="仿宋_GB2312" w:hAnsi="仿宋_GB2312" w:eastAsia="仿宋_GB2312" w:cs="仿宋_GB2312"/>
          <w:sz w:val="32"/>
          <w:szCs w:val="32"/>
          <w:highlight w:val="none"/>
          <w:lang w:val="en-US" w:eastAsia="zh-CN"/>
        </w:rPr>
        <w:t>联合体具体承担的工作量合理分配</w:t>
      </w:r>
      <w:r>
        <w:rPr>
          <w:rFonts w:hint="eastAsia" w:ascii="仿宋_GB2312" w:hAnsi="仿宋_GB2312" w:eastAsia="仿宋_GB2312" w:cs="仿宋_GB2312"/>
          <w:spacing w:val="0"/>
          <w:kern w:val="2"/>
          <w:sz w:val="32"/>
          <w:szCs w:val="32"/>
          <w:highlight w:val="none"/>
          <w:u w:val="none"/>
          <w:lang w:val="en-US" w:eastAsia="zh-CN" w:bidi="ar-SA"/>
        </w:rPr>
        <w:t>资金，</w:t>
      </w:r>
      <w:r>
        <w:rPr>
          <w:rFonts w:hint="eastAsia" w:ascii="仿宋_GB2312" w:hAnsi="仿宋_GB2312" w:eastAsia="仿宋_GB2312" w:cs="仿宋_GB2312"/>
          <w:sz w:val="32"/>
          <w:szCs w:val="32"/>
        </w:rPr>
        <w:t>增强</w:t>
      </w:r>
      <w:r>
        <w:rPr>
          <w:rFonts w:hint="eastAsia" w:ascii="仿宋_GB2312" w:hAnsi="仿宋_GB2312" w:eastAsia="仿宋_GB2312" w:cs="仿宋_GB2312"/>
          <w:sz w:val="32"/>
          <w:szCs w:val="32"/>
          <w:lang w:val="en-US" w:eastAsia="zh-CN"/>
        </w:rPr>
        <w:t>资金分配额度</w:t>
      </w:r>
      <w:r>
        <w:rPr>
          <w:rFonts w:hint="eastAsia" w:ascii="仿宋_GB2312" w:hAnsi="仿宋_GB2312" w:eastAsia="仿宋_GB2312" w:cs="仿宋_GB2312"/>
          <w:sz w:val="32"/>
          <w:szCs w:val="32"/>
        </w:rPr>
        <w:t>与</w:t>
      </w:r>
      <w:r>
        <w:rPr>
          <w:rFonts w:hint="eastAsia" w:ascii="仿宋_GB2312" w:hAnsi="仿宋_GB2312" w:eastAsia="仿宋_GB2312" w:cs="仿宋_GB2312"/>
          <w:sz w:val="32"/>
          <w:szCs w:val="32"/>
          <w:lang w:val="en-US" w:eastAsia="zh-CN"/>
        </w:rPr>
        <w:t>对应</w:t>
      </w:r>
      <w:r>
        <w:rPr>
          <w:rFonts w:hint="eastAsia" w:ascii="仿宋_GB2312" w:hAnsi="仿宋_GB2312" w:eastAsia="仿宋_GB2312" w:cs="仿宋_GB2312"/>
          <w:sz w:val="32"/>
          <w:szCs w:val="32"/>
        </w:rPr>
        <w:t>任务</w:t>
      </w:r>
      <w:r>
        <w:rPr>
          <w:rFonts w:hint="eastAsia" w:ascii="仿宋_GB2312" w:hAnsi="仿宋_GB2312" w:eastAsia="仿宋_GB2312" w:cs="仿宋_GB2312"/>
          <w:sz w:val="32"/>
          <w:szCs w:val="32"/>
          <w:lang w:val="en-US" w:eastAsia="zh-CN"/>
        </w:rPr>
        <w:t>量</w:t>
      </w:r>
      <w:r>
        <w:rPr>
          <w:rFonts w:hint="eastAsia" w:ascii="仿宋_GB2312" w:hAnsi="仿宋_GB2312" w:eastAsia="仿宋_GB2312" w:cs="仿宋_GB2312"/>
          <w:sz w:val="32"/>
          <w:szCs w:val="32"/>
        </w:rPr>
        <w:t>的匹配度</w:t>
      </w:r>
      <w:r>
        <w:rPr>
          <w:rFonts w:hint="eastAsia" w:ascii="仿宋_GB2312" w:hAnsi="仿宋_GB2312" w:eastAsia="仿宋_GB2312" w:cs="仿宋_GB2312"/>
          <w:sz w:val="32"/>
          <w:szCs w:val="32"/>
          <w:lang w:eastAsia="zh-CN"/>
        </w:rPr>
        <w:t>。</w:t>
      </w:r>
    </w:p>
    <w:p>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_GB2312" w:hAnsi="楷体_GB2312" w:eastAsia="楷体_GB2312" w:cs="楷体_GB2312"/>
          <w:kern w:val="2"/>
          <w:sz w:val="32"/>
          <w:szCs w:val="32"/>
          <w:u w:val="none"/>
          <w:lang w:val="en-US" w:eastAsia="zh-CN" w:bidi="ar-SA"/>
        </w:rPr>
      </w:pPr>
      <w:bookmarkStart w:id="215" w:name="_Toc8322"/>
      <w:bookmarkStart w:id="216" w:name="_Toc2500"/>
      <w:r>
        <w:rPr>
          <w:rFonts w:hint="eastAsia" w:ascii="楷体_GB2312" w:hAnsi="楷体_GB2312" w:eastAsia="楷体_GB2312" w:cs="楷体_GB2312"/>
          <w:kern w:val="2"/>
          <w:sz w:val="32"/>
          <w:szCs w:val="32"/>
          <w:u w:val="none"/>
          <w:lang w:val="en-US" w:eastAsia="zh-CN" w:bidi="ar-SA"/>
        </w:rPr>
        <w:t>（二）建议完善绩效目标及指标设置，强化绩效目标指导作用</w:t>
      </w:r>
      <w:bookmarkEnd w:id="215"/>
      <w:bookmarkEnd w:id="216"/>
    </w:p>
    <w:p>
      <w:pPr>
        <w:pStyle w:val="4"/>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建议加强绩效目标填报研究，科学合理设置项目绩效目标，总结项目实施内容、预期目标及预期效果，年度绩效目标应有效涵盖年度重点工作任务；合理设置绩效指标，深入挖掘项目实施效益，提高指标细化量化程度，充分发挥绩效目标的导向作用，如，</w:t>
      </w:r>
      <w:r>
        <w:rPr>
          <w:rFonts w:hint="eastAsia" w:ascii="仿宋_GB2312" w:hAnsi="仿宋_GB2312" w:eastAsia="仿宋_GB2312" w:cs="仿宋_GB2312"/>
          <w:b/>
          <w:bCs/>
          <w:sz w:val="32"/>
          <w:szCs w:val="32"/>
          <w:lang w:val="en-US" w:eastAsia="zh-CN"/>
        </w:rPr>
        <w:t>质量指标</w:t>
      </w:r>
      <w:r>
        <w:rPr>
          <w:rFonts w:hint="eastAsia" w:ascii="仿宋_GB2312" w:hAnsi="仿宋_GB2312" w:eastAsia="仿宋_GB2312" w:cs="仿宋_GB2312"/>
          <w:sz w:val="32"/>
          <w:szCs w:val="32"/>
          <w:lang w:val="en-US" w:eastAsia="zh-CN"/>
        </w:rPr>
        <w:t>建议明确</w:t>
      </w:r>
      <w:r>
        <w:rPr>
          <w:rFonts w:hint="eastAsia" w:ascii="仿宋_GB2312" w:hAnsi="仿宋_GB2312" w:eastAsia="仿宋_GB2312" w:cs="仿宋_GB2312"/>
          <w:b w:val="0"/>
          <w:bCs w:val="0"/>
          <w:spacing w:val="0"/>
          <w:kern w:val="2"/>
          <w:sz w:val="32"/>
          <w:szCs w:val="32"/>
          <w:u w:val="none"/>
          <w:lang w:val="en-US" w:eastAsia="zh-CN" w:bidi="ar-SA"/>
        </w:rPr>
        <w:t>评估评价报告以及项目储备库建设的标准或水平；</w:t>
      </w:r>
      <w:r>
        <w:rPr>
          <w:rFonts w:hint="eastAsia" w:ascii="仿宋_GB2312" w:hAnsi="仿宋_GB2312" w:eastAsia="仿宋_GB2312" w:cs="仿宋_GB2312"/>
          <w:b/>
          <w:bCs/>
          <w:sz w:val="32"/>
          <w:szCs w:val="32"/>
        </w:rPr>
        <w:t>时效指标</w:t>
      </w:r>
      <w:r>
        <w:rPr>
          <w:rFonts w:hint="eastAsia" w:ascii="仿宋_GB2312" w:hAnsi="仿宋_GB2312" w:eastAsia="仿宋_GB2312" w:cs="仿宋_GB2312"/>
          <w:sz w:val="32"/>
          <w:szCs w:val="32"/>
          <w:lang w:val="en-US" w:eastAsia="zh-CN"/>
        </w:rPr>
        <w:t>建议</w:t>
      </w:r>
      <w:r>
        <w:rPr>
          <w:rFonts w:hint="eastAsia" w:ascii="仿宋_GB2312" w:hAnsi="仿宋_GB2312" w:eastAsia="仿宋_GB2312" w:cs="仿宋_GB2312"/>
          <w:sz w:val="32"/>
          <w:szCs w:val="32"/>
        </w:rPr>
        <w:t>明确项目实施的关键时间节点以及开展及时性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sz w:val="32"/>
          <w:szCs w:val="32"/>
        </w:rPr>
        <w:t>成本指标</w:t>
      </w:r>
      <w:r>
        <w:rPr>
          <w:rFonts w:hint="eastAsia" w:ascii="仿宋_GB2312" w:hAnsi="仿宋_GB2312" w:eastAsia="仿宋_GB2312" w:cs="仿宋_GB2312"/>
          <w:sz w:val="32"/>
          <w:szCs w:val="32"/>
          <w:lang w:val="en-US" w:eastAsia="zh-CN"/>
        </w:rPr>
        <w:t>建议进一步拆分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分别明确</w:t>
      </w:r>
      <w:r>
        <w:rPr>
          <w:rFonts w:hint="eastAsia" w:ascii="仿宋_GB2312" w:hAnsi="仿宋_GB2312" w:eastAsia="仿宋_GB2312" w:cs="仿宋_GB2312"/>
          <w:sz w:val="32"/>
          <w:szCs w:val="32"/>
        </w:rPr>
        <w:t>3项实施内容</w:t>
      </w:r>
      <w:r>
        <w:rPr>
          <w:rFonts w:hint="eastAsia" w:ascii="仿宋_GB2312" w:hAnsi="仿宋_GB2312" w:eastAsia="仿宋_GB2312" w:cs="仿宋_GB2312"/>
          <w:sz w:val="32"/>
          <w:szCs w:val="32"/>
          <w:lang w:val="en-US" w:eastAsia="zh-CN"/>
        </w:rPr>
        <w:t>的单项</w:t>
      </w:r>
      <w:r>
        <w:rPr>
          <w:rFonts w:hint="eastAsia" w:ascii="仿宋_GB2312" w:hAnsi="仿宋_GB2312" w:eastAsia="仿宋_GB2312" w:cs="仿宋_GB2312"/>
          <w:sz w:val="32"/>
          <w:szCs w:val="32"/>
        </w:rPr>
        <w:t>成本</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sz w:val="32"/>
          <w:szCs w:val="32"/>
        </w:rPr>
        <w:t>效益指标</w:t>
      </w:r>
      <w:r>
        <w:rPr>
          <w:rFonts w:hint="eastAsia" w:ascii="仿宋_GB2312" w:hAnsi="仿宋_GB2312" w:eastAsia="仿宋_GB2312" w:cs="仿宋_GB2312"/>
          <w:sz w:val="32"/>
          <w:szCs w:val="32"/>
        </w:rPr>
        <w:t>应进一步细化量化，建议</w:t>
      </w:r>
      <w:r>
        <w:rPr>
          <w:rFonts w:hint="eastAsia" w:ascii="仿宋_GB2312" w:hAnsi="仿宋_GB2312" w:eastAsia="仿宋_GB2312" w:cs="仿宋_GB2312"/>
          <w:sz w:val="32"/>
          <w:szCs w:val="32"/>
          <w:lang w:val="en-US" w:eastAsia="zh-CN"/>
        </w:rPr>
        <w:t>围绕</w:t>
      </w:r>
      <w:r>
        <w:rPr>
          <w:rFonts w:hint="eastAsia" w:ascii="仿宋_GB2312" w:hAnsi="仿宋_GB2312" w:eastAsia="仿宋_GB2312" w:cs="仿宋_GB2312"/>
          <w:sz w:val="32"/>
          <w:szCs w:val="32"/>
        </w:rPr>
        <w:t>评估结果运用效果</w:t>
      </w:r>
      <w:r>
        <w:rPr>
          <w:rFonts w:hint="eastAsia" w:ascii="仿宋_GB2312" w:hAnsi="仿宋_GB2312" w:eastAsia="仿宋_GB2312" w:cs="仿宋_GB2312"/>
          <w:sz w:val="32"/>
          <w:szCs w:val="32"/>
          <w:lang w:val="en-US" w:eastAsia="zh-CN"/>
        </w:rPr>
        <w:t>等方面设置效益指标。</w:t>
      </w:r>
    </w:p>
    <w:p>
      <w:pPr>
        <w:pStyle w:val="4"/>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1"/>
        <w:rPr>
          <w:rFonts w:hint="eastAsia" w:ascii="楷体_GB2312" w:hAnsi="楷体_GB2312" w:eastAsia="楷体_GB2312" w:cs="楷体_GB2312"/>
          <w:kern w:val="2"/>
          <w:sz w:val="32"/>
          <w:szCs w:val="32"/>
          <w:u w:val="none"/>
          <w:lang w:val="en-US" w:eastAsia="zh-CN" w:bidi="ar-SA"/>
        </w:rPr>
      </w:pPr>
      <w:bookmarkStart w:id="217" w:name="_Toc19075"/>
      <w:r>
        <w:rPr>
          <w:rFonts w:hint="eastAsia" w:ascii="楷体_GB2312" w:hAnsi="楷体_GB2312" w:eastAsia="楷体_GB2312" w:cs="楷体_GB2312"/>
          <w:kern w:val="2"/>
          <w:sz w:val="32"/>
          <w:szCs w:val="32"/>
          <w:u w:val="none"/>
          <w:lang w:val="en-US" w:eastAsia="zh-CN" w:bidi="ar-SA"/>
        </w:rPr>
        <w:t>（三）建议加强项目精细化管理，提升制度执行有效性</w:t>
      </w:r>
      <w:bookmarkEnd w:id="217"/>
    </w:p>
    <w:p>
      <w:pPr>
        <w:pStyle w:val="4"/>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9"/>
        <w:rPr>
          <w:rFonts w:hint="default" w:ascii="仿宋_GB2312" w:hAnsi="仿宋_GB2312" w:eastAsia="仿宋_GB2312" w:cs="仿宋_GB2312"/>
          <w:kern w:val="2"/>
          <w:sz w:val="32"/>
          <w:szCs w:val="32"/>
          <w:u w:val="none"/>
          <w:lang w:val="en-US" w:eastAsia="zh-CN" w:bidi="ar-SA"/>
        </w:rPr>
      </w:pPr>
      <w:r>
        <w:rPr>
          <w:rFonts w:hint="eastAsia" w:ascii="仿宋_GB2312" w:hAnsi="仿宋_GB2312" w:eastAsia="仿宋_GB2312" w:cs="仿宋_GB2312"/>
          <w:kern w:val="2"/>
          <w:sz w:val="32"/>
          <w:szCs w:val="32"/>
          <w:u w:val="none"/>
          <w:lang w:val="en-US" w:eastAsia="zh-CN" w:bidi="ar-SA"/>
        </w:rPr>
        <w:t>建议项目单位进一步细化工作职责，明确自身与项目承担机构的职责分工，建立协调机制；</w:t>
      </w:r>
      <w:r>
        <w:rPr>
          <w:rFonts w:hint="eastAsia" w:ascii="仿宋_GB2312" w:hAnsi="仿宋_GB2312" w:eastAsia="仿宋_GB2312" w:cs="仿宋_GB2312"/>
          <w:kern w:val="2"/>
          <w:sz w:val="32"/>
          <w:szCs w:val="32"/>
          <w:lang w:val="en-US" w:eastAsia="zh-CN" w:bidi="ar-SA"/>
        </w:rPr>
        <w:t>建议提升合同管理及资金支付的规范性，保证合同价款支付进度与委托服务提供进度相匹配，并于</w:t>
      </w:r>
      <w:r>
        <w:rPr>
          <w:rFonts w:hint="eastAsia" w:ascii="仿宋_GB2312" w:hAnsi="仿宋_GB2312" w:eastAsia="仿宋_GB2312" w:cs="仿宋_GB2312"/>
          <w:sz w:val="32"/>
          <w:szCs w:val="32"/>
        </w:rPr>
        <w:t>合同中</w:t>
      </w:r>
      <w:r>
        <w:rPr>
          <w:rFonts w:hint="eastAsia" w:ascii="仿宋_GB2312" w:hAnsi="仿宋_GB2312" w:eastAsia="仿宋_GB2312" w:cs="仿宋_GB2312"/>
          <w:sz w:val="32"/>
          <w:szCs w:val="32"/>
          <w:lang w:val="en-US" w:eastAsia="zh-CN"/>
        </w:rPr>
        <w:t>明确</w:t>
      </w:r>
      <w:r>
        <w:rPr>
          <w:rFonts w:hint="eastAsia" w:ascii="仿宋_GB2312" w:hAnsi="仿宋_GB2312" w:eastAsia="仿宋_GB2312" w:cs="仿宋_GB2312"/>
          <w:sz w:val="32"/>
          <w:szCs w:val="32"/>
        </w:rPr>
        <w:t>工作任务、工作质量等方面的</w:t>
      </w:r>
      <w:r>
        <w:rPr>
          <w:rFonts w:hint="eastAsia" w:ascii="仿宋_GB2312" w:hAnsi="仿宋_GB2312" w:eastAsia="仿宋_GB2312" w:cs="仿宋_GB2312"/>
          <w:sz w:val="32"/>
          <w:szCs w:val="32"/>
          <w:lang w:val="en-US" w:eastAsia="zh-CN"/>
        </w:rPr>
        <w:t>具体</w:t>
      </w:r>
      <w:r>
        <w:rPr>
          <w:rFonts w:hint="eastAsia" w:ascii="仿宋_GB2312" w:hAnsi="仿宋_GB2312" w:eastAsia="仿宋_GB2312" w:cs="仿宋_GB2312"/>
          <w:sz w:val="32"/>
          <w:szCs w:val="32"/>
        </w:rPr>
        <w:t>要求</w:t>
      </w:r>
      <w:r>
        <w:rPr>
          <w:rFonts w:hint="eastAsia" w:ascii="仿宋_GB2312" w:hAnsi="仿宋_GB2312" w:eastAsia="仿宋_GB2312" w:cs="仿宋_GB2312"/>
          <w:kern w:val="2"/>
          <w:sz w:val="32"/>
          <w:szCs w:val="32"/>
          <w:lang w:val="en-US" w:eastAsia="zh-CN" w:bidi="ar-SA"/>
        </w:rPr>
        <w:t>；建议加强项目质量管控，健全完善项目</w:t>
      </w:r>
      <w:r>
        <w:rPr>
          <w:rFonts w:hint="eastAsia" w:ascii="仿宋_GB2312" w:hAnsi="仿宋_GB2312" w:eastAsia="仿宋_GB2312" w:cs="仿宋_GB2312"/>
          <w:sz w:val="32"/>
          <w:szCs w:val="32"/>
        </w:rPr>
        <w:t>验收标准，对项目质量</w:t>
      </w:r>
      <w:r>
        <w:rPr>
          <w:rFonts w:hint="eastAsia" w:ascii="仿宋_GB2312" w:hAnsi="仿宋_GB2312" w:eastAsia="仿宋_GB2312" w:cs="仿宋_GB2312"/>
          <w:sz w:val="32"/>
          <w:szCs w:val="32"/>
          <w:lang w:val="en-US" w:eastAsia="zh-CN"/>
        </w:rPr>
        <w:t>标准提出</w:t>
      </w:r>
      <w:r>
        <w:rPr>
          <w:rFonts w:hint="eastAsia" w:ascii="仿宋_GB2312" w:hAnsi="仿宋_GB2312" w:eastAsia="仿宋_GB2312" w:cs="仿宋_GB2312"/>
          <w:sz w:val="32"/>
          <w:szCs w:val="32"/>
        </w:rPr>
        <w:t>明确</w:t>
      </w:r>
      <w:r>
        <w:rPr>
          <w:rFonts w:hint="eastAsia" w:ascii="仿宋_GB2312" w:hAnsi="仿宋_GB2312" w:eastAsia="仿宋_GB2312" w:cs="仿宋_GB2312"/>
          <w:sz w:val="32"/>
          <w:szCs w:val="32"/>
          <w:lang w:val="en-US" w:eastAsia="zh-CN"/>
        </w:rPr>
        <w:t>要求</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保障财政资金的使用效益。</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outlineLvl w:val="0"/>
        <w:rPr>
          <w:rFonts w:hint="eastAsia" w:eastAsia="黑体"/>
          <w:sz w:val="32"/>
          <w:szCs w:val="32"/>
          <w:lang w:val="en-US" w:eastAsia="zh-CN"/>
        </w:rPr>
      </w:pPr>
      <w:bookmarkStart w:id="218" w:name="_Toc25988"/>
      <w:r>
        <w:rPr>
          <w:rFonts w:hint="eastAsia" w:eastAsia="黑体"/>
          <w:sz w:val="32"/>
          <w:szCs w:val="32"/>
          <w:lang w:val="en-US" w:eastAsia="zh-CN"/>
        </w:rPr>
        <w:t>七、其他需说明的问题</w:t>
      </w:r>
      <w:bookmarkEnd w:id="218"/>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宋体" w:eastAsia="仿宋_GB2312" w:cstheme="minorBidi"/>
          <w:kern w:val="2"/>
          <w:sz w:val="32"/>
          <w:szCs w:val="32"/>
          <w:u w:val="none"/>
          <w:lang w:val="en-US" w:eastAsia="zh-CN" w:bidi="ar-SA"/>
        </w:rPr>
      </w:pPr>
      <w:r>
        <w:rPr>
          <w:rFonts w:hint="default" w:ascii="仿宋_GB2312" w:hAnsi="宋体" w:eastAsia="仿宋_GB2312" w:cstheme="minorBidi"/>
          <w:kern w:val="2"/>
          <w:sz w:val="32"/>
          <w:szCs w:val="32"/>
          <w:u w:val="none"/>
          <w:lang w:val="en-US" w:eastAsia="zh-CN" w:bidi="ar-SA"/>
        </w:rPr>
        <w:t>本次绩效评价工作属于事后评价，建议项目单位根据项目实际情况，结合本报告中的问题和建议，在以后年度项目申报过程中不断优化完善，以提升项目实施质量，提高财政资金使用效益。</w:t>
      </w:r>
    </w:p>
    <w:p>
      <w:pPr>
        <w:rPr>
          <w:rFonts w:hint="default" w:ascii="仿宋_GB2312" w:hAnsi="宋体" w:eastAsia="仿宋_GB2312" w:cstheme="minorBidi"/>
          <w:kern w:val="2"/>
          <w:sz w:val="32"/>
          <w:szCs w:val="32"/>
          <w:u w:val="none"/>
          <w:lang w:val="en-US" w:eastAsia="zh-CN" w:bidi="ar-SA"/>
        </w:rPr>
      </w:pPr>
    </w:p>
    <w:p>
      <w:pPr>
        <w:rPr>
          <w:rFonts w:hint="default"/>
          <w:lang w:val="en-US" w:eastAsia="zh-CN"/>
        </w:rPr>
        <w:sectPr>
          <w:headerReference r:id="rId3" w:type="default"/>
          <w:footerReference r:id="rId4" w:type="default"/>
          <w:pgSz w:w="11906" w:h="16838"/>
          <w:pgMar w:top="1440" w:right="1800" w:bottom="1440" w:left="1800" w:header="851" w:footer="992" w:gutter="0"/>
          <w:pgNumType w:fmt="decimal" w:start="1"/>
          <w:cols w:space="425" w:num="1"/>
          <w:docGrid w:type="lines" w:linePitch="312" w:charSpace="0"/>
        </w:sectPr>
      </w:pPr>
    </w:p>
    <w:p>
      <w:pPr>
        <w:pStyle w:val="4"/>
        <w:spacing w:after="157" w:afterLines="50" w:line="560" w:lineRule="exact"/>
        <w:jc w:val="center"/>
        <w:rPr>
          <w:rFonts w:hint="eastAsia" w:ascii="黑体" w:hAnsi="黑体" w:eastAsia="黑体" w:cs="黑体"/>
          <w:color w:val="000000"/>
          <w:sz w:val="32"/>
          <w:szCs w:val="24"/>
          <w:lang w:val="en-US" w:eastAsia="zh-CN"/>
        </w:rPr>
      </w:pPr>
      <w:bookmarkStart w:id="219" w:name="_Toc29489"/>
      <w:r>
        <w:rPr>
          <w:rFonts w:hint="eastAsia" w:ascii="黑体" w:hAnsi="黑体" w:eastAsia="黑体" w:cs="黑体"/>
          <w:b w:val="0"/>
          <w:bCs w:val="0"/>
          <w:i w:val="0"/>
          <w:iCs w:val="0"/>
          <w:color w:val="000000"/>
          <w:kern w:val="2"/>
          <w:sz w:val="32"/>
          <w:szCs w:val="24"/>
          <w:u w:val="none"/>
          <w:lang w:val="en-US" w:eastAsia="zh-CN" w:bidi="ar"/>
        </w:rPr>
        <w:t>项目支出绩效评价指标体系及专家评分表</w:t>
      </w:r>
    </w:p>
    <w:tbl>
      <w:tblPr>
        <w:tblStyle w:val="8"/>
        <w:tblW w:w="1460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75"/>
        <w:gridCol w:w="459"/>
        <w:gridCol w:w="640"/>
        <w:gridCol w:w="504"/>
        <w:gridCol w:w="972"/>
        <w:gridCol w:w="592"/>
        <w:gridCol w:w="1941"/>
        <w:gridCol w:w="4107"/>
        <w:gridCol w:w="2616"/>
        <w:gridCol w:w="692"/>
        <w:gridCol w:w="14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72" w:hRule="atLeast"/>
          <w:tblHeader/>
        </w:trPr>
        <w:tc>
          <w:tcPr>
            <w:tcW w:w="675" w:type="dxa"/>
            <w:tcBorders>
              <w:top w:val="single" w:color="auto" w:sz="4" w:space="0"/>
              <w:left w:val="single" w:color="000000" w:sz="4" w:space="0"/>
              <w:bottom w:val="single" w:color="000000" w:sz="4" w:space="0"/>
              <w:right w:val="single" w:color="000000" w:sz="4" w:space="0"/>
            </w:tcBorders>
            <w:shd w:val="clear" w:color="auto" w:fill="96B4E1" w:themeFill="background1" w:themeFillShade="B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kern w:val="2"/>
                <w:sz w:val="21"/>
                <w:szCs w:val="21"/>
                <w:u w:val="none"/>
                <w:lang w:val="en-US" w:eastAsia="zh-CN" w:bidi="ar-SA"/>
              </w:rPr>
              <w:t>一级指标</w:t>
            </w:r>
          </w:p>
        </w:tc>
        <w:tc>
          <w:tcPr>
            <w:tcW w:w="459" w:type="dxa"/>
            <w:tcBorders>
              <w:top w:val="single" w:color="auto" w:sz="4" w:space="0"/>
              <w:left w:val="single" w:color="000000" w:sz="4" w:space="0"/>
              <w:bottom w:val="single" w:color="000000" w:sz="4" w:space="0"/>
              <w:right w:val="single" w:color="000000" w:sz="4" w:space="0"/>
            </w:tcBorders>
            <w:shd w:val="clear" w:color="auto" w:fill="96B4E1" w:themeFill="background1" w:themeFillShade="BF"/>
            <w:vAlign w:val="center"/>
          </w:tcPr>
          <w:p>
            <w:pPr>
              <w:keepNext w:val="0"/>
              <w:keepLines w:val="0"/>
              <w:widowControl/>
              <w:suppressLineNumbers w:val="0"/>
              <w:jc w:val="center"/>
              <w:textAlignment w:val="center"/>
              <w:rPr>
                <w:rFonts w:hint="eastAsia" w:ascii="宋体" w:hAnsi="宋体" w:eastAsia="宋体" w:cs="宋体"/>
                <w:b/>
                <w:bCs/>
                <w:kern w:val="2"/>
                <w:sz w:val="21"/>
                <w:szCs w:val="21"/>
                <w:u w:val="none"/>
                <w:lang w:val="en-US" w:eastAsia="zh-CN" w:bidi="ar-SA"/>
              </w:rPr>
            </w:pPr>
            <w:r>
              <w:rPr>
                <w:rFonts w:hint="eastAsia" w:ascii="宋体" w:hAnsi="宋体" w:eastAsia="宋体" w:cs="宋体"/>
                <w:b/>
                <w:bCs/>
                <w:kern w:val="2"/>
                <w:sz w:val="21"/>
                <w:szCs w:val="21"/>
                <w:u w:val="none"/>
                <w:lang w:val="en-US" w:eastAsia="zh-CN" w:bidi="ar-SA"/>
              </w:rPr>
              <w:t>分值</w:t>
            </w:r>
          </w:p>
        </w:tc>
        <w:tc>
          <w:tcPr>
            <w:tcW w:w="640" w:type="dxa"/>
            <w:tcBorders>
              <w:top w:val="single" w:color="auto" w:sz="4" w:space="0"/>
              <w:left w:val="single" w:color="000000" w:sz="4" w:space="0"/>
              <w:bottom w:val="single" w:color="000000" w:sz="4" w:space="0"/>
              <w:right w:val="single" w:color="000000" w:sz="4" w:space="0"/>
            </w:tcBorders>
            <w:shd w:val="clear" w:color="auto" w:fill="96B4E1" w:themeFill="background1" w:themeFillShade="BF"/>
            <w:vAlign w:val="center"/>
          </w:tcPr>
          <w:p>
            <w:pPr>
              <w:keepNext w:val="0"/>
              <w:keepLines w:val="0"/>
              <w:widowControl/>
              <w:suppressLineNumbers w:val="0"/>
              <w:jc w:val="center"/>
              <w:textAlignment w:val="center"/>
              <w:rPr>
                <w:rFonts w:hint="eastAsia" w:ascii="宋体" w:hAnsi="宋体" w:eastAsia="宋体" w:cs="宋体"/>
                <w:b/>
                <w:bCs/>
                <w:kern w:val="2"/>
                <w:sz w:val="21"/>
                <w:szCs w:val="21"/>
                <w:u w:val="none"/>
                <w:lang w:val="en-US" w:eastAsia="zh-CN" w:bidi="ar-SA"/>
              </w:rPr>
            </w:pPr>
            <w:r>
              <w:rPr>
                <w:rFonts w:hint="eastAsia" w:ascii="宋体" w:hAnsi="宋体" w:eastAsia="宋体" w:cs="宋体"/>
                <w:b/>
                <w:bCs/>
                <w:kern w:val="2"/>
                <w:sz w:val="21"/>
                <w:szCs w:val="21"/>
                <w:u w:val="none"/>
                <w:lang w:val="en-US" w:eastAsia="zh-CN" w:bidi="ar-SA"/>
              </w:rPr>
              <w:t>二级指标</w:t>
            </w:r>
          </w:p>
        </w:tc>
        <w:tc>
          <w:tcPr>
            <w:tcW w:w="504" w:type="dxa"/>
            <w:tcBorders>
              <w:top w:val="single" w:color="auto" w:sz="4" w:space="0"/>
              <w:left w:val="single" w:color="000000" w:sz="4" w:space="0"/>
              <w:bottom w:val="single" w:color="000000" w:sz="4" w:space="0"/>
              <w:right w:val="single" w:color="000000" w:sz="4" w:space="0"/>
            </w:tcBorders>
            <w:shd w:val="clear" w:color="auto" w:fill="96B4E1" w:themeFill="background1" w:themeFillShade="BF"/>
            <w:vAlign w:val="center"/>
          </w:tcPr>
          <w:p>
            <w:pPr>
              <w:keepNext w:val="0"/>
              <w:keepLines w:val="0"/>
              <w:widowControl/>
              <w:suppressLineNumbers w:val="0"/>
              <w:jc w:val="center"/>
              <w:textAlignment w:val="center"/>
              <w:rPr>
                <w:rFonts w:hint="eastAsia" w:ascii="宋体" w:hAnsi="宋体" w:eastAsia="宋体" w:cs="宋体"/>
                <w:b/>
                <w:bCs/>
                <w:kern w:val="2"/>
                <w:sz w:val="21"/>
                <w:szCs w:val="21"/>
                <w:u w:val="none"/>
                <w:lang w:val="en-US" w:eastAsia="zh-CN" w:bidi="ar-SA"/>
              </w:rPr>
            </w:pPr>
            <w:r>
              <w:rPr>
                <w:rFonts w:hint="eastAsia" w:ascii="宋体" w:hAnsi="宋体" w:eastAsia="宋体" w:cs="宋体"/>
                <w:b/>
                <w:bCs/>
                <w:kern w:val="2"/>
                <w:sz w:val="21"/>
                <w:szCs w:val="21"/>
                <w:u w:val="none"/>
                <w:lang w:val="en-US" w:eastAsia="zh-CN" w:bidi="ar-SA"/>
              </w:rPr>
              <w:t>分值</w:t>
            </w:r>
          </w:p>
        </w:tc>
        <w:tc>
          <w:tcPr>
            <w:tcW w:w="972" w:type="dxa"/>
            <w:tcBorders>
              <w:top w:val="single" w:color="auto" w:sz="4" w:space="0"/>
              <w:left w:val="single" w:color="000000" w:sz="4" w:space="0"/>
              <w:bottom w:val="single" w:color="000000" w:sz="4" w:space="0"/>
              <w:right w:val="single" w:color="000000" w:sz="4" w:space="0"/>
            </w:tcBorders>
            <w:shd w:val="clear" w:color="auto" w:fill="96B4E1" w:themeFill="background1" w:themeFillShade="BF"/>
            <w:vAlign w:val="center"/>
          </w:tcPr>
          <w:p>
            <w:pPr>
              <w:keepNext w:val="0"/>
              <w:keepLines w:val="0"/>
              <w:widowControl/>
              <w:suppressLineNumbers w:val="0"/>
              <w:jc w:val="center"/>
              <w:textAlignment w:val="center"/>
              <w:rPr>
                <w:rFonts w:hint="eastAsia" w:ascii="宋体" w:hAnsi="宋体" w:eastAsia="宋体" w:cs="宋体"/>
                <w:b/>
                <w:bCs/>
                <w:kern w:val="2"/>
                <w:sz w:val="21"/>
                <w:szCs w:val="21"/>
                <w:u w:val="none"/>
                <w:lang w:val="en-US" w:eastAsia="zh-CN" w:bidi="ar-SA"/>
              </w:rPr>
            </w:pPr>
            <w:r>
              <w:rPr>
                <w:rFonts w:hint="eastAsia" w:ascii="宋体" w:hAnsi="宋体" w:eastAsia="宋体" w:cs="宋体"/>
                <w:b/>
                <w:bCs/>
                <w:kern w:val="2"/>
                <w:sz w:val="21"/>
                <w:szCs w:val="21"/>
                <w:u w:val="none"/>
                <w:lang w:val="en-US" w:eastAsia="zh-CN" w:bidi="ar-SA"/>
              </w:rPr>
              <w:t>三级</w:t>
            </w:r>
          </w:p>
          <w:p>
            <w:pPr>
              <w:keepNext w:val="0"/>
              <w:keepLines w:val="0"/>
              <w:widowControl/>
              <w:suppressLineNumbers w:val="0"/>
              <w:jc w:val="center"/>
              <w:textAlignment w:val="center"/>
              <w:rPr>
                <w:rFonts w:hint="eastAsia" w:ascii="宋体" w:hAnsi="宋体" w:eastAsia="宋体" w:cs="宋体"/>
                <w:b/>
                <w:bCs/>
                <w:kern w:val="2"/>
                <w:sz w:val="21"/>
                <w:szCs w:val="21"/>
                <w:u w:val="none"/>
                <w:lang w:val="en-US" w:eastAsia="zh-CN" w:bidi="ar-SA"/>
              </w:rPr>
            </w:pPr>
            <w:r>
              <w:rPr>
                <w:rFonts w:hint="eastAsia" w:ascii="宋体" w:hAnsi="宋体" w:eastAsia="宋体" w:cs="宋体"/>
                <w:b/>
                <w:bCs/>
                <w:kern w:val="2"/>
                <w:sz w:val="21"/>
                <w:szCs w:val="21"/>
                <w:u w:val="none"/>
                <w:lang w:val="en-US" w:eastAsia="zh-CN" w:bidi="ar-SA"/>
              </w:rPr>
              <w:t>指标</w:t>
            </w:r>
          </w:p>
        </w:tc>
        <w:tc>
          <w:tcPr>
            <w:tcW w:w="592" w:type="dxa"/>
            <w:tcBorders>
              <w:top w:val="single" w:color="auto" w:sz="4" w:space="0"/>
              <w:left w:val="single" w:color="000000" w:sz="4" w:space="0"/>
              <w:bottom w:val="single" w:color="000000" w:sz="4" w:space="0"/>
              <w:right w:val="single" w:color="000000" w:sz="4" w:space="0"/>
            </w:tcBorders>
            <w:shd w:val="clear" w:color="auto" w:fill="96B4E1" w:themeFill="background1" w:themeFillShade="BF"/>
            <w:vAlign w:val="center"/>
          </w:tcPr>
          <w:p>
            <w:pPr>
              <w:keepNext w:val="0"/>
              <w:keepLines w:val="0"/>
              <w:widowControl/>
              <w:suppressLineNumbers w:val="0"/>
              <w:jc w:val="center"/>
              <w:textAlignment w:val="center"/>
              <w:rPr>
                <w:rFonts w:hint="eastAsia" w:ascii="宋体" w:hAnsi="宋体" w:eastAsia="宋体" w:cs="宋体"/>
                <w:b/>
                <w:bCs/>
                <w:kern w:val="2"/>
                <w:sz w:val="21"/>
                <w:szCs w:val="21"/>
                <w:u w:val="none"/>
                <w:lang w:val="en-US" w:eastAsia="zh-CN" w:bidi="ar-SA"/>
              </w:rPr>
            </w:pPr>
            <w:r>
              <w:rPr>
                <w:rFonts w:hint="eastAsia" w:ascii="宋体" w:hAnsi="宋体" w:eastAsia="宋体" w:cs="宋体"/>
                <w:b/>
                <w:bCs/>
                <w:kern w:val="2"/>
                <w:sz w:val="21"/>
                <w:szCs w:val="21"/>
                <w:u w:val="none"/>
                <w:lang w:val="en-US" w:eastAsia="zh-CN" w:bidi="ar-SA"/>
              </w:rPr>
              <w:t>分值</w:t>
            </w:r>
          </w:p>
        </w:tc>
        <w:tc>
          <w:tcPr>
            <w:tcW w:w="1941" w:type="dxa"/>
            <w:tcBorders>
              <w:top w:val="single" w:color="auto" w:sz="4" w:space="0"/>
              <w:left w:val="single" w:color="000000" w:sz="4" w:space="0"/>
              <w:bottom w:val="single" w:color="000000" w:sz="4" w:space="0"/>
              <w:right w:val="single" w:color="000000" w:sz="4" w:space="0"/>
            </w:tcBorders>
            <w:shd w:val="clear" w:color="auto" w:fill="96B4E1" w:themeFill="background1" w:themeFillShade="BF"/>
            <w:vAlign w:val="center"/>
          </w:tcPr>
          <w:p>
            <w:pPr>
              <w:keepNext w:val="0"/>
              <w:keepLines w:val="0"/>
              <w:widowControl/>
              <w:suppressLineNumbers w:val="0"/>
              <w:jc w:val="center"/>
              <w:textAlignment w:val="center"/>
              <w:rPr>
                <w:rFonts w:hint="eastAsia" w:ascii="宋体" w:hAnsi="宋体" w:eastAsia="宋体" w:cs="宋体"/>
                <w:b/>
                <w:bCs/>
                <w:kern w:val="2"/>
                <w:sz w:val="21"/>
                <w:szCs w:val="21"/>
                <w:u w:val="none"/>
                <w:lang w:val="en-US" w:eastAsia="zh-CN" w:bidi="ar-SA"/>
              </w:rPr>
            </w:pPr>
            <w:r>
              <w:rPr>
                <w:rFonts w:hint="eastAsia" w:ascii="宋体" w:hAnsi="宋体" w:eastAsia="宋体" w:cs="宋体"/>
                <w:b/>
                <w:bCs/>
                <w:kern w:val="2"/>
                <w:sz w:val="21"/>
                <w:szCs w:val="21"/>
                <w:u w:val="none"/>
                <w:lang w:val="en-US" w:eastAsia="zh-CN" w:bidi="ar-SA"/>
              </w:rPr>
              <w:t>指标解释</w:t>
            </w:r>
          </w:p>
        </w:tc>
        <w:tc>
          <w:tcPr>
            <w:tcW w:w="4107" w:type="dxa"/>
            <w:tcBorders>
              <w:top w:val="single" w:color="auto" w:sz="4" w:space="0"/>
              <w:left w:val="single" w:color="000000" w:sz="4" w:space="0"/>
              <w:bottom w:val="single" w:color="000000" w:sz="4" w:space="0"/>
              <w:right w:val="single" w:color="000000" w:sz="4" w:space="0"/>
            </w:tcBorders>
            <w:shd w:val="clear" w:color="auto" w:fill="96B4E1" w:themeFill="background1" w:themeFillShade="BF"/>
            <w:vAlign w:val="center"/>
          </w:tcPr>
          <w:p>
            <w:pPr>
              <w:keepNext w:val="0"/>
              <w:keepLines w:val="0"/>
              <w:widowControl/>
              <w:suppressLineNumbers w:val="0"/>
              <w:jc w:val="center"/>
              <w:textAlignment w:val="center"/>
              <w:rPr>
                <w:rFonts w:hint="eastAsia" w:ascii="宋体" w:hAnsi="宋体" w:eastAsia="宋体" w:cs="宋体"/>
                <w:b/>
                <w:bCs/>
                <w:kern w:val="2"/>
                <w:sz w:val="21"/>
                <w:szCs w:val="21"/>
                <w:u w:val="none"/>
                <w:lang w:val="en-US" w:eastAsia="zh-CN" w:bidi="ar-SA"/>
              </w:rPr>
            </w:pPr>
            <w:r>
              <w:rPr>
                <w:rFonts w:hint="eastAsia" w:ascii="宋体" w:hAnsi="宋体" w:eastAsia="宋体" w:cs="宋体"/>
                <w:b/>
                <w:bCs/>
                <w:kern w:val="2"/>
                <w:sz w:val="21"/>
                <w:szCs w:val="21"/>
                <w:u w:val="none"/>
                <w:lang w:val="en-US" w:eastAsia="zh-CN" w:bidi="ar-SA"/>
              </w:rPr>
              <w:t>指标说明</w:t>
            </w:r>
          </w:p>
        </w:tc>
        <w:tc>
          <w:tcPr>
            <w:tcW w:w="2616" w:type="dxa"/>
            <w:tcBorders>
              <w:top w:val="single" w:color="auto" w:sz="4" w:space="0"/>
              <w:left w:val="single" w:color="000000" w:sz="4" w:space="0"/>
              <w:bottom w:val="single" w:color="000000" w:sz="4" w:space="0"/>
              <w:right w:val="single" w:color="000000" w:sz="4" w:space="0"/>
            </w:tcBorders>
            <w:shd w:val="clear" w:color="auto" w:fill="96B4E1" w:themeFill="background1" w:themeFillShade="BF"/>
            <w:vAlign w:val="center"/>
          </w:tcPr>
          <w:p>
            <w:pPr>
              <w:keepNext w:val="0"/>
              <w:keepLines w:val="0"/>
              <w:widowControl/>
              <w:suppressLineNumbers w:val="0"/>
              <w:jc w:val="center"/>
              <w:textAlignment w:val="center"/>
              <w:rPr>
                <w:rFonts w:hint="eastAsia" w:ascii="宋体" w:hAnsi="宋体" w:eastAsia="宋体" w:cs="宋体"/>
                <w:b/>
                <w:bCs/>
                <w:kern w:val="2"/>
                <w:sz w:val="21"/>
                <w:szCs w:val="21"/>
                <w:u w:val="none"/>
                <w:lang w:val="en-US" w:eastAsia="zh-CN" w:bidi="ar-SA"/>
              </w:rPr>
            </w:pPr>
            <w:r>
              <w:rPr>
                <w:rFonts w:hint="eastAsia" w:ascii="宋体" w:hAnsi="宋体" w:eastAsia="宋体" w:cs="宋体"/>
                <w:b/>
                <w:bCs/>
                <w:kern w:val="2"/>
                <w:sz w:val="21"/>
                <w:szCs w:val="21"/>
                <w:u w:val="none"/>
                <w:lang w:val="en-US" w:eastAsia="zh-CN" w:bidi="ar-SA"/>
              </w:rPr>
              <w:t>评价标准</w:t>
            </w:r>
          </w:p>
        </w:tc>
        <w:tc>
          <w:tcPr>
            <w:tcW w:w="692" w:type="dxa"/>
            <w:tcBorders>
              <w:top w:val="single" w:color="auto" w:sz="4" w:space="0"/>
              <w:left w:val="single" w:color="000000" w:sz="4" w:space="0"/>
              <w:bottom w:val="single" w:color="000000" w:sz="4" w:space="0"/>
              <w:right w:val="single" w:color="000000" w:sz="4" w:space="0"/>
            </w:tcBorders>
            <w:shd w:val="clear" w:color="auto" w:fill="96B4E1" w:themeFill="background1" w:themeFillShade="BF"/>
            <w:vAlign w:val="center"/>
          </w:tcPr>
          <w:p>
            <w:pPr>
              <w:keepNext w:val="0"/>
              <w:keepLines w:val="0"/>
              <w:widowControl/>
              <w:suppressLineNumbers w:val="0"/>
              <w:jc w:val="center"/>
              <w:textAlignment w:val="center"/>
              <w:rPr>
                <w:rFonts w:hint="eastAsia" w:ascii="宋体" w:hAnsi="宋体" w:eastAsia="宋体" w:cs="宋体"/>
                <w:b/>
                <w:bCs/>
                <w:kern w:val="2"/>
                <w:sz w:val="21"/>
                <w:szCs w:val="21"/>
                <w:u w:val="none"/>
                <w:lang w:val="en-US" w:eastAsia="zh-CN" w:bidi="ar-SA"/>
              </w:rPr>
            </w:pPr>
            <w:r>
              <w:rPr>
                <w:rFonts w:hint="eastAsia" w:ascii="宋体" w:hAnsi="宋体" w:eastAsia="宋体" w:cs="宋体"/>
                <w:b/>
                <w:bCs/>
                <w:kern w:val="2"/>
                <w:sz w:val="21"/>
                <w:szCs w:val="21"/>
                <w:u w:val="none"/>
                <w:lang w:val="en-US" w:eastAsia="zh-CN" w:bidi="ar-SA"/>
              </w:rPr>
              <w:t>得分</w:t>
            </w:r>
          </w:p>
        </w:tc>
        <w:tc>
          <w:tcPr>
            <w:tcW w:w="1405" w:type="dxa"/>
            <w:tcBorders>
              <w:top w:val="single" w:color="auto" w:sz="4" w:space="0"/>
              <w:left w:val="single" w:color="000000" w:sz="4" w:space="0"/>
              <w:bottom w:val="single" w:color="000000" w:sz="4" w:space="0"/>
              <w:right w:val="single" w:color="000000" w:sz="4" w:space="0"/>
            </w:tcBorders>
            <w:shd w:val="clear" w:color="auto" w:fill="96B4E1" w:themeFill="background1" w:themeFillShade="BF"/>
            <w:vAlign w:val="center"/>
          </w:tcPr>
          <w:p>
            <w:pPr>
              <w:keepNext w:val="0"/>
              <w:keepLines w:val="0"/>
              <w:widowControl/>
              <w:suppressLineNumbers w:val="0"/>
              <w:jc w:val="center"/>
              <w:textAlignment w:val="center"/>
              <w:rPr>
                <w:rFonts w:hint="eastAsia" w:ascii="宋体" w:hAnsi="宋体" w:eastAsia="宋体" w:cs="宋体"/>
                <w:b/>
                <w:bCs/>
                <w:kern w:val="2"/>
                <w:sz w:val="21"/>
                <w:szCs w:val="21"/>
                <w:u w:val="none"/>
                <w:lang w:val="en-US" w:eastAsia="zh-CN" w:bidi="ar-SA"/>
              </w:rPr>
            </w:pPr>
            <w:r>
              <w:rPr>
                <w:rFonts w:hint="eastAsia" w:ascii="宋体" w:hAnsi="宋体" w:eastAsia="宋体" w:cs="宋体"/>
                <w:b/>
                <w:bCs/>
                <w:kern w:val="2"/>
                <w:sz w:val="21"/>
                <w:szCs w:val="21"/>
                <w:u w:val="none"/>
                <w:lang w:val="en-US" w:eastAsia="zh-CN" w:bidi="ar-SA"/>
              </w:rPr>
              <w:t>扣分原因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0" w:hRule="atLeast"/>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决策</w:t>
            </w:r>
          </w:p>
        </w:tc>
        <w:tc>
          <w:tcPr>
            <w:tcW w:w="4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20</w:t>
            </w:r>
          </w:p>
        </w:tc>
        <w:tc>
          <w:tcPr>
            <w:tcW w:w="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项目立项</w:t>
            </w:r>
          </w:p>
        </w:tc>
        <w:tc>
          <w:tcPr>
            <w:tcW w:w="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8</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立项依据充分性</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4</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项目立项是否符合法律法规、相关政策、发展规划以及部门职责，用以反映和考核项目立项依据情况。</w:t>
            </w:r>
          </w:p>
        </w:tc>
        <w:tc>
          <w:tcPr>
            <w:tcW w:w="4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评价要点：</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①项目立项是否符合国家法律法规、符合国家及北京市相关发展规划、政策；</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②项目是否属于“负面清单”范围内的事项；(一票否决项，如属于“负面清单”,则整个项目评价为不及格)；</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③项目立项是否与部门职责范围相符，是否属于北京市公共财政支持范围，是否符合中央、地方事权支出责任划分原则：</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④项目是否与其他部门同类项目或部门内部其他项目存在重复保障。(如：该服务事项是否同时通过编外用工申报预算)。</w:t>
            </w:r>
          </w:p>
        </w:tc>
        <w:tc>
          <w:tcPr>
            <w:tcW w:w="2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A：符合标准，得3.6（含）-4分；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B：基本符合标准，得3.2（含）-3.6分；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C：符合标准程度较差，得2.4（含）-3.2分；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D：不符合标准，得0-2.4分。</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3.96</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sz w:val="21"/>
                <w:szCs w:val="21"/>
              </w:rPr>
              <w:t>基本符合标准</w:t>
            </w:r>
            <w:r>
              <w:rPr>
                <w:rFonts w:hint="eastAsia" w:ascii="宋体" w:hAnsi="宋体" w:eastAsia="宋体" w:cs="宋体"/>
                <w:sz w:val="21"/>
                <w:szCs w:val="21"/>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立项程序规范性</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4</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项目申请、设立过程是否符合相关要求，用以反映和考核项目立项的规范情况。</w:t>
            </w:r>
          </w:p>
        </w:tc>
        <w:tc>
          <w:tcPr>
            <w:tcW w:w="4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评价要点：</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①项目需求调研、可行性研究、专家论证、风险评估及管理等资料是否齐备；</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②项目立项申报材料中，政府购买服务的内容、服务标准和技术保障是否明确，采购实施计划是否完整、合规、合理：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③立项前是否经过事前绩效评估，以及必要的集体决策程序；</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④项目内容是否列入部门政府购买服务指导性目录，部门政府购买服务指导性目录是否规范。</w:t>
            </w:r>
          </w:p>
        </w:tc>
        <w:tc>
          <w:tcPr>
            <w:tcW w:w="2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A：符合标准，得3.6（含）-4分；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B：基本符合标准，得3.2（含）-3.6分；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C：符合标准程度较差，得2.4（含）-3.2分；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D：不符合标准，得0-2.4分。</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3.76</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sz w:val="21"/>
                <w:szCs w:val="21"/>
              </w:rPr>
              <w:t>基本符合标准</w:t>
            </w:r>
            <w:r>
              <w:rPr>
                <w:rFonts w:hint="eastAsia" w:ascii="宋体" w:hAnsi="宋体" w:eastAsia="宋体" w:cs="宋体"/>
                <w:sz w:val="21"/>
                <w:szCs w:val="21"/>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599"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绩效目标</w:t>
            </w:r>
          </w:p>
        </w:tc>
        <w:tc>
          <w:tcPr>
            <w:tcW w:w="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8</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绩效目标合理性</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4</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项目所设定的绩效目标是否依据充分，是否符合客观实际，用以反映和考核项目绩效目标与项目实施的相符情况。</w:t>
            </w:r>
          </w:p>
        </w:tc>
        <w:tc>
          <w:tcPr>
            <w:tcW w:w="4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评价要点：</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①项目是否有明确的绩效目标；</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②项目绩效目标与政府购买服务的实际内容是否具有相关性；</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③项目预期产出效益和效果是否符合正常的业绩水平；</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④绩效目标及指标值是否与政府购买服务所申报的预算资金量相匹配。</w:t>
            </w:r>
          </w:p>
        </w:tc>
        <w:tc>
          <w:tcPr>
            <w:tcW w:w="2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A: 目标明确性、合理性高3.6（含）-4分；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B：目标明确性、合理性较高3.2（含）-3.6分；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C: 目标明确性、合理性一般 2.4（含）-3.2分；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D：目标明确性、合理性较差 0-2.4分。</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3.24</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2"/>
                <w:sz w:val="21"/>
                <w:szCs w:val="21"/>
                <w:u w:val="none"/>
                <w:lang w:val="en-US" w:eastAsia="zh-CN" w:bidi="ar-SA"/>
              </w:rPr>
            </w:pPr>
            <w:r>
              <w:rPr>
                <w:rFonts w:hint="default" w:ascii="Times New Roman" w:hAnsi="Times New Roman" w:eastAsia="宋体" w:cs="Times New Roman"/>
                <w:color w:val="000000"/>
                <w:sz w:val="21"/>
                <w:szCs w:val="21"/>
              </w:rPr>
              <w:t>项目年度目标对项目实施的预期产出不够明确、具体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276"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绩效指标明确性</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4</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依据绩效目标设定的绩效指标是否清晰、细化、可衡量等，用以反映和考核项目绩效目标的明细化情况。</w:t>
            </w:r>
          </w:p>
        </w:tc>
        <w:tc>
          <w:tcPr>
            <w:tcW w:w="4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 xml:space="preserve">评价要点： </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①是否将项目绩效目标细化分解为具体的绩效指标：</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②绩效指标是否全面，是否包括必要的成本指标以及满意度指标；</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③指标是否通过清晰、可衡量的指标值予以体现：</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④指标是否与项目目标任务数或计划数相对应。</w:t>
            </w:r>
          </w:p>
        </w:tc>
        <w:tc>
          <w:tcPr>
            <w:tcW w:w="2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A: 项目指标细化、量化程度高3.6 （含）-4分；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B：项目指标细化、量化程度较高3.2（含）-3.6分；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C: 项目指标细化、量化程度一般2.4（含）-3.2分；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D：项目指标细化、量化程度较差 0-2.4分。</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3.04</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2"/>
                <w:sz w:val="21"/>
                <w:szCs w:val="21"/>
                <w:u w:val="none"/>
                <w:lang w:val="en-US" w:eastAsia="zh-CN" w:bidi="ar-SA"/>
              </w:rPr>
            </w:pPr>
            <w:r>
              <w:rPr>
                <w:rFonts w:hint="eastAsia" w:ascii="Times New Roman" w:hAnsi="Times New Roman" w:eastAsia="宋体" w:cs="Times New Roman"/>
                <w:color w:val="000000"/>
                <w:sz w:val="21"/>
                <w:szCs w:val="21"/>
                <w:lang w:val="en-US" w:eastAsia="zh-CN"/>
              </w:rPr>
              <w:t>部分</w:t>
            </w:r>
            <w:r>
              <w:rPr>
                <w:rFonts w:hint="default" w:ascii="Times New Roman" w:hAnsi="Times New Roman" w:eastAsia="宋体" w:cs="Times New Roman"/>
                <w:color w:val="000000"/>
                <w:sz w:val="21"/>
                <w:szCs w:val="21"/>
              </w:rPr>
              <w:t>绩效指标设置的明确性不足</w:t>
            </w:r>
            <w:r>
              <w:rPr>
                <w:rFonts w:hint="eastAsia" w:ascii="Times New Roman" w:hAnsi="Times New Roman" w:eastAsia="宋体" w:cs="Times New Roman"/>
                <w:color w:val="000000"/>
                <w:sz w:val="21"/>
                <w:szCs w:val="21"/>
                <w:lang w:eastAsia="zh-CN"/>
              </w:rPr>
              <w:t>、</w:t>
            </w:r>
            <w:r>
              <w:rPr>
                <w:rFonts w:hint="default" w:ascii="Times New Roman" w:hAnsi="Times New Roman" w:eastAsia="宋体" w:cs="Times New Roman"/>
                <w:color w:val="000000"/>
                <w:sz w:val="21"/>
                <w:szCs w:val="21"/>
              </w:rPr>
              <w:t>细化</w:t>
            </w:r>
            <w:r>
              <w:rPr>
                <w:rFonts w:hint="eastAsia" w:ascii="Times New Roman" w:hAnsi="Times New Roman" w:eastAsia="宋体" w:cs="Times New Roman"/>
                <w:color w:val="000000"/>
                <w:sz w:val="21"/>
                <w:szCs w:val="21"/>
                <w:lang w:val="en-US" w:eastAsia="zh-CN"/>
              </w:rPr>
              <w:t>程度</w:t>
            </w:r>
            <w:r>
              <w:rPr>
                <w:rFonts w:hint="default" w:ascii="Times New Roman" w:hAnsi="Times New Roman" w:eastAsia="宋体" w:cs="Times New Roman"/>
                <w:color w:val="000000"/>
                <w:sz w:val="21"/>
                <w:szCs w:val="21"/>
              </w:rPr>
              <w:t>不足</w:t>
            </w:r>
            <w:r>
              <w:rPr>
                <w:rFonts w:hint="eastAsia" w:ascii="Times New Roman" w:hAnsi="Times New Roman" w:eastAsia="宋体" w:cs="Times New Roman"/>
                <w:color w:val="000000"/>
                <w:sz w:val="21"/>
                <w:szCs w:val="21"/>
                <w:lang w:eastAsia="zh-CN"/>
              </w:rPr>
              <w:t>、</w:t>
            </w:r>
            <w:r>
              <w:rPr>
                <w:rFonts w:hint="default" w:ascii="Times New Roman" w:hAnsi="Times New Roman" w:eastAsia="宋体" w:cs="Times New Roman"/>
                <w:color w:val="000000"/>
                <w:sz w:val="21"/>
                <w:szCs w:val="21"/>
              </w:rPr>
              <w:t>可衡量性有待加强。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6"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资金投入</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4</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预算编制科学性</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4</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项目预算编制是否经过科学论证、有明确标准，资金额度与年度目标是否相适应，用以反映和考核项目预算编制的科学性、合理性情况。</w:t>
            </w:r>
          </w:p>
        </w:tc>
        <w:tc>
          <w:tcPr>
            <w:tcW w:w="4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评价要点：</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①预算内容与项目内容是否匹配；</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②预算额度测算依据是否充分，是否按照标准编制，是否进行了成本定额测算；</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③预算资金量是否与工作任务相匹配。</w:t>
            </w:r>
          </w:p>
        </w:tc>
        <w:tc>
          <w:tcPr>
            <w:tcW w:w="2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A: 预算编制科学性高3.6（含）-4分；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B：预算编制科学性较高3.2（含）-3.6分；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C: 预算编制科学性一般2.4（含）-3.2分；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D：预算编制科学性较差 0-2.4分。</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3.06</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预算编制的科学性、合理性存在一定不足。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94" w:hRule="atLeast"/>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过程</w:t>
            </w:r>
          </w:p>
        </w:tc>
        <w:tc>
          <w:tcPr>
            <w:tcW w:w="4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20</w:t>
            </w:r>
          </w:p>
        </w:tc>
        <w:tc>
          <w:tcPr>
            <w:tcW w:w="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资金管理</w:t>
            </w:r>
          </w:p>
        </w:tc>
        <w:tc>
          <w:tcPr>
            <w:tcW w:w="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7</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预算执行率</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3</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项目预算资金是否按照计划执行，用以反映或考核项目预算执行情况。</w:t>
            </w:r>
          </w:p>
        </w:tc>
        <w:tc>
          <w:tcPr>
            <w:tcW w:w="4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预算执行率=(实际支出资金/实际到位资金)×100%。</w:t>
            </w:r>
          </w:p>
        </w:tc>
        <w:tc>
          <w:tcPr>
            <w:tcW w:w="2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公式计分法，总分3分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预算执行率≤100%，得分=预算执行率*3分；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预算执行率＞100%，每超出1%，扣1分，扣完为止。</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2.58</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项目预算执行率为99.69%。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329"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资金使用合规性</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4</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项目资金使用是否符合相关的财务管理制度规定，用以反映和考核项目资金的规范运行情况。</w:t>
            </w:r>
          </w:p>
        </w:tc>
        <w:tc>
          <w:tcPr>
            <w:tcW w:w="4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 xml:space="preserve">评价要点： </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①是否符合国家财经法规和财务管理制度以及有关专项资金管理办法的规定；</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②资金拨付是否有完整的程序和手续，拨付的时间节点及金额是否符合合同约定的时间及工作进度；</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③资金用途是否符合项目预算批复或合同规定的用途；</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④是否存在截留、挤占、挪用、虚列支出等情况。</w:t>
            </w:r>
          </w:p>
        </w:tc>
        <w:tc>
          <w:tcPr>
            <w:tcW w:w="2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A：符合标准，得3.6（含）-4分；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B：基本符合标准，得3.2（含）-3.6分；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C：符合标准程度较差，得2.4（含）-3.2分；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D：不符合标准，得0-2.4分。</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3.36</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资金使用严谨性不足，一次性支付合同价款，资金支出存在一定风险。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业务管理</w:t>
            </w:r>
          </w:p>
        </w:tc>
        <w:tc>
          <w:tcPr>
            <w:tcW w:w="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13</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管理制度健全性</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3</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项目实施单位的财务和业务管理制度是否健全，用以反映和考核财务和业务管理制度对项目顺利实施的保障情况。</w:t>
            </w:r>
          </w:p>
        </w:tc>
        <w:tc>
          <w:tcPr>
            <w:tcW w:w="4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 xml:space="preserve">评价要点： </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①是否有完善的财务管理、采购管理、合同管理等制度；</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②对所购买服务是否有明确的业务管理制度；</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③对所购买服务是否有明确的质量监控制度和验收办法。</w:t>
            </w:r>
          </w:p>
        </w:tc>
        <w:tc>
          <w:tcPr>
            <w:tcW w:w="2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A：符合标准，得2.7（含）-3分；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B：基本符合标准，得2.4（含）-2.7分；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C：符合标准程度较差，得1.8（含）-2.4分；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D：不符合标准，得0-1.8分。</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2.76</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sz w:val="21"/>
                <w:szCs w:val="21"/>
              </w:rPr>
              <w:t>基本符合标准</w:t>
            </w:r>
            <w:r>
              <w:rPr>
                <w:rFonts w:hint="eastAsia" w:ascii="宋体" w:hAnsi="宋体" w:eastAsia="宋体" w:cs="宋体"/>
                <w:sz w:val="21"/>
                <w:szCs w:val="21"/>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78"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制度执行有效性</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10</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项目实施是否符合相关管理规定，用以反映和考核相关管理制度的有效执行情况。</w:t>
            </w:r>
          </w:p>
        </w:tc>
        <w:tc>
          <w:tcPr>
            <w:tcW w:w="4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 xml:space="preserve">评价要点： </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①是否履行了合法合规的采购程序；</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②政府购买服务承接主体是否符合政策规定，同等条件下是否优先考虑社会组织，是否执行“拨改买”政策要求；</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③政府购买服务合同是否有明确的服务内容、期限、数量、质量、价格、资金结算方式、各方权利义务和违约责任等内容；</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④政府购买服务过程是否公平公正公开；</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⑤购买主体是否履行了对所购买服务实施过程的监督管理责任；是否对承接主体的工作有检查验收考核等质量监控；承接主体是否存在转包现象；</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⑥项目验收报告、技术鉴定等资料是否齐全并及时归档。</w:t>
            </w:r>
          </w:p>
        </w:tc>
        <w:tc>
          <w:tcPr>
            <w:tcW w:w="2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A：符合标准，得9（含）-10分；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B：基本符合标准，得8（含）-9分；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C：符合标准程度较差，得6（含）-8分；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D：不符合标准，得0-6分。</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8</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项目单位工作职责不够明确；</w:t>
            </w:r>
            <w:r>
              <w:rPr>
                <w:rFonts w:hint="eastAsia" w:ascii="宋体" w:hAnsi="宋体" w:eastAsia="宋体" w:cs="宋体"/>
                <w:sz w:val="21"/>
                <w:szCs w:val="21"/>
              </w:rPr>
              <w:t>合同中对工作任务、工作质量等方面的要求不够明确，合同中约定一次性付清项目款项，未充分考虑承担机构履约风险。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264" w:hRule="atLeast"/>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产出</w:t>
            </w:r>
          </w:p>
        </w:tc>
        <w:tc>
          <w:tcPr>
            <w:tcW w:w="4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30</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产出数量</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10</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实际完成率</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10</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项目实施的实际产出数与计划产出数的比率，用以反映和考核项目产出数量目标的实现程度。</w:t>
            </w:r>
          </w:p>
        </w:tc>
        <w:tc>
          <w:tcPr>
            <w:tcW w:w="4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评价要点:</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①专项（领域）智慧城市规划、区域规划备案评估报告不少于25份；</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②各部门智慧城市顶层设计评估报告不少于50份；</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③协助建设年度项目储备库1个。</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实际完成率=(实际产出数/计划产出数)×100%。如产出为多项内容，则计算平均数。</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实际产出数：一定时期(本年度或项目期)内项目实际产出的产品或提供的服务数量。</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计划产出数：项目绩效目标确定的在一定时期(本年度或项目期)内计划产出的产品或提供的服务数量。如产出为多项产品或服务，应分别计算后，按照资金占比或重要性加权合计。如未设定产出数量指标或指标值不合理，则计划产出数应由工作组和专家组综合考虑项目实际情况和行业情况确定。实际产出远高于计划产出数，偏离度过大，超出20%,应酌情扣分。</w:t>
            </w:r>
          </w:p>
        </w:tc>
        <w:tc>
          <w:tcPr>
            <w:tcW w:w="2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公式计分法，得分=（实际完成率1*4分+实际完成率2*4分+实际完成率3*2分），得分一档最高不能超过该指标分值上限。</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9</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截至评价日，</w:t>
            </w:r>
            <w:r>
              <w:rPr>
                <w:rFonts w:hint="eastAsia" w:ascii="宋体" w:hAnsi="宋体" w:eastAsia="宋体" w:cs="宋体"/>
                <w:b w:val="0"/>
                <w:bCs w:val="0"/>
                <w:spacing w:val="0"/>
                <w:kern w:val="2"/>
                <w:sz w:val="21"/>
                <w:szCs w:val="21"/>
                <w:u w:val="none"/>
                <w:lang w:val="en-US" w:eastAsia="zh-CN" w:bidi="ar-SA"/>
              </w:rPr>
              <w:t>该项目仍处于执行过程中，未完成全部项目实施内容。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78"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产出质量</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10</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质量达标率（验收合格率）</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10</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项目完成的质量达标产出数与实际产出数的比较，用以反映和考核项目产出质量目标的实现程度。</w:t>
            </w:r>
          </w:p>
        </w:tc>
        <w:tc>
          <w:tcPr>
            <w:tcW w:w="4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评价要点:</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质量达标率=(质量达标产出数/实际产出数)×100%。</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质量达标产出数：一定时期(本年度或项目期)内实际达到既定质量标准的产品或服务数量。既定质量标准是指项目实施单位设立绩效目标时依据计划标准、行业标准、历史标准或其他标准而设定的产出质量指标值。若项目单位未设定质量指标或设定不合理，应采用行业公认标准或国家有关标准。</w:t>
            </w:r>
          </w:p>
        </w:tc>
        <w:tc>
          <w:tcPr>
            <w:tcW w:w="2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项目验收合格率=100%，得10分；否则，不得分。</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8</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sz w:val="21"/>
                <w:szCs w:val="21"/>
              </w:rPr>
              <w:t>项目产出质量可考核性不足，质量管控有待加强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624"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产出时效</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5</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完成及时性</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5</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考核项目实际完成时间与计划完成时间的差异，用以反映和考核项目产出时效目标的实现程度。</w:t>
            </w:r>
          </w:p>
        </w:tc>
        <w:tc>
          <w:tcPr>
            <w:tcW w:w="4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评价要点：</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实际完成时间是否符合合同要求，在计划完成时间之内。</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实际完成时间：项目实施单位完成该项目实际所耗用的时间。</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计划完成时间：按照项目实施计划或相关规定完成该项目所需的时间。</w:t>
            </w:r>
          </w:p>
        </w:tc>
        <w:tc>
          <w:tcPr>
            <w:tcW w:w="2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符合合同规定的项目实施进度，得5分；否则，不得分。</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4.2</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由于疫情原因，项目实际执行进度与计划时间安排存在较大差异。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产出成本</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5</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成本节约率</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5</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考核完成项目计划工作目标的实际节约成本与计划成本的比率，用以反映和考核项目的成本节约程度。</w:t>
            </w:r>
          </w:p>
        </w:tc>
        <w:tc>
          <w:tcPr>
            <w:tcW w:w="4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评价要点：</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成本节约率=[(计划成本-实际成本)/计划成本]×100%。</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实际成本：项目实施单位如期、保质、保量完成既定工作目标实际所耗费的支出。</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计划成本：项目实施单位为完成工作目标计划安排的支出，一般以项目预算为参考。</w:t>
            </w:r>
          </w:p>
        </w:tc>
        <w:tc>
          <w:tcPr>
            <w:tcW w:w="2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A：成本节约率≥0%，得5分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B：成本节约率＜0%，（1+成本节约率）*5</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4.6</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基本符合标准。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551" w:hRule="atLeast"/>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效益</w:t>
            </w:r>
          </w:p>
        </w:tc>
        <w:tc>
          <w:tcPr>
            <w:tcW w:w="4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30</w:t>
            </w:r>
          </w:p>
        </w:tc>
        <w:tc>
          <w:tcPr>
            <w:tcW w:w="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社会效益</w:t>
            </w:r>
          </w:p>
        </w:tc>
        <w:tc>
          <w:tcPr>
            <w:tcW w:w="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10</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提升智慧城市建设的精细化管理水平</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2.5</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项目实施是否有利于市领导全面、及时、准确掌握各部门、各领域在智慧城市建设方面的建设思路及规划，有利于智慧城市建设主管部门总体把控全市智慧城市建设项目的合理性。</w:t>
            </w:r>
          </w:p>
        </w:tc>
        <w:tc>
          <w:tcPr>
            <w:tcW w:w="4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评价要点：项目实施是否有利于市领导全面、及时、准确掌握各部门、各领域在智慧城市建设方面的建设思路及规划，有利于智慧城市建设主管部门总体把控全市智慧城市建设项目的合理性。</w:t>
            </w:r>
          </w:p>
        </w:tc>
        <w:tc>
          <w:tcPr>
            <w:tcW w:w="2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A：社会效益影响程度高，2.25（含）-2.5分；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B：社会效益影响程度较高，2（含）-2.25分；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C：社会效益影响程度一般，1.5（含）-2分；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D：社会效益影响程度较差，0-1.5分。</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2.3</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2"/>
                <w:sz w:val="21"/>
                <w:szCs w:val="21"/>
                <w:highlight w:val="none"/>
                <w:u w:val="none"/>
                <w:lang w:val="en-US" w:eastAsia="zh-CN" w:bidi="ar-SA"/>
              </w:rPr>
            </w:pPr>
            <w:r>
              <w:rPr>
                <w:rFonts w:hint="eastAsia" w:ascii="宋体" w:hAnsi="宋体" w:eastAsia="宋体" w:cs="宋体"/>
                <w:sz w:val="21"/>
                <w:szCs w:val="21"/>
                <w:highlight w:val="none"/>
              </w:rPr>
              <w:t>截至评价日，该项目仍处于执行过程中</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效益呈现不充分</w:t>
            </w:r>
            <w:r>
              <w:rPr>
                <w:rFonts w:hint="eastAsia" w:ascii="宋体" w:hAnsi="宋体" w:eastAsia="宋体" w:cs="宋体"/>
                <w:sz w:val="21"/>
                <w:szCs w:val="21"/>
                <w:highlight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0"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有效规避重复建设，进一步推进工作协同与数据共享。</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2.5</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项目实施是否有效规避重复建设，对重复内容进行优化调整，实现有效整合，促进各部门间的跨部门工作协同，实现跨领域、跨系统的数据资源共享。</w:t>
            </w:r>
          </w:p>
        </w:tc>
        <w:tc>
          <w:tcPr>
            <w:tcW w:w="4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评价要点：项目实施是否有效规避重复建设，对重复内容进行优化调整，实现有效整合，促进各部门间的跨部门工作协同，实现跨领域、跨系统的数据资源共享。</w:t>
            </w:r>
          </w:p>
        </w:tc>
        <w:tc>
          <w:tcPr>
            <w:tcW w:w="2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A：社会效益影响程度高，2.25（含）-2.5分；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B：社会效益影响程度较高，2（含）-2.25分；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C：社会效益影响程度一般，1.5（含）-2分；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D：社会效益影响程度较差，0-1.5分。</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2.3</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2"/>
                <w:sz w:val="21"/>
                <w:szCs w:val="21"/>
                <w:highlight w:val="none"/>
                <w:u w:val="none"/>
                <w:lang w:val="en-US" w:eastAsia="zh-CN" w:bidi="ar-SA"/>
              </w:rPr>
            </w:pPr>
            <w:r>
              <w:rPr>
                <w:rFonts w:hint="eastAsia" w:ascii="宋体" w:hAnsi="宋体" w:eastAsia="宋体" w:cs="宋体"/>
                <w:sz w:val="21"/>
                <w:szCs w:val="21"/>
                <w:highlight w:val="none"/>
              </w:rPr>
              <w:t>截至评价日，该项目仍处于执行过程中</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效益呈现不充分</w:t>
            </w:r>
            <w:r>
              <w:rPr>
                <w:rFonts w:hint="eastAsia" w:ascii="宋体" w:hAnsi="宋体" w:eastAsia="宋体" w:cs="宋体"/>
                <w:sz w:val="21"/>
                <w:szCs w:val="21"/>
                <w:highlight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94"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有效提升智慧城市专项规划评审、顶层设计评审等工作的专业化水平。</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2.5</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项目实施是否有助于形成完整的标准规范体系，使得北京市智慧城市的建设和管理做到评价工作有标准、有流程、有考核指标，提升评审工作专业化水平。</w:t>
            </w:r>
          </w:p>
        </w:tc>
        <w:tc>
          <w:tcPr>
            <w:tcW w:w="4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评价要点：项目实施是否有助于形成完整的标准规范体系，使得北京市智慧城市的建设和管理做到评价工作有标准、有流程、有考核指标，提升评审工作专业化水平。</w:t>
            </w:r>
          </w:p>
        </w:tc>
        <w:tc>
          <w:tcPr>
            <w:tcW w:w="2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A：社会效益影响程度高，2.25（含）-2.5分；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B：社会效益影响程度较高，2（含）-2.25分；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C：社会效益影响程度一般，1.5（含）-2分；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D：社会效益影响程度较差，0-1.5分。</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2.2</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sz w:val="21"/>
                <w:szCs w:val="21"/>
                <w:highlight w:val="none"/>
              </w:rPr>
              <w:t>截至评价日，该项目仍处于执行过程中</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效益呈现不充分</w:t>
            </w:r>
            <w:r>
              <w:rPr>
                <w:rFonts w:hint="eastAsia" w:ascii="宋体" w:hAnsi="宋体" w:eastAsia="宋体" w:cs="宋体"/>
                <w:sz w:val="21"/>
                <w:szCs w:val="21"/>
                <w:highlight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07"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可持续影响</w:t>
            </w:r>
          </w:p>
        </w:tc>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协助建立持续迭代的四级智慧城市规划设计管控体系，高效统筹全市智慧城市建设。</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2.5</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项目实施是否有效推动市区智慧城市建设按照行动纲要的要求逐级落实实施，协助建立持续迭代的四级智慧城市规划设计管控体系，统筹全市智慧城市建设。</w:t>
            </w:r>
          </w:p>
        </w:tc>
        <w:tc>
          <w:tcPr>
            <w:tcW w:w="4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评价要点：项目实施是否有效推动市区智慧城市建设按照行动纲要的要求逐级落实实施，协助建立持续迭代的四级智慧城市规划设计管控体系，统筹全市智慧城市建设。</w:t>
            </w:r>
          </w:p>
        </w:tc>
        <w:tc>
          <w:tcPr>
            <w:tcW w:w="2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A：可持续影响程度高，2.25（含）-2.5分；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B：可持续影响程度较高，2（含）-2.25分；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C：可持续影响程度一般，1.5（含）-2分；</w:t>
            </w:r>
          </w:p>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D：可持续影响程度较差，0-1.5分。</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2.3</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sz w:val="21"/>
                <w:szCs w:val="21"/>
                <w:highlight w:val="none"/>
              </w:rPr>
              <w:t>截至评价日，该项目仍处于执行过程中</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可持续影响呈现不充分</w:t>
            </w:r>
            <w:r>
              <w:rPr>
                <w:rFonts w:hint="eastAsia" w:ascii="宋体" w:hAnsi="宋体" w:eastAsia="宋体" w:cs="宋体"/>
                <w:sz w:val="21"/>
                <w:szCs w:val="21"/>
                <w:highlight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921"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满意度</w:t>
            </w:r>
          </w:p>
        </w:tc>
        <w:tc>
          <w:tcPr>
            <w:tcW w:w="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20</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部门（领域）专项规划评估评价和区域规划备案支撑相关用户单位满意度</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10</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考核部门（领域）专项规划评估评价和区域规划备案支撑相关用户单位对规划设计工作的满意度。</w:t>
            </w:r>
          </w:p>
        </w:tc>
        <w:tc>
          <w:tcPr>
            <w:tcW w:w="4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满意度=（对规划设计工作满意的用户单位数量/全部接受满意度调查的用户单位数量）*100%</w:t>
            </w:r>
          </w:p>
        </w:tc>
        <w:tc>
          <w:tcPr>
            <w:tcW w:w="2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满意度≥90%的得满分，不足90%的按比例得分。</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7</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截至评价日，项目仍处于执行过程中，因此未开展服务对象满意度调查。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54"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kern w:val="2"/>
                <w:sz w:val="21"/>
                <w:szCs w:val="21"/>
                <w:u w:val="none"/>
                <w:lang w:val="en-US" w:eastAsia="zh-CN" w:bidi="ar-SA"/>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部门（领域）顶层设计评估评价支撑相关用户单位满意度</w:t>
            </w: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10</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考核部门（领域）顶层设计评估评价支撑相关用户单位对规划设计工作的满意度。</w:t>
            </w:r>
          </w:p>
        </w:tc>
        <w:tc>
          <w:tcPr>
            <w:tcW w:w="4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满意度=（对规划设计工作满意的用户单位数量/全部接受满意度调查的用户单位数量）*100%</w:t>
            </w:r>
          </w:p>
        </w:tc>
        <w:tc>
          <w:tcPr>
            <w:tcW w:w="2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满意度≥90%的得满分，不足90%的按比例得分。</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7</w:t>
            </w:r>
          </w:p>
        </w:tc>
        <w:tc>
          <w:tcPr>
            <w:tcW w:w="1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2"/>
                <w:sz w:val="21"/>
                <w:szCs w:val="21"/>
                <w:u w:val="none"/>
                <w:lang w:val="en-US" w:eastAsia="zh-CN" w:bidi="ar-SA"/>
              </w:rPr>
            </w:pPr>
            <w:r>
              <w:rPr>
                <w:rFonts w:hint="eastAsia" w:ascii="宋体" w:hAnsi="宋体" w:eastAsia="宋体" w:cs="宋体"/>
                <w:kern w:val="2"/>
                <w:sz w:val="21"/>
                <w:szCs w:val="21"/>
                <w:u w:val="none"/>
                <w:lang w:val="en-US" w:eastAsia="zh-CN" w:bidi="ar-SA"/>
              </w:rPr>
              <w:t>截至评价日，项目仍处于执行过程中，因此未开展服务对象满意度调查。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48" w:hRule="atLeast"/>
        </w:trPr>
        <w:tc>
          <w:tcPr>
            <w:tcW w:w="1250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kern w:val="2"/>
                <w:sz w:val="21"/>
                <w:szCs w:val="21"/>
                <w:u w:val="none"/>
                <w:lang w:val="en-US" w:eastAsia="zh-CN" w:bidi="ar-SA"/>
              </w:rPr>
            </w:pPr>
            <w:r>
              <w:rPr>
                <w:rFonts w:hint="eastAsia" w:ascii="宋体" w:hAnsi="宋体" w:eastAsia="宋体" w:cs="宋体"/>
                <w:b/>
                <w:bCs/>
                <w:kern w:val="2"/>
                <w:sz w:val="21"/>
                <w:szCs w:val="21"/>
                <w:u w:val="none"/>
                <w:lang w:val="en-US" w:eastAsia="zh-CN" w:bidi="ar-SA"/>
              </w:rPr>
              <w:t>综合评价得分</w:t>
            </w:r>
          </w:p>
        </w:tc>
        <w:tc>
          <w:tcPr>
            <w:tcW w:w="20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kern w:val="2"/>
                <w:sz w:val="21"/>
                <w:szCs w:val="21"/>
                <w:u w:val="none"/>
                <w:lang w:val="en-US" w:eastAsia="zh-CN" w:bidi="ar-SA"/>
              </w:rPr>
            </w:pPr>
            <w:r>
              <w:rPr>
                <w:rFonts w:hint="eastAsia" w:ascii="宋体" w:hAnsi="宋体" w:eastAsia="宋体" w:cs="宋体"/>
                <w:b/>
                <w:bCs/>
                <w:kern w:val="2"/>
                <w:sz w:val="21"/>
                <w:szCs w:val="21"/>
                <w:u w:val="none"/>
                <w:lang w:val="en-US" w:eastAsia="zh-CN" w:bidi="ar-SA"/>
              </w:rPr>
              <w:t>82.66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48" w:hRule="atLeast"/>
        </w:trPr>
        <w:tc>
          <w:tcPr>
            <w:tcW w:w="1250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kern w:val="2"/>
                <w:sz w:val="21"/>
                <w:szCs w:val="21"/>
                <w:u w:val="none"/>
                <w:lang w:val="en-US" w:eastAsia="zh-CN" w:bidi="ar-SA"/>
              </w:rPr>
            </w:pPr>
            <w:r>
              <w:rPr>
                <w:rFonts w:hint="eastAsia" w:ascii="宋体" w:hAnsi="宋体" w:eastAsia="宋体" w:cs="宋体"/>
                <w:b/>
                <w:bCs/>
                <w:kern w:val="2"/>
                <w:sz w:val="21"/>
                <w:szCs w:val="21"/>
                <w:u w:val="none"/>
                <w:lang w:val="en-US" w:eastAsia="zh-CN" w:bidi="ar-SA"/>
              </w:rPr>
              <w:t>综合评价等级</w:t>
            </w:r>
          </w:p>
        </w:tc>
        <w:tc>
          <w:tcPr>
            <w:tcW w:w="20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kern w:val="2"/>
                <w:sz w:val="21"/>
                <w:szCs w:val="21"/>
                <w:u w:val="none"/>
                <w:lang w:val="en-US" w:eastAsia="zh-CN" w:bidi="ar-SA"/>
              </w:rPr>
            </w:pPr>
            <w:r>
              <w:rPr>
                <w:rFonts w:hint="eastAsia" w:ascii="宋体" w:hAnsi="宋体" w:eastAsia="宋体" w:cs="宋体"/>
                <w:b/>
                <w:bCs/>
                <w:kern w:val="2"/>
                <w:sz w:val="21"/>
                <w:szCs w:val="21"/>
                <w:u w:val="none"/>
                <w:lang w:val="en-US" w:eastAsia="zh-CN" w:bidi="ar-SA"/>
              </w:rPr>
              <w:t>良</w:t>
            </w:r>
          </w:p>
        </w:tc>
      </w:tr>
      <w:bookmarkEnd w:id="219"/>
    </w:tbl>
    <w:p>
      <w:pPr>
        <w:rPr>
          <w:rFonts w:hint="eastAsia"/>
          <w:lang w:val="en-US" w:eastAsia="zh-CN"/>
        </w:rPr>
        <w:sectPr>
          <w:pgSz w:w="16838" w:h="11906" w:orient="landscape"/>
          <w:pgMar w:top="1800" w:right="1440" w:bottom="1800" w:left="1440" w:header="851" w:footer="992" w:gutter="0"/>
          <w:pgNumType w:fmt="decimal"/>
          <w:cols w:space="425" w:num="1"/>
          <w:docGrid w:type="lines" w:linePitch="312" w:charSpace="0"/>
        </w:sectPr>
      </w:pPr>
      <w:bookmarkStart w:id="220" w:name="_GoBack"/>
    </w:p>
    <w:p/>
    <w:bookmarkEnd w:id="22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方正宋体S-超大字符集">
    <w:panose1 w:val="02000000000000000000"/>
    <w:charset w:val="86"/>
    <w:family w:val="auto"/>
    <w:pitch w:val="default"/>
    <w:sig w:usb0="00000001" w:usb1="08000000" w:usb2="00000000" w:usb3="00000000" w:csb0="00040000" w:csb1="00000000"/>
  </w:font>
  <w:font w:name="思源黑体 CN">
    <w:panose1 w:val="020B0600000000000000"/>
    <w:charset w:val="86"/>
    <w:family w:val="auto"/>
    <w:pitch w:val="default"/>
    <w:sig w:usb0="20000003" w:usb1="2ADF3C10" w:usb2="00000016" w:usb3="00000000" w:csb0="60060107" w:csb1="00000000"/>
  </w:font>
  <w:font w:name="黑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01"/>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4153"/>
        <w:tab w:val="clear" w:pos="4320"/>
      </w:tabs>
      <w:spacing w:after="0" w:line="240" w:lineRule="auto"/>
      <w:rPr>
        <w:rFonts w:hint="eastAsia" w:ascii="宋体" w:hAnsi="宋体" w:eastAsia="宋体" w:cs="宋体"/>
        <w:sz w:val="28"/>
        <w:szCs w:val="2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3</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EdcmWhMCAAATBAAADgAAAAAAAAABACAAAAA1AQAAZHJzL2Uyb0RvYy54bWxQSwUGAAAAAAYABgBZ&#10;AQAAugUAAAAA&#10;">
              <v:fill on="f" focussize="0,0"/>
              <v:stroke on="f" weight="0.5pt"/>
              <v:imagedata o:title=""/>
              <o:lock v:ext="edit" aspectratio="f"/>
              <v:textbox inset="0mm,0mm,0mm,0mm" style="mso-fit-shape-to-text:t;">
                <w:txbxContent>
                  <w:p>
                    <w:pPr>
                      <w:pStyle w:val="5"/>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3</w:t>
                    </w:r>
                    <w:r>
                      <w:rPr>
                        <w:rFonts w:hint="eastAsia" w:asciiTheme="minorEastAsia" w:hAnsiTheme="minorEastAsia" w:eastAsiaTheme="minorEastAsia" w:cstheme="minorEastAsia"/>
                        <w:sz w:val="28"/>
                        <w:szCs w:val="28"/>
                      </w:rPr>
                      <w:fldChar w:fldCharType="end"/>
                    </w:r>
                  </w:p>
                </w:txbxContent>
              </v:textbox>
            </v:shape>
          </w:pict>
        </mc:Fallback>
      </mc:AlternateContent>
    </w:r>
    <w:r>
      <w:rPr>
        <w:rFonts w:hint="eastAsia" w:ascii="仿宋_GB2312" w:eastAsia="仿宋_GB2312"/>
        <w:sz w:val="18"/>
        <w:szCs w:val="18"/>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4A1947CF"/>
    <w:rsid w:val="EDFF1E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30"/>
      <w:szCs w:val="30"/>
      <w:u w:val="none"/>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customStyle="1" w:styleId="2">
    <w:name w:val="样式1"/>
    <w:basedOn w:val="3"/>
    <w:qFormat/>
    <w:uiPriority w:val="0"/>
    <w:rPr>
      <w:rFonts w:ascii="黑体" w:hAnsi="黑体"/>
      <w:sz w:val="32"/>
      <w:szCs w:val="32"/>
    </w:rPr>
  </w:style>
  <w:style w:type="paragraph" w:styleId="4">
    <w:name w:val="Body Text"/>
    <w:basedOn w:val="1"/>
    <w:next w:val="1"/>
    <w:qFormat/>
    <w:uiPriority w:val="0"/>
  </w:style>
  <w:style w:type="paragraph" w:styleId="5">
    <w:name w:val="footer"/>
    <w:basedOn w:val="1"/>
    <w:unhideWhenUsed/>
    <w:qFormat/>
    <w:uiPriority w:val="99"/>
    <w:pPr>
      <w:widowControl/>
      <w:tabs>
        <w:tab w:val="center" w:pos="4320"/>
        <w:tab w:val="right" w:pos="8640"/>
      </w:tabs>
      <w:spacing w:after="200" w:line="276" w:lineRule="auto"/>
      <w:jc w:val="left"/>
    </w:pPr>
    <w:rPr>
      <w:rFonts w:ascii="Calibri" w:hAnsi="Calibri"/>
      <w:kern w:val="0"/>
      <w:sz w:val="22"/>
      <w:szCs w:val="22"/>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paragraph" w:customStyle="1" w:styleId="10">
    <w:name w:val="正文_0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
    <w:name w:val="正文1"/>
    <w:basedOn w:val="1"/>
    <w:qFormat/>
    <w:uiPriority w:val="0"/>
    <w:pPr>
      <w:autoSpaceDE w:val="0"/>
      <w:autoSpaceDN w:val="0"/>
      <w:adjustRightInd w:val="0"/>
      <w:snapToGrid w:val="0"/>
      <w:spacing w:line="600" w:lineRule="exact"/>
      <w:ind w:firstLine="624" w:firstLineChars="200"/>
    </w:pPr>
    <w:rPr>
      <w:rFonts w:ascii="宋体" w:hAnsi="宋体" w:eastAsia="仿宋_GB2312"/>
      <w:spacing w:val="6"/>
      <w:kern w:val="0"/>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8FAF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Office_10.8.0.7041_F1E327BC-269C-435d-A152-05C5408002CA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2018-07-11T15:11:00Z</dcterms:created>
  <dc:creator>d</dc:creator>
  <cp:lastModifiedBy>王晓</cp:lastModifiedBy>
  <dcterms:modified xsi:type="dcterms:W3CDTF">2023-06-09T16:14:03Z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2052-10.8.0.7041</vt:lpwstr>
  </property>
</Properties>
</file>