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方正小标宋简体" w:hAnsi="方正小标宋简体" w:eastAsia="方正小标宋简体" w:cs="方正小标宋简体"/>
          <w:b/>
          <w:bCs w:val="0"/>
          <w:sz w:val="44"/>
          <w:szCs w:val="44"/>
          <w:highlight w:val="none"/>
          <w:lang w:val="en-US" w:eastAsia="zh-CN"/>
        </w:rPr>
      </w:pPr>
      <w:r>
        <w:rPr>
          <w:rFonts w:hint="eastAsia" w:ascii="方正小标宋简体" w:hAnsi="方正小标宋简体" w:eastAsia="方正小标宋简体" w:cs="方正小标宋简体"/>
          <w:b/>
          <w:bCs w:val="0"/>
          <w:sz w:val="44"/>
          <w:szCs w:val="44"/>
          <w:highlight w:val="none"/>
          <w:lang w:val="en-US" w:eastAsia="zh-CN"/>
        </w:rPr>
        <w:t>北京市经济和信息化局</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宋体" w:hAnsi="宋体" w:eastAsia="宋体" w:cs="宋体"/>
          <w:b/>
          <w:bCs w:val="0"/>
          <w:sz w:val="44"/>
          <w:szCs w:val="44"/>
          <w:highlight w:val="none"/>
        </w:rPr>
      </w:pPr>
      <w:r>
        <w:rPr>
          <w:rFonts w:hint="eastAsia" w:ascii="方正小标宋简体" w:hAnsi="方正小标宋简体" w:eastAsia="方正小标宋简体" w:cs="方正小标宋简体"/>
          <w:b/>
          <w:bCs w:val="0"/>
          <w:sz w:val="44"/>
          <w:szCs w:val="44"/>
          <w:highlight w:val="none"/>
          <w:lang w:val="en-US" w:eastAsia="zh-CN"/>
        </w:rPr>
        <w:t>2022年</w:t>
      </w:r>
      <w:r>
        <w:rPr>
          <w:rFonts w:hint="eastAsia" w:ascii="方正小标宋简体" w:hAnsi="方正小标宋简体" w:eastAsia="方正小标宋简体" w:cs="方正小标宋简体"/>
          <w:b/>
          <w:bCs w:val="0"/>
          <w:sz w:val="44"/>
          <w:szCs w:val="44"/>
          <w:highlight w:val="none"/>
        </w:rPr>
        <w:t>部门整体绩效</w:t>
      </w:r>
      <w:r>
        <w:rPr>
          <w:rFonts w:hint="eastAsia" w:ascii="方正小标宋简体" w:hAnsi="方正小标宋简体" w:eastAsia="方正小标宋简体" w:cs="方正小标宋简体"/>
          <w:b/>
          <w:bCs w:val="0"/>
          <w:sz w:val="44"/>
          <w:szCs w:val="44"/>
          <w:highlight w:val="none"/>
          <w:lang w:val="en-US" w:eastAsia="zh-CN"/>
        </w:rPr>
        <w:t>评价</w:t>
      </w:r>
      <w:r>
        <w:rPr>
          <w:rFonts w:hint="eastAsia" w:ascii="方正小标宋简体" w:hAnsi="方正小标宋简体" w:eastAsia="方正小标宋简体" w:cs="方正小标宋简体"/>
          <w:b/>
          <w:bCs w:val="0"/>
          <w:sz w:val="44"/>
          <w:szCs w:val="44"/>
          <w:highlight w:val="none"/>
        </w:rPr>
        <w:t>报告</w:t>
      </w:r>
    </w:p>
    <w:p>
      <w:pPr>
        <w:pStyle w:val="4"/>
        <w:pageBreakBefore w:val="0"/>
        <w:kinsoku/>
        <w:wordWrap/>
        <w:overflowPunct/>
        <w:topLinePunct w:val="0"/>
        <w:autoSpaceDE/>
        <w:autoSpaceDN/>
        <w:bidi w:val="0"/>
        <w:adjustRightInd w:val="0"/>
        <w:snapToGrid w:val="0"/>
        <w:spacing w:before="0" w:after="0" w:line="560" w:lineRule="exact"/>
        <w:ind w:firstLine="640" w:firstLineChars="200"/>
        <w:textAlignment w:val="auto"/>
        <w:rPr>
          <w:rFonts w:hint="eastAsia" w:ascii="黑体" w:hAnsi="黑体" w:eastAsia="黑体"/>
          <w:b w:val="0"/>
          <w:bCs w:val="0"/>
          <w:highlight w:val="none"/>
        </w:rPr>
      </w:pPr>
    </w:p>
    <w:p>
      <w:pPr>
        <w:pStyle w:val="3"/>
        <w:keepNext/>
        <w:keepLines/>
        <w:pageBreakBefore w:val="0"/>
        <w:widowControl w:val="0"/>
        <w:kinsoku/>
        <w:wordWrap/>
        <w:overflowPunct/>
        <w:topLinePunct w:val="0"/>
        <w:autoSpaceDE/>
        <w:autoSpaceDN/>
        <w:bidi w:val="0"/>
        <w:adjustRightInd w:val="0"/>
        <w:snapToGrid w:val="0"/>
        <w:spacing w:before="0" w:after="0" w:line="560" w:lineRule="exact"/>
        <w:ind w:leftChars="0" w:firstLine="640" w:firstLineChars="200"/>
        <w:textAlignment w:val="auto"/>
        <w:outlineLvl w:val="0"/>
        <w:rPr>
          <w:rFonts w:ascii="黑体" w:hAnsi="黑体" w:eastAsia="黑体"/>
          <w:b w:val="0"/>
          <w:bCs w:val="0"/>
          <w:sz w:val="32"/>
          <w:szCs w:val="32"/>
          <w:highlight w:val="none"/>
        </w:rPr>
      </w:pPr>
      <w:bookmarkStart w:id="0" w:name="_Toc282"/>
      <w:r>
        <w:rPr>
          <w:rFonts w:hint="eastAsia" w:ascii="黑体" w:hAnsi="黑体" w:eastAsia="黑体"/>
          <w:b w:val="0"/>
          <w:bCs w:val="0"/>
          <w:sz w:val="32"/>
          <w:szCs w:val="32"/>
          <w:highlight w:val="none"/>
        </w:rPr>
        <w:t>一、部门概况</w:t>
      </w:r>
      <w:bookmarkEnd w:id="0"/>
    </w:p>
    <w:p>
      <w:pPr>
        <w:pStyle w:val="4"/>
        <w:pageBreakBefore w:val="0"/>
        <w:widowControl w:val="0"/>
        <w:kinsoku/>
        <w:wordWrap/>
        <w:overflowPunct/>
        <w:topLinePunct w:val="0"/>
        <w:autoSpaceDE/>
        <w:autoSpaceDN/>
        <w:bidi w:val="0"/>
        <w:adjustRightInd w:val="0"/>
        <w:snapToGrid w:val="0"/>
        <w:spacing w:before="0" w:after="0" w:line="560" w:lineRule="exact"/>
        <w:ind w:leftChars="0" w:firstLine="640" w:firstLineChars="200"/>
        <w:textAlignment w:val="auto"/>
        <w:rPr>
          <w:rFonts w:ascii="楷体" w:hAnsi="楷体" w:eastAsia="楷体"/>
          <w:b w:val="0"/>
          <w:bCs w:val="0"/>
          <w:highlight w:val="none"/>
        </w:rPr>
      </w:pPr>
      <w:bookmarkStart w:id="1" w:name="_Toc24277"/>
      <w:r>
        <w:rPr>
          <w:rFonts w:hint="eastAsia" w:ascii="楷体" w:hAnsi="楷体" w:eastAsia="楷体"/>
          <w:b w:val="0"/>
          <w:bCs w:val="0"/>
          <w:highlight w:val="none"/>
        </w:rPr>
        <w:t>（一）机构设置及职责工作任务情况</w:t>
      </w:r>
      <w:bookmarkEnd w:id="1"/>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根据北京市委办公厅印发的《</w:t>
      </w:r>
      <w:r>
        <w:rPr>
          <w:rFonts w:hint="default" w:ascii="Times New Roman" w:hAnsi="Times New Roman" w:eastAsia="仿宋_GB2312" w:cs="Times New Roman"/>
          <w:sz w:val="32"/>
          <w:szCs w:val="32"/>
          <w:highlight w:val="none"/>
          <w:lang w:eastAsia="zh-CN"/>
        </w:rPr>
        <w:t>北京市经济和信息化局</w:t>
      </w:r>
      <w:r>
        <w:rPr>
          <w:rFonts w:hint="default" w:ascii="Times New Roman" w:hAnsi="Times New Roman" w:eastAsia="仿宋_GB2312" w:cs="Times New Roman"/>
          <w:sz w:val="32"/>
          <w:szCs w:val="32"/>
          <w:highlight w:val="none"/>
        </w:rPr>
        <w:t>职能配置、内设机构和人员编制规定》（京办字〔2019〕1</w:t>
      </w:r>
      <w:r>
        <w:rPr>
          <w:rFonts w:hint="default"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号），</w:t>
      </w:r>
      <w:r>
        <w:rPr>
          <w:rFonts w:hint="default" w:ascii="Times New Roman" w:hAnsi="Times New Roman" w:eastAsia="仿宋_GB2312" w:cs="Times New Roman"/>
          <w:sz w:val="32"/>
          <w:szCs w:val="32"/>
          <w:highlight w:val="none"/>
          <w:lang w:eastAsia="zh-CN"/>
        </w:rPr>
        <w:t>北京市经济和信息化局</w:t>
      </w:r>
      <w:r>
        <w:rPr>
          <w:rFonts w:hint="default" w:ascii="Times New Roman" w:hAnsi="Times New Roman" w:eastAsia="仿宋_GB2312" w:cs="Times New Roman"/>
          <w:sz w:val="32"/>
          <w:szCs w:val="32"/>
          <w:highlight w:val="none"/>
        </w:rPr>
        <w:t>设立</w:t>
      </w:r>
      <w:r>
        <w:rPr>
          <w:rFonts w:hint="default" w:ascii="Times New Roman" w:hAnsi="Times New Roman" w:eastAsia="仿宋_GB2312" w:cs="Times New Roman"/>
          <w:sz w:val="32"/>
          <w:szCs w:val="32"/>
          <w:highlight w:val="none"/>
          <w:lang w:val="en-US" w:eastAsia="zh-CN"/>
        </w:rPr>
        <w:t>33</w:t>
      </w:r>
      <w:r>
        <w:rPr>
          <w:rFonts w:hint="default" w:ascii="Times New Roman" w:hAnsi="Times New Roman" w:eastAsia="仿宋_GB2312" w:cs="Times New Roman"/>
          <w:sz w:val="32"/>
          <w:szCs w:val="32"/>
          <w:highlight w:val="none"/>
        </w:rPr>
        <w:t>个处室，下属</w:t>
      </w:r>
      <w:r>
        <w:rPr>
          <w:rFonts w:hint="default" w:ascii="Times New Roman" w:hAnsi="Times New Roman" w:eastAsia="仿宋_GB2312" w:cs="Times New Roman"/>
          <w:sz w:val="32"/>
          <w:szCs w:val="32"/>
          <w:highlight w:val="none"/>
          <w:lang w:val="en-US" w:eastAsia="zh-CN"/>
        </w:rPr>
        <w:t>单位</w:t>
      </w:r>
      <w:r>
        <w:rPr>
          <w:rFonts w:hint="eastAsia" w:ascii="Times New Roman" w:hAnsi="Times New Roman"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lang w:val="en-US" w:eastAsia="zh-CN"/>
        </w:rPr>
        <w:t>个，</w:t>
      </w:r>
      <w:r>
        <w:rPr>
          <w:rFonts w:hint="default" w:ascii="Times New Roman" w:hAnsi="Times New Roman" w:eastAsia="仿宋_GB2312" w:cs="Times New Roman"/>
          <w:sz w:val="32"/>
          <w:szCs w:val="32"/>
          <w:highlight w:val="none"/>
        </w:rPr>
        <w:t>其中行政单位1个（市经济信息化局本级），全额拨款事业单位1</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个。北京市经济和信息化局部门行政编制241人，工勤编制</w:t>
      </w:r>
      <w:r>
        <w:rPr>
          <w:rFonts w:hint="default" w:ascii="Times New Roman" w:hAnsi="Times New Roman" w:eastAsia="仿宋_GB2312" w:cs="Times New Roman"/>
          <w:sz w:val="32"/>
          <w:szCs w:val="32"/>
          <w:highlight w:val="none"/>
        </w:rPr>
        <w:t>7</w:t>
      </w:r>
      <w:bookmarkStart w:id="21" w:name="_GoBack"/>
      <w:bookmarkEnd w:id="21"/>
      <w:r>
        <w:rPr>
          <w:rFonts w:hint="default" w:ascii="Times New Roman" w:hAnsi="Times New Roman" w:eastAsia="仿宋_GB2312" w:cs="Times New Roman"/>
          <w:sz w:val="32"/>
          <w:szCs w:val="32"/>
          <w:highlight w:val="none"/>
        </w:rPr>
        <w:t>人，实际245人；事业编制544人，实际467人；聘用人员6人。离退休人员339人，其中：离休8人，退休331人。</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rPr>
        <w:t>北京市经济和信息化局贯彻落实党中央关于工业、软件和信息服务业、信息化方面的方针政策、决策部署和市委有关工作要求，在履行职责过程中坚持和加强党对工业、软件和信息服务业、信息化的集中统一领导。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w:t>
      </w:r>
      <w:r>
        <w:rPr>
          <w:rFonts w:hint="default" w:ascii="Times New Roman" w:hAnsi="Times New Roman" w:eastAsia="仿宋_GB2312" w:cs="Times New Roman"/>
          <w:bCs/>
          <w:color w:val="000000"/>
          <w:sz w:val="32"/>
          <w:szCs w:val="32"/>
          <w:highlight w:val="none"/>
        </w:rPr>
        <w:t>起草本市相关地方性法规草案、政府规章草案，并组织实施。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2.</w:t>
      </w:r>
      <w:r>
        <w:rPr>
          <w:rFonts w:hint="default" w:ascii="Times New Roman" w:hAnsi="Times New Roman" w:eastAsia="仿宋_GB2312" w:cs="Times New Roman"/>
          <w:bCs/>
          <w:color w:val="000000"/>
          <w:sz w:val="32"/>
          <w:szCs w:val="32"/>
          <w:highlight w:val="none"/>
        </w:rPr>
        <w:t>研究拟订并组织实施本市工业、软件和信息服务业发展规划和产业政策，推进产业布局调整和产业结构优化升级。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3.</w:t>
      </w:r>
      <w:r>
        <w:rPr>
          <w:rFonts w:hint="default" w:ascii="Times New Roman" w:hAnsi="Times New Roman" w:eastAsia="仿宋_GB2312" w:cs="Times New Roman"/>
          <w:bCs/>
          <w:color w:val="000000"/>
          <w:sz w:val="32"/>
          <w:szCs w:val="32"/>
          <w:highlight w:val="none"/>
        </w:rPr>
        <w:t>监测分析本市工业、软件和信息服务业、信息化的运行态势，统计并发布相关信息。协调解决产业运行和发展中的有关问题，并提出政策建议。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4.</w:t>
      </w:r>
      <w:r>
        <w:rPr>
          <w:rFonts w:hint="default" w:ascii="Times New Roman" w:hAnsi="Times New Roman" w:eastAsia="仿宋_GB2312" w:cs="Times New Roman"/>
          <w:bCs/>
          <w:color w:val="000000"/>
          <w:sz w:val="32"/>
          <w:szCs w:val="32"/>
          <w:highlight w:val="none"/>
        </w:rPr>
        <w:t>按照规定权限，核准、备案和上报本市规划内和年度计划内工业和信息化领域固定资产投资项目。会同有关部门研究提出工业、软件和信息服务业方面利用外资和境外投资的重点领域和促进政策。</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5.</w:t>
      </w:r>
      <w:r>
        <w:rPr>
          <w:rFonts w:hint="default" w:ascii="Times New Roman" w:hAnsi="Times New Roman" w:eastAsia="仿宋_GB2312" w:cs="Times New Roman"/>
          <w:bCs/>
          <w:color w:val="000000"/>
          <w:sz w:val="32"/>
          <w:szCs w:val="32"/>
          <w:highlight w:val="none"/>
        </w:rPr>
        <w:t>指导本市工业、软件和信息服务业、信息化技术创新和技术进步，推进企业技术改造。组织实施国家及本市工业、软件和信息服务业、信息化科技重大专项，推进相关科研成果产业化。指导相关行业质量管理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6.</w:t>
      </w:r>
      <w:r>
        <w:rPr>
          <w:rFonts w:hint="default" w:ascii="Times New Roman" w:hAnsi="Times New Roman" w:eastAsia="仿宋_GB2312" w:cs="Times New Roman"/>
          <w:bCs/>
          <w:color w:val="000000"/>
          <w:sz w:val="32"/>
          <w:szCs w:val="32"/>
          <w:highlight w:val="none"/>
        </w:rPr>
        <w:t>拟订本市高技术创造业、软件和信息服务业、新兴产业中重点领域的发展规划、实施方案、配套政策及行业标准，并组织实施。参与推进相关领域文化创意产业的发展。</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7.</w:t>
      </w:r>
      <w:r>
        <w:rPr>
          <w:rFonts w:hint="default" w:ascii="Times New Roman" w:hAnsi="Times New Roman" w:eastAsia="仿宋_GB2312" w:cs="Times New Roman"/>
          <w:bCs/>
          <w:color w:val="000000"/>
          <w:sz w:val="32"/>
          <w:szCs w:val="32"/>
          <w:highlight w:val="none"/>
        </w:rPr>
        <w:t>承担振兴本市装备制造业组织协调的责任。组织拟订重大技术装备发展和自主创新规划、政策。依托国家及本市重点工程建设推进重大技术装备国产化。指导引进重大技术装备的消化创新。</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8.</w:t>
      </w:r>
      <w:r>
        <w:rPr>
          <w:rFonts w:hint="default" w:ascii="Times New Roman" w:hAnsi="Times New Roman" w:eastAsia="仿宋_GB2312" w:cs="Times New Roman"/>
          <w:bCs/>
          <w:color w:val="000000"/>
          <w:sz w:val="32"/>
          <w:szCs w:val="32"/>
          <w:highlight w:val="none"/>
        </w:rPr>
        <w:t>拟订并组织实施本市工业、软件和信息服务业、信息化领域的能源节约和资源综合利用、清洁生产促进政策。参与拟订能源节约和资源综合利用、清洁生产促进规划。组织协调相关重大示范工程和新产品、新技术、新设备、新材料的推广应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9.</w:t>
      </w:r>
      <w:r>
        <w:rPr>
          <w:rFonts w:hint="default" w:ascii="Times New Roman" w:hAnsi="Times New Roman" w:eastAsia="仿宋_GB2312" w:cs="Times New Roman"/>
          <w:bCs/>
          <w:color w:val="000000"/>
          <w:sz w:val="32"/>
          <w:szCs w:val="32"/>
          <w:highlight w:val="none"/>
        </w:rPr>
        <w:t>指导和促进本市中小企业发展。会同有关部门拟订促进中小企业发展和非国有经济发展的相关政策和措施，协调解决有关重大问题。建立和完善中小企业服务体系。负责城镇集体企业清产核资相关工作。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10.</w:t>
      </w:r>
      <w:r>
        <w:rPr>
          <w:rFonts w:hint="default" w:ascii="Times New Roman" w:hAnsi="Times New Roman" w:eastAsia="仿宋_GB2312" w:cs="Times New Roman"/>
          <w:bCs/>
          <w:color w:val="000000"/>
          <w:sz w:val="32"/>
          <w:szCs w:val="32"/>
          <w:highlight w:val="none"/>
        </w:rPr>
        <w:t>指导和协调本市工业开发区的建设与发展，促进工业产业基地建设。负责镇村产业生产集中地农民就业产业基地、建设。指导镇村产业发展。</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11.</w:t>
      </w:r>
      <w:r>
        <w:rPr>
          <w:rFonts w:hint="default" w:ascii="Times New Roman" w:hAnsi="Times New Roman" w:eastAsia="仿宋_GB2312" w:cs="Times New Roman"/>
          <w:bCs/>
          <w:color w:val="000000"/>
          <w:sz w:val="32"/>
          <w:szCs w:val="32"/>
          <w:highlight w:val="none"/>
        </w:rPr>
        <w:t>统筹协调本市信息化基础设施的规划和管理。参与统筹规划公用通信网、互联网、广播电视网和部门专用通信网。负责与国家通信主干网等专用通信网方面的协调工作。促进电信网络、广播电视网络和计算机网络融合。承担北京市通信保障应急指挥部的具体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12.</w:t>
      </w:r>
      <w:r>
        <w:rPr>
          <w:rFonts w:hint="default" w:ascii="Times New Roman" w:hAnsi="Times New Roman" w:eastAsia="仿宋_GB2312" w:cs="Times New Roman"/>
          <w:bCs/>
          <w:color w:val="000000"/>
          <w:sz w:val="32"/>
          <w:szCs w:val="32"/>
          <w:highlight w:val="none"/>
        </w:rPr>
        <w:t>统筹推进本市大数据工作。负责政务数据和相关社会数据的整合、管理、应用和服务体系建设工作。统筹协调社会信用体系建设。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13.</w:t>
      </w:r>
      <w:r>
        <w:rPr>
          <w:rFonts w:hint="default" w:ascii="Times New Roman" w:hAnsi="Times New Roman" w:eastAsia="仿宋_GB2312" w:cs="Times New Roman"/>
          <w:bCs/>
          <w:color w:val="000000"/>
          <w:sz w:val="32"/>
          <w:szCs w:val="32"/>
          <w:highlight w:val="none"/>
        </w:rPr>
        <w:t>指导本市工业、软件和信息服务业安全生产管理工作。负责拟订本市工业控制系统网络与信息安全规划、政策、标准，并组织实施。负责政务信息安全管理工作。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14.</w:t>
      </w:r>
      <w:r>
        <w:rPr>
          <w:rFonts w:hint="default" w:ascii="Times New Roman" w:hAnsi="Times New Roman" w:eastAsia="仿宋_GB2312" w:cs="Times New Roman"/>
          <w:bCs/>
          <w:color w:val="000000"/>
          <w:sz w:val="32"/>
          <w:szCs w:val="32"/>
          <w:highlight w:val="none"/>
        </w:rPr>
        <w:t>负责本市无线电管理工作。负责对无线电频率资源和无线电台站进行统一规划和管理。负责研制、生产、进口无线电发射设备的审核工作。协调处理电磁干扰事宜，维护空中电波秩序。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15.</w:t>
      </w:r>
      <w:r>
        <w:rPr>
          <w:rFonts w:hint="default" w:ascii="Times New Roman" w:hAnsi="Times New Roman" w:eastAsia="仿宋_GB2312" w:cs="Times New Roman"/>
          <w:bCs/>
          <w:color w:val="000000"/>
          <w:sz w:val="32"/>
          <w:szCs w:val="32"/>
          <w:highlight w:val="none"/>
        </w:rPr>
        <w:t>组织协调北京地区武器装备科研生产的重大事项，保障军工核心能力建设，推进军民融合。协调推进本市航空航天产业发展。承担北京市核应急指挥部的具体工作。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16.</w:t>
      </w:r>
      <w:r>
        <w:rPr>
          <w:rFonts w:hint="default" w:ascii="Times New Roman" w:hAnsi="Times New Roman" w:eastAsia="仿宋_GB2312" w:cs="Times New Roman"/>
          <w:bCs/>
          <w:color w:val="000000"/>
          <w:sz w:val="32"/>
          <w:szCs w:val="32"/>
          <w:highlight w:val="none"/>
        </w:rPr>
        <w:t>开展本市工业、软件和信息服务业领域对外合作与交流。</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17.</w:t>
      </w:r>
      <w:r>
        <w:rPr>
          <w:rFonts w:hint="default" w:ascii="Times New Roman" w:hAnsi="Times New Roman" w:eastAsia="仿宋_GB2312" w:cs="Times New Roman"/>
          <w:bCs/>
          <w:color w:val="000000"/>
          <w:sz w:val="32"/>
          <w:szCs w:val="32"/>
          <w:highlight w:val="none"/>
        </w:rPr>
        <w:t>负责本市工业、软件和信息服务业领域人力资源的合理配置，会同有关部门拟订人才队伍建设规划和有关政策措施，组织相关人才培训。</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18.</w:t>
      </w:r>
      <w:r>
        <w:rPr>
          <w:rFonts w:hint="default" w:ascii="Times New Roman" w:hAnsi="Times New Roman" w:eastAsia="仿宋_GB2312" w:cs="Times New Roman"/>
          <w:bCs/>
          <w:color w:val="000000"/>
          <w:sz w:val="32"/>
          <w:szCs w:val="32"/>
          <w:highlight w:val="none"/>
        </w:rPr>
        <w:t>完成市委、市政府交办的其他事项。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color w:val="000000"/>
          <w:sz w:val="32"/>
          <w:szCs w:val="32"/>
          <w:highlight w:val="none"/>
        </w:rPr>
      </w:pPr>
      <w:r>
        <w:rPr>
          <w:rFonts w:hint="default" w:ascii="Times New Roman" w:hAnsi="Times New Roman" w:eastAsia="仿宋_GB2312" w:cs="Times New Roman"/>
          <w:bCs/>
          <w:color w:val="000000"/>
          <w:sz w:val="32"/>
          <w:szCs w:val="32"/>
          <w:highlight w:val="none"/>
          <w:lang w:val="en-US" w:eastAsia="zh-CN"/>
        </w:rPr>
        <w:t>19.</w:t>
      </w:r>
      <w:r>
        <w:rPr>
          <w:rFonts w:hint="default" w:ascii="Times New Roman" w:hAnsi="Times New Roman" w:eastAsia="仿宋_GB2312" w:cs="Times New Roman"/>
          <w:bCs/>
          <w:color w:val="000000"/>
          <w:sz w:val="32"/>
          <w:szCs w:val="32"/>
          <w:highlight w:val="none"/>
        </w:rPr>
        <w:t>职能转变。市经济和信息化局应当强化大数据管理职责，加强顶层设计和统筹协调，推动政府信息系统和公共数据互联开放共享，推进数据汇集和发掘，深化大数据在各行业创新应用，促进大数据产业健康发展。完善法规制度和标准体系，科学规范利用大数据，切实保障数据安全。</w:t>
      </w:r>
    </w:p>
    <w:p>
      <w:pPr>
        <w:pStyle w:val="4"/>
        <w:pageBreakBefore w:val="0"/>
        <w:widowControl w:val="0"/>
        <w:kinsoku/>
        <w:wordWrap/>
        <w:overflowPunct/>
        <w:topLinePunct w:val="0"/>
        <w:autoSpaceDE/>
        <w:autoSpaceDN/>
        <w:bidi w:val="0"/>
        <w:adjustRightInd w:val="0"/>
        <w:snapToGrid w:val="0"/>
        <w:spacing w:before="0" w:after="0" w:line="560" w:lineRule="exact"/>
        <w:ind w:leftChars="0" w:firstLine="640" w:firstLineChars="200"/>
        <w:textAlignment w:val="auto"/>
        <w:rPr>
          <w:rFonts w:ascii="楷体" w:hAnsi="楷体" w:eastAsia="楷体"/>
          <w:b w:val="0"/>
          <w:bCs w:val="0"/>
          <w:highlight w:val="none"/>
        </w:rPr>
      </w:pPr>
      <w:bookmarkStart w:id="2" w:name="_Toc8147"/>
      <w:r>
        <w:rPr>
          <w:rFonts w:hint="eastAsia" w:ascii="楷体" w:hAnsi="楷体" w:eastAsia="楷体"/>
          <w:b w:val="0"/>
          <w:bCs w:val="0"/>
          <w:highlight w:val="none"/>
        </w:rPr>
        <w:t>（二）部门整体绩效目标设立情况</w:t>
      </w:r>
      <w:bookmarkEnd w:id="2"/>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Cs/>
          <w:sz w:val="32"/>
          <w:szCs w:val="32"/>
          <w:highlight w:val="none"/>
          <w:lang w:eastAsia="zh-CN"/>
        </w:rPr>
        <w:t>我局</w:t>
      </w:r>
      <w:r>
        <w:rPr>
          <w:rFonts w:hint="default" w:ascii="Times New Roman" w:hAnsi="Times New Roman" w:eastAsia="仿宋_GB2312" w:cs="Times New Roman"/>
          <w:bCs/>
          <w:sz w:val="32"/>
          <w:szCs w:val="32"/>
          <w:highlight w:val="none"/>
        </w:rPr>
        <w:t>结合部门职责、202</w:t>
      </w:r>
      <w:r>
        <w:rPr>
          <w:rFonts w:hint="default" w:ascii="Times New Roman" w:hAnsi="Times New Roman" w:eastAsia="仿宋_GB2312" w:cs="Times New Roman"/>
          <w:bCs/>
          <w:sz w:val="32"/>
          <w:szCs w:val="32"/>
          <w:highlight w:val="none"/>
          <w:lang w:val="en-US" w:eastAsia="zh-CN"/>
        </w:rPr>
        <w:t>2</w:t>
      </w:r>
      <w:r>
        <w:rPr>
          <w:rFonts w:hint="default" w:ascii="Times New Roman" w:hAnsi="Times New Roman" w:eastAsia="仿宋_GB2312" w:cs="Times New Roman"/>
          <w:bCs/>
          <w:sz w:val="32"/>
          <w:szCs w:val="32"/>
          <w:highlight w:val="none"/>
        </w:rPr>
        <w:t>年</w:t>
      </w:r>
      <w:r>
        <w:rPr>
          <w:rFonts w:hint="default" w:ascii="Times New Roman" w:hAnsi="Times New Roman" w:eastAsia="仿宋_GB2312" w:cs="Times New Roman"/>
          <w:bCs/>
          <w:sz w:val="32"/>
          <w:szCs w:val="32"/>
          <w:highlight w:val="none"/>
          <w:lang w:eastAsia="zh-CN"/>
        </w:rPr>
        <w:t>重点工作任务</w:t>
      </w:r>
      <w:r>
        <w:rPr>
          <w:rFonts w:hint="default" w:ascii="Times New Roman" w:hAnsi="Times New Roman" w:eastAsia="仿宋_GB2312" w:cs="Times New Roman"/>
          <w:bCs/>
          <w:sz w:val="32"/>
          <w:szCs w:val="32"/>
          <w:highlight w:val="none"/>
        </w:rPr>
        <w:t>及财政资金分配使用计划，制定了《</w:t>
      </w:r>
      <w:r>
        <w:rPr>
          <w:rFonts w:hint="default" w:ascii="Times New Roman" w:hAnsi="Times New Roman" w:eastAsia="仿宋_GB2312" w:cs="Times New Roman"/>
          <w:bCs/>
          <w:sz w:val="32"/>
          <w:szCs w:val="32"/>
          <w:highlight w:val="none"/>
          <w:lang w:eastAsia="zh-CN"/>
        </w:rPr>
        <w:t>北京市经济和信息化局</w:t>
      </w:r>
      <w:r>
        <w:rPr>
          <w:rFonts w:hint="default" w:ascii="Times New Roman" w:hAnsi="Times New Roman" w:eastAsia="仿宋_GB2312" w:cs="Times New Roman"/>
          <w:bCs/>
          <w:sz w:val="32"/>
          <w:szCs w:val="32"/>
          <w:highlight w:val="none"/>
        </w:rPr>
        <w:t>202</w:t>
      </w:r>
      <w:r>
        <w:rPr>
          <w:rFonts w:hint="default" w:ascii="Times New Roman" w:hAnsi="Times New Roman" w:eastAsia="仿宋_GB2312" w:cs="Times New Roman"/>
          <w:bCs/>
          <w:sz w:val="32"/>
          <w:szCs w:val="32"/>
          <w:highlight w:val="none"/>
          <w:lang w:val="en-US" w:eastAsia="zh-CN"/>
        </w:rPr>
        <w:t>2</w:t>
      </w:r>
      <w:r>
        <w:rPr>
          <w:rFonts w:hint="default" w:ascii="Times New Roman" w:hAnsi="Times New Roman" w:eastAsia="仿宋_GB2312" w:cs="Times New Roman"/>
          <w:bCs/>
          <w:sz w:val="32"/>
          <w:szCs w:val="32"/>
          <w:highlight w:val="none"/>
        </w:rPr>
        <w:t>年部门整体支</w:t>
      </w:r>
      <w:r>
        <w:rPr>
          <w:rFonts w:hint="default" w:ascii="Times New Roman" w:hAnsi="Times New Roman" w:eastAsia="仿宋_GB2312" w:cs="Times New Roman"/>
          <w:sz w:val="32"/>
          <w:szCs w:val="32"/>
          <w:highlight w:val="none"/>
        </w:rPr>
        <w:t>出绩效目标申报表》，明确了部门总体绩效</w:t>
      </w:r>
      <w:r>
        <w:rPr>
          <w:rFonts w:hint="default" w:ascii="Times New Roman" w:hAnsi="Times New Roman" w:eastAsia="仿宋_GB2312" w:cs="Times New Roman"/>
          <w:sz w:val="32"/>
          <w:szCs w:val="32"/>
          <w:highlight w:val="none"/>
          <w:lang w:eastAsia="zh-CN"/>
        </w:rPr>
        <w:t>目标：按照工业和信息化产业发展相关规划要求和市委市政府关于推进我市工业和信息化产业发展的相关工作部署，结合首都功能定位，优化产业结构，促进现代制造业等高端产业发展，构建“高精尖”产业体系</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建立和完善中小企业服务体系，加快推进本市信息化建设，加快推进信息化和工业化融合，调整产业布局，推进京津冀产业协同，保持首都工业和信息服务业平稳发展。</w:t>
      </w:r>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sz w:val="32"/>
          <w:szCs w:val="32"/>
          <w:highlight w:val="none"/>
        </w:rPr>
        <w:t>根据总体目标并结合工作重点，从北京高精尖产业发展</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工艺美术产业发展</w:t>
      </w:r>
      <w:r>
        <w:rPr>
          <w:rFonts w:hint="default" w:ascii="Times New Roman" w:hAnsi="Times New Roman" w:eastAsia="仿宋_GB2312" w:cs="Times New Roman"/>
          <w:sz w:val="32"/>
          <w:szCs w:val="32"/>
          <w:highlight w:val="none"/>
          <w:lang w:eastAsia="zh-CN"/>
        </w:rPr>
        <w:t>、绿色环保支持、</w:t>
      </w:r>
      <w:r>
        <w:rPr>
          <w:rFonts w:hint="default" w:ascii="Times New Roman" w:hAnsi="Times New Roman" w:eastAsia="仿宋_GB2312" w:cs="Times New Roman"/>
          <w:sz w:val="32"/>
          <w:szCs w:val="32"/>
          <w:highlight w:val="none"/>
        </w:rPr>
        <w:t>中小企业发展扶持</w:t>
      </w:r>
      <w:r>
        <w:rPr>
          <w:rFonts w:hint="default" w:ascii="Times New Roman" w:hAnsi="Times New Roman" w:eastAsia="仿宋_GB2312" w:cs="Times New Roman"/>
          <w:sz w:val="32"/>
          <w:szCs w:val="32"/>
          <w:highlight w:val="none"/>
          <w:lang w:eastAsia="zh-CN"/>
        </w:rPr>
        <w:t>、“大数据”建设及应用、信息化建设及运行保障、数字经济统筹推进机制建设、社会信用体系建设</w:t>
      </w:r>
      <w:r>
        <w:rPr>
          <w:rFonts w:hint="default" w:ascii="Times New Roman" w:hAnsi="Times New Roman" w:eastAsia="仿宋_GB2312" w:cs="Times New Roman"/>
          <w:sz w:val="32"/>
          <w:szCs w:val="32"/>
          <w:highlight w:val="none"/>
        </w:rPr>
        <w:t>等</w:t>
      </w:r>
      <w:r>
        <w:rPr>
          <w:rFonts w:hint="default" w:ascii="Times New Roman" w:hAnsi="Times New Roman" w:eastAsia="仿宋_GB2312" w:cs="Times New Roman"/>
          <w:sz w:val="32"/>
          <w:szCs w:val="32"/>
          <w:highlight w:val="none"/>
          <w:lang w:val="en-US" w:eastAsia="zh-CN"/>
        </w:rPr>
        <w:t>8个</w:t>
      </w:r>
      <w:r>
        <w:rPr>
          <w:rFonts w:hint="default" w:ascii="Times New Roman" w:hAnsi="Times New Roman" w:eastAsia="仿宋_GB2312" w:cs="Times New Roman"/>
          <w:sz w:val="32"/>
          <w:szCs w:val="32"/>
          <w:highlight w:val="none"/>
        </w:rPr>
        <w:t>方面设定了绩效指标，指标设定与</w:t>
      </w:r>
      <w:r>
        <w:rPr>
          <w:rFonts w:hint="default" w:ascii="Times New Roman" w:hAnsi="Times New Roman" w:eastAsia="仿宋_GB2312" w:cs="Times New Roman"/>
          <w:sz w:val="32"/>
          <w:szCs w:val="32"/>
          <w:highlight w:val="none"/>
          <w:lang w:val="en-US" w:eastAsia="zh-CN"/>
        </w:rPr>
        <w:t>全局</w:t>
      </w:r>
      <w:r>
        <w:rPr>
          <w:rFonts w:hint="default" w:ascii="Times New Roman" w:hAnsi="Times New Roman" w:eastAsia="仿宋_GB2312" w:cs="Times New Roman"/>
          <w:sz w:val="32"/>
          <w:szCs w:val="32"/>
          <w:highlight w:val="none"/>
        </w:rPr>
        <w:t>职能任务相匹配，符合相关法律法规的要求及部门整体支出的客观实际，目标依据充分，具有一定的可操作性和可实现性。</w:t>
      </w:r>
    </w:p>
    <w:p>
      <w:pPr>
        <w:pStyle w:val="3"/>
        <w:keepNext/>
        <w:keepLines/>
        <w:pageBreakBefore w:val="0"/>
        <w:widowControl w:val="0"/>
        <w:kinsoku/>
        <w:wordWrap/>
        <w:overflowPunct/>
        <w:topLinePunct w:val="0"/>
        <w:autoSpaceDE/>
        <w:autoSpaceDN/>
        <w:bidi w:val="0"/>
        <w:adjustRightInd w:val="0"/>
        <w:snapToGrid w:val="0"/>
        <w:spacing w:before="0" w:after="0" w:line="560" w:lineRule="exact"/>
        <w:ind w:leftChars="0" w:firstLine="640" w:firstLineChars="200"/>
        <w:textAlignment w:val="auto"/>
        <w:outlineLvl w:val="0"/>
        <w:rPr>
          <w:rFonts w:hint="eastAsia" w:ascii="黑体" w:hAnsi="黑体" w:eastAsia="黑体"/>
          <w:b w:val="0"/>
          <w:bCs w:val="0"/>
          <w:sz w:val="32"/>
          <w:szCs w:val="32"/>
          <w:highlight w:val="none"/>
        </w:rPr>
      </w:pPr>
      <w:bookmarkStart w:id="3" w:name="_Toc27064"/>
      <w:r>
        <w:rPr>
          <w:rFonts w:hint="eastAsia" w:ascii="黑体" w:hAnsi="黑体" w:eastAsia="黑体"/>
          <w:b w:val="0"/>
          <w:bCs w:val="0"/>
          <w:sz w:val="32"/>
          <w:szCs w:val="32"/>
          <w:highlight w:val="none"/>
        </w:rPr>
        <w:t>二、当年预算执行情况</w:t>
      </w:r>
      <w:bookmarkEnd w:id="3"/>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eastAsia="仿宋_GB2312"/>
          <w:color w:val="auto"/>
          <w:sz w:val="32"/>
          <w:szCs w:val="32"/>
          <w:highlight w:val="none"/>
        </w:rPr>
      </w:pP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年预算</w:t>
      </w:r>
      <w:r>
        <w:rPr>
          <w:rFonts w:hint="eastAsia" w:ascii="Times New Roman" w:hAnsi="Times New Roman" w:eastAsia="仿宋_GB2312" w:cs="Times New Roman"/>
          <w:color w:val="auto"/>
          <w:sz w:val="32"/>
          <w:szCs w:val="32"/>
          <w:highlight w:val="none"/>
          <w:lang w:eastAsia="zh-CN"/>
        </w:rPr>
        <w:t>总</w:t>
      </w:r>
      <w:r>
        <w:rPr>
          <w:rFonts w:hint="default" w:ascii="Times New Roman" w:hAnsi="Times New Roman" w:eastAsia="仿宋_GB2312" w:cs="Times New Roman"/>
          <w:color w:val="auto"/>
          <w:sz w:val="32"/>
          <w:szCs w:val="32"/>
          <w:highlight w:val="none"/>
          <w:lang w:val="en-US" w:eastAsia="zh-CN"/>
        </w:rPr>
        <w:t>数816,491.60</w:t>
      </w:r>
      <w:r>
        <w:rPr>
          <w:rFonts w:hint="default" w:ascii="Times New Roman" w:hAnsi="Times New Roman" w:eastAsia="仿宋_GB2312" w:cs="Times New Roman"/>
          <w:color w:val="auto"/>
          <w:sz w:val="32"/>
          <w:szCs w:val="32"/>
          <w:highlight w:val="none"/>
        </w:rPr>
        <w:t>万元，其中，基本</w:t>
      </w:r>
      <w:r>
        <w:rPr>
          <w:rFonts w:hint="default" w:ascii="Times New Roman" w:hAnsi="Times New Roman" w:eastAsia="仿宋_GB2312" w:cs="Times New Roman"/>
          <w:color w:val="auto"/>
          <w:sz w:val="32"/>
          <w:szCs w:val="32"/>
          <w:highlight w:val="none"/>
          <w:lang w:eastAsia="zh-CN"/>
        </w:rPr>
        <w:t>经费</w:t>
      </w:r>
      <w:r>
        <w:rPr>
          <w:rFonts w:hint="default" w:ascii="Times New Roman" w:hAnsi="Times New Roman" w:eastAsia="仿宋_GB2312" w:cs="Times New Roman"/>
          <w:color w:val="auto"/>
          <w:sz w:val="32"/>
          <w:szCs w:val="32"/>
          <w:highlight w:val="none"/>
          <w:lang w:val="en-US" w:eastAsia="zh-CN"/>
        </w:rPr>
        <w:t>30,535.94</w:t>
      </w:r>
      <w:r>
        <w:rPr>
          <w:rFonts w:hint="default" w:ascii="Times New Roman" w:hAnsi="Times New Roman" w:eastAsia="仿宋_GB2312" w:cs="Times New Roman"/>
          <w:color w:val="auto"/>
          <w:sz w:val="32"/>
          <w:szCs w:val="32"/>
          <w:highlight w:val="none"/>
        </w:rPr>
        <w:t>万元，项目</w:t>
      </w:r>
      <w:r>
        <w:rPr>
          <w:rFonts w:hint="default" w:ascii="Times New Roman" w:hAnsi="Times New Roman" w:eastAsia="仿宋_GB2312" w:cs="Times New Roman"/>
          <w:color w:val="auto"/>
          <w:sz w:val="32"/>
          <w:szCs w:val="32"/>
          <w:highlight w:val="none"/>
          <w:lang w:eastAsia="zh-CN"/>
        </w:rPr>
        <w:t>经费</w:t>
      </w:r>
      <w:r>
        <w:rPr>
          <w:rFonts w:hint="default" w:ascii="Times New Roman" w:hAnsi="Times New Roman" w:eastAsia="仿宋_GB2312" w:cs="Times New Roman"/>
          <w:color w:val="auto"/>
          <w:sz w:val="32"/>
          <w:szCs w:val="32"/>
          <w:highlight w:val="none"/>
        </w:rPr>
        <w:t>785,955.66万元。</w:t>
      </w:r>
      <w:r>
        <w:rPr>
          <w:rFonts w:hint="eastAsia" w:ascii="Times New Roman" w:hAnsi="Times New Roman" w:eastAsia="仿宋_GB2312" w:cs="Times New Roman"/>
          <w:color w:val="auto"/>
          <w:sz w:val="32"/>
          <w:szCs w:val="32"/>
          <w:highlight w:val="none"/>
          <w:lang w:eastAsia="zh-CN"/>
        </w:rPr>
        <w:t>本年</w:t>
      </w:r>
      <w:r>
        <w:rPr>
          <w:rFonts w:hint="default" w:ascii="Times New Roman" w:hAnsi="Times New Roman" w:eastAsia="仿宋_GB2312" w:cs="Times New Roman"/>
          <w:color w:val="auto"/>
          <w:sz w:val="32"/>
          <w:szCs w:val="32"/>
          <w:highlight w:val="none"/>
        </w:rPr>
        <w:t>支出</w:t>
      </w:r>
      <w:r>
        <w:rPr>
          <w:rFonts w:hint="default" w:ascii="Times New Roman" w:hAnsi="Times New Roman" w:eastAsia="仿宋_GB2312" w:cs="Times New Roman"/>
          <w:color w:val="auto"/>
          <w:sz w:val="32"/>
          <w:szCs w:val="32"/>
          <w:highlight w:val="none"/>
          <w:lang w:val="en-US" w:eastAsia="zh-CN"/>
        </w:rPr>
        <w:t>数</w:t>
      </w:r>
      <w:r>
        <w:rPr>
          <w:rFonts w:hint="default" w:ascii="Times New Roman" w:hAnsi="Times New Roman" w:eastAsia="仿宋_GB2312" w:cs="Times New Roman"/>
          <w:color w:val="auto"/>
          <w:sz w:val="32"/>
          <w:szCs w:val="32"/>
          <w:highlight w:val="none"/>
        </w:rPr>
        <w:t xml:space="preserve"> </w:t>
      </w:r>
      <w:r>
        <w:rPr>
          <w:rFonts w:hint="default" w:ascii="Times New Roman" w:hAnsi="Times New Roman" w:eastAsia="仿宋_GB2312" w:cs="Times New Roman"/>
          <w:color w:val="auto"/>
          <w:sz w:val="32"/>
          <w:szCs w:val="32"/>
          <w:highlight w:val="none"/>
          <w:lang w:val="en-US" w:eastAsia="zh-CN"/>
        </w:rPr>
        <w:t>670,974.57</w:t>
      </w:r>
      <w:r>
        <w:rPr>
          <w:rFonts w:hint="default" w:ascii="Times New Roman" w:hAnsi="Times New Roman" w:eastAsia="仿宋_GB2312" w:cs="Times New Roman"/>
          <w:color w:val="auto"/>
          <w:sz w:val="32"/>
          <w:szCs w:val="32"/>
          <w:highlight w:val="none"/>
        </w:rPr>
        <w:t>万元，其中，基本支出28</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005</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93万元，项目支出642</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968.6</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预算执行率为</w:t>
      </w:r>
      <w:r>
        <w:rPr>
          <w:rFonts w:hint="default" w:ascii="Times New Roman" w:hAnsi="Times New Roman" w:eastAsia="仿宋_GB2312" w:cs="Times New Roman"/>
          <w:color w:val="auto"/>
          <w:sz w:val="32"/>
          <w:szCs w:val="32"/>
          <w:highlight w:val="none"/>
          <w:lang w:val="en-US" w:eastAsia="zh-CN"/>
        </w:rPr>
        <w:t>82.</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rPr>
        <w:t>%。</w:t>
      </w:r>
    </w:p>
    <w:p>
      <w:pPr>
        <w:pStyle w:val="3"/>
        <w:keepNext/>
        <w:keepLines/>
        <w:pageBreakBefore w:val="0"/>
        <w:widowControl w:val="0"/>
        <w:tabs>
          <w:tab w:val="left" w:pos="5746"/>
        </w:tabs>
        <w:kinsoku/>
        <w:wordWrap/>
        <w:overflowPunct/>
        <w:topLinePunct w:val="0"/>
        <w:autoSpaceDE/>
        <w:autoSpaceDN/>
        <w:bidi w:val="0"/>
        <w:adjustRightInd w:val="0"/>
        <w:snapToGrid w:val="0"/>
        <w:spacing w:before="0" w:after="0" w:line="560" w:lineRule="exact"/>
        <w:ind w:leftChars="0" w:firstLine="640" w:firstLineChars="200"/>
        <w:textAlignment w:val="auto"/>
        <w:outlineLvl w:val="0"/>
        <w:rPr>
          <w:rFonts w:ascii="黑体" w:hAnsi="黑体" w:eastAsia="黑体"/>
          <w:b w:val="0"/>
          <w:bCs w:val="0"/>
          <w:highlight w:val="none"/>
        </w:rPr>
      </w:pPr>
      <w:bookmarkStart w:id="4" w:name="_Toc21276"/>
      <w:r>
        <w:rPr>
          <w:rFonts w:hint="eastAsia" w:ascii="黑体" w:hAnsi="黑体" w:eastAsia="黑体" w:cs="Times New Roman"/>
          <w:b w:val="0"/>
          <w:bCs w:val="0"/>
          <w:kern w:val="44"/>
          <w:sz w:val="32"/>
          <w:szCs w:val="32"/>
          <w:highlight w:val="none"/>
          <w:lang w:val="en-US" w:eastAsia="zh-CN" w:bidi="ar-SA"/>
        </w:rPr>
        <w:t>三、整体绩效目标实现情况</w:t>
      </w:r>
      <w:bookmarkEnd w:id="4"/>
      <w:r>
        <w:rPr>
          <w:rFonts w:ascii="黑体" w:hAnsi="黑体" w:eastAsia="黑体"/>
          <w:b w:val="0"/>
          <w:bCs w:val="0"/>
          <w:highlight w:val="none"/>
        </w:rPr>
        <w:tab/>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yellow"/>
          <w:lang w:eastAsia="zh-CN"/>
        </w:rPr>
      </w:pP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年我</w:t>
      </w:r>
      <w:r>
        <w:rPr>
          <w:rFonts w:hint="default" w:ascii="Times New Roman" w:hAnsi="Times New Roman" w:eastAsia="仿宋_GB2312" w:cs="Times New Roman"/>
          <w:sz w:val="32"/>
          <w:szCs w:val="32"/>
          <w:highlight w:val="none"/>
          <w:lang w:val="en-US" w:eastAsia="zh-CN"/>
        </w:rPr>
        <w:t>局</w:t>
      </w:r>
      <w:r>
        <w:rPr>
          <w:rFonts w:hint="default" w:ascii="Times New Roman" w:hAnsi="Times New Roman" w:eastAsia="仿宋_GB2312" w:cs="Times New Roman"/>
          <w:sz w:val="32"/>
          <w:szCs w:val="32"/>
          <w:highlight w:val="none"/>
        </w:rPr>
        <w:t>按照部门职责，确定了年度重点工作任务，</w:t>
      </w:r>
      <w:r>
        <w:rPr>
          <w:rFonts w:hint="default" w:ascii="Times New Roman" w:hAnsi="Times New Roman" w:eastAsia="仿宋_GB2312" w:cs="Times New Roman"/>
          <w:sz w:val="32"/>
          <w:szCs w:val="32"/>
          <w:highlight w:val="none"/>
          <w:lang w:val="en-US" w:eastAsia="zh-CN"/>
        </w:rPr>
        <w:t>明确了</w:t>
      </w:r>
      <w:r>
        <w:rPr>
          <w:rFonts w:hint="default" w:ascii="Times New Roman" w:hAnsi="Times New Roman" w:eastAsia="仿宋_GB2312" w:cs="Times New Roman"/>
          <w:sz w:val="32"/>
          <w:szCs w:val="32"/>
          <w:highlight w:val="none"/>
        </w:rPr>
        <w:t>任务目标及牵头处室、印发分工方案，根据年度重点工作任务安排项目预算</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并于2023年4-5月按照《北京市财政局关于2023年推进全面实施预算绩效管理工作的预通知》要求</w:t>
      </w:r>
      <w:r>
        <w:rPr>
          <w:rFonts w:hint="default" w:ascii="Times New Roman" w:hAnsi="Times New Roman" w:eastAsia="仿宋_GB2312" w:cs="Times New Roman"/>
          <w:sz w:val="32"/>
          <w:szCs w:val="32"/>
          <w:highlight w:val="none"/>
          <w:lang w:eastAsia="zh-CN"/>
        </w:rPr>
        <w:t>对202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年度部门项目支出实施绩效</w:t>
      </w:r>
      <w:r>
        <w:rPr>
          <w:rFonts w:hint="default" w:ascii="Times New Roman" w:hAnsi="Times New Roman" w:eastAsia="仿宋_GB2312" w:cs="Times New Roman"/>
          <w:sz w:val="32"/>
          <w:szCs w:val="32"/>
          <w:highlight w:val="none"/>
          <w:lang w:val="en-US" w:eastAsia="zh-CN"/>
        </w:rPr>
        <w:t>自评</w:t>
      </w:r>
      <w:r>
        <w:rPr>
          <w:rFonts w:hint="default" w:ascii="Times New Roman" w:hAnsi="Times New Roman" w:eastAsia="仿宋_GB2312" w:cs="Times New Roman"/>
          <w:sz w:val="32"/>
          <w:szCs w:val="32"/>
          <w:highlight w:val="none"/>
          <w:lang w:eastAsia="zh-CN"/>
        </w:rPr>
        <w:t>，评价项目</w:t>
      </w:r>
      <w:r>
        <w:rPr>
          <w:rFonts w:hint="default" w:ascii="Times New Roman" w:hAnsi="Times New Roman" w:eastAsia="仿宋_GB2312" w:cs="Times New Roman"/>
          <w:sz w:val="32"/>
          <w:szCs w:val="32"/>
          <w:highlight w:val="none"/>
          <w:lang w:val="en-US" w:eastAsia="zh-CN"/>
        </w:rPr>
        <w:t>20</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个，涉及金额</w:t>
      </w:r>
      <w:r>
        <w:rPr>
          <w:rFonts w:hint="eastAsia" w:ascii="Times New Roman" w:hAnsi="Times New Roman" w:eastAsia="仿宋_GB2312" w:cs="Times New Roman"/>
          <w:sz w:val="32"/>
          <w:szCs w:val="32"/>
          <w:highlight w:val="none"/>
          <w:lang w:val="en-US" w:eastAsia="zh-CN"/>
        </w:rPr>
        <w:t>447</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245</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24</w:t>
      </w:r>
      <w:r>
        <w:rPr>
          <w:rFonts w:hint="default" w:ascii="Times New Roman" w:hAnsi="Times New Roman" w:eastAsia="仿宋_GB2312" w:cs="Times New Roman"/>
          <w:sz w:val="32"/>
          <w:szCs w:val="32"/>
          <w:highlight w:val="none"/>
          <w:lang w:val="en-US" w:eastAsia="zh-CN"/>
        </w:rPr>
        <w:t>万元。</w:t>
      </w:r>
      <w:r>
        <w:rPr>
          <w:rFonts w:hint="default" w:ascii="Times New Roman" w:hAnsi="Times New Roman" w:eastAsia="仿宋_GB2312" w:cs="Times New Roman"/>
          <w:sz w:val="32"/>
          <w:szCs w:val="32"/>
          <w:highlight w:val="none"/>
          <w:lang w:eastAsia="zh-CN"/>
        </w:rPr>
        <w:t>其中，开展部门</w:t>
      </w:r>
      <w:r>
        <w:rPr>
          <w:rFonts w:hint="eastAsia" w:ascii="Times New Roman" w:hAnsi="Times New Roman" w:eastAsia="仿宋_GB2312" w:cs="Times New Roman"/>
          <w:sz w:val="32"/>
          <w:szCs w:val="32"/>
          <w:highlight w:val="none"/>
          <w:lang w:val="en-US" w:eastAsia="zh-CN"/>
        </w:rPr>
        <w:t>重点</w:t>
      </w:r>
      <w:r>
        <w:rPr>
          <w:rFonts w:hint="default" w:ascii="Times New Roman" w:hAnsi="Times New Roman" w:eastAsia="仿宋_GB2312" w:cs="Times New Roman"/>
          <w:sz w:val="32"/>
          <w:szCs w:val="32"/>
          <w:highlight w:val="none"/>
          <w:lang w:eastAsia="zh-CN"/>
        </w:rPr>
        <w:t>绩效评价</w:t>
      </w:r>
      <w:r>
        <w:rPr>
          <w:rFonts w:hint="default" w:ascii="Times New Roman" w:hAnsi="Times New Roman" w:eastAsia="仿宋_GB2312" w:cs="Times New Roman"/>
          <w:sz w:val="32"/>
          <w:szCs w:val="32"/>
          <w:highlight w:val="none"/>
          <w:lang w:val="en-US" w:eastAsia="zh-CN"/>
        </w:rPr>
        <w:t>项目1个，涉及</w:t>
      </w:r>
      <w:r>
        <w:rPr>
          <w:rFonts w:hint="default" w:ascii="Times New Roman" w:hAnsi="Times New Roman" w:eastAsia="仿宋_GB2312" w:cs="Times New Roman"/>
          <w:sz w:val="32"/>
          <w:szCs w:val="32"/>
          <w:highlight w:val="none"/>
          <w:lang w:eastAsia="zh-CN"/>
        </w:rPr>
        <w:t>金额</w:t>
      </w:r>
      <w:r>
        <w:rPr>
          <w:rFonts w:hint="default" w:ascii="Times New Roman" w:hAnsi="Times New Roman" w:eastAsia="仿宋_GB2312" w:cs="Times New Roman"/>
          <w:sz w:val="32"/>
          <w:szCs w:val="32"/>
          <w:highlight w:val="none"/>
          <w:lang w:val="en-US" w:eastAsia="zh-CN"/>
        </w:rPr>
        <w:t>421</w:t>
      </w:r>
      <w:r>
        <w:rPr>
          <w:rFonts w:hint="default" w:ascii="Times New Roman" w:hAnsi="Times New Roman" w:eastAsia="仿宋_GB2312" w:cs="Times New Roman"/>
          <w:sz w:val="32"/>
          <w:szCs w:val="32"/>
          <w:highlight w:val="none"/>
          <w:lang w:eastAsia="zh-CN"/>
        </w:rPr>
        <w:t>万元，</w:t>
      </w:r>
      <w:r>
        <w:rPr>
          <w:rFonts w:hint="default" w:ascii="Times New Roman" w:hAnsi="Times New Roman" w:eastAsia="仿宋_GB2312" w:cs="Times New Roman"/>
          <w:sz w:val="32"/>
          <w:szCs w:val="32"/>
          <w:highlight w:val="none"/>
          <w:lang w:val="en-US" w:eastAsia="zh-CN"/>
        </w:rPr>
        <w:t>评价得分82.66分。</w:t>
      </w:r>
      <w:r>
        <w:rPr>
          <w:rFonts w:hint="default" w:ascii="Times New Roman" w:hAnsi="Times New Roman" w:eastAsia="仿宋_GB2312" w:cs="Times New Roman"/>
          <w:sz w:val="32"/>
          <w:szCs w:val="32"/>
          <w:highlight w:val="none"/>
          <w:lang w:eastAsia="zh-CN"/>
        </w:rPr>
        <w:t>单位自评项目</w:t>
      </w:r>
      <w:r>
        <w:rPr>
          <w:rFonts w:hint="default" w:ascii="Times New Roman" w:hAnsi="Times New Roman" w:eastAsia="仿宋_GB2312" w:cs="Times New Roman"/>
          <w:sz w:val="32"/>
          <w:szCs w:val="32"/>
          <w:highlight w:val="none"/>
          <w:lang w:val="en-US" w:eastAsia="zh-CN"/>
        </w:rPr>
        <w:t>20</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eastAsia="zh-CN"/>
        </w:rPr>
        <w:t>个，评价得分在90（含）-100分的1</w:t>
      </w:r>
      <w:r>
        <w:rPr>
          <w:rFonts w:hint="eastAsia"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eastAsia="zh-CN"/>
        </w:rPr>
        <w:t>个、评价得分在80（含）-90分的1</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个、评价得分在60（含）-80分的4个、评价得分在60分以下的0个。</w:t>
      </w:r>
    </w:p>
    <w:p>
      <w:pPr>
        <w:pStyle w:val="4"/>
        <w:pageBreakBefore w:val="0"/>
        <w:widowControl w:val="0"/>
        <w:kinsoku/>
        <w:wordWrap/>
        <w:overflowPunct/>
        <w:topLinePunct w:val="0"/>
        <w:autoSpaceDE/>
        <w:autoSpaceDN/>
        <w:bidi w:val="0"/>
        <w:adjustRightInd w:val="0"/>
        <w:snapToGrid w:val="0"/>
        <w:spacing w:before="0" w:after="0" w:line="560" w:lineRule="exact"/>
        <w:ind w:leftChars="0" w:firstLine="640" w:firstLineChars="200"/>
        <w:textAlignment w:val="auto"/>
        <w:rPr>
          <w:rFonts w:ascii="楷体" w:hAnsi="楷体" w:eastAsia="楷体"/>
          <w:b w:val="0"/>
          <w:bCs w:val="0"/>
          <w:highlight w:val="none"/>
        </w:rPr>
      </w:pPr>
      <w:bookmarkStart w:id="5" w:name="_Toc14508"/>
      <w:r>
        <w:rPr>
          <w:rFonts w:hint="eastAsia" w:ascii="楷体" w:hAnsi="楷体" w:eastAsia="楷体"/>
          <w:b w:val="0"/>
          <w:bCs w:val="0"/>
          <w:highlight w:val="none"/>
        </w:rPr>
        <w:t>（一）产出完成情况分析</w:t>
      </w:r>
      <w:bookmarkEnd w:id="5"/>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年全年我局按照任务目标的数量、质量、进度和成本要求完成了各项工作。具体情况如下</w:t>
      </w:r>
      <w:r>
        <w:rPr>
          <w:rFonts w:hint="default" w:ascii="Times New Roman" w:hAnsi="Times New Roman" w:eastAsia="仿宋_GB2312" w:cs="Times New Roman"/>
          <w:color w:val="0000FF"/>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1.北京高精尖产业发展</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2022年我局在构建高精尖产业</w:t>
      </w:r>
      <w:r>
        <w:rPr>
          <w:rFonts w:hint="eastAsia" w:ascii="Times New Roman" w:hAnsi="Times New Roman" w:eastAsia="仿宋_GB2312" w:cs="Times New Roman"/>
          <w:sz w:val="32"/>
          <w:szCs w:val="32"/>
          <w:highlight w:val="none"/>
          <w:lang w:val="en-US" w:eastAsia="zh-CN"/>
        </w:rPr>
        <w:t>发展</w:t>
      </w:r>
      <w:r>
        <w:rPr>
          <w:rFonts w:hint="default" w:ascii="Times New Roman" w:hAnsi="Times New Roman" w:eastAsia="仿宋_GB2312" w:cs="Times New Roman"/>
          <w:sz w:val="32"/>
          <w:szCs w:val="32"/>
          <w:highlight w:val="none"/>
          <w:lang w:val="en-US" w:eastAsia="zh-CN"/>
        </w:rPr>
        <w:t>方面包括：经济运行监测；拟订本市高技术制造业、软件和信息服务业、新兴产业中重点领域的发展规划、实施方案、配套政策及行业标准，并组织实施；参与推进相关领域文化创意产业的发展。具体如下：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（1）工业、软件和信息服务企业运行监测</w:t>
      </w:r>
    </w:p>
    <w:p>
      <w:pPr>
        <w:snapToGrid w:val="0"/>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b w:val="0"/>
          <w:bCs w:val="0"/>
          <w:sz w:val="32"/>
          <w:szCs w:val="32"/>
          <w:lang w:val="en-US" w:eastAsia="zh-CN"/>
        </w:rPr>
        <w:t>工业增加值5036.4亿元，同比下降14.6%，</w:t>
      </w:r>
      <w:r>
        <w:rPr>
          <w:rFonts w:hint="default" w:ascii="Times New Roman" w:hAnsi="Times New Roman" w:eastAsia="仿宋_GB2312" w:cs="Times New Roman"/>
          <w:sz w:val="32"/>
          <w:szCs w:val="32"/>
          <w:lang w:val="en-US" w:eastAsia="zh-CN"/>
        </w:rPr>
        <w:t>扣除疫苗因素后同比增长2.5%，</w:t>
      </w:r>
      <w:r>
        <w:rPr>
          <w:rFonts w:hint="default" w:ascii="Times New Roman" w:hAnsi="Times New Roman" w:eastAsia="仿宋_GB2312" w:cs="Times New Roman"/>
          <w:b w:val="0"/>
          <w:bCs w:val="0"/>
          <w:sz w:val="32"/>
          <w:szCs w:val="32"/>
          <w:lang w:val="en-US" w:eastAsia="zh-CN"/>
        </w:rPr>
        <w:t>占GDP比重稳步提升，达到12.1%；软件信息服务业增加值7456.2亿元，同比增长9.8%，占GDP比重进一步提升至17.9%</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kern w:val="36"/>
          <w:sz w:val="32"/>
          <w:szCs w:val="32"/>
          <w:lang w:val="en-US" w:eastAsia="zh-CN"/>
        </w:rPr>
        <w:t>数字经济实现增加值17330.2亿元，同比增长4.4%，占全市比重达到41.6%，</w:t>
      </w:r>
      <w:r>
        <w:rPr>
          <w:rFonts w:hint="default" w:ascii="Times New Roman" w:hAnsi="Times New Roman" w:eastAsia="仿宋_GB2312" w:cs="Times New Roman"/>
          <w:sz w:val="32"/>
          <w:szCs w:val="32"/>
          <w:lang w:eastAsia="zh-CN"/>
        </w:rPr>
        <w:t>为稳定全市经济大盘提供了坚实保障。</w:t>
      </w:r>
      <w:r>
        <w:rPr>
          <w:rFonts w:hint="default" w:ascii="Times New Roman" w:hAnsi="Times New Roman" w:eastAsia="仿宋_GB2312" w:cs="Times New Roman"/>
          <w:sz w:val="32"/>
          <w:szCs w:val="32"/>
        </w:rPr>
        <w:t>工业重点产业和软件信息服务业固定资产投资累计完成</w:t>
      </w:r>
      <w:r>
        <w:rPr>
          <w:rFonts w:hint="default" w:ascii="Times New Roman" w:hAnsi="Times New Roman" w:eastAsia="仿宋_GB2312" w:cs="Times New Roman"/>
          <w:sz w:val="32"/>
          <w:szCs w:val="32"/>
          <w:lang w:val="en-US" w:eastAsia="zh-CN"/>
        </w:rPr>
        <w:t>1275</w:t>
      </w:r>
      <w:r>
        <w:rPr>
          <w:rFonts w:hint="default" w:ascii="Times New Roman" w:hAnsi="Times New Roman" w:eastAsia="仿宋_GB2312" w:cs="Times New Roman"/>
          <w:sz w:val="32"/>
          <w:szCs w:val="32"/>
        </w:rPr>
        <w:t>亿元（工业</w:t>
      </w:r>
      <w:r>
        <w:rPr>
          <w:rFonts w:hint="default" w:ascii="Times New Roman" w:hAnsi="Times New Roman" w:eastAsia="仿宋_GB2312" w:cs="Times New Roman"/>
          <w:sz w:val="32"/>
          <w:szCs w:val="32"/>
          <w:lang w:val="en-US" w:eastAsia="zh-CN"/>
        </w:rPr>
        <w:t>748</w:t>
      </w:r>
      <w:r>
        <w:rPr>
          <w:rFonts w:hint="default" w:ascii="Times New Roman" w:hAnsi="Times New Roman" w:eastAsia="仿宋_GB2312" w:cs="Times New Roman"/>
          <w:sz w:val="32"/>
          <w:szCs w:val="32"/>
        </w:rPr>
        <w:t>亿元，软件</w:t>
      </w:r>
      <w:r>
        <w:rPr>
          <w:rFonts w:hint="default" w:ascii="Times New Roman" w:hAnsi="Times New Roman" w:eastAsia="仿宋_GB2312" w:cs="Times New Roman"/>
          <w:sz w:val="32"/>
          <w:szCs w:val="32"/>
          <w:lang w:val="en-US" w:eastAsia="zh-CN"/>
        </w:rPr>
        <w:t>527</w:t>
      </w:r>
      <w:r>
        <w:rPr>
          <w:rFonts w:hint="default" w:ascii="Times New Roman" w:hAnsi="Times New Roman" w:eastAsia="仿宋_GB2312" w:cs="Times New Roman"/>
          <w:sz w:val="32"/>
          <w:szCs w:val="32"/>
        </w:rPr>
        <w:t>亿元），同比增长</w:t>
      </w:r>
      <w:r>
        <w:rPr>
          <w:rFonts w:hint="default"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rPr>
        <w:t>%。市场主体在京发展的积极性显著提升，全市先进制造业与软件信息服务业新设企业5494家，同比增长27.15%</w:t>
      </w:r>
      <w:r>
        <w:rPr>
          <w:rFonts w:hint="default" w:ascii="Times New Roman" w:hAnsi="Times New Roman" w:eastAsia="仿宋_GB2312" w:cs="Times New Roman"/>
          <w:sz w:val="32"/>
          <w:szCs w:val="32"/>
          <w:lang w:eastAsia="zh-CN"/>
        </w:rPr>
        <w:t>。</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（2）北京高精尖产业发展资金</w:t>
      </w:r>
    </w:p>
    <w:p>
      <w:pPr>
        <w:pStyle w:val="7"/>
        <w:spacing w:after="0" w:line="56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印发“十四五”高精尖规划主要目标任务分工方案和各区重点产业集群指导方向，市区联动推动规划落地，八成以上任务目标按进度顺利推进。加强高精尖项目跟踪调度，年内推动小米智能工厂二期、丰田燃料电池等8</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个投资过亿制造业项目开工，</w:t>
      </w:r>
      <w:r>
        <w:rPr>
          <w:rFonts w:hint="default" w:ascii="Times New Roman" w:hAnsi="Times New Roman" w:eastAsia="仿宋_GB2312" w:cs="Times New Roman"/>
          <w:sz w:val="32"/>
          <w:szCs w:val="32"/>
          <w:lang w:eastAsia="zh-CN"/>
        </w:rPr>
        <w:t>加快</w:t>
      </w:r>
      <w:r>
        <w:rPr>
          <w:rFonts w:hint="default" w:ascii="Times New Roman" w:hAnsi="Times New Roman" w:eastAsia="仿宋_GB2312" w:cs="Times New Roman"/>
          <w:sz w:val="32"/>
          <w:szCs w:val="32"/>
        </w:rPr>
        <w:t>长鑫集电、理想汽车</w:t>
      </w:r>
      <w:r>
        <w:rPr>
          <w:rFonts w:hint="default" w:ascii="Times New Roman" w:hAnsi="Times New Roman" w:eastAsia="仿宋_GB2312" w:cs="Times New Roman"/>
          <w:sz w:val="32"/>
          <w:szCs w:val="32"/>
          <w:lang w:eastAsia="zh-CN"/>
        </w:rPr>
        <w:t>北京绿色智能工厂</w:t>
      </w:r>
      <w:r>
        <w:rPr>
          <w:rFonts w:hint="default" w:ascii="Times New Roman" w:hAnsi="Times New Roman" w:eastAsia="仿宋_GB2312" w:cs="Times New Roman"/>
          <w:sz w:val="32"/>
          <w:szCs w:val="32"/>
        </w:rPr>
        <w:t>等重大续建项目</w:t>
      </w:r>
      <w:r>
        <w:rPr>
          <w:rFonts w:hint="default" w:ascii="Times New Roman" w:hAnsi="Times New Roman" w:eastAsia="仿宋_GB2312" w:cs="Times New Roman"/>
          <w:sz w:val="32"/>
          <w:szCs w:val="32"/>
          <w:lang w:eastAsia="zh-CN"/>
        </w:rPr>
        <w:t>建设，实现</w:t>
      </w:r>
      <w:r>
        <w:rPr>
          <w:rFonts w:hint="default" w:ascii="Times New Roman" w:hAnsi="Times New Roman" w:eastAsia="仿宋_GB2312" w:cs="Times New Roman"/>
          <w:sz w:val="32"/>
          <w:szCs w:val="32"/>
        </w:rPr>
        <w:t>北京奔驰整车技改、智飞绿竹疫苗新品种生产基地等一批重大项目竣工投产，“十四五”时期重大产业项目布局基本完成。中德、中日两个产业园新增落地项目</w:t>
      </w:r>
      <w:r>
        <w:rPr>
          <w:rFonts w:hint="default" w:ascii="Times New Roman" w:hAnsi="Times New Roman" w:eastAsia="仿宋_GB2312" w:cs="Times New Roman"/>
          <w:sz w:val="32"/>
          <w:szCs w:val="32"/>
          <w:lang w:val="en-US" w:eastAsia="zh-CN"/>
        </w:rPr>
        <w:t>43</w:t>
      </w:r>
      <w:r>
        <w:rPr>
          <w:rFonts w:hint="default" w:ascii="Times New Roman" w:hAnsi="Times New Roman" w:eastAsia="仿宋_GB2312" w:cs="Times New Roman"/>
          <w:sz w:val="32"/>
          <w:szCs w:val="32"/>
        </w:rPr>
        <w:t>家。</w:t>
      </w:r>
      <w:r>
        <w:rPr>
          <w:rFonts w:hint="default" w:ascii="Times New Roman" w:hAnsi="Times New Roman" w:eastAsia="仿宋_GB2312" w:cs="Times New Roman"/>
          <w:sz w:val="32"/>
          <w:szCs w:val="32"/>
          <w:lang w:eastAsia="zh-CN"/>
        </w:rPr>
        <w:t>深入推进实施“新智造100”工程，累计支持96个智能化改造升级项目，打造智能工厂、数字化车间共83个，5家企业入选国家级智能制造示范工厂，9家企业入选国家级智能制造优秀场景。</w:t>
      </w:r>
      <w:r>
        <w:rPr>
          <w:rFonts w:hint="default" w:ascii="Times New Roman" w:hAnsi="Times New Roman" w:eastAsia="仿宋_GB2312" w:cs="Times New Roman"/>
          <w:sz w:val="32"/>
          <w:szCs w:val="32"/>
        </w:rPr>
        <w:t>高精尖资金聚焦高端智能绿色发展和产业平稳发展两方面，支持900余家企业资金达17.5亿元。推动北京高精尖产业发展基金调整，设立北京中移数字新经济产业基金、北京智造转型升级基金两支产业基金，增加基金规模220亿元。</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yellow"/>
          <w:lang w:eastAsia="zh-CN"/>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.工艺美术产业发展</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推动工艺美术产业发展和技艺传承，北京工艺美术行业管理及产业促进。</w:t>
      </w:r>
      <w:r>
        <w:rPr>
          <w:rFonts w:hint="default" w:ascii="Times New Roman" w:hAnsi="Times New Roman" w:eastAsia="仿宋_GB2312" w:cs="Times New Roman"/>
          <w:sz w:val="32"/>
          <w:szCs w:val="32"/>
          <w:highlight w:val="none"/>
          <w:lang w:val="en-US" w:eastAsia="zh-CN"/>
        </w:rPr>
        <w:t>具体如下</w:t>
      </w:r>
      <w:r>
        <w:rPr>
          <w:rFonts w:hint="default" w:ascii="Times New Roman" w:hAnsi="Times New Roman" w:eastAsia="仿宋_GB2312" w:cs="Times New Roman"/>
          <w:sz w:val="32"/>
          <w:szCs w:val="32"/>
          <w:highlight w:val="none"/>
          <w:lang w:eastAsia="zh-CN"/>
        </w:rPr>
        <w:t>：</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北京传统工艺美术产业发展和技艺传承</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向</w:t>
      </w:r>
      <w:r>
        <w:rPr>
          <w:rFonts w:hint="default" w:ascii="Times New Roman" w:hAnsi="Times New Roman" w:eastAsia="仿宋_GB2312" w:cs="Times New Roman"/>
          <w:color w:val="auto"/>
          <w:sz w:val="32"/>
          <w:szCs w:val="32"/>
          <w:highlight w:val="none"/>
          <w:lang w:val="en-US" w:eastAsia="zh-CN"/>
        </w:rPr>
        <w:t>147</w:t>
      </w:r>
      <w:r>
        <w:rPr>
          <w:rFonts w:hint="default" w:ascii="Times New Roman" w:hAnsi="Times New Roman" w:eastAsia="仿宋_GB2312" w:cs="Times New Roman"/>
          <w:color w:val="auto"/>
          <w:sz w:val="32"/>
          <w:szCs w:val="32"/>
          <w:highlight w:val="none"/>
        </w:rPr>
        <w:t>名北京工艺美术大师发放了202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年北京传统工艺美术大师带徒补助</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通过北京传统工艺美术大师带徒补助，建设一支数量充足、结构合理、技艺精湛、素质优良、传承永续的高级人才队伍，促进北京传统工艺美术产业的发展和技艺传承。</w:t>
      </w:r>
    </w:p>
    <w:p>
      <w:pPr>
        <w:keepNext w:val="0"/>
        <w:keepLines w:val="0"/>
        <w:pageBreakBefore w:val="0"/>
        <w:kinsoku/>
        <w:wordWrap/>
        <w:overflowPunct/>
        <w:topLinePunct w:val="0"/>
        <w:autoSpaceDE/>
        <w:autoSpaceDN/>
        <w:bidi w:val="0"/>
        <w:adjustRightInd w:val="0"/>
        <w:snapToGrid w:val="0"/>
        <w:spacing w:line="560" w:lineRule="exact"/>
        <w:ind w:leftChars="0"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组织北京工艺美术行业相关活动</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rPr>
        <w:t>组织开展工艺美术相关</w:t>
      </w:r>
      <w:r>
        <w:rPr>
          <w:rFonts w:hint="default" w:ascii="Times New Roman" w:hAnsi="Times New Roman" w:eastAsia="仿宋_GB2312" w:cs="Times New Roman"/>
          <w:color w:val="auto"/>
          <w:sz w:val="32"/>
          <w:szCs w:val="32"/>
          <w:highlight w:val="none"/>
          <w:lang w:val="en-US" w:eastAsia="zh-CN"/>
        </w:rPr>
        <w:t>活动</w:t>
      </w:r>
      <w:r>
        <w:rPr>
          <w:rFonts w:hint="default" w:ascii="Times New Roman" w:hAnsi="Times New Roman" w:eastAsia="仿宋_GB2312" w:cs="Times New Roman"/>
          <w:color w:val="auto"/>
          <w:sz w:val="32"/>
          <w:szCs w:val="32"/>
          <w:highlight w:val="none"/>
        </w:rPr>
        <w:t>，培养造就北京工艺美术人才队伍。举办第十一次北京传统工艺美术珍品评选</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评出</w:t>
      </w:r>
      <w:r>
        <w:rPr>
          <w:rFonts w:hint="default" w:ascii="Times New Roman" w:hAnsi="Times New Roman" w:eastAsia="仿宋_GB2312" w:cs="Times New Roman"/>
          <w:color w:val="auto"/>
          <w:sz w:val="32"/>
          <w:szCs w:val="32"/>
          <w:highlight w:val="none"/>
        </w:rPr>
        <w:t>北京传统工艺美术珍品4件</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组织开展</w:t>
      </w: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年北京“工美杯”传统工艺美术大赛</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大赛共征集作品587件（套）；</w:t>
      </w:r>
      <w:r>
        <w:rPr>
          <w:rFonts w:hint="default" w:ascii="Times New Roman" w:hAnsi="Times New Roman" w:eastAsia="仿宋_GB2312" w:cs="Times New Roman"/>
          <w:color w:val="auto"/>
          <w:kern w:val="2"/>
          <w:sz w:val="32"/>
          <w:szCs w:val="32"/>
          <w:highlight w:val="none"/>
          <w:lang w:val="en-US" w:eastAsia="zh-CN" w:bidi="ar-SA"/>
        </w:rPr>
        <w:t>举办2022年第十六届北京工艺美术展，展出了2022“工美杯”部分获奖作品共计200件</w:t>
      </w:r>
      <w:r>
        <w:rPr>
          <w:rFonts w:hint="default" w:ascii="Times New Roman" w:hAnsi="Times New Roman" w:eastAsia="仿宋_GB2312" w:cs="Times New Roman"/>
          <w:color w:val="auto"/>
          <w:sz w:val="32"/>
          <w:szCs w:val="32"/>
          <w:highlight w:val="none"/>
          <w:lang w:val="en-US" w:eastAsia="zh-CN"/>
        </w:rPr>
        <w:t>（套）</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sz w:val="32"/>
          <w:szCs w:val="32"/>
          <w:highlight w:val="none"/>
          <w:lang w:val="en-US" w:eastAsia="zh-CN"/>
        </w:rPr>
        <w:t>通过“工美杯”北京工艺美术创新设计大赛及工美展的实施，促进北京工艺美术传统技艺的创新发展，大师队伍年龄结构进一步优化，</w:t>
      </w:r>
      <w:r>
        <w:rPr>
          <w:rFonts w:hint="default" w:ascii="Times New Roman" w:hAnsi="Times New Roman" w:eastAsia="仿宋_GB2312" w:cs="Times New Roman"/>
          <w:color w:val="auto"/>
          <w:sz w:val="32"/>
          <w:szCs w:val="32"/>
          <w:highlight w:val="none"/>
        </w:rPr>
        <w:t>带动技艺人才培养，促进北京工艺美术传统技艺的创新发展。</w:t>
      </w:r>
      <w:r>
        <w:rPr>
          <w:rFonts w:hint="default" w:ascii="Times New Roman" w:hAnsi="Times New Roman" w:eastAsia="仿宋_GB2312" w:cs="Times New Roman"/>
          <w:color w:val="auto"/>
          <w:kern w:val="2"/>
          <w:sz w:val="32"/>
          <w:szCs w:val="32"/>
          <w:highlight w:val="none"/>
          <w:lang w:val="en-US" w:eastAsia="zh-CN" w:bidi="ar-SA"/>
        </w:rPr>
        <w:t>进一步宣传北京工艺美术行业传承发展的成果，搭建优秀工艺美术作品展示平台，宣传北京工艺美术品牌。</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.绿色环保支持</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yellow"/>
          <w:lang w:eastAsia="zh-CN"/>
        </w:rPr>
      </w:pPr>
      <w:r>
        <w:rPr>
          <w:rFonts w:hint="default" w:ascii="Times New Roman" w:hAnsi="Times New Roman" w:eastAsia="仿宋_GB2312" w:cs="Times New Roman"/>
          <w:sz w:val="32"/>
          <w:szCs w:val="32"/>
          <w:highlight w:val="none"/>
        </w:rPr>
        <w:t>拟订并组织实施本市工业、软件和信息服务业、信息化领域的能源节约和资源综合利用、清洁生产促进政策；实施绿色制造工程，促进节能环保产业发展和制造业、信息服务业绿色发展；组织协调相关重大示范工程和新产品、新技术、新设备、新材料的推广应用。</w:t>
      </w:r>
      <w:r>
        <w:rPr>
          <w:rFonts w:hint="default" w:ascii="Times New Roman" w:hAnsi="Times New Roman" w:eastAsia="仿宋_GB2312" w:cs="Times New Roman"/>
          <w:sz w:val="32"/>
          <w:szCs w:val="32"/>
          <w:highlight w:val="none"/>
          <w:lang w:val="en-US" w:eastAsia="zh-CN"/>
        </w:rPr>
        <w:t>具体如下</w:t>
      </w:r>
      <w:r>
        <w:rPr>
          <w:rFonts w:hint="default" w:ascii="Times New Roman" w:hAnsi="Times New Roman" w:eastAsia="仿宋_GB2312" w:cs="Times New Roman"/>
          <w:sz w:val="32"/>
          <w:szCs w:val="32"/>
          <w:highlight w:val="none"/>
          <w:lang w:eastAsia="zh-CN"/>
        </w:rPr>
        <w:t>：</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新能源汽车补助资金</w:t>
      </w:r>
    </w:p>
    <w:p>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560" w:lineRule="exact"/>
        <w:ind w:left="0" w:right="0" w:firstLine="640" w:firstLineChars="200"/>
        <w:jc w:val="both"/>
        <w:textAlignment w:val="auto"/>
        <w:outlineLvl w:val="9"/>
        <w:rPr>
          <w:rFonts w:hint="default" w:ascii="Times New Roman" w:hAnsi="Times New Roman" w:eastAsia="仿宋_GB2312" w:cs="Times New Roman"/>
          <w:color w:val="auto"/>
          <w:sz w:val="32"/>
          <w:szCs w:val="32"/>
          <w:highlight w:val="yellow"/>
          <w:lang w:eastAsia="zh-CN"/>
        </w:rPr>
      </w:pPr>
      <w:r>
        <w:rPr>
          <w:rFonts w:hint="default" w:ascii="Times New Roman" w:hAnsi="Times New Roman" w:eastAsia="仿宋_GB2312" w:cs="Times New Roman"/>
          <w:color w:val="auto"/>
          <w:sz w:val="32"/>
          <w:szCs w:val="32"/>
          <w:highlight w:val="none"/>
        </w:rPr>
        <w:t>依据国家及北京市相关政策，开展202</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年新能源汽车补贴资金拨付工作，</w:t>
      </w:r>
      <w:r>
        <w:rPr>
          <w:rFonts w:hint="default" w:ascii="Times New Roman" w:hAnsi="Times New Roman" w:eastAsia="仿宋" w:cs="Times New Roman"/>
          <w:kern w:val="2"/>
          <w:sz w:val="32"/>
          <w:szCs w:val="32"/>
          <w:highlight w:val="none"/>
          <w:lang w:val="en-US" w:eastAsia="zh-CN" w:bidi="ar"/>
        </w:rPr>
        <w:t>涉及21家车企的34538辆新能源汽车</w:t>
      </w:r>
      <w:r>
        <w:rPr>
          <w:rFonts w:hint="default" w:ascii="Times New Roman" w:hAnsi="Times New Roman" w:eastAsia="仿宋" w:cs="Times New Roman"/>
          <w:kern w:val="2"/>
          <w:sz w:val="32"/>
          <w:szCs w:val="32"/>
          <w:highlight w:val="none"/>
          <w:lang w:eastAsia="zh-CN" w:bidi="ar"/>
        </w:rPr>
        <w:t>。</w:t>
      </w:r>
      <w:r>
        <w:rPr>
          <w:rFonts w:hint="default" w:ascii="Times New Roman" w:hAnsi="Times New Roman" w:eastAsia="仿宋_GB2312" w:cs="Times New Roman"/>
          <w:color w:val="auto"/>
          <w:sz w:val="32"/>
          <w:szCs w:val="32"/>
          <w:highlight w:val="none"/>
          <w:lang w:val="en-US" w:eastAsia="zh-CN"/>
        </w:rPr>
        <w:t>规范并推动本市新能源汽车产业化发展</w:t>
      </w:r>
      <w:r>
        <w:rPr>
          <w:rFonts w:hint="default" w:ascii="Times New Roman" w:hAnsi="Times New Roman" w:eastAsia="仿宋_GB2312" w:cs="Times New Roman"/>
          <w:color w:val="auto"/>
          <w:sz w:val="32"/>
          <w:szCs w:val="32"/>
          <w:highlight w:val="none"/>
          <w:lang w:eastAsia="zh-CN"/>
        </w:rPr>
        <w:t>。</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节能环保和绿色发展工作推进</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sz w:val="32"/>
          <w:szCs w:val="32"/>
        </w:rPr>
        <w:t>有序推进一般制造业疏解提质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持续完善动态管理机制，会同各区提前完成100项一般制造业疏解提质年度计划任务，部分区超额完成计划外项目66项。</w:t>
      </w:r>
      <w:r>
        <w:rPr>
          <w:rFonts w:hint="default" w:ascii="Times New Roman" w:hAnsi="Times New Roman" w:eastAsia="仿宋_GB2312" w:cs="Times New Roman"/>
          <w:sz w:val="32"/>
          <w:szCs w:val="32"/>
          <w:lang w:eastAsia="zh-CN"/>
        </w:rPr>
        <w:t>制定“</w:t>
      </w:r>
      <w:r>
        <w:rPr>
          <w:rFonts w:hint="default" w:ascii="Times New Roman" w:hAnsi="Times New Roman" w:eastAsia="仿宋_GB2312" w:cs="Times New Roman"/>
          <w:sz w:val="32"/>
          <w:szCs w:val="32"/>
        </w:rPr>
        <w:t>十四五”时期制造业绿色低碳发展行动方案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推进乘用车、商用车、数据中心等重点领域10余项绿色发展地方标准制修订，首次面向179家企业开展绿色诊断服务，向工信部推荐30个绿色制造示范单位，</w:t>
      </w:r>
      <w:r>
        <w:rPr>
          <w:rFonts w:hint="default" w:ascii="Times New Roman" w:hAnsi="Times New Roman" w:eastAsia="仿宋_GB2312" w:cs="Times New Roman"/>
          <w:sz w:val="32"/>
          <w:szCs w:val="32"/>
          <w:lang w:eastAsia="zh-CN"/>
        </w:rPr>
        <w:t>推动</w:t>
      </w:r>
      <w:r>
        <w:rPr>
          <w:rFonts w:hint="default" w:ascii="Times New Roman" w:hAnsi="Times New Roman" w:eastAsia="仿宋_GB2312" w:cs="Times New Roman"/>
          <w:sz w:val="32"/>
          <w:szCs w:val="32"/>
          <w:lang w:val="en-US" w:eastAsia="zh-CN"/>
        </w:rPr>
        <w:t>3家企业入选国家工业产品绿色设计示范企业名单，</w:t>
      </w:r>
      <w:r>
        <w:rPr>
          <w:rFonts w:hint="default" w:ascii="Times New Roman" w:hAnsi="Times New Roman" w:eastAsia="仿宋_GB2312" w:cs="Times New Roman"/>
          <w:color w:val="000000"/>
          <w:sz w:val="32"/>
          <w:szCs w:val="32"/>
          <w:shd w:val="clear" w:color="auto" w:fill="FFFFFF"/>
        </w:rPr>
        <w:t>累计推动</w:t>
      </w:r>
      <w:r>
        <w:rPr>
          <w:rFonts w:hint="default" w:ascii="Times New Roman" w:hAnsi="Times New Roman" w:eastAsia="仿宋_GB2312" w:cs="Times New Roman"/>
          <w:color w:val="000000"/>
          <w:sz w:val="32"/>
          <w:szCs w:val="32"/>
          <w:shd w:val="clear" w:color="auto" w:fill="FFFFFF"/>
          <w:lang w:val="en-US" w:eastAsia="zh-CN"/>
        </w:rPr>
        <w:t>92</w:t>
      </w:r>
      <w:r>
        <w:rPr>
          <w:rFonts w:hint="default" w:ascii="Times New Roman" w:hAnsi="Times New Roman" w:eastAsia="仿宋_GB2312" w:cs="Times New Roman"/>
          <w:color w:val="000000"/>
          <w:sz w:val="32"/>
          <w:szCs w:val="32"/>
          <w:shd w:val="clear" w:color="auto" w:fill="FFFFFF"/>
        </w:rPr>
        <w:t>家企业入选国家级绿色工厂</w:t>
      </w:r>
      <w:r>
        <w:rPr>
          <w:rFonts w:hint="eastAsia" w:ascii="Times New Roman" w:hAnsi="Times New Roman" w:eastAsia="仿宋_GB2312" w:cs="Times New Roman"/>
          <w:color w:val="000000"/>
          <w:sz w:val="32"/>
          <w:szCs w:val="32"/>
          <w:shd w:val="clear" w:color="auto" w:fill="FFFFFF"/>
          <w:lang w:eastAsia="zh-CN"/>
        </w:rPr>
        <w:t>、</w:t>
      </w:r>
      <w:r>
        <w:rPr>
          <w:rFonts w:hint="default" w:ascii="Times New Roman" w:hAnsi="Times New Roman" w:eastAsia="仿宋_GB2312" w:cs="Times New Roman"/>
          <w:color w:val="000000"/>
          <w:sz w:val="32"/>
          <w:szCs w:val="32"/>
          <w:shd w:val="clear" w:color="auto" w:fill="FFFFFF"/>
        </w:rPr>
        <w:t>19家企业入选国家级绿色供应链管理示范企业，</w:t>
      </w:r>
      <w:r>
        <w:rPr>
          <w:rFonts w:hint="default" w:ascii="Times New Roman" w:hAnsi="Times New Roman" w:eastAsia="仿宋_GB2312" w:cs="Times New Roman"/>
          <w:sz w:val="32"/>
          <w:szCs w:val="32"/>
        </w:rPr>
        <w:t>逐步建立起以方案为统筹、以标准为准绳、以诊断为手段、以</w:t>
      </w:r>
      <w:r>
        <w:rPr>
          <w:rFonts w:hint="default" w:ascii="Times New Roman" w:hAnsi="Times New Roman" w:eastAsia="仿宋_GB2312" w:cs="Times New Roman"/>
          <w:sz w:val="32"/>
          <w:szCs w:val="32"/>
          <w:lang w:eastAsia="zh-CN"/>
        </w:rPr>
        <w:t>示范为引领</w:t>
      </w:r>
      <w:r>
        <w:rPr>
          <w:rFonts w:hint="default" w:ascii="Times New Roman" w:hAnsi="Times New Roman" w:eastAsia="仿宋_GB2312" w:cs="Times New Roman"/>
          <w:sz w:val="32"/>
          <w:szCs w:val="32"/>
        </w:rPr>
        <w:t>的绿色制造工作体系。推动绿色制造示范企业数量稳步提升，推进制造业企业提质增效，促进制造业企业节能减排。</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.中小企业发展</w:t>
      </w:r>
      <w:r>
        <w:rPr>
          <w:rFonts w:hint="default" w:ascii="Times New Roman" w:hAnsi="Times New Roman" w:eastAsia="仿宋_GB2312" w:cs="Times New Roman"/>
          <w:sz w:val="32"/>
          <w:szCs w:val="32"/>
          <w:highlight w:val="none"/>
          <w:lang w:val="en-US" w:eastAsia="zh-CN"/>
        </w:rPr>
        <w:t>扶持</w:t>
      </w:r>
    </w:p>
    <w:p>
      <w:pPr>
        <w:pageBreakBefore w:val="0"/>
        <w:widowControl w:val="0"/>
        <w:kinsoku/>
        <w:wordWrap/>
        <w:overflowPunct/>
        <w:topLinePunct w:val="0"/>
        <w:autoSpaceDE/>
        <w:autoSpaceDN/>
        <w:bidi w:val="0"/>
        <w:adjustRightInd w:val="0"/>
        <w:snapToGrid w:val="0"/>
        <w:spacing w:line="560" w:lineRule="exact"/>
        <w:ind w:left="0" w:leftChars="0" w:right="0" w:firstLine="640" w:firstLineChars="200"/>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2022年我局着力</w:t>
      </w:r>
      <w:r>
        <w:rPr>
          <w:rFonts w:hint="default" w:ascii="Times New Roman" w:hAnsi="Times New Roman" w:eastAsia="仿宋_GB2312" w:cs="Times New Roman"/>
          <w:sz w:val="32"/>
          <w:szCs w:val="32"/>
          <w:highlight w:val="none"/>
        </w:rPr>
        <w:t>指导和促进本市中小企业发展</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主要是</w:t>
      </w:r>
      <w:r>
        <w:rPr>
          <w:rFonts w:hint="default" w:ascii="Times New Roman" w:hAnsi="Times New Roman" w:eastAsia="仿宋_GB2312" w:cs="Times New Roman"/>
          <w:sz w:val="32"/>
          <w:szCs w:val="32"/>
          <w:highlight w:val="none"/>
        </w:rPr>
        <w:t>会同有关部门拟订促进中小企业发展和非国有经济发展的相关政策和措施，协调解决有关重大问题；建立和完善中小企业服务体系。</w:t>
      </w:r>
      <w:r>
        <w:rPr>
          <w:rFonts w:hint="default" w:ascii="Times New Roman" w:hAnsi="Times New Roman" w:eastAsia="仿宋_GB2312" w:cs="Times New Roman"/>
          <w:sz w:val="32"/>
          <w:szCs w:val="32"/>
          <w:highlight w:val="none"/>
          <w:lang w:val="en-US" w:eastAsia="zh-CN"/>
        </w:rPr>
        <w:t>具体如下：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元化支持方式，降低中小企业成本，营造我市中小企业创新发展良好局面。一是通过支持示范平台、示范基地建设，健全中小企业服务体系，服务中小企业健康发展；二是通过发放中小企业服务券补贴、中小企业创新融资奖补、首贷贴息等，发挥了财政资金帮扶作用，进一步降低在京中小微企业融资成本。三是持续完善枢纽平台服务功能，2022年枢纽平台汇聚平台基地服务商等机构811家，搭建APP、微信、头条等中小企业服务渠道数量8条，极大地拓展了枢纽平台的服务内容，提升了服务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提升决策服务质量，全面摸排中小企业数据，有效服务于管理决策。如开展中小企业发展环境评估，通过企业调查问卷和个别访谈等方式，聚焦市场环境、法治环境、融资环境、创新环境、政策环境五个评价维度，回收问卷超过1500份，全面摸排了各区中小企业工作机制、专项资金和公共服务平台等情况，出具北京市中小企业发展环境评估报告，报告提出了目前北京市中小企业发展面临的主要问题并提出了相关建议；在开展北京市中小企业公共服务平台枢纽平台运营服务中，运营机构积极开展了政策评估，对京沪稳经济一揽子政策、京沪数字化赋能政策等进行了政策对比分析，建立政策闭环服务，形成多份政策对比分析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（3）规范开展政策服务，简化优化评审评价等管理流程，提高中小企业满意度。按照资金管理办法的要求，结合年度重点支持方向，简化资金申请程序、申请材料，</w:t>
      </w:r>
      <w:r>
        <w:rPr>
          <w:rFonts w:hint="eastAsia" w:ascii="Times New Roman" w:hAnsi="Times New Roman" w:eastAsia="仿宋_GB2312" w:cs="Times New Roman"/>
          <w:sz w:val="32"/>
          <w:szCs w:val="32"/>
          <w:highlight w:val="none"/>
          <w:lang w:val="en-US" w:eastAsia="zh-CN"/>
        </w:rPr>
        <w:t>降</w:t>
      </w:r>
      <w:r>
        <w:rPr>
          <w:rFonts w:hint="default" w:ascii="Times New Roman" w:hAnsi="Times New Roman" w:eastAsia="仿宋_GB2312" w:cs="Times New Roman"/>
          <w:sz w:val="32"/>
          <w:szCs w:val="32"/>
          <w:highlight w:val="none"/>
          <w:lang w:val="en-US" w:eastAsia="zh-CN"/>
        </w:rPr>
        <w:t>低企业资金申请成本，细化项目评审规则规范，提高评审工作规范性和效率性，实现“申请一批、评审一批、成熟一批、拨付一批”，在确保公平公正性的同时，提高资金拨付效率，让中小企业和相关服务机构能够及时享受政策。通过向部分中小企业和示范平台、基地、金融机构发放调查问卷结果显示，企业或运营机构对2022年北京市支持中小企业发展资金的综合满意度较高，其中，中小企业满意度95.8%，示范平台（基地）及金融机构满意度96.9%。</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.“大数据”建设</w:t>
      </w:r>
      <w:r>
        <w:rPr>
          <w:rFonts w:hint="default" w:ascii="Times New Roman" w:hAnsi="Times New Roman" w:eastAsia="仿宋_GB2312" w:cs="Times New Roman"/>
          <w:sz w:val="32"/>
          <w:szCs w:val="32"/>
          <w:highlight w:val="none"/>
          <w:lang w:val="en-US" w:eastAsia="zh-CN"/>
        </w:rPr>
        <w:t>及应用</w:t>
      </w:r>
    </w:p>
    <w:p>
      <w:pPr>
        <w:pStyle w:val="7"/>
        <w:keepNext w:val="0"/>
        <w:keepLines w:val="0"/>
        <w:pageBreakBefore w:val="0"/>
        <w:widowControl w:val="0"/>
        <w:kinsoku/>
        <w:wordWrap/>
        <w:overflowPunct/>
        <w:topLinePunct w:val="0"/>
        <w:autoSpaceDE/>
        <w:autoSpaceDN/>
        <w:bidi w:val="0"/>
        <w:adjustRightInd w:val="0"/>
        <w:snapToGrid w:val="0"/>
        <w:spacing w:after="0" w:line="560" w:lineRule="exact"/>
        <w:ind w:leftChars="0" w:firstLine="640" w:firstLineChars="200"/>
        <w:textAlignment w:val="auto"/>
        <w:rPr>
          <w:rFonts w:hint="default" w:ascii="Times New Roman" w:hAnsi="Times New Roman" w:eastAsia="仿宋_GB2312" w:cs="Times New Roman"/>
          <w:kern w:val="2"/>
          <w:sz w:val="32"/>
          <w:szCs w:val="32"/>
          <w:highlight w:val="yellow"/>
          <w:lang w:val="en-US" w:eastAsia="zh-CN" w:bidi="ar-SA"/>
        </w:rPr>
      </w:pPr>
      <w:r>
        <w:rPr>
          <w:rFonts w:hint="default" w:ascii="Times New Roman" w:hAnsi="Times New Roman" w:eastAsia="仿宋_GB2312" w:cs="Times New Roman"/>
          <w:kern w:val="2"/>
          <w:sz w:val="32"/>
          <w:szCs w:val="32"/>
          <w:highlight w:val="none"/>
          <w:lang w:val="en-US" w:eastAsia="zh-CN" w:bidi="ar-SA"/>
        </w:rPr>
        <w:t>我局2022年重点工作包括统筹推进本市大数据建设工作，负责政务数据和相关社会数据的整合、管理、应用和服务体系建设工作等。具体如下：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（1）北京市大数据发展推进</w:t>
      </w:r>
    </w:p>
    <w:p>
      <w:pPr>
        <w:pStyle w:val="7"/>
        <w:keepNext w:val="0"/>
        <w:keepLines w:val="0"/>
        <w:pageBreakBefore w:val="0"/>
        <w:widowControl w:val="0"/>
        <w:kinsoku/>
        <w:wordWrap/>
        <w:overflowPunct/>
        <w:topLinePunct w:val="0"/>
        <w:autoSpaceDE/>
        <w:autoSpaceDN/>
        <w:bidi w:val="0"/>
        <w:adjustRightInd w:val="0"/>
        <w:snapToGrid w:val="0"/>
        <w:spacing w:after="0" w:line="560" w:lineRule="exact"/>
        <w:ind w:leftChars="0"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为统筹推进北京大数据行动计划，市编委批复成立北京市大数据工作推进小组（以下简称“推进小组”），总体统筹全市大数据工作，推进小组办公室设在市经济信息化局，推进小组下设专家咨询组、系统总体组、绩效评估组、政策法规组，各司其职，共同推进实施北京大数据行动计划。</w:t>
      </w:r>
    </w:p>
    <w:p>
      <w:pPr>
        <w:pStyle w:val="7"/>
        <w:keepNext w:val="0"/>
        <w:keepLines w:val="0"/>
        <w:pageBreakBefore w:val="0"/>
        <w:widowControl w:val="0"/>
        <w:kinsoku/>
        <w:wordWrap/>
        <w:overflowPunct/>
        <w:topLinePunct w:val="0"/>
        <w:autoSpaceDE/>
        <w:autoSpaceDN/>
        <w:bidi w:val="0"/>
        <w:adjustRightInd w:val="0"/>
        <w:snapToGrid w:val="0"/>
        <w:spacing w:after="0" w:line="560" w:lineRule="exact"/>
        <w:ind w:leftChars="0" w:firstLine="640" w:firstLineChars="200"/>
        <w:textAlignment w:val="auto"/>
        <w:rPr>
          <w:rFonts w:hint="default" w:ascii="Times New Roman" w:hAnsi="Times New Roman" w:eastAsia="仿宋_GB2312" w:cs="Times New Roman"/>
          <w:kern w:val="2"/>
          <w:sz w:val="32"/>
          <w:szCs w:val="32"/>
          <w:highlight w:val="yellow"/>
          <w:lang w:val="en-US" w:eastAsia="zh-CN" w:bidi="ar-SA"/>
        </w:rPr>
      </w:pPr>
      <w:r>
        <w:rPr>
          <w:rFonts w:hint="default" w:ascii="Times New Roman" w:hAnsi="Times New Roman" w:eastAsia="仿宋_GB2312" w:cs="Times New Roman"/>
          <w:kern w:val="2"/>
          <w:sz w:val="32"/>
          <w:szCs w:val="32"/>
          <w:highlight w:val="none"/>
          <w:lang w:val="en-US" w:eastAsia="zh-CN" w:bidi="ar-SA"/>
        </w:rPr>
        <w:t>2022年共收集整理了48个市级委办局、17个区域资料，汇总智慧城市重点任务工作进展情况。在支撑智慧城市重点配套政策措施资料整理方面，为配套政策措施实施做好研究准备工作。收集整理了31各省市2023年政府工作报告中关于智慧城市建设部署内容；协助支撑第六届数字中国峰会资料整理，包括智慧环保应急、回天大脑为主题的11家单位反馈材料；协助组织“一网通办”“一网统管”、交通、应急、司法、教育、医疗、生态环保、规划管理、市交通委等领域委办局以及各区的对接会议，征集各单位智慧城市应用场景开放案例，支撑我市应用场景开放政策制定。开展智慧城市发展和评价指标整理方面，协助探索智慧城市产业发展策略。收集国内外文献关于政企合作项目模式的分类及定义，并整理了上海、安徽、湖南等国内主要省市智慧城市政企合作项目案例，分析其解决方案或提升措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（2）大数据治理</w:t>
      </w:r>
    </w:p>
    <w:p>
      <w:pPr>
        <w:pageBreakBefore w:val="0"/>
        <w:widowControl/>
        <w:kinsoku/>
        <w:wordWrap/>
        <w:overflowPunct/>
        <w:topLinePunct w:val="0"/>
        <w:autoSpaceDE/>
        <w:autoSpaceDN/>
        <w:bidi w:val="0"/>
        <w:adjustRightInd w:val="0"/>
        <w:snapToGrid w:val="0"/>
        <w:spacing w:line="560" w:lineRule="exact"/>
        <w:ind w:leftChars="0" w:firstLine="640" w:firstLineChars="200"/>
        <w:jc w:val="left"/>
        <w:textAlignment w:val="auto"/>
        <w:rPr>
          <w:rFonts w:hint="default" w:ascii="Times New Roman" w:hAnsi="Times New Roman" w:eastAsia="仿宋_GB2312" w:cs="Times New Roman"/>
          <w:kern w:val="2"/>
          <w:sz w:val="32"/>
          <w:szCs w:val="32"/>
          <w:highlight w:val="yellow"/>
          <w:lang w:val="en-US" w:eastAsia="zh-CN" w:bidi="ar-SA"/>
        </w:rPr>
      </w:pPr>
      <w:r>
        <w:rPr>
          <w:rFonts w:hint="default" w:ascii="Times New Roman" w:hAnsi="Times New Roman" w:eastAsia="仿宋_GB2312" w:cs="Times New Roman"/>
          <w:kern w:val="2"/>
          <w:sz w:val="32"/>
          <w:szCs w:val="32"/>
          <w:highlight w:val="none"/>
          <w:lang w:val="en-US" w:eastAsia="zh-CN" w:bidi="ar-SA"/>
        </w:rPr>
        <w:t>完成目录体系运行技术服务、数据共享运行技术服务、社会数据接入技术服务、数据基础治理与服务等工作内容，为新增12个部门提供上链支撑，维护已上链数据目录11万+条</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维护已上链信息系统1673个等，为敏感数据共享提供全流程技术支撑，完成社会数据已有575个数据项的持续接入和新增104个数据项的新增接入，完成大数据平台1490类基础数据更新治理，完善“人</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企”综合库及关系图谱，支撑68项重点应用。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（3）北京市大数据平台运维及服务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yellow"/>
          <w:lang w:val="en-US" w:eastAsia="zh-CN"/>
        </w:rPr>
      </w:pPr>
      <w:r>
        <w:rPr>
          <w:rFonts w:hint="default" w:ascii="Times New Roman" w:hAnsi="Times New Roman" w:eastAsia="仿宋_GB2312" w:cs="Times New Roman"/>
          <w:color w:val="auto"/>
          <w:sz w:val="32"/>
          <w:szCs w:val="32"/>
          <w:highlight w:val="none"/>
          <w:lang w:val="en-US" w:eastAsia="zh-CN"/>
        </w:rPr>
        <w:t>开展大数据平台日常技术运维、安全运维和应用支撑服务，大数据平台全年稳定运行。提供数据存储、数据计算、ETL、数据治理、专题库建设工具、融合分析、数据可视化、自助分析BI工具、API封装、视频AI、智能语音外呼、智能搜索等12个共性组件，向市科委、市农业农村局、市商务局等20个单位提供服务。支撑委办局向大数据平台的数据汇聚，以及委办局之间的数据交换，数据交换服务全年无故障运行。全年汇聚60个部门的3325类数据资源，累计647.09亿条，13.45TB；交换数据3505亿条，96.04TB，日均交换数据9.6亿条，270GB。完成了政务地理空间共享服务平台的相关系统日常运维保障工作，各系统共出现6次故障，均一小时内解决并恢复，系统整体可用性超过99.9%。确保了各项服务及系统全年稳定运行，为全市223个业务系统提供一张图的数据支撑；为用户提供160余次高效的技术支持，并完成了地图数据的更新与发布。领导辅助决策服务支撑。完成领导驾驶舱已建设专题应用以及已接入的40个部门700多类数据和3800多个指标的数据更新维护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（4）北京健康宝</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北京“健康宝”</w:t>
      </w:r>
      <w:r>
        <w:rPr>
          <w:rFonts w:hint="default" w:ascii="Times New Roman" w:hAnsi="Times New Roman" w:eastAsia="仿宋_GB2312" w:cs="Times New Roman"/>
          <w:sz w:val="32"/>
          <w:szCs w:val="32"/>
          <w:highlight w:val="none"/>
          <w:lang w:eastAsia="zh-Hans"/>
        </w:rPr>
        <w:t>跟随疫情防控形势变化，快速响应，年内完成10次版本升级</w:t>
      </w:r>
      <w:r>
        <w:rPr>
          <w:rFonts w:hint="default" w:ascii="Times New Roman" w:hAnsi="Times New Roman" w:eastAsia="仿宋_GB2312" w:cs="Times New Roman"/>
          <w:sz w:val="32"/>
          <w:szCs w:val="32"/>
          <w:highlight w:val="none"/>
        </w:rPr>
        <w:t>，实现健康状态、核酸、疫苗三合一查询等多种便民功能</w:t>
      </w:r>
      <w:r>
        <w:rPr>
          <w:rFonts w:hint="default" w:ascii="Times New Roman" w:hAnsi="Times New Roman" w:eastAsia="仿宋_GB2312" w:cs="Times New Roman"/>
          <w:sz w:val="32"/>
          <w:szCs w:val="32"/>
          <w:highlight w:val="none"/>
          <w:lang w:val="en-US" w:eastAsia="zh-CN"/>
        </w:rPr>
        <w:t>。北京健康宝追加政务云服务采购，提供vCPU核数220384，虚拟内存服务数量1084950GB，高性能存储服务数量1084950GB，物理服务器24台，支撑健康宝系统稳定运行，应对极端情况下系统资源需求，满足疫情防控需要；组织云服务商处理应急事件，做好重点时期保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6.信息化建设及运行保障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2022年我局在信息化</w:t>
      </w:r>
      <w:r>
        <w:rPr>
          <w:rFonts w:hint="eastAsia" w:ascii="Times New Roman" w:hAnsi="Times New Roman" w:eastAsia="仿宋_GB2312" w:cs="Times New Roman"/>
          <w:sz w:val="32"/>
          <w:szCs w:val="32"/>
          <w:highlight w:val="none"/>
          <w:lang w:val="en-US" w:eastAsia="zh-CN"/>
        </w:rPr>
        <w:t>建设及</w:t>
      </w:r>
      <w:r>
        <w:rPr>
          <w:rFonts w:hint="default" w:ascii="Times New Roman" w:hAnsi="Times New Roman" w:eastAsia="仿宋_GB2312" w:cs="Times New Roman"/>
          <w:sz w:val="32"/>
          <w:szCs w:val="32"/>
          <w:highlight w:val="none"/>
          <w:lang w:val="en-US" w:eastAsia="zh-CN"/>
        </w:rPr>
        <w:t>运行</w:t>
      </w:r>
      <w:r>
        <w:rPr>
          <w:rFonts w:hint="eastAsia" w:ascii="Times New Roman" w:hAnsi="Times New Roman" w:eastAsia="仿宋_GB2312" w:cs="Times New Roman"/>
          <w:sz w:val="32"/>
          <w:szCs w:val="32"/>
          <w:highlight w:val="none"/>
          <w:lang w:val="en-US" w:eastAsia="zh-CN"/>
        </w:rPr>
        <w:t>保障</w:t>
      </w:r>
      <w:r>
        <w:rPr>
          <w:rFonts w:hint="default" w:ascii="Times New Roman" w:hAnsi="Times New Roman" w:eastAsia="仿宋_GB2312" w:cs="Times New Roman"/>
          <w:sz w:val="32"/>
          <w:szCs w:val="32"/>
          <w:highlight w:val="none"/>
          <w:lang w:val="en-US" w:eastAsia="zh-CN"/>
        </w:rPr>
        <w:t>方面的主要工作包括：政府投资重大信息化项目评审工作、政务网络安全运行和政务基础平台保障、北京市政府门户网站运维、信息安全容灾备份和应急、预警系统升级改造。具体如下</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（1）政府投资重大信息化项目评审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政府投资信息化项目全流程管理工作提供辅助支撑，提高政府投资信息化项目全流程管理的科学性、规范性，提高全流程管理工作效率，落实《北京市政府投资信息化项目评审管理办法》等法规以及国家和北京市信息化项目建设方面的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（2）政务网络安全运行和政务基础平台保障</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北京</w:t>
      </w:r>
      <w:r>
        <w:rPr>
          <w:rFonts w:hint="default" w:ascii="Times New Roman" w:hAnsi="Times New Roman" w:eastAsia="仿宋_GB2312" w:cs="Times New Roman"/>
          <w:sz w:val="32"/>
          <w:szCs w:val="32"/>
          <w:highlight w:val="none"/>
        </w:rPr>
        <w:t>市800兆无线政务网、电子政务网、中环广场政府数据中心、北京市应急卫星通信系统，保障网络安全、可靠、稳定运行。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完成了53家用户单位、约11.3万用户的用户管理、业务管理和培训咨询服务。完成了无线政务网运维管理，确保网络安全、可靠、稳定运行。针对日常、重大活动及突发事件完善通信保障方案和应急预案，优化网络配置规划，合理分配通信资源。完成了2022年北京冬奥会等重大活动和节假日的通信保障工作。电子政务网完成政务网络移动政务平台、电子政务外网综合管理平台、政务协同服务系统等相关管理平台的运维工作，三个平台均安全稳定运行。应急卫星通信系统2022年为全市应急指挥体系的运行提供安全、可靠、畅通的应急指挥通信保障，提高了本市应对突发公共事件的快速反应、事件处置与组织指挥能力。完成“全国两会</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服贸会”、疫情防控、防汛等重大事件通信保障任务，保障期间应急卫星网运行全程平稳正常，为首都举办各项重大活动和应对各类突发事件提供了可靠的应急卫星通信保障。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（3）北京市政府门户网站运维</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none"/>
        </w:rPr>
        <w:t>2022年，北京市政府门户网站整体运行平稳，达到了全年预期水平。持续发挥政府信息公开第一平台作用，同时探索开展分类主题政务信息数据标签化规范管理，围绕政策文件及其解读信息重点开展了政府拆解、打标并结合用户画像开展数据应用服务策划，初步形成了以政策文件、政策问答、政务名词、政务办事经验等系列应用精品服务体系。门户网站年度总浏览量超过一亿人次，居国内政府网站前茅。2022年，北京市政府门户网站在工业和信息化部计算机与微电子发展研究中心（中国软件评测中心）主办的“2022年数字政府服务能力评估暨第二十一届政府网站绩效评估”结果中，荣获直辖市第一名。在清华大学公共管理学院发布的“2022年中国政府网站绩效评估”结果中，北京市政府门户网站位列直辖市政府门户网站第一，在所有省级政府网站中总成绩排名第一。“首都之窗”头条号获评2022年政务头条号“优秀创作者”称号，“首都之窗”抖音号获评“在2022年热点事件回应中</w:t>
      </w:r>
      <w:r>
        <w:rPr>
          <w:rFonts w:hint="eastAsia" w:ascii="Times New Roman" w:hAnsi="Times New Roman" w:eastAsia="仿宋_GB2312" w:cs="Times New Roman"/>
          <w:color w:val="auto"/>
          <w:sz w:val="32"/>
          <w:szCs w:val="32"/>
          <w:highlight w:val="none"/>
          <w:lang w:eastAsia="zh-CN"/>
        </w:rPr>
        <w:t>做出</w:t>
      </w:r>
      <w:r>
        <w:rPr>
          <w:rFonts w:hint="default" w:ascii="Times New Roman" w:hAnsi="Times New Roman" w:eastAsia="仿宋_GB2312" w:cs="Times New Roman"/>
          <w:color w:val="auto"/>
          <w:sz w:val="32"/>
          <w:szCs w:val="32"/>
          <w:highlight w:val="none"/>
        </w:rPr>
        <w:t>突出贡献”称号。北京市政府门户网站及应用系统全年稳定运行，系统业务可用性为100%，所有系统重点保障期100%可用，网站无安全事件发生。</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信息安全容灾备份和预警系统运维改造</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北京市信息安全容灾备份系统运维，保障灾备中心业务连续性、提升数据抗毁能力；监测预警系统全年稳定运行，未出现重大故障，完成200余台套监控系统的网络设备、安全设备的日常运行维护保障，累计运维工作874次；并按照市级政务云及相关服务按预算和合同要求租用了12个月云服务；完成日常及重大活动时期的监测值守工作，投入人力4000余人日进行全年不间断7*24小时值守，重大活动时期双倍人力值守。</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7.数字经济统筹推进机制建设</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2022年我局开展工业企业数字化转型诊断评估。推动互联网信息领域服务业扩大开放及数字经济创新发展，建立我市数字经济统筹推进机制。</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（1）开展工业企业数字化转型诊断评估</w:t>
      </w:r>
    </w:p>
    <w:p>
      <w:pPr>
        <w:spacing w:line="560" w:lineRule="exact"/>
        <w:ind w:firstLine="640" w:firstLineChars="20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智慧城市2.0建设全面突出“实”的理念，落实四级规划管控体系，</w:t>
      </w:r>
      <w:r>
        <w:rPr>
          <w:rFonts w:hint="default" w:ascii="Times New Roman" w:hAnsi="Times New Roman" w:eastAsia="仿宋_GB2312" w:cs="Times New Roman"/>
          <w:bCs/>
          <w:spacing w:val="-6"/>
          <w:kern w:val="2"/>
          <w:sz w:val="32"/>
          <w:szCs w:val="32"/>
          <w:highlight w:val="none"/>
          <w:lang w:val="en-US" w:eastAsia="zh-CN" w:bidi="ar"/>
        </w:rPr>
        <w:t>完成46个部门项目清单、189个</w:t>
      </w:r>
      <w:r>
        <w:rPr>
          <w:rFonts w:hint="default" w:ascii="Times New Roman" w:hAnsi="Times New Roman" w:eastAsia="仿宋_GB2312" w:cs="Times New Roman"/>
          <w:sz w:val="32"/>
          <w:szCs w:val="32"/>
          <w:lang w:eastAsia="zh-Hans"/>
        </w:rPr>
        <w:t>信息化项目</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bCs/>
          <w:spacing w:val="-6"/>
          <w:kern w:val="2"/>
          <w:sz w:val="32"/>
          <w:szCs w:val="32"/>
          <w:highlight w:val="none"/>
          <w:lang w:val="en-US" w:eastAsia="zh-CN" w:bidi="ar"/>
        </w:rPr>
        <w:t>评审</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夯实“三京”“七通一平”城市数字底座，“京通”融合北京“健康宝”上线试运行、</w:t>
      </w:r>
      <w:r>
        <w:rPr>
          <w:rFonts w:hint="default" w:ascii="Times New Roman" w:hAnsi="Times New Roman" w:eastAsia="仿宋_GB2312" w:cs="Times New Roman"/>
          <w:sz w:val="32"/>
          <w:szCs w:val="32"/>
        </w:rPr>
        <w:t>日活近200万、接入服务430余项</w:t>
      </w:r>
      <w:r>
        <w:rPr>
          <w:rFonts w:hint="default" w:ascii="Times New Roman" w:hAnsi="Times New Roman" w:eastAsia="仿宋_GB2312" w:cs="Times New Roman"/>
          <w:sz w:val="32"/>
          <w:szCs w:val="32"/>
          <w:lang w:eastAsia="zh-Hans"/>
        </w:rPr>
        <w:t>；“京办”注册用户达45万，</w:t>
      </w:r>
      <w:r>
        <w:rPr>
          <w:rFonts w:hint="default" w:ascii="Times New Roman" w:hAnsi="Times New Roman" w:eastAsia="仿宋_GB2312" w:cs="Times New Roman"/>
          <w:i w:val="0"/>
          <w:iCs w:val="0"/>
          <w:caps w:val="0"/>
          <w:color w:val="auto"/>
          <w:spacing w:val="0"/>
          <w:sz w:val="32"/>
          <w:szCs w:val="32"/>
          <w:shd w:val="clear" w:fill="auto"/>
        </w:rPr>
        <w:t>初步构建起包括</w:t>
      </w:r>
      <w:r>
        <w:rPr>
          <w:rFonts w:hint="default" w:ascii="Times New Roman" w:hAnsi="Times New Roman" w:eastAsia="仿宋_GB2312" w:cs="Times New Roman"/>
          <w:i w:val="0"/>
          <w:iCs w:val="0"/>
          <w:caps w:val="0"/>
          <w:spacing w:val="0"/>
          <w:sz w:val="32"/>
          <w:szCs w:val="32"/>
          <w:shd w:val="clear"/>
          <w:lang w:eastAsia="zh-CN"/>
        </w:rPr>
        <w:t>5</w:t>
      </w:r>
      <w:r>
        <w:rPr>
          <w:rFonts w:hint="default" w:ascii="Times New Roman" w:hAnsi="Times New Roman" w:eastAsia="仿宋_GB2312" w:cs="Times New Roman"/>
          <w:i w:val="0"/>
          <w:iCs w:val="0"/>
          <w:caps w:val="0"/>
          <w:color w:val="auto"/>
          <w:spacing w:val="0"/>
          <w:sz w:val="32"/>
          <w:szCs w:val="32"/>
          <w:shd w:val="clear" w:fill="auto"/>
        </w:rPr>
        <w:t>大核心能力、</w:t>
      </w:r>
      <w:r>
        <w:rPr>
          <w:rFonts w:hint="default" w:ascii="Times New Roman" w:hAnsi="Times New Roman" w:eastAsia="仿宋_GB2312" w:cs="Times New Roman"/>
          <w:i w:val="0"/>
          <w:iCs w:val="0"/>
          <w:caps w:val="0"/>
          <w:spacing w:val="0"/>
          <w:sz w:val="32"/>
          <w:szCs w:val="32"/>
          <w:shd w:val="clear"/>
          <w:lang w:eastAsia="zh-CN"/>
        </w:rPr>
        <w:t>1</w:t>
      </w:r>
      <w:r>
        <w:rPr>
          <w:rFonts w:hint="default" w:ascii="Times New Roman" w:hAnsi="Times New Roman" w:eastAsia="仿宋_GB2312" w:cs="Times New Roman"/>
          <w:i w:val="0"/>
          <w:iCs w:val="0"/>
          <w:caps w:val="0"/>
          <w:spacing w:val="0"/>
          <w:sz w:val="32"/>
          <w:szCs w:val="32"/>
          <w:shd w:val="clear"/>
          <w:lang w:val="en-US" w:eastAsia="zh-CN"/>
        </w:rPr>
        <w:t>9</w:t>
      </w:r>
      <w:r>
        <w:rPr>
          <w:rFonts w:hint="default" w:ascii="Times New Roman" w:hAnsi="Times New Roman" w:eastAsia="仿宋_GB2312" w:cs="Times New Roman"/>
          <w:i w:val="0"/>
          <w:iCs w:val="0"/>
          <w:caps w:val="0"/>
          <w:color w:val="auto"/>
          <w:spacing w:val="0"/>
          <w:sz w:val="32"/>
          <w:szCs w:val="32"/>
          <w:shd w:val="clear" w:fill="auto"/>
        </w:rPr>
        <w:t>项基础能力、</w:t>
      </w:r>
      <w:r>
        <w:rPr>
          <w:rFonts w:hint="default" w:ascii="Times New Roman" w:hAnsi="Times New Roman" w:eastAsia="仿宋_GB2312" w:cs="Times New Roman"/>
          <w:i w:val="0"/>
          <w:iCs w:val="0"/>
          <w:caps w:val="0"/>
          <w:spacing w:val="0"/>
          <w:sz w:val="32"/>
          <w:szCs w:val="32"/>
          <w:shd w:val="clear"/>
          <w:lang w:eastAsia="zh-CN"/>
        </w:rPr>
        <w:t>1</w:t>
      </w:r>
      <w:r>
        <w:rPr>
          <w:rFonts w:hint="default" w:ascii="Times New Roman" w:hAnsi="Times New Roman" w:eastAsia="仿宋_GB2312" w:cs="Times New Roman"/>
          <w:i w:val="0"/>
          <w:iCs w:val="0"/>
          <w:caps w:val="0"/>
          <w:spacing w:val="0"/>
          <w:sz w:val="32"/>
          <w:szCs w:val="32"/>
          <w:shd w:val="clear"/>
          <w:lang w:val="en-US" w:eastAsia="zh-CN"/>
        </w:rPr>
        <w:t>00</w:t>
      </w:r>
      <w:r>
        <w:rPr>
          <w:rFonts w:hint="default" w:ascii="Times New Roman" w:hAnsi="Times New Roman" w:eastAsia="仿宋_GB2312" w:cs="Times New Roman"/>
          <w:i w:val="0"/>
          <w:iCs w:val="0"/>
          <w:caps w:val="0"/>
          <w:color w:val="auto"/>
          <w:spacing w:val="0"/>
          <w:sz w:val="32"/>
          <w:szCs w:val="32"/>
          <w:shd w:val="clear" w:fill="auto"/>
        </w:rPr>
        <w:t>余项接入能力的协同办公产业生态</w:t>
      </w:r>
      <w:r>
        <w:rPr>
          <w:rFonts w:hint="default" w:ascii="Times New Roman" w:hAnsi="Times New Roman" w:eastAsia="仿宋_GB2312" w:cs="Times New Roman"/>
          <w:sz w:val="32"/>
          <w:szCs w:val="32"/>
          <w:lang w:eastAsia="zh-Hans"/>
        </w:rPr>
        <w:t>；</w:t>
      </w:r>
      <w:r>
        <w:rPr>
          <w:rFonts w:hint="default" w:ascii="Times New Roman" w:hAnsi="Times New Roman" w:eastAsia="仿宋_GB2312" w:cs="Times New Roman"/>
          <w:b w:val="0"/>
          <w:bCs w:val="0"/>
          <w:sz w:val="32"/>
          <w:szCs w:val="32"/>
        </w:rPr>
        <w:t>“京智”</w:t>
      </w:r>
      <w:r>
        <w:rPr>
          <w:rFonts w:hint="default" w:ascii="Times New Roman" w:hAnsi="Times New Roman" w:eastAsia="仿宋_GB2312" w:cs="Times New Roman"/>
          <w:sz w:val="32"/>
          <w:szCs w:val="32"/>
        </w:rPr>
        <w:t>形成14个决策专题，接入1471项监测指标。</w:t>
      </w:r>
      <w:r>
        <w:rPr>
          <w:rFonts w:hint="default" w:ascii="Times New Roman" w:hAnsi="Times New Roman" w:eastAsia="仿宋_GB2312" w:cs="Times New Roman"/>
          <w:color w:val="000000"/>
          <w:sz w:val="32"/>
          <w:szCs w:val="32"/>
          <w:lang w:eastAsia="zh-Hans"/>
        </w:rPr>
        <w:t>“一张图”</w:t>
      </w:r>
      <w:r>
        <w:rPr>
          <w:rFonts w:hint="default" w:ascii="Times New Roman" w:hAnsi="Times New Roman" w:eastAsia="仿宋_GB2312" w:cs="Times New Roman"/>
          <w:color w:val="000000"/>
          <w:sz w:val="32"/>
          <w:szCs w:val="32"/>
        </w:rPr>
        <w:t>为全市58个部门210多个空间应用提供在线共享服务</w:t>
      </w:r>
      <w:r>
        <w:rPr>
          <w:rFonts w:hint="default" w:ascii="Times New Roman" w:hAnsi="Times New Roman" w:eastAsia="仿宋_GB2312" w:cs="Times New Roman"/>
          <w:color w:val="000000"/>
          <w:sz w:val="32"/>
          <w:szCs w:val="32"/>
          <w:lang w:eastAsia="zh-Hans"/>
        </w:rPr>
        <w:t>，</w:t>
      </w:r>
      <w:r>
        <w:rPr>
          <w:rFonts w:hint="default" w:ascii="Times New Roman" w:hAnsi="Times New Roman" w:eastAsia="仿宋_GB2312" w:cs="Times New Roman"/>
          <w:sz w:val="32"/>
          <w:szCs w:val="32"/>
          <w:lang w:eastAsia="zh-Hans"/>
        </w:rPr>
        <w:t>城市码</w:t>
      </w:r>
      <w:r>
        <w:rPr>
          <w:rFonts w:hint="default" w:ascii="Times New Roman" w:hAnsi="Times New Roman" w:eastAsia="仿宋_GB2312" w:cs="Times New Roman"/>
          <w:color w:val="000000"/>
          <w:sz w:val="32"/>
          <w:szCs w:val="32"/>
        </w:rPr>
        <w:t>完成18类实体身份标识规则</w:t>
      </w:r>
      <w:r>
        <w:rPr>
          <w:rFonts w:hint="default" w:ascii="Times New Roman" w:hAnsi="Times New Roman" w:eastAsia="仿宋_GB2312" w:cs="Times New Roman"/>
          <w:color w:val="000000"/>
          <w:sz w:val="32"/>
          <w:szCs w:val="32"/>
          <w:lang w:eastAsia="zh-Hans"/>
        </w:rPr>
        <w:t>认定并启动楼宇码试点，</w:t>
      </w:r>
      <w:r>
        <w:rPr>
          <w:rFonts w:hint="default" w:ascii="Times New Roman" w:hAnsi="Times New Roman" w:eastAsia="仿宋_GB2312" w:cs="Times New Roman"/>
          <w:sz w:val="32"/>
          <w:szCs w:val="32"/>
          <w:lang w:eastAsia="zh-Hans"/>
        </w:rPr>
        <w:t>大数据平台累计汇聚383亿条政务数据及1750余亿条社会数据</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务实推进“三网”和领域应用，“一网通办”</w:t>
      </w:r>
      <w:r>
        <w:rPr>
          <w:rFonts w:hint="default" w:ascii="Times New Roman" w:hAnsi="Times New Roman" w:eastAsia="仿宋_GB2312" w:cs="Times New Roman"/>
          <w:kern w:val="2"/>
          <w:sz w:val="32"/>
          <w:szCs w:val="32"/>
          <w:lang w:val="en-US" w:eastAsia="zh-CN" w:bidi="ar"/>
        </w:rPr>
        <w:t>市、区两级100%政务服务事项实现“全程网办”</w:t>
      </w:r>
      <w:r>
        <w:rPr>
          <w:rFonts w:hint="default" w:ascii="Times New Roman" w:hAnsi="Times New Roman" w:eastAsia="仿宋_GB2312" w:cs="Times New Roman"/>
          <w:sz w:val="32"/>
          <w:szCs w:val="32"/>
          <w:lang w:eastAsia="zh-Hans"/>
        </w:rPr>
        <w:t>，“一网统管”方案通过市政府、市委深改委专题审议，“一网慧治”开展交通、城管、疫情防控等领域决策平台建设</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交通、卫健、执法公安、规划应急、人文环境等领域智慧城市建设持续发力走深走实，16+1区形成“智慧+生活”“智慧+生态”等区域特色。</w:t>
      </w:r>
    </w:p>
    <w:p>
      <w:pPr>
        <w:numPr>
          <w:ilvl w:val="0"/>
          <w:numId w:val="1"/>
        </w:numPr>
        <w:spacing w:line="560" w:lineRule="exact"/>
        <w:ind w:left="-10" w:leftChars="0" w:firstLine="640" w:firstLineChars="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推动互联网信息领域服务业扩大开放及数字经济创新发展</w:t>
      </w:r>
    </w:p>
    <w:p>
      <w:pPr>
        <w:numPr>
          <w:ilvl w:val="0"/>
          <w:numId w:val="0"/>
        </w:num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shd w:val="clear" w:color="auto" w:fill="FFFFFF"/>
        </w:rPr>
        <w:t>制定颁布纲领性法规《北京市数字经济促进条例》，</w:t>
      </w:r>
      <w:r>
        <w:rPr>
          <w:rFonts w:hint="default" w:ascii="Times New Roman" w:hAnsi="Times New Roman" w:eastAsia="仿宋_GB2312" w:cs="Times New Roman"/>
          <w:sz w:val="32"/>
          <w:szCs w:val="32"/>
        </w:rPr>
        <w:t>印发实施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数字经济全产业链开放发展行动方案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bidi="ar"/>
        </w:rPr>
        <w:t>推动新一代信息技术和城市基础设施深度融合，全市新基建完成固定资产投资935.3亿元</w:t>
      </w:r>
      <w:r>
        <w:rPr>
          <w:rFonts w:hint="eastAsia"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bidi="ar"/>
        </w:rPr>
        <w:t>同比增长25.5%，占全市投资比重11.1%。5G万人基站数</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bidi="ar"/>
        </w:rPr>
        <w:t>算力规模指数均位列全国第一。数字产业规模不断壮大，</w:t>
      </w:r>
      <w:r>
        <w:rPr>
          <w:rFonts w:hint="default" w:ascii="Times New Roman" w:hAnsi="Times New Roman" w:eastAsia="仿宋_GB2312" w:cs="Times New Roman"/>
          <w:sz w:val="32"/>
          <w:szCs w:val="32"/>
          <w:shd w:val="clear" w:color="auto" w:fill="FFFFFF"/>
        </w:rPr>
        <w:t>国家网络安全产业园三个园区累计落地362家企业，形成基础硬件、基础软件、芯片、集成服务等全产业链生态体系。互联网3.0快速起步，发布国内首个数字人产业政策及两项数字人标准，朝阳数字人基地引入80余家企业。工业互联网核心产业规模超千亿元，顶级节点接入二级节点和主动标识数量均居全国第一。</w:t>
      </w:r>
      <w:r>
        <w:rPr>
          <w:rFonts w:hint="default" w:ascii="Times New Roman" w:hAnsi="Times New Roman" w:eastAsia="仿宋_GB2312" w:cs="Times New Roman"/>
          <w:sz w:val="32"/>
          <w:szCs w:val="32"/>
        </w:rPr>
        <w:t>深入推进高级别自动驾驶示范区建设，</w:t>
      </w:r>
      <w:r>
        <w:rPr>
          <w:rFonts w:hint="default" w:ascii="Times New Roman" w:hAnsi="Times New Roman" w:eastAsia="仿宋_GB2312" w:cs="Times New Roman"/>
          <w:bCs/>
          <w:sz w:val="32"/>
          <w:szCs w:val="32"/>
        </w:rPr>
        <w:t>率先发布整车无人等测试场景，</w:t>
      </w:r>
      <w:r>
        <w:rPr>
          <w:rFonts w:hint="default" w:ascii="Times New Roman" w:hAnsi="Times New Roman" w:eastAsia="仿宋_GB2312" w:cs="Times New Roman"/>
          <w:sz w:val="32"/>
          <w:szCs w:val="32"/>
        </w:rPr>
        <w:t>329个道路路口、双向750公里城市道路和10公里高速公路实现智能网联道路和智慧城市专网全覆盖，车路云一体化建设技术路线得到充分验证。国际大数据交易所</w:t>
      </w:r>
      <w:r>
        <w:rPr>
          <w:rFonts w:hint="default" w:ascii="Times New Roman" w:hAnsi="Times New Roman" w:eastAsia="仿宋_GB2312" w:cs="Times New Roman"/>
          <w:bCs/>
          <w:sz w:val="32"/>
          <w:szCs w:val="32"/>
        </w:rPr>
        <w:t>建立数据登记、评估、交易和服务一体化流通体系，上架数据产品1391个，</w:t>
      </w:r>
      <w:r>
        <w:rPr>
          <w:rFonts w:hint="default" w:ascii="Times New Roman" w:hAnsi="Times New Roman" w:eastAsia="仿宋_GB2312" w:cs="Times New Roman"/>
          <w:bCs/>
          <w:sz w:val="32"/>
          <w:szCs w:val="32"/>
          <w:lang w:eastAsia="zh-CN"/>
        </w:rPr>
        <w:t>实现首个运营年度开门红</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开展全国首批数据资产评估试点，落地全国首笔</w:t>
      </w:r>
      <w:r>
        <w:rPr>
          <w:rFonts w:hint="default" w:ascii="Times New Roman" w:hAnsi="Times New Roman" w:eastAsia="仿宋_GB2312" w:cs="Times New Roman"/>
          <w:sz w:val="32"/>
          <w:szCs w:val="32"/>
          <w:lang w:val="en-US" w:eastAsia="zh-CN"/>
        </w:rPr>
        <w:t>1000万元</w:t>
      </w:r>
      <w:r>
        <w:rPr>
          <w:rFonts w:hint="default" w:ascii="Times New Roman" w:hAnsi="Times New Roman" w:eastAsia="仿宋_GB2312" w:cs="Times New Roman"/>
          <w:sz w:val="32"/>
          <w:szCs w:val="32"/>
        </w:rPr>
        <w:t>数据资产质押融资贷</w:t>
      </w:r>
      <w:r>
        <w:rPr>
          <w:rFonts w:hint="default" w:ascii="Times New Roman" w:hAnsi="Times New Roman" w:eastAsia="仿宋_GB2312" w:cs="Times New Roman"/>
          <w:sz w:val="32"/>
          <w:szCs w:val="32"/>
          <w:lang w:eastAsia="zh-CN"/>
        </w:rPr>
        <w:t>款</w:t>
      </w:r>
      <w:r>
        <w:rPr>
          <w:rFonts w:hint="default" w:ascii="Times New Roman" w:hAnsi="Times New Roman" w:eastAsia="仿宋_GB2312" w:cs="Times New Roman"/>
          <w:bCs/>
          <w:sz w:val="32"/>
          <w:szCs w:val="32"/>
        </w:rPr>
        <w:t>。</w:t>
      </w:r>
      <w:r>
        <w:rPr>
          <w:rFonts w:hint="default" w:ascii="Times New Roman" w:hAnsi="Times New Roman" w:eastAsia="仿宋_GB2312" w:cs="Times New Roman"/>
          <w:sz w:val="32"/>
          <w:szCs w:val="32"/>
        </w:rPr>
        <w:t>16区和经开区均已发布数字经济三年行动计划，“一区一品”新发展格局已初步形成。</w:t>
      </w:r>
      <w:r>
        <w:rPr>
          <w:rFonts w:hint="default" w:ascii="Times New Roman" w:hAnsi="Times New Roman" w:eastAsia="仿宋_GB2312" w:cs="Times New Roman"/>
          <w:sz w:val="32"/>
          <w:szCs w:val="32"/>
          <w:shd w:val="clear" w:color="auto" w:fill="FFFFFF"/>
        </w:rPr>
        <w:t>成立国内首家数字经济标准化技术委员会，</w:t>
      </w:r>
      <w:r>
        <w:rPr>
          <w:rFonts w:hint="default" w:ascii="Times New Roman" w:hAnsi="Times New Roman" w:eastAsia="仿宋_GB2312" w:cs="Times New Roman"/>
          <w:kern w:val="0"/>
          <w:sz w:val="32"/>
          <w:szCs w:val="32"/>
        </w:rPr>
        <w:t>高水平举办第二届全球数字经济大会，发起设立北京国际数字经济治理研究院。</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rPr>
        <w:t>社会信用体系建设</w:t>
      </w:r>
    </w:p>
    <w:p>
      <w:pPr>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信用服务创新应用示范。初步建成信用产业园，建立信用服务机构备案制度和促进政策，实现信用服务在“信用+医疗”“信用+旅游”等场景深度应用并取得成效，</w:t>
      </w:r>
      <w:r>
        <w:rPr>
          <w:rFonts w:hint="default" w:ascii="Times New Roman" w:hAnsi="Times New Roman" w:eastAsia="仿宋_GB2312" w:cs="Times New Roman"/>
          <w:color w:val="auto"/>
          <w:sz w:val="32"/>
          <w:szCs w:val="32"/>
          <w:highlight w:val="none"/>
          <w:lang w:val="en-US" w:eastAsia="zh-CN"/>
        </w:rPr>
        <w:t>结合场景应用需求创新，</w:t>
      </w:r>
      <w:r>
        <w:rPr>
          <w:rFonts w:hint="default" w:ascii="Times New Roman" w:hAnsi="Times New Roman" w:eastAsia="仿宋_GB2312" w:cs="Times New Roman"/>
          <w:color w:val="auto"/>
          <w:sz w:val="32"/>
          <w:szCs w:val="32"/>
          <w:highlight w:val="none"/>
        </w:rPr>
        <w:t>完成法律、教育、会计、中介等职业人群诚信管理试点并取得试点经验，形成多个国内领先的信用服务新模式。</w:t>
      </w:r>
      <w:r>
        <w:rPr>
          <w:rFonts w:hint="default" w:ascii="Times New Roman" w:hAnsi="Times New Roman" w:eastAsia="仿宋_GB2312" w:cs="Times New Roman"/>
          <w:color w:val="auto"/>
          <w:sz w:val="32"/>
          <w:szCs w:val="32"/>
          <w:highlight w:val="none"/>
          <w:lang w:val="en-US" w:eastAsia="zh-CN"/>
        </w:rPr>
        <w:t>具体如下</w:t>
      </w:r>
      <w:r>
        <w:rPr>
          <w:rFonts w:hint="default" w:ascii="Times New Roman" w:hAnsi="Times New Roman" w:eastAsia="仿宋_GB2312" w:cs="Times New Roman"/>
          <w:color w:val="auto"/>
          <w:sz w:val="32"/>
          <w:szCs w:val="32"/>
          <w:highlight w:val="none"/>
        </w:rPr>
        <w:t>：</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信用服务创新应用示范</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开展基于供应链金融数字确权的中小微企业融资服务创新应用、基于北京城市码在交通领域的信用创新应用、“信用+保险”产品开发及在旅游领域的创新应用、“信用+医疗”惠民服务示范应用推广4个项目，对全市“信用+”社会化创新应用起到了示范带动作用</w:t>
      </w:r>
      <w:r>
        <w:rPr>
          <w:rFonts w:hint="default" w:ascii="Times New Roman" w:hAnsi="Times New Roman" w:eastAsia="仿宋_GB2312" w:cs="Times New Roman"/>
          <w:sz w:val="32"/>
          <w:szCs w:val="32"/>
          <w:highlight w:val="none"/>
        </w:rPr>
        <w:t xml:space="preserve">。 </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信用服务行业集聚发展促进</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市公共信用信息服务平台和“信用专区”，实现了国家和北京市公共信用数据为各创新应用提供数据支持，并形成了各创新应用场景产生的社会信用数据的对接共享机制</w:t>
      </w:r>
      <w:r>
        <w:rPr>
          <w:rFonts w:hint="default" w:ascii="Times New Roman" w:hAnsi="Times New Roman" w:eastAsia="仿宋_GB2312" w:cs="Times New Roman"/>
          <w:color w:val="auto"/>
          <w:sz w:val="32"/>
          <w:szCs w:val="32"/>
          <w:highlight w:val="none"/>
          <w:lang w:eastAsia="zh-CN"/>
        </w:rPr>
        <w:t>。</w:t>
      </w:r>
    </w:p>
    <w:p>
      <w:pPr>
        <w:pageBreakBefore w:val="0"/>
        <w:widowControl w:val="0"/>
        <w:numPr>
          <w:ilvl w:val="0"/>
          <w:numId w:val="1"/>
        </w:numPr>
        <w:kinsoku/>
        <w:wordWrap/>
        <w:overflowPunct/>
        <w:topLinePunct w:val="0"/>
        <w:autoSpaceDE/>
        <w:autoSpaceDN/>
        <w:bidi w:val="0"/>
        <w:adjustRightInd w:val="0"/>
        <w:snapToGrid w:val="0"/>
        <w:spacing w:line="560" w:lineRule="exact"/>
        <w:ind w:left="-10" w:leftChars="0" w:firstLine="640" w:firstLineChars="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推进信用创新应用</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形成具有首都特色的供应链金融数字确权新模式和实践案例，提升小微企业的信贷通过率达10%；城市码应用在国贸至燕郊、国贸至大厂、国贸至香河3条“定制快巴”往返线路、24辆大巴；开展保险替代现金或银行保函交纳旅游服务质量保证金工作，创新“信用+保险”产品应用，推进旅游信易保惠企服务，为全市旅行社行业释放约16.4亿元的流动性资金；信用医疗实现覆盖至北京市石景山区、东城区、密云区三个区，上线医疗机构20余家，全市已有超过23.09万常住居民申请开通信用医疗服务，累计服务患者34.29万人次，整体满意度92.8%。有力推动了各场景领域的信用数字化、科技化水平，为我市数字经济发展和信用服务业扩大开放起到了积极作用。</w:t>
      </w:r>
    </w:p>
    <w:p>
      <w:pPr>
        <w:pageBreakBefore w:val="0"/>
        <w:widowControl w:val="0"/>
        <w:numPr>
          <w:ilvl w:val="0"/>
          <w:numId w:val="1"/>
        </w:numPr>
        <w:kinsoku/>
        <w:wordWrap/>
        <w:overflowPunct/>
        <w:topLinePunct w:val="0"/>
        <w:autoSpaceDE/>
        <w:autoSpaceDN/>
        <w:bidi w:val="0"/>
        <w:adjustRightInd w:val="0"/>
        <w:snapToGrid w:val="0"/>
        <w:spacing w:line="560" w:lineRule="exact"/>
        <w:ind w:left="-10" w:leftChars="0" w:firstLine="640" w:firstLineChars="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帮助企业尽快实现信用修复</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在修复工作方面，做到了事前培训、事中辅导、事后总结，可实现当月百分百修复审核完结，助力企业信用建设。对确因疫情防控原因受到一般处罚的25家企业实施信用豁免，在全国率先实现破产重整企业信用修复协同机制。</w:t>
      </w:r>
    </w:p>
    <w:p>
      <w:pPr>
        <w:pStyle w:val="4"/>
        <w:pageBreakBefore w:val="0"/>
        <w:widowControl w:val="0"/>
        <w:kinsoku/>
        <w:wordWrap/>
        <w:overflowPunct/>
        <w:topLinePunct w:val="0"/>
        <w:autoSpaceDE/>
        <w:autoSpaceDN/>
        <w:bidi w:val="0"/>
        <w:adjustRightInd w:val="0"/>
        <w:snapToGrid w:val="0"/>
        <w:spacing w:before="0" w:after="0" w:line="560" w:lineRule="exact"/>
        <w:ind w:leftChars="0" w:firstLine="640" w:firstLineChars="200"/>
        <w:textAlignment w:val="auto"/>
        <w:rPr>
          <w:rFonts w:ascii="楷体" w:hAnsi="楷体" w:eastAsia="楷体"/>
          <w:b w:val="0"/>
          <w:bCs w:val="0"/>
          <w:highlight w:val="none"/>
        </w:rPr>
      </w:pPr>
      <w:bookmarkStart w:id="6" w:name="_Toc32245"/>
      <w:r>
        <w:rPr>
          <w:rFonts w:hint="eastAsia" w:ascii="楷体" w:hAnsi="楷体" w:eastAsia="楷体"/>
          <w:b w:val="0"/>
          <w:bCs w:val="0"/>
          <w:highlight w:val="none"/>
        </w:rPr>
        <w:t>（二）效果实现情况分析</w:t>
      </w:r>
      <w:bookmarkEnd w:id="6"/>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ascii="仿宋_GB2312" w:hAnsi="仿宋" w:eastAsia="仿宋_GB2312"/>
          <w:bCs/>
          <w:sz w:val="32"/>
          <w:szCs w:val="32"/>
          <w:highlight w:val="none"/>
        </w:rPr>
      </w:pPr>
      <w:r>
        <w:rPr>
          <w:rFonts w:hint="eastAsia" w:ascii="仿宋_GB2312" w:hAnsi="仿宋" w:eastAsia="仿宋_GB2312"/>
          <w:bCs/>
          <w:sz w:val="32"/>
          <w:szCs w:val="32"/>
          <w:highlight w:val="none"/>
          <w:lang w:val="en-US" w:eastAsia="zh-CN"/>
        </w:rPr>
        <w:t>2022年，</w:t>
      </w:r>
      <w:r>
        <w:rPr>
          <w:rFonts w:hint="eastAsia" w:ascii="仿宋_GB2312" w:hAnsi="仿宋" w:eastAsia="仿宋_GB2312"/>
          <w:bCs/>
          <w:sz w:val="32"/>
          <w:szCs w:val="32"/>
          <w:highlight w:val="none"/>
        </w:rPr>
        <w:t>在市委市政府的坚强领导下，在</w:t>
      </w:r>
      <w:r>
        <w:rPr>
          <w:rFonts w:hint="eastAsia" w:ascii="仿宋_GB2312" w:hAnsi="仿宋" w:eastAsia="仿宋_GB2312"/>
          <w:bCs/>
          <w:sz w:val="32"/>
          <w:szCs w:val="32"/>
          <w:highlight w:val="none"/>
          <w:lang w:eastAsia="zh-CN"/>
        </w:rPr>
        <w:t>各兄弟</w:t>
      </w:r>
      <w:r>
        <w:rPr>
          <w:rFonts w:hint="eastAsia" w:ascii="仿宋_GB2312" w:hAnsi="仿宋" w:eastAsia="仿宋_GB2312"/>
          <w:bCs/>
          <w:sz w:val="32"/>
          <w:szCs w:val="32"/>
          <w:highlight w:val="none"/>
        </w:rPr>
        <w:t>部门的支持配合下</w:t>
      </w:r>
      <w:r>
        <w:rPr>
          <w:rFonts w:hint="eastAsia" w:ascii="仿宋_GB2312" w:hAnsi="仿宋" w:eastAsia="仿宋_GB2312"/>
          <w:bCs/>
          <w:sz w:val="32"/>
          <w:szCs w:val="32"/>
          <w:highlight w:val="none"/>
          <w:lang w:eastAsia="zh-CN"/>
        </w:rPr>
        <w:t>，我局团结一心、迎难而上，各项工作取得明显成效，社会效益显著。</w:t>
      </w:r>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 w:eastAsia="仿宋_GB2312"/>
          <w:bCs/>
          <w:sz w:val="32"/>
          <w:szCs w:val="32"/>
          <w:highlight w:val="none"/>
        </w:rPr>
      </w:pPr>
      <w:r>
        <w:rPr>
          <w:rFonts w:hint="eastAsia" w:ascii="仿宋_GB2312" w:hAnsi="仿宋" w:eastAsia="仿宋_GB2312"/>
          <w:bCs/>
          <w:sz w:val="32"/>
          <w:szCs w:val="32"/>
          <w:highlight w:val="none"/>
          <w:lang w:val="en-US" w:eastAsia="zh-CN"/>
        </w:rPr>
        <w:t>1</w:t>
      </w:r>
      <w:r>
        <w:rPr>
          <w:rFonts w:hint="eastAsia" w:ascii="仿宋_GB2312" w:hAnsi="仿宋" w:eastAsia="仿宋_GB2312"/>
          <w:bCs/>
          <w:sz w:val="32"/>
          <w:szCs w:val="32"/>
          <w:highlight w:val="none"/>
        </w:rPr>
        <w:t>.社会效益</w:t>
      </w:r>
      <w:r>
        <w:rPr>
          <w:rFonts w:hint="eastAsia" w:ascii="仿宋_GB2312" w:hAnsi="仿宋" w:eastAsia="仿宋_GB2312"/>
          <w:bCs/>
          <w:sz w:val="32"/>
          <w:szCs w:val="32"/>
          <w:highlight w:val="none"/>
          <w:lang w:val="en-US" w:eastAsia="zh-CN"/>
        </w:rPr>
        <w:t>实现情况</w:t>
      </w:r>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 w:eastAsia="仿宋_GB2312"/>
          <w:bCs/>
          <w:sz w:val="32"/>
          <w:szCs w:val="32"/>
          <w:highlight w:val="none"/>
        </w:rPr>
      </w:pPr>
      <w:r>
        <w:rPr>
          <w:rFonts w:hint="eastAsia" w:ascii="仿宋_GB2312" w:hAnsi="仿宋" w:eastAsia="仿宋_GB2312"/>
          <w:bCs/>
          <w:sz w:val="32"/>
          <w:szCs w:val="32"/>
          <w:highlight w:val="none"/>
        </w:rPr>
        <w:t>一是全力投入疫情防控，</w:t>
      </w:r>
      <w:r>
        <w:rPr>
          <w:rFonts w:hint="eastAsia" w:ascii="仿宋_GB2312" w:hAnsi="仿宋" w:eastAsia="仿宋_GB2312"/>
          <w:bCs/>
          <w:sz w:val="32"/>
          <w:szCs w:val="32"/>
          <w:highlight w:val="none"/>
          <w:lang w:val="en-US" w:eastAsia="zh-CN"/>
        </w:rPr>
        <w:t>有力保障</w:t>
      </w:r>
      <w:r>
        <w:rPr>
          <w:rFonts w:hint="eastAsia" w:ascii="仿宋_GB2312" w:hAnsi="仿宋" w:eastAsia="仿宋_GB2312"/>
          <w:sz w:val="32"/>
          <w:szCs w:val="32"/>
          <w:highlight w:val="none"/>
        </w:rPr>
        <w:t>疫情防控和复工复产</w:t>
      </w:r>
      <w:r>
        <w:rPr>
          <w:rFonts w:hint="eastAsia" w:ascii="仿宋_GB2312" w:hAnsi="仿宋" w:eastAsia="仿宋_GB2312"/>
          <w:bCs/>
          <w:sz w:val="32"/>
          <w:szCs w:val="32"/>
          <w:highlight w:val="none"/>
        </w:rPr>
        <w:t>。</w:t>
      </w:r>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 w:eastAsia="仿宋_GB2312"/>
          <w:bCs/>
          <w:sz w:val="32"/>
          <w:szCs w:val="32"/>
          <w:highlight w:val="none"/>
        </w:rPr>
      </w:pPr>
      <w:r>
        <w:rPr>
          <w:rFonts w:hint="eastAsia" w:ascii="仿宋_GB2312" w:hAnsi="仿宋_GB2312" w:eastAsia="仿宋_GB2312" w:cs="仿宋_GB2312"/>
          <w:sz w:val="32"/>
          <w:szCs w:val="32"/>
          <w:lang w:eastAsia="zh-Hans"/>
        </w:rPr>
        <w:t>以信息化手段助力科学防疫，“健康宝”</w:t>
      </w:r>
      <w:r>
        <w:rPr>
          <w:rFonts w:hint="default" w:ascii="仿宋_GB2312" w:hAnsi="仿宋_GB2312" w:eastAsia="仿宋_GB2312" w:cs="仿宋_GB2312"/>
          <w:sz w:val="32"/>
          <w:szCs w:val="32"/>
          <w:lang w:eastAsia="zh-Hans"/>
        </w:rPr>
        <w:t>跟随疫情防控形势变化，快速响应，</w:t>
      </w:r>
      <w:r>
        <w:rPr>
          <w:rFonts w:hint="eastAsia" w:ascii="仿宋_GB2312" w:hAnsi="仿宋_GB2312" w:eastAsia="仿宋_GB2312" w:cs="仿宋_GB2312"/>
          <w:sz w:val="32"/>
          <w:szCs w:val="32"/>
          <w:lang w:eastAsia="zh-Hans"/>
        </w:rPr>
        <w:t>年内完成</w:t>
      </w:r>
      <w:r>
        <w:rPr>
          <w:rFonts w:hint="default" w:ascii="仿宋_GB2312" w:hAnsi="仿宋_GB2312" w:eastAsia="仿宋_GB2312" w:cs="仿宋_GB2312"/>
          <w:sz w:val="32"/>
          <w:szCs w:val="32"/>
          <w:lang w:eastAsia="zh-Hans"/>
        </w:rPr>
        <w:t>10</w:t>
      </w:r>
      <w:r>
        <w:rPr>
          <w:rFonts w:hint="eastAsia" w:ascii="仿宋_GB2312" w:hAnsi="仿宋_GB2312" w:eastAsia="仿宋_GB2312" w:cs="仿宋_GB2312"/>
          <w:sz w:val="32"/>
          <w:szCs w:val="32"/>
          <w:lang w:eastAsia="zh-Hans"/>
        </w:rPr>
        <w:t>次版本升级</w:t>
      </w:r>
      <w:r>
        <w:rPr>
          <w:rFonts w:hint="eastAsia" w:ascii="仿宋_GB2312" w:hAnsi="仿宋_GB2312" w:eastAsia="仿宋_GB2312" w:cs="仿宋_GB2312"/>
          <w:sz w:val="32"/>
          <w:szCs w:val="32"/>
        </w:rPr>
        <w:t>，实现健康状态、核酸、疫苗三合一查询等多种便民功能。依托“京办”接入防疫一体化平台等多个防疫系统，实现市、区、街、居四级联动，持续支撑病例流调、社区排查管控、风险人员转运、隔离点管理、疫情监测评估等多个业务应用</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组织一体化皮基站系统平台搭建和测试验证，全球首次实现区域内所有运营商通信网络的共建共享和信息互联互通</w:t>
      </w:r>
      <w:r>
        <w:rPr>
          <w:rFonts w:hint="eastAsia" w:ascii="仿宋_GB2312" w:hAnsi="仿宋_GB2312" w:eastAsia="仿宋_GB2312" w:cs="仿宋_GB2312"/>
          <w:color w:val="000000"/>
          <w:sz w:val="32"/>
          <w:szCs w:val="32"/>
        </w:rPr>
        <w:t>。</w:t>
      </w:r>
      <w:r>
        <w:rPr>
          <w:rFonts w:hint="eastAsia" w:ascii="仿宋_GB2312" w:eastAsia="仿宋_GB2312"/>
          <w:sz w:val="32"/>
          <w:szCs w:val="32"/>
        </w:rPr>
        <w:t>以医用防疫物资生产保障为重点，</w:t>
      </w:r>
      <w:r>
        <w:rPr>
          <w:rFonts w:ascii="仿宋_GB2312" w:eastAsia="仿宋_GB2312"/>
          <w:sz w:val="32"/>
          <w:szCs w:val="32"/>
        </w:rPr>
        <w:t>稳定核酸和抗原试剂生产，</w:t>
      </w:r>
      <w:r>
        <w:rPr>
          <w:rFonts w:hint="eastAsia" w:ascii="仿宋_GB2312" w:eastAsia="仿宋_GB2312"/>
          <w:bCs/>
          <w:sz w:val="32"/>
          <w:szCs w:val="32"/>
          <w:lang w:val="en-US" w:eastAsia="zh-CN"/>
        </w:rPr>
        <w:t>新型鼻喷疫苗批量用于本市紧急使用，解热镇痛药物产量短期提升4倍，呼吸机、监护仪等重症设备实现了本地保供，口罩、防护服等物资保障平稳有力</w:t>
      </w:r>
      <w:r>
        <w:rPr>
          <w:rFonts w:hint="default" w:ascii="仿宋_GB2312" w:eastAsia="仿宋_GB2312"/>
          <w:bCs/>
          <w:sz w:val="32"/>
          <w:szCs w:val="32"/>
          <w:lang w:eastAsia="zh-CN"/>
        </w:rPr>
        <w:t>。</w:t>
      </w:r>
      <w:r>
        <w:rPr>
          <w:rFonts w:hint="eastAsia" w:ascii="仿宋_GB2312" w:hAnsi="仿宋_GB2312" w:eastAsia="仿宋_GB2312" w:cs="仿宋_GB2312"/>
          <w:sz w:val="32"/>
          <w:szCs w:val="32"/>
        </w:rPr>
        <w:t>全面系统指导行业防疫工作，</w:t>
      </w:r>
      <w:r>
        <w:rPr>
          <w:rFonts w:hint="eastAsia" w:ascii="仿宋_GB2312" w:hAnsi="仿宋_GB2312" w:eastAsia="仿宋_GB2312" w:cs="仿宋_GB2312"/>
          <w:sz w:val="32"/>
          <w:szCs w:val="32"/>
          <w:lang w:eastAsia="zh-CN"/>
        </w:rPr>
        <w:t>累计</w:t>
      </w:r>
      <w:r>
        <w:rPr>
          <w:rFonts w:hint="eastAsia" w:ascii="仿宋_GB2312" w:hAnsi="仿宋_GB2312" w:eastAsia="仿宋_GB2312" w:cs="仿宋_GB2312"/>
          <w:sz w:val="32"/>
          <w:szCs w:val="32"/>
        </w:rPr>
        <w:t>制定印发1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版《北京市工业和软件信息服务业企业疫情防控指引》，围绕建立基础信息台账、加强食品冷链疫情防控、强化进口非冷链货品防疫管理等关键环节印发文件近40份，累计走访督导企业约1000家次，及时妥善处置30起工业和软件信息服务业领域涉疫事件。建立“跨省协调、部市协调、高位协调”三个机制，将854家企业纳入国家、市、区三级工业重点保供企业“白名单”，协调解决我市重点企业产业链供应链1000余项复工复产问题，办理车证超10万辆次，数量居全市各行业首位</w:t>
      </w:r>
      <w:r>
        <w:rPr>
          <w:rFonts w:hint="eastAsia" w:ascii="仿宋_GB2312" w:hAnsi="仿宋" w:eastAsia="仿宋_GB2312"/>
          <w:bCs/>
          <w:sz w:val="32"/>
          <w:szCs w:val="32"/>
          <w:highlight w:val="none"/>
        </w:rPr>
        <w:t>。</w:t>
      </w:r>
    </w:p>
    <w:p>
      <w:pPr>
        <w:spacing w:line="560" w:lineRule="exact"/>
        <w:ind w:firstLine="640" w:firstLineChars="200"/>
        <w:textAlignment w:val="center"/>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二是产业创新发展水平不断提升。</w:t>
      </w:r>
    </w:p>
    <w:p>
      <w:pPr>
        <w:spacing w:line="560" w:lineRule="exact"/>
        <w:ind w:firstLine="640" w:firstLineChars="200"/>
        <w:textAlignment w:val="center"/>
        <w:rPr>
          <w:rFonts w:hint="eastAsia" w:ascii="仿宋_GB2312" w:hAnsi="黑体" w:eastAsia="仿宋_GB2312" w:cs="Times New Roman"/>
          <w:kern w:val="2"/>
          <w:sz w:val="32"/>
          <w:szCs w:val="32"/>
          <w:lang w:val="en-US" w:eastAsia="zh-CN" w:bidi="ar-SA"/>
        </w:rPr>
      </w:pPr>
      <w:r>
        <w:rPr>
          <w:rFonts w:hint="eastAsia" w:ascii="仿宋_GB2312" w:hAnsi="黑体" w:eastAsia="仿宋_GB2312" w:cs="Times New Roman"/>
          <w:kern w:val="2"/>
          <w:sz w:val="32"/>
          <w:szCs w:val="32"/>
          <w:lang w:val="en-US" w:eastAsia="zh-CN" w:bidi="ar-SA"/>
        </w:rPr>
        <w:t>全面落实国际科技创新中心建设任务，围绕创新产业集群和制造业高质量发展，引导“三城”科技成果向“一区”转化152项。启动高精尖产业“筑基工程”，鼓励“揭榜挂帅”，加快信息技术、智能制造等领域自主创新攻关。加快实施集成电路重大工程和创新项目，初步建成国内水平最高的集成电路综合攻关和验证平台，拥有GPU、CPU、</w:t>
      </w:r>
      <w:r>
        <w:rPr>
          <w:rFonts w:hint="eastAsia" w:ascii="仿宋_GB2312" w:hAnsi="黑体" w:eastAsia="仿宋_GB2312" w:cs="Times New Roman"/>
          <w:kern w:val="2"/>
          <w:sz w:val="32"/>
          <w:szCs w:val="32"/>
          <w:lang w:val="en-US" w:eastAsia="zh-Hans" w:bidi="ar-SA"/>
        </w:rPr>
        <w:t>存储器</w:t>
      </w:r>
      <w:r>
        <w:rPr>
          <w:rFonts w:hint="eastAsia" w:ascii="仿宋_GB2312" w:hAnsi="黑体" w:eastAsia="仿宋_GB2312" w:cs="Times New Roman"/>
          <w:kern w:val="2"/>
          <w:sz w:val="32"/>
          <w:szCs w:val="32"/>
          <w:lang w:val="en-US" w:eastAsia="zh-CN" w:bidi="ar-SA"/>
        </w:rPr>
        <w:t>等</w:t>
      </w:r>
      <w:r>
        <w:rPr>
          <w:rFonts w:hint="eastAsia" w:ascii="仿宋_GB2312" w:hAnsi="黑体" w:eastAsia="仿宋_GB2312" w:cs="Times New Roman"/>
          <w:kern w:val="2"/>
          <w:sz w:val="32"/>
          <w:szCs w:val="32"/>
          <w:lang w:val="en-US" w:eastAsia="zh-Hans" w:bidi="ar-SA"/>
        </w:rPr>
        <w:t>高端战略产品</w:t>
      </w:r>
      <w:r>
        <w:rPr>
          <w:rFonts w:hint="eastAsia" w:ascii="仿宋_GB2312" w:hAnsi="黑体" w:eastAsia="仿宋_GB2312" w:cs="Times New Roman"/>
          <w:kern w:val="2"/>
          <w:sz w:val="32"/>
          <w:szCs w:val="32"/>
          <w:lang w:val="en-US" w:eastAsia="zh-CN" w:bidi="ar-SA"/>
        </w:rPr>
        <w:t>设计和</w:t>
      </w:r>
      <w:r>
        <w:rPr>
          <w:rFonts w:hint="eastAsia" w:ascii="仿宋_GB2312" w:hAnsi="黑体" w:eastAsia="仿宋_GB2312" w:cs="Times New Roman"/>
          <w:kern w:val="2"/>
          <w:sz w:val="32"/>
          <w:szCs w:val="32"/>
          <w:lang w:val="en-US" w:eastAsia="zh-Hans" w:bidi="ar-SA"/>
        </w:rPr>
        <w:t>28/14纳米成套工艺研发能力最强的创新团队</w:t>
      </w:r>
      <w:r>
        <w:rPr>
          <w:rFonts w:hint="eastAsia" w:ascii="仿宋_GB2312" w:hAnsi="黑体" w:eastAsia="仿宋_GB2312" w:cs="Times New Roman"/>
          <w:kern w:val="2"/>
          <w:sz w:val="32"/>
          <w:szCs w:val="32"/>
          <w:lang w:val="en-US" w:eastAsia="zh-CN" w:bidi="ar-SA"/>
        </w:rPr>
        <w:t>，成为全国半导体领域最重要的科技创新和产业集聚区之一。出台生物医药全产业链开放实施方案，2款新冠治疗特效药物在京实现产业化，新冠变异株疫苗率先进入临床阶段，形成国内最大的疫苗产业集群，获批创新医疗器械数量领跑全国，产业化落地一批一类新药，推动北京成为创新药研发策源地。推进固态电池、燃料电池、自动驾驶等技术迭代升级，形成了卤化物固态电解质、智能网联汽车计算基础平台等创新成果。创新推动新材料产业发展，持续发布重点新材料首批次应用示范奖励政策，支持高性能靶材、碳化硅单晶衬底等34个新材料产品实现首批次示范应用。</w:t>
      </w:r>
      <w:r>
        <w:rPr>
          <w:rFonts w:hint="eastAsia" w:ascii="仿宋_GB2312" w:hAnsi="仿宋_GB2312" w:eastAsia="仿宋_GB2312" w:cs="仿宋_GB2312"/>
          <w:kern w:val="2"/>
          <w:sz w:val="32"/>
          <w:szCs w:val="32"/>
          <w:lang w:val="en-US" w:eastAsia="zh-CN" w:bidi="ar-SA"/>
        </w:rPr>
        <w:t>“谷神星一号”</w:t>
      </w:r>
      <w:r>
        <w:rPr>
          <w:rFonts w:hint="default" w:ascii="仿宋_GB2312" w:hAnsi="黑体" w:eastAsia="仿宋_GB2312" w:cs="Times New Roman"/>
          <w:kern w:val="2"/>
          <w:sz w:val="32"/>
          <w:szCs w:val="32"/>
          <w:lang w:val="en-US" w:eastAsia="zh-CN" w:bidi="ar-SA"/>
        </w:rPr>
        <w:t>实现民营火箭发射“五连胜”，多型火箭研制发射齐头并进。</w:t>
      </w:r>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三是产业协同发展持续深化。</w:t>
      </w:r>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开展“强链补链”行动，支持北京奔驰、亿华通等18家龙头企业带动京津冀地区36家配套企业首次入链进体系。京津冀燃料电池汽车示范城市群第一年度燃料电池汽车上牌1239辆，超额完成年度推广任务。京津冀生命健康产业集群创建实现突破，11家企业挂牌上市，引进产业创新人才47名，CDMO平台投用增强了成果转化能力。三地经信部门签署《共建先进制造业集群，共推产业协同发展战略合作协议》。京津冀工业互联网协同发展示范区获工信部批复。京津冀晋信用主管部门共同发布全国首个信用区域标准《京津冀晋企业公共信用综合评价等级标准》和《京津冀晋公共信用信息共享目录（2022年版）》。</w:t>
      </w:r>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lang w:val="en-US" w:eastAsia="zh-CN"/>
        </w:rPr>
        <w:t>四是企业服务培育体系更加完善</w:t>
      </w:r>
      <w:r>
        <w:rPr>
          <w:rFonts w:hint="eastAsia" w:ascii="仿宋_GB2312" w:hAnsi="仿宋" w:eastAsia="仿宋_GB2312"/>
          <w:sz w:val="32"/>
          <w:szCs w:val="32"/>
          <w:highlight w:val="none"/>
        </w:rPr>
        <w:t>。</w:t>
      </w:r>
    </w:p>
    <w:p>
      <w:pPr>
        <w:pageBreakBefore w:val="0"/>
        <w:widowControl w:val="0"/>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 w:eastAsia="仿宋_GB2312"/>
          <w:sz w:val="32"/>
          <w:szCs w:val="32"/>
          <w:highlight w:val="yellow"/>
        </w:rPr>
      </w:pPr>
      <w:r>
        <w:rPr>
          <w:rFonts w:hint="eastAsia" w:ascii="仿宋_GB2312" w:hAnsi="仿宋_GB2312" w:eastAsia="仿宋_GB2312" w:cs="仿宋_GB2312"/>
          <w:sz w:val="32"/>
          <w:szCs w:val="32"/>
        </w:rPr>
        <w:t>加大领导小组统筹协调力度，</w:t>
      </w:r>
      <w:r>
        <w:rPr>
          <w:rFonts w:hint="eastAsia" w:ascii="仿宋_GB2312" w:hAnsi="仿宋_GB2312" w:eastAsia="仿宋_GB2312" w:cs="仿宋_GB2312"/>
          <w:sz w:val="32"/>
        </w:rPr>
        <w:t>开展“一件事”集成服务，实现“高精尖”资金申报、“专精特新”企业认定、社保缓缴申请等10余项政策的“一体化”集成和快捷办理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szCs w:val="32"/>
          <w:lang w:eastAsia="zh-CN"/>
        </w:rPr>
        <w:t>认定一批特色鲜明、功能完善的示范平台和基地，</w:t>
      </w:r>
      <w:r>
        <w:rPr>
          <w:rFonts w:hint="eastAsia" w:ascii="仿宋_GB2312" w:hAnsi="仿宋_GB2312" w:eastAsia="仿宋_GB2312" w:cs="仿宋_GB2312"/>
          <w:sz w:val="32"/>
          <w:lang w:eastAsia="zh-CN"/>
        </w:rPr>
        <w:t>打造</w:t>
      </w:r>
      <w:r>
        <w:rPr>
          <w:rFonts w:hint="eastAsia" w:ascii="仿宋_GB2312" w:hAnsi="仿宋_GB2312" w:eastAsia="仿宋_GB2312" w:cs="仿宋_GB2312"/>
          <w:sz w:val="32"/>
        </w:rPr>
        <w:t>“创客北京”大赛</w:t>
      </w:r>
      <w:r>
        <w:rPr>
          <w:rFonts w:hint="eastAsia" w:ascii="仿宋_GB2312" w:hAnsi="仿宋_GB2312" w:eastAsia="仿宋_GB2312" w:cs="仿宋_GB2312"/>
          <w:sz w:val="32"/>
          <w:lang w:eastAsia="zh-CN"/>
        </w:rPr>
        <w:t>品牌</w:t>
      </w:r>
      <w:r>
        <w:rPr>
          <w:rFonts w:hint="eastAsia" w:ascii="仿宋_GB2312" w:hAnsi="仿宋_GB2312" w:eastAsia="仿宋_GB2312" w:cs="仿宋_GB2312"/>
          <w:sz w:val="32"/>
        </w:rPr>
        <w:t>，线上线下开展</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一起益企、中小企业服务月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等活动超4000场，累计服务企业超200万家次</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建成全市中小企业基础数据库，累计汇聚数据超19.2亿条。</w:t>
      </w:r>
      <w:r>
        <w:rPr>
          <w:rFonts w:hint="eastAsia" w:ascii="仿宋_GB2312" w:hAnsi="仿宋_GB2312" w:eastAsia="仿宋_GB2312" w:cs="仿宋_GB2312"/>
          <w:sz w:val="32"/>
          <w:lang w:bidi="ar"/>
        </w:rPr>
        <w:t>搭建“专精特新融通发展”平台，提供大中小企业供需对接服务，400多家专精特新企业、100多家大型企业注册。</w:t>
      </w:r>
      <w:r>
        <w:rPr>
          <w:rFonts w:hint="eastAsia" w:ascii="仿宋_GB2312" w:hAnsi="仿宋_GB2312" w:eastAsia="仿宋_GB2312" w:cs="仿宋_GB2312"/>
          <w:sz w:val="32"/>
          <w:lang w:eastAsia="zh-CN" w:bidi="ar"/>
        </w:rPr>
        <w:t>推进</w:t>
      </w:r>
      <w:r>
        <w:rPr>
          <w:rFonts w:hint="default" w:ascii="仿宋_GB2312" w:hAnsi="仿宋_GB2312" w:eastAsia="仿宋_GB2312" w:cs="仿宋_GB2312"/>
          <w:sz w:val="32"/>
          <w:lang w:bidi="ar"/>
        </w:rPr>
        <w:t>营商环境</w:t>
      </w:r>
      <w:r>
        <w:rPr>
          <w:rFonts w:hint="eastAsia" w:ascii="仿宋_GB2312" w:hAnsi="仿宋_GB2312" w:eastAsia="仿宋_GB2312" w:cs="仿宋_GB2312"/>
          <w:sz w:val="32"/>
          <w:lang w:eastAsia="zh-CN" w:bidi="ar"/>
        </w:rPr>
        <w:t>优化改革，</w:t>
      </w:r>
      <w:r>
        <w:rPr>
          <w:rFonts w:hint="default" w:ascii="仿宋_GB2312" w:hAnsi="仿宋_GB2312" w:eastAsia="仿宋_GB2312" w:cs="仿宋_GB2312"/>
          <w:sz w:val="32"/>
          <w:lang w:bidi="ar"/>
        </w:rPr>
        <w:t>创新试点和5.0清单中牵头的36项任务全部完成。</w:t>
      </w:r>
      <w:r>
        <w:rPr>
          <w:rFonts w:hint="eastAsia" w:ascii="仿宋_GB2312" w:hAnsi="仿宋_GB2312" w:eastAsia="仿宋_GB2312" w:cs="仿宋_GB2312"/>
          <w:sz w:val="32"/>
          <w:lang w:eastAsia="zh-CN" w:bidi="ar"/>
        </w:rPr>
        <w:t>组织</w:t>
      </w:r>
      <w:r>
        <w:rPr>
          <w:rFonts w:hint="eastAsia" w:ascii="仿宋_GB2312" w:hAnsi="仿宋_GB2312" w:eastAsia="仿宋_GB2312" w:cs="仿宋_GB2312"/>
          <w:sz w:val="32"/>
        </w:rPr>
        <w:t>开展清欠专项行动，</w:t>
      </w:r>
      <w:r>
        <w:rPr>
          <w:rFonts w:hint="eastAsia" w:ascii="仿宋_GB2312" w:hAnsi="仿宋_GB2312" w:eastAsia="仿宋_GB2312" w:cs="仿宋_GB2312"/>
          <w:sz w:val="32"/>
          <w:lang w:eastAsia="zh-CN"/>
        </w:rPr>
        <w:t>累计为</w:t>
      </w:r>
      <w:r>
        <w:rPr>
          <w:rFonts w:hint="eastAsia" w:ascii="仿宋_GB2312" w:hAnsi="仿宋_GB2312" w:eastAsia="仿宋_GB2312" w:cs="仿宋_GB2312"/>
          <w:sz w:val="32"/>
          <w:lang w:val="en-US" w:eastAsia="zh-CN"/>
        </w:rPr>
        <w:t>1300多家中小企业</w:t>
      </w:r>
      <w:r>
        <w:rPr>
          <w:rFonts w:hint="eastAsia" w:ascii="仿宋_GB2312" w:hAnsi="仿宋_GB2312" w:eastAsia="仿宋_GB2312" w:cs="仿宋_GB2312"/>
          <w:sz w:val="32"/>
        </w:rPr>
        <w:t>化解欠款</w:t>
      </w:r>
      <w:r>
        <w:rPr>
          <w:rFonts w:hint="default" w:ascii="仿宋_GB2312" w:hAnsi="仿宋_GB2312" w:eastAsia="仿宋_GB2312" w:cs="仿宋_GB2312"/>
          <w:sz w:val="32"/>
        </w:rPr>
        <w:t>9.33</w:t>
      </w:r>
      <w:r>
        <w:rPr>
          <w:rFonts w:hint="eastAsia" w:ascii="仿宋_GB2312" w:hAnsi="仿宋_GB2312" w:eastAsia="仿宋_GB2312" w:cs="仿宋_GB2312"/>
          <w:sz w:val="32"/>
        </w:rPr>
        <w:t>亿元，化解进度</w:t>
      </w:r>
      <w:r>
        <w:rPr>
          <w:rFonts w:hint="default" w:ascii="仿宋_GB2312" w:hAnsi="仿宋_GB2312" w:eastAsia="仿宋_GB2312" w:cs="仿宋_GB2312"/>
          <w:sz w:val="32"/>
        </w:rPr>
        <w:t>92</w:t>
      </w:r>
      <w:r>
        <w:rPr>
          <w:rFonts w:hint="eastAsia" w:ascii="仿宋_GB2312" w:hAnsi="仿宋_GB2312" w:eastAsia="仿宋_GB2312" w:cs="仿宋_GB2312"/>
          <w:sz w:val="32"/>
        </w:rPr>
        <w:t>%，</w:t>
      </w:r>
      <w:r>
        <w:rPr>
          <w:rFonts w:hint="default" w:ascii="仿宋_GB2312" w:hAnsi="仿宋_GB2312" w:eastAsia="仿宋_GB2312" w:cs="仿宋_GB2312"/>
          <w:sz w:val="32"/>
        </w:rPr>
        <w:t>排名全国前列</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6.78亿元无分歧欠款100%化解完毕</w:t>
      </w:r>
      <w:r>
        <w:rPr>
          <w:rFonts w:hint="eastAsia" w:ascii="仿宋_GB2312" w:hAnsi="仿宋_GB2312" w:eastAsia="仿宋_GB2312" w:cs="仿宋_GB2312"/>
          <w:sz w:val="32"/>
        </w:rPr>
        <w:t>。加强企业梯队培育，新培育国家级制造业单项冠军企业（产品）18家，市级专精特新中小企业3248家，国家级专精特新“小巨人”企业333家</w:t>
      </w:r>
      <w:r>
        <w:rPr>
          <w:rFonts w:ascii="仿宋_GB2312" w:hAnsi="仿宋_GB2312" w:eastAsia="仿宋_GB2312" w:cs="仿宋_GB2312"/>
          <w:sz w:val="32"/>
        </w:rPr>
        <w:t>，</w:t>
      </w:r>
      <w:r>
        <w:rPr>
          <w:rFonts w:hint="eastAsia" w:ascii="仿宋_GB2312" w:hAnsi="仿宋_GB2312" w:eastAsia="仿宋_GB2312" w:cs="仿宋_GB2312"/>
          <w:sz w:val="32"/>
        </w:rPr>
        <w:t>国家级专精特新“小巨人”企业合计达到588家，居全国</w:t>
      </w:r>
      <w:r>
        <w:rPr>
          <w:rFonts w:hint="default" w:ascii="仿宋_GB2312" w:hAnsi="仿宋_GB2312" w:eastAsia="仿宋_GB2312" w:cs="仿宋_GB2312"/>
          <w:sz w:val="32"/>
        </w:rPr>
        <w:t>各</w:t>
      </w:r>
      <w:r>
        <w:rPr>
          <w:rFonts w:hint="eastAsia" w:ascii="仿宋_GB2312" w:hAnsi="仿宋_GB2312" w:eastAsia="仿宋_GB2312" w:cs="仿宋_GB2312"/>
          <w:sz w:val="32"/>
        </w:rPr>
        <w:t>城市首位。支持优质企业在北交所上市，开展“专精特新”企业上市、晋层、挂牌和储备“四大工程”，</w:t>
      </w:r>
      <w:r>
        <w:rPr>
          <w:rFonts w:hint="eastAsia" w:ascii="仿宋_GB2312" w:hAnsi="仿宋_GB2312" w:eastAsia="仿宋_GB2312" w:cs="仿宋_GB2312"/>
          <w:sz w:val="32"/>
          <w:szCs w:val="32"/>
          <w:lang w:eastAsia="zh-CN"/>
        </w:rPr>
        <w:t>贡献全市新增上市企业数量占比近六成</w:t>
      </w:r>
      <w:r>
        <w:rPr>
          <w:rFonts w:hint="eastAsia" w:ascii="仿宋_GB2312" w:hAnsi="仿宋_GB2312" w:eastAsia="仿宋_GB2312" w:cs="仿宋_GB2312"/>
          <w:sz w:val="32"/>
        </w:rPr>
        <w:t>。</w:t>
      </w:r>
      <w:r>
        <w:rPr>
          <w:rFonts w:hint="eastAsia" w:ascii="仿宋_GB2312" w:hAnsi="仿宋_GB2312" w:eastAsia="仿宋_GB2312" w:cs="仿宋_GB2312"/>
          <w:sz w:val="32"/>
          <w:szCs w:val="32"/>
        </w:rPr>
        <w:t>中小基金</w:t>
      </w:r>
      <w:r>
        <w:rPr>
          <w:rFonts w:hint="eastAsia" w:ascii="仿宋_GB2312" w:hAnsi="仿宋_GB2312" w:eastAsia="仿宋_GB2312" w:cs="仿宋_GB2312"/>
          <w:b w:val="0"/>
          <w:bCs w:val="0"/>
          <w:sz w:val="32"/>
          <w:szCs w:val="32"/>
          <w:lang w:val="en-US" w:eastAsia="zh-CN"/>
        </w:rPr>
        <w:t>累计投资1330家中小企业，出资28.57亿元，</w:t>
      </w:r>
      <w:r>
        <w:rPr>
          <w:rFonts w:hint="eastAsia" w:ascii="仿宋_GB2312" w:hAnsi="仿宋_GB2312" w:eastAsia="仿宋_GB2312" w:cs="仿宋_GB2312"/>
          <w:b w:val="0"/>
          <w:bCs w:val="0"/>
          <w:sz w:val="32"/>
          <w:szCs w:val="32"/>
          <w:lang w:eastAsia="zh-CN"/>
        </w:rPr>
        <w:t>撬动社会资本23</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lang w:eastAsia="zh-CN"/>
        </w:rPr>
        <w:t>.1亿元。</w:t>
      </w:r>
      <w:r>
        <w:rPr>
          <w:rFonts w:hint="eastAsia" w:ascii="仿宋_GB2312" w:hAnsi="仿宋_GB2312" w:eastAsia="仿宋_GB2312" w:cs="仿宋_GB2312"/>
          <w:sz w:val="32"/>
        </w:rPr>
        <w:t>对确因疫情防控原因受到一般处罚的2</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家企业实施信用豁免，在全国率先实现破产重整企业信用修复协同机制。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lang w:val="en-US" w:eastAsia="zh-CN"/>
        </w:rPr>
        <w:t>五是圆满完成冬奥服务保障</w:t>
      </w:r>
      <w:r>
        <w:rPr>
          <w:rFonts w:hint="eastAsia" w:ascii="仿宋_GB2312" w:hAnsi="仿宋" w:eastAsia="仿宋_GB2312"/>
          <w:sz w:val="32"/>
          <w:szCs w:val="32"/>
          <w:highlight w:val="none"/>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首都经信系统900余名工作者精诚团结、全力以赴，克服疫情防控形势严峻复杂、保障时间周期长、临时紧急任务多等诸多困难挑战，圆满完成保障任务，3个集体和13名个人获得省级表彰。赛会历史上首次实现宽窄带集群专网互联互通，跨地域异网指挥调度无障碍，网络呼叫次数、呼叫时长均创近年来重大活动保障新高。开创国内首例利用直升机完成重大国际赛事无线电安全保障工作的先例，实现了全方位、多手段、立体式的无线电监测全覆盖。</w:t>
      </w:r>
      <w:r>
        <w:rPr>
          <w:rFonts w:ascii="仿宋_GB2312" w:hAnsi="仿宋_GB2312" w:eastAsia="仿宋_GB2312" w:cs="仿宋_GB2312"/>
          <w:sz w:val="32"/>
          <w:szCs w:val="32"/>
        </w:rPr>
        <w:t>我市16家都市产业企业为冬奥服务保障做出重要贡献，涵盖肉制品、乳制品、矿泉水、饮料等食品保供及运动营养、工艺美术等。</w:t>
      </w:r>
      <w:r>
        <w:rPr>
          <w:rFonts w:hint="eastAsia" w:ascii="仿宋_GB2312" w:hAnsi="仿宋_GB2312" w:eastAsia="仿宋_GB2312" w:cs="仿宋_GB2312"/>
          <w:sz w:val="32"/>
          <w:szCs w:val="32"/>
        </w:rPr>
        <w:t>高质量完成5G+8K超高清视频示范、氢燃料电池汽车示范运营、自主知识产权高密合度防护口罩、石墨烯发热材料、冬奥APP等科技冬奥项目。通过科技冬奥应用，本市率先建成全球最大规模城市级8K立体播放体系，率先验证了“5G+8K”的科技和产业能力，</w:t>
      </w:r>
      <w:r>
        <w:rPr>
          <w:rFonts w:hint="default" w:ascii="仿宋_GB2312" w:hAnsi="仿宋_GB2312" w:eastAsia="仿宋_GB2312" w:cs="仿宋_GB2312"/>
          <w:sz w:val="32"/>
          <w:szCs w:val="32"/>
        </w:rPr>
        <w:t>初步</w:t>
      </w:r>
      <w:r>
        <w:rPr>
          <w:rFonts w:hint="eastAsia" w:ascii="仿宋_GB2312" w:eastAsia="仿宋_GB2312"/>
          <w:bCs/>
          <w:sz w:val="32"/>
          <w:szCs w:val="32"/>
        </w:rPr>
        <w:t>构建起氢源保障、储用运输等方面氢能多元化应用生态</w:t>
      </w:r>
      <w:r>
        <w:rPr>
          <w:rFonts w:hint="eastAsia" w:ascii="仿宋_GB2312" w:hAnsi="仿宋_GB2312" w:eastAsia="仿宋_GB2312" w:cs="仿宋_GB2312"/>
          <w:sz w:val="32"/>
          <w:szCs w:val="32"/>
        </w:rPr>
        <w:t>。</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bCs/>
          <w:sz w:val="32"/>
          <w:szCs w:val="32"/>
          <w:highlight w:val="none"/>
          <w:lang w:eastAsia="zh-CN"/>
        </w:rPr>
      </w:pPr>
      <w:r>
        <w:rPr>
          <w:rFonts w:hint="default" w:ascii="Times New Roman" w:hAnsi="Times New Roman" w:eastAsia="仿宋_GB2312" w:cs="Times New Roman"/>
          <w:bCs/>
          <w:sz w:val="32"/>
          <w:szCs w:val="32"/>
          <w:highlight w:val="none"/>
          <w:lang w:val="en-US" w:eastAsia="zh-CN"/>
        </w:rPr>
        <w:t>2</w:t>
      </w:r>
      <w:r>
        <w:rPr>
          <w:rFonts w:hint="default" w:ascii="Times New Roman" w:hAnsi="Times New Roman" w:eastAsia="仿宋_GB2312" w:cs="Times New Roman"/>
          <w:bCs/>
          <w:sz w:val="32"/>
          <w:szCs w:val="32"/>
          <w:highlight w:val="none"/>
          <w:lang w:eastAsia="zh-CN"/>
        </w:rPr>
        <w:t>.服务对象满意度</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bCs/>
          <w:sz w:val="32"/>
          <w:szCs w:val="32"/>
          <w:highlight w:val="yellow"/>
          <w:lang w:eastAsia="zh-CN"/>
        </w:rPr>
      </w:pPr>
      <w:r>
        <w:rPr>
          <w:rFonts w:hint="default" w:ascii="Times New Roman" w:hAnsi="Times New Roman" w:eastAsia="仿宋_GB2312" w:cs="Times New Roman"/>
          <w:bCs/>
          <w:sz w:val="32"/>
          <w:szCs w:val="32"/>
          <w:highlight w:val="none"/>
          <w:lang w:eastAsia="zh-CN"/>
        </w:rPr>
        <w:t>北京市人民政府办公厅对我局202</w:t>
      </w:r>
      <w:r>
        <w:rPr>
          <w:rFonts w:hint="default" w:ascii="Times New Roman" w:hAnsi="Times New Roman" w:eastAsia="仿宋_GB2312" w:cs="Times New Roman"/>
          <w:bCs/>
          <w:sz w:val="32"/>
          <w:szCs w:val="32"/>
          <w:highlight w:val="none"/>
          <w:lang w:val="en-US" w:eastAsia="zh-CN"/>
        </w:rPr>
        <w:t>2</w:t>
      </w:r>
      <w:r>
        <w:rPr>
          <w:rFonts w:hint="default" w:ascii="Times New Roman" w:hAnsi="Times New Roman" w:eastAsia="仿宋_GB2312" w:cs="Times New Roman"/>
          <w:bCs/>
          <w:sz w:val="32"/>
          <w:szCs w:val="32"/>
          <w:highlight w:val="none"/>
          <w:lang w:eastAsia="zh-CN"/>
        </w:rPr>
        <w:t>年的绩效考评结果为</w:t>
      </w:r>
      <w:r>
        <w:rPr>
          <w:rFonts w:hint="default" w:ascii="Times New Roman" w:hAnsi="Times New Roman" w:eastAsia="仿宋_GB2312" w:cs="Times New Roman"/>
          <w:bCs/>
          <w:sz w:val="32"/>
          <w:szCs w:val="32"/>
          <w:highlight w:val="none"/>
          <w:lang w:val="en-US" w:eastAsia="zh-CN"/>
        </w:rPr>
        <w:t>96.84</w:t>
      </w:r>
      <w:r>
        <w:rPr>
          <w:rFonts w:hint="default" w:ascii="Times New Roman" w:hAnsi="Times New Roman" w:eastAsia="仿宋_GB2312" w:cs="Times New Roman"/>
          <w:bCs/>
          <w:sz w:val="32"/>
          <w:szCs w:val="32"/>
          <w:highlight w:val="none"/>
          <w:lang w:eastAsia="zh-CN"/>
        </w:rPr>
        <w:t>分，其中，日常履职考核</w:t>
      </w:r>
      <w:r>
        <w:rPr>
          <w:rFonts w:hint="default" w:ascii="Times New Roman" w:hAnsi="Times New Roman" w:eastAsia="仿宋_GB2312" w:cs="Times New Roman"/>
          <w:bCs/>
          <w:sz w:val="32"/>
          <w:szCs w:val="32"/>
          <w:highlight w:val="none"/>
          <w:lang w:val="en-US" w:eastAsia="zh-CN"/>
        </w:rPr>
        <w:t>59.80</w:t>
      </w:r>
      <w:r>
        <w:rPr>
          <w:rFonts w:hint="default" w:ascii="Times New Roman" w:hAnsi="Times New Roman" w:eastAsia="仿宋_GB2312" w:cs="Times New Roman"/>
          <w:bCs/>
          <w:sz w:val="32"/>
          <w:szCs w:val="32"/>
          <w:highlight w:val="none"/>
          <w:lang w:eastAsia="zh-CN"/>
        </w:rPr>
        <w:t>分</w:t>
      </w:r>
      <w:r>
        <w:rPr>
          <w:rFonts w:hint="eastAsia"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eastAsia="zh-CN"/>
        </w:rPr>
        <w:t>全市平均值</w:t>
      </w:r>
      <w:r>
        <w:rPr>
          <w:rFonts w:hint="default" w:ascii="Times New Roman" w:hAnsi="Times New Roman" w:eastAsia="仿宋_GB2312" w:cs="Times New Roman"/>
          <w:bCs/>
          <w:sz w:val="32"/>
          <w:szCs w:val="32"/>
          <w:highlight w:val="none"/>
          <w:lang w:val="en-US" w:eastAsia="zh-CN"/>
        </w:rPr>
        <w:t>59.30</w:t>
      </w:r>
      <w:r>
        <w:rPr>
          <w:rFonts w:hint="default" w:ascii="Times New Roman" w:hAnsi="Times New Roman" w:eastAsia="仿宋_GB2312" w:cs="Times New Roman"/>
          <w:bCs/>
          <w:sz w:val="32"/>
          <w:szCs w:val="32"/>
          <w:highlight w:val="none"/>
          <w:lang w:eastAsia="zh-CN"/>
        </w:rPr>
        <w:t>分</w:t>
      </w:r>
      <w:r>
        <w:rPr>
          <w:rFonts w:hint="eastAsia"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eastAsia="zh-CN"/>
        </w:rPr>
        <w:t>，综合评价</w:t>
      </w:r>
      <w:r>
        <w:rPr>
          <w:rFonts w:hint="default" w:ascii="Times New Roman" w:hAnsi="Times New Roman" w:eastAsia="仿宋_GB2312" w:cs="Times New Roman"/>
          <w:bCs/>
          <w:sz w:val="32"/>
          <w:szCs w:val="32"/>
          <w:highlight w:val="none"/>
          <w:lang w:val="en-US" w:eastAsia="zh-CN"/>
        </w:rPr>
        <w:t>37.44</w:t>
      </w:r>
      <w:r>
        <w:rPr>
          <w:rFonts w:hint="default" w:ascii="Times New Roman" w:hAnsi="Times New Roman" w:eastAsia="仿宋_GB2312" w:cs="Times New Roman"/>
          <w:bCs/>
          <w:sz w:val="32"/>
          <w:szCs w:val="32"/>
          <w:highlight w:val="none"/>
          <w:lang w:eastAsia="zh-CN"/>
        </w:rPr>
        <w:t>分</w:t>
      </w:r>
      <w:r>
        <w:rPr>
          <w:rFonts w:hint="eastAsia"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eastAsia="zh-CN"/>
        </w:rPr>
        <w:t>全市平均值</w:t>
      </w:r>
      <w:r>
        <w:rPr>
          <w:rFonts w:hint="default" w:ascii="Times New Roman" w:hAnsi="Times New Roman" w:eastAsia="仿宋_GB2312" w:cs="Times New Roman"/>
          <w:bCs/>
          <w:sz w:val="32"/>
          <w:szCs w:val="32"/>
          <w:highlight w:val="none"/>
          <w:lang w:val="en-US" w:eastAsia="zh-CN"/>
        </w:rPr>
        <w:t>37.21</w:t>
      </w:r>
      <w:r>
        <w:rPr>
          <w:rFonts w:hint="default" w:ascii="Times New Roman" w:hAnsi="Times New Roman" w:eastAsia="仿宋_GB2312" w:cs="Times New Roman"/>
          <w:bCs/>
          <w:sz w:val="32"/>
          <w:szCs w:val="32"/>
          <w:highlight w:val="none"/>
          <w:lang w:eastAsia="zh-CN"/>
        </w:rPr>
        <w:t>分</w:t>
      </w:r>
      <w:r>
        <w:rPr>
          <w:rFonts w:hint="eastAsia"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sz w:val="32"/>
          <w:szCs w:val="32"/>
          <w:highlight w:val="none"/>
          <w:lang w:eastAsia="zh-CN"/>
        </w:rPr>
        <w:t>扣分为</w:t>
      </w:r>
      <w:r>
        <w:rPr>
          <w:rFonts w:hint="default" w:ascii="Times New Roman" w:hAnsi="Times New Roman" w:eastAsia="仿宋_GB2312" w:cs="Times New Roman"/>
          <w:sz w:val="32"/>
          <w:szCs w:val="32"/>
          <w:highlight w:val="none"/>
          <w:lang w:val="en-US" w:eastAsia="zh-CN"/>
        </w:rPr>
        <w:t>0.4分</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bCs/>
          <w:sz w:val="32"/>
          <w:szCs w:val="32"/>
          <w:highlight w:val="none"/>
          <w:lang w:eastAsia="zh-CN"/>
        </w:rPr>
        <w:t>考评等次为“优秀”。北京市政府办公厅委托第三方调查机构，围绕市经济和信息化局全面履职总体情况进行调查，共有</w:t>
      </w:r>
      <w:r>
        <w:rPr>
          <w:rFonts w:hint="default" w:ascii="Times New Roman" w:hAnsi="Times New Roman" w:eastAsia="仿宋_GB2312" w:cs="Times New Roman"/>
          <w:bCs/>
          <w:sz w:val="32"/>
          <w:szCs w:val="32"/>
          <w:highlight w:val="none"/>
          <w:lang w:val="en-US" w:eastAsia="zh-CN"/>
        </w:rPr>
        <w:t>369</w:t>
      </w:r>
      <w:r>
        <w:rPr>
          <w:rFonts w:hint="default" w:ascii="Times New Roman" w:hAnsi="Times New Roman" w:eastAsia="仿宋_GB2312" w:cs="Times New Roman"/>
          <w:bCs/>
          <w:sz w:val="32"/>
          <w:szCs w:val="32"/>
          <w:highlight w:val="none"/>
          <w:lang w:eastAsia="zh-CN"/>
        </w:rPr>
        <w:t>位社会公众进行了网上评价，</w:t>
      </w:r>
      <w:r>
        <w:rPr>
          <w:rFonts w:hint="default" w:ascii="Times New Roman" w:hAnsi="Times New Roman" w:eastAsia="仿宋_GB2312" w:cs="Times New Roman"/>
          <w:sz w:val="32"/>
          <w:szCs w:val="32"/>
          <w:highlight w:val="none"/>
          <w:lang w:val="en-US" w:eastAsia="zh-CN"/>
        </w:rPr>
        <w:t>150</w:t>
      </w:r>
      <w:r>
        <w:rPr>
          <w:rFonts w:hint="default" w:ascii="Times New Roman" w:hAnsi="Times New Roman" w:eastAsia="仿宋_GB2312" w:cs="Times New Roman"/>
          <w:sz w:val="32"/>
          <w:szCs w:val="32"/>
          <w:highlight w:val="none"/>
        </w:rPr>
        <w:t>位</w:t>
      </w:r>
      <w:r>
        <w:rPr>
          <w:rFonts w:hint="default" w:ascii="Times New Roman" w:hAnsi="Times New Roman" w:eastAsia="仿宋_GB2312" w:cs="Times New Roman"/>
          <w:sz w:val="32"/>
          <w:szCs w:val="28"/>
          <w:highlight w:val="none"/>
        </w:rPr>
        <w:t>服务对象接受了电话调查</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sz w:val="32"/>
          <w:szCs w:val="28"/>
          <w:highlight w:val="none"/>
        </w:rPr>
        <w:t>经审核后选取有效样本</w:t>
      </w:r>
      <w:r>
        <w:rPr>
          <w:rFonts w:hint="default" w:ascii="Times New Roman" w:hAnsi="Times New Roman" w:eastAsia="仿宋_GB2312" w:cs="Times New Roman"/>
          <w:sz w:val="32"/>
          <w:szCs w:val="28"/>
          <w:highlight w:val="none"/>
          <w:lang w:val="en-US" w:eastAsia="zh-CN"/>
        </w:rPr>
        <w:t>350</w:t>
      </w:r>
      <w:r>
        <w:rPr>
          <w:rFonts w:hint="default" w:ascii="Times New Roman" w:hAnsi="Times New Roman" w:eastAsia="仿宋_GB2312" w:cs="Times New Roman"/>
          <w:sz w:val="32"/>
          <w:szCs w:val="28"/>
          <w:highlight w:val="none"/>
        </w:rPr>
        <w:t>人，其中社会公众</w:t>
      </w:r>
      <w:r>
        <w:rPr>
          <w:rFonts w:hint="default" w:ascii="Times New Roman" w:hAnsi="Times New Roman" w:eastAsia="仿宋_GB2312" w:cs="Times New Roman"/>
          <w:sz w:val="32"/>
          <w:szCs w:val="28"/>
          <w:highlight w:val="none"/>
          <w:lang w:val="en-US" w:eastAsia="zh-CN"/>
        </w:rPr>
        <w:t>200</w:t>
      </w:r>
      <w:r>
        <w:rPr>
          <w:rFonts w:hint="default" w:ascii="Times New Roman" w:hAnsi="Times New Roman" w:eastAsia="仿宋_GB2312" w:cs="Times New Roman"/>
          <w:sz w:val="32"/>
          <w:szCs w:val="28"/>
          <w:highlight w:val="none"/>
        </w:rPr>
        <w:t>人，服务对象</w:t>
      </w:r>
      <w:r>
        <w:rPr>
          <w:rFonts w:hint="default" w:ascii="Times New Roman" w:hAnsi="Times New Roman" w:eastAsia="仿宋_GB2312" w:cs="Times New Roman"/>
          <w:sz w:val="32"/>
          <w:szCs w:val="28"/>
          <w:highlight w:val="none"/>
          <w:lang w:val="en-US" w:eastAsia="zh-CN"/>
        </w:rPr>
        <w:t>150</w:t>
      </w:r>
      <w:r>
        <w:rPr>
          <w:rFonts w:hint="default" w:ascii="Times New Roman" w:hAnsi="Times New Roman" w:eastAsia="仿宋_GB2312" w:cs="Times New Roman"/>
          <w:sz w:val="32"/>
          <w:szCs w:val="28"/>
          <w:highlight w:val="none"/>
        </w:rPr>
        <w:t>人</w:t>
      </w:r>
      <w:r>
        <w:rPr>
          <w:rFonts w:hint="default" w:ascii="Times New Roman" w:hAnsi="Times New Roman" w:eastAsia="仿宋_GB2312" w:cs="Times New Roman"/>
          <w:bCs/>
          <w:sz w:val="32"/>
          <w:szCs w:val="32"/>
          <w:highlight w:val="none"/>
          <w:lang w:eastAsia="zh-CN"/>
        </w:rPr>
        <w:t>，经汇总分析，</w:t>
      </w:r>
      <w:r>
        <w:rPr>
          <w:rFonts w:hint="default" w:ascii="Times New Roman" w:hAnsi="Times New Roman" w:eastAsia="仿宋_GB2312" w:cs="Times New Roman"/>
          <w:bCs/>
          <w:sz w:val="32"/>
          <w:szCs w:val="32"/>
          <w:highlight w:val="none"/>
          <w:lang w:val="en-US" w:eastAsia="zh-CN"/>
        </w:rPr>
        <w:t>2022年</w:t>
      </w:r>
      <w:r>
        <w:rPr>
          <w:rFonts w:hint="default" w:ascii="Times New Roman" w:hAnsi="Times New Roman" w:eastAsia="仿宋_GB2312" w:cs="Times New Roman"/>
          <w:bCs/>
          <w:sz w:val="32"/>
          <w:szCs w:val="32"/>
          <w:highlight w:val="none"/>
          <w:lang w:eastAsia="zh-CN"/>
        </w:rPr>
        <w:t>市经济和信息化局的综合满意度为</w:t>
      </w:r>
      <w:r>
        <w:rPr>
          <w:rFonts w:hint="default" w:ascii="Times New Roman" w:hAnsi="Times New Roman" w:eastAsia="仿宋_GB2312" w:cs="Times New Roman"/>
          <w:bCs/>
          <w:sz w:val="32"/>
          <w:szCs w:val="32"/>
          <w:highlight w:val="none"/>
          <w:lang w:val="en-US" w:eastAsia="zh-CN"/>
        </w:rPr>
        <w:t>93.19</w:t>
      </w:r>
      <w:r>
        <w:rPr>
          <w:rFonts w:hint="default" w:ascii="Times New Roman" w:hAnsi="Times New Roman" w:eastAsia="仿宋_GB2312" w:cs="Times New Roman"/>
          <w:bCs/>
          <w:sz w:val="32"/>
          <w:szCs w:val="32"/>
          <w:highlight w:val="none"/>
          <w:lang w:eastAsia="zh-CN"/>
        </w:rPr>
        <w:t>分。</w:t>
      </w:r>
    </w:p>
    <w:p>
      <w:pPr>
        <w:pStyle w:val="3"/>
        <w:keepNext/>
        <w:keepLines/>
        <w:pageBreakBefore w:val="0"/>
        <w:widowControl w:val="0"/>
        <w:kinsoku/>
        <w:wordWrap/>
        <w:overflowPunct/>
        <w:topLinePunct w:val="0"/>
        <w:autoSpaceDE/>
        <w:autoSpaceDN/>
        <w:bidi w:val="0"/>
        <w:adjustRightInd w:val="0"/>
        <w:snapToGrid w:val="0"/>
        <w:spacing w:before="0" w:after="0" w:line="560" w:lineRule="exact"/>
        <w:ind w:leftChars="0" w:firstLine="640" w:firstLineChars="200"/>
        <w:textAlignment w:val="auto"/>
        <w:outlineLvl w:val="0"/>
        <w:rPr>
          <w:rFonts w:hint="eastAsia" w:ascii="黑体" w:hAnsi="黑体" w:eastAsia="黑体" w:cs="Times New Roman"/>
          <w:b w:val="0"/>
          <w:bCs w:val="0"/>
          <w:kern w:val="44"/>
          <w:sz w:val="32"/>
          <w:szCs w:val="32"/>
          <w:highlight w:val="none"/>
          <w:lang w:val="en-US" w:eastAsia="zh-CN" w:bidi="ar-SA"/>
        </w:rPr>
      </w:pPr>
      <w:bookmarkStart w:id="7" w:name="_Toc31392"/>
      <w:r>
        <w:rPr>
          <w:rFonts w:hint="eastAsia" w:ascii="黑体" w:hAnsi="黑体" w:eastAsia="黑体" w:cs="Times New Roman"/>
          <w:b w:val="0"/>
          <w:bCs w:val="0"/>
          <w:kern w:val="44"/>
          <w:sz w:val="32"/>
          <w:szCs w:val="32"/>
          <w:highlight w:val="none"/>
          <w:lang w:val="en-US" w:eastAsia="zh-CN" w:bidi="ar-SA"/>
        </w:rPr>
        <w:t>四、预算管理情况分析</w:t>
      </w:r>
      <w:bookmarkEnd w:id="7"/>
    </w:p>
    <w:p>
      <w:pPr>
        <w:pStyle w:val="4"/>
        <w:pageBreakBefore w:val="0"/>
        <w:widowControl w:val="0"/>
        <w:kinsoku/>
        <w:wordWrap/>
        <w:overflowPunct/>
        <w:topLinePunct w:val="0"/>
        <w:autoSpaceDE/>
        <w:autoSpaceDN/>
        <w:bidi w:val="0"/>
        <w:adjustRightInd w:val="0"/>
        <w:snapToGrid w:val="0"/>
        <w:spacing w:before="0" w:after="0" w:line="560" w:lineRule="exact"/>
        <w:ind w:left="0" w:leftChars="0" w:firstLine="640" w:firstLineChars="200"/>
        <w:textAlignment w:val="auto"/>
        <w:rPr>
          <w:rFonts w:ascii="楷体" w:hAnsi="楷体" w:eastAsia="楷体"/>
          <w:b w:val="0"/>
          <w:bCs w:val="0"/>
          <w:highlight w:val="none"/>
        </w:rPr>
      </w:pPr>
      <w:bookmarkStart w:id="8" w:name="_Toc21438"/>
      <w:r>
        <w:rPr>
          <w:rFonts w:hint="eastAsia" w:ascii="楷体" w:hAnsi="楷体" w:eastAsia="楷体"/>
          <w:b w:val="0"/>
          <w:bCs w:val="0"/>
          <w:highlight w:val="none"/>
        </w:rPr>
        <w:t>（一）财务管理</w:t>
      </w:r>
      <w:bookmarkEnd w:id="8"/>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1.财务管理制度完善健全</w:t>
      </w:r>
      <w:r>
        <w:rPr>
          <w:rFonts w:hint="default" w:ascii="Times New Roman" w:hAnsi="Times New Roman" w:eastAsia="仿宋_GB2312" w:cs="Times New Roman"/>
          <w:bCs/>
          <w:sz w:val="32"/>
          <w:szCs w:val="32"/>
          <w:highlight w:val="none"/>
          <w:lang w:eastAsia="zh-CN"/>
        </w:rPr>
        <w:t>。</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lang w:eastAsia="zh-CN"/>
        </w:rPr>
        <w:t>为进一步提高全</w:t>
      </w:r>
      <w:r>
        <w:rPr>
          <w:rFonts w:hint="default" w:ascii="Times New Roman" w:hAnsi="Times New Roman" w:eastAsia="仿宋_GB2312" w:cs="Times New Roman"/>
          <w:bCs/>
          <w:sz w:val="32"/>
          <w:szCs w:val="32"/>
          <w:highlight w:val="none"/>
          <w:lang w:val="en-US" w:eastAsia="zh-CN"/>
        </w:rPr>
        <w:t>局</w:t>
      </w:r>
      <w:r>
        <w:rPr>
          <w:rFonts w:hint="default" w:ascii="Times New Roman" w:hAnsi="Times New Roman" w:eastAsia="仿宋_GB2312" w:cs="Times New Roman"/>
          <w:bCs/>
          <w:sz w:val="32"/>
          <w:szCs w:val="32"/>
          <w:highlight w:val="none"/>
          <w:lang w:eastAsia="zh-CN"/>
        </w:rPr>
        <w:t>财务管理能力和水平，我局</w:t>
      </w:r>
      <w:r>
        <w:rPr>
          <w:rFonts w:hint="default" w:ascii="Times New Roman" w:hAnsi="Times New Roman" w:eastAsia="仿宋_GB2312" w:cs="Times New Roman"/>
          <w:bCs/>
          <w:sz w:val="32"/>
          <w:szCs w:val="32"/>
          <w:highlight w:val="none"/>
        </w:rPr>
        <w:t>建立了完善的财务管理制度体系，从资金审批、预算管理、会计核算、资产管理、政府采购等方面对财务工作进行了规范监督，</w:t>
      </w:r>
      <w:r>
        <w:rPr>
          <w:rFonts w:hint="default" w:ascii="Times New Roman" w:hAnsi="Times New Roman" w:eastAsia="仿宋_GB2312" w:cs="Times New Roman"/>
          <w:bCs/>
          <w:sz w:val="32"/>
          <w:szCs w:val="32"/>
          <w:highlight w:val="none"/>
          <w:lang w:eastAsia="zh-CN"/>
        </w:rPr>
        <w:t>保障</w:t>
      </w:r>
      <w:r>
        <w:rPr>
          <w:rFonts w:hint="default" w:ascii="Times New Roman" w:hAnsi="Times New Roman" w:eastAsia="仿宋_GB2312" w:cs="Times New Roman"/>
          <w:bCs/>
          <w:sz w:val="32"/>
          <w:szCs w:val="32"/>
          <w:highlight w:val="none"/>
        </w:rPr>
        <w:t>日常工作有章可循</w:t>
      </w:r>
      <w:r>
        <w:rPr>
          <w:rFonts w:hint="default" w:ascii="Times New Roman" w:hAnsi="Times New Roman" w:eastAsia="仿宋_GB2312" w:cs="Times New Roman"/>
          <w:bCs/>
          <w:sz w:val="32"/>
          <w:szCs w:val="32"/>
          <w:highlight w:val="none"/>
          <w:lang w:eastAsia="zh-CN"/>
        </w:rPr>
        <w:t>、稳步推进</w:t>
      </w:r>
      <w:r>
        <w:rPr>
          <w:rFonts w:hint="default" w:ascii="Times New Roman" w:hAnsi="Times New Roman" w:eastAsia="仿宋_GB2312" w:cs="Times New Roman"/>
          <w:bCs/>
          <w:sz w:val="32"/>
          <w:szCs w:val="32"/>
          <w:highlight w:val="none"/>
        </w:rPr>
        <w:t>。</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2.资金使用安全合规</w:t>
      </w:r>
      <w:r>
        <w:rPr>
          <w:rFonts w:hint="default" w:ascii="Times New Roman" w:hAnsi="Times New Roman" w:eastAsia="仿宋_GB2312" w:cs="Times New Roman"/>
          <w:bCs/>
          <w:sz w:val="32"/>
          <w:szCs w:val="32"/>
          <w:highlight w:val="none"/>
          <w:lang w:eastAsia="zh-CN"/>
        </w:rPr>
        <w:t>。</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资金使用严格遵照国家法律法规和有关管理制度执行，资金拨付审批程序完整规范，资金使用安全合规。内部审计和监督机制完善，审计监督全面、纵深发展，为资金高效</w:t>
      </w:r>
      <w:r>
        <w:rPr>
          <w:rFonts w:hint="eastAsia" w:ascii="Times New Roman" w:hAnsi="Times New Roman" w:eastAsia="仿宋_GB2312" w:cs="Times New Roman"/>
          <w:bCs/>
          <w:sz w:val="32"/>
          <w:szCs w:val="32"/>
          <w:highlight w:val="none"/>
          <w:lang w:eastAsia="zh-CN"/>
        </w:rPr>
        <w:t>安全地使用</w:t>
      </w:r>
      <w:r>
        <w:rPr>
          <w:rFonts w:hint="default" w:ascii="Times New Roman" w:hAnsi="Times New Roman" w:eastAsia="仿宋_GB2312" w:cs="Times New Roman"/>
          <w:bCs/>
          <w:sz w:val="32"/>
          <w:szCs w:val="32"/>
          <w:highlight w:val="none"/>
        </w:rPr>
        <w:t>保驾护航。</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3.会计基础信息完整准确</w:t>
      </w:r>
      <w:r>
        <w:rPr>
          <w:rFonts w:hint="default" w:ascii="Times New Roman" w:hAnsi="Times New Roman" w:eastAsia="仿宋_GB2312" w:cs="Times New Roman"/>
          <w:bCs/>
          <w:sz w:val="32"/>
          <w:szCs w:val="32"/>
          <w:highlight w:val="none"/>
          <w:lang w:eastAsia="zh-CN"/>
        </w:rPr>
        <w:t>。</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lang w:eastAsia="zh-CN"/>
        </w:rPr>
        <w:t>在费用报销及合同付款过程中，</w:t>
      </w:r>
      <w:r>
        <w:rPr>
          <w:rFonts w:hint="default" w:ascii="Times New Roman" w:hAnsi="Times New Roman" w:eastAsia="仿宋_GB2312" w:cs="Times New Roman"/>
          <w:bCs/>
          <w:sz w:val="32"/>
          <w:szCs w:val="32"/>
          <w:highlight w:val="none"/>
        </w:rPr>
        <w:t>严格审批原始凭证，对内容不全、手续不完备的原始凭证以及未审批完成的支出不予办理支付。</w:t>
      </w:r>
    </w:p>
    <w:p>
      <w:pPr>
        <w:pStyle w:val="4"/>
        <w:pageBreakBefore w:val="0"/>
        <w:widowControl w:val="0"/>
        <w:kinsoku/>
        <w:wordWrap/>
        <w:overflowPunct/>
        <w:topLinePunct w:val="0"/>
        <w:autoSpaceDE/>
        <w:autoSpaceDN/>
        <w:bidi w:val="0"/>
        <w:adjustRightInd w:val="0"/>
        <w:snapToGrid w:val="0"/>
        <w:spacing w:before="0" w:after="0" w:line="560" w:lineRule="exact"/>
        <w:ind w:left="0" w:leftChars="0" w:firstLine="640" w:firstLineChars="200"/>
        <w:textAlignment w:val="auto"/>
        <w:rPr>
          <w:rFonts w:hint="default" w:ascii="Times New Roman" w:hAnsi="Times New Roman" w:eastAsia="楷体" w:cs="Times New Roman"/>
          <w:b w:val="0"/>
          <w:bCs w:val="0"/>
          <w:highlight w:val="none"/>
        </w:rPr>
      </w:pPr>
      <w:bookmarkStart w:id="9" w:name="_Toc31990"/>
      <w:r>
        <w:rPr>
          <w:rFonts w:hint="default" w:ascii="Times New Roman" w:hAnsi="Times New Roman" w:eastAsia="楷体" w:cs="Times New Roman"/>
          <w:b w:val="0"/>
          <w:bCs w:val="0"/>
          <w:highlight w:val="none"/>
        </w:rPr>
        <w:t>（二）资产管理</w:t>
      </w:r>
      <w:bookmarkEnd w:id="9"/>
    </w:p>
    <w:p>
      <w:pPr>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1.完善资产管理相关制度。</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制定《</w:t>
      </w:r>
      <w:r>
        <w:rPr>
          <w:rFonts w:hint="default" w:ascii="Times New Roman" w:hAnsi="Times New Roman" w:eastAsia="仿宋_GB2312" w:cs="Times New Roman"/>
          <w:color w:val="000000"/>
          <w:sz w:val="32"/>
          <w:szCs w:val="32"/>
          <w:highlight w:val="none"/>
          <w:lang w:eastAsia="zh-CN"/>
        </w:rPr>
        <w:t>北京市经济和信息化局</w:t>
      </w:r>
      <w:r>
        <w:rPr>
          <w:rFonts w:hint="default" w:ascii="Times New Roman" w:hAnsi="Times New Roman" w:eastAsia="仿宋_GB2312" w:cs="Times New Roman"/>
          <w:color w:val="000000"/>
          <w:sz w:val="32"/>
          <w:szCs w:val="32"/>
          <w:highlight w:val="none"/>
        </w:rPr>
        <w:t>固定资产管理办法》，按照“合理配置、分工负责、归口管理、依规使用、毁损问责”的原则，管理调配</w:t>
      </w:r>
      <w:r>
        <w:rPr>
          <w:rFonts w:hint="default" w:ascii="Times New Roman" w:hAnsi="Times New Roman" w:eastAsia="仿宋_GB2312" w:cs="Times New Roman"/>
          <w:color w:val="000000"/>
          <w:sz w:val="32"/>
          <w:szCs w:val="32"/>
          <w:highlight w:val="none"/>
          <w:lang w:val="en-US" w:eastAsia="zh-CN"/>
        </w:rPr>
        <w:t>局机关</w:t>
      </w:r>
      <w:r>
        <w:rPr>
          <w:rFonts w:hint="default" w:ascii="Times New Roman" w:hAnsi="Times New Roman" w:eastAsia="仿宋_GB2312" w:cs="Times New Roman"/>
          <w:color w:val="000000"/>
          <w:sz w:val="32"/>
          <w:szCs w:val="32"/>
          <w:highlight w:val="none"/>
        </w:rPr>
        <w:t>资产。</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2.开展年度资产清查，夯实资产管理基础。</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一是以内部自查和定点清查的方式开展年度资产清查工作，全面真实掌握机关固定资产的数量、价值和配置使用情况。</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rPr>
        <w:t>二是及时进行资产卡片信息更新，初步实现机关固定资产管理信息化</w:t>
      </w:r>
      <w:r>
        <w:rPr>
          <w:rFonts w:hint="eastAsia"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机关电子类资产的审批、领用、回库基本实现内控管理信息化。</w:t>
      </w:r>
    </w:p>
    <w:p>
      <w:pPr>
        <w:pStyle w:val="4"/>
        <w:pageBreakBefore w:val="0"/>
        <w:widowControl w:val="0"/>
        <w:kinsoku/>
        <w:wordWrap/>
        <w:overflowPunct/>
        <w:topLinePunct w:val="0"/>
        <w:autoSpaceDE/>
        <w:autoSpaceDN/>
        <w:bidi w:val="0"/>
        <w:adjustRightInd w:val="0"/>
        <w:snapToGrid w:val="0"/>
        <w:spacing w:before="0" w:after="0" w:line="560" w:lineRule="exact"/>
        <w:ind w:left="0" w:leftChars="0" w:firstLine="640" w:firstLineChars="200"/>
        <w:textAlignment w:val="auto"/>
        <w:rPr>
          <w:rFonts w:hint="default" w:ascii="Times New Roman" w:hAnsi="Times New Roman" w:eastAsia="楷体" w:cs="Times New Roman"/>
          <w:b w:val="0"/>
          <w:bCs w:val="0"/>
          <w:highlight w:val="none"/>
        </w:rPr>
      </w:pPr>
      <w:bookmarkStart w:id="10" w:name="_Toc15818"/>
      <w:r>
        <w:rPr>
          <w:rFonts w:hint="default" w:ascii="Times New Roman" w:hAnsi="Times New Roman" w:eastAsia="楷体" w:cs="Times New Roman"/>
          <w:b w:val="0"/>
          <w:bCs w:val="0"/>
          <w:highlight w:val="none"/>
        </w:rPr>
        <w:t>（三）绩效管理</w:t>
      </w:r>
      <w:bookmarkEnd w:id="10"/>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lang w:eastAsia="zh-CN"/>
        </w:rPr>
        <w:t>我局</w:t>
      </w:r>
      <w:r>
        <w:rPr>
          <w:rFonts w:hint="default" w:ascii="Times New Roman" w:hAnsi="Times New Roman" w:eastAsia="仿宋_GB2312" w:cs="Times New Roman"/>
          <w:color w:val="000000"/>
          <w:sz w:val="32"/>
          <w:szCs w:val="32"/>
          <w:highlight w:val="none"/>
        </w:rPr>
        <w:t>高度重视绩效管理工作，将绩效理念深度融入预算编制、执行</w:t>
      </w:r>
      <w:r>
        <w:rPr>
          <w:rFonts w:hint="default" w:ascii="Times New Roman" w:hAnsi="Times New Roman" w:eastAsia="仿宋_GB2312" w:cs="Times New Roman"/>
          <w:color w:val="000000"/>
          <w:sz w:val="32"/>
          <w:szCs w:val="32"/>
          <w:highlight w:val="none"/>
          <w:lang w:eastAsia="zh-CN"/>
        </w:rPr>
        <w:t>和</w:t>
      </w:r>
      <w:r>
        <w:rPr>
          <w:rFonts w:hint="default" w:ascii="Times New Roman" w:hAnsi="Times New Roman" w:eastAsia="仿宋_GB2312" w:cs="Times New Roman"/>
          <w:color w:val="000000"/>
          <w:sz w:val="32"/>
          <w:szCs w:val="32"/>
          <w:highlight w:val="none"/>
        </w:rPr>
        <w:t>监督全过程，构建事前、事中、事后绩效管理闭环系统，创新预算管理方式，扎实做好各项绩效管理工作。</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1.深化全过程预算绩效管理</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一是主动开展事前绩效评估。在安排202</w:t>
      </w:r>
      <w:r>
        <w:rPr>
          <w:rFonts w:hint="default"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rPr>
        <w:t>年度预算项目时，严格贯彻新增项目“应评尽评”的全覆盖原则，对</w:t>
      </w:r>
      <w:r>
        <w:rPr>
          <w:rFonts w:hint="default" w:ascii="Times New Roman" w:hAnsi="Times New Roman" w:eastAsia="仿宋_GB2312" w:cs="Times New Roman"/>
          <w:color w:val="000000"/>
          <w:sz w:val="32"/>
          <w:szCs w:val="32"/>
          <w:highlight w:val="none"/>
          <w:lang w:val="en-US" w:eastAsia="zh-CN"/>
        </w:rPr>
        <w:t>我局</w:t>
      </w:r>
      <w:r>
        <w:rPr>
          <w:rFonts w:hint="default" w:ascii="Times New Roman" w:hAnsi="Times New Roman" w:eastAsia="仿宋_GB2312" w:cs="Times New Roman"/>
          <w:color w:val="000000"/>
          <w:sz w:val="32"/>
          <w:szCs w:val="32"/>
          <w:highlight w:val="none"/>
          <w:lang w:eastAsia="zh-CN"/>
        </w:rPr>
        <w:t>“智慧城市建设领域场景开放配套落实项目”“北京</w:t>
      </w:r>
      <w:r>
        <w:rPr>
          <w:rFonts w:hint="eastAsia"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eastAsia="zh-CN"/>
        </w:rPr>
        <w:t>数据特区</w:t>
      </w:r>
      <w:r>
        <w:rPr>
          <w:rFonts w:hint="eastAsia"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eastAsia="zh-CN"/>
        </w:rPr>
        <w:t>创建”</w:t>
      </w:r>
      <w:r>
        <w:rPr>
          <w:rFonts w:hint="default" w:ascii="Times New Roman" w:hAnsi="Times New Roman" w:eastAsia="仿宋_GB2312" w:cs="Times New Roman"/>
          <w:color w:val="000000"/>
          <w:sz w:val="32"/>
          <w:szCs w:val="32"/>
          <w:highlight w:val="none"/>
          <w:lang w:val="en-US" w:eastAsia="zh-CN"/>
        </w:rPr>
        <w:t>等5个</w:t>
      </w:r>
      <w:r>
        <w:rPr>
          <w:rFonts w:hint="default" w:ascii="Times New Roman" w:hAnsi="Times New Roman" w:eastAsia="仿宋_GB2312" w:cs="Times New Roman"/>
          <w:color w:val="000000"/>
          <w:sz w:val="32"/>
          <w:szCs w:val="32"/>
          <w:highlight w:val="none"/>
        </w:rPr>
        <w:t>项目进行了事前绩效评估。</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二是加强绩效目标管理。按照市财政局要求，202</w:t>
      </w:r>
      <w:r>
        <w:rPr>
          <w:rFonts w:hint="default" w:ascii="Times New Roman" w:hAnsi="Times New Roman" w:eastAsia="仿宋_GB2312" w:cs="Times New Roman"/>
          <w:color w:val="000000"/>
          <w:sz w:val="32"/>
          <w:szCs w:val="32"/>
          <w:highlight w:val="none"/>
          <w:lang w:val="en-US" w:eastAsia="zh-CN"/>
        </w:rPr>
        <w:t>2</w:t>
      </w:r>
      <w:r>
        <w:rPr>
          <w:rFonts w:hint="default" w:ascii="Times New Roman" w:hAnsi="Times New Roman" w:eastAsia="仿宋_GB2312" w:cs="Times New Roman"/>
          <w:color w:val="000000"/>
          <w:sz w:val="32"/>
          <w:szCs w:val="32"/>
          <w:highlight w:val="none"/>
        </w:rPr>
        <w:t>年预算项目的绩效目标填报范围为全部项目，完成了</w:t>
      </w:r>
      <w:r>
        <w:rPr>
          <w:rFonts w:hint="default" w:ascii="Times New Roman" w:hAnsi="Times New Roman" w:eastAsia="仿宋_GB2312" w:cs="Times New Roman"/>
          <w:color w:val="000000"/>
          <w:sz w:val="32"/>
          <w:szCs w:val="32"/>
          <w:highlight w:val="none"/>
          <w:lang w:val="en-US" w:eastAsia="zh-CN"/>
        </w:rPr>
        <w:t>全局198</w:t>
      </w:r>
      <w:r>
        <w:rPr>
          <w:rFonts w:hint="default" w:ascii="Times New Roman" w:hAnsi="Times New Roman" w:eastAsia="仿宋_GB2312" w:cs="Times New Roman"/>
          <w:color w:val="000000"/>
          <w:sz w:val="32"/>
          <w:szCs w:val="32"/>
          <w:highlight w:val="none"/>
        </w:rPr>
        <w:t>个项目绩效目标申报表的审核</w:t>
      </w:r>
      <w:r>
        <w:rPr>
          <w:rFonts w:hint="default" w:ascii="Times New Roman" w:hAnsi="Times New Roman" w:eastAsia="仿宋_GB2312" w:cs="Times New Roman"/>
          <w:color w:val="000000"/>
          <w:sz w:val="32"/>
          <w:szCs w:val="32"/>
          <w:highlight w:val="none"/>
          <w:lang w:val="en-US" w:eastAsia="zh-CN"/>
        </w:rPr>
        <w:t>及预算一体化管理</w:t>
      </w:r>
      <w:r>
        <w:rPr>
          <w:rFonts w:hint="default" w:ascii="Times New Roman" w:hAnsi="Times New Roman" w:eastAsia="仿宋_GB2312" w:cs="Times New Roman"/>
          <w:color w:val="000000"/>
          <w:sz w:val="32"/>
          <w:szCs w:val="3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000000"/>
          <w:sz w:val="32"/>
          <w:szCs w:val="32"/>
          <w:highlight w:val="yellow"/>
        </w:rPr>
      </w:pPr>
      <w:r>
        <w:rPr>
          <w:rFonts w:hint="default" w:ascii="Times New Roman" w:hAnsi="Times New Roman" w:eastAsia="仿宋_GB2312" w:cs="Times New Roman"/>
          <w:color w:val="000000"/>
          <w:sz w:val="32"/>
          <w:szCs w:val="32"/>
          <w:highlight w:val="none"/>
          <w:lang w:eastAsia="zh-CN"/>
        </w:rPr>
        <w:t>三</w:t>
      </w:r>
      <w:r>
        <w:rPr>
          <w:rFonts w:hint="default" w:ascii="Times New Roman" w:hAnsi="Times New Roman" w:eastAsia="仿宋_GB2312" w:cs="Times New Roman"/>
          <w:color w:val="000000"/>
          <w:sz w:val="32"/>
          <w:szCs w:val="32"/>
          <w:highlight w:val="none"/>
        </w:rPr>
        <w:t>是开展事后绩效自评和事中绩效</w:t>
      </w:r>
      <w:r>
        <w:rPr>
          <w:rFonts w:hint="default" w:ascii="Times New Roman" w:hAnsi="Times New Roman" w:eastAsia="仿宋_GB2312" w:cs="Times New Roman"/>
          <w:color w:val="000000"/>
          <w:sz w:val="32"/>
          <w:szCs w:val="32"/>
          <w:highlight w:val="none"/>
          <w:lang w:val="en-US" w:eastAsia="zh-CN"/>
        </w:rPr>
        <w:t>运行监控</w:t>
      </w:r>
      <w:r>
        <w:rPr>
          <w:rFonts w:hint="default" w:ascii="Times New Roman" w:hAnsi="Times New Roman" w:eastAsia="仿宋_GB2312" w:cs="Times New Roman"/>
          <w:color w:val="000000"/>
          <w:sz w:val="32"/>
          <w:szCs w:val="32"/>
          <w:highlight w:val="none"/>
        </w:rPr>
        <w:t>。对20</w:t>
      </w:r>
      <w:r>
        <w:rPr>
          <w:rFonts w:hint="default" w:ascii="Times New Roman" w:hAnsi="Times New Roman" w:eastAsia="仿宋_GB2312" w:cs="Times New Roman"/>
          <w:color w:val="000000"/>
          <w:sz w:val="32"/>
          <w:szCs w:val="32"/>
          <w:highlight w:val="none"/>
          <w:lang w:val="en-US" w:eastAsia="zh-CN"/>
        </w:rPr>
        <w:t>21</w:t>
      </w:r>
      <w:r>
        <w:rPr>
          <w:rFonts w:hint="default" w:ascii="Times New Roman" w:hAnsi="Times New Roman" w:eastAsia="仿宋_GB2312" w:cs="Times New Roman"/>
          <w:color w:val="000000"/>
          <w:sz w:val="32"/>
          <w:szCs w:val="32"/>
          <w:highlight w:val="none"/>
        </w:rPr>
        <w:t>年度</w:t>
      </w:r>
      <w:r>
        <w:rPr>
          <w:rFonts w:hint="default" w:ascii="Times New Roman" w:hAnsi="Times New Roman" w:eastAsia="仿宋_GB2312" w:cs="Times New Roman"/>
          <w:color w:val="000000"/>
          <w:sz w:val="32"/>
          <w:szCs w:val="32"/>
          <w:highlight w:val="none"/>
          <w:lang w:val="en-US" w:eastAsia="zh-CN"/>
        </w:rPr>
        <w:t>168</w:t>
      </w:r>
      <w:r>
        <w:rPr>
          <w:rFonts w:hint="default" w:ascii="Times New Roman" w:hAnsi="Times New Roman" w:eastAsia="仿宋_GB2312" w:cs="Times New Roman"/>
          <w:color w:val="000000"/>
          <w:sz w:val="32"/>
          <w:szCs w:val="32"/>
          <w:highlight w:val="none"/>
        </w:rPr>
        <w:t>个项目实施了绩效自评，涉及金额</w:t>
      </w:r>
      <w:r>
        <w:rPr>
          <w:rFonts w:hint="default" w:ascii="Times New Roman" w:hAnsi="Times New Roman" w:eastAsia="仿宋_GB2312" w:cs="Times New Roman"/>
          <w:color w:val="000000"/>
          <w:sz w:val="32"/>
          <w:szCs w:val="32"/>
          <w:highlight w:val="none"/>
          <w:lang w:val="en-US" w:eastAsia="zh-CN"/>
        </w:rPr>
        <w:t>224,618.58万</w:t>
      </w:r>
      <w:r>
        <w:rPr>
          <w:rFonts w:hint="default" w:ascii="Times New Roman" w:hAnsi="Times New Roman" w:eastAsia="仿宋_GB2312" w:cs="Times New Roman"/>
          <w:color w:val="000000"/>
          <w:sz w:val="32"/>
          <w:szCs w:val="32"/>
          <w:highlight w:val="none"/>
        </w:rPr>
        <w:t>元，占部门项目总金额的</w:t>
      </w:r>
      <w:r>
        <w:rPr>
          <w:rFonts w:hint="default" w:ascii="Times New Roman" w:hAnsi="Times New Roman" w:eastAsia="仿宋_GB2312" w:cs="Times New Roman"/>
          <w:color w:val="000000"/>
          <w:sz w:val="32"/>
          <w:szCs w:val="32"/>
          <w:highlight w:val="none"/>
          <w:lang w:val="en-US" w:eastAsia="zh-CN"/>
        </w:rPr>
        <w:t>44.47</w:t>
      </w:r>
      <w:r>
        <w:rPr>
          <w:rFonts w:hint="default" w:ascii="Times New Roman" w:hAnsi="Times New Roman" w:eastAsia="仿宋_GB2312" w:cs="Times New Roman"/>
          <w:color w:val="000000"/>
          <w:sz w:val="32"/>
          <w:szCs w:val="32"/>
          <w:highlight w:val="none"/>
        </w:rPr>
        <w:t>%；对202</w:t>
      </w:r>
      <w:r>
        <w:rPr>
          <w:rFonts w:hint="default" w:ascii="Times New Roman" w:hAnsi="Times New Roman" w:eastAsia="仿宋_GB2312" w:cs="Times New Roman"/>
          <w:color w:val="000000"/>
          <w:sz w:val="32"/>
          <w:szCs w:val="32"/>
          <w:highlight w:val="none"/>
          <w:lang w:val="en-US" w:eastAsia="zh-CN"/>
        </w:rPr>
        <w:t>2</w:t>
      </w:r>
      <w:r>
        <w:rPr>
          <w:rFonts w:hint="default" w:ascii="Times New Roman" w:hAnsi="Times New Roman" w:eastAsia="仿宋_GB2312" w:cs="Times New Roman"/>
          <w:color w:val="000000"/>
          <w:sz w:val="32"/>
          <w:szCs w:val="32"/>
          <w:highlight w:val="none"/>
        </w:rPr>
        <w:t>年</w:t>
      </w:r>
      <w:r>
        <w:rPr>
          <w:rFonts w:hint="default" w:ascii="Times New Roman" w:hAnsi="Times New Roman" w:eastAsia="仿宋_GB2312" w:cs="Times New Roman"/>
          <w:color w:val="000000"/>
          <w:sz w:val="32"/>
          <w:szCs w:val="32"/>
          <w:highlight w:val="none"/>
          <w:lang w:val="en-US" w:eastAsia="zh-CN"/>
        </w:rPr>
        <w:t>201</w:t>
      </w:r>
      <w:r>
        <w:rPr>
          <w:rFonts w:hint="default" w:ascii="Times New Roman" w:hAnsi="Times New Roman" w:eastAsia="仿宋_GB2312" w:cs="Times New Roman"/>
          <w:color w:val="000000"/>
          <w:sz w:val="32"/>
          <w:szCs w:val="32"/>
          <w:highlight w:val="none"/>
        </w:rPr>
        <w:t>个财政支出项目进行了事中</w:t>
      </w:r>
      <w:r>
        <w:rPr>
          <w:rFonts w:hint="default" w:ascii="Times New Roman" w:hAnsi="Times New Roman" w:eastAsia="仿宋_GB2312" w:cs="Times New Roman"/>
          <w:color w:val="000000"/>
          <w:sz w:val="32"/>
          <w:szCs w:val="32"/>
          <w:highlight w:val="none"/>
          <w:lang w:val="en-US" w:eastAsia="zh-CN"/>
        </w:rPr>
        <w:t>绩效运行监控</w:t>
      </w:r>
      <w:r>
        <w:rPr>
          <w:rFonts w:hint="default" w:ascii="Times New Roman" w:hAnsi="Times New Roman" w:eastAsia="仿宋_GB2312" w:cs="Times New Roman"/>
          <w:sz w:val="32"/>
          <w:szCs w:val="3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2.开展成本预算绩效分析。对“北京市大数据目录体系及数据治理”项目开展成本预算绩效分析，涉及预算金额</w:t>
      </w:r>
      <w:r>
        <w:rPr>
          <w:rFonts w:hint="default" w:ascii="Times New Roman" w:hAnsi="Times New Roman" w:eastAsia="仿宋_GB2312" w:cs="Times New Roman"/>
          <w:color w:val="000000"/>
          <w:sz w:val="32"/>
          <w:szCs w:val="32"/>
          <w:highlight w:val="none"/>
          <w:lang w:val="en-US" w:eastAsia="zh-CN"/>
        </w:rPr>
        <w:t>680</w:t>
      </w:r>
      <w:r>
        <w:rPr>
          <w:rFonts w:hint="default" w:ascii="Times New Roman" w:hAnsi="Times New Roman" w:eastAsia="仿宋_GB2312" w:cs="Times New Roman"/>
          <w:color w:val="000000"/>
          <w:sz w:val="32"/>
          <w:szCs w:val="32"/>
          <w:highlight w:val="none"/>
        </w:rPr>
        <w:t>万元。</w:t>
      </w:r>
    </w:p>
    <w:p>
      <w:pPr>
        <w:pStyle w:val="4"/>
        <w:keepNext w:val="0"/>
        <w:keepLines w:val="0"/>
        <w:pageBreakBefore w:val="0"/>
        <w:widowControl/>
        <w:kinsoku/>
        <w:wordWrap/>
        <w:overflowPunct/>
        <w:topLinePunct w:val="0"/>
        <w:autoSpaceDE/>
        <w:autoSpaceDN/>
        <w:bidi w:val="0"/>
        <w:adjustRightInd w:val="0"/>
        <w:snapToGrid w:val="0"/>
        <w:spacing w:before="0" w:after="0" w:line="560" w:lineRule="exact"/>
        <w:ind w:left="0" w:leftChars="0" w:firstLine="640" w:firstLineChars="200"/>
        <w:textAlignment w:val="auto"/>
        <w:rPr>
          <w:rFonts w:hint="default" w:ascii="Times New Roman" w:hAnsi="Times New Roman" w:eastAsia="楷体" w:cs="Times New Roman"/>
          <w:b w:val="0"/>
          <w:bCs w:val="0"/>
          <w:highlight w:val="none"/>
        </w:rPr>
      </w:pPr>
      <w:bookmarkStart w:id="11" w:name="_Toc30532"/>
      <w:r>
        <w:rPr>
          <w:rFonts w:hint="default" w:ascii="Times New Roman" w:hAnsi="Times New Roman" w:eastAsia="楷体" w:cs="Times New Roman"/>
          <w:b w:val="0"/>
          <w:bCs w:val="0"/>
          <w:highlight w:val="none"/>
        </w:rPr>
        <w:t>（四）结转结余率</w:t>
      </w:r>
      <w:bookmarkEnd w:id="11"/>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lang w:val="en-US" w:eastAsia="zh-CN"/>
        </w:rPr>
        <w:t>2022年末结转结余资金145,517.03万元，其中基本支出结转4,320.15万元，项目支出结转和结余141,201.78万元，经营支出结转和结余-4.90万元。结转和结余形成的主要原因为</w:t>
      </w:r>
      <w:r>
        <w:rPr>
          <w:rFonts w:hint="default" w:ascii="Times New Roman" w:hAnsi="Times New Roman" w:eastAsia="仿宋_GB2312" w:cs="Times New Roman"/>
          <w:color w:val="000000"/>
          <w:sz w:val="32"/>
          <w:szCs w:val="32"/>
          <w:highlight w:val="none"/>
          <w:lang w:eastAsia="zh-CN"/>
        </w:rPr>
        <w:t>部分项目为</w:t>
      </w:r>
      <w:r>
        <w:rPr>
          <w:rFonts w:hint="default" w:ascii="Times New Roman" w:hAnsi="Times New Roman" w:eastAsia="仿宋_GB2312" w:cs="Times New Roman"/>
          <w:color w:val="000000"/>
          <w:sz w:val="32"/>
          <w:szCs w:val="32"/>
          <w:highlight w:val="none"/>
          <w:lang w:val="en-US" w:eastAsia="zh-CN"/>
        </w:rPr>
        <w:t>财政年中追加</w:t>
      </w:r>
      <w:r>
        <w:rPr>
          <w:rFonts w:hint="default" w:ascii="Times New Roman" w:hAnsi="Times New Roman" w:eastAsia="仿宋_GB2312" w:cs="Times New Roman"/>
          <w:color w:val="000000"/>
          <w:sz w:val="32"/>
          <w:szCs w:val="32"/>
          <w:highlight w:val="none"/>
          <w:lang w:eastAsia="zh-CN"/>
        </w:rPr>
        <w:t>资金</w:t>
      </w:r>
      <w:r>
        <w:rPr>
          <w:rFonts w:hint="default" w:ascii="Times New Roman" w:hAnsi="Times New Roman" w:eastAsia="仿宋_GB2312" w:cs="Times New Roman"/>
          <w:color w:val="000000"/>
          <w:sz w:val="32"/>
          <w:szCs w:val="32"/>
          <w:highlight w:val="none"/>
          <w:lang w:val="en-US" w:eastAsia="zh-CN"/>
        </w:rPr>
        <w:t>，额度到账时间较晚</w:t>
      </w:r>
      <w:r>
        <w:rPr>
          <w:rFonts w:hint="default" w:ascii="Times New Roman" w:hAnsi="Times New Roman" w:eastAsia="仿宋_GB2312" w:cs="Times New Roman"/>
          <w:color w:val="000000"/>
          <w:sz w:val="32"/>
          <w:szCs w:val="32"/>
          <w:highlight w:val="none"/>
          <w:lang w:eastAsia="zh-CN"/>
        </w:rPr>
        <w:t>未在</w:t>
      </w:r>
      <w:r>
        <w:rPr>
          <w:rFonts w:hint="default" w:ascii="Times New Roman" w:hAnsi="Times New Roman" w:eastAsia="仿宋_GB2312" w:cs="Times New Roman"/>
          <w:color w:val="000000"/>
          <w:sz w:val="32"/>
          <w:szCs w:val="32"/>
          <w:highlight w:val="none"/>
          <w:lang w:val="en-US" w:eastAsia="zh-CN"/>
        </w:rPr>
        <w:t>本年支出，故形成结余结转资金，如高精尖企业补贴资金、新能源汽车市级补助资金</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val="en-US" w:eastAsia="zh-CN"/>
        </w:rPr>
        <w:t>高质量发展专项资金</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val="en-US" w:eastAsia="zh-CN"/>
        </w:rPr>
        <w:t>中小企业发展专项资金</w:t>
      </w:r>
      <w:r>
        <w:rPr>
          <w:rFonts w:hint="default" w:ascii="Times New Roman" w:hAnsi="Times New Roman" w:eastAsia="仿宋_GB2312" w:cs="Times New Roman"/>
          <w:color w:val="000000"/>
          <w:sz w:val="32"/>
          <w:szCs w:val="32"/>
          <w:highlight w:val="none"/>
          <w:lang w:eastAsia="zh-CN"/>
        </w:rPr>
        <w:t>等项目资金，剔除该部分后结转结余资金为333,18.01万元，结转结余率为4.08%。</w:t>
      </w:r>
    </w:p>
    <w:p>
      <w:pPr>
        <w:pStyle w:val="4"/>
        <w:keepNext w:val="0"/>
        <w:keepLines w:val="0"/>
        <w:pageBreakBefore w:val="0"/>
        <w:widowControl/>
        <w:kinsoku/>
        <w:wordWrap/>
        <w:overflowPunct/>
        <w:topLinePunct w:val="0"/>
        <w:autoSpaceDE/>
        <w:autoSpaceDN/>
        <w:bidi w:val="0"/>
        <w:adjustRightInd w:val="0"/>
        <w:snapToGrid w:val="0"/>
        <w:spacing w:before="0" w:after="0" w:line="560" w:lineRule="exact"/>
        <w:ind w:left="0" w:leftChars="0" w:firstLine="640" w:firstLineChars="200"/>
        <w:textAlignment w:val="auto"/>
        <w:rPr>
          <w:rFonts w:hint="default" w:ascii="Times New Roman" w:hAnsi="Times New Roman" w:eastAsia="楷体" w:cs="Times New Roman"/>
          <w:b w:val="0"/>
          <w:bCs w:val="0"/>
          <w:highlight w:val="none"/>
        </w:rPr>
      </w:pPr>
      <w:bookmarkStart w:id="12" w:name="_Toc673"/>
      <w:r>
        <w:rPr>
          <w:rFonts w:hint="default" w:ascii="Times New Roman" w:hAnsi="Times New Roman" w:eastAsia="楷体" w:cs="Times New Roman"/>
          <w:b w:val="0"/>
          <w:bCs w:val="0"/>
          <w:highlight w:val="none"/>
        </w:rPr>
        <w:t>（五）部门预决算差异</w:t>
      </w:r>
      <w:bookmarkEnd w:id="12"/>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北京市经济和信息化局</w:t>
      </w:r>
      <w:r>
        <w:rPr>
          <w:rFonts w:hint="default" w:ascii="Times New Roman" w:hAnsi="Times New Roman" w:eastAsia="仿宋_GB2312" w:cs="Times New Roman"/>
          <w:color w:val="000000"/>
          <w:sz w:val="32"/>
          <w:szCs w:val="32"/>
          <w:highlight w:val="none"/>
        </w:rPr>
        <w:t>202</w:t>
      </w:r>
      <w:r>
        <w:rPr>
          <w:rFonts w:hint="default" w:ascii="Times New Roman" w:hAnsi="Times New Roman" w:eastAsia="仿宋_GB2312" w:cs="Times New Roman"/>
          <w:color w:val="000000"/>
          <w:sz w:val="32"/>
          <w:szCs w:val="32"/>
          <w:highlight w:val="none"/>
          <w:lang w:val="en-US" w:eastAsia="zh-CN"/>
        </w:rPr>
        <w:t>2</w:t>
      </w:r>
      <w:r>
        <w:rPr>
          <w:rFonts w:hint="default" w:ascii="Times New Roman" w:hAnsi="Times New Roman" w:eastAsia="仿宋_GB2312" w:cs="Times New Roman"/>
          <w:color w:val="000000"/>
          <w:sz w:val="32"/>
          <w:szCs w:val="32"/>
          <w:highlight w:val="none"/>
        </w:rPr>
        <w:t>年</w:t>
      </w:r>
      <w:r>
        <w:rPr>
          <w:rFonts w:hint="default" w:ascii="Times New Roman" w:hAnsi="Times New Roman" w:eastAsia="仿宋_GB2312" w:cs="Times New Roman"/>
          <w:sz w:val="32"/>
          <w:szCs w:val="32"/>
          <w:highlight w:val="none"/>
        </w:rPr>
        <w:t>末决算</w:t>
      </w:r>
      <w:r>
        <w:rPr>
          <w:rFonts w:hint="eastAsia" w:ascii="Times New Roman" w:hAnsi="Times New Roman" w:eastAsia="仿宋_GB2312" w:cs="Times New Roman"/>
          <w:sz w:val="32"/>
          <w:szCs w:val="32"/>
          <w:highlight w:val="none"/>
          <w:lang w:val="en-US" w:eastAsia="zh-CN"/>
        </w:rPr>
        <w:t>支出</w:t>
      </w:r>
      <w:r>
        <w:rPr>
          <w:rFonts w:hint="default" w:ascii="Times New Roman" w:hAnsi="Times New Roman" w:eastAsia="仿宋_GB2312" w:cs="Times New Roman"/>
          <w:sz w:val="32"/>
          <w:szCs w:val="32"/>
          <w:highlight w:val="none"/>
        </w:rPr>
        <w:t>6</w:t>
      </w:r>
      <w:r>
        <w:rPr>
          <w:rFonts w:hint="eastAsia" w:ascii="Times New Roman" w:hAnsi="Times New Roman" w:eastAsia="仿宋_GB2312" w:cs="Times New Roman"/>
          <w:sz w:val="32"/>
          <w:szCs w:val="32"/>
          <w:highlight w:val="none"/>
          <w:lang w:val="en-US" w:eastAsia="zh-CN"/>
        </w:rPr>
        <w:t>70</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974</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57</w:t>
      </w:r>
      <w:r>
        <w:rPr>
          <w:rFonts w:hint="default" w:ascii="Times New Roman" w:hAnsi="Times New Roman" w:eastAsia="仿宋_GB2312" w:cs="Times New Roman"/>
          <w:sz w:val="32"/>
          <w:szCs w:val="32"/>
          <w:highlight w:val="none"/>
        </w:rPr>
        <w:t>万元，年初预算</w:t>
      </w:r>
      <w:r>
        <w:rPr>
          <w:rFonts w:hint="eastAsia" w:ascii="Times New Roman" w:hAnsi="Times New Roman" w:eastAsia="仿宋_GB2312" w:cs="Times New Roman"/>
          <w:sz w:val="32"/>
          <w:szCs w:val="32"/>
          <w:highlight w:val="none"/>
          <w:lang w:val="en-US" w:eastAsia="zh-CN"/>
        </w:rPr>
        <w:t>支出574</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246.49</w:t>
      </w:r>
      <w:r>
        <w:rPr>
          <w:rFonts w:hint="default" w:ascii="Times New Roman" w:hAnsi="Times New Roman" w:eastAsia="仿宋_GB2312" w:cs="Times New Roman"/>
          <w:sz w:val="32"/>
          <w:szCs w:val="32"/>
          <w:highlight w:val="none"/>
        </w:rPr>
        <w:t>万元，部门预算决算差异率为</w:t>
      </w:r>
      <w:r>
        <w:rPr>
          <w:rFonts w:hint="eastAsia" w:ascii="Times New Roman" w:hAnsi="Times New Roman" w:eastAsia="仿宋_GB2312" w:cs="Times New Roman"/>
          <w:sz w:val="32"/>
          <w:szCs w:val="32"/>
          <w:highlight w:val="none"/>
          <w:lang w:val="en-US" w:eastAsia="zh-CN"/>
        </w:rPr>
        <w:t>16.84</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低于市级平均差异率28.3%</w:t>
      </w:r>
      <w:r>
        <w:rPr>
          <w:rFonts w:hint="default" w:ascii="Times New Roman" w:hAnsi="Times New Roman" w:eastAsia="仿宋_GB2312" w:cs="Times New Roman"/>
          <w:sz w:val="32"/>
          <w:szCs w:val="32"/>
          <w:highlight w:val="none"/>
        </w:rPr>
        <w:t>。</w:t>
      </w:r>
    </w:p>
    <w:p>
      <w:pPr>
        <w:pStyle w:val="3"/>
        <w:keepNext/>
        <w:keepLines/>
        <w:pageBreakBefore w:val="0"/>
        <w:widowControl w:val="0"/>
        <w:kinsoku/>
        <w:wordWrap/>
        <w:overflowPunct/>
        <w:topLinePunct w:val="0"/>
        <w:autoSpaceDE/>
        <w:autoSpaceDN/>
        <w:bidi w:val="0"/>
        <w:adjustRightInd w:val="0"/>
        <w:snapToGrid w:val="0"/>
        <w:spacing w:before="0" w:after="0" w:line="560" w:lineRule="exact"/>
        <w:ind w:leftChars="0" w:firstLine="640" w:firstLineChars="200"/>
        <w:textAlignment w:val="auto"/>
        <w:outlineLvl w:val="0"/>
        <w:rPr>
          <w:rFonts w:hint="eastAsia" w:ascii="黑体" w:hAnsi="黑体" w:eastAsia="黑体" w:cs="Times New Roman"/>
          <w:b w:val="0"/>
          <w:bCs w:val="0"/>
          <w:kern w:val="44"/>
          <w:sz w:val="32"/>
          <w:szCs w:val="32"/>
          <w:highlight w:val="none"/>
          <w:lang w:val="en-US" w:eastAsia="zh-CN" w:bidi="ar-SA"/>
        </w:rPr>
      </w:pPr>
      <w:bookmarkStart w:id="13" w:name="_Toc30237"/>
      <w:r>
        <w:rPr>
          <w:rFonts w:hint="eastAsia" w:ascii="黑体" w:hAnsi="黑体" w:eastAsia="黑体" w:cs="Times New Roman"/>
          <w:b w:val="0"/>
          <w:bCs w:val="0"/>
          <w:kern w:val="44"/>
          <w:sz w:val="32"/>
          <w:szCs w:val="32"/>
          <w:highlight w:val="none"/>
          <w:lang w:val="en-US" w:eastAsia="zh-CN" w:bidi="ar-SA"/>
        </w:rPr>
        <w:t>五、总体评价结论</w:t>
      </w:r>
      <w:bookmarkEnd w:id="13"/>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（一）评价得分情况</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sz w:val="32"/>
          <w:szCs w:val="32"/>
          <w:highlight w:val="yellow"/>
          <w:lang w:eastAsia="zh-CN"/>
        </w:rPr>
      </w:pPr>
      <w:r>
        <w:rPr>
          <w:rFonts w:hint="default" w:ascii="Times New Roman" w:hAnsi="Times New Roman" w:eastAsia="仿宋_GB2312" w:cs="Times New Roman"/>
          <w:sz w:val="32"/>
          <w:szCs w:val="32"/>
          <w:highlight w:val="none"/>
        </w:rPr>
        <w:t>本次</w:t>
      </w:r>
      <w:r>
        <w:rPr>
          <w:rFonts w:hint="default" w:ascii="Times New Roman" w:hAnsi="Times New Roman" w:eastAsia="仿宋_GB2312" w:cs="Times New Roman"/>
          <w:sz w:val="32"/>
          <w:szCs w:val="32"/>
          <w:highlight w:val="none"/>
          <w:lang w:eastAsia="zh-CN"/>
        </w:rPr>
        <w:t>部门整体</w:t>
      </w:r>
      <w:r>
        <w:rPr>
          <w:rFonts w:hint="default" w:ascii="Times New Roman" w:hAnsi="Times New Roman" w:eastAsia="仿宋_GB2312" w:cs="Times New Roman"/>
          <w:sz w:val="32"/>
          <w:szCs w:val="32"/>
          <w:highlight w:val="none"/>
        </w:rPr>
        <w:t>绩效评价通过</w:t>
      </w:r>
      <w:r>
        <w:rPr>
          <w:rFonts w:hint="default" w:ascii="Times New Roman" w:hAnsi="Times New Roman" w:eastAsia="仿宋_GB2312" w:cs="Times New Roman"/>
          <w:sz w:val="32"/>
          <w:szCs w:val="32"/>
          <w:highlight w:val="none"/>
          <w:lang w:eastAsia="zh-CN"/>
        </w:rPr>
        <w:t>资料</w:t>
      </w:r>
      <w:r>
        <w:rPr>
          <w:rFonts w:hint="default" w:ascii="Times New Roman" w:hAnsi="Times New Roman" w:eastAsia="仿宋_GB2312" w:cs="Times New Roman"/>
          <w:sz w:val="32"/>
          <w:szCs w:val="32"/>
          <w:highlight w:val="none"/>
        </w:rPr>
        <w:t>分</w:t>
      </w:r>
      <w:r>
        <w:rPr>
          <w:rFonts w:hint="default" w:ascii="Times New Roman" w:hAnsi="Times New Roman" w:eastAsia="仿宋_GB2312" w:cs="Times New Roman"/>
          <w:sz w:val="32"/>
          <w:szCs w:val="32"/>
          <w:highlight w:val="none"/>
          <w:lang w:eastAsia="zh-CN"/>
        </w:rPr>
        <w:t>析、</w:t>
      </w:r>
      <w:r>
        <w:rPr>
          <w:rFonts w:hint="default" w:ascii="Times New Roman" w:hAnsi="Times New Roman" w:eastAsia="仿宋_GB2312" w:cs="Times New Roman"/>
          <w:sz w:val="32"/>
          <w:szCs w:val="32"/>
          <w:highlight w:val="none"/>
          <w:lang w:val="en-US" w:eastAsia="zh-CN"/>
        </w:rPr>
        <w:t>指标</w:t>
      </w:r>
      <w:r>
        <w:rPr>
          <w:rFonts w:hint="default" w:ascii="Times New Roman" w:hAnsi="Times New Roman" w:eastAsia="仿宋_GB2312" w:cs="Times New Roman"/>
          <w:sz w:val="32"/>
          <w:szCs w:val="32"/>
          <w:highlight w:val="none"/>
          <w:lang w:eastAsia="zh-CN"/>
        </w:rPr>
        <w:t>评议等方式开展了全面、系统、</w:t>
      </w:r>
      <w:r>
        <w:rPr>
          <w:rFonts w:hint="eastAsia" w:ascii="Times New Roman" w:hAnsi="Times New Roman" w:eastAsia="仿宋_GB2312" w:cs="Times New Roman"/>
          <w:sz w:val="32"/>
          <w:szCs w:val="32"/>
          <w:highlight w:val="none"/>
          <w:lang w:eastAsia="zh-CN"/>
        </w:rPr>
        <w:t>客观地分析</w:t>
      </w:r>
      <w:r>
        <w:rPr>
          <w:rFonts w:hint="default" w:ascii="Times New Roman" w:hAnsi="Times New Roman" w:eastAsia="仿宋_GB2312" w:cs="Times New Roman"/>
          <w:sz w:val="32"/>
          <w:szCs w:val="32"/>
          <w:highlight w:val="none"/>
          <w:lang w:eastAsia="zh-CN"/>
        </w:rPr>
        <w:t>评价，最终得分为9</w:t>
      </w: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分，综合评价等级为“优秀”。其中：当年预算执行情况1</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分，整体绩效目标实际情况</w:t>
      </w:r>
      <w:r>
        <w:rPr>
          <w:rFonts w:hint="default" w:ascii="Times New Roman" w:hAnsi="Times New Roman"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lang w:eastAsia="zh-CN"/>
        </w:rPr>
        <w:t>分，预算管理情况</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eastAsia="zh-CN"/>
        </w:rPr>
        <w:t>分，具体评分见《北京市经济和信息化局202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年度部门整体绩效评价指标体系评分表》。</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（二）存在的问题及原因分析</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1.部门整体绩效目标不够细化。我局目前整体绩效目标设定主要依据为部门职责和年度重点工作任务，由于</w:t>
      </w:r>
      <w:r>
        <w:rPr>
          <w:rFonts w:hint="default" w:ascii="Times New Roman" w:hAnsi="Times New Roman" w:eastAsia="仿宋_GB2312" w:cs="Times New Roman"/>
          <w:sz w:val="32"/>
          <w:szCs w:val="32"/>
          <w:highlight w:val="none"/>
          <w:lang w:eastAsia="zh-CN"/>
        </w:rPr>
        <w:t>我局</w:t>
      </w:r>
      <w:r>
        <w:rPr>
          <w:rFonts w:hint="default" w:ascii="Times New Roman" w:hAnsi="Times New Roman" w:eastAsia="仿宋_GB2312" w:cs="Times New Roman"/>
          <w:sz w:val="32"/>
          <w:szCs w:val="32"/>
          <w:highlight w:val="none"/>
        </w:rPr>
        <w:t>承担的全市重点工作数量多、任务重</w:t>
      </w:r>
      <w:r>
        <w:rPr>
          <w:rFonts w:hint="default" w:ascii="Times New Roman" w:hAnsi="Times New Roman" w:eastAsia="仿宋_GB2312" w:cs="Times New Roman"/>
          <w:sz w:val="32"/>
          <w:szCs w:val="32"/>
          <w:highlight w:val="none"/>
          <w:lang w:eastAsia="zh-CN"/>
        </w:rPr>
        <w:t>，整体绩效目标的全面覆盖和细化量化的平衡难度较大，整体</w:t>
      </w:r>
      <w:r>
        <w:rPr>
          <w:rFonts w:hint="default" w:ascii="Times New Roman" w:hAnsi="Times New Roman" w:eastAsia="仿宋_GB2312" w:cs="Times New Roman"/>
          <w:sz w:val="32"/>
          <w:szCs w:val="32"/>
          <w:highlight w:val="none"/>
        </w:rPr>
        <w:t>绩效目标</w:t>
      </w:r>
      <w:r>
        <w:rPr>
          <w:rFonts w:hint="default" w:ascii="Times New Roman" w:hAnsi="Times New Roman" w:eastAsia="仿宋_GB2312" w:cs="Times New Roman"/>
          <w:sz w:val="32"/>
          <w:szCs w:val="32"/>
          <w:highlight w:val="none"/>
          <w:lang w:eastAsia="zh-CN"/>
        </w:rPr>
        <w:t>设定的</w:t>
      </w:r>
      <w:r>
        <w:rPr>
          <w:rFonts w:hint="default" w:ascii="Times New Roman" w:hAnsi="Times New Roman" w:eastAsia="仿宋_GB2312" w:cs="Times New Roman"/>
          <w:sz w:val="32"/>
          <w:szCs w:val="32"/>
          <w:highlight w:val="none"/>
        </w:rPr>
        <w:t>科学性、明确性</w:t>
      </w:r>
      <w:r>
        <w:rPr>
          <w:rFonts w:hint="default" w:ascii="Times New Roman" w:hAnsi="Times New Roman" w:eastAsia="仿宋_GB2312" w:cs="Times New Roman"/>
          <w:sz w:val="32"/>
          <w:szCs w:val="32"/>
          <w:highlight w:val="none"/>
          <w:lang w:eastAsia="zh-CN"/>
        </w:rPr>
        <w:t>有</w:t>
      </w:r>
      <w:r>
        <w:rPr>
          <w:rFonts w:hint="default" w:ascii="Times New Roman" w:hAnsi="Times New Roman" w:eastAsia="仿宋_GB2312" w:cs="Times New Roman"/>
          <w:sz w:val="32"/>
          <w:szCs w:val="32"/>
          <w:highlight w:val="none"/>
        </w:rPr>
        <w:t>待进一步提高。</w:t>
      </w:r>
    </w:p>
    <w:p>
      <w:pPr>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textAlignment w:val="auto"/>
        <w:outlineLvl w:val="2"/>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2.部门</w:t>
      </w:r>
      <w:r>
        <w:rPr>
          <w:rFonts w:hint="default" w:ascii="Times New Roman" w:hAnsi="Times New Roman" w:eastAsia="仿宋_GB2312" w:cs="Times New Roman"/>
          <w:color w:val="000000"/>
          <w:sz w:val="32"/>
          <w:szCs w:val="32"/>
          <w:highlight w:val="none"/>
        </w:rPr>
        <w:t>收</w:t>
      </w:r>
      <w:r>
        <w:rPr>
          <w:rFonts w:hint="default" w:ascii="Times New Roman" w:hAnsi="Times New Roman" w:eastAsia="仿宋_GB2312" w:cs="Times New Roman"/>
          <w:color w:val="000000"/>
          <w:sz w:val="32"/>
          <w:szCs w:val="32"/>
          <w:highlight w:val="none"/>
          <w:lang w:val="en-US" w:eastAsia="zh-CN"/>
        </w:rPr>
        <w:t>支</w:t>
      </w:r>
      <w:r>
        <w:rPr>
          <w:rFonts w:hint="default" w:ascii="Times New Roman" w:hAnsi="Times New Roman" w:eastAsia="仿宋_GB2312" w:cs="Times New Roman"/>
          <w:color w:val="000000"/>
          <w:sz w:val="32"/>
          <w:szCs w:val="32"/>
          <w:highlight w:val="none"/>
        </w:rPr>
        <w:t>预</w:t>
      </w:r>
      <w:r>
        <w:rPr>
          <w:rFonts w:hint="eastAsia" w:ascii="Times New Roman" w:hAnsi="Times New Roman" w:eastAsia="仿宋_GB2312" w:cs="Times New Roman"/>
          <w:color w:val="000000"/>
          <w:sz w:val="32"/>
          <w:szCs w:val="32"/>
          <w:highlight w:val="none"/>
          <w:lang w:eastAsia="zh-CN"/>
        </w:rPr>
        <w:t>决算</w:t>
      </w:r>
      <w:r>
        <w:rPr>
          <w:rFonts w:hint="default" w:ascii="Times New Roman" w:hAnsi="Times New Roman" w:eastAsia="仿宋_GB2312" w:cs="Times New Roman"/>
          <w:color w:val="000000"/>
          <w:sz w:val="32"/>
          <w:szCs w:val="32"/>
          <w:highlight w:val="none"/>
        </w:rPr>
        <w:t>差异</w:t>
      </w:r>
      <w:r>
        <w:rPr>
          <w:rFonts w:hint="default" w:ascii="Times New Roman" w:hAnsi="Times New Roman" w:eastAsia="仿宋_GB2312" w:cs="Times New Roman"/>
          <w:color w:val="000000"/>
          <w:sz w:val="32"/>
          <w:szCs w:val="32"/>
          <w:highlight w:val="none"/>
          <w:lang w:val="en-US" w:eastAsia="zh-CN"/>
        </w:rPr>
        <w:t>较大。我局</w:t>
      </w:r>
      <w:r>
        <w:rPr>
          <w:rFonts w:hint="default" w:ascii="Times New Roman" w:hAnsi="Times New Roman" w:eastAsia="仿宋_GB2312" w:cs="Times New Roman"/>
          <w:sz w:val="32"/>
          <w:szCs w:val="32"/>
          <w:highlight w:val="none"/>
        </w:rPr>
        <w:t>年中追加下达经信局本级的经费较多，包括部分中央补助资金不在年初预算批复范围内，造成预决算收支差异较大。</w:t>
      </w:r>
    </w:p>
    <w:p>
      <w:pPr>
        <w:pStyle w:val="3"/>
        <w:keepNext/>
        <w:keepLines/>
        <w:pageBreakBefore w:val="0"/>
        <w:widowControl w:val="0"/>
        <w:kinsoku/>
        <w:wordWrap/>
        <w:overflowPunct/>
        <w:topLinePunct w:val="0"/>
        <w:autoSpaceDE/>
        <w:autoSpaceDN/>
        <w:bidi w:val="0"/>
        <w:adjustRightInd w:val="0"/>
        <w:snapToGrid w:val="0"/>
        <w:spacing w:before="0" w:after="0" w:line="560" w:lineRule="exact"/>
        <w:ind w:leftChars="0" w:firstLine="640" w:firstLineChars="200"/>
        <w:textAlignment w:val="auto"/>
        <w:outlineLvl w:val="0"/>
        <w:rPr>
          <w:rFonts w:hint="default" w:ascii="Times New Roman" w:hAnsi="Times New Roman" w:eastAsia="黑体" w:cs="Times New Roman"/>
          <w:b w:val="0"/>
          <w:bCs w:val="0"/>
          <w:kern w:val="44"/>
          <w:sz w:val="32"/>
          <w:szCs w:val="32"/>
          <w:highlight w:val="none"/>
          <w:lang w:val="en-US" w:eastAsia="zh-CN" w:bidi="ar-SA"/>
        </w:rPr>
      </w:pPr>
      <w:bookmarkStart w:id="14" w:name="_Toc25639"/>
      <w:r>
        <w:rPr>
          <w:rFonts w:hint="default" w:ascii="Times New Roman" w:hAnsi="Times New Roman" w:eastAsia="黑体" w:cs="Times New Roman"/>
          <w:b w:val="0"/>
          <w:bCs w:val="0"/>
          <w:kern w:val="44"/>
          <w:sz w:val="32"/>
          <w:szCs w:val="32"/>
          <w:highlight w:val="none"/>
          <w:lang w:val="en-US" w:eastAsia="zh-CN" w:bidi="ar-SA"/>
        </w:rPr>
        <w:t>六、措施建议</w:t>
      </w:r>
      <w:bookmarkEnd w:id="14"/>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（一）加强部门整体预算绩效管理意识，深度挖掘部门职能特点，规范部门整体绩效目标</w:t>
      </w:r>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一是深度挖掘部门职能、发展规划目标、年度核心任务的关联性，参照其他省市同类型发展经验，全面梳理总结本市</w:t>
      </w:r>
      <w:r>
        <w:rPr>
          <w:rFonts w:hint="default" w:ascii="Times New Roman" w:hAnsi="Times New Roman" w:eastAsia="仿宋_GB2312" w:cs="Times New Roman"/>
          <w:sz w:val="32"/>
          <w:szCs w:val="32"/>
          <w:highlight w:val="none"/>
          <w:lang w:val="en-US" w:eastAsia="zh-CN"/>
        </w:rPr>
        <w:t>经济和信息化</w:t>
      </w:r>
      <w:r>
        <w:rPr>
          <w:rFonts w:hint="default" w:ascii="Times New Roman" w:hAnsi="Times New Roman" w:eastAsia="仿宋_GB2312" w:cs="Times New Roman"/>
          <w:sz w:val="32"/>
          <w:szCs w:val="32"/>
          <w:highlight w:val="none"/>
        </w:rPr>
        <w:t>管理的核心发展目标和公共服务功能定位，明确部门3-5年内发展战略目标和年度整体目标。二是严格部门整体绩效目标、项目绩效目标管理。按照“分解中长期规划建设阶段性目标</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制定年度工作要点</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梳理部门年度工作事项</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建立绩效目标体系</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细化绩效指标</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科学、合理、准确设置指标值”的思路设置部门整体绩效目标，实现绩效目标与主要职责、重点任务、支出预算的相符性。设置绩效指标注意符合完整性、合规性、合理性要求，做到指标有约束力、可衡量、可考核。</w:t>
      </w:r>
      <w:bookmarkStart w:id="15" w:name="_Toc20023"/>
      <w:bookmarkStart w:id="16" w:name="_Toc28197"/>
      <w:bookmarkStart w:id="17" w:name="_Toc24471"/>
      <w:bookmarkStart w:id="18" w:name="_Toc32356"/>
      <w:bookmarkStart w:id="19" w:name="_Toc19706"/>
      <w:bookmarkStart w:id="20" w:name="_Toc22777"/>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（二）提升资金配置统筹水平，精准对标项目支出绩效</w:t>
      </w:r>
      <w:bookmarkEnd w:id="15"/>
      <w:bookmarkEnd w:id="16"/>
      <w:bookmarkEnd w:id="17"/>
      <w:bookmarkEnd w:id="18"/>
      <w:bookmarkEnd w:id="19"/>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Hans"/>
        </w:rPr>
        <w:t>强化预算规划性</w:t>
      </w:r>
      <w:bookmarkEnd w:id="20"/>
    </w:p>
    <w:p>
      <w:pPr>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一是强化预算编制顶层设计，做好中长期规划和短期工作计划资金需求，调整优化预算结构，进一步整合</w:t>
      </w:r>
      <w:r>
        <w:rPr>
          <w:rFonts w:hint="default" w:ascii="Times New Roman" w:hAnsi="Times New Roman" w:eastAsia="仿宋_GB2312" w:cs="Times New Roman"/>
          <w:sz w:val="32"/>
          <w:szCs w:val="32"/>
          <w:highlight w:val="none"/>
          <w:lang w:val="en-US" w:eastAsia="zh-CN"/>
        </w:rPr>
        <w:t>经济和信息化</w:t>
      </w:r>
      <w:r>
        <w:rPr>
          <w:rFonts w:hint="default" w:ascii="Times New Roman" w:hAnsi="Times New Roman" w:eastAsia="仿宋_GB2312" w:cs="Times New Roman"/>
          <w:sz w:val="32"/>
          <w:szCs w:val="32"/>
          <w:highlight w:val="none"/>
        </w:rPr>
        <w:t>管理类经费支出，提高预算项目与战略目标、年度目标的匹配度。二是进一步加强和改进预算编制管理，细化预算编报，明确预算申报依据。强化前期预算编制，细化填列项目申报文本中项目背景、资金测算依据、项目前期工作、实施计划、项目概述等内容，并根据细化详实的项目前期信息科学研判项目进度，尽可能根据进度申报当年预算。</w:t>
      </w:r>
    </w:p>
    <w:p>
      <w:pPr>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br w:type="page"/>
      </w:r>
    </w:p>
    <w:p>
      <w:pPr>
        <w:pStyle w:val="10"/>
        <w:ind w:left="0" w:leftChars="0" w:firstLine="0" w:firstLineChars="0"/>
        <w:rPr>
          <w:rFonts w:hint="eastAsia"/>
          <w:lang w:val="en-US" w:eastAsia="zh-CN"/>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tbl>
      <w:tblPr>
        <w:tblStyle w:val="18"/>
        <w:tblW w:w="14174" w:type="dxa"/>
        <w:tblInd w:w="0" w:type="dxa"/>
        <w:tblLayout w:type="fixed"/>
        <w:tblCellMar>
          <w:top w:w="0" w:type="dxa"/>
          <w:left w:w="108" w:type="dxa"/>
          <w:bottom w:w="0" w:type="dxa"/>
          <w:right w:w="108" w:type="dxa"/>
        </w:tblCellMar>
      </w:tblPr>
      <w:tblGrid>
        <w:gridCol w:w="780"/>
        <w:gridCol w:w="700"/>
        <w:gridCol w:w="1553"/>
        <w:gridCol w:w="2278"/>
        <w:gridCol w:w="3105"/>
        <w:gridCol w:w="461"/>
        <w:gridCol w:w="616"/>
        <w:gridCol w:w="1712"/>
        <w:gridCol w:w="2969"/>
      </w:tblGrid>
      <w:tr>
        <w:tblPrEx>
          <w:tblLayout w:type="fixed"/>
          <w:tblCellMar>
            <w:top w:w="0" w:type="dxa"/>
            <w:left w:w="108" w:type="dxa"/>
            <w:bottom w:w="0" w:type="dxa"/>
            <w:right w:w="108" w:type="dxa"/>
          </w:tblCellMar>
        </w:tblPrEx>
        <w:trPr>
          <w:trHeight w:val="90" w:hRule="atLeast"/>
        </w:trPr>
        <w:tc>
          <w:tcPr>
            <w:tcW w:w="14174" w:type="dxa"/>
            <w:gridSpan w:val="9"/>
            <w:tcBorders>
              <w:top w:val="nil"/>
              <w:left w:val="nil"/>
              <w:bottom w:val="single" w:color="auto" w:sz="4" w:space="0"/>
              <w:right w:val="nil"/>
            </w:tcBorders>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2022年部门整体绩效评价指标体系评分表</w:t>
            </w:r>
          </w:p>
        </w:tc>
      </w:tr>
      <w:tr>
        <w:tblPrEx>
          <w:tblLayout w:type="fixed"/>
          <w:tblCellMar>
            <w:top w:w="0" w:type="dxa"/>
            <w:left w:w="108" w:type="dxa"/>
            <w:bottom w:w="0" w:type="dxa"/>
            <w:right w:w="108" w:type="dxa"/>
          </w:tblCellMar>
        </w:tblPrEx>
        <w:trPr>
          <w:trHeight w:val="470" w:hRule="atLeast"/>
        </w:trPr>
        <w:tc>
          <w:tcPr>
            <w:tcW w:w="14174" w:type="dxa"/>
            <w:gridSpan w:val="9"/>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cs="宋体"/>
                <w:color w:val="000000"/>
                <w:kern w:val="0"/>
                <w:sz w:val="16"/>
                <w:szCs w:val="16"/>
              </w:rPr>
            </w:pPr>
            <w:r>
              <w:rPr>
                <w:rFonts w:hint="eastAsia" w:ascii="宋体" w:hAnsi="宋体" w:cs="宋体"/>
                <w:color w:val="000000"/>
                <w:kern w:val="0"/>
                <w:sz w:val="16"/>
                <w:szCs w:val="16"/>
              </w:rPr>
              <w:t>一、当年预算执行情况（20分）</w:t>
            </w:r>
          </w:p>
        </w:tc>
      </w:tr>
      <w:tr>
        <w:tblPrEx>
          <w:tblLayout w:type="fixed"/>
          <w:tblCellMar>
            <w:top w:w="0" w:type="dxa"/>
            <w:left w:w="108" w:type="dxa"/>
            <w:bottom w:w="0" w:type="dxa"/>
            <w:right w:w="108" w:type="dxa"/>
          </w:tblCellMar>
        </w:tblPrEx>
        <w:trPr>
          <w:trHeight w:val="660" w:hRule="atLeast"/>
        </w:trPr>
        <w:tc>
          <w:tcPr>
            <w:tcW w:w="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一</w:t>
            </w:r>
            <w:r>
              <w:rPr>
                <w:rFonts w:ascii="宋体" w:hAnsi="宋体" w:cs="宋体"/>
                <w:color w:val="000000"/>
                <w:kern w:val="0"/>
                <w:sz w:val="16"/>
                <w:szCs w:val="16"/>
              </w:rPr>
              <w:t>级指标</w:t>
            </w:r>
            <w:r>
              <w:rPr>
                <w:rFonts w:hint="eastAsia" w:ascii="宋体" w:hAnsi="宋体" w:cs="宋体"/>
                <w:color w:val="000000"/>
                <w:kern w:val="0"/>
                <w:sz w:val="16"/>
                <w:szCs w:val="16"/>
              </w:rPr>
              <w:t>　</w:t>
            </w: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二</w:t>
            </w:r>
            <w:r>
              <w:rPr>
                <w:rFonts w:ascii="宋体" w:hAnsi="宋体" w:cs="宋体"/>
                <w:color w:val="000000"/>
                <w:kern w:val="0"/>
                <w:sz w:val="16"/>
                <w:szCs w:val="16"/>
              </w:rPr>
              <w:t>级指标</w:t>
            </w:r>
            <w:r>
              <w:rPr>
                <w:rFonts w:hint="eastAsia" w:ascii="宋体" w:hAnsi="宋体" w:cs="宋体"/>
                <w:color w:val="000000"/>
                <w:kern w:val="0"/>
                <w:sz w:val="16"/>
                <w:szCs w:val="16"/>
              </w:rPr>
              <w:t>　</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预算数（万元）</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执行数（万元）</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预算执行率</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分值</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得分</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指标解释</w:t>
            </w:r>
          </w:p>
        </w:tc>
        <w:tc>
          <w:tcPr>
            <w:tcW w:w="29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评分标准</w:t>
            </w:r>
          </w:p>
        </w:tc>
      </w:tr>
      <w:tr>
        <w:tblPrEx>
          <w:tblLayout w:type="fixed"/>
          <w:tblCellMar>
            <w:top w:w="0" w:type="dxa"/>
            <w:left w:w="108" w:type="dxa"/>
            <w:bottom w:w="0" w:type="dxa"/>
            <w:right w:w="108" w:type="dxa"/>
          </w:tblCellMar>
        </w:tblPrEx>
        <w:trPr>
          <w:trHeight w:val="1460" w:hRule="atLeast"/>
        </w:trPr>
        <w:tc>
          <w:tcPr>
            <w:tcW w:w="780" w:type="dxa"/>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当年预算执行情况（20）</w:t>
            </w: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资金总体</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81</w:t>
            </w:r>
            <w:r>
              <w:rPr>
                <w:rFonts w:hint="eastAsia" w:ascii="Times New Roman" w:hAnsi="Times New Roman" w:eastAsia="宋体" w:cs="Times New Roman"/>
                <w:i w:val="0"/>
                <w:iCs w:val="0"/>
                <w:color w:val="000000"/>
                <w:kern w:val="0"/>
                <w:sz w:val="16"/>
                <w:szCs w:val="16"/>
                <w:u w:val="none"/>
                <w:lang w:val="en-US" w:eastAsia="zh-CN" w:bidi="ar"/>
              </w:rPr>
              <w:t>6</w:t>
            </w:r>
            <w:r>
              <w:rPr>
                <w:rFonts w:hint="default" w:ascii="Times New Roman" w:hAnsi="Times New Roman" w:eastAsia="宋体" w:cs="Times New Roman"/>
                <w:i w:val="0"/>
                <w:iCs w:val="0"/>
                <w:color w:val="000000"/>
                <w:kern w:val="0"/>
                <w:sz w:val="16"/>
                <w:szCs w:val="16"/>
                <w:u w:val="none"/>
                <w:lang w:val="en-US" w:eastAsia="zh-CN" w:bidi="ar"/>
              </w:rPr>
              <w:t xml:space="preserve">,495.30 </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Times New Roman" w:hAnsi="Times New Roman" w:eastAsia="宋体" w:cs="Times New Roman"/>
                <w:i w:val="0"/>
                <w:iCs w:val="0"/>
                <w:color w:val="000000"/>
                <w:kern w:val="0"/>
                <w:sz w:val="16"/>
                <w:szCs w:val="16"/>
                <w:u w:val="none"/>
                <w:lang w:val="en-US" w:eastAsia="zh-CN" w:bidi="ar"/>
              </w:rPr>
            </w:pPr>
            <w:r>
              <w:rPr>
                <w:rFonts w:hint="default" w:ascii="Times New Roman" w:hAnsi="Times New Roman" w:eastAsia="宋体" w:cs="Times New Roman"/>
                <w:i w:val="0"/>
                <w:iCs w:val="0"/>
                <w:color w:val="000000"/>
                <w:kern w:val="0"/>
                <w:sz w:val="16"/>
                <w:szCs w:val="16"/>
                <w:u w:val="none"/>
                <w:lang w:val="en-US" w:eastAsia="zh-CN" w:bidi="ar"/>
              </w:rPr>
              <w:t xml:space="preserve">670,974.57 </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82.18%</w:t>
            </w:r>
            <w:r>
              <w:rPr>
                <w:rFonts w:hint="eastAsia" w:ascii="宋体" w:hAnsi="宋体" w:cs="宋体"/>
                <w:color w:val="000000"/>
                <w:kern w:val="0"/>
                <w:sz w:val="16"/>
                <w:szCs w:val="16"/>
              </w:rPr>
              <w:t>　</w:t>
            </w:r>
          </w:p>
        </w:tc>
        <w:tc>
          <w:tcPr>
            <w:tcW w:w="46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20</w:t>
            </w:r>
          </w:p>
        </w:tc>
        <w:tc>
          <w:tcPr>
            <w:tcW w:w="61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both"/>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16.44</w:t>
            </w:r>
            <w:r>
              <w:rPr>
                <w:rFonts w:hint="eastAsia" w:ascii="宋体" w:hAnsi="宋体" w:cs="宋体"/>
                <w:color w:val="000000"/>
                <w:kern w:val="0"/>
                <w:sz w:val="16"/>
                <w:szCs w:val="16"/>
              </w:rPr>
              <w:t>　</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cs="宋体"/>
                <w:color w:val="000000"/>
                <w:kern w:val="0"/>
                <w:sz w:val="16"/>
                <w:szCs w:val="16"/>
              </w:rPr>
            </w:pPr>
            <w:r>
              <w:rPr>
                <w:rFonts w:hint="eastAsia" w:ascii="宋体" w:hAnsi="宋体" w:cs="宋体"/>
                <w:color w:val="000000"/>
                <w:kern w:val="0"/>
                <w:sz w:val="16"/>
                <w:szCs w:val="16"/>
              </w:rPr>
              <w:t>部门全年执行数与全年预算数的比率。资金总体=基本支出+项目支出+其他</w:t>
            </w:r>
          </w:p>
        </w:tc>
        <w:tc>
          <w:tcPr>
            <w:tcW w:w="2969"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cs="宋体"/>
                <w:color w:val="000000"/>
                <w:kern w:val="0"/>
                <w:sz w:val="16"/>
                <w:szCs w:val="16"/>
              </w:rPr>
            </w:pPr>
            <w:r>
              <w:rPr>
                <w:rFonts w:hint="eastAsia" w:ascii="宋体" w:hAnsi="宋体" w:cs="宋体"/>
                <w:color w:val="000000"/>
                <w:kern w:val="0"/>
                <w:sz w:val="16"/>
                <w:szCs w:val="16"/>
              </w:rPr>
              <w:t>①得分一档最高不能超过该指标分值上限（20分）。</w:t>
            </w:r>
            <w:r>
              <w:rPr>
                <w:rFonts w:hint="eastAsia" w:ascii="宋体" w:hAnsi="宋体" w:cs="宋体"/>
                <w:color w:val="000000"/>
                <w:kern w:val="0"/>
                <w:sz w:val="16"/>
                <w:szCs w:val="16"/>
              </w:rPr>
              <w:br w:type="textWrapping"/>
            </w:r>
            <w:r>
              <w:rPr>
                <w:rFonts w:hint="eastAsia" w:ascii="宋体" w:hAnsi="宋体" w:cs="宋体"/>
                <w:color w:val="000000"/>
                <w:kern w:val="0"/>
                <w:sz w:val="16"/>
                <w:szCs w:val="16"/>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trHeight w:val="1600" w:hRule="atLeast"/>
        </w:trPr>
        <w:tc>
          <w:tcPr>
            <w:tcW w:w="7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700" w:type="dxa"/>
            <w:tcBorders>
              <w:top w:val="single" w:color="auto" w:sz="4" w:space="0"/>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基本支出</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color w:val="000000"/>
                <w:kern w:val="0"/>
                <w:sz w:val="16"/>
                <w:szCs w:val="16"/>
              </w:rPr>
            </w:pPr>
            <w:r>
              <w:rPr>
                <w:rFonts w:hint="default" w:ascii="Times New Roman" w:hAnsi="Times New Roman" w:eastAsia="宋体" w:cs="Times New Roman"/>
                <w:i w:val="0"/>
                <w:iCs w:val="0"/>
                <w:color w:val="000000"/>
                <w:kern w:val="0"/>
                <w:sz w:val="16"/>
                <w:szCs w:val="16"/>
                <w:u w:val="none"/>
                <w:lang w:val="en-US" w:eastAsia="zh-CN" w:bidi="ar"/>
              </w:rPr>
              <w:t xml:space="preserve">30,535.94 </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color w:val="000000"/>
                <w:kern w:val="0"/>
                <w:sz w:val="16"/>
                <w:szCs w:val="16"/>
              </w:rPr>
            </w:pPr>
            <w:r>
              <w:rPr>
                <w:rFonts w:hint="default" w:ascii="Times New Roman" w:hAnsi="Times New Roman" w:eastAsia="宋体" w:cs="Times New Roman"/>
                <w:i w:val="0"/>
                <w:iCs w:val="0"/>
                <w:color w:val="000000"/>
                <w:kern w:val="0"/>
                <w:sz w:val="16"/>
                <w:szCs w:val="16"/>
                <w:u w:val="none"/>
                <w:lang w:val="en-US" w:eastAsia="zh-CN" w:bidi="ar"/>
              </w:rPr>
              <w:t xml:space="preserve">28,005.93 </w:t>
            </w:r>
          </w:p>
        </w:tc>
        <w:tc>
          <w:tcPr>
            <w:tcW w:w="310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w:t>
            </w:r>
          </w:p>
        </w:tc>
        <w:tc>
          <w:tcPr>
            <w:tcW w:w="46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616" w:type="dxa"/>
            <w:vMerge w:val="continue"/>
            <w:tcBorders>
              <w:top w:val="single" w:color="auto" w:sz="4" w:space="0"/>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2969"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1599" w:hRule="atLeast"/>
        </w:trPr>
        <w:tc>
          <w:tcPr>
            <w:tcW w:w="7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700" w:type="dxa"/>
            <w:tcBorders>
              <w:top w:val="single" w:color="auto" w:sz="4" w:space="0"/>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项目支出</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color w:val="000000"/>
                <w:kern w:val="0"/>
                <w:sz w:val="16"/>
                <w:szCs w:val="16"/>
              </w:rPr>
            </w:pPr>
            <w:r>
              <w:rPr>
                <w:rFonts w:hint="default" w:ascii="Times New Roman" w:hAnsi="Times New Roman" w:eastAsia="宋体" w:cs="Times New Roman"/>
                <w:i w:val="0"/>
                <w:iCs w:val="0"/>
                <w:color w:val="000000"/>
                <w:kern w:val="0"/>
                <w:sz w:val="16"/>
                <w:szCs w:val="16"/>
                <w:u w:val="none"/>
                <w:lang w:val="en-US" w:eastAsia="zh-CN" w:bidi="ar"/>
              </w:rPr>
              <w:t>78</w:t>
            </w:r>
            <w:r>
              <w:rPr>
                <w:rFonts w:hint="eastAsia" w:ascii="Times New Roman" w:hAnsi="Times New Roman" w:eastAsia="宋体" w:cs="Times New Roman"/>
                <w:i w:val="0"/>
                <w:iCs w:val="0"/>
                <w:color w:val="000000"/>
                <w:kern w:val="0"/>
                <w:sz w:val="16"/>
                <w:szCs w:val="16"/>
                <w:u w:val="none"/>
                <w:lang w:val="en-US" w:eastAsia="zh-CN" w:bidi="ar"/>
              </w:rPr>
              <w:t>5</w:t>
            </w:r>
            <w:r>
              <w:rPr>
                <w:rFonts w:hint="default" w:ascii="Times New Roman" w:hAnsi="Times New Roman" w:eastAsia="宋体" w:cs="Times New Roman"/>
                <w:i w:val="0"/>
                <w:iCs w:val="0"/>
                <w:color w:val="000000"/>
                <w:kern w:val="0"/>
                <w:sz w:val="16"/>
                <w:szCs w:val="16"/>
                <w:u w:val="none"/>
                <w:lang w:val="en-US" w:eastAsia="zh-CN" w:bidi="ar"/>
              </w:rPr>
              <w:t xml:space="preserve">,959.36 </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cs="宋体"/>
                <w:color w:val="000000"/>
                <w:kern w:val="0"/>
                <w:sz w:val="16"/>
                <w:szCs w:val="16"/>
              </w:rPr>
            </w:pPr>
            <w:r>
              <w:rPr>
                <w:rFonts w:hint="default" w:ascii="Times New Roman" w:hAnsi="Times New Roman" w:eastAsia="宋体" w:cs="Times New Roman"/>
                <w:i w:val="0"/>
                <w:iCs w:val="0"/>
                <w:color w:val="000000"/>
                <w:kern w:val="0"/>
                <w:sz w:val="16"/>
                <w:szCs w:val="16"/>
                <w:u w:val="none"/>
                <w:lang w:val="en-US" w:eastAsia="zh-CN" w:bidi="ar"/>
              </w:rPr>
              <w:t xml:space="preserve">642,968.64 </w:t>
            </w:r>
          </w:p>
        </w:tc>
        <w:tc>
          <w:tcPr>
            <w:tcW w:w="310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46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616" w:type="dxa"/>
            <w:vMerge w:val="continue"/>
            <w:tcBorders>
              <w:top w:val="single" w:color="auto" w:sz="4" w:space="0"/>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2969"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599" w:hRule="atLeast"/>
        </w:trPr>
        <w:tc>
          <w:tcPr>
            <w:tcW w:w="78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其他</w:t>
            </w:r>
          </w:p>
        </w:tc>
        <w:tc>
          <w:tcPr>
            <w:tcW w:w="155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w:t>
            </w:r>
            <w:r>
              <w:rPr>
                <w:rFonts w:hint="eastAsia" w:ascii="宋体" w:hAnsi="宋体" w:cs="宋体"/>
                <w:color w:val="000000"/>
                <w:kern w:val="0"/>
                <w:sz w:val="16"/>
                <w:szCs w:val="16"/>
              </w:rPr>
              <w:t>　</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right"/>
              <w:rPr>
                <w:rFonts w:hint="eastAsia" w:ascii="宋体" w:hAnsi="宋体" w:cs="宋体"/>
                <w:color w:val="000000"/>
                <w:kern w:val="0"/>
                <w:sz w:val="16"/>
                <w:szCs w:val="16"/>
              </w:rPr>
            </w:pPr>
            <w:r>
              <w:rPr>
                <w:rFonts w:hint="eastAsia" w:ascii="宋体" w:hAnsi="宋体" w:cs="宋体"/>
                <w:color w:val="000000"/>
                <w:kern w:val="0"/>
                <w:sz w:val="16"/>
                <w:szCs w:val="16"/>
                <w:lang w:val="en-US" w:eastAsia="zh-CN"/>
              </w:rPr>
              <w:t>--</w:t>
            </w:r>
            <w:r>
              <w:rPr>
                <w:rFonts w:hint="eastAsia" w:ascii="宋体" w:hAnsi="宋体" w:cs="宋体"/>
                <w:color w:val="000000"/>
                <w:kern w:val="0"/>
                <w:sz w:val="16"/>
                <w:szCs w:val="16"/>
              </w:rPr>
              <w:t>　</w:t>
            </w:r>
          </w:p>
        </w:tc>
        <w:tc>
          <w:tcPr>
            <w:tcW w:w="310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46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616" w:type="dxa"/>
            <w:vMerge w:val="continue"/>
            <w:tcBorders>
              <w:top w:val="single" w:color="auto" w:sz="4" w:space="0"/>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c>
          <w:tcPr>
            <w:tcW w:w="2969"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ascii="宋体" w:hAnsi="宋体" w:cs="宋体"/>
                <w:color w:val="000000"/>
                <w:kern w:val="0"/>
                <w:sz w:val="16"/>
                <w:szCs w:val="16"/>
              </w:rPr>
            </w:pPr>
          </w:p>
        </w:tc>
      </w:tr>
      <w:tr>
        <w:tblPrEx>
          <w:tblLayout w:type="fixed"/>
          <w:tblCellMar>
            <w:top w:w="0" w:type="dxa"/>
            <w:left w:w="108" w:type="dxa"/>
            <w:bottom w:w="0" w:type="dxa"/>
            <w:right w:w="108" w:type="dxa"/>
          </w:tblCellMar>
        </w:tblPrEx>
        <w:trPr>
          <w:trHeight w:val="569"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rPr>
                <w:rFonts w:hint="eastAsia" w:ascii="宋体" w:hAnsi="宋体" w:cs="宋体"/>
                <w:color w:val="000000"/>
                <w:kern w:val="0"/>
                <w:sz w:val="16"/>
                <w:szCs w:val="16"/>
              </w:rPr>
            </w:pPr>
            <w:r>
              <w:rPr>
                <w:rFonts w:hint="eastAsia" w:ascii="宋体" w:hAnsi="宋体" w:cs="宋体"/>
                <w:color w:val="000000"/>
                <w:kern w:val="0"/>
                <w:sz w:val="16"/>
                <w:szCs w:val="16"/>
              </w:rPr>
              <w:t>二</w:t>
            </w:r>
            <w:r>
              <w:rPr>
                <w:rFonts w:ascii="宋体" w:hAnsi="宋体" w:cs="宋体"/>
                <w:color w:val="000000"/>
                <w:kern w:val="0"/>
                <w:sz w:val="16"/>
                <w:szCs w:val="16"/>
              </w:rPr>
              <w:t>、</w:t>
            </w:r>
            <w:r>
              <w:rPr>
                <w:rFonts w:hint="eastAsia" w:ascii="宋体" w:hAnsi="宋体" w:cs="宋体"/>
                <w:color w:val="000000"/>
                <w:kern w:val="0"/>
                <w:sz w:val="16"/>
                <w:szCs w:val="16"/>
              </w:rPr>
              <w:t>整体绩效目标实现情况（60分）</w:t>
            </w:r>
          </w:p>
        </w:tc>
      </w:tr>
      <w:tr>
        <w:tblPrEx>
          <w:tblLayout w:type="fixed"/>
          <w:tblCellMar>
            <w:top w:w="0" w:type="dxa"/>
            <w:left w:w="108" w:type="dxa"/>
            <w:bottom w:w="0" w:type="dxa"/>
            <w:right w:w="108" w:type="dxa"/>
          </w:tblCellMar>
        </w:tblPrEx>
        <w:trPr>
          <w:trHeight w:val="499" w:hRule="atLeast"/>
        </w:trPr>
        <w:tc>
          <w:tcPr>
            <w:tcW w:w="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一</w:t>
            </w:r>
            <w:r>
              <w:rPr>
                <w:rFonts w:ascii="宋体" w:hAnsi="宋体" w:cs="宋体"/>
                <w:color w:val="000000"/>
                <w:kern w:val="0"/>
                <w:sz w:val="16"/>
                <w:szCs w:val="16"/>
              </w:rPr>
              <w:t>级指标</w:t>
            </w: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二</w:t>
            </w:r>
            <w:r>
              <w:rPr>
                <w:rFonts w:ascii="宋体" w:hAnsi="宋体" w:cs="宋体"/>
                <w:color w:val="000000"/>
                <w:kern w:val="0"/>
                <w:sz w:val="16"/>
                <w:szCs w:val="16"/>
              </w:rPr>
              <w:t>级指标</w:t>
            </w:r>
            <w:r>
              <w:rPr>
                <w:rFonts w:hint="eastAsia" w:ascii="宋体" w:hAnsi="宋体" w:cs="宋体"/>
                <w:color w:val="000000"/>
                <w:kern w:val="0"/>
                <w:sz w:val="16"/>
                <w:szCs w:val="16"/>
              </w:rPr>
              <w:t>　</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三</w:t>
            </w:r>
            <w:r>
              <w:rPr>
                <w:rFonts w:ascii="宋体" w:hAnsi="宋体" w:cs="宋体"/>
                <w:color w:val="000000"/>
                <w:kern w:val="0"/>
                <w:sz w:val="16"/>
                <w:szCs w:val="16"/>
              </w:rPr>
              <w:t>级指标</w:t>
            </w:r>
            <w:r>
              <w:rPr>
                <w:rFonts w:hint="eastAsia" w:ascii="宋体" w:hAnsi="宋体" w:cs="宋体"/>
                <w:color w:val="000000"/>
                <w:kern w:val="0"/>
                <w:sz w:val="16"/>
                <w:szCs w:val="16"/>
              </w:rPr>
              <w:t>　</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指标值</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完成值</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分值</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得分</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bCs/>
                <w:color w:val="000000"/>
                <w:kern w:val="0"/>
                <w:sz w:val="16"/>
                <w:szCs w:val="16"/>
              </w:rPr>
            </w:pPr>
            <w:r>
              <w:rPr>
                <w:rFonts w:hint="eastAsia" w:ascii="宋体" w:hAnsi="宋体" w:cs="宋体"/>
                <w:bCs/>
                <w:color w:val="000000"/>
                <w:kern w:val="0"/>
                <w:sz w:val="16"/>
                <w:szCs w:val="16"/>
              </w:rPr>
              <w:t>指标</w:t>
            </w:r>
            <w:r>
              <w:rPr>
                <w:rFonts w:ascii="宋体" w:hAnsi="宋体" w:cs="宋体"/>
                <w:bCs/>
                <w:color w:val="000000"/>
                <w:kern w:val="0"/>
                <w:sz w:val="16"/>
                <w:szCs w:val="16"/>
              </w:rPr>
              <w:t>解释</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r>
              <w:rPr>
                <w:rFonts w:hint="eastAsia" w:ascii="宋体" w:hAnsi="宋体" w:cs="宋体"/>
                <w:color w:val="000000"/>
                <w:kern w:val="0"/>
                <w:sz w:val="16"/>
                <w:szCs w:val="16"/>
              </w:rPr>
              <w:t>评</w:t>
            </w:r>
            <w:r>
              <w:rPr>
                <w:rFonts w:ascii="宋体" w:hAnsi="宋体" w:cs="宋体"/>
                <w:color w:val="000000"/>
                <w:kern w:val="0"/>
                <w:sz w:val="16"/>
                <w:szCs w:val="16"/>
              </w:rPr>
              <w:t>分标准</w:t>
            </w:r>
          </w:p>
        </w:tc>
      </w:tr>
      <w:tr>
        <w:tblPrEx>
          <w:tblLayout w:type="fixed"/>
          <w:tblCellMar>
            <w:top w:w="0" w:type="dxa"/>
            <w:left w:w="108" w:type="dxa"/>
            <w:bottom w:w="0" w:type="dxa"/>
            <w:right w:w="108" w:type="dxa"/>
          </w:tblCellMar>
        </w:tblPrEx>
        <w:trPr>
          <w:trHeight w:val="1196" w:hRule="atLeast"/>
        </w:trPr>
        <w:tc>
          <w:tcPr>
            <w:tcW w:w="78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整体绩效目标实现情况</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（60分）</w:t>
            </w:r>
          </w:p>
        </w:tc>
        <w:tc>
          <w:tcPr>
            <w:tcW w:w="7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产出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（30分）</w:t>
            </w:r>
          </w:p>
        </w:tc>
        <w:tc>
          <w:tcPr>
            <w:tcW w:w="1553"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北京高精尖产业发展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（4分）</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工业、软件和信息服务企业运行监测</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工业增加值5036.4亿元，同比下降14.6%，扣除疫苗因素后同比增长2.5%，占GDP比重稳步提升，达到12.1%；软件信息服务业增加值7456.2亿元，同比增长9.8%，占GDP比重进一步提升至17.9%；数字经济实现增加值17330.2亿元，同比增长4.4%，占全市比重达到41.6%，为稳定全市经济大盘提供了坚实保障。工业重点产业和软件信息服务业固定资产投资累计完成1275亿元（工业748亿元，软件527亿元），同比增长25%。市场主体在京发展的积极性显著提升，全市先进制造业与软件信息服务业新设企业5494家，同比增长27.15%。</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评价工业、软件和信息服务企业运行监测工作的完成度。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评价要点：运行监测数据渠道建设及配套工作、重大产业项目统一管理调度等两项工作的完成情况；工业重点产业固定资产投资增长率、软件和信息服务业固定资产投资目标的完成情况。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完成运行监测计划工作90%以上，满分；每少完成10%扣0.5分，扣完为止。</w:t>
            </w:r>
          </w:p>
        </w:tc>
      </w:tr>
      <w:tr>
        <w:tblPrEx>
          <w:tblLayout w:type="fixed"/>
          <w:tblCellMar>
            <w:top w:w="0" w:type="dxa"/>
            <w:left w:w="108" w:type="dxa"/>
            <w:bottom w:w="0" w:type="dxa"/>
            <w:right w:w="108" w:type="dxa"/>
          </w:tblCellMar>
        </w:tblPrEx>
        <w:trPr>
          <w:trHeight w:val="90"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北京高精尖产业发展资金</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印发“十四五”高精尖规划主要目标任务分工方案和各区重点产业集群指导方向，市区联动推动规划落地，八成以上任务目标按进度顺利推进。加强高精尖项目跟踪调度，年内推动小米智能工厂二期、丰田燃料电池等83个投资过亿制造业项目开工，实现北京奔驰整车技改、智飞绿竹疫苗新品种生产基地等一批重大项目竣工投产。中德、中日两个产业园新增落地项目43家。深入推进实施“新智造100”工程，累计支持96个智能化改造升级项目，打造智能工厂、数字化车间共83个，5家企业入选国家级智能制造示范工厂，9家企业入选国家级智能制造优秀场景。支持900余家企业资金达17.5亿元。推动北京高精尖产业发展基金调整，设立北京中移数字新经济产业基金、北京智造转型升级基金两支产业基金，增加基金规模220亿元。</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评价高精尖产业发展资金支持工作的完成度。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评价要点：重大产业项目落地、存量优质企业转型升级、产业生态环境提升等项目工作的完成情况。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完成发展资金支持计划工作90%以上，满分；每少完成10%扣0.5分，扣完为止。</w:t>
            </w:r>
          </w:p>
        </w:tc>
      </w:tr>
      <w:tr>
        <w:tblPrEx>
          <w:tblLayout w:type="fixed"/>
          <w:tblCellMar>
            <w:top w:w="0" w:type="dxa"/>
            <w:left w:w="108" w:type="dxa"/>
            <w:bottom w:w="0" w:type="dxa"/>
            <w:right w:w="108" w:type="dxa"/>
          </w:tblCellMar>
        </w:tblPrEx>
        <w:trPr>
          <w:trHeight w:val="1093"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1553" w:type="dxa"/>
            <w:vMerge w:val="restar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工艺美术产业发展（2分）</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北京传统工艺美术产业发展和技艺传承</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向147名北京工艺美术大师发放了2022年北京传统工艺美术大师带徒补助，通过北京传统工艺美术大师带徒补助，建设一支数量充足、结构合理、技艺精湛、素质优良、传承永续的高级人才队伍，促进北京传统工艺美术产业的发展和技艺传承。</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评价北京传统工艺美术产业发展和技艺传承工作完成度。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评价重点：带徒补助的发放情况、人才队伍的建设情况。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北京传统工艺美术大师带徒补助发放、人才队伍建设工作完成度达90%以上，满分；每少完成10%的工作量扣0.2分，扣完为止。</w:t>
            </w:r>
          </w:p>
        </w:tc>
      </w:tr>
      <w:tr>
        <w:tblPrEx>
          <w:tblLayout w:type="fixed"/>
          <w:tblCellMar>
            <w:top w:w="0" w:type="dxa"/>
            <w:left w:w="108" w:type="dxa"/>
            <w:bottom w:w="0" w:type="dxa"/>
            <w:right w:w="108" w:type="dxa"/>
          </w:tblCellMar>
        </w:tblPrEx>
        <w:trPr>
          <w:trHeight w:val="90"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组织北京工艺美术行业相关活动</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组织开展工艺美术相关活动，培养造就北京工艺美术人才队伍。举办第十一次北京传统工艺美术珍品评选，评出北京传统工艺美术珍品4件；组织开展2022年北京“工美杯”传统工艺美术大赛，大赛共征集作品587件（套）；举办2022年第十六届北京工艺美术展，展出了2022“工美杯”部分获奖作品共计200件（套）。通过“工美杯”北京工艺美术创新设计大赛及工美展的实施，促进北京工艺美术传统技艺的创新发展，大师队伍年龄结构进一步优化，带动技艺人才培养，促进北京工艺美术传统技艺的创新发展。进一步宣传北京工艺美术行业传承发展的成果，搭建优秀工艺美术作品展示平台，宣传北京工艺美术品牌。</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评价组织北京工艺美术行业相关活动工作完成度。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评价重点：第十一次北京传统工艺美术珍品评选、2022年北京“工美杯”传统工艺美术大赛、2022年第十六届北京工艺美术展工作完成情况。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三项工作全部完成、切实培养工艺美术人才，满分；每分项少完成10%的工作量扣0.5分，扣完为止。</w:t>
            </w:r>
          </w:p>
        </w:tc>
      </w:tr>
      <w:tr>
        <w:tblPrEx>
          <w:tblLayout w:type="fixed"/>
          <w:tblCellMar>
            <w:top w:w="0" w:type="dxa"/>
            <w:left w:w="108" w:type="dxa"/>
            <w:bottom w:w="0" w:type="dxa"/>
            <w:right w:w="108" w:type="dxa"/>
          </w:tblCellMar>
        </w:tblPrEx>
        <w:trPr>
          <w:trHeight w:val="675" w:hRule="atLeast"/>
        </w:trPr>
        <w:tc>
          <w:tcPr>
            <w:tcW w:w="78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同上</w:t>
            </w:r>
          </w:p>
        </w:tc>
        <w:tc>
          <w:tcPr>
            <w:tcW w:w="7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同上</w:t>
            </w:r>
          </w:p>
        </w:tc>
        <w:tc>
          <w:tcPr>
            <w:tcW w:w="1553" w:type="dxa"/>
            <w:vMerge w:val="restar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绿色环保支持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（2分）</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新能源汽车补助资金</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依据国家及北京市相关政策，开展2022年新能源汽车补贴资金拨付工作，涉及21家车企的34538辆新能源汽车。规范并推动本市新能源汽车产业化发展。</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nil"/>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评价新能源汽车补助资金工作完成度。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评价重点：新能源汽车补贴资金拨付工作完成情况。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新能源汽车补助资金工作完成度达90%以上，满分；每少完成10%的工作量扣0.2分，扣完为止。</w:t>
            </w:r>
          </w:p>
        </w:tc>
      </w:tr>
      <w:tr>
        <w:tblPrEx>
          <w:tblLayout w:type="fixed"/>
          <w:tblCellMar>
            <w:top w:w="0" w:type="dxa"/>
            <w:left w:w="108" w:type="dxa"/>
            <w:bottom w:w="0" w:type="dxa"/>
            <w:right w:w="108" w:type="dxa"/>
          </w:tblCellMar>
        </w:tblPrEx>
        <w:trPr>
          <w:trHeight w:val="630"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节能环保和绿色发展工作推进</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有序推进一般制造业疏解提质，持续完善动态管理机制，会同各区提前完成100项一般制造业疏解提质年度计划任务，部分区超额完成计划外项目66项。制定“十四五”时期制造业绿色低碳发展行动方案，推进乘用车、商用车、数据中心等重点领域10余项绿色发展地方标准制修订，首次面向179家企业开展绿色诊断服务，向工信部推荐30个绿色制造示范单位，推动3家企业入选国家工业产品绿色设计示范企业名单，累计推动92家企业入选国家级绿色工厂、19家企业入选国家级绿色供应链管理示范企业，逐步建立起以方案为统筹、以标准为准绳、以诊断为手段、以示范为引领的绿色制造工作体系。推动绿色制造示范企业数量稳步提升，推进制造业企业提质增效，促进制造业企业节能减排。</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评价节能环保和绿色发展工作推进工作完成度。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评价要点：节能环保推进、征集、推广节能减排新技术、新产品、新模式和推进节能环保产业项目建设和重点领域发展工作完成情况。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工作完成度达90%以上，满分；每分项少完成10%的工作量扣0.2分，扣完为止。</w:t>
            </w:r>
          </w:p>
        </w:tc>
      </w:tr>
      <w:tr>
        <w:tblPrEx>
          <w:tblLayout w:type="fixed"/>
          <w:tblCellMar>
            <w:top w:w="0" w:type="dxa"/>
            <w:left w:w="108" w:type="dxa"/>
            <w:bottom w:w="0" w:type="dxa"/>
            <w:right w:w="108" w:type="dxa"/>
          </w:tblCellMar>
        </w:tblPrEx>
        <w:trPr>
          <w:trHeight w:val="2736"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1553" w:type="dxa"/>
            <w:vMerge w:val="restar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中小企业发展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（5分）</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多元化支持方式，降低中小企业成本，营造我市中小企业创新发展良好局面</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一是通过支持示范平台、示范基地建设，健全中小企业服务体系，服务中小企业健康发展；二是通过发放中小企业服务券补贴、中小企业创新融资奖补、首贷贴息等，发挥了财政资金帮扶作用，进一步降低在京中小微企业融资成本。三是持续完善枢纽平台服务功能，2022年枢纽平台汇聚平台基地服务商等机构811家，搭建APP、微信、头条等中小企业服务渠道数量8条，极大地拓展了枢纽平台的服务内容，提升了服务能力。</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3</w:t>
            </w:r>
          </w:p>
        </w:tc>
        <w:tc>
          <w:tcPr>
            <w:tcW w:w="616" w:type="dxa"/>
            <w:tcBorders>
              <w:top w:val="single" w:color="auto" w:sz="4" w:space="0"/>
              <w:left w:val="nil"/>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3</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评价改善中小企业发展专项资金支持等工作完成度。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评价重点：示范平台、示范基地建设、发放中小企业服务券补贴、中小企业创新融资奖补、首贷贴息、完善枢纽平台服务功能工作的情况。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完成专项资金支持计划工作90%以上，满分；每少完成10%扣0.5分，扣完为止。</w:t>
            </w:r>
          </w:p>
        </w:tc>
      </w:tr>
      <w:tr>
        <w:tblPrEx>
          <w:tblLayout w:type="fixed"/>
          <w:tblCellMar>
            <w:top w:w="0" w:type="dxa"/>
            <w:left w:w="108" w:type="dxa"/>
            <w:bottom w:w="0" w:type="dxa"/>
            <w:right w:w="108" w:type="dxa"/>
          </w:tblCellMar>
        </w:tblPrEx>
        <w:trPr>
          <w:trHeight w:val="90"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提升决策服务质量，全面摸排中小企业数据，有效服务于管理决策</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开展中小企业发展环境评估，聚焦市场环境、法治环境、融资环境、创新环境、政策环境五个评价维度，回收问卷超过1500份，出具北京市中小企业发展环境评估报告，报告提出了目前北京市中小企业发展面临的主要问题并提出了相关建议；在开展北京市中小企业公共服务平台枢纽平台运营服务中，运营机构积极开展了政策评估，对京沪稳经济一揽子政策、京沪数字化赋能政策等进行了政策对比分析，建立政策闭环服务，形成多份政策对比分析报告。</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评价开展中小企业发展环境评估工作完成情况。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评价重点：出具北京市中小企业发展环境评估报告、开展政策评估，形成多份政策对比分析报告等工作的情况。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完成中小企业发展环境评估工作90%以上，满分；每少完成10%扣0.2分，扣完为止。</w:t>
            </w:r>
          </w:p>
        </w:tc>
      </w:tr>
      <w:tr>
        <w:tblPrEx>
          <w:tblLayout w:type="fixed"/>
          <w:tblCellMar>
            <w:top w:w="0" w:type="dxa"/>
            <w:left w:w="108" w:type="dxa"/>
            <w:bottom w:w="0" w:type="dxa"/>
            <w:right w:w="108" w:type="dxa"/>
          </w:tblCellMar>
        </w:tblPrEx>
        <w:trPr>
          <w:trHeight w:val="90"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sz w:val="16"/>
                <w:szCs w:val="16"/>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sz w:val="16"/>
                <w:szCs w:val="16"/>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sz w:val="16"/>
                <w:szCs w:val="16"/>
              </w:rPr>
            </w:pPr>
            <w:r>
              <w:rPr>
                <w:rFonts w:hint="eastAsia" w:ascii="宋体" w:hAnsi="宋体" w:eastAsia="宋体" w:cs="宋体"/>
                <w:i w:val="0"/>
                <w:iCs w:val="0"/>
                <w:color w:val="000000"/>
                <w:kern w:val="0"/>
                <w:sz w:val="16"/>
                <w:szCs w:val="16"/>
                <w:u w:val="none"/>
                <w:lang w:val="en-US" w:eastAsia="zh-CN" w:bidi="ar"/>
              </w:rPr>
              <w:t>规范开展政策服务，简化优化评审评价等管理流程，提高中小企业满意度</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sz w:val="16"/>
                <w:szCs w:val="16"/>
              </w:rPr>
            </w:pPr>
            <w:r>
              <w:rPr>
                <w:rFonts w:hint="eastAsia" w:ascii="宋体" w:hAnsi="宋体" w:eastAsia="宋体" w:cs="宋体"/>
                <w:i w:val="0"/>
                <w:iCs w:val="0"/>
                <w:color w:val="000000"/>
                <w:kern w:val="0"/>
                <w:sz w:val="16"/>
                <w:szCs w:val="16"/>
                <w:u w:val="none"/>
                <w:lang w:val="en-US" w:eastAsia="zh-CN" w:bidi="ar"/>
              </w:rPr>
              <w:t>按照资金管理办法的要求，结合年度重点支持方向，简化资金申请程序、申请材料，减低企业资金申请成本，细化项目评审规则规范，提高评审工作规范性和效率性，实现“申请一批、评审一批、成熟一批、拨付一批”，在确保公平公正性的同时，提高资金拨付效率，让中小企业和相关服务机构能够及时享受政策。通过向部分中小企业和示范平台、基地、金融机构发放调查问卷结果显示，企业或运营机构对2022年北京市支持中小企业发展资金的综合满意度较高，其中，中小企业满意度95.8%，示范平台（基地）及金融机构满意度96.9%。</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sz w:val="16"/>
                <w:szCs w:val="16"/>
              </w:rPr>
            </w:pPr>
            <w:r>
              <w:rPr>
                <w:rFonts w:hint="eastAsia" w:ascii="宋体" w:hAnsi="宋体" w:eastAsia="宋体" w:cs="宋体"/>
                <w:i w:val="0"/>
                <w:iCs w:val="0"/>
                <w:color w:val="000000"/>
                <w:kern w:val="0"/>
                <w:sz w:val="16"/>
                <w:szCs w:val="16"/>
                <w:u w:val="none"/>
                <w:lang w:val="en-US" w:eastAsia="zh-CN" w:bidi="ar"/>
              </w:rPr>
              <w:t>评价规范开展政策服务，简化优化评审评价等管理流程工作完成度。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评价重点：规范开展政策服务，简化优化评审评价等管理工作的完成情况。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sz w:val="16"/>
                <w:szCs w:val="16"/>
              </w:rPr>
            </w:pPr>
            <w:r>
              <w:rPr>
                <w:rFonts w:hint="eastAsia" w:ascii="宋体" w:hAnsi="宋体" w:eastAsia="宋体" w:cs="宋体"/>
                <w:i w:val="0"/>
                <w:iCs w:val="0"/>
                <w:color w:val="000000"/>
                <w:kern w:val="0"/>
                <w:sz w:val="16"/>
                <w:szCs w:val="16"/>
                <w:u w:val="none"/>
                <w:lang w:val="en-US" w:eastAsia="zh-CN" w:bidi="ar"/>
              </w:rPr>
              <w:t>规范开展政策服务完成90%以上，满分；每少完成10%的工作量扣0.2分，扣完为止。</w:t>
            </w:r>
          </w:p>
        </w:tc>
      </w:tr>
      <w:tr>
        <w:tblPrEx>
          <w:tblLayout w:type="fixed"/>
          <w:tblCellMar>
            <w:top w:w="0" w:type="dxa"/>
            <w:left w:w="108" w:type="dxa"/>
            <w:bottom w:w="0" w:type="dxa"/>
            <w:right w:w="108" w:type="dxa"/>
          </w:tblCellMar>
        </w:tblPrEx>
        <w:trPr>
          <w:trHeight w:val="702" w:hRule="atLeast"/>
        </w:trPr>
        <w:tc>
          <w:tcPr>
            <w:tcW w:w="78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同上</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同上</w:t>
            </w:r>
          </w:p>
        </w:tc>
        <w:tc>
          <w:tcPr>
            <w:tcW w:w="7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同上</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同上</w:t>
            </w:r>
          </w:p>
        </w:tc>
        <w:tc>
          <w:tcPr>
            <w:tcW w:w="1553" w:type="dxa"/>
            <w:vMerge w:val="restar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“大数据”建设及应用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（5分）</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北京市大数据发展推进</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2022年共收集整理了48个市级委办局、17个区域资料，汇总智慧城市重点任务工作进展情况。在支撑智慧城市重点配套政策措施资料整理方面，为配套政策措施实施做好研究准备工作。收集整理了31各省市2023年政府工作报告中关于智慧城市建设部署内容；协助支撑第六届数字中国峰会资料整理，包括智慧环保应急、回天大脑为主题的11家单位反馈材料；协助组织“一网通办”、“一网统管”、交通、应急、司法、教育、医疗、生态环保、规划管理、市交通委、等领域委办局以及各区的对接会议，征集各单位智慧城市应用场景开放案例，支撑我市应用场景开放政策制定。开展智慧城市发展和评价指标整理方面，协助探索智慧城市产业发展策略。收集国内外文献关于政企合作项目模式的分类及定义，并整理了上海、安徽、湖南等国内主要省市智慧城市政企合作项目案例，分析其解决方案或提升措施。</w:t>
            </w:r>
          </w:p>
        </w:tc>
        <w:tc>
          <w:tcPr>
            <w:tcW w:w="461"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w:t>
            </w:r>
          </w:p>
        </w:tc>
        <w:tc>
          <w:tcPr>
            <w:tcW w:w="616" w:type="dxa"/>
            <w:tcBorders>
              <w:top w:val="single" w:color="auto" w:sz="4" w:space="0"/>
              <w:left w:val="nil"/>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b/>
                <w:bCs/>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评价大数据发展推进工作完成度。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评价要点：北京大数据行动计划中具体工程项目和运营工作的技术咨询和指导，各项工作和工作各环节的全方位评估评价等完成情况。</w:t>
            </w:r>
          </w:p>
        </w:tc>
        <w:tc>
          <w:tcPr>
            <w:tcW w:w="296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完成计划工作的90%以上，满分；每少完成10%的工作量扣0.2分，扣完为止。</w:t>
            </w:r>
          </w:p>
        </w:tc>
      </w:tr>
      <w:tr>
        <w:tblPrEx>
          <w:tblLayout w:type="fixed"/>
          <w:tblCellMar>
            <w:top w:w="0" w:type="dxa"/>
            <w:left w:w="108" w:type="dxa"/>
            <w:bottom w:w="0" w:type="dxa"/>
            <w:right w:w="108" w:type="dxa"/>
          </w:tblCellMar>
        </w:tblPrEx>
        <w:trPr>
          <w:trHeight w:val="1230"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1553" w:type="dxa"/>
            <w:vMerge w:val="continue"/>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大数据治理</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完成目录体系运行技术服务、数据共享运行技术服务、社会数据接入技术服务、数据基础治理与服务等工作内容，为新增12个部门提供上链支撑，维护已上链数据目录11万+条,维护已上链信息系统1673个等，为敏感数据共享提供全流程技术支撑，完成社会数据已有575个数据项的持续接入和新增104个数据项的新增接入，完成大数据平台1490类基础数据更新治理，完善“人-企”综合库及关系图谱，支撑68项重点应用。</w:t>
            </w:r>
          </w:p>
        </w:tc>
        <w:tc>
          <w:tcPr>
            <w:tcW w:w="461"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nil"/>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评价大数据治理工作完成度。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评价要点：全市政务数据目录体系的完善及服务、政务数据和社会数据汇聚、数据全生命周期管理与服务等工作的完成情况。</w:t>
            </w:r>
          </w:p>
        </w:tc>
        <w:tc>
          <w:tcPr>
            <w:tcW w:w="296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完成计划工作的90%以上，满分；每少完成10%的工作量扣0.2分，扣完为止。</w:t>
            </w:r>
          </w:p>
        </w:tc>
      </w:tr>
      <w:tr>
        <w:tblPrEx>
          <w:tblLayout w:type="fixed"/>
          <w:tblCellMar>
            <w:top w:w="0" w:type="dxa"/>
            <w:left w:w="108" w:type="dxa"/>
            <w:bottom w:w="0" w:type="dxa"/>
            <w:right w:w="108" w:type="dxa"/>
          </w:tblCellMar>
        </w:tblPrEx>
        <w:trPr>
          <w:trHeight w:val="351"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1553" w:type="dxa"/>
            <w:vMerge w:val="continue"/>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北京市大数据平台运维及服务</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提供数据存储、数据计算、ETL、数据治理、专题库建设工具、融合分析、数据可视化、自助分析BI工具、API封装、视频AI、智能语音外呼、智能搜索等12个共性组件，向市科委、市农业农村局、市商务局等20个单位提供服务。支撑委办局向大数据平台的数据汇聚，以及委办局之间的数据交换，数据交换服务全年无故障运行。全年汇聚60个部门的3325类数据资源，累计647.09亿条，13.45TB；交换数据3505亿条，96.04TB，日均交换数据9.6亿条，270GB。完成了政务地理空间共享服务平台的相关系统日常运维保障工作，各系统共出现6次故障，均一小时内解决并恢复，系统整体可用性超过99.9%。为全市223个业务系统提供一张图的数据支撑；为用户提供160余次高效的技术支持，并完成地图数据的更新与发布。完成领导驾驶舱已建设专题应用以及已接入的40个部门700多类数据和3800多个指标的数据更新维护工作。</w:t>
            </w:r>
          </w:p>
        </w:tc>
        <w:tc>
          <w:tcPr>
            <w:tcW w:w="461"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nil"/>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评价北京市大数据平台运维服务的完成度。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评价要点：平台运行服务、北京市政务数据资源网及公共数据开放创新基地运行与服务的完成情况。</w:t>
            </w:r>
          </w:p>
        </w:tc>
        <w:tc>
          <w:tcPr>
            <w:tcW w:w="296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完成计划工作的90%以上，满分；每少完成10%的工作量扣0.2分，扣完为止。</w:t>
            </w:r>
          </w:p>
        </w:tc>
      </w:tr>
      <w:tr>
        <w:tblPrEx>
          <w:tblLayout w:type="fixed"/>
          <w:tblCellMar>
            <w:top w:w="0" w:type="dxa"/>
            <w:left w:w="108" w:type="dxa"/>
            <w:bottom w:w="0" w:type="dxa"/>
            <w:right w:w="108" w:type="dxa"/>
          </w:tblCellMar>
        </w:tblPrEx>
        <w:trPr>
          <w:trHeight w:val="229"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北京健康宝</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北京“健康宝”跟随疫情防控形势变化，快速响应，年内完成10次版本升级，实现健康状态、核酸、疫苗三合一查询等多种便民功能。北京健康宝追加政务云服务采购，提供vCPU核数220384，虚拟内存服务数量1084950GB，高性能存储服务数量1084950GB，物理服务器24台，支撑健康宝系统稳定运行，应对极端情况下系统资源需求，满足疫情防控需要；组织云服务商处理应急事件，做好重点时期保障。</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评价北京健康宝升级、追加政务云服务采购完成度。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评价要点：现健康状态、核酸、疫苗三合一查询等多种便民功能完成情况。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完成计划工作的90%以上，满分；每少完成10%的工作量扣0.2分，扣完为止。</w:t>
            </w:r>
          </w:p>
        </w:tc>
      </w:tr>
      <w:tr>
        <w:tblPrEx>
          <w:tblLayout w:type="fixed"/>
          <w:tblCellMar>
            <w:top w:w="0" w:type="dxa"/>
            <w:left w:w="108" w:type="dxa"/>
            <w:bottom w:w="0" w:type="dxa"/>
            <w:right w:w="108" w:type="dxa"/>
          </w:tblCellMar>
        </w:tblPrEx>
        <w:trPr>
          <w:trHeight w:val="1790" w:hRule="atLeast"/>
        </w:trPr>
        <w:tc>
          <w:tcPr>
            <w:tcW w:w="78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pStyle w:val="5"/>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同上</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cs="宋体"/>
                <w:color w:val="000000"/>
                <w:kern w:val="0"/>
                <w:sz w:val="16"/>
                <w:szCs w:val="16"/>
                <w:lang w:val="en-US"/>
              </w:rPr>
            </w:pPr>
            <w:r>
              <w:rPr>
                <w:rFonts w:hint="eastAsia" w:ascii="宋体" w:hAnsi="宋体" w:eastAsia="宋体" w:cs="宋体"/>
                <w:i w:val="0"/>
                <w:iCs w:val="0"/>
                <w:color w:val="000000"/>
                <w:kern w:val="0"/>
                <w:sz w:val="16"/>
                <w:szCs w:val="16"/>
                <w:u w:val="none"/>
                <w:lang w:val="en-US" w:eastAsia="zh-CN" w:bidi="ar"/>
              </w:rPr>
              <w:t>同上</w:t>
            </w:r>
          </w:p>
        </w:tc>
        <w:tc>
          <w:tcPr>
            <w:tcW w:w="7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同上</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同上</w:t>
            </w:r>
          </w:p>
        </w:tc>
        <w:tc>
          <w:tcPr>
            <w:tcW w:w="1553"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信息化建设及运行保障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（4分）</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政府投资重大信息化项目评审</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为政府投资信息化项目全流程管理工作提供辅助支撑，提高政府投资信息化项目全流程管理的科学性、规范性，提高全流程管理工作效率，落实《北京市政府投资信息化项目评审管理办法》等法规以及国家和北京市信息化项目建设方面的要求。</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评价政府投资重大信息化项目评审工作完成度。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评价要点：为政府投资信息化项目全流程管理工作提供辅助支撑，提高项目全流程管理的科学性、规范性以及动作效率，落实法规以及国家和北京市项目建设方面的要求。</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政府投资重大信息化项目评审工作完成90%以上，满分；每少完成10%的工作量扣0.2分，扣完为止。</w:t>
            </w:r>
          </w:p>
        </w:tc>
      </w:tr>
      <w:tr>
        <w:tblPrEx>
          <w:tblLayout w:type="fixed"/>
          <w:tblCellMar>
            <w:top w:w="0" w:type="dxa"/>
            <w:left w:w="108" w:type="dxa"/>
            <w:bottom w:w="0" w:type="dxa"/>
            <w:right w:w="108" w:type="dxa"/>
          </w:tblCellMar>
        </w:tblPrEx>
        <w:trPr>
          <w:trHeight w:val="1504"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政务网络安全运行和政务基础平台保障</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完成了53家用户单位、约11.3万用户的用户管理、业务管理和培训咨询服务。完成了无线政务网运维管理，确保网络安全、可靠、稳定运行。针对日常、重大活动及突发事件完善通信保障方案和应急预案，优化网络配置规划，合理分配通信资源。完成了2022年北京冬奥会等重大活动和节假日的通信保障工作。电子政务网完成政务网络移动政务平台、电子政务外网综合管理平台、政务协同服务系统等相关管理平台的运维工作，三个平台均安全稳定运行。应急卫星通信系统2022年为全市应急指挥体系的运行提供安全、可靠、畅通的应急指挥通信保障，提高了本市应对突发公共事件的快速反应、事件处置与组织指挥能力。完成“全国两会”、“服贸会”、疫情防控、防汛等重大事件通信保障任务，保障期间应急卫星网运行全程平稳正常，为首都举办各项重大活动和应对各类突发事件提供了可靠的应急卫星通信保障。</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评价政务网络安全运行和政务基础平台保障工作完成度。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评价重点：800兆无线政务网、电子政务网、中环广场政府数据中心是否全年安全、可靠、稳定运行。</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800兆无线政务网、电子政务网、中环广场政府数据中心全年安全、可靠、稳定运行，满分；出现事故则扣除全部分数。</w:t>
            </w:r>
          </w:p>
        </w:tc>
      </w:tr>
      <w:tr>
        <w:tblPrEx>
          <w:tblLayout w:type="fixed"/>
          <w:tblCellMar>
            <w:top w:w="0" w:type="dxa"/>
            <w:left w:w="108" w:type="dxa"/>
            <w:bottom w:w="0" w:type="dxa"/>
            <w:right w:w="108" w:type="dxa"/>
          </w:tblCellMar>
        </w:tblPrEx>
        <w:trPr>
          <w:trHeight w:val="394"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1553" w:type="dxa"/>
            <w:vMerge w:val="continue"/>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sz w:val="16"/>
                <w:szCs w:val="16"/>
              </w:rPr>
            </w:pPr>
            <w:r>
              <w:rPr>
                <w:rFonts w:hint="eastAsia" w:ascii="宋体" w:hAnsi="宋体" w:eastAsia="宋体" w:cs="宋体"/>
                <w:i w:val="0"/>
                <w:iCs w:val="0"/>
                <w:color w:val="000000"/>
                <w:kern w:val="0"/>
                <w:sz w:val="16"/>
                <w:szCs w:val="16"/>
                <w:u w:val="none"/>
                <w:lang w:val="en-US" w:eastAsia="zh-CN" w:bidi="ar"/>
              </w:rPr>
              <w:t>北京市政府门户网站运维</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2022年，北京市政府门户网站整体运行平稳，达到了全年预期水平。门户网站年度总浏览量超过一亿人次，居国内政府网站前茅。2022年，北京市政府门户网站在工业和信息化部计算机与微电子发展研究中心（中国软件评测中心）主办的“2022年数字政府服务能力评估暨第二十一届政府网站绩效评估”结果中，荣获直辖市第一名。在清华大学公共管理学院发布的“2022年中国政府网站绩效评估”结果中，北京市政府门户网站位列直辖市政府门户网站第一，在所有省级政府网站中总成绩排名第一。“首都之窗”头条号获评2022年政务头条号“优秀创作者”称号，“首都之窗”抖音号获评“在2022年热点事件回应中作出突出贡献”称号。北京市政府门户网站及应用系统全年稳定运行，系统业务可用性为100%，所有系统重点保障期100%可用，网站无安全事件发生。</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评价北京市政府门户网站运维工作完成度。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评价重点：北京市各政府部门网站是否安全平稳运行。</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eastAsia="Times New Roman"/>
                <w:kern w:val="0"/>
                <w:sz w:val="16"/>
                <w:szCs w:val="16"/>
              </w:rPr>
            </w:pPr>
            <w:r>
              <w:rPr>
                <w:rFonts w:hint="eastAsia" w:ascii="宋体" w:hAnsi="宋体" w:eastAsia="宋体" w:cs="宋体"/>
                <w:i w:val="0"/>
                <w:iCs w:val="0"/>
                <w:color w:val="000000"/>
                <w:kern w:val="0"/>
                <w:sz w:val="16"/>
                <w:szCs w:val="16"/>
                <w:u w:val="none"/>
                <w:lang w:val="en-US" w:eastAsia="zh-CN" w:bidi="ar"/>
              </w:rPr>
              <w:t>北京市政府门户网站全年安全、可靠、稳定运行，满分；出现事故则扣除全部分数。</w:t>
            </w:r>
          </w:p>
        </w:tc>
      </w:tr>
      <w:tr>
        <w:tblPrEx>
          <w:tblLayout w:type="fixed"/>
          <w:tblCellMar>
            <w:top w:w="0" w:type="dxa"/>
            <w:left w:w="108" w:type="dxa"/>
            <w:bottom w:w="0" w:type="dxa"/>
            <w:right w:w="108" w:type="dxa"/>
          </w:tblCellMar>
        </w:tblPrEx>
        <w:trPr>
          <w:trHeight w:val="867"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cs="宋体"/>
                <w:color w:val="000000"/>
                <w:kern w:val="0"/>
                <w:sz w:val="16"/>
                <w:szCs w:val="16"/>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sz w:val="16"/>
                <w:szCs w:val="16"/>
              </w:rPr>
            </w:pPr>
            <w:r>
              <w:rPr>
                <w:rFonts w:hint="eastAsia" w:ascii="宋体" w:hAnsi="宋体" w:eastAsia="宋体" w:cs="宋体"/>
                <w:i w:val="0"/>
                <w:iCs w:val="0"/>
                <w:color w:val="000000"/>
                <w:kern w:val="0"/>
                <w:sz w:val="16"/>
                <w:szCs w:val="16"/>
                <w:u w:val="none"/>
                <w:lang w:val="en-US" w:eastAsia="zh-CN" w:bidi="ar"/>
              </w:rPr>
              <w:t>信息安全容灾备份和应急、预警系统运维改造</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北京市信息安全容灾备份系统运维，保障灾备中心业务连续性、提升数据抗毁能力；监测预警系统全年稳定运行，未出现重大故障，完成200余台套监控系统的网络设备、安全设备的日常运行维护保障，累计运维工作874次；并按照市级政务云及相关服务按预算和合同要求租用了12个月云服务；完成日常及重大活动时期的监测值守工作，投入人力4000余人日进行全年不间断7*24小时值守，重大活动时期双倍人力值守。</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评价信息安全容灾备份和应急、预警系统运维改造工作完成度。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评价要点：北京市信息安全容灾备份系统和北京市应急卫星通信系统的运维工作、政务信息安全监测预警及应急保障北京市政务信息安全监测预警系统升级改造工作完成情况。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信息安全容灾备份和应急、预警系统运维改造工作完成90%以上，满分；每少完成10%的工作量扣0.2分，扣完为止。</w:t>
            </w:r>
          </w:p>
        </w:tc>
      </w:tr>
      <w:tr>
        <w:tblPrEx>
          <w:tblLayout w:type="fixed"/>
          <w:tblCellMar>
            <w:top w:w="0" w:type="dxa"/>
            <w:left w:w="108" w:type="dxa"/>
            <w:bottom w:w="0" w:type="dxa"/>
            <w:right w:w="108" w:type="dxa"/>
          </w:tblCellMar>
        </w:tblPrEx>
        <w:trPr>
          <w:trHeight w:val="90" w:hRule="atLeast"/>
        </w:trPr>
        <w:tc>
          <w:tcPr>
            <w:tcW w:w="78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同上</w:t>
            </w:r>
          </w:p>
        </w:tc>
        <w:tc>
          <w:tcPr>
            <w:tcW w:w="7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同上</w:t>
            </w:r>
          </w:p>
        </w:tc>
        <w:tc>
          <w:tcPr>
            <w:tcW w:w="1553"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数字经济统筹推进机制建设(4分）</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sz w:val="16"/>
                <w:szCs w:val="16"/>
              </w:rPr>
            </w:pPr>
            <w:r>
              <w:rPr>
                <w:rFonts w:hint="eastAsia" w:ascii="宋体" w:hAnsi="宋体" w:eastAsia="宋体" w:cs="宋体"/>
                <w:i w:val="0"/>
                <w:iCs w:val="0"/>
                <w:color w:val="000000"/>
                <w:kern w:val="0"/>
                <w:sz w:val="16"/>
                <w:szCs w:val="16"/>
                <w:u w:val="none"/>
                <w:lang w:val="en-US" w:eastAsia="zh-CN" w:bidi="ar"/>
              </w:rPr>
              <w:t>工业企业数字化转型诊断评估</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智慧城市2.0建设全面突出“实”的理念，落实四级规划管控体系，完成46个部门项目清单、189个信息化项目的评审。夯实“三京”“七通一平”城市数字底座，“京通”融合北京“健康宝”上线试运行、日活近200万、接入服务430余项；“京办”注册用户达45万，初步构建起包括5大核心能力、19项基础能力、100余项接入能力的协同办公产业生态；“京智”形成14个决策专题，接入1471项监测指标。“一张图”为全市58个部门210多个空间应用提供在线共享服务，城市码完成18类实体身份标识规则认定并启动楼宇码试点，大数据平台累计汇聚383亿条政务数据及1750余亿条社会数据。务实推进“三网”和领域应用，“一网通办”市、区两级100%政务服务事项实现“全程网办”，“一网统管”方案通过市政府、市委深改委专题审议，“一网慧治”开展交通、城管、疫情防控等领域决策平台建设。交通、卫健、执法公安、规划应急、人文环境等领域智慧城市建设持续发力走深走实，16+1区形成“智慧+生活”“智慧+生态”等区域特色。</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评价工业企业数字化转型诊断评估工作完成度。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评价要点：工业企业开展诊断评估，推动北京市工业互联网融合创新，培植壮大经济发展新动能的完成情况。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工业企业数字化转型诊断评估工作完成90%以上，满分；每少完成10%的工作量扣0.2分，扣完为止。</w:t>
            </w:r>
          </w:p>
        </w:tc>
      </w:tr>
      <w:tr>
        <w:tblPrEx>
          <w:tblLayout w:type="fixed"/>
          <w:tblCellMar>
            <w:top w:w="0" w:type="dxa"/>
            <w:left w:w="108" w:type="dxa"/>
            <w:bottom w:w="0" w:type="dxa"/>
            <w:right w:w="108" w:type="dxa"/>
          </w:tblCellMar>
        </w:tblPrEx>
        <w:trPr>
          <w:trHeight w:val="404"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cs="宋体"/>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sz w:val="16"/>
                <w:szCs w:val="16"/>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sz w:val="16"/>
                <w:szCs w:val="16"/>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sz w:val="16"/>
                <w:szCs w:val="16"/>
              </w:rPr>
            </w:pPr>
            <w:r>
              <w:rPr>
                <w:rFonts w:hint="eastAsia" w:ascii="宋体" w:hAnsi="宋体" w:eastAsia="宋体" w:cs="宋体"/>
                <w:i w:val="0"/>
                <w:iCs w:val="0"/>
                <w:color w:val="000000"/>
                <w:kern w:val="0"/>
                <w:sz w:val="16"/>
                <w:szCs w:val="16"/>
                <w:u w:val="none"/>
                <w:lang w:val="en-US" w:eastAsia="zh-CN" w:bidi="ar"/>
              </w:rPr>
              <w:t>推动互联网信息领域服务业扩大开放及数字经济创新发展</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sz w:val="16"/>
                <w:szCs w:val="16"/>
              </w:rPr>
            </w:pPr>
            <w:r>
              <w:rPr>
                <w:rFonts w:hint="eastAsia" w:ascii="宋体" w:hAnsi="宋体" w:eastAsia="宋体" w:cs="宋体"/>
                <w:i w:val="0"/>
                <w:iCs w:val="0"/>
                <w:color w:val="000000"/>
                <w:kern w:val="0"/>
                <w:sz w:val="16"/>
                <w:szCs w:val="16"/>
                <w:u w:val="none"/>
                <w:lang w:val="en-US" w:eastAsia="zh-CN" w:bidi="ar"/>
              </w:rPr>
              <w:t>制定颁布纲领性法规《北京市数字经济促进条例》，印发实施《数字经济全产业链开放发展行动方案》。全市新基建完成固定资产投资935.3亿元,同比增长25.5%，占全市投资比重11.1%。5G万人基站数、算力规模指数均位列全国第一。数字产业规模不断壮大，国家网络安全产业园三个园区累计落地362家企业，形成基础硬件、基础软件、芯片、集成服务等全产业链生态体系。互联网3.0快速起步，发布国内首个数字人产业政策及两项数字人标准，朝阳数字人基地引入80余家企业。工业互联网核心产业规模超千亿元，顶级节点接入二级节点和主动标识数量均居全国第一。深入推进高级别自动驾驶示范区建设，率先发布整车无人等测试场景，329个道路路口、双向750公里城市道路和10公里高速公路实现智能网联道路和智慧城市专网全覆盖。国际大数据交易所建立数据登记、评估、交易和服务一体化流通体系，上架数据产品1391个。开展全国首批数据资产评估试点，落地全国首笔1000万元数据资产质押融资贷款。16区和经开区均已发布数字经济三年行动计划，“一区一品”新发展格局已初步形成。成立国内首家数字经济标准化技术委员会，高水平举办第二届全球数字经济大会，发起设立北京国际数字经济治理研究院。</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2</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cs="宋体"/>
                <w:color w:val="000000"/>
                <w:kern w:val="0"/>
                <w:sz w:val="16"/>
                <w:szCs w:val="16"/>
              </w:rPr>
            </w:pPr>
            <w:r>
              <w:rPr>
                <w:rFonts w:hint="eastAsia" w:ascii="宋体" w:hAnsi="宋体" w:eastAsia="宋体" w:cs="宋体"/>
                <w:i w:val="0"/>
                <w:iCs w:val="0"/>
                <w:color w:val="000000"/>
                <w:kern w:val="0"/>
                <w:sz w:val="16"/>
                <w:szCs w:val="16"/>
                <w:u w:val="none"/>
                <w:lang w:val="en-US" w:eastAsia="zh-CN" w:bidi="ar"/>
              </w:rPr>
              <w:t>评价推动互联网信息领域服务业扩大开放及数字经济创新发展工作完成度。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评价要点：评估互联网领域服务业扩大开放政策执行情况，建立北京市数字经济统筹推进机制的情况。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sz w:val="16"/>
                <w:szCs w:val="16"/>
              </w:rPr>
            </w:pPr>
            <w:r>
              <w:rPr>
                <w:rFonts w:hint="eastAsia" w:ascii="宋体" w:hAnsi="宋体" w:eastAsia="宋体" w:cs="宋体"/>
                <w:i w:val="0"/>
                <w:iCs w:val="0"/>
                <w:color w:val="000000"/>
                <w:kern w:val="0"/>
                <w:sz w:val="16"/>
                <w:szCs w:val="16"/>
                <w:u w:val="none"/>
                <w:lang w:val="en-US" w:eastAsia="zh-CN" w:bidi="ar"/>
              </w:rPr>
              <w:t>推动互联网信息领域服务业扩大开放及数字经济创新发展工作完成90%以上，满分；每少完成10%的工作量扣0.2分，扣完为止。</w:t>
            </w:r>
          </w:p>
        </w:tc>
      </w:tr>
      <w:tr>
        <w:tblPrEx>
          <w:tblLayout w:type="fixed"/>
          <w:tblCellMar>
            <w:top w:w="0" w:type="dxa"/>
            <w:left w:w="108" w:type="dxa"/>
            <w:bottom w:w="0" w:type="dxa"/>
            <w:right w:w="108" w:type="dxa"/>
          </w:tblCellMar>
        </w:tblPrEx>
        <w:trPr>
          <w:trHeight w:val="1488" w:hRule="atLeast"/>
        </w:trPr>
        <w:tc>
          <w:tcPr>
            <w:tcW w:w="78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同上</w:t>
            </w: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sz w:val="16"/>
                <w:szCs w:val="16"/>
              </w:rPr>
            </w:pPr>
            <w:r>
              <w:rPr>
                <w:rFonts w:hint="eastAsia" w:ascii="宋体" w:hAnsi="宋体" w:eastAsia="宋体" w:cs="宋体"/>
                <w:i w:val="0"/>
                <w:iCs w:val="0"/>
                <w:color w:val="000000"/>
                <w:kern w:val="0"/>
                <w:sz w:val="16"/>
                <w:szCs w:val="16"/>
                <w:u w:val="none"/>
                <w:lang w:val="en-US" w:eastAsia="zh-CN" w:bidi="ar"/>
              </w:rPr>
              <w:t>同上</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sz w:val="16"/>
                <w:szCs w:val="16"/>
              </w:rPr>
            </w:pPr>
            <w:r>
              <w:rPr>
                <w:rFonts w:hint="eastAsia" w:ascii="宋体" w:hAnsi="宋体" w:eastAsia="宋体" w:cs="宋体"/>
                <w:i w:val="0"/>
                <w:iCs w:val="0"/>
                <w:color w:val="000000"/>
                <w:kern w:val="0"/>
                <w:sz w:val="16"/>
                <w:szCs w:val="16"/>
                <w:u w:val="none"/>
                <w:lang w:val="en-US" w:eastAsia="zh-CN" w:bidi="ar"/>
              </w:rPr>
              <w:t>社会信用体系建设（4分）</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信用服务创新应用示范</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开展基于供应链金融数字确权的中小微企业融资服务创新应用、基于北京城市码在交通领域的信用创新应用、“信用+保险”产品开发及在旅游领域的创新应用、“信用+医疗”惠民服务示范应用推广4个项目，对全市“信用+”社会化创新应用起到了示范带动作用。</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评价信用服务创新应用示范工作完成度。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评价重点：信用服务在“信用+医疗”“信用+旅游”等场景深度应用并取得成效，全市“信用+”社会化创新应用等完成情况。</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完成信用服务创新应用示范工作计划的90%以上，满分；每少完成10%的工作量扣0.2分，扣完为止。</w:t>
            </w:r>
          </w:p>
        </w:tc>
      </w:tr>
      <w:tr>
        <w:tblPrEx>
          <w:tblLayout w:type="fixed"/>
          <w:tblCellMar>
            <w:top w:w="0" w:type="dxa"/>
            <w:left w:w="108" w:type="dxa"/>
            <w:bottom w:w="0" w:type="dxa"/>
            <w:right w:w="108" w:type="dxa"/>
          </w:tblCellMar>
        </w:tblPrEx>
        <w:trPr>
          <w:trHeight w:val="404"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效果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（30分）</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社会效益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（20分）</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全力投入疫情防控，有序开展复工复产，推动产业经济加快恢复</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健康宝年内完成10次版本升级，实现健康状态、核酸、疫苗三合一查询等多种便民功能。依托“京办”接入防疫一体化平台等多个防疫系统，实现市、区、街、居四级联动，持续支撑病例流调、社区排查管控、风险人员转运、隔离点管理、疫情监测评估等多个业务应用。组织一体化皮基站系统平台搭建和测试验证，全球首次实现区域内所有运营商通信网络的共建共享和信息互联互通。以医用防疫物资生产保障为重点，稳定核酸和抗原试剂生产，新型鼻喷疫苗批量用于本市紧急使用，解热镇痛药物产量短期提升4倍，呼吸机、监护仪等重症设备实现了本地保供，口罩、防护服等物资保障平稳有力。全面系统指导行业防疫工作，累计制定印发13版《北京市工业和软件信息服务业企业疫情防控指引》，围绕建立基础信息台账、加强食品冷链疫情防控、强化进口非冷链货品防疫管理等关键环节印发文件近40份，累计走访督导企业约1000家次，及时妥善处置30起工业和软件信息服务业领域涉疫事件。建立“跨省协调、部市协调、高位协调”三个机制，将854家企业纳入国家、市、区三级工业重点保供企业“白名单”，协调解决我市重点企业产业链供应链1000余项复工复产问题，办理车证超10万辆次，数量居全市各行业首位。</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评价疫情防控，复工复产，产业经济加快恢复工作方面发挥作用，效益实现程度，效益是否显著。</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效果显著，满分；每存在一项作用不足的内容扣0.5分，扣完为止。</w:t>
            </w:r>
          </w:p>
        </w:tc>
      </w:tr>
      <w:tr>
        <w:tblPrEx>
          <w:tblLayout w:type="fixed"/>
          <w:tblCellMar>
            <w:top w:w="0" w:type="dxa"/>
            <w:left w:w="108" w:type="dxa"/>
            <w:bottom w:w="0" w:type="dxa"/>
            <w:right w:w="108" w:type="dxa"/>
          </w:tblCellMar>
        </w:tblPrEx>
        <w:trPr>
          <w:trHeight w:val="312" w:hRule="atLeast"/>
        </w:trPr>
        <w:tc>
          <w:tcPr>
            <w:tcW w:w="78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同上</w:t>
            </w:r>
          </w:p>
        </w:tc>
        <w:tc>
          <w:tcPr>
            <w:tcW w:w="7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同上</w:t>
            </w:r>
          </w:p>
        </w:tc>
        <w:tc>
          <w:tcPr>
            <w:tcW w:w="1553"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同上</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产业创新发展水平不断提升</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全面落实国际科技创新中心建设任务，围绕创新产业集群和制造业高质量发展，引导“三城”科技成果向“一区”转化152项。启动高精尖产业“筑基工程”，鼓励“揭榜挂帅”，加快信息技术、智能制造等领域自主创新攻关。加快实施集成电路重大工程和创新项目，初步建成国内水平最高的集成电路综合攻关和验证平台，拥有GPU、CPU、存储器等高端战略产品设计和28/14纳米成套工艺研发能力最强的创新团队，成为全国半导体领域最重要的科技创新和产业集聚区之一。出台生物医药全产业链开放实施方案，2款新冠治疗特效药物在京实现产业化，新冠变异株疫苗率先进入临床阶段，形成国内最大的疫苗产业集群，获批创新医疗器械数量领跑全国，产业化落地一批一类新药，推动北京成为创新药研发策源地。推进固态电池、燃料电池、自动驾驶等技术迭代升级，形成了卤化物固态电解质、智能网联汽车计算基础平台等创新成果。创新推动新材料产业发展，持续发布重点新材料首批次应用示范奖励政策，支持高性能靶材、碳化硅单晶衬底等34个新材料产品实现首批次示范应用。“谷神星一号”实现民营火箭发射“五连胜”，多型火箭研制发射齐头并进。</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评价产业创新发展方面发挥作用，效益实现程度，效益是否显著。</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效益显著，满分；每存在一项作用不足的内容或未完成的具体工作扣0.5分，扣完为止。</w:t>
            </w:r>
          </w:p>
        </w:tc>
      </w:tr>
      <w:tr>
        <w:tblPrEx>
          <w:tblLayout w:type="fixed"/>
          <w:tblCellMar>
            <w:top w:w="0" w:type="dxa"/>
            <w:left w:w="108" w:type="dxa"/>
            <w:bottom w:w="0" w:type="dxa"/>
            <w:right w:w="108" w:type="dxa"/>
          </w:tblCellMar>
        </w:tblPrEx>
        <w:trPr>
          <w:trHeight w:val="1477"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kern w:val="0"/>
                <w:sz w:val="16"/>
                <w:szCs w:val="16"/>
                <w:u w:val="none"/>
                <w:lang w:val="en-US" w:eastAsia="zh-CN" w:bidi="ar"/>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kern w:val="0"/>
                <w:sz w:val="16"/>
                <w:szCs w:val="16"/>
                <w:u w:val="none"/>
                <w:lang w:val="en-US" w:eastAsia="zh-CN" w:bidi="ar"/>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kern w:val="0"/>
                <w:sz w:val="16"/>
                <w:szCs w:val="16"/>
                <w:u w:val="none"/>
                <w:lang w:val="en-US" w:eastAsia="zh-CN" w:bidi="ar"/>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产业协同发展持续深化</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开展“强链补链”行动，支持北京奔驰、亿华通等18家龙头企业带动京津冀地区36家配套企业首次入链进体系。京津冀燃料电池汽车示范城市群第一年度燃料电池汽车上牌1239辆，超额完成年度推广任务。京津冀生命健康产业集群创建实现突破，11家企业挂牌上市，引进产业创新人才47名，CDMO平台投用增强了成果转化能力。三地经信部门签署《共建先进制造业集群，共推产业协同发展战略合作协议》。京津冀工业互联网协同发展示范区获工信部批复。京津冀晋信用主管部门共同发布全国首个信用区域标准《京津冀晋企业公共信用综合评价等级标准》和《京津冀晋公共信用信息共享目录（2022年版）》。</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评价产业协同发展方面发挥作用，效益实现程度，效益是否显著。</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效益显著，满分；每存在一项作用不足的内容或未完成的具体工作扣0.5分，扣完为止。</w:t>
            </w:r>
          </w:p>
        </w:tc>
      </w:tr>
      <w:tr>
        <w:tblPrEx>
          <w:tblLayout w:type="fixed"/>
          <w:tblCellMar>
            <w:top w:w="0" w:type="dxa"/>
            <w:left w:w="108" w:type="dxa"/>
            <w:bottom w:w="0" w:type="dxa"/>
            <w:right w:w="108" w:type="dxa"/>
          </w:tblCellMar>
        </w:tblPrEx>
        <w:trPr>
          <w:trHeight w:val="8013"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kern w:val="0"/>
                <w:sz w:val="16"/>
                <w:szCs w:val="16"/>
                <w:u w:val="none"/>
                <w:lang w:val="en-US" w:eastAsia="zh-CN" w:bidi="ar"/>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kern w:val="0"/>
                <w:sz w:val="16"/>
                <w:szCs w:val="16"/>
                <w:u w:val="none"/>
                <w:lang w:val="en-US" w:eastAsia="zh-CN" w:bidi="ar"/>
              </w:rPr>
            </w:pPr>
          </w:p>
        </w:tc>
        <w:tc>
          <w:tcPr>
            <w:tcW w:w="155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kern w:val="0"/>
                <w:sz w:val="16"/>
                <w:szCs w:val="16"/>
                <w:u w:val="none"/>
                <w:lang w:val="en-US" w:eastAsia="zh-CN" w:bidi="ar"/>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企业服务培育体系更加完善</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加大领导小组统筹协调力度，开展“一件事”集成服务，实现“高精尖”资金申报、“专精特新”企业认定、社保缓缴申请等10余项政策的“一体化”集成和快捷办理。认定一批特色鲜明、功能完善的示范平台和基地，打造“创客北京”大赛品牌，线上线下开展“一起益企、中小企业服务月”等活动超4000场，累计服务企业超200万家次。建成全市中小企业基础数据库，累计汇聚数据超19.2亿条。搭建“专精特新融通发展”平台，提供大中小企业供需对接服务，400多家专精特新企业、100多家大型企业注册。推进营商环境优化改革，创新试点和5.0清单中牵头的36项任务全部完成。组织开展清欠专项行动，累计为1300多家中小企业化解欠款9.33亿元，化解进度92%，排名全国前列，6.78亿元无分歧欠款100%化解完毕。加强企业梯队培育，新培育国家级制造业单项冠军企业（产品）18家，市级专精特新中小企业3248家，国家级专精特新“小巨人”企业333家，国家级专精特新“小巨人”企业合计达到588家，居全国各城市首位。支持优质企业在北交所上市，开展“专精特新”企业上市、晋层、挂牌和储备“四大工程”，贡献全市新增上市企业数量占比近6成。中小基金累计投资1330家中小企业，出资28.57亿元，撬动社会资本235.1亿元。对确因疫情防控原因受到一般处罚的25家企业实施信用豁免，在全国率先实现破产重整企业信用修复协同机制。</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评价企业服务培育体系方面发挥作用，效益实现程度，效益是否显著。</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效益显著，满分；每存在一项作用不足的内容或未完成的具体工作扣0.5分，扣完为止。</w:t>
            </w:r>
          </w:p>
        </w:tc>
      </w:tr>
      <w:tr>
        <w:tblPrEx>
          <w:tblLayout w:type="fixed"/>
          <w:tblCellMar>
            <w:top w:w="0" w:type="dxa"/>
            <w:left w:w="108" w:type="dxa"/>
            <w:bottom w:w="0" w:type="dxa"/>
            <w:right w:w="108" w:type="dxa"/>
          </w:tblCellMar>
        </w:tblPrEx>
        <w:trPr>
          <w:trHeight w:val="404" w:hRule="atLeast"/>
        </w:trPr>
        <w:tc>
          <w:tcPr>
            <w:tcW w:w="78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同上</w:t>
            </w:r>
          </w:p>
        </w:tc>
        <w:tc>
          <w:tcPr>
            <w:tcW w:w="7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同上</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000000"/>
                <w:kern w:val="0"/>
                <w:sz w:val="16"/>
                <w:szCs w:val="16"/>
                <w:u w:val="none"/>
                <w:lang w:val="en-US" w:eastAsia="zh-CN" w:bidi="ar"/>
              </w:rPr>
            </w:pP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重大活动保障体系有力构建</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首都经信系统900余名工作者精诚团结、全力以赴，克服疫情防控形势严峻复杂、保障时间周期长、临时紧急任务多等诸多困难挑战，圆满完成保障任务，3个集体和13名个人获得省级表彰。赛会历史上首次实现宽窄带集群专网互联互通，跨地域异网指挥调度无障碍，网络呼叫次数、呼叫时长均创近年来重大活动保障新高。开创国内首例利用直升机完成重大国际赛事无线电安全保障工作的先例，实现了全方位、多手段、立体式的无线电监测全覆盖。我市16家都市产业企业为冬奥服务保障做出重要贡献，涵盖肉制品、乳制品、矿泉水、饮料等食品保供及运动营养、工艺美术等。高质量完成5G+8K超高清视频示范、氢燃料电池汽车示范运营、自主知识产权高密合度防护口罩、石墨烯发热材料、冬奥APP等科技冬奥项目。通过科技冬奥应用，本市率先建成全球最大规模城市级8K立体播放体系，率先验证了“5G+8K”的科技和产业能力，初步构建起氢源保障、储用运输等方面氢能多元化应用生态。</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评价圆满完成重大活动的通信保障任务。建党百年庆祝活动创造最佳保障成绩，构建保障体系</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效益显著，满分；每存在一项作用不足的内容或未完成的具体工作扣0.5分，扣完为止。</w:t>
            </w:r>
          </w:p>
        </w:tc>
      </w:tr>
      <w:tr>
        <w:tblPrEx>
          <w:tblLayout w:type="fixed"/>
          <w:tblCellMar>
            <w:top w:w="0" w:type="dxa"/>
            <w:left w:w="108" w:type="dxa"/>
            <w:bottom w:w="0" w:type="dxa"/>
            <w:right w:w="108" w:type="dxa"/>
          </w:tblCellMar>
        </w:tblPrEx>
        <w:trPr>
          <w:trHeight w:val="404"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kern w:val="0"/>
                <w:sz w:val="16"/>
                <w:szCs w:val="16"/>
                <w:u w:val="none"/>
                <w:lang w:val="en-US" w:eastAsia="zh-CN" w:bidi="ar"/>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kern w:val="0"/>
                <w:sz w:val="16"/>
                <w:szCs w:val="16"/>
                <w:u w:val="none"/>
                <w:lang w:val="en-US" w:eastAsia="zh-CN" w:bidi="ar"/>
              </w:rPr>
            </w:pP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服务对象满意度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（10分）</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年度绩效考评结果</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2022年度绩效考评得分为96.84分，考评等次为“优秀”。</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部门（单位）的服务对象对部门履职效果的满意程度。</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绩效考评结果为“优秀”，满分；每降低一个档次，扣2分。</w:t>
            </w:r>
          </w:p>
        </w:tc>
      </w:tr>
      <w:tr>
        <w:tblPrEx>
          <w:tblLayout w:type="fixed"/>
          <w:tblCellMar>
            <w:top w:w="0" w:type="dxa"/>
            <w:left w:w="108" w:type="dxa"/>
            <w:bottom w:w="0" w:type="dxa"/>
            <w:right w:w="108" w:type="dxa"/>
          </w:tblCellMar>
        </w:tblPrEx>
        <w:trPr>
          <w:trHeight w:val="453"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6"/>
                <w:szCs w:val="16"/>
              </w:rPr>
            </w:pPr>
            <w:r>
              <w:rPr>
                <w:rFonts w:hint="eastAsia" w:ascii="宋体" w:hAnsi="宋体" w:cs="宋体"/>
                <w:color w:val="000000"/>
                <w:kern w:val="0"/>
                <w:sz w:val="16"/>
                <w:szCs w:val="16"/>
              </w:rPr>
              <w:t>三</w:t>
            </w:r>
            <w:r>
              <w:rPr>
                <w:rFonts w:ascii="宋体" w:hAnsi="宋体" w:cs="宋体"/>
                <w:color w:val="000000"/>
                <w:kern w:val="0"/>
                <w:sz w:val="16"/>
                <w:szCs w:val="16"/>
              </w:rPr>
              <w:t>、</w:t>
            </w:r>
            <w:r>
              <w:rPr>
                <w:rFonts w:hint="eastAsia" w:ascii="宋体" w:hAnsi="宋体" w:cs="宋体"/>
                <w:color w:val="000000"/>
                <w:kern w:val="0"/>
                <w:sz w:val="16"/>
                <w:szCs w:val="16"/>
              </w:rPr>
              <w:t>预算管理情况（20分）</w:t>
            </w:r>
          </w:p>
        </w:tc>
      </w:tr>
      <w:tr>
        <w:tblPrEx>
          <w:tblLayout w:type="fixed"/>
          <w:tblCellMar>
            <w:top w:w="0" w:type="dxa"/>
            <w:left w:w="108" w:type="dxa"/>
            <w:bottom w:w="0" w:type="dxa"/>
            <w:right w:w="108" w:type="dxa"/>
          </w:tblCellMar>
        </w:tblPrEx>
        <w:trPr>
          <w:trHeight w:val="702" w:hRule="atLeast"/>
        </w:trPr>
        <w:tc>
          <w:tcPr>
            <w:tcW w:w="7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一级指标</w:t>
            </w: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二级指标</w:t>
            </w:r>
          </w:p>
        </w:tc>
        <w:tc>
          <w:tcPr>
            <w:tcW w:w="155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三级指标</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指标值</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完成值</w:t>
            </w:r>
          </w:p>
        </w:tc>
        <w:tc>
          <w:tcPr>
            <w:tcW w:w="46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分值</w:t>
            </w:r>
          </w:p>
        </w:tc>
        <w:tc>
          <w:tcPr>
            <w:tcW w:w="616" w:type="dxa"/>
            <w:tcBorders>
              <w:top w:val="single" w:color="auto" w:sz="4" w:space="0"/>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得分</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b/>
                <w:bCs/>
                <w:color w:val="000000"/>
                <w:kern w:val="0"/>
                <w:sz w:val="16"/>
                <w:szCs w:val="16"/>
              </w:rPr>
            </w:pPr>
            <w:r>
              <w:rPr>
                <w:rFonts w:hint="default" w:ascii="Times New Roman" w:hAnsi="Times New Roman" w:cs="Times New Roman" w:eastAsiaTheme="minorEastAsia"/>
                <w:bCs/>
                <w:color w:val="000000"/>
                <w:kern w:val="0"/>
                <w:sz w:val="16"/>
                <w:szCs w:val="16"/>
              </w:rPr>
              <w:t>指标解释</w:t>
            </w:r>
          </w:p>
        </w:tc>
        <w:tc>
          <w:tcPr>
            <w:tcW w:w="29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评分标准</w:t>
            </w:r>
          </w:p>
        </w:tc>
      </w:tr>
      <w:tr>
        <w:tblPrEx>
          <w:tblLayout w:type="fixed"/>
          <w:tblCellMar>
            <w:top w:w="0" w:type="dxa"/>
            <w:left w:w="108" w:type="dxa"/>
            <w:bottom w:w="0" w:type="dxa"/>
            <w:right w:w="108" w:type="dxa"/>
          </w:tblCellMar>
        </w:tblPrEx>
        <w:trPr>
          <w:trHeight w:val="1230" w:hRule="atLeast"/>
        </w:trPr>
        <w:tc>
          <w:tcPr>
            <w:tcW w:w="78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预算管理情况（20</w:t>
            </w:r>
            <w:r>
              <w:rPr>
                <w:rFonts w:hint="eastAsia" w:ascii="Times New Roman" w:hAnsi="Times New Roman" w:cs="Times New Roman"/>
                <w:color w:val="000000"/>
                <w:kern w:val="0"/>
                <w:sz w:val="16"/>
                <w:szCs w:val="16"/>
                <w:lang w:val="en-US" w:eastAsia="zh-CN"/>
              </w:rPr>
              <w:t>分</w:t>
            </w:r>
            <w:r>
              <w:rPr>
                <w:rFonts w:hint="default" w:ascii="Times New Roman" w:hAnsi="Times New Roman" w:cs="Times New Roman" w:eastAsiaTheme="minorEastAsia"/>
                <w:color w:val="000000"/>
                <w:kern w:val="0"/>
                <w:sz w:val="16"/>
                <w:szCs w:val="16"/>
              </w:rPr>
              <w:t>）</w:t>
            </w:r>
          </w:p>
        </w:tc>
        <w:tc>
          <w:tcPr>
            <w:tcW w:w="7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财务管理（4</w:t>
            </w:r>
            <w:r>
              <w:rPr>
                <w:rFonts w:hint="eastAsia" w:ascii="Times New Roman" w:hAnsi="Times New Roman" w:cs="Times New Roman"/>
                <w:color w:val="000000"/>
                <w:kern w:val="0"/>
                <w:sz w:val="16"/>
                <w:szCs w:val="16"/>
                <w:lang w:val="en-US" w:eastAsia="zh-CN"/>
              </w:rPr>
              <w:t>分</w:t>
            </w:r>
            <w:r>
              <w:rPr>
                <w:rFonts w:hint="default" w:ascii="Times New Roman" w:hAnsi="Times New Roman" w:cs="Times New Roman" w:eastAsiaTheme="minorEastAsia"/>
                <w:color w:val="000000"/>
                <w:kern w:val="0"/>
                <w:sz w:val="16"/>
                <w:szCs w:val="16"/>
              </w:rPr>
              <w:t>）</w:t>
            </w:r>
          </w:p>
        </w:tc>
        <w:tc>
          <w:tcPr>
            <w:tcW w:w="1553"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eastAsiaTheme="minorEastAsia"/>
                <w:color w:val="000000"/>
                <w:kern w:val="0"/>
                <w:sz w:val="16"/>
                <w:szCs w:val="16"/>
              </w:rPr>
            </w:pPr>
            <w:r>
              <w:rPr>
                <w:rFonts w:hint="eastAsia" w:ascii="宋体" w:hAnsi="宋体" w:eastAsia="宋体" w:cs="宋体"/>
                <w:i w:val="0"/>
                <w:iCs w:val="0"/>
                <w:color w:val="000000"/>
                <w:kern w:val="0"/>
                <w:sz w:val="16"/>
                <w:szCs w:val="16"/>
                <w:u w:val="none"/>
                <w:lang w:val="en-US" w:eastAsia="zh-CN" w:bidi="ar"/>
              </w:rPr>
              <w:t>财务管理制度健全性</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（1分）</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eastAsiaTheme="minorEastAsia"/>
                <w:color w:val="000000"/>
                <w:kern w:val="0"/>
                <w:sz w:val="16"/>
                <w:szCs w:val="16"/>
              </w:rPr>
            </w:pPr>
            <w:r>
              <w:rPr>
                <w:rFonts w:hint="eastAsia" w:ascii="宋体" w:hAnsi="宋体" w:eastAsia="宋体" w:cs="宋体"/>
                <w:i w:val="0"/>
                <w:iCs w:val="0"/>
                <w:color w:val="000000"/>
                <w:kern w:val="0"/>
                <w:sz w:val="16"/>
                <w:szCs w:val="16"/>
                <w:u w:val="none"/>
                <w:lang w:val="en-US" w:eastAsia="zh-CN" w:bidi="ar"/>
              </w:rPr>
              <w:t>健全、完整、合规</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eastAsiaTheme="minorEastAsia"/>
                <w:color w:val="000000"/>
                <w:kern w:val="0"/>
                <w:sz w:val="16"/>
                <w:szCs w:val="16"/>
              </w:rPr>
            </w:pPr>
            <w:r>
              <w:rPr>
                <w:rFonts w:hint="eastAsia" w:ascii="宋体" w:hAnsi="宋体" w:eastAsia="宋体" w:cs="宋体"/>
                <w:i w:val="0"/>
                <w:iCs w:val="0"/>
                <w:color w:val="000000"/>
                <w:kern w:val="0"/>
                <w:sz w:val="16"/>
                <w:szCs w:val="16"/>
                <w:u w:val="none"/>
                <w:lang w:val="en-US" w:eastAsia="zh-CN" w:bidi="ar"/>
              </w:rPr>
              <w:t>健全、完整、合规。</w:t>
            </w:r>
          </w:p>
        </w:tc>
        <w:tc>
          <w:tcPr>
            <w:tcW w:w="461"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eastAsiaTheme="minorEastAsia"/>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single" w:color="auto" w:sz="4" w:space="0"/>
              <w:left w:val="nil"/>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eastAsiaTheme="minorEastAsia"/>
                <w:color w:val="000000"/>
                <w:kern w:val="0"/>
                <w:sz w:val="16"/>
                <w:szCs w:val="16"/>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b/>
                <w:bCs/>
                <w:color w:val="000000"/>
                <w:kern w:val="0"/>
                <w:sz w:val="16"/>
                <w:szCs w:val="16"/>
              </w:rPr>
              <w:t>财务管理制度健全性:</w:t>
            </w:r>
            <w:r>
              <w:rPr>
                <w:rFonts w:hint="default" w:ascii="Times New Roman" w:hAnsi="Times New Roman" w:cs="Times New Roman" w:eastAsiaTheme="minorEastAsia"/>
                <w:color w:val="000000"/>
                <w:kern w:val="0"/>
                <w:sz w:val="16"/>
                <w:szCs w:val="16"/>
              </w:rPr>
              <w:t>部门（单位）为加强财务管理、规范财务行为而制定的管理制度。</w:t>
            </w:r>
          </w:p>
        </w:tc>
        <w:tc>
          <w:tcPr>
            <w:tcW w:w="29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trHeight w:val="2220" w:hRule="atLeast"/>
        </w:trPr>
        <w:tc>
          <w:tcPr>
            <w:tcW w:w="78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p>
        </w:tc>
        <w:tc>
          <w:tcPr>
            <w:tcW w:w="1553"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资金使用合规性和安全性</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（2分）</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合规、安全</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合规、安全。</w:t>
            </w:r>
          </w:p>
        </w:tc>
        <w:tc>
          <w:tcPr>
            <w:tcW w:w="461"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w:t>
            </w:r>
          </w:p>
        </w:tc>
        <w:tc>
          <w:tcPr>
            <w:tcW w:w="616" w:type="dxa"/>
            <w:tcBorders>
              <w:top w:val="single" w:color="auto" w:sz="4" w:space="0"/>
              <w:left w:val="nil"/>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b/>
                <w:bCs/>
                <w:color w:val="000000"/>
                <w:kern w:val="0"/>
                <w:sz w:val="16"/>
                <w:szCs w:val="16"/>
              </w:rPr>
              <w:t>资金使用合规性和安全性:</w:t>
            </w:r>
            <w:r>
              <w:rPr>
                <w:rFonts w:hint="default" w:ascii="Times New Roman" w:hAnsi="Times New Roman" w:cs="Times New Roman" w:eastAsiaTheme="minorEastAsia"/>
                <w:color w:val="000000"/>
                <w:kern w:val="0"/>
                <w:sz w:val="16"/>
                <w:szCs w:val="16"/>
              </w:rPr>
              <w:t>部门（单位）使用预算资金是否符合相关的预算财务管理制度的规定，是否符合相关规定的开支范围，用以反映考核部门（单位）预算资金的规范运行和安全运行情况。</w:t>
            </w:r>
          </w:p>
        </w:tc>
        <w:tc>
          <w:tcPr>
            <w:tcW w:w="29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trHeight w:val="1035" w:hRule="atLeast"/>
        </w:trPr>
        <w:tc>
          <w:tcPr>
            <w:tcW w:w="7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p>
        </w:tc>
        <w:tc>
          <w:tcPr>
            <w:tcW w:w="70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p>
        </w:tc>
        <w:tc>
          <w:tcPr>
            <w:tcW w:w="1553"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会计基础信息完善性</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（1分）</w:t>
            </w:r>
          </w:p>
        </w:tc>
        <w:tc>
          <w:tcPr>
            <w:tcW w:w="2278"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完整、准确</w:t>
            </w:r>
          </w:p>
        </w:tc>
        <w:tc>
          <w:tcPr>
            <w:tcW w:w="3105"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完整、准确。</w:t>
            </w:r>
          </w:p>
        </w:tc>
        <w:tc>
          <w:tcPr>
            <w:tcW w:w="46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616" w:type="dxa"/>
            <w:tcBorders>
              <w:top w:val="nil"/>
              <w:left w:val="nil"/>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1712"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b/>
                <w:bCs/>
                <w:color w:val="000000"/>
                <w:kern w:val="0"/>
                <w:sz w:val="16"/>
                <w:szCs w:val="16"/>
              </w:rPr>
              <w:t>会计基础信息完善性:</w:t>
            </w:r>
            <w:r>
              <w:rPr>
                <w:rFonts w:hint="default" w:ascii="Times New Roman" w:hAnsi="Times New Roman" w:cs="Times New Roman" w:eastAsiaTheme="minorEastAsia"/>
                <w:color w:val="000000"/>
                <w:kern w:val="0"/>
                <w:sz w:val="16"/>
                <w:szCs w:val="16"/>
              </w:rPr>
              <w:t>部门（单位）会计基础信息情况。</w:t>
            </w:r>
          </w:p>
        </w:tc>
        <w:tc>
          <w:tcPr>
            <w:tcW w:w="296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trHeight w:val="618" w:hRule="atLeast"/>
        </w:trPr>
        <w:tc>
          <w:tcPr>
            <w:tcW w:w="7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eastAsia" w:ascii="Times New Roman" w:hAnsi="Times New Roman" w:cs="Times New Roman" w:eastAsiaTheme="minorEastAsia"/>
                <w:color w:val="000000"/>
                <w:kern w:val="0"/>
                <w:sz w:val="16"/>
                <w:szCs w:val="16"/>
                <w:lang w:val="en-US" w:eastAsia="zh-CN"/>
              </w:rPr>
              <w:t>资产管理（4分）</w:t>
            </w:r>
          </w:p>
        </w:tc>
        <w:tc>
          <w:tcPr>
            <w:tcW w:w="15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eastAsia" w:ascii="Times New Roman" w:hAnsi="Times New Roman" w:cs="Times New Roman" w:eastAsiaTheme="minorEastAsia"/>
                <w:color w:val="000000"/>
                <w:kern w:val="0"/>
                <w:sz w:val="16"/>
                <w:szCs w:val="16"/>
                <w:lang w:val="en-US" w:eastAsia="zh-CN"/>
              </w:rPr>
              <w:t>资产管理规范性</w:t>
            </w:r>
            <w:r>
              <w:rPr>
                <w:rFonts w:hint="eastAsia" w:ascii="Times New Roman" w:hAnsi="Times New Roman" w:cs="Times New Roman" w:eastAsiaTheme="minorEastAsia"/>
                <w:color w:val="000000"/>
                <w:kern w:val="0"/>
                <w:sz w:val="16"/>
                <w:szCs w:val="16"/>
                <w:lang w:val="en-US" w:eastAsia="zh-CN"/>
              </w:rPr>
              <w:br w:type="textWrapping"/>
            </w:r>
            <w:r>
              <w:rPr>
                <w:rFonts w:hint="eastAsia" w:ascii="Times New Roman" w:hAnsi="Times New Roman" w:cs="Times New Roman" w:eastAsiaTheme="minorEastAsia"/>
                <w:color w:val="000000"/>
                <w:kern w:val="0"/>
                <w:sz w:val="16"/>
                <w:szCs w:val="16"/>
                <w:lang w:val="en-US" w:eastAsia="zh-CN"/>
              </w:rPr>
              <w:t>（4分）</w:t>
            </w:r>
          </w:p>
        </w:tc>
        <w:tc>
          <w:tcPr>
            <w:tcW w:w="227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eastAsia" w:ascii="Times New Roman" w:hAnsi="Times New Roman" w:cs="Times New Roman" w:eastAsiaTheme="minorEastAsia"/>
                <w:color w:val="000000"/>
                <w:kern w:val="0"/>
                <w:sz w:val="16"/>
                <w:szCs w:val="16"/>
                <w:lang w:val="en-US" w:eastAsia="zh-CN"/>
              </w:rPr>
              <w:t>规范</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eastAsia" w:ascii="Times New Roman" w:hAnsi="Times New Roman" w:cs="Times New Roman" w:eastAsiaTheme="minorEastAsia"/>
                <w:color w:val="000000"/>
                <w:kern w:val="0"/>
                <w:sz w:val="16"/>
                <w:szCs w:val="16"/>
                <w:lang w:val="en-US" w:eastAsia="zh-CN"/>
              </w:rPr>
              <w:t>规范。</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eastAsia" w:ascii="Times New Roman" w:hAnsi="Times New Roman" w:cs="Times New Roman" w:eastAsiaTheme="minorEastAsia"/>
                <w:color w:val="000000"/>
                <w:kern w:val="0"/>
                <w:sz w:val="16"/>
                <w:szCs w:val="16"/>
                <w:lang w:val="en-US" w:eastAsia="zh-CN"/>
              </w:rPr>
              <w:t>4</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eastAsia" w:ascii="Times New Roman" w:hAnsi="Times New Roman" w:cs="Times New Roman" w:eastAsiaTheme="minorEastAsia"/>
                <w:color w:val="000000"/>
                <w:kern w:val="0"/>
                <w:sz w:val="16"/>
                <w:szCs w:val="16"/>
                <w:lang w:val="en-US" w:eastAsia="zh-CN"/>
              </w:rPr>
              <w:t>4</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b/>
                <w:bCs/>
                <w:color w:val="000000"/>
                <w:kern w:val="0"/>
                <w:sz w:val="16"/>
                <w:szCs w:val="16"/>
              </w:rPr>
              <w:t>资产管理规范性:</w:t>
            </w:r>
            <w:r>
              <w:rPr>
                <w:rFonts w:hint="default" w:ascii="Times New Roman" w:hAnsi="Times New Roman" w:cs="Times New Roman" w:eastAsiaTheme="minorEastAsia"/>
                <w:color w:val="000000"/>
                <w:kern w:val="0"/>
                <w:sz w:val="16"/>
                <w:szCs w:val="16"/>
              </w:rPr>
              <w:t>部门（单位）的资产是否保持安全完整，资产配置是否合理，资产使用和资产处理是否规范，用以反映和考核部门（单位）资产管理的整体水平。</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trHeight w:val="1333" w:hRule="atLeast"/>
        </w:trPr>
        <w:tc>
          <w:tcPr>
            <w:tcW w:w="780"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p>
        </w:tc>
        <w:tc>
          <w:tcPr>
            <w:tcW w:w="7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lang w:val="en-US" w:eastAsia="zh-CN"/>
              </w:rPr>
            </w:pPr>
            <w:r>
              <w:rPr>
                <w:rFonts w:hint="eastAsia" w:ascii="Times New Roman" w:hAnsi="Times New Roman" w:cs="Times New Roman" w:eastAsiaTheme="minorEastAsia"/>
                <w:color w:val="000000"/>
                <w:kern w:val="0"/>
                <w:sz w:val="16"/>
                <w:szCs w:val="16"/>
                <w:lang w:val="en-US" w:eastAsia="zh-CN"/>
              </w:rPr>
              <w:t>绩效管理（4分）</w:t>
            </w:r>
          </w:p>
        </w:tc>
        <w:tc>
          <w:tcPr>
            <w:tcW w:w="155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lang w:val="en-US" w:eastAsia="zh-CN"/>
              </w:rPr>
            </w:pPr>
            <w:r>
              <w:rPr>
                <w:rFonts w:hint="eastAsia" w:ascii="Times New Roman" w:hAnsi="Times New Roman" w:cs="Times New Roman" w:eastAsiaTheme="minorEastAsia"/>
                <w:color w:val="000000"/>
                <w:kern w:val="0"/>
                <w:sz w:val="16"/>
                <w:szCs w:val="16"/>
                <w:lang w:val="en-US" w:eastAsia="zh-CN"/>
              </w:rPr>
              <w:t>绩效管理情况</w:t>
            </w:r>
            <w:r>
              <w:rPr>
                <w:rFonts w:hint="eastAsia" w:ascii="Times New Roman" w:hAnsi="Times New Roman" w:cs="Times New Roman" w:eastAsiaTheme="minorEastAsia"/>
                <w:color w:val="000000"/>
                <w:kern w:val="0"/>
                <w:sz w:val="16"/>
                <w:szCs w:val="16"/>
                <w:lang w:val="en-US" w:eastAsia="zh-CN"/>
              </w:rPr>
              <w:br w:type="textWrapping"/>
            </w:r>
            <w:r>
              <w:rPr>
                <w:rFonts w:hint="eastAsia" w:ascii="Times New Roman" w:hAnsi="Times New Roman" w:cs="Times New Roman" w:eastAsiaTheme="minorEastAsia"/>
                <w:color w:val="000000"/>
                <w:kern w:val="0"/>
                <w:sz w:val="16"/>
                <w:szCs w:val="16"/>
                <w:lang w:val="en-US" w:eastAsia="zh-CN"/>
              </w:rPr>
              <w:t>（4分）</w:t>
            </w:r>
          </w:p>
        </w:tc>
        <w:tc>
          <w:tcPr>
            <w:tcW w:w="227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lang w:val="en-US" w:eastAsia="zh-CN"/>
              </w:rPr>
            </w:pPr>
            <w:r>
              <w:rPr>
                <w:rFonts w:hint="eastAsia" w:ascii="Times New Roman" w:hAnsi="Times New Roman" w:cs="Times New Roman" w:eastAsiaTheme="minorEastAsia"/>
                <w:color w:val="000000"/>
                <w:kern w:val="0"/>
                <w:sz w:val="16"/>
                <w:szCs w:val="16"/>
                <w:lang w:val="en-US" w:eastAsia="zh-CN"/>
              </w:rPr>
              <w:t>及时、有效</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lang w:val="en-US" w:eastAsia="zh-CN"/>
              </w:rPr>
            </w:pPr>
            <w:r>
              <w:rPr>
                <w:rFonts w:hint="eastAsia" w:ascii="Times New Roman" w:hAnsi="Times New Roman" w:cs="Times New Roman" w:eastAsiaTheme="minorEastAsia"/>
                <w:color w:val="000000"/>
                <w:kern w:val="0"/>
                <w:sz w:val="16"/>
                <w:szCs w:val="16"/>
                <w:lang w:val="en-US" w:eastAsia="zh-CN"/>
              </w:rPr>
              <w:t>及时、有效。</w:t>
            </w:r>
          </w:p>
        </w:tc>
        <w:tc>
          <w:tcPr>
            <w:tcW w:w="46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lang w:val="en-US" w:eastAsia="zh-CN"/>
              </w:rPr>
            </w:pPr>
            <w:r>
              <w:rPr>
                <w:rFonts w:hint="eastAsia" w:ascii="Times New Roman" w:hAnsi="Times New Roman" w:cs="Times New Roman" w:eastAsiaTheme="minorEastAsia"/>
                <w:color w:val="000000"/>
                <w:kern w:val="0"/>
                <w:sz w:val="16"/>
                <w:szCs w:val="16"/>
                <w:lang w:val="en-US" w:eastAsia="zh-CN"/>
              </w:rPr>
              <w:t>4</w:t>
            </w:r>
          </w:p>
        </w:tc>
        <w:tc>
          <w:tcPr>
            <w:tcW w:w="616" w:type="dxa"/>
            <w:tcBorders>
              <w:top w:val="single" w:color="auto" w:sz="4" w:space="0"/>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lang w:val="en-US" w:eastAsia="zh-CN"/>
              </w:rPr>
            </w:pPr>
            <w:r>
              <w:rPr>
                <w:rFonts w:hint="eastAsia" w:ascii="Times New Roman" w:hAnsi="Times New Roman" w:cs="Times New Roman" w:eastAsiaTheme="minorEastAsia"/>
                <w:color w:val="000000"/>
                <w:kern w:val="0"/>
                <w:sz w:val="16"/>
                <w:szCs w:val="16"/>
                <w:lang w:val="en-US" w:eastAsia="zh-CN"/>
              </w:rPr>
              <w:t>4</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b/>
                <w:bCs/>
                <w:color w:val="000000"/>
                <w:kern w:val="0"/>
                <w:sz w:val="16"/>
                <w:szCs w:val="16"/>
              </w:rPr>
              <w:t>绩效管理情况:</w:t>
            </w:r>
            <w:r>
              <w:rPr>
                <w:rFonts w:hint="default" w:ascii="Times New Roman" w:hAnsi="Times New Roman" w:cs="Times New Roman" w:eastAsiaTheme="minorEastAsia"/>
                <w:color w:val="000000"/>
                <w:kern w:val="0"/>
                <w:sz w:val="16"/>
                <w:szCs w:val="16"/>
              </w:rPr>
              <w:t>考核部门（单位）在绩效管理信息的汇总和应用情况。</w:t>
            </w:r>
          </w:p>
        </w:tc>
        <w:tc>
          <w:tcPr>
            <w:tcW w:w="29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trHeight w:val="394" w:hRule="atLeast"/>
        </w:trPr>
        <w:tc>
          <w:tcPr>
            <w:tcW w:w="78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p>
        </w:tc>
        <w:tc>
          <w:tcPr>
            <w:tcW w:w="70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指标　</w:t>
            </w:r>
          </w:p>
        </w:tc>
        <w:tc>
          <w:tcPr>
            <w:tcW w:w="3831"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2021年</w:t>
            </w:r>
          </w:p>
        </w:tc>
        <w:tc>
          <w:tcPr>
            <w:tcW w:w="310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2022年</w:t>
            </w:r>
          </w:p>
        </w:tc>
        <w:tc>
          <w:tcPr>
            <w:tcW w:w="46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分值</w:t>
            </w:r>
          </w:p>
        </w:tc>
        <w:tc>
          <w:tcPr>
            <w:tcW w:w="61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得分</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bCs/>
                <w:color w:val="000000"/>
                <w:kern w:val="0"/>
                <w:sz w:val="16"/>
                <w:szCs w:val="16"/>
              </w:rPr>
              <w:t>指标解释</w:t>
            </w:r>
          </w:p>
        </w:tc>
        <w:tc>
          <w:tcPr>
            <w:tcW w:w="29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kern w:val="0"/>
                <w:sz w:val="16"/>
                <w:szCs w:val="16"/>
              </w:rPr>
            </w:pPr>
            <w:r>
              <w:rPr>
                <w:rFonts w:hint="default" w:ascii="Times New Roman" w:hAnsi="Times New Roman" w:cs="Times New Roman" w:eastAsiaTheme="minorEastAsia"/>
                <w:color w:val="000000"/>
                <w:kern w:val="0"/>
                <w:sz w:val="16"/>
                <w:szCs w:val="16"/>
              </w:rPr>
              <w:t>评分标准</w:t>
            </w:r>
          </w:p>
        </w:tc>
      </w:tr>
      <w:tr>
        <w:tblPrEx>
          <w:tblLayout w:type="fixed"/>
          <w:tblCellMar>
            <w:top w:w="0" w:type="dxa"/>
            <w:left w:w="108" w:type="dxa"/>
            <w:bottom w:w="0" w:type="dxa"/>
            <w:right w:w="108" w:type="dxa"/>
          </w:tblCellMar>
        </w:tblPrEx>
        <w:trPr>
          <w:trHeight w:val="1365"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eastAsiaTheme="minorEastAsia"/>
                <w:color w:val="000000"/>
                <w:kern w:val="0"/>
                <w:sz w:val="16"/>
                <w:szCs w:val="16"/>
              </w:rPr>
            </w:pPr>
            <w:r>
              <w:rPr>
                <w:rFonts w:hint="eastAsia" w:ascii="宋体" w:hAnsi="宋体" w:eastAsia="宋体" w:cs="宋体"/>
                <w:i w:val="0"/>
                <w:iCs w:val="0"/>
                <w:color w:val="000000"/>
                <w:kern w:val="0"/>
                <w:sz w:val="16"/>
                <w:szCs w:val="16"/>
                <w:u w:val="none"/>
                <w:lang w:val="en-US" w:eastAsia="zh-CN" w:bidi="ar"/>
              </w:rPr>
              <w:t>结转结余率（4分）</w:t>
            </w:r>
          </w:p>
        </w:tc>
        <w:tc>
          <w:tcPr>
            <w:tcW w:w="383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eastAsiaTheme="minorEastAsia"/>
                <w:color w:val="000000"/>
                <w:kern w:val="0"/>
                <w:sz w:val="16"/>
                <w:szCs w:val="16"/>
              </w:rPr>
            </w:pPr>
            <w:r>
              <w:rPr>
                <w:rFonts w:hint="eastAsia" w:ascii="宋体" w:hAnsi="宋体" w:eastAsia="宋体" w:cs="宋体"/>
                <w:i w:val="0"/>
                <w:iCs w:val="0"/>
                <w:color w:val="000000"/>
                <w:kern w:val="0"/>
                <w:sz w:val="16"/>
                <w:szCs w:val="16"/>
                <w:u w:val="none"/>
                <w:lang w:val="en-US" w:eastAsia="zh-CN" w:bidi="ar"/>
              </w:rPr>
              <w:t>2021年末结转结余资金169172.96万元.结转和结余形成的主要原因为局本级的中央财政年中追加拨款，由于额度到账时间较晚不能于本年支出，故形成结余结转资金，如新能源汽车市级补助资金，共计40000万元、高精尖补贴资金61000万元、中小企业创新融资奖补3000万元、＂专精特新”中小企业高质量发展奖补资金11561万元、小微企业融资担保降费奖补资金14680万元、北京健康宝优化升级项目843.3万元。该部分资金合计131084.3万元，剔除该部分后为37574.37万元,结转结余率为5.38%</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cs="Times New Roman" w:eastAsiaTheme="minorEastAsia"/>
                <w:color w:val="000000"/>
                <w:kern w:val="0"/>
                <w:sz w:val="16"/>
                <w:szCs w:val="16"/>
              </w:rPr>
            </w:pPr>
            <w:r>
              <w:rPr>
                <w:rFonts w:hint="eastAsia" w:ascii="宋体" w:hAnsi="宋体" w:eastAsia="宋体" w:cs="宋体"/>
                <w:i w:val="0"/>
                <w:iCs w:val="0"/>
                <w:color w:val="000000"/>
                <w:kern w:val="0"/>
                <w:sz w:val="16"/>
                <w:szCs w:val="16"/>
                <w:u w:val="none"/>
                <w:lang w:val="en-US" w:eastAsia="zh-CN" w:bidi="ar"/>
              </w:rPr>
              <w:t>2022年末结转结余资金145,517.03万元，其中基本支出结转4,320.15万元，项目支出结转和结余141,201.78万元，经营支出结转和结余-4.90万元。结转和结余形成的主要原因为部分项目为财政年中追加资金，额度到账时间较晚未在本年支出，故形成结余结转资金，如高精尖企业补贴资金、新能源汽车市级补助资金、高质量发展专项资金、中小企业发展专项资金等项目资金，剔除该部分后结转结余资金为333,18.01万元，结转结余率为4.08%。</w:t>
            </w:r>
          </w:p>
        </w:tc>
        <w:tc>
          <w:tcPr>
            <w:tcW w:w="4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eastAsiaTheme="minorEastAsia"/>
                <w:color w:val="000000"/>
                <w:kern w:val="0"/>
                <w:sz w:val="16"/>
                <w:szCs w:val="16"/>
              </w:rPr>
            </w:pPr>
            <w:r>
              <w:rPr>
                <w:rFonts w:hint="eastAsia" w:ascii="宋体" w:hAnsi="宋体" w:eastAsia="宋体" w:cs="宋体"/>
                <w:i w:val="0"/>
                <w:iCs w:val="0"/>
                <w:color w:val="000000"/>
                <w:kern w:val="0"/>
                <w:sz w:val="16"/>
                <w:szCs w:val="16"/>
                <w:u w:val="none"/>
                <w:lang w:val="en-US" w:eastAsia="zh-CN" w:bidi="ar"/>
              </w:rPr>
              <w:t>4</w:t>
            </w:r>
          </w:p>
        </w:tc>
        <w:tc>
          <w:tcPr>
            <w:tcW w:w="6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cs="Times New Roman" w:eastAsiaTheme="minorEastAsia"/>
                <w:color w:val="000000"/>
                <w:kern w:val="0"/>
                <w:sz w:val="16"/>
                <w:szCs w:val="16"/>
              </w:rPr>
            </w:pPr>
            <w:r>
              <w:rPr>
                <w:rFonts w:hint="eastAsia" w:ascii="宋体" w:hAnsi="宋体" w:eastAsia="宋体" w:cs="宋体"/>
                <w:i w:val="0"/>
                <w:iCs w:val="0"/>
                <w:color w:val="000000"/>
                <w:kern w:val="0"/>
                <w:sz w:val="16"/>
                <w:szCs w:val="16"/>
                <w:u w:val="none"/>
                <w:lang w:val="en-US" w:eastAsia="zh-CN" w:bidi="ar"/>
              </w:rPr>
              <w:t>4</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结转结余率=结转结余总额/支出预算数×100%。</w:t>
            </w:r>
            <w:r>
              <w:rPr>
                <w:rFonts w:hint="default" w:ascii="Times New Roman" w:hAnsi="Times New Roman" w:cs="Times New Roman" w:eastAsiaTheme="minorEastAsia"/>
                <w:color w:val="000000"/>
                <w:kern w:val="0"/>
                <w:sz w:val="16"/>
                <w:szCs w:val="16"/>
              </w:rPr>
              <w:br w:type="textWrapping"/>
            </w:r>
            <w:r>
              <w:rPr>
                <w:rFonts w:hint="default" w:ascii="Times New Roman" w:hAnsi="Times New Roman" w:cs="Times New Roman" w:eastAsiaTheme="minorEastAsia"/>
                <w:color w:val="000000"/>
                <w:kern w:val="0"/>
                <w:sz w:val="16"/>
                <w:szCs w:val="16"/>
              </w:rPr>
              <w:t>结转结余总额：部门（单位）本年度的结转资金与结余资金之和。</w:t>
            </w:r>
          </w:p>
        </w:tc>
        <w:tc>
          <w:tcPr>
            <w:tcW w:w="29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trHeight w:val="90" w:hRule="atLeast"/>
        </w:trPr>
        <w:tc>
          <w:tcPr>
            <w:tcW w:w="78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p>
        </w:tc>
        <w:tc>
          <w:tcPr>
            <w:tcW w:w="700"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部门预决算差异率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（4分）</w:t>
            </w:r>
          </w:p>
        </w:tc>
        <w:tc>
          <w:tcPr>
            <w:tcW w:w="3831" w:type="dxa"/>
            <w:gridSpan w:val="2"/>
            <w:tcBorders>
              <w:top w:val="single" w:color="auto" w:sz="4" w:space="0"/>
              <w:left w:val="nil"/>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w:t>
            </w:r>
          </w:p>
        </w:tc>
        <w:tc>
          <w:tcPr>
            <w:tcW w:w="31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宋体" w:hAnsi="宋体" w:eastAsia="宋体" w:cs="宋体"/>
                <w:i w:val="0"/>
                <w:iCs w:val="0"/>
                <w:color w:val="000000"/>
                <w:kern w:val="0"/>
                <w:sz w:val="16"/>
                <w:szCs w:val="16"/>
                <w:u w:val="none"/>
                <w:lang w:val="en-US" w:eastAsia="zh-CN" w:bidi="ar"/>
              </w:rPr>
            </w:pPr>
            <w:r>
              <w:rPr>
                <w:rFonts w:hint="default" w:ascii="宋体" w:hAnsi="宋体" w:eastAsia="宋体" w:cs="宋体"/>
                <w:i w:val="0"/>
                <w:iCs w:val="0"/>
                <w:color w:val="000000"/>
                <w:kern w:val="0"/>
                <w:sz w:val="16"/>
                <w:szCs w:val="16"/>
                <w:u w:val="none"/>
                <w:lang w:val="en-US" w:eastAsia="zh-CN" w:bidi="ar"/>
              </w:rPr>
              <w:t>北京市经济和信息化局2022年末决算支出670,974.57万元，年初预算支出574,246.49万元，部门预算决算差异率为16.84%，低于市级平均差异率28.3%。</w:t>
            </w:r>
          </w:p>
        </w:tc>
        <w:tc>
          <w:tcPr>
            <w:tcW w:w="461"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616" w:type="dxa"/>
            <w:tcBorders>
              <w:top w:val="single" w:color="auto" w:sz="4" w:space="0"/>
              <w:left w:val="nil"/>
              <w:bottom w:val="single" w:color="auto"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w:t>
            </w:r>
          </w:p>
        </w:tc>
        <w:tc>
          <w:tcPr>
            <w:tcW w:w="1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通过年度部门决算与年初部门预算对比，对部门的年度支出情况进行考核，衡量部门预算的约束力。</w:t>
            </w:r>
          </w:p>
        </w:tc>
        <w:tc>
          <w:tcPr>
            <w:tcW w:w="296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部门预决算差异率高于市级平均差异率（28.3%）的，每高出10%（含），扣0.4分，扣完为止。</w:t>
            </w:r>
          </w:p>
        </w:tc>
      </w:tr>
      <w:tr>
        <w:tblPrEx>
          <w:tblLayout w:type="fixed"/>
          <w:tblCellMar>
            <w:top w:w="0" w:type="dxa"/>
            <w:left w:w="108" w:type="dxa"/>
            <w:bottom w:w="0" w:type="dxa"/>
            <w:right w:w="108" w:type="dxa"/>
          </w:tblCellMar>
        </w:tblPrEx>
        <w:trPr>
          <w:trHeight w:val="404" w:hRule="atLeast"/>
        </w:trPr>
        <w:tc>
          <w:tcPr>
            <w:tcW w:w="8416"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合计</w:t>
            </w:r>
          </w:p>
        </w:tc>
        <w:tc>
          <w:tcPr>
            <w:tcW w:w="46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100</w:t>
            </w:r>
          </w:p>
        </w:tc>
        <w:tc>
          <w:tcPr>
            <w:tcW w:w="616" w:type="dxa"/>
            <w:tcBorders>
              <w:top w:val="nil"/>
              <w:left w:val="nil"/>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eastAsia" w:ascii="Times New Roman" w:hAnsi="Times New Roman" w:cs="Times New Roman"/>
                <w:color w:val="000000"/>
                <w:kern w:val="0"/>
                <w:sz w:val="16"/>
                <w:szCs w:val="16"/>
                <w:lang w:val="en-US" w:eastAsia="zh-CN"/>
              </w:rPr>
              <w:t>96.44</w:t>
            </w:r>
            <w:r>
              <w:rPr>
                <w:rFonts w:hint="default" w:ascii="Times New Roman" w:hAnsi="Times New Roman" w:cs="Times New Roman" w:eastAsiaTheme="minorEastAsia"/>
                <w:color w:val="000000"/>
                <w:kern w:val="0"/>
                <w:sz w:val="16"/>
                <w:szCs w:val="16"/>
              </w:rPr>
              <w:t>　</w:t>
            </w:r>
          </w:p>
        </w:tc>
        <w:tc>
          <w:tcPr>
            <w:tcW w:w="4681" w:type="dxa"/>
            <w:gridSpan w:val="2"/>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eastAsiaTheme="minorEastAsia"/>
                <w:color w:val="000000"/>
                <w:kern w:val="0"/>
                <w:sz w:val="16"/>
                <w:szCs w:val="16"/>
              </w:rPr>
            </w:pPr>
            <w:r>
              <w:rPr>
                <w:rFonts w:hint="default" w:ascii="Times New Roman" w:hAnsi="Times New Roman" w:cs="Times New Roman" w:eastAsiaTheme="minorEastAsia"/>
                <w:color w:val="000000"/>
                <w:kern w:val="0"/>
                <w:sz w:val="16"/>
                <w:szCs w:val="16"/>
              </w:rPr>
              <w:t>　</w:t>
            </w:r>
          </w:p>
        </w:tc>
      </w:tr>
    </w:tbl>
    <w:p>
      <w:pPr>
        <w:rPr>
          <w:rFonts w:hint="default"/>
          <w:lang w:val="en-US" w:eastAsia="zh-CN"/>
        </w:rPr>
        <w:sectPr>
          <w:pgSz w:w="16838" w:h="11906" w:orient="landscape"/>
          <w:pgMar w:top="1803" w:right="1440" w:bottom="1803" w:left="1440" w:header="851" w:footer="992" w:gutter="0"/>
          <w:pgNumType w:fmt="decimal"/>
          <w:cols w:space="0" w:num="1"/>
          <w:rtlGutter w:val="0"/>
          <w:docGrid w:type="lines" w:linePitch="415" w:charSpace="0"/>
        </w:sectPr>
      </w:pPr>
    </w:p>
    <w:p>
      <w:pPr>
        <w:pStyle w:val="10"/>
        <w:ind w:left="0" w:leftChars="0" w:firstLine="0" w:firstLineChars="0"/>
        <w:rPr>
          <w:rFonts w:hint="default"/>
          <w:lang w:val="en-US" w:eastAsia="zh-CN"/>
        </w:rPr>
      </w:pPr>
    </w:p>
    <w:sectPr>
      <w:pgSz w:w="11906" w:h="16838"/>
      <w:pgMar w:top="1440" w:right="1803" w:bottom="1440" w:left="1803" w:header="851" w:footer="992" w:gutter="0"/>
      <w:pgNumType w:fmt="decimal"/>
      <w:cols w:space="0" w:num="1"/>
      <w:rtlGutter w:val="0"/>
      <w:docGrid w:type="lines" w:linePitch="4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1"/>
    <w:family w:val="swiss"/>
    <w:pitch w:val="default"/>
    <w:sig w:usb0="00000000" w:usb1="00000000" w:usb2="00000009" w:usb3="00000000" w:csb0="400001FF" w:csb1="FFFF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00000000" w:usb1="00000000"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enter" w:pos="4153"/>
        <w:tab w:val="clear" w:pos="4320"/>
      </w:tabs>
      <w:spacing w:after="0" w:line="240" w:lineRule="auto"/>
      <w:rPr>
        <w:rFonts w:hint="eastAsia" w:ascii="宋体" w:hAnsi="宋体" w:eastAsia="宋体" w:cs="宋体"/>
        <w:sz w:val="28"/>
        <w:szCs w:val="2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11"/>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txbxContent>
              </v:textbox>
            </v:shape>
          </w:pict>
        </mc:Fallback>
      </mc:AlternateContent>
    </w:r>
    <w:r>
      <w:rPr>
        <w:rFonts w:hint="eastAsia" w:ascii="仿宋_GB2312" w:eastAsia="仿宋_GB2312"/>
        <w:sz w:val="18"/>
        <w:szCs w:val="18"/>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AECE07"/>
    <w:multiLevelType w:val="singleLevel"/>
    <w:tmpl w:val="78AECE07"/>
    <w:lvl w:ilvl="0" w:tentative="0">
      <w:start w:val="2"/>
      <w:numFmt w:val="decimal"/>
      <w:suff w:val="nothing"/>
      <w:lvlText w:val="（%1）"/>
      <w:lvlJc w:val="left"/>
      <w:pPr>
        <w:ind w:left="-1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TrueTypeFonts/>
  <w:saveSubsetFonts/>
  <w:bordersDoNotSurroundHeader w:val="0"/>
  <w:bordersDoNotSurroundFooter w:val="0"/>
  <w:documentProtection w:enforcement="0"/>
  <w:defaultTabStop w:val="420"/>
  <w:drawingGridVerticalSpacing w:val="20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yNGY3OTg4MjY1YzdmOTI5NWI4NGE3NWQ1NDdjYzQifQ=="/>
  </w:docVars>
  <w:rsids>
    <w:rsidRoot w:val="00172A27"/>
    <w:rsid w:val="004D4AEB"/>
    <w:rsid w:val="00B50180"/>
    <w:rsid w:val="00BE03F1"/>
    <w:rsid w:val="00D1102F"/>
    <w:rsid w:val="00EC5C36"/>
    <w:rsid w:val="0156177E"/>
    <w:rsid w:val="016C3722"/>
    <w:rsid w:val="017A0051"/>
    <w:rsid w:val="01A93FA3"/>
    <w:rsid w:val="01B12E58"/>
    <w:rsid w:val="021D1CB0"/>
    <w:rsid w:val="023F0464"/>
    <w:rsid w:val="026F555B"/>
    <w:rsid w:val="02A429BD"/>
    <w:rsid w:val="03285C01"/>
    <w:rsid w:val="0350732A"/>
    <w:rsid w:val="03621F95"/>
    <w:rsid w:val="03674EAC"/>
    <w:rsid w:val="03CF5817"/>
    <w:rsid w:val="03E56DE9"/>
    <w:rsid w:val="03FD16BC"/>
    <w:rsid w:val="042D4A41"/>
    <w:rsid w:val="04455BB0"/>
    <w:rsid w:val="049E7685"/>
    <w:rsid w:val="04C944EB"/>
    <w:rsid w:val="04F37F4B"/>
    <w:rsid w:val="051573C0"/>
    <w:rsid w:val="05597B30"/>
    <w:rsid w:val="0588403E"/>
    <w:rsid w:val="05A81699"/>
    <w:rsid w:val="05EF3F4F"/>
    <w:rsid w:val="061F10B1"/>
    <w:rsid w:val="063D4CBA"/>
    <w:rsid w:val="06451DC1"/>
    <w:rsid w:val="06A20FC1"/>
    <w:rsid w:val="06B225CD"/>
    <w:rsid w:val="06E15F8D"/>
    <w:rsid w:val="06F5718B"/>
    <w:rsid w:val="07131EBF"/>
    <w:rsid w:val="074402CA"/>
    <w:rsid w:val="07685305"/>
    <w:rsid w:val="07DB28A2"/>
    <w:rsid w:val="07E70B32"/>
    <w:rsid w:val="080F6B2A"/>
    <w:rsid w:val="087921F6"/>
    <w:rsid w:val="08D239C4"/>
    <w:rsid w:val="09386829"/>
    <w:rsid w:val="09532A47"/>
    <w:rsid w:val="097C1F9D"/>
    <w:rsid w:val="099F5432"/>
    <w:rsid w:val="09A6526C"/>
    <w:rsid w:val="09AD03A9"/>
    <w:rsid w:val="09C15C02"/>
    <w:rsid w:val="0ADC377E"/>
    <w:rsid w:val="0B037581"/>
    <w:rsid w:val="0B301291"/>
    <w:rsid w:val="0B550CF8"/>
    <w:rsid w:val="0B6319E2"/>
    <w:rsid w:val="0B6C7DF0"/>
    <w:rsid w:val="0B8D0492"/>
    <w:rsid w:val="0C1A784C"/>
    <w:rsid w:val="0C2C1FAA"/>
    <w:rsid w:val="0CC430E0"/>
    <w:rsid w:val="0D1B1ACD"/>
    <w:rsid w:val="0D2D3BEC"/>
    <w:rsid w:val="0D4F2043"/>
    <w:rsid w:val="0D5A4EB2"/>
    <w:rsid w:val="0DA43871"/>
    <w:rsid w:val="0DBC73C3"/>
    <w:rsid w:val="0DBF07F9"/>
    <w:rsid w:val="0EF46059"/>
    <w:rsid w:val="0F220EF1"/>
    <w:rsid w:val="0F2C6214"/>
    <w:rsid w:val="0F64150A"/>
    <w:rsid w:val="0F7D2812"/>
    <w:rsid w:val="0FD41327"/>
    <w:rsid w:val="0FDA7CA0"/>
    <w:rsid w:val="100625C1"/>
    <w:rsid w:val="10284C2D"/>
    <w:rsid w:val="1092654A"/>
    <w:rsid w:val="10C1473A"/>
    <w:rsid w:val="10D8010E"/>
    <w:rsid w:val="11000DE1"/>
    <w:rsid w:val="110F36F7"/>
    <w:rsid w:val="110F419B"/>
    <w:rsid w:val="11AA64D8"/>
    <w:rsid w:val="11DC5CCF"/>
    <w:rsid w:val="137837D5"/>
    <w:rsid w:val="13CC66FB"/>
    <w:rsid w:val="13CE33F5"/>
    <w:rsid w:val="13E23345"/>
    <w:rsid w:val="14940BAE"/>
    <w:rsid w:val="15175270"/>
    <w:rsid w:val="15910B7E"/>
    <w:rsid w:val="15FC518A"/>
    <w:rsid w:val="15FF1257"/>
    <w:rsid w:val="16933BA9"/>
    <w:rsid w:val="16A50D85"/>
    <w:rsid w:val="16BE3FB6"/>
    <w:rsid w:val="17533A1D"/>
    <w:rsid w:val="18AF51C3"/>
    <w:rsid w:val="18F4137B"/>
    <w:rsid w:val="19066B43"/>
    <w:rsid w:val="19EE2A43"/>
    <w:rsid w:val="1AC046D4"/>
    <w:rsid w:val="1B0D51E7"/>
    <w:rsid w:val="1BA07D6D"/>
    <w:rsid w:val="1BBB4BA7"/>
    <w:rsid w:val="1BC82E20"/>
    <w:rsid w:val="1BCD47C7"/>
    <w:rsid w:val="1BDA2580"/>
    <w:rsid w:val="1BF3C46A"/>
    <w:rsid w:val="1C19367C"/>
    <w:rsid w:val="1C393AB3"/>
    <w:rsid w:val="1CB962AC"/>
    <w:rsid w:val="1CFE15FD"/>
    <w:rsid w:val="1D28626C"/>
    <w:rsid w:val="1D303373"/>
    <w:rsid w:val="1DFB572F"/>
    <w:rsid w:val="1E932202"/>
    <w:rsid w:val="1EE75CB3"/>
    <w:rsid w:val="1EE961BE"/>
    <w:rsid w:val="1EF850E0"/>
    <w:rsid w:val="1F247119"/>
    <w:rsid w:val="1F9A7E7C"/>
    <w:rsid w:val="205326D0"/>
    <w:rsid w:val="20541126"/>
    <w:rsid w:val="206A26F8"/>
    <w:rsid w:val="20DB53A4"/>
    <w:rsid w:val="20F63F8C"/>
    <w:rsid w:val="214174DD"/>
    <w:rsid w:val="2145087C"/>
    <w:rsid w:val="217F5FB7"/>
    <w:rsid w:val="21E62252"/>
    <w:rsid w:val="222D4935"/>
    <w:rsid w:val="2287729C"/>
    <w:rsid w:val="228D02ED"/>
    <w:rsid w:val="229D63DC"/>
    <w:rsid w:val="23072480"/>
    <w:rsid w:val="2339196B"/>
    <w:rsid w:val="23451899"/>
    <w:rsid w:val="239B039E"/>
    <w:rsid w:val="23BF4F64"/>
    <w:rsid w:val="24F87B2A"/>
    <w:rsid w:val="256A32AE"/>
    <w:rsid w:val="25787665"/>
    <w:rsid w:val="261455E0"/>
    <w:rsid w:val="26235236"/>
    <w:rsid w:val="2644442D"/>
    <w:rsid w:val="26680406"/>
    <w:rsid w:val="26964247"/>
    <w:rsid w:val="26C012C4"/>
    <w:rsid w:val="27003DB6"/>
    <w:rsid w:val="2781B429"/>
    <w:rsid w:val="278B79CE"/>
    <w:rsid w:val="27EFCE03"/>
    <w:rsid w:val="28074AC4"/>
    <w:rsid w:val="281C077C"/>
    <w:rsid w:val="292024ED"/>
    <w:rsid w:val="29862A38"/>
    <w:rsid w:val="2A43236D"/>
    <w:rsid w:val="2A6C52BE"/>
    <w:rsid w:val="2A9A007E"/>
    <w:rsid w:val="2AFD3BA7"/>
    <w:rsid w:val="2B430715"/>
    <w:rsid w:val="2B607770"/>
    <w:rsid w:val="2B6C64FA"/>
    <w:rsid w:val="2BA07916"/>
    <w:rsid w:val="2BC730F4"/>
    <w:rsid w:val="2BD55E64"/>
    <w:rsid w:val="2C307884"/>
    <w:rsid w:val="2C366DF3"/>
    <w:rsid w:val="2C526E44"/>
    <w:rsid w:val="2C891803"/>
    <w:rsid w:val="2CBF3DCB"/>
    <w:rsid w:val="2CFB23E9"/>
    <w:rsid w:val="2D2F2CFF"/>
    <w:rsid w:val="2DB36D61"/>
    <w:rsid w:val="2DDCD350"/>
    <w:rsid w:val="2DE0224B"/>
    <w:rsid w:val="2E095392"/>
    <w:rsid w:val="2EA80071"/>
    <w:rsid w:val="2EFA558F"/>
    <w:rsid w:val="2F01691D"/>
    <w:rsid w:val="2F4B6208"/>
    <w:rsid w:val="2F5B3F88"/>
    <w:rsid w:val="2F624870"/>
    <w:rsid w:val="2F7FB315"/>
    <w:rsid w:val="2FAA4A3C"/>
    <w:rsid w:val="2FAD1FC1"/>
    <w:rsid w:val="2FC84933"/>
    <w:rsid w:val="30157776"/>
    <w:rsid w:val="302E3742"/>
    <w:rsid w:val="304163D9"/>
    <w:rsid w:val="309905F5"/>
    <w:rsid w:val="310E70CF"/>
    <w:rsid w:val="312B107B"/>
    <w:rsid w:val="31362107"/>
    <w:rsid w:val="319159C9"/>
    <w:rsid w:val="324F2854"/>
    <w:rsid w:val="32843928"/>
    <w:rsid w:val="32A45F3D"/>
    <w:rsid w:val="32BD2B5B"/>
    <w:rsid w:val="32EB2C4E"/>
    <w:rsid w:val="32ED1980"/>
    <w:rsid w:val="333C43C8"/>
    <w:rsid w:val="339F792D"/>
    <w:rsid w:val="33C817B8"/>
    <w:rsid w:val="33CF7B09"/>
    <w:rsid w:val="34000F51"/>
    <w:rsid w:val="3437641C"/>
    <w:rsid w:val="350902DA"/>
    <w:rsid w:val="352D2D64"/>
    <w:rsid w:val="35491815"/>
    <w:rsid w:val="35D35347"/>
    <w:rsid w:val="36376CB4"/>
    <w:rsid w:val="364F7F6E"/>
    <w:rsid w:val="369BDB6A"/>
    <w:rsid w:val="36CE61AF"/>
    <w:rsid w:val="36CE842B"/>
    <w:rsid w:val="36EA1261"/>
    <w:rsid w:val="36FD6A1A"/>
    <w:rsid w:val="3736112E"/>
    <w:rsid w:val="37776751"/>
    <w:rsid w:val="377D6C8C"/>
    <w:rsid w:val="37D56B99"/>
    <w:rsid w:val="38133221"/>
    <w:rsid w:val="381E409C"/>
    <w:rsid w:val="382F44FB"/>
    <w:rsid w:val="38622631"/>
    <w:rsid w:val="389D4990"/>
    <w:rsid w:val="38A10829"/>
    <w:rsid w:val="38C44A03"/>
    <w:rsid w:val="38E057F5"/>
    <w:rsid w:val="3914223C"/>
    <w:rsid w:val="39597B8B"/>
    <w:rsid w:val="397D1DE1"/>
    <w:rsid w:val="39CE1AF2"/>
    <w:rsid w:val="39EB0393"/>
    <w:rsid w:val="3A460ACC"/>
    <w:rsid w:val="3B304812"/>
    <w:rsid w:val="3B54733C"/>
    <w:rsid w:val="3B555854"/>
    <w:rsid w:val="3B822B94"/>
    <w:rsid w:val="3BD80A06"/>
    <w:rsid w:val="3C004876"/>
    <w:rsid w:val="3C1852A6"/>
    <w:rsid w:val="3C9B527B"/>
    <w:rsid w:val="3CA408E8"/>
    <w:rsid w:val="3CC1149A"/>
    <w:rsid w:val="3D3954D4"/>
    <w:rsid w:val="3D8F6830"/>
    <w:rsid w:val="3D9406C6"/>
    <w:rsid w:val="3E1C2E2C"/>
    <w:rsid w:val="3E735E12"/>
    <w:rsid w:val="3E7C76D5"/>
    <w:rsid w:val="3F21764F"/>
    <w:rsid w:val="3F375772"/>
    <w:rsid w:val="3F7D21AA"/>
    <w:rsid w:val="3FBB0AF1"/>
    <w:rsid w:val="3FC72D51"/>
    <w:rsid w:val="3FCD3183"/>
    <w:rsid w:val="3FCF2422"/>
    <w:rsid w:val="3FD7509C"/>
    <w:rsid w:val="3FEB865C"/>
    <w:rsid w:val="3FFDB363"/>
    <w:rsid w:val="3FFF80AE"/>
    <w:rsid w:val="40296CAD"/>
    <w:rsid w:val="4055014F"/>
    <w:rsid w:val="405567F4"/>
    <w:rsid w:val="407225E2"/>
    <w:rsid w:val="40796B6F"/>
    <w:rsid w:val="40A23390"/>
    <w:rsid w:val="40BE01CA"/>
    <w:rsid w:val="40F23A84"/>
    <w:rsid w:val="41175B2C"/>
    <w:rsid w:val="41CA2FAF"/>
    <w:rsid w:val="41E10E11"/>
    <w:rsid w:val="42A96697"/>
    <w:rsid w:val="42AA5C01"/>
    <w:rsid w:val="43811C6D"/>
    <w:rsid w:val="43855569"/>
    <w:rsid w:val="43B41D58"/>
    <w:rsid w:val="43D34BD7"/>
    <w:rsid w:val="440A1978"/>
    <w:rsid w:val="448654A3"/>
    <w:rsid w:val="455F0C25"/>
    <w:rsid w:val="457B2B2E"/>
    <w:rsid w:val="45AA6F6F"/>
    <w:rsid w:val="46142BC8"/>
    <w:rsid w:val="46592743"/>
    <w:rsid w:val="46A47E62"/>
    <w:rsid w:val="46E215D9"/>
    <w:rsid w:val="4707219F"/>
    <w:rsid w:val="47714BD0"/>
    <w:rsid w:val="47775577"/>
    <w:rsid w:val="478C02B5"/>
    <w:rsid w:val="479F2DC6"/>
    <w:rsid w:val="47DA2AC9"/>
    <w:rsid w:val="47EC57B9"/>
    <w:rsid w:val="48142DC6"/>
    <w:rsid w:val="483B5ED9"/>
    <w:rsid w:val="48474F49"/>
    <w:rsid w:val="487D67BF"/>
    <w:rsid w:val="49170DBF"/>
    <w:rsid w:val="49431BB4"/>
    <w:rsid w:val="497B5048"/>
    <w:rsid w:val="49D942C7"/>
    <w:rsid w:val="49EB1B0E"/>
    <w:rsid w:val="49ED7D72"/>
    <w:rsid w:val="4A2861F7"/>
    <w:rsid w:val="4A396B13"/>
    <w:rsid w:val="4A704956"/>
    <w:rsid w:val="4AF40C8C"/>
    <w:rsid w:val="4AF64A04"/>
    <w:rsid w:val="4B210482"/>
    <w:rsid w:val="4C1A1186"/>
    <w:rsid w:val="4CAC0017"/>
    <w:rsid w:val="4CC7700D"/>
    <w:rsid w:val="4CFF4044"/>
    <w:rsid w:val="4D0F7FFF"/>
    <w:rsid w:val="4D317F76"/>
    <w:rsid w:val="4D53613E"/>
    <w:rsid w:val="4DC80CA9"/>
    <w:rsid w:val="4DE8080A"/>
    <w:rsid w:val="4E3573EA"/>
    <w:rsid w:val="4E5A056C"/>
    <w:rsid w:val="4E685C19"/>
    <w:rsid w:val="4EE23C1E"/>
    <w:rsid w:val="4EEA7AD9"/>
    <w:rsid w:val="4F033DD3"/>
    <w:rsid w:val="4F29184C"/>
    <w:rsid w:val="4F336227"/>
    <w:rsid w:val="4F3701E6"/>
    <w:rsid w:val="4F975776"/>
    <w:rsid w:val="4F9C3DCC"/>
    <w:rsid w:val="4F9F566B"/>
    <w:rsid w:val="4FC1669B"/>
    <w:rsid w:val="4FCD667C"/>
    <w:rsid w:val="4FFD3F52"/>
    <w:rsid w:val="50EA500B"/>
    <w:rsid w:val="512C7D0E"/>
    <w:rsid w:val="517D3552"/>
    <w:rsid w:val="51BF26D5"/>
    <w:rsid w:val="51E0348D"/>
    <w:rsid w:val="51F24178"/>
    <w:rsid w:val="524B2F77"/>
    <w:rsid w:val="526E2444"/>
    <w:rsid w:val="52796647"/>
    <w:rsid w:val="527B23BF"/>
    <w:rsid w:val="529C6E22"/>
    <w:rsid w:val="52A83040"/>
    <w:rsid w:val="52CD1A94"/>
    <w:rsid w:val="52EF4B5B"/>
    <w:rsid w:val="532625D0"/>
    <w:rsid w:val="533B7DA0"/>
    <w:rsid w:val="537F5EDF"/>
    <w:rsid w:val="53836039"/>
    <w:rsid w:val="53DC242E"/>
    <w:rsid w:val="543547EF"/>
    <w:rsid w:val="544872B4"/>
    <w:rsid w:val="54613836"/>
    <w:rsid w:val="556C2D44"/>
    <w:rsid w:val="55A82D9F"/>
    <w:rsid w:val="56156687"/>
    <w:rsid w:val="56633896"/>
    <w:rsid w:val="56653D7D"/>
    <w:rsid w:val="567E2150"/>
    <w:rsid w:val="569A195A"/>
    <w:rsid w:val="56B20379"/>
    <w:rsid w:val="56E66E44"/>
    <w:rsid w:val="574F7976"/>
    <w:rsid w:val="576E5182"/>
    <w:rsid w:val="576F3AEF"/>
    <w:rsid w:val="578A7521"/>
    <w:rsid w:val="578E4B8A"/>
    <w:rsid w:val="57BB14B0"/>
    <w:rsid w:val="57C92E92"/>
    <w:rsid w:val="57D221BA"/>
    <w:rsid w:val="5814296E"/>
    <w:rsid w:val="581D7A74"/>
    <w:rsid w:val="58450D79"/>
    <w:rsid w:val="588A581C"/>
    <w:rsid w:val="58985D02"/>
    <w:rsid w:val="58B008E9"/>
    <w:rsid w:val="58B852E0"/>
    <w:rsid w:val="58BDD760"/>
    <w:rsid w:val="58C15CEE"/>
    <w:rsid w:val="58FFE1FE"/>
    <w:rsid w:val="59602818"/>
    <w:rsid w:val="59CF3312"/>
    <w:rsid w:val="59D81EA5"/>
    <w:rsid w:val="59DE1485"/>
    <w:rsid w:val="59E52814"/>
    <w:rsid w:val="59FB5B93"/>
    <w:rsid w:val="5A2055FA"/>
    <w:rsid w:val="5A2475AC"/>
    <w:rsid w:val="5AB35248"/>
    <w:rsid w:val="5ADFC6A4"/>
    <w:rsid w:val="5B092532"/>
    <w:rsid w:val="5B0C3C5C"/>
    <w:rsid w:val="5B2335F4"/>
    <w:rsid w:val="5B3E042E"/>
    <w:rsid w:val="5B6CDD9F"/>
    <w:rsid w:val="5B7025B1"/>
    <w:rsid w:val="5B803C96"/>
    <w:rsid w:val="5BC87CF7"/>
    <w:rsid w:val="5BEF4595"/>
    <w:rsid w:val="5BFB79A1"/>
    <w:rsid w:val="5C125416"/>
    <w:rsid w:val="5C6E4D42"/>
    <w:rsid w:val="5CA50D91"/>
    <w:rsid w:val="5CCB4CA9"/>
    <w:rsid w:val="5CDD3C76"/>
    <w:rsid w:val="5CF4446A"/>
    <w:rsid w:val="5D41245C"/>
    <w:rsid w:val="5D6B2D4E"/>
    <w:rsid w:val="5D804D2D"/>
    <w:rsid w:val="5DBE7604"/>
    <w:rsid w:val="5DCA5FA9"/>
    <w:rsid w:val="5DCB988D"/>
    <w:rsid w:val="5DD9443E"/>
    <w:rsid w:val="5DFE186F"/>
    <w:rsid w:val="5E6720D5"/>
    <w:rsid w:val="5E6F58F4"/>
    <w:rsid w:val="5E6F6B50"/>
    <w:rsid w:val="5E8A5738"/>
    <w:rsid w:val="5E9345EC"/>
    <w:rsid w:val="5ED22FF8"/>
    <w:rsid w:val="5EF59925"/>
    <w:rsid w:val="5EF84D97"/>
    <w:rsid w:val="5F021772"/>
    <w:rsid w:val="5F1A2F60"/>
    <w:rsid w:val="5F7408C2"/>
    <w:rsid w:val="5F97010C"/>
    <w:rsid w:val="5FBE1EA2"/>
    <w:rsid w:val="5FBF11CF"/>
    <w:rsid w:val="5FC51D63"/>
    <w:rsid w:val="5FC7E3D6"/>
    <w:rsid w:val="60002155"/>
    <w:rsid w:val="603C5AF3"/>
    <w:rsid w:val="6042276E"/>
    <w:rsid w:val="60430294"/>
    <w:rsid w:val="605162C2"/>
    <w:rsid w:val="60771CEC"/>
    <w:rsid w:val="60DC3425"/>
    <w:rsid w:val="61132A72"/>
    <w:rsid w:val="61B96A60"/>
    <w:rsid w:val="61BC3751"/>
    <w:rsid w:val="61CF16BE"/>
    <w:rsid w:val="620F6680"/>
    <w:rsid w:val="62523003"/>
    <w:rsid w:val="628B7C2E"/>
    <w:rsid w:val="62F53AC8"/>
    <w:rsid w:val="631B72A6"/>
    <w:rsid w:val="637A7D78"/>
    <w:rsid w:val="638464F4"/>
    <w:rsid w:val="63A92B04"/>
    <w:rsid w:val="63C61340"/>
    <w:rsid w:val="64590086"/>
    <w:rsid w:val="64A62BA0"/>
    <w:rsid w:val="650959E3"/>
    <w:rsid w:val="652C2113"/>
    <w:rsid w:val="654357A5"/>
    <w:rsid w:val="659D2E35"/>
    <w:rsid w:val="65AB73F8"/>
    <w:rsid w:val="65B7026E"/>
    <w:rsid w:val="65BB7EE9"/>
    <w:rsid w:val="65D36317"/>
    <w:rsid w:val="669A4868"/>
    <w:rsid w:val="67281F92"/>
    <w:rsid w:val="673E04E0"/>
    <w:rsid w:val="677B6565"/>
    <w:rsid w:val="67B11F87"/>
    <w:rsid w:val="67EEFCC9"/>
    <w:rsid w:val="68177C84"/>
    <w:rsid w:val="688A4CB2"/>
    <w:rsid w:val="6893283A"/>
    <w:rsid w:val="68D66149"/>
    <w:rsid w:val="68D67EF7"/>
    <w:rsid w:val="690455C1"/>
    <w:rsid w:val="692C57A3"/>
    <w:rsid w:val="69802EAF"/>
    <w:rsid w:val="69C45FA2"/>
    <w:rsid w:val="69DF2F2E"/>
    <w:rsid w:val="69F40DF7"/>
    <w:rsid w:val="6A1A01AB"/>
    <w:rsid w:val="6A206001"/>
    <w:rsid w:val="6A246A40"/>
    <w:rsid w:val="6A674B7F"/>
    <w:rsid w:val="6AB90C80"/>
    <w:rsid w:val="6AD05F43"/>
    <w:rsid w:val="6AF208ED"/>
    <w:rsid w:val="6B016D82"/>
    <w:rsid w:val="6B1A7E00"/>
    <w:rsid w:val="6B5B2936"/>
    <w:rsid w:val="6B6A0DCB"/>
    <w:rsid w:val="6B735ED1"/>
    <w:rsid w:val="6B88007C"/>
    <w:rsid w:val="6BD526C2"/>
    <w:rsid w:val="6BFB7120"/>
    <w:rsid w:val="6C186F7E"/>
    <w:rsid w:val="6DEF7B62"/>
    <w:rsid w:val="6E7017F8"/>
    <w:rsid w:val="6E8468DA"/>
    <w:rsid w:val="6E8575BF"/>
    <w:rsid w:val="6F173698"/>
    <w:rsid w:val="6F5E29F5"/>
    <w:rsid w:val="6F97C61A"/>
    <w:rsid w:val="6FBC771B"/>
    <w:rsid w:val="6FD11BC6"/>
    <w:rsid w:val="6FD809F9"/>
    <w:rsid w:val="6FDE19BE"/>
    <w:rsid w:val="6FF375E1"/>
    <w:rsid w:val="6FFF002C"/>
    <w:rsid w:val="71597917"/>
    <w:rsid w:val="71615402"/>
    <w:rsid w:val="717464FF"/>
    <w:rsid w:val="71A83C86"/>
    <w:rsid w:val="72284B67"/>
    <w:rsid w:val="72851A38"/>
    <w:rsid w:val="72C54B39"/>
    <w:rsid w:val="72CD1E5C"/>
    <w:rsid w:val="72F571CC"/>
    <w:rsid w:val="730E64E0"/>
    <w:rsid w:val="73342B86"/>
    <w:rsid w:val="7352084D"/>
    <w:rsid w:val="73742538"/>
    <w:rsid w:val="737D2AE1"/>
    <w:rsid w:val="73A3131E"/>
    <w:rsid w:val="73C51294"/>
    <w:rsid w:val="73FF33D1"/>
    <w:rsid w:val="742E1C98"/>
    <w:rsid w:val="744F9313"/>
    <w:rsid w:val="749A2C87"/>
    <w:rsid w:val="74E4574A"/>
    <w:rsid w:val="75266AFD"/>
    <w:rsid w:val="755503F6"/>
    <w:rsid w:val="757B800B"/>
    <w:rsid w:val="75894543"/>
    <w:rsid w:val="7596707A"/>
    <w:rsid w:val="75BD9638"/>
    <w:rsid w:val="75D7A5D1"/>
    <w:rsid w:val="75DC0B17"/>
    <w:rsid w:val="76285B0A"/>
    <w:rsid w:val="765BABDD"/>
    <w:rsid w:val="76CA6BC2"/>
    <w:rsid w:val="76EFAB9B"/>
    <w:rsid w:val="77272A31"/>
    <w:rsid w:val="77521091"/>
    <w:rsid w:val="777FE676"/>
    <w:rsid w:val="779F8BC9"/>
    <w:rsid w:val="77BB3303"/>
    <w:rsid w:val="77DF979D"/>
    <w:rsid w:val="77E733CF"/>
    <w:rsid w:val="77E757CC"/>
    <w:rsid w:val="77EF407A"/>
    <w:rsid w:val="788C5850"/>
    <w:rsid w:val="78B35B5F"/>
    <w:rsid w:val="78C65098"/>
    <w:rsid w:val="78D930EC"/>
    <w:rsid w:val="78DFD697"/>
    <w:rsid w:val="78F63C9E"/>
    <w:rsid w:val="791D122B"/>
    <w:rsid w:val="796FF3C6"/>
    <w:rsid w:val="79711576"/>
    <w:rsid w:val="79775971"/>
    <w:rsid w:val="79AFB95E"/>
    <w:rsid w:val="7ABB149C"/>
    <w:rsid w:val="7AE72E22"/>
    <w:rsid w:val="7B04546D"/>
    <w:rsid w:val="7B3E047F"/>
    <w:rsid w:val="7B4707E1"/>
    <w:rsid w:val="7B5F47B9"/>
    <w:rsid w:val="7B75534E"/>
    <w:rsid w:val="7B77A2D4"/>
    <w:rsid w:val="7BA931EE"/>
    <w:rsid w:val="7BBF8677"/>
    <w:rsid w:val="7BCB22D1"/>
    <w:rsid w:val="7BD9745D"/>
    <w:rsid w:val="7BD9865D"/>
    <w:rsid w:val="7BDC361F"/>
    <w:rsid w:val="7BDD88EC"/>
    <w:rsid w:val="7C0B3F04"/>
    <w:rsid w:val="7C1728A9"/>
    <w:rsid w:val="7C6D24C9"/>
    <w:rsid w:val="7C7362AB"/>
    <w:rsid w:val="7C8C4B5A"/>
    <w:rsid w:val="7CA031C1"/>
    <w:rsid w:val="7CA55A57"/>
    <w:rsid w:val="7D1B770A"/>
    <w:rsid w:val="7D2F6F40"/>
    <w:rsid w:val="7D5D5E31"/>
    <w:rsid w:val="7D8E26F7"/>
    <w:rsid w:val="7DAA5437"/>
    <w:rsid w:val="7DB61C4E"/>
    <w:rsid w:val="7DBB8088"/>
    <w:rsid w:val="7DDDF3E8"/>
    <w:rsid w:val="7DDFDF7C"/>
    <w:rsid w:val="7DED486E"/>
    <w:rsid w:val="7DF73BC9"/>
    <w:rsid w:val="7E052486"/>
    <w:rsid w:val="7E0B01EB"/>
    <w:rsid w:val="7E4C236E"/>
    <w:rsid w:val="7EAF03FB"/>
    <w:rsid w:val="7ED00AED"/>
    <w:rsid w:val="7ED8CC05"/>
    <w:rsid w:val="7EDFDDCE"/>
    <w:rsid w:val="7EE87A27"/>
    <w:rsid w:val="7EEC091D"/>
    <w:rsid w:val="7EEF6982"/>
    <w:rsid w:val="7EFE7793"/>
    <w:rsid w:val="7F0D3AEF"/>
    <w:rsid w:val="7FADB8F2"/>
    <w:rsid w:val="7FBFFE20"/>
    <w:rsid w:val="7FDE02A6"/>
    <w:rsid w:val="7FE7D24E"/>
    <w:rsid w:val="7FEDA43C"/>
    <w:rsid w:val="7FEF2BEE"/>
    <w:rsid w:val="7FF5ECE0"/>
    <w:rsid w:val="7FFF6146"/>
    <w:rsid w:val="7FFFC753"/>
    <w:rsid w:val="89DD5F29"/>
    <w:rsid w:val="8DEDFAB9"/>
    <w:rsid w:val="8FDB561D"/>
    <w:rsid w:val="9FFDB41C"/>
    <w:rsid w:val="A39D2FED"/>
    <w:rsid w:val="A53D36F7"/>
    <w:rsid w:val="A9EF8A9E"/>
    <w:rsid w:val="ABB58207"/>
    <w:rsid w:val="AEBEF3CF"/>
    <w:rsid w:val="AF9F4A6E"/>
    <w:rsid w:val="AFB2FF14"/>
    <w:rsid w:val="B5FBF2D9"/>
    <w:rsid w:val="B79EA832"/>
    <w:rsid w:val="B7DDD841"/>
    <w:rsid w:val="B8D7E977"/>
    <w:rsid w:val="B9DF322B"/>
    <w:rsid w:val="BB3BDE1A"/>
    <w:rsid w:val="BB640A27"/>
    <w:rsid w:val="BBEBFE1B"/>
    <w:rsid w:val="BCE29035"/>
    <w:rsid w:val="BD251142"/>
    <w:rsid w:val="BDFC0CF4"/>
    <w:rsid w:val="BEB1A7E0"/>
    <w:rsid w:val="BECEE461"/>
    <w:rsid w:val="BEFCC07E"/>
    <w:rsid w:val="BF372466"/>
    <w:rsid w:val="BF613AC6"/>
    <w:rsid w:val="BF7F274E"/>
    <w:rsid w:val="BFB6EE38"/>
    <w:rsid w:val="BFBBB1A0"/>
    <w:rsid w:val="BFD97514"/>
    <w:rsid w:val="BFDBCF0E"/>
    <w:rsid w:val="BFDDA158"/>
    <w:rsid w:val="BFDF36CC"/>
    <w:rsid w:val="BFEAD5B6"/>
    <w:rsid w:val="BFEC6D58"/>
    <w:rsid w:val="BFF36FB4"/>
    <w:rsid w:val="BFFBF31F"/>
    <w:rsid w:val="CA6FAB81"/>
    <w:rsid w:val="CE37C392"/>
    <w:rsid w:val="CE7F960A"/>
    <w:rsid w:val="CF7F39D1"/>
    <w:rsid w:val="CFA9978D"/>
    <w:rsid w:val="D6FCD6B0"/>
    <w:rsid w:val="D75E3E75"/>
    <w:rsid w:val="D7AF1755"/>
    <w:rsid w:val="D7DD86C7"/>
    <w:rsid w:val="D7FBFFEF"/>
    <w:rsid w:val="D81BA82B"/>
    <w:rsid w:val="DB77AFA2"/>
    <w:rsid w:val="DD72C895"/>
    <w:rsid w:val="DD9F976E"/>
    <w:rsid w:val="DDAF0E70"/>
    <w:rsid w:val="DDB76414"/>
    <w:rsid w:val="DDEC299C"/>
    <w:rsid w:val="DEFEE7D7"/>
    <w:rsid w:val="DF5578CD"/>
    <w:rsid w:val="DF77CB42"/>
    <w:rsid w:val="DF7D630F"/>
    <w:rsid w:val="DF9E48BE"/>
    <w:rsid w:val="DFAFD3A3"/>
    <w:rsid w:val="DFBF80DE"/>
    <w:rsid w:val="DFEB3354"/>
    <w:rsid w:val="DFFE1B24"/>
    <w:rsid w:val="DFFEC534"/>
    <w:rsid w:val="E377824E"/>
    <w:rsid w:val="E4FB1FA9"/>
    <w:rsid w:val="E5BE64BC"/>
    <w:rsid w:val="E5FE04A8"/>
    <w:rsid w:val="E6FDA2FD"/>
    <w:rsid w:val="E7FE4568"/>
    <w:rsid w:val="E8F96E2A"/>
    <w:rsid w:val="EBEAA7B1"/>
    <w:rsid w:val="EBFF0960"/>
    <w:rsid w:val="ED7A6F66"/>
    <w:rsid w:val="ED97BD9A"/>
    <w:rsid w:val="EDDE132C"/>
    <w:rsid w:val="EDDFA040"/>
    <w:rsid w:val="EE6FFB1E"/>
    <w:rsid w:val="EE7C67BE"/>
    <w:rsid w:val="EF5F337E"/>
    <w:rsid w:val="EFAD3741"/>
    <w:rsid w:val="EFD17CE2"/>
    <w:rsid w:val="EFDD2388"/>
    <w:rsid w:val="EFE71BEF"/>
    <w:rsid w:val="EFFBCE34"/>
    <w:rsid w:val="EFFF00BD"/>
    <w:rsid w:val="F3BE2DE8"/>
    <w:rsid w:val="F3FA07DA"/>
    <w:rsid w:val="F3FF4B69"/>
    <w:rsid w:val="F53B12DD"/>
    <w:rsid w:val="F61F6907"/>
    <w:rsid w:val="F733D5BE"/>
    <w:rsid w:val="F76F9413"/>
    <w:rsid w:val="F7B4F4FA"/>
    <w:rsid w:val="F7F663F6"/>
    <w:rsid w:val="F7FF5E19"/>
    <w:rsid w:val="F87D793A"/>
    <w:rsid w:val="F9FABCD2"/>
    <w:rsid w:val="FA870413"/>
    <w:rsid w:val="FA8D7C74"/>
    <w:rsid w:val="FABB207C"/>
    <w:rsid w:val="FB1FF05A"/>
    <w:rsid w:val="FB3EA647"/>
    <w:rsid w:val="FB7E57A7"/>
    <w:rsid w:val="FB95BFB4"/>
    <w:rsid w:val="FB9F8196"/>
    <w:rsid w:val="FBFFFFB1"/>
    <w:rsid w:val="FC7BB890"/>
    <w:rsid w:val="FC9F908C"/>
    <w:rsid w:val="FCB28EDB"/>
    <w:rsid w:val="FD9D99A3"/>
    <w:rsid w:val="FDDBEF73"/>
    <w:rsid w:val="FEE7000E"/>
    <w:rsid w:val="FEFD5164"/>
    <w:rsid w:val="FEFFAE63"/>
    <w:rsid w:val="FF79257E"/>
    <w:rsid w:val="FFBB5F0A"/>
    <w:rsid w:val="FFBF9199"/>
    <w:rsid w:val="FFDA9B76"/>
    <w:rsid w:val="FFDF0BD0"/>
    <w:rsid w:val="FFE59286"/>
    <w:rsid w:val="FFFFC692"/>
    <w:rsid w:val="FFFFE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0"/>
      <w:szCs w:val="30"/>
      <w:u w:val="none"/>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line="360" w:lineRule="auto"/>
      <w:ind w:firstLine="200" w:firstLineChars="200"/>
      <w:jc w:val="both"/>
      <w:outlineLvl w:val="1"/>
    </w:pPr>
    <w:rPr>
      <w:rFonts w:ascii="Arial" w:hAnsi="Arial" w:eastAsia="楷体" w:cs="Times New Roman"/>
      <w:kern w:val="2"/>
      <w:sz w:val="32"/>
      <w:lang w:val="en-US" w:eastAsia="zh-CN" w:bidi="ar-SA"/>
    </w:rPr>
  </w:style>
  <w:style w:type="character" w:default="1" w:styleId="17">
    <w:name w:val="Default Paragraph Font"/>
    <w:semiHidden/>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customStyle="1" w:styleId="2">
    <w:name w:val="样式1"/>
    <w:basedOn w:val="3"/>
    <w:qFormat/>
    <w:uiPriority w:val="0"/>
    <w:rPr>
      <w:rFonts w:ascii="黑体" w:hAnsi="黑体"/>
      <w:sz w:val="32"/>
      <w:szCs w:val="32"/>
    </w:rPr>
  </w:style>
  <w:style w:type="paragraph" w:styleId="5">
    <w:name w:val="Normal Indent"/>
    <w:basedOn w:val="1"/>
    <w:qFormat/>
    <w:uiPriority w:val="0"/>
    <w:pPr>
      <w:ind w:firstLine="200" w:firstLineChars="200"/>
    </w:pPr>
  </w:style>
  <w:style w:type="paragraph" w:styleId="6">
    <w:name w:val="annotation text"/>
    <w:basedOn w:val="1"/>
    <w:qFormat/>
    <w:uiPriority w:val="0"/>
    <w:pPr>
      <w:jc w:val="left"/>
    </w:pPr>
  </w:style>
  <w:style w:type="paragraph" w:styleId="7">
    <w:name w:val="Body Text"/>
    <w:basedOn w:val="1"/>
    <w:next w:val="1"/>
    <w:qFormat/>
    <w:uiPriority w:val="0"/>
  </w:style>
  <w:style w:type="paragraph" w:styleId="8">
    <w:name w:val="Body Text Indent"/>
    <w:basedOn w:val="1"/>
    <w:semiHidden/>
    <w:unhideWhenUsed/>
    <w:qFormat/>
    <w:uiPriority w:val="99"/>
    <w:pPr>
      <w:spacing w:after="120"/>
      <w:ind w:left="420" w:leftChars="200"/>
    </w:pPr>
  </w:style>
  <w:style w:type="paragraph" w:styleId="9">
    <w:name w:val="Plain Text"/>
    <w:basedOn w:val="1"/>
    <w:unhideWhenUsed/>
    <w:qFormat/>
    <w:uiPriority w:val="99"/>
    <w:rPr>
      <w:rFonts w:ascii="宋体" w:hAnsi="Courier New"/>
      <w:szCs w:val="21"/>
    </w:rPr>
  </w:style>
  <w:style w:type="paragraph" w:styleId="10">
    <w:name w:val="Body Text Indent 2"/>
    <w:basedOn w:val="1"/>
    <w:qFormat/>
    <w:uiPriority w:val="0"/>
    <w:pPr>
      <w:spacing w:after="120" w:line="480" w:lineRule="auto"/>
      <w:ind w:left="420" w:leftChars="200"/>
    </w:pPr>
  </w:style>
  <w:style w:type="paragraph" w:styleId="11">
    <w:name w:val="footer"/>
    <w:basedOn w:val="1"/>
    <w:unhideWhenUsed/>
    <w:qFormat/>
    <w:uiPriority w:val="99"/>
    <w:pPr>
      <w:widowControl/>
      <w:tabs>
        <w:tab w:val="center" w:pos="4320"/>
        <w:tab w:val="right" w:pos="8640"/>
      </w:tabs>
      <w:spacing w:after="200" w:line="276" w:lineRule="auto"/>
      <w:jc w:val="left"/>
    </w:pPr>
    <w:rPr>
      <w:rFonts w:ascii="Calibri" w:hAnsi="Calibri"/>
      <w:kern w:val="0"/>
      <w:sz w:val="22"/>
      <w:szCs w:val="22"/>
    </w:rPr>
  </w:style>
  <w:style w:type="paragraph" w:styleId="12">
    <w:name w:val="Body Text First Indent 2"/>
    <w:basedOn w:val="8"/>
    <w:qFormat/>
    <w:uiPriority w:val="0"/>
    <w:pPr>
      <w:ind w:firstLine="420"/>
    </w:pPr>
    <w:rPr>
      <w:rFonts w:eastAsia="宋体"/>
      <w:sz w:val="21"/>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style>
  <w:style w:type="paragraph" w:styleId="15">
    <w:name w:val="toc 2"/>
    <w:basedOn w:val="1"/>
    <w:next w:val="1"/>
    <w:qFormat/>
    <w:uiPriority w:val="0"/>
    <w:pPr>
      <w:ind w:left="420" w:leftChars="200"/>
    </w:p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table" w:styleId="19">
    <w:name w:val="Table Grid"/>
    <w:basedOn w:val="18"/>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20">
    <w:name w:val="样式 文字 + 首行缩进:  2 字符3"/>
    <w:basedOn w:val="1"/>
    <w:qFormat/>
    <w:uiPriority w:val="0"/>
    <w:pPr>
      <w:spacing w:line="360" w:lineRule="auto"/>
      <w:ind w:firstLine="200" w:firstLineChars="200"/>
    </w:pPr>
    <w:rPr>
      <w:rFonts w:eastAsia="仿宋_GB2312" w:cs="宋体"/>
      <w:sz w:val="28"/>
      <w:szCs w:val="28"/>
    </w:rPr>
  </w:style>
  <w:style w:type="paragraph" w:customStyle="1" w:styleId="21">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
    <w:name w:val="！正文"/>
    <w:basedOn w:val="1"/>
    <w:qFormat/>
    <w:uiPriority w:val="0"/>
    <w:pPr>
      <w:widowControl w:val="0"/>
      <w:spacing w:line="360" w:lineRule="auto"/>
      <w:ind w:firstLine="200" w:firstLineChars="200"/>
      <w:jc w:val="both"/>
    </w:pPr>
    <w:rPr>
      <w:szCs w:val="20"/>
    </w:rPr>
  </w:style>
  <w:style w:type="paragraph" w:customStyle="1" w:styleId="23">
    <w:name w:val="正文1"/>
    <w:basedOn w:val="1"/>
    <w:qFormat/>
    <w:uiPriority w:val="0"/>
    <w:pPr>
      <w:autoSpaceDE w:val="0"/>
      <w:autoSpaceDN w:val="0"/>
      <w:adjustRightInd w:val="0"/>
      <w:snapToGrid w:val="0"/>
      <w:spacing w:line="600" w:lineRule="exact"/>
      <w:ind w:firstLine="624" w:firstLineChars="200"/>
    </w:pPr>
    <w:rPr>
      <w:rFonts w:ascii="宋体" w:hAnsi="宋体" w:eastAsia="仿宋_GB2312"/>
      <w:spacing w:val="6"/>
      <w:kern w:val="0"/>
      <w:sz w:val="24"/>
      <w:szCs w:val="20"/>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paragraph" w:customStyle="1" w:styleId="25">
    <w:name w:val="WPSOffice手动目录 2"/>
    <w:qFormat/>
    <w:uiPriority w:val="0"/>
    <w:pPr>
      <w:ind w:leftChars="200"/>
    </w:pPr>
    <w:rPr>
      <w:rFonts w:ascii="Times New Roman" w:hAnsi="Times New Roman" w:eastAsia="宋体" w:cs="Times New Roman"/>
      <w:sz w:val="20"/>
      <w:szCs w:val="20"/>
    </w:rPr>
  </w:style>
  <w:style w:type="character" w:customStyle="1" w:styleId="26">
    <w:name w:val="font11"/>
    <w:basedOn w:val="17"/>
    <w:qFormat/>
    <w:uiPriority w:val="0"/>
    <w:rPr>
      <w:rFonts w:hint="eastAsia" w:ascii="宋体" w:hAnsi="宋体" w:eastAsia="宋体" w:cs="宋体"/>
      <w:b/>
      <w:bCs/>
      <w:color w:val="000000"/>
      <w:sz w:val="20"/>
      <w:szCs w:val="20"/>
      <w:u w:val="none"/>
    </w:rPr>
  </w:style>
  <w:style w:type="character" w:customStyle="1" w:styleId="27">
    <w:name w:val="font31"/>
    <w:basedOn w:val="17"/>
    <w:qFormat/>
    <w:uiPriority w:val="0"/>
    <w:rPr>
      <w:rFonts w:hint="eastAsia" w:ascii="宋体" w:hAnsi="宋体" w:eastAsia="宋体" w:cs="宋体"/>
      <w:b/>
      <w:bCs/>
      <w:color w:val="000000"/>
      <w:sz w:val="18"/>
      <w:szCs w:val="18"/>
      <w:u w:val="none"/>
    </w:rPr>
  </w:style>
  <w:style w:type="character" w:customStyle="1" w:styleId="28">
    <w:name w:val="font41"/>
    <w:basedOn w:val="17"/>
    <w:qFormat/>
    <w:uiPriority w:val="0"/>
    <w:rPr>
      <w:rFonts w:hint="eastAsia" w:ascii="宋体" w:hAnsi="宋体" w:eastAsia="宋体" w:cs="宋体"/>
      <w:color w:val="000000"/>
      <w:sz w:val="18"/>
      <w:szCs w:val="18"/>
      <w:u w:val="none"/>
    </w:rPr>
  </w:style>
  <w:style w:type="character" w:customStyle="1" w:styleId="29">
    <w:name w:val="font21"/>
    <w:basedOn w:val="17"/>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99</Pages>
  <Words>55841</Words>
  <Characters>59451</Characters>
  <Lines>0</Lines>
  <Paragraphs>0</Paragraphs>
  <TotalTime>22</TotalTime>
  <ScaleCrop>false</ScaleCrop>
  <LinksUpToDate>false</LinksUpToDate>
  <CharactersWithSpaces>59515</CharactersWithSpaces>
  <Application>WPS Office_10.1.0.7448_F1E327BC-269C-435d-A152-05C5408002CA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2023-05-13T09:24:00Z</dcterms:created>
  <dc:creator>Still Life</dc:creator>
  <cp:lastModifiedBy>张静</cp:lastModifiedBy>
  <dcterms:modified xsi:type="dcterms:W3CDTF">2023-06-15T10:43:34Z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2052-10.1.0.7448</vt:lpwstr>
  </property>
  <property fmtid="{D5CDD505-2E9C-101B-9397-08002B2CF9AE}" pid="3" name="ICV">
    <vt:lpwstr>03B9786BF67848F6924C60145C1E9422_13</vt:lpwstr>
  </property>
</Properties>
</file>