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2022年度中央对北京</w:t>
      </w:r>
      <w:r>
        <w:rPr>
          <w:rFonts w:hint="eastAsia" w:ascii="方正小标宋简体" w:hAnsi="方正小标宋简体" w:eastAsia="方正小标宋简体" w:cs="方正小标宋简体"/>
          <w:sz w:val="36"/>
          <w:szCs w:val="36"/>
          <w:lang w:eastAsia="zh-CN"/>
        </w:rPr>
        <w:t>中小企业发展专项资金</w:t>
      </w:r>
      <w:r>
        <w:rPr>
          <w:rFonts w:hint="eastAsia" w:ascii="方正小标宋简体" w:hAnsi="方正小标宋简体" w:eastAsia="方正小标宋简体" w:cs="方正小标宋简体"/>
          <w:sz w:val="36"/>
          <w:szCs w:val="36"/>
        </w:rPr>
        <w:t>转移支付预算执行情况绩效自评报告</w:t>
      </w:r>
    </w:p>
    <w:p>
      <w:pPr>
        <w:spacing w:line="600" w:lineRule="exact"/>
        <w:ind w:firstLine="640" w:firstLineChars="200"/>
        <w:rPr>
          <w:rFonts w:hint="eastAsia" w:ascii="黑体" w:hAnsi="黑体" w:eastAsia="黑体" w:cs="黑体"/>
          <w:sz w:val="32"/>
          <w:szCs w:val="32"/>
        </w:rPr>
      </w:pPr>
    </w:p>
    <w:p>
      <w:pPr>
        <w:pStyle w:val="4"/>
        <w:rPr>
          <w:rFonts w:hint="eastAsia"/>
        </w:rPr>
      </w:pP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一、转移支付基本情况</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w:t>
      </w:r>
      <w:r>
        <w:rPr>
          <w:rFonts w:hint="eastAsia" w:ascii="楷体_GB2312" w:hAnsi="楷体_GB2312" w:eastAsia="楷体_GB2312" w:cs="楷体_GB2312"/>
          <w:sz w:val="32"/>
          <w:szCs w:val="32"/>
          <w:lang w:eastAsia="zh-CN"/>
        </w:rPr>
        <w:t>中小企业发展专项资金</w:t>
      </w:r>
      <w:r>
        <w:rPr>
          <w:rFonts w:hint="eastAsia" w:ascii="楷体_GB2312" w:hAnsi="楷体_GB2312" w:eastAsia="楷体_GB2312" w:cs="楷体_GB2312"/>
          <w:sz w:val="32"/>
          <w:szCs w:val="32"/>
        </w:rPr>
        <w:t>转移支付概况。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黑体" w:hAnsi="黑体" w:eastAsia="黑体" w:cs="黑体"/>
          <w:bCs/>
          <w:sz w:val="32"/>
          <w:szCs w:val="32"/>
          <w:lang w:val="en-US" w:eastAsia="zh-CN"/>
        </w:rPr>
      </w:pPr>
      <w:r>
        <w:rPr>
          <w:rFonts w:hint="eastAsia" w:ascii="黑体" w:hAnsi="黑体" w:eastAsia="黑体" w:cs="黑体"/>
          <w:bCs/>
          <w:sz w:val="32"/>
          <w:szCs w:val="32"/>
          <w:lang w:val="en-US" w:eastAsia="zh-CN"/>
        </w:rPr>
        <w:t>*</w:t>
      </w:r>
      <w:r>
        <w:rPr>
          <w:rFonts w:hint="eastAsia" w:ascii="黑体" w:hAnsi="黑体" w:eastAsia="黑体" w:cs="黑体"/>
          <w:sz w:val="32"/>
          <w:szCs w:val="32"/>
        </w:rPr>
        <w:t>小微企业融资担保</w:t>
      </w:r>
      <w:r>
        <w:rPr>
          <w:rFonts w:hint="eastAsia" w:ascii="黑体" w:hAnsi="黑体" w:eastAsia="黑体" w:cs="黑体"/>
          <w:sz w:val="32"/>
          <w:szCs w:val="32"/>
          <w:lang w:eastAsia="zh-CN"/>
        </w:rPr>
        <w:t>降费奖补资金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default" w:ascii="Times New Roman" w:hAnsi="Times New Roman" w:eastAsia="宋体" w:cs="Times New Roman"/>
          <w:sz w:val="32"/>
          <w:szCs w:val="32"/>
          <w:lang w:val="en-US" w:eastAsia="zh-CN"/>
        </w:rPr>
      </w:pPr>
      <w:r>
        <w:rPr>
          <w:rFonts w:hint="default" w:ascii="Times New Roman" w:hAnsi="Times New Roman" w:eastAsia="宋体" w:cs="Times New Roman"/>
          <w:sz w:val="32"/>
          <w:szCs w:val="32"/>
          <w:lang w:val="en-US" w:eastAsia="zh-CN"/>
        </w:rPr>
        <w:t>1.预算安排情况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default" w:ascii="Times New Roman" w:hAnsi="Times New Roman" w:eastAsia="宋体" w:cs="Times New Roman"/>
          <w:sz w:val="32"/>
          <w:szCs w:val="32"/>
          <w:lang w:val="en-US" w:eastAsia="zh-CN"/>
        </w:rPr>
      </w:pPr>
      <w:r>
        <w:rPr>
          <w:rFonts w:hint="default" w:ascii="Times New Roman" w:hAnsi="Times New Roman" w:eastAsia="宋体" w:cs="Times New Roman"/>
          <w:sz w:val="32"/>
          <w:szCs w:val="32"/>
          <w:lang w:val="en-US" w:eastAsia="zh-CN"/>
        </w:rPr>
        <w:t>2022年财政部下达我市中小企业发展专项资金共计11783万元，用于对政府性融资担保机构开展</w:t>
      </w:r>
      <w:r>
        <w:rPr>
          <w:rFonts w:hint="default" w:ascii="Times New Roman" w:hAnsi="Times New Roman" w:eastAsia="宋体" w:cs="Times New Roman"/>
          <w:sz w:val="32"/>
          <w:szCs w:val="32"/>
        </w:rPr>
        <w:t>小微企业融资担保</w:t>
      </w:r>
      <w:r>
        <w:rPr>
          <w:rFonts w:hint="default" w:ascii="Times New Roman" w:hAnsi="Times New Roman" w:eastAsia="宋体" w:cs="Times New Roman"/>
          <w:sz w:val="32"/>
          <w:szCs w:val="32"/>
          <w:lang w:eastAsia="zh-CN"/>
        </w:rPr>
        <w:t>业务进行</w:t>
      </w:r>
      <w:r>
        <w:rPr>
          <w:rFonts w:hint="default" w:ascii="Times New Roman" w:hAnsi="Times New Roman" w:eastAsia="宋体" w:cs="Times New Roman"/>
          <w:sz w:val="32"/>
          <w:szCs w:val="32"/>
        </w:rPr>
        <w:t>降费</w:t>
      </w:r>
      <w:r>
        <w:rPr>
          <w:rFonts w:hint="default" w:ascii="Times New Roman" w:hAnsi="Times New Roman" w:eastAsia="宋体" w:cs="Times New Roman"/>
          <w:sz w:val="32"/>
          <w:szCs w:val="32"/>
          <w:lang w:eastAsia="zh-CN"/>
        </w:rPr>
        <w:t>补贴和业务奖励。</w:t>
      </w:r>
      <w:r>
        <w:rPr>
          <w:rFonts w:hint="default" w:ascii="Times New Roman" w:hAnsi="Times New Roman" w:eastAsia="宋体" w:cs="Times New Roman"/>
          <w:sz w:val="32"/>
          <w:szCs w:val="32"/>
          <w:lang w:val="en-US" w:eastAsia="zh-CN"/>
        </w:rPr>
        <w:t>为确保2022年小微融资担保业务“应补尽补、应奖尽奖”，我市安排12500万元用于补足中央资金不足部分。综上，2022年小微企业融资担保业务降费奖补资金规模合计为24283万元。</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宋体" w:cs="Times New Roman"/>
          <w:sz w:val="32"/>
          <w:szCs w:val="32"/>
          <w:lang w:val="en-US" w:eastAsia="zh-CN"/>
        </w:rPr>
      </w:pPr>
      <w:r>
        <w:rPr>
          <w:rFonts w:hint="default" w:ascii="Times New Roman" w:hAnsi="Times New Roman" w:eastAsia="宋体" w:cs="Times New Roman"/>
          <w:sz w:val="32"/>
          <w:szCs w:val="32"/>
          <w:lang w:val="en-US" w:eastAsia="zh-CN"/>
        </w:rPr>
        <w:t>2.预算使用方向</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宋体" w:cs="Times New Roman"/>
          <w:sz w:val="32"/>
          <w:szCs w:val="32"/>
          <w:lang w:val="en-US" w:eastAsia="zh-CN"/>
        </w:rPr>
      </w:pPr>
      <w:r>
        <w:rPr>
          <w:rFonts w:hint="default" w:ascii="Times New Roman" w:hAnsi="Times New Roman" w:eastAsia="宋体" w:cs="Times New Roman"/>
          <w:sz w:val="32"/>
          <w:szCs w:val="32"/>
        </w:rPr>
        <w:t>奖补资金支持对象为在“中小企业信用担保业务信息报送系统”中及时、全面、准确填报小微企业融资担保业务相关数据信息、扩大小微企业融资担保业务规模、降低小微企业融资担保综合费率的</w:t>
      </w:r>
      <w:r>
        <w:rPr>
          <w:rFonts w:hint="default" w:ascii="Times New Roman" w:hAnsi="Times New Roman" w:eastAsia="宋体" w:cs="Times New Roman"/>
          <w:sz w:val="32"/>
          <w:szCs w:val="32"/>
          <w:lang w:eastAsia="zh-CN"/>
        </w:rPr>
        <w:t>本市</w:t>
      </w:r>
      <w:r>
        <w:rPr>
          <w:rFonts w:hint="default" w:ascii="Times New Roman" w:hAnsi="Times New Roman" w:eastAsia="宋体" w:cs="Times New Roman"/>
          <w:sz w:val="32"/>
          <w:szCs w:val="32"/>
        </w:rPr>
        <w:t>政府性融资担保（再担保）机构，重点支持在小微企业融资担保领域引导性强、效果好的政府性融资担保（再担保）机构，特别是对直接服务小微企业且取费较低的融资担保机构加大奖补力度。小微企业是指符合《中小企业划型标准规定》(工信部联企业〔2011〕300号)小微企业划型标准，且在北京地区注册、生产和经营的小型和微型企业，房地产、金融服务行业和投资（资产）管理类、地方政府投融资平台类、地方国有企业资本运营平台类等企业除外。</w:t>
      </w:r>
    </w:p>
    <w:p>
      <w:pPr>
        <w:pStyle w:val="5"/>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宋体" w:cs="Times New Roman"/>
          <w:b w:val="0"/>
          <w:bCs w:val="0"/>
          <w:kern w:val="2"/>
          <w:sz w:val="32"/>
          <w:szCs w:val="32"/>
          <w:lang w:val="en-US" w:eastAsia="zh-CN" w:bidi="ar-SA"/>
        </w:rPr>
      </w:pPr>
      <w:r>
        <w:rPr>
          <w:rFonts w:hint="default" w:ascii="Times New Roman" w:hAnsi="Times New Roman" w:eastAsia="宋体" w:cs="Times New Roman"/>
          <w:b w:val="0"/>
          <w:bCs w:val="0"/>
          <w:kern w:val="2"/>
          <w:sz w:val="32"/>
          <w:szCs w:val="32"/>
          <w:lang w:val="en-US" w:eastAsia="zh-CN" w:bidi="ar-SA"/>
        </w:rPr>
        <w:t>3.绩效目标设定情况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宋体" w:cs="Times New Roman"/>
          <w:sz w:val="32"/>
          <w:szCs w:val="32"/>
        </w:rPr>
      </w:pPr>
      <w:r>
        <w:rPr>
          <w:rFonts w:hint="default" w:ascii="Times New Roman" w:hAnsi="Times New Roman" w:eastAsia="宋体" w:cs="Times New Roman"/>
          <w:bCs/>
          <w:sz w:val="32"/>
          <w:szCs w:val="32"/>
        </w:rPr>
        <w:t>根据</w:t>
      </w:r>
      <w:r>
        <w:rPr>
          <w:rFonts w:hint="default" w:ascii="Times New Roman" w:hAnsi="Times New Roman" w:eastAsia="宋体" w:cs="Times New Roman"/>
          <w:sz w:val="32"/>
          <w:szCs w:val="32"/>
        </w:rPr>
        <w:t>《财政部 工业和信息化部关于继续实施小微企业融资担保业务降费奖补政策的通知》（财建〔2021〕106号）中明确的资金支持方向和资金使用、管理要求，</w:t>
      </w:r>
      <w:r>
        <w:rPr>
          <w:rFonts w:hint="default" w:ascii="Times New Roman" w:hAnsi="Times New Roman" w:eastAsia="宋体" w:cs="Times New Roman"/>
          <w:sz w:val="32"/>
          <w:szCs w:val="32"/>
          <w:lang w:eastAsia="zh-CN"/>
        </w:rPr>
        <w:t>我市</w:t>
      </w:r>
      <w:r>
        <w:rPr>
          <w:rFonts w:hint="default" w:ascii="Times New Roman" w:hAnsi="Times New Roman" w:eastAsia="宋体" w:cs="Times New Roman"/>
          <w:sz w:val="32"/>
          <w:szCs w:val="32"/>
        </w:rPr>
        <w:t>制定了降费奖补资金绩效目标，并对年度目标进行分解、细化，设置了贴合政策内容、量化可衡量的绩效指标。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宋体" w:cs="Times New Roman"/>
          <w:bCs/>
          <w:sz w:val="32"/>
          <w:szCs w:val="32"/>
        </w:rPr>
      </w:pPr>
      <w:r>
        <w:rPr>
          <w:rFonts w:hint="default" w:ascii="Times New Roman" w:hAnsi="Times New Roman" w:eastAsia="宋体" w:cs="Times New Roman"/>
          <w:bCs/>
          <w:sz w:val="32"/>
          <w:szCs w:val="32"/>
        </w:rPr>
        <w:t>绩效目标为：根据财政部、工信部小微企业融资担保业务降费奖补政策要求，制定北京市降费奖补政策实施通知，对2022年在北京市小微企业融资领域做出突出贡献的担保（再担保）机构进行奖励和补助，奖补资金发放准确，做到“应奖补、尽奖补”；小规模、低费率的小微企业担保服务、再担保服务户数及业务规模达到预期，且较2021年度有所提升，担保综合费率有所下降；担保机构对于奖补资金政策信息获取及评审发放流程较为满意。具体指标详见表</w:t>
      </w:r>
      <w:r>
        <w:rPr>
          <w:rFonts w:hint="default" w:ascii="Times New Roman" w:hAnsi="Times New Roman" w:eastAsia="宋体" w:cs="Times New Roman"/>
          <w:bCs/>
          <w:sz w:val="32"/>
          <w:szCs w:val="32"/>
          <w:lang w:val="en-US" w:eastAsia="zh-CN"/>
        </w:rPr>
        <w:t>1</w:t>
      </w:r>
      <w:r>
        <w:rPr>
          <w:rFonts w:hint="default" w:ascii="Times New Roman" w:hAnsi="Times New Roman" w:eastAsia="宋体" w:cs="Times New Roman"/>
          <w:bCs/>
          <w:sz w:val="32"/>
          <w:szCs w:val="32"/>
        </w:rPr>
        <w:t>。</w:t>
      </w:r>
    </w:p>
    <w:p>
      <w:pPr>
        <w:keepNext w:val="0"/>
        <w:keepLines w:val="0"/>
        <w:pageBreakBefore w:val="0"/>
        <w:kinsoku/>
        <w:wordWrap/>
        <w:overflowPunct/>
        <w:topLinePunct w:val="0"/>
        <w:autoSpaceDE/>
        <w:autoSpaceDN/>
        <w:bidi w:val="0"/>
        <w:adjustRightInd/>
        <w:snapToGrid/>
        <w:spacing w:line="560" w:lineRule="exact"/>
        <w:jc w:val="center"/>
        <w:rPr>
          <w:rFonts w:ascii="仿宋_GB2312" w:hAnsi="仿宋_GB2312" w:cs="仿宋_GB2312"/>
          <w:b/>
          <w:sz w:val="28"/>
          <w:szCs w:val="28"/>
        </w:rPr>
      </w:pPr>
      <w:r>
        <w:rPr>
          <w:rFonts w:hint="eastAsia" w:ascii="仿宋_GB2312" w:hAnsi="仿宋_GB2312" w:cs="仿宋_GB2312"/>
          <w:b/>
          <w:sz w:val="28"/>
          <w:szCs w:val="28"/>
        </w:rPr>
        <w:t>表</w:t>
      </w:r>
      <w:r>
        <w:rPr>
          <w:rFonts w:hint="eastAsia" w:ascii="仿宋_GB2312" w:hAnsi="仿宋_GB2312" w:cs="仿宋_GB2312"/>
          <w:b/>
          <w:sz w:val="28"/>
          <w:szCs w:val="28"/>
          <w:lang w:val="en-US" w:eastAsia="zh-CN"/>
        </w:rPr>
        <w:t>1</w:t>
      </w:r>
      <w:r>
        <w:rPr>
          <w:rFonts w:ascii="仿宋_GB2312" w:hAnsi="仿宋_GB2312" w:cs="仿宋_GB2312"/>
          <w:b/>
          <w:sz w:val="28"/>
          <w:szCs w:val="28"/>
        </w:rPr>
        <w:t xml:space="preserve">  </w:t>
      </w:r>
      <w:r>
        <w:rPr>
          <w:rFonts w:hint="eastAsia" w:ascii="仿宋_GB2312" w:hAnsi="仿宋_GB2312" w:cs="仿宋_GB2312"/>
          <w:b/>
          <w:sz w:val="28"/>
          <w:szCs w:val="28"/>
        </w:rPr>
        <w:t>降费奖补资金绩效目标表</w:t>
      </w:r>
    </w:p>
    <w:tbl>
      <w:tblPr>
        <w:tblStyle w:val="10"/>
        <w:tblW w:w="826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638"/>
        <w:gridCol w:w="1341"/>
        <w:gridCol w:w="3286"/>
        <w:gridCol w:w="29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0" w:hRule="atLeast"/>
          <w:tblHeader/>
          <w:jc w:val="center"/>
        </w:trPr>
        <w:tc>
          <w:tcPr>
            <w:tcW w:w="638" w:type="dxa"/>
            <w:shd w:val="clear" w:color="auto" w:fill="AEAAAA" w:themeFill="background2" w:themeFillShade="BF"/>
            <w:vAlign w:val="center"/>
          </w:tcPr>
          <w:p>
            <w:pPr>
              <w:keepNext w:val="0"/>
              <w:keepLines w:val="0"/>
              <w:pageBreakBefore w:val="0"/>
              <w:widowControl/>
              <w:kinsoku/>
              <w:wordWrap/>
              <w:overflowPunct/>
              <w:topLinePunct w:val="0"/>
              <w:autoSpaceDE/>
              <w:autoSpaceDN/>
              <w:bidi w:val="0"/>
              <w:adjustRightInd/>
              <w:snapToGrid/>
              <w:spacing w:line="560" w:lineRule="exact"/>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一级</w:t>
            </w:r>
          </w:p>
          <w:p>
            <w:pPr>
              <w:keepNext w:val="0"/>
              <w:keepLines w:val="0"/>
              <w:pageBreakBefore w:val="0"/>
              <w:widowControl/>
              <w:kinsoku/>
              <w:wordWrap/>
              <w:overflowPunct/>
              <w:topLinePunct w:val="0"/>
              <w:autoSpaceDE/>
              <w:autoSpaceDN/>
              <w:bidi w:val="0"/>
              <w:adjustRightInd/>
              <w:snapToGrid/>
              <w:spacing w:line="560" w:lineRule="exact"/>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指标</w:t>
            </w:r>
          </w:p>
        </w:tc>
        <w:tc>
          <w:tcPr>
            <w:tcW w:w="1341" w:type="dxa"/>
            <w:shd w:val="clear" w:color="auto" w:fill="AEAAAA" w:themeFill="background2" w:themeFillShade="BF"/>
            <w:vAlign w:val="center"/>
          </w:tcPr>
          <w:p>
            <w:pPr>
              <w:keepNext w:val="0"/>
              <w:keepLines w:val="0"/>
              <w:pageBreakBefore w:val="0"/>
              <w:widowControl/>
              <w:kinsoku/>
              <w:wordWrap/>
              <w:overflowPunct/>
              <w:topLinePunct w:val="0"/>
              <w:autoSpaceDE/>
              <w:autoSpaceDN/>
              <w:bidi w:val="0"/>
              <w:adjustRightInd/>
              <w:snapToGrid/>
              <w:spacing w:line="560" w:lineRule="exact"/>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二级指标</w:t>
            </w:r>
          </w:p>
        </w:tc>
        <w:tc>
          <w:tcPr>
            <w:tcW w:w="3286" w:type="dxa"/>
            <w:shd w:val="clear" w:color="auto" w:fill="AEAAAA" w:themeFill="background2" w:themeFillShade="BF"/>
            <w:vAlign w:val="center"/>
          </w:tcPr>
          <w:p>
            <w:pPr>
              <w:keepNext w:val="0"/>
              <w:keepLines w:val="0"/>
              <w:pageBreakBefore w:val="0"/>
              <w:widowControl/>
              <w:kinsoku/>
              <w:wordWrap/>
              <w:overflowPunct/>
              <w:topLinePunct w:val="0"/>
              <w:autoSpaceDE/>
              <w:autoSpaceDN/>
              <w:bidi w:val="0"/>
              <w:adjustRightInd/>
              <w:snapToGrid/>
              <w:spacing w:line="560" w:lineRule="exact"/>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三级指标</w:t>
            </w:r>
          </w:p>
        </w:tc>
        <w:tc>
          <w:tcPr>
            <w:tcW w:w="2996" w:type="dxa"/>
            <w:shd w:val="clear" w:color="auto" w:fill="AEAAAA" w:themeFill="background2" w:themeFillShade="BF"/>
            <w:vAlign w:val="center"/>
          </w:tcPr>
          <w:p>
            <w:pPr>
              <w:keepNext w:val="0"/>
              <w:keepLines w:val="0"/>
              <w:pageBreakBefore w:val="0"/>
              <w:widowControl/>
              <w:kinsoku/>
              <w:wordWrap/>
              <w:overflowPunct/>
              <w:topLinePunct w:val="0"/>
              <w:autoSpaceDE/>
              <w:autoSpaceDN/>
              <w:bidi w:val="0"/>
              <w:adjustRightInd/>
              <w:snapToGrid/>
              <w:spacing w:line="560" w:lineRule="exact"/>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2" w:hRule="atLeast"/>
          <w:jc w:val="center"/>
        </w:trPr>
        <w:tc>
          <w:tcPr>
            <w:tcW w:w="638"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产</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出</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指</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标</w:t>
            </w:r>
          </w:p>
        </w:tc>
        <w:tc>
          <w:tcPr>
            <w:tcW w:w="134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数量指标</w:t>
            </w:r>
          </w:p>
        </w:tc>
        <w:tc>
          <w:tcPr>
            <w:tcW w:w="328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支持担保（再担保）机构数</w:t>
            </w:r>
          </w:p>
        </w:tc>
        <w:tc>
          <w:tcPr>
            <w:tcW w:w="299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不低于15家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90" w:hRule="atLeast"/>
          <w:jc w:val="center"/>
        </w:trPr>
        <w:tc>
          <w:tcPr>
            <w:tcW w:w="63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rPr>
                <w:rFonts w:ascii="宋体" w:hAnsi="宋体" w:eastAsia="宋体" w:cs="宋体"/>
                <w:color w:val="000000"/>
                <w:kern w:val="0"/>
                <w:sz w:val="20"/>
                <w:szCs w:val="20"/>
              </w:rPr>
            </w:pPr>
          </w:p>
        </w:tc>
        <w:tc>
          <w:tcPr>
            <w:tcW w:w="1341"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质量指标</w:t>
            </w:r>
          </w:p>
        </w:tc>
        <w:tc>
          <w:tcPr>
            <w:tcW w:w="328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奖补资金发放准确率</w:t>
            </w:r>
          </w:p>
        </w:tc>
        <w:tc>
          <w:tcPr>
            <w:tcW w:w="299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97" w:hRule="atLeast"/>
          <w:jc w:val="center"/>
        </w:trPr>
        <w:tc>
          <w:tcPr>
            <w:tcW w:w="63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rPr>
                <w:rFonts w:ascii="宋体" w:hAnsi="宋体" w:eastAsia="宋体" w:cs="宋体"/>
                <w:color w:val="000000"/>
                <w:kern w:val="0"/>
                <w:sz w:val="20"/>
                <w:szCs w:val="20"/>
              </w:rPr>
            </w:pPr>
          </w:p>
        </w:tc>
        <w:tc>
          <w:tcPr>
            <w:tcW w:w="134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rPr>
                <w:rFonts w:ascii="宋体" w:hAnsi="宋体" w:eastAsia="宋体" w:cs="宋体"/>
                <w:color w:val="000000"/>
                <w:kern w:val="0"/>
                <w:sz w:val="20"/>
                <w:szCs w:val="20"/>
              </w:rPr>
            </w:pPr>
          </w:p>
        </w:tc>
        <w:tc>
          <w:tcPr>
            <w:tcW w:w="328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对国家政策响应情况</w:t>
            </w:r>
          </w:p>
        </w:tc>
        <w:tc>
          <w:tcPr>
            <w:tcW w:w="299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完全响应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97" w:hRule="atLeast"/>
          <w:jc w:val="center"/>
        </w:trPr>
        <w:tc>
          <w:tcPr>
            <w:tcW w:w="63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rPr>
                <w:rFonts w:ascii="宋体" w:hAnsi="宋体" w:eastAsia="宋体" w:cs="宋体"/>
                <w:color w:val="000000"/>
                <w:kern w:val="0"/>
                <w:sz w:val="20"/>
                <w:szCs w:val="20"/>
              </w:rPr>
            </w:pPr>
          </w:p>
        </w:tc>
        <w:tc>
          <w:tcPr>
            <w:tcW w:w="134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rPr>
                <w:rFonts w:ascii="宋体" w:hAnsi="宋体" w:eastAsia="宋体" w:cs="宋体"/>
                <w:color w:val="000000"/>
                <w:kern w:val="0"/>
                <w:sz w:val="20"/>
                <w:szCs w:val="20"/>
              </w:rPr>
            </w:pPr>
          </w:p>
        </w:tc>
        <w:tc>
          <w:tcPr>
            <w:tcW w:w="328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市级政策与国家政策相符性</w:t>
            </w:r>
          </w:p>
        </w:tc>
        <w:tc>
          <w:tcPr>
            <w:tcW w:w="299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32" w:hRule="atLeast"/>
          <w:jc w:val="center"/>
        </w:trPr>
        <w:tc>
          <w:tcPr>
            <w:tcW w:w="63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rPr>
                <w:rFonts w:ascii="宋体" w:hAnsi="宋体" w:eastAsia="宋体" w:cs="宋体"/>
                <w:color w:val="000000"/>
                <w:kern w:val="0"/>
                <w:sz w:val="20"/>
                <w:szCs w:val="20"/>
              </w:rPr>
            </w:pPr>
          </w:p>
        </w:tc>
        <w:tc>
          <w:tcPr>
            <w:tcW w:w="134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rPr>
                <w:rFonts w:ascii="宋体" w:hAnsi="宋体" w:eastAsia="宋体" w:cs="宋体"/>
                <w:color w:val="000000"/>
                <w:kern w:val="0"/>
                <w:sz w:val="20"/>
                <w:szCs w:val="20"/>
              </w:rPr>
            </w:pPr>
          </w:p>
        </w:tc>
        <w:tc>
          <w:tcPr>
            <w:tcW w:w="328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执行情况与政策内容相符性</w:t>
            </w:r>
          </w:p>
        </w:tc>
        <w:tc>
          <w:tcPr>
            <w:tcW w:w="299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84" w:hRule="atLeast"/>
          <w:jc w:val="center"/>
        </w:trPr>
        <w:tc>
          <w:tcPr>
            <w:tcW w:w="638"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效</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益</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指</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标</w:t>
            </w:r>
          </w:p>
        </w:tc>
        <w:tc>
          <w:tcPr>
            <w:tcW w:w="1341"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担保服务规模</w:t>
            </w:r>
          </w:p>
        </w:tc>
        <w:tc>
          <w:tcPr>
            <w:tcW w:w="328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符合奖补支持的担保机构服务小微企业户数</w:t>
            </w:r>
          </w:p>
        </w:tc>
        <w:tc>
          <w:tcPr>
            <w:tcW w:w="299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textAlignment w:val="center"/>
              <w:rPr>
                <w:rFonts w:ascii="宋体" w:hAnsi="宋体" w:eastAsia="宋体" w:cs="宋体"/>
                <w:color w:val="000000"/>
                <w:kern w:val="0"/>
                <w:sz w:val="20"/>
                <w:szCs w:val="20"/>
              </w:rPr>
            </w:pPr>
            <w:r>
              <w:rPr>
                <w:rFonts w:hint="eastAsia" w:ascii="宋体" w:hAnsi="宋体" w:eastAsia="宋体" w:cs="宋体"/>
                <w:kern w:val="0"/>
                <w:sz w:val="20"/>
                <w:szCs w:val="20"/>
                <w:lang w:bidi="ar"/>
              </w:rPr>
              <w:t>不低于</w:t>
            </w:r>
            <w:r>
              <w:rPr>
                <w:rFonts w:ascii="宋体" w:hAnsi="宋体" w:eastAsia="宋体" w:cs="宋体"/>
                <w:kern w:val="0"/>
                <w:sz w:val="20"/>
                <w:szCs w:val="20"/>
                <w:lang w:bidi="ar"/>
              </w:rPr>
              <w:t>7000</w:t>
            </w:r>
            <w:r>
              <w:rPr>
                <w:rFonts w:hint="eastAsia" w:ascii="宋体" w:hAnsi="宋体" w:eastAsia="宋体" w:cs="宋体"/>
                <w:kern w:val="0"/>
                <w:sz w:val="20"/>
                <w:szCs w:val="20"/>
                <w:lang w:bidi="ar"/>
              </w:rPr>
              <w:t>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84" w:hRule="atLeast"/>
          <w:jc w:val="center"/>
        </w:trPr>
        <w:tc>
          <w:tcPr>
            <w:tcW w:w="63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rPr>
                <w:rFonts w:hint="eastAsia" w:ascii="宋体" w:hAnsi="宋体" w:eastAsia="宋体" w:cs="宋体"/>
                <w:color w:val="000000"/>
                <w:kern w:val="0"/>
                <w:sz w:val="20"/>
                <w:szCs w:val="20"/>
              </w:rPr>
            </w:pPr>
          </w:p>
        </w:tc>
        <w:tc>
          <w:tcPr>
            <w:tcW w:w="134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rPr>
                <w:rFonts w:hint="eastAsia" w:ascii="宋体" w:hAnsi="宋体" w:eastAsia="宋体" w:cs="宋体"/>
                <w:color w:val="000000"/>
                <w:kern w:val="0"/>
                <w:sz w:val="20"/>
                <w:szCs w:val="20"/>
              </w:rPr>
            </w:pPr>
          </w:p>
        </w:tc>
        <w:tc>
          <w:tcPr>
            <w:tcW w:w="328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both"/>
              <w:textAlignment w:val="center"/>
              <w:rPr>
                <w:rFonts w:hint="eastAsia" w:ascii="宋体" w:hAnsi="宋体" w:eastAsia="宋体" w:cs="宋体"/>
                <w:color w:val="000000"/>
                <w:kern w:val="0"/>
                <w:sz w:val="20"/>
                <w:szCs w:val="20"/>
                <w:lang w:bidi="ar"/>
              </w:rPr>
            </w:pPr>
            <w:r>
              <w:rPr>
                <w:rFonts w:hint="eastAsia" w:ascii="宋体" w:hAnsi="宋体" w:eastAsia="宋体" w:cs="宋体"/>
                <w:i w:val="0"/>
                <w:iCs w:val="0"/>
                <w:color w:val="000000"/>
                <w:kern w:val="0"/>
                <w:sz w:val="20"/>
                <w:szCs w:val="20"/>
                <w:u w:val="none"/>
                <w:lang w:val="en-US" w:eastAsia="zh-CN" w:bidi="ar"/>
              </w:rPr>
              <w:t>符合奖补支持的担保机构服务小微企业户数增长率</w:t>
            </w:r>
          </w:p>
        </w:tc>
        <w:tc>
          <w:tcPr>
            <w:tcW w:w="299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center"/>
              <w:rPr>
                <w:rFonts w:hint="eastAsia" w:ascii="宋体" w:hAnsi="宋体" w:eastAsia="宋体" w:cs="宋体"/>
                <w:kern w:val="0"/>
                <w:sz w:val="20"/>
                <w:szCs w:val="20"/>
                <w:lang w:bidi="ar"/>
              </w:rPr>
            </w:pPr>
            <w:r>
              <w:rPr>
                <w:rFonts w:hint="eastAsia" w:ascii="宋体" w:hAnsi="宋体" w:eastAsia="宋体" w:cs="宋体"/>
                <w:i w:val="0"/>
                <w:iCs w:val="0"/>
                <w:color w:val="000000"/>
                <w:kern w:val="0"/>
                <w:sz w:val="20"/>
                <w:szCs w:val="20"/>
                <w:u w:val="none"/>
                <w:lang w:val="en-US" w:eastAsia="zh-CN" w:bidi="ar"/>
              </w:rPr>
              <w:t>2022年较2021年增长不低于20%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97" w:hRule="atLeast"/>
          <w:jc w:val="center"/>
        </w:trPr>
        <w:tc>
          <w:tcPr>
            <w:tcW w:w="63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rPr>
                <w:rFonts w:ascii="宋体" w:hAnsi="宋体" w:eastAsia="宋体" w:cs="宋体"/>
                <w:color w:val="000000"/>
                <w:kern w:val="0"/>
                <w:sz w:val="20"/>
                <w:szCs w:val="20"/>
              </w:rPr>
            </w:pPr>
          </w:p>
        </w:tc>
        <w:tc>
          <w:tcPr>
            <w:tcW w:w="134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rPr>
                <w:rFonts w:ascii="宋体" w:hAnsi="宋体" w:eastAsia="宋体" w:cs="宋体"/>
                <w:color w:val="000000"/>
                <w:kern w:val="0"/>
                <w:sz w:val="20"/>
                <w:szCs w:val="20"/>
              </w:rPr>
            </w:pPr>
          </w:p>
        </w:tc>
        <w:tc>
          <w:tcPr>
            <w:tcW w:w="328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textAlignment w:val="center"/>
              <w:rPr>
                <w:rFonts w:ascii="宋体" w:hAnsi="宋体" w:eastAsia="宋体" w:cs="宋体"/>
                <w:color w:val="000000"/>
                <w:kern w:val="0"/>
                <w:sz w:val="20"/>
                <w:szCs w:val="20"/>
              </w:rPr>
            </w:pPr>
            <w:r>
              <w:rPr>
                <w:rFonts w:hint="eastAsia" w:ascii="宋体" w:hAnsi="宋体" w:eastAsia="宋体" w:cs="宋体"/>
                <w:kern w:val="0"/>
                <w:sz w:val="20"/>
                <w:szCs w:val="20"/>
                <w:lang w:bidi="ar"/>
              </w:rPr>
              <w:t>符合奖补支持的再担保机构服务小微企业户数</w:t>
            </w:r>
          </w:p>
        </w:tc>
        <w:tc>
          <w:tcPr>
            <w:tcW w:w="299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textAlignment w:val="center"/>
              <w:rPr>
                <w:rFonts w:ascii="宋体" w:hAnsi="宋体" w:eastAsia="宋体" w:cs="宋体"/>
                <w:color w:val="000000"/>
                <w:kern w:val="0"/>
                <w:sz w:val="20"/>
                <w:szCs w:val="20"/>
              </w:rPr>
            </w:pPr>
            <w:r>
              <w:rPr>
                <w:rFonts w:hint="eastAsia" w:ascii="宋体" w:hAnsi="宋体" w:eastAsia="宋体" w:cs="宋体"/>
                <w:kern w:val="0"/>
                <w:sz w:val="20"/>
                <w:szCs w:val="20"/>
                <w:lang w:bidi="ar"/>
              </w:rPr>
              <w:t>不低于</w:t>
            </w:r>
            <w:r>
              <w:rPr>
                <w:rFonts w:hint="default" w:ascii="宋体" w:hAnsi="宋体" w:eastAsia="宋体" w:cs="宋体"/>
                <w:kern w:val="0"/>
                <w:sz w:val="20"/>
                <w:szCs w:val="20"/>
                <w:lang w:bidi="ar"/>
              </w:rPr>
              <w:t>4</w:t>
            </w:r>
            <w:r>
              <w:rPr>
                <w:rFonts w:hint="eastAsia" w:ascii="宋体" w:hAnsi="宋体" w:eastAsia="宋体" w:cs="宋体"/>
                <w:kern w:val="0"/>
                <w:sz w:val="20"/>
                <w:szCs w:val="20"/>
                <w:lang w:bidi="ar"/>
              </w:rPr>
              <w:t>000家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97" w:hRule="atLeast"/>
          <w:jc w:val="center"/>
        </w:trPr>
        <w:tc>
          <w:tcPr>
            <w:tcW w:w="63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rPr>
                <w:rFonts w:ascii="宋体" w:hAnsi="宋体" w:eastAsia="宋体" w:cs="宋体"/>
                <w:color w:val="000000"/>
                <w:kern w:val="0"/>
                <w:sz w:val="20"/>
                <w:szCs w:val="20"/>
              </w:rPr>
            </w:pPr>
          </w:p>
        </w:tc>
        <w:tc>
          <w:tcPr>
            <w:tcW w:w="134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rPr>
                <w:rFonts w:ascii="宋体" w:hAnsi="宋体" w:eastAsia="宋体" w:cs="宋体"/>
                <w:color w:val="000000"/>
                <w:kern w:val="0"/>
                <w:sz w:val="20"/>
                <w:szCs w:val="20"/>
              </w:rPr>
            </w:pPr>
          </w:p>
        </w:tc>
        <w:tc>
          <w:tcPr>
            <w:tcW w:w="328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both"/>
              <w:textAlignment w:val="center"/>
              <w:rPr>
                <w:rFonts w:hint="eastAsia" w:ascii="宋体" w:hAnsi="宋体" w:eastAsia="宋体" w:cs="宋体"/>
                <w:kern w:val="0"/>
                <w:sz w:val="20"/>
                <w:szCs w:val="20"/>
                <w:lang w:bidi="ar"/>
              </w:rPr>
            </w:pPr>
            <w:r>
              <w:rPr>
                <w:rFonts w:hint="eastAsia" w:ascii="宋体" w:hAnsi="宋体" w:eastAsia="宋体" w:cs="宋体"/>
                <w:i w:val="0"/>
                <w:iCs w:val="0"/>
                <w:color w:val="000000"/>
                <w:kern w:val="0"/>
                <w:sz w:val="20"/>
                <w:szCs w:val="20"/>
                <w:u w:val="none"/>
                <w:lang w:val="en-US" w:eastAsia="zh-CN" w:bidi="ar"/>
              </w:rPr>
              <w:t>符合奖补支持的再担保机构服务小微企业户数增长率</w:t>
            </w:r>
          </w:p>
        </w:tc>
        <w:tc>
          <w:tcPr>
            <w:tcW w:w="299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center"/>
              <w:rPr>
                <w:rFonts w:hint="eastAsia" w:ascii="宋体" w:hAnsi="宋体" w:eastAsia="宋体" w:cs="宋体"/>
                <w:kern w:val="0"/>
                <w:sz w:val="20"/>
                <w:szCs w:val="20"/>
                <w:lang w:bidi="ar"/>
              </w:rPr>
            </w:pPr>
            <w:r>
              <w:rPr>
                <w:rFonts w:hint="eastAsia" w:ascii="宋体" w:hAnsi="宋体" w:eastAsia="宋体" w:cs="宋体"/>
                <w:i w:val="0"/>
                <w:iCs w:val="0"/>
                <w:color w:val="000000"/>
                <w:kern w:val="0"/>
                <w:sz w:val="20"/>
                <w:szCs w:val="20"/>
                <w:u w:val="none"/>
                <w:lang w:val="en-US" w:eastAsia="zh-CN" w:bidi="ar"/>
              </w:rPr>
              <w:t>2022年较2021年增长不低于10%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7" w:hRule="atLeast"/>
          <w:jc w:val="center"/>
        </w:trPr>
        <w:tc>
          <w:tcPr>
            <w:tcW w:w="63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rPr>
                <w:rFonts w:ascii="宋体" w:hAnsi="宋体" w:eastAsia="宋体" w:cs="宋体"/>
                <w:color w:val="000000"/>
                <w:kern w:val="0"/>
                <w:sz w:val="20"/>
                <w:szCs w:val="20"/>
              </w:rPr>
            </w:pPr>
          </w:p>
        </w:tc>
        <w:tc>
          <w:tcPr>
            <w:tcW w:w="134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rPr>
                <w:rFonts w:ascii="宋体" w:hAnsi="宋体" w:eastAsia="宋体" w:cs="宋体"/>
                <w:color w:val="000000"/>
                <w:kern w:val="0"/>
                <w:sz w:val="20"/>
                <w:szCs w:val="20"/>
              </w:rPr>
            </w:pPr>
          </w:p>
        </w:tc>
        <w:tc>
          <w:tcPr>
            <w:tcW w:w="328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符合奖补支持的担保业务金额</w:t>
            </w:r>
          </w:p>
        </w:tc>
        <w:tc>
          <w:tcPr>
            <w:tcW w:w="299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textAlignment w:val="center"/>
              <w:rPr>
                <w:rFonts w:ascii="宋体" w:hAnsi="宋体" w:eastAsia="宋体" w:cs="宋体"/>
                <w:color w:val="000000"/>
                <w:kern w:val="0"/>
                <w:sz w:val="20"/>
                <w:szCs w:val="20"/>
              </w:rPr>
            </w:pPr>
            <w:r>
              <w:rPr>
                <w:rFonts w:hint="eastAsia" w:ascii="宋体" w:hAnsi="宋体" w:eastAsia="宋体" w:cs="宋体"/>
                <w:kern w:val="0"/>
                <w:sz w:val="20"/>
                <w:szCs w:val="20"/>
                <w:lang w:bidi="ar"/>
              </w:rPr>
              <w:t>不低于</w:t>
            </w:r>
            <w:r>
              <w:rPr>
                <w:rFonts w:ascii="宋体" w:hAnsi="宋体" w:eastAsia="宋体" w:cs="宋体"/>
                <w:kern w:val="0"/>
                <w:sz w:val="20"/>
                <w:szCs w:val="20"/>
                <w:lang w:bidi="ar"/>
              </w:rPr>
              <w:t>2</w:t>
            </w:r>
            <w:r>
              <w:rPr>
                <w:rFonts w:hint="default" w:ascii="宋体" w:hAnsi="宋体" w:eastAsia="宋体" w:cs="宋体"/>
                <w:kern w:val="0"/>
                <w:sz w:val="20"/>
                <w:szCs w:val="20"/>
                <w:lang w:bidi="ar"/>
              </w:rPr>
              <w:t>0</w:t>
            </w:r>
            <w:r>
              <w:rPr>
                <w:rFonts w:ascii="宋体" w:hAnsi="宋体" w:eastAsia="宋体" w:cs="宋体"/>
                <w:kern w:val="0"/>
                <w:sz w:val="20"/>
                <w:szCs w:val="20"/>
                <w:lang w:bidi="ar"/>
              </w:rPr>
              <w:t>0</w:t>
            </w:r>
            <w:r>
              <w:rPr>
                <w:rFonts w:hint="eastAsia" w:ascii="宋体" w:hAnsi="宋体" w:eastAsia="宋体" w:cs="宋体"/>
                <w:kern w:val="0"/>
                <w:sz w:val="20"/>
                <w:szCs w:val="20"/>
                <w:lang w:bidi="ar"/>
              </w:rPr>
              <w:t>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7" w:hRule="atLeast"/>
          <w:jc w:val="center"/>
        </w:trPr>
        <w:tc>
          <w:tcPr>
            <w:tcW w:w="63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rPr>
                <w:rFonts w:ascii="宋体" w:hAnsi="宋体" w:eastAsia="宋体" w:cs="宋体"/>
                <w:color w:val="000000"/>
                <w:kern w:val="0"/>
                <w:sz w:val="20"/>
                <w:szCs w:val="20"/>
              </w:rPr>
            </w:pPr>
          </w:p>
        </w:tc>
        <w:tc>
          <w:tcPr>
            <w:tcW w:w="134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rPr>
                <w:rFonts w:ascii="宋体" w:hAnsi="宋体" w:eastAsia="宋体" w:cs="宋体"/>
                <w:color w:val="000000"/>
                <w:kern w:val="0"/>
                <w:sz w:val="20"/>
                <w:szCs w:val="20"/>
              </w:rPr>
            </w:pPr>
          </w:p>
        </w:tc>
        <w:tc>
          <w:tcPr>
            <w:tcW w:w="328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符合奖补支持的担保业务金额增长率</w:t>
            </w:r>
          </w:p>
        </w:tc>
        <w:tc>
          <w:tcPr>
            <w:tcW w:w="299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textAlignment w:val="center"/>
              <w:rPr>
                <w:rFonts w:ascii="宋体" w:hAnsi="宋体" w:eastAsia="宋体" w:cs="宋体"/>
                <w:color w:val="000000"/>
                <w:kern w:val="0"/>
                <w:sz w:val="20"/>
                <w:szCs w:val="20"/>
              </w:rPr>
            </w:pPr>
            <w:r>
              <w:rPr>
                <w:rFonts w:hint="eastAsia" w:ascii="宋体" w:hAnsi="宋体" w:eastAsia="宋体" w:cs="宋体"/>
                <w:kern w:val="0"/>
                <w:sz w:val="20"/>
                <w:szCs w:val="20"/>
                <w:lang w:bidi="ar"/>
              </w:rPr>
              <w:t>2021年较2020年增长不低于20%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97" w:hRule="atLeast"/>
          <w:jc w:val="center"/>
        </w:trPr>
        <w:tc>
          <w:tcPr>
            <w:tcW w:w="63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rPr>
                <w:rFonts w:ascii="宋体" w:hAnsi="宋体" w:eastAsia="宋体" w:cs="宋体"/>
                <w:color w:val="000000"/>
                <w:kern w:val="0"/>
                <w:sz w:val="20"/>
                <w:szCs w:val="20"/>
              </w:rPr>
            </w:pPr>
          </w:p>
        </w:tc>
        <w:tc>
          <w:tcPr>
            <w:tcW w:w="134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rPr>
                <w:rFonts w:ascii="宋体" w:hAnsi="宋体" w:eastAsia="宋体" w:cs="宋体"/>
                <w:color w:val="000000"/>
                <w:kern w:val="0"/>
                <w:sz w:val="20"/>
                <w:szCs w:val="20"/>
              </w:rPr>
            </w:pPr>
          </w:p>
        </w:tc>
        <w:tc>
          <w:tcPr>
            <w:tcW w:w="328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符合奖补支持的再担保责任金额</w:t>
            </w:r>
          </w:p>
        </w:tc>
        <w:tc>
          <w:tcPr>
            <w:tcW w:w="299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textAlignment w:val="center"/>
              <w:rPr>
                <w:rFonts w:ascii="宋体" w:hAnsi="宋体" w:eastAsia="宋体" w:cs="宋体"/>
                <w:color w:val="000000"/>
                <w:kern w:val="0"/>
                <w:sz w:val="20"/>
                <w:szCs w:val="20"/>
              </w:rPr>
            </w:pPr>
            <w:r>
              <w:rPr>
                <w:rFonts w:hint="eastAsia" w:ascii="宋体" w:hAnsi="宋体" w:eastAsia="宋体" w:cs="宋体"/>
                <w:kern w:val="0"/>
                <w:sz w:val="20"/>
                <w:szCs w:val="20"/>
                <w:lang w:bidi="ar"/>
              </w:rPr>
              <w:t>不低于</w:t>
            </w:r>
            <w:r>
              <w:rPr>
                <w:rFonts w:hint="default" w:ascii="宋体" w:hAnsi="宋体" w:eastAsia="宋体" w:cs="宋体"/>
                <w:kern w:val="0"/>
                <w:sz w:val="20"/>
                <w:szCs w:val="20"/>
                <w:lang w:bidi="ar"/>
              </w:rPr>
              <w:t>5</w:t>
            </w:r>
            <w:r>
              <w:rPr>
                <w:rFonts w:ascii="宋体" w:hAnsi="宋体" w:eastAsia="宋体" w:cs="宋体"/>
                <w:kern w:val="0"/>
                <w:sz w:val="20"/>
                <w:szCs w:val="20"/>
                <w:lang w:bidi="ar"/>
              </w:rPr>
              <w:t>0</w:t>
            </w:r>
            <w:r>
              <w:rPr>
                <w:rFonts w:hint="eastAsia" w:ascii="宋体" w:hAnsi="宋体" w:eastAsia="宋体" w:cs="宋体"/>
                <w:kern w:val="0"/>
                <w:sz w:val="20"/>
                <w:szCs w:val="20"/>
                <w:lang w:bidi="ar"/>
              </w:rPr>
              <w:t>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51" w:hRule="atLeast"/>
          <w:jc w:val="center"/>
        </w:trPr>
        <w:tc>
          <w:tcPr>
            <w:tcW w:w="63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rPr>
                <w:rFonts w:ascii="宋体" w:hAnsi="宋体" w:eastAsia="宋体" w:cs="宋体"/>
                <w:color w:val="000000"/>
                <w:kern w:val="0"/>
                <w:sz w:val="20"/>
                <w:szCs w:val="20"/>
              </w:rPr>
            </w:pPr>
          </w:p>
        </w:tc>
        <w:tc>
          <w:tcPr>
            <w:tcW w:w="134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rPr>
                <w:rFonts w:ascii="宋体" w:hAnsi="宋体" w:eastAsia="宋体" w:cs="宋体"/>
                <w:color w:val="000000"/>
                <w:kern w:val="0"/>
                <w:sz w:val="20"/>
                <w:szCs w:val="20"/>
              </w:rPr>
            </w:pPr>
          </w:p>
        </w:tc>
        <w:tc>
          <w:tcPr>
            <w:tcW w:w="328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符合奖补支持的再担保责任金额增长率</w:t>
            </w:r>
          </w:p>
        </w:tc>
        <w:tc>
          <w:tcPr>
            <w:tcW w:w="299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textAlignment w:val="center"/>
              <w:rPr>
                <w:rFonts w:ascii="宋体" w:hAnsi="宋体" w:eastAsia="宋体" w:cs="宋体"/>
                <w:color w:val="000000"/>
                <w:kern w:val="0"/>
                <w:sz w:val="20"/>
                <w:szCs w:val="20"/>
              </w:rPr>
            </w:pPr>
            <w:r>
              <w:rPr>
                <w:rFonts w:hint="eastAsia" w:ascii="宋体" w:hAnsi="宋体" w:eastAsia="宋体" w:cs="宋体"/>
                <w:kern w:val="0"/>
                <w:sz w:val="20"/>
                <w:szCs w:val="20"/>
                <w:lang w:bidi="ar"/>
              </w:rPr>
              <w:t>2021年较2020年增长不低于15%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7" w:hRule="atLeast"/>
          <w:jc w:val="center"/>
        </w:trPr>
        <w:tc>
          <w:tcPr>
            <w:tcW w:w="63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rPr>
                <w:rFonts w:ascii="宋体" w:hAnsi="宋体" w:eastAsia="宋体" w:cs="宋体"/>
                <w:color w:val="000000"/>
                <w:kern w:val="0"/>
                <w:sz w:val="20"/>
                <w:szCs w:val="20"/>
              </w:rPr>
            </w:pPr>
          </w:p>
        </w:tc>
        <w:tc>
          <w:tcPr>
            <w:tcW w:w="1341"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担保服务费率</w:t>
            </w:r>
          </w:p>
        </w:tc>
        <w:tc>
          <w:tcPr>
            <w:tcW w:w="328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符合补贴支持项目平均年化担保综合费率</w:t>
            </w:r>
          </w:p>
        </w:tc>
        <w:tc>
          <w:tcPr>
            <w:tcW w:w="299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textAlignment w:val="center"/>
              <w:rPr>
                <w:rFonts w:ascii="宋体" w:hAnsi="宋体" w:eastAsia="宋体" w:cs="宋体"/>
                <w:color w:val="000000"/>
                <w:kern w:val="0"/>
                <w:sz w:val="20"/>
                <w:szCs w:val="20"/>
              </w:rPr>
            </w:pPr>
            <w:r>
              <w:rPr>
                <w:rFonts w:hint="eastAsia" w:ascii="宋体" w:hAnsi="宋体" w:eastAsia="宋体" w:cs="宋体"/>
                <w:kern w:val="0"/>
                <w:sz w:val="20"/>
                <w:szCs w:val="20"/>
                <w:lang w:bidi="ar"/>
              </w:rPr>
              <w:t>不高于2%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7" w:hRule="atLeast"/>
          <w:jc w:val="center"/>
        </w:trPr>
        <w:tc>
          <w:tcPr>
            <w:tcW w:w="63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rPr>
                <w:rFonts w:ascii="宋体" w:hAnsi="宋体" w:eastAsia="宋体" w:cs="宋体"/>
                <w:color w:val="000000"/>
                <w:kern w:val="0"/>
                <w:sz w:val="20"/>
                <w:szCs w:val="20"/>
              </w:rPr>
            </w:pPr>
          </w:p>
        </w:tc>
        <w:tc>
          <w:tcPr>
            <w:tcW w:w="134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rPr>
                <w:rFonts w:ascii="宋体" w:hAnsi="宋体" w:eastAsia="宋体" w:cs="宋体"/>
                <w:color w:val="000000"/>
                <w:kern w:val="0"/>
                <w:sz w:val="20"/>
                <w:szCs w:val="20"/>
              </w:rPr>
            </w:pPr>
          </w:p>
        </w:tc>
        <w:tc>
          <w:tcPr>
            <w:tcW w:w="328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符合补贴支持项目单户贷款500万元（含）以下的平均年化再担保费率</w:t>
            </w:r>
          </w:p>
        </w:tc>
        <w:tc>
          <w:tcPr>
            <w:tcW w:w="299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textAlignment w:val="center"/>
              <w:rPr>
                <w:rFonts w:ascii="宋体" w:hAnsi="宋体" w:eastAsia="宋体" w:cs="宋体"/>
                <w:kern w:val="0"/>
                <w:sz w:val="20"/>
                <w:szCs w:val="20"/>
                <w:lang w:bidi="ar"/>
              </w:rPr>
            </w:pPr>
            <w:r>
              <w:rPr>
                <w:rFonts w:hint="eastAsia" w:ascii="宋体" w:hAnsi="宋体" w:eastAsia="宋体" w:cs="宋体"/>
                <w:kern w:val="0"/>
                <w:sz w:val="20"/>
                <w:szCs w:val="20"/>
                <w:lang w:bidi="ar"/>
              </w:rPr>
              <w:t>不高于0</w:t>
            </w:r>
            <w:r>
              <w:rPr>
                <w:rFonts w:ascii="宋体" w:hAnsi="宋体" w:eastAsia="宋体" w:cs="宋体"/>
                <w:kern w:val="0"/>
                <w:sz w:val="20"/>
                <w:szCs w:val="20"/>
                <w:lang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7" w:hRule="atLeast"/>
          <w:jc w:val="center"/>
        </w:trPr>
        <w:tc>
          <w:tcPr>
            <w:tcW w:w="63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left"/>
              <w:rPr>
                <w:rFonts w:ascii="宋体" w:hAnsi="宋体" w:eastAsia="宋体" w:cs="宋体"/>
                <w:color w:val="000000"/>
                <w:kern w:val="0"/>
                <w:sz w:val="20"/>
                <w:szCs w:val="20"/>
              </w:rPr>
            </w:pPr>
          </w:p>
        </w:tc>
        <w:tc>
          <w:tcPr>
            <w:tcW w:w="134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rPr>
                <w:rFonts w:ascii="宋体" w:hAnsi="宋体" w:eastAsia="宋体" w:cs="宋体"/>
                <w:color w:val="000000"/>
                <w:kern w:val="0"/>
                <w:sz w:val="20"/>
                <w:szCs w:val="20"/>
              </w:rPr>
            </w:pPr>
          </w:p>
        </w:tc>
        <w:tc>
          <w:tcPr>
            <w:tcW w:w="328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符合补贴支持项目单户贷款500万元到1000万元（含）的平均年化再担保费率</w:t>
            </w:r>
          </w:p>
        </w:tc>
        <w:tc>
          <w:tcPr>
            <w:tcW w:w="299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textAlignment w:val="center"/>
              <w:rPr>
                <w:rFonts w:ascii="宋体" w:hAnsi="宋体" w:eastAsia="宋体" w:cs="宋体"/>
                <w:kern w:val="0"/>
                <w:sz w:val="20"/>
                <w:szCs w:val="20"/>
                <w:lang w:bidi="ar"/>
              </w:rPr>
            </w:pPr>
            <w:r>
              <w:rPr>
                <w:rFonts w:hint="eastAsia" w:ascii="宋体" w:hAnsi="宋体" w:eastAsia="宋体" w:cs="宋体"/>
                <w:kern w:val="0"/>
                <w:sz w:val="20"/>
                <w:szCs w:val="20"/>
                <w:lang w:bidi="ar"/>
              </w:rPr>
              <w:t>不高于0</w:t>
            </w:r>
            <w:r>
              <w:rPr>
                <w:rFonts w:ascii="宋体" w:hAnsi="宋体" w:eastAsia="宋体" w:cs="宋体"/>
                <w:kern w:val="0"/>
                <w:sz w:val="20"/>
                <w:szCs w:val="20"/>
                <w:lang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796" w:hRule="atLeast"/>
          <w:jc w:val="center"/>
        </w:trPr>
        <w:tc>
          <w:tcPr>
            <w:tcW w:w="638"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满意度指标</w:t>
            </w:r>
          </w:p>
        </w:tc>
        <w:tc>
          <w:tcPr>
            <w:tcW w:w="134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服务对象</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满意度</w:t>
            </w:r>
          </w:p>
          <w:p>
            <w:pPr>
              <w:keepNext w:val="0"/>
              <w:keepLines w:val="0"/>
              <w:pageBreakBefore w:val="0"/>
              <w:widowControl/>
              <w:kinsoku/>
              <w:wordWrap/>
              <w:overflowPunct/>
              <w:topLinePunct w:val="0"/>
              <w:autoSpaceDE/>
              <w:autoSpaceDN/>
              <w:bidi w:val="0"/>
              <w:adjustRightInd/>
              <w:snapToGrid/>
              <w:spacing w:line="56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指标</w:t>
            </w:r>
          </w:p>
        </w:tc>
        <w:tc>
          <w:tcPr>
            <w:tcW w:w="328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担保（再担保）机构对于奖补资金的满意度</w:t>
            </w:r>
          </w:p>
        </w:tc>
        <w:tc>
          <w:tcPr>
            <w:tcW w:w="299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textAlignment w:val="center"/>
              <w:rPr>
                <w:rFonts w:ascii="宋体" w:hAnsi="宋体" w:eastAsia="宋体" w:cs="宋体"/>
                <w:color w:val="000000"/>
                <w:kern w:val="0"/>
                <w:sz w:val="20"/>
                <w:szCs w:val="20"/>
              </w:rPr>
            </w:pPr>
            <w:r>
              <w:rPr>
                <w:rFonts w:hint="eastAsia" w:ascii="宋体" w:hAnsi="宋体" w:eastAsia="宋体" w:cs="宋体"/>
                <w:kern w:val="0"/>
                <w:sz w:val="20"/>
                <w:szCs w:val="20"/>
                <w:lang w:bidi="ar"/>
              </w:rPr>
              <w:t>不低于95%</w:t>
            </w:r>
          </w:p>
        </w:tc>
      </w:tr>
    </w:tbl>
    <w:p>
      <w:pPr>
        <w:spacing w:line="600" w:lineRule="exact"/>
        <w:ind w:firstLine="640" w:firstLineChars="200"/>
        <w:rPr>
          <w:rFonts w:hint="eastAsia" w:ascii="黑体" w:hAnsi="黑体" w:eastAsia="黑体" w:cs="黑体"/>
          <w:bCs/>
          <w:sz w:val="32"/>
          <w:szCs w:val="32"/>
          <w:lang w:val="en-US" w:eastAsia="zh-CN"/>
        </w:rPr>
      </w:pPr>
      <w:r>
        <w:rPr>
          <w:rFonts w:hint="eastAsia" w:ascii="黑体" w:hAnsi="黑体" w:eastAsia="黑体" w:cs="黑体"/>
          <w:bCs/>
          <w:sz w:val="32"/>
          <w:szCs w:val="32"/>
          <w:lang w:val="en-US" w:eastAsia="zh-CN"/>
        </w:rPr>
        <w:t>*</w:t>
      </w:r>
      <w:r>
        <w:rPr>
          <w:rFonts w:hint="eastAsia" w:ascii="黑体" w:hAnsi="黑体" w:eastAsia="黑体" w:cs="黑体"/>
          <w:bCs/>
          <w:sz w:val="32"/>
          <w:szCs w:val="32"/>
        </w:rPr>
        <w:t>支持</w:t>
      </w:r>
      <w:r>
        <w:rPr>
          <w:rFonts w:hint="eastAsia" w:ascii="黑体" w:hAnsi="黑体" w:eastAsia="黑体" w:cs="黑体"/>
          <w:bCs/>
          <w:sz w:val="32"/>
          <w:szCs w:val="32"/>
          <w:lang w:val="en-US" w:eastAsia="zh-CN"/>
        </w:rPr>
        <w:t>重点</w:t>
      </w:r>
      <w:r>
        <w:rPr>
          <w:rFonts w:hint="eastAsia" w:ascii="黑体" w:hAnsi="黑体" w:eastAsia="黑体" w:cs="黑体"/>
          <w:bCs/>
          <w:sz w:val="32"/>
          <w:szCs w:val="32"/>
        </w:rPr>
        <w:t>“小巨人”企业高质量发展</w:t>
      </w:r>
      <w:r>
        <w:rPr>
          <w:rFonts w:hint="eastAsia" w:ascii="黑体" w:hAnsi="黑体" w:eastAsia="黑体" w:cs="黑体"/>
          <w:bCs/>
          <w:sz w:val="32"/>
          <w:szCs w:val="32"/>
          <w:lang w:val="en-US" w:eastAsia="zh-CN"/>
        </w:rPr>
        <w:t>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default" w:ascii="Times New Roman" w:hAnsi="Times New Roman" w:cs="Times New Roman"/>
          <w:sz w:val="32"/>
          <w:szCs w:val="32"/>
        </w:rPr>
      </w:pPr>
      <w:r>
        <w:rPr>
          <w:rFonts w:hint="default" w:ascii="Times New Roman" w:hAnsi="Times New Roman" w:cs="Times New Roman"/>
          <w:sz w:val="32"/>
          <w:szCs w:val="32"/>
        </w:rPr>
        <w:t>1.预算安排情况</w:t>
      </w:r>
    </w:p>
    <w:p>
      <w:pPr>
        <w:pStyle w:val="6"/>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sz w:val="32"/>
          <w:szCs w:val="32"/>
        </w:rPr>
      </w:pPr>
      <w:r>
        <w:rPr>
          <w:rFonts w:hint="default" w:ascii="Times New Roman" w:hAnsi="Times New Roman" w:cs="Times New Roman"/>
          <w:sz w:val="32"/>
          <w:szCs w:val="32"/>
        </w:rPr>
        <w:t xml:space="preserve"> 2021年财政部、工业和信息化部发布《关于支持“专精特新”中小企业高质量发展的通知》（财建〔2021〕2号），明确着眼于推进中小企业高质量发展和助推构建双循环新发展格局，2021-2025年期间中央财政要累计安排100亿元以上奖补资金，用于引导地方完善扶持政策和公共服务体系，分三批（每批不超过三年）重点支持1000 余家重点“小巨人”企业高质量发展。在此背景下，2021-2022年财政部分两批共向我市下达中小企业发展（</w:t>
      </w:r>
      <w:r>
        <w:rPr>
          <w:rFonts w:hint="default" w:ascii="Times New Roman" w:hAnsi="Times New Roman" w:cs="Times New Roman"/>
          <w:sz w:val="32"/>
          <w:szCs w:val="32"/>
          <w:lang w:eastAsia="zh-Hans"/>
        </w:rPr>
        <w:t>专精特新方向）</w:t>
      </w:r>
      <w:r>
        <w:rPr>
          <w:rFonts w:hint="default" w:ascii="Times New Roman" w:hAnsi="Times New Roman" w:cs="Times New Roman"/>
          <w:sz w:val="32"/>
          <w:szCs w:val="32"/>
        </w:rPr>
        <w:t>专项资金25582万元，其中2021年10月提前下达资金14667万元，用于支持第二批重点“小巨人”企业第一年高质量发展；2022年6月下达资金10915万元，分别为第三批重点“小巨人”企业第一年奖补资金以及第一批重点“小巨人”企业第二年奖补资金。</w:t>
      </w:r>
    </w:p>
    <w:p>
      <w:pPr>
        <w:pStyle w:val="6"/>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sz w:val="32"/>
          <w:szCs w:val="32"/>
        </w:rPr>
      </w:pPr>
      <w:r>
        <w:rPr>
          <w:rFonts w:hint="default" w:ascii="Times New Roman" w:hAnsi="Times New Roman" w:cs="Times New Roman"/>
          <w:sz w:val="32"/>
          <w:szCs w:val="32"/>
        </w:rPr>
        <w:t>2.预算使用方向</w:t>
      </w:r>
    </w:p>
    <w:p>
      <w:pPr>
        <w:pStyle w:val="5"/>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cs="Times New Roman"/>
          <w:sz w:val="32"/>
          <w:szCs w:val="32"/>
        </w:rPr>
      </w:pPr>
      <w:r>
        <w:rPr>
          <w:rFonts w:hint="default" w:ascii="Times New Roman" w:hAnsi="Times New Roman" w:cs="Times New Roman"/>
          <w:sz w:val="32"/>
          <w:szCs w:val="32"/>
        </w:rPr>
        <w:t>按照财政部、工业和信息化部《关于支持“专精特新”中小企业高质量发展的通知》的要求，我市将不低于95%的高质量发展资金按“促创新强发展奖励（不低于70%）+项目支持”结合的方式用于支持重点“小巨人”企业发展，最高5%的高质量发展资金用于支持示范平台。</w:t>
      </w:r>
    </w:p>
    <w:p>
      <w:pPr>
        <w:pStyle w:val="5"/>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cs="Times New Roman"/>
          <w:sz w:val="32"/>
          <w:szCs w:val="32"/>
        </w:rPr>
      </w:pPr>
      <w:r>
        <w:rPr>
          <w:rFonts w:hint="default" w:ascii="Times New Roman" w:hAnsi="Times New Roman" w:cs="Times New Roman"/>
          <w:sz w:val="32"/>
          <w:szCs w:val="32"/>
        </w:rPr>
        <w:t>2022年，第二批重点“小巨人”企业高质量发展资金14667万元，其中14133万元（占资金总额的96.36%）用于支持第二批第一年重点“小巨人”企业、534万元（占资金总额的3.64%）用于支持第二批中小企业公共服务示范平台。第三批重点“小巨人”企业第一年奖补资金以及第一批重点“小巨人”企业第二年奖补资金共计10915万元，其中6200万元用于支持第三批第一年重点“小巨人”企业、4715万元用于支持第一批第二年重点“小巨人”企业。</w:t>
      </w:r>
    </w:p>
    <w:p>
      <w:pPr>
        <w:pStyle w:val="5"/>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cs="Times New Roman"/>
          <w:sz w:val="32"/>
          <w:szCs w:val="32"/>
        </w:rPr>
      </w:pPr>
      <w:r>
        <w:rPr>
          <w:rFonts w:hint="default" w:ascii="Times New Roman" w:hAnsi="Times New Roman" w:cs="Times New Roman"/>
          <w:sz w:val="32"/>
          <w:szCs w:val="32"/>
        </w:rPr>
        <w:t>3.绩效目标设定情况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sz w:val="32"/>
          <w:szCs w:val="32"/>
        </w:rPr>
      </w:pPr>
      <w:r>
        <w:rPr>
          <w:rFonts w:hint="default" w:ascii="Times New Roman" w:hAnsi="Times New Roman" w:cs="Times New Roman"/>
          <w:bCs/>
          <w:sz w:val="32"/>
          <w:szCs w:val="32"/>
        </w:rPr>
        <w:t>根据《</w:t>
      </w:r>
      <w:r>
        <w:rPr>
          <w:rFonts w:hint="default" w:ascii="Times New Roman" w:hAnsi="Times New Roman" w:cs="Times New Roman"/>
          <w:sz w:val="32"/>
          <w:szCs w:val="32"/>
        </w:rPr>
        <w:t>财政部 工业和信息化部</w:t>
      </w:r>
      <w:r>
        <w:rPr>
          <w:rFonts w:hint="default" w:ascii="Times New Roman" w:hAnsi="Times New Roman" w:cs="Times New Roman"/>
          <w:bCs/>
          <w:sz w:val="32"/>
          <w:szCs w:val="32"/>
        </w:rPr>
        <w:t>关于支持“专精特新”中小企业高质量发展的通知》</w:t>
      </w:r>
      <w:r>
        <w:rPr>
          <w:rFonts w:hint="default" w:ascii="Times New Roman" w:hAnsi="Times New Roman" w:cs="Times New Roman"/>
          <w:sz w:val="32"/>
          <w:szCs w:val="32"/>
        </w:rPr>
        <w:t>中明确的资金支持方向和资金使用、管理要求，我市制定了中小企业发展专项资金绩效目标，并对年度目标进行分解、细化，设置了贴合政策内容、量化可衡量的绩效指标。第二批重点“小巨人”奖补资金、第一批及第三批重点“小巨人”奖补资金绩效目标分别为：</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cs="Times New Roman"/>
          <w:sz w:val="32"/>
          <w:szCs w:val="32"/>
        </w:rPr>
      </w:pPr>
      <w:r>
        <w:rPr>
          <w:rFonts w:hint="default" w:ascii="Times New Roman" w:hAnsi="Times New Roman" w:cs="Times New Roman"/>
          <w:b/>
          <w:bCs/>
          <w:sz w:val="32"/>
          <w:szCs w:val="32"/>
        </w:rPr>
        <w:t>第二批重点“小巨人”企业第一年奖补资金绩效目标：</w:t>
      </w:r>
      <w:r>
        <w:rPr>
          <w:rFonts w:hint="default" w:ascii="Times New Roman" w:hAnsi="Times New Roman" w:cs="Times New Roman"/>
          <w:sz w:val="32"/>
          <w:szCs w:val="32"/>
        </w:rPr>
        <w:t>为推进中小企业高质量发展、助推构建双循环新发展格局，2022年度计划支持第二批第一年国家重点“小巨人”企业66家，从而促进企业发挥示范带动作用，助力实体经济特别是制造业做实做强做优，达到提升产业链供应链稳定性和竞争力的目的。同时，通过支持2家中小企业公共服务示范平台强化服务水平，集聚技术、人才和项目等创新资源，助力中小企业实现高质量发展。具体指标详见表2。</w:t>
      </w:r>
    </w:p>
    <w:p>
      <w:pPr>
        <w:spacing w:line="560" w:lineRule="exact"/>
        <w:ind w:firstLine="562" w:firstLineChars="200"/>
        <w:jc w:val="center"/>
        <w:rPr>
          <w:rFonts w:ascii="仿宋_GB2312" w:hAnsi="仿宋_GB2312" w:cs="仿宋_GB2312"/>
          <w:sz w:val="32"/>
          <w:szCs w:val="32"/>
        </w:rPr>
      </w:pPr>
      <w:r>
        <w:rPr>
          <w:rFonts w:hint="eastAsia" w:ascii="仿宋_GB2312" w:hAnsi="仿宋_GB2312" w:cs="仿宋_GB2312"/>
          <w:b/>
          <w:sz w:val="28"/>
          <w:szCs w:val="28"/>
        </w:rPr>
        <w:t>表2</w:t>
      </w:r>
      <w:r>
        <w:rPr>
          <w:rFonts w:ascii="仿宋_GB2312" w:hAnsi="仿宋_GB2312" w:cs="仿宋_GB2312"/>
          <w:b/>
          <w:sz w:val="28"/>
          <w:szCs w:val="28"/>
        </w:rPr>
        <w:t xml:space="preserve"> </w:t>
      </w:r>
      <w:r>
        <w:rPr>
          <w:rFonts w:hint="eastAsia" w:ascii="仿宋_GB2312" w:hAnsi="仿宋_GB2312" w:cs="仿宋_GB2312"/>
          <w:b/>
          <w:sz w:val="28"/>
          <w:szCs w:val="28"/>
        </w:rPr>
        <w:t>第二批重点“小巨人”企业</w:t>
      </w:r>
      <w:r>
        <w:rPr>
          <w:rFonts w:hint="default" w:ascii="仿宋_GB2312" w:hAnsi="仿宋_GB2312" w:cs="仿宋_GB2312"/>
          <w:b/>
          <w:sz w:val="28"/>
          <w:szCs w:val="28"/>
        </w:rPr>
        <w:t>第一年</w:t>
      </w:r>
      <w:r>
        <w:rPr>
          <w:rFonts w:hint="eastAsia" w:ascii="仿宋_GB2312" w:hAnsi="仿宋_GB2312" w:cs="仿宋_GB2312"/>
          <w:b/>
          <w:sz w:val="28"/>
          <w:szCs w:val="28"/>
        </w:rPr>
        <w:t>奖补资金绩效目标表</w:t>
      </w:r>
    </w:p>
    <w:tbl>
      <w:tblPr>
        <w:tblStyle w:val="10"/>
        <w:tblW w:w="85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
        <w:gridCol w:w="1568"/>
        <w:gridCol w:w="4508"/>
        <w:gridCol w:w="1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6" w:hRule="atLeast"/>
        </w:trPr>
        <w:tc>
          <w:tcPr>
            <w:tcW w:w="977" w:type="dxa"/>
            <w:shd w:val="clear" w:color="auto" w:fill="96B4E1" w:themeFill="background1" w:themeFillShade="BF"/>
            <w:vAlign w:val="center"/>
          </w:tcPr>
          <w:p>
            <w:pPr>
              <w:widowControl/>
              <w:spacing w:line="560" w:lineRule="exact"/>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一级</w:t>
            </w:r>
            <w:r>
              <w:rPr>
                <w:rFonts w:hint="eastAsia" w:ascii="宋体" w:hAnsi="宋体" w:eastAsia="宋体" w:cs="宋体"/>
                <w:b/>
                <w:bCs/>
                <w:color w:val="000000"/>
                <w:kern w:val="0"/>
                <w:sz w:val="20"/>
                <w:szCs w:val="20"/>
                <w:lang w:bidi="ar"/>
              </w:rPr>
              <w:br w:type="textWrapping"/>
            </w:r>
            <w:r>
              <w:rPr>
                <w:rFonts w:hint="eastAsia" w:ascii="宋体" w:hAnsi="宋体" w:eastAsia="宋体" w:cs="宋体"/>
                <w:b/>
                <w:bCs/>
                <w:color w:val="000000"/>
                <w:kern w:val="0"/>
                <w:sz w:val="20"/>
                <w:szCs w:val="20"/>
                <w:lang w:bidi="ar"/>
              </w:rPr>
              <w:t>指标</w:t>
            </w:r>
          </w:p>
        </w:tc>
        <w:tc>
          <w:tcPr>
            <w:tcW w:w="1568" w:type="dxa"/>
            <w:shd w:val="clear" w:color="auto" w:fill="96B4E1" w:themeFill="background1" w:themeFillShade="BF"/>
            <w:vAlign w:val="center"/>
          </w:tcPr>
          <w:p>
            <w:pPr>
              <w:widowControl/>
              <w:spacing w:line="560" w:lineRule="exact"/>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二级指标</w:t>
            </w:r>
          </w:p>
        </w:tc>
        <w:tc>
          <w:tcPr>
            <w:tcW w:w="4508" w:type="dxa"/>
            <w:shd w:val="clear" w:color="auto" w:fill="96B4E1" w:themeFill="background1" w:themeFillShade="BF"/>
            <w:vAlign w:val="center"/>
          </w:tcPr>
          <w:p>
            <w:pPr>
              <w:widowControl/>
              <w:spacing w:line="560" w:lineRule="exact"/>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三级指标</w:t>
            </w:r>
          </w:p>
        </w:tc>
        <w:tc>
          <w:tcPr>
            <w:tcW w:w="1466" w:type="dxa"/>
            <w:shd w:val="clear" w:color="auto" w:fill="96B4E1" w:themeFill="background1" w:themeFillShade="BF"/>
            <w:vAlign w:val="center"/>
          </w:tcPr>
          <w:p>
            <w:pPr>
              <w:widowControl/>
              <w:spacing w:line="560" w:lineRule="exact"/>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3" w:hRule="atLeast"/>
        </w:trPr>
        <w:tc>
          <w:tcPr>
            <w:tcW w:w="977" w:type="dxa"/>
            <w:vMerge w:val="restart"/>
            <w:shd w:val="clear" w:color="auto" w:fill="auto"/>
            <w:vAlign w:val="center"/>
          </w:tcPr>
          <w:p>
            <w:pPr>
              <w:widowControl/>
              <w:spacing w:line="56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产</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出</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指</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标</w:t>
            </w:r>
          </w:p>
        </w:tc>
        <w:tc>
          <w:tcPr>
            <w:tcW w:w="1568" w:type="dxa"/>
            <w:vMerge w:val="restart"/>
            <w:shd w:val="clear" w:color="auto" w:fill="auto"/>
            <w:vAlign w:val="center"/>
          </w:tcPr>
          <w:p>
            <w:pPr>
              <w:widowControl/>
              <w:spacing w:line="56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数量指标</w:t>
            </w:r>
          </w:p>
        </w:tc>
        <w:tc>
          <w:tcPr>
            <w:tcW w:w="4508" w:type="dxa"/>
            <w:shd w:val="clear" w:color="auto" w:fill="auto"/>
            <w:vAlign w:val="center"/>
          </w:tcPr>
          <w:p>
            <w:pPr>
              <w:widowControl/>
              <w:spacing w:line="560" w:lineRule="exac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支持重点“小巨人”企业数量</w:t>
            </w:r>
          </w:p>
        </w:tc>
        <w:tc>
          <w:tcPr>
            <w:tcW w:w="1466" w:type="dxa"/>
            <w:shd w:val="clear" w:color="auto" w:fill="auto"/>
            <w:vAlign w:val="center"/>
          </w:tcPr>
          <w:p>
            <w:pPr>
              <w:widowControl/>
              <w:spacing w:line="56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≥60家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977" w:type="dxa"/>
            <w:vMerge w:val="continue"/>
            <w:shd w:val="clear" w:color="auto" w:fill="auto"/>
            <w:vAlign w:val="center"/>
          </w:tcPr>
          <w:p>
            <w:pPr>
              <w:spacing w:line="560" w:lineRule="exact"/>
              <w:jc w:val="center"/>
              <w:rPr>
                <w:rFonts w:ascii="宋体" w:hAnsi="宋体" w:eastAsia="宋体" w:cs="宋体"/>
                <w:color w:val="000000"/>
                <w:sz w:val="20"/>
                <w:szCs w:val="20"/>
              </w:rPr>
            </w:pPr>
          </w:p>
        </w:tc>
        <w:tc>
          <w:tcPr>
            <w:tcW w:w="1568" w:type="dxa"/>
            <w:vMerge w:val="continue"/>
            <w:shd w:val="clear" w:color="auto" w:fill="auto"/>
            <w:vAlign w:val="center"/>
          </w:tcPr>
          <w:p>
            <w:pPr>
              <w:spacing w:line="560" w:lineRule="exact"/>
              <w:jc w:val="center"/>
              <w:rPr>
                <w:rFonts w:ascii="宋体" w:hAnsi="宋体" w:eastAsia="宋体" w:cs="宋体"/>
                <w:color w:val="000000"/>
                <w:sz w:val="20"/>
                <w:szCs w:val="20"/>
              </w:rPr>
            </w:pPr>
          </w:p>
        </w:tc>
        <w:tc>
          <w:tcPr>
            <w:tcW w:w="4508" w:type="dxa"/>
            <w:shd w:val="clear" w:color="auto" w:fill="auto"/>
            <w:vAlign w:val="center"/>
          </w:tcPr>
          <w:p>
            <w:pPr>
              <w:widowControl/>
              <w:spacing w:line="560" w:lineRule="exac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支持中小企业公共服务示范平台数量</w:t>
            </w:r>
          </w:p>
        </w:tc>
        <w:tc>
          <w:tcPr>
            <w:tcW w:w="1466" w:type="dxa"/>
            <w:shd w:val="clear" w:color="auto" w:fill="auto"/>
            <w:vAlign w:val="center"/>
          </w:tcPr>
          <w:p>
            <w:pPr>
              <w:widowControl/>
              <w:spacing w:line="56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trPr>
        <w:tc>
          <w:tcPr>
            <w:tcW w:w="977" w:type="dxa"/>
            <w:vMerge w:val="continue"/>
            <w:shd w:val="clear" w:color="auto" w:fill="auto"/>
            <w:vAlign w:val="center"/>
          </w:tcPr>
          <w:p>
            <w:pPr>
              <w:spacing w:line="560" w:lineRule="exact"/>
              <w:jc w:val="center"/>
              <w:rPr>
                <w:rFonts w:ascii="宋体" w:hAnsi="宋体" w:eastAsia="宋体" w:cs="宋体"/>
                <w:color w:val="000000"/>
                <w:sz w:val="20"/>
                <w:szCs w:val="20"/>
              </w:rPr>
            </w:pPr>
          </w:p>
        </w:tc>
        <w:tc>
          <w:tcPr>
            <w:tcW w:w="1568" w:type="dxa"/>
            <w:vMerge w:val="restart"/>
            <w:shd w:val="clear" w:color="auto" w:fill="auto"/>
            <w:vAlign w:val="center"/>
          </w:tcPr>
          <w:p>
            <w:pPr>
              <w:widowControl/>
              <w:spacing w:line="56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质量指标</w:t>
            </w:r>
          </w:p>
        </w:tc>
        <w:tc>
          <w:tcPr>
            <w:tcW w:w="4508" w:type="dxa"/>
            <w:shd w:val="clear" w:color="auto" w:fill="auto"/>
            <w:vAlign w:val="center"/>
          </w:tcPr>
          <w:p>
            <w:pPr>
              <w:widowControl/>
              <w:spacing w:line="560" w:lineRule="exac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奖补资金发放准确率</w:t>
            </w:r>
          </w:p>
        </w:tc>
        <w:tc>
          <w:tcPr>
            <w:tcW w:w="1466" w:type="dxa"/>
            <w:shd w:val="clear" w:color="auto" w:fill="auto"/>
            <w:vAlign w:val="center"/>
          </w:tcPr>
          <w:p>
            <w:pPr>
              <w:widowControl/>
              <w:spacing w:line="56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55" w:hRule="atLeast"/>
        </w:trPr>
        <w:tc>
          <w:tcPr>
            <w:tcW w:w="977" w:type="dxa"/>
            <w:vMerge w:val="continue"/>
            <w:shd w:val="clear" w:color="auto" w:fill="auto"/>
            <w:vAlign w:val="center"/>
          </w:tcPr>
          <w:p>
            <w:pPr>
              <w:spacing w:line="560" w:lineRule="exact"/>
              <w:jc w:val="center"/>
              <w:rPr>
                <w:rFonts w:ascii="宋体" w:hAnsi="宋体" w:eastAsia="宋体" w:cs="宋体"/>
                <w:color w:val="000000"/>
                <w:sz w:val="20"/>
                <w:szCs w:val="20"/>
              </w:rPr>
            </w:pPr>
          </w:p>
        </w:tc>
        <w:tc>
          <w:tcPr>
            <w:tcW w:w="1568" w:type="dxa"/>
            <w:vMerge w:val="continue"/>
            <w:shd w:val="clear" w:color="auto" w:fill="auto"/>
            <w:vAlign w:val="center"/>
          </w:tcPr>
          <w:p>
            <w:pPr>
              <w:spacing w:line="560" w:lineRule="exact"/>
              <w:jc w:val="center"/>
              <w:rPr>
                <w:rFonts w:ascii="宋体" w:hAnsi="宋体" w:eastAsia="宋体" w:cs="宋体"/>
                <w:color w:val="000000"/>
                <w:sz w:val="20"/>
                <w:szCs w:val="20"/>
              </w:rPr>
            </w:pPr>
          </w:p>
        </w:tc>
        <w:tc>
          <w:tcPr>
            <w:tcW w:w="4508" w:type="dxa"/>
            <w:shd w:val="clear" w:color="auto" w:fill="auto"/>
            <w:vAlign w:val="center"/>
          </w:tcPr>
          <w:p>
            <w:pPr>
              <w:widowControl/>
              <w:spacing w:line="560" w:lineRule="exac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奖补资金发放到位率</w:t>
            </w:r>
          </w:p>
        </w:tc>
        <w:tc>
          <w:tcPr>
            <w:tcW w:w="1466" w:type="dxa"/>
            <w:shd w:val="clear" w:color="auto" w:fill="auto"/>
            <w:vAlign w:val="center"/>
          </w:tcPr>
          <w:p>
            <w:pPr>
              <w:widowControl/>
              <w:spacing w:line="56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trPr>
        <w:tc>
          <w:tcPr>
            <w:tcW w:w="977" w:type="dxa"/>
            <w:vMerge w:val="continue"/>
            <w:shd w:val="clear" w:color="auto" w:fill="auto"/>
            <w:vAlign w:val="center"/>
          </w:tcPr>
          <w:p>
            <w:pPr>
              <w:spacing w:line="560" w:lineRule="exact"/>
              <w:jc w:val="center"/>
              <w:rPr>
                <w:rFonts w:ascii="宋体" w:hAnsi="宋体" w:eastAsia="宋体" w:cs="宋体"/>
                <w:color w:val="000000"/>
                <w:sz w:val="20"/>
                <w:szCs w:val="20"/>
              </w:rPr>
            </w:pPr>
          </w:p>
        </w:tc>
        <w:tc>
          <w:tcPr>
            <w:tcW w:w="1568" w:type="dxa"/>
            <w:shd w:val="clear" w:color="auto" w:fill="auto"/>
            <w:vAlign w:val="center"/>
          </w:tcPr>
          <w:p>
            <w:pPr>
              <w:widowControl/>
              <w:spacing w:line="56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时效指标</w:t>
            </w:r>
          </w:p>
        </w:tc>
        <w:tc>
          <w:tcPr>
            <w:tcW w:w="4508" w:type="dxa"/>
            <w:shd w:val="clear" w:color="auto" w:fill="auto"/>
            <w:vAlign w:val="center"/>
          </w:tcPr>
          <w:p>
            <w:pPr>
              <w:widowControl/>
              <w:spacing w:line="560" w:lineRule="exac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各项工作按照实施方案开展的及时率</w:t>
            </w:r>
          </w:p>
        </w:tc>
        <w:tc>
          <w:tcPr>
            <w:tcW w:w="1466" w:type="dxa"/>
            <w:shd w:val="clear" w:color="auto" w:fill="auto"/>
            <w:vAlign w:val="center"/>
          </w:tcPr>
          <w:p>
            <w:pPr>
              <w:widowControl/>
              <w:spacing w:line="56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8" w:hRule="atLeast"/>
        </w:trPr>
        <w:tc>
          <w:tcPr>
            <w:tcW w:w="977" w:type="dxa"/>
            <w:vMerge w:val="continue"/>
            <w:shd w:val="clear" w:color="auto" w:fill="auto"/>
            <w:vAlign w:val="center"/>
          </w:tcPr>
          <w:p>
            <w:pPr>
              <w:spacing w:line="560" w:lineRule="exact"/>
              <w:jc w:val="center"/>
              <w:rPr>
                <w:rFonts w:ascii="宋体" w:hAnsi="宋体" w:eastAsia="宋体" w:cs="宋体"/>
                <w:color w:val="000000"/>
                <w:sz w:val="20"/>
                <w:szCs w:val="20"/>
              </w:rPr>
            </w:pPr>
          </w:p>
        </w:tc>
        <w:tc>
          <w:tcPr>
            <w:tcW w:w="1568" w:type="dxa"/>
            <w:shd w:val="clear" w:color="auto" w:fill="auto"/>
            <w:vAlign w:val="center"/>
          </w:tcPr>
          <w:p>
            <w:pPr>
              <w:widowControl/>
              <w:spacing w:line="56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成本指标</w:t>
            </w:r>
          </w:p>
        </w:tc>
        <w:tc>
          <w:tcPr>
            <w:tcW w:w="4508" w:type="dxa"/>
            <w:shd w:val="clear" w:color="auto" w:fill="auto"/>
            <w:vAlign w:val="center"/>
          </w:tcPr>
          <w:p>
            <w:pPr>
              <w:widowControl/>
              <w:spacing w:line="560" w:lineRule="exac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严格执行奖补标准预算执行控制数</w:t>
            </w:r>
          </w:p>
        </w:tc>
        <w:tc>
          <w:tcPr>
            <w:tcW w:w="1466" w:type="dxa"/>
            <w:shd w:val="clear" w:color="auto" w:fill="auto"/>
            <w:vAlign w:val="center"/>
          </w:tcPr>
          <w:p>
            <w:pPr>
              <w:widowControl/>
              <w:spacing w:line="56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≤14667万元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977" w:type="dxa"/>
            <w:vMerge w:val="restart"/>
            <w:shd w:val="clear" w:color="auto" w:fill="auto"/>
            <w:vAlign w:val="center"/>
          </w:tcPr>
          <w:p>
            <w:pPr>
              <w:widowControl/>
              <w:spacing w:line="56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效</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益</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指</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标</w:t>
            </w:r>
          </w:p>
        </w:tc>
        <w:tc>
          <w:tcPr>
            <w:tcW w:w="1568" w:type="dxa"/>
            <w:vMerge w:val="restart"/>
            <w:shd w:val="clear" w:color="auto" w:fill="auto"/>
            <w:vAlign w:val="center"/>
          </w:tcPr>
          <w:p>
            <w:pPr>
              <w:widowControl/>
              <w:spacing w:line="56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促进地区产业发展</w:t>
            </w:r>
          </w:p>
        </w:tc>
        <w:tc>
          <w:tcPr>
            <w:tcW w:w="4508" w:type="dxa"/>
            <w:shd w:val="clear" w:color="auto" w:fill="auto"/>
            <w:vAlign w:val="center"/>
          </w:tcPr>
          <w:p>
            <w:pPr>
              <w:widowControl/>
              <w:spacing w:line="560" w:lineRule="exac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受益中小企业2022年累计关键核心技术攻关</w:t>
            </w:r>
          </w:p>
        </w:tc>
        <w:tc>
          <w:tcPr>
            <w:tcW w:w="1466" w:type="dxa"/>
            <w:shd w:val="clear" w:color="auto" w:fill="auto"/>
            <w:vAlign w:val="center"/>
          </w:tcPr>
          <w:p>
            <w:pPr>
              <w:widowControl/>
              <w:spacing w:line="560" w:lineRule="exact"/>
              <w:jc w:val="center"/>
              <w:textAlignment w:val="center"/>
              <w:rPr>
                <w:rFonts w:ascii="宋体" w:hAnsi="宋体" w:eastAsia="宋体" w:cs="宋体"/>
                <w:color w:val="000000"/>
                <w:sz w:val="20"/>
                <w:szCs w:val="20"/>
                <w:lang w:eastAsia="zh-Hans"/>
              </w:rPr>
            </w:pPr>
            <w:r>
              <w:rPr>
                <w:rFonts w:hint="eastAsia" w:ascii="宋体" w:hAnsi="宋体" w:eastAsia="宋体" w:cs="宋体"/>
                <w:color w:val="000000"/>
                <w:kern w:val="0"/>
                <w:sz w:val="20"/>
                <w:szCs w:val="20"/>
                <w:lang w:bidi="ar"/>
              </w:rPr>
              <w:t>≥70</w:t>
            </w:r>
            <w:r>
              <w:rPr>
                <w:rFonts w:hint="eastAsia" w:ascii="宋体" w:hAnsi="宋体" w:eastAsia="宋体" w:cs="宋体"/>
                <w:color w:val="000000"/>
                <w:kern w:val="0"/>
                <w:sz w:val="20"/>
                <w:szCs w:val="20"/>
                <w:lang w:eastAsia="zh-Hans" w:bidi="ar"/>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trPr>
        <w:tc>
          <w:tcPr>
            <w:tcW w:w="977" w:type="dxa"/>
            <w:vMerge w:val="continue"/>
            <w:shd w:val="clear" w:color="auto" w:fill="auto"/>
            <w:vAlign w:val="center"/>
          </w:tcPr>
          <w:p>
            <w:pPr>
              <w:spacing w:line="560" w:lineRule="exact"/>
              <w:jc w:val="center"/>
              <w:rPr>
                <w:rFonts w:ascii="宋体" w:hAnsi="宋体" w:eastAsia="宋体" w:cs="宋体"/>
                <w:color w:val="000000"/>
                <w:sz w:val="20"/>
                <w:szCs w:val="20"/>
              </w:rPr>
            </w:pPr>
          </w:p>
        </w:tc>
        <w:tc>
          <w:tcPr>
            <w:tcW w:w="1568" w:type="dxa"/>
            <w:vMerge w:val="continue"/>
            <w:shd w:val="clear" w:color="auto" w:fill="auto"/>
            <w:vAlign w:val="center"/>
          </w:tcPr>
          <w:p>
            <w:pPr>
              <w:spacing w:line="560" w:lineRule="exact"/>
              <w:jc w:val="center"/>
              <w:rPr>
                <w:rFonts w:ascii="宋体" w:hAnsi="宋体" w:eastAsia="宋体" w:cs="宋体"/>
                <w:color w:val="000000"/>
                <w:sz w:val="20"/>
                <w:szCs w:val="20"/>
              </w:rPr>
            </w:pPr>
          </w:p>
        </w:tc>
        <w:tc>
          <w:tcPr>
            <w:tcW w:w="4508" w:type="dxa"/>
            <w:shd w:val="clear" w:color="auto" w:fill="auto"/>
            <w:vAlign w:val="center"/>
          </w:tcPr>
          <w:p>
            <w:pPr>
              <w:widowControl/>
              <w:spacing w:line="560" w:lineRule="exac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受益中小企业2022年累计填补国内外空白</w:t>
            </w:r>
          </w:p>
        </w:tc>
        <w:tc>
          <w:tcPr>
            <w:tcW w:w="1466" w:type="dxa"/>
            <w:shd w:val="clear" w:color="auto" w:fill="auto"/>
            <w:vAlign w:val="center"/>
          </w:tcPr>
          <w:p>
            <w:pPr>
              <w:widowControl/>
              <w:spacing w:line="560" w:lineRule="exact"/>
              <w:jc w:val="center"/>
              <w:textAlignment w:val="center"/>
              <w:rPr>
                <w:rFonts w:ascii="宋体" w:hAnsi="宋体" w:eastAsia="宋体" w:cs="宋体"/>
                <w:color w:val="000000"/>
                <w:sz w:val="20"/>
                <w:szCs w:val="20"/>
                <w:lang w:eastAsia="zh-Hans"/>
              </w:rPr>
            </w:pPr>
            <w:r>
              <w:rPr>
                <w:rFonts w:hint="eastAsia" w:ascii="宋体" w:hAnsi="宋体" w:eastAsia="宋体" w:cs="宋体"/>
                <w:color w:val="000000"/>
                <w:kern w:val="0"/>
                <w:sz w:val="20"/>
                <w:szCs w:val="20"/>
                <w:lang w:bidi="ar"/>
              </w:rPr>
              <w:t>≥70</w:t>
            </w:r>
            <w:r>
              <w:rPr>
                <w:rFonts w:hint="eastAsia" w:ascii="宋体" w:hAnsi="宋体" w:eastAsia="宋体" w:cs="宋体"/>
                <w:color w:val="000000"/>
                <w:kern w:val="0"/>
                <w:sz w:val="20"/>
                <w:szCs w:val="20"/>
                <w:lang w:eastAsia="zh-Hans" w:bidi="ar"/>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30" w:hRule="atLeast"/>
        </w:trPr>
        <w:tc>
          <w:tcPr>
            <w:tcW w:w="977" w:type="dxa"/>
            <w:vMerge w:val="continue"/>
            <w:shd w:val="clear" w:color="auto" w:fill="auto"/>
            <w:vAlign w:val="center"/>
          </w:tcPr>
          <w:p>
            <w:pPr>
              <w:spacing w:line="560" w:lineRule="exact"/>
              <w:jc w:val="center"/>
              <w:rPr>
                <w:rFonts w:ascii="宋体" w:hAnsi="宋体" w:eastAsia="宋体" w:cs="宋体"/>
                <w:color w:val="000000"/>
                <w:sz w:val="20"/>
                <w:szCs w:val="20"/>
              </w:rPr>
            </w:pPr>
          </w:p>
        </w:tc>
        <w:tc>
          <w:tcPr>
            <w:tcW w:w="1568" w:type="dxa"/>
            <w:vMerge w:val="continue"/>
            <w:shd w:val="clear" w:color="auto" w:fill="auto"/>
            <w:vAlign w:val="center"/>
          </w:tcPr>
          <w:p>
            <w:pPr>
              <w:spacing w:line="560" w:lineRule="exact"/>
              <w:jc w:val="center"/>
              <w:rPr>
                <w:rFonts w:ascii="宋体" w:hAnsi="宋体" w:eastAsia="宋体" w:cs="宋体"/>
                <w:color w:val="000000"/>
                <w:sz w:val="20"/>
                <w:szCs w:val="20"/>
              </w:rPr>
            </w:pPr>
          </w:p>
        </w:tc>
        <w:tc>
          <w:tcPr>
            <w:tcW w:w="4508" w:type="dxa"/>
            <w:shd w:val="clear" w:color="auto" w:fill="auto"/>
            <w:vAlign w:val="center"/>
          </w:tcPr>
          <w:p>
            <w:pPr>
              <w:widowControl/>
              <w:spacing w:line="560" w:lineRule="exact"/>
              <w:textAlignment w:val="center"/>
              <w:rPr>
                <w:rFonts w:ascii="宋体" w:hAnsi="宋体" w:eastAsia="宋体" w:cs="宋体"/>
                <w:color w:val="000000"/>
                <w:sz w:val="20"/>
                <w:szCs w:val="20"/>
                <w:lang w:eastAsia="zh-Hans"/>
              </w:rPr>
            </w:pPr>
            <w:r>
              <w:rPr>
                <w:rFonts w:hint="eastAsia" w:ascii="宋体" w:hAnsi="宋体" w:eastAsia="宋体" w:cs="宋体"/>
                <w:color w:val="000000"/>
                <w:kern w:val="0"/>
                <w:sz w:val="20"/>
                <w:szCs w:val="20"/>
                <w:lang w:bidi="ar"/>
              </w:rPr>
              <w:t>受益中小企业2022年累计产业链“补短板”</w:t>
            </w:r>
          </w:p>
        </w:tc>
        <w:tc>
          <w:tcPr>
            <w:tcW w:w="1466" w:type="dxa"/>
            <w:shd w:val="clear" w:color="auto" w:fill="auto"/>
            <w:vAlign w:val="center"/>
          </w:tcPr>
          <w:p>
            <w:pPr>
              <w:widowControl/>
              <w:spacing w:line="560" w:lineRule="exact"/>
              <w:jc w:val="center"/>
              <w:textAlignment w:val="center"/>
              <w:rPr>
                <w:rFonts w:ascii="宋体" w:hAnsi="宋体" w:eastAsia="宋体" w:cs="宋体"/>
                <w:color w:val="000000"/>
                <w:sz w:val="20"/>
                <w:szCs w:val="20"/>
                <w:highlight w:val="yellow"/>
                <w:lang w:eastAsia="zh-Hans"/>
              </w:rPr>
            </w:pPr>
            <w:r>
              <w:rPr>
                <w:rFonts w:hint="eastAsia" w:ascii="宋体" w:hAnsi="宋体" w:eastAsia="宋体" w:cs="宋体"/>
                <w:color w:val="000000"/>
                <w:kern w:val="0"/>
                <w:sz w:val="20"/>
                <w:szCs w:val="20"/>
                <w:lang w:bidi="ar"/>
              </w:rPr>
              <w:t>≥70</w:t>
            </w:r>
            <w:r>
              <w:rPr>
                <w:rFonts w:hint="eastAsia" w:ascii="宋体" w:hAnsi="宋体" w:eastAsia="宋体" w:cs="宋体"/>
                <w:color w:val="000000"/>
                <w:kern w:val="0"/>
                <w:sz w:val="20"/>
                <w:szCs w:val="20"/>
                <w:lang w:eastAsia="zh-Hans" w:bidi="ar"/>
              </w:rPr>
              <w:t>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977" w:type="dxa"/>
            <w:vMerge w:val="continue"/>
            <w:shd w:val="clear" w:color="auto" w:fill="auto"/>
            <w:vAlign w:val="center"/>
          </w:tcPr>
          <w:p>
            <w:pPr>
              <w:spacing w:line="560" w:lineRule="exact"/>
              <w:jc w:val="center"/>
              <w:rPr>
                <w:rFonts w:ascii="宋体" w:hAnsi="宋体" w:eastAsia="宋体" w:cs="宋体"/>
                <w:color w:val="000000"/>
                <w:sz w:val="20"/>
                <w:szCs w:val="20"/>
              </w:rPr>
            </w:pPr>
          </w:p>
        </w:tc>
        <w:tc>
          <w:tcPr>
            <w:tcW w:w="1568" w:type="dxa"/>
            <w:vMerge w:val="restart"/>
            <w:shd w:val="clear" w:color="auto" w:fill="auto"/>
            <w:vAlign w:val="center"/>
          </w:tcPr>
          <w:p>
            <w:pPr>
              <w:widowControl/>
              <w:spacing w:line="56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构建服务体系，推动中小企业高质量发展</w:t>
            </w:r>
          </w:p>
        </w:tc>
        <w:tc>
          <w:tcPr>
            <w:tcW w:w="4508" w:type="dxa"/>
            <w:shd w:val="clear" w:color="auto" w:fill="auto"/>
            <w:vAlign w:val="center"/>
          </w:tcPr>
          <w:p>
            <w:pPr>
              <w:widowControl/>
              <w:spacing w:line="560" w:lineRule="exac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2022年推动新增北京市专精特新“小巨人”企业数量</w:t>
            </w:r>
          </w:p>
        </w:tc>
        <w:tc>
          <w:tcPr>
            <w:tcW w:w="1466" w:type="dxa"/>
            <w:shd w:val="clear" w:color="auto" w:fill="auto"/>
            <w:vAlign w:val="center"/>
          </w:tcPr>
          <w:p>
            <w:pPr>
              <w:widowControl/>
              <w:spacing w:line="56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≥200家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9" w:hRule="atLeast"/>
        </w:trPr>
        <w:tc>
          <w:tcPr>
            <w:tcW w:w="977" w:type="dxa"/>
            <w:vMerge w:val="continue"/>
            <w:shd w:val="clear" w:color="auto" w:fill="auto"/>
            <w:vAlign w:val="center"/>
          </w:tcPr>
          <w:p>
            <w:pPr>
              <w:spacing w:line="560" w:lineRule="exact"/>
              <w:jc w:val="center"/>
              <w:rPr>
                <w:rFonts w:ascii="宋体" w:hAnsi="宋体" w:eastAsia="宋体" w:cs="宋体"/>
                <w:color w:val="000000"/>
                <w:sz w:val="20"/>
                <w:szCs w:val="20"/>
              </w:rPr>
            </w:pPr>
          </w:p>
        </w:tc>
        <w:tc>
          <w:tcPr>
            <w:tcW w:w="1568" w:type="dxa"/>
            <w:vMerge w:val="continue"/>
            <w:shd w:val="clear" w:color="auto" w:fill="auto"/>
            <w:vAlign w:val="center"/>
          </w:tcPr>
          <w:p>
            <w:pPr>
              <w:spacing w:line="560" w:lineRule="exact"/>
              <w:jc w:val="center"/>
              <w:rPr>
                <w:rFonts w:ascii="宋体" w:hAnsi="宋体" w:eastAsia="宋体" w:cs="宋体"/>
                <w:color w:val="000000"/>
                <w:sz w:val="20"/>
                <w:szCs w:val="20"/>
              </w:rPr>
            </w:pPr>
          </w:p>
        </w:tc>
        <w:tc>
          <w:tcPr>
            <w:tcW w:w="4508" w:type="dxa"/>
            <w:shd w:val="clear" w:color="auto" w:fill="auto"/>
            <w:vAlign w:val="center"/>
          </w:tcPr>
          <w:p>
            <w:pPr>
              <w:widowControl/>
              <w:spacing w:line="560" w:lineRule="exact"/>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通过服务，推动新增北京市“专精特新”中小企业数量</w:t>
            </w:r>
          </w:p>
        </w:tc>
        <w:tc>
          <w:tcPr>
            <w:tcW w:w="1466" w:type="dxa"/>
            <w:shd w:val="clear" w:color="auto" w:fill="auto"/>
            <w:vAlign w:val="center"/>
          </w:tcPr>
          <w:p>
            <w:pPr>
              <w:widowControl/>
              <w:spacing w:line="56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≥500家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5" w:hRule="atLeast"/>
        </w:trPr>
        <w:tc>
          <w:tcPr>
            <w:tcW w:w="977" w:type="dxa"/>
            <w:shd w:val="clear" w:color="auto" w:fill="auto"/>
            <w:vAlign w:val="center"/>
          </w:tcPr>
          <w:p>
            <w:pPr>
              <w:widowControl/>
              <w:spacing w:line="56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满意度指标</w:t>
            </w:r>
          </w:p>
        </w:tc>
        <w:tc>
          <w:tcPr>
            <w:tcW w:w="1568" w:type="dxa"/>
            <w:shd w:val="clear" w:color="auto" w:fill="auto"/>
            <w:vAlign w:val="center"/>
          </w:tcPr>
          <w:p>
            <w:pPr>
              <w:widowControl/>
              <w:spacing w:line="56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服务对象</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满意度指标</w:t>
            </w:r>
          </w:p>
        </w:tc>
        <w:tc>
          <w:tcPr>
            <w:tcW w:w="4508" w:type="dxa"/>
            <w:shd w:val="clear" w:color="auto" w:fill="auto"/>
            <w:vAlign w:val="center"/>
          </w:tcPr>
          <w:p>
            <w:pPr>
              <w:widowControl/>
              <w:spacing w:line="560" w:lineRule="exac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受益中小企业对于支持政策的满意度</w:t>
            </w:r>
          </w:p>
        </w:tc>
        <w:tc>
          <w:tcPr>
            <w:tcW w:w="1466" w:type="dxa"/>
            <w:shd w:val="clear" w:color="auto" w:fill="auto"/>
            <w:vAlign w:val="center"/>
          </w:tcPr>
          <w:p>
            <w:pPr>
              <w:widowControl/>
              <w:spacing w:line="56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≥95%</w:t>
            </w:r>
          </w:p>
        </w:tc>
      </w:tr>
    </w:tbl>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ascii="仿宋_GB2312" w:hAnsi="仿宋_GB2312" w:cs="仿宋_GB2312"/>
          <w:bCs/>
          <w:sz w:val="32"/>
          <w:szCs w:val="32"/>
        </w:rPr>
      </w:pPr>
      <w:r>
        <w:rPr>
          <w:rFonts w:hint="default" w:ascii="Times New Roman" w:hAnsi="Times New Roman" w:cs="Times New Roman"/>
          <w:b/>
          <w:bCs/>
          <w:sz w:val="32"/>
          <w:szCs w:val="32"/>
        </w:rPr>
        <w:t>第三批第一年及第一批第二年重点“小巨人”奖补资金绩效目标：</w:t>
      </w:r>
      <w:r>
        <w:rPr>
          <w:rFonts w:hint="default" w:ascii="Times New Roman" w:hAnsi="Times New Roman" w:cs="Times New Roman"/>
          <w:sz w:val="32"/>
          <w:szCs w:val="32"/>
        </w:rPr>
        <w:t>为推进中小企业高质量发展、助推构建双循环新发展格局，2022年度计划支持第三批第一年和第一批第二年国家重点“小巨人”企业高质量发展，从而促进这些企业发挥示范带动作用，助力实体经济特别是制造业做实做强做优，达到提升产业链供应链稳定性和竞争力的目的。</w:t>
      </w:r>
      <w:r>
        <w:rPr>
          <w:rFonts w:hint="default" w:ascii="Times New Roman" w:hAnsi="Times New Roman" w:cs="Times New Roman"/>
          <w:bCs/>
          <w:sz w:val="32"/>
          <w:szCs w:val="32"/>
        </w:rPr>
        <w:t>具体指标详见表3。</w:t>
      </w:r>
    </w:p>
    <w:p>
      <w:pPr>
        <w:spacing w:line="560" w:lineRule="exact"/>
        <w:jc w:val="center"/>
        <w:rPr>
          <w:rFonts w:hint="eastAsia" w:ascii="仿宋_GB2312" w:hAnsi="仿宋_GB2312" w:cs="仿宋_GB2312"/>
          <w:b/>
          <w:sz w:val="28"/>
          <w:szCs w:val="28"/>
        </w:rPr>
      </w:pPr>
      <w:r>
        <w:rPr>
          <w:rFonts w:hint="eastAsia" w:ascii="仿宋_GB2312" w:hAnsi="仿宋_GB2312" w:cs="仿宋_GB2312"/>
          <w:b/>
          <w:sz w:val="28"/>
          <w:szCs w:val="28"/>
        </w:rPr>
        <w:t>表3</w:t>
      </w:r>
      <w:r>
        <w:rPr>
          <w:rFonts w:ascii="仿宋_GB2312" w:hAnsi="仿宋_GB2312" w:cs="仿宋_GB2312"/>
          <w:b/>
          <w:sz w:val="28"/>
          <w:szCs w:val="28"/>
        </w:rPr>
        <w:t xml:space="preserve">  </w:t>
      </w:r>
      <w:r>
        <w:rPr>
          <w:rFonts w:hint="eastAsia" w:ascii="仿宋_GB2312" w:hAnsi="仿宋_GB2312" w:cs="仿宋_GB2312"/>
          <w:b/>
          <w:sz w:val="28"/>
          <w:szCs w:val="28"/>
        </w:rPr>
        <w:t>第三批</w:t>
      </w:r>
      <w:r>
        <w:rPr>
          <w:rFonts w:hint="default" w:ascii="仿宋_GB2312" w:hAnsi="仿宋_GB2312" w:cs="仿宋_GB2312"/>
          <w:b/>
          <w:sz w:val="28"/>
          <w:szCs w:val="28"/>
        </w:rPr>
        <w:t>第一年</w:t>
      </w:r>
      <w:r>
        <w:rPr>
          <w:rFonts w:hint="eastAsia" w:ascii="仿宋_GB2312" w:hAnsi="仿宋_GB2312" w:cs="仿宋_GB2312"/>
          <w:b/>
          <w:sz w:val="28"/>
          <w:szCs w:val="28"/>
        </w:rPr>
        <w:t>及第一批</w:t>
      </w:r>
      <w:r>
        <w:rPr>
          <w:rFonts w:hint="default" w:ascii="仿宋_GB2312" w:hAnsi="仿宋_GB2312" w:cs="仿宋_GB2312"/>
          <w:b/>
          <w:sz w:val="28"/>
          <w:szCs w:val="28"/>
        </w:rPr>
        <w:t>第二年</w:t>
      </w:r>
      <w:r>
        <w:rPr>
          <w:rFonts w:hint="eastAsia" w:ascii="仿宋_GB2312" w:hAnsi="仿宋_GB2312" w:cs="仿宋_GB2312"/>
          <w:b/>
          <w:sz w:val="28"/>
          <w:szCs w:val="28"/>
        </w:rPr>
        <w:t>重点“小巨人”奖补资金</w:t>
      </w:r>
    </w:p>
    <w:p>
      <w:pPr>
        <w:spacing w:line="560" w:lineRule="exact"/>
        <w:jc w:val="center"/>
        <w:rPr>
          <w:rFonts w:ascii="仿宋_GB2312" w:hAnsi="仿宋_GB2312" w:cs="仿宋_GB2312"/>
          <w:b/>
          <w:sz w:val="28"/>
          <w:szCs w:val="28"/>
        </w:rPr>
      </w:pPr>
      <w:r>
        <w:rPr>
          <w:rFonts w:hint="eastAsia" w:ascii="仿宋_GB2312" w:hAnsi="仿宋_GB2312" w:cs="仿宋_GB2312"/>
          <w:b/>
          <w:sz w:val="28"/>
          <w:szCs w:val="28"/>
        </w:rPr>
        <w:t>绩效目标表</w:t>
      </w:r>
    </w:p>
    <w:tbl>
      <w:tblPr>
        <w:tblStyle w:val="10"/>
        <w:tblW w:w="833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644"/>
        <w:gridCol w:w="1179"/>
        <w:gridCol w:w="3340"/>
        <w:gridCol w:w="31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0" w:hRule="atLeast"/>
          <w:tblHeader/>
          <w:jc w:val="center"/>
        </w:trPr>
        <w:tc>
          <w:tcPr>
            <w:tcW w:w="644" w:type="dxa"/>
            <w:shd w:val="clear" w:color="auto" w:fill="AEAAAA" w:themeFill="background2" w:themeFillShade="BF"/>
            <w:vAlign w:val="center"/>
          </w:tcPr>
          <w:p>
            <w:pPr>
              <w:widowControl/>
              <w:spacing w:line="560" w:lineRule="exact"/>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一级</w:t>
            </w:r>
            <w:r>
              <w:rPr>
                <w:rFonts w:hint="eastAsia" w:ascii="宋体" w:hAnsi="宋体" w:eastAsia="宋体" w:cs="宋体"/>
                <w:b/>
                <w:bCs/>
                <w:color w:val="000000"/>
                <w:kern w:val="0"/>
                <w:sz w:val="20"/>
                <w:szCs w:val="20"/>
                <w:lang w:bidi="ar"/>
              </w:rPr>
              <w:br w:type="textWrapping"/>
            </w:r>
            <w:r>
              <w:rPr>
                <w:rFonts w:hint="eastAsia" w:ascii="宋体" w:hAnsi="宋体" w:eastAsia="宋体" w:cs="宋体"/>
                <w:b/>
                <w:bCs/>
                <w:color w:val="000000"/>
                <w:kern w:val="0"/>
                <w:sz w:val="20"/>
                <w:szCs w:val="20"/>
                <w:lang w:bidi="ar"/>
              </w:rPr>
              <w:t>指标</w:t>
            </w:r>
          </w:p>
        </w:tc>
        <w:tc>
          <w:tcPr>
            <w:tcW w:w="1179" w:type="dxa"/>
            <w:shd w:val="clear" w:color="auto" w:fill="AEAAAA" w:themeFill="background2" w:themeFillShade="BF"/>
            <w:vAlign w:val="center"/>
          </w:tcPr>
          <w:p>
            <w:pPr>
              <w:widowControl/>
              <w:spacing w:line="560" w:lineRule="exact"/>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二级指标</w:t>
            </w:r>
          </w:p>
        </w:tc>
        <w:tc>
          <w:tcPr>
            <w:tcW w:w="3340" w:type="dxa"/>
            <w:shd w:val="clear" w:color="auto" w:fill="AEAAAA" w:themeFill="background2" w:themeFillShade="BF"/>
            <w:vAlign w:val="center"/>
          </w:tcPr>
          <w:p>
            <w:pPr>
              <w:widowControl/>
              <w:spacing w:line="560" w:lineRule="exact"/>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三级指标</w:t>
            </w:r>
          </w:p>
        </w:tc>
        <w:tc>
          <w:tcPr>
            <w:tcW w:w="3170" w:type="dxa"/>
            <w:shd w:val="clear" w:color="auto" w:fill="AEAAAA" w:themeFill="background2" w:themeFillShade="BF"/>
            <w:vAlign w:val="center"/>
          </w:tcPr>
          <w:p>
            <w:pPr>
              <w:widowControl/>
              <w:spacing w:line="560" w:lineRule="exact"/>
              <w:jc w:val="center"/>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lang w:bidi="ar"/>
              </w:rPr>
              <w:t>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28" w:hRule="atLeast"/>
          <w:jc w:val="center"/>
        </w:trPr>
        <w:tc>
          <w:tcPr>
            <w:tcW w:w="644" w:type="dxa"/>
            <w:vMerge w:val="restart"/>
            <w:shd w:val="clear" w:color="auto" w:fill="auto"/>
            <w:vAlign w:val="center"/>
          </w:tcPr>
          <w:p>
            <w:pPr>
              <w:widowControl/>
              <w:spacing w:line="56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产</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出</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指</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标</w:t>
            </w:r>
          </w:p>
        </w:tc>
        <w:tc>
          <w:tcPr>
            <w:tcW w:w="1179" w:type="dxa"/>
            <w:vMerge w:val="restart"/>
            <w:shd w:val="clear" w:color="auto" w:fill="auto"/>
            <w:vAlign w:val="center"/>
          </w:tcPr>
          <w:p>
            <w:pPr>
              <w:widowControl/>
              <w:spacing w:line="56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数量指标</w:t>
            </w:r>
          </w:p>
        </w:tc>
        <w:tc>
          <w:tcPr>
            <w:tcW w:w="3340" w:type="dxa"/>
            <w:shd w:val="clear" w:color="auto" w:fill="auto"/>
            <w:vAlign w:val="center"/>
          </w:tcPr>
          <w:p>
            <w:pPr>
              <w:widowControl/>
              <w:spacing w:line="560" w:lineRule="exac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支持第三批</w:t>
            </w:r>
            <w:r>
              <w:rPr>
                <w:rFonts w:hint="default" w:ascii="宋体" w:hAnsi="宋体" w:eastAsia="宋体" w:cs="宋体"/>
                <w:color w:val="000000"/>
                <w:kern w:val="0"/>
                <w:sz w:val="20"/>
                <w:szCs w:val="20"/>
                <w:lang w:bidi="ar"/>
              </w:rPr>
              <w:t>第一年</w:t>
            </w:r>
            <w:r>
              <w:rPr>
                <w:rFonts w:hint="eastAsia" w:ascii="宋体" w:hAnsi="宋体" w:eastAsia="宋体" w:cs="宋体"/>
                <w:color w:val="000000"/>
                <w:kern w:val="0"/>
                <w:sz w:val="20"/>
                <w:szCs w:val="20"/>
                <w:lang w:bidi="ar"/>
              </w:rPr>
              <w:t>重点“小巨人”企业数量</w:t>
            </w:r>
          </w:p>
        </w:tc>
        <w:tc>
          <w:tcPr>
            <w:tcW w:w="3170" w:type="dxa"/>
            <w:shd w:val="clear" w:color="auto" w:fill="auto"/>
            <w:vAlign w:val="center"/>
          </w:tcPr>
          <w:p>
            <w:pPr>
              <w:widowControl/>
              <w:spacing w:line="56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≥30家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5" w:hRule="atLeast"/>
          <w:jc w:val="center"/>
        </w:trPr>
        <w:tc>
          <w:tcPr>
            <w:tcW w:w="644" w:type="dxa"/>
            <w:vMerge w:val="continue"/>
            <w:shd w:val="clear" w:color="auto" w:fill="auto"/>
            <w:vAlign w:val="center"/>
          </w:tcPr>
          <w:p>
            <w:pPr>
              <w:spacing w:line="560" w:lineRule="exact"/>
              <w:jc w:val="center"/>
              <w:rPr>
                <w:rFonts w:ascii="宋体" w:hAnsi="宋体" w:eastAsia="宋体" w:cs="宋体"/>
                <w:color w:val="000000"/>
                <w:kern w:val="0"/>
                <w:sz w:val="20"/>
                <w:szCs w:val="20"/>
              </w:rPr>
            </w:pPr>
          </w:p>
        </w:tc>
        <w:tc>
          <w:tcPr>
            <w:tcW w:w="1179" w:type="dxa"/>
            <w:vMerge w:val="continue"/>
            <w:shd w:val="clear" w:color="auto" w:fill="auto"/>
            <w:vAlign w:val="center"/>
          </w:tcPr>
          <w:p>
            <w:pPr>
              <w:spacing w:line="560" w:lineRule="exact"/>
              <w:jc w:val="center"/>
              <w:rPr>
                <w:rFonts w:ascii="宋体" w:hAnsi="宋体" w:eastAsia="宋体" w:cs="宋体"/>
                <w:color w:val="000000"/>
                <w:kern w:val="0"/>
                <w:sz w:val="20"/>
                <w:szCs w:val="20"/>
              </w:rPr>
            </w:pPr>
          </w:p>
        </w:tc>
        <w:tc>
          <w:tcPr>
            <w:tcW w:w="3340" w:type="dxa"/>
            <w:shd w:val="clear" w:color="auto" w:fill="auto"/>
            <w:vAlign w:val="center"/>
          </w:tcPr>
          <w:p>
            <w:pPr>
              <w:widowControl/>
              <w:spacing w:line="560" w:lineRule="exac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支持第一批</w:t>
            </w:r>
            <w:r>
              <w:rPr>
                <w:rFonts w:hint="default" w:ascii="宋体" w:hAnsi="宋体" w:eastAsia="宋体" w:cs="宋体"/>
                <w:color w:val="000000"/>
                <w:kern w:val="0"/>
                <w:sz w:val="20"/>
                <w:szCs w:val="20"/>
                <w:lang w:bidi="ar"/>
              </w:rPr>
              <w:t>第二年</w:t>
            </w:r>
            <w:r>
              <w:rPr>
                <w:rFonts w:hint="eastAsia" w:ascii="宋体" w:hAnsi="宋体" w:eastAsia="宋体" w:cs="宋体"/>
                <w:color w:val="000000"/>
                <w:kern w:val="0"/>
                <w:sz w:val="20"/>
                <w:szCs w:val="20"/>
                <w:lang w:bidi="ar"/>
              </w:rPr>
              <w:t>重点“小巨人”企业数量</w:t>
            </w:r>
          </w:p>
        </w:tc>
        <w:tc>
          <w:tcPr>
            <w:tcW w:w="3170" w:type="dxa"/>
            <w:shd w:val="clear" w:color="auto" w:fill="auto"/>
            <w:vAlign w:val="center"/>
          </w:tcPr>
          <w:p>
            <w:pPr>
              <w:widowControl/>
              <w:spacing w:line="56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≥30家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76" w:hRule="atLeast"/>
          <w:jc w:val="center"/>
        </w:trPr>
        <w:tc>
          <w:tcPr>
            <w:tcW w:w="644" w:type="dxa"/>
            <w:vMerge w:val="continue"/>
            <w:shd w:val="clear" w:color="auto" w:fill="auto"/>
            <w:vAlign w:val="center"/>
          </w:tcPr>
          <w:p>
            <w:pPr>
              <w:spacing w:line="560" w:lineRule="exact"/>
              <w:jc w:val="center"/>
              <w:rPr>
                <w:rFonts w:ascii="宋体" w:hAnsi="宋体" w:eastAsia="宋体" w:cs="宋体"/>
                <w:color w:val="000000"/>
                <w:kern w:val="0"/>
                <w:sz w:val="20"/>
                <w:szCs w:val="20"/>
              </w:rPr>
            </w:pPr>
          </w:p>
        </w:tc>
        <w:tc>
          <w:tcPr>
            <w:tcW w:w="1179" w:type="dxa"/>
            <w:vMerge w:val="restart"/>
            <w:shd w:val="clear" w:color="auto" w:fill="auto"/>
            <w:vAlign w:val="center"/>
          </w:tcPr>
          <w:p>
            <w:pPr>
              <w:widowControl/>
              <w:spacing w:line="56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质量指标</w:t>
            </w:r>
          </w:p>
        </w:tc>
        <w:tc>
          <w:tcPr>
            <w:tcW w:w="3340" w:type="dxa"/>
            <w:shd w:val="clear" w:color="auto" w:fill="auto"/>
            <w:vAlign w:val="center"/>
          </w:tcPr>
          <w:p>
            <w:pPr>
              <w:widowControl/>
              <w:spacing w:line="560" w:lineRule="exac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奖补资金发放准确率</w:t>
            </w:r>
          </w:p>
        </w:tc>
        <w:tc>
          <w:tcPr>
            <w:tcW w:w="3170" w:type="dxa"/>
            <w:shd w:val="clear" w:color="auto" w:fill="auto"/>
            <w:vAlign w:val="center"/>
          </w:tcPr>
          <w:p>
            <w:pPr>
              <w:widowControl/>
              <w:spacing w:line="56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68" w:hRule="atLeast"/>
          <w:jc w:val="center"/>
        </w:trPr>
        <w:tc>
          <w:tcPr>
            <w:tcW w:w="644" w:type="dxa"/>
            <w:vMerge w:val="continue"/>
            <w:shd w:val="clear" w:color="auto" w:fill="auto"/>
            <w:vAlign w:val="center"/>
          </w:tcPr>
          <w:p>
            <w:pPr>
              <w:spacing w:line="560" w:lineRule="exact"/>
              <w:jc w:val="center"/>
              <w:rPr>
                <w:rFonts w:ascii="宋体" w:hAnsi="宋体" w:eastAsia="宋体" w:cs="宋体"/>
                <w:color w:val="000000"/>
                <w:kern w:val="0"/>
                <w:sz w:val="20"/>
                <w:szCs w:val="20"/>
              </w:rPr>
            </w:pPr>
          </w:p>
        </w:tc>
        <w:tc>
          <w:tcPr>
            <w:tcW w:w="1179" w:type="dxa"/>
            <w:vMerge w:val="continue"/>
            <w:shd w:val="clear" w:color="auto" w:fill="auto"/>
            <w:vAlign w:val="center"/>
          </w:tcPr>
          <w:p>
            <w:pPr>
              <w:spacing w:line="560" w:lineRule="exact"/>
              <w:jc w:val="center"/>
              <w:rPr>
                <w:rFonts w:ascii="宋体" w:hAnsi="宋体" w:eastAsia="宋体" w:cs="宋体"/>
                <w:color w:val="000000"/>
                <w:kern w:val="0"/>
                <w:sz w:val="20"/>
                <w:szCs w:val="20"/>
              </w:rPr>
            </w:pPr>
          </w:p>
        </w:tc>
        <w:tc>
          <w:tcPr>
            <w:tcW w:w="3340" w:type="dxa"/>
            <w:shd w:val="clear" w:color="auto" w:fill="auto"/>
            <w:vAlign w:val="center"/>
          </w:tcPr>
          <w:p>
            <w:pPr>
              <w:widowControl/>
              <w:spacing w:line="560" w:lineRule="exac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奖补资金发放到位率</w:t>
            </w:r>
          </w:p>
        </w:tc>
        <w:tc>
          <w:tcPr>
            <w:tcW w:w="3170" w:type="dxa"/>
            <w:shd w:val="clear" w:color="auto" w:fill="auto"/>
            <w:vAlign w:val="center"/>
          </w:tcPr>
          <w:p>
            <w:pPr>
              <w:widowControl/>
              <w:spacing w:line="56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70" w:hRule="atLeast"/>
          <w:jc w:val="center"/>
        </w:trPr>
        <w:tc>
          <w:tcPr>
            <w:tcW w:w="644" w:type="dxa"/>
            <w:vMerge w:val="continue"/>
            <w:shd w:val="clear" w:color="auto" w:fill="auto"/>
            <w:vAlign w:val="center"/>
          </w:tcPr>
          <w:p>
            <w:pPr>
              <w:spacing w:line="560" w:lineRule="exact"/>
              <w:jc w:val="center"/>
              <w:rPr>
                <w:rFonts w:ascii="宋体" w:hAnsi="宋体" w:eastAsia="宋体" w:cs="宋体"/>
                <w:color w:val="000000"/>
                <w:kern w:val="0"/>
                <w:sz w:val="20"/>
                <w:szCs w:val="20"/>
              </w:rPr>
            </w:pPr>
          </w:p>
        </w:tc>
        <w:tc>
          <w:tcPr>
            <w:tcW w:w="1179" w:type="dxa"/>
            <w:shd w:val="clear" w:color="auto" w:fill="auto"/>
            <w:vAlign w:val="center"/>
          </w:tcPr>
          <w:p>
            <w:pPr>
              <w:widowControl/>
              <w:spacing w:line="56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时效指标</w:t>
            </w:r>
          </w:p>
        </w:tc>
        <w:tc>
          <w:tcPr>
            <w:tcW w:w="3340" w:type="dxa"/>
            <w:shd w:val="clear" w:color="auto" w:fill="auto"/>
            <w:vAlign w:val="center"/>
          </w:tcPr>
          <w:p>
            <w:pPr>
              <w:widowControl/>
              <w:spacing w:line="560" w:lineRule="exac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各项工作按照实施方案开展的及时率</w:t>
            </w:r>
          </w:p>
        </w:tc>
        <w:tc>
          <w:tcPr>
            <w:tcW w:w="3170" w:type="dxa"/>
            <w:shd w:val="clear" w:color="auto" w:fill="auto"/>
            <w:vAlign w:val="center"/>
          </w:tcPr>
          <w:p>
            <w:pPr>
              <w:widowControl/>
              <w:spacing w:line="56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84" w:hRule="atLeast"/>
          <w:jc w:val="center"/>
        </w:trPr>
        <w:tc>
          <w:tcPr>
            <w:tcW w:w="644" w:type="dxa"/>
            <w:vMerge w:val="continue"/>
            <w:shd w:val="clear" w:color="auto" w:fill="auto"/>
            <w:vAlign w:val="center"/>
          </w:tcPr>
          <w:p>
            <w:pPr>
              <w:spacing w:line="560" w:lineRule="exact"/>
              <w:jc w:val="center"/>
              <w:rPr>
                <w:rFonts w:ascii="宋体" w:hAnsi="宋体" w:eastAsia="宋体" w:cs="宋体"/>
                <w:color w:val="000000"/>
                <w:kern w:val="0"/>
                <w:sz w:val="20"/>
                <w:szCs w:val="20"/>
              </w:rPr>
            </w:pPr>
          </w:p>
        </w:tc>
        <w:tc>
          <w:tcPr>
            <w:tcW w:w="1179" w:type="dxa"/>
            <w:shd w:val="clear" w:color="auto" w:fill="auto"/>
            <w:vAlign w:val="center"/>
          </w:tcPr>
          <w:p>
            <w:pPr>
              <w:widowControl/>
              <w:spacing w:line="56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成本指标</w:t>
            </w:r>
          </w:p>
        </w:tc>
        <w:tc>
          <w:tcPr>
            <w:tcW w:w="3340" w:type="dxa"/>
            <w:shd w:val="clear" w:color="auto" w:fill="auto"/>
            <w:vAlign w:val="center"/>
          </w:tcPr>
          <w:p>
            <w:pPr>
              <w:widowControl/>
              <w:spacing w:line="560" w:lineRule="exac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严格执行奖补标准预算执行控制数</w:t>
            </w:r>
          </w:p>
        </w:tc>
        <w:tc>
          <w:tcPr>
            <w:tcW w:w="3170" w:type="dxa"/>
            <w:shd w:val="clear" w:color="auto" w:fill="auto"/>
            <w:vAlign w:val="center"/>
          </w:tcPr>
          <w:p>
            <w:pPr>
              <w:widowControl/>
              <w:spacing w:line="56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≤10915万元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17" w:hRule="atLeast"/>
          <w:jc w:val="center"/>
        </w:trPr>
        <w:tc>
          <w:tcPr>
            <w:tcW w:w="644" w:type="dxa"/>
            <w:vMerge w:val="restart"/>
            <w:shd w:val="clear" w:color="auto" w:fill="auto"/>
            <w:vAlign w:val="center"/>
          </w:tcPr>
          <w:p>
            <w:pPr>
              <w:widowControl/>
              <w:spacing w:line="56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效</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益</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指</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标</w:t>
            </w:r>
          </w:p>
        </w:tc>
        <w:tc>
          <w:tcPr>
            <w:tcW w:w="1179" w:type="dxa"/>
            <w:vMerge w:val="restart"/>
            <w:shd w:val="clear" w:color="auto" w:fill="auto"/>
            <w:vAlign w:val="center"/>
          </w:tcPr>
          <w:p>
            <w:pPr>
              <w:widowControl/>
              <w:spacing w:line="56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社会效益指标</w:t>
            </w:r>
          </w:p>
        </w:tc>
        <w:tc>
          <w:tcPr>
            <w:tcW w:w="3340" w:type="dxa"/>
            <w:shd w:val="clear" w:color="auto" w:fill="auto"/>
            <w:vAlign w:val="center"/>
          </w:tcPr>
          <w:p>
            <w:pPr>
              <w:widowControl/>
              <w:spacing w:line="560" w:lineRule="exac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推动新增北京市专精特新企业数量</w:t>
            </w:r>
          </w:p>
        </w:tc>
        <w:tc>
          <w:tcPr>
            <w:tcW w:w="3170" w:type="dxa"/>
            <w:shd w:val="clear" w:color="auto" w:fill="auto"/>
            <w:vAlign w:val="center"/>
          </w:tcPr>
          <w:p>
            <w:pPr>
              <w:widowControl/>
              <w:spacing w:line="56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≥200家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716" w:hRule="atLeast"/>
          <w:jc w:val="center"/>
        </w:trPr>
        <w:tc>
          <w:tcPr>
            <w:tcW w:w="644" w:type="dxa"/>
            <w:vMerge w:val="continue"/>
            <w:shd w:val="clear" w:color="auto" w:fill="auto"/>
            <w:vAlign w:val="center"/>
          </w:tcPr>
          <w:p>
            <w:pPr>
              <w:spacing w:line="560" w:lineRule="exact"/>
              <w:jc w:val="center"/>
              <w:rPr>
                <w:rFonts w:ascii="宋体" w:hAnsi="宋体" w:eastAsia="宋体" w:cs="宋体"/>
                <w:color w:val="000000"/>
                <w:kern w:val="0"/>
                <w:sz w:val="20"/>
                <w:szCs w:val="20"/>
              </w:rPr>
            </w:pPr>
          </w:p>
        </w:tc>
        <w:tc>
          <w:tcPr>
            <w:tcW w:w="1179" w:type="dxa"/>
            <w:vMerge w:val="continue"/>
            <w:shd w:val="clear" w:color="auto" w:fill="auto"/>
            <w:vAlign w:val="center"/>
          </w:tcPr>
          <w:p>
            <w:pPr>
              <w:spacing w:line="560" w:lineRule="exact"/>
              <w:jc w:val="center"/>
              <w:rPr>
                <w:rFonts w:ascii="宋体" w:hAnsi="宋体" w:eastAsia="宋体" w:cs="宋体"/>
                <w:color w:val="000000"/>
                <w:kern w:val="0"/>
                <w:sz w:val="20"/>
                <w:szCs w:val="20"/>
              </w:rPr>
            </w:pPr>
          </w:p>
        </w:tc>
        <w:tc>
          <w:tcPr>
            <w:tcW w:w="3340" w:type="dxa"/>
            <w:shd w:val="clear" w:color="auto" w:fill="auto"/>
            <w:vAlign w:val="center"/>
          </w:tcPr>
          <w:p>
            <w:pPr>
              <w:widowControl/>
              <w:spacing w:line="560" w:lineRule="exac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2022年推动新增北京市专精特新“小巨人”企业数量</w:t>
            </w:r>
          </w:p>
        </w:tc>
        <w:tc>
          <w:tcPr>
            <w:tcW w:w="3170" w:type="dxa"/>
            <w:shd w:val="clear" w:color="auto" w:fill="auto"/>
            <w:vAlign w:val="center"/>
          </w:tcPr>
          <w:p>
            <w:pPr>
              <w:widowControl/>
              <w:spacing w:line="56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≥200家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44" w:hRule="atLeast"/>
          <w:jc w:val="center"/>
        </w:trPr>
        <w:tc>
          <w:tcPr>
            <w:tcW w:w="644" w:type="dxa"/>
            <w:shd w:val="clear" w:color="auto" w:fill="auto"/>
            <w:vAlign w:val="center"/>
          </w:tcPr>
          <w:p>
            <w:pPr>
              <w:widowControl/>
              <w:spacing w:line="56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满意度指标</w:t>
            </w:r>
          </w:p>
        </w:tc>
        <w:tc>
          <w:tcPr>
            <w:tcW w:w="1179" w:type="dxa"/>
            <w:shd w:val="clear" w:color="auto" w:fill="auto"/>
            <w:vAlign w:val="center"/>
          </w:tcPr>
          <w:p>
            <w:pPr>
              <w:widowControl/>
              <w:spacing w:line="56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服务对象</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满意度指标</w:t>
            </w:r>
          </w:p>
        </w:tc>
        <w:tc>
          <w:tcPr>
            <w:tcW w:w="3340" w:type="dxa"/>
            <w:shd w:val="clear" w:color="auto" w:fill="auto"/>
            <w:vAlign w:val="center"/>
          </w:tcPr>
          <w:p>
            <w:pPr>
              <w:widowControl/>
              <w:spacing w:line="560" w:lineRule="exac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受益中小企业对于支持政策的满意度</w:t>
            </w:r>
          </w:p>
        </w:tc>
        <w:tc>
          <w:tcPr>
            <w:tcW w:w="3170" w:type="dxa"/>
            <w:shd w:val="clear" w:color="auto" w:fill="auto"/>
            <w:vAlign w:val="center"/>
          </w:tcPr>
          <w:p>
            <w:pPr>
              <w:widowControl/>
              <w:spacing w:line="56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bidi="ar"/>
              </w:rPr>
              <w:t>≥95%</w:t>
            </w:r>
          </w:p>
        </w:tc>
      </w:tr>
    </w:tbl>
    <w:p>
      <w:pPr>
        <w:pStyle w:val="5"/>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640" w:firstLineChars="200"/>
        <w:textAlignment w:val="auto"/>
        <w:rPr>
          <w:rFonts w:hint="eastAsia" w:ascii="黑体" w:hAnsi="黑体" w:eastAsia="黑体" w:cs="黑体"/>
          <w:bCs/>
          <w:sz w:val="32"/>
          <w:szCs w:val="32"/>
          <w:highlight w:val="none"/>
          <w:lang w:val="en-US" w:eastAsia="zh-CN"/>
        </w:rPr>
      </w:pPr>
      <w:r>
        <w:rPr>
          <w:rFonts w:hint="eastAsia" w:ascii="黑体" w:hAnsi="黑体" w:eastAsia="黑体" w:cs="黑体"/>
          <w:bCs/>
          <w:sz w:val="32"/>
          <w:szCs w:val="32"/>
          <w:highlight w:val="none"/>
          <w:lang w:val="en-US" w:eastAsia="zh-CN"/>
        </w:rPr>
        <w:t>*</w:t>
      </w:r>
      <w:r>
        <w:rPr>
          <w:rFonts w:hint="eastAsia" w:ascii="黑体" w:hAnsi="黑体" w:eastAsia="黑体" w:cs="黑体"/>
          <w:bCs/>
          <w:sz w:val="32"/>
          <w:szCs w:val="32"/>
          <w:highlight w:val="none"/>
          <w:lang w:val="en-US" w:eastAsia="zh-Hans"/>
        </w:rPr>
        <w:t>双创特色载体奖励</w:t>
      </w:r>
      <w:r>
        <w:rPr>
          <w:rFonts w:hint="eastAsia" w:ascii="黑体" w:hAnsi="黑体" w:eastAsia="黑体" w:cs="黑体"/>
          <w:bCs/>
          <w:sz w:val="32"/>
          <w:szCs w:val="32"/>
          <w:highlight w:val="none"/>
          <w:lang w:eastAsia="zh-Hans"/>
        </w:rPr>
        <w:t>——</w:t>
      </w:r>
      <w:r>
        <w:rPr>
          <w:rFonts w:hint="eastAsia" w:ascii="黑体" w:hAnsi="黑体" w:eastAsia="黑体" w:cs="黑体"/>
          <w:bCs/>
          <w:sz w:val="32"/>
          <w:szCs w:val="32"/>
          <w:highlight w:val="none"/>
        </w:rPr>
        <w:t>支持中关村顺义园中小企业发展</w:t>
      </w:r>
      <w:r>
        <w:rPr>
          <w:rFonts w:hint="eastAsia" w:ascii="黑体" w:hAnsi="黑体" w:eastAsia="黑体" w:cs="黑体"/>
          <w:bCs/>
          <w:sz w:val="32"/>
          <w:szCs w:val="32"/>
          <w:highlight w:val="none"/>
          <w:lang w:val="en-US" w:eastAsia="zh-CN"/>
        </w:rPr>
        <w:t>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1.预算安排情况</w:t>
      </w:r>
    </w:p>
    <w:p>
      <w:pPr>
        <w:pStyle w:val="5"/>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eastAsia"/>
          <w:lang w:val="en-US" w:eastAsia="zh-CN"/>
        </w:rPr>
      </w:pPr>
      <w:r>
        <w:rPr>
          <w:rFonts w:hint="eastAsia" w:ascii="仿宋_GB2312" w:hAnsi="仿宋_GB2312" w:cs="仿宋_GB2312"/>
          <w:kern w:val="2"/>
          <w:sz w:val="32"/>
          <w:szCs w:val="32"/>
          <w:highlight w:val="none"/>
          <w:lang w:val="en-US" w:eastAsia="zh-CN" w:bidi="ar-SA"/>
        </w:rPr>
        <w:t>2020年财政部印发《财政部关于下达2020年中小企业发展专项资金预算的通知》(财建〔2020〕</w:t>
      </w:r>
      <w:r>
        <w:rPr>
          <w:rFonts w:hint="eastAsia" w:ascii="仿宋_GB2312" w:hAnsi="仿宋_GB2312" w:cs="仿宋_GB2312"/>
          <w:kern w:val="2"/>
          <w:sz w:val="32"/>
          <w:szCs w:val="32"/>
          <w:lang w:val="en-US" w:eastAsia="zh-CN" w:bidi="ar-SA"/>
        </w:rPr>
        <w:t>197号)、《财政部关于提前下达2021年中小企业发展专项资金预算的通知》(财建〔2020〕486号)，并分别于2020年和2021年分两批下达双创升级方向中小企业发展专项资金至顺义区，其中2020年下达专项资金2500万元，2021年下达专项资金1000万元，两年累计拨付中小企业发展专项资金3500万元。经过征集、评审后，顺义区实际拨付到中关村顺义园的中小企业发展专项资金3500万元，中央财政资金预算拨付率达100%。财政部组织绩效考核后，2022年底拨付奖励资金1000万元。</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2.预算使用方向</w:t>
      </w:r>
    </w:p>
    <w:p>
      <w:pPr>
        <w:pStyle w:val="8"/>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仿宋_GB2312" w:hAnsi="仿宋_GB2312" w:cs="仿宋_GB2312"/>
          <w:sz w:val="32"/>
          <w:szCs w:val="32"/>
          <w:lang w:val="en-US" w:eastAsia="zh-CN"/>
        </w:rPr>
      </w:pPr>
      <w:r>
        <w:rPr>
          <w:rFonts w:hint="default" w:ascii="仿宋_GB2312" w:hAnsi="仿宋_GB2312" w:cs="仿宋_GB2312"/>
          <w:sz w:val="32"/>
          <w:szCs w:val="32"/>
          <w:lang w:val="en-US" w:eastAsia="zh-CN"/>
        </w:rPr>
        <w:t>结合《中关村顺义园中小企业创新创业升级特色载体实施方案（2020年-2022年）》，2021年7月顺义区印发《顺义区打造大中小融通特色载体推动中小企业创新创业升级专项资金实施办法》（以下简称“</w:t>
      </w:r>
      <w:r>
        <w:rPr>
          <w:rFonts w:hint="eastAsia" w:ascii="仿宋_GB2312" w:hAnsi="仿宋_GB2312" w:cs="仿宋_GB2312"/>
          <w:sz w:val="32"/>
          <w:szCs w:val="32"/>
          <w:lang w:val="en-US" w:eastAsia="zh-CN"/>
        </w:rPr>
        <w:t>《</w:t>
      </w:r>
      <w:r>
        <w:rPr>
          <w:rFonts w:hint="default" w:ascii="仿宋_GB2312" w:hAnsi="仿宋_GB2312" w:cs="仿宋_GB2312"/>
          <w:sz w:val="32"/>
          <w:szCs w:val="32"/>
          <w:lang w:val="en-US" w:eastAsia="zh-CN"/>
        </w:rPr>
        <w:t>实施办法</w:t>
      </w:r>
      <w:r>
        <w:rPr>
          <w:rFonts w:hint="eastAsia" w:ascii="仿宋_GB2312" w:hAnsi="仿宋_GB2312" w:cs="仿宋_GB2312"/>
          <w:sz w:val="32"/>
          <w:szCs w:val="32"/>
          <w:lang w:val="en-US" w:eastAsia="zh-CN"/>
        </w:rPr>
        <w:t>》</w:t>
      </w:r>
      <w:r>
        <w:rPr>
          <w:rFonts w:hint="default" w:ascii="仿宋_GB2312" w:hAnsi="仿宋_GB2312" w:cs="仿宋_GB2312"/>
          <w:sz w:val="32"/>
          <w:szCs w:val="32"/>
          <w:lang w:val="en-US" w:eastAsia="zh-CN"/>
        </w:rPr>
        <w:t>”）（顺经信字〔2021〕92 号）。为落实《实施办法》的文件精神，于2023年2月28日发布《北京市顺义区经济和信息化局关于开展“专精特新”中小企业资金奖励申报工作的通知》（以下简称</w:t>
      </w:r>
      <w:r>
        <w:rPr>
          <w:rFonts w:hint="eastAsia" w:ascii="仿宋_GB2312" w:hAnsi="仿宋_GB2312" w:cs="仿宋_GB2312"/>
          <w:sz w:val="32"/>
          <w:szCs w:val="32"/>
          <w:lang w:val="en-US" w:eastAsia="zh-CN"/>
        </w:rPr>
        <w:t>“</w:t>
      </w:r>
      <w:r>
        <w:rPr>
          <w:rFonts w:hint="default" w:ascii="仿宋_GB2312" w:hAnsi="仿宋_GB2312" w:cs="仿宋_GB2312"/>
          <w:sz w:val="32"/>
          <w:szCs w:val="32"/>
          <w:lang w:val="en-US" w:eastAsia="zh-CN"/>
        </w:rPr>
        <w:t>《通知》</w:t>
      </w:r>
      <w:r>
        <w:rPr>
          <w:rFonts w:hint="eastAsia" w:ascii="仿宋_GB2312" w:hAnsi="仿宋_GB2312" w:cs="仿宋_GB2312"/>
          <w:sz w:val="32"/>
          <w:szCs w:val="32"/>
          <w:lang w:val="en-US" w:eastAsia="zh-CN"/>
        </w:rPr>
        <w:t>”</w:t>
      </w:r>
      <w:r>
        <w:rPr>
          <w:rFonts w:hint="default" w:ascii="仿宋_GB2312" w:hAnsi="仿宋_GB2312" w:cs="仿宋_GB2312"/>
          <w:sz w:val="32"/>
          <w:szCs w:val="32"/>
          <w:lang w:val="en-US" w:eastAsia="zh-CN"/>
        </w:rPr>
        <w:t>），经过网上征集、申报资料审核等工作，确定第二批次“专精特新”中小企业资金奖励项目的资金支持方案。结合第一批次项目验收情况，现拟利用中央奖励资金1000万元同时兑现第二批次“专精特新”中小企业奖励项目、第一批次项目验收阶段的相关奖励等。</w:t>
      </w:r>
    </w:p>
    <w:p>
      <w:pPr>
        <w:pStyle w:val="5"/>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3.绩效目标设定情况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cs="仿宋_GB2312"/>
          <w:sz w:val="32"/>
          <w:szCs w:val="32"/>
        </w:rPr>
      </w:pPr>
      <w:r>
        <w:rPr>
          <w:rFonts w:hint="eastAsia" w:ascii="仿宋_GB2312" w:hAnsi="仿宋_GB2312" w:cs="仿宋_GB2312"/>
          <w:bCs/>
          <w:sz w:val="32"/>
          <w:szCs w:val="30"/>
        </w:rPr>
        <w:t>根据</w:t>
      </w:r>
      <w:r>
        <w:rPr>
          <w:rFonts w:hint="eastAsia" w:ascii="仿宋_GB2312" w:hAnsi="仿宋_GB2312" w:cs="仿宋_GB2312"/>
          <w:sz w:val="32"/>
          <w:szCs w:val="32"/>
        </w:rPr>
        <w:t>《通知》中明确的资金支持方向和资金使用、管理要求，</w:t>
      </w:r>
      <w:r>
        <w:rPr>
          <w:rFonts w:hint="eastAsia" w:ascii="仿宋_GB2312" w:hAnsi="仿宋_GB2312" w:cs="仿宋_GB2312"/>
          <w:sz w:val="32"/>
          <w:szCs w:val="32"/>
          <w:lang w:val="en-US" w:eastAsia="zh-CN"/>
        </w:rPr>
        <w:t>项目单位</w:t>
      </w:r>
      <w:r>
        <w:rPr>
          <w:rFonts w:hint="eastAsia" w:ascii="仿宋_GB2312" w:hAnsi="仿宋_GB2312" w:cs="仿宋_GB2312"/>
          <w:sz w:val="32"/>
          <w:szCs w:val="32"/>
        </w:rPr>
        <w:t>制定了中关村顺义园中小企业发展绩效目标，并对年度目标进行分解、细化，设置了贴合政策内容、量化可衡量的绩效指标。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bCs/>
          <w:sz w:val="32"/>
          <w:szCs w:val="32"/>
        </w:rPr>
      </w:pPr>
      <w:r>
        <w:rPr>
          <w:rFonts w:hint="eastAsia" w:ascii="仿宋_GB2312" w:hAnsi="仿宋_GB2312" w:cs="仿宋_GB2312"/>
          <w:bCs/>
          <w:sz w:val="32"/>
          <w:szCs w:val="32"/>
        </w:rPr>
        <w:t>绩效目标为</w:t>
      </w:r>
      <w:r>
        <w:rPr>
          <w:rFonts w:hint="default" w:ascii="仿宋_GB2312" w:hAnsi="仿宋_GB2312" w:cs="仿宋_GB2312"/>
          <w:bCs/>
          <w:sz w:val="32"/>
          <w:szCs w:val="32"/>
        </w:rPr>
        <w:t>：</w:t>
      </w:r>
      <w:r>
        <w:rPr>
          <w:rFonts w:hint="eastAsia" w:ascii="仿宋_GB2312" w:hAnsi="仿宋_GB2312" w:cs="仿宋_GB2312"/>
          <w:bCs/>
          <w:sz w:val="32"/>
          <w:szCs w:val="32"/>
        </w:rPr>
        <w:t>利用中央奖励资金1000万元同时兑现第二批次</w:t>
      </w:r>
      <w:r>
        <w:rPr>
          <w:rFonts w:hint="eastAsia" w:ascii="仿宋_GB2312" w:hAnsi="仿宋_GB2312" w:cs="仿宋_GB2312"/>
          <w:bCs/>
          <w:sz w:val="32"/>
          <w:szCs w:val="32"/>
          <w:lang w:eastAsia="zh-CN"/>
        </w:rPr>
        <w:t>“</w:t>
      </w:r>
      <w:r>
        <w:rPr>
          <w:rFonts w:hint="eastAsia" w:ascii="仿宋_GB2312" w:hAnsi="仿宋_GB2312" w:cs="仿宋_GB2312"/>
          <w:bCs/>
          <w:sz w:val="32"/>
          <w:szCs w:val="32"/>
        </w:rPr>
        <w:t>专精特新</w:t>
      </w:r>
      <w:r>
        <w:rPr>
          <w:rFonts w:hint="eastAsia" w:ascii="仿宋_GB2312" w:hAnsi="仿宋_GB2312" w:cs="仿宋_GB2312"/>
          <w:bCs/>
          <w:sz w:val="32"/>
          <w:szCs w:val="32"/>
          <w:lang w:eastAsia="zh-CN"/>
        </w:rPr>
        <w:t>”</w:t>
      </w:r>
      <w:r>
        <w:rPr>
          <w:rFonts w:hint="eastAsia" w:ascii="仿宋_GB2312" w:hAnsi="仿宋_GB2312" w:cs="仿宋_GB2312"/>
          <w:bCs/>
          <w:sz w:val="32"/>
          <w:szCs w:val="32"/>
        </w:rPr>
        <w:t>中小企业奖励项目、第一批次项目验收阶段的相关奖励，构建大企业与中小微企业协同创新、资源共享、融合发展的产业生态。具体指标详见表</w:t>
      </w:r>
      <w:r>
        <w:rPr>
          <w:rFonts w:hint="eastAsia" w:ascii="仿宋_GB2312" w:hAnsi="仿宋_GB2312" w:cs="仿宋_GB2312"/>
          <w:bCs/>
          <w:sz w:val="32"/>
          <w:szCs w:val="32"/>
          <w:lang w:val="en-US" w:eastAsia="zh-CN"/>
        </w:rPr>
        <w:t>4</w:t>
      </w:r>
      <w:r>
        <w:rPr>
          <w:rFonts w:hint="eastAsia" w:ascii="仿宋_GB2312" w:hAnsi="仿宋_GB2312" w:cs="仿宋_GB2312"/>
          <w:bCs/>
          <w:sz w:val="32"/>
          <w:szCs w:val="32"/>
        </w:rPr>
        <w:t>。</w:t>
      </w:r>
    </w:p>
    <w:p>
      <w:pPr>
        <w:keepNext w:val="0"/>
        <w:keepLines w:val="0"/>
        <w:pageBreakBefore w:val="0"/>
        <w:kinsoku/>
        <w:wordWrap/>
        <w:overflowPunct/>
        <w:topLinePunct w:val="0"/>
        <w:autoSpaceDE/>
        <w:autoSpaceDN/>
        <w:bidi w:val="0"/>
        <w:adjustRightInd/>
        <w:snapToGrid/>
        <w:spacing w:line="560" w:lineRule="exact"/>
        <w:jc w:val="center"/>
        <w:rPr>
          <w:rFonts w:ascii="仿宋_GB2312" w:hAnsi="仿宋_GB2312" w:cs="仿宋_GB2312"/>
          <w:b/>
          <w:sz w:val="28"/>
          <w:szCs w:val="28"/>
        </w:rPr>
      </w:pPr>
      <w:r>
        <w:rPr>
          <w:rFonts w:hint="eastAsia" w:ascii="仿宋_GB2312" w:hAnsi="仿宋_GB2312" w:cs="仿宋_GB2312"/>
          <w:b/>
          <w:sz w:val="28"/>
          <w:szCs w:val="28"/>
        </w:rPr>
        <w:t>表</w:t>
      </w:r>
      <w:r>
        <w:rPr>
          <w:rFonts w:hint="eastAsia" w:ascii="仿宋_GB2312" w:hAnsi="仿宋_GB2312" w:cs="仿宋_GB2312"/>
          <w:b/>
          <w:sz w:val="28"/>
          <w:szCs w:val="28"/>
          <w:lang w:val="en-US" w:eastAsia="zh-CN"/>
        </w:rPr>
        <w:t>4</w:t>
      </w:r>
      <w:r>
        <w:rPr>
          <w:rFonts w:ascii="仿宋_GB2312" w:hAnsi="仿宋_GB2312" w:cs="仿宋_GB2312"/>
          <w:b/>
          <w:sz w:val="28"/>
          <w:szCs w:val="28"/>
        </w:rPr>
        <w:t xml:space="preserve">  </w:t>
      </w:r>
      <w:r>
        <w:rPr>
          <w:rFonts w:hint="eastAsia" w:ascii="仿宋_GB2312" w:hAnsi="仿宋_GB2312" w:cs="仿宋_GB2312"/>
          <w:b/>
          <w:sz w:val="28"/>
          <w:szCs w:val="28"/>
          <w:lang w:val="en-US" w:eastAsia="zh-Hans"/>
        </w:rPr>
        <w:t>支持</w:t>
      </w:r>
      <w:r>
        <w:rPr>
          <w:rFonts w:hint="eastAsia" w:ascii="仿宋_GB2312" w:hAnsi="仿宋_GB2312" w:cs="仿宋_GB2312"/>
          <w:b/>
          <w:sz w:val="28"/>
          <w:szCs w:val="28"/>
        </w:rPr>
        <w:t>中关村顺义园中小企业发展</w:t>
      </w:r>
      <w:r>
        <w:rPr>
          <w:rFonts w:hint="eastAsia" w:ascii="仿宋_GB2312" w:hAnsi="仿宋_GB2312" w:cs="仿宋_GB2312"/>
          <w:b/>
          <w:sz w:val="28"/>
          <w:szCs w:val="28"/>
          <w:lang w:val="en-US" w:eastAsia="zh-Hans"/>
        </w:rPr>
        <w:t>资金</w:t>
      </w:r>
      <w:r>
        <w:rPr>
          <w:rFonts w:hint="eastAsia" w:ascii="仿宋_GB2312" w:hAnsi="仿宋_GB2312" w:cs="仿宋_GB2312"/>
          <w:b/>
          <w:sz w:val="28"/>
          <w:szCs w:val="28"/>
        </w:rPr>
        <w:t>绩效目标表</w:t>
      </w:r>
    </w:p>
    <w:tbl>
      <w:tblPr>
        <w:tblStyle w:val="10"/>
        <w:tblW w:w="8519"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29"/>
        <w:gridCol w:w="1520"/>
        <w:gridCol w:w="2857"/>
        <w:gridCol w:w="28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10" w:hRule="atLeast"/>
          <w:jc w:val="center"/>
        </w:trPr>
        <w:tc>
          <w:tcPr>
            <w:tcW w:w="1329" w:type="dxa"/>
            <w:tcBorders>
              <w:top w:val="single" w:color="000000" w:sz="4" w:space="0"/>
              <w:left w:val="single" w:color="000000" w:sz="4" w:space="0"/>
              <w:bottom w:val="single" w:color="000000" w:sz="4" w:space="0"/>
              <w:right w:val="single" w:color="000000" w:sz="4" w:space="0"/>
            </w:tcBorders>
            <w:shd w:val="clear" w:color="auto" w:fill="AEAAAA"/>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一级指标</w:t>
            </w:r>
          </w:p>
        </w:tc>
        <w:tc>
          <w:tcPr>
            <w:tcW w:w="1520" w:type="dxa"/>
            <w:tcBorders>
              <w:top w:val="single" w:color="000000" w:sz="4" w:space="0"/>
              <w:left w:val="single" w:color="000000" w:sz="4" w:space="0"/>
              <w:bottom w:val="single" w:color="000000" w:sz="4" w:space="0"/>
              <w:right w:val="single" w:color="000000" w:sz="4" w:space="0"/>
            </w:tcBorders>
            <w:shd w:val="clear" w:color="auto" w:fill="AEAAAA"/>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0"/>
                <w:szCs w:val="20"/>
                <w:u w:val="none"/>
              </w:rPr>
            </w:pPr>
            <w:r>
              <w:rPr>
                <w:rStyle w:val="11"/>
                <w:rFonts w:hint="eastAsia" w:ascii="宋体" w:hAnsi="宋体" w:eastAsia="宋体" w:cs="宋体"/>
                <w:b/>
                <w:bCs/>
                <w:sz w:val="20"/>
                <w:szCs w:val="20"/>
                <w:lang w:val="en-US" w:eastAsia="zh-CN" w:bidi="ar"/>
              </w:rPr>
              <w:t>二级指标</w:t>
            </w:r>
          </w:p>
        </w:tc>
        <w:tc>
          <w:tcPr>
            <w:tcW w:w="2857" w:type="dxa"/>
            <w:tcBorders>
              <w:top w:val="single" w:color="000000" w:sz="4" w:space="0"/>
              <w:left w:val="single" w:color="000000" w:sz="4" w:space="0"/>
              <w:bottom w:val="single" w:color="000000" w:sz="4" w:space="0"/>
              <w:right w:val="single" w:color="000000" w:sz="4" w:space="0"/>
            </w:tcBorders>
            <w:shd w:val="clear" w:color="auto" w:fill="AEAAAA"/>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0"/>
                <w:szCs w:val="20"/>
                <w:u w:val="none"/>
              </w:rPr>
            </w:pPr>
            <w:r>
              <w:rPr>
                <w:rStyle w:val="11"/>
                <w:rFonts w:hint="eastAsia" w:ascii="宋体" w:hAnsi="宋体" w:eastAsia="宋体" w:cs="宋体"/>
                <w:b/>
                <w:bCs/>
                <w:sz w:val="20"/>
                <w:szCs w:val="20"/>
                <w:lang w:val="en-US" w:eastAsia="zh-CN" w:bidi="ar"/>
              </w:rPr>
              <w:t>三级指标</w:t>
            </w:r>
          </w:p>
        </w:tc>
        <w:tc>
          <w:tcPr>
            <w:tcW w:w="2813" w:type="dxa"/>
            <w:tcBorders>
              <w:top w:val="single" w:color="000000" w:sz="4" w:space="0"/>
              <w:left w:val="single" w:color="000000" w:sz="4" w:space="0"/>
              <w:bottom w:val="single" w:color="000000" w:sz="4" w:space="0"/>
              <w:right w:val="single" w:color="000000" w:sz="4" w:space="0"/>
            </w:tcBorders>
            <w:shd w:val="clear" w:color="auto" w:fill="AEAAAA"/>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0"/>
                <w:szCs w:val="20"/>
                <w:u w:val="none"/>
              </w:rPr>
            </w:pPr>
            <w:r>
              <w:rPr>
                <w:rStyle w:val="11"/>
                <w:rFonts w:hint="eastAsia" w:ascii="宋体" w:hAnsi="宋体" w:eastAsia="宋体" w:cs="宋体"/>
                <w:b/>
                <w:bCs/>
                <w:sz w:val="20"/>
                <w:szCs w:val="20"/>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40" w:hRule="atLeast"/>
          <w:jc w:val="center"/>
        </w:trPr>
        <w:tc>
          <w:tcPr>
            <w:tcW w:w="13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val="0"/>
                <w:bCs w:val="0"/>
                <w:i w:val="0"/>
                <w:iCs w:val="0"/>
                <w:color w:val="000000"/>
                <w:sz w:val="20"/>
                <w:szCs w:val="20"/>
                <w:u w:val="none"/>
              </w:rPr>
            </w:pPr>
            <w:r>
              <w:rPr>
                <w:rStyle w:val="12"/>
                <w:rFonts w:hint="eastAsia" w:ascii="宋体" w:hAnsi="宋体" w:eastAsia="宋体" w:cs="宋体"/>
                <w:b w:val="0"/>
                <w:bCs w:val="0"/>
                <w:sz w:val="20"/>
                <w:szCs w:val="20"/>
                <w:lang w:val="en-US" w:eastAsia="zh-CN" w:bidi="ar"/>
              </w:rPr>
              <w:t>产出指标</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val="0"/>
                <w:bCs w:val="0"/>
                <w:i w:val="0"/>
                <w:iCs w:val="0"/>
                <w:color w:val="000000"/>
                <w:sz w:val="20"/>
                <w:szCs w:val="20"/>
                <w:u w:val="none"/>
              </w:rPr>
            </w:pPr>
            <w:r>
              <w:rPr>
                <w:rStyle w:val="12"/>
                <w:rFonts w:hint="eastAsia" w:ascii="宋体" w:hAnsi="宋体" w:eastAsia="宋体" w:cs="宋体"/>
                <w:b w:val="0"/>
                <w:bCs w:val="0"/>
                <w:sz w:val="20"/>
                <w:szCs w:val="20"/>
                <w:lang w:val="en-US" w:eastAsia="zh-CN" w:bidi="ar"/>
              </w:rPr>
              <w:t>数量指标</w:t>
            </w:r>
          </w:p>
        </w:tc>
        <w:tc>
          <w:tcPr>
            <w:tcW w:w="2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val="0"/>
                <w:bCs w:val="0"/>
                <w:i w:val="0"/>
                <w:iCs w:val="0"/>
                <w:color w:val="000000"/>
                <w:sz w:val="20"/>
                <w:szCs w:val="20"/>
                <w:u w:val="none"/>
              </w:rPr>
            </w:pPr>
            <w:r>
              <w:rPr>
                <w:rStyle w:val="12"/>
                <w:rFonts w:hint="eastAsia" w:ascii="宋体" w:hAnsi="宋体" w:eastAsia="宋体" w:cs="宋体"/>
                <w:b w:val="0"/>
                <w:bCs w:val="0"/>
                <w:sz w:val="20"/>
                <w:szCs w:val="20"/>
                <w:lang w:val="en-US" w:eastAsia="zh-CN" w:bidi="ar"/>
              </w:rPr>
              <w:t>奖励企业数量</w:t>
            </w:r>
          </w:p>
        </w:tc>
        <w:tc>
          <w:tcPr>
            <w:tcW w:w="2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val="0"/>
                <w:bCs w:val="0"/>
                <w:i w:val="0"/>
                <w:iCs w:val="0"/>
                <w:color w:val="000000"/>
                <w:sz w:val="20"/>
                <w:szCs w:val="20"/>
                <w:u w:val="none"/>
              </w:rPr>
            </w:pPr>
            <w:r>
              <w:rPr>
                <w:rStyle w:val="13"/>
                <w:rFonts w:hint="eastAsia" w:ascii="宋体" w:hAnsi="宋体" w:eastAsia="宋体" w:cs="宋体"/>
                <w:b w:val="0"/>
                <w:bCs w:val="0"/>
                <w:sz w:val="20"/>
                <w:szCs w:val="20"/>
                <w:lang w:val="en-US" w:eastAsia="zh-CN" w:bidi="ar"/>
              </w:rPr>
              <w:t>超过</w:t>
            </w:r>
            <w:r>
              <w:rPr>
                <w:rStyle w:val="14"/>
                <w:rFonts w:hint="eastAsia" w:ascii="宋体" w:hAnsi="宋体" w:eastAsia="宋体" w:cs="宋体"/>
                <w:b w:val="0"/>
                <w:bCs w:val="0"/>
                <w:sz w:val="20"/>
                <w:szCs w:val="20"/>
                <w:lang w:val="en-US" w:eastAsia="zh-CN" w:bidi="ar"/>
              </w:rPr>
              <w:t>50</w:t>
            </w:r>
            <w:r>
              <w:rPr>
                <w:rStyle w:val="13"/>
                <w:rFonts w:hint="eastAsia" w:ascii="宋体" w:hAnsi="宋体" w:eastAsia="宋体" w:cs="宋体"/>
                <w:b w:val="0"/>
                <w:bCs w:val="0"/>
                <w:sz w:val="20"/>
                <w:szCs w:val="20"/>
                <w:lang w:val="en-US" w:eastAsia="zh-CN" w:bidi="ar"/>
              </w:rPr>
              <w:t>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80" w:hRule="atLeast"/>
          <w:jc w:val="center"/>
        </w:trPr>
        <w:tc>
          <w:tcPr>
            <w:tcW w:w="13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rPr>
                <w:rFonts w:hint="eastAsia" w:ascii="宋体" w:hAnsi="宋体" w:eastAsia="宋体" w:cs="宋体"/>
                <w:b w:val="0"/>
                <w:bCs w:val="0"/>
                <w:i w:val="0"/>
                <w:iCs w:val="0"/>
                <w:color w:val="000000"/>
                <w:sz w:val="20"/>
                <w:szCs w:val="20"/>
                <w:u w:val="none"/>
              </w:rPr>
            </w:pPr>
          </w:p>
        </w:tc>
        <w:tc>
          <w:tcPr>
            <w:tcW w:w="15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val="0"/>
                <w:bCs w:val="0"/>
                <w:i w:val="0"/>
                <w:iCs w:val="0"/>
                <w:color w:val="000000"/>
                <w:sz w:val="20"/>
                <w:szCs w:val="20"/>
                <w:u w:val="none"/>
              </w:rPr>
            </w:pPr>
            <w:r>
              <w:rPr>
                <w:rStyle w:val="12"/>
                <w:rFonts w:hint="eastAsia" w:ascii="宋体" w:hAnsi="宋体" w:eastAsia="宋体" w:cs="宋体"/>
                <w:b w:val="0"/>
                <w:bCs w:val="0"/>
                <w:sz w:val="20"/>
                <w:szCs w:val="20"/>
                <w:lang w:val="en-US" w:eastAsia="zh-CN" w:bidi="ar"/>
              </w:rPr>
              <w:t>质量指标</w:t>
            </w:r>
          </w:p>
        </w:tc>
        <w:tc>
          <w:tcPr>
            <w:tcW w:w="2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val="0"/>
                <w:bCs w:val="0"/>
                <w:i w:val="0"/>
                <w:iCs w:val="0"/>
                <w:color w:val="000000"/>
                <w:sz w:val="20"/>
                <w:szCs w:val="20"/>
                <w:u w:val="none"/>
              </w:rPr>
            </w:pPr>
            <w:r>
              <w:rPr>
                <w:rStyle w:val="12"/>
                <w:rFonts w:hint="eastAsia" w:ascii="宋体" w:hAnsi="宋体" w:eastAsia="宋体" w:cs="宋体"/>
                <w:b w:val="0"/>
                <w:bCs w:val="0"/>
                <w:sz w:val="20"/>
                <w:szCs w:val="20"/>
                <w:lang w:val="en-US" w:eastAsia="zh-CN" w:bidi="ar"/>
              </w:rPr>
              <w:t>奖励对象与奖励标准相符性</w:t>
            </w:r>
          </w:p>
        </w:tc>
        <w:tc>
          <w:tcPr>
            <w:tcW w:w="2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val="0"/>
                <w:bCs w:val="0"/>
                <w:i w:val="0"/>
                <w:iCs w:val="0"/>
                <w:color w:val="000000"/>
                <w:sz w:val="20"/>
                <w:szCs w:val="20"/>
                <w:u w:val="none"/>
              </w:rPr>
            </w:pPr>
            <w:r>
              <w:rPr>
                <w:rStyle w:val="13"/>
                <w:rFonts w:hint="eastAsia" w:ascii="宋体" w:hAnsi="宋体" w:eastAsia="宋体" w:cs="宋体"/>
                <w:b w:val="0"/>
                <w:bCs w:val="0"/>
                <w:sz w:val="20"/>
                <w:szCs w:val="20"/>
                <w:lang w:val="en-US" w:eastAsia="zh-CN" w:bidi="ar"/>
              </w:rPr>
              <w:t>符合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3" w:hRule="atLeast"/>
          <w:jc w:val="center"/>
        </w:trPr>
        <w:tc>
          <w:tcPr>
            <w:tcW w:w="13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rPr>
                <w:rFonts w:hint="eastAsia" w:ascii="宋体" w:hAnsi="宋体" w:eastAsia="宋体" w:cs="宋体"/>
                <w:b w:val="0"/>
                <w:bCs w:val="0"/>
                <w:i w:val="0"/>
                <w:iCs w:val="0"/>
                <w:color w:val="000000"/>
                <w:sz w:val="20"/>
                <w:szCs w:val="20"/>
                <w:u w:val="none"/>
              </w:rPr>
            </w:pPr>
          </w:p>
        </w:tc>
        <w:tc>
          <w:tcPr>
            <w:tcW w:w="15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rPr>
                <w:rFonts w:hint="eastAsia" w:ascii="宋体" w:hAnsi="宋体" w:eastAsia="宋体" w:cs="宋体"/>
                <w:b w:val="0"/>
                <w:bCs w:val="0"/>
                <w:i w:val="0"/>
                <w:iCs w:val="0"/>
                <w:color w:val="000000"/>
                <w:sz w:val="20"/>
                <w:szCs w:val="20"/>
                <w:u w:val="none"/>
              </w:rPr>
            </w:pPr>
          </w:p>
        </w:tc>
        <w:tc>
          <w:tcPr>
            <w:tcW w:w="2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val="0"/>
                <w:bCs w:val="0"/>
                <w:i w:val="0"/>
                <w:iCs w:val="0"/>
                <w:color w:val="000000"/>
                <w:sz w:val="20"/>
                <w:szCs w:val="20"/>
                <w:u w:val="none"/>
              </w:rPr>
            </w:pPr>
            <w:r>
              <w:rPr>
                <w:rStyle w:val="12"/>
                <w:rFonts w:hint="eastAsia" w:ascii="宋体" w:hAnsi="宋体" w:eastAsia="宋体" w:cs="宋体"/>
                <w:b w:val="0"/>
                <w:bCs w:val="0"/>
                <w:sz w:val="20"/>
                <w:szCs w:val="20"/>
                <w:lang w:val="en-US" w:eastAsia="zh-CN" w:bidi="ar"/>
              </w:rPr>
              <w:t>资金使用及拨付规范</w:t>
            </w:r>
          </w:p>
        </w:tc>
        <w:tc>
          <w:tcPr>
            <w:tcW w:w="2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val="0"/>
                <w:bCs w:val="0"/>
                <w:i w:val="0"/>
                <w:iCs w:val="0"/>
                <w:color w:val="000000"/>
                <w:sz w:val="20"/>
                <w:szCs w:val="20"/>
                <w:u w:val="none"/>
              </w:rPr>
            </w:pPr>
            <w:r>
              <w:rPr>
                <w:rStyle w:val="13"/>
                <w:rFonts w:hint="eastAsia" w:ascii="宋体" w:hAnsi="宋体" w:eastAsia="宋体" w:cs="宋体"/>
                <w:b w:val="0"/>
                <w:bCs w:val="0"/>
                <w:sz w:val="20"/>
                <w:szCs w:val="20"/>
                <w:lang w:val="en-US" w:eastAsia="zh-CN" w:bidi="ar"/>
              </w:rPr>
              <w:t>符合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80" w:hRule="atLeast"/>
          <w:jc w:val="center"/>
        </w:trPr>
        <w:tc>
          <w:tcPr>
            <w:tcW w:w="13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rPr>
                <w:rFonts w:hint="eastAsia" w:ascii="宋体" w:hAnsi="宋体" w:eastAsia="宋体" w:cs="宋体"/>
                <w:b w:val="0"/>
                <w:bCs w:val="0"/>
                <w:i w:val="0"/>
                <w:iCs w:val="0"/>
                <w:color w:val="000000"/>
                <w:sz w:val="20"/>
                <w:szCs w:val="20"/>
                <w:u w:val="none"/>
              </w:rPr>
            </w:pP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val="0"/>
                <w:bCs w:val="0"/>
                <w:i w:val="0"/>
                <w:iCs w:val="0"/>
                <w:color w:val="000000"/>
                <w:sz w:val="20"/>
                <w:szCs w:val="20"/>
                <w:u w:val="none"/>
              </w:rPr>
            </w:pPr>
            <w:r>
              <w:rPr>
                <w:rStyle w:val="12"/>
                <w:rFonts w:hint="eastAsia" w:ascii="宋体" w:hAnsi="宋体" w:eastAsia="宋体" w:cs="宋体"/>
                <w:b w:val="0"/>
                <w:bCs w:val="0"/>
                <w:sz w:val="20"/>
                <w:szCs w:val="20"/>
                <w:lang w:val="en-US" w:eastAsia="zh-CN" w:bidi="ar"/>
              </w:rPr>
              <w:t>时效指标</w:t>
            </w:r>
          </w:p>
        </w:tc>
        <w:tc>
          <w:tcPr>
            <w:tcW w:w="2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val="0"/>
                <w:bCs w:val="0"/>
                <w:i w:val="0"/>
                <w:iCs w:val="0"/>
                <w:color w:val="000000"/>
                <w:sz w:val="20"/>
                <w:szCs w:val="20"/>
                <w:u w:val="none"/>
              </w:rPr>
            </w:pPr>
            <w:r>
              <w:rPr>
                <w:rStyle w:val="12"/>
                <w:rFonts w:hint="eastAsia" w:ascii="宋体" w:hAnsi="宋体" w:eastAsia="宋体" w:cs="宋体"/>
                <w:b w:val="0"/>
                <w:bCs w:val="0"/>
                <w:sz w:val="20"/>
                <w:szCs w:val="20"/>
                <w:lang w:val="en-US" w:eastAsia="zh-CN" w:bidi="ar"/>
              </w:rPr>
              <w:t>各类项目按期完成阶段性任务</w:t>
            </w:r>
          </w:p>
        </w:tc>
        <w:tc>
          <w:tcPr>
            <w:tcW w:w="2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val="0"/>
                <w:bCs w:val="0"/>
                <w:i w:val="0"/>
                <w:iCs w:val="0"/>
                <w:color w:val="000000"/>
                <w:sz w:val="20"/>
                <w:szCs w:val="20"/>
                <w:u w:val="none"/>
              </w:rPr>
            </w:pPr>
            <w:r>
              <w:rPr>
                <w:rStyle w:val="13"/>
                <w:rFonts w:hint="eastAsia" w:ascii="宋体" w:hAnsi="宋体" w:eastAsia="宋体" w:cs="宋体"/>
                <w:b w:val="0"/>
                <w:bCs w:val="0"/>
                <w:sz w:val="20"/>
                <w:szCs w:val="20"/>
                <w:lang w:val="en-US" w:eastAsia="zh-CN" w:bidi="ar"/>
              </w:rPr>
              <w:t>按时完成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28" w:hRule="atLeast"/>
          <w:jc w:val="center"/>
        </w:trPr>
        <w:tc>
          <w:tcPr>
            <w:tcW w:w="13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rPr>
                <w:rFonts w:hint="eastAsia" w:ascii="宋体" w:hAnsi="宋体" w:eastAsia="宋体" w:cs="宋体"/>
                <w:b w:val="0"/>
                <w:bCs w:val="0"/>
                <w:i w:val="0"/>
                <w:iCs w:val="0"/>
                <w:color w:val="000000"/>
                <w:sz w:val="20"/>
                <w:szCs w:val="20"/>
                <w:u w:val="none"/>
              </w:rPr>
            </w:pP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val="0"/>
                <w:bCs w:val="0"/>
                <w:i w:val="0"/>
                <w:iCs w:val="0"/>
                <w:color w:val="000000"/>
                <w:sz w:val="20"/>
                <w:szCs w:val="20"/>
                <w:u w:val="none"/>
              </w:rPr>
            </w:pPr>
            <w:r>
              <w:rPr>
                <w:rStyle w:val="12"/>
                <w:rFonts w:hint="eastAsia" w:ascii="宋体" w:hAnsi="宋体" w:eastAsia="宋体" w:cs="宋体"/>
                <w:b w:val="0"/>
                <w:bCs w:val="0"/>
                <w:sz w:val="20"/>
                <w:szCs w:val="20"/>
                <w:lang w:val="en-US" w:eastAsia="zh-CN" w:bidi="ar"/>
              </w:rPr>
              <w:t>成本指标</w:t>
            </w:r>
          </w:p>
        </w:tc>
        <w:tc>
          <w:tcPr>
            <w:tcW w:w="2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val="0"/>
                <w:bCs w:val="0"/>
                <w:i w:val="0"/>
                <w:iCs w:val="0"/>
                <w:color w:val="000000"/>
                <w:sz w:val="20"/>
                <w:szCs w:val="20"/>
                <w:u w:val="none"/>
              </w:rPr>
            </w:pPr>
            <w:r>
              <w:rPr>
                <w:rStyle w:val="12"/>
                <w:rFonts w:hint="eastAsia" w:ascii="宋体" w:hAnsi="宋体" w:eastAsia="宋体" w:cs="宋体"/>
                <w:b w:val="0"/>
                <w:bCs w:val="0"/>
                <w:sz w:val="20"/>
                <w:szCs w:val="20"/>
                <w:lang w:val="en-US" w:eastAsia="zh-CN" w:bidi="ar"/>
              </w:rPr>
              <w:t>项目预算批复数</w:t>
            </w:r>
          </w:p>
        </w:tc>
        <w:tc>
          <w:tcPr>
            <w:tcW w:w="2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val="0"/>
                <w:bCs w:val="0"/>
                <w:i w:val="0"/>
                <w:iCs w:val="0"/>
                <w:color w:val="000000"/>
                <w:sz w:val="20"/>
                <w:szCs w:val="20"/>
                <w:u w:val="none"/>
              </w:rPr>
            </w:pPr>
            <w:r>
              <w:rPr>
                <w:rStyle w:val="13"/>
                <w:rFonts w:hint="eastAsia" w:ascii="宋体" w:hAnsi="宋体" w:eastAsia="宋体" w:cs="宋体"/>
                <w:b w:val="0"/>
                <w:bCs w:val="0"/>
                <w:sz w:val="20"/>
                <w:szCs w:val="20"/>
                <w:lang w:val="en-US" w:eastAsia="zh-CN" w:bidi="ar"/>
              </w:rPr>
              <w:t>不超过</w:t>
            </w:r>
            <w:r>
              <w:rPr>
                <w:rStyle w:val="14"/>
                <w:rFonts w:hint="eastAsia" w:ascii="宋体" w:hAnsi="宋体" w:eastAsia="宋体" w:cs="宋体"/>
                <w:b w:val="0"/>
                <w:bCs w:val="0"/>
                <w:sz w:val="20"/>
                <w:szCs w:val="20"/>
                <w:lang w:val="en-US" w:eastAsia="zh-CN" w:bidi="ar"/>
              </w:rPr>
              <w:t>1000</w:t>
            </w:r>
            <w:r>
              <w:rPr>
                <w:rStyle w:val="13"/>
                <w:rFonts w:hint="eastAsia" w:ascii="宋体" w:hAnsi="宋体" w:eastAsia="宋体" w:cs="宋体"/>
                <w:b w:val="0"/>
                <w:bCs w:val="0"/>
                <w:sz w:val="20"/>
                <w:szCs w:val="20"/>
                <w:lang w:val="en-US" w:eastAsia="zh-CN" w:bidi="ar"/>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80" w:hRule="atLeast"/>
          <w:jc w:val="center"/>
        </w:trPr>
        <w:tc>
          <w:tcPr>
            <w:tcW w:w="13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val="0"/>
                <w:bCs w:val="0"/>
                <w:i w:val="0"/>
                <w:iCs w:val="0"/>
                <w:color w:val="000000"/>
                <w:sz w:val="20"/>
                <w:szCs w:val="20"/>
                <w:u w:val="none"/>
              </w:rPr>
            </w:pPr>
            <w:r>
              <w:rPr>
                <w:rStyle w:val="12"/>
                <w:rFonts w:hint="eastAsia" w:ascii="宋体" w:hAnsi="宋体" w:eastAsia="宋体" w:cs="宋体"/>
                <w:b w:val="0"/>
                <w:bCs w:val="0"/>
                <w:sz w:val="20"/>
                <w:szCs w:val="20"/>
                <w:lang w:val="en-US" w:eastAsia="zh-CN" w:bidi="ar"/>
              </w:rPr>
              <w:t>效益指标</w:t>
            </w:r>
          </w:p>
        </w:tc>
        <w:tc>
          <w:tcPr>
            <w:tcW w:w="15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val="0"/>
                <w:bCs w:val="0"/>
                <w:i w:val="0"/>
                <w:iCs w:val="0"/>
                <w:color w:val="000000"/>
                <w:sz w:val="20"/>
                <w:szCs w:val="20"/>
                <w:u w:val="none"/>
              </w:rPr>
            </w:pPr>
            <w:r>
              <w:rPr>
                <w:rStyle w:val="12"/>
                <w:rFonts w:hint="eastAsia" w:ascii="宋体" w:hAnsi="宋体" w:eastAsia="宋体" w:cs="宋体"/>
                <w:b w:val="0"/>
                <w:bCs w:val="0"/>
                <w:sz w:val="20"/>
                <w:szCs w:val="20"/>
                <w:lang w:val="en-US" w:eastAsia="zh-CN" w:bidi="ar"/>
              </w:rPr>
              <w:t>社会效益指标</w:t>
            </w:r>
          </w:p>
        </w:tc>
        <w:tc>
          <w:tcPr>
            <w:tcW w:w="2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val="0"/>
                <w:bCs w:val="0"/>
                <w:i w:val="0"/>
                <w:iCs w:val="0"/>
                <w:color w:val="000000"/>
                <w:sz w:val="20"/>
                <w:szCs w:val="20"/>
                <w:u w:val="none"/>
              </w:rPr>
            </w:pPr>
            <w:r>
              <w:rPr>
                <w:rStyle w:val="12"/>
                <w:rFonts w:hint="eastAsia" w:ascii="宋体" w:hAnsi="宋体" w:eastAsia="宋体" w:cs="宋体"/>
                <w:b w:val="0"/>
                <w:bCs w:val="0"/>
                <w:sz w:val="20"/>
                <w:szCs w:val="20"/>
                <w:lang w:val="en-US" w:eastAsia="zh-CN" w:bidi="ar"/>
              </w:rPr>
              <w:t>提升中小企业高质量发展</w:t>
            </w:r>
          </w:p>
        </w:tc>
        <w:tc>
          <w:tcPr>
            <w:tcW w:w="2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val="0"/>
                <w:bCs w:val="0"/>
                <w:i w:val="0"/>
                <w:iCs w:val="0"/>
                <w:color w:val="000000"/>
                <w:sz w:val="20"/>
                <w:szCs w:val="20"/>
                <w:u w:val="none"/>
              </w:rPr>
            </w:pPr>
            <w:r>
              <w:rPr>
                <w:rStyle w:val="13"/>
                <w:rFonts w:hint="eastAsia" w:ascii="宋体" w:hAnsi="宋体" w:eastAsia="宋体" w:cs="宋体"/>
                <w:b w:val="0"/>
                <w:bCs w:val="0"/>
                <w:sz w:val="20"/>
                <w:szCs w:val="20"/>
                <w:lang w:val="en-US" w:eastAsia="zh-CN" w:bidi="ar"/>
              </w:rPr>
              <w:t>显著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94" w:hRule="atLeast"/>
          <w:jc w:val="center"/>
        </w:trPr>
        <w:tc>
          <w:tcPr>
            <w:tcW w:w="13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rPr>
                <w:rFonts w:hint="eastAsia" w:ascii="宋体" w:hAnsi="宋体" w:eastAsia="宋体" w:cs="宋体"/>
                <w:b w:val="0"/>
                <w:bCs w:val="0"/>
                <w:i w:val="0"/>
                <w:iCs w:val="0"/>
                <w:color w:val="000000"/>
                <w:sz w:val="20"/>
                <w:szCs w:val="20"/>
                <w:u w:val="none"/>
              </w:rPr>
            </w:pPr>
          </w:p>
        </w:tc>
        <w:tc>
          <w:tcPr>
            <w:tcW w:w="15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rPr>
                <w:rFonts w:hint="eastAsia" w:ascii="宋体" w:hAnsi="宋体" w:eastAsia="宋体" w:cs="宋体"/>
                <w:b w:val="0"/>
                <w:bCs w:val="0"/>
                <w:i w:val="0"/>
                <w:iCs w:val="0"/>
                <w:color w:val="000000"/>
                <w:sz w:val="20"/>
                <w:szCs w:val="20"/>
                <w:u w:val="none"/>
              </w:rPr>
            </w:pPr>
          </w:p>
        </w:tc>
        <w:tc>
          <w:tcPr>
            <w:tcW w:w="2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val="0"/>
                <w:bCs w:val="0"/>
                <w:i w:val="0"/>
                <w:iCs w:val="0"/>
                <w:color w:val="000000"/>
                <w:sz w:val="20"/>
                <w:szCs w:val="20"/>
                <w:u w:val="none"/>
              </w:rPr>
            </w:pPr>
            <w:r>
              <w:rPr>
                <w:rStyle w:val="12"/>
                <w:rFonts w:hint="eastAsia" w:ascii="宋体" w:hAnsi="宋体" w:eastAsia="宋体" w:cs="宋体"/>
                <w:b w:val="0"/>
                <w:bCs w:val="0"/>
                <w:sz w:val="20"/>
                <w:szCs w:val="20"/>
                <w:lang w:val="en-US" w:eastAsia="zh-CN" w:bidi="ar"/>
              </w:rPr>
              <w:t>优化融通发展环境</w:t>
            </w:r>
          </w:p>
        </w:tc>
        <w:tc>
          <w:tcPr>
            <w:tcW w:w="2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val="0"/>
                <w:bCs w:val="0"/>
                <w:i w:val="0"/>
                <w:iCs w:val="0"/>
                <w:color w:val="000000"/>
                <w:sz w:val="20"/>
                <w:szCs w:val="20"/>
                <w:u w:val="none"/>
              </w:rPr>
            </w:pPr>
            <w:r>
              <w:rPr>
                <w:rStyle w:val="13"/>
                <w:rFonts w:hint="eastAsia" w:ascii="宋体" w:hAnsi="宋体" w:eastAsia="宋体" w:cs="宋体"/>
                <w:b w:val="0"/>
                <w:bCs w:val="0"/>
                <w:sz w:val="20"/>
                <w:szCs w:val="20"/>
                <w:lang w:val="en-US" w:eastAsia="zh-CN" w:bidi="ar"/>
              </w:rPr>
              <w:t>显著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60" w:hRule="atLeast"/>
          <w:jc w:val="center"/>
        </w:trPr>
        <w:tc>
          <w:tcPr>
            <w:tcW w:w="13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rPr>
                <w:rFonts w:hint="eastAsia" w:ascii="宋体" w:hAnsi="宋体" w:eastAsia="宋体" w:cs="宋体"/>
                <w:b w:val="0"/>
                <w:bCs w:val="0"/>
                <w:i w:val="0"/>
                <w:iCs w:val="0"/>
                <w:color w:val="000000"/>
                <w:sz w:val="20"/>
                <w:szCs w:val="20"/>
                <w:u w:val="none"/>
              </w:rPr>
            </w:pPr>
          </w:p>
        </w:tc>
        <w:tc>
          <w:tcPr>
            <w:tcW w:w="15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rPr>
                <w:rFonts w:hint="eastAsia" w:ascii="宋体" w:hAnsi="宋体" w:eastAsia="宋体" w:cs="宋体"/>
                <w:b w:val="0"/>
                <w:bCs w:val="0"/>
                <w:i w:val="0"/>
                <w:iCs w:val="0"/>
                <w:color w:val="000000"/>
                <w:sz w:val="20"/>
                <w:szCs w:val="20"/>
                <w:u w:val="none"/>
              </w:rPr>
            </w:pPr>
          </w:p>
        </w:tc>
        <w:tc>
          <w:tcPr>
            <w:tcW w:w="2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val="0"/>
                <w:bCs w:val="0"/>
                <w:i w:val="0"/>
                <w:iCs w:val="0"/>
                <w:color w:val="000000"/>
                <w:sz w:val="20"/>
                <w:szCs w:val="20"/>
                <w:u w:val="none"/>
              </w:rPr>
            </w:pPr>
            <w:r>
              <w:rPr>
                <w:rStyle w:val="12"/>
                <w:rFonts w:hint="eastAsia" w:ascii="宋体" w:hAnsi="宋体" w:eastAsia="宋体" w:cs="宋体"/>
                <w:b w:val="0"/>
                <w:bCs w:val="0"/>
                <w:sz w:val="20"/>
                <w:szCs w:val="20"/>
                <w:lang w:val="en-US" w:eastAsia="zh-CN" w:bidi="ar"/>
              </w:rPr>
              <w:t>构建大企业与中小微企业协同创新、资源共享、融合发展的产业生态。</w:t>
            </w:r>
          </w:p>
        </w:tc>
        <w:tc>
          <w:tcPr>
            <w:tcW w:w="2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val="0"/>
                <w:bCs w:val="0"/>
                <w:i w:val="0"/>
                <w:iCs w:val="0"/>
                <w:color w:val="000000"/>
                <w:sz w:val="20"/>
                <w:szCs w:val="20"/>
                <w:u w:val="none"/>
              </w:rPr>
            </w:pPr>
            <w:r>
              <w:rPr>
                <w:rStyle w:val="13"/>
                <w:rFonts w:hint="eastAsia" w:ascii="宋体" w:hAnsi="宋体" w:eastAsia="宋体" w:cs="宋体"/>
                <w:b w:val="0"/>
                <w:bCs w:val="0"/>
                <w:sz w:val="20"/>
                <w:szCs w:val="20"/>
                <w:lang w:val="en-US" w:eastAsia="zh-CN" w:bidi="ar"/>
              </w:rPr>
              <w:t>显著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95" w:hRule="atLeast"/>
          <w:jc w:val="center"/>
        </w:trPr>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val="0"/>
                <w:bCs w:val="0"/>
                <w:i w:val="0"/>
                <w:iCs w:val="0"/>
                <w:color w:val="000000"/>
                <w:sz w:val="20"/>
                <w:szCs w:val="20"/>
                <w:u w:val="none"/>
              </w:rPr>
            </w:pPr>
            <w:r>
              <w:rPr>
                <w:rStyle w:val="12"/>
                <w:rFonts w:hint="eastAsia" w:ascii="宋体" w:hAnsi="宋体" w:eastAsia="宋体" w:cs="宋体"/>
                <w:b w:val="0"/>
                <w:bCs w:val="0"/>
                <w:sz w:val="20"/>
                <w:szCs w:val="20"/>
                <w:lang w:val="en-US" w:eastAsia="zh-CN" w:bidi="ar"/>
              </w:rPr>
              <w:t>满意度指标</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val="0"/>
                <w:bCs w:val="0"/>
                <w:i w:val="0"/>
                <w:iCs w:val="0"/>
                <w:color w:val="000000"/>
                <w:sz w:val="20"/>
                <w:szCs w:val="20"/>
                <w:u w:val="none"/>
              </w:rPr>
            </w:pPr>
            <w:r>
              <w:rPr>
                <w:rStyle w:val="12"/>
                <w:rFonts w:hint="eastAsia" w:ascii="宋体" w:hAnsi="宋体" w:eastAsia="宋体" w:cs="宋体"/>
                <w:b w:val="0"/>
                <w:bCs w:val="0"/>
                <w:sz w:val="20"/>
                <w:szCs w:val="20"/>
                <w:lang w:val="en-US" w:eastAsia="zh-CN" w:bidi="ar"/>
              </w:rPr>
              <w:t>服务对象满意度指标</w:t>
            </w:r>
          </w:p>
        </w:tc>
        <w:tc>
          <w:tcPr>
            <w:tcW w:w="2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val="0"/>
                <w:bCs w:val="0"/>
                <w:i w:val="0"/>
                <w:iCs w:val="0"/>
                <w:color w:val="000000"/>
                <w:sz w:val="20"/>
                <w:szCs w:val="20"/>
                <w:u w:val="none"/>
              </w:rPr>
            </w:pPr>
            <w:r>
              <w:rPr>
                <w:rStyle w:val="12"/>
                <w:rFonts w:hint="eastAsia" w:ascii="宋体" w:hAnsi="宋体" w:eastAsia="宋体" w:cs="宋体"/>
                <w:b w:val="0"/>
                <w:bCs w:val="0"/>
                <w:sz w:val="20"/>
                <w:szCs w:val="20"/>
                <w:lang w:val="en-US" w:eastAsia="zh-CN" w:bidi="ar"/>
              </w:rPr>
              <w:t>补助对象满意度</w:t>
            </w:r>
          </w:p>
        </w:tc>
        <w:tc>
          <w:tcPr>
            <w:tcW w:w="2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val="0"/>
                <w:bCs w:val="0"/>
                <w:i w:val="0"/>
                <w:iCs w:val="0"/>
                <w:color w:val="000000"/>
                <w:sz w:val="20"/>
                <w:szCs w:val="20"/>
                <w:u w:val="none"/>
                <w:lang w:eastAsia="zh-Hans"/>
              </w:rPr>
            </w:pPr>
            <w:r>
              <w:rPr>
                <w:rStyle w:val="14"/>
                <w:rFonts w:hint="eastAsia" w:ascii="宋体" w:hAnsi="宋体" w:eastAsia="宋体" w:cs="宋体"/>
                <w:b w:val="0"/>
                <w:bCs w:val="0"/>
                <w:sz w:val="20"/>
                <w:szCs w:val="20"/>
                <w:lang w:val="en-US" w:eastAsia="zh-Hans" w:bidi="ar"/>
              </w:rPr>
              <w:t>满意</w:t>
            </w:r>
          </w:p>
        </w:tc>
      </w:tr>
    </w:tbl>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（二）资金投入情况分析。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黑体" w:hAnsi="黑体" w:eastAsia="黑体" w:cs="黑体"/>
          <w:bCs/>
          <w:sz w:val="32"/>
          <w:szCs w:val="32"/>
          <w:lang w:val="en-US" w:eastAsia="zh-CN"/>
        </w:rPr>
      </w:pPr>
      <w:r>
        <w:rPr>
          <w:rFonts w:hint="eastAsia" w:ascii="黑体" w:hAnsi="黑体" w:eastAsia="黑体" w:cs="黑体"/>
          <w:bCs/>
          <w:sz w:val="32"/>
          <w:szCs w:val="32"/>
          <w:lang w:val="en-US" w:eastAsia="zh-CN"/>
        </w:rPr>
        <w:t>*</w:t>
      </w:r>
      <w:r>
        <w:rPr>
          <w:rFonts w:hint="eastAsia" w:ascii="黑体" w:hAnsi="黑体" w:eastAsia="黑体" w:cs="黑体"/>
          <w:sz w:val="32"/>
          <w:szCs w:val="32"/>
        </w:rPr>
        <w:t>小微企业融资担保</w:t>
      </w:r>
      <w:r>
        <w:rPr>
          <w:rFonts w:hint="eastAsia" w:ascii="黑体" w:hAnsi="黑体" w:eastAsia="黑体" w:cs="黑体"/>
          <w:sz w:val="32"/>
          <w:szCs w:val="32"/>
          <w:lang w:eastAsia="zh-CN"/>
        </w:rPr>
        <w:t>降费奖补资金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宋体" w:cs="Times New Roman"/>
          <w:bCs/>
          <w:sz w:val="32"/>
          <w:szCs w:val="32"/>
        </w:rPr>
      </w:pPr>
      <w:r>
        <w:rPr>
          <w:rFonts w:hint="default" w:ascii="Times New Roman" w:hAnsi="Times New Roman" w:eastAsia="宋体" w:cs="Times New Roman"/>
          <w:bCs/>
          <w:sz w:val="32"/>
          <w:szCs w:val="32"/>
          <w:lang w:val="en-US" w:eastAsia="zh-CN"/>
        </w:rPr>
        <w:t>1.</w:t>
      </w:r>
      <w:r>
        <w:rPr>
          <w:rFonts w:hint="default" w:ascii="Times New Roman" w:hAnsi="Times New Roman" w:eastAsia="宋体" w:cs="Times New Roman"/>
          <w:bCs/>
          <w:sz w:val="32"/>
          <w:szCs w:val="32"/>
        </w:rPr>
        <w:t>项目资金到位情况分析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宋体" w:cs="Times New Roman"/>
          <w:sz w:val="32"/>
          <w:szCs w:val="32"/>
        </w:rPr>
      </w:pPr>
      <w:r>
        <w:rPr>
          <w:rFonts w:hint="default" w:ascii="Times New Roman" w:hAnsi="Times New Roman" w:eastAsia="宋体" w:cs="Times New Roman"/>
          <w:sz w:val="32"/>
          <w:szCs w:val="32"/>
          <w:lang w:eastAsia="zh-CN"/>
        </w:rPr>
        <w:t>中央转移支付资金及北京市资金均足额及时到位，</w:t>
      </w:r>
      <w:r>
        <w:rPr>
          <w:rFonts w:hint="default" w:ascii="Times New Roman" w:hAnsi="Times New Roman" w:eastAsia="宋体" w:cs="Times New Roman"/>
          <w:sz w:val="32"/>
          <w:szCs w:val="32"/>
        </w:rPr>
        <w:t>资金到位率100%。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宋体" w:cs="Times New Roman"/>
          <w:bCs/>
          <w:sz w:val="32"/>
          <w:szCs w:val="32"/>
        </w:rPr>
      </w:pPr>
      <w:r>
        <w:rPr>
          <w:rFonts w:hint="default" w:ascii="Times New Roman" w:hAnsi="Times New Roman" w:eastAsia="宋体" w:cs="Times New Roman"/>
          <w:bCs/>
          <w:sz w:val="32"/>
          <w:szCs w:val="32"/>
          <w:lang w:val="en-US" w:eastAsia="zh-CN"/>
        </w:rPr>
        <w:t>2.</w:t>
      </w:r>
      <w:r>
        <w:rPr>
          <w:rFonts w:hint="default" w:ascii="Times New Roman" w:hAnsi="Times New Roman" w:eastAsia="宋体" w:cs="Times New Roman"/>
          <w:bCs/>
          <w:sz w:val="32"/>
          <w:szCs w:val="32"/>
        </w:rPr>
        <w:t>项目资金执行情况分析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宋体" w:cs="Times New Roman"/>
          <w:sz w:val="32"/>
          <w:szCs w:val="32"/>
        </w:rPr>
      </w:pPr>
      <w:r>
        <w:rPr>
          <w:rFonts w:hint="default" w:ascii="Times New Roman" w:hAnsi="Times New Roman" w:eastAsia="宋体" w:cs="Times New Roman"/>
          <w:sz w:val="32"/>
          <w:szCs w:val="32"/>
        </w:rPr>
        <w:t>降费奖补资金重点支持北京市2022年小微企业融资担保领域引导性强、效果好的融资担保（再担保）机构。</w:t>
      </w:r>
    </w:p>
    <w:p>
      <w:pPr>
        <w:pStyle w:val="8"/>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宋体" w:cs="Times New Roman"/>
          <w:sz w:val="32"/>
          <w:szCs w:val="32"/>
          <w:lang w:val="en-US" w:eastAsia="zh-CN"/>
        </w:rPr>
      </w:pPr>
      <w:r>
        <w:rPr>
          <w:rFonts w:hint="default" w:ascii="Times New Roman" w:hAnsi="Times New Roman" w:eastAsia="宋体" w:cs="Times New Roman"/>
          <w:sz w:val="32"/>
          <w:szCs w:val="32"/>
          <w:lang w:val="en-US" w:eastAsia="zh-CN"/>
        </w:rPr>
        <w:t>2022年5月，我市印发《关于开展2022年1-6月新增小微企业融资担保业务降费奖补项目申报工作的通知》</w:t>
      </w:r>
      <w:r>
        <w:rPr>
          <w:rFonts w:hint="default" w:ascii="Times New Roman" w:hAnsi="Times New Roman" w:eastAsia="宋体" w:cs="Times New Roman"/>
          <w:sz w:val="32"/>
          <w:szCs w:val="32"/>
          <w:lang w:eastAsia="zh-CN"/>
        </w:rPr>
        <w:t>，</w:t>
      </w:r>
      <w:r>
        <w:rPr>
          <w:rFonts w:hint="default" w:ascii="Times New Roman" w:hAnsi="Times New Roman" w:eastAsia="宋体" w:cs="Times New Roman"/>
          <w:sz w:val="32"/>
          <w:szCs w:val="32"/>
          <w:lang w:val="en-US" w:eastAsia="zh-CN"/>
        </w:rPr>
        <w:t>2023年1月，印发《关于开展2022年新增小微企业融资担保业务降费奖补项目申报工作的通知》，明确我市降费奖补资金的支持方式和支持范围，奖补资金支持方向分为“降费补贴”和“业务奖励”两部分。</w:t>
      </w:r>
    </w:p>
    <w:p>
      <w:pPr>
        <w:pStyle w:val="8"/>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宋体" w:cs="Times New Roman"/>
          <w:sz w:val="32"/>
          <w:szCs w:val="32"/>
          <w:lang w:val="en-US" w:eastAsia="zh-CN"/>
        </w:rPr>
      </w:pPr>
      <w:r>
        <w:rPr>
          <w:rFonts w:hint="default" w:ascii="Times New Roman" w:hAnsi="Times New Roman" w:eastAsia="宋体" w:cs="Times New Roman"/>
          <w:sz w:val="32"/>
          <w:szCs w:val="32"/>
          <w:lang w:val="en-US" w:eastAsia="zh-CN"/>
        </w:rPr>
        <w:t>“降费补贴”的支持方式和支持范围为：一是对我市政府性融资担保机构2022年在京开展单户贷款1000万元及以下、年化融资担保综合费率（含担保费、评审费等）不超过2%（含）</w:t>
      </w:r>
      <w:r>
        <w:rPr>
          <w:rFonts w:hint="default" w:ascii="Times New Roman" w:hAnsi="Times New Roman" w:eastAsia="宋体" w:cs="Times New Roman"/>
          <w:sz w:val="32"/>
          <w:szCs w:val="32"/>
          <w:lang w:val="en-US" w:eastAsia="zh-Hans"/>
        </w:rPr>
        <w:t>的</w:t>
      </w:r>
      <w:r>
        <w:rPr>
          <w:rFonts w:hint="default" w:ascii="Times New Roman" w:hAnsi="Times New Roman" w:eastAsia="宋体" w:cs="Times New Roman"/>
          <w:sz w:val="32"/>
          <w:szCs w:val="32"/>
          <w:lang w:val="en-US" w:eastAsia="zh-CN"/>
        </w:rPr>
        <w:t>小微企业融资担保业务给予补贴；二是对我市融资再担保机构2022年在京开展单户贷款500万元（含）以下、按承担风险责任金额计算的年化再担保费率不超过0.3%（含）的小微企业融资再担保业务和单户500万元到1000万元（含）、按承担风险责任金额计算的年化再担保费率不超过0.5%（含）的小微企业融资再担保业务给予补贴。</w:t>
      </w:r>
    </w:p>
    <w:p>
      <w:pPr>
        <w:pStyle w:val="8"/>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宋体" w:cs="Times New Roman"/>
          <w:sz w:val="32"/>
          <w:szCs w:val="32"/>
          <w:lang w:val="en-US" w:eastAsia="zh-CN"/>
        </w:rPr>
      </w:pPr>
      <w:r>
        <w:rPr>
          <w:rFonts w:hint="default" w:ascii="Times New Roman" w:hAnsi="Times New Roman" w:eastAsia="宋体" w:cs="Times New Roman"/>
          <w:sz w:val="32"/>
          <w:szCs w:val="32"/>
          <w:lang w:val="en-US" w:eastAsia="zh-CN"/>
        </w:rPr>
        <w:t>“业务奖励”的支持范围是为综合担保费率不超过2%的2022年小微企业融资担保业务和再担保业务。参与分配的政府性融资担保（再担保）机构需实现小微业务规模增长，以担保机构小微业务担保额为基数，通过“政府性融资担保机构绩效评价结果”和“创新融资”两项激励性因素设定不同的调整系数作为乘数；再担保机构以按承担风险责任计算的再担保责任额为基数，通过“政府性融资再担保机构绩效评价结果”设定不同的系数作为乘数，按因素法对“降费补贴”后剩余的奖补资金进行业务奖励分配。</w:t>
      </w:r>
    </w:p>
    <w:p>
      <w:pPr>
        <w:pStyle w:val="8"/>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宋体" w:cs="Times New Roman"/>
          <w:sz w:val="32"/>
          <w:szCs w:val="32"/>
        </w:rPr>
      </w:pPr>
      <w:r>
        <w:rPr>
          <w:rFonts w:hint="default" w:ascii="Times New Roman" w:hAnsi="Times New Roman" w:eastAsia="宋体" w:cs="Times New Roman"/>
          <w:sz w:val="32"/>
          <w:szCs w:val="32"/>
          <w:lang w:val="en-US" w:eastAsia="zh-CN"/>
        </w:rPr>
        <w:t>经评审，15家担保机构共</w:t>
      </w:r>
      <w:r>
        <w:rPr>
          <w:rFonts w:hint="default" w:ascii="Times New Roman" w:hAnsi="Times New Roman" w:eastAsia="宋体" w:cs="Times New Roman"/>
          <w:sz w:val="32"/>
          <w:szCs w:val="32"/>
          <w:lang w:eastAsia="zh-CN"/>
        </w:rPr>
        <w:t>290</w:t>
      </w:r>
      <w:r>
        <w:rPr>
          <w:rFonts w:hint="default" w:ascii="Times New Roman" w:hAnsi="Times New Roman" w:eastAsia="宋体" w:cs="Times New Roman"/>
          <w:sz w:val="32"/>
          <w:szCs w:val="32"/>
          <w:lang w:val="en-US" w:eastAsia="zh-Hans"/>
        </w:rPr>
        <w:t>.</w:t>
      </w:r>
      <w:r>
        <w:rPr>
          <w:rFonts w:hint="default" w:ascii="Times New Roman" w:hAnsi="Times New Roman" w:eastAsia="宋体" w:cs="Times New Roman"/>
          <w:sz w:val="32"/>
          <w:szCs w:val="32"/>
          <w:lang w:eastAsia="zh-Hans"/>
        </w:rPr>
        <w:t>52</w:t>
      </w:r>
      <w:r>
        <w:rPr>
          <w:rFonts w:hint="default" w:ascii="Times New Roman" w:hAnsi="Times New Roman" w:eastAsia="宋体" w:cs="Times New Roman"/>
          <w:sz w:val="32"/>
          <w:szCs w:val="32"/>
          <w:lang w:val="en-US" w:eastAsia="zh-CN"/>
        </w:rPr>
        <w:t>亿元担保业务符合要求、再担保责任金额</w:t>
      </w:r>
      <w:r>
        <w:rPr>
          <w:rFonts w:hint="default" w:ascii="Times New Roman" w:hAnsi="Times New Roman" w:eastAsia="宋体" w:cs="Times New Roman"/>
          <w:sz w:val="32"/>
          <w:szCs w:val="32"/>
          <w:lang w:eastAsia="zh-CN"/>
        </w:rPr>
        <w:t>67</w:t>
      </w:r>
      <w:r>
        <w:rPr>
          <w:rFonts w:hint="default" w:ascii="Times New Roman" w:hAnsi="Times New Roman" w:eastAsia="宋体" w:cs="Times New Roman"/>
          <w:sz w:val="32"/>
          <w:szCs w:val="32"/>
          <w:lang w:val="en-US" w:eastAsia="zh-Hans"/>
        </w:rPr>
        <w:t>.</w:t>
      </w:r>
      <w:r>
        <w:rPr>
          <w:rFonts w:hint="default" w:ascii="Times New Roman" w:hAnsi="Times New Roman" w:eastAsia="宋体" w:cs="Times New Roman"/>
          <w:sz w:val="32"/>
          <w:szCs w:val="32"/>
          <w:lang w:eastAsia="zh-Hans"/>
        </w:rPr>
        <w:t>02</w:t>
      </w:r>
      <w:r>
        <w:rPr>
          <w:rFonts w:hint="default" w:ascii="Times New Roman" w:hAnsi="Times New Roman" w:eastAsia="宋体" w:cs="Times New Roman"/>
          <w:sz w:val="32"/>
          <w:szCs w:val="32"/>
          <w:lang w:val="en-US" w:eastAsia="zh-CN"/>
        </w:rPr>
        <w:t>亿元；涉及担保户数</w:t>
      </w:r>
      <w:r>
        <w:rPr>
          <w:rFonts w:hint="default" w:ascii="Times New Roman" w:hAnsi="Times New Roman" w:eastAsia="宋体" w:cs="Times New Roman"/>
          <w:sz w:val="32"/>
          <w:szCs w:val="32"/>
          <w:lang w:eastAsia="zh-CN"/>
        </w:rPr>
        <w:t>7865</w:t>
      </w:r>
      <w:r>
        <w:rPr>
          <w:rFonts w:hint="default" w:ascii="Times New Roman" w:hAnsi="Times New Roman" w:eastAsia="宋体" w:cs="Times New Roman"/>
          <w:sz w:val="32"/>
          <w:szCs w:val="32"/>
          <w:lang w:val="en-US" w:eastAsia="zh-CN"/>
        </w:rPr>
        <w:t>户、再担保户数</w:t>
      </w:r>
      <w:r>
        <w:rPr>
          <w:rFonts w:hint="default" w:ascii="Times New Roman" w:hAnsi="Times New Roman" w:eastAsia="宋体" w:cs="Times New Roman"/>
          <w:sz w:val="32"/>
          <w:szCs w:val="32"/>
          <w:lang w:eastAsia="zh-CN"/>
        </w:rPr>
        <w:t>4861</w:t>
      </w:r>
      <w:r>
        <w:rPr>
          <w:rFonts w:hint="default" w:ascii="Times New Roman" w:hAnsi="Times New Roman" w:eastAsia="宋体" w:cs="Times New Roman"/>
          <w:sz w:val="32"/>
          <w:szCs w:val="32"/>
          <w:lang w:val="en-US" w:eastAsia="zh-CN"/>
        </w:rPr>
        <w:t>户。按照评审结果，全年共计安排奖补资金20161万元,</w:t>
      </w:r>
      <w:r>
        <w:rPr>
          <w:rFonts w:hint="default" w:ascii="Times New Roman" w:hAnsi="Times New Roman" w:eastAsia="宋体" w:cs="Times New Roman"/>
          <w:sz w:val="32"/>
          <w:szCs w:val="32"/>
          <w:lang w:eastAsia="zh-CN"/>
        </w:rPr>
        <w:t>均全部拨付至企业</w:t>
      </w:r>
      <w:r>
        <w:rPr>
          <w:rFonts w:hint="default" w:ascii="Times New Roman" w:hAnsi="Times New Roman" w:eastAsia="宋体" w:cs="Times New Roman"/>
          <w:sz w:val="32"/>
          <w:szCs w:val="32"/>
        </w:rPr>
        <w:t>。</w:t>
      </w:r>
    </w:p>
    <w:p>
      <w:pPr>
        <w:spacing w:line="600" w:lineRule="exact"/>
        <w:ind w:firstLine="640" w:firstLineChars="200"/>
        <w:rPr>
          <w:rFonts w:hint="default" w:ascii="Times New Roman" w:hAnsi="Times New Roman" w:eastAsia="黑体" w:cs="Times New Roman"/>
          <w:bCs/>
          <w:sz w:val="32"/>
          <w:szCs w:val="32"/>
          <w:lang w:val="en-US" w:eastAsia="zh-CN"/>
        </w:rPr>
      </w:pPr>
      <w:r>
        <w:rPr>
          <w:rFonts w:hint="default" w:ascii="Times New Roman" w:hAnsi="Times New Roman" w:eastAsia="黑体" w:cs="Times New Roman"/>
          <w:bCs/>
          <w:sz w:val="32"/>
          <w:szCs w:val="32"/>
          <w:lang w:val="en-US" w:eastAsia="zh-CN"/>
        </w:rPr>
        <w:t>*</w:t>
      </w:r>
      <w:r>
        <w:rPr>
          <w:rFonts w:hint="default" w:ascii="Times New Roman" w:hAnsi="Times New Roman" w:eastAsia="黑体" w:cs="Times New Roman"/>
          <w:bCs/>
          <w:sz w:val="32"/>
          <w:szCs w:val="32"/>
        </w:rPr>
        <w:t>支持</w:t>
      </w:r>
      <w:r>
        <w:rPr>
          <w:rFonts w:hint="default" w:ascii="Times New Roman" w:hAnsi="Times New Roman" w:eastAsia="黑体" w:cs="Times New Roman"/>
          <w:bCs/>
          <w:sz w:val="32"/>
          <w:szCs w:val="32"/>
          <w:lang w:val="en-US" w:eastAsia="zh-CN"/>
        </w:rPr>
        <w:t>重点</w:t>
      </w:r>
      <w:r>
        <w:rPr>
          <w:rFonts w:hint="default" w:ascii="Times New Roman" w:hAnsi="Times New Roman" w:eastAsia="黑体" w:cs="Times New Roman"/>
          <w:bCs/>
          <w:sz w:val="32"/>
          <w:szCs w:val="32"/>
        </w:rPr>
        <w:t>“小巨人”企业高质量发展</w:t>
      </w:r>
      <w:r>
        <w:rPr>
          <w:rFonts w:hint="default" w:ascii="Times New Roman" w:hAnsi="Times New Roman" w:eastAsia="黑体" w:cs="Times New Roman"/>
          <w:bCs/>
          <w:sz w:val="32"/>
          <w:szCs w:val="32"/>
          <w:lang w:val="en-US" w:eastAsia="zh-CN"/>
        </w:rPr>
        <w:t>资金</w:t>
      </w:r>
    </w:p>
    <w:p>
      <w:pPr>
        <w:spacing w:line="560" w:lineRule="exact"/>
        <w:ind w:firstLine="640" w:firstLineChars="200"/>
        <w:rPr>
          <w:rFonts w:hint="default" w:ascii="Times New Roman" w:hAnsi="Times New Roman" w:cs="Times New Roman"/>
          <w:bCs/>
          <w:sz w:val="32"/>
          <w:szCs w:val="30"/>
        </w:rPr>
      </w:pPr>
      <w:r>
        <w:rPr>
          <w:rFonts w:hint="default" w:ascii="Times New Roman" w:hAnsi="Times New Roman" w:cs="Times New Roman"/>
          <w:bCs/>
          <w:sz w:val="32"/>
          <w:szCs w:val="30"/>
        </w:rPr>
        <w:t>（1）项目资金到位情况分析</w:t>
      </w:r>
    </w:p>
    <w:p>
      <w:pPr>
        <w:spacing w:line="560" w:lineRule="exact"/>
        <w:ind w:firstLine="640" w:firstLineChars="200"/>
        <w:rPr>
          <w:rFonts w:hint="default" w:ascii="Times New Roman" w:hAnsi="Times New Roman" w:cs="Times New Roman"/>
          <w:sz w:val="32"/>
          <w:szCs w:val="32"/>
        </w:rPr>
      </w:pPr>
      <w:r>
        <w:rPr>
          <w:rFonts w:hint="default" w:ascii="Times New Roman" w:hAnsi="Times New Roman" w:cs="Times New Roman"/>
          <w:sz w:val="32"/>
          <w:szCs w:val="32"/>
        </w:rPr>
        <w:t>中央转移支付资金及北京市资金均足额及时到位，资金到位率100%。</w:t>
      </w:r>
    </w:p>
    <w:p>
      <w:pPr>
        <w:spacing w:line="560" w:lineRule="exact"/>
        <w:ind w:firstLine="640" w:firstLineChars="200"/>
        <w:rPr>
          <w:rFonts w:hint="default" w:ascii="Times New Roman" w:hAnsi="Times New Roman" w:cs="Times New Roman"/>
          <w:bCs/>
          <w:sz w:val="32"/>
          <w:szCs w:val="30"/>
        </w:rPr>
      </w:pPr>
      <w:r>
        <w:rPr>
          <w:rFonts w:hint="default" w:ascii="Times New Roman" w:hAnsi="Times New Roman" w:cs="Times New Roman"/>
          <w:bCs/>
          <w:sz w:val="32"/>
          <w:szCs w:val="30"/>
        </w:rPr>
        <w:t>（2）项目资金执行情况分析</w:t>
      </w:r>
    </w:p>
    <w:p>
      <w:pPr>
        <w:spacing w:line="560" w:lineRule="exact"/>
        <w:ind w:firstLine="640" w:firstLineChars="200"/>
        <w:rPr>
          <w:rFonts w:hint="default" w:ascii="Times New Roman" w:hAnsi="Times New Roman" w:cs="Times New Roman"/>
          <w:sz w:val="32"/>
          <w:szCs w:val="32"/>
          <w:highlight w:val="yellow"/>
        </w:rPr>
      </w:pPr>
      <w:r>
        <w:rPr>
          <w:rFonts w:hint="default" w:ascii="Times New Roman" w:hAnsi="Times New Roman" w:cs="Times New Roman"/>
          <w:sz w:val="32"/>
          <w:szCs w:val="32"/>
        </w:rPr>
        <w:t>第二批重点“小巨人”第一年奖补资金采取“促创新强发展奖励（不低于70%）+项目支持”结合的方式用于支持重点“小巨人”企业发展，其中重点“小巨人”奖励资金9900万元（每个企业150万元）、项目资金4233万元，其余534万元用于支持中小企业公共服务示范平台为重点“小巨人”企业提供服务，目前该笔资金已全部拨付至企业，预算执行率为100%。</w:t>
      </w:r>
    </w:p>
    <w:p>
      <w:pPr>
        <w:spacing w:line="560" w:lineRule="exact"/>
        <w:ind w:firstLine="640" w:firstLineChars="200"/>
        <w:rPr>
          <w:rFonts w:hint="default" w:ascii="Times New Roman" w:hAnsi="Times New Roman" w:cs="Times New Roman"/>
          <w:sz w:val="32"/>
          <w:szCs w:val="32"/>
        </w:rPr>
      </w:pPr>
      <w:r>
        <w:rPr>
          <w:rFonts w:hint="default" w:ascii="Times New Roman" w:hAnsi="Times New Roman" w:cs="Times New Roman"/>
          <w:sz w:val="32"/>
          <w:szCs w:val="32"/>
        </w:rPr>
        <w:t>第三批重点“小巨人”企业第一年奖补资金以及第一批重点“小巨人”企业第二年奖补资金全部用于支持重点“小巨人”企业发展，同样采取促创新强发展奖励（不低于70%）+项目支持”结合的方式，其中6200万元用于支持第三批第一年重点“小巨人”企业、4715万元用于支持第一批第二年重点“小巨人”企业（财政部按平均57.5%的比例预拨付资金），截至评价日，第三批第一年重点“小巨人”企业资金已全部拨付至企业，第一批第二年重点“小巨人”企业支持资金暂未拨付（因第一批第一年重点“小巨人”企业绩效评价结果尚未公告，工信部第二年继续支持企业名单尚未明确；且按照北京市该项目的申报指南，第一批第一年重点“小巨人”企业项目验收和第一批第二年新项目征集全部完成后才能进行资金分配和拨付），总体预算执行率为56.80%。</w:t>
      </w:r>
    </w:p>
    <w:p>
      <w:pPr>
        <w:pStyle w:val="5"/>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黑体" w:cs="Times New Roman"/>
          <w:bCs/>
          <w:sz w:val="32"/>
          <w:szCs w:val="32"/>
          <w:highlight w:val="none"/>
          <w:lang w:val="en-US" w:eastAsia="zh-CN"/>
        </w:rPr>
      </w:pPr>
      <w:r>
        <w:rPr>
          <w:rFonts w:hint="default" w:ascii="Times New Roman" w:hAnsi="Times New Roman" w:eastAsia="黑体" w:cs="Times New Roman"/>
          <w:bCs/>
          <w:sz w:val="32"/>
          <w:szCs w:val="32"/>
          <w:highlight w:val="none"/>
          <w:lang w:val="en-US" w:eastAsia="zh-CN"/>
        </w:rPr>
        <w:t>*</w:t>
      </w:r>
      <w:r>
        <w:rPr>
          <w:rFonts w:hint="default" w:ascii="Times New Roman" w:hAnsi="Times New Roman" w:eastAsia="黑体" w:cs="Times New Roman"/>
          <w:bCs/>
          <w:sz w:val="32"/>
          <w:szCs w:val="32"/>
          <w:highlight w:val="none"/>
          <w:lang w:val="en-US" w:eastAsia="zh-Hans"/>
        </w:rPr>
        <w:t>双创特色载体奖励</w:t>
      </w:r>
      <w:r>
        <w:rPr>
          <w:rFonts w:hint="default" w:ascii="Times New Roman" w:hAnsi="Times New Roman" w:eastAsia="黑体" w:cs="Times New Roman"/>
          <w:bCs/>
          <w:sz w:val="32"/>
          <w:szCs w:val="32"/>
          <w:highlight w:val="none"/>
          <w:lang w:eastAsia="zh-Hans"/>
        </w:rPr>
        <w:t>——</w:t>
      </w:r>
      <w:r>
        <w:rPr>
          <w:rFonts w:hint="default" w:ascii="Times New Roman" w:hAnsi="Times New Roman" w:eastAsia="黑体" w:cs="Times New Roman"/>
          <w:bCs/>
          <w:sz w:val="32"/>
          <w:szCs w:val="32"/>
          <w:highlight w:val="none"/>
        </w:rPr>
        <w:t>支持中关村顺义园中小企业发展</w:t>
      </w:r>
      <w:r>
        <w:rPr>
          <w:rFonts w:hint="default" w:ascii="Times New Roman" w:hAnsi="Times New Roman" w:eastAsia="黑体" w:cs="Times New Roman"/>
          <w:bCs/>
          <w:sz w:val="32"/>
          <w:szCs w:val="32"/>
          <w:highlight w:val="none"/>
          <w:lang w:val="en-US" w:eastAsia="zh-CN"/>
        </w:rPr>
        <w:t>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bCs/>
          <w:sz w:val="32"/>
          <w:szCs w:val="30"/>
        </w:rPr>
      </w:pPr>
      <w:r>
        <w:rPr>
          <w:rFonts w:hint="default" w:ascii="Times New Roman" w:hAnsi="Times New Roman" w:cs="Times New Roman"/>
          <w:bCs/>
          <w:sz w:val="32"/>
          <w:szCs w:val="30"/>
          <w:lang w:eastAsia="zh-CN"/>
        </w:rPr>
        <w:t>（</w:t>
      </w:r>
      <w:r>
        <w:rPr>
          <w:rFonts w:hint="default" w:ascii="Times New Roman" w:hAnsi="Times New Roman" w:cs="Times New Roman"/>
          <w:bCs/>
          <w:sz w:val="32"/>
          <w:szCs w:val="30"/>
          <w:lang w:val="en-US" w:eastAsia="zh-CN"/>
        </w:rPr>
        <w:t>1</w:t>
      </w:r>
      <w:r>
        <w:rPr>
          <w:rFonts w:hint="default" w:ascii="Times New Roman" w:hAnsi="Times New Roman" w:cs="Times New Roman"/>
          <w:bCs/>
          <w:sz w:val="32"/>
          <w:szCs w:val="30"/>
          <w:lang w:eastAsia="zh-CN"/>
        </w:rPr>
        <w:t>）</w:t>
      </w:r>
      <w:r>
        <w:rPr>
          <w:rFonts w:hint="default" w:ascii="Times New Roman" w:hAnsi="Times New Roman" w:cs="Times New Roman"/>
          <w:bCs/>
          <w:sz w:val="32"/>
          <w:szCs w:val="30"/>
        </w:rPr>
        <w:t>项目资金到位情况分析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sz w:val="32"/>
          <w:szCs w:val="32"/>
        </w:rPr>
      </w:pPr>
      <w:r>
        <w:rPr>
          <w:rFonts w:hint="default" w:ascii="Times New Roman" w:hAnsi="Times New Roman" w:cs="Times New Roman"/>
          <w:sz w:val="32"/>
          <w:szCs w:val="32"/>
          <w:lang w:val="en-US" w:eastAsia="zh-CN"/>
        </w:rPr>
        <w:t>2022年，财政部组织绩效考核后，拨付中关村顺义园的中小企业发展专项资金1000万元，资金到位率100%。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bCs/>
          <w:sz w:val="32"/>
          <w:szCs w:val="30"/>
        </w:rPr>
      </w:pPr>
      <w:r>
        <w:rPr>
          <w:rFonts w:hint="default" w:ascii="Times New Roman" w:hAnsi="Times New Roman" w:cs="Times New Roman"/>
          <w:bCs/>
          <w:sz w:val="32"/>
          <w:szCs w:val="30"/>
          <w:lang w:eastAsia="zh-CN"/>
        </w:rPr>
        <w:t>（</w:t>
      </w:r>
      <w:r>
        <w:rPr>
          <w:rFonts w:hint="default" w:ascii="Times New Roman" w:hAnsi="Times New Roman" w:cs="Times New Roman"/>
          <w:bCs/>
          <w:sz w:val="32"/>
          <w:szCs w:val="30"/>
          <w:lang w:val="en-US" w:eastAsia="zh-CN"/>
        </w:rPr>
        <w:t>2</w:t>
      </w:r>
      <w:r>
        <w:rPr>
          <w:rFonts w:hint="default" w:ascii="Times New Roman" w:hAnsi="Times New Roman" w:cs="Times New Roman"/>
          <w:bCs/>
          <w:sz w:val="32"/>
          <w:szCs w:val="30"/>
          <w:lang w:eastAsia="zh-CN"/>
        </w:rPr>
        <w:t>）</w:t>
      </w:r>
      <w:r>
        <w:rPr>
          <w:rFonts w:hint="default" w:ascii="Times New Roman" w:hAnsi="Times New Roman" w:cs="Times New Roman"/>
          <w:bCs/>
          <w:sz w:val="32"/>
          <w:szCs w:val="30"/>
        </w:rPr>
        <w:t>项目资金执行情况分析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sz w:val="32"/>
          <w:szCs w:val="32"/>
          <w:lang w:val="en-US" w:eastAsia="zh-CN"/>
        </w:rPr>
      </w:pPr>
      <w:r>
        <w:rPr>
          <w:rFonts w:hint="default" w:ascii="Times New Roman" w:hAnsi="Times New Roman" w:cs="Times New Roman"/>
          <w:sz w:val="32"/>
          <w:szCs w:val="32"/>
          <w:lang w:val="en-US" w:eastAsia="zh-CN"/>
        </w:rPr>
        <w:t>专项资金由顺义区经济和信息化局具体负责项目的组织和实施，顺义区财政局、顺义区审计局负责对专项资金的使用情况进行监督检查。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sz w:val="32"/>
          <w:szCs w:val="32"/>
          <w:lang w:val="en-US" w:eastAsia="zh-CN"/>
        </w:rPr>
      </w:pPr>
      <w:r>
        <w:rPr>
          <w:rFonts w:hint="default" w:ascii="Times New Roman" w:hAnsi="Times New Roman" w:cs="Times New Roman"/>
          <w:sz w:val="32"/>
          <w:szCs w:val="32"/>
          <w:lang w:val="en-US" w:eastAsia="zh-CN"/>
        </w:rPr>
        <w:t>本次《通知》征集对象为两类，一是顺义区于2021年10月1日-2022年1月31日期间获得北京市“专精特新”中小企业、北京市专精特新“小巨人”企业、国家级专精特新“小巨人”企业资质的企业；二是获得上述资质后于2021年后新迁入顺义区的企业。本次共征集项目63个，目前已经完成第二批次项目评审工作，拟支持项目58个。同时第一批次项目验收工作已经完成，融通型专业载体及融通型公共服务平台方向共计8个项目、中小企业会议及赛事活动共12个涉及8家项目单位、创新创业综合服务平台1家项目单位均通过验收，将结合《实施办法》兑现验收阶段的奖励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sz w:val="32"/>
          <w:szCs w:val="32"/>
          <w:lang w:val="en-US" w:eastAsia="zh-CN"/>
        </w:rPr>
      </w:pPr>
      <w:r>
        <w:rPr>
          <w:rFonts w:hint="default" w:ascii="Times New Roman" w:hAnsi="Times New Roman" w:cs="Times New Roman"/>
          <w:sz w:val="32"/>
          <w:szCs w:val="32"/>
          <w:lang w:val="en-US" w:eastAsia="zh-CN"/>
        </w:rPr>
        <w:t>目前资金尚未拨付至企业，下一步将抓紧时间制定资金分配方案，经审定后申请财政部门拨付资金。</w:t>
      </w:r>
    </w:p>
    <w:p>
      <w:pPr>
        <w:numPr>
          <w:ilvl w:val="0"/>
          <w:numId w:val="1"/>
        </w:num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资金管理情况分析。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黑体" w:hAnsi="黑体" w:eastAsia="黑体" w:cs="黑体"/>
          <w:bCs/>
          <w:sz w:val="32"/>
          <w:szCs w:val="32"/>
          <w:lang w:val="en-US" w:eastAsia="zh-CN"/>
        </w:rPr>
      </w:pPr>
      <w:r>
        <w:rPr>
          <w:rFonts w:hint="eastAsia" w:ascii="黑体" w:hAnsi="黑体" w:eastAsia="黑体" w:cs="黑体"/>
          <w:bCs/>
          <w:sz w:val="32"/>
          <w:szCs w:val="32"/>
          <w:lang w:val="en-US" w:eastAsia="zh-CN"/>
        </w:rPr>
        <w:t>*</w:t>
      </w:r>
      <w:r>
        <w:rPr>
          <w:rFonts w:hint="eastAsia" w:ascii="黑体" w:hAnsi="黑体" w:eastAsia="黑体" w:cs="黑体"/>
          <w:sz w:val="32"/>
          <w:szCs w:val="32"/>
        </w:rPr>
        <w:t>小微企业融资担保</w:t>
      </w:r>
      <w:r>
        <w:rPr>
          <w:rFonts w:hint="eastAsia" w:ascii="黑体" w:hAnsi="黑体" w:eastAsia="黑体" w:cs="黑体"/>
          <w:sz w:val="32"/>
          <w:szCs w:val="32"/>
          <w:lang w:eastAsia="zh-CN"/>
        </w:rPr>
        <w:t>降费奖补资金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宋体" w:cs="Times New Roman"/>
          <w:bCs/>
          <w:sz w:val="32"/>
          <w:szCs w:val="32"/>
        </w:rPr>
      </w:pPr>
      <w:r>
        <w:rPr>
          <w:rFonts w:hint="default" w:ascii="Times New Roman" w:hAnsi="Times New Roman" w:eastAsia="宋体" w:cs="Times New Roman"/>
          <w:bCs/>
          <w:sz w:val="32"/>
          <w:szCs w:val="32"/>
        </w:rPr>
        <w:t>根据《财政部关于印发&lt;中小企业发展专项资金管理办法&gt;的通知》（财建〔2021〕148号）等文件的规定，市经济和信息化局、市财政局组织降费奖补资金的申报和评审工作。为确保审核结果的合规性和准确性，市经济和信息化局委托</w:t>
      </w:r>
      <w:r>
        <w:rPr>
          <w:rFonts w:hint="default" w:ascii="Times New Roman" w:hAnsi="Times New Roman" w:eastAsia="宋体" w:cs="Times New Roman"/>
          <w:bCs/>
          <w:sz w:val="32"/>
          <w:szCs w:val="32"/>
          <w:lang w:val="en-US" w:eastAsia="zh-Hans"/>
        </w:rPr>
        <w:t>第三方机构</w:t>
      </w:r>
      <w:r>
        <w:rPr>
          <w:rFonts w:hint="default" w:ascii="Times New Roman" w:hAnsi="Times New Roman" w:eastAsia="宋体" w:cs="Times New Roman"/>
          <w:bCs/>
          <w:sz w:val="32"/>
          <w:szCs w:val="32"/>
        </w:rPr>
        <w:t>进行评审工作并出具评审意见。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宋体" w:cs="Times New Roman"/>
          <w:sz w:val="32"/>
          <w:szCs w:val="32"/>
        </w:rPr>
      </w:pPr>
      <w:r>
        <w:rPr>
          <w:rFonts w:hint="default" w:ascii="Times New Roman" w:hAnsi="Times New Roman" w:eastAsia="宋体" w:cs="Times New Roman"/>
          <w:bCs/>
          <w:sz w:val="32"/>
          <w:szCs w:val="32"/>
        </w:rPr>
        <w:t>按照工作流程，申报及评审工作完成后，市经济和信息化局将根据第三方评审机构出具的评审意见拟定资金分配方案，报局党组会审议，并将审议结果报送市财政局复核。经市财政局复核后，</w:t>
      </w:r>
      <w:r>
        <w:rPr>
          <w:rFonts w:hint="default" w:ascii="Times New Roman" w:hAnsi="Times New Roman" w:eastAsia="宋体" w:cs="Times New Roman"/>
          <w:sz w:val="32"/>
          <w:szCs w:val="32"/>
        </w:rPr>
        <w:t>市经济和信息化局将拟支持项目面向社会公示，公示期无异议后，与项目单位签订项目合同，并进行资金拨付。</w:t>
      </w:r>
    </w:p>
    <w:p>
      <w:pPr>
        <w:spacing w:line="600" w:lineRule="exact"/>
        <w:ind w:firstLine="640" w:firstLineChars="200"/>
        <w:rPr>
          <w:rFonts w:hint="eastAsia" w:ascii="黑体" w:hAnsi="黑体" w:eastAsia="黑体" w:cs="黑体"/>
          <w:bCs/>
          <w:sz w:val="32"/>
          <w:szCs w:val="32"/>
          <w:lang w:val="en-US" w:eastAsia="zh-CN"/>
        </w:rPr>
      </w:pPr>
      <w:r>
        <w:rPr>
          <w:rFonts w:hint="eastAsia" w:ascii="黑体" w:hAnsi="黑体" w:eastAsia="黑体" w:cs="黑体"/>
          <w:bCs/>
          <w:sz w:val="32"/>
          <w:szCs w:val="32"/>
          <w:lang w:val="en-US" w:eastAsia="zh-CN"/>
        </w:rPr>
        <w:t>*</w:t>
      </w:r>
      <w:r>
        <w:rPr>
          <w:rFonts w:hint="eastAsia" w:ascii="黑体" w:hAnsi="黑体" w:eastAsia="黑体" w:cs="黑体"/>
          <w:bCs/>
          <w:sz w:val="32"/>
          <w:szCs w:val="32"/>
        </w:rPr>
        <w:t>支持</w:t>
      </w:r>
      <w:r>
        <w:rPr>
          <w:rFonts w:hint="eastAsia" w:ascii="黑体" w:hAnsi="黑体" w:eastAsia="黑体" w:cs="黑体"/>
          <w:bCs/>
          <w:sz w:val="32"/>
          <w:szCs w:val="32"/>
          <w:lang w:val="en-US" w:eastAsia="zh-CN"/>
        </w:rPr>
        <w:t>重点</w:t>
      </w:r>
      <w:r>
        <w:rPr>
          <w:rFonts w:hint="eastAsia" w:ascii="黑体" w:hAnsi="黑体" w:eastAsia="黑体" w:cs="黑体"/>
          <w:bCs/>
          <w:sz w:val="32"/>
          <w:szCs w:val="32"/>
        </w:rPr>
        <w:t>“小巨人”企业高质量发展</w:t>
      </w:r>
      <w:r>
        <w:rPr>
          <w:rFonts w:hint="eastAsia" w:ascii="黑体" w:hAnsi="黑体" w:eastAsia="黑体" w:cs="黑体"/>
          <w:bCs/>
          <w:sz w:val="32"/>
          <w:szCs w:val="32"/>
          <w:lang w:val="en-US" w:eastAsia="zh-CN"/>
        </w:rPr>
        <w:t>资金</w:t>
      </w:r>
    </w:p>
    <w:p>
      <w:pPr>
        <w:spacing w:line="560" w:lineRule="exact"/>
        <w:ind w:firstLine="640" w:firstLineChars="200"/>
        <w:rPr>
          <w:rFonts w:ascii="仿宋_GB2312" w:hAnsi="仿宋_GB2312" w:cs="仿宋_GB2312"/>
          <w:bCs/>
          <w:sz w:val="32"/>
          <w:szCs w:val="32"/>
        </w:rPr>
      </w:pPr>
      <w:r>
        <w:rPr>
          <w:rFonts w:hint="eastAsia" w:ascii="仿宋_GB2312" w:hAnsi="仿宋_GB2312" w:cs="仿宋_GB2312"/>
          <w:bCs/>
          <w:sz w:val="32"/>
          <w:szCs w:val="32"/>
        </w:rPr>
        <w:t>为强化对专精特新中小企业高质量发展工作的管理，市经济和信息化局会同市财政局组成工作小组，明确工作分工、任务内容和相关要求，以确保支持专精特新中小企业高质量发展工作有序推进。市经济和信息化局主要负责本项工作的组织和实施，牵头开展通知和指南的编制、企业项目和示范平台的征集、评审和申报工作；加强支持企业项目和平台的日常跟踪和服务指导，并统筹安排绩效考核；协调其他各相关部门推进相关工作。市财政局主要负责中央资金的使用管理，参加制定资金使用管理措施等相关工作。</w:t>
      </w:r>
    </w:p>
    <w:p>
      <w:pPr>
        <w:spacing w:line="560" w:lineRule="exact"/>
        <w:ind w:firstLine="640" w:firstLineChars="200"/>
        <w:rPr>
          <w:rFonts w:ascii="仿宋_GB2312" w:hAnsi="仿宋_GB2312" w:cs="仿宋_GB2312"/>
          <w:bCs/>
          <w:sz w:val="32"/>
          <w:szCs w:val="32"/>
        </w:rPr>
      </w:pPr>
      <w:r>
        <w:rPr>
          <w:rFonts w:hint="eastAsia" w:ascii="仿宋_GB2312" w:hAnsi="仿宋_GB2312" w:cs="仿宋_GB2312"/>
          <w:bCs/>
          <w:sz w:val="32"/>
          <w:szCs w:val="32"/>
        </w:rPr>
        <w:t>同时，为进一步规范项目管理，我市制定了一系列专精特新支持政策，并定期对重点“小巨人”企业开展调研、走访活动，及时掌握企业项目进展情况，对于出现问题的企业进行现场监督、整改。对于平台服务提供情况，定期进行满意度测评及绩效评价，掌握服务体系对于专精特新中小企业的服务情况以及企业对平台服务提供的满意情况，对于出现问题的平台，及时督促其进行整改，并根据整体评价情况兑付服务平台支持资金。</w:t>
      </w:r>
    </w:p>
    <w:p>
      <w:pPr>
        <w:spacing w:line="560" w:lineRule="exact"/>
        <w:ind w:firstLine="640" w:firstLineChars="200"/>
        <w:rPr>
          <w:rFonts w:ascii="仿宋_GB2312" w:hAnsi="仿宋_GB2312" w:cs="仿宋_GB2312"/>
          <w:bCs/>
          <w:sz w:val="32"/>
          <w:szCs w:val="32"/>
        </w:rPr>
      </w:pPr>
      <w:r>
        <w:rPr>
          <w:rFonts w:hint="eastAsia" w:ascii="仿宋_GB2312" w:hAnsi="仿宋_GB2312" w:cs="仿宋_GB2312"/>
          <w:bCs/>
          <w:sz w:val="32"/>
          <w:szCs w:val="32"/>
        </w:rPr>
        <w:t xml:space="preserve">在预算执行过程中，我市严格执行财政资金使用规定，制定了《关于申报支持服务“专精特新”中小企业的中小企业公共服务示范平台有关工作的通知》和《补充通知》等制度，同时将资金纳入大额资金管理体系，对资金分配、预算执行、绩效管理、惩戒措施、信息公开等方面提出明确要求，并及时公开相关工作推进及资金管理使用情况，确保资金管理规范高效，避免企业、项目平均分配。 </w:t>
      </w:r>
    </w:p>
    <w:p>
      <w:pPr>
        <w:pStyle w:val="5"/>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640" w:firstLineChars="200"/>
        <w:textAlignment w:val="auto"/>
        <w:rPr>
          <w:rFonts w:hint="eastAsia" w:ascii="黑体" w:hAnsi="黑体" w:eastAsia="黑体" w:cs="黑体"/>
          <w:bCs/>
          <w:sz w:val="32"/>
          <w:szCs w:val="32"/>
          <w:highlight w:val="none"/>
          <w:lang w:val="en-US" w:eastAsia="zh-CN"/>
        </w:rPr>
      </w:pPr>
      <w:r>
        <w:rPr>
          <w:rFonts w:hint="eastAsia" w:ascii="黑体" w:hAnsi="黑体" w:eastAsia="黑体" w:cs="黑体"/>
          <w:bCs/>
          <w:sz w:val="32"/>
          <w:szCs w:val="32"/>
          <w:highlight w:val="none"/>
          <w:lang w:val="en-US" w:eastAsia="zh-CN"/>
        </w:rPr>
        <w:t>*</w:t>
      </w:r>
      <w:r>
        <w:rPr>
          <w:rFonts w:hint="eastAsia" w:ascii="黑体" w:hAnsi="黑体" w:eastAsia="黑体" w:cs="黑体"/>
          <w:bCs/>
          <w:sz w:val="32"/>
          <w:szCs w:val="32"/>
          <w:highlight w:val="none"/>
          <w:lang w:val="en-US" w:eastAsia="zh-Hans"/>
        </w:rPr>
        <w:t>双创特色载体奖励</w:t>
      </w:r>
      <w:r>
        <w:rPr>
          <w:rFonts w:hint="eastAsia" w:ascii="黑体" w:hAnsi="黑体" w:eastAsia="黑体" w:cs="黑体"/>
          <w:bCs/>
          <w:sz w:val="32"/>
          <w:szCs w:val="32"/>
          <w:highlight w:val="none"/>
          <w:lang w:eastAsia="zh-Hans"/>
        </w:rPr>
        <w:t>——</w:t>
      </w:r>
      <w:r>
        <w:rPr>
          <w:rFonts w:hint="eastAsia" w:ascii="黑体" w:hAnsi="黑体" w:eastAsia="黑体" w:cs="黑体"/>
          <w:bCs/>
          <w:sz w:val="32"/>
          <w:szCs w:val="32"/>
          <w:highlight w:val="none"/>
        </w:rPr>
        <w:t>支持中关村顺义园中小企业发展</w:t>
      </w:r>
      <w:r>
        <w:rPr>
          <w:rFonts w:hint="eastAsia" w:ascii="黑体" w:hAnsi="黑体" w:eastAsia="黑体" w:cs="黑体"/>
          <w:bCs/>
          <w:sz w:val="32"/>
          <w:szCs w:val="32"/>
          <w:highlight w:val="none"/>
          <w:lang w:val="en-US" w:eastAsia="zh-CN"/>
        </w:rPr>
        <w:t>资金</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cs="Times New Roman"/>
          <w:bCs/>
          <w:sz w:val="32"/>
          <w:szCs w:val="32"/>
          <w:lang w:val="en-US" w:eastAsia="zh-CN"/>
        </w:rPr>
      </w:pPr>
      <w:r>
        <w:rPr>
          <w:rFonts w:hint="default" w:ascii="Times New Roman" w:hAnsi="Times New Roman" w:cs="Times New Roman"/>
          <w:b/>
          <w:bCs w:val="0"/>
          <w:sz w:val="32"/>
          <w:szCs w:val="32"/>
          <w:lang w:val="en-US" w:eastAsia="zh-CN"/>
        </w:rPr>
        <w:t>资金分配科学性。</w:t>
      </w:r>
      <w:r>
        <w:rPr>
          <w:rFonts w:hint="default" w:ascii="Times New Roman" w:hAnsi="Times New Roman" w:cs="Times New Roman"/>
          <w:bCs/>
          <w:sz w:val="32"/>
          <w:szCs w:val="32"/>
          <w:lang w:val="en-US" w:eastAsia="zh-CN"/>
        </w:rPr>
        <w:t>严格按照转移支付管理制度以及资金管理办法规定的范围和标准分配资金，围绕《实施办法》政策目标，合理制定专项资金奖励方向，专项资金将结合北京市十大高精尖产业发展方向，聚焦顺义区“3+4+1”高精尖主导产业新格局，构建大企业与中小微企业协同创新、资源共享、融合发展的产业生态，着力挖掘和推广融通发展模式，培育经济增长新动能，支撑制造业创新，助力实体经济发展，加强财政资金得引导作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bCs/>
          <w:sz w:val="32"/>
          <w:szCs w:val="32"/>
          <w:lang w:val="en-US" w:eastAsia="zh-CN"/>
        </w:rPr>
      </w:pPr>
      <w:r>
        <w:rPr>
          <w:rFonts w:hint="default" w:ascii="Times New Roman" w:hAnsi="Times New Roman" w:cs="Times New Roman"/>
          <w:bCs/>
          <w:sz w:val="32"/>
          <w:szCs w:val="32"/>
          <w:lang w:val="en-US" w:eastAsia="zh-CN"/>
        </w:rPr>
        <w:t>加强项目申报环节的信息公开工作，公平对待申报单位，实行竞争性分配的，应当明确筛选标准，公示筛选结果，聘用第三方评审机构，对第二批次“专精特新”中小企业资金奖励项目评审以及第一批次项目验收工作，确保资金分配方案公平、公正、科学。现拟利用中央奖励资金1000万元同时兑现第二批次“专精特新”中小企业奖励项目、第一批次项目验收阶段的相关奖励等。</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cs="Times New Roman"/>
          <w:bCs/>
          <w:sz w:val="32"/>
          <w:szCs w:val="32"/>
          <w:lang w:val="en-US" w:eastAsia="zh-CN"/>
        </w:rPr>
      </w:pPr>
      <w:r>
        <w:rPr>
          <w:rFonts w:hint="default" w:ascii="Times New Roman" w:hAnsi="Times New Roman" w:cs="Times New Roman"/>
          <w:b/>
          <w:bCs w:val="0"/>
          <w:sz w:val="32"/>
          <w:szCs w:val="32"/>
          <w:lang w:val="en-US" w:eastAsia="zh-CN"/>
        </w:rPr>
        <w:t>下达及时性。</w:t>
      </w:r>
      <w:r>
        <w:rPr>
          <w:rFonts w:hint="default" w:ascii="Times New Roman" w:hAnsi="Times New Roman" w:cs="Times New Roman"/>
          <w:bCs/>
          <w:sz w:val="32"/>
          <w:szCs w:val="32"/>
          <w:lang w:val="en-US" w:eastAsia="zh-CN"/>
        </w:rPr>
        <w:t>目前已完成第二批次“专精特新”中小企业奖励项目征集、评审工作和第一批次项目验收，初步制定资金分配方案，资金暂时未拨付至企业。</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cs="Times New Roman"/>
          <w:bCs/>
          <w:sz w:val="32"/>
          <w:szCs w:val="32"/>
          <w:lang w:val="en-US" w:eastAsia="zh-CN"/>
        </w:rPr>
      </w:pPr>
      <w:r>
        <w:rPr>
          <w:rFonts w:hint="default" w:ascii="Times New Roman" w:hAnsi="Times New Roman" w:cs="Times New Roman"/>
          <w:b/>
          <w:bCs w:val="0"/>
          <w:sz w:val="32"/>
          <w:szCs w:val="32"/>
          <w:lang w:val="en-US" w:eastAsia="zh-CN"/>
        </w:rPr>
        <w:t>拨付合规性。</w:t>
      </w:r>
      <w:r>
        <w:rPr>
          <w:rFonts w:hint="default" w:ascii="Times New Roman" w:hAnsi="Times New Roman" w:cs="Times New Roman"/>
          <w:bCs/>
          <w:sz w:val="32"/>
          <w:szCs w:val="32"/>
          <w:lang w:val="en-US" w:eastAsia="zh-CN"/>
        </w:rPr>
        <w:t>资金使用部门全程监督审查，严格按照资金管理办法执行，并按照国库集中支付制度有关规定支付资金，确保资金拨付公平合规。日常排查财政资金支付流程，深入分析运行，强化对财政资金支付的管控，从源头上消除安全隐患，有效推进财政资金高效、安全、规范运行。</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cs="Times New Roman"/>
          <w:bCs/>
          <w:sz w:val="32"/>
          <w:szCs w:val="32"/>
          <w:lang w:val="en-US" w:eastAsia="zh-CN"/>
        </w:rPr>
      </w:pPr>
      <w:r>
        <w:rPr>
          <w:rFonts w:hint="default" w:ascii="Times New Roman" w:hAnsi="Times New Roman" w:cs="Times New Roman"/>
          <w:b/>
          <w:bCs w:val="0"/>
          <w:sz w:val="32"/>
          <w:szCs w:val="32"/>
          <w:lang w:val="en-US" w:eastAsia="zh-CN"/>
        </w:rPr>
        <w:t>使用规范性。</w:t>
      </w:r>
      <w:r>
        <w:rPr>
          <w:rFonts w:hint="default" w:ascii="Times New Roman" w:hAnsi="Times New Roman" w:cs="Times New Roman"/>
          <w:bCs/>
          <w:sz w:val="32"/>
          <w:szCs w:val="32"/>
          <w:lang w:val="en-US" w:eastAsia="zh-CN"/>
        </w:rPr>
        <w:t>主管部门以及资金使用部门严格明确监督责任，完善内部制约机制，确保财政资金安全、规范、高效运行，无截留、挤占、挪用或擅自调整资金等问题。</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cs="Times New Roman"/>
          <w:bCs/>
          <w:sz w:val="32"/>
          <w:szCs w:val="32"/>
          <w:lang w:val="en-US" w:eastAsia="zh-CN"/>
        </w:rPr>
      </w:pPr>
      <w:r>
        <w:rPr>
          <w:rFonts w:hint="default" w:ascii="Times New Roman" w:hAnsi="Times New Roman" w:cs="Times New Roman"/>
          <w:b/>
          <w:bCs w:val="0"/>
          <w:sz w:val="32"/>
          <w:szCs w:val="32"/>
          <w:lang w:val="en-US" w:eastAsia="zh-CN"/>
        </w:rPr>
        <w:t>执行准确性。</w:t>
      </w:r>
      <w:r>
        <w:rPr>
          <w:rFonts w:hint="default" w:ascii="Times New Roman" w:hAnsi="Times New Roman" w:cs="Times New Roman"/>
          <w:bCs/>
          <w:sz w:val="32"/>
          <w:szCs w:val="32"/>
          <w:lang w:val="en-US" w:eastAsia="zh-CN"/>
        </w:rPr>
        <w:t>项目审核过程要多渠道审核对比，核实申报数据的真实性和合理性提升转移支付申报审核的准确性，细化执行流程，加强事前事后检查，强化组织领导，明确责任分工，加强处室协作，进一步加强转移支付资金执行监控。</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cs="Times New Roman"/>
          <w:bCs/>
          <w:sz w:val="32"/>
          <w:szCs w:val="32"/>
          <w:lang w:val="en-US" w:eastAsia="zh-CN"/>
        </w:rPr>
      </w:pPr>
      <w:r>
        <w:rPr>
          <w:rFonts w:hint="default" w:ascii="Times New Roman" w:hAnsi="Times New Roman" w:cs="Times New Roman"/>
          <w:b/>
          <w:bCs w:val="0"/>
          <w:sz w:val="32"/>
          <w:szCs w:val="32"/>
          <w:lang w:val="en-US" w:eastAsia="zh-CN"/>
        </w:rPr>
        <w:t>预算绩效管理情况。</w:t>
      </w:r>
      <w:r>
        <w:rPr>
          <w:rFonts w:hint="default" w:ascii="Times New Roman" w:hAnsi="Times New Roman" w:cs="Times New Roman"/>
          <w:bCs/>
          <w:sz w:val="32"/>
          <w:szCs w:val="32"/>
          <w:lang w:val="en-US" w:eastAsia="zh-CN"/>
        </w:rPr>
        <w:t xml:space="preserve">第二批次“专精特新”中小企业奖励项目、第一批次项目验收阶段的相关奖励等预计兑付专项资金共计1000万元。 </w:t>
      </w:r>
    </w:p>
    <w:p>
      <w:pPr>
        <w:numPr>
          <w:ilvl w:val="0"/>
          <w:numId w:val="0"/>
        </w:num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二、绩效目标实现情况</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（一）总体绩效目标完成情况分析。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黑体" w:hAnsi="黑体" w:eastAsia="黑体" w:cs="黑体"/>
          <w:bCs/>
          <w:sz w:val="32"/>
          <w:szCs w:val="32"/>
          <w:lang w:val="en-US" w:eastAsia="zh-CN"/>
        </w:rPr>
      </w:pPr>
      <w:r>
        <w:rPr>
          <w:rFonts w:hint="eastAsia" w:ascii="黑体" w:hAnsi="黑体" w:eastAsia="黑体" w:cs="黑体"/>
          <w:bCs/>
          <w:sz w:val="32"/>
          <w:szCs w:val="32"/>
          <w:lang w:val="en-US" w:eastAsia="zh-CN"/>
        </w:rPr>
        <w:t>*</w:t>
      </w:r>
      <w:r>
        <w:rPr>
          <w:rFonts w:hint="eastAsia" w:ascii="黑体" w:hAnsi="黑体" w:eastAsia="黑体" w:cs="黑体"/>
          <w:sz w:val="32"/>
          <w:szCs w:val="32"/>
        </w:rPr>
        <w:t>小微企业融资担保</w:t>
      </w:r>
      <w:r>
        <w:rPr>
          <w:rFonts w:hint="eastAsia" w:ascii="黑体" w:hAnsi="黑体" w:eastAsia="黑体" w:cs="黑体"/>
          <w:sz w:val="32"/>
          <w:szCs w:val="32"/>
          <w:lang w:eastAsia="zh-CN"/>
        </w:rPr>
        <w:t>降费奖补资金</w:t>
      </w:r>
    </w:p>
    <w:p>
      <w:pPr>
        <w:pStyle w:val="8"/>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Times New Roman" w:hAnsi="Times New Roman" w:eastAsia="宋体" w:cs="Times New Roman"/>
          <w:sz w:val="32"/>
          <w:szCs w:val="32"/>
          <w:lang w:val="en-US" w:eastAsia="zh-CN"/>
        </w:rPr>
      </w:pPr>
      <w:r>
        <w:rPr>
          <w:rFonts w:hint="eastAsia" w:ascii="Times New Roman" w:hAnsi="Times New Roman" w:eastAsia="宋体" w:cs="Times New Roman"/>
          <w:sz w:val="32"/>
          <w:szCs w:val="32"/>
          <w:lang w:val="en-US" w:eastAsia="zh-CN"/>
        </w:rPr>
        <w:t>市经济和信息化局制定的《关于开展202</w:t>
      </w:r>
      <w:r>
        <w:rPr>
          <w:rFonts w:hint="default" w:ascii="Times New Roman" w:hAnsi="Times New Roman" w:eastAsia="宋体" w:cs="Times New Roman"/>
          <w:sz w:val="32"/>
          <w:szCs w:val="32"/>
          <w:lang w:val="en-US" w:eastAsia="zh-CN"/>
        </w:rPr>
        <w:t>2</w:t>
      </w:r>
      <w:r>
        <w:rPr>
          <w:rFonts w:hint="eastAsia" w:ascii="Times New Roman" w:hAnsi="Times New Roman" w:eastAsia="宋体" w:cs="Times New Roman"/>
          <w:sz w:val="32"/>
          <w:szCs w:val="32"/>
          <w:lang w:val="en-US" w:eastAsia="zh-CN"/>
        </w:rPr>
        <w:t>年1-6月新增小微企业融资担保业务降费奖补项目申报工作的通知》和《关于开展202</w:t>
      </w:r>
      <w:r>
        <w:rPr>
          <w:rFonts w:hint="default" w:ascii="Times New Roman" w:hAnsi="Times New Roman" w:eastAsia="宋体" w:cs="Times New Roman"/>
          <w:sz w:val="32"/>
          <w:szCs w:val="32"/>
          <w:lang w:val="en-US" w:eastAsia="zh-CN"/>
        </w:rPr>
        <w:t>2</w:t>
      </w:r>
      <w:r>
        <w:rPr>
          <w:rFonts w:hint="eastAsia" w:ascii="Times New Roman" w:hAnsi="Times New Roman" w:eastAsia="宋体" w:cs="Times New Roman"/>
          <w:sz w:val="32"/>
          <w:szCs w:val="32"/>
          <w:lang w:val="en-US" w:eastAsia="zh-CN"/>
        </w:rPr>
        <w:t>年新增小微企业融资担保业务降费奖补项目申报工作的通知》等文件，符合国家政策要求，实际执行与文件内容一致；奖补范围内小微企业担保服务户数达到</w:t>
      </w:r>
      <w:r>
        <w:rPr>
          <w:rFonts w:hint="default" w:ascii="Times New Roman" w:hAnsi="Times New Roman" w:eastAsia="宋体" w:cs="Times New Roman"/>
          <w:sz w:val="32"/>
          <w:szCs w:val="32"/>
          <w:lang w:val="en-US" w:eastAsia="zh-CN"/>
        </w:rPr>
        <w:t>7865</w:t>
      </w:r>
      <w:r>
        <w:rPr>
          <w:rFonts w:hint="eastAsia" w:ascii="Times New Roman" w:hAnsi="Times New Roman" w:eastAsia="宋体" w:cs="Times New Roman"/>
          <w:sz w:val="32"/>
          <w:szCs w:val="32"/>
          <w:lang w:val="en-US" w:eastAsia="zh-CN"/>
        </w:rPr>
        <w:t>户</w:t>
      </w:r>
      <w:r>
        <w:rPr>
          <w:rFonts w:hint="default" w:ascii="Times New Roman" w:hAnsi="Times New Roman" w:eastAsia="宋体" w:cs="Times New Roman"/>
          <w:sz w:val="32"/>
          <w:szCs w:val="32"/>
          <w:lang w:val="en-US" w:eastAsia="zh-CN"/>
        </w:rPr>
        <w:t>，</w:t>
      </w:r>
      <w:r>
        <w:rPr>
          <w:rFonts w:hint="eastAsia" w:ascii="Times New Roman" w:hAnsi="Times New Roman" w:eastAsia="宋体" w:cs="Times New Roman"/>
          <w:sz w:val="32"/>
          <w:szCs w:val="32"/>
          <w:lang w:val="en-US" w:eastAsia="zh-CN"/>
        </w:rPr>
        <w:t>再担保服务户数达到</w:t>
      </w:r>
      <w:r>
        <w:rPr>
          <w:rFonts w:hint="default" w:ascii="Times New Roman" w:hAnsi="Times New Roman" w:eastAsia="宋体" w:cs="Times New Roman"/>
          <w:sz w:val="32"/>
          <w:szCs w:val="32"/>
          <w:lang w:val="en-US" w:eastAsia="zh-CN"/>
        </w:rPr>
        <w:t>4861</w:t>
      </w:r>
      <w:r>
        <w:rPr>
          <w:rFonts w:hint="eastAsia" w:ascii="Times New Roman" w:hAnsi="Times New Roman" w:eastAsia="宋体" w:cs="Times New Roman"/>
          <w:sz w:val="32"/>
          <w:szCs w:val="32"/>
          <w:lang w:val="en-US" w:eastAsia="zh-CN"/>
        </w:rPr>
        <w:t>户</w:t>
      </w:r>
      <w:r>
        <w:rPr>
          <w:rFonts w:hint="default" w:ascii="Times New Roman" w:hAnsi="Times New Roman" w:eastAsia="宋体" w:cs="Times New Roman"/>
          <w:sz w:val="32"/>
          <w:szCs w:val="32"/>
          <w:lang w:val="en-US" w:eastAsia="zh-CN"/>
        </w:rPr>
        <w:t>，</w:t>
      </w:r>
      <w:r>
        <w:rPr>
          <w:rFonts w:hint="eastAsia" w:ascii="Times New Roman" w:hAnsi="Times New Roman" w:eastAsia="宋体" w:cs="Times New Roman"/>
          <w:sz w:val="32"/>
          <w:szCs w:val="32"/>
          <w:lang w:val="en-US" w:eastAsia="zh-CN"/>
        </w:rPr>
        <w:t>担保业务额达到</w:t>
      </w:r>
      <w:r>
        <w:rPr>
          <w:rFonts w:hint="default" w:ascii="Times New Roman" w:hAnsi="Times New Roman" w:eastAsia="宋体" w:cs="Times New Roman"/>
          <w:sz w:val="32"/>
          <w:szCs w:val="32"/>
          <w:lang w:val="en-US" w:eastAsia="zh-CN"/>
        </w:rPr>
        <w:t>290</w:t>
      </w:r>
      <w:r>
        <w:rPr>
          <w:rFonts w:hint="eastAsia" w:ascii="Times New Roman" w:hAnsi="Times New Roman" w:eastAsia="宋体" w:cs="Times New Roman"/>
          <w:sz w:val="32"/>
          <w:szCs w:val="32"/>
          <w:lang w:val="en-US" w:eastAsia="zh-Hans"/>
        </w:rPr>
        <w:t>.</w:t>
      </w:r>
      <w:r>
        <w:rPr>
          <w:rFonts w:hint="default" w:ascii="Times New Roman" w:hAnsi="Times New Roman" w:eastAsia="宋体" w:cs="Times New Roman"/>
          <w:sz w:val="32"/>
          <w:szCs w:val="32"/>
          <w:lang w:val="en-US" w:eastAsia="zh-Hans"/>
        </w:rPr>
        <w:t>52</w:t>
      </w:r>
      <w:r>
        <w:rPr>
          <w:rFonts w:hint="eastAsia" w:ascii="Times New Roman" w:hAnsi="Times New Roman" w:eastAsia="宋体" w:cs="Times New Roman"/>
          <w:sz w:val="32"/>
          <w:szCs w:val="32"/>
          <w:lang w:val="en-US" w:eastAsia="zh-CN"/>
        </w:rPr>
        <w:t>亿元，再担保责任金额达到</w:t>
      </w:r>
      <w:r>
        <w:rPr>
          <w:rFonts w:hint="default" w:ascii="Times New Roman" w:hAnsi="Times New Roman" w:eastAsia="宋体" w:cs="Times New Roman"/>
          <w:sz w:val="32"/>
          <w:szCs w:val="32"/>
          <w:lang w:val="en-US" w:eastAsia="zh-CN"/>
        </w:rPr>
        <w:t>67</w:t>
      </w:r>
      <w:r>
        <w:rPr>
          <w:rFonts w:hint="eastAsia" w:ascii="Times New Roman" w:hAnsi="Times New Roman" w:eastAsia="宋体" w:cs="Times New Roman"/>
          <w:sz w:val="32"/>
          <w:szCs w:val="32"/>
          <w:lang w:val="en-US" w:eastAsia="zh-Hans"/>
        </w:rPr>
        <w:t>.</w:t>
      </w:r>
      <w:r>
        <w:rPr>
          <w:rFonts w:hint="default" w:ascii="Times New Roman" w:hAnsi="Times New Roman" w:eastAsia="宋体" w:cs="Times New Roman"/>
          <w:sz w:val="32"/>
          <w:szCs w:val="32"/>
          <w:lang w:val="en-US" w:eastAsia="zh-Hans"/>
        </w:rPr>
        <w:t>02</w:t>
      </w:r>
      <w:r>
        <w:rPr>
          <w:rFonts w:hint="eastAsia" w:ascii="Times New Roman" w:hAnsi="Times New Roman" w:eastAsia="宋体" w:cs="Times New Roman"/>
          <w:sz w:val="32"/>
          <w:szCs w:val="32"/>
          <w:lang w:val="en-US" w:eastAsia="zh-CN"/>
        </w:rPr>
        <w:t>亿元，2022年小微企业融资担保规模同比增长21%；平均担保费率1.00%（不包含再担保）同比下降0.10个百分点，实现了“扩规模、降费率”的目标。</w:t>
      </w:r>
    </w:p>
    <w:p>
      <w:pPr>
        <w:pStyle w:val="8"/>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Times New Roman" w:hAnsi="Times New Roman" w:eastAsia="宋体" w:cs="Times New Roman"/>
          <w:sz w:val="32"/>
          <w:szCs w:val="32"/>
          <w:lang w:val="en-US" w:eastAsia="zh-CN"/>
        </w:rPr>
      </w:pPr>
      <w:r>
        <w:rPr>
          <w:rFonts w:hint="eastAsia" w:ascii="Times New Roman" w:hAnsi="Times New Roman" w:eastAsia="宋体" w:cs="Times New Roman"/>
          <w:sz w:val="32"/>
          <w:szCs w:val="32"/>
          <w:lang w:val="en-US" w:eastAsia="zh-CN"/>
        </w:rPr>
        <w:t>根据评审结果，现总体绩效目标达到预期且较202</w:t>
      </w:r>
      <w:r>
        <w:rPr>
          <w:rFonts w:hint="default" w:ascii="Times New Roman" w:hAnsi="Times New Roman" w:eastAsia="宋体" w:cs="Times New Roman"/>
          <w:sz w:val="32"/>
          <w:szCs w:val="32"/>
          <w:lang w:val="en-US" w:eastAsia="zh-CN"/>
        </w:rPr>
        <w:t>1</w:t>
      </w:r>
      <w:r>
        <w:rPr>
          <w:rFonts w:hint="eastAsia" w:ascii="Times New Roman" w:hAnsi="Times New Roman" w:eastAsia="宋体" w:cs="Times New Roman"/>
          <w:sz w:val="32"/>
          <w:szCs w:val="32"/>
          <w:lang w:val="en-US" w:eastAsia="zh-CN"/>
        </w:rPr>
        <w:t>年度有所增长；经初步调查，担保（再担保）机构对于奖补资金政策信息获取及评审发放流程较为满意。</w:t>
      </w:r>
    </w:p>
    <w:p>
      <w:pPr>
        <w:spacing w:line="600" w:lineRule="exact"/>
        <w:ind w:firstLine="640" w:firstLineChars="200"/>
        <w:rPr>
          <w:rFonts w:hint="eastAsia" w:ascii="黑体" w:hAnsi="黑体" w:eastAsia="黑体" w:cs="黑体"/>
          <w:bCs/>
          <w:sz w:val="32"/>
          <w:szCs w:val="32"/>
          <w:lang w:val="en-US" w:eastAsia="zh-CN"/>
        </w:rPr>
      </w:pPr>
      <w:r>
        <w:rPr>
          <w:rFonts w:hint="eastAsia" w:ascii="黑体" w:hAnsi="黑体" w:eastAsia="黑体" w:cs="黑体"/>
          <w:bCs/>
          <w:sz w:val="32"/>
          <w:szCs w:val="32"/>
          <w:lang w:val="en-US" w:eastAsia="zh-CN"/>
        </w:rPr>
        <w:t>*</w:t>
      </w:r>
      <w:r>
        <w:rPr>
          <w:rFonts w:hint="eastAsia" w:ascii="黑体" w:hAnsi="黑体" w:eastAsia="黑体" w:cs="黑体"/>
          <w:bCs/>
          <w:sz w:val="32"/>
          <w:szCs w:val="32"/>
        </w:rPr>
        <w:t>支持</w:t>
      </w:r>
      <w:r>
        <w:rPr>
          <w:rFonts w:hint="eastAsia" w:ascii="黑体" w:hAnsi="黑体" w:eastAsia="黑体" w:cs="黑体"/>
          <w:bCs/>
          <w:sz w:val="32"/>
          <w:szCs w:val="32"/>
          <w:lang w:val="en-US" w:eastAsia="zh-CN"/>
        </w:rPr>
        <w:t>重点</w:t>
      </w:r>
      <w:r>
        <w:rPr>
          <w:rFonts w:hint="eastAsia" w:ascii="黑体" w:hAnsi="黑体" w:eastAsia="黑体" w:cs="黑体"/>
          <w:bCs/>
          <w:sz w:val="32"/>
          <w:szCs w:val="32"/>
        </w:rPr>
        <w:t>“小巨人”企业高质量发展</w:t>
      </w:r>
      <w:r>
        <w:rPr>
          <w:rFonts w:hint="eastAsia" w:ascii="黑体" w:hAnsi="黑体" w:eastAsia="黑体" w:cs="黑体"/>
          <w:bCs/>
          <w:sz w:val="32"/>
          <w:szCs w:val="32"/>
          <w:lang w:val="en-US" w:eastAsia="zh-CN"/>
        </w:rPr>
        <w:t>资金</w:t>
      </w:r>
    </w:p>
    <w:p>
      <w:pPr>
        <w:pStyle w:val="8"/>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cs="Times New Roman"/>
          <w:sz w:val="32"/>
          <w:szCs w:val="32"/>
        </w:rPr>
      </w:pPr>
      <w:r>
        <w:rPr>
          <w:rFonts w:hint="default" w:ascii="Times New Roman" w:hAnsi="Times New Roman" w:cs="Times New Roman"/>
          <w:sz w:val="32"/>
          <w:szCs w:val="32"/>
        </w:rPr>
        <w:t>2022年度，我市严格执行中央的部署及安排，共支持国家重点“小巨人”企业97家，其中第二批重点“小巨人”企业66家、第三批重点“小巨人”企业31家，促进了“小巨人”企业在核心技术攻关、填补国内外空白、产业链补短板等方面持续发力，取得了良好的成绩。同时，支持中小企业服务平台2家，通过公共服务平台为重点“小巨人”企业提供技术创新服务、知识产权应用服务、创新成果转化与应用服务等服务产品，实现了以服务促提升的目的。</w:t>
      </w:r>
    </w:p>
    <w:p>
      <w:pPr>
        <w:pStyle w:val="5"/>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640" w:firstLineChars="200"/>
        <w:textAlignment w:val="auto"/>
        <w:rPr>
          <w:rFonts w:hint="eastAsia" w:ascii="黑体" w:hAnsi="黑体" w:eastAsia="黑体" w:cs="黑体"/>
          <w:bCs/>
          <w:sz w:val="32"/>
          <w:szCs w:val="32"/>
          <w:highlight w:val="none"/>
          <w:lang w:val="en-US" w:eastAsia="zh-CN"/>
        </w:rPr>
      </w:pPr>
      <w:r>
        <w:rPr>
          <w:rFonts w:hint="eastAsia" w:ascii="黑体" w:hAnsi="黑体" w:eastAsia="黑体" w:cs="黑体"/>
          <w:bCs/>
          <w:sz w:val="32"/>
          <w:szCs w:val="32"/>
          <w:highlight w:val="none"/>
          <w:lang w:val="en-US" w:eastAsia="zh-CN"/>
        </w:rPr>
        <w:t>*</w:t>
      </w:r>
      <w:r>
        <w:rPr>
          <w:rFonts w:hint="eastAsia" w:ascii="黑体" w:hAnsi="黑体" w:eastAsia="黑体" w:cs="黑体"/>
          <w:bCs/>
          <w:sz w:val="32"/>
          <w:szCs w:val="32"/>
          <w:highlight w:val="none"/>
          <w:lang w:val="en-US" w:eastAsia="zh-Hans"/>
        </w:rPr>
        <w:t>双创特色载体奖励</w:t>
      </w:r>
      <w:r>
        <w:rPr>
          <w:rFonts w:hint="eastAsia" w:ascii="黑体" w:hAnsi="黑体" w:eastAsia="黑体" w:cs="黑体"/>
          <w:bCs/>
          <w:sz w:val="32"/>
          <w:szCs w:val="32"/>
          <w:highlight w:val="none"/>
          <w:lang w:eastAsia="zh-Hans"/>
        </w:rPr>
        <w:t>——</w:t>
      </w:r>
      <w:r>
        <w:rPr>
          <w:rFonts w:hint="eastAsia" w:ascii="黑体" w:hAnsi="黑体" w:eastAsia="黑体" w:cs="黑体"/>
          <w:bCs/>
          <w:sz w:val="32"/>
          <w:szCs w:val="32"/>
          <w:highlight w:val="none"/>
        </w:rPr>
        <w:t>支持中关村顺义园中小企业发展</w:t>
      </w:r>
      <w:r>
        <w:rPr>
          <w:rFonts w:hint="eastAsia" w:ascii="黑体" w:hAnsi="黑体" w:eastAsia="黑体" w:cs="黑体"/>
          <w:bCs/>
          <w:sz w:val="32"/>
          <w:szCs w:val="32"/>
          <w:highlight w:val="none"/>
          <w:lang w:val="en-US" w:eastAsia="zh-CN"/>
        </w:rPr>
        <w:t>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sz w:val="32"/>
          <w:szCs w:val="32"/>
        </w:rPr>
      </w:pPr>
      <w:r>
        <w:rPr>
          <w:rFonts w:hint="default" w:ascii="Times New Roman" w:hAnsi="Times New Roman" w:cs="Times New Roman"/>
          <w:sz w:val="32"/>
          <w:szCs w:val="32"/>
          <w:lang w:val="en-US" w:eastAsia="zh-CN"/>
        </w:rPr>
        <w:t>截至</w:t>
      </w:r>
      <w:r>
        <w:rPr>
          <w:rFonts w:hint="default" w:ascii="Times New Roman" w:hAnsi="Times New Roman" w:cs="Times New Roman"/>
          <w:sz w:val="32"/>
          <w:szCs w:val="32"/>
        </w:rPr>
        <w:t>4月11日，已经完成第二批次“专精特新”中小企业奖励项目征集评审工作，以及第一批次项目验收工作，初步制定资金分配方案。预计1000万奖励资金将全部兑现，该项财政资金将充分发挥政策引导作用，提升顺义区中小企业高质量发展，有效促进构建大企业与中小微企业协同创新、资源共享、融合发展的产业生态。</w:t>
      </w:r>
    </w:p>
    <w:p>
      <w:pPr>
        <w:numPr>
          <w:ilvl w:val="0"/>
          <w:numId w:val="2"/>
        </w:num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绩效指标完成情况分析。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黑体" w:hAnsi="黑体" w:eastAsia="黑体" w:cs="黑体"/>
          <w:bCs/>
          <w:sz w:val="32"/>
          <w:szCs w:val="32"/>
          <w:lang w:val="en-US" w:eastAsia="zh-CN"/>
        </w:rPr>
      </w:pPr>
      <w:r>
        <w:rPr>
          <w:rFonts w:hint="eastAsia" w:ascii="黑体" w:hAnsi="黑体" w:eastAsia="黑体" w:cs="黑体"/>
          <w:bCs/>
          <w:sz w:val="32"/>
          <w:szCs w:val="32"/>
          <w:lang w:val="en-US" w:eastAsia="zh-CN"/>
        </w:rPr>
        <w:t>*</w:t>
      </w:r>
      <w:r>
        <w:rPr>
          <w:rFonts w:hint="eastAsia" w:ascii="黑体" w:hAnsi="黑体" w:eastAsia="黑体" w:cs="黑体"/>
          <w:sz w:val="32"/>
          <w:szCs w:val="32"/>
        </w:rPr>
        <w:t>小微企业融资担保</w:t>
      </w:r>
      <w:r>
        <w:rPr>
          <w:rFonts w:hint="eastAsia" w:ascii="黑体" w:hAnsi="黑体" w:eastAsia="黑体" w:cs="黑体"/>
          <w:sz w:val="32"/>
          <w:szCs w:val="32"/>
          <w:lang w:eastAsia="zh-CN"/>
        </w:rPr>
        <w:t>降费奖补资金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宋体" w:cs="Times New Roman"/>
          <w:sz w:val="32"/>
          <w:szCs w:val="32"/>
        </w:rPr>
      </w:pPr>
      <w:r>
        <w:rPr>
          <w:rFonts w:hint="default" w:ascii="Times New Roman" w:hAnsi="Times New Roman" w:eastAsia="宋体" w:cs="Times New Roman"/>
          <w:sz w:val="32"/>
          <w:szCs w:val="32"/>
          <w:lang w:val="en-US" w:eastAsia="zh-CN"/>
        </w:rPr>
        <w:t>（1）</w:t>
      </w:r>
      <w:r>
        <w:rPr>
          <w:rFonts w:hint="default" w:ascii="Times New Roman" w:hAnsi="Times New Roman" w:eastAsia="宋体" w:cs="Times New Roman"/>
          <w:sz w:val="32"/>
          <w:szCs w:val="32"/>
        </w:rPr>
        <w:t>产出指标完成情况分析</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宋体" w:cs="Times New Roman"/>
          <w:sz w:val="32"/>
          <w:szCs w:val="32"/>
        </w:rPr>
      </w:pPr>
      <w:r>
        <w:rPr>
          <w:rFonts w:hint="default" w:ascii="Times New Roman" w:hAnsi="Times New Roman" w:eastAsia="宋体" w:cs="Times New Roman"/>
          <w:b/>
          <w:bCs/>
          <w:sz w:val="32"/>
          <w:szCs w:val="32"/>
        </w:rPr>
        <w:t>数量指标完成情况。</w:t>
      </w:r>
      <w:r>
        <w:rPr>
          <w:rFonts w:hint="default" w:ascii="Times New Roman" w:hAnsi="Times New Roman" w:eastAsia="宋体" w:cs="Times New Roman"/>
          <w:sz w:val="32"/>
          <w:szCs w:val="32"/>
        </w:rPr>
        <w:t>2022年奖补资金拟支持担保（再担保）机构不低于15家，根据评审结果，实际支持担保（再担保）机构15家，数量指标全部达成预期指标，完成比例100%。</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宋体" w:cs="Times New Roman"/>
          <w:sz w:val="32"/>
          <w:szCs w:val="32"/>
        </w:rPr>
      </w:pPr>
      <w:r>
        <w:rPr>
          <w:rFonts w:hint="default" w:ascii="Times New Roman" w:hAnsi="Times New Roman" w:eastAsia="宋体" w:cs="Times New Roman"/>
          <w:b/>
          <w:bCs/>
          <w:sz w:val="32"/>
          <w:szCs w:val="32"/>
        </w:rPr>
        <w:t>质量指标完成情况。</w:t>
      </w:r>
      <w:r>
        <w:rPr>
          <w:rFonts w:hint="default" w:ascii="Times New Roman" w:hAnsi="Times New Roman" w:eastAsia="宋体" w:cs="Times New Roman"/>
          <w:b w:val="0"/>
          <w:bCs w:val="0"/>
          <w:sz w:val="32"/>
          <w:szCs w:val="32"/>
        </w:rPr>
        <w:t>奖补资金发放准确率方面，</w:t>
      </w:r>
      <w:r>
        <w:rPr>
          <w:rFonts w:hint="default" w:ascii="Times New Roman" w:hAnsi="Times New Roman" w:eastAsia="宋体" w:cs="Times New Roman"/>
          <w:sz w:val="32"/>
          <w:szCs w:val="32"/>
        </w:rPr>
        <w:t>申报环节，按照《关于继续实施小微企业融资担保业务降费奖补政策的通知》（财建〔2021〕106号）等相关文件，结合《中小企业发展专项资金管理办法》(财建〔2021〕148号)相关要求，根据北京市实际情况，市经济和信息化局印发了《关于开展2022年1-6月新增小微企业融资担保业务降费奖补项目申报工作的通知》《关于开展2022年1-6月新增小微企业融资担保业务降费奖补项目申报工作的补充通知》和《关于开展2022年新增小微企业融资担保业务降费奖补项目申报工作的通知》，明确支持对象、申报条件、奖补方式、资金申报要求等内容，确保申报机构的合规合法性；评审环节，第三方机构根据通知要求，编制评审方案，明确评审标准，严格按照评审工作要求执行评审工作，确保评审工作的严谨性和评审结论的准确性。</w:t>
      </w:r>
      <w:r>
        <w:rPr>
          <w:rFonts w:hint="default" w:ascii="Times New Roman" w:hAnsi="Times New Roman" w:eastAsia="宋体" w:cs="Times New Roman"/>
          <w:b w:val="0"/>
          <w:bCs w:val="0"/>
          <w:sz w:val="32"/>
          <w:szCs w:val="32"/>
        </w:rPr>
        <w:t>政策响应方面，</w:t>
      </w:r>
      <w:r>
        <w:rPr>
          <w:rFonts w:hint="default" w:ascii="Times New Roman" w:hAnsi="Times New Roman" w:eastAsia="宋体" w:cs="Times New Roman"/>
          <w:sz w:val="32"/>
          <w:szCs w:val="32"/>
        </w:rPr>
        <w:t>市经济和信息化局印发的《关于开展2022年1-6月新增小微企业融资担保业务降费奖补项目申报工作的通知》《关于开展2022年1-6月新增小微企业融资担保业务降费奖补项目申报工作的补充通知》和《关于开展2021年新增小微企业融资担保业务降费奖补项目申报工作的通知》，对于《财政部 工业和信息化部关于继续实施小微企业融资担保业务降费奖补政策的通知》（财建〔2021〕106号）进行了响应，文件中关于资金使用方向、奖补范围、管理要求、监督检查措施等方面的要求符合文件相关规定，符合引导地方支持扩大实体经济领域小微企业融资担保业务规模，降低小微企业融资担保成本，着力缓解小微企业融资难融资贵问题的方向。</w:t>
      </w:r>
    </w:p>
    <w:p>
      <w:pPr>
        <w:pStyle w:val="5"/>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宋体" w:cs="Times New Roman"/>
          <w:sz w:val="32"/>
          <w:szCs w:val="32"/>
          <w:lang w:val="en-US" w:eastAsia="zh-CN"/>
        </w:rPr>
      </w:pPr>
      <w:r>
        <w:rPr>
          <w:rFonts w:hint="default" w:ascii="Times New Roman" w:hAnsi="Times New Roman" w:eastAsia="宋体" w:cs="Times New Roman"/>
          <w:sz w:val="32"/>
          <w:szCs w:val="32"/>
          <w:lang w:val="en-US" w:eastAsia="zh-CN"/>
        </w:rPr>
        <w:t>此外，落实北京市疫情帮扶政策，印发《北京市财政局  北京市经济和信息化局关于加大小微企业融资担保支持力度降低担保费率的实施细则》，要求政府性融资担保机构对受疫情影响的餐饮、零售、住宿、交通运输行业小微企业融资担保业务，按0.5%的年化费率收取综合融资担保费。</w:t>
      </w:r>
    </w:p>
    <w:p>
      <w:pPr>
        <w:pStyle w:val="5"/>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outlineLvl w:val="9"/>
        <w:rPr>
          <w:rFonts w:hint="default" w:ascii="Times New Roman" w:hAnsi="Times New Roman" w:eastAsia="宋体" w:cs="Times New Roman"/>
          <w:sz w:val="32"/>
          <w:szCs w:val="32"/>
        </w:rPr>
      </w:pPr>
      <w:r>
        <w:rPr>
          <w:rFonts w:hint="default" w:ascii="Times New Roman" w:hAnsi="Times New Roman" w:eastAsia="宋体" w:cs="Times New Roman"/>
          <w:sz w:val="32"/>
          <w:szCs w:val="32"/>
        </w:rPr>
        <w:t>综上，质量指标全部达成预期指标，完成比例100%。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宋体" w:cs="Times New Roman"/>
          <w:sz w:val="32"/>
          <w:szCs w:val="32"/>
        </w:rPr>
      </w:pPr>
      <w:r>
        <w:rPr>
          <w:rFonts w:hint="default" w:ascii="Times New Roman" w:hAnsi="Times New Roman" w:eastAsia="宋体" w:cs="Times New Roman"/>
          <w:sz w:val="32"/>
          <w:szCs w:val="32"/>
          <w:lang w:val="en-US" w:eastAsia="zh-CN"/>
        </w:rPr>
        <w:t>（2）</w:t>
      </w:r>
      <w:r>
        <w:rPr>
          <w:rFonts w:hint="default" w:ascii="Times New Roman" w:hAnsi="Times New Roman" w:eastAsia="宋体" w:cs="Times New Roman"/>
          <w:sz w:val="32"/>
          <w:szCs w:val="32"/>
        </w:rPr>
        <w:t>效益指标完成情况分析</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宋体" w:cs="Times New Roman"/>
          <w:sz w:val="32"/>
          <w:szCs w:val="32"/>
        </w:rPr>
      </w:pPr>
      <w:r>
        <w:rPr>
          <w:rFonts w:hint="default" w:ascii="Times New Roman" w:hAnsi="Times New Roman" w:eastAsia="宋体" w:cs="Times New Roman"/>
          <w:b/>
          <w:bCs/>
          <w:sz w:val="32"/>
          <w:szCs w:val="32"/>
        </w:rPr>
        <w:t>担保服务规模指标完成情况。</w:t>
      </w:r>
      <w:r>
        <w:rPr>
          <w:rFonts w:hint="default" w:ascii="Times New Roman" w:hAnsi="Times New Roman" w:eastAsia="宋体" w:cs="Times New Roman"/>
          <w:sz w:val="32"/>
          <w:szCs w:val="32"/>
        </w:rPr>
        <w:t>2022年奖补资金支持的担保机构服务小微企业数量达到7865户，</w:t>
      </w:r>
      <w:r>
        <w:rPr>
          <w:rFonts w:hint="default" w:ascii="Times New Roman" w:hAnsi="Times New Roman" w:eastAsia="宋体" w:cs="Times New Roman"/>
          <w:sz w:val="32"/>
          <w:szCs w:val="32"/>
          <w:lang w:val="en-US" w:eastAsia="zh-Hans"/>
        </w:rPr>
        <w:t>较</w:t>
      </w:r>
      <w:r>
        <w:rPr>
          <w:rFonts w:hint="default" w:ascii="Times New Roman" w:hAnsi="Times New Roman" w:eastAsia="宋体" w:cs="Times New Roman"/>
          <w:sz w:val="32"/>
          <w:szCs w:val="32"/>
          <w:lang w:eastAsia="zh-Hans"/>
        </w:rPr>
        <w:t>2021</w:t>
      </w:r>
      <w:r>
        <w:rPr>
          <w:rFonts w:hint="default" w:ascii="Times New Roman" w:hAnsi="Times New Roman" w:eastAsia="宋体" w:cs="Times New Roman"/>
          <w:sz w:val="32"/>
          <w:szCs w:val="32"/>
          <w:lang w:val="en-US" w:eastAsia="zh-Hans"/>
        </w:rPr>
        <w:t>年的</w:t>
      </w:r>
      <w:r>
        <w:rPr>
          <w:rFonts w:hint="default" w:ascii="Times New Roman" w:hAnsi="Times New Roman" w:eastAsia="宋体" w:cs="Times New Roman"/>
          <w:sz w:val="32"/>
          <w:szCs w:val="32"/>
          <w:lang w:eastAsia="zh-Hans"/>
        </w:rPr>
        <w:t>5821</w:t>
      </w:r>
      <w:r>
        <w:rPr>
          <w:rFonts w:hint="default" w:ascii="Times New Roman" w:hAnsi="Times New Roman" w:eastAsia="宋体" w:cs="Times New Roman"/>
          <w:sz w:val="32"/>
          <w:szCs w:val="32"/>
          <w:lang w:val="en-US" w:eastAsia="zh-Hans"/>
        </w:rPr>
        <w:t>户增长</w:t>
      </w:r>
      <w:r>
        <w:rPr>
          <w:rFonts w:hint="default" w:ascii="Times New Roman" w:hAnsi="Times New Roman" w:eastAsia="宋体" w:cs="Times New Roman"/>
          <w:sz w:val="32"/>
          <w:szCs w:val="32"/>
          <w:lang w:eastAsia="zh-Hans"/>
        </w:rPr>
        <w:t>35</w:t>
      </w:r>
      <w:r>
        <w:rPr>
          <w:rFonts w:hint="default" w:ascii="Times New Roman" w:hAnsi="Times New Roman" w:eastAsia="宋体" w:cs="Times New Roman"/>
          <w:sz w:val="32"/>
          <w:szCs w:val="32"/>
          <w:lang w:val="en-US" w:eastAsia="zh-Hans"/>
        </w:rPr>
        <w:t>.</w:t>
      </w:r>
      <w:r>
        <w:rPr>
          <w:rFonts w:hint="default" w:ascii="Times New Roman" w:hAnsi="Times New Roman" w:eastAsia="宋体" w:cs="Times New Roman"/>
          <w:sz w:val="32"/>
          <w:szCs w:val="32"/>
          <w:lang w:eastAsia="zh-Hans"/>
        </w:rPr>
        <w:t>11%；</w:t>
      </w:r>
      <w:r>
        <w:rPr>
          <w:rFonts w:hint="default" w:ascii="Times New Roman" w:hAnsi="Times New Roman" w:eastAsia="宋体" w:cs="Times New Roman"/>
          <w:sz w:val="32"/>
          <w:szCs w:val="32"/>
        </w:rPr>
        <w:t>再担保机构服务小微企业数量4861户，</w:t>
      </w:r>
      <w:r>
        <w:rPr>
          <w:rFonts w:hint="default" w:ascii="Times New Roman" w:hAnsi="Times New Roman" w:eastAsia="宋体" w:cs="Times New Roman"/>
          <w:sz w:val="32"/>
          <w:szCs w:val="32"/>
          <w:lang w:val="en-US" w:eastAsia="zh-Hans"/>
        </w:rPr>
        <w:t>较</w:t>
      </w:r>
      <w:r>
        <w:rPr>
          <w:rFonts w:hint="default" w:ascii="Times New Roman" w:hAnsi="Times New Roman" w:eastAsia="宋体" w:cs="Times New Roman"/>
          <w:sz w:val="32"/>
          <w:szCs w:val="32"/>
          <w:lang w:eastAsia="zh-Hans"/>
        </w:rPr>
        <w:t>2021</w:t>
      </w:r>
      <w:r>
        <w:rPr>
          <w:rFonts w:hint="default" w:ascii="Times New Roman" w:hAnsi="Times New Roman" w:eastAsia="宋体" w:cs="Times New Roman"/>
          <w:sz w:val="32"/>
          <w:szCs w:val="32"/>
          <w:lang w:val="en-US" w:eastAsia="zh-Hans"/>
        </w:rPr>
        <w:t>年的</w:t>
      </w:r>
      <w:r>
        <w:rPr>
          <w:rFonts w:hint="default" w:ascii="Times New Roman" w:hAnsi="Times New Roman" w:eastAsia="宋体" w:cs="Times New Roman"/>
          <w:sz w:val="32"/>
          <w:szCs w:val="32"/>
          <w:lang w:eastAsia="zh-Hans"/>
        </w:rPr>
        <w:t>4256</w:t>
      </w:r>
      <w:r>
        <w:rPr>
          <w:rFonts w:hint="default" w:ascii="Times New Roman" w:hAnsi="Times New Roman" w:eastAsia="宋体" w:cs="Times New Roman"/>
          <w:sz w:val="32"/>
          <w:szCs w:val="32"/>
          <w:lang w:val="en-US" w:eastAsia="zh-Hans"/>
        </w:rPr>
        <w:t>户增长</w:t>
      </w:r>
      <w:r>
        <w:rPr>
          <w:rFonts w:hint="default" w:ascii="Times New Roman" w:hAnsi="Times New Roman" w:eastAsia="宋体" w:cs="Times New Roman"/>
          <w:sz w:val="32"/>
          <w:szCs w:val="32"/>
          <w:lang w:eastAsia="zh-Hans"/>
        </w:rPr>
        <w:t>14.22%</w:t>
      </w:r>
      <w:r>
        <w:rPr>
          <w:rFonts w:hint="default" w:ascii="Times New Roman" w:hAnsi="Times New Roman" w:eastAsia="宋体" w:cs="Times New Roman"/>
          <w:sz w:val="32"/>
          <w:szCs w:val="32"/>
        </w:rPr>
        <w:t>；符合奖补支持的担保业务金额290.52亿元，较2021年</w:t>
      </w:r>
      <w:r>
        <w:rPr>
          <w:rFonts w:hint="default" w:ascii="Times New Roman" w:hAnsi="Times New Roman" w:eastAsia="宋体" w:cs="Times New Roman"/>
          <w:sz w:val="32"/>
          <w:szCs w:val="32"/>
          <w:lang w:val="en-US" w:eastAsia="zh-Hans"/>
        </w:rPr>
        <w:t>的</w:t>
      </w:r>
      <w:r>
        <w:rPr>
          <w:rFonts w:hint="default" w:ascii="Times New Roman" w:hAnsi="Times New Roman" w:eastAsia="宋体" w:cs="Times New Roman"/>
          <w:sz w:val="32"/>
          <w:szCs w:val="32"/>
          <w:lang w:eastAsia="zh-Hans"/>
        </w:rPr>
        <w:t>238</w:t>
      </w:r>
      <w:r>
        <w:rPr>
          <w:rFonts w:hint="default" w:ascii="Times New Roman" w:hAnsi="Times New Roman" w:eastAsia="宋体" w:cs="Times New Roman"/>
          <w:sz w:val="32"/>
          <w:szCs w:val="32"/>
          <w:lang w:val="en-US" w:eastAsia="zh-Hans"/>
        </w:rPr>
        <w:t>.</w:t>
      </w:r>
      <w:r>
        <w:rPr>
          <w:rFonts w:hint="default" w:ascii="Times New Roman" w:hAnsi="Times New Roman" w:eastAsia="宋体" w:cs="Times New Roman"/>
          <w:sz w:val="32"/>
          <w:szCs w:val="32"/>
          <w:lang w:eastAsia="zh-Hans"/>
        </w:rPr>
        <w:t>96</w:t>
      </w:r>
      <w:r>
        <w:rPr>
          <w:rFonts w:hint="default" w:ascii="Times New Roman" w:hAnsi="Times New Roman" w:eastAsia="宋体" w:cs="Times New Roman"/>
          <w:sz w:val="32"/>
          <w:szCs w:val="32"/>
          <w:lang w:val="en-US" w:eastAsia="zh-Hans"/>
        </w:rPr>
        <w:t>亿元</w:t>
      </w:r>
      <w:r>
        <w:rPr>
          <w:rFonts w:hint="default" w:ascii="Times New Roman" w:hAnsi="Times New Roman" w:eastAsia="宋体" w:cs="Times New Roman"/>
          <w:sz w:val="32"/>
          <w:szCs w:val="32"/>
        </w:rPr>
        <w:t>增长21.58%；符合奖补支持的再担保责任金额67.02亿元，较2021年</w:t>
      </w:r>
      <w:r>
        <w:rPr>
          <w:rFonts w:hint="default" w:ascii="Times New Roman" w:hAnsi="Times New Roman" w:eastAsia="宋体" w:cs="Times New Roman"/>
          <w:sz w:val="32"/>
          <w:szCs w:val="32"/>
          <w:lang w:val="en-US" w:eastAsia="zh-Hans"/>
        </w:rPr>
        <w:t>的</w:t>
      </w:r>
      <w:r>
        <w:rPr>
          <w:rFonts w:hint="default" w:ascii="Times New Roman" w:hAnsi="Times New Roman" w:eastAsia="宋体" w:cs="Times New Roman"/>
          <w:sz w:val="32"/>
          <w:szCs w:val="32"/>
          <w:lang w:eastAsia="zh-Hans"/>
        </w:rPr>
        <w:t>56</w:t>
      </w:r>
      <w:r>
        <w:rPr>
          <w:rFonts w:hint="default" w:ascii="Times New Roman" w:hAnsi="Times New Roman" w:eastAsia="宋体" w:cs="Times New Roman"/>
          <w:sz w:val="32"/>
          <w:szCs w:val="32"/>
          <w:lang w:val="en-US" w:eastAsia="zh-Hans"/>
        </w:rPr>
        <w:t>.</w:t>
      </w:r>
      <w:r>
        <w:rPr>
          <w:rFonts w:hint="default" w:ascii="Times New Roman" w:hAnsi="Times New Roman" w:eastAsia="宋体" w:cs="Times New Roman"/>
          <w:sz w:val="32"/>
          <w:szCs w:val="32"/>
          <w:lang w:eastAsia="zh-Hans"/>
        </w:rPr>
        <w:t>82</w:t>
      </w:r>
      <w:r>
        <w:rPr>
          <w:rFonts w:hint="default" w:ascii="Times New Roman" w:hAnsi="Times New Roman" w:eastAsia="宋体" w:cs="Times New Roman"/>
          <w:sz w:val="32"/>
          <w:szCs w:val="32"/>
          <w:lang w:val="en-US" w:eastAsia="zh-Hans"/>
        </w:rPr>
        <w:t>亿元</w:t>
      </w:r>
      <w:r>
        <w:rPr>
          <w:rFonts w:hint="default" w:ascii="Times New Roman" w:hAnsi="Times New Roman" w:eastAsia="宋体" w:cs="Times New Roman"/>
          <w:sz w:val="32"/>
          <w:szCs w:val="32"/>
        </w:rPr>
        <w:t>增长17.95%。综上，担保服务规模指标能够达成</w:t>
      </w:r>
      <w:r>
        <w:rPr>
          <w:rFonts w:hint="default" w:ascii="Times New Roman" w:hAnsi="Times New Roman" w:eastAsia="宋体" w:cs="Times New Roman"/>
          <w:sz w:val="32"/>
          <w:szCs w:val="32"/>
          <w:lang w:val="en-US" w:eastAsia="zh-Hans"/>
        </w:rPr>
        <w:t>预期</w:t>
      </w:r>
      <w:r>
        <w:rPr>
          <w:rFonts w:hint="default" w:ascii="Times New Roman" w:hAnsi="Times New Roman" w:eastAsia="宋体" w:cs="Times New Roman"/>
          <w:sz w:val="32"/>
          <w:szCs w:val="32"/>
        </w:rPr>
        <w:t>目标。</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宋体" w:cs="Times New Roman"/>
          <w:sz w:val="32"/>
          <w:szCs w:val="32"/>
        </w:rPr>
      </w:pPr>
      <w:r>
        <w:rPr>
          <w:rFonts w:hint="default" w:ascii="Times New Roman" w:hAnsi="Times New Roman" w:eastAsia="宋体" w:cs="Times New Roman"/>
          <w:b/>
          <w:bCs/>
          <w:sz w:val="32"/>
          <w:szCs w:val="32"/>
        </w:rPr>
        <w:t>担保服务费率指标完成情况。</w:t>
      </w:r>
      <w:r>
        <w:rPr>
          <w:rFonts w:hint="default" w:ascii="Times New Roman" w:hAnsi="Times New Roman" w:eastAsia="宋体" w:cs="Times New Roman"/>
          <w:sz w:val="32"/>
          <w:szCs w:val="32"/>
        </w:rPr>
        <w:t>2022年符合补贴支持项目平均年化担保综合费率拟不高于2%，实际为1.22%；2022年符合补贴支持项目单户贷款500万元（含）以下的平均年化再担保费率拟不高于0.3%，实际为0.14%；2022年符合补贴支持项目单户贷款500万元到1000万元（含）的平均年化再担保费率拟不高于0.5%，实际为0.3%。</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宋体" w:cs="Times New Roman"/>
          <w:sz w:val="32"/>
          <w:szCs w:val="32"/>
        </w:rPr>
      </w:pPr>
      <w:r>
        <w:rPr>
          <w:rFonts w:hint="default" w:ascii="Times New Roman" w:hAnsi="Times New Roman" w:eastAsia="宋体" w:cs="Times New Roman"/>
          <w:sz w:val="32"/>
          <w:szCs w:val="32"/>
          <w:lang w:eastAsia="zh-CN"/>
        </w:rPr>
        <w:t>（</w:t>
      </w:r>
      <w:r>
        <w:rPr>
          <w:rFonts w:hint="default" w:ascii="Times New Roman" w:hAnsi="Times New Roman" w:eastAsia="宋体" w:cs="Times New Roman"/>
          <w:sz w:val="32"/>
          <w:szCs w:val="32"/>
          <w:lang w:val="en-US" w:eastAsia="zh-CN"/>
        </w:rPr>
        <w:t>3</w:t>
      </w:r>
      <w:r>
        <w:rPr>
          <w:rFonts w:hint="default" w:ascii="Times New Roman" w:hAnsi="Times New Roman" w:eastAsia="宋体" w:cs="Times New Roman"/>
          <w:sz w:val="32"/>
          <w:szCs w:val="32"/>
          <w:lang w:eastAsia="zh-CN"/>
        </w:rPr>
        <w:t>）</w:t>
      </w:r>
      <w:r>
        <w:rPr>
          <w:rFonts w:hint="default" w:ascii="Times New Roman" w:hAnsi="Times New Roman" w:eastAsia="宋体" w:cs="Times New Roman"/>
          <w:sz w:val="32"/>
          <w:szCs w:val="32"/>
        </w:rPr>
        <w:t>满意度指标完成情况分析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宋体" w:cs="Times New Roman"/>
          <w:sz w:val="32"/>
          <w:szCs w:val="32"/>
        </w:rPr>
      </w:pPr>
      <w:r>
        <w:rPr>
          <w:rFonts w:hint="default" w:ascii="Times New Roman" w:hAnsi="Times New Roman" w:eastAsia="宋体" w:cs="Times New Roman"/>
          <w:sz w:val="32"/>
          <w:szCs w:val="32"/>
        </w:rPr>
        <w:t>担保（再担保）机构对于奖补资金的满意度拟不低于95%。经申报及评审过程中的初步调查了解，担保（再担保）机构对于评审规则制定、规则执行、评审过程、申报时间等方面均较为满意。</w:t>
      </w:r>
    </w:p>
    <w:p>
      <w:pPr>
        <w:spacing w:line="600" w:lineRule="exact"/>
        <w:ind w:firstLine="640" w:firstLineChars="200"/>
        <w:rPr>
          <w:rFonts w:hint="eastAsia" w:ascii="黑体" w:hAnsi="黑体" w:eastAsia="黑体" w:cs="黑体"/>
          <w:bCs/>
          <w:sz w:val="32"/>
          <w:szCs w:val="32"/>
          <w:lang w:val="en-US" w:eastAsia="zh-CN"/>
        </w:rPr>
      </w:pPr>
      <w:r>
        <w:rPr>
          <w:rFonts w:hint="eastAsia" w:ascii="黑体" w:hAnsi="黑体" w:eastAsia="黑体" w:cs="黑体"/>
          <w:bCs/>
          <w:sz w:val="32"/>
          <w:szCs w:val="32"/>
          <w:lang w:val="en-US" w:eastAsia="zh-CN"/>
        </w:rPr>
        <w:t>*</w:t>
      </w:r>
      <w:r>
        <w:rPr>
          <w:rFonts w:hint="eastAsia" w:ascii="黑体" w:hAnsi="黑体" w:eastAsia="黑体" w:cs="黑体"/>
          <w:bCs/>
          <w:sz w:val="32"/>
          <w:szCs w:val="32"/>
        </w:rPr>
        <w:t>支持</w:t>
      </w:r>
      <w:r>
        <w:rPr>
          <w:rFonts w:hint="eastAsia" w:ascii="黑体" w:hAnsi="黑体" w:eastAsia="黑体" w:cs="黑体"/>
          <w:bCs/>
          <w:sz w:val="32"/>
          <w:szCs w:val="32"/>
          <w:lang w:val="en-US" w:eastAsia="zh-CN"/>
        </w:rPr>
        <w:t>重点</w:t>
      </w:r>
      <w:r>
        <w:rPr>
          <w:rFonts w:hint="eastAsia" w:ascii="黑体" w:hAnsi="黑体" w:eastAsia="黑体" w:cs="黑体"/>
          <w:bCs/>
          <w:sz w:val="32"/>
          <w:szCs w:val="32"/>
        </w:rPr>
        <w:t>“小巨人”企业高质量发展</w:t>
      </w:r>
      <w:r>
        <w:rPr>
          <w:rFonts w:hint="eastAsia" w:ascii="黑体" w:hAnsi="黑体" w:eastAsia="黑体" w:cs="黑体"/>
          <w:bCs/>
          <w:sz w:val="32"/>
          <w:szCs w:val="32"/>
          <w:lang w:val="en-US" w:eastAsia="zh-CN"/>
        </w:rPr>
        <w:t>资金</w:t>
      </w:r>
    </w:p>
    <w:p>
      <w:pPr>
        <w:spacing w:line="560" w:lineRule="exact"/>
        <w:ind w:firstLine="640" w:firstLineChars="200"/>
        <w:rPr>
          <w:rFonts w:hint="default" w:ascii="Times New Roman" w:hAnsi="Times New Roman" w:cs="Times New Roman"/>
          <w:sz w:val="32"/>
          <w:szCs w:val="32"/>
        </w:rPr>
      </w:pPr>
      <w:r>
        <w:rPr>
          <w:rFonts w:hint="default" w:ascii="Times New Roman" w:hAnsi="Times New Roman" w:cs="Times New Roman"/>
          <w:sz w:val="32"/>
          <w:szCs w:val="32"/>
        </w:rPr>
        <w:t>（1）产出指标完成情况分析</w:t>
      </w:r>
    </w:p>
    <w:p>
      <w:pPr>
        <w:spacing w:line="560" w:lineRule="exact"/>
        <w:ind w:firstLine="642" w:firstLineChars="200"/>
        <w:rPr>
          <w:rFonts w:hint="default" w:ascii="Times New Roman" w:hAnsi="Times New Roman" w:cs="Times New Roman"/>
          <w:sz w:val="32"/>
          <w:szCs w:val="32"/>
        </w:rPr>
      </w:pPr>
      <w:r>
        <w:rPr>
          <w:rFonts w:hint="default" w:ascii="Times New Roman" w:hAnsi="Times New Roman" w:cs="Times New Roman"/>
          <w:b/>
          <w:bCs/>
          <w:sz w:val="32"/>
          <w:szCs w:val="32"/>
        </w:rPr>
        <w:t>数量指标完成情况。</w:t>
      </w:r>
      <w:r>
        <w:rPr>
          <w:rFonts w:hint="default" w:ascii="Times New Roman" w:hAnsi="Times New Roman" w:cs="Times New Roman"/>
          <w:sz w:val="32"/>
          <w:szCs w:val="32"/>
        </w:rPr>
        <w:t>2022年奖补资金拟支持第一批、第二批、第三批重点“小巨人”企业不少于120家，中小企业服务平台至少1家。截至2022年底，实际支持重点“小巨人”企业97家，中小企业服务平台2家。</w:t>
      </w:r>
    </w:p>
    <w:p>
      <w:pPr>
        <w:spacing w:line="560" w:lineRule="exact"/>
        <w:ind w:firstLine="642" w:firstLineChars="200"/>
        <w:rPr>
          <w:rFonts w:hint="default" w:ascii="Times New Roman" w:hAnsi="Times New Roman" w:cs="Times New Roman"/>
          <w:sz w:val="32"/>
          <w:szCs w:val="32"/>
        </w:rPr>
      </w:pPr>
      <w:r>
        <w:rPr>
          <w:rFonts w:hint="default" w:ascii="Times New Roman" w:hAnsi="Times New Roman" w:cs="Times New Roman"/>
          <w:b/>
          <w:bCs/>
          <w:sz w:val="32"/>
          <w:szCs w:val="32"/>
        </w:rPr>
        <w:t>质量指标完成情况。</w:t>
      </w:r>
      <w:r>
        <w:rPr>
          <w:rFonts w:hint="default" w:ascii="Times New Roman" w:hAnsi="Times New Roman" w:cs="Times New Roman"/>
          <w:sz w:val="32"/>
          <w:szCs w:val="32"/>
        </w:rPr>
        <w:t>奖补资金发放准确率方面，申报环节，按照《关于支持“专精特新”中小企业高质量发展的通知》（财建〔2021〕2号）等相关文件，结合《中小企业发展专项资金管理办法》(财建〔2021〕148号)相关要求，根据北京市实际情况，市经济和信息化局印发了《关于第二批国家专精特新“小巨人”企业高质量发展项目和公共服务示范平台申报工作的通知》和《关于第三批国家专精特新“小巨人”企业高质量发展项目申报工作的通知》，明确申报主体条件、支持方向、支持方式、审核要求等内容，确保申报机构的合规合法性；评审环节，第三方机构根据通知要求，编制评审方案，明确评审标准，严格按照评审工作要求执行评审工作，确保评审工作的严谨性和评审结论的准确性。奖补资金发放到位率方面，在审核完成后，市经济和信息化局严格执行奖补标准，按照《关于支持“专精特新”中小企业高质量发展的通知》要求，将资金拨付至审核通过的企业，目前资金已全部到位。</w:t>
      </w:r>
    </w:p>
    <w:p>
      <w:pPr>
        <w:spacing w:line="560" w:lineRule="exact"/>
        <w:ind w:firstLine="640" w:firstLineChars="200"/>
        <w:rPr>
          <w:rFonts w:hint="default" w:ascii="Times New Roman" w:hAnsi="Times New Roman" w:cs="Times New Roman"/>
          <w:sz w:val="32"/>
          <w:szCs w:val="32"/>
        </w:rPr>
      </w:pPr>
      <w:r>
        <w:rPr>
          <w:rFonts w:hint="default" w:ascii="Times New Roman" w:hAnsi="Times New Roman" w:cs="Times New Roman"/>
          <w:sz w:val="32"/>
          <w:szCs w:val="32"/>
        </w:rPr>
        <w:t>综上，质量指标全部达成预期指标，完成比例100%。</w:t>
      </w:r>
    </w:p>
    <w:p>
      <w:pPr>
        <w:spacing w:line="560" w:lineRule="exact"/>
        <w:ind w:firstLine="640" w:firstLineChars="200"/>
        <w:rPr>
          <w:rFonts w:hint="default" w:ascii="Times New Roman" w:hAnsi="Times New Roman" w:cs="Times New Roman"/>
          <w:sz w:val="32"/>
          <w:szCs w:val="32"/>
        </w:rPr>
      </w:pPr>
      <w:r>
        <w:rPr>
          <w:rFonts w:hint="default" w:ascii="Times New Roman" w:hAnsi="Times New Roman" w:cs="Times New Roman"/>
          <w:sz w:val="32"/>
          <w:szCs w:val="32"/>
        </w:rPr>
        <w:t>（2）效益指标完成情况分析</w:t>
      </w:r>
    </w:p>
    <w:p>
      <w:pPr>
        <w:spacing w:line="560" w:lineRule="exact"/>
        <w:ind w:firstLine="642" w:firstLineChars="200"/>
        <w:rPr>
          <w:rFonts w:hint="default" w:ascii="Times New Roman" w:hAnsi="Times New Roman" w:cs="Times New Roman"/>
          <w:sz w:val="32"/>
          <w:szCs w:val="32"/>
          <w:lang w:bidi="ar"/>
        </w:rPr>
      </w:pPr>
      <w:r>
        <w:rPr>
          <w:rFonts w:hint="default" w:ascii="Times New Roman" w:hAnsi="Times New Roman" w:cs="Times New Roman"/>
          <w:b/>
          <w:bCs/>
          <w:sz w:val="32"/>
          <w:szCs w:val="32"/>
        </w:rPr>
        <w:t>促进地区产业发展指标完成情况。</w:t>
      </w:r>
      <w:r>
        <w:rPr>
          <w:rFonts w:hint="default" w:ascii="Times New Roman" w:hAnsi="Times New Roman" w:cs="Times New Roman"/>
          <w:sz w:val="32"/>
          <w:szCs w:val="32"/>
        </w:rPr>
        <w:t>2022年，通过支持重点“小巨人”企业，受益的小巨人企业累计攻关关键核心技术72项、填补国内外空白73个、产业链“补短板”79家，</w:t>
      </w:r>
      <w:r>
        <w:rPr>
          <w:rFonts w:hint="default" w:ascii="Times New Roman" w:hAnsi="Times New Roman" w:cs="Times New Roman"/>
          <w:sz w:val="32"/>
          <w:szCs w:val="32"/>
          <w:lang w:bidi="ar"/>
        </w:rPr>
        <w:t>重点“小巨人”企业在核心技术攻关、填补国内外空白、产业链补短板等方面持续发力，取得了良好的成绩。在关键核心技术攻关方面，2022年企业在磁悬浮分子泵设计制造领域、协作机器人领域、BIM软件领域等方面完成了关键核心技术攻关；在填补国内外空白方面，2022年实现了三维CAD技术、弹间自组网数据链等多项填补国内外空白产品产业化；在产业链“补短板”方面，2022年实现了“两机”用高纯净高温母合金、数字化智能口腔CBCT系统Smart3D-X等多款产品在所属产业链“补短板”。</w:t>
      </w:r>
    </w:p>
    <w:p>
      <w:pPr>
        <w:widowControl/>
        <w:spacing w:line="560" w:lineRule="exact"/>
        <w:ind w:firstLine="642" w:firstLineChars="200"/>
        <w:rPr>
          <w:rFonts w:hint="default" w:ascii="Times New Roman" w:hAnsi="Times New Roman" w:cs="Times New Roman"/>
          <w:sz w:val="32"/>
          <w:szCs w:val="32"/>
        </w:rPr>
      </w:pPr>
      <w:r>
        <w:rPr>
          <w:rFonts w:hint="default" w:ascii="Times New Roman" w:hAnsi="Times New Roman" w:cs="Times New Roman"/>
          <w:b/>
          <w:bCs/>
          <w:sz w:val="32"/>
          <w:szCs w:val="32"/>
        </w:rPr>
        <w:t>构建服务体系，推动中小企业高质量发展情况。</w:t>
      </w:r>
      <w:r>
        <w:rPr>
          <w:rFonts w:hint="default" w:ascii="Times New Roman" w:hAnsi="Times New Roman" w:cs="Times New Roman"/>
          <w:sz w:val="32"/>
          <w:szCs w:val="32"/>
        </w:rPr>
        <w:t>2022年，通过对中小企业服务平台进行支持，对企业服务体系进行完善，进一步推动了本市中小企业高质量发展，一年内推动新增北京市专精特新“小巨人”企业333家、新增北京市“专精特新”中小企业3140家。</w:t>
      </w:r>
    </w:p>
    <w:p>
      <w:pPr>
        <w:spacing w:line="560" w:lineRule="exact"/>
        <w:ind w:firstLine="640" w:firstLineChars="200"/>
        <w:rPr>
          <w:rFonts w:hint="default" w:ascii="Times New Roman" w:hAnsi="Times New Roman" w:cs="Times New Roman"/>
          <w:sz w:val="32"/>
          <w:szCs w:val="32"/>
        </w:rPr>
      </w:pPr>
      <w:r>
        <w:rPr>
          <w:rFonts w:hint="default" w:ascii="Times New Roman" w:hAnsi="Times New Roman" w:cs="Times New Roman"/>
          <w:sz w:val="32"/>
          <w:szCs w:val="32"/>
        </w:rPr>
        <w:t>综上，项目年初设定的效益指标均已实现，完成率为100%。</w:t>
      </w:r>
    </w:p>
    <w:p>
      <w:pPr>
        <w:spacing w:line="560" w:lineRule="exact"/>
        <w:ind w:firstLine="640" w:firstLineChars="200"/>
        <w:rPr>
          <w:rFonts w:hint="default" w:ascii="Times New Roman" w:hAnsi="Times New Roman" w:cs="Times New Roman"/>
          <w:sz w:val="32"/>
          <w:szCs w:val="32"/>
        </w:rPr>
      </w:pPr>
      <w:r>
        <w:rPr>
          <w:rFonts w:hint="default" w:ascii="Times New Roman" w:hAnsi="Times New Roman" w:cs="Times New Roman"/>
          <w:sz w:val="32"/>
          <w:szCs w:val="32"/>
        </w:rPr>
        <w:t>（3）满意度指标完成情况分析</w:t>
      </w:r>
    </w:p>
    <w:p>
      <w:pPr>
        <w:spacing w:line="560" w:lineRule="exact"/>
        <w:ind w:firstLine="640" w:firstLineChars="200"/>
        <w:rPr>
          <w:rFonts w:hint="default" w:ascii="Times New Roman" w:hAnsi="Times New Roman" w:cs="Times New Roman"/>
          <w:sz w:val="32"/>
          <w:szCs w:val="32"/>
        </w:rPr>
      </w:pPr>
      <w:r>
        <w:rPr>
          <w:rFonts w:hint="default" w:ascii="Times New Roman" w:hAnsi="Times New Roman" w:cs="Times New Roman"/>
          <w:sz w:val="32"/>
          <w:szCs w:val="32"/>
        </w:rPr>
        <w:t>在项目完成后，由中小企业服务平台组织，针对政策制定、服务质量、效果等对受益企业开展了服务对象满意度调查，企业对于本政策的实施均表示满意，超过年初设定</w:t>
      </w:r>
      <w:r>
        <w:rPr>
          <w:rFonts w:hint="default" w:ascii="Times New Roman" w:hAnsi="Times New Roman" w:cs="Times New Roman"/>
          <w:sz w:val="32"/>
          <w:szCs w:val="32"/>
          <w:lang w:eastAsia="zh-Hans"/>
        </w:rPr>
        <w:t>的满意度</w:t>
      </w:r>
      <w:r>
        <w:rPr>
          <w:rFonts w:hint="default" w:ascii="Times New Roman" w:hAnsi="Times New Roman" w:cs="Times New Roman"/>
          <w:sz w:val="32"/>
          <w:szCs w:val="32"/>
        </w:rPr>
        <w:t>目标。</w:t>
      </w:r>
    </w:p>
    <w:p>
      <w:pPr>
        <w:pStyle w:val="5"/>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640" w:firstLineChars="200"/>
        <w:textAlignment w:val="auto"/>
        <w:rPr>
          <w:rFonts w:hint="eastAsia" w:ascii="黑体" w:hAnsi="黑体" w:eastAsia="黑体" w:cs="黑体"/>
          <w:bCs/>
          <w:sz w:val="32"/>
          <w:szCs w:val="32"/>
          <w:highlight w:val="none"/>
          <w:lang w:val="en-US" w:eastAsia="zh-CN"/>
        </w:rPr>
      </w:pPr>
      <w:r>
        <w:rPr>
          <w:rFonts w:hint="eastAsia" w:ascii="黑体" w:hAnsi="黑体" w:eastAsia="黑体" w:cs="黑体"/>
          <w:bCs/>
          <w:sz w:val="32"/>
          <w:szCs w:val="32"/>
          <w:highlight w:val="none"/>
          <w:lang w:val="en-US" w:eastAsia="zh-CN"/>
        </w:rPr>
        <w:t>*</w:t>
      </w:r>
      <w:r>
        <w:rPr>
          <w:rFonts w:hint="eastAsia" w:ascii="黑体" w:hAnsi="黑体" w:eastAsia="黑体" w:cs="黑体"/>
          <w:bCs/>
          <w:sz w:val="32"/>
          <w:szCs w:val="32"/>
          <w:highlight w:val="none"/>
          <w:lang w:val="en-US" w:eastAsia="zh-Hans"/>
        </w:rPr>
        <w:t>双创特色载体奖励</w:t>
      </w:r>
      <w:r>
        <w:rPr>
          <w:rFonts w:hint="eastAsia" w:ascii="黑体" w:hAnsi="黑体" w:eastAsia="黑体" w:cs="黑体"/>
          <w:bCs/>
          <w:sz w:val="32"/>
          <w:szCs w:val="32"/>
          <w:highlight w:val="none"/>
          <w:lang w:eastAsia="zh-Hans"/>
        </w:rPr>
        <w:t>——</w:t>
      </w:r>
      <w:r>
        <w:rPr>
          <w:rFonts w:hint="eastAsia" w:ascii="黑体" w:hAnsi="黑体" w:eastAsia="黑体" w:cs="黑体"/>
          <w:bCs/>
          <w:sz w:val="32"/>
          <w:szCs w:val="32"/>
          <w:highlight w:val="none"/>
        </w:rPr>
        <w:t>支持中关村顺义园中小企业发展</w:t>
      </w:r>
      <w:r>
        <w:rPr>
          <w:rFonts w:hint="eastAsia" w:ascii="黑体" w:hAnsi="黑体" w:eastAsia="黑体" w:cs="黑体"/>
          <w:bCs/>
          <w:sz w:val="32"/>
          <w:szCs w:val="32"/>
          <w:highlight w:val="none"/>
          <w:lang w:val="en-US" w:eastAsia="zh-CN"/>
        </w:rPr>
        <w:t>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sz w:val="32"/>
          <w:szCs w:val="32"/>
        </w:rPr>
      </w:pPr>
      <w:r>
        <w:rPr>
          <w:rFonts w:hint="default" w:ascii="Times New Roman" w:hAnsi="Times New Roman" w:cs="Times New Roman"/>
          <w:sz w:val="32"/>
          <w:szCs w:val="32"/>
          <w:lang w:eastAsia="zh-CN"/>
        </w:rPr>
        <w:t>（</w:t>
      </w:r>
      <w:r>
        <w:rPr>
          <w:rFonts w:hint="default" w:ascii="Times New Roman" w:hAnsi="Times New Roman" w:cs="Times New Roman"/>
          <w:sz w:val="32"/>
          <w:szCs w:val="32"/>
          <w:lang w:val="en-US" w:eastAsia="zh-CN"/>
        </w:rPr>
        <w:t>1</w:t>
      </w:r>
      <w:r>
        <w:rPr>
          <w:rFonts w:hint="default" w:ascii="Times New Roman" w:hAnsi="Times New Roman" w:cs="Times New Roman"/>
          <w:sz w:val="32"/>
          <w:szCs w:val="32"/>
          <w:lang w:eastAsia="zh-CN"/>
        </w:rPr>
        <w:t>）</w:t>
      </w:r>
      <w:r>
        <w:rPr>
          <w:rFonts w:hint="default" w:ascii="Times New Roman" w:hAnsi="Times New Roman" w:cs="Times New Roman"/>
          <w:sz w:val="32"/>
          <w:szCs w:val="32"/>
        </w:rPr>
        <w:t>产出指标完成情况分析</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cs="Times New Roman"/>
          <w:sz w:val="32"/>
          <w:szCs w:val="32"/>
        </w:rPr>
      </w:pPr>
      <w:r>
        <w:rPr>
          <w:rFonts w:hint="default" w:ascii="Times New Roman" w:hAnsi="Times New Roman" w:cs="Times New Roman"/>
          <w:b/>
          <w:bCs/>
          <w:sz w:val="32"/>
          <w:szCs w:val="32"/>
        </w:rPr>
        <w:t>数量指标完成情况。</w:t>
      </w:r>
      <w:r>
        <w:rPr>
          <w:rFonts w:hint="default" w:ascii="Times New Roman" w:hAnsi="Times New Roman" w:cs="Times New Roman"/>
          <w:sz w:val="32"/>
          <w:szCs w:val="32"/>
          <w:lang w:val="en-US" w:eastAsia="zh-CN"/>
        </w:rPr>
        <w:t>该专项资金预计完成数量指标为奖励超过50家符合支持条件的企业，经实际征集、评审后，预计实际支持共计74家，超出预计目标值。</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cs="Times New Roman"/>
          <w:b/>
          <w:bCs/>
          <w:sz w:val="32"/>
          <w:szCs w:val="32"/>
        </w:rPr>
        <w:t>质量指标完成情况。</w:t>
      </w:r>
      <w:r>
        <w:rPr>
          <w:rFonts w:hint="default" w:ascii="Times New Roman" w:hAnsi="Times New Roman" w:cs="Times New Roman"/>
          <w:sz w:val="32"/>
          <w:szCs w:val="32"/>
        </w:rPr>
        <w:t>通过严格的资料审核、现场核查，确保奖励对象与奖励标准的相符性，保证财政资金使用的准确性，充分发挥专项资金的引导作用，并将严格把控资金使用环节，严格按照资金管理办法拨付资金，确保财政资金的安全性。</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cs="Times New Roman"/>
          <w:sz w:val="32"/>
          <w:szCs w:val="32"/>
          <w:lang w:val="en-US" w:eastAsia="zh-CN"/>
        </w:rPr>
      </w:pPr>
      <w:r>
        <w:rPr>
          <w:rFonts w:hint="default" w:ascii="Times New Roman" w:hAnsi="Times New Roman" w:cs="Times New Roman"/>
          <w:b/>
          <w:bCs/>
          <w:sz w:val="32"/>
          <w:szCs w:val="32"/>
          <w:lang w:val="en-US" w:eastAsia="zh-CN"/>
        </w:rPr>
        <w:t>时效指标完成情况。</w:t>
      </w:r>
      <w:r>
        <w:rPr>
          <w:rFonts w:hint="default" w:ascii="Times New Roman" w:hAnsi="Times New Roman" w:cs="Times New Roman"/>
          <w:sz w:val="32"/>
          <w:szCs w:val="32"/>
          <w:lang w:val="en-US" w:eastAsia="zh-CN"/>
        </w:rPr>
        <w:t>第二批“专精特新”企业奖励项目征集、评审工作已经完成，同时完成了第一批次项目的验收工作，已经初步制定资金分配方案，报顺义区政府审定后，及时报财政部门拨付资金。</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default" w:ascii="Times New Roman" w:hAnsi="Times New Roman" w:cs="Times New Roman"/>
          <w:sz w:val="32"/>
          <w:szCs w:val="32"/>
          <w:lang w:val="en-US" w:eastAsia="zh-CN"/>
        </w:rPr>
      </w:pPr>
      <w:r>
        <w:rPr>
          <w:rFonts w:hint="default" w:ascii="Times New Roman" w:hAnsi="Times New Roman" w:cs="Times New Roman"/>
          <w:b/>
          <w:bCs/>
          <w:sz w:val="32"/>
          <w:szCs w:val="32"/>
          <w:lang w:val="en-US" w:eastAsia="zh-CN"/>
        </w:rPr>
        <w:t>成本指标完成情况。</w:t>
      </w:r>
      <w:r>
        <w:rPr>
          <w:rFonts w:hint="default" w:ascii="Times New Roman" w:hAnsi="Times New Roman" w:cs="Times New Roman"/>
          <w:sz w:val="32"/>
          <w:szCs w:val="32"/>
          <w:lang w:val="en-US" w:eastAsia="zh-CN"/>
        </w:rPr>
        <w:t>预计将财政资金1000万元全部拨付。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sz w:val="32"/>
          <w:szCs w:val="32"/>
        </w:rPr>
      </w:pPr>
      <w:r>
        <w:rPr>
          <w:rFonts w:hint="default" w:ascii="Times New Roman" w:hAnsi="Times New Roman" w:cs="Times New Roman"/>
          <w:sz w:val="32"/>
          <w:szCs w:val="32"/>
          <w:lang w:eastAsia="zh-CN"/>
        </w:rPr>
        <w:t>（</w:t>
      </w:r>
      <w:r>
        <w:rPr>
          <w:rFonts w:hint="default" w:ascii="Times New Roman" w:hAnsi="Times New Roman" w:cs="Times New Roman"/>
          <w:sz w:val="32"/>
          <w:szCs w:val="32"/>
          <w:lang w:val="en-US" w:eastAsia="zh-CN"/>
        </w:rPr>
        <w:t>2</w:t>
      </w:r>
      <w:r>
        <w:rPr>
          <w:rFonts w:hint="default" w:ascii="Times New Roman" w:hAnsi="Times New Roman" w:cs="Times New Roman"/>
          <w:sz w:val="32"/>
          <w:szCs w:val="32"/>
          <w:lang w:eastAsia="zh-CN"/>
        </w:rPr>
        <w:t>）</w:t>
      </w:r>
      <w:r>
        <w:rPr>
          <w:rFonts w:hint="default" w:ascii="Times New Roman" w:hAnsi="Times New Roman" w:cs="Times New Roman"/>
          <w:sz w:val="32"/>
          <w:szCs w:val="32"/>
        </w:rPr>
        <w:t>效益指标完成情况分析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sz w:val="32"/>
          <w:szCs w:val="32"/>
          <w:lang w:val="en-US" w:eastAsia="zh-CN"/>
        </w:rPr>
      </w:pPr>
      <w:r>
        <w:rPr>
          <w:rFonts w:hint="default" w:ascii="Times New Roman" w:hAnsi="Times New Roman" w:cs="Times New Roman"/>
          <w:sz w:val="32"/>
          <w:szCs w:val="32"/>
          <w:lang w:val="en-US" w:eastAsia="zh-CN"/>
        </w:rPr>
        <w:t>社会效益方面，专项资金将有助于提升中小企业高质量发展，优化融通发展环境，构建大企业与中小微企业协同创新、资源共享、融合发展的产业生态。</w:t>
      </w:r>
    </w:p>
    <w:p>
      <w:pPr>
        <w:numPr>
          <w:ilvl w:val="0"/>
          <w:numId w:val="0"/>
        </w:num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三、绩效自评结论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cs="Times New Roman"/>
          <w:sz w:val="32"/>
          <w:szCs w:val="32"/>
          <w:lang w:val="en-US" w:eastAsia="zh-CN"/>
        </w:rPr>
        <w:t>目前存在专项资金拨付时间滞后问题，下一步将督促资金使用部门做好分配方案；加强直达资金动态监控，及时掌握资金动向，及时提示、提醒，避免因衔接不畅，造成资金闲置、滞留。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bCs/>
          <w:sz w:val="32"/>
          <w:szCs w:val="32"/>
        </w:rPr>
      </w:pPr>
      <w:r>
        <w:rPr>
          <w:rFonts w:hint="default" w:ascii="Times New Roman" w:hAnsi="Times New Roman" w:cs="Times New Roman"/>
          <w:bCs/>
          <w:sz w:val="32"/>
          <w:szCs w:val="32"/>
        </w:rPr>
        <w:t>根据财政部《关于开展202</w:t>
      </w:r>
      <w:r>
        <w:rPr>
          <w:rFonts w:hint="default" w:ascii="Times New Roman" w:hAnsi="Times New Roman" w:cs="Times New Roman"/>
          <w:bCs/>
          <w:sz w:val="32"/>
          <w:szCs w:val="32"/>
          <w:lang w:val="en-US" w:eastAsia="zh-CN"/>
        </w:rPr>
        <w:t>2</w:t>
      </w:r>
      <w:r>
        <w:rPr>
          <w:rFonts w:hint="default" w:ascii="Times New Roman" w:hAnsi="Times New Roman" w:cs="Times New Roman"/>
          <w:bCs/>
          <w:sz w:val="32"/>
          <w:szCs w:val="32"/>
        </w:rPr>
        <w:t>年度中央对地方转移支付预算执行情况绩效自评工作的通知》（财监〔202</w:t>
      </w:r>
      <w:r>
        <w:rPr>
          <w:rFonts w:hint="default" w:ascii="Times New Roman" w:hAnsi="Times New Roman" w:cs="Times New Roman"/>
          <w:bCs/>
          <w:sz w:val="32"/>
          <w:szCs w:val="32"/>
          <w:lang w:val="en-US" w:eastAsia="zh-CN"/>
        </w:rPr>
        <w:t>3</w:t>
      </w:r>
      <w:r>
        <w:rPr>
          <w:rFonts w:hint="default" w:ascii="Times New Roman" w:hAnsi="Times New Roman" w:cs="Times New Roman"/>
          <w:bCs/>
          <w:sz w:val="32"/>
          <w:szCs w:val="32"/>
        </w:rPr>
        <w:t>〕1号）相关规定，我市将加强绩效自评结果应用，对自评过程发现的问题进行梳理和改进，应用到下一步资金使用和管理中。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bCs/>
          <w:sz w:val="32"/>
          <w:szCs w:val="32"/>
        </w:rPr>
      </w:pPr>
      <w:r>
        <w:rPr>
          <w:rFonts w:hint="default" w:ascii="Times New Roman" w:hAnsi="Times New Roman" w:cs="Times New Roman"/>
          <w:bCs/>
          <w:sz w:val="32"/>
          <w:szCs w:val="32"/>
          <w:lang w:val="en-US" w:eastAsia="zh-CN"/>
        </w:rPr>
        <w:t>已完成资金使用方案，计划6月30日前完成拨付</w:t>
      </w:r>
      <w:r>
        <w:rPr>
          <w:rFonts w:hint="default" w:ascii="Times New Roman" w:hAnsi="Times New Roman" w:cs="Times New Roman"/>
          <w:bCs/>
          <w:sz w:val="32"/>
          <w:szCs w:val="32"/>
        </w:rPr>
        <w:t>。</w:t>
      </w:r>
    </w:p>
    <w:p>
      <w:pPr>
        <w:pStyle w:val="7"/>
        <w:rPr>
          <w:rFonts w:hint="default"/>
          <w:lang w:val="en-US" w:eastAsia="zh-CN"/>
        </w:rPr>
      </w:pPr>
    </w:p>
    <w:p>
      <w:bookmarkStart w:id="0" w:name="_GoBack"/>
      <w:bookmarkEnd w:id="0"/>
    </w:p>
    <w:sectPr>
      <w:pgSz w:w="11906" w:h="16838"/>
      <w:pgMar w:top="1440" w:right="1803" w:bottom="1440" w:left="1803" w:header="851" w:footer="992" w:gutter="0"/>
      <w:pgNumType w:fmt="decimal"/>
      <w:cols w:space="0" w:num="1"/>
      <w:rtlGutter w:val="0"/>
      <w:docGrid w:type="lines" w:linePitch="4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panose1 w:val="02010600030101010101"/>
    <w:charset w:val="7A"/>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altName w:val="方正宋体S-超大字符集"/>
    <w:panose1 w:val="02000000000000000000"/>
    <w:charset w:val="86"/>
    <w:family w:val="auto"/>
    <w:pitch w:val="default"/>
    <w:sig w:usb0="00000001" w:usb1="08000000" w:usb2="00000000" w:usb3="00000000" w:csb0="00040000" w:csb1="00000000"/>
  </w:font>
  <w:font w:name="方正黑体_GBK">
    <w:altName w:val="思源黑体 CN"/>
    <w:panose1 w:val="02000000000000000000"/>
    <w:charset w:val="00"/>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方正宋体S-超大字符集">
    <w:panose1 w:val="02000000000000000000"/>
    <w:charset w:val="86"/>
    <w:family w:val="auto"/>
    <w:pitch w:val="default"/>
    <w:sig w:usb0="00000001" w:usb1="08000000" w:usb2="00000000" w:usb3="00000000" w:csb0="00040000" w:csb1="00000000"/>
  </w:font>
  <w:font w:name="思源黑体 CN">
    <w:panose1 w:val="020B0600000000000000"/>
    <w:charset w:val="86"/>
    <w:family w:val="auto"/>
    <w:pitch w:val="default"/>
    <w:sig w:usb0="20000003" w:usb1="2ADF3C10" w:usb2="00000016" w:usb3="00000000" w:csb0="60060107" w:csb1="0000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00000000" w:usb1="00000000"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DejaVu Sans">
    <w:panose1 w:val="020B0603030804020204"/>
    <w:charset w:val="01"/>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1895333"/>
    <w:multiLevelType w:val="singleLevel"/>
    <w:tmpl w:val="D1895333"/>
    <w:lvl w:ilvl="0" w:tentative="0">
      <w:start w:val="2"/>
      <w:numFmt w:val="chineseCounting"/>
      <w:suff w:val="nothing"/>
      <w:lvlText w:val="（%1）"/>
      <w:lvlJc w:val="left"/>
      <w:rPr>
        <w:rFonts w:hint="eastAsia"/>
      </w:rPr>
    </w:lvl>
  </w:abstractNum>
  <w:abstractNum w:abstractNumId="1">
    <w:nsid w:val="2F7FE504"/>
    <w:multiLevelType w:val="singleLevel"/>
    <w:tmpl w:val="2F7FE504"/>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4A1947CF"/>
    <w:rsid w:val="7CB578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30"/>
      <w:szCs w:val="30"/>
      <w:u w:val="none"/>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iPriority w:val="0"/>
  </w:style>
  <w:style w:type="table" w:default="1" w:styleId="10">
    <w:name w:val="Normal Table"/>
    <w:semiHidden/>
    <w:uiPriority w:val="0"/>
    <w:tblPr>
      <w:tblLayout w:type="fixed"/>
      <w:tblCellMar>
        <w:top w:w="0" w:type="dxa"/>
        <w:left w:w="108" w:type="dxa"/>
        <w:bottom w:w="0" w:type="dxa"/>
        <w:right w:w="108" w:type="dxa"/>
      </w:tblCellMar>
    </w:tblPr>
  </w:style>
  <w:style w:type="paragraph" w:customStyle="1" w:styleId="2">
    <w:name w:val="样式1"/>
    <w:basedOn w:val="3"/>
    <w:qFormat/>
    <w:uiPriority w:val="0"/>
    <w:rPr>
      <w:rFonts w:ascii="黑体" w:hAnsi="黑体"/>
      <w:sz w:val="32"/>
      <w:szCs w:val="32"/>
    </w:rPr>
  </w:style>
  <w:style w:type="paragraph" w:styleId="4">
    <w:name w:val="Normal Indent"/>
    <w:basedOn w:val="1"/>
    <w:qFormat/>
    <w:uiPriority w:val="0"/>
    <w:pPr>
      <w:ind w:firstLine="200" w:firstLineChars="200"/>
    </w:pPr>
  </w:style>
  <w:style w:type="paragraph" w:styleId="5">
    <w:name w:val="Body Text"/>
    <w:basedOn w:val="1"/>
    <w:next w:val="1"/>
    <w:qFormat/>
    <w:uiPriority w:val="0"/>
  </w:style>
  <w:style w:type="paragraph" w:styleId="6">
    <w:name w:val="Plain Text"/>
    <w:basedOn w:val="1"/>
    <w:unhideWhenUsed/>
    <w:qFormat/>
    <w:uiPriority w:val="99"/>
    <w:rPr>
      <w:rFonts w:ascii="宋体" w:hAnsi="Courier New"/>
      <w:szCs w:val="21"/>
    </w:rPr>
  </w:style>
  <w:style w:type="paragraph" w:styleId="7">
    <w:name w:val="Body Text Indent 2"/>
    <w:basedOn w:val="1"/>
    <w:qFormat/>
    <w:uiPriority w:val="0"/>
    <w:pPr>
      <w:spacing w:after="120" w:line="480" w:lineRule="auto"/>
      <w:ind w:left="420" w:leftChars="200"/>
    </w:p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11">
    <w:name w:val="font11"/>
    <w:basedOn w:val="9"/>
    <w:qFormat/>
    <w:uiPriority w:val="0"/>
    <w:rPr>
      <w:rFonts w:hint="eastAsia" w:ascii="宋体" w:hAnsi="宋体" w:eastAsia="宋体" w:cs="宋体"/>
      <w:b/>
      <w:bCs/>
      <w:color w:val="000000"/>
      <w:sz w:val="20"/>
      <w:szCs w:val="20"/>
      <w:u w:val="none"/>
    </w:rPr>
  </w:style>
  <w:style w:type="character" w:customStyle="1" w:styleId="12">
    <w:name w:val="font31"/>
    <w:basedOn w:val="9"/>
    <w:qFormat/>
    <w:uiPriority w:val="0"/>
    <w:rPr>
      <w:rFonts w:hint="eastAsia" w:ascii="宋体" w:hAnsi="宋体" w:eastAsia="宋体" w:cs="宋体"/>
      <w:b/>
      <w:bCs/>
      <w:color w:val="000000"/>
      <w:sz w:val="18"/>
      <w:szCs w:val="18"/>
      <w:u w:val="none"/>
    </w:rPr>
  </w:style>
  <w:style w:type="character" w:customStyle="1" w:styleId="13">
    <w:name w:val="font41"/>
    <w:basedOn w:val="9"/>
    <w:qFormat/>
    <w:uiPriority w:val="0"/>
    <w:rPr>
      <w:rFonts w:hint="eastAsia" w:ascii="宋体" w:hAnsi="宋体" w:eastAsia="宋体" w:cs="宋体"/>
      <w:color w:val="000000"/>
      <w:sz w:val="18"/>
      <w:szCs w:val="18"/>
      <w:u w:val="none"/>
    </w:rPr>
  </w:style>
  <w:style w:type="character" w:customStyle="1" w:styleId="14">
    <w:name w:val="font21"/>
    <w:basedOn w:val="9"/>
    <w:qFormat/>
    <w:uiPriority w:val="0"/>
    <w:rPr>
      <w:rFonts w:hint="default" w:ascii="Times New Roman" w:hAnsi="Times New Roman" w:cs="Times New Roman"/>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8FAF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Office_10.8.0.7041_F1E327BC-269C-435d-A152-05C5408002CA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2018-07-11T15:11:00Z</dcterms:created>
  <dc:creator>d</dc:creator>
  <cp:lastModifiedBy>王晓</cp:lastModifiedBy>
  <dcterms:modified xsi:type="dcterms:W3CDTF">2023-06-09T16:15:49Z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2052-10.8.0.7041</vt:lpwstr>
  </property>
</Properties>
</file>