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简体" w:hAnsi="方正大标宋简体" w:eastAsia="方正大标宋简体" w:cs="方正大标宋简体"/>
          <w:bCs/>
          <w:sz w:val="36"/>
          <w:szCs w:val="44"/>
        </w:rPr>
      </w:pPr>
      <w:r>
        <w:rPr>
          <w:rFonts w:hint="eastAsia" w:ascii="方正大标宋简体" w:hAnsi="方正大标宋简体" w:eastAsia="方正大标宋简体" w:cs="方正大标宋简体"/>
          <w:bCs/>
          <w:sz w:val="36"/>
          <w:szCs w:val="44"/>
        </w:rPr>
        <w:t>北京市投资促进服务中心2022年度</w:t>
      </w:r>
      <w:r>
        <w:rPr>
          <w:rFonts w:hint="eastAsia" w:ascii="方正大标宋简体" w:hAnsi="方正大标宋简体" w:eastAsia="方正大标宋简体" w:cs="方正大标宋简体"/>
          <w:bCs/>
          <w:sz w:val="36"/>
          <w:szCs w:val="44"/>
        </w:rPr>
        <w:br w:type="textWrapping"/>
      </w:r>
      <w:r>
        <w:rPr>
          <w:rFonts w:hint="eastAsia" w:ascii="方正大标宋简体" w:hAnsi="方正大标宋简体" w:eastAsia="方正大标宋简体" w:cs="方正大标宋简体"/>
          <w:bCs/>
          <w:sz w:val="36"/>
          <w:szCs w:val="44"/>
        </w:rPr>
        <w:t>“北京香港经济合作研讨洽谈会”</w:t>
      </w:r>
      <w:r>
        <w:rPr>
          <w:rFonts w:hint="eastAsia" w:ascii="方正大标宋简体" w:hAnsi="方正大标宋简体" w:eastAsia="方正大标宋简体" w:cs="方正大标宋简体"/>
          <w:bCs/>
          <w:sz w:val="36"/>
          <w:szCs w:val="44"/>
        </w:rPr>
        <w:br w:type="textWrapping"/>
      </w:r>
      <w:r>
        <w:rPr>
          <w:rFonts w:hint="eastAsia" w:ascii="方正大标宋简体" w:hAnsi="方正大标宋简体" w:eastAsia="方正大标宋简体" w:cs="方正大标宋简体"/>
          <w:bCs/>
          <w:sz w:val="36"/>
          <w:szCs w:val="44"/>
        </w:rPr>
        <w:t>项目支出绩效评价报告</w:t>
      </w:r>
    </w:p>
    <w:p>
      <w:pPr>
        <w:jc w:val="center"/>
        <w:rPr>
          <w:rFonts w:ascii="仿宋_GB2312"/>
          <w:szCs w:val="32"/>
        </w:rPr>
      </w:pPr>
    </w:p>
    <w:p>
      <w:pPr>
        <w:spacing w:line="560" w:lineRule="exact"/>
        <w:ind w:firstLine="640" w:firstLineChars="200"/>
        <w:rPr>
          <w:rFonts w:ascii="仿宋_GB2312" w:cs="仿宋_GB2312"/>
          <w:sz w:val="32"/>
          <w:szCs w:val="32"/>
        </w:rPr>
      </w:pPr>
      <w:r>
        <w:rPr>
          <w:rFonts w:hint="eastAsia" w:ascii="仿宋_GB2312" w:cs="仿宋_GB2312"/>
          <w:sz w:val="32"/>
          <w:szCs w:val="32"/>
        </w:rPr>
        <w:t>为提高财政资金使用效益，合理配置公共财政资源，根据《中华</w:t>
      </w:r>
      <w:r>
        <w:rPr>
          <w:rFonts w:ascii="仿宋_GB2312" w:cs="仿宋_GB2312"/>
          <w:sz w:val="32"/>
          <w:szCs w:val="32"/>
        </w:rPr>
        <w:t>人民共和国</w:t>
      </w:r>
      <w:r>
        <w:rPr>
          <w:rFonts w:hint="eastAsia" w:ascii="仿宋_GB2312" w:cs="仿宋_GB2312"/>
          <w:sz w:val="32"/>
          <w:szCs w:val="32"/>
        </w:rPr>
        <w:t>预算法》《北京市预算绩效管理办法》（京财绩效〔2019〕2129号）和《北京市项目支出绩效评价管理办法》（京财绩效〔2020〕2146号）等相关文件要求，北京市投资促进服务中心（“市投促中心”）成立了绩效自评工作组，于20</w:t>
      </w:r>
      <w:r>
        <w:rPr>
          <w:rFonts w:ascii="仿宋_GB2312" w:cs="仿宋_GB2312"/>
          <w:sz w:val="32"/>
          <w:szCs w:val="32"/>
        </w:rPr>
        <w:t>2</w:t>
      </w:r>
      <w:r>
        <w:rPr>
          <w:rFonts w:hint="eastAsia" w:ascii="仿宋_GB2312" w:cs="仿宋_GB2312"/>
          <w:sz w:val="32"/>
          <w:szCs w:val="32"/>
        </w:rPr>
        <w:t>3年5月，对2022年度“北京香港经济合作研讨洽谈会”项目开展了绩效评价。该项目</w:t>
      </w:r>
      <w:r>
        <w:rPr>
          <w:rFonts w:ascii="仿宋_GB2312" w:cs="仿宋_GB2312"/>
          <w:sz w:val="32"/>
          <w:szCs w:val="32"/>
        </w:rPr>
        <w:t>评价结果为</w:t>
      </w:r>
      <w:r>
        <w:rPr>
          <w:rFonts w:hint="eastAsia" w:ascii="仿宋_GB2312" w:cs="仿宋_GB2312"/>
          <w:sz w:val="32"/>
          <w:szCs w:val="32"/>
        </w:rPr>
        <w:t>86.33 分，评价等级为良。评价情况如下：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0" w:name="_Toc29427"/>
      <w:r>
        <w:rPr>
          <w:rFonts w:hint="eastAsia" w:ascii="黑体" w:hAnsi="黑体" w:eastAsia="黑体" w:cs="黑体"/>
          <w:sz w:val="32"/>
          <w:szCs w:val="32"/>
        </w:rPr>
        <w:t>一、基本情况</w:t>
      </w:r>
      <w:bookmarkEnd w:id="0"/>
    </w:p>
    <w:p>
      <w:pPr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1" w:name="_Toc12133"/>
      <w:r>
        <w:rPr>
          <w:rFonts w:hint="eastAsia" w:ascii="楷体_GB2312" w:hAnsi="楷体_GB2312" w:eastAsia="楷体_GB2312" w:cs="楷体_GB2312"/>
          <w:sz w:val="32"/>
          <w:szCs w:val="32"/>
        </w:rPr>
        <w:t>（一）项目概况</w:t>
      </w:r>
      <w:bookmarkEnd w:id="1"/>
    </w:p>
    <w:p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深入学习领会习近平总书记在庆祝香港回归祖国25周年大会暨香港特别行政区第六届政府就职典礼上的重要讲话精神，落实京港合作第四次会议要求，围绕“五子”联动，紧紧抓住北京“两区”建设重大契机，加强顶层设计，深化京港两地在基础研究与原始创新、金融与专业服务、数字经济与国际消费中心城市建设、智慧城市建设、共建“一带一路”、高等教育、文化艺术等方面的高质量合作。</w:t>
      </w:r>
    </w:p>
    <w:p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2022年是香港回归祖国第25周年，也是实施“十四五”规划承上启下的重要一年，为筹备和组织好第二十五届北京·香港经济合作研讨洽谈会（以下简称“京港洽谈会”），以北京“两区”建设及京港两地合作领域新机遇、新需求为导向，加强重点领域的多层次、宽领域、高水平的合作，促进互利共赢、共创繁荣。</w:t>
      </w:r>
    </w:p>
    <w:p>
      <w:pPr>
        <w:numPr>
          <w:ilvl w:val="0"/>
          <w:numId w:val="1"/>
        </w:numPr>
        <w:spacing w:line="580" w:lineRule="exact"/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2" w:name="_Toc28633"/>
      <w:r>
        <w:rPr>
          <w:rFonts w:hint="eastAsia" w:ascii="楷体_GB2312" w:hAnsi="楷体_GB2312" w:eastAsia="楷体_GB2312" w:cs="楷体_GB2312"/>
          <w:sz w:val="32"/>
          <w:szCs w:val="32"/>
        </w:rPr>
        <w:t>项目绩效目标</w:t>
      </w:r>
      <w:bookmarkEnd w:id="2"/>
    </w:p>
    <w:p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绩效目标1：深入贯彻落实党中央决策部署，全面准确贯彻“一国两制”基本方针，打造京港“双城经济”、讲好“双城故事”，构建合作新格局，探索发展新路径，更好服务国家发展大局。</w:t>
      </w:r>
    </w:p>
    <w:p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绩效目标2：积极吸引包括香港在内的境内外投资人和企业到北京发展，促进符合首都城市战略定位的高质量项目落户北京。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3" w:name="_Toc22611"/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  <w:bookmarkEnd w:id="3"/>
    </w:p>
    <w:p>
      <w:pPr>
        <w:pStyle w:val="2"/>
        <w:ind w:firstLine="64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4" w:name="_Toc16340"/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</w:t>
      </w:r>
      <w:bookmarkEnd w:id="4"/>
    </w:p>
    <w:p>
      <w:pPr>
        <w:spacing w:line="580" w:lineRule="exact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为深入贯彻落实北京市财政局（以下简称“市财政局”）《关于印发进一步深化项目支出绩效预算管理改革的意见的通知》（京财预〔2017〕2944号）等文件精神，按照《北京市财政局关于2023年推进全面预算绩效管理工作的通知》要求，依据《北京市项目支出绩效评价管理办法》（京财绩效〔2020〕2146号），聚焦2022年第二十五届北京·香港经济合作研讨洽谈会项目资金，围绕决策、过程、产出及效益情况开展评价，总结经验，发现问题，剖析原因，提出改进建议，为相关部门科学决策、规范管理提供参考，进一步优化预算绩效管理工作，提高财政资金配置效率和使用效益。</w:t>
      </w:r>
    </w:p>
    <w:p>
      <w:pPr>
        <w:spacing w:line="600" w:lineRule="exact"/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5" w:name="_Toc2861"/>
      <w:r>
        <w:rPr>
          <w:rFonts w:hint="eastAsia" w:ascii="楷体_GB2312" w:hAnsi="楷体_GB2312" w:eastAsia="楷体_GB2312" w:cs="楷体_GB2312"/>
          <w:sz w:val="32"/>
          <w:szCs w:val="32"/>
        </w:rPr>
        <w:t>（二）绩效评价原则、评价指标体系（附表说明）、评价方法、评价标准等</w:t>
      </w:r>
      <w:bookmarkEnd w:id="5"/>
    </w:p>
    <w:p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本次评价本着问题导向、系统评价、科学客观、讲求绩效的原则，采用全面评价和重点评价相结合、现场评价和非现场评价相结合、定性分析与定量分析相结合的方式，运用案卷研究、专家咨询、座谈访谈、问卷调查等方法，对项目决策、过程、产出、效益四方面进行综合评价。根据《北京市项目支出绩效评价管理办法》（京财绩效〔2020〕2146号）相关精神，结合项目特点，在与专家组、业务处室、项目单位充分协商的基础上，绩效自评工作组细化了该项目的绩效评价指标体系，详见附件1。评价指标体系总分值为100分，其中项目决策10分，项目过程30分，项目产出40分，项目效益20分。绩效评价综合绩效级别分为4个等级：综合得分在90（含）-100分为优；综合得分在80（含）-90分为良；综合得分在60（含）-80分为中；综合得分在60分以下为较差。</w:t>
      </w:r>
    </w:p>
    <w:p>
      <w:pPr>
        <w:pStyle w:val="2"/>
        <w:numPr>
          <w:ilvl w:val="0"/>
          <w:numId w:val="2"/>
        </w:numPr>
        <w:ind w:firstLine="64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6" w:name="_Toc13695"/>
      <w:r>
        <w:rPr>
          <w:rFonts w:hint="eastAsia" w:ascii="楷体_GB2312" w:hAnsi="楷体_GB2312" w:eastAsia="楷体_GB2312" w:cs="楷体_GB2312"/>
          <w:sz w:val="32"/>
          <w:szCs w:val="32"/>
        </w:rPr>
        <w:t>绩效评价工作过程</w:t>
      </w:r>
      <w:bookmarkEnd w:id="6"/>
    </w:p>
    <w:p>
      <w:pPr>
        <w:pStyle w:val="2"/>
        <w:numPr>
          <w:ilvl w:val="0"/>
          <w:numId w:val="3"/>
        </w:numPr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准备阶段：2023年5月6日-5月8日</w:t>
      </w:r>
    </w:p>
    <w:p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北京市投资促进服务中心组建了绩效自评工作组，辅导业务处室、项目单位撰写绩效报告、准备资料、完善绩效目标申报表；在充分沟通的基础上进行项目资料收集、整理和分析工作；辅导业务处室完善绩效报告，形成绩效报告终稿；完成专家遴选、专家培训等相关工作，组建绩效评价专家组，包括1名绩效管理专家、2名业务专家、2名财务专家；根据项目情况及资料分析情况，绩效自评工作组编制了绩效自评工作方案。</w:t>
      </w:r>
    </w:p>
    <w:p>
      <w:pPr>
        <w:pStyle w:val="2"/>
        <w:numPr>
          <w:ilvl w:val="0"/>
          <w:numId w:val="3"/>
        </w:numPr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实施阶段：2023年5月9日-18日</w:t>
      </w:r>
    </w:p>
    <w:p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绩效自评工作组于2023年5月12日召开了绩效评价会议。专家组通过听取汇报、质询、查阅资料等方式，了解项目的执行情况，对该项目进行了综合评价。</w:t>
      </w:r>
    </w:p>
    <w:p>
      <w:pPr>
        <w:pStyle w:val="2"/>
        <w:numPr>
          <w:ilvl w:val="0"/>
          <w:numId w:val="3"/>
        </w:numPr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评价分析阶段：2023年5月19日-20日</w:t>
      </w:r>
    </w:p>
    <w:p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绩效自评工作组根据收集到的项目相关资料以及专家组意见，对项目决策、过程、产出及效益情况进行综合分析，按照规定的文本格式和内容撰写绩效评价报告，提交项目单位征求意见。2023年5月20日前，根据反馈意见，修改形成绩效评价报告正式稿，上报市财政局。</w:t>
      </w:r>
    </w:p>
    <w:p>
      <w:pPr>
        <w:pStyle w:val="2"/>
        <w:numPr>
          <w:ilvl w:val="0"/>
          <w:numId w:val="4"/>
        </w:numPr>
        <w:ind w:firstLine="640"/>
        <w:outlineLvl w:val="0"/>
        <w:rPr>
          <w:rFonts w:ascii="黑体" w:hAnsi="黑体" w:eastAsia="黑体" w:cs="黑体"/>
          <w:sz w:val="32"/>
          <w:szCs w:val="32"/>
        </w:rPr>
      </w:pPr>
      <w:bookmarkStart w:id="7" w:name="_Toc7075"/>
      <w:r>
        <w:rPr>
          <w:rFonts w:hint="eastAsia" w:ascii="黑体" w:hAnsi="黑体" w:eastAsia="黑体" w:cs="黑体"/>
          <w:sz w:val="32"/>
          <w:szCs w:val="32"/>
        </w:rPr>
        <w:t>综合评价情况及评价结论</w:t>
      </w:r>
      <w:bookmarkEnd w:id="7"/>
    </w:p>
    <w:p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截至2022年12月底，项目完成了北京会场搭建/设备/制作工作、第二十五届京港洽谈会在北京香港两地网络系统/线上系统/直播系统及相关配套人员等工作、香港会场搭建/设备/制作工作及国家会议中心场地租赁服务。为更好地衡量绩效目标实现情况，本级大型活动处对绩效目标进行分解、细化，设置了涉及产出数量、质量、进度及成本的产出指标和涵盖效益、服务对象满意度的效果指标。</w:t>
      </w:r>
    </w:p>
    <w:p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但是项目存在缺少统筹规划和顶层设计，部分绩效指标设置不够合理，作为长期性项目，未看到项目中长期发展规划，项目实施对北京市的经济发展的促进作用，项目决策的统筹性、规划性不足。项目综合评价得分86.33分，评价等级为“良”。</w:t>
      </w:r>
    </w:p>
    <w:tbl>
      <w:tblPr>
        <w:tblStyle w:val="9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127"/>
        <w:gridCol w:w="2069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  <w:jc w:val="center"/>
        </w:trPr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一级指标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分值</w:t>
            </w:r>
          </w:p>
        </w:tc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得分</w:t>
            </w:r>
          </w:p>
        </w:tc>
        <w:tc>
          <w:tcPr>
            <w:tcW w:w="223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得分率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决策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10</w:t>
            </w:r>
          </w:p>
        </w:tc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8.3</w:t>
            </w:r>
          </w:p>
        </w:tc>
        <w:tc>
          <w:tcPr>
            <w:tcW w:w="223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82.8%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过程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30</w:t>
            </w:r>
          </w:p>
        </w:tc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25.39</w:t>
            </w:r>
          </w:p>
        </w:tc>
        <w:tc>
          <w:tcPr>
            <w:tcW w:w="223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84.63%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产出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40</w:t>
            </w:r>
          </w:p>
        </w:tc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37.66</w:t>
            </w:r>
          </w:p>
        </w:tc>
        <w:tc>
          <w:tcPr>
            <w:tcW w:w="223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94.15%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效益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20</w:t>
            </w:r>
          </w:p>
        </w:tc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15</w:t>
            </w:r>
          </w:p>
        </w:tc>
        <w:tc>
          <w:tcPr>
            <w:tcW w:w="223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75%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合　计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sz w:val="32"/>
                <w:szCs w:val="32"/>
              </w:rPr>
              <w:t>100</w:t>
            </w:r>
          </w:p>
        </w:tc>
        <w:tc>
          <w:tcPr>
            <w:tcW w:w="20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86.33</w:t>
            </w:r>
          </w:p>
        </w:tc>
        <w:tc>
          <w:tcPr>
            <w:tcW w:w="223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</w:rPr>
              <w:t>86.33%</w:t>
            </w:r>
          </w:p>
        </w:tc>
      </w:tr>
    </w:tbl>
    <w:p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8" w:name="_Toc23387"/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  <w:bookmarkEnd w:id="8"/>
    </w:p>
    <w:p>
      <w:pPr>
        <w:pStyle w:val="2"/>
        <w:ind w:firstLine="64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9" w:name="_Toc8571"/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</w:t>
      </w:r>
      <w:bookmarkEnd w:id="9"/>
    </w:p>
    <w:p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按照北京市投资促进服务中心项目申报的统一要求，本级大型活动处编制了项目申报文本、预算测算明细和绩效目标申报表等预算申报材料。项目围绕第二十五届京港洽谈会的“融入新格局 合作谱新篇”为主题会议研究制定了绩效目标，绩效目标与项目实施内容具有相关性，与项目预算结构相匹配。但绩效目标设定明确性、合理性、细化量化程度不够，绩效目标的可衡量性不足；时效指标没有将关键性、控制性工作节点与日历时间相关联；效益指标没有量化数值指标；项目投资规模380万元，未看到有关项目可行性研究与专家论证支撑依据。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cs="仿宋_GB2312"/>
          <w:sz w:val="32"/>
          <w:szCs w:val="32"/>
        </w:rPr>
      </w:pPr>
      <w:bookmarkStart w:id="10" w:name="_Toc27702"/>
      <w:r>
        <w:rPr>
          <w:rFonts w:hint="eastAsia" w:ascii="楷体_GB2312" w:hAnsi="楷体_GB2312" w:eastAsia="楷体_GB2312" w:cs="楷体_GB2312"/>
          <w:sz w:val="32"/>
          <w:szCs w:val="32"/>
        </w:rPr>
        <w:t>（二）项目过程情况</w:t>
      </w:r>
      <w:bookmarkEnd w:id="10"/>
    </w:p>
    <w:p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财务管理制度健全，资金足额、及时到位，预算执行良好。项目资金到位率100%。截至2022年底，项目实际支出376.273万元，结算评审后结余3.727万元，资金执行率99.02%。项目资金进行了单独核算，资金请示、审批及支付程序完整、规范。资金使用符合预算批复的规定用途，未发现项目存在截留、挤占、挪用、虚列支出等情况。</w:t>
      </w:r>
      <w:bookmarkStart w:id="11" w:name="_Hlk75160687"/>
      <w:bookmarkStart w:id="12" w:name="_Hlk72555566"/>
      <w:r>
        <w:rPr>
          <w:rFonts w:hint="eastAsia" w:ascii="仿宋_GB2312" w:hAnsi="仿宋_GB2312" w:cs="仿宋_GB2312"/>
          <w:sz w:val="32"/>
          <w:szCs w:val="32"/>
        </w:rPr>
        <w:t>项目财务管理及业务管理制度健全，</w:t>
      </w:r>
      <w:bookmarkEnd w:id="11"/>
      <w:bookmarkEnd w:id="12"/>
      <w:r>
        <w:rPr>
          <w:rFonts w:hint="eastAsia" w:ascii="仿宋_GB2312" w:hAnsi="仿宋_GB2312" w:cs="仿宋_GB2312"/>
          <w:sz w:val="32"/>
          <w:szCs w:val="32"/>
        </w:rPr>
        <w:t>项目政府采购、合同管理、验收管理等各项制度执行情况较好。</w:t>
      </w:r>
    </w:p>
    <w:p>
      <w:pPr>
        <w:spacing w:line="600" w:lineRule="exact"/>
        <w:ind w:firstLine="640" w:firstLineChars="200"/>
        <w:outlineLvl w:val="1"/>
        <w:rPr>
          <w:rFonts w:ascii="楷体_GB2312" w:hAnsi="楷体_GB2312" w:eastAsia="楷体_GB2312" w:cs="楷体_GB2312"/>
          <w:sz w:val="32"/>
          <w:szCs w:val="32"/>
        </w:rPr>
      </w:pPr>
      <w:bookmarkStart w:id="13" w:name="_Toc28128"/>
      <w:r>
        <w:rPr>
          <w:rFonts w:hint="eastAsia" w:ascii="楷体_GB2312" w:hAnsi="楷体_GB2312" w:eastAsia="楷体_GB2312" w:cs="楷体_GB2312"/>
          <w:sz w:val="32"/>
          <w:szCs w:val="32"/>
        </w:rPr>
        <w:t>（三）项目产出情况</w:t>
      </w:r>
      <w:bookmarkEnd w:id="13"/>
    </w:p>
    <w:p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截至2022年底，项目各项工作均已完成。一是完成北京会场搭建/设备/制作工作；二是第二十五届京港洽谈会在北京香港两地网络系统/线上系统/直播系统及相关配套人员等工作；三是香港会场搭建/设备/制作工作、四是国家会议中心场地租赁服务。     </w:t>
      </w:r>
    </w:p>
    <w:p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项目完成质量良好。一是项目组织质量高，内容完成及实施效果情况良好，北京香港</w:t>
      </w:r>
      <w:r>
        <w:rPr>
          <w:rFonts w:hint="eastAsia"/>
          <w:szCs w:val="32"/>
          <w:lang w:val="zh-CN"/>
        </w:rPr>
        <w:t>两地政府主要领导</w:t>
      </w:r>
      <w:r>
        <w:rPr>
          <w:rFonts w:hint="eastAsia"/>
          <w:szCs w:val="32"/>
        </w:rPr>
        <w:t>出席会议</w:t>
      </w:r>
      <w:r>
        <w:rPr>
          <w:rFonts w:hint="eastAsia" w:ascii="仿宋_GB2312" w:hAnsi="仿宋_GB2312" w:cs="仿宋_GB2312"/>
          <w:sz w:val="32"/>
          <w:szCs w:val="32"/>
        </w:rPr>
        <w:t>。二是项目工作结案报告和总结报告符合《第二十五届北京·香港经济合作研讨洽谈会总体方案》的相关要求。</w:t>
      </w:r>
    </w:p>
    <w:p>
      <w:pPr>
        <w:ind w:firstLine="640" w:firstLineChars="200"/>
        <w:rPr>
          <w:rFonts w:ascii="仿宋_GB2312" w:hAnsi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cs="仿宋_GB2312"/>
          <w:sz w:val="32"/>
          <w:szCs w:val="32"/>
        </w:rPr>
        <w:t>项目各项工作均按计划时限完成，项目完成及时性良好。项目于2022年12月14日至15日，在北京和香港分设会场，以“线上+线下”方式成功举办，北京会场为线下设在北京国家会议中心。</w:t>
      </w:r>
    </w:p>
    <w:p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项目实施采取了合理的成本控制措施，项目成本控制情况良好。项目执行前，通过预算评审，确定了合理的预算规模；项目执行中，通过公开招标的方式确定服务供应商，一定程度上确保了项目支出的可控性；项目执行完毕后，通过结算评审确定实际支付金额。以上措施确保项目各子项费用均未超预算支出。</w:t>
      </w:r>
    </w:p>
    <w:p>
      <w:pPr>
        <w:ind w:firstLine="480" w:firstLineChars="150"/>
        <w:rPr>
          <w:rFonts w:ascii="楷体_GB2312" w:hAnsi="楷体_GB2312" w:eastAsia="楷体_GB2312" w:cs="楷体_GB2312"/>
          <w:sz w:val="32"/>
          <w:szCs w:val="32"/>
        </w:rPr>
      </w:pPr>
      <w:bookmarkStart w:id="14" w:name="_Toc22466"/>
      <w:r>
        <w:rPr>
          <w:rFonts w:hint="eastAsia" w:ascii="楷体_GB2312" w:hAnsi="楷体_GB2312" w:eastAsia="楷体_GB2312" w:cs="楷体_GB2312"/>
          <w:sz w:val="32"/>
          <w:szCs w:val="32"/>
        </w:rPr>
        <w:t>（四）项目效益情况</w:t>
      </w:r>
      <w:bookmarkEnd w:id="14"/>
    </w:p>
    <w:p>
      <w:pPr>
        <w:ind w:firstLine="480" w:firstLineChars="15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一方面，</w:t>
      </w:r>
      <w:bookmarkStart w:id="15" w:name="OLE_LINK53"/>
      <w:r>
        <w:rPr>
          <w:rFonts w:hint="eastAsia" w:ascii="仿宋_GB2312" w:hAnsi="仿宋_GB2312" w:cs="仿宋_GB2312"/>
          <w:sz w:val="32"/>
          <w:szCs w:val="32"/>
        </w:rPr>
        <w:t>项目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成为京港两地展示合作成果，促进交流合作的重要平台，</w:t>
      </w:r>
      <w:r>
        <w:rPr>
          <w:rFonts w:ascii="仿宋_GB2312" w:hAnsi="仿宋_GB2312" w:cs="仿宋_GB2312"/>
          <w:sz w:val="32"/>
          <w:szCs w:val="32"/>
        </w:rPr>
        <w:t>本届京港洽谈会继续发挥桥梁纽带作用，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围绕京港两地优势，聚焦现代服务业、科技创新等新领域设置活动内容，</w:t>
      </w:r>
      <w:r>
        <w:rPr>
          <w:rFonts w:ascii="仿宋_GB2312" w:hAnsi="仿宋_GB2312" w:cs="仿宋_GB2312"/>
          <w:sz w:val="32"/>
          <w:szCs w:val="32"/>
        </w:rPr>
        <w:t>推动</w:t>
      </w:r>
      <w:r>
        <w:rPr>
          <w:rFonts w:hint="eastAsia" w:ascii="仿宋_GB2312" w:hAnsi="仿宋_GB2312" w:cs="仿宋_GB2312"/>
          <w:sz w:val="32"/>
          <w:szCs w:val="32"/>
          <w:lang w:val="zh-CN"/>
        </w:rPr>
        <w:t>扩展京港两地合作空间；</w:t>
      </w:r>
      <w:r>
        <w:rPr>
          <w:rFonts w:hint="eastAsia" w:ascii="仿宋_GB2312" w:hAnsi="仿宋_GB2312" w:cs="仿宋_GB2312"/>
          <w:sz w:val="32"/>
          <w:szCs w:val="32"/>
        </w:rPr>
        <w:t>另一方面，</w:t>
      </w:r>
      <w:bookmarkEnd w:id="15"/>
      <w:r>
        <w:rPr>
          <w:rFonts w:hint="eastAsia" w:ascii="仿宋_GB2312" w:hAnsi="仿宋_GB2312" w:cs="仿宋_GB2312"/>
          <w:sz w:val="32"/>
          <w:szCs w:val="32"/>
        </w:rPr>
        <w:t>两地在多领域合作持续深入，共同推动京港两地一批重大项目建设落地，</w:t>
      </w:r>
      <w:r>
        <w:rPr>
          <w:rFonts w:hint="eastAsia" w:ascii="仿宋_GB2312" w:hAnsi="仿宋_GB2312" w:cs="仿宋_GB2312"/>
          <w:szCs w:val="32"/>
          <w:lang w:val="zh-CN"/>
        </w:rPr>
        <w:t>本届京港洽谈会京港合作峰会上</w:t>
      </w:r>
      <w:r>
        <w:rPr>
          <w:rFonts w:hint="eastAsia" w:ascii="仿宋_GB2312" w:hAnsi="仿宋_GB2312" w:cs="仿宋_GB2312"/>
          <w:szCs w:val="32"/>
        </w:rPr>
        <w:t>，</w:t>
      </w:r>
      <w:r>
        <w:rPr>
          <w:rFonts w:hint="eastAsia" w:ascii="仿宋_GB2312" w:hAnsi="仿宋_GB2312" w:cs="仿宋_GB2312"/>
          <w:szCs w:val="32"/>
          <w:lang w:val="zh-CN"/>
        </w:rPr>
        <w:t>医药健康、文化教育、数字经济和智慧物流等领域9个项目现场签约，涉及金额92.02亿美元</w:t>
      </w:r>
      <w:r>
        <w:rPr>
          <w:rFonts w:hint="eastAsia" w:ascii="仿宋_GB2312" w:hAnsi="仿宋_GB2312" w:cs="仿宋_GB2312"/>
          <w:szCs w:val="32"/>
        </w:rPr>
        <w:t>。专题活动中，</w:t>
      </w:r>
      <w:r>
        <w:rPr>
          <w:rFonts w:hint="eastAsia" w:ascii="仿宋_GB2312" w:hAnsi="仿宋_GB2312" w:cs="仿宋_GB2312"/>
          <w:szCs w:val="32"/>
          <w:lang w:val="zh-CN"/>
        </w:rPr>
        <w:t>14个合作备忘录及战略合作协议、6个《北京市创新型绿色技术推荐目录（2022年版）》等指引发布，1家创新服务基地授牌，10个项目进入“京港青创杯”创业大赛总决赛，100个</w:t>
      </w:r>
      <w:r>
        <w:rPr>
          <w:rFonts w:hint="eastAsia" w:ascii="仿宋_GB2312" w:hAnsi="仿宋_GB2312" w:cs="仿宋_GB2312"/>
          <w:szCs w:val="32"/>
        </w:rPr>
        <w:t>双向投资项目发布</w:t>
      </w:r>
      <w:r>
        <w:rPr>
          <w:rFonts w:hint="eastAsia" w:ascii="仿宋_GB2312" w:hAnsi="仿宋_GB2312" w:cs="仿宋_GB2312"/>
          <w:szCs w:val="32"/>
          <w:lang w:val="zh-CN"/>
        </w:rPr>
        <w:t>。</w:t>
      </w:r>
    </w:p>
    <w:p>
      <w:pPr>
        <w:numPr>
          <w:ilvl w:val="0"/>
          <w:numId w:val="5"/>
        </w:numPr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16" w:name="_Toc20523"/>
      <w:r>
        <w:rPr>
          <w:rFonts w:hint="eastAsia" w:ascii="黑体" w:hAnsi="黑体" w:eastAsia="黑体" w:cs="黑体"/>
          <w:sz w:val="32"/>
          <w:szCs w:val="32"/>
        </w:rPr>
        <w:t>主要经验及做法、存在的问题及原因分析</w:t>
      </w:r>
      <w:bookmarkEnd w:id="16"/>
    </w:p>
    <w:p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1.项目未形成中长期发展规划，未对项目总体目标、阶段性目标以及总体预期效果等从顶层设计上加以明确，项目实施对京港两地企业的宣传效果仍需进一步深挖。</w:t>
      </w:r>
    </w:p>
    <w:p>
      <w:pPr>
        <w:ind w:firstLine="640" w:firstLineChars="20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2.项目未建立起对供应商的监督管理机制，本级大型活动处与供应商协同推进项目实施体现的不够充分。</w:t>
      </w:r>
    </w:p>
    <w:p>
      <w:pPr>
        <w:pStyle w:val="2"/>
        <w:ind w:firstLine="640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3.项目的产出资料归集的完整性不足。参会的线上和线下人员规模与结构分析不明确，参会的政府机构、投资机构、签约项目与意向投资项目、投资规模等统计资料未看到。投资领域的扩宽，没有量化数据支撑。</w:t>
      </w:r>
    </w:p>
    <w:p>
      <w:pPr>
        <w:pStyle w:val="7"/>
        <w:widowControl/>
        <w:spacing w:beforeAutospacing="0" w:afterAutospacing="0"/>
        <w:ind w:firstLine="640" w:firstLineChars="200"/>
      </w:pPr>
      <w:r>
        <w:rPr>
          <w:rFonts w:hint="eastAsia" w:ascii="仿宋_GB2312" w:hAnsi="仿宋_GB2312" w:cs="仿宋_GB2312"/>
          <w:kern w:val="2"/>
          <w:sz w:val="32"/>
          <w:szCs w:val="32"/>
        </w:rPr>
        <w:t>4.项目效益的体现不充分，对实际签约项目、投资规模的统计与分析不充分，项目的社会效益、经济效益、可持续影响梳理的不清晰。另一方面，未看到满意度调查资料。满意度调查应当针对不同的受益对象(政府、投资机构、参会自然人等)进行问卷调查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17" w:name="_Toc31927"/>
      <w:bookmarkStart w:id="18" w:name="OLE_LINK58"/>
      <w:r>
        <w:rPr>
          <w:rFonts w:hint="eastAsia" w:ascii="黑体" w:hAnsi="黑体" w:eastAsia="黑体" w:cs="黑体"/>
          <w:sz w:val="32"/>
          <w:szCs w:val="32"/>
        </w:rPr>
        <w:t>六、有关建议</w:t>
      </w:r>
      <w:bookmarkEnd w:id="17"/>
    </w:p>
    <w:p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kern w:val="2"/>
          <w:sz w:val="32"/>
          <w:szCs w:val="32"/>
        </w:rPr>
      </w:pPr>
      <w:r>
        <w:rPr>
          <w:rFonts w:hint="eastAsia" w:ascii="仿宋_GB2312" w:hAnsi="仿宋_GB2312" w:cs="仿宋_GB2312"/>
          <w:kern w:val="2"/>
          <w:sz w:val="32"/>
          <w:szCs w:val="32"/>
        </w:rPr>
        <w:t>1.进一步加强项目顶层设计，统筹制定项目实施中长期规划，应编制具有针对性、指导性、可操作性的中长期发展规划，以及项目管理办法。对投资规模超过200万元的项目，应按照财政预算管理要求，开展可行性研究与专家论证，提高决策的科学性。</w:t>
      </w:r>
    </w:p>
    <w:bookmarkEnd w:id="18"/>
    <w:p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kern w:val="2"/>
          <w:sz w:val="32"/>
          <w:szCs w:val="32"/>
        </w:rPr>
      </w:pPr>
      <w:r>
        <w:rPr>
          <w:rFonts w:hint="eastAsia" w:ascii="仿宋_GB2312" w:hAnsi="仿宋_GB2312" w:cs="仿宋_GB2312"/>
          <w:kern w:val="2"/>
          <w:sz w:val="32"/>
          <w:szCs w:val="32"/>
        </w:rPr>
        <w:t xml:space="preserve">2.建议项目单位在现有管理模式基础上，进一步完善项目管理机制，继续加强项目实施过程的监督管理。 </w:t>
      </w:r>
    </w:p>
    <w:p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kern w:val="2"/>
          <w:sz w:val="32"/>
          <w:szCs w:val="32"/>
        </w:rPr>
      </w:pPr>
      <w:r>
        <w:rPr>
          <w:rFonts w:hint="eastAsia" w:ascii="仿宋_GB2312" w:hAnsi="仿宋_GB2312" w:cs="仿宋_GB2312"/>
          <w:kern w:val="2"/>
          <w:sz w:val="32"/>
          <w:szCs w:val="32"/>
        </w:rPr>
        <w:t>3.加强项目成本核算管理，为成本绩效分析打好基础。</w:t>
      </w:r>
    </w:p>
    <w:p>
      <w:pPr>
        <w:pStyle w:val="7"/>
        <w:widowControl/>
        <w:spacing w:beforeAutospacing="0" w:afterAutospacing="0"/>
        <w:ind w:firstLine="640" w:firstLineChars="200"/>
        <w:rPr>
          <w:rFonts w:ascii="仿宋_GB2312" w:hAnsi="仿宋_GB2312" w:cs="仿宋_GB2312"/>
          <w:kern w:val="2"/>
          <w:sz w:val="32"/>
          <w:szCs w:val="32"/>
        </w:rPr>
      </w:pPr>
      <w:r>
        <w:rPr>
          <w:rFonts w:hint="eastAsia" w:ascii="仿宋_GB2312" w:hAnsi="仿宋_GB2312" w:cs="仿宋_GB2312"/>
          <w:kern w:val="2"/>
          <w:sz w:val="32"/>
          <w:szCs w:val="32"/>
        </w:rPr>
        <w:t>4.加强满意度调查，提高财政资金投入绩效的显现度。</w:t>
      </w:r>
    </w:p>
    <w:p>
      <w:pPr>
        <w:spacing w:line="600" w:lineRule="exact"/>
        <w:ind w:firstLine="640" w:firstLineChars="200"/>
        <w:outlineLvl w:val="0"/>
        <w:rPr>
          <w:rFonts w:ascii="黑体" w:hAnsi="黑体" w:eastAsia="黑体" w:cs="黑体"/>
          <w:sz w:val="32"/>
          <w:szCs w:val="32"/>
        </w:rPr>
      </w:pPr>
      <w:bookmarkStart w:id="19" w:name="_Toc19946"/>
      <w:r>
        <w:rPr>
          <w:rFonts w:hint="eastAsia" w:ascii="黑体" w:hAnsi="黑体" w:eastAsia="黑体" w:cs="黑体"/>
          <w:sz w:val="32"/>
          <w:szCs w:val="32"/>
        </w:rPr>
        <w:t>七、其他需要说明的问题</w:t>
      </w:r>
      <w:bookmarkEnd w:id="19"/>
    </w:p>
    <w:p>
      <w:pPr>
        <w:pStyle w:val="2"/>
        <w:ind w:firstLine="640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无。</w:t>
      </w:r>
    </w:p>
    <w:p>
      <w:pPr>
        <w:pStyle w:val="2"/>
        <w:ind w:firstLine="640"/>
        <w:rPr>
          <w:rFonts w:hint="eastAsia" w:ascii="仿宋_GB2312" w:hAnsi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附件  </w:t>
      </w:r>
      <w:r>
        <w:rPr>
          <w:rFonts w:hint="eastAsia" w:ascii="仿宋_GB2312" w:hAnsi="仿宋_GB2312" w:cs="仿宋_GB2312"/>
          <w:sz w:val="32"/>
          <w:szCs w:val="32"/>
        </w:rPr>
        <w:t>项目支出绩效评价指标体系及评分表</w:t>
      </w:r>
    </w:p>
    <w:p>
      <w:pPr>
        <w:rPr>
          <w:sz w:val="24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br w:type="page"/>
      </w:r>
    </w:p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outlineLvl w:val="0"/>
        <w:rPr>
          <w:rFonts w:ascii="仿宋_GB2312" w:hAnsi="仿宋_GB2312" w:cs="仿宋_GB2312"/>
          <w:sz w:val="32"/>
          <w:szCs w:val="32"/>
        </w:rPr>
      </w:pPr>
      <w:bookmarkStart w:id="20" w:name="_Toc6283"/>
      <w:r>
        <w:rPr>
          <w:rFonts w:hint="eastAsia" w:ascii="仿宋_GB2312" w:hAnsi="仿宋_GB2312" w:cs="仿宋_GB2312"/>
          <w:sz w:val="32"/>
          <w:szCs w:val="32"/>
        </w:rPr>
        <w:t>附件</w:t>
      </w:r>
      <w:bookmarkEnd w:id="20"/>
    </w:p>
    <w:p>
      <w:pPr>
        <w:jc w:val="center"/>
        <w:outlineLvl w:val="0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</w:pPr>
      <w:bookmarkStart w:id="21" w:name="_Toc15163"/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bidi="ar"/>
        </w:rPr>
        <w:t>项目支出绩效评价指标体系及评分表</w:t>
      </w:r>
      <w:bookmarkEnd w:id="21"/>
    </w:p>
    <w:p>
      <w:pPr>
        <w:pStyle w:val="2"/>
        <w:ind w:firstLine="482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bidi="ar"/>
        </w:rPr>
        <w:t>项目名称：北京香港经济合作研讨洽谈会</w:t>
      </w:r>
    </w:p>
    <w:tbl>
      <w:tblPr>
        <w:tblStyle w:val="9"/>
        <w:tblW w:w="13938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1918"/>
        <w:gridCol w:w="1938"/>
        <w:gridCol w:w="4145"/>
        <w:gridCol w:w="3208"/>
        <w:gridCol w:w="9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tblHeader/>
        </w:trPr>
        <w:tc>
          <w:tcPr>
            <w:tcW w:w="1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一级指标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二级指标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三级指标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具体指标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评分标准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决策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绩效目标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目标内容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设立了项目绩效目标；目标明确；目标细化、量化。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A:设有目标2分；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B:目标明确、合理2分；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C:目标细化、量化1分。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4.2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决策过程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（5分）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决策依据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有关法律法规明确规定；项目规划明确；</w:t>
            </w:r>
            <w:r>
              <w:rPr>
                <w:rStyle w:val="12"/>
                <w:rFonts w:hint="default"/>
                <w:lang w:bidi="ar"/>
              </w:rPr>
              <w:t>符合年度工作计划；符合项目实际需求。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A:符合法律法规、项目规划2分；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B:符合年度工作计划，针对实际需求得1分；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决策程序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（2分）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项目符合申报条件；申报、批复程序符合相关管理办法；项止调整履行了相应手续。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A:项目符合申报条件1分；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B:项目申报、批复程序符合管理办法且履行相应手续1分；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93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过程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（30分）</w:t>
            </w:r>
          </w:p>
        </w:tc>
        <w:tc>
          <w:tcPr>
            <w:tcW w:w="191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资金管理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93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资金到位率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4145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实际到位/计划到位*100%。</w:t>
            </w:r>
          </w:p>
        </w:tc>
        <w:tc>
          <w:tcPr>
            <w:tcW w:w="32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A:根据项目资金实际到位率计算得分。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预算执行率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资金的执行情况，是否按项目进度执行。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A:预算执行率100%4分；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B:预算执行率50以上%2分；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C:预算执行率低于50%0分。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财务管理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（4分）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财务管理制度的健全与有效性；制度执行严格；会计核算的规范。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A:财管理务制度健全2分；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B:严格执行制度1分；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C:会计核算规范1分。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以上需要提供佐证资料。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资金使用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(3分)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支出依据合规；无虚列项目支出情况；无截留的挤占挪用情况；无超预算情况。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A：支出依据合规3分；B：存在虚列套取、截留、挤占、挪用情况0分。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组织实施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（15分）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组织机构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机构健全、分工明确。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A:机构健全、分工明确3分。B：机构不健全、分工不明确0分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支撑条件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项目实施单位是否提供或具备了必备的人员、场地和设备等条件。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A:具备人员、场地和设备等条件3分。B：不具备人员、场地和设备等条件0分。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项目实施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 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按计划进度开展；按计划完工。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A:按计划开展并完成3</w:t>
            </w:r>
            <w:r>
              <w:rPr>
                <w:rStyle w:val="12"/>
                <w:rFonts w:hint="default"/>
                <w:lang w:bidi="ar"/>
              </w:rPr>
              <w:t>分；                 B：未按计划开展并完成0分。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管理制度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项目管理制度健全；严格执行相关管理制度。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A:管理制度健全2</w:t>
            </w:r>
            <w:r>
              <w:rPr>
                <w:rStyle w:val="12"/>
                <w:rFonts w:hint="default"/>
                <w:lang w:bidi="ar"/>
              </w:rPr>
              <w:t>分；</w:t>
            </w:r>
            <w:r>
              <w:rPr>
                <w:rStyle w:val="12"/>
                <w:rFonts w:hint="default"/>
                <w:lang w:bidi="ar"/>
              </w:rPr>
              <w:br w:type="textWrapping"/>
            </w:r>
            <w:r>
              <w:rPr>
                <w:rStyle w:val="12"/>
                <w:rFonts w:hint="default"/>
                <w:lang w:bidi="ar"/>
              </w:rPr>
              <w:t>B:严格执行制度1分；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过程控制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（3分）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实施方案执行的规范性。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A：实施方案执行的规范性3分；B：实施方案执行不规范性0分。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产出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（40分）</w:t>
            </w:r>
          </w:p>
        </w:tc>
        <w:tc>
          <w:tcPr>
            <w:tcW w:w="19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产出数量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38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 xml:space="preserve">数量指标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征集整理双向投资项目，通过前期走访座谈、举办项目推介活动等，发布双向投资项目数量≥100个。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A:发布双向投资项目不少于100个3分；               B：发布双向投资项目少于100个0分。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筹办期间，通过对接洽谈，力促符合首都城市战略定位的重高质量项目落户北京数量≥10个。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A：高质量项目落户北京数量不少于10个3分；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B：高质量项目落户北京数量少于10个0分；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举办重要活动、专题活动和其它活动数量≥10场。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A：举办活动不少于10场2分；                 B：举办活动少于10场0分。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组织京港两地高层领导，市委市政府相关委办局、区开发区，以及两地工商界人士企业参会人次累计≥2000人次。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A：参会人员累计不少于2000人次2分；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B：参会人员累计少于2000人次0分。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产出质量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38" w:type="dxa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质量指标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促成的项目符合首都城市战略定位；各类活动组织有序，达到项目促进目的，且京港两地高层和各届人士积极参与度高。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A:京港两地高层和各届人士参与以2000人次为基础，人数未达到同比例扣减计算得分。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8.4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产出时效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时效指标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工作进度进展，按照筹备工作计划完成工作任务；筹备工作计划，预计1季度开始，4季度结束。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A：按工作计划、进度时间完成10分；B：未按工作计划、进度时间完成0分。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产出成本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成本指标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控制在的≤380万元预算规模范围内。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完成绩效目标设定的100%得10分，未完成100%的同比例扣减，计算得分。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9.4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效益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（20分）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实施效益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（10分）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经济效益指标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（1</w:t>
            </w:r>
            <w:r>
              <w:rPr>
                <w:rStyle w:val="13"/>
                <w:rFonts w:hint="default"/>
                <w:lang w:bidi="ar"/>
              </w:rPr>
              <w:t>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推动北京经济发展，促进更多符合首都城市战略定位的高质量项目落户北京，积极推动北京企业借助香港平台“走出去”，共同推进“一带一路”建设，进而推动北京经济发展；促进香港繁荣稳定，认真落实中央对港工作要求，保持香港长期繁荣稳定；促进北京城市管理服务水平提升，借鉴香港成功经验，不断提高北京城市精细化管理服务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完成绩效目标设定的经济效益得10分，未完成的，按完成情况酌情扣分。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满意度指标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（10分）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服务对象满意度指标（1</w:t>
            </w:r>
            <w:r>
              <w:rPr>
                <w:rStyle w:val="13"/>
                <w:rFonts w:hint="default"/>
                <w:lang w:bidi="ar"/>
              </w:rPr>
              <w:t>0分）</w:t>
            </w: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投资人、企业满意度，保持较高水平的满意度，无负面报道和投诉；领导满意度，得到领导的高度认可。</w:t>
            </w: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项目实施的服务对象满意度达90%（含）以上得10分；满意度达70%—90%得7分，60%—70得4分；60%以下不得分。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总分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100</w:t>
            </w:r>
          </w:p>
        </w:tc>
        <w:tc>
          <w:tcPr>
            <w:tcW w:w="19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86.33</w:t>
            </w:r>
          </w:p>
        </w:tc>
      </w:tr>
    </w:tbl>
    <w:p>
      <w:pPr>
        <w:rPr>
          <w:rFonts w:ascii="仿宋_GB2312" w:hAnsi="仿宋_GB2312" w:cs="仿宋_GB2312"/>
          <w:sz w:val="32"/>
          <w:szCs w:val="32"/>
        </w:rPr>
      </w:pPr>
    </w:p>
    <w:p>
      <w:pPr>
        <w:tabs>
          <w:tab w:val="left" w:pos="3834"/>
        </w:tabs>
        <w:bidi w:val="0"/>
        <w:jc w:val="left"/>
        <w:rPr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_GB2312" w:hAnsi="仿宋_GB2312" w:cs="仿宋_GB2312"/>
          <w:sz w:val="32"/>
          <w:szCs w:val="32"/>
        </w:rPr>
      </w:pPr>
      <w:bookmarkStart w:id="22" w:name="_GoBack"/>
      <w:bookmarkEnd w:id="2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BB7478-11CC-40EE-AAD2-F3C7141777B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233B3D8-F6B0-4618-9B47-C074C84C144C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82BA7E1-1E4F-44AD-9538-FC2FEC61687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E0E0D80-8ACF-429A-A1E0-26C3283EFD3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1644928B-D3D5-416E-A342-48157278DB3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24"/>
                              <w:szCs w:val="40"/>
                            </w:rPr>
                          </w:pP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40"/>
                            </w:rPr>
                            <w:t>17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24"/>
                        <w:szCs w:val="40"/>
                      </w:rPr>
                    </w:pP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sz w:val="24"/>
                        <w:szCs w:val="40"/>
                      </w:rPr>
                      <w:t>17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C97EAA"/>
    <w:multiLevelType w:val="singleLevel"/>
    <w:tmpl w:val="85C97EA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30481EE"/>
    <w:multiLevelType w:val="singleLevel"/>
    <w:tmpl w:val="630481EE"/>
    <w:lvl w:ilvl="0" w:tentative="0">
      <w:start w:val="3"/>
      <w:numFmt w:val="chineseCounting"/>
      <w:suff w:val="nothing"/>
      <w:lvlText w:val="（%1）"/>
      <w:lvlJc w:val="left"/>
    </w:lvl>
  </w:abstractNum>
  <w:abstractNum w:abstractNumId="2">
    <w:nsid w:val="6304820C"/>
    <w:multiLevelType w:val="singleLevel"/>
    <w:tmpl w:val="6304820C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3048247"/>
    <w:multiLevelType w:val="singleLevel"/>
    <w:tmpl w:val="63048247"/>
    <w:lvl w:ilvl="0" w:tentative="0">
      <w:start w:val="3"/>
      <w:numFmt w:val="chineseCounting"/>
      <w:suff w:val="nothing"/>
      <w:lvlText w:val="%1、"/>
      <w:lvlJc w:val="left"/>
    </w:lvl>
  </w:abstractNum>
  <w:abstractNum w:abstractNumId="4">
    <w:nsid w:val="6304829D"/>
    <w:multiLevelType w:val="singleLevel"/>
    <w:tmpl w:val="6304829D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ODkyODMwNWM2NmE5NjYxNWUxYWNjNWYxMGU4ZmMifQ=="/>
  </w:docVars>
  <w:rsids>
    <w:rsidRoot w:val="008A3993"/>
    <w:rsid w:val="00213CF6"/>
    <w:rsid w:val="00255D0E"/>
    <w:rsid w:val="00322D5C"/>
    <w:rsid w:val="00567F7B"/>
    <w:rsid w:val="005E4826"/>
    <w:rsid w:val="00861C36"/>
    <w:rsid w:val="008A3993"/>
    <w:rsid w:val="00A53FF3"/>
    <w:rsid w:val="00A732C2"/>
    <w:rsid w:val="00A75CF5"/>
    <w:rsid w:val="00AD7C88"/>
    <w:rsid w:val="00E36992"/>
    <w:rsid w:val="02123F76"/>
    <w:rsid w:val="024077CD"/>
    <w:rsid w:val="028808EE"/>
    <w:rsid w:val="04413471"/>
    <w:rsid w:val="04B2537D"/>
    <w:rsid w:val="057F6DC9"/>
    <w:rsid w:val="0690056D"/>
    <w:rsid w:val="07AA7883"/>
    <w:rsid w:val="08311986"/>
    <w:rsid w:val="0A821835"/>
    <w:rsid w:val="0C4F2A45"/>
    <w:rsid w:val="0C6E6E0E"/>
    <w:rsid w:val="0C9622EC"/>
    <w:rsid w:val="0DBD2424"/>
    <w:rsid w:val="0F7357D5"/>
    <w:rsid w:val="0FC77151"/>
    <w:rsid w:val="10036F74"/>
    <w:rsid w:val="10987059"/>
    <w:rsid w:val="109A5F13"/>
    <w:rsid w:val="13F65295"/>
    <w:rsid w:val="14B770B6"/>
    <w:rsid w:val="163C7F65"/>
    <w:rsid w:val="16E01DBD"/>
    <w:rsid w:val="17D47B56"/>
    <w:rsid w:val="18534811"/>
    <w:rsid w:val="189C479F"/>
    <w:rsid w:val="1A1E0D0E"/>
    <w:rsid w:val="1AED2B7E"/>
    <w:rsid w:val="1BFE4A94"/>
    <w:rsid w:val="1CC1486F"/>
    <w:rsid w:val="1E3D5053"/>
    <w:rsid w:val="200F6967"/>
    <w:rsid w:val="203C2688"/>
    <w:rsid w:val="21F426C7"/>
    <w:rsid w:val="21FF7482"/>
    <w:rsid w:val="22962CF7"/>
    <w:rsid w:val="22FD5C57"/>
    <w:rsid w:val="24600539"/>
    <w:rsid w:val="253908EB"/>
    <w:rsid w:val="25493047"/>
    <w:rsid w:val="265C44B5"/>
    <w:rsid w:val="26A26ADC"/>
    <w:rsid w:val="27135897"/>
    <w:rsid w:val="27334172"/>
    <w:rsid w:val="27EC57E6"/>
    <w:rsid w:val="296636EE"/>
    <w:rsid w:val="2A3E5A7C"/>
    <w:rsid w:val="2B942E05"/>
    <w:rsid w:val="2BAB4614"/>
    <w:rsid w:val="2BCA27F8"/>
    <w:rsid w:val="2C865E3F"/>
    <w:rsid w:val="32CE7231"/>
    <w:rsid w:val="33CF0D98"/>
    <w:rsid w:val="33F31AE4"/>
    <w:rsid w:val="345968B4"/>
    <w:rsid w:val="38FC2442"/>
    <w:rsid w:val="3AF235BE"/>
    <w:rsid w:val="3C5F559A"/>
    <w:rsid w:val="3F6F1681"/>
    <w:rsid w:val="4077172F"/>
    <w:rsid w:val="41434B4D"/>
    <w:rsid w:val="416B16CE"/>
    <w:rsid w:val="41FB148E"/>
    <w:rsid w:val="42E3660E"/>
    <w:rsid w:val="44480796"/>
    <w:rsid w:val="454A4722"/>
    <w:rsid w:val="486E0728"/>
    <w:rsid w:val="496714DA"/>
    <w:rsid w:val="4984686D"/>
    <w:rsid w:val="49CB5506"/>
    <w:rsid w:val="4C41120B"/>
    <w:rsid w:val="4D46656F"/>
    <w:rsid w:val="4F90433B"/>
    <w:rsid w:val="4FD2359C"/>
    <w:rsid w:val="4FF41C9E"/>
    <w:rsid w:val="50681F00"/>
    <w:rsid w:val="52376DCD"/>
    <w:rsid w:val="526F3DDE"/>
    <w:rsid w:val="53C71392"/>
    <w:rsid w:val="55E0078B"/>
    <w:rsid w:val="57B517A1"/>
    <w:rsid w:val="58033120"/>
    <w:rsid w:val="5B926D8C"/>
    <w:rsid w:val="5E3478C6"/>
    <w:rsid w:val="5EC501AE"/>
    <w:rsid w:val="610476F0"/>
    <w:rsid w:val="62BE3C02"/>
    <w:rsid w:val="637610AA"/>
    <w:rsid w:val="641F641E"/>
    <w:rsid w:val="656B0071"/>
    <w:rsid w:val="66E144B4"/>
    <w:rsid w:val="68293317"/>
    <w:rsid w:val="692E3A1D"/>
    <w:rsid w:val="6A0F0EAD"/>
    <w:rsid w:val="6AB73881"/>
    <w:rsid w:val="6D6E7C3D"/>
    <w:rsid w:val="6E4A5F9F"/>
    <w:rsid w:val="6FA9271F"/>
    <w:rsid w:val="705F07D2"/>
    <w:rsid w:val="70827C5B"/>
    <w:rsid w:val="70CC2FA7"/>
    <w:rsid w:val="71800814"/>
    <w:rsid w:val="71C46350"/>
    <w:rsid w:val="71E50052"/>
    <w:rsid w:val="72E2074E"/>
    <w:rsid w:val="73F751C6"/>
    <w:rsid w:val="741549CC"/>
    <w:rsid w:val="743F38F2"/>
    <w:rsid w:val="74D80B53"/>
    <w:rsid w:val="75F714AD"/>
    <w:rsid w:val="78267C9D"/>
    <w:rsid w:val="78DD5EBF"/>
    <w:rsid w:val="7961380D"/>
    <w:rsid w:val="79CC65C1"/>
    <w:rsid w:val="7CB07BA5"/>
    <w:rsid w:val="7CC652AA"/>
    <w:rsid w:val="7D391A22"/>
    <w:rsid w:val="7E2608D0"/>
    <w:rsid w:val="7E551C72"/>
    <w:rsid w:val="7ED03BC9"/>
    <w:rsid w:val="7F31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annotation text"/>
    <w:basedOn w:val="1"/>
    <w:link w:val="17"/>
    <w:qFormat/>
    <w:uiPriority w:val="0"/>
    <w:pPr>
      <w:jc w:val="left"/>
    </w:p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annotation subject"/>
    <w:basedOn w:val="3"/>
    <w:next w:val="3"/>
    <w:link w:val="18"/>
    <w:qFormat/>
    <w:uiPriority w:val="0"/>
    <w:rPr>
      <w:b/>
      <w:bCs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font5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0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4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6">
    <w:name w:val="批注框文本 Char"/>
    <w:basedOn w:val="10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批注文字 Char"/>
    <w:basedOn w:val="10"/>
    <w:link w:val="3"/>
    <w:qFormat/>
    <w:uiPriority w:val="0"/>
    <w:rPr>
      <w:rFonts w:eastAsia="仿宋_GB2312"/>
      <w:kern w:val="2"/>
      <w:sz w:val="30"/>
      <w:szCs w:val="24"/>
    </w:rPr>
  </w:style>
  <w:style w:type="character" w:customStyle="1" w:styleId="18">
    <w:name w:val="批注主题 Char"/>
    <w:basedOn w:val="17"/>
    <w:link w:val="8"/>
    <w:qFormat/>
    <w:uiPriority w:val="0"/>
    <w:rPr>
      <w:rFonts w:eastAsia="仿宋_GB2312"/>
      <w:b/>
      <w:bCs/>
      <w:kern w:val="2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6922</Words>
  <Characters>7442</Characters>
  <Lines>68</Lines>
  <Paragraphs>19</Paragraphs>
  <TotalTime>33</TotalTime>
  <ScaleCrop>false</ScaleCrop>
  <LinksUpToDate>false</LinksUpToDate>
  <CharactersWithSpaces>7742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2023-05-09T05:19:00Z</dcterms:created>
  <dc:creator>63088</dc:creator>
  <cp:lastModifiedBy>WH</cp:lastModifiedBy>
  <dcterms:modified xsi:type="dcterms:W3CDTF">2023-08-21T09:46:49Z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7DD4276C5203444CAD25401B698380AC_12</vt:lpwstr>
  </property>
</Properties>
</file>