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560" w:lineRule="exact"/>
        <w:ind w:firstLine="880" w:firstLineChars="200"/>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北京市市级财政支出项目</w:t>
      </w:r>
    </w:p>
    <w:p>
      <w:pPr>
        <w:spacing w:after="312" w:afterLines="100" w:line="560" w:lineRule="exact"/>
        <w:ind w:firstLine="880" w:firstLineChars="200"/>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绩效评价报告</w:t>
      </w:r>
    </w:p>
    <w:p>
      <w:pPr>
        <w:spacing w:after="240" w:line="560" w:lineRule="exact"/>
        <w:ind w:firstLine="842" w:firstLineChars="200"/>
        <w:jc w:val="center"/>
        <w:rPr>
          <w:rFonts w:ascii="宋体" w:hAnsi="宋体"/>
          <w:b/>
          <w:bCs/>
          <w:spacing w:val="50"/>
          <w:sz w:val="32"/>
          <w:szCs w:val="32"/>
        </w:rPr>
      </w:pPr>
    </w:p>
    <w:p>
      <w:pPr>
        <w:snapToGrid w:val="0"/>
        <w:spacing w:after="312" w:afterLines="100" w:line="560" w:lineRule="exact"/>
        <w:ind w:firstLine="722" w:firstLineChars="200"/>
        <w:rPr>
          <w:rFonts w:eastAsia="仿宋_GB2312"/>
          <w:b/>
          <w:bCs/>
          <w:sz w:val="36"/>
          <w:szCs w:val="20"/>
        </w:rPr>
      </w:pPr>
    </w:p>
    <w:p>
      <w:pPr>
        <w:snapToGrid w:val="0"/>
        <w:spacing w:after="312" w:afterLines="100" w:line="560" w:lineRule="exact"/>
        <w:ind w:firstLine="722" w:firstLineChars="200"/>
        <w:rPr>
          <w:rFonts w:eastAsia="仿宋_GB2312"/>
          <w:b/>
          <w:bCs/>
          <w:sz w:val="36"/>
          <w:szCs w:val="20"/>
        </w:rPr>
      </w:pP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主管部门</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北京市丰台区人民法院</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项目单位</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北京市丰台区人民法院</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line="560" w:lineRule="exact"/>
        <w:ind w:firstLine="640" w:firstLineChars="200"/>
        <w:jc w:val="both"/>
        <w:rPr>
          <w:rFonts w:hint="eastAsia" w:ascii="仿宋_GB2312" w:hAnsi="宋体" w:eastAsia="仿宋_GB2312"/>
          <w:bCs/>
          <w:kern w:val="0"/>
          <w:sz w:val="32"/>
          <w:szCs w:val="28"/>
          <w:u w:val="single"/>
        </w:rPr>
      </w:pPr>
      <w:r>
        <w:rPr>
          <w:rFonts w:hint="eastAsia" w:ascii="仿宋_GB2312" w:hAnsi="宋体" w:eastAsia="仿宋_GB2312"/>
          <w:bCs/>
          <w:kern w:val="0"/>
          <w:sz w:val="32"/>
          <w:szCs w:val="28"/>
        </w:rPr>
        <w:t>项目名称</w:t>
      </w:r>
      <w:r>
        <w:rPr>
          <w:rFonts w:hint="eastAsia" w:ascii="仿宋_GB2312" w:hAnsi="宋体" w:eastAsia="仿宋_GB2312"/>
          <w:bCs/>
          <w:kern w:val="0"/>
          <w:sz w:val="32"/>
          <w:szCs w:val="28"/>
          <w:u w:val="single"/>
        </w:rPr>
        <w:t xml:space="preserve">    </w:t>
      </w:r>
      <w:r>
        <w:rPr>
          <w:rFonts w:ascii="仿宋_GB2312" w:hAnsi="宋体" w:eastAsia="仿宋_GB2312"/>
          <w:bCs/>
          <w:kern w:val="0"/>
          <w:sz w:val="32"/>
          <w:szCs w:val="28"/>
          <w:u w:val="single"/>
        </w:rPr>
        <w:t xml:space="preserve">   </w:t>
      </w:r>
      <w:r>
        <w:rPr>
          <w:rFonts w:hint="eastAsia" w:ascii="仿宋_GB2312" w:hAnsi="宋体" w:eastAsia="仿宋_GB2312"/>
          <w:bCs/>
          <w:kern w:val="0"/>
          <w:sz w:val="32"/>
          <w:szCs w:val="28"/>
          <w:u w:val="single"/>
        </w:rPr>
        <w:t>诉调对接中心</w:t>
      </w:r>
      <w:r>
        <w:rPr>
          <w:rFonts w:hint="eastAsia" w:ascii="仿宋_GB2312" w:hAnsi="宋体" w:eastAsia="仿宋_GB2312"/>
          <w:bCs/>
          <w:kern w:val="0"/>
          <w:sz w:val="32"/>
          <w:szCs w:val="28"/>
          <w:u w:val="single"/>
          <w:lang w:val="en-US" w:eastAsia="zh-CN"/>
        </w:rPr>
        <w:t>信息化建设</w:t>
      </w:r>
      <w:r>
        <w:rPr>
          <w:rFonts w:hint="eastAsia" w:ascii="仿宋_GB2312" w:hAnsi="宋体" w:eastAsia="仿宋_GB2312"/>
          <w:bCs/>
          <w:kern w:val="0"/>
          <w:sz w:val="32"/>
          <w:szCs w:val="28"/>
          <w:u w:val="single"/>
        </w:rPr>
        <w:t xml:space="preserve">项目            </w:t>
      </w: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2" w:firstLineChars="200"/>
        <w:jc w:val="center"/>
        <w:rPr>
          <w:rFonts w:hint="eastAsia" w:ascii="仿宋_GB2312" w:hAnsi="宋体" w:eastAsia="仿宋_GB2312"/>
          <w:bCs/>
          <w:kern w:val="0"/>
          <w:sz w:val="32"/>
          <w:szCs w:val="28"/>
          <w:u w:val="single"/>
        </w:rPr>
      </w:pPr>
      <w:r>
        <w:rPr>
          <w:rFonts w:hint="eastAsia" w:ascii="黑体" w:eastAsia="黑体"/>
          <w:b/>
          <w:sz w:val="32"/>
          <w:szCs w:val="20"/>
        </w:rPr>
        <w:t>202</w:t>
      </w:r>
      <w:r>
        <w:rPr>
          <w:rFonts w:hint="eastAsia" w:ascii="黑体" w:eastAsia="黑体"/>
          <w:b/>
          <w:sz w:val="32"/>
          <w:szCs w:val="20"/>
          <w:lang w:val="en-US" w:eastAsia="zh-CN"/>
        </w:rPr>
        <w:t>3</w:t>
      </w:r>
      <w:r>
        <w:rPr>
          <w:rFonts w:hint="eastAsia" w:ascii="黑体" w:eastAsia="黑体"/>
          <w:b/>
          <w:sz w:val="32"/>
          <w:szCs w:val="20"/>
        </w:rPr>
        <w:t>年5月</w:t>
      </w:r>
    </w:p>
    <w:p>
      <w:pPr>
        <w:ind w:firstLine="640" w:firstLineChars="200"/>
        <w:rPr>
          <w:rFonts w:hint="eastAsia" w:ascii="仿宋_GB2312" w:hAnsi="宋体" w:eastAsia="仿宋_GB2312"/>
          <w:bCs/>
          <w:kern w:val="0"/>
          <w:sz w:val="32"/>
          <w:szCs w:val="28"/>
          <w:u w:val="none"/>
        </w:rPr>
      </w:pPr>
      <w:r>
        <w:rPr>
          <w:rFonts w:hint="eastAsia" w:ascii="仿宋_GB2312" w:hAnsi="宋体" w:eastAsia="仿宋_GB2312"/>
          <w:bCs/>
          <w:kern w:val="0"/>
          <w:sz w:val="32"/>
          <w:szCs w:val="28"/>
          <w:u w:val="none"/>
        </w:rPr>
        <w:t xml:space="preserve">     </w:t>
      </w:r>
    </w:p>
    <w:p>
      <w:pPr>
        <w:ind w:firstLine="640" w:firstLineChars="200"/>
        <w:rPr>
          <w:rFonts w:hint="eastAsia" w:ascii="仿宋_GB2312" w:hAnsi="宋体" w:eastAsia="仿宋_GB2312"/>
          <w:bCs/>
          <w:kern w:val="0"/>
          <w:sz w:val="32"/>
          <w:szCs w:val="28"/>
          <w:u w:val="none"/>
        </w:rPr>
      </w:pPr>
    </w:p>
    <w:p>
      <w:pPr>
        <w:ind w:firstLine="640" w:firstLineChars="200"/>
        <w:rPr>
          <w:rFonts w:hint="eastAsia" w:ascii="仿宋_GB2312" w:hAnsi="宋体" w:eastAsia="仿宋_GB2312"/>
          <w:bCs/>
          <w:kern w:val="0"/>
          <w:sz w:val="32"/>
          <w:szCs w:val="28"/>
          <w:u w:val="none"/>
        </w:rPr>
      </w:pPr>
    </w:p>
    <w:p>
      <w:pPr>
        <w:pStyle w:val="5"/>
        <w:spacing w:line="560" w:lineRule="exact"/>
        <w:ind w:firstLine="880" w:firstLineChars="200"/>
        <w:rPr>
          <w:rFonts w:hint="eastAsia" w:hAnsi="Times New Roman" w:cs="Times New Roman"/>
          <w:b w:val="0"/>
          <w:bCs w:val="0"/>
          <w:caps w:val="0"/>
          <w:kern w:val="2"/>
          <w:lang w:val="zh-CN" w:eastAsia="zh-CN"/>
        </w:rPr>
      </w:pPr>
      <w:r>
        <w:rPr>
          <w:rFonts w:hint="eastAsia" w:hAnsi="Times New Roman" w:cs="Times New Roman"/>
          <w:b w:val="0"/>
          <w:bCs w:val="0"/>
          <w:caps w:val="0"/>
          <w:kern w:val="2"/>
          <w:lang w:val="zh-CN" w:eastAsia="zh-CN"/>
        </w:rPr>
        <w:t>目  录</w:t>
      </w:r>
    </w:p>
    <w:p>
      <w:pPr>
        <w:pStyle w:val="5"/>
        <w:tabs>
          <w:tab w:val="right" w:leader="dot" w:pos="7823"/>
          <w:tab w:val="clear" w:pos="8296"/>
        </w:tabs>
        <w:rPr>
          <w:rFonts w:hint="eastAsia" w:ascii="仿宋" w:hAnsi="仿宋" w:eastAsia="仿宋" w:cs="仿宋"/>
          <w:sz w:val="28"/>
          <w:szCs w:val="28"/>
        </w:rPr>
      </w:pPr>
      <w:r>
        <w:rPr>
          <w:rStyle w:val="11"/>
          <w:rFonts w:hint="eastAsia" w:ascii="仿宋" w:hAnsi="仿宋" w:eastAsia="仿宋" w:cs="仿宋"/>
          <w:bCs w:val="0"/>
          <w:smallCaps/>
          <w:sz w:val="28"/>
          <w:szCs w:val="28"/>
        </w:rPr>
        <w:fldChar w:fldCharType="begin"/>
      </w:r>
      <w:r>
        <w:rPr>
          <w:rStyle w:val="11"/>
          <w:rFonts w:hint="eastAsia" w:ascii="仿宋" w:hAnsi="仿宋" w:eastAsia="仿宋" w:cs="仿宋"/>
          <w:bCs w:val="0"/>
          <w:smallCaps/>
          <w:sz w:val="28"/>
          <w:szCs w:val="28"/>
        </w:rPr>
        <w:instrText xml:space="preserve"> TOC \o "1-2" \h \z \u </w:instrText>
      </w:r>
      <w:r>
        <w:rPr>
          <w:rStyle w:val="11"/>
          <w:rFonts w:hint="eastAsia" w:ascii="仿宋" w:hAnsi="仿宋" w:eastAsia="仿宋" w:cs="仿宋"/>
          <w:bCs w:val="0"/>
          <w:smallCaps/>
          <w:sz w:val="28"/>
          <w:szCs w:val="28"/>
        </w:rPr>
        <w:fldChar w:fldCharType="separate"/>
      </w:r>
      <w:r>
        <w:rPr>
          <w:rFonts w:hint="eastAsia" w:ascii="仿宋" w:hAnsi="仿宋" w:eastAsia="仿宋" w:cs="仿宋"/>
          <w:bCs w:val="0"/>
          <w:smallCaps/>
          <w:sz w:val="28"/>
          <w:szCs w:val="28"/>
        </w:rPr>
        <w:fldChar w:fldCharType="begin"/>
      </w:r>
      <w:r>
        <w:rPr>
          <w:rFonts w:hint="eastAsia" w:ascii="仿宋" w:hAnsi="仿宋" w:eastAsia="仿宋" w:cs="仿宋"/>
          <w:bCs w:val="0"/>
          <w:smallCaps/>
          <w:sz w:val="28"/>
          <w:szCs w:val="28"/>
        </w:rPr>
        <w:instrText xml:space="preserve"> HYPERLINK \l _Toc7796 </w:instrText>
      </w:r>
      <w:r>
        <w:rPr>
          <w:rFonts w:hint="eastAsia" w:ascii="仿宋" w:hAnsi="仿宋" w:eastAsia="仿宋" w:cs="仿宋"/>
          <w:bCs w:val="0"/>
          <w:smallCaps/>
          <w:sz w:val="28"/>
          <w:szCs w:val="28"/>
        </w:rPr>
        <w:fldChar w:fldCharType="separate"/>
      </w:r>
      <w:r>
        <w:rPr>
          <w:rFonts w:hint="eastAsia" w:ascii="仿宋" w:hAnsi="仿宋" w:eastAsia="仿宋" w:cs="仿宋"/>
          <w:sz w:val="28"/>
          <w:szCs w:val="28"/>
        </w:rPr>
        <w:t>一、基本情况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_Toc7796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bCs w:val="0"/>
          <w:smallCaps/>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_Toc7228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rPr>
        <w:t>（一）项目概况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_Toc7228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_Toc25883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（二） 项目绩效目标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_Toc25883 \h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_Toc26565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_Toc26565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_Toc7202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（一）绩效评价目的、对象和范围</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_Toc7202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_Toc3437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（二）绩效评价基本情况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_Toc3437 \h </w:instrText>
      </w:r>
      <w:r>
        <w:rPr>
          <w:rFonts w:hint="eastAsia" w:ascii="仿宋" w:hAnsi="仿宋" w:eastAsia="仿宋" w:cs="仿宋"/>
          <w:sz w:val="28"/>
          <w:szCs w:val="28"/>
        </w:rPr>
        <w:fldChar w:fldCharType="separate"/>
      </w:r>
      <w:r>
        <w:rPr>
          <w:rFonts w:hint="eastAsia" w:ascii="仿宋" w:hAnsi="仿宋" w:eastAsia="仿宋" w:cs="仿宋"/>
          <w:sz w:val="28"/>
          <w:szCs w:val="28"/>
        </w:rPr>
        <w:t>8</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_Toc1047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（三）绩效评价工作过程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_Toc1047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_Toc8039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rPr>
        <w:t>三、综合评价情况及评价结论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_Toc8039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_Toc29372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rPr>
        <w:t>四、绩效评价指标分析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_Toc29372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_Toc24421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（一）项目决策情况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_Toc24421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_Toc8739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（二）项目过程情况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_Toc8739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_Toc18858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rPr>
        <w:t>（三）项目产出情况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_Toc18858 \h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6"/>
        <w:tabs>
          <w:tab w:val="right" w:leader="dot" w:pos="7823"/>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_Toc9725 </w:instrText>
      </w:r>
      <w:r>
        <w:rPr>
          <w:rFonts w:hint="eastAsia" w:ascii="仿宋" w:hAnsi="仿宋" w:eastAsia="仿宋" w:cs="仿宋"/>
          <w:bCs/>
          <w:smallCaps w:val="0"/>
          <w:kern w:val="0"/>
          <w:sz w:val="28"/>
          <w:szCs w:val="28"/>
        </w:rPr>
        <w:fldChar w:fldCharType="separate"/>
      </w:r>
      <w:r>
        <w:rPr>
          <w:rFonts w:hint="eastAsia" w:ascii="仿宋" w:hAnsi="仿宋" w:eastAsia="仿宋" w:cs="仿宋"/>
          <w:bCs/>
          <w:kern w:val="0"/>
          <w:sz w:val="28"/>
          <w:szCs w:val="28"/>
          <w:lang w:val="en-US" w:eastAsia="zh-CN"/>
        </w:rPr>
        <w:t>（四）项目效益情况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_Toc9725 \h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_Toc29118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rPr>
        <w:t>五、存在的主要问题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_Toc29118 \h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_Toc8191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lang w:val="en-US" w:eastAsia="zh-CN"/>
        </w:rPr>
        <w:t>六、</w:t>
      </w:r>
      <w:r>
        <w:rPr>
          <w:rFonts w:hint="eastAsia" w:ascii="仿宋" w:hAnsi="仿宋" w:eastAsia="仿宋" w:cs="仿宋"/>
          <w:sz w:val="28"/>
          <w:szCs w:val="28"/>
        </w:rPr>
        <w:t>有关建议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_Toc8191 \h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_Toc13223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lang w:val="en-US" w:eastAsia="zh-CN"/>
        </w:rPr>
        <w:t>七、其他说明事项</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_Toc13223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pStyle w:val="5"/>
        <w:tabs>
          <w:tab w:val="right" w:leader="dot" w:pos="7823"/>
          <w:tab w:val="clear" w:pos="8296"/>
        </w:tabs>
        <w:rPr>
          <w:rFonts w:hint="eastAsia" w:ascii="仿宋" w:hAnsi="仿宋" w:eastAsia="仿宋" w:cs="仿宋"/>
          <w:sz w:val="28"/>
          <w:szCs w:val="28"/>
        </w:rPr>
      </w:pPr>
      <w:r>
        <w:rPr>
          <w:rFonts w:hint="eastAsia" w:ascii="仿宋" w:hAnsi="仿宋" w:eastAsia="仿宋" w:cs="仿宋"/>
          <w:bCs/>
          <w:smallCaps w:val="0"/>
          <w:kern w:val="0"/>
          <w:sz w:val="28"/>
          <w:szCs w:val="28"/>
        </w:rPr>
        <w:fldChar w:fldCharType="begin"/>
      </w:r>
      <w:r>
        <w:rPr>
          <w:rFonts w:hint="eastAsia" w:ascii="仿宋" w:hAnsi="仿宋" w:eastAsia="仿宋" w:cs="仿宋"/>
          <w:bCs/>
          <w:smallCaps w:val="0"/>
          <w:kern w:val="0"/>
          <w:sz w:val="28"/>
          <w:szCs w:val="28"/>
        </w:rPr>
        <w:instrText xml:space="preserve"> HYPERLINK \l _Toc3249 </w:instrText>
      </w:r>
      <w:r>
        <w:rPr>
          <w:rFonts w:hint="eastAsia" w:ascii="仿宋" w:hAnsi="仿宋" w:eastAsia="仿宋" w:cs="仿宋"/>
          <w:bCs/>
          <w:smallCaps w:val="0"/>
          <w:kern w:val="0"/>
          <w:sz w:val="28"/>
          <w:szCs w:val="28"/>
        </w:rPr>
        <w:fldChar w:fldCharType="separate"/>
      </w:r>
      <w:r>
        <w:rPr>
          <w:rFonts w:hint="eastAsia" w:ascii="仿宋" w:hAnsi="仿宋" w:eastAsia="仿宋" w:cs="仿宋"/>
          <w:sz w:val="28"/>
          <w:szCs w:val="28"/>
          <w:lang w:val="en-US" w:eastAsia="zh-CN"/>
        </w:rPr>
        <w:t>八、附件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_Toc3249 \h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bCs/>
          <w:smallCaps w:val="0"/>
          <w:kern w:val="0"/>
          <w:sz w:val="28"/>
          <w:szCs w:val="28"/>
        </w:rPr>
        <w:fldChar w:fldCharType="end"/>
      </w:r>
    </w:p>
    <w:p>
      <w:pPr>
        <w:ind w:firstLine="560" w:firstLineChars="200"/>
        <w:rPr>
          <w:rStyle w:val="11"/>
          <w:rFonts w:hint="eastAsia" w:ascii="仿宋_GB2312" w:hAnsi="楷体" w:eastAsia="仿宋_GB2312" w:cs="Times New Roman"/>
          <w:bCs/>
          <w:smallCaps w:val="0"/>
          <w:kern w:val="0"/>
          <w:sz w:val="28"/>
          <w:szCs w:val="28"/>
        </w:rPr>
      </w:pPr>
      <w:r>
        <w:rPr>
          <w:rFonts w:hint="eastAsia" w:ascii="仿宋" w:hAnsi="仿宋" w:eastAsia="仿宋" w:cs="仿宋"/>
          <w:bCs/>
          <w:smallCaps w:val="0"/>
          <w:kern w:val="0"/>
          <w:sz w:val="28"/>
          <w:szCs w:val="28"/>
        </w:rPr>
        <w:fldChar w:fldCharType="end"/>
      </w:r>
    </w:p>
    <w:p>
      <w:pPr>
        <w:ind w:firstLine="560" w:firstLineChars="200"/>
        <w:rPr>
          <w:rStyle w:val="11"/>
          <w:rFonts w:hint="eastAsia" w:ascii="仿宋_GB2312" w:hAnsi="楷体" w:eastAsia="仿宋_GB2312" w:cs="Times New Roman"/>
          <w:bCs/>
          <w:smallCaps w:val="0"/>
          <w:kern w:val="0"/>
          <w:sz w:val="28"/>
          <w:szCs w:val="28"/>
        </w:rPr>
      </w:pPr>
    </w:p>
    <w:p>
      <w:pPr>
        <w:ind w:firstLine="560" w:firstLineChars="200"/>
        <w:rPr>
          <w:rStyle w:val="11"/>
          <w:rFonts w:hint="eastAsia" w:ascii="仿宋_GB2312" w:hAnsi="楷体" w:eastAsia="仿宋_GB2312" w:cs="Times New Roman"/>
          <w:bCs/>
          <w:smallCaps w:val="0"/>
          <w:kern w:val="0"/>
          <w:sz w:val="28"/>
          <w:szCs w:val="28"/>
        </w:rPr>
        <w:sectPr>
          <w:footerReference r:id="rId3" w:type="default"/>
          <w:pgSz w:w="11906" w:h="16838"/>
          <w:pgMar w:top="1474" w:right="1985" w:bottom="1588" w:left="2098" w:header="851" w:footer="992" w:gutter="0"/>
          <w:pgNumType w:fmt="decimal"/>
          <w:cols w:space="720" w:num="1"/>
          <w:docGrid w:type="lines" w:linePitch="312" w:charSpace="0"/>
        </w:sectPr>
      </w:pPr>
    </w:p>
    <w:p>
      <w:pPr>
        <w:ind w:firstLine="560" w:firstLineChars="200"/>
        <w:rPr>
          <w:rStyle w:val="11"/>
          <w:rFonts w:hint="eastAsia" w:ascii="仿宋_GB2312" w:hAnsi="楷体" w:eastAsia="仿宋_GB2312" w:cs="Times New Roman"/>
          <w:bCs/>
          <w:smallCaps w:val="0"/>
          <w:kern w:val="0"/>
          <w:sz w:val="28"/>
          <w:szCs w:val="28"/>
        </w:rPr>
      </w:pPr>
    </w:p>
    <w:p>
      <w:pPr>
        <w:ind w:firstLine="560" w:firstLineChars="200"/>
        <w:rPr>
          <w:rStyle w:val="11"/>
          <w:rFonts w:hint="eastAsia" w:ascii="仿宋_GB2312" w:hAnsi="楷体" w:eastAsia="仿宋_GB2312" w:cs="Times New Roman"/>
          <w:bCs/>
          <w:smallCaps w:val="0"/>
          <w:kern w:val="0"/>
          <w:sz w:val="28"/>
          <w:szCs w:val="28"/>
        </w:rPr>
      </w:pPr>
    </w:p>
    <w:p>
      <w:pPr>
        <w:ind w:firstLine="560" w:firstLineChars="200"/>
        <w:rPr>
          <w:rStyle w:val="11"/>
          <w:rFonts w:hint="eastAsia" w:ascii="仿宋_GB2312" w:hAnsi="楷体" w:eastAsia="仿宋_GB2312" w:cs="Times New Roman"/>
          <w:bCs/>
          <w:smallCaps w:val="0"/>
          <w:kern w:val="0"/>
          <w:sz w:val="28"/>
          <w:szCs w:val="28"/>
        </w:rPr>
      </w:pPr>
    </w:p>
    <w:p>
      <w:pPr>
        <w:ind w:firstLine="560" w:firstLineChars="200"/>
        <w:rPr>
          <w:rStyle w:val="11"/>
          <w:rFonts w:hint="eastAsia" w:ascii="仿宋_GB2312" w:hAnsi="楷体" w:eastAsia="仿宋_GB2312" w:cs="Times New Roman"/>
          <w:bCs/>
          <w:smallCaps w:val="0"/>
          <w:kern w:val="0"/>
          <w:sz w:val="28"/>
          <w:szCs w:val="28"/>
        </w:rPr>
      </w:pPr>
    </w:p>
    <w:p>
      <w:pPr>
        <w:spacing w:after="312" w:afterLines="100" w:line="560" w:lineRule="exact"/>
        <w:ind w:firstLine="720" w:firstLineChars="200"/>
        <w:jc w:val="center"/>
        <w:rPr>
          <w:rFonts w:hint="eastAsia" w:ascii="方正小标宋简体" w:eastAsia="方正小标宋简体"/>
          <w:sz w:val="36"/>
          <w:szCs w:val="36"/>
        </w:rPr>
      </w:pPr>
      <w:r>
        <w:rPr>
          <w:rFonts w:hint="eastAsia" w:ascii="方正小标宋简体" w:eastAsia="方正小标宋简体"/>
          <w:sz w:val="36"/>
          <w:szCs w:val="36"/>
        </w:rPr>
        <w:t>北京市丰台区人民法院</w:t>
      </w:r>
    </w:p>
    <w:p>
      <w:pPr>
        <w:spacing w:after="312" w:afterLines="100" w:line="560" w:lineRule="exact"/>
        <w:ind w:firstLine="720" w:firstLineChars="200"/>
        <w:jc w:val="center"/>
        <w:rPr>
          <w:rFonts w:hint="eastAsia" w:ascii="方正小标宋简体" w:eastAsia="方正小标宋简体"/>
          <w:sz w:val="36"/>
          <w:szCs w:val="36"/>
        </w:rPr>
      </w:pPr>
      <w:r>
        <w:rPr>
          <w:rFonts w:hint="eastAsia" w:ascii="方正小标宋简体" w:eastAsia="方正小标宋简体"/>
          <w:sz w:val="36"/>
          <w:szCs w:val="36"/>
        </w:rPr>
        <w:t>诉调对接中心</w:t>
      </w:r>
      <w:r>
        <w:rPr>
          <w:rFonts w:hint="eastAsia" w:ascii="方正小标宋简体" w:eastAsia="方正小标宋简体"/>
          <w:sz w:val="36"/>
          <w:szCs w:val="36"/>
          <w:lang w:val="en-US" w:eastAsia="zh-CN"/>
        </w:rPr>
        <w:t>信息化建设</w:t>
      </w:r>
      <w:r>
        <w:rPr>
          <w:rFonts w:hint="eastAsia" w:ascii="方正小标宋简体" w:eastAsia="方正小标宋简体"/>
          <w:sz w:val="36"/>
          <w:szCs w:val="36"/>
        </w:rPr>
        <w:t>项目支出绩效评价报告</w:t>
      </w:r>
    </w:p>
    <w:p>
      <w:pPr>
        <w:spacing w:line="560" w:lineRule="exact"/>
        <w:ind w:firstLine="640" w:firstLineChars="200"/>
        <w:jc w:val="cente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为进一步推进全面预算绩效管理，提升财政资金使用效益和部门管理水平，根据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w:t>
      </w:r>
      <w:r>
        <w:rPr>
          <w:rFonts w:hint="eastAsia" w:ascii="仿宋_GB2312" w:hAnsi="楷体" w:eastAsia="仿宋_GB2312"/>
          <w:bCs/>
          <w:kern w:val="0"/>
          <w:sz w:val="32"/>
          <w:szCs w:val="28"/>
          <w:highlight w:val="none"/>
        </w:rPr>
        <w:t>《北京市财政局关于</w:t>
      </w:r>
      <w:r>
        <w:rPr>
          <w:rFonts w:hint="eastAsia" w:ascii="仿宋_GB2312" w:hAnsi="楷体" w:eastAsia="仿宋_GB2312"/>
          <w:bCs/>
          <w:kern w:val="0"/>
          <w:sz w:val="32"/>
          <w:szCs w:val="28"/>
          <w:highlight w:val="none"/>
          <w:lang w:val="en-US" w:eastAsia="zh-CN"/>
        </w:rPr>
        <w:t>2023年推进全面实施预算绩效管理工作的通知</w:t>
      </w:r>
      <w:r>
        <w:rPr>
          <w:rFonts w:hint="eastAsia" w:ascii="仿宋_GB2312" w:hAnsi="楷体" w:eastAsia="仿宋_GB2312"/>
          <w:bCs/>
          <w:kern w:val="0"/>
          <w:sz w:val="32"/>
          <w:szCs w:val="28"/>
          <w:highlight w:val="none"/>
        </w:rPr>
        <w:t>》</w:t>
      </w:r>
      <w:r>
        <w:rPr>
          <w:rFonts w:hint="eastAsia" w:ascii="仿宋_GB2312" w:hAnsi="楷体" w:eastAsia="仿宋_GB2312"/>
          <w:bCs/>
          <w:kern w:val="0"/>
          <w:sz w:val="32"/>
          <w:szCs w:val="28"/>
        </w:rPr>
        <w:t>的工作安排，北京市丰台区人民法院（以下简称“丰台法院”）组建绩效评价工作组，对“诉调对接中心</w:t>
      </w:r>
      <w:r>
        <w:rPr>
          <w:rFonts w:hint="eastAsia" w:ascii="仿宋_GB2312" w:hAnsi="楷体" w:eastAsia="仿宋_GB2312"/>
          <w:bCs/>
          <w:kern w:val="0"/>
          <w:sz w:val="32"/>
          <w:szCs w:val="28"/>
          <w:lang w:val="en-US" w:eastAsia="zh-CN"/>
        </w:rPr>
        <w:t>信息化建设</w:t>
      </w:r>
      <w:r>
        <w:rPr>
          <w:rFonts w:hint="eastAsia" w:ascii="仿宋_GB2312" w:hAnsi="楷体" w:eastAsia="仿宋_GB2312"/>
          <w:bCs/>
          <w:kern w:val="0"/>
          <w:sz w:val="32"/>
          <w:szCs w:val="28"/>
        </w:rPr>
        <w:t>项目”</w:t>
      </w:r>
      <w:r>
        <w:rPr>
          <w:rFonts w:hint="eastAsia"/>
        </w:rPr>
        <w:t xml:space="preserve"> </w:t>
      </w:r>
      <w:r>
        <w:rPr>
          <w:rFonts w:hint="eastAsia" w:ascii="仿宋_GB2312" w:hAnsi="楷体" w:eastAsia="仿宋_GB2312"/>
          <w:bCs/>
          <w:kern w:val="0"/>
          <w:sz w:val="32"/>
          <w:szCs w:val="28"/>
        </w:rPr>
        <w:t>以下简称“该项目”）实施绩效评价，</w:t>
      </w:r>
      <w:r>
        <w:rPr>
          <w:rFonts w:hint="eastAsia" w:ascii="仿宋_GB2312" w:hAnsi="Calibri" w:eastAsia="仿宋_GB2312"/>
          <w:sz w:val="32"/>
          <w:szCs w:val="32"/>
        </w:rPr>
        <w:t>形成本绩效评价报告</w:t>
      </w:r>
      <w:r>
        <w:rPr>
          <w:rFonts w:hint="eastAsia" w:ascii="仿宋_GB2312" w:hAnsi="楷体" w:eastAsia="仿宋_GB2312"/>
          <w:bCs/>
          <w:kern w:val="0"/>
          <w:sz w:val="32"/>
          <w:szCs w:val="28"/>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0" w:name="_Toc72080232"/>
      <w:bookmarkStart w:id="1" w:name="_Toc7796"/>
      <w:r>
        <w:rPr>
          <w:rFonts w:hint="eastAsia" w:ascii="黑体" w:hAnsi="黑体" w:eastAsia="黑体"/>
          <w:sz w:val="32"/>
          <w:szCs w:val="32"/>
        </w:rPr>
        <w:t>一、基本情况</w:t>
      </w:r>
      <w:bookmarkEnd w:id="0"/>
      <w:bookmarkEnd w:id="1"/>
    </w:p>
    <w:p>
      <w:pPr>
        <w:spacing w:line="560" w:lineRule="exact"/>
        <w:ind w:firstLine="640" w:firstLineChars="200"/>
        <w:outlineLvl w:val="1"/>
        <w:rPr>
          <w:rFonts w:hint="eastAsia" w:ascii="楷体_GB2312" w:eastAsia="楷体_GB2312"/>
          <w:sz w:val="32"/>
          <w:szCs w:val="32"/>
        </w:rPr>
      </w:pPr>
      <w:bookmarkStart w:id="2" w:name="_Toc7228"/>
      <w:bookmarkStart w:id="3" w:name="_Toc72080233"/>
      <w:r>
        <w:rPr>
          <w:rFonts w:hint="eastAsia" w:ascii="楷体_GB2312" w:eastAsia="楷体_GB2312"/>
          <w:sz w:val="32"/>
          <w:szCs w:val="32"/>
        </w:rPr>
        <w:t>（一）项目概况</w:t>
      </w:r>
      <w:bookmarkEnd w:id="2"/>
      <w:bookmarkEnd w:id="3"/>
    </w:p>
    <w:p>
      <w:pPr>
        <w:spacing w:line="560" w:lineRule="exact"/>
        <w:ind w:firstLine="640" w:firstLineChars="200"/>
        <w:outlineLvl w:val="2"/>
        <w:rPr>
          <w:rFonts w:hint="eastAsia" w:ascii="仿宋_GB2312" w:eastAsia="仿宋_GB2312"/>
          <w:sz w:val="32"/>
          <w:szCs w:val="32"/>
        </w:rPr>
      </w:pPr>
      <w:bookmarkStart w:id="4" w:name="_Toc72080234"/>
      <w:r>
        <w:rPr>
          <w:rFonts w:hint="eastAsia" w:ascii="仿宋_GB2312" w:eastAsia="仿宋_GB2312"/>
          <w:sz w:val="32"/>
          <w:szCs w:val="32"/>
        </w:rPr>
        <w:t>1.项目背景</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2009年最高人民法院印发《关于建立健全诉讼与非诉讼相衔接的矛盾纠纷解决机制的若干意见》的通知，为落实中央政法工作会议关于人民法院建立健全诉讼与非诉讼相衔接的多元化矛盾纠纷解决机制的工作要求，进一步完善诉调对接工作机制，提高诉调对接工作实效，充分发挥诉调对接机制有效化解纠纷的积极作用，丰台法院拟</w:t>
      </w:r>
      <w:r>
        <w:rPr>
          <w:rFonts w:hint="default" w:ascii="仿宋_GB2312" w:hAnsi="楷体" w:eastAsia="仿宋_GB2312"/>
          <w:bCs/>
          <w:kern w:val="0"/>
          <w:sz w:val="32"/>
          <w:szCs w:val="28"/>
          <w:lang w:val="en-US" w:eastAsia="zh-CN"/>
        </w:rPr>
        <w:t>租用丰台区总部基地外环南路甲一号 D座写字楼</w:t>
      </w:r>
      <w:r>
        <w:rPr>
          <w:rFonts w:hint="eastAsia" w:ascii="仿宋_GB2312" w:hAnsi="楷体" w:eastAsia="仿宋_GB2312"/>
          <w:bCs/>
          <w:kern w:val="0"/>
          <w:sz w:val="32"/>
          <w:szCs w:val="28"/>
          <w:lang w:val="en-US" w:eastAsia="zh-CN"/>
        </w:rPr>
        <w:t>建设诉调对接中心，承担立案及程序分流、多元调解、速裁审判等工作，为丰台法院司法服务工作中的立案服务、诉讼服务、调解等业务提供更好的支撑和保障。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丰台法院诉调对接中心的建设根据北京市高级人民法院《北京法院诉调对接场所信息化建设技术规范（试行）》：“全面实现诉调对接各业务职能信息化全覆盖，搭建当事人一站式纠纷解决平台，通过信息技术及空间设计来实现人性化便民设计、文化特色，建立具有鲜明北京特色的现代化、信息化的诉调对接中心。为当事人提供低成本、易操作、多服务渠道的诉调对接服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lang w:val="en-US" w:eastAsia="zh-CN"/>
        </w:rPr>
        <w:t>2018年9月编制项目可行性研究报告，2018年11月，丰台法院启动“诉调对接中心信息化</w:t>
      </w:r>
      <w:r>
        <w:rPr>
          <w:rFonts w:hint="default" w:ascii="仿宋_GB2312" w:hAnsi="楷体" w:eastAsia="仿宋_GB2312"/>
          <w:bCs/>
          <w:kern w:val="0"/>
          <w:sz w:val="32"/>
          <w:szCs w:val="28"/>
          <w:lang w:val="en-US" w:eastAsia="zh-CN"/>
        </w:rPr>
        <w:t>建设</w:t>
      </w:r>
      <w:r>
        <w:rPr>
          <w:rFonts w:hint="eastAsia" w:ascii="仿宋_GB2312" w:hAnsi="楷体" w:eastAsia="仿宋_GB2312"/>
          <w:bCs/>
          <w:kern w:val="0"/>
          <w:sz w:val="32"/>
          <w:szCs w:val="28"/>
          <w:lang w:val="en-US" w:eastAsia="zh-CN"/>
        </w:rPr>
        <w:t>”项目的立项工作。</w:t>
      </w:r>
      <w:r>
        <w:rPr>
          <w:rFonts w:hint="eastAsia" w:ascii="仿宋_GB2312" w:hAnsi="楷体" w:eastAsia="仿宋_GB2312"/>
          <w:bCs/>
          <w:kern w:val="0"/>
          <w:sz w:val="32"/>
          <w:szCs w:val="28"/>
        </w:rPr>
        <w:t>经过专家论证后，报财政评审中心审定金额为</w:t>
      </w:r>
      <w:r>
        <w:rPr>
          <w:rFonts w:hint="eastAsia" w:ascii="仿宋_GB2312" w:hAnsi="楷体" w:eastAsia="仿宋_GB2312"/>
          <w:bCs/>
          <w:kern w:val="0"/>
          <w:sz w:val="32"/>
          <w:szCs w:val="28"/>
          <w:lang w:val="en-US" w:eastAsia="zh-CN"/>
        </w:rPr>
        <w:t>2,103.74</w:t>
      </w:r>
      <w:r>
        <w:rPr>
          <w:rFonts w:hint="eastAsia" w:ascii="仿宋_GB2312" w:hAnsi="楷体" w:eastAsia="仿宋_GB2312"/>
          <w:bCs/>
          <w:kern w:val="0"/>
          <w:sz w:val="32"/>
          <w:szCs w:val="28"/>
        </w:rPr>
        <w:t>万元。</w:t>
      </w:r>
    </w:p>
    <w:p>
      <w:pPr>
        <w:numPr>
          <w:ilvl w:val="0"/>
          <w:numId w:val="0"/>
        </w:numPr>
        <w:spacing w:line="560" w:lineRule="exact"/>
        <w:ind w:firstLine="640" w:firstLineChars="200"/>
        <w:outlineLvl w:val="2"/>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项目主要内容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该项目包括主机系统硬件和软件配置、网络及综合布线系统、存储备份系统、安防系统、机房建设、功能房间系统、程控交换系统和公共服务系统。该项目</w:t>
      </w:r>
      <w:r>
        <w:rPr>
          <w:rFonts w:hint="eastAsia" w:ascii="仿宋_GB2312" w:hAnsi="楷体" w:eastAsia="仿宋_GB2312"/>
          <w:bCs/>
          <w:kern w:val="0"/>
          <w:sz w:val="32"/>
          <w:szCs w:val="28"/>
          <w:lang w:val="en" w:eastAsia="zh-CN"/>
        </w:rPr>
        <w:t>施工周期</w:t>
      </w:r>
      <w:r>
        <w:rPr>
          <w:rFonts w:hint="eastAsia" w:ascii="仿宋_GB2312" w:hAnsi="楷体" w:eastAsia="仿宋_GB2312"/>
          <w:bCs/>
          <w:kern w:val="0"/>
          <w:sz w:val="32"/>
          <w:szCs w:val="28"/>
          <w:lang w:val="en-US" w:eastAsia="zh-CN"/>
        </w:rPr>
        <w:t>180天，100天内完成综合布线的敷设及测试，60天内完成设备安装与调试，剩余工作在20天内完成。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楷体" w:eastAsia="仿宋_GB2312"/>
          <w:bCs/>
          <w:kern w:val="0"/>
          <w:sz w:val="32"/>
          <w:szCs w:val="28"/>
          <w:lang w:val="en-US" w:eastAsia="zh-CN"/>
        </w:rPr>
      </w:pP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1）</w:t>
      </w:r>
      <w:r>
        <w:rPr>
          <w:rFonts w:hint="default" w:ascii="仿宋_GB2312" w:hAnsi="楷体" w:eastAsia="仿宋_GB2312"/>
          <w:bCs/>
          <w:kern w:val="0"/>
          <w:sz w:val="32"/>
          <w:szCs w:val="28"/>
          <w:lang w:val="en-US" w:eastAsia="zh-CN"/>
        </w:rPr>
        <w:t>开展北京市丰台区人民法院诉调对接中心楼宇基础弱电信息化建设，包括机房系统、IP电话系统、网络安全、服务器存储、安防一卡通系统（基础弱电用房及公共区）、公共广播等建设。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楷体" w:eastAsia="仿宋_GB2312"/>
          <w:bCs/>
          <w:kern w:val="0"/>
          <w:sz w:val="32"/>
          <w:szCs w:val="28"/>
          <w:lang w:val="en-US" w:eastAsia="zh-CN"/>
        </w:rPr>
      </w:pP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2</w:t>
      </w: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建设15间</w:t>
      </w:r>
      <w:r>
        <w:rPr>
          <w:rFonts w:hint="default" w:ascii="仿宋_GB2312" w:hAnsi="楷体" w:eastAsia="仿宋_GB2312"/>
          <w:bCs/>
          <w:kern w:val="0"/>
          <w:sz w:val="32"/>
          <w:szCs w:val="28"/>
          <w:lang w:val="en-US" w:eastAsia="zh-CN"/>
        </w:rPr>
        <w:t>标准数字法庭、</w:t>
      </w:r>
      <w:r>
        <w:rPr>
          <w:rFonts w:hint="eastAsia" w:ascii="仿宋_GB2312" w:hAnsi="楷体" w:eastAsia="仿宋_GB2312"/>
          <w:bCs/>
          <w:kern w:val="0"/>
          <w:sz w:val="32"/>
          <w:szCs w:val="28"/>
          <w:lang w:val="en-US" w:eastAsia="zh-CN"/>
        </w:rPr>
        <w:t>1</w:t>
      </w:r>
      <w:r>
        <w:rPr>
          <w:rFonts w:hint="default" w:ascii="仿宋_GB2312" w:hAnsi="楷体" w:eastAsia="仿宋_GB2312"/>
          <w:bCs/>
          <w:kern w:val="0"/>
          <w:sz w:val="32"/>
          <w:szCs w:val="28"/>
          <w:lang w:val="en-US" w:eastAsia="zh-CN"/>
        </w:rPr>
        <w:t>间互联网法庭、</w:t>
      </w:r>
      <w:r>
        <w:rPr>
          <w:rFonts w:hint="eastAsia" w:ascii="仿宋_GB2312" w:hAnsi="楷体" w:eastAsia="仿宋_GB2312"/>
          <w:bCs/>
          <w:kern w:val="0"/>
          <w:sz w:val="32"/>
          <w:szCs w:val="28"/>
          <w:lang w:val="en-US" w:eastAsia="zh-CN"/>
        </w:rPr>
        <w:t>11</w:t>
      </w:r>
      <w:r>
        <w:rPr>
          <w:rFonts w:hint="default" w:ascii="仿宋_GB2312" w:hAnsi="楷体" w:eastAsia="仿宋_GB2312"/>
          <w:bCs/>
          <w:kern w:val="0"/>
          <w:sz w:val="32"/>
          <w:szCs w:val="28"/>
          <w:lang w:val="en-US" w:eastAsia="zh-CN"/>
        </w:rPr>
        <w:t>间速裁数字法庭（多元调解室）</w:t>
      </w:r>
      <w:r>
        <w:rPr>
          <w:rFonts w:hint="eastAsia" w:ascii="仿宋_GB2312" w:hAnsi="楷体" w:eastAsia="仿宋_GB2312"/>
          <w:bCs/>
          <w:kern w:val="0"/>
          <w:sz w:val="32"/>
          <w:szCs w:val="28"/>
          <w:lang w:val="en-US" w:eastAsia="zh-CN"/>
        </w:rPr>
        <w:t>及</w:t>
      </w:r>
      <w:r>
        <w:rPr>
          <w:rFonts w:hint="default" w:ascii="仿宋_GB2312" w:hAnsi="楷体" w:eastAsia="仿宋_GB2312"/>
          <w:bCs/>
          <w:kern w:val="0"/>
          <w:sz w:val="32"/>
          <w:szCs w:val="28"/>
          <w:lang w:val="en-US" w:eastAsia="zh-CN"/>
        </w:rPr>
        <w:t>在线/远程传输室、律师调解室、</w:t>
      </w:r>
      <w:bookmarkStart w:id="38" w:name="_GoBack"/>
      <w:bookmarkEnd w:id="38"/>
      <w:r>
        <w:rPr>
          <w:rFonts w:hint="default" w:ascii="仿宋_GB2312" w:hAnsi="楷体" w:eastAsia="仿宋_GB2312"/>
          <w:bCs/>
          <w:kern w:val="0"/>
          <w:sz w:val="32"/>
          <w:szCs w:val="28"/>
          <w:lang w:val="en-US" w:eastAsia="zh-CN"/>
        </w:rPr>
        <w:t>多功能会议室、中控室、庭审调度和诉调对接服务大厅等业务功能用房的配套软硬件基础环境建设。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楷体" w:eastAsia="仿宋_GB2312"/>
          <w:bCs/>
          <w:kern w:val="0"/>
          <w:sz w:val="32"/>
          <w:szCs w:val="28"/>
          <w:lang w:val="en-US" w:eastAsia="zh-CN"/>
        </w:rPr>
      </w:pP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3</w:t>
      </w:r>
      <w:r>
        <w:rPr>
          <w:rFonts w:hint="default" w:ascii="仿宋_GB2312" w:hAnsi="楷体" w:eastAsia="仿宋_GB2312"/>
          <w:bCs/>
          <w:kern w:val="0"/>
          <w:sz w:val="32"/>
          <w:szCs w:val="28"/>
          <w:lang w:val="en-US" w:eastAsia="zh-CN"/>
        </w:rPr>
        <w:t>）应用软件系统建设</w:t>
      </w:r>
      <w:r>
        <w:rPr>
          <w:rFonts w:hint="eastAsia" w:ascii="仿宋_GB2312" w:hAnsi="楷体" w:eastAsia="仿宋_GB2312"/>
          <w:bCs/>
          <w:kern w:val="0"/>
          <w:sz w:val="32"/>
          <w:szCs w:val="28"/>
          <w:lang w:val="en-US" w:eastAsia="zh-CN"/>
        </w:rPr>
        <w:t>，</w:t>
      </w:r>
      <w:r>
        <w:rPr>
          <w:rFonts w:hint="default" w:ascii="仿宋_GB2312" w:hAnsi="楷体" w:eastAsia="仿宋_GB2312"/>
          <w:bCs/>
          <w:kern w:val="0"/>
          <w:sz w:val="32"/>
          <w:szCs w:val="28"/>
          <w:lang w:val="en-US" w:eastAsia="zh-CN"/>
        </w:rPr>
        <w:t>包括核心交换机基本软件、安防管理及转发软件、各类授权等。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楷体" w:eastAsia="仿宋_GB2312"/>
          <w:bCs/>
          <w:kern w:val="0"/>
          <w:sz w:val="32"/>
          <w:szCs w:val="28"/>
          <w:lang w:val="en-US" w:eastAsia="zh-CN"/>
        </w:rPr>
      </w:pP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4</w:t>
      </w:r>
      <w:r>
        <w:rPr>
          <w:rFonts w:hint="default" w:ascii="仿宋_GB2312" w:hAnsi="楷体" w:eastAsia="仿宋_GB2312"/>
          <w:bCs/>
          <w:kern w:val="0"/>
          <w:sz w:val="32"/>
          <w:szCs w:val="28"/>
          <w:lang w:val="en-US" w:eastAsia="zh-CN"/>
        </w:rPr>
        <w:t>）租用互联网法庭配套云服务，包括租用市级政务云计算服务、存储服务、网络服务等基础服务，租用操作系统、安全服务等其他云服务。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楷体" w:eastAsia="仿宋_GB2312"/>
          <w:bCs/>
          <w:kern w:val="0"/>
          <w:sz w:val="32"/>
          <w:szCs w:val="28"/>
          <w:lang w:val="en-US" w:eastAsia="zh-CN"/>
        </w:rPr>
      </w:pP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5</w:t>
      </w:r>
      <w:r>
        <w:rPr>
          <w:rFonts w:hint="default" w:ascii="仿宋_GB2312" w:hAnsi="楷体" w:eastAsia="仿宋_GB2312"/>
          <w:bCs/>
          <w:kern w:val="0"/>
          <w:sz w:val="32"/>
          <w:szCs w:val="28"/>
          <w:lang w:val="en-US" w:eastAsia="zh-CN"/>
        </w:rPr>
        <w:t>）开展集成、监理、安全测评、互联网视频云并发服务（庭审视频接入）、互联网视频云录制服务（庭审视频录制）等工作。</w:t>
      </w:r>
    </w:p>
    <w:p>
      <w:pPr>
        <w:spacing w:line="560" w:lineRule="exact"/>
        <w:ind w:firstLine="640" w:firstLineChars="200"/>
        <w:outlineLvl w:val="2"/>
        <w:rPr>
          <w:rFonts w:ascii="仿宋_GB2312" w:hAnsi="仿宋" w:eastAsia="仿宋_GB2312"/>
          <w:sz w:val="32"/>
          <w:szCs w:val="32"/>
        </w:rPr>
      </w:pPr>
      <w:r>
        <w:rPr>
          <w:rFonts w:hint="eastAsia" w:ascii="仿宋_GB2312" w:eastAsia="仿宋_GB2312"/>
          <w:sz w:val="32"/>
          <w:szCs w:val="32"/>
        </w:rPr>
        <w:t>3.项目资金情况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该项目申报北京市财政拨款</w:t>
      </w:r>
      <w:r>
        <w:rPr>
          <w:rFonts w:hint="default" w:ascii="仿宋_GB2312" w:hAnsi="楷体" w:eastAsia="仿宋_GB2312"/>
          <w:bCs/>
          <w:kern w:val="0"/>
          <w:sz w:val="32"/>
          <w:szCs w:val="28"/>
          <w:lang w:val="en-US" w:eastAsia="zh-CN"/>
        </w:rPr>
        <w:t>2,646.93</w:t>
      </w:r>
      <w:r>
        <w:rPr>
          <w:rFonts w:hint="eastAsia" w:ascii="仿宋_GB2312" w:hAnsi="楷体" w:eastAsia="仿宋_GB2312"/>
          <w:bCs/>
          <w:kern w:val="0"/>
          <w:sz w:val="32"/>
          <w:szCs w:val="28"/>
          <w:lang w:val="en-US" w:eastAsia="zh-CN"/>
        </w:rPr>
        <w:t>万元，经财政评审，审定金额</w:t>
      </w:r>
      <w:r>
        <w:rPr>
          <w:rFonts w:hint="default" w:ascii="仿宋_GB2312" w:hAnsi="楷体" w:eastAsia="仿宋_GB2312"/>
          <w:bCs/>
          <w:kern w:val="0"/>
          <w:sz w:val="32"/>
          <w:szCs w:val="28"/>
          <w:lang w:val="en-US" w:eastAsia="zh-CN"/>
        </w:rPr>
        <w:t>2,103.74</w:t>
      </w:r>
      <w:r>
        <w:rPr>
          <w:rFonts w:hint="eastAsia" w:ascii="仿宋_GB2312" w:hAnsi="楷体" w:eastAsia="仿宋_GB2312"/>
          <w:bCs/>
          <w:kern w:val="0"/>
          <w:sz w:val="32"/>
          <w:szCs w:val="28"/>
          <w:lang w:val="en-US" w:eastAsia="zh-CN"/>
        </w:rPr>
        <w:t>万元，批复金额2,103.74万元（2</w:t>
      </w:r>
      <w:r>
        <w:rPr>
          <w:rFonts w:hint="default" w:ascii="仿宋_GB2312" w:hAnsi="楷体" w:eastAsia="仿宋_GB2312"/>
          <w:bCs/>
          <w:kern w:val="0"/>
          <w:sz w:val="32"/>
          <w:szCs w:val="28"/>
          <w:lang w:val="en-US" w:eastAsia="zh-CN"/>
        </w:rPr>
        <w:t>0</w:t>
      </w:r>
      <w:r>
        <w:rPr>
          <w:rFonts w:hint="eastAsia" w:ascii="仿宋_GB2312" w:hAnsi="楷体" w:eastAsia="仿宋_GB2312"/>
          <w:bCs/>
          <w:kern w:val="0"/>
          <w:sz w:val="32"/>
          <w:szCs w:val="28"/>
          <w:lang w:val="en-US" w:eastAsia="zh-CN"/>
        </w:rPr>
        <w:t>21年9月市财政局下达预算420.00万元，2</w:t>
      </w:r>
      <w:r>
        <w:rPr>
          <w:rFonts w:hint="default" w:ascii="仿宋_GB2312" w:hAnsi="楷体" w:eastAsia="仿宋_GB2312"/>
          <w:bCs/>
          <w:kern w:val="0"/>
          <w:sz w:val="32"/>
          <w:szCs w:val="28"/>
          <w:lang w:val="en-US" w:eastAsia="zh-CN"/>
        </w:rPr>
        <w:t>02</w:t>
      </w:r>
      <w:r>
        <w:rPr>
          <w:rFonts w:hint="eastAsia" w:ascii="仿宋_GB2312" w:hAnsi="楷体" w:eastAsia="仿宋_GB2312"/>
          <w:bCs/>
          <w:kern w:val="0"/>
          <w:sz w:val="32"/>
          <w:szCs w:val="28"/>
          <w:lang w:val="en-US" w:eastAsia="zh-CN"/>
        </w:rPr>
        <w:t>2年2月市财政局下达预算1,683.74万元），资金到位率100</w:t>
      </w: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。2022年11月财政收回授权支付额度“两庭”建设-诉调对接中心信息化建设（京财公检法指[2022]145号）200.00万元，调整后项目预算为1,903.74万元。截至2022年</w:t>
      </w:r>
      <w:r>
        <w:rPr>
          <w:rFonts w:hint="default" w:ascii="仿宋_GB2312" w:hAnsi="楷体" w:eastAsia="仿宋_GB2312"/>
          <w:bCs/>
          <w:kern w:val="0"/>
          <w:sz w:val="32"/>
          <w:szCs w:val="28"/>
          <w:lang w:val="en-US" w:eastAsia="zh-CN"/>
        </w:rPr>
        <w:t>12</w:t>
      </w:r>
      <w:r>
        <w:rPr>
          <w:rFonts w:hint="eastAsia" w:ascii="仿宋_GB2312" w:hAnsi="楷体" w:eastAsia="仿宋_GB2312"/>
          <w:bCs/>
          <w:kern w:val="0"/>
          <w:sz w:val="32"/>
          <w:szCs w:val="28"/>
          <w:lang w:val="en-US" w:eastAsia="zh-CN"/>
        </w:rPr>
        <w:t>月31日，该项目累计预算支出1,815.21万元，预算执行率95.35%。</w:t>
      </w:r>
    </w:p>
    <w:p>
      <w:pPr>
        <w:spacing w:line="560" w:lineRule="exact"/>
        <w:jc w:val="center"/>
        <w:rPr>
          <w:rFonts w:hint="eastAsia" w:ascii="仿宋_GB2312" w:eastAsia="仿宋_GB2312"/>
          <w:sz w:val="32"/>
          <w:szCs w:val="32"/>
        </w:rPr>
      </w:pPr>
      <w:r>
        <w:rPr>
          <w:rFonts w:hint="eastAsia" w:ascii="仿宋_GB2312" w:eastAsia="仿宋_GB2312"/>
          <w:sz w:val="32"/>
          <w:szCs w:val="32"/>
        </w:rPr>
        <w:t>项目预算执行情况表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631"/>
        <w:gridCol w:w="1194"/>
        <w:gridCol w:w="1351"/>
        <w:gridCol w:w="141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92" w:type="dxa"/>
            <w:noWrap w:val="0"/>
            <w:vAlign w:val="center"/>
          </w:tcPr>
          <w:p>
            <w:pPr>
              <w:spacing w:line="560" w:lineRule="exact"/>
              <w:jc w:val="center"/>
              <w:rPr>
                <w:rFonts w:hint="eastAsia" w:ascii="宋体" w:hAnsi="宋体" w:cs="宋体"/>
                <w:b/>
                <w:bCs/>
                <w:sz w:val="24"/>
              </w:rPr>
            </w:pPr>
            <w:r>
              <w:rPr>
                <w:rFonts w:hint="eastAsia" w:ascii="宋体" w:hAnsi="宋体" w:cs="宋体"/>
                <w:b/>
                <w:bCs/>
                <w:sz w:val="24"/>
              </w:rPr>
              <w:t>年份</w:t>
            </w:r>
          </w:p>
        </w:tc>
        <w:tc>
          <w:tcPr>
            <w:tcW w:w="1751" w:type="dxa"/>
            <w:noWrap w:val="0"/>
            <w:vAlign w:val="center"/>
          </w:tcPr>
          <w:p>
            <w:pPr>
              <w:spacing w:line="560" w:lineRule="exact"/>
              <w:jc w:val="center"/>
              <w:rPr>
                <w:rFonts w:hint="eastAsia" w:ascii="宋体" w:hAnsi="宋体" w:cs="宋体"/>
                <w:b/>
                <w:bCs/>
                <w:sz w:val="24"/>
              </w:rPr>
            </w:pPr>
            <w:r>
              <w:rPr>
                <w:rFonts w:hint="eastAsia" w:ascii="宋体" w:hAnsi="宋体" w:cs="宋体"/>
                <w:b/>
                <w:bCs/>
                <w:sz w:val="24"/>
              </w:rPr>
              <w:t>年初预算批复</w:t>
            </w:r>
            <w:r>
              <w:rPr>
                <w:rFonts w:hint="eastAsia" w:ascii="宋体" w:hAnsi="宋体" w:cs="宋体"/>
                <w:b/>
                <w:bCs/>
                <w:sz w:val="24"/>
              </w:rPr>
              <w:br w:type="textWrapping"/>
            </w:r>
            <w:r>
              <w:rPr>
                <w:rFonts w:hint="eastAsia" w:ascii="宋体" w:hAnsi="宋体" w:cs="宋体"/>
                <w:b/>
                <w:bCs/>
                <w:sz w:val="24"/>
              </w:rPr>
              <w:t>（万元）</w:t>
            </w:r>
          </w:p>
        </w:tc>
        <w:tc>
          <w:tcPr>
            <w:tcW w:w="1232" w:type="dxa"/>
            <w:noWrap w:val="0"/>
            <w:vAlign w:val="center"/>
          </w:tcPr>
          <w:p>
            <w:pPr>
              <w:spacing w:line="560" w:lineRule="exact"/>
              <w:jc w:val="center"/>
              <w:rPr>
                <w:rFonts w:hint="eastAsia" w:ascii="宋体" w:hAnsi="宋体" w:cs="宋体"/>
                <w:b/>
                <w:bCs/>
                <w:sz w:val="24"/>
              </w:rPr>
            </w:pPr>
            <w:r>
              <w:rPr>
                <w:rFonts w:hint="eastAsia" w:ascii="宋体" w:hAnsi="宋体" w:cs="宋体"/>
                <w:b/>
                <w:bCs/>
                <w:sz w:val="24"/>
              </w:rPr>
              <w:t>预算调整</w:t>
            </w:r>
            <w:r>
              <w:rPr>
                <w:rFonts w:hint="eastAsia" w:ascii="宋体" w:hAnsi="宋体" w:cs="宋体"/>
                <w:b/>
                <w:bCs/>
                <w:sz w:val="24"/>
              </w:rPr>
              <w:br w:type="textWrapping"/>
            </w:r>
            <w:r>
              <w:rPr>
                <w:rFonts w:hint="eastAsia" w:ascii="宋体" w:hAnsi="宋体" w:cs="宋体"/>
                <w:b/>
                <w:bCs/>
                <w:sz w:val="24"/>
              </w:rPr>
              <w:t>（万元）</w:t>
            </w:r>
          </w:p>
        </w:tc>
        <w:tc>
          <w:tcPr>
            <w:tcW w:w="1414" w:type="dxa"/>
            <w:noWrap w:val="0"/>
            <w:vAlign w:val="center"/>
          </w:tcPr>
          <w:p>
            <w:pPr>
              <w:spacing w:line="560" w:lineRule="exact"/>
              <w:jc w:val="center"/>
              <w:rPr>
                <w:rFonts w:hint="eastAsia" w:ascii="宋体" w:hAnsi="宋体" w:cs="宋体"/>
                <w:b/>
                <w:bCs/>
                <w:sz w:val="24"/>
              </w:rPr>
            </w:pPr>
            <w:r>
              <w:rPr>
                <w:rFonts w:hint="eastAsia" w:ascii="宋体" w:hAnsi="宋体" w:cs="宋体"/>
                <w:b/>
                <w:bCs/>
                <w:sz w:val="24"/>
              </w:rPr>
              <w:t>全年预算批复（万元）</w:t>
            </w:r>
          </w:p>
        </w:tc>
        <w:tc>
          <w:tcPr>
            <w:tcW w:w="1495" w:type="dxa"/>
            <w:noWrap w:val="0"/>
            <w:vAlign w:val="center"/>
          </w:tcPr>
          <w:p>
            <w:pPr>
              <w:spacing w:line="560" w:lineRule="exact"/>
              <w:jc w:val="center"/>
              <w:rPr>
                <w:rFonts w:hint="eastAsia" w:ascii="宋体" w:hAnsi="宋体" w:cs="宋体"/>
                <w:b/>
                <w:bCs/>
                <w:sz w:val="24"/>
              </w:rPr>
            </w:pPr>
            <w:r>
              <w:rPr>
                <w:rFonts w:hint="eastAsia" w:ascii="宋体" w:hAnsi="宋体" w:cs="宋体"/>
                <w:b/>
                <w:bCs/>
                <w:sz w:val="24"/>
              </w:rPr>
              <w:t>预算执行</w:t>
            </w:r>
            <w:r>
              <w:rPr>
                <w:rFonts w:hint="eastAsia" w:ascii="宋体" w:hAnsi="宋体" w:cs="宋体"/>
                <w:b/>
                <w:bCs/>
                <w:sz w:val="24"/>
              </w:rPr>
              <w:br w:type="textWrapping"/>
            </w:r>
            <w:r>
              <w:rPr>
                <w:rFonts w:hint="eastAsia" w:ascii="宋体" w:hAnsi="宋体" w:cs="宋体"/>
                <w:b/>
                <w:bCs/>
                <w:sz w:val="24"/>
              </w:rPr>
              <w:t>（万元）</w:t>
            </w:r>
          </w:p>
        </w:tc>
        <w:tc>
          <w:tcPr>
            <w:tcW w:w="1538" w:type="dxa"/>
            <w:noWrap w:val="0"/>
            <w:vAlign w:val="center"/>
          </w:tcPr>
          <w:p>
            <w:pPr>
              <w:spacing w:line="560" w:lineRule="exact"/>
              <w:jc w:val="center"/>
              <w:rPr>
                <w:rFonts w:hint="eastAsia" w:ascii="宋体" w:hAnsi="宋体" w:cs="宋体"/>
                <w:b/>
                <w:bCs/>
                <w:sz w:val="24"/>
              </w:rPr>
            </w:pPr>
            <w:r>
              <w:rPr>
                <w:rFonts w:hint="eastAsia" w:ascii="宋体" w:hAnsi="宋体" w:cs="宋体"/>
                <w:b/>
                <w:bCs/>
                <w:sz w:val="24"/>
              </w:rPr>
              <w:t>结转结余</w:t>
            </w:r>
            <w:r>
              <w:rPr>
                <w:rFonts w:hint="eastAsia" w:ascii="宋体" w:hAnsi="宋体" w:cs="宋体"/>
                <w:b/>
                <w:bCs/>
                <w:sz w:val="24"/>
              </w:rPr>
              <w:br w:type="textWrapping"/>
            </w:r>
            <w:r>
              <w:rPr>
                <w:rFonts w:hint="eastAsia" w:ascii="宋体" w:hAnsi="宋体" w:cs="宋体"/>
                <w:b/>
                <w:bCs/>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092" w:type="dxa"/>
            <w:noWrap w:val="0"/>
            <w:vAlign w:val="center"/>
          </w:tcPr>
          <w:p>
            <w:pPr>
              <w:spacing w:line="560" w:lineRule="exact"/>
              <w:jc w:val="center"/>
              <w:rPr>
                <w:rFonts w:hint="eastAsia" w:ascii="宋体" w:hAnsi="宋体" w:cs="宋体"/>
                <w:bCs/>
                <w:sz w:val="24"/>
              </w:rPr>
            </w:pPr>
            <w:r>
              <w:rPr>
                <w:rFonts w:hint="eastAsia" w:ascii="宋体" w:hAnsi="宋体" w:cs="宋体"/>
                <w:bCs/>
                <w:sz w:val="24"/>
              </w:rPr>
              <w:t>202</w:t>
            </w:r>
            <w:r>
              <w:rPr>
                <w:rFonts w:hint="eastAsia" w:ascii="宋体" w:hAnsi="宋体" w:cs="宋体"/>
                <w:bCs/>
                <w:sz w:val="24"/>
                <w:lang w:val="en-US" w:eastAsia="zh-CN"/>
              </w:rPr>
              <w:t>1</w:t>
            </w:r>
            <w:r>
              <w:rPr>
                <w:rFonts w:hint="eastAsia" w:ascii="宋体" w:hAnsi="宋体" w:cs="宋体"/>
                <w:bCs/>
                <w:sz w:val="24"/>
              </w:rPr>
              <w:t>年</w:t>
            </w:r>
          </w:p>
        </w:tc>
        <w:tc>
          <w:tcPr>
            <w:tcW w:w="1751" w:type="dxa"/>
            <w:noWrap w:val="0"/>
            <w:vAlign w:val="center"/>
          </w:tcPr>
          <w:p>
            <w:pPr>
              <w:keepNext w:val="0"/>
              <w:keepLines w:val="0"/>
              <w:widowControl/>
              <w:suppressLineNumbers w:val="0"/>
              <w:jc w:val="right"/>
              <w:textAlignment w:val="center"/>
              <w:rPr>
                <w:rFonts w:hint="default" w:ascii="宋体" w:hAnsi="宋体" w:cs="宋体"/>
                <w:bCs/>
                <w:sz w:val="24"/>
                <w:lang w:val="en-US"/>
              </w:rPr>
            </w:pPr>
            <w:r>
              <w:rPr>
                <w:rFonts w:hint="eastAsia" w:ascii="宋体" w:hAnsi="宋体" w:eastAsia="宋体" w:cs="宋体"/>
                <w:i w:val="0"/>
                <w:iCs w:val="0"/>
                <w:color w:val="000000"/>
                <w:kern w:val="0"/>
                <w:sz w:val="24"/>
                <w:szCs w:val="24"/>
                <w:u w:val="none"/>
                <w:lang w:val="en-US" w:eastAsia="zh-CN" w:bidi="ar"/>
              </w:rPr>
              <w:t>420</w:t>
            </w:r>
            <w:r>
              <w:rPr>
                <w:rFonts w:hint="eastAsia" w:ascii="宋体" w:hAnsi="宋体" w:cs="宋体"/>
                <w:i w:val="0"/>
                <w:iCs w:val="0"/>
                <w:color w:val="000000"/>
                <w:kern w:val="0"/>
                <w:sz w:val="24"/>
                <w:szCs w:val="24"/>
                <w:u w:val="none"/>
                <w:lang w:val="en-US" w:eastAsia="zh-CN" w:bidi="ar"/>
              </w:rPr>
              <w:t>.00</w:t>
            </w:r>
          </w:p>
        </w:tc>
        <w:tc>
          <w:tcPr>
            <w:tcW w:w="1232" w:type="dxa"/>
            <w:noWrap w:val="0"/>
            <w:vAlign w:val="center"/>
          </w:tcPr>
          <w:p>
            <w:pPr>
              <w:keepNext w:val="0"/>
              <w:keepLines w:val="0"/>
              <w:widowControl/>
              <w:suppressLineNumbers w:val="0"/>
              <w:jc w:val="right"/>
              <w:textAlignment w:val="center"/>
              <w:rPr>
                <w:rFonts w:hint="eastAsia" w:ascii="宋体" w:hAnsi="宋体" w:eastAsia="宋体" w:cs="宋体"/>
                <w:bCs/>
                <w:sz w:val="24"/>
                <w:lang w:eastAsia="zh-CN"/>
              </w:rPr>
            </w:pPr>
            <w:r>
              <w:rPr>
                <w:rStyle w:val="12"/>
                <w:lang w:val="en-US" w:eastAsia="zh-CN" w:bidi="ar"/>
              </w:rPr>
              <w:t>-</w:t>
            </w:r>
          </w:p>
        </w:tc>
        <w:tc>
          <w:tcPr>
            <w:tcW w:w="1414" w:type="dxa"/>
            <w:noWrap w:val="0"/>
            <w:vAlign w:val="center"/>
          </w:tcPr>
          <w:p>
            <w:pPr>
              <w:keepNext w:val="0"/>
              <w:keepLines w:val="0"/>
              <w:widowControl/>
              <w:suppressLineNumbers w:val="0"/>
              <w:jc w:val="right"/>
              <w:textAlignment w:val="center"/>
              <w:rPr>
                <w:rFonts w:hint="default" w:ascii="宋体" w:hAnsi="宋体" w:eastAsia="宋体" w:cs="宋体"/>
                <w:bCs/>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420</w:t>
            </w:r>
            <w:r>
              <w:rPr>
                <w:rFonts w:hint="eastAsia" w:ascii="宋体" w:hAnsi="宋体" w:cs="宋体"/>
                <w:i w:val="0"/>
                <w:iCs w:val="0"/>
                <w:color w:val="000000"/>
                <w:kern w:val="0"/>
                <w:sz w:val="24"/>
                <w:szCs w:val="24"/>
                <w:u w:val="none"/>
                <w:lang w:val="en-US" w:eastAsia="zh-CN" w:bidi="ar"/>
              </w:rPr>
              <w:t>.00</w:t>
            </w:r>
          </w:p>
        </w:tc>
        <w:tc>
          <w:tcPr>
            <w:tcW w:w="1495" w:type="dxa"/>
            <w:noWrap w:val="0"/>
            <w:vAlign w:val="center"/>
          </w:tcPr>
          <w:p>
            <w:pPr>
              <w:keepNext w:val="0"/>
              <w:keepLines w:val="0"/>
              <w:widowControl/>
              <w:suppressLineNumbers w:val="0"/>
              <w:jc w:val="right"/>
              <w:textAlignment w:val="center"/>
              <w:rPr>
                <w:rFonts w:hint="eastAsia" w:ascii="宋体" w:hAnsi="宋体" w:eastAsia="宋体" w:cs="宋体"/>
                <w:bCs/>
                <w:sz w:val="24"/>
                <w:lang w:eastAsia="zh-CN"/>
              </w:rPr>
            </w:pPr>
            <w:r>
              <w:rPr>
                <w:rFonts w:hint="eastAsia" w:ascii="宋体" w:hAnsi="宋体" w:cs="宋体"/>
                <w:i w:val="0"/>
                <w:iCs w:val="0"/>
                <w:color w:val="000000"/>
                <w:kern w:val="0"/>
                <w:sz w:val="24"/>
                <w:szCs w:val="24"/>
                <w:u w:val="none"/>
                <w:lang w:val="en-US" w:eastAsia="zh-CN" w:bidi="ar"/>
              </w:rPr>
              <w:t>-</w:t>
            </w:r>
          </w:p>
        </w:tc>
        <w:tc>
          <w:tcPr>
            <w:tcW w:w="1538" w:type="dxa"/>
            <w:noWrap w:val="0"/>
            <w:vAlign w:val="center"/>
          </w:tcPr>
          <w:p>
            <w:pPr>
              <w:keepNext w:val="0"/>
              <w:keepLines w:val="0"/>
              <w:widowControl/>
              <w:suppressLineNumbers w:val="0"/>
              <w:jc w:val="right"/>
              <w:textAlignment w:val="center"/>
              <w:rPr>
                <w:rFonts w:hint="default" w:ascii="宋体" w:hAnsi="宋体" w:eastAsia="宋体" w:cs="宋体"/>
                <w:bCs/>
                <w:sz w:val="24"/>
                <w:lang w:val="en-US" w:eastAsia="zh-CN"/>
              </w:rPr>
            </w:pPr>
            <w:r>
              <w:rPr>
                <w:rFonts w:hint="eastAsia" w:ascii="宋体" w:hAnsi="宋体" w:eastAsia="宋体" w:cs="宋体"/>
                <w:i w:val="0"/>
                <w:iCs w:val="0"/>
                <w:color w:val="000000"/>
                <w:kern w:val="0"/>
                <w:sz w:val="24"/>
                <w:szCs w:val="24"/>
                <w:u w:val="none"/>
                <w:lang w:val="en-US" w:eastAsia="zh-CN" w:bidi="ar"/>
              </w:rPr>
              <w:t>420</w:t>
            </w:r>
            <w:r>
              <w:rPr>
                <w:rFonts w:hint="eastAsia" w:ascii="宋体" w:hAnsi="宋体" w:cs="宋体"/>
                <w:i w:val="0"/>
                <w:iCs w:val="0"/>
                <w:color w:val="000000"/>
                <w:kern w:val="0"/>
                <w:sz w:val="24"/>
                <w:szCs w:val="24"/>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092" w:type="dxa"/>
            <w:noWrap w:val="0"/>
            <w:vAlign w:val="center"/>
          </w:tcPr>
          <w:p>
            <w:pPr>
              <w:spacing w:line="560" w:lineRule="exact"/>
              <w:jc w:val="center"/>
              <w:rPr>
                <w:rFonts w:hint="eastAsia" w:ascii="宋体" w:hAnsi="宋体" w:cs="宋体"/>
                <w:bCs/>
                <w:sz w:val="24"/>
              </w:rPr>
            </w:pPr>
            <w:r>
              <w:rPr>
                <w:rFonts w:hint="eastAsia" w:ascii="宋体" w:hAnsi="宋体" w:cs="宋体"/>
                <w:bCs/>
                <w:sz w:val="24"/>
              </w:rPr>
              <w:t>202</w:t>
            </w:r>
            <w:r>
              <w:rPr>
                <w:rFonts w:hint="eastAsia" w:ascii="宋体" w:hAnsi="宋体" w:cs="宋体"/>
                <w:bCs/>
                <w:sz w:val="24"/>
                <w:lang w:val="en-US" w:eastAsia="zh-CN"/>
              </w:rPr>
              <w:t>2</w:t>
            </w:r>
            <w:r>
              <w:rPr>
                <w:rFonts w:hint="eastAsia" w:ascii="宋体" w:hAnsi="宋体" w:cs="宋体"/>
                <w:bCs/>
                <w:sz w:val="24"/>
              </w:rPr>
              <w:t>年</w:t>
            </w:r>
          </w:p>
        </w:tc>
        <w:tc>
          <w:tcPr>
            <w:tcW w:w="1751" w:type="dxa"/>
            <w:noWrap w:val="0"/>
            <w:vAlign w:val="center"/>
          </w:tcPr>
          <w:p>
            <w:pPr>
              <w:keepNext w:val="0"/>
              <w:keepLines w:val="0"/>
              <w:widowControl/>
              <w:suppressLineNumbers w:val="0"/>
              <w:jc w:val="right"/>
              <w:textAlignment w:val="center"/>
              <w:rPr>
                <w:rFonts w:hint="eastAsia" w:ascii="宋体" w:hAnsi="宋体" w:cs="宋体"/>
                <w:bCs/>
                <w:sz w:val="24"/>
              </w:rPr>
            </w:pPr>
            <w:r>
              <w:rPr>
                <w:rFonts w:hint="eastAsia" w:ascii="宋体" w:hAnsi="宋体" w:eastAsia="宋体" w:cs="宋体"/>
                <w:i w:val="0"/>
                <w:iCs w:val="0"/>
                <w:color w:val="000000"/>
                <w:kern w:val="0"/>
                <w:sz w:val="24"/>
                <w:szCs w:val="24"/>
                <w:u w:val="none"/>
                <w:lang w:val="en-US" w:eastAsia="zh-CN" w:bidi="ar"/>
              </w:rPr>
              <w:t>1,683.74</w:t>
            </w:r>
          </w:p>
        </w:tc>
        <w:tc>
          <w:tcPr>
            <w:tcW w:w="1232" w:type="dxa"/>
            <w:noWrap w:val="0"/>
            <w:vAlign w:val="center"/>
          </w:tcPr>
          <w:p>
            <w:pPr>
              <w:keepNext w:val="0"/>
              <w:keepLines w:val="0"/>
              <w:widowControl/>
              <w:suppressLineNumbers w:val="0"/>
              <w:jc w:val="right"/>
              <w:textAlignment w:val="center"/>
              <w:rPr>
                <w:rFonts w:hint="eastAsia" w:ascii="宋体" w:hAnsi="宋体" w:cs="宋体"/>
                <w:bCs/>
                <w:sz w:val="24"/>
              </w:rPr>
            </w:pPr>
            <w:r>
              <w:rPr>
                <w:rStyle w:val="12"/>
                <w:rFonts w:hint="eastAsia"/>
                <w:lang w:val="en-US" w:eastAsia="zh-CN" w:bidi="ar"/>
              </w:rPr>
              <w:t>-200.00</w:t>
            </w:r>
            <w:r>
              <w:rPr>
                <w:rStyle w:val="12"/>
                <w:lang w:val="en-US" w:eastAsia="zh-CN" w:bidi="ar"/>
              </w:rPr>
              <w:t xml:space="preserve"> </w:t>
            </w:r>
          </w:p>
        </w:tc>
        <w:tc>
          <w:tcPr>
            <w:tcW w:w="1414" w:type="dxa"/>
            <w:noWrap w:val="0"/>
            <w:vAlign w:val="center"/>
          </w:tcPr>
          <w:p>
            <w:pPr>
              <w:keepNext w:val="0"/>
              <w:keepLines w:val="0"/>
              <w:widowControl/>
              <w:suppressLineNumbers w:val="0"/>
              <w:jc w:val="right"/>
              <w:textAlignment w:val="center"/>
              <w:rPr>
                <w:rFonts w:hint="eastAsia" w:ascii="宋体" w:hAnsi="宋体" w:eastAsia="宋体" w:cs="宋体"/>
                <w:bCs/>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83.74</w:t>
            </w:r>
          </w:p>
        </w:tc>
        <w:tc>
          <w:tcPr>
            <w:tcW w:w="1495" w:type="dxa"/>
            <w:noWrap w:val="0"/>
            <w:vAlign w:val="center"/>
          </w:tcPr>
          <w:p>
            <w:pPr>
              <w:keepNext w:val="0"/>
              <w:keepLines w:val="0"/>
              <w:widowControl/>
              <w:suppressLineNumbers w:val="0"/>
              <w:jc w:val="right"/>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1,815.21</w:t>
            </w:r>
          </w:p>
        </w:tc>
        <w:tc>
          <w:tcPr>
            <w:tcW w:w="1538" w:type="dxa"/>
            <w:noWrap w:val="0"/>
            <w:vAlign w:val="center"/>
          </w:tcPr>
          <w:p>
            <w:pPr>
              <w:keepNext w:val="0"/>
              <w:keepLines w:val="0"/>
              <w:widowControl/>
              <w:suppressLineNumbers w:val="0"/>
              <w:jc w:val="right"/>
              <w:textAlignment w:val="center"/>
              <w:rPr>
                <w:rFonts w:hint="default" w:ascii="宋体" w:hAnsi="宋体" w:eastAsia="宋体" w:cs="宋体"/>
                <w:bCs/>
                <w:sz w:val="24"/>
                <w:highlight w:val="none"/>
                <w:lang w:val="en-US" w:eastAsia="zh-CN"/>
              </w:rPr>
            </w:pPr>
            <w:r>
              <w:rPr>
                <w:rFonts w:hint="eastAsia" w:ascii="宋体" w:hAnsi="宋体" w:cs="宋体"/>
                <w:bCs/>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092" w:type="dxa"/>
            <w:noWrap w:val="0"/>
            <w:vAlign w:val="center"/>
          </w:tcPr>
          <w:p>
            <w:pPr>
              <w:spacing w:line="560" w:lineRule="exact"/>
              <w:jc w:val="center"/>
              <w:rPr>
                <w:rFonts w:hint="eastAsia" w:ascii="宋体" w:hAnsi="宋体" w:cs="宋体"/>
                <w:bCs/>
                <w:sz w:val="24"/>
              </w:rPr>
            </w:pPr>
            <w:r>
              <w:rPr>
                <w:rFonts w:hint="eastAsia" w:ascii="宋体" w:hAnsi="宋体" w:cs="宋体"/>
                <w:b/>
                <w:sz w:val="24"/>
              </w:rPr>
              <w:t>合计</w:t>
            </w:r>
          </w:p>
        </w:tc>
        <w:tc>
          <w:tcPr>
            <w:tcW w:w="1751" w:type="dxa"/>
            <w:noWrap w:val="0"/>
            <w:vAlign w:val="center"/>
          </w:tcPr>
          <w:p>
            <w:pPr>
              <w:keepNext w:val="0"/>
              <w:keepLines w:val="0"/>
              <w:widowControl/>
              <w:suppressLineNumbers w:val="0"/>
              <w:jc w:val="right"/>
              <w:textAlignment w:val="center"/>
              <w:rPr>
                <w:rFonts w:hint="eastAsia" w:ascii="宋体" w:hAnsi="宋体" w:cs="宋体"/>
                <w:bCs/>
                <w:sz w:val="24"/>
              </w:rPr>
            </w:pPr>
            <w:r>
              <w:rPr>
                <w:rFonts w:hint="eastAsia" w:ascii="宋体" w:hAnsi="宋体" w:eastAsia="宋体" w:cs="宋体"/>
                <w:b/>
                <w:bCs/>
                <w:i w:val="0"/>
                <w:iCs w:val="0"/>
                <w:color w:val="000000"/>
                <w:kern w:val="0"/>
                <w:sz w:val="24"/>
                <w:szCs w:val="24"/>
                <w:u w:val="none"/>
                <w:lang w:val="en-US" w:eastAsia="zh-CN" w:bidi="ar"/>
              </w:rPr>
              <w:t>2,103.74</w:t>
            </w:r>
          </w:p>
        </w:tc>
        <w:tc>
          <w:tcPr>
            <w:tcW w:w="1232" w:type="dxa"/>
            <w:noWrap w:val="0"/>
            <w:vAlign w:val="center"/>
          </w:tcPr>
          <w:p>
            <w:pPr>
              <w:keepNext w:val="0"/>
              <w:keepLines w:val="0"/>
              <w:widowControl/>
              <w:suppressLineNumbers w:val="0"/>
              <w:jc w:val="right"/>
              <w:textAlignment w:val="center"/>
              <w:rPr>
                <w:rFonts w:hint="default" w:ascii="宋体" w:hAnsi="宋体" w:cs="宋体"/>
                <w:bCs/>
                <w:sz w:val="24"/>
                <w:lang w:val="en-US"/>
              </w:rPr>
            </w:pPr>
            <w:r>
              <w:rPr>
                <w:rFonts w:hint="eastAsia" w:ascii="宋体" w:hAnsi="宋体" w:cs="宋体"/>
                <w:b/>
                <w:bCs/>
                <w:i w:val="0"/>
                <w:iCs w:val="0"/>
                <w:color w:val="000000"/>
                <w:kern w:val="0"/>
                <w:sz w:val="24"/>
                <w:szCs w:val="24"/>
                <w:u w:val="none"/>
                <w:lang w:val="en-US" w:eastAsia="zh-CN" w:bidi="ar"/>
              </w:rPr>
              <w:t>-200.00</w:t>
            </w:r>
          </w:p>
        </w:tc>
        <w:tc>
          <w:tcPr>
            <w:tcW w:w="1414" w:type="dxa"/>
            <w:noWrap w:val="0"/>
            <w:vAlign w:val="center"/>
          </w:tcPr>
          <w:p>
            <w:pPr>
              <w:keepNext w:val="0"/>
              <w:keepLines w:val="0"/>
              <w:widowControl/>
              <w:suppressLineNumbers w:val="0"/>
              <w:jc w:val="right"/>
              <w:textAlignment w:val="center"/>
              <w:rPr>
                <w:rFonts w:hint="eastAsia" w:ascii="宋体" w:hAnsi="宋体" w:cs="宋体"/>
                <w:bCs/>
                <w:sz w:val="24"/>
              </w:rPr>
            </w:pPr>
            <w:r>
              <w:rPr>
                <w:rFonts w:hint="eastAsia" w:ascii="宋体" w:hAnsi="宋体" w:eastAsia="宋体" w:cs="宋体"/>
                <w:i w:val="0"/>
                <w:iCs w:val="0"/>
                <w:color w:val="000000"/>
                <w:kern w:val="0"/>
                <w:sz w:val="24"/>
                <w:szCs w:val="24"/>
                <w:u w:val="none"/>
                <w:lang w:val="en-US" w:eastAsia="zh-CN" w:bidi="ar"/>
              </w:rPr>
              <w:t>1,903.74</w:t>
            </w:r>
          </w:p>
        </w:tc>
        <w:tc>
          <w:tcPr>
            <w:tcW w:w="1495" w:type="dxa"/>
            <w:noWrap w:val="0"/>
            <w:vAlign w:val="center"/>
          </w:tcPr>
          <w:p>
            <w:pPr>
              <w:keepNext w:val="0"/>
              <w:keepLines w:val="0"/>
              <w:widowControl/>
              <w:suppressLineNumbers w:val="0"/>
              <w:jc w:val="right"/>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1,815.21</w:t>
            </w:r>
          </w:p>
        </w:tc>
        <w:tc>
          <w:tcPr>
            <w:tcW w:w="1538" w:type="dxa"/>
            <w:noWrap w:val="0"/>
            <w:vAlign w:val="center"/>
          </w:tcPr>
          <w:p>
            <w:pPr>
              <w:keepNext w:val="0"/>
              <w:keepLines w:val="0"/>
              <w:widowControl/>
              <w:suppressLineNumbers w:val="0"/>
              <w:jc w:val="right"/>
              <w:textAlignment w:val="center"/>
              <w:rPr>
                <w:rFonts w:hint="eastAsia" w:ascii="宋体" w:hAnsi="宋体" w:cs="宋体"/>
                <w:bCs/>
                <w:sz w:val="24"/>
                <w:highlight w:val="none"/>
              </w:rPr>
            </w:pPr>
            <w:r>
              <w:rPr>
                <w:rStyle w:val="13"/>
                <w:highlight w:val="none"/>
                <w:lang w:val="en-US" w:eastAsia="zh-CN" w:bidi="ar"/>
              </w:rPr>
              <w:t>-</w:t>
            </w:r>
          </w:p>
        </w:tc>
      </w:tr>
    </w:tbl>
    <w:p>
      <w:pPr>
        <w:numPr>
          <w:ilvl w:val="0"/>
          <w:numId w:val="1"/>
        </w:numPr>
        <w:spacing w:line="560" w:lineRule="exact"/>
        <w:outlineLvl w:val="1"/>
        <w:rPr>
          <w:rFonts w:hint="eastAsia" w:ascii="楷体" w:hAnsi="楷体" w:eastAsia="楷体"/>
          <w:bCs/>
          <w:kern w:val="0"/>
          <w:sz w:val="32"/>
          <w:szCs w:val="28"/>
        </w:rPr>
      </w:pPr>
      <w:bookmarkStart w:id="5" w:name="_Toc25883"/>
      <w:r>
        <w:rPr>
          <w:rFonts w:hint="eastAsia" w:ascii="楷体" w:hAnsi="楷体" w:eastAsia="楷体"/>
          <w:bCs/>
          <w:kern w:val="0"/>
          <w:sz w:val="32"/>
          <w:szCs w:val="28"/>
        </w:rPr>
        <w:t>项目绩效目标</w:t>
      </w:r>
      <w:bookmarkEnd w:id="5"/>
    </w:p>
    <w:p>
      <w:pPr>
        <w:spacing w:line="560" w:lineRule="exact"/>
        <w:ind w:firstLine="640" w:firstLineChars="200"/>
        <w:outlineLvl w:val="2"/>
        <w:rPr>
          <w:rFonts w:ascii="仿宋_GB2312" w:eastAsia="仿宋_GB2312"/>
          <w:sz w:val="32"/>
          <w:szCs w:val="32"/>
        </w:rPr>
      </w:pPr>
      <w:bookmarkStart w:id="6" w:name="_Toc72080238"/>
      <w:r>
        <w:rPr>
          <w:rFonts w:hint="eastAsia" w:ascii="仿宋_GB2312" w:eastAsia="仿宋_GB2312"/>
          <w:sz w:val="32"/>
          <w:szCs w:val="32"/>
        </w:rPr>
        <w:t>1.绩效目标</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项目总体预期绩效目标：通过诉调对接中心信息化建设，为诉调对接中心调解及审判业务、行政办公、司法便民等各项工作提供全面支撑，并向广大干警提供安全、高效的审判及办公环境，从而增强我院司法为民能力，不断提高司法审判水平，保障人民法院司法审判、执行工作的可持续性、健康发展，实现审判执行业务与诉调对接服务业务的无缝对接，为各类诉调对接服务渠道提供统一的信息支持服务，为大数据分析平台提供基础数据。</w:t>
      </w:r>
    </w:p>
    <w:p>
      <w:pPr>
        <w:spacing w:line="560" w:lineRule="exact"/>
        <w:ind w:firstLine="640" w:firstLineChars="200"/>
        <w:outlineLvl w:val="2"/>
        <w:rPr>
          <w:rFonts w:ascii="仿宋_GB2312" w:hAnsi="仿宋" w:eastAsia="仿宋_GB2312"/>
          <w:sz w:val="32"/>
          <w:szCs w:val="32"/>
        </w:rPr>
      </w:pPr>
      <w:r>
        <w:rPr>
          <w:rFonts w:hint="eastAsia" w:ascii="仿宋_GB2312" w:hAnsi="仿宋" w:eastAsia="仿宋_GB2312"/>
          <w:sz w:val="32"/>
          <w:szCs w:val="32"/>
        </w:rPr>
        <w:t>2.具体绩效指标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通过诉调对接中心信息化建设，充分缓解审判办公用房紧张问题，促使法院立案、速裁审判、调解服务充分融合，辅助提高案件处理效率。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通过加强法院信息化建设，提高司法效率，使人民司法工作更加贴近人民群众维护合法权益的实际需要，使当事人尽快获得公平裁判结果，可以极大地方便人民群众参与诉讼，降低诉讼成本，减少当事人诉累；可以进一步提高当庭宣判率、审限内结案率、生效裁判执结率，切实保障人民的诉讼权利，将司法为民、司法便民措施做到实处，形成长效机制。为社会、公民提供信息查询、诉讼咨询和服务，提供参与诉讼的便利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法院诉调对接中心利用现代信息工程技术，辅助法官办</w:t>
      </w:r>
      <w:r>
        <w:rPr>
          <w:rFonts w:hint="default" w:ascii="仿宋_GB2312" w:hAnsi="楷体" w:eastAsia="仿宋_GB2312"/>
          <w:bCs/>
          <w:kern w:val="0"/>
          <w:sz w:val="32"/>
          <w:szCs w:val="28"/>
          <w:lang w:val="en-US" w:eastAsia="zh-CN"/>
        </w:rPr>
        <w:t>案，提高工作效率，最大限度地提高法官人均结案率，减少单位时间内案件审理用时，降低司法成本和诉讼各方当事人诉讼投入</w:t>
      </w:r>
      <w:r>
        <w:rPr>
          <w:rFonts w:hint="eastAsia" w:ascii="仿宋_GB2312" w:hAnsi="楷体" w:eastAsia="仿宋_GB2312"/>
          <w:bCs/>
          <w:kern w:val="0"/>
          <w:sz w:val="32"/>
          <w:szCs w:val="28"/>
          <w:lang w:val="en-US"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7" w:name="_Toc26565"/>
      <w:r>
        <w:rPr>
          <w:rFonts w:hint="eastAsia" w:ascii="黑体" w:hAnsi="黑体" w:eastAsia="黑体"/>
          <w:sz w:val="32"/>
          <w:szCs w:val="32"/>
        </w:rPr>
        <w:t>二、绩效评价工作开展情况</w:t>
      </w:r>
      <w:bookmarkEnd w:id="7"/>
    </w:p>
    <w:p>
      <w:pPr>
        <w:spacing w:line="560" w:lineRule="exact"/>
        <w:ind w:firstLine="640" w:firstLineChars="200"/>
        <w:outlineLvl w:val="1"/>
        <w:rPr>
          <w:rFonts w:hint="eastAsia" w:ascii="楷体" w:hAnsi="楷体" w:eastAsia="楷体"/>
          <w:bCs/>
          <w:kern w:val="0"/>
          <w:sz w:val="32"/>
          <w:szCs w:val="28"/>
        </w:rPr>
      </w:pPr>
      <w:bookmarkStart w:id="8" w:name="_Toc72080241"/>
      <w:bookmarkStart w:id="9" w:name="_Toc7202"/>
      <w:r>
        <w:rPr>
          <w:rFonts w:hint="eastAsia" w:ascii="楷体" w:hAnsi="楷体" w:eastAsia="楷体"/>
          <w:bCs/>
          <w:kern w:val="0"/>
          <w:sz w:val="32"/>
          <w:szCs w:val="28"/>
        </w:rPr>
        <w:t>（一）</w:t>
      </w:r>
      <w:bookmarkEnd w:id="8"/>
      <w:bookmarkStart w:id="10" w:name="_Toc72080242"/>
      <w:r>
        <w:rPr>
          <w:rFonts w:hint="eastAsia" w:ascii="楷体" w:hAnsi="楷体" w:eastAsia="楷体"/>
          <w:bCs/>
          <w:kern w:val="0"/>
          <w:sz w:val="32"/>
          <w:szCs w:val="28"/>
        </w:rPr>
        <w:t>绩效评价目的、对象和范围</w:t>
      </w:r>
      <w:bookmarkEnd w:id="9"/>
    </w:p>
    <w:p>
      <w:pPr>
        <w:spacing w:line="560" w:lineRule="exact"/>
        <w:ind w:firstLine="640" w:firstLineChars="200"/>
        <w:outlineLvl w:val="2"/>
        <w:rPr>
          <w:rFonts w:hint="eastAsia" w:ascii="仿宋_GB2312" w:eastAsia="仿宋_GB2312"/>
          <w:sz w:val="32"/>
          <w:szCs w:val="32"/>
        </w:rPr>
      </w:pPr>
      <w:r>
        <w:rPr>
          <w:rFonts w:hint="eastAsia" w:ascii="仿宋_GB2312" w:eastAsia="仿宋_GB2312"/>
          <w:sz w:val="32"/>
          <w:szCs w:val="32"/>
        </w:rPr>
        <w:t>1.评价目的</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通过绩效评价，对该项目整体情况进行分析，全面、客观地反映评价项目单位的工作成效，对项目决策、项目过程、项目产出及项目效益方面存在的不足提出合理化建议，使预算管理更加科学、完善，</w:t>
      </w:r>
      <w:bookmarkStart w:id="11" w:name="_Toc72080243"/>
      <w:r>
        <w:rPr>
          <w:rFonts w:hint="eastAsia" w:ascii="仿宋_GB2312" w:hAnsi="楷体" w:eastAsia="仿宋_GB2312"/>
          <w:bCs/>
          <w:kern w:val="0"/>
          <w:sz w:val="32"/>
          <w:szCs w:val="28"/>
          <w:lang w:val="en-US" w:eastAsia="zh-CN"/>
        </w:rPr>
        <w:t>加强项目预算绩效管理，提高财政资金使用效益和效率。</w:t>
      </w:r>
    </w:p>
    <w:p>
      <w:pPr>
        <w:spacing w:line="560" w:lineRule="exact"/>
        <w:ind w:firstLine="640" w:firstLineChars="200"/>
        <w:outlineLvl w:val="2"/>
        <w:rPr>
          <w:rFonts w:hint="eastAsia" w:ascii="仿宋_GB2312" w:eastAsia="仿宋_GB2312"/>
          <w:sz w:val="32"/>
          <w:szCs w:val="32"/>
        </w:rPr>
      </w:pPr>
      <w:r>
        <w:rPr>
          <w:rFonts w:hint="eastAsia" w:ascii="仿宋_GB2312" w:eastAsia="仿宋_GB2312"/>
          <w:sz w:val="32"/>
          <w:szCs w:val="32"/>
        </w:rPr>
        <w:t>2.评价对象和范围</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对丰台法院诉调对接中心信息化建设项目2022年度预算1,683.74万元资金支出情况开展绩效评价。</w:t>
      </w:r>
    </w:p>
    <w:p>
      <w:pPr>
        <w:spacing w:line="560" w:lineRule="exact"/>
        <w:ind w:firstLine="640" w:firstLineChars="200"/>
        <w:outlineLvl w:val="1"/>
        <w:rPr>
          <w:rFonts w:hint="eastAsia" w:ascii="楷体" w:hAnsi="楷体" w:eastAsia="楷体"/>
          <w:bCs/>
          <w:kern w:val="0"/>
          <w:sz w:val="32"/>
          <w:szCs w:val="28"/>
        </w:rPr>
      </w:pPr>
      <w:bookmarkStart w:id="12" w:name="_Toc3437"/>
      <w:bookmarkStart w:id="13" w:name="_Toc72129832"/>
      <w:r>
        <w:rPr>
          <w:rFonts w:hint="eastAsia" w:ascii="楷体" w:hAnsi="楷体" w:eastAsia="楷体"/>
          <w:bCs/>
          <w:kern w:val="0"/>
          <w:sz w:val="32"/>
          <w:szCs w:val="28"/>
        </w:rPr>
        <w:t>（二）绩效评价基本情况</w:t>
      </w:r>
      <w:bookmarkEnd w:id="12"/>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bookmarkStart w:id="14" w:name="_Toc72129833"/>
      <w:bookmarkStart w:id="15" w:name="_Toc72117818"/>
      <w:bookmarkStart w:id="16" w:name="_Toc72080245"/>
      <w:r>
        <w:rPr>
          <w:rFonts w:hint="eastAsia" w:ascii="仿宋_GB2312" w:hAnsi="楷体" w:eastAsia="仿宋_GB2312"/>
          <w:bCs/>
          <w:kern w:val="0"/>
          <w:sz w:val="32"/>
          <w:szCs w:val="28"/>
          <w:lang w:val="en-US" w:eastAsia="zh-CN"/>
        </w:rPr>
        <w:t>1.绩效评价原则及方法</w:t>
      </w:r>
      <w:bookmarkEnd w:id="14"/>
      <w:bookmarkEnd w:id="1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本次绩效评价遵循“客观、公正、科学、规范”的原则，结合项目的特点，采用比较法、因素分析法、专家评议法等方法，定性与定量相结合，从项目决策、项目过程、项目产出、项目效益四个方面对本项目开展绩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2.评价指标体系</w:t>
      </w:r>
      <w:bookmarkEnd w:id="1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绩效评价指标体系主要包括项目决策、项目过程、项目产出、项目效益四个方面，满分100分。根据项目实施特点，本次评价更注重过程和产出，对一级指标权重进行了适当调整。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一是决策指标</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10分</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，主要评价项目立项、绩效目标和资金投入；二是过程指标</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30分</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，主要评价项目资金管理和组织实施；三是产出指标</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40分</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，主要评价项目产出数量、产出质量、产出时效和产出成本；四是效益指标</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20分</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，主要评价项目实施效益和服务对象满意度。绩效评价指标体系详见附件。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bookmarkStart w:id="17" w:name="_Toc72080247"/>
      <w:r>
        <w:rPr>
          <w:rFonts w:hint="eastAsia" w:ascii="仿宋_GB2312" w:hAnsi="楷体" w:eastAsia="仿宋_GB2312"/>
          <w:bCs/>
          <w:kern w:val="0"/>
          <w:sz w:val="32"/>
          <w:szCs w:val="28"/>
        </w:rPr>
        <w:t>3.评价标准</w:t>
      </w:r>
      <w:bookmarkEnd w:id="1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bookmarkStart w:id="18" w:name="_Toc72080248"/>
      <w:r>
        <w:rPr>
          <w:rFonts w:hint="eastAsia" w:ascii="仿宋_GB2312" w:hAnsi="楷体" w:eastAsia="仿宋_GB2312"/>
          <w:bCs/>
          <w:kern w:val="0"/>
          <w:sz w:val="32"/>
          <w:szCs w:val="28"/>
        </w:rPr>
        <w:t>本次绩效评价标准为计划标准，以该项目预先制定的目标、计划、预算作为评价标准，对绩效指标完成情况进行比较。</w:t>
      </w:r>
    </w:p>
    <w:p>
      <w:pPr>
        <w:spacing w:line="560" w:lineRule="exact"/>
        <w:ind w:firstLine="640" w:firstLineChars="200"/>
        <w:outlineLvl w:val="1"/>
        <w:rPr>
          <w:rFonts w:hint="eastAsia" w:ascii="楷体" w:hAnsi="楷体" w:eastAsia="楷体"/>
          <w:bCs/>
          <w:kern w:val="0"/>
          <w:sz w:val="32"/>
          <w:szCs w:val="28"/>
        </w:rPr>
      </w:pPr>
      <w:bookmarkStart w:id="19" w:name="_Toc1047"/>
      <w:r>
        <w:rPr>
          <w:rFonts w:hint="eastAsia" w:ascii="楷体" w:hAnsi="楷体" w:eastAsia="楷体"/>
          <w:bCs/>
          <w:kern w:val="0"/>
          <w:sz w:val="32"/>
          <w:szCs w:val="28"/>
        </w:rPr>
        <w:t>（三）绩效评价工作过程</w:t>
      </w:r>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本次绩效评价工作在成立评价工作组后，通过线上沟通和审核评价资料的方式，对项目资料进行逐一核实，了解项目资金的使用和取得的效益情况，并在此基础上</w:t>
      </w:r>
      <w:r>
        <w:rPr>
          <w:rFonts w:hint="eastAsia" w:ascii="仿宋_GB2312" w:hAnsi="楷体" w:eastAsia="仿宋_GB2312"/>
          <w:bCs/>
          <w:kern w:val="0"/>
          <w:sz w:val="32"/>
          <w:szCs w:val="28"/>
          <w:lang w:val="en-US" w:eastAsia="zh-CN"/>
        </w:rPr>
        <w:t>召开现场</w:t>
      </w:r>
      <w:r>
        <w:rPr>
          <w:rFonts w:hint="eastAsia" w:ascii="仿宋_GB2312" w:hAnsi="楷体" w:eastAsia="仿宋_GB2312"/>
          <w:bCs/>
          <w:kern w:val="0"/>
          <w:sz w:val="32"/>
          <w:szCs w:val="28"/>
        </w:rPr>
        <w:t>专家评价会，最终根据评价前期沟通及收集资料情况，结合专家评价会的专家组意见，完成绩效评价报告撰写。</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20" w:name="_Toc72080249"/>
      <w:bookmarkStart w:id="21" w:name="_Toc8039"/>
      <w:r>
        <w:rPr>
          <w:rFonts w:hint="eastAsia" w:ascii="黑体" w:hAnsi="黑体" w:eastAsia="黑体"/>
          <w:sz w:val="32"/>
          <w:szCs w:val="32"/>
        </w:rPr>
        <w:t>三、综合评价情况及评价结论</w:t>
      </w:r>
      <w:bookmarkEnd w:id="20"/>
      <w:bookmarkEnd w:id="2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经综合评价，“诉调对接中心</w:t>
      </w:r>
      <w:r>
        <w:rPr>
          <w:rFonts w:hint="eastAsia" w:ascii="仿宋_GB2312" w:hAnsi="楷体" w:eastAsia="仿宋_GB2312"/>
          <w:bCs/>
          <w:kern w:val="0"/>
          <w:sz w:val="32"/>
          <w:szCs w:val="28"/>
          <w:lang w:val="en-US" w:eastAsia="zh-CN"/>
        </w:rPr>
        <w:t>信息化建设</w:t>
      </w:r>
      <w:r>
        <w:rPr>
          <w:rFonts w:hint="eastAsia" w:ascii="仿宋_GB2312" w:hAnsi="楷体" w:eastAsia="仿宋_GB2312"/>
          <w:bCs/>
          <w:kern w:val="0"/>
          <w:sz w:val="32"/>
          <w:szCs w:val="28"/>
        </w:rPr>
        <w:t>项目”绩效评价综合得分</w:t>
      </w:r>
      <w:r>
        <w:rPr>
          <w:rFonts w:hint="eastAsia" w:ascii="仿宋_GB2312" w:hAnsi="楷体" w:eastAsia="仿宋_GB2312"/>
          <w:bCs/>
          <w:kern w:val="0"/>
          <w:sz w:val="32"/>
          <w:szCs w:val="28"/>
          <w:lang w:val="en-US" w:eastAsia="zh-CN"/>
        </w:rPr>
        <w:t>89.97</w:t>
      </w:r>
      <w:r>
        <w:rPr>
          <w:rFonts w:hint="eastAsia" w:ascii="仿宋_GB2312" w:hAnsi="楷体" w:eastAsia="仿宋_GB2312"/>
          <w:bCs/>
          <w:kern w:val="0"/>
          <w:sz w:val="32"/>
          <w:szCs w:val="28"/>
        </w:rPr>
        <w:t>分，绩效级别为“</w:t>
      </w:r>
      <w:r>
        <w:rPr>
          <w:rFonts w:hint="eastAsia" w:ascii="仿宋_GB2312" w:hAnsi="楷体" w:eastAsia="仿宋_GB2312"/>
          <w:bCs/>
          <w:kern w:val="0"/>
          <w:sz w:val="32"/>
          <w:szCs w:val="28"/>
          <w:lang w:val="en-US" w:eastAsia="zh-CN"/>
        </w:rPr>
        <w:t>良好</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eastAsia="zh-CN"/>
        </w:rPr>
        <w:t>其中</w:t>
      </w:r>
      <w:r>
        <w:rPr>
          <w:rFonts w:hint="eastAsia" w:ascii="仿宋_GB2312" w:hAnsi="楷体" w:eastAsia="仿宋_GB2312"/>
          <w:bCs/>
          <w:kern w:val="0"/>
          <w:sz w:val="32"/>
          <w:szCs w:val="28"/>
        </w:rPr>
        <w:t>项目决策8.</w:t>
      </w:r>
      <w:r>
        <w:rPr>
          <w:rFonts w:hint="eastAsia" w:ascii="仿宋_GB2312" w:hAnsi="楷体" w:eastAsia="仿宋_GB2312"/>
          <w:bCs/>
          <w:kern w:val="0"/>
          <w:sz w:val="32"/>
          <w:szCs w:val="28"/>
          <w:lang w:val="en-US" w:eastAsia="zh-CN"/>
        </w:rPr>
        <w:t>2</w:t>
      </w:r>
      <w:r>
        <w:rPr>
          <w:rFonts w:hint="eastAsia" w:ascii="仿宋_GB2312" w:hAnsi="楷体" w:eastAsia="仿宋_GB2312"/>
          <w:bCs/>
          <w:kern w:val="0"/>
          <w:sz w:val="32"/>
          <w:szCs w:val="28"/>
        </w:rPr>
        <w:t>0分、项目过程2</w:t>
      </w:r>
      <w:r>
        <w:rPr>
          <w:rFonts w:hint="eastAsia" w:ascii="仿宋_GB2312" w:hAnsi="楷体" w:eastAsia="仿宋_GB2312"/>
          <w:bCs/>
          <w:kern w:val="0"/>
          <w:sz w:val="32"/>
          <w:szCs w:val="28"/>
          <w:lang w:val="en-US" w:eastAsia="zh-CN"/>
        </w:rPr>
        <w:t>8</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8</w:t>
      </w:r>
      <w:r>
        <w:rPr>
          <w:rFonts w:hint="eastAsia" w:ascii="仿宋_GB2312" w:hAnsi="楷体" w:eastAsia="仿宋_GB2312"/>
          <w:bCs/>
          <w:kern w:val="0"/>
          <w:sz w:val="32"/>
          <w:szCs w:val="28"/>
        </w:rPr>
        <w:t>7分、项目产出3</w:t>
      </w:r>
      <w:r>
        <w:rPr>
          <w:rFonts w:hint="eastAsia" w:ascii="仿宋_GB2312" w:hAnsi="楷体" w:eastAsia="仿宋_GB2312"/>
          <w:bCs/>
          <w:kern w:val="0"/>
          <w:sz w:val="32"/>
          <w:szCs w:val="28"/>
          <w:lang w:val="en-US" w:eastAsia="zh-CN"/>
        </w:rPr>
        <w:t>4</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47</w:t>
      </w:r>
      <w:r>
        <w:rPr>
          <w:rFonts w:hint="eastAsia" w:ascii="仿宋_GB2312" w:hAnsi="楷体" w:eastAsia="仿宋_GB2312"/>
          <w:bCs/>
          <w:kern w:val="0"/>
          <w:sz w:val="32"/>
          <w:szCs w:val="28"/>
        </w:rPr>
        <w:t>分，项目效益1</w:t>
      </w:r>
      <w:r>
        <w:rPr>
          <w:rFonts w:hint="eastAsia" w:ascii="仿宋_GB2312" w:hAnsi="楷体" w:eastAsia="仿宋_GB2312"/>
          <w:bCs/>
          <w:kern w:val="0"/>
          <w:sz w:val="32"/>
          <w:szCs w:val="28"/>
          <w:lang w:val="en-US" w:eastAsia="zh-CN"/>
        </w:rPr>
        <w:t>8</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20</w:t>
      </w:r>
      <w:r>
        <w:rPr>
          <w:rFonts w:hint="eastAsia" w:ascii="仿宋_GB2312" w:hAnsi="楷体" w:eastAsia="仿宋_GB2312"/>
          <w:bCs/>
          <w:kern w:val="0"/>
          <w:sz w:val="32"/>
          <w:szCs w:val="28"/>
        </w:rPr>
        <w:t>分。</w:t>
      </w:r>
    </w:p>
    <w:p>
      <w:pPr>
        <w:spacing w:line="560" w:lineRule="exact"/>
        <w:ind w:firstLine="640" w:firstLineChars="200"/>
        <w:jc w:val="center"/>
        <w:rPr>
          <w:rFonts w:eastAsia="仿宋_GB2312"/>
          <w:bCs/>
          <w:sz w:val="32"/>
          <w:szCs w:val="32"/>
        </w:rPr>
      </w:pPr>
      <w:r>
        <w:rPr>
          <w:rFonts w:hint="eastAsia" w:eastAsia="仿宋_GB2312"/>
          <w:bCs/>
          <w:sz w:val="32"/>
          <w:szCs w:val="32"/>
        </w:rPr>
        <w:t>项目绩效评价结论一览表</w:t>
      </w: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3100"/>
        <w:gridCol w:w="2545"/>
        <w:gridCol w:w="2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评价内容</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分值</w:t>
            </w:r>
          </w:p>
        </w:tc>
        <w:tc>
          <w:tcPr>
            <w:tcW w:w="148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项目决策</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10</w:t>
            </w:r>
          </w:p>
        </w:tc>
        <w:tc>
          <w:tcPr>
            <w:tcW w:w="148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ascii="宋体" w:hAnsi="宋体" w:cs="宋体"/>
                <w:kern w:val="0"/>
                <w:sz w:val="28"/>
                <w:szCs w:val="28"/>
              </w:rPr>
              <w:t>8.</w:t>
            </w:r>
            <w:r>
              <w:rPr>
                <w:rFonts w:hint="eastAsia" w:ascii="宋体" w:hAnsi="宋体" w:cs="宋体"/>
                <w:kern w:val="0"/>
                <w:sz w:val="28"/>
                <w:szCs w:val="28"/>
                <w:lang w:val="en-US" w:eastAsia="zh-CN"/>
              </w:rPr>
              <w:t>2</w:t>
            </w:r>
            <w:r>
              <w:rPr>
                <w:rFonts w:hint="eastAsia" w:ascii="宋体" w:hAnsi="宋体" w:cs="宋体"/>
                <w:kern w:val="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项目过程</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ascii="宋体" w:hAnsi="宋体" w:cs="宋体"/>
                <w:kern w:val="0"/>
                <w:sz w:val="28"/>
                <w:szCs w:val="28"/>
              </w:rPr>
              <w:t>3</w:t>
            </w:r>
            <w:r>
              <w:rPr>
                <w:rFonts w:hint="eastAsia" w:ascii="宋体" w:hAnsi="宋体" w:cs="宋体"/>
                <w:kern w:val="0"/>
                <w:sz w:val="28"/>
                <w:szCs w:val="28"/>
              </w:rPr>
              <w:t>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lang w:val="en-US" w:eastAsia="zh-CN"/>
              </w:rPr>
            </w:pPr>
            <w:r>
              <w:rPr>
                <w:rFonts w:hint="eastAsia" w:ascii="宋体" w:hAnsi="宋体" w:cs="宋体"/>
                <w:kern w:val="0"/>
                <w:sz w:val="28"/>
                <w:szCs w:val="28"/>
              </w:rPr>
              <w:t>2</w:t>
            </w:r>
            <w:r>
              <w:rPr>
                <w:rFonts w:hint="eastAsia" w:ascii="宋体" w:hAnsi="宋体" w:cs="宋体"/>
                <w:kern w:val="0"/>
                <w:sz w:val="28"/>
                <w:szCs w:val="28"/>
                <w:lang w:val="en-US" w:eastAsia="zh-CN"/>
              </w:rPr>
              <w:t>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项目产出</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40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lang w:val="en-US" w:eastAsia="zh-CN"/>
              </w:rPr>
            </w:pPr>
            <w:r>
              <w:rPr>
                <w:rFonts w:hint="eastAsia" w:ascii="宋体" w:hAnsi="宋体" w:cs="宋体"/>
                <w:kern w:val="0"/>
                <w:sz w:val="28"/>
                <w:szCs w:val="28"/>
              </w:rPr>
              <w:t>3</w:t>
            </w: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kern w:val="0"/>
                <w:sz w:val="28"/>
                <w:szCs w:val="28"/>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12"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项目效益</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ascii="宋体" w:hAnsi="宋体" w:cs="宋体"/>
                <w:kern w:val="0"/>
                <w:sz w:val="28"/>
                <w:szCs w:val="28"/>
              </w:rPr>
              <w:t>20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lang w:val="en-US" w:eastAsia="zh-CN"/>
              </w:rPr>
            </w:pPr>
            <w:r>
              <w:rPr>
                <w:rFonts w:hint="eastAsia" w:ascii="宋体" w:hAnsi="宋体" w:cs="宋体"/>
                <w:kern w:val="0"/>
                <w:sz w:val="28"/>
                <w:szCs w:val="28"/>
              </w:rPr>
              <w:t>1</w:t>
            </w:r>
            <w:r>
              <w:rPr>
                <w:rFonts w:hint="eastAsia" w:ascii="宋体" w:hAnsi="宋体" w:cs="宋体"/>
                <w:kern w:val="0"/>
                <w:sz w:val="28"/>
                <w:szCs w:val="28"/>
                <w:lang w:val="en-US" w:eastAsia="zh-CN"/>
              </w:rPr>
              <w:t>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综合得分</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100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lang w:val="en-US" w:eastAsia="zh-CN"/>
              </w:rPr>
            </w:pPr>
            <w:r>
              <w:rPr>
                <w:rFonts w:ascii="宋体" w:hAnsi="宋体" w:cs="宋体"/>
                <w:kern w:val="0"/>
                <w:sz w:val="28"/>
                <w:szCs w:val="28"/>
              </w:rPr>
              <w:t>8</w:t>
            </w:r>
            <w:r>
              <w:rPr>
                <w:rFonts w:hint="eastAsia" w:ascii="宋体" w:hAnsi="宋体" w:cs="宋体"/>
                <w:kern w:val="0"/>
                <w:sz w:val="28"/>
                <w:szCs w:val="28"/>
                <w:lang w:val="en-US" w:eastAsia="zh-CN"/>
              </w:rPr>
              <w:t>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cs="宋体"/>
                <w:kern w:val="0"/>
                <w:sz w:val="28"/>
                <w:szCs w:val="28"/>
              </w:rPr>
              <w:t>绩效评定级别</w:t>
            </w:r>
          </w:p>
        </w:tc>
        <w:tc>
          <w:tcPr>
            <w:tcW w:w="3071" w:type="pct"/>
            <w:gridSpan w:val="2"/>
            <w:shd w:val="clear" w:color="000000" w:fill="auto"/>
            <w:noWrap w:val="0"/>
            <w:vAlign w:val="center"/>
          </w:tcPr>
          <w:p>
            <w:pPr>
              <w:widowControl/>
              <w:spacing w:line="560" w:lineRule="exact"/>
              <w:ind w:firstLine="560" w:firstLineChars="200"/>
              <w:jc w:val="center"/>
              <w:rPr>
                <w:rFonts w:ascii="宋体" w:hAnsi="宋体" w:cs="宋体"/>
                <w:kern w:val="0"/>
                <w:sz w:val="28"/>
                <w:szCs w:val="28"/>
              </w:rPr>
            </w:pPr>
            <w:r>
              <w:rPr>
                <w:rFonts w:hint="eastAsia" w:ascii="宋体" w:hAnsi="宋体"/>
                <w:sz w:val="28"/>
                <w:szCs w:val="28"/>
              </w:rPr>
              <w:t>良好</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22" w:name="_Toc29372"/>
      <w:bookmarkStart w:id="23" w:name="_Toc72080250"/>
      <w:r>
        <w:rPr>
          <w:rFonts w:hint="eastAsia" w:ascii="黑体" w:hAnsi="黑体" w:eastAsia="黑体"/>
          <w:sz w:val="32"/>
          <w:szCs w:val="32"/>
        </w:rPr>
        <w:t>四、绩效评价指标分析</w:t>
      </w:r>
      <w:bookmarkEnd w:id="22"/>
      <w:bookmarkEnd w:id="23"/>
    </w:p>
    <w:p>
      <w:pPr>
        <w:spacing w:line="560" w:lineRule="exact"/>
        <w:ind w:firstLine="640" w:firstLineChars="200"/>
        <w:outlineLvl w:val="1"/>
        <w:rPr>
          <w:rFonts w:hint="eastAsia" w:ascii="楷体" w:hAnsi="楷体" w:eastAsia="楷体"/>
          <w:bCs/>
          <w:kern w:val="0"/>
          <w:sz w:val="32"/>
          <w:szCs w:val="28"/>
        </w:rPr>
      </w:pPr>
      <w:bookmarkStart w:id="24" w:name="_Toc24421"/>
      <w:bookmarkStart w:id="25" w:name="_Toc72080251"/>
      <w:r>
        <w:rPr>
          <w:rFonts w:hint="eastAsia" w:ascii="楷体" w:hAnsi="楷体" w:eastAsia="楷体"/>
          <w:bCs/>
          <w:kern w:val="0"/>
          <w:sz w:val="32"/>
          <w:szCs w:val="28"/>
        </w:rPr>
        <w:t>（一）项目决策情况</w:t>
      </w:r>
      <w:bookmarkEnd w:id="24"/>
    </w:p>
    <w:p>
      <w:pPr>
        <w:spacing w:line="360" w:lineRule="auto"/>
        <w:ind w:firstLine="640" w:firstLineChars="200"/>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rPr>
        <w:t>项目决策指标，满分10分，评价得分为8.</w:t>
      </w:r>
      <w:r>
        <w:rPr>
          <w:rFonts w:hint="eastAsia" w:ascii="仿宋_GB2312" w:eastAsia="仿宋_GB2312" w:cs="仿宋_GB2312"/>
          <w:b w:val="0"/>
          <w:bCs w:val="0"/>
          <w:sz w:val="32"/>
          <w:szCs w:val="32"/>
          <w:highlight w:val="none"/>
          <w:lang w:val="en-US" w:eastAsia="zh-CN"/>
        </w:rPr>
        <w:t>2</w:t>
      </w:r>
      <w:r>
        <w:rPr>
          <w:rFonts w:hint="eastAsia" w:ascii="仿宋_GB2312" w:eastAsia="仿宋_GB2312" w:cs="仿宋_GB2312"/>
          <w:b w:val="0"/>
          <w:bCs w:val="0"/>
          <w:sz w:val="32"/>
          <w:szCs w:val="32"/>
          <w:highlight w:val="none"/>
        </w:rPr>
        <w:t>0分。该项目</w:t>
      </w:r>
      <w:r>
        <w:rPr>
          <w:rFonts w:hint="eastAsia" w:ascii="仿宋_GB2312" w:eastAsia="仿宋_GB2312" w:cs="仿宋_GB2312"/>
          <w:b w:val="0"/>
          <w:bCs w:val="0"/>
          <w:sz w:val="32"/>
          <w:szCs w:val="32"/>
          <w:highlight w:val="none"/>
          <w:lang w:val="en-US" w:eastAsia="zh-CN"/>
        </w:rPr>
        <w:t>2018年6月经丰台区人民法院党组会（〔2018〕24 号）决策，</w:t>
      </w:r>
      <w:r>
        <w:rPr>
          <w:rFonts w:hint="eastAsia" w:ascii="仿宋_GB2312" w:eastAsia="仿宋_GB2312" w:cs="仿宋_GB2312"/>
          <w:b w:val="0"/>
          <w:bCs w:val="0"/>
          <w:sz w:val="32"/>
          <w:szCs w:val="32"/>
          <w:highlight w:val="none"/>
        </w:rPr>
        <w:t>按照《北京法院诉调对接中心标准化建设的指导意见</w:t>
      </w:r>
      <w:r>
        <w:rPr>
          <w:rFonts w:hint="eastAsia" w:ascii="仿宋_GB2312" w:eastAsia="仿宋_GB2312" w:cs="仿宋_GB2312"/>
          <w:b w:val="0"/>
          <w:bCs w:val="0"/>
          <w:sz w:val="32"/>
          <w:szCs w:val="32"/>
          <w:highlight w:val="none"/>
          <w:lang w:eastAsia="zh-CN"/>
        </w:rPr>
        <w:t>（</w:t>
      </w:r>
      <w:r>
        <w:rPr>
          <w:rFonts w:hint="eastAsia" w:ascii="仿宋_GB2312" w:eastAsia="仿宋_GB2312" w:cs="仿宋_GB2312"/>
          <w:b w:val="0"/>
          <w:bCs w:val="0"/>
          <w:sz w:val="32"/>
          <w:szCs w:val="32"/>
          <w:highlight w:val="none"/>
        </w:rPr>
        <w:t>试行</w:t>
      </w:r>
      <w:r>
        <w:rPr>
          <w:rFonts w:hint="eastAsia" w:ascii="仿宋_GB2312" w:eastAsia="仿宋_GB2312" w:cs="仿宋_GB2312"/>
          <w:b w:val="0"/>
          <w:bCs w:val="0"/>
          <w:sz w:val="32"/>
          <w:szCs w:val="32"/>
          <w:highlight w:val="none"/>
          <w:lang w:eastAsia="zh-CN"/>
        </w:rPr>
        <w:t>）</w:t>
      </w:r>
      <w:r>
        <w:rPr>
          <w:rFonts w:hint="eastAsia" w:ascii="仿宋_GB2312" w:eastAsia="仿宋_GB2312" w:cs="仿宋_GB2312"/>
          <w:b w:val="0"/>
          <w:bCs w:val="0"/>
          <w:sz w:val="32"/>
          <w:szCs w:val="32"/>
          <w:highlight w:val="none"/>
        </w:rPr>
        <w:t>》编制诉调对接中心</w:t>
      </w:r>
      <w:r>
        <w:rPr>
          <w:rFonts w:hint="eastAsia" w:ascii="仿宋_GB2312" w:eastAsia="仿宋_GB2312" w:cs="仿宋_GB2312"/>
          <w:b w:val="0"/>
          <w:bCs w:val="0"/>
          <w:sz w:val="32"/>
          <w:szCs w:val="32"/>
          <w:highlight w:val="none"/>
          <w:lang w:val="en-US" w:eastAsia="zh-CN"/>
        </w:rPr>
        <w:t>信息化建设项目</w:t>
      </w:r>
      <w:r>
        <w:rPr>
          <w:rFonts w:hint="eastAsia" w:ascii="仿宋_GB2312" w:eastAsia="仿宋_GB2312" w:cs="仿宋_GB2312"/>
          <w:b w:val="0"/>
          <w:bCs w:val="0"/>
          <w:sz w:val="32"/>
          <w:szCs w:val="32"/>
          <w:highlight w:val="none"/>
        </w:rPr>
        <w:t>的可行性研究报告，并进行了专家论证，</w:t>
      </w:r>
      <w:r>
        <w:rPr>
          <w:rFonts w:hint="eastAsia" w:ascii="仿宋_GB2312" w:eastAsia="仿宋_GB2312" w:cs="仿宋_GB2312"/>
          <w:b w:val="0"/>
          <w:bCs w:val="0"/>
          <w:sz w:val="32"/>
          <w:szCs w:val="32"/>
          <w:highlight w:val="none"/>
          <w:lang w:val="en-US" w:eastAsia="zh-CN"/>
        </w:rPr>
        <w:t>且于2021年经信局及财政论证评审后审定预算，</w:t>
      </w:r>
      <w:r>
        <w:rPr>
          <w:rFonts w:hint="eastAsia" w:ascii="仿宋_GB2312" w:eastAsia="仿宋_GB2312" w:cs="仿宋_GB2312"/>
          <w:b w:val="0"/>
          <w:bCs w:val="0"/>
          <w:sz w:val="32"/>
          <w:szCs w:val="32"/>
          <w:highlight w:val="none"/>
        </w:rPr>
        <w:t>项目立项程序规范。</w:t>
      </w:r>
    </w:p>
    <w:p>
      <w:pPr>
        <w:spacing w:line="560" w:lineRule="exact"/>
        <w:ind w:firstLine="640" w:firstLineChars="200"/>
        <w:outlineLvl w:val="1"/>
        <w:rPr>
          <w:rFonts w:hint="eastAsia" w:ascii="楷体" w:hAnsi="楷体" w:eastAsia="楷体"/>
          <w:bCs/>
          <w:kern w:val="0"/>
          <w:sz w:val="32"/>
          <w:szCs w:val="28"/>
        </w:rPr>
      </w:pPr>
      <w:bookmarkStart w:id="26" w:name="_Toc8739"/>
      <w:r>
        <w:rPr>
          <w:rFonts w:hint="eastAsia" w:ascii="楷体" w:hAnsi="楷体" w:eastAsia="楷体"/>
          <w:bCs/>
          <w:kern w:val="0"/>
          <w:sz w:val="32"/>
          <w:szCs w:val="28"/>
        </w:rPr>
        <w:t>（二）项目过程情况</w:t>
      </w:r>
      <w:bookmarkEnd w:id="26"/>
    </w:p>
    <w:p>
      <w:pPr>
        <w:spacing w:line="360" w:lineRule="auto"/>
        <w:ind w:firstLine="640" w:firstLineChars="200"/>
        <w:rPr>
          <w:rFonts w:hint="default"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rPr>
        <w:t>项目过程指标，满分30分，评价得分为2</w:t>
      </w:r>
      <w:r>
        <w:rPr>
          <w:rFonts w:hint="eastAsia" w:ascii="仿宋_GB2312" w:eastAsia="仿宋_GB2312" w:cs="仿宋_GB2312"/>
          <w:b w:val="0"/>
          <w:bCs w:val="0"/>
          <w:sz w:val="32"/>
          <w:szCs w:val="32"/>
          <w:highlight w:val="none"/>
          <w:lang w:val="en-US" w:eastAsia="zh-CN"/>
        </w:rPr>
        <w:t>8.87</w:t>
      </w:r>
      <w:r>
        <w:rPr>
          <w:rFonts w:hint="eastAsia" w:ascii="仿宋_GB2312" w:eastAsia="仿宋_GB2312" w:cs="仿宋_GB2312"/>
          <w:b w:val="0"/>
          <w:bCs w:val="0"/>
          <w:sz w:val="32"/>
          <w:szCs w:val="32"/>
          <w:highlight w:val="none"/>
        </w:rPr>
        <w:t>分。该项目按照《北京市丰台区人民法院财务管理制度（试行）》执行，</w:t>
      </w:r>
      <w:r>
        <w:rPr>
          <w:rFonts w:hint="eastAsia" w:ascii="仿宋_GB2312" w:eastAsia="仿宋_GB2312" w:cs="仿宋_GB2312"/>
          <w:b w:val="0"/>
          <w:bCs w:val="0"/>
          <w:sz w:val="32"/>
          <w:szCs w:val="32"/>
          <w:highlight w:val="none"/>
          <w:lang w:val="en-US" w:eastAsia="zh-CN"/>
        </w:rPr>
        <w:t>建立了</w:t>
      </w:r>
      <w:r>
        <w:rPr>
          <w:rFonts w:hint="eastAsia" w:ascii="仿宋_GB2312" w:eastAsia="仿宋_GB2312" w:cs="仿宋_GB2312"/>
          <w:b w:val="0"/>
          <w:bCs w:val="0"/>
          <w:sz w:val="32"/>
          <w:szCs w:val="32"/>
          <w:highlight w:val="none"/>
        </w:rPr>
        <w:t>根据项目实施内容，结合项目特点，分别采取公开招标、竞争性磋商</w:t>
      </w:r>
      <w:r>
        <w:rPr>
          <w:rFonts w:hint="eastAsia" w:ascii="仿宋_GB2312" w:eastAsia="仿宋_GB2312" w:cs="仿宋_GB2312"/>
          <w:b w:val="0"/>
          <w:bCs w:val="0"/>
          <w:sz w:val="32"/>
          <w:szCs w:val="32"/>
          <w:highlight w:val="none"/>
          <w:lang w:eastAsia="zh-CN"/>
        </w:rPr>
        <w:t>、</w:t>
      </w:r>
      <w:r>
        <w:rPr>
          <w:rFonts w:hint="eastAsia" w:ascii="仿宋_GB2312" w:eastAsia="仿宋_GB2312" w:cs="仿宋_GB2312"/>
          <w:b w:val="0"/>
          <w:bCs w:val="0"/>
          <w:sz w:val="32"/>
          <w:szCs w:val="32"/>
          <w:highlight w:val="none"/>
          <w:lang w:val="en-US" w:eastAsia="zh-CN"/>
        </w:rPr>
        <w:t>政府采购</w:t>
      </w:r>
      <w:r>
        <w:rPr>
          <w:rFonts w:hint="eastAsia" w:ascii="仿宋_GB2312" w:eastAsia="仿宋_GB2312" w:cs="仿宋_GB2312"/>
          <w:b w:val="0"/>
          <w:bCs w:val="0"/>
          <w:sz w:val="32"/>
          <w:szCs w:val="32"/>
          <w:highlight w:val="none"/>
        </w:rPr>
        <w:t>和</w:t>
      </w:r>
      <w:r>
        <w:rPr>
          <w:rFonts w:hint="eastAsia" w:ascii="仿宋_GB2312" w:eastAsia="仿宋_GB2312" w:cs="仿宋_GB2312"/>
          <w:b w:val="0"/>
          <w:bCs w:val="0"/>
          <w:sz w:val="32"/>
          <w:szCs w:val="32"/>
          <w:highlight w:val="none"/>
          <w:lang w:val="en-US" w:eastAsia="zh-CN"/>
        </w:rPr>
        <w:t>公务卡</w:t>
      </w:r>
      <w:r>
        <w:rPr>
          <w:rFonts w:hint="eastAsia" w:ascii="仿宋_GB2312" w:eastAsia="仿宋_GB2312" w:cs="仿宋_GB2312"/>
          <w:b w:val="0"/>
          <w:bCs w:val="0"/>
          <w:sz w:val="32"/>
          <w:szCs w:val="32"/>
          <w:highlight w:val="none"/>
        </w:rPr>
        <w:t>直接采购</w:t>
      </w:r>
      <w:r>
        <w:rPr>
          <w:rFonts w:hint="eastAsia" w:ascii="仿宋_GB2312" w:eastAsia="仿宋_GB2312" w:cs="仿宋_GB2312"/>
          <w:b w:val="0"/>
          <w:bCs w:val="0"/>
          <w:sz w:val="32"/>
          <w:szCs w:val="32"/>
          <w:highlight w:val="none"/>
          <w:lang w:val="en-US" w:eastAsia="zh-CN"/>
        </w:rPr>
        <w:t>等采购</w:t>
      </w:r>
      <w:r>
        <w:rPr>
          <w:rFonts w:hint="eastAsia" w:ascii="仿宋_GB2312" w:eastAsia="仿宋_GB2312" w:cs="仿宋_GB2312"/>
          <w:b w:val="0"/>
          <w:bCs w:val="0"/>
          <w:sz w:val="32"/>
          <w:szCs w:val="32"/>
          <w:highlight w:val="none"/>
        </w:rPr>
        <w:t>方式进行采购，并履行了合同签订与款项支付的相关审批程序</w:t>
      </w:r>
      <w:bookmarkStart w:id="27" w:name="_Toc72080258"/>
      <w:r>
        <w:rPr>
          <w:rFonts w:hint="eastAsia" w:ascii="仿宋_GB2312" w:eastAsia="仿宋_GB2312" w:cs="仿宋_GB2312"/>
          <w:b w:val="0"/>
          <w:bCs w:val="0"/>
          <w:sz w:val="32"/>
          <w:szCs w:val="32"/>
          <w:highlight w:val="none"/>
          <w:lang w:eastAsia="zh-CN"/>
        </w:rPr>
        <w:t>。</w:t>
      </w:r>
      <w:r>
        <w:rPr>
          <w:rFonts w:hint="eastAsia" w:ascii="仿宋_GB2312" w:eastAsia="仿宋_GB2312" w:cs="仿宋_GB2312"/>
          <w:b w:val="0"/>
          <w:bCs w:val="0"/>
          <w:sz w:val="32"/>
          <w:szCs w:val="32"/>
          <w:highlight w:val="none"/>
          <w:lang w:val="en-US" w:eastAsia="zh-CN"/>
        </w:rPr>
        <w:t>项目过程管理较规范、有序。</w:t>
      </w:r>
    </w:p>
    <w:p>
      <w:pPr>
        <w:spacing w:line="560" w:lineRule="exact"/>
        <w:ind w:firstLine="640" w:firstLineChars="200"/>
        <w:outlineLvl w:val="1"/>
        <w:rPr>
          <w:rFonts w:hint="eastAsia" w:ascii="楷体" w:hAnsi="楷体" w:eastAsia="楷体"/>
          <w:bCs/>
          <w:kern w:val="0"/>
          <w:sz w:val="32"/>
          <w:szCs w:val="28"/>
        </w:rPr>
      </w:pPr>
      <w:bookmarkStart w:id="28" w:name="_Toc18858"/>
      <w:r>
        <w:rPr>
          <w:rFonts w:hint="eastAsia" w:ascii="楷体" w:hAnsi="楷体" w:eastAsia="楷体"/>
          <w:bCs/>
          <w:kern w:val="0"/>
          <w:sz w:val="32"/>
          <w:szCs w:val="28"/>
        </w:rPr>
        <w:t>（三）项目产出情况</w:t>
      </w:r>
      <w:bookmarkEnd w:id="27"/>
      <w:bookmarkEnd w:id="28"/>
    </w:p>
    <w:p>
      <w:pPr>
        <w:spacing w:line="360" w:lineRule="auto"/>
        <w:ind w:firstLine="640" w:firstLineChars="200"/>
        <w:rPr>
          <w:rFonts w:hint="eastAsia" w:ascii="仿宋_GB2312" w:eastAsia="仿宋_GB2312" w:cs="仿宋_GB2312"/>
          <w:b w:val="0"/>
          <w:bCs w:val="0"/>
          <w:sz w:val="32"/>
          <w:szCs w:val="32"/>
          <w:highlight w:val="none"/>
          <w:lang w:eastAsia="zh-CN"/>
        </w:rPr>
      </w:pPr>
      <w:r>
        <w:rPr>
          <w:rFonts w:hint="eastAsia" w:ascii="仿宋_GB2312" w:eastAsia="仿宋_GB2312" w:cs="仿宋_GB2312"/>
          <w:b w:val="0"/>
          <w:bCs w:val="0"/>
          <w:sz w:val="32"/>
          <w:szCs w:val="32"/>
          <w:highlight w:val="none"/>
        </w:rPr>
        <w:t>项目产出指标，满分40分，评价得分为</w:t>
      </w:r>
      <w:r>
        <w:rPr>
          <w:rFonts w:hint="eastAsia" w:ascii="仿宋_GB2312" w:eastAsia="仿宋_GB2312" w:cs="仿宋_GB2312"/>
          <w:b w:val="0"/>
          <w:bCs w:val="0"/>
          <w:sz w:val="32"/>
          <w:szCs w:val="32"/>
          <w:highlight w:val="none"/>
          <w:lang w:val="en-US" w:eastAsia="zh-CN"/>
        </w:rPr>
        <w:t>34.47</w:t>
      </w:r>
      <w:r>
        <w:rPr>
          <w:rFonts w:hint="eastAsia" w:ascii="仿宋_GB2312" w:eastAsia="仿宋_GB2312" w:cs="仿宋_GB2312"/>
          <w:b w:val="0"/>
          <w:bCs w:val="0"/>
          <w:sz w:val="32"/>
          <w:szCs w:val="32"/>
          <w:highlight w:val="none"/>
        </w:rPr>
        <w:t>分。该项目</w:t>
      </w:r>
      <w:r>
        <w:rPr>
          <w:rFonts w:hint="eastAsia" w:ascii="仿宋_GB2312" w:eastAsia="仿宋_GB2312" w:cs="仿宋_GB2312"/>
          <w:b w:val="0"/>
          <w:bCs w:val="0"/>
          <w:sz w:val="32"/>
          <w:szCs w:val="32"/>
          <w:highlight w:val="none"/>
          <w:lang w:val="en-US" w:eastAsia="zh-CN"/>
        </w:rPr>
        <w:t>未全部实现</w:t>
      </w:r>
      <w:r>
        <w:rPr>
          <w:rFonts w:hint="eastAsia" w:ascii="仿宋_GB2312" w:eastAsia="仿宋_GB2312" w:cs="仿宋_GB2312"/>
          <w:b w:val="0"/>
          <w:bCs w:val="0"/>
          <w:sz w:val="32"/>
          <w:szCs w:val="32"/>
          <w:highlight w:val="none"/>
        </w:rPr>
        <w:t>预期数量指标，</w:t>
      </w:r>
      <w:r>
        <w:rPr>
          <w:rFonts w:hint="eastAsia" w:ascii="仿宋_GB2312" w:eastAsia="仿宋_GB2312" w:cs="仿宋_GB2312"/>
          <w:b w:val="0"/>
          <w:bCs w:val="0"/>
          <w:sz w:val="32"/>
          <w:szCs w:val="32"/>
          <w:highlight w:val="none"/>
          <w:lang w:eastAsia="zh-CN"/>
        </w:rPr>
        <w:t>因系统对接问题，尚未完成数字法庭庭审数据自动上传至审判业务智能管理系统。</w:t>
      </w:r>
    </w:p>
    <w:p>
      <w:pPr>
        <w:spacing w:line="360" w:lineRule="auto"/>
        <w:ind w:firstLine="640" w:firstLineChars="200"/>
        <w:rPr>
          <w:rFonts w:hint="default"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rPr>
        <w:t>该项目绩效目标设置不够合理，产出数量</w:t>
      </w:r>
      <w:r>
        <w:rPr>
          <w:rFonts w:hint="eastAsia" w:ascii="仿宋_GB2312" w:eastAsia="仿宋_GB2312" w:cs="仿宋_GB2312"/>
          <w:b w:val="0"/>
          <w:bCs w:val="0"/>
          <w:sz w:val="32"/>
          <w:szCs w:val="32"/>
          <w:highlight w:val="none"/>
          <w:lang w:val="en-US" w:eastAsia="zh-CN"/>
        </w:rPr>
        <w:t>设置不全面、细化不足，仅设置数量指标“诉讼服务大厅1个”，未充分描述诉讼服务大厅建设标准，设置了审判法庭数量，未包含互联网法庭和调解室的配置数量。不便于实现指标与既定目标的绩效考核。</w:t>
      </w:r>
    </w:p>
    <w:p>
      <w:pPr>
        <w:spacing w:line="560" w:lineRule="exact"/>
        <w:ind w:firstLine="640" w:firstLineChars="200"/>
        <w:outlineLvl w:val="1"/>
        <w:rPr>
          <w:rFonts w:hint="eastAsia" w:ascii="楷体" w:hAnsi="楷体" w:eastAsia="楷体"/>
          <w:bCs/>
          <w:kern w:val="0"/>
          <w:sz w:val="32"/>
          <w:szCs w:val="28"/>
          <w:lang w:val="en-US" w:eastAsia="zh-CN"/>
        </w:rPr>
      </w:pPr>
      <w:bookmarkStart w:id="29" w:name="_Toc9725"/>
      <w:bookmarkStart w:id="30" w:name="_Toc72080263"/>
      <w:r>
        <w:rPr>
          <w:rFonts w:hint="eastAsia" w:ascii="楷体" w:hAnsi="楷体" w:eastAsia="楷体"/>
          <w:bCs/>
          <w:kern w:val="0"/>
          <w:sz w:val="32"/>
          <w:szCs w:val="28"/>
          <w:lang w:val="en-US" w:eastAsia="zh-CN"/>
        </w:rPr>
        <w:t>（四）项目效益情况</w:t>
      </w:r>
      <w:bookmarkEnd w:id="29"/>
      <w:bookmarkEnd w:id="30"/>
    </w:p>
    <w:p>
      <w:pPr>
        <w:spacing w:line="360" w:lineRule="auto"/>
        <w:ind w:firstLine="640" w:firstLineChars="200"/>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rPr>
        <w:t>项目效益指标，满分20分，评价得分为1</w:t>
      </w:r>
      <w:r>
        <w:rPr>
          <w:rFonts w:hint="eastAsia" w:ascii="仿宋_GB2312" w:eastAsia="仿宋_GB2312" w:cs="仿宋_GB2312"/>
          <w:b w:val="0"/>
          <w:bCs w:val="0"/>
          <w:sz w:val="32"/>
          <w:szCs w:val="32"/>
          <w:highlight w:val="none"/>
          <w:lang w:val="en-US" w:eastAsia="zh-CN"/>
        </w:rPr>
        <w:t>8.20</w:t>
      </w:r>
      <w:r>
        <w:rPr>
          <w:rFonts w:hint="eastAsia" w:ascii="仿宋_GB2312" w:eastAsia="仿宋_GB2312" w:cs="仿宋_GB2312"/>
          <w:b w:val="0"/>
          <w:bCs w:val="0"/>
          <w:sz w:val="32"/>
          <w:szCs w:val="32"/>
          <w:highlight w:val="none"/>
        </w:rPr>
        <w:t>分。该项目的实施，</w:t>
      </w:r>
      <w:r>
        <w:rPr>
          <w:rFonts w:hint="eastAsia" w:ascii="仿宋_GB2312" w:eastAsia="仿宋_GB2312" w:cs="仿宋_GB2312"/>
          <w:b w:val="0"/>
          <w:bCs w:val="0"/>
          <w:sz w:val="32"/>
          <w:szCs w:val="32"/>
          <w:highlight w:val="none"/>
          <w:lang w:val="en-US" w:eastAsia="zh-CN"/>
        </w:rPr>
        <w:t>主要</w:t>
      </w:r>
      <w:r>
        <w:rPr>
          <w:rFonts w:hint="eastAsia" w:ascii="仿宋_GB2312" w:eastAsia="仿宋_GB2312" w:cs="仿宋_GB2312"/>
          <w:b w:val="0"/>
          <w:bCs w:val="0"/>
          <w:sz w:val="32"/>
          <w:szCs w:val="32"/>
          <w:highlight w:val="none"/>
        </w:rPr>
        <w:t>为进一步完善矛盾纠纷多元化解机制，保障群众合法权益、促进社会公平正义，根据北京市高院诉调对接中心建设要求，结合丰台法院诉调对接中心建设需求，</w:t>
      </w:r>
      <w:r>
        <w:rPr>
          <w:rFonts w:hint="eastAsia" w:ascii="仿宋_GB2312" w:eastAsia="仿宋_GB2312" w:cs="仿宋_GB2312"/>
          <w:b w:val="0"/>
          <w:bCs w:val="0"/>
          <w:sz w:val="32"/>
          <w:szCs w:val="32"/>
          <w:highlight w:val="none"/>
          <w:lang w:val="en-US" w:eastAsia="zh-CN"/>
        </w:rPr>
        <w:t>建设</w:t>
      </w:r>
      <w:r>
        <w:rPr>
          <w:rFonts w:hint="eastAsia" w:ascii="仿宋_GB2312" w:eastAsia="仿宋_GB2312" w:cs="仿宋_GB2312"/>
          <w:b w:val="0"/>
          <w:bCs w:val="0"/>
          <w:sz w:val="32"/>
          <w:szCs w:val="32"/>
          <w:highlight w:val="none"/>
        </w:rPr>
        <w:t>诉调对接中心信息化项目</w:t>
      </w:r>
      <w:r>
        <w:rPr>
          <w:rFonts w:hint="eastAsia" w:ascii="仿宋_GB2312" w:eastAsia="仿宋_GB2312" w:cs="仿宋_GB2312"/>
          <w:b w:val="0"/>
          <w:bCs w:val="0"/>
          <w:sz w:val="32"/>
          <w:szCs w:val="32"/>
          <w:highlight w:val="none"/>
          <w:lang w:eastAsia="zh-CN"/>
        </w:rPr>
        <w:t>，</w:t>
      </w:r>
      <w:r>
        <w:rPr>
          <w:rFonts w:hint="eastAsia" w:ascii="仿宋_GB2312" w:eastAsia="仿宋_GB2312" w:cs="仿宋_GB2312"/>
          <w:b w:val="0"/>
          <w:bCs w:val="0"/>
          <w:sz w:val="32"/>
          <w:szCs w:val="32"/>
          <w:highlight w:val="none"/>
          <w:lang w:val="en-US" w:eastAsia="zh-CN"/>
        </w:rPr>
        <w:t>该项目</w:t>
      </w:r>
      <w:r>
        <w:rPr>
          <w:rFonts w:hint="eastAsia" w:ascii="仿宋_GB2312" w:eastAsia="仿宋_GB2312" w:cs="仿宋_GB2312"/>
          <w:b w:val="0"/>
          <w:bCs w:val="0"/>
          <w:sz w:val="32"/>
          <w:szCs w:val="32"/>
          <w:highlight w:val="none"/>
        </w:rPr>
        <w:t>总体任务是建设整个审判楼的信息化系统，包括安全防</w:t>
      </w:r>
      <w:r>
        <w:rPr>
          <w:rFonts w:hint="eastAsia" w:ascii="仿宋_GB2312" w:eastAsia="仿宋_GB2312" w:cs="仿宋_GB2312"/>
          <w:b w:val="0"/>
          <w:bCs w:val="0"/>
          <w:sz w:val="32"/>
          <w:szCs w:val="32"/>
          <w:highlight w:val="none"/>
          <w:lang w:val="en-US" w:eastAsia="zh-CN"/>
        </w:rPr>
        <w:t>范系统、机房工程、网络及服务器与存储系统、公共服务系统、程控交换系统、功能房间等信息化系统，为北京市丰台区人民法院诉调对接中心开展“多元调解+速裁”等业务提供信息化基础支撑。</w:t>
      </w:r>
    </w:p>
    <w:p>
      <w:pPr>
        <w:spacing w:line="360" w:lineRule="auto"/>
        <w:ind w:firstLine="640" w:firstLineChars="200"/>
        <w:rPr>
          <w:rFonts w:hint="eastAsia" w:ascii="仿宋_GB2312" w:eastAsia="仿宋_GB2312" w:cs="仿宋_GB2312"/>
          <w:b w:val="0"/>
          <w:bCs w:val="0"/>
          <w:sz w:val="32"/>
          <w:szCs w:val="32"/>
          <w:highlight w:val="none"/>
        </w:rPr>
      </w:pPr>
      <w:r>
        <w:rPr>
          <w:rFonts w:hint="eastAsia" w:ascii="仿宋_GB2312" w:eastAsia="仿宋_GB2312" w:cs="仿宋_GB2312"/>
          <w:b w:val="0"/>
          <w:bCs w:val="0"/>
          <w:sz w:val="32"/>
          <w:szCs w:val="32"/>
          <w:highlight w:val="none"/>
          <w:lang w:val="en-US" w:eastAsia="zh-CN"/>
        </w:rPr>
        <w:t>该项目于2022年</w:t>
      </w:r>
      <w:r>
        <w:rPr>
          <w:rFonts w:hint="eastAsia" w:ascii="仿宋_GB2312" w:eastAsia="仿宋_GB2312" w:cs="仿宋_GB2312"/>
          <w:b w:val="0"/>
          <w:bCs w:val="0"/>
          <w:sz w:val="32"/>
          <w:szCs w:val="32"/>
          <w:highlight w:val="none"/>
        </w:rPr>
        <w:t>7月正式开始建设，经过4个月设备安装调试工作，成功建设了具备立案、多元调解服务、速裁审判、识数字法庭等的综合信息化办公楼，全面实现诉调对接各业务职能。</w:t>
      </w:r>
    </w:p>
    <w:bookmarkEnd w:id="25"/>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31" w:name="_Toc72080264"/>
      <w:bookmarkStart w:id="32" w:name="_Toc29118"/>
      <w:r>
        <w:rPr>
          <w:rFonts w:hint="eastAsia" w:ascii="黑体" w:hAnsi="黑体" w:eastAsia="黑体"/>
          <w:sz w:val="32"/>
          <w:szCs w:val="32"/>
        </w:rPr>
        <w:t>五、存在的主要问题</w:t>
      </w:r>
      <w:bookmarkEnd w:id="31"/>
      <w:bookmarkEnd w:id="3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Times New Roman"/>
          <w:bCs/>
          <w:kern w:val="0"/>
          <w:sz w:val="32"/>
          <w:szCs w:val="28"/>
          <w:lang w:val="en-US" w:eastAsia="zh-CN"/>
        </w:rPr>
      </w:pPr>
      <w:r>
        <w:rPr>
          <w:rFonts w:hint="eastAsia" w:ascii="楷体" w:hAnsi="楷体" w:eastAsia="楷体" w:cs="Times New Roman"/>
          <w:bCs/>
          <w:kern w:val="0"/>
          <w:sz w:val="32"/>
          <w:szCs w:val="28"/>
          <w:lang w:val="en-US" w:eastAsia="zh-CN"/>
        </w:rPr>
        <w:t>（一）预算申报书引用集成费测算文件依据已废止</w:t>
      </w:r>
    </w:p>
    <w:p>
      <w:pPr>
        <w:spacing w:line="360" w:lineRule="auto"/>
        <w:ind w:firstLine="640" w:firstLineChars="200"/>
        <w:rPr>
          <w:rFonts w:hint="eastAsia" w:ascii="仿宋_GB2312" w:eastAsia="仿宋_GB2312" w:cs="仿宋_GB2312"/>
          <w:b w:val="0"/>
          <w:bCs w:val="0"/>
          <w:sz w:val="32"/>
          <w:szCs w:val="32"/>
          <w:highlight w:val="none"/>
        </w:rPr>
      </w:pPr>
      <w:r>
        <w:rPr>
          <w:rFonts w:hint="eastAsia" w:ascii="仿宋_GB2312" w:eastAsia="仿宋_GB2312" w:cs="仿宋_GB2312"/>
          <w:b w:val="0"/>
          <w:bCs w:val="0"/>
          <w:sz w:val="32"/>
          <w:szCs w:val="32"/>
          <w:highlight w:val="none"/>
        </w:rPr>
        <w:t>2018年11月丰台法院编制的项目申报书，第417页集成费的核算依据是工信部发布的（工信部规[2008]75号文）《通信建设工程概算、预算编制办法》，该文件在2017年已修订为《工业和信息化部关于印发信息通信建设工程预算定额、工程费用定额及工程概预算编制规程的通知》工信部通信[2016]451号，核算依据文号未进行及时更新。</w:t>
      </w:r>
    </w:p>
    <w:p>
      <w:pPr>
        <w:spacing w:line="360" w:lineRule="auto"/>
        <w:ind w:firstLine="640" w:firstLineChars="200"/>
        <w:rPr>
          <w:rFonts w:hint="eastAsia" w:ascii="楷体" w:hAnsi="楷体" w:eastAsia="楷体" w:cs="Times New Roman"/>
          <w:bCs/>
          <w:kern w:val="0"/>
          <w:sz w:val="32"/>
          <w:szCs w:val="28"/>
          <w:lang w:val="en-US" w:eastAsia="zh-CN"/>
        </w:rPr>
      </w:pPr>
      <w:r>
        <w:rPr>
          <w:rFonts w:hint="eastAsia" w:ascii="楷体" w:hAnsi="楷体" w:eastAsia="楷体" w:cs="Times New Roman"/>
          <w:bCs/>
          <w:kern w:val="0"/>
          <w:sz w:val="32"/>
          <w:szCs w:val="28"/>
          <w:lang w:val="en-US" w:eastAsia="zh-CN"/>
        </w:rPr>
        <w:t>（二）部分绩效指标设置概念不清晰不完整</w:t>
      </w:r>
    </w:p>
    <w:p>
      <w:pPr>
        <w:spacing w:line="360" w:lineRule="auto"/>
        <w:ind w:firstLine="640" w:firstLineChars="200"/>
        <w:jc w:val="both"/>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诉调对接中心信息化建设项目类别为信息化类，非设备采购类，绩效指标设置不够科学，如未能覆盖网络工程布线连通率等关键指标。服务对象满意度调查仅覆盖本单位内部，社会效益指标支撑材料不充分。</w:t>
      </w:r>
    </w:p>
    <w:p>
      <w:pPr>
        <w:spacing w:line="360" w:lineRule="auto"/>
        <w:ind w:firstLine="640" w:firstLineChars="200"/>
        <w:rPr>
          <w:rFonts w:hint="default" w:ascii="楷体" w:hAnsi="楷体" w:eastAsia="楷体" w:cs="Times New Roman"/>
          <w:bCs/>
          <w:kern w:val="0"/>
          <w:sz w:val="32"/>
          <w:szCs w:val="28"/>
          <w:lang w:val="en-US" w:eastAsia="zh-CN"/>
        </w:rPr>
      </w:pPr>
      <w:r>
        <w:rPr>
          <w:rFonts w:hint="eastAsia" w:ascii="楷体" w:hAnsi="楷体" w:eastAsia="楷体" w:cs="Times New Roman"/>
          <w:bCs/>
          <w:kern w:val="0"/>
          <w:sz w:val="32"/>
          <w:szCs w:val="28"/>
          <w:lang w:val="en-US" w:eastAsia="zh-CN"/>
        </w:rPr>
        <w:t>（三）</w:t>
      </w:r>
      <w:r>
        <w:rPr>
          <w:rFonts w:hint="eastAsia" w:ascii="楷体" w:hAnsi="楷体" w:eastAsia="楷体" w:cs="Times New Roman"/>
          <w:bCs/>
          <w:kern w:val="0"/>
          <w:sz w:val="32"/>
          <w:szCs w:val="28"/>
          <w:lang w:eastAsia="zh-CN"/>
        </w:rPr>
        <w:t>数字法庭系统未能够与北京法院的审判流程管理等实现无缝对接，</w:t>
      </w:r>
      <w:r>
        <w:rPr>
          <w:rFonts w:hint="eastAsia" w:ascii="楷体" w:hAnsi="楷体" w:eastAsia="楷体" w:cs="Times New Roman"/>
          <w:bCs/>
          <w:kern w:val="0"/>
          <w:sz w:val="32"/>
          <w:szCs w:val="28"/>
          <w:lang w:val="en-US" w:eastAsia="zh-CN"/>
        </w:rPr>
        <w:t>绩效目标未充分实现</w:t>
      </w:r>
    </w:p>
    <w:p>
      <w:pPr>
        <w:spacing w:line="360" w:lineRule="auto"/>
        <w:ind w:firstLine="640" w:firstLineChars="200"/>
        <w:jc w:val="both"/>
        <w:rPr>
          <w:rFonts w:hint="default"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经现场勘察</w:t>
      </w:r>
      <w:r>
        <w:rPr>
          <w:rFonts w:hint="eastAsia" w:ascii="仿宋_GB2312" w:eastAsia="仿宋_GB2312" w:cs="仿宋_GB2312"/>
          <w:b w:val="0"/>
          <w:bCs w:val="0"/>
          <w:sz w:val="32"/>
          <w:szCs w:val="32"/>
          <w:highlight w:val="none"/>
          <w:lang w:eastAsia="zh-CN"/>
        </w:rPr>
        <w:t>，因高院接口问题，目前该项目尚未实现对接，现场建设的数字法庭虽然能够实现法庭预定、庭审等功能，但是无法实现直接庭审数据上传至市高院庭审系统，需要手动拷贝。而该项目招标文件“第四章项目需求及技术规格4.2数字法庭和调解室的数据需求参照《北京法院数字法庭技术规范（</w:t>
      </w:r>
      <w:r>
        <w:rPr>
          <w:rFonts w:hint="eastAsia" w:ascii="仿宋_GB2312" w:eastAsia="仿宋_GB2312" w:cs="仿宋_GB2312"/>
          <w:b w:val="0"/>
          <w:bCs w:val="0"/>
          <w:sz w:val="32"/>
          <w:szCs w:val="32"/>
          <w:highlight w:val="none"/>
          <w:lang w:val="en-US" w:eastAsia="zh-CN"/>
        </w:rPr>
        <w:t>2019版</w:t>
      </w:r>
      <w:r>
        <w:rPr>
          <w:rFonts w:hint="eastAsia" w:ascii="仿宋_GB2312" w:eastAsia="仿宋_GB2312" w:cs="仿宋_GB2312"/>
          <w:b w:val="0"/>
          <w:bCs w:val="0"/>
          <w:sz w:val="32"/>
          <w:szCs w:val="32"/>
          <w:highlight w:val="none"/>
          <w:lang w:eastAsia="zh-CN"/>
        </w:rPr>
        <w:t>）》第九</w:t>
      </w:r>
      <w:r>
        <w:rPr>
          <w:rFonts w:hint="eastAsia" w:ascii="仿宋_GB2312" w:eastAsia="仿宋_GB2312" w:cs="仿宋_GB2312"/>
          <w:b w:val="0"/>
          <w:bCs w:val="0"/>
          <w:sz w:val="32"/>
          <w:szCs w:val="32"/>
          <w:highlight w:val="none"/>
          <w:lang w:val="en-US" w:eastAsia="zh-CN"/>
        </w:rPr>
        <w:t xml:space="preserve">条 </w:t>
      </w:r>
      <w:r>
        <w:rPr>
          <w:rFonts w:hint="eastAsia" w:ascii="仿宋_GB2312" w:eastAsia="仿宋_GB2312" w:cs="仿宋_GB2312"/>
          <w:b w:val="0"/>
          <w:bCs w:val="0"/>
          <w:sz w:val="32"/>
          <w:szCs w:val="32"/>
          <w:highlight w:val="none"/>
          <w:lang w:eastAsia="zh-CN"/>
        </w:rPr>
        <w:t>标准数字法庭和速裁数字法庭的庭审信息同步保存到法庭核心设备、法院专网存储服务器和磁盘阵列三地存储。互联网法庭信息保存到互联网云平台和法院专网磁盘阵列。”，并未实现。项目招标文件“第四章 项目需求及技术规格 三、关键要求1.系统对接要求 要求数字法庭系统能够与北京法院的审判流程管理双向无缝</w:t>
      </w:r>
      <w:r>
        <w:rPr>
          <w:rFonts w:hint="eastAsia" w:ascii="仿宋_GB2312" w:eastAsia="仿宋_GB2312" w:cs="仿宋_GB2312"/>
          <w:b w:val="0"/>
          <w:bCs w:val="0"/>
          <w:sz w:val="32"/>
          <w:szCs w:val="32"/>
          <w:highlight w:val="none"/>
          <w:lang w:val="en-US" w:eastAsia="zh-CN"/>
        </w:rPr>
        <w:t>对</w:t>
      </w:r>
      <w:r>
        <w:rPr>
          <w:rFonts w:hint="eastAsia" w:ascii="仿宋_GB2312" w:eastAsia="仿宋_GB2312" w:cs="仿宋_GB2312"/>
          <w:b w:val="0"/>
          <w:bCs w:val="0"/>
          <w:sz w:val="32"/>
          <w:szCs w:val="32"/>
          <w:highlight w:val="none"/>
          <w:lang w:eastAsia="zh-CN"/>
        </w:rPr>
        <w:t>接；要求数字法庭系统能够与北京法院的庭审直播点播系统和互联网直播点播系统实现无缝衔接；要求支持与北京高院视频会议系统互联互通等”，</w:t>
      </w:r>
      <w:r>
        <w:rPr>
          <w:rFonts w:hint="eastAsia" w:ascii="仿宋_GB2312" w:eastAsia="仿宋_GB2312" w:cs="仿宋_GB2312"/>
          <w:b w:val="0"/>
          <w:bCs w:val="0"/>
          <w:sz w:val="32"/>
          <w:szCs w:val="32"/>
          <w:highlight w:val="none"/>
          <w:lang w:val="en-US" w:eastAsia="zh-CN"/>
        </w:rPr>
        <w:t>项目采购目标尚未实现。</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33" w:name="_Toc8191"/>
      <w:r>
        <w:rPr>
          <w:rFonts w:hint="eastAsia" w:ascii="黑体" w:hAnsi="黑体" w:eastAsia="黑体"/>
          <w:sz w:val="32"/>
          <w:szCs w:val="32"/>
          <w:lang w:val="en-US" w:eastAsia="zh-CN"/>
        </w:rPr>
        <w:t>六、</w:t>
      </w:r>
      <w:r>
        <w:rPr>
          <w:rFonts w:hint="eastAsia" w:ascii="黑体" w:hAnsi="黑体" w:eastAsia="黑体"/>
          <w:sz w:val="32"/>
          <w:szCs w:val="32"/>
        </w:rPr>
        <w:t>有关建议</w:t>
      </w:r>
      <w:bookmarkEnd w:id="33"/>
    </w:p>
    <w:p>
      <w:pPr>
        <w:spacing w:line="560" w:lineRule="exact"/>
        <w:ind w:firstLine="640" w:firstLineChars="200"/>
        <w:outlineLvl w:val="1"/>
        <w:rPr>
          <w:rFonts w:hint="default" w:ascii="楷体" w:hAnsi="楷体" w:eastAsia="楷体" w:cs="Times New Roman"/>
          <w:bCs/>
          <w:kern w:val="0"/>
          <w:sz w:val="32"/>
          <w:szCs w:val="28"/>
          <w:lang w:val="en-US" w:eastAsia="zh-CN"/>
        </w:rPr>
      </w:pPr>
      <w:bookmarkStart w:id="34" w:name="_Toc1439"/>
      <w:r>
        <w:rPr>
          <w:rFonts w:hint="eastAsia" w:ascii="楷体" w:hAnsi="楷体" w:eastAsia="楷体" w:cs="Times New Roman"/>
          <w:bCs/>
          <w:kern w:val="0"/>
          <w:sz w:val="32"/>
          <w:szCs w:val="28"/>
        </w:rPr>
        <w:t>（一）</w:t>
      </w:r>
      <w:r>
        <w:rPr>
          <w:rFonts w:hint="eastAsia" w:ascii="楷体" w:hAnsi="楷体" w:eastAsia="楷体" w:cs="Times New Roman"/>
          <w:bCs/>
          <w:kern w:val="0"/>
          <w:sz w:val="32"/>
          <w:szCs w:val="28"/>
          <w:lang w:val="en-US" w:eastAsia="zh-CN"/>
        </w:rPr>
        <w:t>加强预算申报编制审核，完善预算申报</w:t>
      </w:r>
      <w:bookmarkEnd w:id="34"/>
    </w:p>
    <w:p>
      <w:pPr>
        <w:spacing w:line="360" w:lineRule="auto"/>
        <w:ind w:firstLine="640" w:firstLineChars="200"/>
        <w:rPr>
          <w:rFonts w:hint="eastAsia" w:ascii="仿宋_GB2312" w:eastAsia="仿宋_GB2312" w:cs="仿宋_GB2312"/>
          <w:b w:val="0"/>
          <w:bCs w:val="0"/>
          <w:sz w:val="32"/>
          <w:szCs w:val="32"/>
          <w:highlight w:val="none"/>
          <w:lang w:eastAsia="zh-CN"/>
        </w:rPr>
      </w:pPr>
      <w:r>
        <w:rPr>
          <w:rFonts w:hint="eastAsia" w:ascii="仿宋_GB2312" w:eastAsia="仿宋_GB2312" w:cs="仿宋_GB2312"/>
          <w:b w:val="0"/>
          <w:bCs w:val="0"/>
          <w:sz w:val="32"/>
          <w:szCs w:val="32"/>
          <w:highlight w:val="none"/>
          <w:lang w:eastAsia="zh-CN"/>
        </w:rPr>
        <w:t>建议加强</w:t>
      </w:r>
      <w:r>
        <w:rPr>
          <w:rFonts w:hint="eastAsia" w:ascii="仿宋_GB2312" w:eastAsia="仿宋_GB2312" w:cs="仿宋_GB2312"/>
          <w:b w:val="0"/>
          <w:bCs w:val="0"/>
          <w:sz w:val="32"/>
          <w:szCs w:val="32"/>
          <w:highlight w:val="none"/>
          <w:lang w:val="en-US" w:eastAsia="zh-CN"/>
        </w:rPr>
        <w:t>立项申报</w:t>
      </w:r>
      <w:r>
        <w:rPr>
          <w:rFonts w:hint="eastAsia" w:ascii="仿宋_GB2312" w:eastAsia="仿宋_GB2312" w:cs="仿宋_GB2312"/>
          <w:b w:val="0"/>
          <w:bCs w:val="0"/>
          <w:sz w:val="32"/>
          <w:szCs w:val="32"/>
          <w:highlight w:val="none"/>
          <w:lang w:eastAsia="zh-CN"/>
        </w:rPr>
        <w:t>文件</w:t>
      </w:r>
      <w:r>
        <w:rPr>
          <w:rFonts w:hint="eastAsia" w:ascii="仿宋_GB2312" w:eastAsia="仿宋_GB2312" w:cs="仿宋_GB2312"/>
          <w:b w:val="0"/>
          <w:bCs w:val="0"/>
          <w:sz w:val="32"/>
          <w:szCs w:val="32"/>
          <w:highlight w:val="none"/>
          <w:lang w:val="en-US" w:eastAsia="zh-CN"/>
        </w:rPr>
        <w:t>的</w:t>
      </w:r>
      <w:r>
        <w:rPr>
          <w:rFonts w:hint="eastAsia" w:ascii="仿宋_GB2312" w:eastAsia="仿宋_GB2312" w:cs="仿宋_GB2312"/>
          <w:b w:val="0"/>
          <w:bCs w:val="0"/>
          <w:sz w:val="32"/>
          <w:szCs w:val="32"/>
          <w:highlight w:val="none"/>
          <w:lang w:eastAsia="zh-CN"/>
        </w:rPr>
        <w:t>审查，建立规范、严格的</w:t>
      </w:r>
      <w:r>
        <w:rPr>
          <w:rFonts w:hint="eastAsia" w:ascii="仿宋_GB2312" w:eastAsia="仿宋_GB2312" w:cs="仿宋_GB2312"/>
          <w:b w:val="0"/>
          <w:bCs w:val="0"/>
          <w:sz w:val="32"/>
          <w:szCs w:val="32"/>
          <w:highlight w:val="none"/>
          <w:lang w:val="en-US" w:eastAsia="zh-CN"/>
        </w:rPr>
        <w:t>立项</w:t>
      </w:r>
      <w:r>
        <w:rPr>
          <w:rFonts w:hint="eastAsia" w:ascii="仿宋_GB2312" w:eastAsia="仿宋_GB2312" w:cs="仿宋_GB2312"/>
          <w:b w:val="0"/>
          <w:bCs w:val="0"/>
          <w:sz w:val="32"/>
          <w:szCs w:val="32"/>
          <w:highlight w:val="none"/>
          <w:lang w:eastAsia="zh-CN"/>
        </w:rPr>
        <w:t>审查制度，对预算申报书中引用的计算依据进行仔细审核，确保其合法、有效。对于已废止或不适用的计算依据，应及时更新或废止，避免因此带来的风险和不利影响。</w:t>
      </w:r>
    </w:p>
    <w:p>
      <w:pPr>
        <w:spacing w:line="560" w:lineRule="exact"/>
        <w:ind w:firstLine="640" w:firstLineChars="200"/>
        <w:outlineLvl w:val="1"/>
        <w:rPr>
          <w:rFonts w:hint="default" w:ascii="楷体" w:hAnsi="楷体" w:eastAsia="楷体" w:cs="Times New Roman"/>
          <w:bCs/>
          <w:kern w:val="0"/>
          <w:sz w:val="32"/>
          <w:szCs w:val="28"/>
          <w:lang w:val="en-US" w:eastAsia="zh-CN"/>
        </w:rPr>
      </w:pPr>
      <w:bookmarkStart w:id="35" w:name="_Toc21703"/>
      <w:r>
        <w:rPr>
          <w:rFonts w:hint="eastAsia" w:ascii="楷体" w:hAnsi="楷体" w:eastAsia="楷体" w:cs="Times New Roman"/>
          <w:bCs/>
          <w:kern w:val="0"/>
          <w:sz w:val="32"/>
          <w:szCs w:val="28"/>
          <w:lang w:eastAsia="zh-CN"/>
        </w:rPr>
        <w:t>（</w:t>
      </w:r>
      <w:r>
        <w:rPr>
          <w:rFonts w:hint="eastAsia" w:ascii="楷体" w:hAnsi="楷体" w:eastAsia="楷体" w:cs="Times New Roman"/>
          <w:bCs/>
          <w:kern w:val="0"/>
          <w:sz w:val="32"/>
          <w:szCs w:val="28"/>
          <w:lang w:val="en-US" w:eastAsia="zh-CN"/>
        </w:rPr>
        <w:t>二</w:t>
      </w:r>
      <w:r>
        <w:rPr>
          <w:rFonts w:hint="eastAsia" w:ascii="楷体" w:hAnsi="楷体" w:eastAsia="楷体" w:cs="Times New Roman"/>
          <w:bCs/>
          <w:kern w:val="0"/>
          <w:sz w:val="32"/>
          <w:szCs w:val="28"/>
          <w:lang w:eastAsia="zh-CN"/>
        </w:rPr>
        <w:t>）</w:t>
      </w:r>
      <w:r>
        <w:rPr>
          <w:rFonts w:hint="eastAsia" w:ascii="楷体" w:hAnsi="楷体" w:eastAsia="楷体" w:cs="Times New Roman"/>
          <w:bCs/>
          <w:kern w:val="0"/>
          <w:sz w:val="32"/>
          <w:szCs w:val="28"/>
        </w:rPr>
        <w:t>完善项目前期</w:t>
      </w:r>
      <w:r>
        <w:rPr>
          <w:rFonts w:hint="eastAsia" w:ascii="楷体" w:hAnsi="楷体" w:eastAsia="楷体" w:cs="Times New Roman"/>
          <w:bCs/>
          <w:kern w:val="0"/>
          <w:sz w:val="32"/>
          <w:szCs w:val="28"/>
          <w:lang w:val="en-US" w:eastAsia="zh-CN"/>
        </w:rPr>
        <w:t>论证，强化采购招标文本编制</w:t>
      </w:r>
      <w:bookmarkEnd w:id="35"/>
    </w:p>
    <w:p>
      <w:pPr>
        <w:spacing w:line="360" w:lineRule="auto"/>
        <w:ind w:firstLine="640" w:firstLineChars="200"/>
        <w:rPr>
          <w:rFonts w:hint="eastAsia" w:ascii="仿宋_GB2312" w:eastAsia="仿宋_GB2312" w:cs="仿宋_GB2312"/>
          <w:b w:val="0"/>
          <w:bCs w:val="0"/>
          <w:sz w:val="32"/>
          <w:szCs w:val="32"/>
          <w:highlight w:val="none"/>
        </w:rPr>
      </w:pPr>
      <w:r>
        <w:rPr>
          <w:rFonts w:hint="eastAsia" w:ascii="仿宋_GB2312" w:eastAsia="仿宋_GB2312" w:cs="仿宋_GB2312"/>
          <w:b w:val="0"/>
          <w:bCs w:val="0"/>
          <w:sz w:val="32"/>
          <w:szCs w:val="32"/>
          <w:highlight w:val="none"/>
          <w:lang w:val="en-US" w:eastAsia="zh-CN"/>
        </w:rPr>
        <w:t>建议建立规范的采购流程，充分调研并论证采购目标和明确采购内容，制定明确的招投标文件，以便采购目标得以充分实现，防止招标内容遗漏或不明确，加强对招标过程的管理和监督。强化</w:t>
      </w:r>
      <w:r>
        <w:rPr>
          <w:rFonts w:hint="eastAsia" w:ascii="仿宋_GB2312" w:eastAsia="仿宋_GB2312" w:cs="仿宋_GB2312"/>
          <w:b w:val="0"/>
          <w:bCs w:val="0"/>
          <w:sz w:val="32"/>
          <w:szCs w:val="32"/>
          <w:highlight w:val="none"/>
        </w:rPr>
        <w:t>资金预算管理，在信息化项目</w:t>
      </w:r>
      <w:r>
        <w:rPr>
          <w:rFonts w:hint="eastAsia" w:ascii="仿宋_GB2312" w:eastAsia="仿宋_GB2312" w:cs="仿宋_GB2312"/>
          <w:b w:val="0"/>
          <w:bCs w:val="0"/>
          <w:sz w:val="32"/>
          <w:szCs w:val="32"/>
          <w:highlight w:val="none"/>
          <w:lang w:eastAsia="zh-CN"/>
        </w:rPr>
        <w:t>的</w:t>
      </w:r>
      <w:r>
        <w:rPr>
          <w:rFonts w:hint="eastAsia" w:ascii="仿宋_GB2312" w:eastAsia="仿宋_GB2312" w:cs="仿宋_GB2312"/>
          <w:b w:val="0"/>
          <w:bCs w:val="0"/>
          <w:sz w:val="32"/>
          <w:szCs w:val="32"/>
          <w:highlight w:val="none"/>
        </w:rPr>
        <w:t>建设过程中，如必须对项目</w:t>
      </w:r>
      <w:r>
        <w:rPr>
          <w:rFonts w:hint="eastAsia" w:ascii="仿宋_GB2312" w:eastAsia="仿宋_GB2312" w:cs="仿宋_GB2312"/>
          <w:b w:val="0"/>
          <w:bCs w:val="0"/>
          <w:sz w:val="32"/>
          <w:szCs w:val="32"/>
          <w:highlight w:val="none"/>
          <w:lang w:val="en-US" w:eastAsia="zh-CN"/>
        </w:rPr>
        <w:t>资金和绩效目标作</w:t>
      </w:r>
      <w:r>
        <w:rPr>
          <w:rFonts w:hint="eastAsia" w:ascii="仿宋_GB2312" w:eastAsia="仿宋_GB2312" w:cs="仿宋_GB2312"/>
          <w:b w:val="0"/>
          <w:bCs w:val="0"/>
          <w:sz w:val="32"/>
          <w:szCs w:val="32"/>
          <w:highlight w:val="none"/>
        </w:rPr>
        <w:t>调整修改的，严格按照</w:t>
      </w:r>
      <w:r>
        <w:rPr>
          <w:rFonts w:hint="eastAsia" w:ascii="仿宋_GB2312" w:eastAsia="仿宋_GB2312" w:cs="仿宋_GB2312"/>
          <w:b w:val="0"/>
          <w:bCs w:val="0"/>
          <w:sz w:val="32"/>
          <w:szCs w:val="32"/>
          <w:highlight w:val="none"/>
          <w:lang w:val="en-US" w:eastAsia="zh-CN"/>
        </w:rPr>
        <w:t>预算管理</w:t>
      </w:r>
      <w:r>
        <w:rPr>
          <w:rFonts w:hint="eastAsia" w:ascii="仿宋_GB2312" w:eastAsia="仿宋_GB2312" w:cs="仿宋_GB2312"/>
          <w:b w:val="0"/>
          <w:bCs w:val="0"/>
          <w:sz w:val="32"/>
          <w:szCs w:val="32"/>
          <w:highlight w:val="none"/>
        </w:rPr>
        <w:t>规定，履行必要的审批手续。</w:t>
      </w:r>
    </w:p>
    <w:p>
      <w:pPr>
        <w:spacing w:line="360" w:lineRule="auto"/>
        <w:ind w:firstLine="640" w:firstLineChars="200"/>
        <w:rPr>
          <w:rFonts w:hint="eastAsia" w:ascii="楷体" w:hAnsi="楷体" w:eastAsia="楷体"/>
          <w:bCs/>
          <w:kern w:val="0"/>
          <w:sz w:val="32"/>
          <w:szCs w:val="28"/>
          <w:lang w:eastAsia="zh-CN"/>
        </w:rPr>
      </w:pPr>
      <w:r>
        <w:rPr>
          <w:rFonts w:hint="eastAsia" w:ascii="楷体" w:hAnsi="楷体" w:eastAsia="楷体"/>
          <w:bCs/>
          <w:kern w:val="0"/>
          <w:sz w:val="32"/>
          <w:szCs w:val="28"/>
        </w:rPr>
        <w:t>（</w:t>
      </w:r>
      <w:r>
        <w:rPr>
          <w:rFonts w:hint="eastAsia" w:ascii="楷体" w:hAnsi="楷体" w:eastAsia="楷体"/>
          <w:bCs/>
          <w:kern w:val="0"/>
          <w:sz w:val="32"/>
          <w:szCs w:val="28"/>
          <w:lang w:val="en-US" w:eastAsia="zh-CN"/>
        </w:rPr>
        <w:t>三</w:t>
      </w:r>
      <w:r>
        <w:rPr>
          <w:rFonts w:hint="eastAsia" w:ascii="楷体" w:hAnsi="楷体" w:eastAsia="楷体"/>
          <w:bCs/>
          <w:kern w:val="0"/>
          <w:sz w:val="32"/>
          <w:szCs w:val="28"/>
        </w:rPr>
        <w:t>）加强项目效益资料收集，</w:t>
      </w:r>
      <w:r>
        <w:rPr>
          <w:rFonts w:hint="eastAsia" w:ascii="楷体" w:hAnsi="楷体" w:eastAsia="楷体"/>
          <w:bCs/>
          <w:kern w:val="0"/>
          <w:sz w:val="32"/>
          <w:szCs w:val="28"/>
          <w:lang w:eastAsia="zh-CN"/>
        </w:rPr>
        <w:t>提升项目质量管控水平</w:t>
      </w:r>
    </w:p>
    <w:p>
      <w:pPr>
        <w:spacing w:line="360" w:lineRule="auto"/>
        <w:ind w:firstLine="640" w:firstLineChars="200"/>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建议做好项目质量管控工作，加强项目绩效资料的收集与整理工作，注重项目实施质量和效益证明性资料、数据统计分析等项目绩效效果资料的收集整理与归档，以便体现项目的绩效产出的完整性。充分反映信息化项目的建设目标，发挥应有的作用和价值。</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lang w:val="en-US" w:eastAsia="zh-CN"/>
        </w:rPr>
      </w:pPr>
      <w:bookmarkStart w:id="36" w:name="_Toc13223"/>
      <w:r>
        <w:rPr>
          <w:rFonts w:hint="eastAsia" w:ascii="黑体" w:hAnsi="黑体" w:eastAsia="黑体"/>
          <w:sz w:val="32"/>
          <w:szCs w:val="32"/>
          <w:lang w:val="en-US" w:eastAsia="zh-CN"/>
        </w:rPr>
        <w:t>七、其他说明事项</w:t>
      </w:r>
      <w:bookmarkEnd w:id="36"/>
    </w:p>
    <w:p>
      <w:pPr>
        <w:spacing w:line="560" w:lineRule="exact"/>
        <w:ind w:firstLine="640" w:firstLineChars="200"/>
        <w:rPr>
          <w:rFonts w:hint="eastAsia" w:ascii="楷体" w:hAnsi="楷体" w:eastAsia="楷体"/>
          <w:bCs/>
          <w:kern w:val="0"/>
          <w:sz w:val="32"/>
          <w:szCs w:val="28"/>
        </w:rPr>
      </w:pPr>
      <w:r>
        <w:rPr>
          <w:rFonts w:hint="eastAsia" w:ascii="楷体" w:hAnsi="楷体" w:eastAsia="楷体"/>
          <w:bCs/>
          <w:kern w:val="0"/>
          <w:sz w:val="32"/>
          <w:szCs w:val="28"/>
        </w:rPr>
        <w:t>（一）主要依据项目单位提供的资料做出评价</w:t>
      </w:r>
    </w:p>
    <w:p>
      <w:pPr>
        <w:spacing w:line="360" w:lineRule="auto"/>
        <w:ind w:firstLine="640" w:firstLineChars="200"/>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本报告主要是基于丰台法院诉调对接中心项目组收集的决策、过程、产出、效益方面的资料做出的评价，评价工作组对资料的真实性进行了适当的抽查、现场沟通和实地勘察，但受资料完整性所限，并非每项指标的打分都有充分的资料支撑，个别指标主要是依据项目单位沟通结果及绩效评价专家的专业性判断。</w:t>
      </w:r>
    </w:p>
    <w:p>
      <w:pPr>
        <w:spacing w:line="360" w:lineRule="auto"/>
        <w:ind w:firstLine="640" w:firstLineChars="200"/>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本次评价采取的是以项目单位为主、第三方机构协助、专家评价为辅的方式，本报告评价结论是借助管理、财务、业务专家的力量，在专家咨询基础上对项目做出的专业性的评价。</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lang w:val="en-US" w:eastAsia="zh-CN"/>
        </w:rPr>
      </w:pPr>
      <w:bookmarkStart w:id="37" w:name="_Toc3249"/>
      <w:r>
        <w:rPr>
          <w:rFonts w:hint="eastAsia" w:ascii="黑体" w:hAnsi="黑体" w:eastAsia="黑体"/>
          <w:sz w:val="32"/>
          <w:szCs w:val="32"/>
          <w:lang w:val="en-US" w:eastAsia="zh-CN"/>
        </w:rPr>
        <w:t>八、附件</w:t>
      </w:r>
      <w:bookmarkEnd w:id="37"/>
    </w:p>
    <w:p>
      <w:pPr>
        <w:widowControl/>
        <w:spacing w:line="560" w:lineRule="exact"/>
        <w:ind w:firstLine="640" w:firstLineChars="200"/>
        <w:rPr>
          <w:rFonts w:hint="default" w:ascii="仿宋_GB2312" w:hAnsi="Times New Roman" w:eastAsia="仿宋_GB2312" w:cs="宋体"/>
          <w:kern w:val="0"/>
          <w:sz w:val="32"/>
          <w:szCs w:val="32"/>
          <w:highlight w:val="none"/>
          <w:lang w:val="en-US" w:eastAsia="zh-CN"/>
        </w:rPr>
      </w:pPr>
      <w:r>
        <w:rPr>
          <w:rFonts w:hint="eastAsia" w:ascii="仿宋_GB2312" w:hAnsi="Times New Roman" w:eastAsia="仿宋_GB2312" w:cs="宋体"/>
          <w:kern w:val="0"/>
          <w:sz w:val="32"/>
          <w:szCs w:val="32"/>
          <w:highlight w:val="none"/>
          <w:lang w:val="en-US" w:eastAsia="zh-CN"/>
        </w:rPr>
        <w:t>附表1：专家意见汇总书</w:t>
      </w:r>
    </w:p>
    <w:p>
      <w:pPr>
        <w:widowControl/>
        <w:spacing w:line="560" w:lineRule="exact"/>
        <w:ind w:firstLine="640" w:firstLineChars="200"/>
        <w:rPr>
          <w:rFonts w:hint="default" w:ascii="仿宋_GB2312" w:hAnsi="Times New Roman" w:eastAsia="仿宋_GB2312" w:cs="宋体"/>
          <w:kern w:val="0"/>
          <w:sz w:val="32"/>
          <w:szCs w:val="32"/>
          <w:highlight w:val="none"/>
          <w:lang w:val="en-US" w:eastAsia="zh-CN"/>
        </w:rPr>
      </w:pPr>
      <w:r>
        <w:rPr>
          <w:rFonts w:hint="eastAsia" w:ascii="仿宋_GB2312" w:hAnsi="Times New Roman" w:eastAsia="仿宋_GB2312" w:cs="宋体"/>
          <w:kern w:val="0"/>
          <w:sz w:val="32"/>
          <w:szCs w:val="32"/>
          <w:highlight w:val="none"/>
          <w:lang w:val="en-US" w:eastAsia="zh-CN"/>
        </w:rPr>
        <w:t>附表2：专家组及工作组情况表</w:t>
      </w:r>
    </w:p>
    <w:p>
      <w:pPr>
        <w:rPr>
          <w:rFonts w:hint="eastAsia" w:ascii="黑体" w:hAnsi="黑体" w:eastAsia="黑体" w:cs="宋体"/>
          <w:bCs/>
          <w:kern w:val="0"/>
          <w:sz w:val="32"/>
          <w:szCs w:val="32"/>
        </w:rPr>
      </w:pPr>
      <w:r>
        <w:rPr>
          <w:rFonts w:hint="eastAsia" w:ascii="黑体" w:hAnsi="黑体" w:eastAsia="黑体" w:cs="宋体"/>
          <w:bCs/>
          <w:kern w:val="0"/>
          <w:sz w:val="32"/>
          <w:szCs w:val="32"/>
        </w:rPr>
        <w:br w:type="page"/>
      </w:r>
    </w:p>
    <w:p>
      <w:pPr>
        <w:spacing w:line="560" w:lineRule="exact"/>
        <w:jc w:val="left"/>
        <w:rPr>
          <w:rFonts w:hint="eastAsia" w:ascii="黑体" w:hAnsi="黑体" w:eastAsia="黑体" w:cs="宋体"/>
          <w:bCs/>
          <w:kern w:val="0"/>
          <w:sz w:val="32"/>
          <w:szCs w:val="32"/>
        </w:rPr>
        <w:sectPr>
          <w:footerReference r:id="rId4" w:type="default"/>
          <w:pgSz w:w="11906" w:h="16838"/>
          <w:pgMar w:top="1474" w:right="1985" w:bottom="1588" w:left="2098" w:header="851" w:footer="992" w:gutter="0"/>
          <w:pgNumType w:fmt="decimal" w:start="1"/>
          <w:cols w:space="720" w:num="1"/>
          <w:docGrid w:type="lines" w:linePitch="312" w:charSpace="0"/>
        </w:sectPr>
      </w:pPr>
    </w:p>
    <w:p>
      <w:pPr>
        <w:tabs>
          <w:tab w:val="left" w:pos="3204"/>
        </w:tabs>
        <w:spacing w:line="560" w:lineRule="exact"/>
        <w:jc w:val="left"/>
        <w:rPr>
          <w:rFonts w:ascii="黑体" w:hAnsi="黑体" w:eastAsia="黑体" w:cs="宋体"/>
          <w:bCs/>
          <w:kern w:val="0"/>
          <w:sz w:val="32"/>
          <w:szCs w:val="32"/>
        </w:rPr>
      </w:pPr>
    </w:p>
    <w:p/>
    <w:p>
      <w:pPr>
        <w:tabs>
          <w:tab w:val="left" w:pos="3204"/>
        </w:tabs>
        <w:spacing w:line="560" w:lineRule="exact"/>
        <w:jc w:val="left"/>
        <w:rPr>
          <w:rFonts w:hint="eastAsia" w:ascii="黑体" w:hAnsi="黑体" w:eastAsia="黑体" w:cs="宋体"/>
          <w:b w:val="0"/>
          <w:bCs/>
          <w:kern w:val="0"/>
          <w:sz w:val="32"/>
          <w:szCs w:val="32"/>
          <w:lang w:val="en-US" w:eastAsia="zh-CN"/>
        </w:rPr>
      </w:pPr>
      <w:r>
        <w:rPr>
          <w:rFonts w:hint="eastAsia" w:ascii="黑体" w:hAnsi="黑体" w:eastAsia="黑体" w:cs="宋体"/>
          <w:b w:val="0"/>
          <w:bCs/>
          <w:kern w:val="0"/>
          <w:sz w:val="32"/>
          <w:szCs w:val="32"/>
        </w:rPr>
        <w:t>附件</w:t>
      </w:r>
      <w:r>
        <w:rPr>
          <w:rFonts w:hint="eastAsia" w:ascii="黑体" w:hAnsi="黑体" w:eastAsia="黑体" w:cs="宋体"/>
          <w:b w:val="0"/>
          <w:bCs/>
          <w:kern w:val="0"/>
          <w:sz w:val="32"/>
          <w:szCs w:val="32"/>
          <w:lang w:val="en-US" w:eastAsia="zh-CN"/>
        </w:rPr>
        <w:t>1</w:t>
      </w:r>
    </w:p>
    <w:p>
      <w:pPr>
        <w:rPr>
          <w:rFonts w:hint="eastAsia"/>
        </w:rPr>
      </w:pPr>
    </w:p>
    <w:p>
      <w:pPr>
        <w:jc w:val="center"/>
        <w:rPr>
          <w:rFonts w:ascii="黑体" w:hAnsi="黑体" w:eastAsia="黑体"/>
          <w:b/>
          <w:bCs/>
          <w:sz w:val="36"/>
          <w:szCs w:val="36"/>
        </w:rPr>
      </w:pPr>
      <w:r>
        <w:rPr>
          <w:rFonts w:hint="eastAsia" w:ascii="黑体" w:hAnsi="黑体" w:eastAsia="黑体"/>
          <w:b/>
          <w:bCs/>
          <w:sz w:val="36"/>
          <w:szCs w:val="36"/>
        </w:rPr>
        <w:t>北京市项目支出绩效评价</w:t>
      </w:r>
      <w:r>
        <w:rPr>
          <w:rFonts w:ascii="黑体" w:hAnsi="黑体" w:eastAsia="黑体"/>
          <w:b/>
          <w:bCs/>
          <w:sz w:val="36"/>
          <w:szCs w:val="36"/>
        </w:rPr>
        <w:br w:type="textWrapping" w:clear="all"/>
      </w:r>
      <w:r>
        <w:rPr>
          <w:rFonts w:hint="eastAsia" w:ascii="黑体" w:hAnsi="黑体" w:eastAsia="黑体"/>
          <w:b/>
          <w:bCs/>
          <w:spacing w:val="20"/>
          <w:sz w:val="36"/>
          <w:szCs w:val="36"/>
        </w:rPr>
        <w:t>专家意见汇总书</w:t>
      </w:r>
      <w:r>
        <w:rPr>
          <w:rFonts w:ascii="黑体" w:hAnsi="黑体" w:eastAsia="黑体"/>
          <w:b/>
          <w:bCs/>
          <w:spacing w:val="20"/>
          <w:sz w:val="36"/>
          <w:szCs w:val="36"/>
        </w:rPr>
        <w:br w:type="textWrapping" w:clear="all"/>
      </w: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napToGrid w:val="0"/>
        <w:spacing w:line="420" w:lineRule="auto"/>
        <w:ind w:right="120" w:firstLine="1200" w:firstLineChars="500"/>
        <w:rPr>
          <w:rFonts w:ascii="宋体" w:hAnsi="宋体"/>
          <w:sz w:val="24"/>
          <w:u w:val="single"/>
        </w:rPr>
      </w:pPr>
      <w:r>
        <w:rPr>
          <w:rFonts w:hint="eastAsia" w:ascii="宋体" w:hAnsi="宋体"/>
          <w:sz w:val="24"/>
        </w:rPr>
        <w:t>项目名称：</w:t>
      </w:r>
      <w:r>
        <w:rPr>
          <w:rFonts w:ascii="宋体" w:hAnsi="宋体"/>
          <w:sz w:val="24"/>
          <w:u w:val="single"/>
        </w:rPr>
        <w:t xml:space="preserve"> </w:t>
      </w:r>
      <w:r>
        <w:rPr>
          <w:rFonts w:hint="eastAsia" w:ascii="宋体" w:hAnsi="宋体"/>
          <w:sz w:val="24"/>
          <w:u w:val="single"/>
        </w:rPr>
        <w:t xml:space="preserve">        诉调对接中心</w:t>
      </w:r>
      <w:r>
        <w:rPr>
          <w:rFonts w:hint="eastAsia" w:ascii="宋体" w:hAnsi="宋体"/>
          <w:sz w:val="24"/>
          <w:u w:val="single"/>
          <w:lang w:val="en-US" w:eastAsia="zh-CN"/>
        </w:rPr>
        <w:t>信息化建设</w:t>
      </w:r>
      <w:r>
        <w:rPr>
          <w:rFonts w:hint="eastAsia" w:ascii="宋体" w:hAnsi="宋体"/>
          <w:sz w:val="24"/>
          <w:u w:val="single"/>
        </w:rPr>
        <w:t xml:space="preserve">项目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napToGrid w:val="0"/>
        <w:spacing w:line="420" w:lineRule="auto"/>
        <w:ind w:right="120" w:firstLine="1200" w:firstLineChars="500"/>
        <w:rPr>
          <w:rFonts w:ascii="宋体" w:hAnsi="宋体"/>
          <w:sz w:val="24"/>
        </w:rPr>
      </w:pPr>
      <w:r>
        <w:rPr>
          <w:rFonts w:hint="eastAsia" w:ascii="宋体" w:hAnsi="宋体"/>
          <w:sz w:val="24"/>
        </w:rPr>
        <w:t>项目单位：</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北京市丰台区人民法院 </w:t>
      </w:r>
      <w:r>
        <w:rPr>
          <w:rFonts w:ascii="宋体" w:hAnsi="宋体"/>
          <w:sz w:val="24"/>
          <w:u w:val="single"/>
        </w:rPr>
        <w:t xml:space="preserve">           </w:t>
      </w:r>
    </w:p>
    <w:p>
      <w:pPr>
        <w:snapToGrid w:val="0"/>
        <w:spacing w:line="420" w:lineRule="auto"/>
        <w:ind w:right="120" w:firstLine="1200" w:firstLineChars="500"/>
        <w:rPr>
          <w:rFonts w:ascii="宋体" w:hAnsi="宋体"/>
          <w:sz w:val="24"/>
          <w:u w:val="single"/>
        </w:rPr>
      </w:pPr>
      <w:r>
        <w:rPr>
          <w:rFonts w:hint="eastAsia" w:ascii="宋体" w:hAnsi="宋体"/>
          <w:sz w:val="24"/>
        </w:rPr>
        <w:t>主管部门：</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北京市丰台区人民法院（本级）    </w:t>
      </w:r>
      <w:r>
        <w:rPr>
          <w:rFonts w:ascii="宋体" w:hAnsi="宋体"/>
          <w:sz w:val="24"/>
          <w:u w:val="single"/>
        </w:rPr>
        <w:t xml:space="preserve"> </w:t>
      </w:r>
      <w:r>
        <w:rPr>
          <w:rFonts w:hint="eastAsia" w:ascii="宋体" w:hAnsi="宋体"/>
          <w:sz w:val="24"/>
          <w:u w:val="single"/>
        </w:rPr>
        <w:t xml:space="preserve">  </w:t>
      </w:r>
    </w:p>
    <w:p>
      <w:pPr>
        <w:snapToGrid w:val="0"/>
        <w:spacing w:line="420" w:lineRule="auto"/>
        <w:ind w:firstLine="1200" w:firstLineChars="500"/>
        <w:rPr>
          <w:rFonts w:ascii="宋体" w:hAnsi="宋体"/>
          <w:sz w:val="24"/>
        </w:rPr>
      </w:pPr>
      <w:r>
        <w:rPr>
          <w:rFonts w:hint="eastAsia" w:ascii="宋体" w:hAnsi="宋体"/>
          <w:sz w:val="24"/>
        </w:rPr>
        <w:t>评价时间：</w:t>
      </w:r>
      <w:r>
        <w:rPr>
          <w:rFonts w:ascii="宋体" w:hAnsi="宋体"/>
          <w:sz w:val="24"/>
          <w:u w:val="single"/>
        </w:rPr>
        <w:t xml:space="preserve">      202</w:t>
      </w:r>
      <w:r>
        <w:rPr>
          <w:rFonts w:hint="eastAsia" w:ascii="宋体" w:hAnsi="宋体"/>
          <w:sz w:val="24"/>
          <w:u w:val="single"/>
          <w:lang w:val="en-US" w:eastAsia="zh-CN"/>
        </w:rPr>
        <w:t>3</w:t>
      </w:r>
      <w:r>
        <w:rPr>
          <w:rFonts w:ascii="宋体" w:hAnsi="宋体"/>
          <w:sz w:val="24"/>
          <w:u w:val="single"/>
        </w:rPr>
        <w:t xml:space="preserve">    </w:t>
      </w:r>
      <w:r>
        <w:rPr>
          <w:rFonts w:hint="eastAsia" w:ascii="宋体" w:hAnsi="宋体"/>
          <w:sz w:val="24"/>
        </w:rPr>
        <w:t>年</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5</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rPr>
        <w:t xml:space="preserve"> </w:t>
      </w:r>
      <w:r>
        <w:rPr>
          <w:rFonts w:ascii="宋体" w:hAnsi="宋体"/>
          <w:sz w:val="24"/>
          <w:u w:val="single"/>
        </w:rPr>
        <w:t xml:space="preserve">     26</w:t>
      </w:r>
      <w:r>
        <w:rPr>
          <w:rFonts w:hint="eastAsia" w:ascii="宋体" w:hAnsi="宋体"/>
          <w:sz w:val="24"/>
          <w:u w:val="single"/>
        </w:rPr>
        <w:t xml:space="preserve">    </w:t>
      </w:r>
      <w:r>
        <w:rPr>
          <w:rFonts w:hint="eastAsia" w:ascii="宋体" w:hAnsi="宋体"/>
          <w:sz w:val="24"/>
        </w:rPr>
        <w:t>日</w:t>
      </w:r>
    </w:p>
    <w:p>
      <w:pPr>
        <w:spacing w:after="240" w:line="360" w:lineRule="auto"/>
        <w:ind w:firstLine="640" w:firstLineChars="200"/>
        <w:rPr>
          <w:rFonts w:ascii="仿宋_GB2312" w:hAnsi="宋体" w:eastAsia="仿宋_GB2312"/>
          <w:bCs/>
          <w:kern w:val="0"/>
          <w:sz w:val="32"/>
          <w:szCs w:val="28"/>
        </w:rPr>
      </w:pPr>
    </w:p>
    <w:p>
      <w:pPr>
        <w:ind w:firstLine="562"/>
        <w:rPr>
          <w:b/>
          <w:bCs/>
        </w:rPr>
      </w:pPr>
    </w:p>
    <w:p>
      <w:pPr>
        <w:ind w:firstLine="562"/>
        <w:rPr>
          <w:b/>
          <w:bCs/>
        </w:rPr>
      </w:pPr>
    </w:p>
    <w:p>
      <w:pPr>
        <w:jc w:val="center"/>
        <w:rPr>
          <w:rFonts w:ascii="黑体" w:hAnsi="黑体" w:eastAsia="黑体" w:cs="黑体"/>
          <w:b/>
          <w:sz w:val="32"/>
        </w:rPr>
        <w:sectPr>
          <w:pgSz w:w="11906" w:h="16838"/>
          <w:pgMar w:top="1440" w:right="1800" w:bottom="1440" w:left="1800" w:header="851" w:footer="992" w:gutter="0"/>
          <w:pgNumType w:fmt="decimal"/>
          <w:cols w:space="720" w:num="1"/>
          <w:docGrid w:type="lines" w:linePitch="312" w:charSpace="0"/>
        </w:sectPr>
      </w:pPr>
    </w:p>
    <w:p>
      <w:pPr>
        <w:jc w:val="left"/>
        <w:rPr>
          <w:rFonts w:ascii="黑体" w:hAnsi="黑体" w:eastAsia="黑体" w:cs="黑体"/>
          <w:b/>
          <w:sz w:val="32"/>
          <w:highlight w:val="none"/>
        </w:rPr>
      </w:pPr>
      <w:r>
        <w:rPr>
          <w:rFonts w:hint="eastAsia" w:ascii="仿宋_GB2312" w:hAnsi="仿宋_GB2312" w:eastAsia="仿宋_GB2312" w:cs="仿宋_GB2312"/>
          <w:b/>
          <w:bCs/>
          <w:color w:val="000000"/>
          <w:kern w:val="0"/>
          <w:sz w:val="32"/>
          <w:szCs w:val="32"/>
          <w:highlight w:val="none"/>
        </w:rPr>
        <w:t>一、专家评分汇总表</w:t>
      </w:r>
    </w:p>
    <w:tbl>
      <w:tblPr>
        <w:tblStyle w:val="8"/>
        <w:tblW w:w="9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00"/>
        <w:gridCol w:w="1351"/>
        <w:gridCol w:w="1076"/>
        <w:gridCol w:w="1076"/>
        <w:gridCol w:w="1076"/>
        <w:gridCol w:w="1076"/>
        <w:gridCol w:w="1076"/>
        <w:gridCol w:w="1076"/>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152"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评价指标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1076" w:type="dxa"/>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专家1</w:t>
            </w:r>
          </w:p>
        </w:tc>
        <w:tc>
          <w:tcPr>
            <w:tcW w:w="1076" w:type="dxa"/>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专家2</w:t>
            </w:r>
          </w:p>
        </w:tc>
        <w:tc>
          <w:tcPr>
            <w:tcW w:w="1076" w:type="dxa"/>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专家3</w:t>
            </w:r>
          </w:p>
        </w:tc>
        <w:tc>
          <w:tcPr>
            <w:tcW w:w="1076" w:type="dxa"/>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专家4</w:t>
            </w:r>
          </w:p>
        </w:tc>
        <w:tc>
          <w:tcPr>
            <w:tcW w:w="1076" w:type="dxa"/>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专家5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决策</w:t>
            </w: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项目立项</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立项依据充分性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立项程序规范性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绩效目标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绩效目标合理性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绩效指标明确性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资金投入</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预算编制科学性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资金分配合理性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过程</w:t>
            </w: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资金管理</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资金到位率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资金使用合规性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组织实施</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管理制度健全性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制度执行有效性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产出</w:t>
            </w: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产出数量</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产出质量</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质量达标率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产出时效</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完成及时性</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产出成本</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成本节约率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效益</w:t>
            </w: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项目效益</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产生的社会效益</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产生的环境效益</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产生的可持续影响</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0" w:type="auto"/>
            <w:vMerge w:val="continue"/>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100</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89.27</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90.27</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89.27</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90.77</w:t>
            </w:r>
          </w:p>
        </w:tc>
        <w:tc>
          <w:tcPr>
            <w:tcW w:w="0" w:type="auto"/>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90.27</w:t>
            </w:r>
          </w:p>
        </w:tc>
        <w:tc>
          <w:tcPr>
            <w:tcW w:w="1076"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89.97</w:t>
            </w:r>
          </w:p>
        </w:tc>
      </w:tr>
    </w:tbl>
    <w:p>
      <w:pPr>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br w:type="page"/>
      </w:r>
      <w:r>
        <w:rPr>
          <w:rFonts w:hint="eastAsia" w:ascii="仿宋_GB2312" w:hAnsi="仿宋_GB2312" w:eastAsia="仿宋_GB2312" w:cs="仿宋_GB2312"/>
          <w:b/>
          <w:bCs/>
          <w:color w:val="000000"/>
          <w:kern w:val="0"/>
          <w:sz w:val="32"/>
          <w:szCs w:val="32"/>
        </w:rPr>
        <w:t>二、专家评价综合意见</w:t>
      </w:r>
    </w:p>
    <w:tbl>
      <w:tblPr>
        <w:tblStyle w:val="8"/>
        <w:tblW w:w="9306" w:type="dxa"/>
        <w:tblInd w:w="-2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9"/>
        <w:gridCol w:w="6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669" w:type="dxa"/>
            <w:noWrap w:val="0"/>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评价得分</w:t>
            </w:r>
          </w:p>
        </w:tc>
        <w:tc>
          <w:tcPr>
            <w:tcW w:w="6637" w:type="dxa"/>
            <w:noWrap w:val="0"/>
            <w:vAlign w:val="center"/>
          </w:tcPr>
          <w:p>
            <w:pPr>
              <w:snapToGrid w:val="0"/>
              <w:jc w:val="left"/>
              <w:rPr>
                <w:rFonts w:ascii="仿宋_GB2312" w:hAnsi="仿宋_GB2312" w:eastAsia="仿宋_GB2312" w:cs="仿宋_GB2312"/>
                <w:b/>
                <w:sz w:val="24"/>
                <w:highlight w:val="yellow"/>
              </w:rPr>
            </w:pPr>
            <w:r>
              <w:rPr>
                <w:rFonts w:hint="eastAsia" w:ascii="仿宋_GB2312" w:hAnsi="仿宋_GB2312" w:eastAsia="仿宋_GB2312" w:cs="仿宋_GB2312"/>
                <w:b/>
                <w:sz w:val="24"/>
                <w:highlight w:val="none"/>
                <w:lang w:val="en-US" w:eastAsia="zh-CN"/>
              </w:rPr>
              <w:t>89.97</w:t>
            </w:r>
            <w:r>
              <w:rPr>
                <w:rFonts w:hint="eastAsia" w:ascii="仿宋_GB2312" w:hAnsi="仿宋_GB2312" w:eastAsia="仿宋_GB2312" w:cs="仿宋_GB2312"/>
                <w:b/>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669" w:type="dxa"/>
            <w:noWrap w:val="0"/>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绩效级别</w:t>
            </w:r>
          </w:p>
        </w:tc>
        <w:tc>
          <w:tcPr>
            <w:tcW w:w="6637" w:type="dxa"/>
            <w:noWrap w:val="0"/>
            <w:vAlign w:val="center"/>
          </w:tcPr>
          <w:p>
            <w:pPr>
              <w:jc w:val="left"/>
              <w:rPr>
                <w:rFonts w:ascii="仿宋_GB2312" w:hAnsi="仿宋_GB2312" w:eastAsia="仿宋_GB2312" w:cs="仿宋_GB2312"/>
                <w:sz w:val="24"/>
              </w:rPr>
            </w:pPr>
            <w:r>
              <w:rPr>
                <w:rFonts w:hint="eastAsia" w:ascii="仿宋_GB2312" w:hAnsi="仿宋_GB2312" w:eastAsia="仿宋_GB2312" w:cs="仿宋_GB2312"/>
                <w:sz w:val="24"/>
              </w:rPr>
              <w:t>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90分以上</w:t>
            </w:r>
            <w:r>
              <w:rPr>
                <w:rFonts w:hint="eastAsia" w:ascii="仿宋_GB2312" w:hAnsi="仿宋_GB2312" w:eastAsia="仿宋_GB2312" w:cs="仿宋_GB2312"/>
                <w:sz w:val="24"/>
                <w:lang w:eastAsia="zh-CN"/>
              </w:rPr>
              <w:t>）</w:t>
            </w:r>
            <w:r>
              <w:rPr>
                <w:rFonts w:hint="eastAsia" w:ascii="宋体" w:hAnsi="宋体"/>
                <w:sz w:val="24"/>
              </w:rPr>
              <w:sym w:font="Wingdings 2" w:char="00A3"/>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良</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80</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90分</w:t>
            </w:r>
            <w:r>
              <w:rPr>
                <w:rFonts w:hint="eastAsia" w:ascii="仿宋_GB2312" w:hAnsi="仿宋_GB2312" w:eastAsia="仿宋_GB2312" w:cs="仿宋_GB2312"/>
                <w:sz w:val="24"/>
                <w:lang w:eastAsia="zh-CN"/>
              </w:rPr>
              <w:t>）</w:t>
            </w:r>
            <w:r>
              <w:rPr>
                <w:rFonts w:hint="eastAsia" w:ascii="宋体" w:hAnsi="宋体"/>
                <w:sz w:val="24"/>
              </w:rPr>
              <w:sym w:font="Wingdings 2" w:char="0052"/>
            </w:r>
          </w:p>
          <w:p>
            <w:pPr>
              <w:jc w:val="left"/>
              <w:rPr>
                <w:rFonts w:ascii="仿宋_GB2312" w:hAnsi="仿宋_GB2312" w:eastAsia="仿宋_GB2312" w:cs="仿宋_GB2312"/>
                <w:b/>
                <w:sz w:val="24"/>
              </w:rPr>
            </w:pPr>
            <w:r>
              <w:rPr>
                <w:rFonts w:hint="eastAsia" w:ascii="仿宋_GB2312" w:hAnsi="仿宋_GB2312" w:eastAsia="仿宋_GB2312" w:cs="仿宋_GB2312"/>
                <w:sz w:val="24"/>
              </w:rPr>
              <w:t xml:space="preserve">中（60-80分）□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7" w:hRule="atLeast"/>
        </w:trPr>
        <w:tc>
          <w:tcPr>
            <w:tcW w:w="9306" w:type="dxa"/>
            <w:gridSpan w:val="2"/>
            <w:noWrap w:val="0"/>
            <w:vAlign w:val="top"/>
          </w:tcPr>
          <w:p>
            <w:pPr>
              <w:widowControl/>
              <w:spacing w:line="360" w:lineRule="auto"/>
              <w:jc w:val="left"/>
              <w:rPr>
                <w:rFonts w:hint="eastAsia" w:ascii="宋体" w:hAnsi="宋体" w:eastAsia="宋体" w:cs="宋体"/>
                <w:sz w:val="21"/>
                <w:szCs w:val="21"/>
                <w:highlight w:val="yellow"/>
              </w:rPr>
            </w:pPr>
            <w:r>
              <w:rPr>
                <w:rFonts w:hint="eastAsia" w:ascii="仿宋_GB2312" w:hAnsi="宋体" w:eastAsia="仿宋_GB2312" w:cs="仿宋_GB2312"/>
                <w:b/>
                <w:sz w:val="28"/>
                <w:szCs w:val="28"/>
              </w:rPr>
              <w:t>问题：</w:t>
            </w:r>
          </w:p>
          <w:p>
            <w:pPr>
              <w:widowControl/>
              <w:spacing w:line="360" w:lineRule="auto"/>
              <w:ind w:firstLine="481" w:firstLineChars="200"/>
              <w:jc w:val="left"/>
              <w:rPr>
                <w:rFonts w:ascii="仿宋_GB2312" w:hAnsi="宋体" w:eastAsia="仿宋_GB2312"/>
                <w:b/>
                <w:color w:val="000000"/>
                <w:kern w:val="0"/>
                <w:sz w:val="24"/>
              </w:rPr>
            </w:pPr>
            <w:r>
              <w:rPr>
                <w:rFonts w:hint="eastAsia" w:ascii="仿宋_GB2312" w:hAnsi="宋体" w:eastAsia="仿宋_GB2312"/>
                <w:b/>
                <w:color w:val="000000"/>
                <w:kern w:val="0"/>
                <w:sz w:val="24"/>
              </w:rPr>
              <w:t>一、项目决策</w:t>
            </w:r>
          </w:p>
          <w:p>
            <w:pPr>
              <w:widowControl/>
              <w:spacing w:line="360" w:lineRule="auto"/>
              <w:ind w:firstLine="480" w:firstLineChars="200"/>
              <w:jc w:val="left"/>
              <w:rPr>
                <w:rFonts w:hint="eastAsia" w:ascii="仿宋_GB2312" w:hAnsi="宋体" w:eastAsia="仿宋_GB2312" w:cs="Times New Roman"/>
                <w:color w:val="000000"/>
                <w:kern w:val="0"/>
                <w:sz w:val="24"/>
                <w:highlight w:val="none"/>
              </w:rPr>
            </w:pPr>
            <w:r>
              <w:rPr>
                <w:rFonts w:hint="eastAsia" w:ascii="仿宋_GB2312" w:hAnsi="宋体" w:eastAsia="仿宋_GB2312" w:cs="Times New Roman"/>
                <w:color w:val="000000"/>
                <w:kern w:val="0"/>
                <w:sz w:val="24"/>
                <w:highlight w:val="none"/>
                <w:lang w:val="en-US" w:eastAsia="zh-CN"/>
              </w:rPr>
              <w:t>1、</w:t>
            </w:r>
            <w:r>
              <w:rPr>
                <w:rFonts w:hint="default" w:ascii="仿宋_GB2312" w:hAnsi="宋体" w:eastAsia="仿宋_GB2312" w:cs="Times New Roman"/>
                <w:color w:val="000000"/>
                <w:kern w:val="0"/>
                <w:sz w:val="24"/>
                <w:highlight w:val="none"/>
              </w:rPr>
              <w:t>重要决策缺少论证和审批资料：在项目决策阶段，所有重要的决策都应该经过充分的论证，并有明确的审批程序和责任人负责，确保决策的合理性和可靠性。同时，在决策时应考虑相关政策和规定，以避免因决策失误带来的不必要风险和损失。</w:t>
            </w:r>
          </w:p>
          <w:p>
            <w:pPr>
              <w:widowControl/>
              <w:spacing w:line="360" w:lineRule="auto"/>
              <w:ind w:firstLine="480" w:firstLineChars="200"/>
              <w:jc w:val="left"/>
              <w:rPr>
                <w:rFonts w:hint="default" w:ascii="仿宋_GB2312" w:hAnsi="宋体" w:eastAsia="仿宋_GB2312" w:cs="Times New Roman"/>
                <w:color w:val="000000"/>
                <w:kern w:val="0"/>
                <w:sz w:val="24"/>
                <w:highlight w:val="none"/>
              </w:rPr>
            </w:pPr>
            <w:r>
              <w:rPr>
                <w:rFonts w:hint="eastAsia" w:ascii="仿宋_GB2312" w:hAnsi="宋体" w:eastAsia="仿宋_GB2312" w:cs="Times New Roman"/>
                <w:color w:val="000000"/>
                <w:kern w:val="0"/>
                <w:sz w:val="24"/>
                <w:highlight w:val="none"/>
                <w:lang w:val="en-US" w:eastAsia="zh-CN"/>
              </w:rPr>
              <w:t>2、</w:t>
            </w:r>
            <w:r>
              <w:rPr>
                <w:rFonts w:hint="default" w:ascii="仿宋_GB2312" w:hAnsi="宋体" w:eastAsia="仿宋_GB2312" w:cs="Times New Roman"/>
                <w:color w:val="000000"/>
                <w:kern w:val="0"/>
                <w:sz w:val="24"/>
                <w:highlight w:val="none"/>
              </w:rPr>
              <w:t>服务对象满意度调查不全面：服务对象满意度调查是评价项目绩效的重要指标之一，要充分考虑服务对象的需求和意见，确保调查工作的全面性和可靠性，同时在调查结果的基础上，及时采取措施改进服务质量和满足服务对象的需求。</w:t>
            </w:r>
          </w:p>
          <w:p>
            <w:pPr>
              <w:widowControl/>
              <w:spacing w:line="360" w:lineRule="auto"/>
              <w:ind w:firstLine="480" w:firstLineChars="200"/>
              <w:jc w:val="left"/>
              <w:rPr>
                <w:rFonts w:hint="eastAsia" w:ascii="仿宋_GB2312" w:hAnsi="宋体" w:eastAsia="仿宋_GB2312"/>
                <w:color w:val="000000"/>
                <w:kern w:val="0"/>
                <w:sz w:val="24"/>
              </w:rPr>
            </w:pPr>
            <w:r>
              <w:rPr>
                <w:rFonts w:hint="eastAsia" w:ascii="仿宋_GB2312" w:hAnsi="宋体" w:eastAsia="仿宋_GB2312" w:cs="Times New Roman"/>
                <w:color w:val="000000"/>
                <w:kern w:val="0"/>
                <w:sz w:val="24"/>
                <w:highlight w:val="none"/>
                <w:lang w:val="en-US" w:eastAsia="zh-CN"/>
              </w:rPr>
              <w:t>3、</w:t>
            </w:r>
            <w:r>
              <w:rPr>
                <w:rFonts w:hint="default" w:ascii="仿宋_GB2312" w:hAnsi="宋体" w:eastAsia="仿宋_GB2312" w:cs="Times New Roman"/>
                <w:color w:val="000000"/>
                <w:kern w:val="0"/>
                <w:sz w:val="24"/>
                <w:highlight w:val="none"/>
              </w:rPr>
              <w:t>在采购前调整设备型号，未见调整的论证和审批资料：采购前的设备选择是项目实施的重要环节之一，应该充分考虑实际需求和预算情况，制定明确的采购方案，并对方案进行充分论证。同时，对采购前的设备型号调整也要进行完整的论证和审批，并留有相关资料备查，以避免后续的问题和纠纷。</w:t>
            </w:r>
          </w:p>
          <w:p>
            <w:pPr>
              <w:widowControl/>
              <w:spacing w:line="360" w:lineRule="auto"/>
              <w:ind w:firstLine="481" w:firstLineChars="200"/>
              <w:jc w:val="left"/>
              <w:rPr>
                <w:rFonts w:ascii="仿宋_GB2312" w:hAnsi="宋体" w:eastAsia="仿宋_GB2312"/>
                <w:b/>
                <w:color w:val="000000"/>
                <w:kern w:val="0"/>
                <w:sz w:val="24"/>
              </w:rPr>
            </w:pPr>
            <w:r>
              <w:rPr>
                <w:rFonts w:hint="eastAsia" w:ascii="仿宋_GB2312" w:hAnsi="宋体" w:eastAsia="仿宋_GB2312"/>
                <w:b/>
                <w:color w:val="000000"/>
                <w:kern w:val="0"/>
                <w:sz w:val="24"/>
              </w:rPr>
              <w:t>二、项目管理</w:t>
            </w:r>
          </w:p>
          <w:p>
            <w:pPr>
              <w:widowControl/>
              <w:spacing w:line="360" w:lineRule="auto"/>
              <w:ind w:firstLine="480" w:firstLineChars="200"/>
              <w:jc w:val="left"/>
              <w:rPr>
                <w:rFonts w:hint="default" w:ascii="仿宋_GB2312" w:hAnsi="宋体" w:eastAsia="仿宋_GB2312" w:cs="Times New Roman"/>
                <w:color w:val="000000"/>
                <w:kern w:val="0"/>
                <w:sz w:val="24"/>
                <w:highlight w:val="none"/>
              </w:rPr>
            </w:pPr>
            <w:r>
              <w:rPr>
                <w:rFonts w:hint="eastAsia" w:ascii="仿宋_GB2312" w:hAnsi="宋体" w:eastAsia="仿宋_GB2312" w:cs="Times New Roman"/>
                <w:color w:val="000000"/>
                <w:kern w:val="0"/>
                <w:sz w:val="24"/>
                <w:lang w:val="en-US" w:eastAsia="zh-CN"/>
              </w:rPr>
              <w:t>1</w:t>
            </w:r>
            <w:r>
              <w:rPr>
                <w:rFonts w:hint="eastAsia" w:ascii="仿宋_GB2312" w:hAnsi="宋体" w:eastAsia="仿宋_GB2312" w:cs="Times New Roman"/>
                <w:color w:val="000000"/>
                <w:kern w:val="0"/>
                <w:sz w:val="24"/>
                <w:highlight w:val="none"/>
                <w:lang w:val="en-US" w:eastAsia="zh-CN"/>
              </w:rPr>
              <w:t>、</w:t>
            </w:r>
            <w:r>
              <w:rPr>
                <w:rFonts w:hint="default" w:ascii="仿宋_GB2312" w:hAnsi="宋体" w:eastAsia="仿宋_GB2312" w:cs="Times New Roman"/>
                <w:color w:val="000000"/>
                <w:kern w:val="0"/>
                <w:sz w:val="24"/>
                <w:highlight w:val="none"/>
              </w:rPr>
              <w:t>实施方案</w:t>
            </w:r>
            <w:r>
              <w:rPr>
                <w:rFonts w:hint="eastAsia" w:ascii="仿宋_GB2312" w:hAnsi="宋体" w:eastAsia="仿宋_GB2312" w:cs="Times New Roman"/>
                <w:color w:val="000000"/>
                <w:kern w:val="0"/>
                <w:sz w:val="24"/>
                <w:highlight w:val="none"/>
                <w:lang w:val="en-US" w:eastAsia="zh-CN"/>
              </w:rPr>
              <w:t>有待优化，</w:t>
            </w:r>
            <w:r>
              <w:rPr>
                <w:rFonts w:hint="default" w:ascii="仿宋_GB2312" w:hAnsi="宋体" w:eastAsia="仿宋_GB2312" w:cs="Times New Roman"/>
                <w:color w:val="000000"/>
                <w:kern w:val="0"/>
                <w:sz w:val="24"/>
                <w:highlight w:val="none"/>
              </w:rPr>
              <w:t>实施方案是项目管理的重要组成部分，应该充分考虑项目实际情况和需求，制定科学合理、可行、可追溯的实施方案，并对实施过程进行全程监督，确保实施方案的有效执行。</w:t>
            </w:r>
          </w:p>
          <w:p>
            <w:pPr>
              <w:widowControl/>
              <w:spacing w:line="360" w:lineRule="auto"/>
              <w:ind w:firstLine="480" w:firstLineChars="200"/>
              <w:jc w:val="left"/>
              <w:rPr>
                <w:rFonts w:hint="default" w:ascii="仿宋_GB2312" w:hAnsi="宋体" w:eastAsia="仿宋_GB2312" w:cs="Times New Roman"/>
                <w:color w:val="000000"/>
                <w:kern w:val="0"/>
                <w:sz w:val="24"/>
                <w:highlight w:val="none"/>
                <w:lang w:val="en-US" w:eastAsia="zh-CN"/>
              </w:rPr>
            </w:pPr>
            <w:r>
              <w:rPr>
                <w:rFonts w:hint="eastAsia" w:ascii="仿宋_GB2312" w:hAnsi="宋体" w:eastAsia="仿宋_GB2312" w:cs="Times New Roman"/>
                <w:color w:val="000000"/>
                <w:kern w:val="0"/>
                <w:sz w:val="24"/>
                <w:highlight w:val="none"/>
                <w:lang w:val="en-US" w:eastAsia="zh-CN"/>
              </w:rPr>
              <w:t>2、项目资料档案收集整理尚需完善，项目过程管理、绩效产出、数据分析等资料统一梳理并整理，以便体现项目的绩效产出的完整性。</w:t>
            </w:r>
          </w:p>
          <w:p>
            <w:pPr>
              <w:widowControl/>
              <w:spacing w:line="360" w:lineRule="auto"/>
              <w:ind w:firstLine="481" w:firstLineChars="200"/>
              <w:jc w:val="left"/>
              <w:rPr>
                <w:rFonts w:ascii="仿宋_GB2312" w:hAnsi="宋体" w:eastAsia="仿宋_GB2312"/>
                <w:b/>
                <w:color w:val="000000"/>
                <w:kern w:val="0"/>
                <w:sz w:val="24"/>
              </w:rPr>
            </w:pPr>
            <w:r>
              <w:rPr>
                <w:rFonts w:hint="eastAsia" w:ascii="仿宋_GB2312" w:hAnsi="宋体" w:eastAsia="仿宋_GB2312"/>
                <w:b/>
                <w:color w:val="000000"/>
                <w:kern w:val="0"/>
                <w:sz w:val="24"/>
              </w:rPr>
              <w:t>三、项目绩效</w:t>
            </w:r>
          </w:p>
          <w:p>
            <w:pPr>
              <w:widowControl/>
              <w:spacing w:line="360" w:lineRule="auto"/>
              <w:ind w:firstLine="480" w:firstLineChars="200"/>
              <w:jc w:val="left"/>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1、</w:t>
            </w:r>
            <w:r>
              <w:rPr>
                <w:rFonts w:hint="default" w:ascii="仿宋_GB2312" w:hAnsi="宋体" w:eastAsia="仿宋_GB2312" w:cs="Times New Roman"/>
                <w:color w:val="000000"/>
                <w:kern w:val="0"/>
                <w:sz w:val="24"/>
              </w:rPr>
              <w:t>指标选择不合理、设定缺陷：绩效管理的核心是指标的选择和设定，应该充分考虑项目的实际情况和效益目标，选择可衡量、可追溯、可评价的指标，并制定科学合理的指标设定方案。</w:t>
            </w:r>
          </w:p>
          <w:p>
            <w:pPr>
              <w:widowControl/>
              <w:spacing w:line="360" w:lineRule="auto"/>
              <w:ind w:firstLine="480" w:firstLineChars="200"/>
              <w:jc w:val="left"/>
              <w:rPr>
                <w:rFonts w:hint="eastAsia" w:ascii="仿宋_GB2312" w:hAnsi="仿宋_GB2312" w:eastAsia="仿宋_GB2312" w:cs="仿宋_GB2312"/>
                <w:b/>
                <w:sz w:val="24"/>
                <w:lang w:val="en-US" w:eastAsia="zh-CN"/>
              </w:rPr>
            </w:pPr>
            <w:r>
              <w:rPr>
                <w:rFonts w:hint="eastAsia" w:ascii="仿宋_GB2312" w:hAnsi="宋体" w:eastAsia="仿宋_GB2312" w:cs="Times New Roman"/>
                <w:color w:val="000000"/>
                <w:kern w:val="0"/>
                <w:sz w:val="24"/>
                <w:lang w:val="en-US" w:eastAsia="zh-CN"/>
              </w:rPr>
              <w:t>2、</w:t>
            </w:r>
            <w:r>
              <w:rPr>
                <w:rFonts w:hint="default" w:ascii="仿宋_GB2312" w:hAnsi="宋体" w:eastAsia="仿宋_GB2312" w:cs="Times New Roman"/>
                <w:color w:val="000000"/>
                <w:kern w:val="0"/>
                <w:sz w:val="24"/>
              </w:rPr>
              <w:t>项目绩效支撑材料</w:t>
            </w:r>
            <w:r>
              <w:rPr>
                <w:rFonts w:hint="eastAsia" w:ascii="仿宋_GB2312" w:hAnsi="宋体" w:eastAsia="仿宋_GB2312" w:cs="Times New Roman"/>
                <w:color w:val="000000"/>
                <w:kern w:val="0"/>
                <w:sz w:val="24"/>
                <w:lang w:val="en-US" w:eastAsia="zh-CN"/>
              </w:rPr>
              <w:t>欠充分。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2" w:hRule="atLeast"/>
        </w:trPr>
        <w:tc>
          <w:tcPr>
            <w:tcW w:w="9306" w:type="dxa"/>
            <w:gridSpan w:val="2"/>
            <w:noWrap w:val="0"/>
            <w:vAlign w:val="top"/>
          </w:tcPr>
          <w:p>
            <w:pPr>
              <w:spacing w:line="500" w:lineRule="exact"/>
              <w:jc w:val="left"/>
              <w:rPr>
                <w:rFonts w:ascii="仿宋_GB2312" w:hAnsi="宋体" w:eastAsia="仿宋_GB2312" w:cs="仿宋_GB2312"/>
                <w:b/>
                <w:sz w:val="28"/>
                <w:szCs w:val="28"/>
              </w:rPr>
            </w:pPr>
            <w:r>
              <w:rPr>
                <w:rFonts w:hint="eastAsia" w:ascii="仿宋_GB2312" w:hAnsi="宋体" w:eastAsia="仿宋_GB2312" w:cs="仿宋_GB2312"/>
                <w:b/>
                <w:sz w:val="28"/>
                <w:szCs w:val="28"/>
              </w:rPr>
              <w:t>建议：</w:t>
            </w:r>
          </w:p>
          <w:p>
            <w:pPr>
              <w:spacing w:line="360" w:lineRule="auto"/>
              <w:ind w:firstLine="480" w:firstLineChars="200"/>
              <w:rPr>
                <w:rFonts w:hint="eastAsia" w:ascii="仿宋_GB2312" w:hAnsi="宋体" w:eastAsia="仿宋_GB2312" w:cs="Times New Roman"/>
                <w:color w:val="000000"/>
                <w:kern w:val="0"/>
                <w:sz w:val="24"/>
              </w:rPr>
            </w:pPr>
            <w:r>
              <w:rPr>
                <w:rFonts w:ascii="仿宋_GB2312" w:hAnsi="宋体" w:eastAsia="仿宋_GB2312"/>
                <w:color w:val="000000"/>
                <w:kern w:val="0"/>
                <w:sz w:val="24"/>
              </w:rPr>
              <w:t>1</w:t>
            </w:r>
            <w:r>
              <w:rPr>
                <w:rFonts w:hint="eastAsia" w:ascii="仿宋_GB2312" w:hAnsi="宋体" w:eastAsia="仿宋_GB2312" w:cs="Times New Roman"/>
                <w:color w:val="000000"/>
                <w:kern w:val="0"/>
                <w:sz w:val="24"/>
              </w:rPr>
              <w:t>、</w:t>
            </w:r>
            <w:r>
              <w:rPr>
                <w:rFonts w:hint="default" w:ascii="仿宋_GB2312" w:hAnsi="宋体" w:eastAsia="仿宋_GB2312" w:cs="Times New Roman"/>
                <w:color w:val="000000"/>
                <w:kern w:val="0"/>
                <w:sz w:val="24"/>
              </w:rPr>
              <w:t>建议在项目决策阶段，建立明确的决策程序和责任人，对每个重要决策都进行充分论证，并留有明确的审批记录和相关资料供查阅。</w:t>
            </w:r>
          </w:p>
          <w:p>
            <w:pPr>
              <w:spacing w:line="360" w:lineRule="auto"/>
              <w:ind w:firstLine="480" w:firstLineChars="200"/>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2、</w:t>
            </w:r>
            <w:r>
              <w:rPr>
                <w:rFonts w:hint="default" w:ascii="仿宋_GB2312" w:hAnsi="宋体" w:eastAsia="仿宋_GB2312" w:cs="Times New Roman"/>
                <w:color w:val="000000"/>
                <w:kern w:val="0"/>
                <w:sz w:val="24"/>
              </w:rPr>
              <w:t xml:space="preserve"> 建议应采用科学合理的调查方法和问卷设计，充分考虑服务对象的需求和意见，并在调查后适时采取措施改进服务质量。</w:t>
            </w:r>
          </w:p>
          <w:p>
            <w:pPr>
              <w:spacing w:line="360" w:lineRule="auto"/>
              <w:ind w:firstLine="480" w:firstLineChars="200"/>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3、</w:t>
            </w:r>
            <w:r>
              <w:rPr>
                <w:rFonts w:hint="default" w:ascii="仿宋_GB2312" w:hAnsi="宋体" w:eastAsia="仿宋_GB2312" w:cs="Times New Roman"/>
                <w:color w:val="000000"/>
                <w:kern w:val="0"/>
                <w:sz w:val="24"/>
              </w:rPr>
              <w:t>建议在确定采购方案时，应充分论证和评估，对采购前的设备型号调整也要进行完整的论证和审批，并留有相关资料备查，以避免后续的问题和纠纷。</w:t>
            </w:r>
          </w:p>
          <w:p>
            <w:pPr>
              <w:spacing w:line="360" w:lineRule="auto"/>
              <w:ind w:firstLine="480" w:firstLineChars="200"/>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4、</w:t>
            </w:r>
            <w:r>
              <w:rPr>
                <w:rFonts w:hint="default" w:ascii="仿宋_GB2312" w:hAnsi="宋体" w:eastAsia="仿宋_GB2312" w:cs="Times New Roman"/>
                <w:color w:val="000000"/>
                <w:kern w:val="0"/>
                <w:sz w:val="24"/>
              </w:rPr>
              <w:t>建议应建立明确的项目组织结构和责任分配方案，确保各个环节的顺利衔接和高效协同。</w:t>
            </w:r>
          </w:p>
          <w:p>
            <w:pPr>
              <w:spacing w:line="360" w:lineRule="auto"/>
              <w:ind w:firstLine="480" w:firstLineChars="200"/>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5、</w:t>
            </w:r>
            <w:r>
              <w:rPr>
                <w:rFonts w:hint="default" w:ascii="仿宋_GB2312" w:hAnsi="宋体" w:eastAsia="仿宋_GB2312" w:cs="Times New Roman"/>
                <w:color w:val="000000"/>
                <w:kern w:val="0"/>
                <w:sz w:val="24"/>
              </w:rPr>
              <w:t>建议应制定科学合理、可行可追溯的实施方案，并全程监督实施过程，及时掌握和解决实施过程中的问题和风险。</w:t>
            </w:r>
          </w:p>
          <w:p>
            <w:pPr>
              <w:spacing w:line="360" w:lineRule="auto"/>
              <w:ind w:firstLine="480" w:firstLineChars="200"/>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6、</w:t>
            </w:r>
            <w:r>
              <w:rPr>
                <w:rFonts w:hint="default" w:ascii="仿宋_GB2312" w:hAnsi="宋体" w:eastAsia="仿宋_GB2312" w:cs="Times New Roman"/>
                <w:color w:val="000000"/>
                <w:kern w:val="0"/>
                <w:sz w:val="24"/>
              </w:rPr>
              <w:t>建议应充分考虑项目的实际情况和效益目标，在选择指标时要注重可衡量性、可追溯性和可评价性，并制定科学合理的指标设定方案。</w:t>
            </w:r>
          </w:p>
          <w:p>
            <w:pPr>
              <w:spacing w:line="360" w:lineRule="auto"/>
              <w:ind w:firstLine="480" w:firstLineChars="200"/>
              <w:rPr>
                <w:rFonts w:hint="default" w:ascii="仿宋_GB2312" w:hAnsi="宋体" w:eastAsia="仿宋_GB2312" w:cs="Times New Roman"/>
                <w:color w:val="000000"/>
                <w:kern w:val="0"/>
                <w:sz w:val="24"/>
              </w:rPr>
            </w:pPr>
            <w:r>
              <w:rPr>
                <w:rFonts w:hint="eastAsia" w:ascii="仿宋_GB2312" w:hAnsi="宋体" w:eastAsia="仿宋_GB2312" w:cs="Times New Roman"/>
                <w:color w:val="000000"/>
                <w:kern w:val="0"/>
                <w:sz w:val="24"/>
                <w:lang w:val="en-US" w:eastAsia="zh-CN"/>
              </w:rPr>
              <w:t>7、建</w:t>
            </w:r>
            <w:r>
              <w:rPr>
                <w:rFonts w:hint="default" w:ascii="仿宋_GB2312" w:hAnsi="宋体" w:eastAsia="仿宋_GB2312" w:cs="Times New Roman"/>
                <w:color w:val="000000"/>
                <w:kern w:val="0"/>
                <w:sz w:val="24"/>
              </w:rPr>
              <w:t>议应针对所有的绩效指标收集充分的支撑材料，并建立完善的绩效评估程序和机制，及时对评估结果进行监督和控制。同时，还应开展定期评估和监督，逐步完善评估体系，提升项目绩效的可持续性和稳定性。</w:t>
            </w:r>
          </w:p>
          <w:p>
            <w:pPr>
              <w:spacing w:before="156" w:beforeLines="50"/>
              <w:ind w:right="2050" w:rightChars="976"/>
              <w:jc w:val="right"/>
              <w:rPr>
                <w:rFonts w:ascii="仿宋_GB2312" w:hAnsi="仿宋_GB2312" w:eastAsia="仿宋_GB2312" w:cs="仿宋_GB2312"/>
                <w:sz w:val="24"/>
              </w:rPr>
            </w:pPr>
          </w:p>
          <w:p>
            <w:pPr>
              <w:spacing w:before="156" w:beforeLines="50"/>
              <w:ind w:right="2050" w:rightChars="976"/>
              <w:jc w:val="right"/>
              <w:rPr>
                <w:rFonts w:ascii="仿宋_GB2312" w:hAnsi="仿宋_GB2312" w:eastAsia="仿宋_GB2312" w:cs="仿宋_GB2312"/>
                <w:sz w:val="24"/>
              </w:rPr>
            </w:pPr>
          </w:p>
          <w:p>
            <w:pPr>
              <w:spacing w:before="156" w:beforeLines="50"/>
              <w:ind w:right="2050" w:rightChars="976"/>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 xml:space="preserve">                             专家代表签字：</w:t>
            </w:r>
            <w:r>
              <w:rPr>
                <w:rFonts w:hint="eastAsia" w:ascii="仿宋_GB2312" w:hAnsi="仿宋_GB2312" w:eastAsia="仿宋_GB2312" w:cs="仿宋_GB2312"/>
                <w:sz w:val="24"/>
                <w:lang w:eastAsia="zh-CN"/>
              </w:rPr>
              <w:t>傅星</w:t>
            </w:r>
          </w:p>
          <w:p>
            <w:pPr>
              <w:spacing w:before="156" w:beforeLines="50"/>
              <w:ind w:right="2050" w:rightChars="976"/>
              <w:jc w:val="right"/>
              <w:rPr>
                <w:rFonts w:ascii="仿宋_GB2312" w:hAnsi="仿宋_GB2312" w:eastAsia="仿宋_GB2312" w:cs="仿宋_GB2312"/>
                <w:sz w:val="24"/>
              </w:rPr>
            </w:pPr>
          </w:p>
          <w:p>
            <w:pPr>
              <w:spacing w:before="156" w:beforeLines="50"/>
              <w:ind w:right="2050" w:rightChars="976" w:firstLine="240" w:firstLineChars="100"/>
              <w:jc w:val="right"/>
              <w:rPr>
                <w:rFonts w:ascii="仿宋_GB2312" w:hAnsi="仿宋_GB2312" w:eastAsia="仿宋_GB2312" w:cs="仿宋_GB2312"/>
                <w:sz w:val="24"/>
              </w:rPr>
            </w:pPr>
          </w:p>
          <w:p>
            <w:pPr>
              <w:jc w:val="center"/>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2023</w:t>
            </w:r>
            <w:r>
              <w:rPr>
                <w:rFonts w:hint="eastAsia" w:ascii="仿宋_GB2312" w:hAnsi="仿宋_GB2312" w:eastAsia="仿宋_GB2312" w:cs="仿宋_GB2312"/>
                <w:sz w:val="24"/>
              </w:rPr>
              <w:t xml:space="preserve">年 </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 xml:space="preserve">月 </w:t>
            </w:r>
            <w:r>
              <w:rPr>
                <w:rFonts w:hint="eastAsia" w:ascii="仿宋_GB2312" w:hAnsi="仿宋_GB2312" w:eastAsia="仿宋_GB2312" w:cs="仿宋_GB2312"/>
                <w:sz w:val="24"/>
                <w:lang w:val="en-US" w:eastAsia="zh-CN"/>
              </w:rPr>
              <w:t>18</w:t>
            </w:r>
            <w:r>
              <w:rPr>
                <w:rFonts w:hint="eastAsia" w:ascii="仿宋_GB2312" w:hAnsi="仿宋_GB2312" w:eastAsia="仿宋_GB2312" w:cs="仿宋_GB2312"/>
                <w:sz w:val="24"/>
              </w:rPr>
              <w:t>日</w:t>
            </w:r>
          </w:p>
          <w:p>
            <w:pPr>
              <w:jc w:val="right"/>
              <w:rPr>
                <w:rFonts w:ascii="仿宋_GB2312" w:hAnsi="仿宋_GB2312" w:eastAsia="仿宋_GB2312" w:cs="仿宋_GB2312"/>
                <w:sz w:val="24"/>
              </w:rPr>
            </w:pPr>
          </w:p>
          <w:p>
            <w:pPr>
              <w:jc w:val="right"/>
              <w:rPr>
                <w:rFonts w:ascii="宋体" w:hAnsi="宋体"/>
                <w:sz w:val="24"/>
              </w:rPr>
            </w:pPr>
          </w:p>
        </w:tc>
      </w:tr>
    </w:tbl>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hint="eastAsia" w:ascii="黑体" w:hAnsi="黑体" w:eastAsia="黑体" w:cs="宋体"/>
          <w:bCs/>
          <w:kern w:val="0"/>
          <w:sz w:val="32"/>
          <w:szCs w:val="32"/>
          <w:lang w:eastAsia="zh-CN"/>
        </w:rPr>
      </w:pPr>
      <w:r>
        <w:rPr>
          <w:rFonts w:hint="eastAsia" w:ascii="黑体" w:hAnsi="黑体" w:eastAsia="黑体" w:cs="宋体"/>
          <w:bCs/>
          <w:kern w:val="0"/>
          <w:sz w:val="32"/>
          <w:szCs w:val="32"/>
        </w:rPr>
        <w:t>附件</w:t>
      </w:r>
      <w:r>
        <w:rPr>
          <w:rFonts w:hint="eastAsia" w:ascii="黑体" w:hAnsi="黑体" w:eastAsia="黑体" w:cs="宋体"/>
          <w:bCs/>
          <w:kern w:val="0"/>
          <w:sz w:val="32"/>
          <w:szCs w:val="32"/>
          <w:lang w:val="en-US" w:eastAsia="zh-CN"/>
        </w:rPr>
        <w:t>2</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9"/>
        <w:gridCol w:w="1831"/>
        <w:gridCol w:w="1236"/>
        <w:gridCol w:w="1744"/>
        <w:gridCol w:w="1317"/>
        <w:gridCol w:w="14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6"/>
            <w:tcBorders>
              <w:top w:val="nil"/>
              <w:left w:val="nil"/>
              <w:bottom w:val="nil"/>
              <w:right w:val="nil"/>
            </w:tcBorders>
            <w:shd w:val="clear" w:color="auto" w:fill="auto"/>
            <w:vAlign w:val="center"/>
          </w:tcPr>
          <w:p>
            <w:pPr>
              <w:keepNext w:val="0"/>
              <w:keepLines w:val="0"/>
              <w:widowControl/>
              <w:suppressLineNumbers w:val="0"/>
              <w:ind w:firstLineChars="800"/>
              <w:jc w:val="left"/>
              <w:textAlignment w:val="center"/>
              <w:rPr>
                <w:rFonts w:ascii="Arial" w:hAnsi="Arial" w:cs="Arial"/>
                <w:i w:val="0"/>
                <w:iCs w:val="0"/>
                <w:color w:val="000000"/>
                <w:sz w:val="22"/>
                <w:szCs w:val="22"/>
                <w:u w:val="none"/>
              </w:rPr>
            </w:pPr>
            <w:r>
              <w:rPr>
                <w:rStyle w:val="14"/>
                <w:lang w:val="en-US" w:eastAsia="zh-CN" w:bidi="ar"/>
              </w:rPr>
              <w:t>专家组及工作组情况表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项目名称：丰台区人民法院诉调对接中心信息化建设项目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Arial" w:hAnsi="Arial" w:cs="Arial"/>
                <w:i w:val="0"/>
                <w:iCs w:val="0"/>
                <w:color w:val="000000"/>
                <w:sz w:val="22"/>
                <w:szCs w:val="22"/>
                <w:u w:val="none"/>
              </w:rPr>
            </w:pPr>
            <w:r>
              <w:rPr>
                <w:rStyle w:val="15"/>
                <w:lang w:val="en-US" w:eastAsia="zh-CN" w:bidi="ar"/>
              </w:rPr>
              <w:t>一、专家组情况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姓名</w:t>
            </w:r>
          </w:p>
        </w:tc>
        <w:tc>
          <w:tcPr>
            <w:tcW w:w="10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工作单位</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职称/职务</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专业</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联系方式</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傅星</w:t>
            </w:r>
          </w:p>
        </w:tc>
        <w:tc>
          <w:tcPr>
            <w:tcW w:w="10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首都经济贸易大学</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教授、高级工程师</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信息化</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13901368095</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龚汉明</w:t>
            </w:r>
          </w:p>
        </w:tc>
        <w:tc>
          <w:tcPr>
            <w:tcW w:w="10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北京电子科技大学</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教授、高级工程师</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信息化</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13522640221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王常青</w:t>
            </w:r>
          </w:p>
        </w:tc>
        <w:tc>
          <w:tcPr>
            <w:tcW w:w="10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中国互联网络信息中心</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高级工程师</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信息化</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18511622512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任勇毛</w:t>
            </w:r>
          </w:p>
        </w:tc>
        <w:tc>
          <w:tcPr>
            <w:tcW w:w="10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中国科学院计算技术研究所</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高级工程师</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信息化</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13671243461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唐亮</w:t>
            </w:r>
          </w:p>
        </w:tc>
        <w:tc>
          <w:tcPr>
            <w:tcW w:w="10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北京教育科学研究院</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教授、高级工程师</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管理类</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13621206152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Arial" w:hAnsi="Arial" w:cs="Arial"/>
                <w:i w:val="0"/>
                <w:iCs w:val="0"/>
                <w:color w:val="000000"/>
                <w:sz w:val="22"/>
                <w:szCs w:val="22"/>
                <w:u w:val="none"/>
              </w:rPr>
            </w:pPr>
            <w:r>
              <w:rPr>
                <w:rStyle w:val="15"/>
                <w:lang w:val="en-US" w:eastAsia="zh-CN" w:bidi="ar"/>
              </w:rPr>
              <w:t>二、评价工作组人员情况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姓名</w:t>
            </w:r>
          </w:p>
        </w:tc>
        <w:tc>
          <w:tcPr>
            <w:tcW w:w="18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工作单位</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职务</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专业</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5"/>
                <w:lang w:val="en-US" w:eastAsia="zh-CN" w:bidi="ar"/>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高继淑</w:t>
            </w:r>
          </w:p>
        </w:tc>
        <w:tc>
          <w:tcPr>
            <w:tcW w:w="18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北京中天恒会计师事务所</w:t>
            </w:r>
            <w:r>
              <w:rPr>
                <w:rStyle w:val="16"/>
                <w:rFonts w:hint="eastAsia"/>
                <w:lang w:val="en-US" w:eastAsia="zh-CN" w:bidi="ar"/>
              </w:rPr>
              <w:t>（</w:t>
            </w:r>
            <w:r>
              <w:rPr>
                <w:rStyle w:val="16"/>
                <w:lang w:val="en-US" w:eastAsia="zh-CN" w:bidi="ar"/>
              </w:rPr>
              <w:t>特殊</w:t>
            </w:r>
            <w:r>
              <w:rPr>
                <w:rStyle w:val="16"/>
                <w:lang w:val="en-US" w:eastAsia="zh-CN" w:bidi="ar"/>
              </w:rPr>
              <w:br w:type="textWrapping"/>
            </w:r>
            <w:r>
              <w:rPr>
                <w:rStyle w:val="16"/>
                <w:lang w:val="en-US" w:eastAsia="zh-CN" w:bidi="ar"/>
              </w:rPr>
              <w:t>普通合伙</w:t>
            </w:r>
            <w:r>
              <w:rPr>
                <w:rStyle w:val="16"/>
                <w:rFonts w:hint="eastAsia"/>
                <w:lang w:val="en-US" w:eastAsia="zh-CN" w:bidi="ar"/>
              </w:rPr>
              <w:t>）</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高级项目经理</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审计</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雷雯</w:t>
            </w:r>
          </w:p>
        </w:tc>
        <w:tc>
          <w:tcPr>
            <w:tcW w:w="18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北京中天恒会计师事务所</w:t>
            </w:r>
            <w:r>
              <w:rPr>
                <w:rStyle w:val="16"/>
                <w:rFonts w:hint="eastAsia"/>
                <w:lang w:val="en-US" w:eastAsia="zh-CN" w:bidi="ar"/>
              </w:rPr>
              <w:t>（</w:t>
            </w:r>
            <w:r>
              <w:rPr>
                <w:rStyle w:val="16"/>
                <w:lang w:val="en-US" w:eastAsia="zh-CN" w:bidi="ar"/>
              </w:rPr>
              <w:t>特殊</w:t>
            </w:r>
            <w:r>
              <w:rPr>
                <w:rStyle w:val="16"/>
                <w:lang w:val="en-US" w:eastAsia="zh-CN" w:bidi="ar"/>
              </w:rPr>
              <w:br w:type="textWrapping"/>
            </w:r>
            <w:r>
              <w:rPr>
                <w:rStyle w:val="16"/>
                <w:lang w:val="en-US" w:eastAsia="zh-CN" w:bidi="ar"/>
              </w:rPr>
              <w:t>普通合伙</w:t>
            </w:r>
            <w:r>
              <w:rPr>
                <w:rStyle w:val="16"/>
                <w:rFonts w:hint="eastAsia"/>
                <w:lang w:val="en-US" w:eastAsia="zh-CN" w:bidi="ar"/>
              </w:rPr>
              <w:t>）</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项目经理</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lang w:val="en-US" w:eastAsia="zh-CN" w:bidi="ar"/>
              </w:rPr>
              <w:t>审计</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5"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default" w:ascii="Arial" w:hAnsi="Arial" w:cs="Arial"/>
                <w:i w:val="0"/>
                <w:iCs w:val="0"/>
                <w:color w:val="000000"/>
                <w:sz w:val="22"/>
                <w:szCs w:val="22"/>
                <w:u w:val="none"/>
              </w:rPr>
            </w:pPr>
            <w:r>
              <w:rPr>
                <w:rStyle w:val="17"/>
                <w:rFonts w:eastAsia="宋体"/>
                <w:lang w:val="en-US" w:eastAsia="zh-CN" w:bidi="ar"/>
              </w:rPr>
              <w:br w:type="textWrapping"/>
            </w:r>
            <w:r>
              <w:rPr>
                <w:rStyle w:val="15"/>
                <w:lang w:val="en-US" w:eastAsia="zh-CN" w:bidi="ar"/>
              </w:rPr>
              <w:t>评价机构负责人</w:t>
            </w:r>
            <w:r>
              <w:rPr>
                <w:rStyle w:val="15"/>
                <w:rFonts w:hint="eastAsia"/>
                <w:lang w:val="en-US" w:eastAsia="zh-CN" w:bidi="ar"/>
              </w:rPr>
              <w:t>（</w:t>
            </w:r>
            <w:r>
              <w:rPr>
                <w:rStyle w:val="15"/>
                <w:lang w:val="en-US" w:eastAsia="zh-CN" w:bidi="ar"/>
              </w:rPr>
              <w:t>签字</w:t>
            </w:r>
            <w:r>
              <w:rPr>
                <w:rStyle w:val="15"/>
                <w:rFonts w:hint="eastAsia"/>
                <w:lang w:val="en-US" w:eastAsia="zh-CN" w:bidi="ar"/>
              </w:rPr>
              <w:t>）</w:t>
            </w:r>
            <w:r>
              <w:rPr>
                <w:rStyle w:val="15"/>
                <w:lang w:val="en-US" w:eastAsia="zh-CN" w:bidi="ar"/>
              </w:rPr>
              <w:t>:</w:t>
            </w:r>
            <w:r>
              <w:rPr>
                <w:rStyle w:val="15"/>
                <w:rFonts w:hint="eastAsia"/>
                <w:lang w:val="en-US" w:eastAsia="zh-CN" w:bidi="ar"/>
              </w:rPr>
              <w:t>高继淑</w:t>
            </w:r>
          </w:p>
        </w:tc>
      </w:tr>
    </w:tbl>
    <w:p>
      <w:pPr>
        <w:widowControl/>
        <w:textAlignment w:val="center"/>
        <w:rPr>
          <w:rFonts w:ascii="宋体" w:hAnsi="宋体" w:cs="宋体"/>
          <w:color w:val="000000"/>
          <w:kern w:val="0"/>
          <w:sz w:val="22"/>
          <w:szCs w:val="22"/>
          <w:lang w:bidi="ar"/>
        </w:rPr>
      </w:pPr>
    </w:p>
    <w:p>
      <w:pPr>
        <w:spacing w:line="560" w:lineRule="exact"/>
        <w:ind w:firstLine="640" w:firstLineChars="200"/>
        <w:rPr>
          <w:rFonts w:hint="default" w:ascii="仿宋_GB2312" w:hAnsi="楷体" w:eastAsia="仿宋_GB2312"/>
          <w:bCs/>
          <w:kern w:val="0"/>
          <w:sz w:val="32"/>
          <w:szCs w:val="28"/>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Leelawadee UI">
    <w:altName w:val="Noto Music"/>
    <w:panose1 w:val="020B0502040204020203"/>
    <w:charset w:val="00"/>
    <w:family w:val="swiss"/>
    <w:pitch w:val="default"/>
    <w:sig w:usb0="00000000" w:usb1="00000000" w:usb2="00010000" w:usb3="00000001" w:csb0="00010101"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0B120"/>
    <w:multiLevelType w:val="singleLevel"/>
    <w:tmpl w:val="ECA0B12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MmQxZWJiMDgzMGZiOTFiMTUxYjUxZmU0MGQ5ZjMifQ=="/>
  </w:docVars>
  <w:rsids>
    <w:rsidRoot w:val="00000000"/>
    <w:rsid w:val="009F5E80"/>
    <w:rsid w:val="01B11FA8"/>
    <w:rsid w:val="051F0A20"/>
    <w:rsid w:val="05AD54E9"/>
    <w:rsid w:val="076E6516"/>
    <w:rsid w:val="0D0C2D57"/>
    <w:rsid w:val="0D411534"/>
    <w:rsid w:val="14547182"/>
    <w:rsid w:val="18683E09"/>
    <w:rsid w:val="1AA35E55"/>
    <w:rsid w:val="1E0C16EA"/>
    <w:rsid w:val="209150AE"/>
    <w:rsid w:val="21626D25"/>
    <w:rsid w:val="26901AB8"/>
    <w:rsid w:val="27C65126"/>
    <w:rsid w:val="29501D28"/>
    <w:rsid w:val="2B5D7B7F"/>
    <w:rsid w:val="31AA1F6B"/>
    <w:rsid w:val="32EF1CFA"/>
    <w:rsid w:val="34968209"/>
    <w:rsid w:val="34F37414"/>
    <w:rsid w:val="35FD8BAE"/>
    <w:rsid w:val="3BCC0BCF"/>
    <w:rsid w:val="3D8FC2A0"/>
    <w:rsid w:val="3DA9FCBE"/>
    <w:rsid w:val="3E3D319F"/>
    <w:rsid w:val="3E7CB02F"/>
    <w:rsid w:val="3EF749FC"/>
    <w:rsid w:val="3FFF4C75"/>
    <w:rsid w:val="416A7341"/>
    <w:rsid w:val="46A92943"/>
    <w:rsid w:val="49137521"/>
    <w:rsid w:val="4F5A65D8"/>
    <w:rsid w:val="4FFB1974"/>
    <w:rsid w:val="533F40A3"/>
    <w:rsid w:val="54C8557E"/>
    <w:rsid w:val="56370735"/>
    <w:rsid w:val="58565030"/>
    <w:rsid w:val="5D0B114C"/>
    <w:rsid w:val="5D13452A"/>
    <w:rsid w:val="5DCF483C"/>
    <w:rsid w:val="5E542DE5"/>
    <w:rsid w:val="5F5B7C4D"/>
    <w:rsid w:val="62092E18"/>
    <w:rsid w:val="668D3A43"/>
    <w:rsid w:val="670F5D19"/>
    <w:rsid w:val="678F0F90"/>
    <w:rsid w:val="69AA3132"/>
    <w:rsid w:val="6BA73DCD"/>
    <w:rsid w:val="6BBF623E"/>
    <w:rsid w:val="6E427DDD"/>
    <w:rsid w:val="6E92E8E2"/>
    <w:rsid w:val="7455726A"/>
    <w:rsid w:val="75FA8C3D"/>
    <w:rsid w:val="76390186"/>
    <w:rsid w:val="77FF8FD7"/>
    <w:rsid w:val="79201FB3"/>
    <w:rsid w:val="7A746D8B"/>
    <w:rsid w:val="7B51C34E"/>
    <w:rsid w:val="7C1F5C38"/>
    <w:rsid w:val="7D7DED74"/>
    <w:rsid w:val="7DE51C25"/>
    <w:rsid w:val="7F5F39E8"/>
    <w:rsid w:val="7F79DBA2"/>
    <w:rsid w:val="7FEA07CB"/>
    <w:rsid w:val="9FDEAC7C"/>
    <w:rsid w:val="ABFF6FF1"/>
    <w:rsid w:val="B5BF3FB4"/>
    <w:rsid w:val="B6FCCF24"/>
    <w:rsid w:val="B7FD7F15"/>
    <w:rsid w:val="BBB60407"/>
    <w:rsid w:val="BDF0C426"/>
    <w:rsid w:val="C7F7CAFB"/>
    <w:rsid w:val="CBF01439"/>
    <w:rsid w:val="D6F5F8A3"/>
    <w:rsid w:val="D76297B1"/>
    <w:rsid w:val="DFABADE4"/>
    <w:rsid w:val="DFFD6E9C"/>
    <w:rsid w:val="E669D6DE"/>
    <w:rsid w:val="EFFF5E88"/>
    <w:rsid w:val="F1FF2A03"/>
    <w:rsid w:val="F4E55610"/>
    <w:rsid w:val="F5FD37D9"/>
    <w:rsid w:val="F9BB18F5"/>
    <w:rsid w:val="FA9FB765"/>
    <w:rsid w:val="FD1D98B5"/>
    <w:rsid w:val="FEF76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unhideWhenUsed/>
    <w:qFormat/>
    <w:uiPriority w:val="39"/>
    <w:pPr>
      <w:tabs>
        <w:tab w:val="right" w:leader="dot" w:pos="8296"/>
      </w:tabs>
      <w:spacing w:before="120" w:after="120"/>
      <w:jc w:val="center"/>
    </w:pPr>
    <w:rPr>
      <w:rFonts w:ascii="仿宋_GB2312" w:hAnsi="黑体" w:eastAsia="仿宋_GB2312" w:cs="Calibri"/>
      <w:b/>
      <w:bCs/>
      <w:caps/>
      <w:kern w:val="0"/>
      <w:sz w:val="44"/>
      <w:szCs w:val="44"/>
    </w:rPr>
  </w:style>
  <w:style w:type="paragraph" w:styleId="6">
    <w:name w:val="toc 2"/>
    <w:basedOn w:val="1"/>
    <w:next w:val="1"/>
    <w:unhideWhenUsed/>
    <w:qFormat/>
    <w:uiPriority w:val="39"/>
    <w:pPr>
      <w:ind w:left="210"/>
      <w:jc w:val="left"/>
    </w:pPr>
    <w:rPr>
      <w:rFonts w:ascii="Calibri" w:hAnsi="Calibri" w:cs="Calibri"/>
      <w:smallCaps/>
      <w:sz w:val="20"/>
      <w:szCs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qFormat/>
    <w:uiPriority w:val="22"/>
    <w:rPr>
      <w:b/>
      <w:bCs/>
    </w:rPr>
  </w:style>
  <w:style w:type="character" w:styleId="11">
    <w:name w:val="Hyperlink"/>
    <w:unhideWhenUsed/>
    <w:qFormat/>
    <w:uiPriority w:val="99"/>
    <w:rPr>
      <w:color w:val="0000FF"/>
      <w:u w:val="single"/>
    </w:rPr>
  </w:style>
  <w:style w:type="character" w:customStyle="1" w:styleId="12">
    <w:name w:val="font11"/>
    <w:basedOn w:val="9"/>
    <w:qFormat/>
    <w:uiPriority w:val="0"/>
    <w:rPr>
      <w:rFonts w:hint="eastAsia" w:ascii="宋体" w:hAnsi="宋体" w:eastAsia="宋体" w:cs="宋体"/>
      <w:color w:val="000000"/>
      <w:sz w:val="24"/>
      <w:szCs w:val="24"/>
      <w:u w:val="none"/>
    </w:rPr>
  </w:style>
  <w:style w:type="character" w:customStyle="1" w:styleId="13">
    <w:name w:val="font21"/>
    <w:basedOn w:val="9"/>
    <w:qFormat/>
    <w:uiPriority w:val="0"/>
    <w:rPr>
      <w:rFonts w:hint="eastAsia" w:ascii="宋体" w:hAnsi="宋体" w:eastAsia="宋体" w:cs="宋体"/>
      <w:b/>
      <w:bCs/>
      <w:color w:val="000000"/>
      <w:sz w:val="24"/>
      <w:szCs w:val="24"/>
      <w:u w:val="none"/>
    </w:rPr>
  </w:style>
  <w:style w:type="character" w:customStyle="1" w:styleId="14">
    <w:name w:val="font41"/>
    <w:basedOn w:val="9"/>
    <w:qFormat/>
    <w:uiPriority w:val="0"/>
    <w:rPr>
      <w:rFonts w:ascii="宋体" w:hAnsi="宋体" w:eastAsia="宋体" w:cs="宋体"/>
      <w:b/>
      <w:bCs/>
      <w:color w:val="000000"/>
      <w:sz w:val="34"/>
      <w:szCs w:val="34"/>
      <w:u w:val="none"/>
    </w:rPr>
  </w:style>
  <w:style w:type="character" w:customStyle="1" w:styleId="15">
    <w:name w:val="font61"/>
    <w:basedOn w:val="9"/>
    <w:qFormat/>
    <w:uiPriority w:val="0"/>
    <w:rPr>
      <w:rFonts w:ascii="宋体" w:hAnsi="宋体" w:eastAsia="宋体" w:cs="宋体"/>
      <w:b/>
      <w:bCs/>
      <w:color w:val="000000"/>
      <w:sz w:val="20"/>
      <w:szCs w:val="20"/>
      <w:u w:val="none"/>
    </w:rPr>
  </w:style>
  <w:style w:type="character" w:customStyle="1" w:styleId="16">
    <w:name w:val="font81"/>
    <w:basedOn w:val="9"/>
    <w:qFormat/>
    <w:uiPriority w:val="0"/>
    <w:rPr>
      <w:rFonts w:ascii="宋体" w:hAnsi="宋体" w:eastAsia="宋体" w:cs="宋体"/>
      <w:color w:val="000000"/>
      <w:sz w:val="20"/>
      <w:szCs w:val="20"/>
      <w:u w:val="none"/>
    </w:rPr>
  </w:style>
  <w:style w:type="character" w:customStyle="1" w:styleId="17">
    <w:name w:val="font01"/>
    <w:basedOn w:val="9"/>
    <w:qFormat/>
    <w:uiPriority w:val="0"/>
    <w:rPr>
      <w:rFonts w:hint="default" w:ascii="Arial" w:hAnsi="Arial" w:cs="Arial"/>
      <w:color w:val="000000"/>
      <w:sz w:val="22"/>
      <w:szCs w:val="22"/>
      <w:u w:val="none"/>
    </w:rPr>
  </w:style>
  <w:style w:type="character" w:customStyle="1" w:styleId="18">
    <w:name w:val="font31"/>
    <w:basedOn w:val="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7207</Words>
  <Characters>7795</Characters>
  <Lines>0</Lines>
  <Paragraphs>0</Paragraphs>
  <TotalTime>14</TotalTime>
  <ScaleCrop>false</ScaleCrop>
  <LinksUpToDate>false</LinksUpToDate>
  <CharactersWithSpaces>9504</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2023-05-23T10:12:00Z</dcterms:created>
  <dc:creator>86185</dc:creator>
  <cp:lastModifiedBy>user</cp:lastModifiedBy>
  <cp:lastPrinted>2023-06-01T06:47:00Z</cp:lastPrinted>
  <dcterms:modified xsi:type="dcterms:W3CDTF">2023-05-31T14:48:47Z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9DD47B6909D149F796EFE5F6AD1086CF_13</vt:lpwstr>
  </property>
</Properties>
</file>