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52"/>
          <w:szCs w:val="52"/>
        </w:rPr>
      </w:pPr>
    </w:p>
    <w:p>
      <w:pPr>
        <w:jc w:val="center"/>
        <w:rPr>
          <w:rFonts w:hint="eastAsia"/>
          <w:b/>
          <w:bCs/>
          <w:sz w:val="52"/>
          <w:szCs w:val="52"/>
        </w:rPr>
      </w:pPr>
    </w:p>
    <w:p>
      <w:pPr>
        <w:jc w:val="center"/>
        <w:rPr>
          <w:rFonts w:hint="eastAsia"/>
          <w:b/>
          <w:bCs/>
          <w:sz w:val="52"/>
          <w:szCs w:val="52"/>
        </w:rPr>
      </w:pPr>
    </w:p>
    <w:p>
      <w:pPr>
        <w:jc w:val="center"/>
        <w:rPr>
          <w:rFonts w:hint="eastAsia"/>
          <w:b/>
          <w:bCs/>
          <w:sz w:val="52"/>
          <w:szCs w:val="52"/>
        </w:rPr>
      </w:pPr>
    </w:p>
    <w:p>
      <w:pPr>
        <w:jc w:val="center"/>
        <w:rPr>
          <w:rFonts w:hint="eastAsia"/>
          <w:b/>
          <w:bCs/>
          <w:sz w:val="52"/>
          <w:szCs w:val="52"/>
        </w:rPr>
      </w:pPr>
    </w:p>
    <w:p>
      <w:pPr>
        <w:jc w:val="center"/>
        <w:rPr>
          <w:rFonts w:hint="eastAsia"/>
          <w:b/>
          <w:bCs/>
          <w:sz w:val="52"/>
          <w:szCs w:val="52"/>
        </w:rPr>
      </w:pPr>
    </w:p>
    <w:p>
      <w:pPr>
        <w:jc w:val="center"/>
        <w:rPr>
          <w:b/>
          <w:bCs/>
          <w:sz w:val="52"/>
          <w:szCs w:val="52"/>
        </w:rPr>
      </w:pPr>
      <w:r>
        <w:rPr>
          <w:rFonts w:hint="eastAsia"/>
          <w:b/>
          <w:bCs/>
          <w:sz w:val="52"/>
          <w:szCs w:val="52"/>
        </w:rPr>
        <w:t>北京市丰台区人民法院</w:t>
      </w:r>
    </w:p>
    <w:p>
      <w:pPr>
        <w:jc w:val="center"/>
        <w:rPr>
          <w:b/>
          <w:bCs/>
          <w:sz w:val="52"/>
          <w:szCs w:val="52"/>
        </w:rPr>
      </w:pPr>
    </w:p>
    <w:p>
      <w:pPr>
        <w:jc w:val="center"/>
        <w:rPr>
          <w:rFonts w:hint="eastAsia"/>
          <w:b/>
          <w:bCs/>
          <w:sz w:val="52"/>
          <w:szCs w:val="52"/>
        </w:rPr>
      </w:pPr>
      <w:r>
        <w:rPr>
          <w:rFonts w:hint="eastAsia"/>
          <w:b/>
          <w:bCs/>
          <w:sz w:val="52"/>
          <w:szCs w:val="52"/>
          <w:lang w:val="en-US" w:eastAsia="zh-CN"/>
        </w:rPr>
        <w:t>2022年度</w:t>
      </w:r>
      <w:r>
        <w:rPr>
          <w:rFonts w:hint="eastAsia"/>
          <w:b/>
          <w:bCs/>
          <w:sz w:val="52"/>
          <w:szCs w:val="52"/>
        </w:rPr>
        <w:t>部门</w:t>
      </w:r>
      <w:r>
        <w:rPr>
          <w:rFonts w:hint="eastAsia"/>
          <w:b/>
          <w:bCs/>
          <w:sz w:val="52"/>
          <w:szCs w:val="52"/>
          <w:lang w:val="en-US" w:eastAsia="zh-CN"/>
        </w:rPr>
        <w:t>支出</w:t>
      </w:r>
      <w:r>
        <w:rPr>
          <w:rFonts w:hint="eastAsia"/>
          <w:b/>
          <w:bCs/>
          <w:sz w:val="52"/>
          <w:szCs w:val="52"/>
        </w:rPr>
        <w:t>绩效评价报告</w:t>
      </w:r>
    </w:p>
    <w:p>
      <w:pPr>
        <w:pStyle w:val="2"/>
        <w:rPr>
          <w:rFonts w:hint="eastAsia"/>
          <w:b/>
          <w:bCs/>
          <w:sz w:val="52"/>
          <w:szCs w:val="52"/>
        </w:rPr>
      </w:pPr>
    </w:p>
    <w:p>
      <w:pPr>
        <w:rPr>
          <w:rFonts w:hint="eastAsia"/>
          <w:b/>
          <w:bCs/>
          <w:sz w:val="52"/>
          <w:szCs w:val="52"/>
        </w:rPr>
      </w:pPr>
    </w:p>
    <w:p>
      <w:pPr>
        <w:pStyle w:val="2"/>
        <w:rPr>
          <w:rFonts w:hint="eastAsia"/>
          <w:b/>
          <w:bCs/>
          <w:sz w:val="52"/>
          <w:szCs w:val="52"/>
        </w:rPr>
      </w:pPr>
    </w:p>
    <w:p>
      <w:pPr>
        <w:rPr>
          <w:rFonts w:hint="eastAsia"/>
          <w:b/>
          <w:bCs/>
          <w:sz w:val="52"/>
          <w:szCs w:val="52"/>
        </w:rPr>
      </w:pPr>
    </w:p>
    <w:p>
      <w:pPr>
        <w:pStyle w:val="2"/>
        <w:rPr>
          <w:rFonts w:hint="eastAsia"/>
          <w:b/>
          <w:bCs/>
          <w:sz w:val="52"/>
          <w:szCs w:val="52"/>
        </w:rPr>
      </w:pPr>
    </w:p>
    <w:p>
      <w:pPr>
        <w:jc w:val="center"/>
        <w:rPr>
          <w:rFonts w:hint="eastAsia" w:ascii="宋体" w:hAnsi="宋体" w:cs="宋体"/>
          <w:bCs/>
          <w:sz w:val="36"/>
          <w:szCs w:val="36"/>
        </w:rPr>
      </w:pPr>
    </w:p>
    <w:p>
      <w:pPr>
        <w:ind w:firstLine="2520" w:firstLineChars="700"/>
        <w:jc w:val="both"/>
        <w:rPr>
          <w:rFonts w:hint="eastAsia"/>
        </w:rPr>
      </w:pPr>
      <w:r>
        <w:rPr>
          <w:rFonts w:hint="eastAsia" w:ascii="宋体" w:hAnsi="宋体" w:cs="宋体"/>
          <w:bCs/>
          <w:sz w:val="36"/>
          <w:szCs w:val="36"/>
        </w:rPr>
        <w:t>二</w:t>
      </w:r>
      <w:r>
        <w:rPr>
          <w:rFonts w:hint="eastAsia" w:ascii="宋体" w:cs="宋体"/>
          <w:bCs/>
          <w:sz w:val="36"/>
          <w:szCs w:val="36"/>
        </w:rPr>
        <w:t>〇</w:t>
      </w:r>
      <w:r>
        <w:rPr>
          <w:rFonts w:hint="eastAsia" w:ascii="宋体" w:hAnsi="宋体" w:cs="宋体"/>
          <w:bCs/>
          <w:sz w:val="36"/>
          <w:szCs w:val="36"/>
        </w:rPr>
        <w:t>二</w:t>
      </w:r>
      <w:r>
        <w:rPr>
          <w:rFonts w:hint="eastAsia" w:ascii="宋体" w:hAnsi="宋体" w:cs="宋体"/>
          <w:bCs/>
          <w:sz w:val="36"/>
          <w:szCs w:val="36"/>
          <w:lang w:val="en-US" w:eastAsia="zh-CN"/>
        </w:rPr>
        <w:t>三</w:t>
      </w:r>
      <w:r>
        <w:rPr>
          <w:rFonts w:hint="eastAsia" w:ascii="宋体" w:hAnsi="宋体" w:cs="宋体"/>
          <w:bCs/>
          <w:sz w:val="36"/>
          <w:szCs w:val="36"/>
        </w:rPr>
        <w:t>年五月</w:t>
      </w:r>
    </w:p>
    <w:p>
      <w:pPr>
        <w:spacing w:line="560" w:lineRule="exact"/>
        <w:jc w:val="center"/>
        <w:outlineLvl w:val="0"/>
        <w:rPr>
          <w:rFonts w:hint="eastAsia" w:ascii="方正小标宋简体" w:eastAsia="方正小标宋简体"/>
          <w:sz w:val="36"/>
          <w:szCs w:val="36"/>
        </w:rPr>
      </w:pPr>
    </w:p>
    <w:p>
      <w:pPr>
        <w:spacing w:line="560" w:lineRule="exact"/>
        <w:jc w:val="center"/>
        <w:outlineLvl w:val="0"/>
        <w:rPr>
          <w:rFonts w:hint="eastAsia" w:ascii="方正小标宋简体" w:eastAsia="方正小标宋简体"/>
          <w:sz w:val="36"/>
          <w:szCs w:val="36"/>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560" w:lineRule="exact"/>
        <w:jc w:val="center"/>
        <w:outlineLvl w:val="0"/>
        <w:rPr>
          <w:rFonts w:ascii="方正小标宋简体" w:eastAsia="方正小标宋简体"/>
          <w:sz w:val="36"/>
          <w:szCs w:val="36"/>
        </w:rPr>
      </w:pPr>
      <w:r>
        <w:rPr>
          <w:rFonts w:hint="eastAsia" w:ascii="方正小标宋简体" w:eastAsia="方正小标宋简体"/>
          <w:sz w:val="36"/>
          <w:szCs w:val="36"/>
        </w:rPr>
        <w:t>北京市丰台区人民法院</w:t>
      </w:r>
    </w:p>
    <w:p>
      <w:pPr>
        <w:spacing w:line="560" w:lineRule="exact"/>
        <w:jc w:val="center"/>
        <w:outlineLvl w:val="0"/>
        <w:rPr>
          <w:rFonts w:hint="eastAsia" w:ascii="方正小标宋简体" w:eastAsia="方正小标宋简体"/>
          <w:sz w:val="36"/>
          <w:szCs w:val="36"/>
        </w:rPr>
      </w:pPr>
      <w:r>
        <w:rPr>
          <w:rFonts w:hint="eastAsia" w:ascii="方正小标宋简体" w:eastAsia="方正小标宋简体"/>
          <w:sz w:val="36"/>
          <w:szCs w:val="36"/>
          <w:lang w:val="en-US" w:eastAsia="zh-CN"/>
        </w:rPr>
        <w:t>2022年度</w:t>
      </w:r>
      <w:r>
        <w:rPr>
          <w:rFonts w:hint="eastAsia" w:ascii="方正小标宋简体" w:eastAsia="方正小标宋简体"/>
          <w:sz w:val="36"/>
          <w:szCs w:val="36"/>
        </w:rPr>
        <w:t>部门</w:t>
      </w:r>
      <w:r>
        <w:rPr>
          <w:rFonts w:hint="eastAsia" w:ascii="方正小标宋简体" w:eastAsia="方正小标宋简体"/>
          <w:sz w:val="36"/>
          <w:szCs w:val="36"/>
          <w:lang w:val="en-US" w:eastAsia="zh-CN"/>
        </w:rPr>
        <w:t>支出</w:t>
      </w:r>
      <w:r>
        <w:rPr>
          <w:rFonts w:hint="eastAsia" w:ascii="方正小标宋简体" w:eastAsia="方正小标宋简体"/>
          <w:sz w:val="36"/>
          <w:szCs w:val="36"/>
        </w:rPr>
        <w:t>绩效评价报告</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为进一步加强全面预算绩效管理，强化部门支出责任，提高财政资金使用效益，考核财政支出效率和综合效果，根据</w:t>
      </w:r>
      <w:r>
        <w:rPr>
          <w:rFonts w:hint="eastAsia" w:ascii="仿宋_GB2312" w:hAnsi="仿宋_GB2312" w:eastAsia="仿宋_GB2312" w:cs="仿宋_GB2312"/>
          <w:sz w:val="32"/>
        </w:rPr>
        <w:t>《中共北京市委 北京市人民政府关于全面实施预算绩效管理的实施意见》（京发〔2019〕12号）</w:t>
      </w:r>
      <w:r>
        <w:rPr>
          <w:rFonts w:hint="eastAsia" w:ascii="仿宋_GB2312" w:hAnsi="楷体" w:eastAsia="仿宋_GB2312"/>
          <w:bCs/>
          <w:kern w:val="0"/>
          <w:sz w:val="32"/>
          <w:szCs w:val="28"/>
        </w:rPr>
        <w:t>《北京市项目支出绩效评价管理办法》（京财绩效〔2020〕2146号）</w:t>
      </w:r>
      <w:r>
        <w:rPr>
          <w:rFonts w:hint="eastAsia" w:ascii="仿宋_GB2312" w:hAnsi="楷体" w:eastAsia="仿宋_GB2312"/>
          <w:bCs/>
          <w:kern w:val="0"/>
          <w:sz w:val="32"/>
          <w:szCs w:val="28"/>
          <w:lang w:eastAsia="zh-CN"/>
        </w:rPr>
        <w:t>的工作要求和</w:t>
      </w:r>
      <w:r>
        <w:rPr>
          <w:rFonts w:hint="eastAsia" w:ascii="仿宋_GB2312" w:hAnsi="楷体" w:eastAsia="仿宋_GB2312"/>
          <w:bCs/>
          <w:kern w:val="0"/>
          <w:sz w:val="32"/>
          <w:szCs w:val="28"/>
          <w:highlight w:val="none"/>
        </w:rPr>
        <w:t>《北京市财政局关于</w:t>
      </w:r>
      <w:r>
        <w:rPr>
          <w:rFonts w:hint="eastAsia" w:ascii="仿宋_GB2312" w:hAnsi="楷体" w:eastAsia="仿宋_GB2312"/>
          <w:bCs/>
          <w:kern w:val="0"/>
          <w:sz w:val="32"/>
          <w:szCs w:val="28"/>
          <w:highlight w:val="none"/>
          <w:lang w:val="en-US" w:eastAsia="zh-CN"/>
        </w:rPr>
        <w:t>2023年推进全面实施预算绩效管理工作的通知</w:t>
      </w:r>
      <w:r>
        <w:rPr>
          <w:rFonts w:hint="eastAsia" w:ascii="仿宋_GB2312" w:hAnsi="楷体" w:eastAsia="仿宋_GB2312"/>
          <w:bCs/>
          <w:kern w:val="0"/>
          <w:sz w:val="32"/>
          <w:szCs w:val="28"/>
          <w:highlight w:val="none"/>
        </w:rPr>
        <w:t>》的工作安排，北京市丰台区人民法院（以下简称“丰</w:t>
      </w:r>
      <w:r>
        <w:rPr>
          <w:rFonts w:hint="eastAsia" w:ascii="仿宋_GB2312" w:hAnsi="楷体" w:eastAsia="仿宋_GB2312"/>
          <w:bCs/>
          <w:kern w:val="0"/>
          <w:sz w:val="32"/>
          <w:szCs w:val="28"/>
        </w:rPr>
        <w:t>台法院”）</w:t>
      </w:r>
      <w:r>
        <w:rPr>
          <w:rFonts w:hint="eastAsia" w:ascii="仿宋_GB2312" w:hAnsi="楷体" w:eastAsia="仿宋_GB2312"/>
          <w:bCs/>
          <w:kern w:val="0"/>
          <w:sz w:val="32"/>
          <w:szCs w:val="28"/>
          <w:lang w:eastAsia="zh-CN"/>
        </w:rPr>
        <w:t>结合</w:t>
      </w:r>
      <w:r>
        <w:rPr>
          <w:rFonts w:hint="eastAsia" w:ascii="仿宋_GB2312" w:hAnsi="楷体" w:eastAsia="仿宋_GB2312"/>
          <w:bCs/>
          <w:kern w:val="0"/>
          <w:sz w:val="32"/>
          <w:szCs w:val="28"/>
          <w:lang w:val="en-US" w:eastAsia="zh-CN"/>
        </w:rPr>
        <w:t>2022年全年工作完成情况</w:t>
      </w:r>
      <w:r>
        <w:rPr>
          <w:rFonts w:hint="eastAsia" w:ascii="仿宋_GB2312" w:hAnsi="楷体" w:eastAsia="仿宋_GB2312"/>
          <w:bCs/>
          <w:kern w:val="0"/>
          <w:sz w:val="32"/>
          <w:szCs w:val="28"/>
        </w:rPr>
        <w:t>，</w:t>
      </w:r>
      <w:r>
        <w:rPr>
          <w:rFonts w:ascii="仿宋_GB2312" w:hAnsi="楷体" w:eastAsia="仿宋_GB2312"/>
          <w:bCs/>
          <w:kern w:val="0"/>
          <w:sz w:val="32"/>
          <w:szCs w:val="28"/>
        </w:rPr>
        <w:t>对202</w:t>
      </w:r>
      <w:r>
        <w:rPr>
          <w:rFonts w:hint="eastAsia" w:ascii="仿宋_GB2312" w:hAnsi="楷体" w:eastAsia="仿宋_GB2312"/>
          <w:bCs/>
          <w:kern w:val="0"/>
          <w:sz w:val="32"/>
          <w:szCs w:val="28"/>
          <w:lang w:val="en-US" w:eastAsia="zh-CN"/>
        </w:rPr>
        <w:t>2</w:t>
      </w:r>
      <w:r>
        <w:rPr>
          <w:rFonts w:ascii="仿宋_GB2312" w:hAnsi="楷体" w:eastAsia="仿宋_GB2312"/>
          <w:bCs/>
          <w:kern w:val="0"/>
          <w:sz w:val="32"/>
          <w:szCs w:val="28"/>
        </w:rPr>
        <w:t>年度部门整体</w:t>
      </w:r>
      <w:r>
        <w:rPr>
          <w:rFonts w:hint="eastAsia" w:ascii="仿宋_GB2312" w:hAnsi="楷体" w:eastAsia="仿宋_GB2312"/>
          <w:bCs/>
          <w:kern w:val="0"/>
          <w:sz w:val="32"/>
          <w:szCs w:val="28"/>
        </w:rPr>
        <w:t>实施</w:t>
      </w:r>
      <w:r>
        <w:rPr>
          <w:rFonts w:ascii="仿宋_GB2312" w:hAnsi="楷体" w:eastAsia="仿宋_GB2312"/>
          <w:bCs/>
          <w:kern w:val="0"/>
          <w:sz w:val="32"/>
          <w:szCs w:val="28"/>
        </w:rPr>
        <w:t>绩效评价，</w:t>
      </w:r>
      <w:r>
        <w:rPr>
          <w:rFonts w:hint="eastAsia" w:ascii="仿宋_GB2312" w:hAnsi="楷体" w:eastAsia="仿宋_GB2312"/>
          <w:bCs/>
          <w:kern w:val="0"/>
          <w:sz w:val="32"/>
          <w:szCs w:val="28"/>
        </w:rPr>
        <w:t>形成本绩效评价报告。</w:t>
      </w:r>
    </w:p>
    <w:p>
      <w:pPr>
        <w:ind w:firstLine="640" w:firstLineChars="20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ind w:firstLine="640" w:firstLineChars="200"/>
        <w:outlineLvl w:val="1"/>
        <w:rPr>
          <w:rFonts w:ascii="楷体_GB2312" w:eastAsia="楷体_GB2312"/>
          <w:sz w:val="32"/>
          <w:szCs w:val="32"/>
        </w:rPr>
      </w:pPr>
      <w:r>
        <w:rPr>
          <w:rFonts w:hint="eastAsia" w:ascii="楷体_GB2312" w:eastAsia="楷体_GB2312"/>
          <w:sz w:val="32"/>
          <w:szCs w:val="32"/>
        </w:rPr>
        <w:t>（一）机构设置及职责工作任务情况</w:t>
      </w:r>
    </w:p>
    <w:p>
      <w:pPr>
        <w:ind w:left="105" w:leftChars="50" w:firstLine="640" w:firstLineChars="200"/>
        <w:outlineLvl w:val="2"/>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1.部门机构设置</w:t>
      </w:r>
    </w:p>
    <w:p>
      <w:pPr>
        <w:ind w:firstLine="640" w:firstLineChars="200"/>
        <w:rPr>
          <w:rFonts w:hint="eastAsia" w:ascii="仿宋_GB2312" w:hAnsi="仿宋_GB2312" w:eastAsia="仿宋_GB2312" w:cs="仿宋_GB2312"/>
          <w:sz w:val="32"/>
          <w:lang w:eastAsia="zh-CN"/>
        </w:rPr>
      </w:pPr>
      <w:r>
        <w:rPr>
          <w:rFonts w:hint="eastAsia" w:ascii="仿宋_GB2312" w:hAnsi="仿宋_GB2312" w:eastAsia="仿宋_GB2312" w:cs="仿宋_GB2312"/>
          <w:sz w:val="32"/>
        </w:rPr>
        <w:t>北京市丰台区人民法院为行政单位</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是国家的审判机关。根据《北京市基层人民法院内设机构改革方案》，丰台法院设立内设机构</w:t>
      </w:r>
      <w:r>
        <w:rPr>
          <w:rFonts w:hint="eastAsia" w:ascii="仿宋_GB2312" w:hAnsi="仿宋_GB2312" w:eastAsia="仿宋_GB2312" w:cs="仿宋_GB2312"/>
          <w:sz w:val="32"/>
          <w:lang w:val="en-US" w:eastAsia="zh-CN"/>
        </w:rPr>
        <w:t>20</w:t>
      </w:r>
      <w:r>
        <w:rPr>
          <w:rFonts w:hint="eastAsia" w:ascii="仿宋_GB2312" w:hAnsi="仿宋_GB2312" w:eastAsia="仿宋_GB2312" w:cs="仿宋_GB2312"/>
          <w:sz w:val="32"/>
        </w:rPr>
        <w:t>个，其中审判业务机构</w:t>
      </w:r>
      <w:r>
        <w:rPr>
          <w:rFonts w:hint="eastAsia" w:ascii="仿宋_GB2312" w:hAnsi="仿宋_GB2312" w:eastAsia="仿宋_GB2312" w:cs="仿宋_GB2312"/>
          <w:sz w:val="32"/>
          <w:lang w:val="en-US" w:eastAsia="zh-CN"/>
        </w:rPr>
        <w:t>17</w:t>
      </w:r>
      <w:r>
        <w:rPr>
          <w:rFonts w:hint="eastAsia" w:ascii="仿宋_GB2312" w:hAnsi="仿宋_GB2312" w:eastAsia="仿宋_GB2312" w:cs="仿宋_GB2312"/>
          <w:sz w:val="32"/>
        </w:rPr>
        <w:t>个，分别为立案庭（诉讼服务中心）、刑事审判庭、民事审判一庭、民事审判二庭、民事审判三庭、民事审判四庭（知识产权审判庭）、行政审判庭、综合审判庭、执行局、审判管理办公室（研究室）</w:t>
      </w:r>
      <w:r>
        <w:rPr>
          <w:rFonts w:hint="eastAsia" w:ascii="仿宋_GB2312" w:hAnsi="仿宋_GB2312" w:eastAsia="仿宋_GB2312" w:cs="仿宋_GB2312"/>
          <w:sz w:val="32"/>
          <w:lang w:eastAsia="zh-CN"/>
        </w:rPr>
        <w:t>、卢沟桥人民法庭、右安门人民法庭、花乡人民法庭、王佐人民法庭、方庄人民法庭、长辛店人民法庭和南苑人民法庭</w:t>
      </w:r>
      <w:r>
        <w:rPr>
          <w:rFonts w:hint="eastAsia" w:ascii="仿宋_GB2312" w:hAnsi="仿宋_GB2312" w:eastAsia="仿宋_GB2312" w:cs="仿宋_GB2312"/>
          <w:sz w:val="32"/>
        </w:rPr>
        <w:t>；非审判业务机构3个，分别是政治部（机关党委、机关纪委）、综合办公室、司法警察大队。</w:t>
      </w:r>
      <w:r>
        <w:rPr>
          <w:rFonts w:hint="eastAsia" w:ascii="仿宋_GB2312" w:hAnsi="仿宋_GB2312" w:eastAsia="仿宋_GB2312" w:cs="仿宋_GB2312"/>
          <w:sz w:val="32"/>
          <w:lang w:eastAsia="zh-CN"/>
        </w:rPr>
        <w:t>综合事务中心为我院下属非独立核算的事业单位。</w:t>
      </w:r>
    </w:p>
    <w:p>
      <w:pPr>
        <w:ind w:left="105" w:leftChars="50" w:firstLine="640" w:firstLineChars="200"/>
        <w:outlineLvl w:val="2"/>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2.人员配置及人员构成情况</w:t>
      </w:r>
    </w:p>
    <w:p>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602"/>
        <w:textAlignment w:val="auto"/>
        <w:rPr>
          <w:rFonts w:hint="eastAsia" w:ascii="仿宋_GB2312" w:hAnsi="仿宋" w:eastAsia="仿宋_GB2312"/>
          <w:sz w:val="32"/>
          <w:szCs w:val="32"/>
        </w:rPr>
      </w:pPr>
      <w:r>
        <w:rPr>
          <w:rFonts w:hint="eastAsia" w:ascii="仿宋_GB2312" w:hAnsi="仿宋" w:eastAsia="仿宋_GB2312"/>
          <w:sz w:val="32"/>
          <w:szCs w:val="32"/>
        </w:rPr>
        <w:t>北京市丰台区人民法院编制人数</w:t>
      </w:r>
      <w:r>
        <w:rPr>
          <w:rFonts w:hint="eastAsia" w:ascii="仿宋_GB2312" w:hAnsi="仿宋" w:eastAsia="仿宋_GB2312"/>
          <w:sz w:val="32"/>
          <w:szCs w:val="32"/>
          <w:lang w:val="en-US" w:eastAsia="zh-CN"/>
        </w:rPr>
        <w:t>695</w:t>
      </w:r>
      <w:r>
        <w:rPr>
          <w:rFonts w:hint="eastAsia" w:ascii="仿宋_GB2312" w:hAnsi="仿宋" w:eastAsia="仿宋_GB2312"/>
          <w:sz w:val="32"/>
          <w:szCs w:val="32"/>
        </w:rPr>
        <w:t>人，其中：行政编454人，事业编23人</w:t>
      </w:r>
      <w:r>
        <w:rPr>
          <w:rFonts w:hint="eastAsia" w:ascii="仿宋_GB2312" w:hAnsi="仿宋" w:eastAsia="仿宋_GB2312"/>
          <w:sz w:val="32"/>
          <w:szCs w:val="32"/>
          <w:lang w:eastAsia="zh-CN"/>
        </w:rPr>
        <w:t>，聘任制</w:t>
      </w:r>
      <w:r>
        <w:rPr>
          <w:rFonts w:hint="eastAsia" w:ascii="仿宋_GB2312" w:hAnsi="仿宋" w:eastAsia="仿宋_GB2312"/>
          <w:sz w:val="32"/>
          <w:szCs w:val="32"/>
          <w:lang w:val="en-US" w:eastAsia="zh-CN"/>
        </w:rPr>
        <w:t>218人。</w:t>
      </w:r>
      <w:r>
        <w:rPr>
          <w:rFonts w:hint="eastAsia" w:ascii="仿宋_GB2312" w:hAnsi="仿宋" w:eastAsia="仿宋_GB2312"/>
          <w:sz w:val="32"/>
          <w:szCs w:val="32"/>
        </w:rPr>
        <w:t>截至2022年底，</w:t>
      </w:r>
      <w:r>
        <w:rPr>
          <w:rFonts w:hint="eastAsia" w:ascii="仿宋_GB2312" w:hAnsi="仿宋" w:eastAsia="仿宋_GB2312"/>
          <w:sz w:val="32"/>
          <w:szCs w:val="32"/>
          <w:lang w:eastAsia="zh-CN"/>
        </w:rPr>
        <w:t>实有人数共</w:t>
      </w:r>
      <w:r>
        <w:rPr>
          <w:rFonts w:hint="eastAsia" w:ascii="仿宋_GB2312" w:hAnsi="仿宋" w:eastAsia="仿宋_GB2312"/>
          <w:sz w:val="32"/>
          <w:szCs w:val="32"/>
          <w:lang w:val="en-US" w:eastAsia="zh-CN"/>
        </w:rPr>
        <w:t>616人，其中：</w:t>
      </w:r>
      <w:r>
        <w:rPr>
          <w:rFonts w:hint="eastAsia" w:ascii="仿宋_GB2312" w:hAnsi="仿宋" w:eastAsia="仿宋_GB2312"/>
          <w:sz w:val="32"/>
          <w:szCs w:val="32"/>
        </w:rPr>
        <w:t>行政编人数412人；事业编人数23人；聘任制书记员77人，聘任制司法警察58人，聘用制审判辅助人员46人。</w:t>
      </w:r>
    </w:p>
    <w:p>
      <w:pPr>
        <w:ind w:left="105" w:leftChars="50" w:firstLine="640" w:firstLineChars="200"/>
        <w:outlineLvl w:val="2"/>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3.部门职能</w:t>
      </w:r>
    </w:p>
    <w:p>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北京市丰台区人民法院的主要职责是：</w:t>
      </w:r>
    </w:p>
    <w:p>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（1）依照法律规定，审判执行辖区内一审民商事、刑事、行政、执行案件及房山区一审知产案件。</w:t>
      </w:r>
    </w:p>
    <w:p>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（2）受理和审理各类申诉案件，处理来信来访；对其中确有错误的已经发生法律效力的判决、裁定，根据审判监督程序进行再审。</w:t>
      </w:r>
    </w:p>
    <w:p>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（3）依法行使司法执行权和司法决定权。</w:t>
      </w:r>
    </w:p>
    <w:p>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（4）针对案件审理中发现的问题提出司法建议。</w:t>
      </w:r>
    </w:p>
    <w:p>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（5）按照干部管理权限管理本院的法官、法官助理、书记员、司法警察和司法行政人员。</w:t>
      </w:r>
    </w:p>
    <w:p>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（6）负责本院党组织的思想、组织、作风建设，领导区法院工、青、妇等群众组织工作。</w:t>
      </w:r>
    </w:p>
    <w:p>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（7）负责本院的监察工作，按照管理权限监督、检查区法院工作人员执行国家法律、法规、政策及行政纪律情况。</w:t>
      </w:r>
    </w:p>
    <w:p>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（8）承办其他应由区法院负责的工作。</w:t>
      </w:r>
    </w:p>
    <w:p>
      <w:pPr>
        <w:ind w:firstLine="640" w:firstLineChars="200"/>
        <w:outlineLvl w:val="1"/>
        <w:rPr>
          <w:rFonts w:ascii="楷体_GB2312" w:eastAsia="楷体_GB2312"/>
          <w:sz w:val="32"/>
          <w:szCs w:val="32"/>
        </w:rPr>
      </w:pPr>
      <w:r>
        <w:rPr>
          <w:rFonts w:hint="eastAsia" w:ascii="楷体_GB2312" w:eastAsia="楷体_GB2312"/>
          <w:sz w:val="32"/>
          <w:szCs w:val="32"/>
        </w:rPr>
        <w:t>（二）部门整体绩效目标设立情况</w:t>
      </w:r>
    </w:p>
    <w:p>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年，丰台法院坚持以习近平新时代中国特色社会主义思想为指导，紧扣“公正司法、司法为民”工作主线，着力打造“党建精深、业务精湛、服务精准、改革精细、队伍精尖”的全国一流法院，全面提升审判质效，不断满足人民群众对公平正义的新期待，为丰台区经济社会发展提供坚强的司法保障。</w:t>
      </w:r>
    </w:p>
    <w:p>
      <w:pPr>
        <w:ind w:firstLine="640" w:firstLineChars="20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年全年预算3</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w:t>
      </w:r>
      <w:r>
        <w:rPr>
          <w:rFonts w:hint="eastAsia" w:ascii="仿宋_GB2312" w:hAnsi="仿宋_GB2312" w:eastAsia="仿宋_GB2312" w:cs="仿宋_GB2312"/>
          <w:sz w:val="32"/>
          <w:lang w:val="en-US" w:eastAsia="zh-CN"/>
        </w:rPr>
        <w:t>052</w:t>
      </w:r>
      <w:r>
        <w:rPr>
          <w:rFonts w:hint="eastAsia" w:ascii="仿宋_GB2312" w:hAnsi="仿宋_GB2312" w:eastAsia="仿宋_GB2312" w:cs="仿宋_GB2312"/>
          <w:sz w:val="32"/>
        </w:rPr>
        <w:t>.0</w:t>
      </w:r>
      <w:r>
        <w:rPr>
          <w:rFonts w:hint="eastAsia" w:ascii="仿宋_GB2312" w:hAnsi="仿宋_GB2312" w:eastAsia="仿宋_GB2312" w:cs="仿宋_GB2312"/>
          <w:sz w:val="32"/>
          <w:lang w:val="en-US" w:eastAsia="zh-CN"/>
        </w:rPr>
        <w:t>8</w:t>
      </w:r>
      <w:r>
        <w:rPr>
          <w:rFonts w:hint="eastAsia" w:ascii="仿宋_GB2312" w:hAnsi="仿宋_GB2312" w:eastAsia="仿宋_GB2312" w:cs="仿宋_GB2312"/>
          <w:sz w:val="32"/>
        </w:rPr>
        <w:t>万元，其中，基本支出预算2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,0</w:t>
      </w:r>
      <w:r>
        <w:rPr>
          <w:rFonts w:hint="eastAsia" w:ascii="仿宋_GB2312" w:hAnsi="仿宋_GB2312" w:eastAsia="仿宋_GB2312" w:cs="仿宋_GB2312"/>
          <w:sz w:val="32"/>
          <w:lang w:val="en-US" w:eastAsia="zh-CN"/>
        </w:rPr>
        <w:t>91</w:t>
      </w:r>
      <w:r>
        <w:rPr>
          <w:rFonts w:hint="eastAsia" w:ascii="仿宋_GB2312" w:hAnsi="仿宋_GB2312" w:eastAsia="仿宋_GB2312" w:cs="仿宋_GB2312"/>
          <w:sz w:val="32"/>
        </w:rPr>
        <w:t>.</w:t>
      </w:r>
      <w:r>
        <w:rPr>
          <w:rFonts w:hint="eastAsia" w:ascii="仿宋_GB2312" w:hAnsi="仿宋_GB2312" w:eastAsia="仿宋_GB2312" w:cs="仿宋_GB2312"/>
          <w:sz w:val="32"/>
          <w:lang w:val="en-US" w:eastAsia="zh-CN"/>
        </w:rPr>
        <w:t>25</w:t>
      </w:r>
      <w:r>
        <w:rPr>
          <w:rFonts w:hint="eastAsia" w:ascii="仿宋_GB2312" w:hAnsi="仿宋_GB2312" w:eastAsia="仿宋_GB2312" w:cs="仿宋_GB2312"/>
          <w:sz w:val="32"/>
        </w:rPr>
        <w:t>万元，项目支出预算8</w:t>
      </w:r>
      <w:r>
        <w:rPr>
          <w:rFonts w:hint="eastAsia" w:ascii="仿宋_GB2312" w:hAnsi="仿宋_GB2312" w:eastAsia="仿宋_GB2312" w:cs="仿宋_GB2312"/>
          <w:sz w:val="32"/>
          <w:lang w:val="en-US" w:eastAsia="zh-CN"/>
        </w:rPr>
        <w:t>,</w:t>
      </w:r>
      <w:r>
        <w:rPr>
          <w:rFonts w:hint="eastAsia" w:ascii="仿宋_GB2312" w:hAnsi="仿宋_GB2312" w:eastAsia="仿宋_GB2312" w:cs="仿宋_GB2312"/>
          <w:sz w:val="32"/>
        </w:rPr>
        <w:t>960</w:t>
      </w:r>
      <w:r>
        <w:rPr>
          <w:rFonts w:hint="eastAsia" w:ascii="仿宋_GB2312" w:hAnsi="仿宋_GB2312" w:eastAsia="仿宋_GB2312" w:cs="仿宋_GB2312"/>
          <w:sz w:val="32"/>
          <w:lang w:val="en-US" w:eastAsia="zh-CN"/>
        </w:rPr>
        <w:t>.</w:t>
      </w:r>
      <w:r>
        <w:rPr>
          <w:rFonts w:hint="eastAsia" w:ascii="仿宋_GB2312" w:hAnsi="仿宋_GB2312" w:eastAsia="仿宋_GB2312" w:cs="仿宋_GB2312"/>
          <w:sz w:val="32"/>
        </w:rPr>
        <w:t>83万元。资金总体支出</w:t>
      </w:r>
      <w:r>
        <w:rPr>
          <w:rFonts w:hint="eastAsia" w:ascii="仿宋_GB2312" w:hAnsi="仿宋_GB2312" w:eastAsia="仿宋_GB2312" w:cs="仿宋_GB2312"/>
          <w:sz w:val="32"/>
          <w:lang w:val="en-US" w:eastAsia="zh-CN"/>
        </w:rPr>
        <w:t>31,773，88</w:t>
      </w:r>
      <w:r>
        <w:rPr>
          <w:rFonts w:hint="eastAsia" w:ascii="仿宋_GB2312" w:hAnsi="仿宋_GB2312" w:eastAsia="仿宋_GB2312" w:cs="仿宋_GB2312"/>
          <w:sz w:val="32"/>
        </w:rPr>
        <w:t>万元，其中，基本支出</w:t>
      </w:r>
      <w:r>
        <w:rPr>
          <w:rFonts w:hint="eastAsia" w:ascii="仿宋_GB2312" w:hAnsi="仿宋_GB2312" w:eastAsia="仿宋_GB2312" w:cs="仿宋_GB2312"/>
          <w:sz w:val="32"/>
          <w:lang w:val="en-US" w:eastAsia="zh-CN"/>
        </w:rPr>
        <w:t>24,001.07</w:t>
      </w:r>
      <w:r>
        <w:rPr>
          <w:rFonts w:hint="eastAsia" w:ascii="仿宋_GB2312" w:hAnsi="仿宋_GB2312" w:eastAsia="仿宋_GB2312" w:cs="仿宋_GB2312"/>
          <w:sz w:val="32"/>
        </w:rPr>
        <w:t>万元，项目支出</w:t>
      </w:r>
      <w:r>
        <w:rPr>
          <w:rFonts w:hint="eastAsia" w:ascii="仿宋_GB2312" w:hAnsi="仿宋_GB2312" w:eastAsia="仿宋_GB2312" w:cs="仿宋_GB2312"/>
          <w:sz w:val="32"/>
          <w:lang w:val="en-US" w:eastAsia="zh-CN"/>
        </w:rPr>
        <w:t>7,772.81</w:t>
      </w:r>
      <w:r>
        <w:rPr>
          <w:rFonts w:hint="eastAsia" w:ascii="仿宋_GB2312" w:hAnsi="仿宋_GB2312" w:eastAsia="仿宋_GB2312" w:cs="仿宋_GB2312"/>
          <w:sz w:val="32"/>
        </w:rPr>
        <w:t>万元。预算执行率为</w:t>
      </w:r>
      <w:r>
        <w:rPr>
          <w:rFonts w:hint="eastAsia" w:ascii="仿宋_GB2312" w:hAnsi="仿宋_GB2312" w:eastAsia="仿宋_GB2312" w:cs="仿宋_GB2312"/>
          <w:sz w:val="32"/>
          <w:lang w:val="en-US" w:eastAsia="zh-CN"/>
        </w:rPr>
        <w:t>96.13</w:t>
      </w:r>
      <w:r>
        <w:rPr>
          <w:rFonts w:hint="eastAsia" w:ascii="仿宋_GB2312" w:hAnsi="仿宋_GB2312" w:eastAsia="仿宋_GB2312" w:cs="仿宋_GB2312"/>
          <w:sz w:val="32"/>
        </w:rPr>
        <w:t>%。</w:t>
      </w:r>
    </w:p>
    <w:p>
      <w:pPr>
        <w:ind w:left="105" w:leftChars="50" w:firstLine="480" w:firstLineChars="15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ind w:left="105" w:leftChars="50" w:firstLine="640" w:firstLineChars="200"/>
        <w:outlineLvl w:val="1"/>
        <w:rPr>
          <w:rFonts w:ascii="楷体_GB2312" w:eastAsia="楷体_GB2312"/>
          <w:sz w:val="32"/>
          <w:szCs w:val="32"/>
        </w:rPr>
      </w:pPr>
      <w:r>
        <w:rPr>
          <w:rFonts w:hint="eastAsia" w:ascii="楷体_GB2312" w:eastAsia="楷体_GB2312"/>
          <w:sz w:val="32"/>
          <w:szCs w:val="32"/>
        </w:rPr>
        <w:t>（一）产出完成情况分析</w:t>
      </w:r>
    </w:p>
    <w:p>
      <w:pPr>
        <w:ind w:left="105" w:leftChars="50" w:firstLine="640" w:firstLineChars="20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1.产出数量</w:t>
      </w:r>
    </w:p>
    <w:p>
      <w:pPr>
        <w:ind w:firstLine="640" w:firstLineChars="200"/>
        <w:rPr>
          <w:rFonts w:hint="eastAsia"/>
        </w:rPr>
      </w:pP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年共计完成1</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个项目，主要为</w:t>
      </w:r>
      <w:r>
        <w:rPr>
          <w:rFonts w:hint="eastAsia" w:ascii="仿宋_GB2312" w:hAnsi="仿宋_GB2312" w:eastAsia="仿宋_GB2312" w:cs="仿宋_GB2312"/>
          <w:sz w:val="32"/>
          <w:lang w:val="en-US" w:eastAsia="zh-CN"/>
        </w:rPr>
        <w:t>部门</w:t>
      </w:r>
      <w:r>
        <w:rPr>
          <w:rFonts w:hint="eastAsia" w:ascii="仿宋_GB2312" w:hAnsi="仿宋_GB2312" w:eastAsia="仿宋_GB2312" w:cs="仿宋_GB2312"/>
          <w:sz w:val="32"/>
        </w:rPr>
        <w:t>项目。</w:t>
      </w:r>
    </w:p>
    <w:p>
      <w:pPr>
        <w:ind w:left="105" w:leftChars="50" w:firstLine="640" w:firstLineChars="200"/>
        <w:outlineLvl w:val="2"/>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1.产出数量</w:t>
      </w:r>
    </w:p>
    <w:p>
      <w:pPr>
        <w:ind w:left="105" w:leftChars="50" w:firstLine="640" w:firstLineChars="200"/>
        <w:rPr>
          <w:rFonts w:hint="eastAsia" w:ascii="仿宋_GB2312" w:hAnsi="仿宋_GB2312" w:eastAsia="仿宋_GB2312" w:cs="仿宋_GB2312"/>
          <w:sz w:val="32"/>
          <w:lang w:val="en-US" w:eastAsia="zh-CN"/>
        </w:rPr>
      </w:pP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年共计完成</w:t>
      </w:r>
      <w:r>
        <w:rPr>
          <w:rFonts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个项目，主要为公共安全项目。</w:t>
      </w:r>
    </w:p>
    <w:p>
      <w:pPr>
        <w:keepNext w:val="0"/>
        <w:keepLines w:val="0"/>
        <w:pageBreakBefore w:val="0"/>
        <w:kinsoku/>
        <w:wordWrap/>
        <w:overflowPunct/>
        <w:topLinePunct w:val="0"/>
        <w:autoSpaceDE/>
        <w:autoSpaceDN/>
        <w:bidi w:val="0"/>
        <w:adjustRightInd/>
        <w:snapToGrid/>
        <w:spacing w:line="560" w:lineRule="exact"/>
        <w:ind w:firstLine="696" w:firstLineChars="200"/>
        <w:jc w:val="both"/>
        <w:textAlignment w:val="auto"/>
        <w:rPr>
          <w:rFonts w:hint="eastAsia" w:ascii="仿宋_GB2312" w:hAnsi="仿宋_GB2312" w:eastAsia="仿宋_GB2312" w:cs="仿宋_GB2312"/>
          <w:bCs/>
          <w:color w:val="000000"/>
          <w:spacing w:val="14"/>
          <w:sz w:val="32"/>
          <w:szCs w:val="32"/>
        </w:rPr>
      </w:pPr>
      <w:r>
        <w:rPr>
          <w:rFonts w:hint="eastAsia" w:ascii="仿宋_GB2312" w:hAnsi="仿宋_GB2312" w:eastAsia="仿宋_GB2312" w:cs="仿宋_GB2312"/>
          <w:color w:val="000000"/>
          <w:spacing w:val="14"/>
          <w:kern w:val="0"/>
          <w:sz w:val="32"/>
          <w:szCs w:val="32"/>
          <w:highlight w:val="none"/>
          <w:lang w:val="en-US" w:eastAsia="zh-CN"/>
        </w:rPr>
        <w:t>截至12月31日，通过持续深化诉源治理，全院诉前化解各类矛盾纠纷5975件，同比增长15.8%；新收案件58987件，同比下降17.2%，结案60956件，同比下降0.54%，未结案13782件，同比下降10.45%；结收比102.73%，同比上升 17.21个百分点，法定审限内结案率99.81%，排名全市法院前列。</w:t>
      </w:r>
      <w:r>
        <w:rPr>
          <w:rFonts w:hint="eastAsia" w:ascii="仿宋_GB2312" w:hAnsi="仿宋_GB2312" w:eastAsia="仿宋_GB2312" w:cs="仿宋_GB2312"/>
          <w:b w:val="0"/>
          <w:bCs/>
          <w:color w:val="000000"/>
          <w:spacing w:val="14"/>
          <w:kern w:val="0"/>
          <w:sz w:val="32"/>
          <w:szCs w:val="32"/>
          <w:highlight w:val="none"/>
        </w:rPr>
        <w:t>依法严厉打击刑事犯罪。审结各类刑事案件</w:t>
      </w:r>
      <w:r>
        <w:rPr>
          <w:rFonts w:hint="eastAsia" w:ascii="仿宋_GB2312" w:hAnsi="仿宋_GB2312" w:eastAsia="仿宋_GB2312" w:cs="仿宋_GB2312"/>
          <w:color w:val="000000"/>
          <w:spacing w:val="14"/>
          <w:kern w:val="0"/>
          <w:sz w:val="32"/>
          <w:szCs w:val="32"/>
          <w:highlight w:val="none"/>
          <w:lang w:val="en-US" w:eastAsia="zh-CN"/>
        </w:rPr>
        <w:t>1203</w:t>
      </w:r>
      <w:r>
        <w:rPr>
          <w:rFonts w:hint="eastAsia" w:ascii="仿宋_GB2312" w:hAnsi="仿宋_GB2312" w:eastAsia="仿宋_GB2312" w:cs="仿宋_GB2312"/>
          <w:color w:val="000000"/>
          <w:spacing w:val="14"/>
          <w:kern w:val="0"/>
          <w:sz w:val="32"/>
          <w:szCs w:val="32"/>
          <w:highlight w:val="none"/>
        </w:rPr>
        <w:t>件，判处罪犯</w:t>
      </w:r>
      <w:r>
        <w:rPr>
          <w:rFonts w:hint="eastAsia" w:ascii="仿宋_GB2312" w:hAnsi="仿宋_GB2312" w:eastAsia="仿宋_GB2312" w:cs="仿宋_GB2312"/>
          <w:color w:val="000000"/>
          <w:spacing w:val="14"/>
          <w:kern w:val="0"/>
          <w:sz w:val="32"/>
          <w:szCs w:val="32"/>
          <w:highlight w:val="none"/>
          <w:lang w:val="en-US" w:eastAsia="zh-CN"/>
        </w:rPr>
        <w:t>1585</w:t>
      </w:r>
      <w:r>
        <w:rPr>
          <w:rFonts w:hint="eastAsia" w:ascii="仿宋_GB2312" w:hAnsi="仿宋_GB2312" w:eastAsia="仿宋_GB2312" w:cs="仿宋_GB2312"/>
          <w:color w:val="000000"/>
          <w:spacing w:val="14"/>
          <w:kern w:val="0"/>
          <w:sz w:val="32"/>
          <w:szCs w:val="32"/>
          <w:highlight w:val="none"/>
        </w:rPr>
        <w:t>人。依法严惩故意杀人、抢劫等严重暴力犯罪</w:t>
      </w:r>
      <w:r>
        <w:rPr>
          <w:rFonts w:hint="eastAsia" w:ascii="仿宋_GB2312" w:hAnsi="仿宋_GB2312" w:eastAsia="仿宋_GB2312" w:cs="仿宋_GB2312"/>
          <w:color w:val="000000"/>
          <w:spacing w:val="14"/>
          <w:kern w:val="0"/>
          <w:sz w:val="32"/>
          <w:szCs w:val="32"/>
          <w:highlight w:val="none"/>
          <w:lang w:val="en-US" w:eastAsia="zh-CN"/>
        </w:rPr>
        <w:t>177</w:t>
      </w:r>
      <w:r>
        <w:rPr>
          <w:rFonts w:hint="eastAsia" w:ascii="仿宋_GB2312" w:hAnsi="仿宋_GB2312" w:eastAsia="仿宋_GB2312" w:cs="仿宋_GB2312"/>
          <w:color w:val="000000"/>
          <w:spacing w:val="14"/>
          <w:kern w:val="0"/>
          <w:sz w:val="32"/>
          <w:szCs w:val="32"/>
          <w:highlight w:val="none"/>
        </w:rPr>
        <w:t>件</w:t>
      </w:r>
      <w:r>
        <w:rPr>
          <w:rFonts w:hint="eastAsia" w:ascii="仿宋_GB2312" w:hAnsi="仿宋_GB2312" w:eastAsia="仿宋_GB2312" w:cs="仿宋_GB2312"/>
          <w:color w:val="000000"/>
          <w:spacing w:val="14"/>
          <w:kern w:val="0"/>
          <w:sz w:val="32"/>
          <w:szCs w:val="32"/>
          <w:highlight w:val="none"/>
          <w:lang w:val="en-US" w:eastAsia="zh-CN"/>
        </w:rPr>
        <w:t>196</w:t>
      </w:r>
      <w:r>
        <w:rPr>
          <w:rFonts w:hint="eastAsia" w:ascii="仿宋_GB2312" w:hAnsi="仿宋_GB2312" w:eastAsia="仿宋_GB2312" w:cs="仿宋_GB2312"/>
          <w:color w:val="000000"/>
          <w:spacing w:val="14"/>
          <w:kern w:val="0"/>
          <w:sz w:val="32"/>
          <w:szCs w:val="32"/>
          <w:highlight w:val="none"/>
        </w:rPr>
        <w:t>人，审结网络电信诈骗罪9件涉案金额9490万余元。严惩涉“两区”建设经济犯罪</w:t>
      </w:r>
      <w:r>
        <w:rPr>
          <w:rFonts w:hint="eastAsia" w:ascii="仿宋_GB2312" w:hAnsi="仿宋_GB2312" w:eastAsia="仿宋_GB2312" w:cs="仿宋_GB2312"/>
          <w:color w:val="000000"/>
          <w:spacing w:val="14"/>
          <w:kern w:val="0"/>
          <w:sz w:val="32"/>
          <w:szCs w:val="32"/>
          <w:highlight w:val="none"/>
          <w:lang w:val="en-US" w:eastAsia="zh-CN"/>
        </w:rPr>
        <w:t>60</w:t>
      </w:r>
      <w:r>
        <w:rPr>
          <w:rFonts w:hint="eastAsia" w:ascii="仿宋_GB2312" w:hAnsi="仿宋_GB2312" w:eastAsia="仿宋_GB2312" w:cs="仿宋_GB2312"/>
          <w:color w:val="000000"/>
          <w:spacing w:val="14"/>
          <w:kern w:val="0"/>
          <w:sz w:val="32"/>
          <w:szCs w:val="32"/>
          <w:highlight w:val="none"/>
        </w:rPr>
        <w:t>件</w:t>
      </w:r>
      <w:r>
        <w:rPr>
          <w:rFonts w:hint="eastAsia" w:ascii="仿宋_GB2312" w:hAnsi="仿宋_GB2312" w:eastAsia="仿宋_GB2312" w:cs="仿宋_GB2312"/>
          <w:b w:val="0"/>
          <w:bCs w:val="0"/>
          <w:color w:val="000000"/>
          <w:spacing w:val="14"/>
          <w:kern w:val="0"/>
          <w:sz w:val="32"/>
          <w:szCs w:val="32"/>
          <w:highlight w:val="none"/>
        </w:rPr>
        <w:t>，涉案金额84亿余元。</w:t>
      </w:r>
      <w:r>
        <w:rPr>
          <w:rFonts w:hint="eastAsia" w:ascii="仿宋_GB2312" w:hAnsi="仿宋_GB2312" w:eastAsia="仿宋_GB2312" w:cs="仿宋_GB2312"/>
          <w:b w:val="0"/>
          <w:bCs w:val="0"/>
          <w:color w:val="000000"/>
          <w:spacing w:val="14"/>
          <w:sz w:val="32"/>
          <w:szCs w:val="32"/>
          <w:highlight w:val="none"/>
        </w:rPr>
        <w:t>强化民生权益保障。审结民商事案件</w:t>
      </w:r>
      <w:r>
        <w:rPr>
          <w:rFonts w:hint="eastAsia" w:ascii="仿宋_GB2312" w:hAnsi="仿宋_GB2312" w:eastAsia="仿宋_GB2312" w:cs="仿宋_GB2312"/>
          <w:b w:val="0"/>
          <w:bCs w:val="0"/>
          <w:color w:val="000000"/>
          <w:spacing w:val="14"/>
          <w:sz w:val="32"/>
          <w:szCs w:val="32"/>
          <w:highlight w:val="none"/>
          <w:lang w:val="en-US" w:eastAsia="zh-CN"/>
        </w:rPr>
        <w:t>35873</w:t>
      </w:r>
      <w:r>
        <w:rPr>
          <w:rFonts w:hint="eastAsia" w:ascii="仿宋_GB2312" w:hAnsi="仿宋_GB2312" w:eastAsia="仿宋_GB2312" w:cs="仿宋_GB2312"/>
          <w:b w:val="0"/>
          <w:bCs w:val="0"/>
          <w:color w:val="000000"/>
          <w:spacing w:val="14"/>
          <w:sz w:val="32"/>
          <w:szCs w:val="32"/>
          <w:highlight w:val="none"/>
        </w:rPr>
        <w:t>件。公正高效审理就业、住房等涉民生案件23093件，与区“双减”工作小组建立信息共享机制，妥善处理相关案件824件。支持监督行政机关依法行政。审结行政案</w:t>
      </w:r>
      <w:r>
        <w:rPr>
          <w:rFonts w:hint="eastAsia" w:ascii="仿宋_GB2312" w:hAnsi="仿宋_GB2312" w:eastAsia="仿宋_GB2312" w:cs="仿宋_GB2312"/>
          <w:b w:val="0"/>
          <w:bCs w:val="0"/>
          <w:color w:val="000000"/>
          <w:spacing w:val="14"/>
          <w:kern w:val="0"/>
          <w:sz w:val="32"/>
          <w:szCs w:val="32"/>
          <w:highlight w:val="none"/>
        </w:rPr>
        <w:t>件</w:t>
      </w:r>
      <w:r>
        <w:rPr>
          <w:rFonts w:hint="eastAsia" w:ascii="仿宋_GB2312" w:hAnsi="仿宋_GB2312" w:eastAsia="仿宋_GB2312" w:cs="仿宋_GB2312"/>
          <w:b w:val="0"/>
          <w:bCs w:val="0"/>
          <w:color w:val="000000"/>
          <w:spacing w:val="14"/>
          <w:kern w:val="0"/>
          <w:sz w:val="32"/>
          <w:szCs w:val="32"/>
          <w:highlight w:val="none"/>
          <w:lang w:val="en-US" w:eastAsia="zh-CN"/>
        </w:rPr>
        <w:t xml:space="preserve">880 </w:t>
      </w:r>
      <w:r>
        <w:rPr>
          <w:rFonts w:hint="eastAsia" w:ascii="仿宋_GB2312" w:hAnsi="仿宋_GB2312" w:eastAsia="仿宋_GB2312" w:cs="仿宋_GB2312"/>
          <w:b w:val="0"/>
          <w:bCs w:val="0"/>
          <w:color w:val="000000"/>
          <w:spacing w:val="14"/>
          <w:kern w:val="0"/>
          <w:sz w:val="32"/>
          <w:szCs w:val="32"/>
          <w:highlight w:val="none"/>
        </w:rPr>
        <w:t>件，</w:t>
      </w:r>
      <w:r>
        <w:rPr>
          <w:rFonts w:hint="eastAsia" w:ascii="仿宋_GB2312" w:hAnsi="仿宋_GB2312" w:eastAsia="仿宋_GB2312" w:cs="仿宋_GB2312"/>
          <w:b w:val="0"/>
          <w:bCs w:val="0"/>
          <w:color w:val="000000"/>
          <w:spacing w:val="14"/>
          <w:sz w:val="32"/>
          <w:szCs w:val="32"/>
          <w:highlight w:val="none"/>
        </w:rPr>
        <w:t>获评“北京法院行政审判信息工作先进单位”。及时兑现群众胜诉权益。</w:t>
      </w:r>
      <w:r>
        <w:rPr>
          <w:rFonts w:hint="eastAsia" w:ascii="仿宋_GB2312" w:hAnsi="仿宋_GB2312" w:eastAsia="仿宋_GB2312" w:cs="仿宋_GB2312"/>
          <w:b w:val="0"/>
          <w:bCs w:val="0"/>
          <w:color w:val="000000"/>
          <w:spacing w:val="14"/>
          <w:kern w:val="0"/>
          <w:sz w:val="32"/>
          <w:szCs w:val="32"/>
          <w:highlight w:val="none"/>
        </w:rPr>
        <w:t>执</w:t>
      </w:r>
      <w:r>
        <w:rPr>
          <w:rFonts w:hint="eastAsia" w:ascii="仿宋_GB2312" w:hAnsi="仿宋_GB2312" w:eastAsia="仿宋_GB2312" w:cs="仿宋_GB2312"/>
          <w:b w:val="0"/>
          <w:bCs w:val="0"/>
          <w:color w:val="000000"/>
          <w:spacing w:val="14"/>
          <w:sz w:val="32"/>
          <w:szCs w:val="32"/>
          <w:highlight w:val="none"/>
        </w:rPr>
        <w:t>结案件</w:t>
      </w:r>
      <w:r>
        <w:rPr>
          <w:rFonts w:hint="eastAsia" w:ascii="仿宋_GB2312" w:hAnsi="仿宋_GB2312" w:eastAsia="仿宋_GB2312" w:cs="仿宋_GB2312"/>
          <w:b w:val="0"/>
          <w:bCs w:val="0"/>
          <w:color w:val="000000"/>
          <w:spacing w:val="14"/>
          <w:sz w:val="32"/>
          <w:szCs w:val="32"/>
          <w:highlight w:val="none"/>
          <w:lang w:val="en-US" w:eastAsia="zh-CN"/>
        </w:rPr>
        <w:t>22640</w:t>
      </w:r>
      <w:r>
        <w:rPr>
          <w:rFonts w:hint="eastAsia" w:ascii="仿宋_GB2312" w:hAnsi="仿宋_GB2312" w:eastAsia="仿宋_GB2312" w:cs="仿宋_GB2312"/>
          <w:b w:val="0"/>
          <w:bCs w:val="0"/>
          <w:color w:val="000000"/>
          <w:spacing w:val="14"/>
          <w:sz w:val="32"/>
          <w:szCs w:val="32"/>
          <w:highlight w:val="none"/>
        </w:rPr>
        <w:t>件，执行到位</w:t>
      </w:r>
      <w:r>
        <w:rPr>
          <w:rFonts w:hint="eastAsia" w:ascii="仿宋_GB2312" w:hAnsi="仿宋_GB2312" w:eastAsia="仿宋_GB2312" w:cs="仿宋_GB2312"/>
          <w:color w:val="000000"/>
          <w:spacing w:val="14"/>
          <w:sz w:val="32"/>
          <w:szCs w:val="32"/>
          <w:highlight w:val="none"/>
        </w:rPr>
        <w:t>4</w:t>
      </w:r>
      <w:r>
        <w:rPr>
          <w:rFonts w:hint="eastAsia" w:ascii="仿宋_GB2312" w:hAnsi="仿宋_GB2312" w:eastAsia="仿宋_GB2312" w:cs="仿宋_GB2312"/>
          <w:color w:val="000000"/>
          <w:spacing w:val="14"/>
          <w:sz w:val="32"/>
          <w:szCs w:val="32"/>
          <w:highlight w:val="none"/>
          <w:lang w:val="en-US" w:eastAsia="zh-CN"/>
        </w:rPr>
        <w:t>9.76</w:t>
      </w:r>
      <w:r>
        <w:rPr>
          <w:rFonts w:hint="eastAsia" w:ascii="仿宋_GB2312" w:hAnsi="仿宋_GB2312" w:eastAsia="仿宋_GB2312" w:cs="仿宋_GB2312"/>
          <w:color w:val="000000"/>
          <w:spacing w:val="14"/>
          <w:sz w:val="32"/>
          <w:szCs w:val="32"/>
          <w:highlight w:val="none"/>
        </w:rPr>
        <w:t>亿元。及时发还被骗老年人“养老钱”370万余元、农民工工资1077万余元，涉民生案件执行到位5</w:t>
      </w:r>
      <w:r>
        <w:rPr>
          <w:rFonts w:hint="eastAsia" w:ascii="仿宋_GB2312" w:hAnsi="仿宋_GB2312" w:eastAsia="仿宋_GB2312" w:cs="仿宋_GB2312"/>
          <w:color w:val="000000"/>
          <w:spacing w:val="14"/>
          <w:sz w:val="32"/>
          <w:szCs w:val="32"/>
          <w:highlight w:val="none"/>
          <w:lang w:val="en-US" w:eastAsia="zh-CN"/>
        </w:rPr>
        <w:t>912</w:t>
      </w:r>
      <w:r>
        <w:rPr>
          <w:rFonts w:hint="eastAsia" w:ascii="仿宋_GB2312" w:hAnsi="仿宋_GB2312" w:eastAsia="仿宋_GB2312" w:cs="仿宋_GB2312"/>
          <w:color w:val="000000"/>
          <w:spacing w:val="14"/>
          <w:sz w:val="32"/>
          <w:szCs w:val="32"/>
          <w:highlight w:val="none"/>
        </w:rPr>
        <w:t>万余元，</w:t>
      </w:r>
      <w:r>
        <w:rPr>
          <w:rFonts w:hint="eastAsia" w:ascii="仿宋_GB2312" w:hAnsi="仿宋_GB2312" w:eastAsia="仿宋_GB2312" w:cs="仿宋_GB2312"/>
          <w:color w:val="000000"/>
          <w:spacing w:val="14"/>
          <w:sz w:val="32"/>
          <w:szCs w:val="32"/>
        </w:rPr>
        <w:t>守护群众“钱袋子”安全。</w:t>
      </w:r>
    </w:p>
    <w:p>
      <w:pPr>
        <w:numPr>
          <w:ilvl w:val="0"/>
          <w:numId w:val="1"/>
        </w:numPr>
        <w:ind w:left="105" w:leftChars="50" w:firstLine="640" w:firstLineChars="200"/>
        <w:outlineLvl w:val="2"/>
        <w:rPr>
          <w:rFonts w:hint="eastAsia" w:ascii="仿宋_GB2312" w:hAnsi="仿宋_GB2312" w:eastAsia="仿宋_GB2312" w:cs="仿宋_GB2312"/>
          <w:b w:val="0"/>
          <w:bCs w:val="0"/>
          <w:kern w:val="2"/>
          <w:sz w:val="32"/>
          <w:szCs w:val="24"/>
          <w:lang w:val="en-US" w:eastAsia="zh-CN" w:bidi="ar-SA"/>
        </w:rPr>
      </w:pP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质量</w:t>
      </w:r>
    </w:p>
    <w:p>
      <w:pPr>
        <w:numPr>
          <w:ilvl w:val="0"/>
          <w:numId w:val="2"/>
        </w:numPr>
        <w:ind w:firstLine="640" w:firstLineChars="200"/>
        <w:outlineLvl w:val="2"/>
        <w:rPr>
          <w:rFonts w:hint="eastAsia" w:ascii="仿宋_GB2312" w:hAnsi="仿宋_GB2312" w:eastAsia="仿宋_GB2312" w:cs="仿宋_GB2312"/>
          <w:b w:val="0"/>
          <w:bCs w:val="0"/>
          <w:kern w:val="2"/>
          <w:sz w:val="32"/>
          <w:szCs w:val="24"/>
          <w:lang w:val="en-US" w:eastAsia="zh-CN" w:bidi="ar-SA"/>
        </w:rPr>
      </w:pPr>
      <w:r>
        <w:rPr>
          <w:rFonts w:hint="eastAsia" w:ascii="仿宋_GB2312" w:hAnsi="仿宋_GB2312" w:eastAsia="仿宋_GB2312" w:cs="仿宋_GB2312"/>
          <w:b w:val="0"/>
          <w:bCs w:val="0"/>
          <w:kern w:val="2"/>
          <w:sz w:val="32"/>
          <w:szCs w:val="24"/>
          <w:lang w:val="en-US" w:eastAsia="zh-CN" w:bidi="ar-SA"/>
        </w:rPr>
        <w:t>紧扣群众司法需求，构建现代化诉讼服务体系。高质量打造</w:t>
      </w:r>
      <w:r>
        <w:rPr>
          <w:rFonts w:hint="eastAsia" w:ascii="仿宋_GB2312" w:hAnsi="仿宋_GB2312" w:eastAsia="仿宋_GB2312" w:cs="仿宋_GB2312"/>
          <w:sz w:val="32"/>
          <w:lang w:val="en-US" w:eastAsia="zh-CN"/>
        </w:rPr>
        <w:t>“一站式”</w:t>
      </w:r>
      <w:r>
        <w:rPr>
          <w:rFonts w:hint="eastAsia" w:ascii="仿宋_GB2312" w:hAnsi="仿宋_GB2312" w:eastAsia="仿宋_GB2312" w:cs="仿宋_GB2312"/>
          <w:b w:val="0"/>
          <w:bCs w:val="0"/>
          <w:kern w:val="2"/>
          <w:sz w:val="32"/>
          <w:szCs w:val="24"/>
          <w:lang w:val="en-US" w:eastAsia="zh-CN" w:bidi="ar-SA"/>
        </w:rPr>
        <w:t>诉调对接中心，全面升级立案登记、诉讼服务、速裁审判等 5 大功能区，构建全区诉讼服务联动网，实现立、调、审、确、服‛全方位提档升级，为群众提供“一体化运行”诉讼服务。创新全市法院首个“一窗通办”工作机制，建设 11 个便民服务窗口，融合信息查询、文书送达等 12 项服务职能，让群众诉求“一站办好”。</w:t>
      </w:r>
    </w:p>
    <w:p>
      <w:pPr>
        <w:numPr>
          <w:ilvl w:val="0"/>
          <w:numId w:val="2"/>
        </w:numPr>
        <w:ind w:left="0" w:leftChars="0" w:firstLine="640" w:firstLineChars="200"/>
        <w:rPr>
          <w:rFonts w:hint="eastAsia" w:ascii="仿宋_GB2312" w:hAnsi="仿宋_GB2312" w:eastAsia="仿宋_GB2312" w:cs="仿宋_GB2312"/>
          <w:b w:val="0"/>
          <w:bCs w:val="0"/>
          <w:kern w:val="2"/>
          <w:sz w:val="32"/>
          <w:szCs w:val="24"/>
          <w:lang w:val="en-US" w:eastAsia="zh-CN" w:bidi="ar-SA"/>
        </w:rPr>
      </w:pPr>
      <w:r>
        <w:rPr>
          <w:rFonts w:hint="eastAsia" w:ascii="仿宋_GB2312" w:hAnsi="仿宋_GB2312" w:eastAsia="仿宋_GB2312" w:cs="仿宋_GB2312"/>
          <w:b w:val="0"/>
          <w:bCs w:val="0"/>
          <w:kern w:val="2"/>
          <w:sz w:val="32"/>
          <w:szCs w:val="24"/>
          <w:lang w:val="en-US" w:eastAsia="zh-CN" w:bidi="ar-SA"/>
        </w:rPr>
        <w:t>紧扣矛盾纠纷预防化解，构建现代化诉源治理体系。坚持将基层治理与行业治理深度融合，不断扩大纠纷诉前调解，针对辖区多发易发的纠纷类型，与北京市银保监会等 35家行业调解组织建立诉调对接机制，让更多纠纷止于诉前。通过对全区高发纠纷先行治理、重点治理，全年物业供暖类纠纷成诉量同比下降 28%，医疗类纠纷调解平均用时缩短 30%以上，侵害商标权类纠纷成诉量同比下降10%，辖区群众获得感、幸福感、安全感显著提升。</w:t>
      </w:r>
    </w:p>
    <w:p>
      <w:pPr>
        <w:pStyle w:val="2"/>
        <w:numPr>
          <w:ilvl w:val="0"/>
          <w:numId w:val="2"/>
        </w:numPr>
        <w:ind w:left="0" w:leftChars="0" w:firstLine="640" w:firstLineChars="200"/>
        <w:rPr>
          <w:rFonts w:hint="eastAsia" w:ascii="仿宋_GB2312" w:hAnsi="仿宋_GB2312" w:eastAsia="仿宋_GB2312" w:cs="仿宋_GB2312"/>
          <w:b w:val="0"/>
          <w:bCs w:val="0"/>
          <w:kern w:val="2"/>
          <w:sz w:val="32"/>
          <w:szCs w:val="24"/>
          <w:lang w:val="en-US" w:eastAsia="zh-CN" w:bidi="ar-SA"/>
        </w:rPr>
      </w:pPr>
      <w:r>
        <w:rPr>
          <w:rFonts w:hint="eastAsia" w:ascii="仿宋_GB2312" w:hAnsi="仿宋_GB2312" w:eastAsia="仿宋_GB2312" w:cs="仿宋_GB2312"/>
          <w:b w:val="0"/>
          <w:bCs w:val="0"/>
          <w:kern w:val="2"/>
          <w:sz w:val="32"/>
          <w:szCs w:val="24"/>
          <w:lang w:val="en-US" w:eastAsia="zh-CN" w:bidi="ar-SA"/>
        </w:rPr>
        <w:t>紧扣案件质量提升，构建现代化审判管理和监督体系。优化四级管理体系，升级‚人力资源系数管理法“3.0 版”，整合提升“院、庭、团队、个人”四级管理效能，实现“收、分、结、督”一体发力。创新构建“四维”随机分案工作体系，全年随机分案率提升 27.48%，结案均衡度位居全市法院前列。深化案件质量评查工作格局，完善“院、庭、团队”三级案件质量讲评体系，切实发挥“以评促改、以评促提”作用。</w:t>
      </w:r>
    </w:p>
    <w:p>
      <w:pPr>
        <w:ind w:left="105" w:leftChars="50" w:firstLine="480" w:firstLineChars="15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3.产出</w:t>
      </w:r>
      <w:r>
        <w:rPr>
          <w:rFonts w:ascii="仿宋_GB2312" w:hAnsi="宋体" w:eastAsia="仿宋_GB2312" w:cs="宋体"/>
          <w:color w:val="000000"/>
          <w:kern w:val="0"/>
          <w:sz w:val="32"/>
          <w:szCs w:val="32"/>
        </w:rPr>
        <w:t>进度</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丰台法院工作贯穿全年，按照年初预算批复及年中追加调整，2022年完成了各项工作。</w:t>
      </w:r>
    </w:p>
    <w:p>
      <w:pPr>
        <w:ind w:left="105" w:leftChars="50" w:firstLine="480" w:firstLineChars="150"/>
        <w:outlineLvl w:val="2"/>
        <w:rPr>
          <w:rFonts w:ascii="仿宋_GB2312" w:hAnsi="宋体" w:eastAsia="仿宋_GB2312" w:cs="宋体"/>
          <w:color w:val="000000"/>
          <w:kern w:val="0"/>
          <w:sz w:val="32"/>
          <w:szCs w:val="32"/>
          <w:highlight w:val="none"/>
        </w:rPr>
      </w:pPr>
      <w:r>
        <w:rPr>
          <w:rFonts w:ascii="仿宋_GB2312" w:hAnsi="宋体" w:eastAsia="仿宋_GB2312" w:cs="宋体"/>
          <w:color w:val="000000"/>
          <w:kern w:val="0"/>
          <w:sz w:val="32"/>
          <w:szCs w:val="32"/>
          <w:highlight w:val="none"/>
        </w:rPr>
        <w:t>4.</w:t>
      </w:r>
      <w:r>
        <w:rPr>
          <w:rFonts w:hint="eastAsia" w:ascii="仿宋_GB2312" w:hAnsi="宋体" w:eastAsia="仿宋_GB2312" w:cs="宋体"/>
          <w:color w:val="000000"/>
          <w:kern w:val="0"/>
          <w:sz w:val="32"/>
          <w:szCs w:val="32"/>
          <w:highlight w:val="none"/>
        </w:rPr>
        <w:t>产出</w:t>
      </w:r>
      <w:r>
        <w:rPr>
          <w:rFonts w:ascii="仿宋_GB2312" w:hAnsi="宋体" w:eastAsia="仿宋_GB2312" w:cs="宋体"/>
          <w:color w:val="000000"/>
          <w:kern w:val="0"/>
          <w:sz w:val="32"/>
          <w:szCs w:val="32"/>
          <w:highlight w:val="none"/>
        </w:rPr>
        <w:t>成本</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2022年预算总体支出31,773，88万元，其中，2022年基本支出为24,001.07万元，项目支出为7,772.81万元，部门整体支出控制在预算批复内。</w:t>
      </w:r>
    </w:p>
    <w:p>
      <w:pPr>
        <w:ind w:left="105" w:leftChars="50" w:firstLine="480" w:firstLineChars="150"/>
        <w:outlineLvl w:val="1"/>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ind w:left="105" w:leftChars="50" w:firstLine="480" w:firstLineChars="150"/>
        <w:outlineLvl w:val="2"/>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rPr>
        <w:t>.社会效益</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1）2022年，丰台区人民法院严格公正司法，切实维护促进社会公平正义。树牢总体国家安全观，依法严厉打击刑事犯罪。坚决维护社会安全稳定，守护社会长治久安。坚决维护市场经济秩序，重拳打击整治养老诈骗。贯彻司法为民理念，强化民生权益保障。大力践行社会主义核心价值观，用司法案件弘扬法治道理，加强民生领域司法支撑，依法保护劳动者权益，依法保护妇女儿童合法权益。支持监督行政机关依法行政，助力建设更高水平的法治丰台。深化协调化解工作机制，坚持合法性、合理性审查并重，持续推进行政机关负责人出庭应诉，延伸职能推动法治政府建设。打通公平正义“最后一公里”，及时兑现群众胜诉权益。深化执行机制改革，努力提升司法拍卖成效，深化财产线索接转中心实体化运行，强化执行攻坚。</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2）全面准确贯彻新发展理念，服务区域高质量发展。慎始慎终，全力以赴做好安保维稳工作。圆满完成党的二十大安保维稳，坚决打赢疫情防控阻击战，完善信访维稳工作机制。倍增追赶，全力服务区域高质量协同发展。保障分区规划落地落实，助力高水平城市化城镇化建设，创新“七创”联动司法服务格局。创新发展，推动法治化营商环境再上新台阶。高标准打造服务保障“两区”建设2.0体系，全方位深化法治化营商环境建设。主动作为，深度融入区委领导下的基层治理体系。不断凝聚共治共享纽带，大力推进人民法院调解平台“三进”工作，着力打造“枫桥式”人民法庭。</w:t>
      </w:r>
    </w:p>
    <w:p>
      <w:pPr>
        <w:ind w:left="105" w:leftChars="50" w:firstLine="640" w:firstLineChars="200"/>
        <w:outlineLvl w:val="2"/>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2.环境效益</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常态化开展“扫黑除恶”专项斗争；加大刑事犯罪打击力度，审结故意伤害、抢劫、绑架等案件，助力平安北京建设；妥善化解民商事纠纷，持续优化法治营商环境，维护经营秩序，平衡劳资权益，推动市场经济繁荣稳定。</w:t>
      </w:r>
    </w:p>
    <w:p>
      <w:pPr>
        <w:ind w:left="105" w:leftChars="50" w:firstLine="640" w:firstLineChars="20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3.可持续性影响</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加强基层基础建设，提高司法为民工作水平。以丰台区的发展详规和发展方向为牵引，加快人民法庭建设，科学规划、合理布局，争取各方面支持，为人民群众提供更加便捷舒适的诉讼场所。加快诉调对接中心建设，建成集立案登记、诉讼服务、诉调对接、信访化解等功能为一体的综合性大平台，为人民群众提供“一站式”高效便利的纠纷解决渠道。加快“智慧丰法”建设，用足用好信息化手段，更好地服务群众，便捷诉讼，更好地服务法官，提高质效。</w:t>
      </w:r>
    </w:p>
    <w:p>
      <w:pPr>
        <w:ind w:left="105" w:leftChars="50" w:firstLine="640" w:firstLineChars="200"/>
        <w:outlineLvl w:val="2"/>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.服务对象</w:t>
      </w:r>
      <w:r>
        <w:rPr>
          <w:rFonts w:ascii="仿宋_GB2312" w:hAnsi="宋体" w:eastAsia="仿宋_GB2312" w:cs="宋体"/>
          <w:color w:val="000000"/>
          <w:kern w:val="0"/>
          <w:sz w:val="32"/>
          <w:szCs w:val="32"/>
        </w:rPr>
        <w:t>满意度</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服务对象满意度达到90%以上。</w:t>
      </w:r>
    </w:p>
    <w:p>
      <w:pPr>
        <w:ind w:left="105" w:leftChars="50" w:firstLine="480" w:firstLineChars="15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ind w:left="105" w:leftChars="50" w:firstLine="640" w:firstLineChars="200"/>
        <w:outlineLvl w:val="1"/>
        <w:rPr>
          <w:rFonts w:ascii="楷体_GB2312" w:eastAsia="楷体_GB2312"/>
          <w:sz w:val="32"/>
          <w:szCs w:val="32"/>
        </w:rPr>
      </w:pPr>
      <w:r>
        <w:rPr>
          <w:rFonts w:hint="eastAsia" w:ascii="楷体_GB2312" w:eastAsia="楷体_GB2312"/>
          <w:sz w:val="32"/>
          <w:szCs w:val="32"/>
        </w:rPr>
        <w:t>（一）财务管理</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1.财务管理制度健全性</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2022年，丰台法院修订完善各项内部管理制度，并启动对《北京市丰台区人民法院内部控制手册》的第三轮修改完善工作，逐步建立健全预算业务、收支业务、政府采购业务等财务管理制度，部门财务管理制度较健全，具有一定可操作性。</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2.资金使用合规性和安全性</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丰台法院严格执行相关财政管理要求，围绕全年审判执行工作做好资金统筹保障，加强财务基础管理，牢固树立“过紧日子”思想，不断提高资金使用效益。</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落实财政部门预算编制要求，合理测算预算需求，提高了预算编制的准确性。夯实日常财务管理工作，经费支出均按照预算执行，不存在无预算支出或超范围支出等情况，从而保证预算的执行率偏差较小，预算使用和管理水平良好。各项支出审批严格履行内部审批程序，资金使用符合国家财经法规和财务管理规定。严格执行会计制度，规范日常核算，严格执行各项支出标准，强化内部控制，各项资金管理安全。</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3.会计基础信息完善性</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按政府会计制度和《财政部关于贯彻实施政府会计准则制度的通知》相关要求开展会计工作，财务人员注重财务、采购、审计等各类知识的学习与培训，积极参加预算、决算、财务报告等网上培训，保证了预决算及日常会计核算的规范性。丰台法院会计基础数据信息和会计信息资料真实、完整、准确，相关管理工作较为规范。</w:t>
      </w:r>
    </w:p>
    <w:p>
      <w:pPr>
        <w:ind w:left="105" w:leftChars="50" w:firstLine="640" w:firstLineChars="200"/>
        <w:outlineLvl w:val="1"/>
        <w:rPr>
          <w:rFonts w:ascii="楷体_GB2312" w:eastAsia="楷体_GB2312"/>
          <w:sz w:val="32"/>
          <w:szCs w:val="32"/>
          <w:highlight w:val="none"/>
        </w:rPr>
      </w:pPr>
      <w:r>
        <w:rPr>
          <w:rFonts w:hint="eastAsia" w:ascii="楷体_GB2312" w:eastAsia="楷体_GB2312"/>
          <w:sz w:val="32"/>
          <w:szCs w:val="32"/>
          <w:highlight w:val="none"/>
        </w:rPr>
        <w:t>（二）资产管理</w:t>
      </w:r>
    </w:p>
    <w:p>
      <w:pPr>
        <w:ind w:firstLine="640" w:firstLineChars="200"/>
        <w:outlineLvl w:val="2"/>
        <w:rPr>
          <w:rFonts w:ascii="仿宋_GB2312" w:eastAsia="仿宋_GB2312"/>
          <w:sz w:val="32"/>
          <w:szCs w:val="32"/>
          <w:highlight w:val="none"/>
        </w:rPr>
      </w:pPr>
      <w:r>
        <w:rPr>
          <w:rFonts w:hint="eastAsia" w:ascii="仿宋_GB2312" w:eastAsia="仿宋_GB2312"/>
          <w:sz w:val="32"/>
          <w:szCs w:val="32"/>
          <w:highlight w:val="none"/>
        </w:rPr>
        <w:t>1.资产总体情况</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截至2022年12月31日，资产总额 30,478.17万元，包括：货币资金480.58万元，财政应返还额度1,237.82万元，预付账款21.17万元，存货18.57万元，待摊费用194.48万元，固定资产净值24,852.35万元，在建工程407.83万元，无形资产净值31.20万元，长期待摊费用1,834.15万元，受托代理资产1,400.00万元。</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在资产构成中，固定资产所占比重较大，按照固定资产的构成情况具体分成六类：土地、房屋及构筑物18,912.69万元，占固定资产的76.10%；专用设备180.59万元，占0.73%；通用设备5,111.25万元，占20.57%；文物和陈列品27.04万元，占0.11%；图书档案18.06万元，占0.07%；家具、用具、装具及动植物602.72万元，占2.43%。</w:t>
      </w:r>
    </w:p>
    <w:p>
      <w:pPr>
        <w:ind w:left="105" w:leftChars="50" w:firstLine="640" w:firstLineChars="200"/>
        <w:outlineLvl w:val="2"/>
        <w:rPr>
          <w:rFonts w:ascii="仿宋_GB2312" w:eastAsia="仿宋_GB2312"/>
          <w:sz w:val="32"/>
          <w:szCs w:val="32"/>
          <w:highlight w:val="none"/>
        </w:rPr>
      </w:pPr>
      <w:r>
        <w:rPr>
          <w:rFonts w:hint="eastAsia" w:ascii="仿宋_GB2312" w:eastAsia="仿宋_GB2312"/>
          <w:sz w:val="32"/>
          <w:szCs w:val="32"/>
          <w:highlight w:val="none"/>
        </w:rPr>
        <w:t>2.资产管理制度及过程管理情况</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丰台法院按照《丰台法院固定资产管理规定》的要求，明确了固定资产的使用、购置、验收及出入库、资产处置等管理内容，规范了固定资产管理。同时，加快无法使用且无维修价值的资产报废，合理调配使用现有固定资产，进一步提高了资产使用效率。</w:t>
      </w:r>
    </w:p>
    <w:p>
      <w:pPr>
        <w:ind w:left="105" w:leftChars="50" w:firstLine="640" w:firstLineChars="200"/>
        <w:outlineLvl w:val="1"/>
        <w:rPr>
          <w:rFonts w:ascii="楷体_GB2312" w:eastAsia="楷体_GB2312"/>
          <w:sz w:val="32"/>
          <w:szCs w:val="32"/>
          <w:highlight w:val="none"/>
        </w:rPr>
      </w:pPr>
      <w:r>
        <w:rPr>
          <w:rFonts w:hint="eastAsia" w:ascii="楷体_GB2312" w:eastAsia="楷体_GB2312"/>
          <w:sz w:val="32"/>
          <w:szCs w:val="32"/>
          <w:highlight w:val="none"/>
        </w:rPr>
        <w:t>（三）绩效</w:t>
      </w:r>
      <w:r>
        <w:rPr>
          <w:rFonts w:ascii="楷体_GB2312" w:eastAsia="楷体_GB2312"/>
          <w:sz w:val="32"/>
          <w:szCs w:val="32"/>
          <w:highlight w:val="none"/>
        </w:rPr>
        <w:t>管理</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丰台法院根据市财政局关于“预算编制有目标、预算执行有监控、预算完成有评价、评价结果有反馈、反馈结果有应用”的预算绩效管理要求，不断推进全面预算绩效管理工作，按要求开展预算绩效目标填报、预算绩效监控、预算绩效评价等工作。</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丰台法院所有预算资金纳入部门预算绩效管理工作，按照市财政要求对2022年度全部预算项目开展预算绩效监控工作，从预算资金执行、管理以及绩效目标完成等情况进行分析，进一步加强了预算绩效运行监控管理。</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按照</w:t>
      </w:r>
      <w:r>
        <w:rPr>
          <w:rFonts w:hint="eastAsia" w:ascii="仿宋_GB2312" w:hAnsi="楷体" w:eastAsia="仿宋_GB2312"/>
          <w:bCs/>
          <w:kern w:val="0"/>
          <w:sz w:val="32"/>
          <w:szCs w:val="28"/>
          <w:highlight w:val="none"/>
        </w:rPr>
        <w:t>《北京市财政局关于</w:t>
      </w:r>
      <w:r>
        <w:rPr>
          <w:rFonts w:hint="eastAsia" w:ascii="仿宋_GB2312" w:hAnsi="楷体" w:eastAsia="仿宋_GB2312"/>
          <w:bCs/>
          <w:kern w:val="0"/>
          <w:sz w:val="32"/>
          <w:szCs w:val="28"/>
          <w:highlight w:val="none"/>
          <w:lang w:val="en-US" w:eastAsia="zh-CN"/>
        </w:rPr>
        <w:t>2023年推进全面实施预算绩效管理工作的通知</w:t>
      </w:r>
      <w:r>
        <w:rPr>
          <w:rFonts w:hint="eastAsia" w:ascii="仿宋_GB2312" w:hAnsi="楷体" w:eastAsia="仿宋_GB2312"/>
          <w:bCs/>
          <w:kern w:val="0"/>
          <w:sz w:val="32"/>
          <w:szCs w:val="28"/>
          <w:highlight w:val="none"/>
        </w:rPr>
        <w:t>》</w:t>
      </w:r>
      <w:r>
        <w:rPr>
          <w:rFonts w:hint="eastAsia" w:ascii="仿宋_GB2312" w:hAnsi="仿宋_GB2312" w:eastAsia="仿宋_GB2312" w:cs="仿宋_GB2312"/>
          <w:sz w:val="32"/>
          <w:lang w:val="en-US" w:eastAsia="zh-CN"/>
        </w:rPr>
        <w:t>的工作要求，对2022年度14个项目实施绩效自评，对“诉调对接中心信息化建设项目”开展部门重点绩效评价，出具项目绩效评价报告；对另外13个项目采用责任部门自评方式，填写项目支出绩效自评表。</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2022年部门预算绩效管理总体完成情况较好，从评价结果看，项目立项符合部门职责和相关管理制度，制定的项目绩效目标较合理，各项工作有序开展，任务完成质量较高。发挥了财政资金的使用效益。</w:t>
      </w:r>
    </w:p>
    <w:p>
      <w:pPr>
        <w:ind w:left="105" w:leftChars="50" w:firstLine="640" w:firstLineChars="200"/>
        <w:outlineLvl w:val="1"/>
        <w:rPr>
          <w:rFonts w:ascii="楷体_GB2312" w:eastAsia="楷体_GB2312"/>
          <w:sz w:val="32"/>
          <w:szCs w:val="32"/>
          <w:highlight w:val="none"/>
        </w:rPr>
      </w:pPr>
      <w:r>
        <w:rPr>
          <w:rFonts w:hint="eastAsia" w:ascii="楷体_GB2312" w:eastAsia="楷体_GB2312"/>
          <w:sz w:val="32"/>
          <w:szCs w:val="32"/>
          <w:highlight w:val="none"/>
        </w:rPr>
        <w:t>（四）结转结余率</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丰台法院2022年末结转结余1,278.20万元，全年预算支出33,052.08万元，结转结余率为3.87%，较上年结转结余率（3.80%）高。</w:t>
      </w:r>
    </w:p>
    <w:p>
      <w:pPr>
        <w:ind w:left="105" w:leftChars="50" w:firstLine="640" w:firstLineChars="200"/>
        <w:outlineLvl w:val="1"/>
        <w:rPr>
          <w:rFonts w:ascii="楷体_GB2312" w:eastAsia="楷体_GB2312"/>
          <w:sz w:val="32"/>
          <w:szCs w:val="32"/>
          <w:highlight w:val="none"/>
        </w:rPr>
      </w:pPr>
      <w:r>
        <w:rPr>
          <w:rFonts w:hint="eastAsia" w:ascii="楷体_GB2312" w:eastAsia="楷体_GB2312"/>
          <w:sz w:val="32"/>
          <w:szCs w:val="32"/>
          <w:highlight w:val="none"/>
        </w:rPr>
        <w:t>（五）部门</w:t>
      </w:r>
      <w:r>
        <w:rPr>
          <w:rFonts w:ascii="楷体_GB2312" w:eastAsia="楷体_GB2312"/>
          <w:sz w:val="32"/>
          <w:szCs w:val="32"/>
          <w:highlight w:val="none"/>
        </w:rPr>
        <w:t>预决算差异率</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2022年，年初部门预算30,526.28万元，年度部门决算31,773，88万元，预决算差异率为4.09%，低于市级平均差异率（28.30%）。</w:t>
      </w:r>
    </w:p>
    <w:p>
      <w:pPr>
        <w:ind w:left="105" w:leftChars="50" w:firstLine="480" w:firstLineChars="150"/>
        <w:outlineLvl w:val="0"/>
        <w:rPr>
          <w:rFonts w:ascii="黑体" w:hAnsi="黑体" w:eastAsia="黑体"/>
          <w:sz w:val="32"/>
          <w:szCs w:val="32"/>
          <w:highlight w:val="none"/>
        </w:rPr>
      </w:pPr>
      <w:r>
        <w:rPr>
          <w:rFonts w:hint="eastAsia" w:ascii="黑体" w:hAnsi="黑体" w:eastAsia="黑体"/>
          <w:sz w:val="32"/>
          <w:szCs w:val="32"/>
          <w:highlight w:val="none"/>
        </w:rPr>
        <w:t>五、总体</w:t>
      </w:r>
      <w:r>
        <w:rPr>
          <w:rFonts w:ascii="黑体" w:hAnsi="黑体" w:eastAsia="黑体"/>
          <w:sz w:val="32"/>
          <w:szCs w:val="32"/>
          <w:highlight w:val="none"/>
        </w:rPr>
        <w:t>评价结论</w:t>
      </w:r>
    </w:p>
    <w:p>
      <w:pPr>
        <w:ind w:left="105" w:leftChars="50" w:firstLine="640" w:firstLineChars="200"/>
        <w:outlineLvl w:val="1"/>
        <w:rPr>
          <w:rFonts w:ascii="楷体_GB2312" w:eastAsia="楷体_GB2312"/>
          <w:sz w:val="32"/>
          <w:szCs w:val="32"/>
          <w:highlight w:val="none"/>
        </w:rPr>
      </w:pPr>
      <w:r>
        <w:rPr>
          <w:rFonts w:hint="eastAsia" w:ascii="楷体_GB2312" w:eastAsia="楷体_GB2312"/>
          <w:sz w:val="32"/>
          <w:szCs w:val="32"/>
          <w:highlight w:val="none"/>
        </w:rPr>
        <w:t>（一）评价</w:t>
      </w:r>
      <w:r>
        <w:rPr>
          <w:rFonts w:ascii="楷体_GB2312" w:eastAsia="楷体_GB2312"/>
          <w:sz w:val="32"/>
          <w:szCs w:val="32"/>
          <w:highlight w:val="none"/>
        </w:rPr>
        <w:t>得分</w:t>
      </w:r>
      <w:r>
        <w:rPr>
          <w:rFonts w:hint="eastAsia" w:ascii="楷体_GB2312" w:eastAsia="楷体_GB2312"/>
          <w:sz w:val="32"/>
          <w:szCs w:val="32"/>
          <w:highlight w:val="none"/>
        </w:rPr>
        <w:t>情况</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经评价，丰台法院2022年度部门整体支出绩效评价总得分91.72分，评价结果为“优秀”。其中当年预算执行情况得分为19.22分；整体绩效目标实现情况得分为55分；预算管理情况得分17.5分。</w:t>
      </w:r>
    </w:p>
    <w:p>
      <w:pPr>
        <w:numPr>
          <w:ilvl w:val="0"/>
          <w:numId w:val="3"/>
        </w:numPr>
        <w:ind w:left="105" w:leftChars="50" w:firstLine="640" w:firstLineChars="200"/>
        <w:outlineLvl w:val="1"/>
        <w:rPr>
          <w:rFonts w:hint="eastAsia" w:ascii="楷体_GB2312" w:eastAsia="楷体_GB2312"/>
          <w:sz w:val="32"/>
          <w:szCs w:val="32"/>
          <w:highlight w:val="none"/>
        </w:rPr>
      </w:pPr>
      <w:r>
        <w:rPr>
          <w:rFonts w:hint="eastAsia" w:ascii="楷体_GB2312" w:eastAsia="楷体_GB2312"/>
          <w:sz w:val="32"/>
          <w:szCs w:val="32"/>
          <w:highlight w:val="none"/>
        </w:rPr>
        <w:t>存在的问题</w:t>
      </w:r>
    </w:p>
    <w:p>
      <w:pPr>
        <w:ind w:firstLine="640" w:firstLineChars="200"/>
        <w:rPr>
          <w:rFonts w:hint="default"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1.</w:t>
      </w:r>
      <w:r>
        <w:rPr>
          <w:rFonts w:hint="default" w:ascii="仿宋_GB2312" w:hAnsi="仿宋_GB2312" w:eastAsia="仿宋_GB2312" w:cs="仿宋_GB2312"/>
          <w:sz w:val="32"/>
          <w:lang w:val="en-US" w:eastAsia="zh-CN"/>
        </w:rPr>
        <w:t>部门整体绩效目标设定</w:t>
      </w:r>
      <w:r>
        <w:rPr>
          <w:rFonts w:hint="eastAsia" w:ascii="仿宋_GB2312" w:hAnsi="仿宋_GB2312" w:eastAsia="仿宋_GB2312" w:cs="仿宋_GB2312"/>
          <w:sz w:val="32"/>
          <w:lang w:val="en-US" w:eastAsia="zh-CN"/>
        </w:rPr>
        <w:t>量化、细化不足，尚需</w:t>
      </w:r>
      <w:r>
        <w:rPr>
          <w:rFonts w:hint="default" w:ascii="仿宋_GB2312" w:hAnsi="仿宋_GB2312" w:eastAsia="仿宋_GB2312" w:cs="仿宋_GB2312"/>
          <w:sz w:val="32"/>
          <w:lang w:val="en-US" w:eastAsia="zh-CN"/>
        </w:rPr>
        <w:t>从</w:t>
      </w:r>
      <w:r>
        <w:rPr>
          <w:rFonts w:hint="eastAsia" w:ascii="仿宋_GB2312" w:hAnsi="仿宋_GB2312" w:eastAsia="仿宋_GB2312" w:cs="仿宋_GB2312"/>
          <w:sz w:val="32"/>
          <w:lang w:val="en-US" w:eastAsia="zh-CN"/>
        </w:rPr>
        <w:t>日常</w:t>
      </w:r>
      <w:r>
        <w:rPr>
          <w:rFonts w:hint="default" w:ascii="仿宋_GB2312" w:hAnsi="仿宋_GB2312" w:eastAsia="仿宋_GB2312" w:cs="仿宋_GB2312"/>
          <w:sz w:val="32"/>
          <w:lang w:val="en-US" w:eastAsia="zh-CN"/>
        </w:rPr>
        <w:t>业务</w:t>
      </w:r>
      <w:r>
        <w:rPr>
          <w:rFonts w:hint="eastAsia" w:ascii="仿宋_GB2312" w:hAnsi="仿宋_GB2312" w:eastAsia="仿宋_GB2312" w:cs="仿宋_GB2312"/>
          <w:sz w:val="32"/>
          <w:lang w:val="en-US" w:eastAsia="zh-CN"/>
        </w:rPr>
        <w:t>管理</w:t>
      </w:r>
      <w:r>
        <w:rPr>
          <w:rFonts w:hint="default" w:ascii="仿宋_GB2312" w:hAnsi="仿宋_GB2312" w:eastAsia="仿宋_GB2312" w:cs="仿宋_GB2312"/>
          <w:sz w:val="32"/>
          <w:lang w:val="en-US" w:eastAsia="zh-CN"/>
        </w:rPr>
        <w:t>、人员配置、质量管理等方面进行细化。个别项目绩效目标不够合理，</w:t>
      </w:r>
      <w:r>
        <w:rPr>
          <w:rFonts w:hint="eastAsia" w:ascii="仿宋_GB2312" w:hAnsi="仿宋_GB2312" w:eastAsia="仿宋_GB2312" w:cs="仿宋_GB2312"/>
          <w:sz w:val="32"/>
          <w:lang w:val="en-US" w:eastAsia="zh-CN"/>
        </w:rPr>
        <w:t>项目目标设置论证调研欠</w:t>
      </w:r>
      <w:r>
        <w:rPr>
          <w:rFonts w:hint="default" w:ascii="仿宋_GB2312" w:hAnsi="仿宋_GB2312" w:eastAsia="仿宋_GB2312" w:cs="仿宋_GB2312"/>
          <w:sz w:val="32"/>
          <w:lang w:val="en-US" w:eastAsia="zh-CN"/>
        </w:rPr>
        <w:t>充分，</w:t>
      </w:r>
      <w:r>
        <w:rPr>
          <w:rFonts w:hint="eastAsia" w:ascii="仿宋_GB2312" w:hAnsi="仿宋_GB2312" w:eastAsia="仿宋_GB2312" w:cs="仿宋_GB2312"/>
          <w:sz w:val="32"/>
          <w:lang w:val="en-US" w:eastAsia="zh-CN"/>
        </w:rPr>
        <w:t>未</w:t>
      </w:r>
      <w:r>
        <w:rPr>
          <w:rFonts w:hint="default" w:ascii="仿宋_GB2312" w:hAnsi="仿宋_GB2312" w:eastAsia="仿宋_GB2312" w:cs="仿宋_GB2312"/>
          <w:sz w:val="32"/>
          <w:lang w:val="en-US" w:eastAsia="zh-CN"/>
        </w:rPr>
        <w:t>结合实际情况进行具体调整。指标的细化程度、量化程度等方面的评估和优化</w:t>
      </w:r>
      <w:r>
        <w:rPr>
          <w:rFonts w:hint="eastAsia" w:ascii="仿宋_GB2312" w:hAnsi="仿宋_GB2312" w:eastAsia="仿宋_GB2312" w:cs="仿宋_GB2312"/>
          <w:sz w:val="32"/>
          <w:lang w:val="en-US" w:eastAsia="zh-CN"/>
        </w:rPr>
        <w:t>不足</w:t>
      </w:r>
      <w:r>
        <w:rPr>
          <w:rFonts w:hint="default" w:ascii="仿宋_GB2312" w:hAnsi="仿宋_GB2312" w:eastAsia="仿宋_GB2312" w:cs="仿宋_GB2312"/>
          <w:sz w:val="32"/>
          <w:lang w:val="en-US" w:eastAsia="zh-CN"/>
        </w:rPr>
        <w:t>。</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2.部分项目绩效信息的收集和汇总分析不充分，项目资料收集不完整。部分项目服务对象满意度调查开展不够全面，导致项目效益效果资料未能完整、充分呈现。</w:t>
      </w:r>
    </w:p>
    <w:p>
      <w:pPr>
        <w:ind w:firstLine="640" w:firstLineChars="200"/>
        <w:outlineLvl w:val="0"/>
        <w:rPr>
          <w:rFonts w:ascii="仿宋_GB2312" w:hAnsi="宋体" w:eastAsia="仿宋_GB2312" w:cs="宋体"/>
          <w:color w:val="000000"/>
          <w:kern w:val="0"/>
          <w:sz w:val="32"/>
          <w:szCs w:val="32"/>
        </w:rPr>
      </w:pPr>
      <w:r>
        <w:rPr>
          <w:rFonts w:hint="eastAsia" w:ascii="黑体" w:hAnsi="黑体" w:eastAsia="黑体" w:cs="宋体"/>
          <w:color w:val="000000"/>
          <w:kern w:val="0"/>
          <w:sz w:val="32"/>
          <w:szCs w:val="32"/>
        </w:rPr>
        <w:t>六、措施建议</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建议加强绩效管理的科学化和量化程度。积极探索科学合理的绩效管理目标和指标体系，并实现绩效目标和实际业务的有机结合。在制定指标体系时，要做到明确、可量化、可监测，以便于对绩效数据进行科学分析和优化。</w:t>
      </w:r>
      <w:r>
        <w:rPr>
          <w:rFonts w:hint="default" w:ascii="仿宋_GB2312" w:hAnsi="仿宋_GB2312" w:eastAsia="仿宋_GB2312" w:cs="仿宋_GB2312"/>
          <w:sz w:val="32"/>
          <w:lang w:val="en-US" w:eastAsia="zh-CN"/>
        </w:rPr>
        <w:t>积极推进绩效管理体系应用，以加强执行力和管理效益。</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建议做好项目质量管控工作，加强项目效益资料收集，提升项目质量管控水平，做好信息化项目的功能测试、成果验收和过程材料归档等工作。注重项目实施质量和效益证明性资料、数据统计分析等项目绩效效果资料的收集整理与归档，以便更为全面准确的反映出项目实施效果。</w:t>
      </w:r>
    </w:p>
    <w:p>
      <w:pPr>
        <w:widowControl/>
        <w:ind w:firstLine="640" w:firstLineChars="200"/>
        <w:jc w:val="left"/>
        <w:outlineLvl w:val="0"/>
        <w:rPr>
          <w:highlight w:val="none"/>
        </w:rPr>
      </w:pPr>
      <w:r>
        <w:rPr>
          <w:rFonts w:hint="eastAsia" w:ascii="黑体" w:hAnsi="黑体" w:eastAsia="黑体" w:cs="宋体"/>
          <w:color w:val="000000"/>
          <w:kern w:val="0"/>
          <w:sz w:val="32"/>
          <w:szCs w:val="32"/>
          <w:highlight w:val="none"/>
        </w:rPr>
        <w:t>七、附件</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2022年度部门支出绩效评价指标体系评分表</w:t>
      </w:r>
    </w:p>
    <w:p>
      <w:pPr>
        <w:ind w:firstLine="640" w:firstLineChars="200"/>
        <w:rPr>
          <w:rFonts w:hint="eastAsia" w:ascii="仿宋_GB2312" w:hAnsi="仿宋_GB2312" w:eastAsia="仿宋_GB2312" w:cs="仿宋_GB2312"/>
          <w:sz w:val="32"/>
          <w:lang w:val="en-US" w:eastAsia="zh-CN"/>
        </w:rPr>
        <w:sectPr>
          <w:footerReference r:id="rId5" w:type="default"/>
          <w:pgSz w:w="11906" w:h="16838"/>
          <w:pgMar w:top="1440" w:right="1800" w:bottom="1440" w:left="1800" w:header="851" w:footer="992" w:gutter="0"/>
          <w:pgNumType w:start="1"/>
          <w:cols w:space="425" w:num="1"/>
          <w:docGrid w:type="lines" w:linePitch="312" w:charSpace="0"/>
        </w:sectPr>
      </w:pPr>
    </w:p>
    <w:p>
      <w:pPr>
        <w:ind w:firstLine="0" w:firstLineChars="0"/>
        <w:outlineLvl w:val="9"/>
        <w:rPr>
          <w:rFonts w:hint="eastAsia" w:eastAsia="黑体"/>
          <w:lang w:val="en-US" w:eastAsia="zh-CN"/>
        </w:rPr>
      </w:pPr>
      <w:r>
        <w:rPr>
          <w:rFonts w:hint="eastAsia" w:ascii="黑体" w:hAnsi="黑体" w:eastAsia="黑体"/>
          <w:sz w:val="32"/>
          <w:szCs w:val="32"/>
        </w:rPr>
        <w:t>附件</w:t>
      </w:r>
      <w:r>
        <w:rPr>
          <w:rFonts w:hint="eastAsia" w:ascii="黑体" w:hAnsi="黑体" w:eastAsia="黑体"/>
          <w:sz w:val="32"/>
          <w:szCs w:val="32"/>
          <w:lang w:val="en-US" w:eastAsia="zh-CN"/>
        </w:rPr>
        <w:t>1</w:t>
      </w:r>
    </w:p>
    <w:tbl>
      <w:tblPr>
        <w:tblStyle w:val="7"/>
        <w:tblW w:w="5000" w:type="pct"/>
        <w:tblInd w:w="0" w:type="dxa"/>
        <w:tblLayout w:type="fixed"/>
        <w:tblCellMar>
          <w:top w:w="0" w:type="dxa"/>
          <w:left w:w="108" w:type="dxa"/>
          <w:bottom w:w="0" w:type="dxa"/>
          <w:right w:w="108" w:type="dxa"/>
        </w:tblCellMar>
      </w:tblPr>
      <w:tblGrid>
        <w:gridCol w:w="817"/>
        <w:gridCol w:w="853"/>
        <w:gridCol w:w="1131"/>
        <w:gridCol w:w="1174"/>
        <w:gridCol w:w="85"/>
        <w:gridCol w:w="939"/>
        <w:gridCol w:w="549"/>
        <w:gridCol w:w="799"/>
        <w:gridCol w:w="3685"/>
        <w:gridCol w:w="4142"/>
      </w:tblGrid>
      <w:tr>
        <w:tblPrEx>
          <w:tblCellMar>
            <w:top w:w="0" w:type="dxa"/>
            <w:left w:w="108" w:type="dxa"/>
            <w:bottom w:w="0" w:type="dxa"/>
            <w:right w:w="108" w:type="dxa"/>
          </w:tblCellMar>
        </w:tblPrEx>
        <w:trPr>
          <w:trHeight w:val="499" w:hRule="atLeast"/>
        </w:trPr>
        <w:tc>
          <w:tcPr>
            <w:tcW w:w="5000" w:type="pct"/>
            <w:gridSpan w:val="10"/>
            <w:tcBorders>
              <w:top w:val="nil"/>
              <w:left w:val="nil"/>
              <w:bottom w:val="single" w:color="auto" w:sz="4" w:space="0"/>
              <w:right w:val="nil"/>
            </w:tcBorders>
            <w:noWrap/>
            <w:vAlign w:val="bottom"/>
          </w:tcPr>
          <w:p>
            <w:pPr>
              <w:widowControl/>
              <w:jc w:val="center"/>
              <w:rPr>
                <w:rFonts w:ascii="方正小标宋简体" w:hAnsi="黑体" w:eastAsia="方正小标宋简体" w:cs="宋体"/>
                <w:color w:val="000000"/>
                <w:kern w:val="0"/>
                <w:sz w:val="44"/>
                <w:szCs w:val="44"/>
              </w:rPr>
            </w:pPr>
            <w:r>
              <w:rPr>
                <w:rFonts w:hint="eastAsia" w:ascii="方正小标宋简体" w:hAnsi="黑体" w:eastAsia="方正小标宋简体" w:cs="宋体"/>
                <w:color w:val="000000"/>
                <w:kern w:val="0"/>
                <w:sz w:val="44"/>
                <w:szCs w:val="44"/>
              </w:rPr>
              <w:t>202</w:t>
            </w:r>
            <w:r>
              <w:rPr>
                <w:rFonts w:hint="eastAsia" w:ascii="方正小标宋简体" w:hAnsi="黑体" w:eastAsia="方正小标宋简体" w:cs="宋体"/>
                <w:color w:val="000000"/>
                <w:kern w:val="0"/>
                <w:sz w:val="44"/>
                <w:szCs w:val="44"/>
                <w:lang w:val="en-US" w:eastAsia="zh-CN"/>
              </w:rPr>
              <w:t>2</w:t>
            </w:r>
            <w:r>
              <w:rPr>
                <w:rFonts w:hint="eastAsia" w:ascii="方正小标宋简体" w:hAnsi="黑体" w:eastAsia="方正小标宋简体" w:cs="宋体"/>
                <w:color w:val="000000"/>
                <w:kern w:val="0"/>
                <w:sz w:val="44"/>
                <w:szCs w:val="44"/>
              </w:rPr>
              <w:t>年部门整体绩效评价指标体系评分表</w:t>
            </w:r>
          </w:p>
        </w:tc>
      </w:tr>
      <w:tr>
        <w:tblPrEx>
          <w:tblCellMar>
            <w:top w:w="0" w:type="dxa"/>
            <w:left w:w="108" w:type="dxa"/>
            <w:bottom w:w="0" w:type="dxa"/>
            <w:right w:w="108" w:type="dxa"/>
          </w:tblCellMar>
        </w:tblPrEx>
        <w:trPr>
          <w:trHeight w:val="470" w:hRule="atLeast"/>
        </w:trPr>
        <w:tc>
          <w:tcPr>
            <w:tcW w:w="5000" w:type="pct"/>
            <w:gridSpan w:val="10"/>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CellMar>
            <w:top w:w="0" w:type="dxa"/>
            <w:left w:w="108" w:type="dxa"/>
            <w:bottom w:w="0" w:type="dxa"/>
            <w:right w:w="108" w:type="dxa"/>
          </w:tblCellMar>
        </w:tblPrEx>
        <w:trPr>
          <w:trHeight w:val="660" w:hRule="atLeast"/>
        </w:trPr>
        <w:tc>
          <w:tcPr>
            <w:tcW w:w="28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9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预算数（万元）</w:t>
            </w:r>
          </w:p>
        </w:tc>
        <w:tc>
          <w:tcPr>
            <w:tcW w:w="44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执行数（万元）</w:t>
            </w:r>
          </w:p>
        </w:tc>
        <w:tc>
          <w:tcPr>
            <w:tcW w:w="33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预算执行率</w:t>
            </w:r>
          </w:p>
        </w:tc>
        <w:tc>
          <w:tcPr>
            <w:tcW w:w="1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29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指标解释</w:t>
            </w:r>
          </w:p>
        </w:tc>
        <w:tc>
          <w:tcPr>
            <w:tcW w:w="1461"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评分标准</w:t>
            </w:r>
          </w:p>
        </w:tc>
      </w:tr>
      <w:tr>
        <w:tblPrEx>
          <w:tblCellMar>
            <w:top w:w="0" w:type="dxa"/>
            <w:left w:w="108" w:type="dxa"/>
            <w:bottom w:w="0" w:type="dxa"/>
            <w:right w:w="108" w:type="dxa"/>
          </w:tblCellMar>
        </w:tblPrEx>
        <w:trPr>
          <w:trHeight w:val="605" w:hRule="atLeast"/>
        </w:trPr>
        <w:tc>
          <w:tcPr>
            <w:tcW w:w="288" w:type="pct"/>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3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资金总体</w:t>
            </w:r>
          </w:p>
        </w:tc>
        <w:tc>
          <w:tcPr>
            <w:tcW w:w="39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33,052.08</w:t>
            </w:r>
          </w:p>
        </w:tc>
        <w:tc>
          <w:tcPr>
            <w:tcW w:w="444" w:type="pct"/>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31,773.88</w:t>
            </w:r>
          </w:p>
        </w:tc>
        <w:tc>
          <w:tcPr>
            <w:tcW w:w="33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96.</w:t>
            </w:r>
            <w:r>
              <w:rPr>
                <w:rFonts w:hint="eastAsia" w:ascii="宋体" w:hAnsi="宋体" w:cs="宋体"/>
                <w:color w:val="000000"/>
                <w:kern w:val="0"/>
                <w:sz w:val="20"/>
                <w:szCs w:val="20"/>
                <w:lang w:val="en-US" w:eastAsia="zh-CN"/>
              </w:rPr>
              <w:t>13</w:t>
            </w:r>
            <w:r>
              <w:rPr>
                <w:rFonts w:hint="eastAsia" w:ascii="宋体" w:hAnsi="宋体" w:cs="宋体"/>
                <w:color w:val="000000"/>
                <w:kern w:val="0"/>
                <w:sz w:val="20"/>
                <w:szCs w:val="20"/>
              </w:rPr>
              <w:t>%</w:t>
            </w:r>
          </w:p>
        </w:tc>
        <w:tc>
          <w:tcPr>
            <w:tcW w:w="193"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281"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19.2</w:t>
            </w: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　</w:t>
            </w:r>
          </w:p>
        </w:tc>
        <w:tc>
          <w:tcPr>
            <w:tcW w:w="1299"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1461" w:type="pct"/>
            <w:vMerge w:val="restart"/>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trHeight w:val="600"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tcBorders>
              <w:top w:val="single" w:color="auto" w:sz="4" w:space="0"/>
              <w:left w:val="single" w:color="auto" w:sz="4" w:space="0"/>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基本支出</w:t>
            </w:r>
          </w:p>
        </w:tc>
        <w:tc>
          <w:tcPr>
            <w:tcW w:w="39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24,091.25</w:t>
            </w:r>
          </w:p>
        </w:tc>
        <w:tc>
          <w:tcPr>
            <w:tcW w:w="444" w:type="pct"/>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24,001.07</w:t>
            </w:r>
          </w:p>
        </w:tc>
        <w:tc>
          <w:tcPr>
            <w:tcW w:w="331"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9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1" w:type="pct"/>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129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61"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15"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tcBorders>
              <w:top w:val="single" w:color="auto" w:sz="4" w:space="0"/>
              <w:left w:val="single" w:color="auto" w:sz="4" w:space="0"/>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项目支出</w:t>
            </w:r>
          </w:p>
        </w:tc>
        <w:tc>
          <w:tcPr>
            <w:tcW w:w="39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8,960.83</w:t>
            </w:r>
          </w:p>
        </w:tc>
        <w:tc>
          <w:tcPr>
            <w:tcW w:w="444" w:type="pct"/>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7,772.81</w:t>
            </w:r>
          </w:p>
        </w:tc>
        <w:tc>
          <w:tcPr>
            <w:tcW w:w="33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9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1" w:type="pct"/>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129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61"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2940"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w:t>
            </w:r>
          </w:p>
        </w:tc>
        <w:tc>
          <w:tcPr>
            <w:tcW w:w="39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444"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3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9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1" w:type="pct"/>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129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61"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569" w:hRule="atLeast"/>
        </w:trPr>
        <w:tc>
          <w:tcPr>
            <w:tcW w:w="5000" w:type="pct"/>
            <w:gridSpan w:val="10"/>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CellMar>
            <w:top w:w="0" w:type="dxa"/>
            <w:left w:w="108" w:type="dxa"/>
            <w:bottom w:w="0" w:type="dxa"/>
            <w:right w:w="108" w:type="dxa"/>
          </w:tblCellMar>
        </w:tblPrEx>
        <w:trPr>
          <w:trHeight w:val="499" w:hRule="atLeast"/>
        </w:trPr>
        <w:tc>
          <w:tcPr>
            <w:tcW w:w="28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9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41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361"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完成值</w:t>
            </w:r>
          </w:p>
        </w:tc>
        <w:tc>
          <w:tcPr>
            <w:tcW w:w="193"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281" w:type="pct"/>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29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738" w:hRule="atLeast"/>
        </w:trPr>
        <w:tc>
          <w:tcPr>
            <w:tcW w:w="288"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300" w:type="pct"/>
            <w:vMerge w:val="restart"/>
            <w:tcBorders>
              <w:top w:val="single" w:color="auto" w:sz="4" w:space="0"/>
              <w:left w:val="nil"/>
              <w:right w:val="single" w:color="auto" w:sz="4" w:space="0"/>
            </w:tcBorders>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hint="eastAsia" w:ascii="宋体" w:hAnsi="宋体" w:cs="宋体"/>
                <w:color w:val="000000"/>
                <w:kern w:val="0"/>
                <w:sz w:val="20"/>
                <w:szCs w:val="20"/>
              </w:rPr>
              <w:t>产出（30）</w:t>
            </w:r>
          </w:p>
        </w:tc>
        <w:tc>
          <w:tcPr>
            <w:tcW w:w="39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414" w:type="pct"/>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案件办结数量等业务指标</w:t>
            </w:r>
          </w:p>
        </w:tc>
        <w:tc>
          <w:tcPr>
            <w:tcW w:w="361"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ascii="宋体" w:hAnsi="宋体" w:cs="宋体"/>
                <w:color w:val="000000"/>
                <w:kern w:val="0"/>
                <w:sz w:val="20"/>
                <w:szCs w:val="20"/>
              </w:rPr>
              <w:t>部门产出数量与绩效目标相符</w:t>
            </w:r>
          </w:p>
        </w:tc>
        <w:tc>
          <w:tcPr>
            <w:tcW w:w="193"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281" w:type="pct"/>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ascii="宋体" w:hAnsi="宋体" w:cs="宋体"/>
                <w:color w:val="000000"/>
                <w:kern w:val="0"/>
                <w:sz w:val="20"/>
                <w:szCs w:val="20"/>
              </w:rPr>
              <w:t>10</w:t>
            </w:r>
          </w:p>
        </w:tc>
        <w:tc>
          <w:tcPr>
            <w:tcW w:w="1299"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1461"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trHeight w:val="1547"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9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41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案件办结率等业务指标</w:t>
            </w:r>
          </w:p>
        </w:tc>
        <w:tc>
          <w:tcPr>
            <w:tcW w:w="361"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基本达到标准，资料需进一步归集整理</w:t>
            </w:r>
          </w:p>
        </w:tc>
        <w:tc>
          <w:tcPr>
            <w:tcW w:w="193" w:type="pct"/>
            <w:tcBorders>
              <w:top w:val="single" w:color="auto" w:sz="4" w:space="0"/>
              <w:left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281" w:type="pct"/>
            <w:tcBorders>
              <w:top w:val="single" w:color="auto" w:sz="4" w:space="0"/>
              <w:left w:val="nil"/>
              <w:bottom w:val="single" w:color="auto" w:sz="4" w:space="0"/>
              <w:right w:val="nil"/>
            </w:tcBorders>
            <w:noWrap/>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1299"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61"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1512"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98"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进度指标</w:t>
            </w:r>
          </w:p>
        </w:tc>
        <w:tc>
          <w:tcPr>
            <w:tcW w:w="414"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完成全年项目</w:t>
            </w:r>
          </w:p>
        </w:tc>
        <w:tc>
          <w:tcPr>
            <w:tcW w:w="361" w:type="pct"/>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02</w:t>
            </w: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年全年执行</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个别项目结转</w:t>
            </w:r>
          </w:p>
        </w:tc>
        <w:tc>
          <w:tcPr>
            <w:tcW w:w="193" w:type="pct"/>
            <w:tcBorders>
              <w:left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281" w:type="pct"/>
            <w:tcBorders>
              <w:top w:val="nil"/>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299"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61"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1692"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98"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414" w:type="pct"/>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部门预算控制在</w:t>
            </w:r>
          </w:p>
          <w:p>
            <w:pPr>
              <w:widowControl/>
              <w:jc w:val="center"/>
              <w:rPr>
                <w:rFonts w:cs="宋体" w:asciiTheme="minorEastAsia" w:hAnsiTheme="minorEastAsia" w:eastAsiaTheme="minorEastAsia"/>
                <w:color w:val="000000"/>
                <w:kern w:val="0"/>
                <w:sz w:val="20"/>
                <w:szCs w:val="20"/>
                <w:highlight w:val="yellow"/>
              </w:rPr>
            </w:pPr>
            <w:r>
              <w:rPr>
                <w:rFonts w:hint="eastAsia" w:ascii="宋体" w:hAnsi="宋体" w:cs="宋体"/>
                <w:color w:val="000000"/>
                <w:kern w:val="0"/>
                <w:sz w:val="20"/>
                <w:szCs w:val="20"/>
                <w:lang w:val="en-US" w:eastAsia="zh-CN"/>
              </w:rPr>
              <w:t>33,052.08</w:t>
            </w:r>
            <w:r>
              <w:rPr>
                <w:rFonts w:hint="eastAsia" w:cs="宋体" w:asciiTheme="minorEastAsia" w:hAnsiTheme="minorEastAsia" w:eastAsiaTheme="minorEastAsia"/>
                <w:color w:val="000000"/>
                <w:kern w:val="0"/>
                <w:sz w:val="20"/>
                <w:szCs w:val="20"/>
              </w:rPr>
              <w:t>万元内</w:t>
            </w:r>
          </w:p>
        </w:tc>
        <w:tc>
          <w:tcPr>
            <w:tcW w:w="361" w:type="pct"/>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年度预算执行</w:t>
            </w:r>
          </w:p>
          <w:p>
            <w:pPr>
              <w:widowControl/>
              <w:jc w:val="center"/>
              <w:rPr>
                <w:rFonts w:cs="宋体" w:asciiTheme="minorEastAsia" w:hAnsiTheme="minorEastAsia" w:eastAsiaTheme="minorEastAsia"/>
                <w:color w:val="000000"/>
                <w:kern w:val="0"/>
                <w:sz w:val="20"/>
                <w:szCs w:val="20"/>
                <w:highlight w:val="yellow"/>
              </w:rPr>
            </w:pPr>
            <w:r>
              <w:rPr>
                <w:rFonts w:hint="eastAsia" w:ascii="宋体" w:hAnsi="宋体" w:cs="宋体"/>
                <w:color w:val="000000"/>
                <w:kern w:val="0"/>
                <w:sz w:val="20"/>
                <w:szCs w:val="20"/>
                <w:lang w:val="en-US" w:eastAsia="zh-CN"/>
              </w:rPr>
              <w:t>31,773.88</w:t>
            </w:r>
            <w:r>
              <w:rPr>
                <w:rFonts w:hint="eastAsia" w:cs="宋体" w:asciiTheme="minorEastAsia" w:hAnsiTheme="minorEastAsia" w:eastAsiaTheme="minorEastAsia"/>
                <w:color w:val="000000"/>
                <w:kern w:val="0"/>
                <w:sz w:val="20"/>
                <w:szCs w:val="20"/>
              </w:rPr>
              <w:t>万元</w:t>
            </w:r>
          </w:p>
        </w:tc>
        <w:tc>
          <w:tcPr>
            <w:tcW w:w="193" w:type="pct"/>
            <w:tcBorders>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281" w:type="pct"/>
            <w:tcBorders>
              <w:top w:val="nil"/>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299"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61"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2399"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效果（30）</w:t>
            </w:r>
          </w:p>
        </w:tc>
        <w:tc>
          <w:tcPr>
            <w:tcW w:w="39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社会效益</w:t>
            </w:r>
          </w:p>
        </w:tc>
        <w:tc>
          <w:tcPr>
            <w:tcW w:w="41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yellow"/>
              </w:rPr>
            </w:pPr>
            <w:r>
              <w:rPr>
                <w:rFonts w:hint="eastAsia" w:ascii="宋体" w:hAnsi="宋体" w:cs="宋体"/>
                <w:color w:val="000000"/>
                <w:kern w:val="0"/>
                <w:sz w:val="20"/>
                <w:szCs w:val="20"/>
              </w:rPr>
              <w:t>为民服务水平更进一步提升</w:t>
            </w:r>
          </w:p>
        </w:tc>
        <w:tc>
          <w:tcPr>
            <w:tcW w:w="361"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基本达到预期目标，资料需进一步归集整理</w:t>
            </w:r>
          </w:p>
        </w:tc>
        <w:tc>
          <w:tcPr>
            <w:tcW w:w="19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28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1299"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1461"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trHeight w:val="1007"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9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环境效益</w:t>
            </w:r>
          </w:p>
        </w:tc>
        <w:tc>
          <w:tcPr>
            <w:tcW w:w="41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维护首都安全稳定，保障良好环境</w:t>
            </w:r>
          </w:p>
        </w:tc>
        <w:tc>
          <w:tcPr>
            <w:tcW w:w="361"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基本达到预期目标</w:t>
            </w:r>
          </w:p>
        </w:tc>
        <w:tc>
          <w:tcPr>
            <w:tcW w:w="1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281" w:type="pct"/>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9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6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2470"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98"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可持续性影响</w:t>
            </w:r>
          </w:p>
        </w:tc>
        <w:tc>
          <w:tcPr>
            <w:tcW w:w="414"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用信息化手段，便捷诉讼，更好地服务法官，提高质效</w:t>
            </w:r>
          </w:p>
        </w:tc>
        <w:tc>
          <w:tcPr>
            <w:tcW w:w="361" w:type="pct"/>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基本达到预期目标，资料需进一步归集整理</w:t>
            </w:r>
          </w:p>
        </w:tc>
        <w:tc>
          <w:tcPr>
            <w:tcW w:w="193" w:type="pct"/>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281" w:type="pct"/>
            <w:tcBorders>
              <w:top w:val="nil"/>
              <w:left w:val="nil"/>
              <w:bottom w:val="single" w:color="auto" w:sz="4" w:space="0"/>
              <w:right w:val="nil"/>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1299"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61"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2099"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98" w:type="pct"/>
            <w:tcBorders>
              <w:top w:val="nil"/>
              <w:left w:val="nil"/>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服务对象满意程度</w:t>
            </w:r>
          </w:p>
        </w:tc>
        <w:tc>
          <w:tcPr>
            <w:tcW w:w="414" w:type="pct"/>
            <w:tcBorders>
              <w:top w:val="nil"/>
              <w:left w:val="nil"/>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服务对象满意度9</w:t>
            </w:r>
            <w:r>
              <w:rPr>
                <w:rFonts w:ascii="宋体" w:hAnsi="宋体" w:cs="宋体"/>
                <w:color w:val="000000"/>
                <w:kern w:val="0"/>
                <w:sz w:val="20"/>
                <w:szCs w:val="20"/>
              </w:rPr>
              <w:t>0%</w:t>
            </w:r>
            <w:r>
              <w:rPr>
                <w:rFonts w:hint="eastAsia" w:ascii="宋体" w:hAnsi="宋体" w:cs="宋体"/>
                <w:color w:val="000000"/>
                <w:kern w:val="0"/>
                <w:sz w:val="20"/>
                <w:szCs w:val="20"/>
              </w:rPr>
              <w:t>以上</w:t>
            </w:r>
          </w:p>
        </w:tc>
        <w:tc>
          <w:tcPr>
            <w:tcW w:w="361" w:type="pct"/>
            <w:gridSpan w:val="2"/>
            <w:tcBorders>
              <w:top w:val="nil"/>
              <w:left w:val="nil"/>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满意度全面调查需进一步落实</w:t>
            </w:r>
          </w:p>
        </w:tc>
        <w:tc>
          <w:tcPr>
            <w:tcW w:w="193" w:type="pct"/>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281" w:type="pct"/>
            <w:tcBorders>
              <w:top w:val="nil"/>
              <w:left w:val="nil"/>
              <w:right w:val="nil"/>
            </w:tcBorders>
            <w:noWrap/>
            <w:vAlign w:val="center"/>
          </w:tcPr>
          <w:p>
            <w:pPr>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4</w:t>
            </w:r>
          </w:p>
        </w:tc>
        <w:tc>
          <w:tcPr>
            <w:tcW w:w="1299"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61"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99" w:hRule="atLeast"/>
        </w:trPr>
        <w:tc>
          <w:tcPr>
            <w:tcW w:w="5000" w:type="pct"/>
            <w:gridSpan w:val="10"/>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CellMar>
            <w:top w:w="0" w:type="dxa"/>
            <w:left w:w="108" w:type="dxa"/>
            <w:bottom w:w="0" w:type="dxa"/>
            <w:right w:w="108" w:type="dxa"/>
          </w:tblCellMar>
        </w:tblPrEx>
        <w:trPr>
          <w:trHeight w:val="702" w:hRule="atLeast"/>
        </w:trPr>
        <w:tc>
          <w:tcPr>
            <w:tcW w:w="28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3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39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41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361"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193"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281" w:type="pct"/>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129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461"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230" w:hRule="atLeast"/>
        </w:trPr>
        <w:tc>
          <w:tcPr>
            <w:tcW w:w="288"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预算管理情况（20）</w:t>
            </w:r>
          </w:p>
        </w:tc>
        <w:tc>
          <w:tcPr>
            <w:tcW w:w="300"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财务管理（4）</w:t>
            </w:r>
          </w:p>
        </w:tc>
        <w:tc>
          <w:tcPr>
            <w:tcW w:w="39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41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财务管理制度健全性　</w:t>
            </w:r>
          </w:p>
        </w:tc>
        <w:tc>
          <w:tcPr>
            <w:tcW w:w="361"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完整　</w:t>
            </w:r>
          </w:p>
        </w:tc>
        <w:tc>
          <w:tcPr>
            <w:tcW w:w="193"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281" w:type="pct"/>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1</w:t>
            </w:r>
          </w:p>
        </w:tc>
        <w:tc>
          <w:tcPr>
            <w:tcW w:w="1299"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b/>
                <w:bCs/>
                <w:color w:val="000000"/>
                <w:kern w:val="0"/>
                <w:sz w:val="18"/>
                <w:szCs w:val="18"/>
                <w:lang w:eastAsia="zh-CN"/>
              </w:rPr>
              <w:t>：</w:t>
            </w:r>
            <w:bookmarkStart w:id="0" w:name="_GoBack"/>
            <w:bookmarkEnd w:id="0"/>
            <w:r>
              <w:rPr>
                <w:rFonts w:hint="eastAsia" w:ascii="宋体" w:hAnsi="宋体" w:cs="宋体"/>
                <w:color w:val="000000"/>
                <w:kern w:val="0"/>
                <w:sz w:val="18"/>
                <w:szCs w:val="18"/>
              </w:rPr>
              <w:t>部门（单位）为加强财务管理、规范财务行为而制定的管理制度。</w:t>
            </w:r>
          </w:p>
        </w:tc>
        <w:tc>
          <w:tcPr>
            <w:tcW w:w="1461"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trHeight w:val="444" w:hRule="atLeast"/>
        </w:trPr>
        <w:tc>
          <w:tcPr>
            <w:tcW w:w="288"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9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41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资金使用合规性和安全性　</w:t>
            </w:r>
          </w:p>
        </w:tc>
        <w:tc>
          <w:tcPr>
            <w:tcW w:w="361"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规范　</w:t>
            </w:r>
          </w:p>
        </w:tc>
        <w:tc>
          <w:tcPr>
            <w:tcW w:w="193"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281" w:type="pct"/>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1299"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b/>
                <w:bCs/>
                <w:color w:val="000000"/>
                <w:kern w:val="0"/>
                <w:sz w:val="18"/>
                <w:szCs w:val="18"/>
                <w:lang w:eastAsia="zh-CN"/>
              </w:rPr>
              <w:t>：</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461"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trHeight w:val="1035"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98"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414"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会计基础信息真实、完整、准确　</w:t>
            </w:r>
          </w:p>
        </w:tc>
        <w:tc>
          <w:tcPr>
            <w:tcW w:w="361" w:type="pct"/>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规范　</w:t>
            </w:r>
          </w:p>
        </w:tc>
        <w:tc>
          <w:tcPr>
            <w:tcW w:w="193" w:type="pct"/>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281" w:type="pct"/>
            <w:tcBorders>
              <w:top w:val="nil"/>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1299" w:type="pct"/>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b/>
                <w:bCs/>
                <w:color w:val="000000"/>
                <w:kern w:val="0"/>
                <w:sz w:val="18"/>
                <w:szCs w:val="18"/>
                <w:lang w:eastAsia="zh-CN"/>
              </w:rPr>
              <w:t>：</w:t>
            </w:r>
            <w:r>
              <w:rPr>
                <w:rFonts w:hint="eastAsia" w:ascii="宋体" w:hAnsi="宋体" w:cs="宋体"/>
                <w:color w:val="000000"/>
                <w:kern w:val="0"/>
                <w:sz w:val="18"/>
                <w:szCs w:val="18"/>
              </w:rPr>
              <w:t>部门（单位）会计基础信息情况。</w:t>
            </w:r>
          </w:p>
        </w:tc>
        <w:tc>
          <w:tcPr>
            <w:tcW w:w="1461" w:type="pct"/>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trHeight w:val="2220"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资产管理（4）</w:t>
            </w:r>
          </w:p>
        </w:tc>
        <w:tc>
          <w:tcPr>
            <w:tcW w:w="39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资产管理规范性</w:t>
            </w:r>
          </w:p>
        </w:tc>
        <w:tc>
          <w:tcPr>
            <w:tcW w:w="41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资产制度健全，管理规范</w:t>
            </w:r>
          </w:p>
        </w:tc>
        <w:tc>
          <w:tcPr>
            <w:tcW w:w="361"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规范</w:t>
            </w:r>
          </w:p>
        </w:tc>
        <w:tc>
          <w:tcPr>
            <w:tcW w:w="1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299"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b/>
                <w:bCs/>
                <w:color w:val="000000"/>
                <w:kern w:val="0"/>
                <w:sz w:val="18"/>
                <w:szCs w:val="18"/>
                <w:lang w:eastAsia="zh-CN"/>
              </w:rPr>
              <w:t>：</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1461"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CellMar>
            <w:top w:w="0" w:type="dxa"/>
            <w:left w:w="108" w:type="dxa"/>
            <w:bottom w:w="0" w:type="dxa"/>
            <w:right w:w="108" w:type="dxa"/>
          </w:tblCellMar>
        </w:tblPrEx>
        <w:trPr>
          <w:trHeight w:val="1750"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绩效管理（4）</w:t>
            </w:r>
          </w:p>
        </w:tc>
        <w:tc>
          <w:tcPr>
            <w:tcW w:w="39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绩效管理情况</w:t>
            </w:r>
          </w:p>
        </w:tc>
        <w:tc>
          <w:tcPr>
            <w:tcW w:w="41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绩效管理规范，未发生目标偏离</w:t>
            </w:r>
          </w:p>
        </w:tc>
        <w:tc>
          <w:tcPr>
            <w:tcW w:w="361"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基本规范，目标设定上需进一步合理、细化</w:t>
            </w:r>
          </w:p>
        </w:tc>
        <w:tc>
          <w:tcPr>
            <w:tcW w:w="193"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281" w:type="pct"/>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1299"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b/>
                <w:bCs/>
                <w:color w:val="000000"/>
                <w:kern w:val="0"/>
                <w:sz w:val="18"/>
                <w:szCs w:val="18"/>
                <w:lang w:eastAsia="zh-CN"/>
              </w:rPr>
              <w:t>：</w:t>
            </w:r>
            <w:r>
              <w:rPr>
                <w:rFonts w:hint="eastAsia" w:ascii="宋体" w:hAnsi="宋体" w:cs="宋体"/>
                <w:color w:val="000000"/>
                <w:kern w:val="0"/>
                <w:sz w:val="18"/>
                <w:szCs w:val="18"/>
              </w:rPr>
              <w:t>考核部门（单位）在绩效管理信息的汇总和应用情况。</w:t>
            </w:r>
          </w:p>
        </w:tc>
        <w:tc>
          <w:tcPr>
            <w:tcW w:w="1461"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trHeight w:val="1365"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813" w:type="pct"/>
            <w:gridSpan w:val="2"/>
            <w:tcBorders>
              <w:top w:val="single" w:color="auto" w:sz="4" w:space="0"/>
              <w:left w:val="nil"/>
              <w:bottom w:val="single" w:color="auto" w:sz="4" w:space="0"/>
              <w:right w:val="single" w:color="000000"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3.8%</w:t>
            </w:r>
          </w:p>
        </w:tc>
        <w:tc>
          <w:tcPr>
            <w:tcW w:w="361" w:type="pct"/>
            <w:gridSpan w:val="2"/>
            <w:tcBorders>
              <w:top w:val="nil"/>
              <w:left w:val="nil"/>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3.87%</w:t>
            </w:r>
          </w:p>
        </w:tc>
        <w:tc>
          <w:tcPr>
            <w:tcW w:w="193"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281" w:type="pct"/>
            <w:tcBorders>
              <w:top w:val="nil"/>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3</w:t>
            </w:r>
            <w:r>
              <w:rPr>
                <w:rFonts w:hint="eastAsia" w:ascii="宋体" w:hAnsi="宋体" w:cs="宋体"/>
                <w:color w:val="000000"/>
                <w:kern w:val="0"/>
                <w:sz w:val="20"/>
                <w:szCs w:val="20"/>
              </w:rPr>
              <w:t>　</w:t>
            </w:r>
          </w:p>
        </w:tc>
        <w:tc>
          <w:tcPr>
            <w:tcW w:w="1299"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1461"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trHeight w:val="90"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813" w:type="pct"/>
            <w:gridSpan w:val="2"/>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361" w:type="pct"/>
            <w:gridSpan w:val="2"/>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4.09%</w:t>
            </w:r>
          </w:p>
        </w:tc>
        <w:tc>
          <w:tcPr>
            <w:tcW w:w="193"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281" w:type="pct"/>
            <w:tcBorders>
              <w:top w:val="nil"/>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3.5</w:t>
            </w:r>
            <w:r>
              <w:rPr>
                <w:rFonts w:hint="eastAsia" w:ascii="宋体" w:hAnsi="宋体" w:cs="宋体"/>
                <w:color w:val="000000"/>
                <w:kern w:val="0"/>
                <w:sz w:val="20"/>
                <w:szCs w:val="20"/>
              </w:rPr>
              <w:t>　</w:t>
            </w:r>
          </w:p>
        </w:tc>
        <w:tc>
          <w:tcPr>
            <w:tcW w:w="1299" w:type="pct"/>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1461" w:type="pct"/>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CellMar>
            <w:top w:w="0" w:type="dxa"/>
            <w:left w:w="108" w:type="dxa"/>
            <w:bottom w:w="0" w:type="dxa"/>
            <w:right w:w="108" w:type="dxa"/>
          </w:tblCellMar>
        </w:tblPrEx>
        <w:trPr>
          <w:trHeight w:val="404" w:hRule="atLeast"/>
        </w:trPr>
        <w:tc>
          <w:tcPr>
            <w:tcW w:w="1763" w:type="pct"/>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93"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81" w:type="pct"/>
            <w:tcBorders>
              <w:top w:val="nil"/>
              <w:left w:val="nil"/>
              <w:bottom w:val="single" w:color="auto" w:sz="4" w:space="0"/>
              <w:right w:val="nil"/>
            </w:tcBorders>
            <w:vAlign w:val="center"/>
          </w:tcPr>
          <w:p>
            <w:pPr>
              <w:widowControl/>
              <w:jc w:val="center"/>
              <w:rPr>
                <w:rFonts w:hint="default" w:ascii="宋体" w:hAnsi="宋体" w:eastAsia="宋体" w:cs="宋体"/>
                <w:color w:val="000000"/>
                <w:kern w:val="0"/>
                <w:sz w:val="20"/>
                <w:szCs w:val="20"/>
                <w:lang w:val="en-US" w:eastAsia="zh-CN"/>
              </w:rPr>
            </w:pPr>
            <w:r>
              <w:rPr>
                <w:rFonts w:ascii="宋体" w:hAnsi="宋体" w:cs="宋体"/>
                <w:color w:val="000000"/>
                <w:kern w:val="0"/>
                <w:sz w:val="20"/>
                <w:szCs w:val="20"/>
              </w:rPr>
              <w:t>9</w:t>
            </w:r>
            <w:r>
              <w:rPr>
                <w:rFonts w:hint="eastAsia" w:ascii="宋体" w:hAnsi="宋体" w:cs="宋体"/>
                <w:color w:val="000000"/>
                <w:kern w:val="0"/>
                <w:sz w:val="20"/>
                <w:szCs w:val="20"/>
                <w:lang w:val="en-US" w:eastAsia="zh-CN"/>
              </w:rPr>
              <w:t>1.72</w:t>
            </w:r>
          </w:p>
        </w:tc>
        <w:tc>
          <w:tcPr>
            <w:tcW w:w="2761" w:type="pct"/>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小标宋简体">
    <w:altName w:val="Arial Unicode MS"/>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13 -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13 -</w:t>
                    </w:r>
                    <w:r>
                      <w:rPr>
                        <w:rFonts w:ascii="宋体" w:hAnsi="宋体"/>
                        <w:sz w:val="28"/>
                        <w:szCs w:val="28"/>
                      </w:rPr>
                      <w:fldChar w:fldCharType="end"/>
                    </w:r>
                  </w:p>
                </w:txbxContent>
              </v:textbox>
            </v:shape>
          </w:pict>
        </mc:Fallback>
      </mc:AlternateConten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D9F25F"/>
    <w:multiLevelType w:val="singleLevel"/>
    <w:tmpl w:val="B9D9F25F"/>
    <w:lvl w:ilvl="0" w:tentative="0">
      <w:start w:val="2"/>
      <w:numFmt w:val="chineseCounting"/>
      <w:suff w:val="nothing"/>
      <w:lvlText w:val="（%1）"/>
      <w:lvlJc w:val="left"/>
      <w:rPr>
        <w:rFonts w:hint="eastAsia"/>
      </w:rPr>
    </w:lvl>
  </w:abstractNum>
  <w:abstractNum w:abstractNumId="1">
    <w:nsid w:val="EB46B021"/>
    <w:multiLevelType w:val="singleLevel"/>
    <w:tmpl w:val="EB46B021"/>
    <w:lvl w:ilvl="0" w:tentative="0">
      <w:start w:val="1"/>
      <w:numFmt w:val="decimal"/>
      <w:suff w:val="nothing"/>
      <w:lvlText w:val="（%1）"/>
      <w:lvlJc w:val="left"/>
    </w:lvl>
  </w:abstractNum>
  <w:abstractNum w:abstractNumId="2">
    <w:nsid w:val="EFF01D53"/>
    <w:multiLevelType w:val="singleLevel"/>
    <w:tmpl w:val="EFF01D53"/>
    <w:lvl w:ilvl="0" w:tentative="0">
      <w:start w:val="2"/>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yMmQxZWJiMDgzMGZiOTFiMTUxYjUxZmU0MGQ5ZjMifQ=="/>
  </w:docVars>
  <w:rsids>
    <w:rsidRoot w:val="00000000"/>
    <w:rsid w:val="001E2BED"/>
    <w:rsid w:val="13240A34"/>
    <w:rsid w:val="1F8FADA3"/>
    <w:rsid w:val="21436795"/>
    <w:rsid w:val="22F416CB"/>
    <w:rsid w:val="2A8111BA"/>
    <w:rsid w:val="2AE532F8"/>
    <w:rsid w:val="2BCFE04D"/>
    <w:rsid w:val="2EB83CB5"/>
    <w:rsid w:val="2F383425"/>
    <w:rsid w:val="2F9F4925"/>
    <w:rsid w:val="30572D13"/>
    <w:rsid w:val="305C7DF6"/>
    <w:rsid w:val="3DD258BF"/>
    <w:rsid w:val="3FCB7BC2"/>
    <w:rsid w:val="3FDFCA4E"/>
    <w:rsid w:val="40EE563C"/>
    <w:rsid w:val="4D793271"/>
    <w:rsid w:val="5CFFBA24"/>
    <w:rsid w:val="5F0FBB8F"/>
    <w:rsid w:val="5FFF98C6"/>
    <w:rsid w:val="67DF7AD7"/>
    <w:rsid w:val="6AAA2893"/>
    <w:rsid w:val="6FFFEAB6"/>
    <w:rsid w:val="777DEE0D"/>
    <w:rsid w:val="79AD1E40"/>
    <w:rsid w:val="7B7DAF72"/>
    <w:rsid w:val="7BDF1031"/>
    <w:rsid w:val="7CED324E"/>
    <w:rsid w:val="7CF7616C"/>
    <w:rsid w:val="7FCF996B"/>
    <w:rsid w:val="7FDFD637"/>
    <w:rsid w:val="95FD4D37"/>
    <w:rsid w:val="9DDE6DDA"/>
    <w:rsid w:val="ADDD7697"/>
    <w:rsid w:val="BCF3AEED"/>
    <w:rsid w:val="BFAF8FE0"/>
    <w:rsid w:val="BFBFC294"/>
    <w:rsid w:val="BFE555E3"/>
    <w:rsid w:val="BFF7B2AB"/>
    <w:rsid w:val="CE9F454B"/>
    <w:rsid w:val="D3F1042F"/>
    <w:rsid w:val="DDF7B245"/>
    <w:rsid w:val="E5B597E5"/>
    <w:rsid w:val="E9FEB4E1"/>
    <w:rsid w:val="EED64C6D"/>
    <w:rsid w:val="EFD913BC"/>
    <w:rsid w:val="F7FF4A72"/>
    <w:rsid w:val="FB6FE2E2"/>
    <w:rsid w:val="FBFD4D4E"/>
    <w:rsid w:val="FE3F440A"/>
    <w:rsid w:val="FEFD6A09"/>
    <w:rsid w:val="FFCE5A0B"/>
    <w:rsid w:val="FFFF9D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7934</Words>
  <Characters>8613</Characters>
  <Lines>0</Lines>
  <Paragraphs>0</Paragraphs>
  <TotalTime>24</TotalTime>
  <ScaleCrop>false</ScaleCrop>
  <LinksUpToDate>false</LinksUpToDate>
  <CharactersWithSpaces>8644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2023-05-21T12:58:00Z</dcterms:created>
  <dc:creator>86185</dc:creator>
  <cp:lastModifiedBy> 高继淑</cp:lastModifiedBy>
  <dcterms:modified xsi:type="dcterms:W3CDTF">2023-05-31T04:21:29Z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3B21EE368B5D4C0896BD29CF5B911AFD_12</vt:lpwstr>
  </property>
</Properties>
</file>