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华文中宋"/>
          <w:bCs/>
          <w:sz w:val="36"/>
          <w:szCs w:val="44"/>
        </w:rPr>
      </w:pPr>
      <w:r>
        <w:rPr>
          <w:rFonts w:hint="eastAsia" w:ascii="华文中宋" w:hAnsi="华文中宋" w:eastAsia="华文中宋" w:cs="华文中宋"/>
          <w:bCs/>
          <w:sz w:val="36"/>
          <w:szCs w:val="44"/>
        </w:rPr>
        <w:t>2022年度中央对北京公共文化服务体系建设补助资金转移支付预算执行情况绩效自评报告</w:t>
      </w:r>
    </w:p>
    <w:p>
      <w:pPr>
        <w:spacing w:line="360" w:lineRule="auto"/>
        <w:jc w:val="center"/>
        <w:rPr>
          <w:rFonts w:eastAsia="宋体"/>
          <w:b/>
          <w:sz w:val="32"/>
          <w:szCs w:val="32"/>
        </w:rPr>
      </w:pPr>
    </w:p>
    <w:p>
      <w:pPr>
        <w:adjustRightInd w:val="0"/>
        <w:snapToGrid w:val="0"/>
        <w:spacing w:line="360" w:lineRule="auto"/>
        <w:ind w:firstLine="640" w:firstLineChars="200"/>
        <w:outlineLvl w:val="0"/>
        <w:rPr>
          <w:rFonts w:eastAsia="黑体"/>
          <w:bCs/>
          <w:sz w:val="32"/>
          <w:szCs w:val="32"/>
        </w:rPr>
      </w:pPr>
      <w:r>
        <w:rPr>
          <w:rFonts w:eastAsia="黑体"/>
          <w:bCs/>
          <w:sz w:val="32"/>
          <w:szCs w:val="32"/>
        </w:rPr>
        <w:t>一、</w:t>
      </w:r>
      <w:r>
        <w:rPr>
          <w:rFonts w:hint="eastAsia" w:eastAsia="黑体"/>
          <w:bCs/>
          <w:sz w:val="32"/>
          <w:szCs w:val="32"/>
        </w:rPr>
        <w:t>转移支付基本</w:t>
      </w:r>
      <w:r>
        <w:rPr>
          <w:rFonts w:eastAsia="黑体"/>
          <w:bCs/>
          <w:sz w:val="32"/>
          <w:szCs w:val="32"/>
        </w:rPr>
        <w:t>情况</w:t>
      </w:r>
    </w:p>
    <w:p>
      <w:pPr>
        <w:adjustRightInd w:val="0"/>
        <w:snapToGrid w:val="0"/>
        <w:spacing w:line="360" w:lineRule="auto"/>
        <w:ind w:firstLine="640" w:firstLineChars="200"/>
        <w:outlineLvl w:val="1"/>
        <w:rPr>
          <w:rFonts w:eastAsia="楷体_GB2312"/>
          <w:sz w:val="32"/>
          <w:szCs w:val="32"/>
        </w:rPr>
      </w:pPr>
      <w:r>
        <w:rPr>
          <w:rFonts w:eastAsia="楷体_GB2312"/>
          <w:sz w:val="32"/>
          <w:szCs w:val="32"/>
        </w:rPr>
        <w:t>（一）</w:t>
      </w:r>
      <w:r>
        <w:rPr>
          <w:rFonts w:hint="eastAsia" w:eastAsia="楷体_GB2312"/>
          <w:sz w:val="32"/>
          <w:szCs w:val="32"/>
        </w:rPr>
        <w:t>地方公共文化服务体系建设补助资金转移支付概况</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中央支持地方公共文化服务体系建设补助资金（以下简称“中央补助资金”）下达我局预算共2615万元，其中首都图书馆图书购置项目1862万元，濒危剧种免票或低票价演出项目50万元，公共文化云建设项目603万元，全国智慧图书馆体系建设项目100万元。</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中央下达我局2022年中央支持地方公共文化服务体系建设补助资金绩效目标如下：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1.首都图书馆图书购置项目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购置中外文图书、古籍、报刊、视听资料和地方文献约31.1972万册件（其中中央资金对应购置数量为30.6412万册件），扩充图书馆馆藏，维护馆藏的全面性、系统性、连续性和可持续性，为图书馆开展服务提供文献保障，满足读者多样化的阅读需求，吸引读者走进图书馆、利用图书馆。</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为贯彻落实中央领导同志关于剧种保护的相关指示精神和国务院办公厅《关于支持戏曲传承发展的若干政策》（国办发〔2015〕52号），进一步加强北京曲剧的传承力度，切实改善北京曲剧的生存发展状况，使北京曲剧剧种有人演、有人传、有人看，2022年计划完成100场公益性演出（免费或低票价演出），演出剧目选择观众喜闻乐见的北京曲剧传统剧目。通过这一项目实施，推广北京曲剧的受众群体，锻炼曲剧人的艺术造诣，展示北京曲剧的独特魅力。</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全市开展全民艺术普及相关直录播不少于27场次；开展不少于3场区域性群众文化活动；全年举办学才艺培训不少于11场；全市采集5335条场馆及活动信息；开展公共文化云建设赶大集专区建设与运营；优化加工全民艺术普及微视频资源不少于7小时；全年培训不少于50人。提高基本公共文化服务的覆盖面和适用性，进一步加强首都公共数字文化建设，增强全民艺术普及数字化服务水平，持续增强人民幸福感、获得感。</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4.全国智慧图书馆体系建设项目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建设2个基础数字资源项目；开展2个已建数字资源的知识资源细颗粒度建设项目，每个项目标引数量不少于2万条。</w:t>
      </w:r>
    </w:p>
    <w:p>
      <w:pPr>
        <w:adjustRightInd w:val="0"/>
        <w:snapToGrid w:val="0"/>
        <w:spacing w:line="360" w:lineRule="auto"/>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1.资金投入情况</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该专项2022年共投入资金2812.90万元，截至2022年底，实际支出2189.05万元，执行率77.82%。其中，中央转移支付资金投入2615.00万元，实际支出1991.15万元，执行率76.14%；自有资金投入197.90万元，实际支出197.9</w:t>
      </w:r>
      <w:r>
        <w:rPr>
          <w:rFonts w:ascii="仿宋_GB2312" w:hAnsi="仿宋_GB2312" w:cs="仿宋_GB2312"/>
          <w:sz w:val="32"/>
          <w:szCs w:val="32"/>
        </w:rPr>
        <w:t>0</w:t>
      </w:r>
      <w:r>
        <w:rPr>
          <w:rFonts w:hint="eastAsia" w:ascii="仿宋_GB2312" w:hAnsi="仿宋_GB2312" w:cs="仿宋_GB2312"/>
          <w:sz w:val="32"/>
          <w:szCs w:val="32"/>
        </w:rPr>
        <w:t>万元，执行率100.00%。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2.资金执行情况</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（1）首都图书馆图书购置项目2049万元，支出1658.34万元，执行率80.93%，其中：中央转移支付资金1862万元，支出1471.34万元，执行率79.02%；地方资金187万元，支出187万元，执行率100%。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（2）濒危剧种免票或低票价演出项目50万元，支出50万元，全部为中央财政资金，执行率100.00%。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（3）公共文化云建设项目613.90万元，支出383.83万元，执行率62.52%，其中：中央转移支付资金603万元，支出372.93万元，执行率61.84%；地方资金10.90万元，支出10.90万元，执行率100%。</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（4）全国智慧图书馆项目100万元，支出96.89万元，全部为中央财政资金，执行率96.89%。</w:t>
      </w:r>
    </w:p>
    <w:p>
      <w:pPr>
        <w:adjustRightInd w:val="0"/>
        <w:snapToGrid w:val="0"/>
        <w:spacing w:line="360" w:lineRule="auto"/>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（三）资金管理情况分析</w:t>
      </w:r>
    </w:p>
    <w:p>
      <w:pPr>
        <w:pStyle w:val="2"/>
        <w:adjustRightInd w:val="0"/>
        <w:snapToGrid w:val="0"/>
        <w:spacing w:line="360" w:lineRule="auto"/>
        <w:ind w:left="0" w:firstLine="640" w:firstLineChars="200"/>
        <w:contextualSpacing w:val="0"/>
        <w:rPr>
          <w:rFonts w:ascii="仿宋_GB2312" w:hAnsi="仿宋_GB2312" w:cs="仿宋_GB2312"/>
          <w:sz w:val="32"/>
          <w:szCs w:val="32"/>
        </w:rPr>
      </w:pPr>
      <w:r>
        <w:rPr>
          <w:rFonts w:ascii="仿宋_GB2312" w:hAnsi="仿宋_GB2312" w:cs="仿宋_GB2312"/>
          <w:sz w:val="32"/>
          <w:szCs w:val="32"/>
        </w:rPr>
        <w:t>制度建设方面，按照《中央补助地方公共文化服务体系建设专项资金管理办法》（财教〔2015〕527号）要求，该专项涉及的各层级单位制定了相关管理办法，具体情况如下：</w:t>
      </w:r>
    </w:p>
    <w:p>
      <w:pPr>
        <w:pStyle w:val="2"/>
        <w:adjustRightInd w:val="0"/>
        <w:snapToGrid w:val="0"/>
        <w:spacing w:line="360" w:lineRule="auto"/>
        <w:ind w:left="0" w:firstLine="640" w:firstLineChars="200"/>
        <w:contextualSpacing w:val="0"/>
        <w:rPr>
          <w:rFonts w:ascii="仿宋_GB2312" w:hAnsi="仿宋_GB2312" w:cs="仿宋_GB2312"/>
          <w:sz w:val="32"/>
          <w:szCs w:val="32"/>
        </w:rPr>
      </w:pPr>
      <w:r>
        <w:rPr>
          <w:rFonts w:ascii="仿宋_GB2312" w:hAnsi="仿宋_GB2312" w:cs="仿宋_GB2312"/>
          <w:sz w:val="32"/>
          <w:szCs w:val="32"/>
        </w:rPr>
        <w:t>一是市级主管部门层面，在业务管理方面，我局牵头制定了《首都图书馆图书购置实施方案》，明确了图书购置的数量、质量和验收标准；制定了《2022年濒危剧种免票或低票价演出项目实施方案》，明确了报请专题会审议、建立例会制度、项目验收的管理措施；制定了《2022年公共文化云建设方案》，明确了数字文化馆建设目标、建设标准、成果提交等内容；制定了《北京市2022年全国智慧图书馆体系建设项目资源建设方案》，明确了项目建设目标、建设标准、测算依据等。在财务管理方面，为保证资金安全、有效使用，我局严格按照《北京市文化和旅游局财务管理办法（试行）》《北京市文化和旅游局资金支出管理办法（试行）》等制度使用、管理项目资金，并严格按规定在收到资金后的30日内将资金逐级拨付至实施单位。</w:t>
      </w:r>
    </w:p>
    <w:p>
      <w:pPr>
        <w:pStyle w:val="2"/>
        <w:adjustRightInd w:val="0"/>
        <w:snapToGrid w:val="0"/>
        <w:spacing w:line="360" w:lineRule="auto"/>
        <w:ind w:left="0" w:firstLine="640" w:firstLineChars="200"/>
        <w:contextualSpacing w:val="0"/>
        <w:rPr>
          <w:rFonts w:ascii="仿宋_GB2312" w:hAnsi="仿宋_GB2312" w:cs="仿宋_GB2312"/>
          <w:sz w:val="32"/>
          <w:szCs w:val="32"/>
        </w:rPr>
      </w:pPr>
      <w:r>
        <w:rPr>
          <w:rFonts w:ascii="仿宋_GB2312" w:hAnsi="仿宋_GB2312" w:cs="仿宋_GB2312"/>
          <w:sz w:val="32"/>
          <w:szCs w:val="32"/>
        </w:rPr>
        <w:t>二是各实施单位层面，各子项目涉及的各层级实施单位均制定了相关业务、财务管理制度，为项目规范有效实施提供了制度保障。如首都图书馆制定有《首都图书馆财务管理办法》（首图内发〔2020〕30号）、《首都图书馆采购管理办法》等资金管理办法，对首都图书馆的日常财务管理、采购管理、合同管理、项目经费使用和监管等内容进行了明确规定，规范了项目的预算编制、预算执行和监管。此外，首都图书馆还制定有《首都图书馆馆藏发展政策》《首都图书馆文献资产管理办法》《首都图书馆中文图书采访条例》《首都图书馆少儿图书采访条例》《首都图书馆特藏竞拍工作规章》《首都图书馆视听资料中心采访工作条例》《北京地方文献采访工作条例》《首都图书馆报刊文献采选条例》《首都图书馆中外文报刊入藏标准及范围》等业务管理办法，进一步明确了各类图书文献资产的入藏要求、采选范围等内容，从文献采选、验收、入藏、日常管理等方面对项目管理进行约束。北京市曲剧团严格按照《北京市曲剧团有限责任公司财务会计核算制度》《北京市曲剧团有限责任公司财务会计基础工作规范》《北京市曲剧团有限责任公司财务预算管理办法》《北京市曲剧团有限责任公司过渡期合同审核财务报销审批管理办法》等制度核算和使用补助资金。北京市文化馆制定了《北京市文化馆内部控制规范手册》《北京市文化馆内部控制制度汇编》等制度，对北京市文化馆的日常财务管理、采购管理、合同管理、项目经费使用和监管等内容进行了明确规定，规范了数字文化馆项目的预算编制、预算执行和监管。通州区图书馆为规范财务管理，提高财政资金使用效率，制定了《北京市通州区图书馆财务管理制度》，对财务岗位职责、预算编制、资金支出审批、财务核算、印章保管等做了明确规定，有效保障了项目的规范支出。</w:t>
      </w:r>
    </w:p>
    <w:p>
      <w:pPr>
        <w:pStyle w:val="2"/>
        <w:adjustRightInd w:val="0"/>
        <w:snapToGrid w:val="0"/>
        <w:spacing w:line="360" w:lineRule="auto"/>
        <w:ind w:left="0" w:firstLine="640" w:firstLineChars="200"/>
        <w:contextualSpacing w:val="0"/>
        <w:rPr>
          <w:rFonts w:ascii="仿宋_GB2312" w:hAnsi="仿宋_GB2312" w:cs="仿宋_GB2312"/>
          <w:sz w:val="32"/>
          <w:szCs w:val="32"/>
        </w:rPr>
      </w:pPr>
      <w:r>
        <w:rPr>
          <w:rFonts w:ascii="仿宋_GB2312" w:hAnsi="仿宋_GB2312" w:cs="仿宋_GB2312"/>
          <w:sz w:val="32"/>
          <w:szCs w:val="32"/>
        </w:rPr>
        <w:t>监管措施制定和落实方面，在健全各层级制度体系的基础上，我局对转移支付资金的使用建立了监管机制，包括建立绩效管理制度、确定绩效目标、对项目执行过程进行跟踪监管等。项目结束后，我局要求各层级实施单位对年度工作完成情况和资金使用情况进行总结，全面分析绩效目标完成情况和资金使用效益。</w:t>
      </w:r>
    </w:p>
    <w:p>
      <w:pPr>
        <w:pStyle w:val="2"/>
        <w:adjustRightInd w:val="0"/>
        <w:snapToGrid w:val="0"/>
        <w:spacing w:line="360" w:lineRule="auto"/>
        <w:ind w:left="0" w:firstLine="640" w:firstLineChars="200"/>
        <w:contextualSpacing w:val="0"/>
        <w:outlineLvl w:val="0"/>
        <w:rPr>
          <w:rFonts w:ascii="黑体" w:hAnsi="黑体" w:eastAsia="黑体" w:cs="黑体"/>
          <w:sz w:val="32"/>
          <w:szCs w:val="32"/>
        </w:rPr>
      </w:pPr>
      <w:r>
        <w:rPr>
          <w:rFonts w:hint="eastAsia" w:ascii="黑体" w:hAnsi="黑体" w:eastAsia="黑体" w:cs="黑体"/>
          <w:sz w:val="32"/>
          <w:szCs w:val="32"/>
        </w:rPr>
        <w:t>二、绩效目标实现情况</w:t>
      </w:r>
    </w:p>
    <w:p>
      <w:pPr>
        <w:adjustRightInd w:val="0"/>
        <w:snapToGrid w:val="0"/>
        <w:spacing w:line="360" w:lineRule="auto"/>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2022年，我市完成中央下达绩效目标情况如下：</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1.首都图书馆图书购置项目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购置了中文图书、外文及港台图书、古籍、报刊、视听资料和地方文献约16.27万册件，扩充了图书馆馆藏，进一步满足了读者阅读需求，丰富读者精神文化生活，为提高市民文化素质起到促进作用。</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全年完成北京曲剧演出100场，其中免费公益演出58场，低票价演出42场，经典传统剧目占比80%。演出剧目包括《龙须沟》《茶馆》《正红旗下》《四世同堂》《林则徐在北京》等5部北京曲剧剧目，惠及大兴区、通州区、朝阳区、西城区、东城区、海淀区6个区县，惠及观众10106人次，演出平均上座率83%，高质量的完成演出任务。</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3.公共文化云建设项目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全市开展全民艺术普及相关直录播27场次，开展5场区域性群众文化活动，全年举办学才艺培训11场，全市采集7204条场馆及活动信息，开展1个赶大集专区建设与运营，优化加工全民艺术普及微视频资源时长10小时。</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4.全国智慧图书馆体系建设项目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首都图书馆完成1个知识资源细颗粒度建设项目，细颗粒度资源标引2.0045万条；海淀区图书馆完成了1个知识资源细颗粒度建设项目，细颗粒度资源标引2.0553万条；通州区图书馆完成了运河文化数字资源建设项目，完成图片识别录入工作，完成《中国大运河历史文献集成》古籍数字化项目第三阶段（51-68卷共18册）内容的文本数字化转化，共计9200页；石景山区图书馆完成了西山永定河文化带数字资源建设项目，完成地方文献数字化6897页、音频10集、视频42集。</w:t>
      </w:r>
    </w:p>
    <w:p>
      <w:pPr>
        <w:adjustRightInd w:val="0"/>
        <w:snapToGrid w:val="0"/>
        <w:spacing w:line="360" w:lineRule="auto"/>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（二）绩效指标完成情况分析</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2022年，我局较好完成本专项各项目的绩效指标。各项指标完成情况如下：</w:t>
      </w:r>
    </w:p>
    <w:p>
      <w:pPr>
        <w:adjustRightInd w:val="0"/>
        <w:snapToGrid w:val="0"/>
        <w:spacing w:line="360" w:lineRule="auto"/>
        <w:ind w:firstLine="640" w:firstLineChars="200"/>
        <w:rPr>
          <w:rFonts w:ascii="仿宋_GB2312" w:hAnsi="仿宋_GB2312" w:cs="仿宋_GB2312"/>
          <w:bCs/>
          <w:sz w:val="32"/>
          <w:szCs w:val="32"/>
        </w:rPr>
      </w:pPr>
      <w:r>
        <w:rPr>
          <w:rFonts w:hint="eastAsia" w:ascii="仿宋_GB2312" w:hAnsi="仿宋_GB2312" w:cs="仿宋_GB2312"/>
          <w:bCs/>
          <w:sz w:val="32"/>
          <w:szCs w:val="32"/>
        </w:rPr>
        <w:t>1.</w:t>
      </w:r>
      <w:r>
        <w:rPr>
          <w:rFonts w:hint="eastAsia" w:ascii="仿宋_GB2312" w:hAnsi="仿宋_GB2312" w:cs="仿宋_GB2312"/>
          <w:sz w:val="32"/>
          <w:szCs w:val="32"/>
        </w:rPr>
        <w:t>首都图书馆图书购置项目</w:t>
      </w:r>
    </w:p>
    <w:p>
      <w:pPr>
        <w:adjustRightInd w:val="0"/>
        <w:snapToGrid w:val="0"/>
        <w:spacing w:line="360" w:lineRule="auto"/>
        <w:ind w:firstLine="640" w:firstLineChars="200"/>
        <w:rPr>
          <w:rFonts w:ascii="仿宋_GB2312" w:hAnsi="仿宋_GB2312" w:cs="仿宋_GB2312"/>
          <w:bCs/>
          <w:sz w:val="32"/>
          <w:szCs w:val="32"/>
        </w:rPr>
      </w:pPr>
      <w:r>
        <w:rPr>
          <w:rFonts w:hint="eastAsia" w:ascii="仿宋_GB2312" w:hAnsi="仿宋_GB2312" w:cs="仿宋_GB2312"/>
          <w:sz w:val="32"/>
          <w:szCs w:val="32"/>
        </w:rPr>
        <w:t>2022年，该项目各项指标基本完成。</w:t>
      </w:r>
      <w:r>
        <w:rPr>
          <w:rFonts w:hint="eastAsia" w:ascii="仿宋_GB2312" w:hAnsi="仿宋_GB2312" w:cs="仿宋_GB2312"/>
          <w:bCs/>
          <w:sz w:val="32"/>
          <w:szCs w:val="32"/>
        </w:rPr>
        <w:t>各项指标完成情况详见下表：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ascii="黑体" w:hAnsi="黑体" w:eastAsia="黑体" w:cs="黑体"/>
          <w:sz w:val="28"/>
          <w:szCs w:val="28"/>
        </w:rPr>
        <w:t>1</w:t>
      </w:r>
      <w:r>
        <w:rPr>
          <w:rFonts w:hint="eastAsia" w:ascii="黑体" w:hAnsi="黑体" w:eastAsia="黑体" w:cs="黑体"/>
          <w:sz w:val="28"/>
          <w:szCs w:val="28"/>
        </w:rPr>
        <w:t>：首都图书馆图书购置项目2022年度绩效指标完成情况表</w:t>
      </w:r>
    </w:p>
    <w:tbl>
      <w:tblPr>
        <w:tblStyle w:val="9"/>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8"/>
        <w:gridCol w:w="1428"/>
        <w:gridCol w:w="2089"/>
        <w:gridCol w:w="1597"/>
        <w:gridCol w:w="1636"/>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1148"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一级指标</w:t>
            </w:r>
          </w:p>
        </w:tc>
        <w:tc>
          <w:tcPr>
            <w:tcW w:w="1428"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二级指标</w:t>
            </w:r>
          </w:p>
        </w:tc>
        <w:tc>
          <w:tcPr>
            <w:tcW w:w="2089"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三级指标</w:t>
            </w:r>
          </w:p>
        </w:tc>
        <w:tc>
          <w:tcPr>
            <w:tcW w:w="1597"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年度指标值</w:t>
            </w:r>
          </w:p>
        </w:tc>
        <w:tc>
          <w:tcPr>
            <w:tcW w:w="1636"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完成值</w:t>
            </w:r>
          </w:p>
        </w:tc>
        <w:tc>
          <w:tcPr>
            <w:tcW w:w="102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完成比例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1428" w:type="dxa"/>
            <w:vMerge w:val="restart"/>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中文图书</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15.39万册</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0.31万册</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外文图书</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0.65万册</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0.85万册</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港台图书</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0.2万册</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0.29万册</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古籍</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0.01万册</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0.04万册</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中外文报刊</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13.7162万册</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13.39万册</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97.62%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中文视听资料</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3000张</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6378张</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外文视听资料</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1250张</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1242张</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99.36%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地方文献</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0.806万册件</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0.63万册件</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78.16%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restart"/>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总体质量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中文图书质量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外文图书质量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港台图书质量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古籍质量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报刊质量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中文视听资料质量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外文视听资料质量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地方文献质量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优良中低差</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restart"/>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方案制定和前期准备时间</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5月以前</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11月10日</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0.00</w:t>
            </w:r>
            <w:r>
              <w:rPr>
                <w:rFonts w:hint="eastAsia"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采购时间</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12月以前</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中文图书采购工作尚未结束，其他均完成</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52.15%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验收时间</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12月以前</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中文图书验收工作尚未结束，其他均完成</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52.15%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restart"/>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成本指标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中文图书预算控制数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≤985.12万</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595.07万元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外文图书预算控制数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≤350.00万元</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350.00万元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港台图书预算控制数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≤50.00万元</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50.00万元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古籍预算控制数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≤60.00万</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60.00万元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报刊预算控制数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≤439.60万</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439.60万元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中文视听资料预算控制数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≤30.00万</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30.00万元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外文视听资料预算控制数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≤25.00万元</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25.00万元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地方文献预算控制数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≤109.28万</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108.67万元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项目预算控制数</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≤2049.00万元</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1658.34万元</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效益指标</w:t>
            </w:r>
          </w:p>
        </w:tc>
        <w:tc>
          <w:tcPr>
            <w:tcW w:w="1428" w:type="dxa"/>
            <w:vMerge w:val="restart"/>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年流通人次</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≥200万人次</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149.84万人次</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74.92%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p>
        </w:tc>
        <w:tc>
          <w:tcPr>
            <w:tcW w:w="1428"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年文献外借量</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≥65万册次</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49.77万册次</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148"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满意度指标</w:t>
            </w:r>
          </w:p>
        </w:tc>
        <w:tc>
          <w:tcPr>
            <w:tcW w:w="1428"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服务对象满意度指标</w:t>
            </w:r>
          </w:p>
        </w:tc>
        <w:tc>
          <w:tcPr>
            <w:tcW w:w="2089"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读者满意度</w:t>
            </w:r>
          </w:p>
        </w:tc>
        <w:tc>
          <w:tcPr>
            <w:tcW w:w="1597"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≥80%</w:t>
            </w:r>
          </w:p>
        </w:tc>
        <w:tc>
          <w:tcPr>
            <w:tcW w:w="1636"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99.48%</w:t>
            </w:r>
          </w:p>
        </w:tc>
        <w:tc>
          <w:tcPr>
            <w:tcW w:w="1023" w:type="dxa"/>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r>
              <w:rPr>
                <w:rFonts w:ascii="宋体" w:hAnsi="宋体" w:eastAsia="宋体"/>
                <w:color w:val="000000"/>
                <w:sz w:val="20"/>
                <w:szCs w:val="20"/>
              </w:rPr>
              <w:t>%</w:t>
            </w:r>
          </w:p>
        </w:tc>
      </w:tr>
    </w:tbl>
    <w:p>
      <w:pPr>
        <w:adjustRightInd w:val="0"/>
        <w:snapToGrid w:val="0"/>
        <w:spacing w:line="360" w:lineRule="auto"/>
        <w:jc w:val="center"/>
        <w:rPr>
          <w:rFonts w:ascii="宋体" w:hAnsi="宋体" w:eastAsia="宋体" w:cs="宋体"/>
          <w:sz w:val="20"/>
          <w:szCs w:val="20"/>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2.濒危剧种免票或低票价演出项目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2022年，该项目各项指标均达到计划标准。各项指标完成情况详见下表：</w:t>
      </w:r>
    </w:p>
    <w:p>
      <w:pPr>
        <w:adjustRightInd w:val="0"/>
        <w:snapToGrid w:val="0"/>
        <w:jc w:val="center"/>
        <w:rPr>
          <w:rFonts w:ascii="黑体" w:hAnsi="黑体" w:eastAsia="黑体" w:cs="黑体"/>
          <w:sz w:val="28"/>
          <w:szCs w:val="28"/>
        </w:rPr>
      </w:pPr>
      <w:r>
        <w:rPr>
          <w:rFonts w:hint="eastAsia" w:ascii="黑体" w:hAnsi="黑体" w:eastAsia="黑体" w:cs="黑体"/>
          <w:sz w:val="28"/>
          <w:szCs w:val="28"/>
        </w:rPr>
        <w:t>表</w:t>
      </w:r>
      <w:r>
        <w:rPr>
          <w:rFonts w:ascii="黑体" w:hAnsi="黑体" w:eastAsia="黑体" w:cs="黑体"/>
          <w:sz w:val="28"/>
          <w:szCs w:val="28"/>
        </w:rPr>
        <w:t>2</w:t>
      </w:r>
      <w:r>
        <w:rPr>
          <w:rFonts w:hint="eastAsia" w:ascii="黑体" w:hAnsi="黑体" w:eastAsia="黑体" w:cs="黑体"/>
          <w:sz w:val="28"/>
          <w:szCs w:val="28"/>
        </w:rPr>
        <w:t>：濒危剧种免票或低票价演出项目</w:t>
      </w:r>
    </w:p>
    <w:p>
      <w:pPr>
        <w:adjustRightInd w:val="0"/>
        <w:snapToGrid w:val="0"/>
        <w:jc w:val="center"/>
        <w:rPr>
          <w:rFonts w:ascii="黑体" w:hAnsi="黑体" w:eastAsia="黑体" w:cs="黑体"/>
          <w:sz w:val="28"/>
          <w:szCs w:val="28"/>
        </w:rPr>
      </w:pPr>
      <w:r>
        <w:rPr>
          <w:rFonts w:hint="eastAsia" w:ascii="黑体" w:hAnsi="黑体" w:eastAsia="黑体" w:cs="黑体"/>
          <w:sz w:val="28"/>
          <w:szCs w:val="28"/>
        </w:rPr>
        <w:t>2022年度绩效指标完成情况</w:t>
      </w:r>
    </w:p>
    <w:tbl>
      <w:tblPr>
        <w:tblStyle w:val="9"/>
        <w:tblW w:w="8921" w:type="dxa"/>
        <w:jc w:val="center"/>
        <w:tblLayout w:type="fixed"/>
        <w:tblCellMar>
          <w:top w:w="0" w:type="dxa"/>
          <w:left w:w="0" w:type="dxa"/>
          <w:bottom w:w="0" w:type="dxa"/>
          <w:right w:w="0" w:type="dxa"/>
        </w:tblCellMar>
      </w:tblPr>
      <w:tblGrid>
        <w:gridCol w:w="1148"/>
        <w:gridCol w:w="1635"/>
        <w:gridCol w:w="1882"/>
        <w:gridCol w:w="1950"/>
        <w:gridCol w:w="1283"/>
        <w:gridCol w:w="1023"/>
      </w:tblGrid>
      <w:tr>
        <w:tblPrEx>
          <w:tblCellMar>
            <w:top w:w="0" w:type="dxa"/>
            <w:left w:w="0" w:type="dxa"/>
            <w:bottom w:w="0" w:type="dxa"/>
            <w:right w:w="0" w:type="dxa"/>
          </w:tblCellMar>
        </w:tblPrEx>
        <w:trPr>
          <w:trHeight w:val="283" w:hRule="atLeast"/>
          <w:jc w:val="center"/>
        </w:trPr>
        <w:tc>
          <w:tcPr>
            <w:tcW w:w="114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一级指标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二级指标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三级指标</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年度指标值</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完成值</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完成比例</w:t>
            </w:r>
          </w:p>
        </w:tc>
      </w:tr>
      <w:tr>
        <w:tblPrEx>
          <w:tblCellMar>
            <w:top w:w="0" w:type="dxa"/>
            <w:left w:w="0" w:type="dxa"/>
            <w:bottom w:w="0" w:type="dxa"/>
            <w:right w:w="0" w:type="dxa"/>
          </w:tblCellMar>
        </w:tblPrEx>
        <w:trPr>
          <w:trHeight w:val="283" w:hRule="atLeast"/>
          <w:jc w:val="center"/>
        </w:trPr>
        <w:tc>
          <w:tcPr>
            <w:tcW w:w="1148" w:type="dxa"/>
            <w:vMerge w:val="restart"/>
            <w:tcBorders>
              <w:top w:val="single" w:color="000000" w:sz="4" w:space="0"/>
              <w:left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演出剧目及场次</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≥100场</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100场</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vMerge w:val="continue"/>
            <w:tcBorders>
              <w:left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演出经典作品占比</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vMerge w:val="continue"/>
            <w:tcBorders>
              <w:left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全部组织完成时间</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2022年12月31日前</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2022年10月底</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vMerge w:val="continue"/>
            <w:tcBorders>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补助标准</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0.50万元</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0.50万元</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100</w:t>
            </w:r>
            <w:r>
              <w:rPr>
                <w:rFonts w:hint="eastAsia" w:ascii="宋体" w:hAnsi="宋体" w:eastAsia="宋体"/>
                <w:color w:val="000000"/>
                <w:sz w:val="20"/>
                <w:szCs w:val="20"/>
              </w:rPr>
              <w:t>.00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vMerge w:val="restart"/>
            <w:tcBorders>
              <w:top w:val="single" w:color="000000" w:sz="4" w:space="0"/>
              <w:left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效益指标</w:t>
            </w:r>
          </w:p>
        </w:tc>
        <w:tc>
          <w:tcPr>
            <w:tcW w:w="1635" w:type="dxa"/>
            <w:vMerge w:val="restart"/>
            <w:tcBorders>
              <w:top w:val="single" w:color="000000" w:sz="4" w:space="0"/>
              <w:left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社会效益</w:t>
            </w:r>
          </w:p>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观众总人次</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预计整体项目结束观众观看人次可达到1万人次</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10106人次</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w:t>
            </w:r>
            <w:r>
              <w:rPr>
                <w:rFonts w:hint="eastAsia" w:ascii="宋体" w:hAnsi="宋体" w:eastAsia="宋体"/>
                <w:color w:val="000000"/>
                <w:sz w:val="20"/>
                <w:szCs w:val="20"/>
              </w:rPr>
              <w:t>0.00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vMerge w:val="continue"/>
            <w:tcBorders>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1635" w:type="dxa"/>
            <w:vMerge w:val="continue"/>
            <w:tcBorders>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平均上座率</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olor w:val="000000"/>
                <w:sz w:val="20"/>
                <w:szCs w:val="20"/>
              </w:rPr>
            </w:pPr>
            <w:r>
              <w:rPr>
                <w:rFonts w:hint="eastAsia" w:ascii="宋体" w:hAnsi="宋体" w:eastAsia="宋体"/>
                <w:color w:val="000000"/>
                <w:kern w:val="0"/>
                <w:sz w:val="20"/>
                <w:szCs w:val="20"/>
                <w:lang w:bidi="ar"/>
              </w:rPr>
              <w:t>≥70%</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olor w:val="000000"/>
                <w:sz w:val="20"/>
                <w:szCs w:val="20"/>
              </w:rPr>
            </w:pPr>
            <w:r>
              <w:rPr>
                <w:rFonts w:ascii="宋体" w:hAnsi="宋体" w:eastAsia="宋体"/>
                <w:color w:val="000000"/>
                <w:kern w:val="0"/>
                <w:sz w:val="20"/>
                <w:szCs w:val="20"/>
                <w:lang w:bidi="ar"/>
              </w:rPr>
              <w:t>83%</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hint="eastAsia" w:ascii="宋体" w:hAnsi="宋体" w:eastAsia="宋体"/>
                <w:color w:val="000000"/>
                <w:sz w:val="20"/>
                <w:szCs w:val="20"/>
              </w:rPr>
              <w:t>100.00</w:t>
            </w:r>
            <w:r>
              <w:rPr>
                <w:rFonts w:ascii="宋体" w:hAnsi="宋体" w:eastAsia="宋体"/>
                <w:color w:val="000000"/>
                <w:sz w:val="20"/>
                <w:szCs w:val="20"/>
              </w:rPr>
              <w:t>%</w:t>
            </w:r>
          </w:p>
        </w:tc>
      </w:tr>
      <w:tr>
        <w:tblPrEx>
          <w:tblCellMar>
            <w:top w:w="0" w:type="dxa"/>
            <w:left w:w="0" w:type="dxa"/>
            <w:bottom w:w="0" w:type="dxa"/>
            <w:right w:w="0" w:type="dxa"/>
          </w:tblCellMar>
        </w:tblPrEx>
        <w:trPr>
          <w:trHeight w:val="283" w:hRule="atLeast"/>
          <w:jc w:val="center"/>
        </w:trPr>
        <w:tc>
          <w:tcPr>
            <w:tcW w:w="1148"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满意度指标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服务对象</w:t>
            </w:r>
          </w:p>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882"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演出观众满意度</w:t>
            </w:r>
          </w:p>
        </w:tc>
        <w:tc>
          <w:tcPr>
            <w:tcW w:w="19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olor w:val="000000"/>
                <w:sz w:val="20"/>
                <w:szCs w:val="20"/>
              </w:rPr>
            </w:pPr>
            <w:r>
              <w:rPr>
                <w:rFonts w:ascii="宋体" w:hAnsi="宋体" w:eastAsia="宋体"/>
                <w:color w:val="000000"/>
                <w:kern w:val="0"/>
                <w:sz w:val="20"/>
                <w:szCs w:val="20"/>
                <w:lang w:bidi="ar"/>
              </w:rPr>
              <w:t>85%</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olor w:val="000000"/>
                <w:sz w:val="20"/>
                <w:szCs w:val="20"/>
              </w:rPr>
            </w:pPr>
            <w:r>
              <w:rPr>
                <w:rFonts w:ascii="宋体" w:hAnsi="宋体" w:eastAsia="宋体"/>
                <w:color w:val="000000"/>
                <w:kern w:val="0"/>
                <w:sz w:val="20"/>
                <w:szCs w:val="20"/>
                <w:lang w:bidi="ar"/>
              </w:rPr>
              <w:t>9</w:t>
            </w:r>
            <w:r>
              <w:rPr>
                <w:rFonts w:hint="eastAsia" w:ascii="宋体" w:hAnsi="宋体" w:eastAsia="宋体"/>
                <w:color w:val="000000"/>
                <w:kern w:val="0"/>
                <w:sz w:val="20"/>
                <w:szCs w:val="20"/>
                <w:lang w:bidi="ar"/>
              </w:rPr>
              <w:t>5.36</w:t>
            </w:r>
            <w:r>
              <w:rPr>
                <w:rFonts w:ascii="宋体" w:hAnsi="宋体" w:eastAsia="宋体"/>
                <w:color w:val="000000"/>
                <w:kern w:val="0"/>
                <w:sz w:val="20"/>
                <w:szCs w:val="20"/>
                <w:lang w:bidi="ar"/>
              </w:rPr>
              <w:t>%</w:t>
            </w:r>
          </w:p>
        </w:tc>
        <w:tc>
          <w:tcPr>
            <w:tcW w:w="1023"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adjustRightInd w:val="0"/>
              <w:snapToGrid w:val="0"/>
              <w:jc w:val="center"/>
              <w:rPr>
                <w:rFonts w:ascii="宋体" w:hAnsi="宋体" w:eastAsia="宋体"/>
                <w:color w:val="000000"/>
                <w:sz w:val="20"/>
                <w:szCs w:val="20"/>
              </w:rPr>
            </w:pPr>
            <w:r>
              <w:rPr>
                <w:rFonts w:ascii="宋体" w:hAnsi="宋体" w:eastAsia="宋体"/>
                <w:color w:val="000000"/>
                <w:sz w:val="20"/>
                <w:szCs w:val="20"/>
              </w:rPr>
              <w:t>10</w:t>
            </w:r>
            <w:r>
              <w:rPr>
                <w:rFonts w:hint="eastAsia" w:ascii="宋体" w:hAnsi="宋体" w:eastAsia="宋体"/>
                <w:color w:val="000000"/>
                <w:sz w:val="20"/>
                <w:szCs w:val="20"/>
              </w:rPr>
              <w:t>0.00</w:t>
            </w:r>
            <w:r>
              <w:rPr>
                <w:rFonts w:ascii="宋体" w:hAnsi="宋体" w:eastAsia="宋体"/>
                <w:color w:val="000000"/>
                <w:sz w:val="20"/>
                <w:szCs w:val="20"/>
              </w:rPr>
              <w:t>%</w:t>
            </w:r>
          </w:p>
        </w:tc>
      </w:tr>
    </w:tbl>
    <w:p>
      <w:pPr>
        <w:adjustRightInd w:val="0"/>
        <w:snapToGrid w:val="0"/>
        <w:spacing w:line="360" w:lineRule="auto"/>
        <w:ind w:firstLine="400" w:firstLineChars="200"/>
        <w:jc w:val="center"/>
        <w:rPr>
          <w:rFonts w:ascii="宋体" w:hAnsi="宋体" w:eastAsia="宋体"/>
          <w:sz w:val="20"/>
          <w:szCs w:val="20"/>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 公共文化云建设项目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该项目按计划完成了中央下达的各项绩效指标。各项指标完成情况详见下表：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ascii="黑体" w:hAnsi="黑体" w:eastAsia="黑体" w:cs="黑体"/>
          <w:sz w:val="28"/>
          <w:szCs w:val="28"/>
        </w:rPr>
        <w:t>3</w:t>
      </w:r>
      <w:r>
        <w:rPr>
          <w:rFonts w:hint="eastAsia" w:ascii="黑体" w:hAnsi="黑体" w:eastAsia="黑体" w:cs="黑体"/>
          <w:sz w:val="28"/>
          <w:szCs w:val="28"/>
        </w:rPr>
        <w:t>：公共文化云建设项目2022年度绩效指标完成情况</w:t>
      </w:r>
    </w:p>
    <w:tbl>
      <w:tblPr>
        <w:tblStyle w:val="9"/>
        <w:tblW w:w="8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7"/>
        <w:gridCol w:w="757"/>
        <w:gridCol w:w="1483"/>
        <w:gridCol w:w="2065"/>
        <w:gridCol w:w="1151"/>
        <w:gridCol w:w="1210"/>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557"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一级指标</w:t>
            </w:r>
          </w:p>
        </w:tc>
        <w:tc>
          <w:tcPr>
            <w:tcW w:w="757"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二级指标</w:t>
            </w:r>
          </w:p>
        </w:tc>
        <w:tc>
          <w:tcPr>
            <w:tcW w:w="1483"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三级指标</w:t>
            </w:r>
          </w:p>
        </w:tc>
        <w:tc>
          <w:tcPr>
            <w:tcW w:w="2065"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年度指标值</w:t>
            </w:r>
          </w:p>
        </w:tc>
        <w:tc>
          <w:tcPr>
            <w:tcW w:w="1151"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完成值</w:t>
            </w:r>
          </w:p>
        </w:tc>
        <w:tc>
          <w:tcPr>
            <w:tcW w:w="1210"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完成比例</w:t>
            </w:r>
          </w:p>
        </w:tc>
        <w:tc>
          <w:tcPr>
            <w:tcW w:w="1641" w:type="dxa"/>
            <w:shd w:val="clear" w:color="auto" w:fill="auto"/>
            <w:vAlign w:val="center"/>
          </w:tcPr>
          <w:p>
            <w:pPr>
              <w:widowControl/>
              <w:adjustRightInd w:val="0"/>
              <w:snapToGrid w:val="0"/>
              <w:jc w:val="center"/>
              <w:rPr>
                <w:rFonts w:ascii="宋体" w:hAnsi="宋体" w:eastAsia="宋体"/>
                <w:b/>
                <w:bCs/>
                <w:color w:val="000000"/>
                <w:kern w:val="0"/>
                <w:sz w:val="20"/>
                <w:szCs w:val="20"/>
              </w:rPr>
            </w:pPr>
            <w:r>
              <w:rPr>
                <w:rFonts w:hint="eastAsia" w:ascii="宋体" w:hAnsi="宋体" w:eastAsia="宋体"/>
                <w:b/>
                <w:bCs/>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restart"/>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产出指标</w:t>
            </w:r>
          </w:p>
        </w:tc>
        <w:tc>
          <w:tcPr>
            <w:tcW w:w="757" w:type="dxa"/>
            <w:vMerge w:val="restart"/>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数量指标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eastAsia="宋体"/>
                <w:color w:val="000000"/>
                <w:kern w:val="0"/>
                <w:sz w:val="20"/>
                <w:szCs w:val="20"/>
              </w:rPr>
              <w:t>直录播场次</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≥27场次</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27场次</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eastAsia="宋体"/>
                <w:color w:val="000000"/>
                <w:kern w:val="0"/>
                <w:sz w:val="20"/>
                <w:szCs w:val="20"/>
              </w:rPr>
              <w:t>区域性群众文化活动</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≥3场次</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5场次</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学才艺培训</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≥11场次</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11场次</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eastAsia="宋体"/>
                <w:color w:val="000000"/>
                <w:kern w:val="0"/>
                <w:sz w:val="20"/>
                <w:szCs w:val="20"/>
              </w:rPr>
              <w:t>场馆信息</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≥5335条</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7204条</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建设赶大集专区</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1个专区</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1个专区</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全民艺术普及数字资源</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≥7小时</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10小时</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培训人数</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≥50人次</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67人次</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restart"/>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质量指标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直录播</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满足公共文化云建设项目“十四五”建设指南要求</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通过国家云平台直录播审核并播出的比例</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区域性群众文化活动</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线上活动的举办和专题页建设并适用于 web、app、H5，兼容 IOS 和安卓系统</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学才艺课程内容</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满足公共文化云建设项目“十四五”建设指南要求</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学才艺课程结构</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每场8门课程；每门课程不少于6个章节；每门课程总时长不少于45分钟</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每场8门课程；每门课程6个章节；每门课程总时长45分钟</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学才艺课程视频</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课程要求画质高清、声音清楚</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订场馆信息准确率</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赶大集专区</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完成开设店铺；加载文创产品；完成人员培训</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全民艺术普及数字资源</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不低于高清标准，画面清晰。声音符合相关技术标准，无失真，配音、配乐得当。字幕使用规范，无错别字。解说得当，普通话发音。</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符合要求</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培训合格率</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≥98%</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时效指标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项目实施</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2022年12月底前</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2023年4月</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疫情原因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vAlign w:val="center"/>
          </w:tcPr>
          <w:p>
            <w:pPr>
              <w:widowControl/>
              <w:adjustRightInd w:val="0"/>
              <w:snapToGrid w:val="0"/>
              <w:jc w:val="center"/>
              <w:rPr>
                <w:rFonts w:ascii="宋体" w:hAnsi="宋体" w:eastAsia="宋体"/>
                <w:kern w:val="0"/>
                <w:sz w:val="20"/>
                <w:szCs w:val="20"/>
              </w:rPr>
            </w:pPr>
          </w:p>
        </w:tc>
        <w:tc>
          <w:tcPr>
            <w:tcW w:w="757" w:type="dxa"/>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成本指标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项目总预算</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≤613.90万元</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383.83万元</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restart"/>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效益指标</w:t>
            </w:r>
          </w:p>
        </w:tc>
        <w:tc>
          <w:tcPr>
            <w:tcW w:w="757" w:type="dxa"/>
            <w:vMerge w:val="restart"/>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社会效益指标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在为广大群众提供更多、更好、更丰富的文化及生活需求方面的社会影响力</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服务内容更加丰富、满足多样化文化需求</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757" w:type="dxa"/>
            <w:vMerge w:val="continue"/>
            <w:shd w:val="clear" w:color="auto" w:fill="auto"/>
            <w:vAlign w:val="center"/>
          </w:tcPr>
          <w:p>
            <w:pPr>
              <w:widowControl/>
              <w:adjustRightInd w:val="0"/>
              <w:snapToGrid w:val="0"/>
              <w:jc w:val="center"/>
              <w:rPr>
                <w:rFonts w:ascii="宋体" w:hAnsi="宋体" w:eastAsia="宋体"/>
                <w:kern w:val="0"/>
                <w:sz w:val="20"/>
                <w:szCs w:val="20"/>
              </w:rPr>
            </w:pP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服务能力</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提升</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7" w:type="dxa"/>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满意度指标</w:t>
            </w:r>
          </w:p>
        </w:tc>
        <w:tc>
          <w:tcPr>
            <w:tcW w:w="757" w:type="dxa"/>
            <w:shd w:val="clear" w:color="auto" w:fill="auto"/>
            <w:vAlign w:val="center"/>
          </w:tcPr>
          <w:p>
            <w:pPr>
              <w:widowControl/>
              <w:adjustRightInd w:val="0"/>
              <w:snapToGrid w:val="0"/>
              <w:jc w:val="center"/>
              <w:rPr>
                <w:rFonts w:ascii="宋体" w:hAnsi="宋体" w:eastAsia="宋体"/>
                <w:kern w:val="0"/>
                <w:sz w:val="20"/>
                <w:szCs w:val="20"/>
              </w:rPr>
            </w:pPr>
            <w:r>
              <w:rPr>
                <w:rFonts w:hint="eastAsia" w:ascii="宋体" w:hAnsi="宋体" w:eastAsia="宋体"/>
                <w:kern w:val="0"/>
                <w:sz w:val="20"/>
                <w:szCs w:val="20"/>
              </w:rPr>
              <w:t>服务对象满意度指标</w:t>
            </w:r>
          </w:p>
        </w:tc>
        <w:tc>
          <w:tcPr>
            <w:tcW w:w="1483"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网络受众满意度</w:t>
            </w:r>
          </w:p>
        </w:tc>
        <w:tc>
          <w:tcPr>
            <w:tcW w:w="2065"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≥90%</w:t>
            </w:r>
          </w:p>
        </w:tc>
        <w:tc>
          <w:tcPr>
            <w:tcW w:w="1151"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满意</w:t>
            </w:r>
          </w:p>
        </w:tc>
        <w:tc>
          <w:tcPr>
            <w:tcW w:w="1210" w:type="dxa"/>
            <w:shd w:val="clear" w:color="auto" w:fill="auto"/>
            <w:vAlign w:val="center"/>
          </w:tcPr>
          <w:p>
            <w:pPr>
              <w:widowControl/>
              <w:adjustRightInd w:val="0"/>
              <w:snapToGrid w:val="0"/>
              <w:jc w:val="center"/>
              <w:rPr>
                <w:rFonts w:ascii="宋体" w:hAnsi="宋体" w:eastAsia="宋体"/>
                <w:color w:val="000000"/>
                <w:kern w:val="0"/>
                <w:sz w:val="20"/>
                <w:szCs w:val="20"/>
              </w:rPr>
            </w:pPr>
            <w:r>
              <w:rPr>
                <w:rFonts w:hint="eastAsia" w:ascii="宋体" w:hAnsi="宋体" w:eastAsia="宋体"/>
                <w:color w:val="000000"/>
                <w:kern w:val="0"/>
                <w:sz w:val="20"/>
                <w:szCs w:val="20"/>
              </w:rPr>
              <w:t>100.00%</w:t>
            </w:r>
          </w:p>
        </w:tc>
        <w:tc>
          <w:tcPr>
            <w:tcW w:w="1641" w:type="dxa"/>
            <w:shd w:val="clear" w:color="auto" w:fill="auto"/>
            <w:vAlign w:val="center"/>
          </w:tcPr>
          <w:p>
            <w:pPr>
              <w:widowControl/>
              <w:adjustRightInd w:val="0"/>
              <w:snapToGrid w:val="0"/>
              <w:rPr>
                <w:rFonts w:ascii="宋体" w:hAnsi="宋体" w:eastAsia="宋体"/>
                <w:color w:val="000000"/>
                <w:kern w:val="0"/>
                <w:sz w:val="20"/>
                <w:szCs w:val="20"/>
              </w:rPr>
            </w:pPr>
            <w:r>
              <w:rPr>
                <w:rFonts w:hint="eastAsia" w:ascii="宋体" w:hAnsi="宋体" w:eastAsia="宋体"/>
                <w:color w:val="000000"/>
                <w:kern w:val="0"/>
                <w:sz w:val="20"/>
                <w:szCs w:val="20"/>
              </w:rPr>
              <w:t>网络受众满意度比率难以测评，每场全民艺术普及相关直录播都获得了较高的浏览量。</w:t>
            </w:r>
          </w:p>
        </w:tc>
      </w:tr>
    </w:tbl>
    <w:p>
      <w:pPr>
        <w:adjustRightInd w:val="0"/>
        <w:snapToGrid w:val="0"/>
        <w:spacing w:line="360" w:lineRule="auto"/>
        <w:jc w:val="center"/>
        <w:rPr>
          <w:rFonts w:ascii="宋体" w:hAnsi="宋体" w:eastAsia="宋体"/>
          <w:sz w:val="20"/>
          <w:szCs w:val="20"/>
        </w:rPr>
      </w:pP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 全国智慧图书馆体系建设项目</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2022年，该项目按计划完成了中央下达的各项绩效指标。各项指标完成情况详见下表：</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w:t>
      </w:r>
      <w:r>
        <w:rPr>
          <w:rFonts w:ascii="黑体" w:hAnsi="黑体" w:eastAsia="黑体" w:cs="黑体"/>
          <w:sz w:val="28"/>
          <w:szCs w:val="28"/>
        </w:rPr>
        <w:t>4</w:t>
      </w:r>
      <w:r>
        <w:rPr>
          <w:rFonts w:hint="eastAsia" w:ascii="黑体" w:hAnsi="黑体" w:eastAsia="黑体" w:cs="黑体"/>
          <w:sz w:val="28"/>
          <w:szCs w:val="28"/>
        </w:rPr>
        <w:t>：全国智慧图书馆体系建设项目202</w:t>
      </w:r>
      <w:r>
        <w:rPr>
          <w:rFonts w:ascii="黑体" w:hAnsi="黑体" w:eastAsia="黑体" w:cs="黑体"/>
          <w:sz w:val="28"/>
          <w:szCs w:val="28"/>
        </w:rPr>
        <w:t>2</w:t>
      </w:r>
      <w:r>
        <w:rPr>
          <w:rFonts w:hint="eastAsia" w:ascii="黑体" w:hAnsi="黑体" w:eastAsia="黑体" w:cs="黑体"/>
          <w:sz w:val="28"/>
          <w:szCs w:val="28"/>
        </w:rPr>
        <w:t>年度绩效指标完成情况</w:t>
      </w:r>
    </w:p>
    <w:tbl>
      <w:tblPr>
        <w:tblStyle w:val="9"/>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1"/>
        <w:gridCol w:w="816"/>
        <w:gridCol w:w="1193"/>
        <w:gridCol w:w="2670"/>
        <w:gridCol w:w="1845"/>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651"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一级指标</w:t>
            </w:r>
          </w:p>
        </w:tc>
        <w:tc>
          <w:tcPr>
            <w:tcW w:w="816"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二级指标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三级指标</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年度指标值</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完成值</w:t>
            </w:r>
          </w:p>
        </w:tc>
        <w:tc>
          <w:tcPr>
            <w:tcW w:w="982"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完成比例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816"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文献数字化与音视频制作</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地方文献数字化不低于3400页；古籍文献数字化不低于9100页；音频不低于50集；视频不低于40集（根据文献资源收集情况，文献与音视频之间可调整数量）</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地方文献数字化6897页、古籍文献数字化9200页；音频10集、视频42集</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816"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细颗粒度资源标引数量</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40000条</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40598条</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p>
        </w:tc>
        <w:tc>
          <w:tcPr>
            <w:tcW w:w="816"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文献数字化质量</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保证文本文件清晰；结构分明；文本错误率万分之五左右</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kern w:val="0"/>
                <w:sz w:val="20"/>
                <w:szCs w:val="20"/>
                <w:lang w:bidi="ar"/>
              </w:rPr>
            </w:pP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音视频对象数据质量</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对象数据符合统一标准规范要求</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kern w:val="0"/>
                <w:sz w:val="20"/>
                <w:szCs w:val="20"/>
                <w:lang w:bidi="ar"/>
              </w:rPr>
            </w:pP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标引的粒度及完整性</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实现段落、篇章级的标引，包括主题词、关键词等关键信息标引</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时效指标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完成时间</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2022年12月</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2022年12月</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vMerge w:val="restart"/>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成本指标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文献数字化成本</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扫描识别+人工录入12元/页；人工一校次6元/页；人工二校次4元/页</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扫描识别+人工录入12元/页；人工一校次6元/页；人工二校次4元/页</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kern w:val="0"/>
                <w:sz w:val="20"/>
                <w:szCs w:val="20"/>
                <w:lang w:bidi="ar"/>
              </w:rPr>
            </w:pP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音视频成本</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音频文件加工：500元/集；视频文件：2500元/集</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音频文件加工：500元/集；视频文件：2500元/集</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vMerge w:val="continue"/>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p>
        </w:tc>
        <w:tc>
          <w:tcPr>
            <w:tcW w:w="816" w:type="dxa"/>
            <w:vMerge w:val="continue"/>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kern w:val="0"/>
                <w:sz w:val="20"/>
                <w:szCs w:val="20"/>
                <w:lang w:bidi="ar"/>
              </w:rPr>
            </w:pP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单条资源标引成本</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15元/条</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15元/条</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效益指标</w:t>
            </w:r>
          </w:p>
        </w:tc>
        <w:tc>
          <w:tcPr>
            <w:tcW w:w="816"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社会效益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社会影响力</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提高图书馆的知识服务水平，满足民众的文化需求，提供高质量的公共文化服务同时更好地传播和利用本地特色文献资源，促进地方经济发展和社会进步。</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982" w:type="dxa"/>
            <w:shd w:val="clear" w:color="auto" w:fill="auto"/>
            <w:noWrap/>
            <w:tcMar>
              <w:top w:w="8" w:type="dxa"/>
              <w:left w:w="8" w:type="dxa"/>
              <w:right w:w="8" w:type="dxa"/>
            </w:tcMar>
            <w:vAlign w:val="center"/>
          </w:tcPr>
          <w:p>
            <w:pPr>
              <w:adjustRightInd w:val="0"/>
              <w:snapToGrid w:val="0"/>
              <w:jc w:val="center"/>
              <w:rPr>
                <w:rFonts w:ascii="宋体" w:hAnsi="宋体" w:eastAsia="宋体" w:cs="宋体"/>
                <w:color w:val="000000"/>
                <w:sz w:val="20"/>
                <w:szCs w:val="20"/>
              </w:rPr>
            </w:pPr>
            <w:r>
              <w:rPr>
                <w:rFonts w:ascii="宋体" w:hAnsi="宋体" w:eastAsia="宋体" w:cs="宋体"/>
                <w:color w:val="000000"/>
                <w:sz w:val="20"/>
                <w:szCs w:val="20"/>
              </w:rPr>
              <w:t>100</w:t>
            </w:r>
            <w:r>
              <w:rPr>
                <w:rFonts w:hint="eastAsia" w:ascii="宋体" w:hAnsi="宋体" w:eastAsia="宋体" w:cs="宋体"/>
                <w:color w:val="000000"/>
                <w:sz w:val="20"/>
                <w:szCs w:val="20"/>
              </w:rPr>
              <w:t>.00</w:t>
            </w:r>
            <w:r>
              <w:rPr>
                <w:rFonts w:ascii="宋体" w:hAnsi="宋体" w:eastAsia="宋体" w:cs="宋体"/>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651"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满意度指标</w:t>
            </w:r>
          </w:p>
        </w:tc>
        <w:tc>
          <w:tcPr>
            <w:tcW w:w="816"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1193"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社会群众满意度</w:t>
            </w:r>
          </w:p>
        </w:tc>
        <w:tc>
          <w:tcPr>
            <w:tcW w:w="2670"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不单独测评</w:t>
            </w:r>
          </w:p>
        </w:tc>
        <w:tc>
          <w:tcPr>
            <w:tcW w:w="1845"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不单独测评</w:t>
            </w:r>
          </w:p>
        </w:tc>
        <w:tc>
          <w:tcPr>
            <w:tcW w:w="982" w:type="dxa"/>
            <w:shd w:val="clear" w:color="auto" w:fill="auto"/>
            <w:noWrap/>
            <w:tcMar>
              <w:top w:w="8" w:type="dxa"/>
              <w:left w:w="8" w:type="dxa"/>
              <w:right w:w="8" w:type="dxa"/>
            </w:tcMar>
            <w:vAlign w:val="center"/>
          </w:tcPr>
          <w:p>
            <w:pPr>
              <w:widowControl/>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w:t>
            </w:r>
          </w:p>
        </w:tc>
      </w:tr>
    </w:tbl>
    <w:p>
      <w:pPr>
        <w:adjustRightInd w:val="0"/>
        <w:snapToGrid w:val="0"/>
        <w:spacing w:line="580" w:lineRule="exact"/>
        <w:rPr>
          <w:rFonts w:eastAsia="黑体"/>
          <w:sz w:val="28"/>
          <w:szCs w:val="28"/>
        </w:rPr>
      </w:pPr>
    </w:p>
    <w:p>
      <w:pPr>
        <w:adjustRightInd w:val="0"/>
        <w:snapToGrid w:val="0"/>
        <w:spacing w:line="360" w:lineRule="auto"/>
        <w:ind w:firstLine="640" w:firstLineChars="200"/>
        <w:outlineLvl w:val="0"/>
        <w:rPr>
          <w:rFonts w:ascii="黑体" w:hAnsi="黑体" w:eastAsia="黑体" w:cs="黑体"/>
          <w:sz w:val="32"/>
          <w:szCs w:val="32"/>
        </w:rPr>
      </w:pPr>
      <w:r>
        <w:rPr>
          <w:rFonts w:hint="eastAsia" w:ascii="黑体" w:hAnsi="黑体" w:eastAsia="黑体" w:cs="黑体"/>
          <w:sz w:val="32"/>
          <w:szCs w:val="32"/>
        </w:rPr>
        <w:t>三、绩效自评结论</w:t>
      </w:r>
    </w:p>
    <w:p>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项目严格按照转移支付管理制度以及资金管理办法规定的范围和标准分配资金；严格按照预算法及其实施条例、转移支付管理制度规定以及资金管理办法规定的时限要求分解下达资金；严格按照国库集中支付制度有关规定支付资金，未出现违规将资金从国库转入财政专户或支付到预算单位实有资金账户等问题；严格按照下达预算的科目和项目执行，未出现截留、挤占、挪用或擅自调整等问题；按照上级下达和本级预算安排的金额执行，不存在执行数偏离预算数较多的问题，并将该转移支付资金纳入对下转移支付绩效管理。项目已完成的工作较好的实现预期目标，绩效自评总体结论“良好”。受疫情影响，部分子项目工作内容尚未全部完成，影响了预算执行率。下一步我局将督促各单位抓紧完成各项工作，加快资金执行进度，确保资金执行到位，财政资金使用效益充分发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0MjZhN2Y4MjBjNzU1ZGUyYmRmNjI4ZjllZGY1YzMifQ=="/>
  </w:docVars>
  <w:rsids>
    <w:rsidRoot w:val="00514848"/>
    <w:rsid w:val="000004AE"/>
    <w:rsid w:val="000010D3"/>
    <w:rsid w:val="000156D3"/>
    <w:rsid w:val="00015801"/>
    <w:rsid w:val="000175E0"/>
    <w:rsid w:val="00017FA6"/>
    <w:rsid w:val="00021D36"/>
    <w:rsid w:val="00023A6D"/>
    <w:rsid w:val="00024ABB"/>
    <w:rsid w:val="00027CC5"/>
    <w:rsid w:val="00031799"/>
    <w:rsid w:val="00031E7F"/>
    <w:rsid w:val="0003327B"/>
    <w:rsid w:val="00036B14"/>
    <w:rsid w:val="000415A5"/>
    <w:rsid w:val="00045724"/>
    <w:rsid w:val="00045C27"/>
    <w:rsid w:val="00051E44"/>
    <w:rsid w:val="00054D8D"/>
    <w:rsid w:val="00061ED6"/>
    <w:rsid w:val="000640A3"/>
    <w:rsid w:val="00065E6D"/>
    <w:rsid w:val="00066EF9"/>
    <w:rsid w:val="00072453"/>
    <w:rsid w:val="000745B4"/>
    <w:rsid w:val="000765D1"/>
    <w:rsid w:val="00081060"/>
    <w:rsid w:val="0008478B"/>
    <w:rsid w:val="00084E29"/>
    <w:rsid w:val="00087AFD"/>
    <w:rsid w:val="00091C2A"/>
    <w:rsid w:val="00091FBD"/>
    <w:rsid w:val="00093D96"/>
    <w:rsid w:val="00097CCE"/>
    <w:rsid w:val="000A12A7"/>
    <w:rsid w:val="000A33FE"/>
    <w:rsid w:val="000A393C"/>
    <w:rsid w:val="000A428B"/>
    <w:rsid w:val="000A646E"/>
    <w:rsid w:val="000B3B92"/>
    <w:rsid w:val="000B488C"/>
    <w:rsid w:val="000B6D81"/>
    <w:rsid w:val="000C6080"/>
    <w:rsid w:val="000C61B1"/>
    <w:rsid w:val="000D1A24"/>
    <w:rsid w:val="000D31CC"/>
    <w:rsid w:val="000D5DCC"/>
    <w:rsid w:val="000E627A"/>
    <w:rsid w:val="000F4BF3"/>
    <w:rsid w:val="000F4EAA"/>
    <w:rsid w:val="000F541B"/>
    <w:rsid w:val="000F626F"/>
    <w:rsid w:val="000F68DD"/>
    <w:rsid w:val="00117626"/>
    <w:rsid w:val="00122524"/>
    <w:rsid w:val="0012543F"/>
    <w:rsid w:val="00130269"/>
    <w:rsid w:val="00130571"/>
    <w:rsid w:val="00131159"/>
    <w:rsid w:val="00131AD4"/>
    <w:rsid w:val="0013571B"/>
    <w:rsid w:val="00146C2B"/>
    <w:rsid w:val="0014798A"/>
    <w:rsid w:val="0015385F"/>
    <w:rsid w:val="0015552A"/>
    <w:rsid w:val="0016474B"/>
    <w:rsid w:val="00164799"/>
    <w:rsid w:val="00165FA4"/>
    <w:rsid w:val="00174E09"/>
    <w:rsid w:val="001761D0"/>
    <w:rsid w:val="00184328"/>
    <w:rsid w:val="0019231E"/>
    <w:rsid w:val="001962C6"/>
    <w:rsid w:val="001A586D"/>
    <w:rsid w:val="001B27EC"/>
    <w:rsid w:val="001B398E"/>
    <w:rsid w:val="001B44E7"/>
    <w:rsid w:val="001B48B8"/>
    <w:rsid w:val="001C0497"/>
    <w:rsid w:val="001D40C6"/>
    <w:rsid w:val="001D7331"/>
    <w:rsid w:val="001F31D5"/>
    <w:rsid w:val="001F3424"/>
    <w:rsid w:val="001F656F"/>
    <w:rsid w:val="00205DFF"/>
    <w:rsid w:val="0020666F"/>
    <w:rsid w:val="0020707B"/>
    <w:rsid w:val="00207D68"/>
    <w:rsid w:val="0021235B"/>
    <w:rsid w:val="002168A1"/>
    <w:rsid w:val="00220E79"/>
    <w:rsid w:val="0022145F"/>
    <w:rsid w:val="00222716"/>
    <w:rsid w:val="00230F1F"/>
    <w:rsid w:val="0023381C"/>
    <w:rsid w:val="00233C6D"/>
    <w:rsid w:val="002447B9"/>
    <w:rsid w:val="00246356"/>
    <w:rsid w:val="002501DE"/>
    <w:rsid w:val="00250271"/>
    <w:rsid w:val="0025226F"/>
    <w:rsid w:val="00257F0C"/>
    <w:rsid w:val="00262A8E"/>
    <w:rsid w:val="002632CB"/>
    <w:rsid w:val="00271363"/>
    <w:rsid w:val="00271EF6"/>
    <w:rsid w:val="0027691D"/>
    <w:rsid w:val="0027750C"/>
    <w:rsid w:val="00280325"/>
    <w:rsid w:val="002922FE"/>
    <w:rsid w:val="00294A73"/>
    <w:rsid w:val="002A4A64"/>
    <w:rsid w:val="002A5A17"/>
    <w:rsid w:val="002A5BAD"/>
    <w:rsid w:val="002C320E"/>
    <w:rsid w:val="002C645C"/>
    <w:rsid w:val="002D1D81"/>
    <w:rsid w:val="002E11D6"/>
    <w:rsid w:val="002E3875"/>
    <w:rsid w:val="002E7592"/>
    <w:rsid w:val="002F0D7B"/>
    <w:rsid w:val="002F313C"/>
    <w:rsid w:val="002F50A4"/>
    <w:rsid w:val="002F6BFC"/>
    <w:rsid w:val="003000C6"/>
    <w:rsid w:val="00302FC8"/>
    <w:rsid w:val="003115A0"/>
    <w:rsid w:val="0031296F"/>
    <w:rsid w:val="003155D8"/>
    <w:rsid w:val="00320B20"/>
    <w:rsid w:val="003227DB"/>
    <w:rsid w:val="00324557"/>
    <w:rsid w:val="00324667"/>
    <w:rsid w:val="00335A07"/>
    <w:rsid w:val="0034734E"/>
    <w:rsid w:val="0035226D"/>
    <w:rsid w:val="0035530A"/>
    <w:rsid w:val="00355E50"/>
    <w:rsid w:val="0036335A"/>
    <w:rsid w:val="00371E2E"/>
    <w:rsid w:val="003737CB"/>
    <w:rsid w:val="003743EB"/>
    <w:rsid w:val="00374C25"/>
    <w:rsid w:val="00376D03"/>
    <w:rsid w:val="00377672"/>
    <w:rsid w:val="00381B1B"/>
    <w:rsid w:val="00382FC7"/>
    <w:rsid w:val="00383337"/>
    <w:rsid w:val="00390F9A"/>
    <w:rsid w:val="00391306"/>
    <w:rsid w:val="00393422"/>
    <w:rsid w:val="00394C56"/>
    <w:rsid w:val="00394D4C"/>
    <w:rsid w:val="003A5A20"/>
    <w:rsid w:val="003A7559"/>
    <w:rsid w:val="003A7842"/>
    <w:rsid w:val="003C08BC"/>
    <w:rsid w:val="003C170B"/>
    <w:rsid w:val="003C5EE0"/>
    <w:rsid w:val="003D0ECC"/>
    <w:rsid w:val="003D144C"/>
    <w:rsid w:val="003D25BC"/>
    <w:rsid w:val="003D25D5"/>
    <w:rsid w:val="003D31B4"/>
    <w:rsid w:val="003D6285"/>
    <w:rsid w:val="003E48A4"/>
    <w:rsid w:val="003E6694"/>
    <w:rsid w:val="003F2A81"/>
    <w:rsid w:val="004066C0"/>
    <w:rsid w:val="00406977"/>
    <w:rsid w:val="00407AB6"/>
    <w:rsid w:val="00421349"/>
    <w:rsid w:val="00422876"/>
    <w:rsid w:val="004303B8"/>
    <w:rsid w:val="004373EF"/>
    <w:rsid w:val="00441A56"/>
    <w:rsid w:val="00444CFF"/>
    <w:rsid w:val="00446D72"/>
    <w:rsid w:val="00453BB0"/>
    <w:rsid w:val="00480BD2"/>
    <w:rsid w:val="0048125C"/>
    <w:rsid w:val="00485C57"/>
    <w:rsid w:val="004940DF"/>
    <w:rsid w:val="004A3D94"/>
    <w:rsid w:val="004A4E37"/>
    <w:rsid w:val="004B74F2"/>
    <w:rsid w:val="004B7D81"/>
    <w:rsid w:val="004C103B"/>
    <w:rsid w:val="004C1BFA"/>
    <w:rsid w:val="004C21AA"/>
    <w:rsid w:val="004C26FB"/>
    <w:rsid w:val="004D01F3"/>
    <w:rsid w:val="004D2076"/>
    <w:rsid w:val="004D5560"/>
    <w:rsid w:val="004E05CA"/>
    <w:rsid w:val="004E3C20"/>
    <w:rsid w:val="004E495D"/>
    <w:rsid w:val="004E6E5D"/>
    <w:rsid w:val="004F2B2E"/>
    <w:rsid w:val="004F7E94"/>
    <w:rsid w:val="00506062"/>
    <w:rsid w:val="00511DF2"/>
    <w:rsid w:val="00514848"/>
    <w:rsid w:val="00515BAE"/>
    <w:rsid w:val="00520160"/>
    <w:rsid w:val="005229F7"/>
    <w:rsid w:val="00526106"/>
    <w:rsid w:val="00530B4E"/>
    <w:rsid w:val="005357E3"/>
    <w:rsid w:val="00545CFD"/>
    <w:rsid w:val="0055745E"/>
    <w:rsid w:val="00561782"/>
    <w:rsid w:val="00561A5E"/>
    <w:rsid w:val="005626D9"/>
    <w:rsid w:val="00564F1E"/>
    <w:rsid w:val="0057065E"/>
    <w:rsid w:val="005728E7"/>
    <w:rsid w:val="00575127"/>
    <w:rsid w:val="0057664C"/>
    <w:rsid w:val="0058220D"/>
    <w:rsid w:val="00582988"/>
    <w:rsid w:val="00587996"/>
    <w:rsid w:val="00593882"/>
    <w:rsid w:val="00595402"/>
    <w:rsid w:val="00595886"/>
    <w:rsid w:val="005A0038"/>
    <w:rsid w:val="005A3A0C"/>
    <w:rsid w:val="005A7DA0"/>
    <w:rsid w:val="005C7893"/>
    <w:rsid w:val="005D15F3"/>
    <w:rsid w:val="005D2362"/>
    <w:rsid w:val="005D657A"/>
    <w:rsid w:val="005E5474"/>
    <w:rsid w:val="005E5FBE"/>
    <w:rsid w:val="005F51C8"/>
    <w:rsid w:val="005F62E1"/>
    <w:rsid w:val="00600EFE"/>
    <w:rsid w:val="006010A7"/>
    <w:rsid w:val="006011D3"/>
    <w:rsid w:val="00604514"/>
    <w:rsid w:val="006114F7"/>
    <w:rsid w:val="00614462"/>
    <w:rsid w:val="006176F2"/>
    <w:rsid w:val="006210CF"/>
    <w:rsid w:val="0062353B"/>
    <w:rsid w:val="006256F1"/>
    <w:rsid w:val="00630C03"/>
    <w:rsid w:val="00630DC1"/>
    <w:rsid w:val="006318A1"/>
    <w:rsid w:val="00632CE3"/>
    <w:rsid w:val="0063313A"/>
    <w:rsid w:val="00633515"/>
    <w:rsid w:val="006369BB"/>
    <w:rsid w:val="00636E30"/>
    <w:rsid w:val="00640215"/>
    <w:rsid w:val="00642F50"/>
    <w:rsid w:val="006471B2"/>
    <w:rsid w:val="00647B95"/>
    <w:rsid w:val="006506B1"/>
    <w:rsid w:val="0065308E"/>
    <w:rsid w:val="0065510E"/>
    <w:rsid w:val="006619EF"/>
    <w:rsid w:val="00662125"/>
    <w:rsid w:val="006707F3"/>
    <w:rsid w:val="006826DF"/>
    <w:rsid w:val="006839B2"/>
    <w:rsid w:val="0068478D"/>
    <w:rsid w:val="0068479A"/>
    <w:rsid w:val="006869A0"/>
    <w:rsid w:val="00690742"/>
    <w:rsid w:val="00696374"/>
    <w:rsid w:val="006A106C"/>
    <w:rsid w:val="006A2E8C"/>
    <w:rsid w:val="006B5ADE"/>
    <w:rsid w:val="006B7A90"/>
    <w:rsid w:val="006C170C"/>
    <w:rsid w:val="006C2CFD"/>
    <w:rsid w:val="006D4F90"/>
    <w:rsid w:val="006D556D"/>
    <w:rsid w:val="006D7F04"/>
    <w:rsid w:val="006E073A"/>
    <w:rsid w:val="006E1CFA"/>
    <w:rsid w:val="006F180D"/>
    <w:rsid w:val="006F460E"/>
    <w:rsid w:val="006F73BC"/>
    <w:rsid w:val="006F7A47"/>
    <w:rsid w:val="006F7F12"/>
    <w:rsid w:val="007162E0"/>
    <w:rsid w:val="0072475A"/>
    <w:rsid w:val="007252FA"/>
    <w:rsid w:val="00725A47"/>
    <w:rsid w:val="00731907"/>
    <w:rsid w:val="00734807"/>
    <w:rsid w:val="007353BA"/>
    <w:rsid w:val="00743E47"/>
    <w:rsid w:val="00744768"/>
    <w:rsid w:val="007471AA"/>
    <w:rsid w:val="00747DC7"/>
    <w:rsid w:val="00765DEC"/>
    <w:rsid w:val="00766EAE"/>
    <w:rsid w:val="007722D5"/>
    <w:rsid w:val="00776B5B"/>
    <w:rsid w:val="00786B1C"/>
    <w:rsid w:val="00790FFA"/>
    <w:rsid w:val="00794A67"/>
    <w:rsid w:val="007A1DA8"/>
    <w:rsid w:val="007B15AE"/>
    <w:rsid w:val="007B27F8"/>
    <w:rsid w:val="007B69D2"/>
    <w:rsid w:val="007B6D40"/>
    <w:rsid w:val="007C19C7"/>
    <w:rsid w:val="007D70A8"/>
    <w:rsid w:val="007E6466"/>
    <w:rsid w:val="007E6C85"/>
    <w:rsid w:val="007F0AB1"/>
    <w:rsid w:val="007F2448"/>
    <w:rsid w:val="007F32A8"/>
    <w:rsid w:val="007F69AF"/>
    <w:rsid w:val="00810ABC"/>
    <w:rsid w:val="00811875"/>
    <w:rsid w:val="00827C92"/>
    <w:rsid w:val="00837A9A"/>
    <w:rsid w:val="00841280"/>
    <w:rsid w:val="008440E7"/>
    <w:rsid w:val="00844902"/>
    <w:rsid w:val="00844C81"/>
    <w:rsid w:val="00845C17"/>
    <w:rsid w:val="008516F0"/>
    <w:rsid w:val="00851FF9"/>
    <w:rsid w:val="00853C7F"/>
    <w:rsid w:val="0085766E"/>
    <w:rsid w:val="00860A3A"/>
    <w:rsid w:val="00861852"/>
    <w:rsid w:val="00862BCE"/>
    <w:rsid w:val="00867731"/>
    <w:rsid w:val="00872CF6"/>
    <w:rsid w:val="00880A77"/>
    <w:rsid w:val="00882789"/>
    <w:rsid w:val="00884E89"/>
    <w:rsid w:val="00884FD1"/>
    <w:rsid w:val="0088707B"/>
    <w:rsid w:val="0089043E"/>
    <w:rsid w:val="00893057"/>
    <w:rsid w:val="008A25CC"/>
    <w:rsid w:val="008A2EEB"/>
    <w:rsid w:val="008A328E"/>
    <w:rsid w:val="008B668C"/>
    <w:rsid w:val="008C4D50"/>
    <w:rsid w:val="008D2B93"/>
    <w:rsid w:val="008D6072"/>
    <w:rsid w:val="008E1100"/>
    <w:rsid w:val="008E2298"/>
    <w:rsid w:val="008E4D82"/>
    <w:rsid w:val="008F2EBF"/>
    <w:rsid w:val="008F37F3"/>
    <w:rsid w:val="008F4CBC"/>
    <w:rsid w:val="008F60E6"/>
    <w:rsid w:val="00900758"/>
    <w:rsid w:val="00902821"/>
    <w:rsid w:val="00902A04"/>
    <w:rsid w:val="00903F5C"/>
    <w:rsid w:val="00912162"/>
    <w:rsid w:val="00920634"/>
    <w:rsid w:val="009241E1"/>
    <w:rsid w:val="00933956"/>
    <w:rsid w:val="00937540"/>
    <w:rsid w:val="009440FE"/>
    <w:rsid w:val="0094613E"/>
    <w:rsid w:val="00954153"/>
    <w:rsid w:val="00957400"/>
    <w:rsid w:val="009605C9"/>
    <w:rsid w:val="00962E6B"/>
    <w:rsid w:val="00963578"/>
    <w:rsid w:val="009638DB"/>
    <w:rsid w:val="00970A03"/>
    <w:rsid w:val="0097103D"/>
    <w:rsid w:val="00971B09"/>
    <w:rsid w:val="00984CEF"/>
    <w:rsid w:val="00993C9C"/>
    <w:rsid w:val="00996DF7"/>
    <w:rsid w:val="009971C6"/>
    <w:rsid w:val="009A1750"/>
    <w:rsid w:val="009A6122"/>
    <w:rsid w:val="009B162A"/>
    <w:rsid w:val="009B2086"/>
    <w:rsid w:val="009D05E8"/>
    <w:rsid w:val="009D359A"/>
    <w:rsid w:val="009E0824"/>
    <w:rsid w:val="009E0BB2"/>
    <w:rsid w:val="009E24BA"/>
    <w:rsid w:val="009E56A2"/>
    <w:rsid w:val="009E5F5F"/>
    <w:rsid w:val="009F1BFF"/>
    <w:rsid w:val="009F45E7"/>
    <w:rsid w:val="009F7CFE"/>
    <w:rsid w:val="00A00439"/>
    <w:rsid w:val="00A02683"/>
    <w:rsid w:val="00A06E3D"/>
    <w:rsid w:val="00A070C0"/>
    <w:rsid w:val="00A108F3"/>
    <w:rsid w:val="00A11D19"/>
    <w:rsid w:val="00A219A0"/>
    <w:rsid w:val="00A300D7"/>
    <w:rsid w:val="00A31392"/>
    <w:rsid w:val="00A31F12"/>
    <w:rsid w:val="00A32DF9"/>
    <w:rsid w:val="00A41232"/>
    <w:rsid w:val="00A41D6E"/>
    <w:rsid w:val="00A43213"/>
    <w:rsid w:val="00A435A9"/>
    <w:rsid w:val="00A540D8"/>
    <w:rsid w:val="00A60DD7"/>
    <w:rsid w:val="00A622EA"/>
    <w:rsid w:val="00A6541F"/>
    <w:rsid w:val="00A65BD1"/>
    <w:rsid w:val="00A67542"/>
    <w:rsid w:val="00A70753"/>
    <w:rsid w:val="00A814C4"/>
    <w:rsid w:val="00A8235C"/>
    <w:rsid w:val="00A8630F"/>
    <w:rsid w:val="00A9031C"/>
    <w:rsid w:val="00A9657A"/>
    <w:rsid w:val="00A97B4F"/>
    <w:rsid w:val="00AA0AC8"/>
    <w:rsid w:val="00AA2A2E"/>
    <w:rsid w:val="00AB0FEF"/>
    <w:rsid w:val="00AB6369"/>
    <w:rsid w:val="00AC10F0"/>
    <w:rsid w:val="00AC6058"/>
    <w:rsid w:val="00AD2AF0"/>
    <w:rsid w:val="00AD462B"/>
    <w:rsid w:val="00AD5176"/>
    <w:rsid w:val="00AE02A6"/>
    <w:rsid w:val="00AE10F8"/>
    <w:rsid w:val="00AE2A95"/>
    <w:rsid w:val="00AE5388"/>
    <w:rsid w:val="00AF30F0"/>
    <w:rsid w:val="00B15842"/>
    <w:rsid w:val="00B3301C"/>
    <w:rsid w:val="00B33F9A"/>
    <w:rsid w:val="00B3541D"/>
    <w:rsid w:val="00B357B6"/>
    <w:rsid w:val="00B4031F"/>
    <w:rsid w:val="00B43DB7"/>
    <w:rsid w:val="00B43F63"/>
    <w:rsid w:val="00B46315"/>
    <w:rsid w:val="00B507CF"/>
    <w:rsid w:val="00B50CD5"/>
    <w:rsid w:val="00B51C29"/>
    <w:rsid w:val="00B543C3"/>
    <w:rsid w:val="00B556F9"/>
    <w:rsid w:val="00B572AF"/>
    <w:rsid w:val="00B5781A"/>
    <w:rsid w:val="00B6646E"/>
    <w:rsid w:val="00B66ADC"/>
    <w:rsid w:val="00B66FCB"/>
    <w:rsid w:val="00B671EF"/>
    <w:rsid w:val="00B710E4"/>
    <w:rsid w:val="00B74499"/>
    <w:rsid w:val="00B778C1"/>
    <w:rsid w:val="00B84656"/>
    <w:rsid w:val="00B85964"/>
    <w:rsid w:val="00B862AF"/>
    <w:rsid w:val="00B900F3"/>
    <w:rsid w:val="00B942C2"/>
    <w:rsid w:val="00B94534"/>
    <w:rsid w:val="00B95551"/>
    <w:rsid w:val="00B97B98"/>
    <w:rsid w:val="00BA2450"/>
    <w:rsid w:val="00BA4FA0"/>
    <w:rsid w:val="00BA5D8C"/>
    <w:rsid w:val="00BA6553"/>
    <w:rsid w:val="00BA78F4"/>
    <w:rsid w:val="00BB262F"/>
    <w:rsid w:val="00BB3AAF"/>
    <w:rsid w:val="00BB5949"/>
    <w:rsid w:val="00BB7FA3"/>
    <w:rsid w:val="00BC27C6"/>
    <w:rsid w:val="00BC578C"/>
    <w:rsid w:val="00BD2595"/>
    <w:rsid w:val="00BD3D8A"/>
    <w:rsid w:val="00BD63DB"/>
    <w:rsid w:val="00BE7579"/>
    <w:rsid w:val="00C02152"/>
    <w:rsid w:val="00C13348"/>
    <w:rsid w:val="00C17D5B"/>
    <w:rsid w:val="00C17DEF"/>
    <w:rsid w:val="00C2365F"/>
    <w:rsid w:val="00C25012"/>
    <w:rsid w:val="00C26FBE"/>
    <w:rsid w:val="00C272CA"/>
    <w:rsid w:val="00C274B9"/>
    <w:rsid w:val="00C3326A"/>
    <w:rsid w:val="00C43FFB"/>
    <w:rsid w:val="00C44C25"/>
    <w:rsid w:val="00C507DB"/>
    <w:rsid w:val="00C618EC"/>
    <w:rsid w:val="00C65940"/>
    <w:rsid w:val="00C66051"/>
    <w:rsid w:val="00C846D5"/>
    <w:rsid w:val="00C84C17"/>
    <w:rsid w:val="00C86C78"/>
    <w:rsid w:val="00C90FE4"/>
    <w:rsid w:val="00C93C48"/>
    <w:rsid w:val="00C9482F"/>
    <w:rsid w:val="00C97A9A"/>
    <w:rsid w:val="00CB422E"/>
    <w:rsid w:val="00CB6D70"/>
    <w:rsid w:val="00CB7817"/>
    <w:rsid w:val="00CC240F"/>
    <w:rsid w:val="00CC568B"/>
    <w:rsid w:val="00CC572A"/>
    <w:rsid w:val="00CC75FC"/>
    <w:rsid w:val="00CD2CAC"/>
    <w:rsid w:val="00CE4155"/>
    <w:rsid w:val="00CE4FCE"/>
    <w:rsid w:val="00CE7851"/>
    <w:rsid w:val="00D04BCA"/>
    <w:rsid w:val="00D05F26"/>
    <w:rsid w:val="00D152C4"/>
    <w:rsid w:val="00D15A25"/>
    <w:rsid w:val="00D16735"/>
    <w:rsid w:val="00D2501B"/>
    <w:rsid w:val="00D26BB8"/>
    <w:rsid w:val="00D27CB5"/>
    <w:rsid w:val="00D36124"/>
    <w:rsid w:val="00D45F0F"/>
    <w:rsid w:val="00D47743"/>
    <w:rsid w:val="00D51EDE"/>
    <w:rsid w:val="00D53D20"/>
    <w:rsid w:val="00D6192A"/>
    <w:rsid w:val="00D629F5"/>
    <w:rsid w:val="00D63144"/>
    <w:rsid w:val="00D6506C"/>
    <w:rsid w:val="00D7215C"/>
    <w:rsid w:val="00D816DF"/>
    <w:rsid w:val="00D84110"/>
    <w:rsid w:val="00D85C04"/>
    <w:rsid w:val="00D8797C"/>
    <w:rsid w:val="00D952C7"/>
    <w:rsid w:val="00D95B88"/>
    <w:rsid w:val="00D978D5"/>
    <w:rsid w:val="00DA30D3"/>
    <w:rsid w:val="00DB54F3"/>
    <w:rsid w:val="00DC2533"/>
    <w:rsid w:val="00DC66A2"/>
    <w:rsid w:val="00DC74FB"/>
    <w:rsid w:val="00DE18D1"/>
    <w:rsid w:val="00DE3969"/>
    <w:rsid w:val="00E071CC"/>
    <w:rsid w:val="00E12266"/>
    <w:rsid w:val="00E137F0"/>
    <w:rsid w:val="00E14081"/>
    <w:rsid w:val="00E15FFD"/>
    <w:rsid w:val="00E164CC"/>
    <w:rsid w:val="00E26208"/>
    <w:rsid w:val="00E30B39"/>
    <w:rsid w:val="00E34746"/>
    <w:rsid w:val="00E34CE7"/>
    <w:rsid w:val="00E422E5"/>
    <w:rsid w:val="00E469B4"/>
    <w:rsid w:val="00E56F18"/>
    <w:rsid w:val="00E60FFB"/>
    <w:rsid w:val="00E61D67"/>
    <w:rsid w:val="00E63D5F"/>
    <w:rsid w:val="00E85AC8"/>
    <w:rsid w:val="00EA00FF"/>
    <w:rsid w:val="00EA3465"/>
    <w:rsid w:val="00EB0828"/>
    <w:rsid w:val="00EB346A"/>
    <w:rsid w:val="00EB4AF8"/>
    <w:rsid w:val="00EB4B4B"/>
    <w:rsid w:val="00EC1BE4"/>
    <w:rsid w:val="00ED4ABB"/>
    <w:rsid w:val="00ED7582"/>
    <w:rsid w:val="00EE78B5"/>
    <w:rsid w:val="00EF063E"/>
    <w:rsid w:val="00EF15DA"/>
    <w:rsid w:val="00EF2B75"/>
    <w:rsid w:val="00EF5331"/>
    <w:rsid w:val="00EF7830"/>
    <w:rsid w:val="00F003B7"/>
    <w:rsid w:val="00F03F47"/>
    <w:rsid w:val="00F040AA"/>
    <w:rsid w:val="00F13B9D"/>
    <w:rsid w:val="00F1602F"/>
    <w:rsid w:val="00F177DD"/>
    <w:rsid w:val="00F26617"/>
    <w:rsid w:val="00F26BD9"/>
    <w:rsid w:val="00F279C3"/>
    <w:rsid w:val="00F3137D"/>
    <w:rsid w:val="00F32C94"/>
    <w:rsid w:val="00F400F8"/>
    <w:rsid w:val="00F42B6C"/>
    <w:rsid w:val="00F5185E"/>
    <w:rsid w:val="00F56406"/>
    <w:rsid w:val="00F56AC1"/>
    <w:rsid w:val="00F56EA1"/>
    <w:rsid w:val="00F57885"/>
    <w:rsid w:val="00F616AE"/>
    <w:rsid w:val="00F633F0"/>
    <w:rsid w:val="00F63503"/>
    <w:rsid w:val="00F721A0"/>
    <w:rsid w:val="00F75FDD"/>
    <w:rsid w:val="00F81627"/>
    <w:rsid w:val="00FA545F"/>
    <w:rsid w:val="00FB12AD"/>
    <w:rsid w:val="00FB50D5"/>
    <w:rsid w:val="00FC38E2"/>
    <w:rsid w:val="00FC64D7"/>
    <w:rsid w:val="00FD0C96"/>
    <w:rsid w:val="00FD0E45"/>
    <w:rsid w:val="00FD3002"/>
    <w:rsid w:val="00FD72FE"/>
    <w:rsid w:val="00FD737E"/>
    <w:rsid w:val="00FE2A69"/>
    <w:rsid w:val="00FE5BA8"/>
    <w:rsid w:val="00FF3165"/>
    <w:rsid w:val="03CE338F"/>
    <w:rsid w:val="06845841"/>
    <w:rsid w:val="07442E35"/>
    <w:rsid w:val="079846EF"/>
    <w:rsid w:val="08E21476"/>
    <w:rsid w:val="0C055450"/>
    <w:rsid w:val="0DDD06AD"/>
    <w:rsid w:val="0EEF723C"/>
    <w:rsid w:val="128F4AEF"/>
    <w:rsid w:val="12F83E97"/>
    <w:rsid w:val="157477AF"/>
    <w:rsid w:val="15DC1799"/>
    <w:rsid w:val="17A45001"/>
    <w:rsid w:val="19EF7E9C"/>
    <w:rsid w:val="1A343521"/>
    <w:rsid w:val="1E9E4638"/>
    <w:rsid w:val="1F2C1822"/>
    <w:rsid w:val="207E6A7A"/>
    <w:rsid w:val="239A72EA"/>
    <w:rsid w:val="2419625C"/>
    <w:rsid w:val="24373399"/>
    <w:rsid w:val="256D0EA7"/>
    <w:rsid w:val="25C3291F"/>
    <w:rsid w:val="275400C0"/>
    <w:rsid w:val="280C05EE"/>
    <w:rsid w:val="2D7235AF"/>
    <w:rsid w:val="303632C1"/>
    <w:rsid w:val="39572644"/>
    <w:rsid w:val="39BC78B8"/>
    <w:rsid w:val="43685285"/>
    <w:rsid w:val="43985681"/>
    <w:rsid w:val="4441129B"/>
    <w:rsid w:val="45443819"/>
    <w:rsid w:val="46FB6855"/>
    <w:rsid w:val="47CF43B5"/>
    <w:rsid w:val="483E3BBB"/>
    <w:rsid w:val="48420FED"/>
    <w:rsid w:val="5070381D"/>
    <w:rsid w:val="54133085"/>
    <w:rsid w:val="56927060"/>
    <w:rsid w:val="59026885"/>
    <w:rsid w:val="5AB21D6F"/>
    <w:rsid w:val="5C511EB6"/>
    <w:rsid w:val="5CFA58CA"/>
    <w:rsid w:val="621F6C91"/>
    <w:rsid w:val="65FC6F1B"/>
    <w:rsid w:val="6AD970A5"/>
    <w:rsid w:val="6D47092D"/>
    <w:rsid w:val="6DBD7B4E"/>
    <w:rsid w:val="6EED3240"/>
    <w:rsid w:val="74B419F7"/>
    <w:rsid w:val="75A65837"/>
    <w:rsid w:val="798D5E76"/>
    <w:rsid w:val="7A0D5743"/>
    <w:rsid w:val="7DB923B7"/>
    <w:rsid w:val="7E4A3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List"/>
    <w:basedOn w:val="1"/>
    <w:semiHidden/>
    <w:unhideWhenUsed/>
    <w:qFormat/>
    <w:uiPriority w:val="99"/>
    <w:pPr>
      <w:ind w:left="200" w:hanging="200" w:hangingChars="200"/>
      <w:contextualSpacing/>
    </w:pPr>
  </w:style>
  <w:style w:type="paragraph" w:styleId="3">
    <w:name w:val="annotation text"/>
    <w:basedOn w:val="1"/>
    <w:link w:val="15"/>
    <w:unhideWhenUsed/>
    <w:qFormat/>
    <w:uiPriority w:val="99"/>
    <w:pPr>
      <w:jc w:val="left"/>
    </w:pPr>
    <w:rPr>
      <w:rFonts w:asciiTheme="minorHAnsi" w:hAnsiTheme="minorHAnsi" w:eastAsiaTheme="minorEastAsia" w:cstheme="minorBidi"/>
      <w:sz w:val="21"/>
      <w:szCs w:val="22"/>
    </w:rPr>
  </w:style>
  <w:style w:type="paragraph" w:styleId="4">
    <w:name w:val="Block Text"/>
    <w:basedOn w:val="1"/>
    <w:unhideWhenUsed/>
    <w:qFormat/>
    <w:uiPriority w:val="99"/>
    <w:pPr>
      <w:spacing w:after="120"/>
      <w:ind w:left="1440" w:leftChars="700" w:right="1440" w:rightChars="700"/>
    </w:p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6"/>
    <w:semiHidden/>
    <w:unhideWhenUsed/>
    <w:qFormat/>
    <w:uiPriority w:val="99"/>
    <w:rPr>
      <w:rFonts w:ascii="Times New Roman" w:hAnsi="Times New Roman" w:eastAsia="仿宋_GB2312" w:cs="Times New Roman"/>
      <w:b/>
      <w:bCs/>
      <w:sz w:val="30"/>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99"/>
    <w:rPr>
      <w:sz w:val="21"/>
      <w:szCs w:val="21"/>
    </w:rPr>
  </w:style>
  <w:style w:type="character" w:customStyle="1" w:styleId="13">
    <w:name w:val="页眉 字符"/>
    <w:basedOn w:val="11"/>
    <w:link w:val="7"/>
    <w:qFormat/>
    <w:uiPriority w:val="99"/>
    <w:rPr>
      <w:sz w:val="18"/>
      <w:szCs w:val="18"/>
    </w:rPr>
  </w:style>
  <w:style w:type="character" w:customStyle="1" w:styleId="14">
    <w:name w:val="页脚 字符"/>
    <w:basedOn w:val="11"/>
    <w:link w:val="6"/>
    <w:qFormat/>
    <w:uiPriority w:val="99"/>
    <w:rPr>
      <w:sz w:val="18"/>
      <w:szCs w:val="18"/>
    </w:rPr>
  </w:style>
  <w:style w:type="character" w:customStyle="1" w:styleId="15">
    <w:name w:val="批注文字 字符"/>
    <w:basedOn w:val="11"/>
    <w:link w:val="3"/>
    <w:qFormat/>
    <w:uiPriority w:val="99"/>
  </w:style>
  <w:style w:type="character" w:customStyle="1" w:styleId="16">
    <w:name w:val="批注主题 字符"/>
    <w:basedOn w:val="15"/>
    <w:link w:val="8"/>
    <w:semiHidden/>
    <w:qFormat/>
    <w:uiPriority w:val="99"/>
    <w:rPr>
      <w:rFonts w:ascii="Times New Roman" w:hAnsi="Times New Roman" w:eastAsia="仿宋_GB2312" w:cs="Times New Roman"/>
      <w:b/>
      <w:bCs/>
      <w:sz w:val="30"/>
      <w:szCs w:val="24"/>
    </w:rPr>
  </w:style>
  <w:style w:type="character" w:customStyle="1" w:styleId="17">
    <w:name w:val="批注框文本 字符"/>
    <w:basedOn w:val="11"/>
    <w:link w:val="5"/>
    <w:semiHidden/>
    <w:qFormat/>
    <w:uiPriority w:val="99"/>
    <w:rPr>
      <w:rFonts w:ascii="Times New Roman" w:hAnsi="Times New Roman" w:eastAsia="仿宋_GB2312" w:cs="Times New Roman"/>
      <w:sz w:val="18"/>
      <w:szCs w:val="18"/>
    </w:rPr>
  </w:style>
  <w:style w:type="paragraph" w:customStyle="1" w:styleId="18">
    <w:name w:val="修订1"/>
    <w:hidden/>
    <w:semiHidden/>
    <w:qFormat/>
    <w:uiPriority w:val="99"/>
    <w:rPr>
      <w:rFonts w:ascii="Times New Roman" w:hAnsi="Times New Roman" w:eastAsia="仿宋_GB2312" w:cs="Times New Roman"/>
      <w:kern w:val="2"/>
      <w:sz w:val="30"/>
      <w:szCs w:val="24"/>
      <w:lang w:val="en-US" w:eastAsia="zh-CN" w:bidi="ar-SA"/>
    </w:rPr>
  </w:style>
  <w:style w:type="paragraph" w:customStyle="1" w:styleId="19">
    <w:name w:val="修订2"/>
    <w:hidden/>
    <w:semiHidden/>
    <w:qFormat/>
    <w:uiPriority w:val="99"/>
    <w:rPr>
      <w:rFonts w:ascii="Times New Roman" w:hAnsi="Times New Roman" w:eastAsia="仿宋_GB2312" w:cs="Times New Roman"/>
      <w:kern w:val="2"/>
      <w:sz w:val="30"/>
      <w:szCs w:val="24"/>
      <w:lang w:val="en-US" w:eastAsia="zh-CN" w:bidi="ar-SA"/>
    </w:rPr>
  </w:style>
  <w:style w:type="paragraph" w:customStyle="1" w:styleId="20">
    <w:name w:val="修订3"/>
    <w:hidden/>
    <w:semiHidden/>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F244D6-A0DE-49F8-9564-F86CA36CA2A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5709</Words>
  <Characters>6780</Characters>
  <Lines>52</Lines>
  <Paragraphs>14</Paragraphs>
  <TotalTime>63</TotalTime>
  <ScaleCrop>false</ScaleCrop>
  <LinksUpToDate>false</LinksUpToDate>
  <CharactersWithSpaces>6785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2021-03-18T15:23:00Z</dcterms:created>
  <dc:creator>zhang ying</dc:creator>
  <cp:lastModifiedBy>仙人球</cp:lastModifiedBy>
  <dcterms:modified xsi:type="dcterms:W3CDTF">2023-06-12T09:46:47Z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F3D3561A23D646EA87093816D76EFCC8_13</vt:lpwstr>
  </property>
</Properties>
</file>