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eastAsia="方正小标宋简体"/>
          <w:sz w:val="36"/>
          <w:szCs w:val="36"/>
        </w:rPr>
      </w:pPr>
      <w:r>
        <w:rPr>
          <w:rFonts w:hint="eastAsia" w:ascii="方正小标宋简体" w:eastAsia="方正小标宋简体"/>
          <w:sz w:val="36"/>
          <w:szCs w:val="36"/>
          <w:lang w:eastAsia="zh-CN"/>
        </w:rPr>
        <w:t>北京市退役军人事务局</w:t>
      </w:r>
      <w:r>
        <w:rPr>
          <w:rFonts w:hint="eastAsia" w:ascii="方正小标宋简体" w:eastAsia="方正小标宋简体"/>
          <w:sz w:val="36"/>
          <w:szCs w:val="36"/>
        </w:rPr>
        <w:t>整体绩效</w:t>
      </w:r>
      <w:r>
        <w:rPr>
          <w:rFonts w:hint="eastAsia" w:ascii="方正小标宋简体" w:eastAsia="方正小标宋简体"/>
          <w:sz w:val="36"/>
          <w:szCs w:val="36"/>
          <w:lang w:eastAsia="zh-CN"/>
        </w:rPr>
        <w:t>评价</w:t>
      </w:r>
      <w:r>
        <w:rPr>
          <w:rFonts w:hint="eastAsia" w:ascii="方正小标宋简体" w:eastAsia="方正小标宋简体"/>
          <w:sz w:val="36"/>
          <w:szCs w:val="36"/>
        </w:rPr>
        <w:t>报告</w:t>
      </w:r>
    </w:p>
    <w:p>
      <w:pPr>
        <w:jc w:val="center"/>
        <w:rPr>
          <w:rFonts w:ascii="仿宋_GB2312"/>
          <w:szCs w:val="30"/>
        </w:rPr>
      </w:pPr>
    </w:p>
    <w:p>
      <w:pPr>
        <w:spacing w:line="600" w:lineRule="exact"/>
        <w:ind w:firstLine="640" w:firstLineChars="200"/>
        <w:rPr>
          <w:rFonts w:hint="eastAsia" w:ascii="黑体" w:hAnsi="黑体" w:eastAsia="黑体" w:cs="宋体"/>
          <w:color w:val="000000"/>
          <w:kern w:val="0"/>
          <w:sz w:val="32"/>
          <w:szCs w:val="32"/>
        </w:rPr>
      </w:pPr>
      <w:r>
        <w:rPr>
          <w:rFonts w:hint="eastAsia" w:ascii="黑体" w:hAnsi="黑体" w:eastAsia="黑体" w:cs="宋体"/>
          <w:color w:val="000000"/>
          <w:kern w:val="0"/>
          <w:sz w:val="32"/>
          <w:szCs w:val="32"/>
        </w:rPr>
        <w:t>一、部门概况</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（一）机构设置及职责工作任务情况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机构设置</w:t>
      </w:r>
      <w:r>
        <w:rPr>
          <w:rFonts w:hint="eastAsia" w:ascii="仿宋_GB2312" w:hAnsi="仿宋_GB2312" w:eastAsia="仿宋_GB2312" w:cs="仿宋_GB2312"/>
          <w:sz w:val="32"/>
          <w:szCs w:val="32"/>
          <w:lang w:eastAsia="zh-CN"/>
        </w:rPr>
        <w:t>情况</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根据党中央、国务院批准的《北京市机构改革方案》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设立北京市退役军人事务局（</w:t>
      </w:r>
      <w:r>
        <w:rPr>
          <w:rFonts w:hint="eastAsia" w:ascii="仿宋_GB2312" w:hAnsi="仿宋_GB2312" w:eastAsia="仿宋_GB2312" w:cs="仿宋_GB2312"/>
          <w:sz w:val="32"/>
          <w:szCs w:val="32"/>
          <w:lang w:eastAsia="zh-CN"/>
        </w:rPr>
        <w:t>以下</w:t>
      </w:r>
      <w:r>
        <w:rPr>
          <w:rFonts w:hint="eastAsia" w:ascii="仿宋_GB2312" w:hAnsi="仿宋_GB2312" w:eastAsia="仿宋_GB2312" w:cs="仿宋_GB2312"/>
          <w:sz w:val="32"/>
          <w:szCs w:val="32"/>
        </w:rPr>
        <w:t>简称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退役军人</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，内设</w:t>
      </w:r>
      <w:r>
        <w:rPr>
          <w:rFonts w:hint="eastAsia" w:ascii="仿宋_GB2312" w:hAnsi="仿宋_GB2312" w:eastAsia="仿宋_GB2312" w:cs="仿宋_GB2312"/>
          <w:sz w:val="32"/>
          <w:szCs w:val="32"/>
          <w:lang w:val="en-US" w:eastAsia="zh-CN"/>
        </w:rPr>
        <w:t>13个处室，分别为秘书处、办公室、政策法规处、思想政治和权益维护处、规划财务处、移交安置处、就业创业处、军休服务管理处、拥军优抚处、褒扬纪念处、机关党委（人事处）、机关纪委、工会。</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退役军人局包括18个预算单位，分别为北京市退役军人事务局（本级）、北京市军队离休退休干部安置事务中心、北京市军供站、北京市退役军人服务中心，以及北京市军队离休退休干部安置事务中心下设的13个军队离休退休干部休养所和1个军队离休退休干部活动中心。</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2.职责工作任务情况</w:t>
      </w:r>
    </w:p>
    <w:p>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ascii="仿宋_GB2312" w:hAnsi="仿宋_GB2312" w:eastAsia="仿宋_GB2312" w:cs="仿宋_GB2312"/>
          <w:kern w:val="2"/>
          <w:sz w:val="32"/>
          <w:szCs w:val="32"/>
          <w:lang w:val="en-US" w:eastAsia="zh-CN" w:bidi="ar-SA"/>
        </w:rPr>
        <w:t>市退役军人局贯彻落实党中央关于退役军人工作的方针政策、决策部署和市委有关工作要求，在履行职责过程中坚持和加强党对退役军人工作的集中统一领导。主要职责是：拟订本市退役军人思想政治、管理保障和安置优抚等工作政策措施并组织实施；负责本市军队转业干部、复员干部、离休退休干部、退役士兵和无军籍退休退职职工的移交安置工作和自主择业、就业退役军人服务管理工作；负责本市退役军人教育培训工作，协调扶持退役军人和随军随调家属就业创业；会同有关部门制定本市退役军人特殊保障政策措施并组织实施；组织协调落实移交本市的离休退休军人、符合条件的其他退役军人和无军籍退休退职职工的住房保障工作，以及退役军人医疗保障、社会保险等待遇保障工作；组织落实本市伤病残退役军人服务管理和抚恤工作，落实国家关于退役军人医疗、疗养、养老等机构的规划政策，组织指导军供服务保障工作；承担全市拥军优属工作。负责现役军人、退役军人、军队文职人员和军属优待、抚恤等工作；负责本市烈士及退役军人荣誉奖励、军人公墓管理维护、纪念活动等工作，依法承担英雄烈士保护相关工作，承担烈士纪念设施保护事宜，总结表彰和宣扬退役军人、退役军人工作单位和个人先进典型事迹；贯彻落实退役军人相关法律法规和政策措施，组织开展本市退役军人权益维护和有关人员的帮扶援助工作；完成市委、市政府交办的其他任务。</w:t>
      </w:r>
    </w:p>
    <w:p>
      <w:pPr>
        <w:spacing w:line="600" w:lineRule="exact"/>
        <w:ind w:firstLine="640" w:firstLineChars="200"/>
        <w:rPr>
          <w:rFonts w:hint="eastAsia" w:ascii="楷体_GB2312" w:eastAsia="楷体_GB2312"/>
          <w:sz w:val="32"/>
          <w:szCs w:val="32"/>
        </w:rPr>
      </w:pPr>
      <w:r>
        <w:rPr>
          <w:rFonts w:hint="eastAsia" w:ascii="楷体_GB2312" w:eastAsia="楷体_GB2312"/>
          <w:sz w:val="32"/>
          <w:szCs w:val="32"/>
        </w:rPr>
        <w:t>（二）部门整体绩效目标设立情况。</w:t>
      </w:r>
    </w:p>
    <w:p>
      <w:pPr>
        <w:pStyle w:val="5"/>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市退役军人局依据机构职责及2022年工作任务，确定部门整体绩效目标为：贯彻落实党中央关于退役军人工作的方针政策、决策部署和市委有关工作要求；拟订本市退役军人思想政治、管理保障和安置优抚等工作规划和政策措施并组织实施；扎实开展移交安置工作，提高安置质量；加强就业创业培训，打造北京军创品牌；全面做好军休服务管理工作，破解重难点问题，提升服务保障水平；持续做好拥军优属工作，打造北京双拥品牌；大力弘扬英烈精神，深化烈士纪念宣传教育；发挥“首都老兵”志愿队伍和“三师一员”作用，有效防范化解风险隐患。</w:t>
      </w: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w:t>
      </w:r>
      <w:r>
        <w:rPr>
          <w:rFonts w:ascii="黑体" w:hAnsi="黑体" w:eastAsia="黑体" w:cs="宋体"/>
          <w:color w:val="000000"/>
          <w:kern w:val="0"/>
          <w:sz w:val="32"/>
          <w:szCs w:val="32"/>
        </w:rPr>
        <w:t>、</w:t>
      </w:r>
      <w:r>
        <w:rPr>
          <w:rFonts w:hint="eastAsia" w:ascii="黑体" w:hAnsi="黑体" w:eastAsia="黑体" w:cs="宋体"/>
          <w:color w:val="000000"/>
          <w:kern w:val="0"/>
          <w:sz w:val="32"/>
          <w:szCs w:val="32"/>
        </w:rPr>
        <w:t>当年</w:t>
      </w:r>
      <w:r>
        <w:rPr>
          <w:rFonts w:ascii="黑体" w:hAnsi="黑体" w:eastAsia="黑体" w:cs="宋体"/>
          <w:color w:val="000000"/>
          <w:kern w:val="0"/>
          <w:sz w:val="32"/>
          <w:szCs w:val="32"/>
        </w:rPr>
        <w:t>预算执行情况</w:t>
      </w:r>
    </w:p>
    <w:p>
      <w:pPr>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000000"/>
          <w:kern w:val="0"/>
          <w:sz w:val="32"/>
          <w:szCs w:val="32"/>
          <w:highlight w:val="none"/>
        </w:rPr>
        <w:t>年</w:t>
      </w:r>
      <w:r>
        <w:rPr>
          <w:rFonts w:hint="eastAsia" w:ascii="仿宋_GB2312" w:hAnsi="宋体" w:eastAsia="仿宋_GB2312" w:cs="宋体"/>
          <w:color w:val="000000"/>
          <w:kern w:val="0"/>
          <w:sz w:val="32"/>
          <w:szCs w:val="32"/>
          <w:highlight w:val="none"/>
          <w:lang w:eastAsia="zh-CN"/>
        </w:rPr>
        <w:t>全年</w:t>
      </w:r>
      <w:r>
        <w:rPr>
          <w:rFonts w:hint="eastAsia"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1217517.59</w:t>
      </w:r>
      <w:r>
        <w:rPr>
          <w:rFonts w:hint="eastAsia" w:ascii="仿宋_GB2312" w:hAnsi="宋体" w:eastAsia="仿宋_GB2312" w:cs="宋体"/>
          <w:color w:val="000000"/>
          <w:kern w:val="0"/>
          <w:sz w:val="32"/>
          <w:szCs w:val="32"/>
          <w:highlight w:val="none"/>
        </w:rPr>
        <w:t>万元</w:t>
      </w:r>
      <w:r>
        <w:rPr>
          <w:rFonts w:ascii="仿宋_GB2312" w:hAnsi="宋体" w:eastAsia="仿宋_GB2312" w:cs="宋体"/>
          <w:color w:val="000000"/>
          <w:kern w:val="0"/>
          <w:sz w:val="32"/>
          <w:szCs w:val="32"/>
          <w:highlight w:val="none"/>
        </w:rPr>
        <w:t>，</w:t>
      </w:r>
      <w:r>
        <w:rPr>
          <w:rFonts w:hint="eastAsia" w:ascii="仿宋_GB2312" w:hAnsi="宋体" w:eastAsia="仿宋_GB2312" w:cs="宋体"/>
          <w:color w:val="000000"/>
          <w:kern w:val="0"/>
          <w:sz w:val="32"/>
          <w:szCs w:val="32"/>
          <w:highlight w:val="none"/>
        </w:rPr>
        <w:t>其中</w:t>
      </w:r>
      <w:r>
        <w:rPr>
          <w:rFonts w:ascii="仿宋_GB2312" w:hAnsi="宋体" w:eastAsia="仿宋_GB2312" w:cs="宋体"/>
          <w:color w:val="000000"/>
          <w:kern w:val="0"/>
          <w:sz w:val="32"/>
          <w:szCs w:val="32"/>
          <w:highlight w:val="none"/>
        </w:rPr>
        <w:t>，基本</w:t>
      </w:r>
      <w:r>
        <w:rPr>
          <w:rFonts w:hint="eastAsia" w:ascii="仿宋_GB2312" w:hAnsi="宋体" w:eastAsia="仿宋_GB2312" w:cs="宋体"/>
          <w:color w:val="000000"/>
          <w:kern w:val="0"/>
          <w:sz w:val="32"/>
          <w:szCs w:val="32"/>
          <w:highlight w:val="none"/>
        </w:rPr>
        <w:t>支出</w:t>
      </w:r>
      <w:r>
        <w:rPr>
          <w:rFonts w:ascii="仿宋_GB2312" w:hAnsi="宋体" w:eastAsia="仿宋_GB2312" w:cs="宋体"/>
          <w:color w:val="000000"/>
          <w:kern w:val="0"/>
          <w:sz w:val="32"/>
          <w:szCs w:val="32"/>
          <w:highlight w:val="none"/>
        </w:rPr>
        <w:t>预算数</w:t>
      </w:r>
      <w:r>
        <w:rPr>
          <w:rFonts w:hint="eastAsia" w:ascii="仿宋_GB2312" w:hAnsi="宋体" w:eastAsia="仿宋_GB2312" w:cs="宋体"/>
          <w:color w:val="000000"/>
          <w:kern w:val="0"/>
          <w:sz w:val="32"/>
          <w:szCs w:val="32"/>
          <w:highlight w:val="none"/>
          <w:lang w:val="en-US" w:eastAsia="zh-CN"/>
        </w:rPr>
        <w:t>38818.90</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项目支出预算数</w:t>
      </w:r>
      <w:r>
        <w:rPr>
          <w:rFonts w:hint="eastAsia" w:ascii="仿宋_GB2312" w:hAnsi="宋体" w:eastAsia="仿宋_GB2312" w:cs="宋体"/>
          <w:color w:val="000000"/>
          <w:kern w:val="0"/>
          <w:sz w:val="32"/>
          <w:szCs w:val="32"/>
          <w:highlight w:val="none"/>
          <w:lang w:val="en-US" w:eastAsia="zh-CN"/>
        </w:rPr>
        <w:t>1178698.69</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894342.56</w:t>
      </w:r>
      <w:r>
        <w:rPr>
          <w:rFonts w:ascii="仿宋_GB2312" w:hAnsi="宋体" w:eastAsia="仿宋_GB2312" w:cs="宋体"/>
          <w:color w:val="000000"/>
          <w:kern w:val="0"/>
          <w:sz w:val="32"/>
          <w:szCs w:val="32"/>
          <w:highlight w:val="none"/>
        </w:rPr>
        <w:t>万元，其中，基本支出</w:t>
      </w:r>
      <w:r>
        <w:rPr>
          <w:rFonts w:hint="eastAsia" w:ascii="仿宋_GB2312" w:hAnsi="宋体" w:eastAsia="仿宋_GB2312" w:cs="宋体"/>
          <w:color w:val="000000"/>
          <w:kern w:val="0"/>
          <w:sz w:val="32"/>
          <w:szCs w:val="32"/>
          <w:highlight w:val="none"/>
          <w:lang w:val="en-US" w:eastAsia="zh-CN"/>
        </w:rPr>
        <w:t>36889.89</w:t>
      </w:r>
      <w:r>
        <w:rPr>
          <w:rFonts w:ascii="仿宋_GB2312" w:hAnsi="宋体" w:eastAsia="仿宋_GB2312" w:cs="宋体"/>
          <w:color w:val="000000"/>
          <w:kern w:val="0"/>
          <w:sz w:val="32"/>
          <w:szCs w:val="32"/>
          <w:highlight w:val="none"/>
        </w:rPr>
        <w:t>万元，项目</w:t>
      </w:r>
      <w:r>
        <w:rPr>
          <w:rFonts w:hint="eastAsia" w:ascii="仿宋_GB2312" w:hAnsi="宋体" w:eastAsia="仿宋_GB2312" w:cs="宋体"/>
          <w:color w:val="000000"/>
          <w:kern w:val="0"/>
          <w:sz w:val="32"/>
          <w:szCs w:val="32"/>
          <w:highlight w:val="none"/>
        </w:rPr>
        <w:t>支出</w:t>
      </w:r>
      <w:r>
        <w:rPr>
          <w:rFonts w:hint="eastAsia" w:ascii="仿宋_GB2312" w:hAnsi="宋体" w:eastAsia="仿宋_GB2312" w:cs="宋体"/>
          <w:color w:val="000000"/>
          <w:kern w:val="0"/>
          <w:sz w:val="32"/>
          <w:szCs w:val="32"/>
          <w:highlight w:val="none"/>
          <w:lang w:val="en-US" w:eastAsia="zh-CN"/>
        </w:rPr>
        <w:t>857452.67</w:t>
      </w:r>
      <w:r>
        <w:rPr>
          <w:rFonts w:ascii="仿宋_GB2312" w:hAnsi="宋体" w:eastAsia="仿宋_GB2312" w:cs="宋体"/>
          <w:color w:val="000000"/>
          <w:kern w:val="0"/>
          <w:sz w:val="32"/>
          <w:szCs w:val="32"/>
          <w:highlight w:val="none"/>
        </w:rPr>
        <w:t>万元。</w:t>
      </w:r>
      <w:r>
        <w:rPr>
          <w:rFonts w:hint="eastAsia" w:ascii="仿宋_GB2312" w:hAnsi="宋体" w:eastAsia="仿宋_GB2312" w:cs="宋体"/>
          <w:color w:val="000000"/>
          <w:kern w:val="0"/>
          <w:sz w:val="32"/>
          <w:szCs w:val="32"/>
          <w:highlight w:val="none"/>
        </w:rPr>
        <w:t>预算</w:t>
      </w:r>
      <w:r>
        <w:rPr>
          <w:rFonts w:ascii="仿宋_GB2312" w:hAnsi="宋体" w:eastAsia="仿宋_GB2312" w:cs="宋体"/>
          <w:color w:val="000000"/>
          <w:kern w:val="0"/>
          <w:sz w:val="32"/>
          <w:szCs w:val="32"/>
          <w:highlight w:val="none"/>
        </w:rPr>
        <w:t>执行率为</w:t>
      </w:r>
      <w:r>
        <w:rPr>
          <w:rFonts w:hint="eastAsia" w:ascii="仿宋_GB2312" w:hAnsi="宋体" w:eastAsia="仿宋_GB2312" w:cs="宋体"/>
          <w:color w:val="000000"/>
          <w:kern w:val="0"/>
          <w:sz w:val="32"/>
          <w:szCs w:val="32"/>
          <w:highlight w:val="none"/>
          <w:lang w:val="en-US" w:eastAsia="zh-CN"/>
        </w:rPr>
        <w:t>73.46%</w:t>
      </w:r>
      <w:r>
        <w:rPr>
          <w:rFonts w:hint="eastAsia" w:ascii="仿宋_GB2312" w:hAnsi="宋体" w:eastAsia="仿宋_GB2312" w:cs="宋体"/>
          <w:color w:val="000000"/>
          <w:kern w:val="0"/>
          <w:sz w:val="32"/>
          <w:szCs w:val="32"/>
          <w:highlight w:val="none"/>
        </w:rPr>
        <w:t>。</w:t>
      </w:r>
    </w:p>
    <w:p>
      <w:pPr>
        <w:spacing w:line="600" w:lineRule="exact"/>
        <w:ind w:left="105" w:leftChars="50" w:firstLine="480" w:firstLineChars="150"/>
        <w:rPr>
          <w:rFonts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三</w:t>
      </w:r>
      <w:r>
        <w:rPr>
          <w:rFonts w:ascii="黑体" w:hAnsi="黑体" w:eastAsia="黑体" w:cs="宋体"/>
          <w:color w:val="000000"/>
          <w:kern w:val="0"/>
          <w:sz w:val="32"/>
          <w:szCs w:val="32"/>
          <w:highlight w:val="none"/>
        </w:rPr>
        <w:t>、整体绩效目标实现情况</w:t>
      </w:r>
    </w:p>
    <w:p>
      <w:p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（一）产出完成情况分析</w:t>
      </w:r>
    </w:p>
    <w:p>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1.产出数量</w:t>
      </w:r>
    </w:p>
    <w:p>
      <w:pPr>
        <w:spacing w:line="600" w:lineRule="exact"/>
        <w:ind w:firstLine="640" w:firstLineChars="200"/>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市退役军人局举办退役军人现场及网络专场招聘会12场；完成退役士兵培训412人；组织军休干部文体活动累计5500人次；实事拥军项目定制保温杯158824个；为12476名北京市入伍义务兵的父母投保保险；为符合条件的残疾军人配置辅助器具670件。</w:t>
      </w:r>
    </w:p>
    <w:p>
      <w:pPr>
        <w:numPr>
          <w:ilvl w:val="0"/>
          <w:numId w:val="0"/>
        </w:numPr>
        <w:spacing w:line="600" w:lineRule="exact"/>
        <w:ind w:left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产出</w:t>
      </w:r>
      <w:r>
        <w:rPr>
          <w:rFonts w:ascii="仿宋_GB2312" w:hAnsi="宋体" w:eastAsia="仿宋_GB2312" w:cs="宋体"/>
          <w:color w:val="000000"/>
          <w:kern w:val="0"/>
          <w:sz w:val="32"/>
          <w:szCs w:val="32"/>
          <w:highlight w:val="none"/>
        </w:rPr>
        <w:t>质量</w:t>
      </w:r>
    </w:p>
    <w:p>
      <w:pPr>
        <w:spacing w:line="600" w:lineRule="exact"/>
        <w:ind w:firstLine="640" w:firstLineChars="200"/>
        <w:rPr>
          <w:rFonts w:hint="default"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市退役军人局定制保温杯合格率100%；向残疾军人配置辅助器具的产品合格率100%；转业军官及退役士兵培训参训率及合格率100%。</w:t>
      </w:r>
    </w:p>
    <w:p>
      <w:pPr>
        <w:numPr>
          <w:ilvl w:val="0"/>
          <w:numId w:val="0"/>
        </w:numPr>
        <w:spacing w:line="600" w:lineRule="exact"/>
        <w:ind w:left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产出</w:t>
      </w:r>
      <w:r>
        <w:rPr>
          <w:rFonts w:ascii="仿宋_GB2312" w:hAnsi="宋体" w:eastAsia="仿宋_GB2312" w:cs="宋体"/>
          <w:color w:val="000000"/>
          <w:kern w:val="0"/>
          <w:sz w:val="32"/>
          <w:szCs w:val="32"/>
          <w:highlight w:val="none"/>
        </w:rPr>
        <w:t>进度</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市退役军人局各项工作均在计划时间内完成。</w:t>
      </w:r>
    </w:p>
    <w:p>
      <w:pPr>
        <w:numPr>
          <w:ilvl w:val="0"/>
          <w:numId w:val="0"/>
        </w:numPr>
        <w:spacing w:line="600" w:lineRule="exact"/>
        <w:ind w:left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4.</w:t>
      </w:r>
      <w:r>
        <w:rPr>
          <w:rFonts w:hint="eastAsia" w:ascii="仿宋_GB2312" w:hAnsi="宋体" w:eastAsia="仿宋_GB2312" w:cs="宋体"/>
          <w:color w:val="000000"/>
          <w:kern w:val="0"/>
          <w:sz w:val="32"/>
          <w:szCs w:val="32"/>
          <w:highlight w:val="none"/>
        </w:rPr>
        <w:t>产出</w:t>
      </w:r>
      <w:r>
        <w:rPr>
          <w:rFonts w:ascii="仿宋_GB2312" w:hAnsi="宋体" w:eastAsia="仿宋_GB2312" w:cs="宋体"/>
          <w:color w:val="000000"/>
          <w:kern w:val="0"/>
          <w:sz w:val="32"/>
          <w:szCs w:val="32"/>
          <w:highlight w:val="none"/>
        </w:rPr>
        <w:t>成本</w:t>
      </w:r>
    </w:p>
    <w:p>
      <w:pPr>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市退役军人局各项目资金支出控制在预算范围内。</w:t>
      </w:r>
    </w:p>
    <w:p>
      <w:p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（二）效果</w:t>
      </w:r>
      <w:r>
        <w:rPr>
          <w:rFonts w:ascii="楷体_GB2312" w:eastAsia="楷体_GB2312"/>
          <w:sz w:val="32"/>
          <w:szCs w:val="32"/>
          <w:highlight w:val="none"/>
        </w:rPr>
        <w:t>实现情况分析</w:t>
      </w:r>
    </w:p>
    <w:p>
      <w:pPr>
        <w:spacing w:line="600" w:lineRule="exact"/>
        <w:ind w:left="105" w:leftChars="50" w:firstLine="480" w:firstLineChars="150"/>
        <w:rPr>
          <w:rFonts w:hint="eastAsia"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1</w:t>
      </w:r>
      <w:r>
        <w:rPr>
          <w:rFonts w:hint="eastAsia" w:ascii="仿宋_GB2312" w:hAnsi="宋体" w:eastAsia="仿宋_GB2312" w:cs="宋体"/>
          <w:color w:val="000000"/>
          <w:kern w:val="0"/>
          <w:sz w:val="32"/>
          <w:szCs w:val="32"/>
          <w:highlight w:val="none"/>
        </w:rPr>
        <w:t>.社会效益</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本市退役军人安置就业更有保障，优抚帮扶更加有力，退役军人获得感、荣誉感进一步增强。军政军民关系进一步巩固，全社会尊崇军人职业、尊重退役军人的氛围日益浓厚，服务国防和军队现代化建设水平进一步提升，助力首都经济社会发展水平不断提高。</w:t>
      </w:r>
    </w:p>
    <w:p>
      <w:pPr>
        <w:numPr>
          <w:ilvl w:val="0"/>
          <w:numId w:val="0"/>
        </w:numPr>
        <w:spacing w:line="600" w:lineRule="exact"/>
        <w:ind w:left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可持续</w:t>
      </w:r>
      <w:r>
        <w:rPr>
          <w:rFonts w:ascii="仿宋_GB2312" w:hAnsi="宋体" w:eastAsia="仿宋_GB2312" w:cs="宋体"/>
          <w:color w:val="000000"/>
          <w:kern w:val="0"/>
          <w:sz w:val="32"/>
          <w:szCs w:val="32"/>
          <w:highlight w:val="none"/>
        </w:rPr>
        <w:t>性影响</w:t>
      </w:r>
    </w:p>
    <w:p>
      <w:pPr>
        <w:spacing w:line="600" w:lineRule="exact"/>
        <w:ind w:firstLine="640" w:firstLineChars="200"/>
      </w:pPr>
      <w:r>
        <w:rPr>
          <w:rFonts w:hint="eastAsia" w:ascii="仿宋_GB2312" w:hAnsi="宋体" w:eastAsia="仿宋_GB2312" w:cs="宋体"/>
          <w:color w:val="000000"/>
          <w:kern w:val="0"/>
          <w:sz w:val="32"/>
          <w:szCs w:val="32"/>
          <w:highlight w:val="none"/>
          <w:lang w:val="en-US" w:eastAsia="zh-CN"/>
        </w:rPr>
        <w:t>本市退役军人事务领域治理体系和治理能力现代化水平持续提高，组织管理体系进一步健全，工作运行体系进一步高效，政策制度体系进一步完善，首都退役军人工作的示范引领作用得到持续有效发挥。</w:t>
      </w:r>
    </w:p>
    <w:p>
      <w:pPr>
        <w:spacing w:line="600" w:lineRule="exact"/>
        <w:ind w:left="105" w:leftChars="50" w:firstLine="480" w:firstLineChars="15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.服务对象</w:t>
      </w:r>
      <w:r>
        <w:rPr>
          <w:rFonts w:ascii="仿宋_GB2312" w:hAnsi="宋体" w:eastAsia="仿宋_GB2312" w:cs="宋体"/>
          <w:color w:val="000000"/>
          <w:kern w:val="0"/>
          <w:sz w:val="32"/>
          <w:szCs w:val="32"/>
          <w:highlight w:val="none"/>
        </w:rPr>
        <w:t>满意度</w:t>
      </w:r>
    </w:p>
    <w:p>
      <w:pPr>
        <w:spacing w:line="600" w:lineRule="exact"/>
        <w:ind w:firstLine="640" w:firstLineChars="200"/>
      </w:pPr>
      <w:r>
        <w:rPr>
          <w:rFonts w:hint="eastAsia" w:ascii="仿宋_GB2312" w:hAnsi="宋体" w:eastAsia="仿宋_GB2312" w:cs="宋体"/>
          <w:color w:val="000000"/>
          <w:kern w:val="0"/>
          <w:sz w:val="32"/>
          <w:szCs w:val="32"/>
          <w:highlight w:val="none"/>
          <w:lang w:val="en-US" w:eastAsia="zh-CN"/>
        </w:rPr>
        <w:t>市退役军人局对相关工作开展满意度测评，服务对象满意度均高于90%。</w:t>
      </w:r>
    </w:p>
    <w:p>
      <w:pPr>
        <w:spacing w:line="600" w:lineRule="exact"/>
        <w:ind w:left="105" w:leftChars="50" w:firstLine="480" w:firstLineChars="150"/>
        <w:rPr>
          <w:rFonts w:hint="eastAsia" w:ascii="黑体" w:hAnsi="黑体" w:eastAsia="黑体" w:cs="宋体"/>
          <w:color w:val="000000"/>
          <w:kern w:val="0"/>
          <w:sz w:val="32"/>
          <w:szCs w:val="32"/>
          <w:highlight w:val="none"/>
        </w:rPr>
      </w:pPr>
      <w:r>
        <w:rPr>
          <w:rFonts w:hint="eastAsia" w:ascii="黑体" w:hAnsi="黑体" w:eastAsia="黑体" w:cs="宋体"/>
          <w:color w:val="000000"/>
          <w:kern w:val="0"/>
          <w:sz w:val="32"/>
          <w:szCs w:val="32"/>
          <w:highlight w:val="none"/>
        </w:rPr>
        <w:t>四</w:t>
      </w:r>
      <w:r>
        <w:rPr>
          <w:rFonts w:ascii="黑体" w:hAnsi="黑体" w:eastAsia="黑体" w:cs="宋体"/>
          <w:color w:val="000000"/>
          <w:kern w:val="0"/>
          <w:sz w:val="32"/>
          <w:szCs w:val="32"/>
          <w:highlight w:val="none"/>
        </w:rPr>
        <w:t>、预算管理</w:t>
      </w:r>
      <w:r>
        <w:rPr>
          <w:rFonts w:hint="eastAsia" w:ascii="黑体" w:hAnsi="黑体" w:eastAsia="黑体" w:cs="宋体"/>
          <w:color w:val="000000"/>
          <w:kern w:val="0"/>
          <w:sz w:val="32"/>
          <w:szCs w:val="32"/>
          <w:highlight w:val="none"/>
        </w:rPr>
        <w:t>情况分</w:t>
      </w:r>
      <w:r>
        <w:rPr>
          <w:rFonts w:ascii="黑体" w:hAnsi="黑体" w:eastAsia="黑体" w:cs="宋体"/>
          <w:color w:val="000000"/>
          <w:kern w:val="0"/>
          <w:sz w:val="32"/>
          <w:szCs w:val="32"/>
          <w:highlight w:val="none"/>
        </w:rPr>
        <w:t>析</w:t>
      </w:r>
    </w:p>
    <w:p>
      <w:p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（一）财务管理</w:t>
      </w:r>
    </w:p>
    <w:p>
      <w:pPr>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rPr>
        <w:t>1.财务</w:t>
      </w:r>
      <w:r>
        <w:rPr>
          <w:rFonts w:ascii="仿宋_GB2312" w:hAnsi="宋体" w:eastAsia="仿宋_GB2312" w:cs="宋体"/>
          <w:color w:val="000000"/>
          <w:kern w:val="0"/>
          <w:sz w:val="32"/>
          <w:szCs w:val="32"/>
          <w:highlight w:val="none"/>
        </w:rPr>
        <w:t>管理制度健全性</w:t>
      </w:r>
    </w:p>
    <w:p>
      <w:pPr>
        <w:spacing w:line="600" w:lineRule="exact"/>
        <w:ind w:firstLine="640" w:firstLineChars="200"/>
        <w:rPr>
          <w:rFonts w:hint="eastAsia"/>
        </w:rPr>
      </w:pPr>
      <w:r>
        <w:rPr>
          <w:rFonts w:hint="eastAsia" w:ascii="仿宋_GB2312" w:hAnsi="宋体" w:eastAsia="仿宋_GB2312" w:cs="宋体"/>
          <w:color w:val="000000"/>
          <w:kern w:val="0"/>
          <w:sz w:val="32"/>
          <w:szCs w:val="32"/>
          <w:highlight w:val="none"/>
          <w:lang w:val="en-US" w:eastAsia="zh-CN"/>
        </w:rPr>
        <w:t>市退役军人局制定印发《北京市退役军人事务局内部控制手册》，包括《北京市退役军人事务局预算资金管理办法（试行）》《北京市退役军人事务局预算绩效管理办法》等内控制度，覆盖全局各项经济活动，使经济活动的开展有规可守、有制可依。</w:t>
      </w:r>
    </w:p>
    <w:p>
      <w:pPr>
        <w:numPr>
          <w:ilvl w:val="0"/>
          <w:numId w:val="0"/>
        </w:numPr>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2.</w:t>
      </w:r>
      <w:r>
        <w:rPr>
          <w:rFonts w:hint="eastAsia" w:ascii="仿宋_GB2312" w:hAnsi="宋体" w:eastAsia="仿宋_GB2312" w:cs="宋体"/>
          <w:color w:val="000000"/>
          <w:kern w:val="0"/>
          <w:sz w:val="32"/>
          <w:szCs w:val="32"/>
          <w:highlight w:val="none"/>
        </w:rPr>
        <w:t>资金使用合规性</w:t>
      </w:r>
      <w:r>
        <w:rPr>
          <w:rFonts w:ascii="仿宋_GB2312" w:hAnsi="宋体" w:eastAsia="仿宋_GB2312" w:cs="宋体"/>
          <w:color w:val="000000"/>
          <w:kern w:val="0"/>
          <w:sz w:val="32"/>
          <w:szCs w:val="32"/>
          <w:highlight w:val="none"/>
        </w:rPr>
        <w:t>和安全性</w:t>
      </w:r>
    </w:p>
    <w:p>
      <w:pPr>
        <w:spacing w:line="600" w:lineRule="exact"/>
        <w:ind w:firstLine="640" w:firstLineChars="200"/>
      </w:pPr>
      <w:r>
        <w:rPr>
          <w:rFonts w:hint="eastAsia" w:ascii="仿宋_GB2312" w:hAnsi="宋体" w:eastAsia="仿宋_GB2312" w:cs="宋体"/>
          <w:color w:val="000000"/>
          <w:kern w:val="0"/>
          <w:sz w:val="32"/>
          <w:szCs w:val="32"/>
          <w:highlight w:val="none"/>
          <w:lang w:val="en-US" w:eastAsia="zh-CN"/>
        </w:rPr>
        <w:t>市退役军人局资金使用严格执行内控制度，设置不相容岗位，逐级申请、审核资金。建立了覆盖所属预算单位的财务集中管控平台，实现了内部控制的信息化，将制度要求嵌入到平台中，严把资金支出审核，基本建立了制度约束与信息化相结合的内部控制运行机制，提高了内部管理水平，保证了资金使用合规性和安全性。</w:t>
      </w:r>
    </w:p>
    <w:p>
      <w:pPr>
        <w:numPr>
          <w:ilvl w:val="0"/>
          <w:numId w:val="0"/>
        </w:numPr>
        <w:spacing w:line="600" w:lineRule="exact"/>
        <w:ind w:firstLine="640" w:firstLineChars="200"/>
        <w:rPr>
          <w:rFonts w:ascii="仿宋_GB2312" w:hAnsi="宋体" w:eastAsia="仿宋_GB2312" w:cs="宋体"/>
          <w:color w:val="000000"/>
          <w:kern w:val="0"/>
          <w:sz w:val="32"/>
          <w:szCs w:val="32"/>
          <w:highlight w:val="none"/>
        </w:rPr>
      </w:pPr>
      <w:r>
        <w:rPr>
          <w:rFonts w:hint="eastAsia" w:ascii="仿宋_GB2312" w:hAnsi="宋体" w:eastAsia="仿宋_GB2312" w:cs="宋体"/>
          <w:color w:val="000000"/>
          <w:kern w:val="0"/>
          <w:sz w:val="32"/>
          <w:szCs w:val="32"/>
          <w:highlight w:val="none"/>
          <w:lang w:val="en-US" w:eastAsia="zh-CN"/>
        </w:rPr>
        <w:t>3.</w:t>
      </w:r>
      <w:r>
        <w:rPr>
          <w:rFonts w:hint="eastAsia" w:ascii="仿宋_GB2312" w:hAnsi="宋体" w:eastAsia="仿宋_GB2312" w:cs="宋体"/>
          <w:color w:val="000000"/>
          <w:kern w:val="0"/>
          <w:sz w:val="32"/>
          <w:szCs w:val="32"/>
          <w:highlight w:val="none"/>
        </w:rPr>
        <w:t>会计</w:t>
      </w:r>
      <w:r>
        <w:rPr>
          <w:rFonts w:ascii="仿宋_GB2312" w:hAnsi="宋体" w:eastAsia="仿宋_GB2312" w:cs="宋体"/>
          <w:color w:val="000000"/>
          <w:kern w:val="0"/>
          <w:sz w:val="32"/>
          <w:szCs w:val="32"/>
          <w:highlight w:val="none"/>
        </w:rPr>
        <w:t>基础信息完善性</w:t>
      </w:r>
    </w:p>
    <w:p>
      <w:pPr>
        <w:spacing w:line="600" w:lineRule="exact"/>
        <w:ind w:firstLine="640" w:firstLineChars="200"/>
      </w:pPr>
      <w:r>
        <w:rPr>
          <w:rFonts w:hint="eastAsia" w:ascii="仿宋_GB2312" w:hAnsi="宋体" w:eastAsia="仿宋_GB2312" w:cs="宋体"/>
          <w:color w:val="000000"/>
          <w:kern w:val="0"/>
          <w:sz w:val="32"/>
          <w:szCs w:val="32"/>
          <w:highlight w:val="none"/>
          <w:lang w:val="en-US" w:eastAsia="zh-CN"/>
        </w:rPr>
        <w:t>市退役军人局严格按照财务制度做好报销资料审核工作，保证会计报销资料齐全。严格根据相关规定对会计账簿、凭证等财务资料进行收集、使用及保管。</w:t>
      </w:r>
    </w:p>
    <w:p>
      <w:pPr>
        <w:numPr>
          <w:ilvl w:val="0"/>
          <w:numId w:val="1"/>
        </w:numPr>
        <w:spacing w:line="600" w:lineRule="exact"/>
        <w:ind w:left="105" w:leftChars="50" w:firstLine="480" w:firstLineChars="150"/>
        <w:rPr>
          <w:rFonts w:hint="eastAsia" w:ascii="楷体_GB2312" w:eastAsia="楷体_GB2312"/>
          <w:sz w:val="32"/>
          <w:szCs w:val="32"/>
          <w:highlight w:val="none"/>
        </w:rPr>
      </w:pPr>
      <w:r>
        <w:rPr>
          <w:rFonts w:hint="eastAsia" w:ascii="楷体_GB2312" w:eastAsia="楷体_GB2312"/>
          <w:sz w:val="32"/>
          <w:szCs w:val="32"/>
          <w:highlight w:val="none"/>
        </w:rPr>
        <w:t>资产管理</w:t>
      </w:r>
    </w:p>
    <w:p>
      <w:pPr>
        <w:spacing w:line="600" w:lineRule="exact"/>
        <w:ind w:firstLine="640" w:firstLineChars="200"/>
      </w:pPr>
      <w:r>
        <w:rPr>
          <w:rFonts w:hint="eastAsia" w:ascii="仿宋_GB2312" w:hAnsi="宋体" w:eastAsia="仿宋_GB2312" w:cs="宋体"/>
          <w:color w:val="000000"/>
          <w:kern w:val="0"/>
          <w:sz w:val="32"/>
          <w:szCs w:val="32"/>
          <w:highlight w:val="none"/>
          <w:lang w:val="en-US" w:eastAsia="zh-CN"/>
        </w:rPr>
        <w:t>市退役军人局坚持资产管理与预算管理的有机结合，严格控制新增资产配置预算，执行资产配置标准，细化资产购置预算编制。加强制度建设，修订《北京市退役军人事务局固定资产管理办法》《北京市退役军人事务局低值易耗办公用品管理规定》，使资产管理各项工作做到有章可依、有制可循。加强资产动态管理，定期检查国有资产的使用情况。</w:t>
      </w:r>
    </w:p>
    <w:p>
      <w:pPr>
        <w:numPr>
          <w:ilvl w:val="0"/>
          <w:numId w:val="1"/>
        </w:num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绩效</w:t>
      </w:r>
      <w:r>
        <w:rPr>
          <w:rFonts w:ascii="楷体_GB2312" w:eastAsia="楷体_GB2312"/>
          <w:sz w:val="32"/>
          <w:szCs w:val="32"/>
          <w:highlight w:val="none"/>
        </w:rPr>
        <w:t>管理</w:t>
      </w:r>
    </w:p>
    <w:p>
      <w:pPr>
        <w:spacing w:line="600" w:lineRule="exact"/>
        <w:ind w:firstLine="640" w:firstLineChars="200"/>
        <w:jc w:val="both"/>
      </w:pPr>
      <w:r>
        <w:rPr>
          <w:rFonts w:hint="eastAsia" w:ascii="仿宋_GB2312" w:hAnsi="宋体" w:eastAsia="仿宋_GB2312" w:cs="宋体"/>
          <w:color w:val="000000"/>
          <w:kern w:val="0"/>
          <w:sz w:val="32"/>
          <w:szCs w:val="32"/>
          <w:highlight w:val="none"/>
          <w:lang w:val="en-US" w:eastAsia="zh-CN"/>
        </w:rPr>
        <w:t>市退役军人局不断强化绩效管理意识，建立全过程预算绩效管理机制。一是履行预算绩效管理主体责任，制定《北京市退役军人事务局预算绩效管理办法》，及时开展部门自评和绩效运行监控工作；二是强化各预算单位成本管控责任，将成本理念和方法贯穿于预算管理各环节；三是加强绩效结果应用，及时对绩效监控结果进行分析，对发现的问题督促相关部门改进管理，确保预算资金安全有效，保障政策目标如期实现。</w:t>
      </w:r>
    </w:p>
    <w:p>
      <w:pPr>
        <w:numPr>
          <w:ilvl w:val="0"/>
          <w:numId w:val="1"/>
        </w:numPr>
        <w:spacing w:line="600" w:lineRule="exact"/>
        <w:ind w:left="105" w:leftChars="50" w:firstLine="480" w:firstLineChars="150"/>
        <w:rPr>
          <w:rFonts w:hint="eastAsia" w:ascii="楷体_GB2312" w:eastAsia="楷体_GB2312"/>
          <w:sz w:val="32"/>
          <w:szCs w:val="32"/>
          <w:highlight w:val="none"/>
        </w:rPr>
      </w:pPr>
      <w:r>
        <w:rPr>
          <w:rFonts w:hint="eastAsia" w:ascii="楷体_GB2312" w:eastAsia="楷体_GB2312"/>
          <w:sz w:val="32"/>
          <w:szCs w:val="32"/>
          <w:highlight w:val="none"/>
        </w:rPr>
        <w:t>结转结余率</w:t>
      </w:r>
    </w:p>
    <w:p>
      <w:pPr>
        <w:spacing w:line="600" w:lineRule="exact"/>
        <w:ind w:firstLine="640" w:firstLineChars="20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市退役军人局2022年全年预算数1217517.59万元，年末结余结转323175.03万元，结转结余率为26.54%。</w:t>
      </w:r>
    </w:p>
    <w:p>
      <w:pPr>
        <w:numPr>
          <w:ilvl w:val="0"/>
          <w:numId w:val="1"/>
        </w:numPr>
        <w:spacing w:line="600" w:lineRule="exact"/>
        <w:ind w:left="105" w:leftChars="50" w:firstLine="480" w:firstLineChars="150"/>
        <w:rPr>
          <w:rFonts w:ascii="楷体_GB2312" w:eastAsia="楷体_GB2312"/>
          <w:sz w:val="32"/>
          <w:szCs w:val="32"/>
          <w:highlight w:val="none"/>
        </w:rPr>
      </w:pPr>
      <w:r>
        <w:rPr>
          <w:rFonts w:hint="eastAsia" w:ascii="楷体_GB2312" w:eastAsia="楷体_GB2312"/>
          <w:sz w:val="32"/>
          <w:szCs w:val="32"/>
          <w:highlight w:val="none"/>
        </w:rPr>
        <w:t>部门</w:t>
      </w:r>
      <w:r>
        <w:rPr>
          <w:rFonts w:ascii="楷体_GB2312" w:eastAsia="楷体_GB2312"/>
          <w:sz w:val="32"/>
          <w:szCs w:val="32"/>
          <w:highlight w:val="none"/>
        </w:rPr>
        <w:t>预决算差异率</w:t>
      </w:r>
    </w:p>
    <w:p>
      <w:pPr>
        <w:spacing w:line="600" w:lineRule="exact"/>
        <w:ind w:firstLine="640" w:firstLineChars="200"/>
      </w:pPr>
      <w:r>
        <w:rPr>
          <w:rFonts w:hint="eastAsia" w:ascii="仿宋_GB2312" w:hAnsi="宋体" w:eastAsia="仿宋_GB2312" w:cs="宋体"/>
          <w:color w:val="000000"/>
          <w:kern w:val="0"/>
          <w:sz w:val="32"/>
          <w:szCs w:val="32"/>
          <w:highlight w:val="none"/>
          <w:lang w:val="en-US" w:eastAsia="zh-CN"/>
        </w:rPr>
        <w:t>市退役军人局2022年年初预算数757392.83万元，决算数1217517.59万元，预决算差异率60.75%。主要是由于我局的中央转移支付资金规模较大，中央转移支付资金每年分批下达，年中下达的资金无法纳入年初预算。</w:t>
      </w:r>
    </w:p>
    <w:p>
      <w:pPr>
        <w:spacing w:line="600" w:lineRule="exact"/>
        <w:ind w:left="105" w:leftChars="50" w:firstLine="480" w:firstLineChars="150"/>
        <w:rPr>
          <w:rFonts w:ascii="黑体" w:hAnsi="黑体" w:eastAsia="黑体"/>
          <w:sz w:val="32"/>
          <w:szCs w:val="32"/>
          <w:highlight w:val="none"/>
        </w:rPr>
      </w:pPr>
      <w:r>
        <w:rPr>
          <w:rFonts w:hint="eastAsia" w:ascii="黑体" w:hAnsi="黑体" w:eastAsia="黑体"/>
          <w:sz w:val="32"/>
          <w:szCs w:val="32"/>
          <w:highlight w:val="none"/>
        </w:rPr>
        <w:t>五、总体</w:t>
      </w:r>
      <w:r>
        <w:rPr>
          <w:rFonts w:ascii="黑体" w:hAnsi="黑体" w:eastAsia="黑体"/>
          <w:sz w:val="32"/>
          <w:szCs w:val="32"/>
          <w:highlight w:val="none"/>
        </w:rPr>
        <w:t>评价结论</w:t>
      </w:r>
    </w:p>
    <w:p>
      <w:pPr>
        <w:spacing w:line="600" w:lineRule="exact"/>
        <w:ind w:left="105" w:leftChars="50" w:firstLine="480" w:firstLineChars="150"/>
        <w:rPr>
          <w:rFonts w:hint="eastAsia" w:ascii="楷体_GB2312" w:eastAsia="楷体_GB2312"/>
          <w:sz w:val="32"/>
          <w:szCs w:val="32"/>
          <w:highlight w:val="none"/>
        </w:rPr>
      </w:pPr>
      <w:r>
        <w:rPr>
          <w:rFonts w:hint="eastAsia" w:ascii="楷体_GB2312" w:eastAsia="楷体_GB2312"/>
          <w:sz w:val="32"/>
          <w:szCs w:val="32"/>
          <w:highlight w:val="none"/>
        </w:rPr>
        <w:t>（一）评价</w:t>
      </w:r>
      <w:r>
        <w:rPr>
          <w:rFonts w:ascii="楷体_GB2312" w:eastAsia="楷体_GB2312"/>
          <w:sz w:val="32"/>
          <w:szCs w:val="32"/>
          <w:highlight w:val="none"/>
        </w:rPr>
        <w:t>得分</w:t>
      </w:r>
      <w:r>
        <w:rPr>
          <w:rFonts w:hint="eastAsia" w:ascii="楷体_GB2312" w:eastAsia="楷体_GB2312"/>
          <w:sz w:val="32"/>
          <w:szCs w:val="32"/>
          <w:highlight w:val="none"/>
        </w:rPr>
        <w:t>情况</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市退役军人局2022年部门整体绩效评价得分为94.69</w:t>
      </w:r>
      <w:bookmarkStart w:id="2" w:name="_GoBack"/>
      <w:bookmarkEnd w:id="2"/>
      <w:r>
        <w:rPr>
          <w:rFonts w:hint="eastAsia" w:ascii="仿宋_GB2312" w:hAnsi="宋体" w:eastAsia="仿宋_GB2312" w:cs="宋体"/>
          <w:color w:val="000000"/>
          <w:kern w:val="0"/>
          <w:sz w:val="32"/>
          <w:szCs w:val="32"/>
          <w:highlight w:val="none"/>
          <w:lang w:val="en-US" w:eastAsia="zh-CN"/>
        </w:rPr>
        <w:t>分，综合评价等级为“优”。</w:t>
      </w:r>
    </w:p>
    <w:p>
      <w:pPr>
        <w:numPr>
          <w:ilvl w:val="0"/>
          <w:numId w:val="2"/>
        </w:numPr>
        <w:spacing w:line="600" w:lineRule="exact"/>
        <w:ind w:left="105" w:leftChars="50" w:firstLine="480" w:firstLineChars="150"/>
        <w:rPr>
          <w:rFonts w:hint="eastAsia" w:ascii="楷体_GB2312" w:eastAsia="楷体_GB2312"/>
          <w:sz w:val="32"/>
          <w:szCs w:val="32"/>
          <w:highlight w:val="none"/>
        </w:rPr>
      </w:pPr>
      <w:r>
        <w:rPr>
          <w:rFonts w:hint="eastAsia" w:ascii="楷体_GB2312" w:eastAsia="楷体_GB2312"/>
          <w:sz w:val="32"/>
          <w:szCs w:val="32"/>
          <w:highlight w:val="none"/>
        </w:rPr>
        <w:t>存在的问题及原因分析</w:t>
      </w:r>
    </w:p>
    <w:p>
      <w:pPr>
        <w:spacing w:line="600" w:lineRule="exact"/>
        <w:ind w:firstLine="640" w:firstLineChars="200"/>
        <w:rPr>
          <w:rFonts w:hint="eastAsia" w:ascii="仿宋_GB2312" w:hAnsi="宋体" w:eastAsia="仿宋_GB2312" w:cs="宋体"/>
          <w:color w:val="000000"/>
          <w:kern w:val="0"/>
          <w:sz w:val="32"/>
          <w:szCs w:val="32"/>
          <w:highlight w:val="none"/>
          <w:lang w:val="en-US" w:eastAsia="zh-CN"/>
        </w:rPr>
      </w:pPr>
      <w:r>
        <w:rPr>
          <w:rFonts w:hint="eastAsia" w:ascii="仿宋_GB2312" w:hAnsi="宋体" w:eastAsia="仿宋_GB2312" w:cs="宋体"/>
          <w:color w:val="000000"/>
          <w:kern w:val="0"/>
          <w:sz w:val="32"/>
          <w:szCs w:val="32"/>
          <w:highlight w:val="none"/>
          <w:lang w:val="en-US" w:eastAsia="zh-CN"/>
        </w:rPr>
        <w:t>部分非财拨资金项目预算管理的科学化、精细化程度有待提升，需加强项目储备，进一步提升资金使用效益。</w:t>
      </w:r>
    </w:p>
    <w:p>
      <w:pPr>
        <w:spacing w:line="600" w:lineRule="exact"/>
        <w:ind w:firstLine="640" w:firstLineChars="200"/>
        <w:rPr>
          <w:rFonts w:hint="eastAsia" w:ascii="仿宋_GB2312" w:hAnsi="宋体" w:eastAsia="仿宋_GB2312" w:cs="宋体"/>
          <w:color w:val="000000"/>
          <w:kern w:val="0"/>
          <w:sz w:val="32"/>
          <w:szCs w:val="32"/>
          <w:highlight w:val="none"/>
        </w:rPr>
      </w:pPr>
      <w:r>
        <w:rPr>
          <w:rFonts w:hint="eastAsia" w:ascii="黑体" w:hAnsi="黑体" w:eastAsia="黑体" w:cs="宋体"/>
          <w:color w:val="000000"/>
          <w:kern w:val="0"/>
          <w:sz w:val="32"/>
          <w:szCs w:val="32"/>
          <w:highlight w:val="none"/>
        </w:rPr>
        <w:t>六、措施建议</w:t>
      </w:r>
    </w:p>
    <w:p>
      <w:pPr>
        <w:pStyle w:val="3"/>
        <w:rPr>
          <w:rFonts w:hint="eastAsia" w:ascii="仿宋_GB2312" w:hAnsi="仿宋_GB2312" w:eastAsia="仿宋_GB2312" w:cs="仿宋_GB2312"/>
          <w:kern w:val="2"/>
          <w:sz w:val="32"/>
          <w:szCs w:val="32"/>
          <w:highlight w:val="none"/>
          <w:lang w:val="en-US" w:eastAsia="zh-CN" w:bidi="ar-SA"/>
        </w:rPr>
      </w:pPr>
      <w:bookmarkStart w:id="0" w:name="_Toc103006299"/>
      <w:bookmarkStart w:id="1" w:name="_Toc103006301"/>
      <w:r>
        <w:rPr>
          <w:rFonts w:hint="eastAsia" w:ascii="仿宋_GB2312" w:hAnsi="仿宋_GB2312" w:eastAsia="仿宋_GB2312" w:cs="仿宋_GB2312"/>
          <w:kern w:val="2"/>
          <w:sz w:val="32"/>
          <w:szCs w:val="32"/>
          <w:highlight w:val="none"/>
          <w:lang w:val="en-US" w:eastAsia="zh-CN" w:bidi="ar-SA"/>
        </w:rPr>
        <w:t>1.</w:t>
      </w:r>
      <w:bookmarkEnd w:id="0"/>
      <w:r>
        <w:rPr>
          <w:rFonts w:hint="eastAsia" w:ascii="仿宋_GB2312" w:hAnsi="仿宋_GB2312" w:eastAsia="仿宋_GB2312" w:cs="仿宋_GB2312"/>
          <w:kern w:val="2"/>
          <w:sz w:val="32"/>
          <w:szCs w:val="32"/>
          <w:highlight w:val="none"/>
          <w:lang w:val="en-US" w:eastAsia="zh-CN" w:bidi="ar-SA"/>
        </w:rPr>
        <w:t>加强绩效目标编制管理。提高项目绩效指标设定的科学性、细化量化程度，突出项目核心产出和效果，起到指导项目立项、监督项目实施过程、考核项目实施效果的作用。</w:t>
      </w:r>
    </w:p>
    <w:p>
      <w:pPr>
        <w:pStyle w:val="3"/>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2.落实绩效管理主体责任。完善本单位全面实施预算绩效管理的制度，对预算执行和成本实行监控和评价，及时开展绩效运行监控工作，落实成本管控和产出效益。</w:t>
      </w:r>
    </w:p>
    <w:p>
      <w:pPr>
        <w:pStyle w:val="3"/>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3.加强项目经费管理。不断提高预算编制的科学性、合理性、准确性，提高预算的刚性约束，完善项目预算分年度安排机制，确保预算安排与项目实施进度匹配，降低资金结转规模，避免年度资金闲置沉淀。</w:t>
      </w:r>
    </w:p>
    <w:bookmarkEnd w:id="1"/>
    <w:tbl>
      <w:tblPr>
        <w:tblStyle w:val="8"/>
        <w:tblW w:w="14174" w:type="dxa"/>
        <w:tblInd w:w="0" w:type="dxa"/>
        <w:tblLayout w:type="fixed"/>
        <w:tblCellMar>
          <w:top w:w="0" w:type="dxa"/>
          <w:left w:w="108" w:type="dxa"/>
          <w:bottom w:w="0" w:type="dxa"/>
          <w:right w:w="108" w:type="dxa"/>
        </w:tblCellMar>
      </w:tblPr>
      <w:tblGrid>
        <w:gridCol w:w="1201"/>
        <w:gridCol w:w="1205"/>
        <w:gridCol w:w="1144"/>
        <w:gridCol w:w="1483"/>
        <w:gridCol w:w="1097"/>
        <w:gridCol w:w="1026"/>
        <w:gridCol w:w="1143"/>
        <w:gridCol w:w="2815"/>
        <w:gridCol w:w="3060"/>
      </w:tblGrid>
      <w:tr>
        <w:tblPrEx>
          <w:tblCellMar>
            <w:top w:w="0" w:type="dxa"/>
            <w:left w:w="108" w:type="dxa"/>
            <w:bottom w:w="0" w:type="dxa"/>
            <w:right w:w="108" w:type="dxa"/>
          </w:tblCellMar>
        </w:tblPrEx>
        <w:trPr>
          <w:cantSplit/>
          <w:trHeight w:val="90" w:hRule="atLeast"/>
        </w:trPr>
        <w:tc>
          <w:tcPr>
            <w:tcW w:w="14174" w:type="dxa"/>
            <w:gridSpan w:val="9"/>
            <w:tcBorders>
              <w:top w:val="nil"/>
              <w:left w:val="nil"/>
              <w:bottom w:val="single" w:color="auto" w:sz="4" w:space="0"/>
              <w:right w:val="nil"/>
            </w:tcBorders>
            <w:noWrap/>
            <w:vAlign w:val="bottom"/>
          </w:tcPr>
          <w:p>
            <w:pPr>
              <w:widowControl/>
              <w:jc w:val="center"/>
              <w:rPr>
                <w:rFonts w:hint="eastAsia" w:ascii="方正小标宋简体" w:hAnsi="黑体" w:eastAsia="方正小标宋简体" w:cs="宋体"/>
                <w:color w:val="000000"/>
                <w:kern w:val="0"/>
                <w:sz w:val="44"/>
                <w:szCs w:val="44"/>
                <w:highlight w:val="yellow"/>
                <w:lang w:eastAsia="zh-CN"/>
              </w:rPr>
            </w:pPr>
            <w:r>
              <w:rPr>
                <w:rFonts w:hint="eastAsia" w:ascii="方正小标宋简体" w:hAnsi="黑体" w:eastAsia="方正小标宋简体" w:cs="宋体"/>
                <w:color w:val="000000"/>
                <w:kern w:val="0"/>
                <w:sz w:val="44"/>
                <w:szCs w:val="44"/>
                <w:highlight w:val="none"/>
              </w:rPr>
              <w:t>202</w:t>
            </w:r>
            <w:r>
              <w:rPr>
                <w:rFonts w:hint="eastAsia" w:ascii="方正小标宋简体" w:hAnsi="黑体" w:eastAsia="方正小标宋简体" w:cs="宋体"/>
                <w:color w:val="000000"/>
                <w:kern w:val="0"/>
                <w:sz w:val="44"/>
                <w:szCs w:val="44"/>
                <w:highlight w:val="none"/>
                <w:lang w:val="en-US" w:eastAsia="zh-CN"/>
              </w:rPr>
              <w:t>2</w:t>
            </w:r>
            <w:r>
              <w:rPr>
                <w:rFonts w:hint="eastAsia" w:ascii="方正小标宋简体" w:hAnsi="黑体" w:eastAsia="方正小标宋简体" w:cs="宋体"/>
                <w:color w:val="000000"/>
                <w:kern w:val="0"/>
                <w:sz w:val="44"/>
                <w:szCs w:val="44"/>
                <w:highlight w:val="none"/>
              </w:rPr>
              <w:t>年部门整体绩效评价指标体系评分表</w:t>
            </w:r>
          </w:p>
        </w:tc>
      </w:tr>
      <w:tr>
        <w:tblPrEx>
          <w:tblCellMar>
            <w:top w:w="0" w:type="dxa"/>
            <w:left w:w="108" w:type="dxa"/>
            <w:bottom w:w="0" w:type="dxa"/>
            <w:right w:w="108" w:type="dxa"/>
          </w:tblCellMar>
        </w:tblPrEx>
        <w:trPr>
          <w:cantSplit/>
          <w:trHeight w:val="470" w:hRule="atLeast"/>
        </w:trPr>
        <w:tc>
          <w:tcPr>
            <w:tcW w:w="14174" w:type="dxa"/>
            <w:gridSpan w:val="9"/>
            <w:tcBorders>
              <w:top w:val="single" w:color="auto" w:sz="4" w:space="0"/>
              <w:left w:val="single" w:color="auto" w:sz="4" w:space="0"/>
              <w:bottom w:val="single" w:color="000000"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一、当年预算执行情况（20分）</w:t>
            </w:r>
          </w:p>
        </w:tc>
      </w:tr>
      <w:tr>
        <w:tblPrEx>
          <w:tblCellMar>
            <w:top w:w="0" w:type="dxa"/>
            <w:left w:w="108" w:type="dxa"/>
            <w:bottom w:w="0" w:type="dxa"/>
            <w:right w:w="108" w:type="dxa"/>
          </w:tblCellMar>
        </w:tblPrEx>
        <w:trPr>
          <w:cantSplit/>
          <w:trHeight w:val="660" w:hRule="atLeast"/>
        </w:trPr>
        <w:tc>
          <w:tcPr>
            <w:tcW w:w="12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一</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预算数</w:t>
            </w:r>
          </w:p>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4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执行数</w:t>
            </w:r>
          </w:p>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（万元）</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预算执行率</w:t>
            </w:r>
          </w:p>
        </w:tc>
        <w:tc>
          <w:tcPr>
            <w:tcW w:w="102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分值</w:t>
            </w: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指标解释</w:t>
            </w:r>
          </w:p>
        </w:tc>
        <w:tc>
          <w:tcPr>
            <w:tcW w:w="30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评分标准</w:t>
            </w:r>
          </w:p>
        </w:tc>
      </w:tr>
      <w:tr>
        <w:tblPrEx>
          <w:tblCellMar>
            <w:top w:w="0" w:type="dxa"/>
            <w:left w:w="108" w:type="dxa"/>
            <w:bottom w:w="0" w:type="dxa"/>
            <w:right w:w="108" w:type="dxa"/>
          </w:tblCellMar>
        </w:tblPrEx>
        <w:trPr>
          <w:cantSplit/>
          <w:trHeight w:val="630" w:hRule="atLeast"/>
        </w:trPr>
        <w:tc>
          <w:tcPr>
            <w:tcW w:w="12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当年预算执行情况（20）</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资金总体</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2"/>
                <w:sz w:val="18"/>
                <w:szCs w:val="18"/>
                <w:u w:val="none"/>
                <w:lang w:val="en-US" w:eastAsia="zh-CN" w:bidi="ar-SA"/>
              </w:rPr>
              <w:t>1217517.59</w:t>
            </w: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 xml:space="preserve">894,342.56 </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73.46%</w:t>
            </w:r>
          </w:p>
        </w:tc>
        <w:tc>
          <w:tcPr>
            <w:tcW w:w="1026"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1143" w:type="dxa"/>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14.69</w:t>
            </w:r>
          </w:p>
        </w:tc>
        <w:tc>
          <w:tcPr>
            <w:tcW w:w="281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部门全年执行数与全年预算数的比率。资金总体=基本支出+项目支出+其他</w:t>
            </w:r>
          </w:p>
        </w:tc>
        <w:tc>
          <w:tcPr>
            <w:tcW w:w="3060" w:type="dxa"/>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①得分一档最高不能超过该指标分值上限（20分）。</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cantSplit/>
          <w:trHeight w:val="600"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基本支出</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2"/>
                <w:sz w:val="18"/>
                <w:szCs w:val="18"/>
                <w:u w:val="none"/>
                <w:lang w:val="en-US" w:eastAsia="zh-CN" w:bidi="ar-SA"/>
              </w:rPr>
              <w:t>38818.90</w:t>
            </w:r>
          </w:p>
        </w:tc>
        <w:tc>
          <w:tcPr>
            <w:tcW w:w="14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0"/>
                <w:sz w:val="18"/>
                <w:szCs w:val="18"/>
                <w:u w:val="none"/>
                <w:lang w:val="en-US" w:eastAsia="zh-CN" w:bidi="ar"/>
              </w:rPr>
              <w:t>36889.89</w:t>
            </w:r>
            <w:r>
              <w:rPr>
                <w:rFonts w:hint="eastAsia" w:ascii="宋体" w:hAnsi="宋体" w:eastAsia="宋体" w:cs="宋体"/>
                <w:i w:val="0"/>
                <w:color w:val="000000"/>
                <w:kern w:val="0"/>
                <w:sz w:val="18"/>
                <w:szCs w:val="18"/>
                <w:u w:val="none"/>
                <w:lang w:val="en-US" w:eastAsia="zh-CN" w:bidi="ar"/>
              </w:rPr>
              <w:t xml:space="preserve"> </w:t>
            </w:r>
          </w:p>
        </w:tc>
        <w:tc>
          <w:tcPr>
            <w:tcW w:w="109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18"/>
                <w:szCs w:val="18"/>
              </w:rPr>
            </w:pPr>
          </w:p>
        </w:tc>
        <w:tc>
          <w:tcPr>
            <w:tcW w:w="281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61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single" w:color="auto" w:sz="4" w:space="0"/>
              <w:left w:val="single" w:color="auto" w:sz="4" w:space="0"/>
              <w:bottom w:val="single" w:color="auto" w:sz="4" w:space="0"/>
              <w:right w:val="nil"/>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项目支出</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eastAsia" w:ascii="宋体" w:hAnsi="宋体" w:cs="宋体"/>
                <w:i w:val="0"/>
                <w:color w:val="000000"/>
                <w:kern w:val="2"/>
                <w:sz w:val="18"/>
                <w:szCs w:val="18"/>
                <w:u w:val="none"/>
                <w:lang w:val="en-US" w:eastAsia="zh-CN" w:bidi="ar-SA"/>
              </w:rPr>
              <w:t>1178698.69</w:t>
            </w:r>
          </w:p>
        </w:tc>
        <w:tc>
          <w:tcPr>
            <w:tcW w:w="14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85</w:t>
            </w:r>
            <w:r>
              <w:rPr>
                <w:rFonts w:hint="eastAsia" w:ascii="宋体" w:hAnsi="宋体" w:cs="宋体"/>
                <w:i w:val="0"/>
                <w:color w:val="000000"/>
                <w:kern w:val="0"/>
                <w:sz w:val="18"/>
                <w:szCs w:val="18"/>
                <w:u w:val="none"/>
                <w:lang w:val="en-US" w:eastAsia="zh-CN" w:bidi="ar"/>
              </w:rPr>
              <w:t>7452.67</w:t>
            </w:r>
            <w:r>
              <w:rPr>
                <w:rFonts w:hint="eastAsia" w:ascii="宋体" w:hAnsi="宋体" w:eastAsia="宋体" w:cs="宋体"/>
                <w:i w:val="0"/>
                <w:color w:val="000000"/>
                <w:kern w:val="0"/>
                <w:sz w:val="18"/>
                <w:szCs w:val="18"/>
                <w:u w:val="none"/>
                <w:lang w:val="en-US" w:eastAsia="zh-CN" w:bidi="ar"/>
              </w:rPr>
              <w:t xml:space="preserve"> </w:t>
            </w:r>
          </w:p>
        </w:tc>
        <w:tc>
          <w:tcPr>
            <w:tcW w:w="109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18"/>
                <w:szCs w:val="18"/>
              </w:rPr>
            </w:pPr>
          </w:p>
        </w:tc>
        <w:tc>
          <w:tcPr>
            <w:tcW w:w="281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2136"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其他</w:t>
            </w:r>
          </w:p>
        </w:tc>
        <w:tc>
          <w:tcPr>
            <w:tcW w:w="114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14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109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02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vMerge w:val="continue"/>
            <w:tcBorders>
              <w:top w:val="single" w:color="auto" w:sz="4" w:space="0"/>
              <w:left w:val="nil"/>
              <w:bottom w:val="single" w:color="auto" w:sz="4" w:space="0"/>
              <w:right w:val="nil"/>
            </w:tcBorders>
            <w:noWrap w:val="0"/>
            <w:vAlign w:val="center"/>
          </w:tcPr>
          <w:p>
            <w:pPr>
              <w:widowControl/>
              <w:jc w:val="left"/>
              <w:rPr>
                <w:rFonts w:ascii="宋体" w:hAnsi="宋体" w:cs="宋体"/>
                <w:color w:val="000000"/>
                <w:kern w:val="0"/>
                <w:sz w:val="18"/>
                <w:szCs w:val="18"/>
              </w:rPr>
            </w:pPr>
          </w:p>
        </w:tc>
        <w:tc>
          <w:tcPr>
            <w:tcW w:w="281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479" w:hRule="atLeast"/>
        </w:trPr>
        <w:tc>
          <w:tcPr>
            <w:tcW w:w="14174" w:type="dxa"/>
            <w:gridSpan w:val="9"/>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w:t>
            </w:r>
            <w:r>
              <w:rPr>
                <w:rFonts w:hint="eastAsia" w:ascii="宋体" w:hAnsi="宋体" w:cs="宋体"/>
                <w:color w:val="000000"/>
                <w:kern w:val="0"/>
                <w:sz w:val="18"/>
                <w:szCs w:val="18"/>
              </w:rPr>
              <w:t>整体绩效目标实现情况（60分）</w:t>
            </w:r>
          </w:p>
        </w:tc>
      </w:tr>
      <w:tr>
        <w:tblPrEx>
          <w:tblCellMar>
            <w:top w:w="0" w:type="dxa"/>
            <w:left w:w="108" w:type="dxa"/>
            <w:bottom w:w="0" w:type="dxa"/>
            <w:right w:w="108" w:type="dxa"/>
          </w:tblCellMar>
        </w:tblPrEx>
        <w:trPr>
          <w:cantSplit/>
          <w:trHeight w:val="499" w:hRule="atLeast"/>
        </w:trPr>
        <w:tc>
          <w:tcPr>
            <w:tcW w:w="12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一</w:t>
            </w:r>
            <w:r>
              <w:rPr>
                <w:rFonts w:ascii="宋体" w:hAnsi="宋体" w:cs="宋体"/>
                <w:color w:val="000000"/>
                <w:kern w:val="0"/>
                <w:sz w:val="18"/>
                <w:szCs w:val="18"/>
              </w:rPr>
              <w:t>级指标</w:t>
            </w:r>
          </w:p>
        </w:tc>
        <w:tc>
          <w:tcPr>
            <w:tcW w:w="12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14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级指标</w:t>
            </w:r>
            <w:r>
              <w:rPr>
                <w:rFonts w:hint="eastAsia" w:ascii="宋体" w:hAnsi="宋体" w:cs="宋体"/>
                <w:color w:val="000000"/>
                <w:kern w:val="0"/>
                <w:sz w:val="18"/>
                <w:szCs w:val="18"/>
              </w:rPr>
              <w:t>　</w:t>
            </w:r>
          </w:p>
        </w:tc>
        <w:tc>
          <w:tcPr>
            <w:tcW w:w="14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指标值</w:t>
            </w:r>
          </w:p>
        </w:tc>
        <w:tc>
          <w:tcPr>
            <w:tcW w:w="109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完成值</w:t>
            </w:r>
          </w:p>
        </w:tc>
        <w:tc>
          <w:tcPr>
            <w:tcW w:w="102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分值</w:t>
            </w:r>
          </w:p>
        </w:tc>
        <w:tc>
          <w:tcPr>
            <w:tcW w:w="1143" w:type="dxa"/>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06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cantSplit/>
          <w:trHeight w:val="1196" w:hRule="atLeast"/>
        </w:trPr>
        <w:tc>
          <w:tcPr>
            <w:tcW w:w="120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整体绩效目标实现情况（60）</w:t>
            </w:r>
          </w:p>
        </w:tc>
        <w:tc>
          <w:tcPr>
            <w:tcW w:w="1205" w:type="dxa"/>
            <w:vMerge w:val="restart"/>
            <w:tcBorders>
              <w:top w:val="single" w:color="auto" w:sz="4" w:space="0"/>
              <w:left w:val="nil"/>
              <w:right w:val="single" w:color="auto" w:sz="4" w:space="0"/>
            </w:tcBorders>
            <w:noWrap w:val="0"/>
            <w:vAlign w:val="center"/>
          </w:tcPr>
          <w:p>
            <w:pPr>
              <w:widowControl/>
              <w:jc w:val="center"/>
              <w:rPr>
                <w:rFonts w:ascii="宋体" w:hAnsi="宋体" w:cs="宋体"/>
                <w:color w:val="000000"/>
                <w:kern w:val="0"/>
                <w:sz w:val="18"/>
                <w:szCs w:val="18"/>
              </w:rPr>
            </w:pPr>
          </w:p>
          <w:p>
            <w:pPr>
              <w:jc w:val="center"/>
              <w:rPr>
                <w:rFonts w:hint="eastAsia" w:ascii="宋体" w:hAnsi="宋体" w:cs="宋体"/>
                <w:color w:val="000000"/>
                <w:kern w:val="0"/>
                <w:sz w:val="18"/>
                <w:szCs w:val="18"/>
              </w:rPr>
            </w:pPr>
            <w:r>
              <w:rPr>
                <w:rFonts w:hint="eastAsia" w:ascii="宋体" w:hAnsi="宋体" w:cs="宋体"/>
                <w:color w:val="000000"/>
                <w:kern w:val="0"/>
                <w:sz w:val="18"/>
                <w:szCs w:val="18"/>
              </w:rPr>
              <w:t>产出（30）</w:t>
            </w:r>
          </w:p>
        </w:tc>
        <w:tc>
          <w:tcPr>
            <w:tcW w:w="11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000000"/>
                <w:kern w:val="0"/>
                <w:sz w:val="18"/>
                <w:szCs w:val="18"/>
              </w:rPr>
            </w:pPr>
            <w:r>
              <w:rPr>
                <w:rFonts w:hint="eastAsia" w:ascii="宋体" w:hAnsi="宋体" w:cs="宋体"/>
                <w:color w:val="000000"/>
                <w:kern w:val="0"/>
                <w:sz w:val="18"/>
                <w:szCs w:val="18"/>
              </w:rPr>
              <w:t>组织退役军人网络招聘会</w:t>
            </w:r>
          </w:p>
        </w:tc>
        <w:tc>
          <w:tcPr>
            <w:tcW w:w="148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000000"/>
                <w:kern w:val="0"/>
                <w:sz w:val="18"/>
                <w:szCs w:val="18"/>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场</w:t>
            </w:r>
          </w:p>
        </w:tc>
        <w:tc>
          <w:tcPr>
            <w:tcW w:w="1097"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12场</w:t>
            </w:r>
          </w:p>
        </w:tc>
        <w:tc>
          <w:tcPr>
            <w:tcW w:w="1026" w:type="dxa"/>
            <w:vMerge w:val="restart"/>
            <w:tcBorders>
              <w:top w:val="single" w:color="auto" w:sz="4" w:space="0"/>
              <w:left w:val="nil"/>
              <w:right w:val="single" w:color="auto" w:sz="4" w:space="0"/>
            </w:tcBorders>
            <w:noWrap w:val="0"/>
            <w:vAlign w:val="center"/>
          </w:tcPr>
          <w:p>
            <w:pPr>
              <w:widowControl/>
              <w:jc w:val="center"/>
              <w:rPr>
                <w:rFonts w:ascii="宋体" w:hAnsi="宋体" w:cs="宋体"/>
                <w:color w:val="000000"/>
                <w:kern w:val="0"/>
                <w:sz w:val="18"/>
                <w:szCs w:val="18"/>
              </w:rPr>
            </w:pPr>
          </w:p>
          <w:p>
            <w:pPr>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1143" w:type="dxa"/>
            <w:tcBorders>
              <w:top w:val="single" w:color="auto" w:sz="4" w:space="0"/>
              <w:left w:val="nil"/>
              <w:bottom w:val="single" w:color="auto" w:sz="4" w:space="0"/>
              <w:right w:val="nil"/>
            </w:tcBorders>
            <w:noWrap w:val="0"/>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产出数量</w:t>
            </w:r>
            <w:r>
              <w:rPr>
                <w:rFonts w:hint="eastAsia" w:ascii="宋体" w:hAnsi="宋体" w:cs="宋体"/>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000000"/>
                <w:kern w:val="0"/>
                <w:sz w:val="18"/>
                <w:szCs w:val="18"/>
              </w:rPr>
              <w:t>产出质量</w:t>
            </w:r>
            <w:r>
              <w:rPr>
                <w:rFonts w:hint="eastAsia" w:ascii="宋体" w:hAnsi="宋体" w:cs="宋体"/>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000000"/>
                <w:kern w:val="0"/>
                <w:sz w:val="18"/>
                <w:szCs w:val="18"/>
              </w:rPr>
              <w:t>产出进度：</w:t>
            </w:r>
            <w:r>
              <w:rPr>
                <w:rFonts w:hint="eastAsia" w:ascii="宋体" w:hAnsi="宋体" w:cs="宋体"/>
                <w:color w:val="000000"/>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000000"/>
                <w:kern w:val="0"/>
                <w:sz w:val="18"/>
                <w:szCs w:val="18"/>
              </w:rPr>
              <w:t>产出成本</w:t>
            </w:r>
            <w:r>
              <w:rPr>
                <w:rFonts w:hint="eastAsia" w:ascii="宋体" w:hAnsi="宋体" w:cs="宋体"/>
                <w:color w:val="000000"/>
                <w:kern w:val="0"/>
                <w:sz w:val="18"/>
                <w:szCs w:val="18"/>
              </w:rPr>
              <w:t>：单位产出相对于上一年度的节约额；②单位产出相对于市场同类产出的节约额；③部门公用经费的控制情况。</w:t>
            </w:r>
          </w:p>
        </w:tc>
        <w:tc>
          <w:tcPr>
            <w:tcW w:w="3060"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cantSplit/>
          <w:trHeight w:val="1130"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退役士兵全年培训人数</w:t>
            </w:r>
          </w:p>
        </w:tc>
        <w:tc>
          <w:tcPr>
            <w:tcW w:w="14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≥400人</w:t>
            </w:r>
          </w:p>
        </w:tc>
        <w:tc>
          <w:tcPr>
            <w:tcW w:w="1097"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412人</w:t>
            </w:r>
          </w:p>
        </w:tc>
        <w:tc>
          <w:tcPr>
            <w:tcW w:w="1026"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tcBorders>
              <w:top w:val="single" w:color="auto" w:sz="4" w:space="0"/>
              <w:left w:val="nil"/>
              <w:bottom w:val="single" w:color="auto" w:sz="4" w:space="0"/>
              <w:right w:val="nil"/>
            </w:tcBorders>
            <w:noWrap/>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1258"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组织军休干部文体活动</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rPr>
              <w:t>≥5000人</w:t>
            </w:r>
            <w:r>
              <w:rPr>
                <w:rFonts w:hint="eastAsia" w:ascii="宋体" w:hAnsi="宋体" w:cs="宋体"/>
                <w:color w:val="000000"/>
                <w:kern w:val="0"/>
                <w:sz w:val="18"/>
                <w:szCs w:val="18"/>
                <w:lang w:eastAsia="zh-CN"/>
              </w:rPr>
              <w:t>次</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5500人次</w:t>
            </w:r>
          </w:p>
        </w:tc>
        <w:tc>
          <w:tcPr>
            <w:tcW w:w="1026"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9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指实事拥军项目定制保温杯</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≥10万个</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15.88万个</w:t>
            </w:r>
          </w:p>
        </w:tc>
        <w:tc>
          <w:tcPr>
            <w:tcW w:w="1026"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9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为从北京市入伍义务兵父母购买保险</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≥6000人</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12476人</w:t>
            </w:r>
            <w:r>
              <w:rPr>
                <w:rFonts w:hint="eastAsia" w:ascii="宋体" w:hAnsi="宋体" w:cs="宋体"/>
                <w:color w:val="000000"/>
                <w:kern w:val="0"/>
                <w:sz w:val="18"/>
                <w:szCs w:val="18"/>
              </w:rPr>
              <w:t>　</w:t>
            </w:r>
          </w:p>
        </w:tc>
        <w:tc>
          <w:tcPr>
            <w:tcW w:w="1026" w:type="dxa"/>
            <w:vMerge w:val="continue"/>
            <w:tcBorders>
              <w:left w:val="nil"/>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6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center"/>
              <w:rPr>
                <w:rFonts w:hint="eastAsia"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18"/>
                <w:szCs w:val="18"/>
                <w:lang w:val="en-US"/>
              </w:rPr>
            </w:pPr>
            <w:r>
              <w:rPr>
                <w:rFonts w:hint="eastAsia" w:ascii="宋体" w:hAnsi="宋体" w:cs="宋体"/>
                <w:color w:val="000000"/>
                <w:kern w:val="0"/>
                <w:sz w:val="18"/>
                <w:szCs w:val="18"/>
                <w:lang w:val="en-US" w:eastAsia="zh-CN"/>
              </w:rPr>
              <w:t>为符合条件的残疾军人配置辅助器具</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≥500件</w:t>
            </w:r>
          </w:p>
        </w:tc>
        <w:tc>
          <w:tcPr>
            <w:tcW w:w="109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670件</w:t>
            </w:r>
          </w:p>
        </w:tc>
        <w:tc>
          <w:tcPr>
            <w:tcW w:w="1026" w:type="dxa"/>
            <w:vMerge w:val="continue"/>
            <w:tcBorders>
              <w:left w:val="nil"/>
              <w:right w:val="single" w:color="auto" w:sz="4" w:space="0"/>
            </w:tcBorders>
            <w:noWrap/>
            <w:vAlign w:val="center"/>
          </w:tcPr>
          <w:p>
            <w:pPr>
              <w:widowControl/>
              <w:jc w:val="center"/>
              <w:rPr>
                <w:rFonts w:hint="eastAsia"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hint="eastAsia" w:ascii="宋体" w:hAnsi="宋体" w:cs="宋体"/>
                <w:b/>
                <w:bCs/>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cantSplit/>
          <w:trHeight w:val="6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center"/>
              <w:rPr>
                <w:rFonts w:hint="eastAsia"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定制保温杯合格率</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eastAsia="zh-CN"/>
              </w:rPr>
            </w:pPr>
            <w:r>
              <w:rPr>
                <w:rFonts w:hint="eastAsia" w:ascii="宋体" w:hAnsi="宋体" w:cs="宋体"/>
                <w:color w:val="000000"/>
                <w:kern w:val="0"/>
                <w:sz w:val="18"/>
                <w:szCs w:val="18"/>
                <w:lang w:val="en-US" w:eastAsia="zh-CN"/>
              </w:rPr>
              <w:t>100%</w:t>
            </w:r>
          </w:p>
        </w:tc>
        <w:tc>
          <w:tcPr>
            <w:tcW w:w="10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1026" w:type="dxa"/>
            <w:vMerge w:val="continue"/>
            <w:tcBorders>
              <w:left w:val="nil"/>
              <w:right w:val="single" w:color="auto" w:sz="4" w:space="0"/>
            </w:tcBorders>
            <w:noWrap/>
            <w:vAlign w:val="center"/>
          </w:tcPr>
          <w:p>
            <w:pPr>
              <w:widowControl/>
              <w:jc w:val="center"/>
              <w:rPr>
                <w:rFonts w:hint="eastAsia"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hint="eastAsia" w:ascii="宋体" w:hAnsi="宋体" w:cs="宋体"/>
                <w:b/>
                <w:bCs/>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cantSplit/>
          <w:trHeight w:val="6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center"/>
              <w:rPr>
                <w:rFonts w:hint="eastAsia"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向残疾军人配置辅助器具的产品合格率</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eastAsia="zh-CN"/>
              </w:rPr>
            </w:pPr>
            <w:r>
              <w:rPr>
                <w:rFonts w:hint="eastAsia" w:ascii="宋体" w:hAnsi="宋体" w:cs="宋体"/>
                <w:color w:val="000000"/>
                <w:kern w:val="0"/>
                <w:sz w:val="18"/>
                <w:szCs w:val="18"/>
                <w:lang w:val="en-US" w:eastAsia="zh-CN"/>
              </w:rPr>
              <w:t>100%</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1026" w:type="dxa"/>
            <w:vMerge w:val="continue"/>
            <w:tcBorders>
              <w:left w:val="nil"/>
              <w:right w:val="single" w:color="auto" w:sz="4" w:space="0"/>
            </w:tcBorders>
            <w:noWrap/>
            <w:vAlign w:val="center"/>
          </w:tcPr>
          <w:p>
            <w:pPr>
              <w:widowControl/>
              <w:jc w:val="center"/>
              <w:rPr>
                <w:rFonts w:hint="eastAsia"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hint="eastAsia" w:ascii="宋体" w:hAnsi="宋体" w:cs="宋体"/>
                <w:b/>
                <w:bCs/>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cantSplit/>
          <w:trHeight w:val="6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right w:val="single" w:color="auto" w:sz="4" w:space="0"/>
            </w:tcBorders>
            <w:noWrap w:val="0"/>
            <w:vAlign w:val="center"/>
          </w:tcPr>
          <w:p>
            <w:pPr>
              <w:widowControl/>
              <w:jc w:val="center"/>
              <w:rPr>
                <w:rFonts w:hint="eastAsia"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转业军官及退役士兵培训参训率及合格率</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eastAsia="zh-CN"/>
              </w:rPr>
            </w:pPr>
            <w:r>
              <w:rPr>
                <w:rFonts w:hint="eastAsia" w:ascii="宋体" w:hAnsi="宋体" w:cs="宋体"/>
                <w:color w:val="000000"/>
                <w:kern w:val="0"/>
                <w:sz w:val="18"/>
                <w:szCs w:val="18"/>
                <w:lang w:val="en-US" w:eastAsia="zh-CN"/>
              </w:rPr>
              <w:t>100%</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100%</w:t>
            </w:r>
          </w:p>
        </w:tc>
        <w:tc>
          <w:tcPr>
            <w:tcW w:w="1026" w:type="dxa"/>
            <w:vMerge w:val="continue"/>
            <w:tcBorders>
              <w:left w:val="nil"/>
              <w:right w:val="single" w:color="auto" w:sz="4" w:space="0"/>
            </w:tcBorders>
            <w:noWrap/>
            <w:vAlign w:val="center"/>
          </w:tcPr>
          <w:p>
            <w:pPr>
              <w:widowControl/>
              <w:jc w:val="center"/>
              <w:rPr>
                <w:rFonts w:hint="eastAsia"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right w:val="single" w:color="auto" w:sz="4" w:space="0"/>
            </w:tcBorders>
            <w:noWrap w:val="0"/>
            <w:vAlign w:val="center"/>
          </w:tcPr>
          <w:p>
            <w:pPr>
              <w:widowControl/>
              <w:jc w:val="left"/>
              <w:rPr>
                <w:rFonts w:hint="eastAsia" w:ascii="宋体" w:hAnsi="宋体" w:cs="宋体"/>
                <w:b/>
                <w:bCs/>
                <w:color w:val="000000"/>
                <w:kern w:val="0"/>
                <w:sz w:val="18"/>
                <w:szCs w:val="18"/>
              </w:rPr>
            </w:pPr>
          </w:p>
        </w:tc>
        <w:tc>
          <w:tcPr>
            <w:tcW w:w="3060" w:type="dxa"/>
            <w:vMerge w:val="continue"/>
            <w:tcBorders>
              <w:left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cantSplit/>
          <w:trHeight w:val="6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各项工作完成时限</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eastAsia="zh-CN"/>
              </w:rPr>
            </w:pPr>
            <w:r>
              <w:rPr>
                <w:rFonts w:hint="eastAsia" w:ascii="宋体" w:hAnsi="宋体" w:cs="宋体"/>
                <w:color w:val="000000"/>
                <w:kern w:val="0"/>
                <w:sz w:val="18"/>
                <w:szCs w:val="18"/>
                <w:lang w:val="en-US" w:eastAsia="zh-CN"/>
              </w:rPr>
              <w:t>按时完成</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按时完成</w:t>
            </w:r>
          </w:p>
        </w:tc>
        <w:tc>
          <w:tcPr>
            <w:tcW w:w="1026" w:type="dxa"/>
            <w:vMerge w:val="continue"/>
            <w:tcBorders>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default" w:ascii="宋体" w:hAnsi="宋体" w:cs="宋体"/>
                <w:color w:val="000000"/>
                <w:kern w:val="0"/>
                <w:sz w:val="18"/>
                <w:szCs w:val="18"/>
                <w:lang w:val="en-US" w:eastAsia="zh-CN"/>
              </w:rPr>
            </w:pPr>
            <w:r>
              <w:rPr>
                <w:rFonts w:hint="eastAsia" w:ascii="宋体" w:hAnsi="宋体" w:cs="宋体"/>
                <w:color w:val="000000"/>
                <w:kern w:val="0"/>
                <w:sz w:val="18"/>
                <w:szCs w:val="18"/>
                <w:lang w:val="en-US" w:eastAsia="zh-CN"/>
              </w:rPr>
              <w:t>3</w:t>
            </w:r>
          </w:p>
        </w:tc>
        <w:tc>
          <w:tcPr>
            <w:tcW w:w="2815"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b/>
                <w:bCs/>
                <w:color w:val="000000"/>
                <w:kern w:val="0"/>
                <w:sz w:val="18"/>
                <w:szCs w:val="18"/>
              </w:rPr>
            </w:pPr>
          </w:p>
        </w:tc>
        <w:tc>
          <w:tcPr>
            <w:tcW w:w="3060" w:type="dxa"/>
            <w:vMerge w:val="continue"/>
            <w:tcBorders>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p>
        </w:tc>
      </w:tr>
      <w:tr>
        <w:tblPrEx>
          <w:tblCellMar>
            <w:top w:w="0" w:type="dxa"/>
            <w:left w:w="108" w:type="dxa"/>
            <w:bottom w:w="0" w:type="dxa"/>
            <w:right w:w="108" w:type="dxa"/>
          </w:tblCellMar>
        </w:tblPrEx>
        <w:trPr>
          <w:cantSplit/>
          <w:trHeight w:val="675"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效果（30）</w:t>
            </w:r>
          </w:p>
        </w:tc>
        <w:tc>
          <w:tcPr>
            <w:tcW w:w="114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本市退役军人安置就业更有保障，优抚帮扶更加有力，退役军人获得感、荣誉感进一步增强</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优</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eastAsia="zh-CN"/>
              </w:rPr>
              <w:t>优</w:t>
            </w:r>
          </w:p>
        </w:tc>
        <w:tc>
          <w:tcPr>
            <w:tcW w:w="1026" w:type="dxa"/>
            <w:vMerge w:val="restart"/>
            <w:tcBorders>
              <w:top w:val="nil"/>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1143" w:type="dxa"/>
            <w:tcBorders>
              <w:top w:val="nil"/>
              <w:left w:val="nil"/>
              <w:bottom w:val="single" w:color="auto" w:sz="4" w:space="0"/>
              <w:right w:val="nil"/>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　</w:t>
            </w:r>
          </w:p>
        </w:tc>
        <w:tc>
          <w:tcPr>
            <w:tcW w:w="2815" w:type="dxa"/>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经济效益</w:t>
            </w:r>
            <w:r>
              <w:rPr>
                <w:rFonts w:hint="eastAsia" w:ascii="宋体" w:hAnsi="宋体" w:cs="宋体"/>
                <w:color w:val="000000"/>
                <w:kern w:val="0"/>
                <w:sz w:val="18"/>
                <w:szCs w:val="18"/>
              </w:rPr>
              <w:t>：部门（单位）履行职责对经济发展所带来的直接或间接影响。</w:t>
            </w:r>
            <w:r>
              <w:rPr>
                <w:rFonts w:hint="eastAsia" w:ascii="宋体" w:hAnsi="宋体" w:cs="宋体"/>
                <w:b/>
                <w:bCs/>
                <w:color w:val="000000"/>
                <w:kern w:val="0"/>
                <w:sz w:val="18"/>
                <w:szCs w:val="18"/>
              </w:rPr>
              <w:t>社会效益</w:t>
            </w:r>
            <w:r>
              <w:rPr>
                <w:rFonts w:hint="eastAsia" w:ascii="宋体" w:hAnsi="宋体" w:cs="宋体"/>
                <w:color w:val="000000"/>
                <w:kern w:val="0"/>
                <w:sz w:val="18"/>
                <w:szCs w:val="18"/>
              </w:rPr>
              <w:t>：部门（单位）履行职责对社会发展所带来的直接或间接影响。</w:t>
            </w:r>
            <w:r>
              <w:rPr>
                <w:rFonts w:hint="eastAsia" w:ascii="宋体" w:hAnsi="宋体" w:cs="宋体"/>
                <w:b/>
                <w:bCs/>
                <w:color w:val="000000"/>
                <w:kern w:val="0"/>
                <w:sz w:val="18"/>
                <w:szCs w:val="18"/>
              </w:rPr>
              <w:t>环境效益</w:t>
            </w:r>
            <w:r>
              <w:rPr>
                <w:rFonts w:hint="eastAsia" w:ascii="宋体" w:hAnsi="宋体" w:cs="宋体"/>
                <w:color w:val="000000"/>
                <w:kern w:val="0"/>
                <w:sz w:val="18"/>
                <w:szCs w:val="18"/>
              </w:rPr>
              <w:t>：部门（单位）履行职责对环境所带来的直接或间接影响。</w:t>
            </w:r>
            <w:r>
              <w:rPr>
                <w:rFonts w:hint="eastAsia" w:ascii="宋体" w:hAnsi="宋体" w:cs="宋体"/>
                <w:b/>
                <w:bCs/>
                <w:color w:val="000000"/>
                <w:kern w:val="0"/>
                <w:sz w:val="18"/>
                <w:szCs w:val="18"/>
              </w:rPr>
              <w:t>可持续性影响：</w:t>
            </w:r>
            <w:r>
              <w:rPr>
                <w:rFonts w:hint="eastAsia" w:ascii="宋体" w:hAnsi="宋体" w:cs="宋体"/>
                <w:color w:val="000000"/>
                <w:kern w:val="0"/>
                <w:sz w:val="18"/>
                <w:szCs w:val="18"/>
              </w:rPr>
              <w:t>部门绩效目标实现的长效机制建设情况，部门工作效率提升措施的创新。</w:t>
            </w:r>
            <w:r>
              <w:rPr>
                <w:rFonts w:hint="eastAsia" w:ascii="宋体" w:hAnsi="宋体" w:cs="宋体"/>
                <w:b/>
                <w:bCs/>
                <w:color w:val="000000"/>
                <w:kern w:val="0"/>
                <w:sz w:val="18"/>
                <w:szCs w:val="18"/>
              </w:rPr>
              <w:t>服务对象满意度</w:t>
            </w:r>
            <w:r>
              <w:rPr>
                <w:rFonts w:hint="eastAsia" w:ascii="宋体" w:hAnsi="宋体" w:cs="宋体"/>
                <w:color w:val="000000"/>
                <w:kern w:val="0"/>
                <w:sz w:val="18"/>
                <w:szCs w:val="18"/>
              </w:rPr>
              <w:t>：部门（单位）的服务对象对部门履职效果的满意程度。</w:t>
            </w:r>
          </w:p>
        </w:tc>
        <w:tc>
          <w:tcPr>
            <w:tcW w:w="3060" w:type="dxa"/>
            <w:vMerge w:val="restart"/>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cantSplit/>
          <w:trHeight w:val="630"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本市退役军人事务领域治理体系和治理能力现代化水平持续提高，首都退役军人工作的示范引领作用得到持续有效发挥</w:t>
            </w:r>
            <w:r>
              <w:rPr>
                <w:rFonts w:hint="eastAsia" w:ascii="宋体" w:hAnsi="宋体" w:cs="宋体"/>
                <w:color w:val="000000"/>
                <w:kern w:val="0"/>
                <w:sz w:val="18"/>
                <w:szCs w:val="18"/>
              </w:rPr>
              <w:t>　</w:t>
            </w:r>
          </w:p>
        </w:tc>
        <w:tc>
          <w:tcPr>
            <w:tcW w:w="1483"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优</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eastAsia="zh-CN"/>
              </w:rPr>
              <w:t>优</w:t>
            </w:r>
          </w:p>
        </w:tc>
        <w:tc>
          <w:tcPr>
            <w:tcW w:w="102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　</w:t>
            </w:r>
          </w:p>
        </w:tc>
        <w:tc>
          <w:tcPr>
            <w:tcW w:w="281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690"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服务对象满意度</w:t>
            </w:r>
          </w:p>
        </w:tc>
        <w:tc>
          <w:tcPr>
            <w:tcW w:w="148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2"/>
                <w:sz w:val="18"/>
                <w:szCs w:val="18"/>
                <w:u w:val="none"/>
                <w:lang w:val="en-US" w:eastAsia="zh-CN" w:bidi="ar-SA"/>
              </w:rPr>
              <w:t>≥90%</w:t>
            </w:r>
          </w:p>
        </w:tc>
        <w:tc>
          <w:tcPr>
            <w:tcW w:w="109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90%</w:t>
            </w:r>
          </w:p>
        </w:tc>
        <w:tc>
          <w:tcPr>
            <w:tcW w:w="1026"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3" w:type="dxa"/>
            <w:tcBorders>
              <w:top w:val="nil"/>
              <w:left w:val="nil"/>
              <w:bottom w:val="single" w:color="auto" w:sz="4" w:space="0"/>
              <w:right w:val="nil"/>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　</w:t>
            </w:r>
          </w:p>
        </w:tc>
        <w:tc>
          <w:tcPr>
            <w:tcW w:w="281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306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r>
      <w:tr>
        <w:tblPrEx>
          <w:tblCellMar>
            <w:top w:w="0" w:type="dxa"/>
            <w:left w:w="108" w:type="dxa"/>
            <w:bottom w:w="0" w:type="dxa"/>
            <w:right w:w="108" w:type="dxa"/>
          </w:tblCellMar>
        </w:tblPrEx>
        <w:trPr>
          <w:cantSplit/>
          <w:trHeight w:val="487" w:hRule="atLeast"/>
        </w:trPr>
        <w:tc>
          <w:tcPr>
            <w:tcW w:w="14174" w:type="dxa"/>
            <w:gridSpan w:val="9"/>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w:t>
            </w:r>
            <w:r>
              <w:rPr>
                <w:rFonts w:hint="eastAsia" w:ascii="宋体" w:hAnsi="宋体" w:cs="宋体"/>
                <w:color w:val="000000"/>
                <w:kern w:val="0"/>
                <w:sz w:val="18"/>
                <w:szCs w:val="18"/>
              </w:rPr>
              <w:t>预算管理情况（20分）</w:t>
            </w:r>
          </w:p>
        </w:tc>
      </w:tr>
      <w:tr>
        <w:tblPrEx>
          <w:tblCellMar>
            <w:top w:w="0" w:type="dxa"/>
            <w:left w:w="108" w:type="dxa"/>
            <w:bottom w:w="0" w:type="dxa"/>
            <w:right w:w="108" w:type="dxa"/>
          </w:tblCellMar>
        </w:tblPrEx>
        <w:trPr>
          <w:cantSplit/>
          <w:trHeight w:val="702" w:hRule="atLeast"/>
        </w:trPr>
        <w:tc>
          <w:tcPr>
            <w:tcW w:w="12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一</w:t>
            </w:r>
            <w:r>
              <w:rPr>
                <w:rFonts w:ascii="宋体" w:hAnsi="宋体" w:cs="宋体"/>
                <w:color w:val="000000"/>
                <w:kern w:val="0"/>
                <w:sz w:val="18"/>
                <w:szCs w:val="18"/>
              </w:rPr>
              <w:t>级指标</w:t>
            </w: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二</w:t>
            </w:r>
            <w:r>
              <w:rPr>
                <w:rFonts w:ascii="宋体" w:hAnsi="宋体" w:cs="宋体"/>
                <w:color w:val="000000"/>
                <w:kern w:val="0"/>
                <w:sz w:val="18"/>
                <w:szCs w:val="18"/>
              </w:rPr>
              <w:t>级指标</w:t>
            </w:r>
          </w:p>
        </w:tc>
        <w:tc>
          <w:tcPr>
            <w:tcW w:w="114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三</w:t>
            </w:r>
            <w:r>
              <w:rPr>
                <w:rFonts w:ascii="宋体" w:hAnsi="宋体" w:cs="宋体"/>
                <w:color w:val="000000"/>
                <w:kern w:val="0"/>
                <w:sz w:val="18"/>
                <w:szCs w:val="18"/>
              </w:rPr>
              <w:t>级指标</w:t>
            </w:r>
          </w:p>
        </w:tc>
        <w:tc>
          <w:tcPr>
            <w:tcW w:w="148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w:t>
            </w:r>
            <w:r>
              <w:rPr>
                <w:rFonts w:ascii="宋体" w:hAnsi="宋体" w:cs="宋体"/>
                <w:color w:val="000000"/>
                <w:kern w:val="0"/>
                <w:sz w:val="18"/>
                <w:szCs w:val="18"/>
              </w:rPr>
              <w:t>值</w:t>
            </w:r>
          </w:p>
        </w:tc>
        <w:tc>
          <w:tcPr>
            <w:tcW w:w="109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完成</w:t>
            </w:r>
            <w:r>
              <w:rPr>
                <w:rFonts w:ascii="宋体" w:hAnsi="宋体" w:cs="宋体"/>
                <w:color w:val="000000"/>
                <w:kern w:val="0"/>
                <w:sz w:val="18"/>
                <w:szCs w:val="18"/>
              </w:rPr>
              <w:t>值</w:t>
            </w:r>
          </w:p>
        </w:tc>
        <w:tc>
          <w:tcPr>
            <w:tcW w:w="1026"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分</w:t>
            </w:r>
            <w:r>
              <w:rPr>
                <w:rFonts w:ascii="宋体" w:hAnsi="宋体" w:cs="宋体"/>
                <w:color w:val="000000"/>
                <w:kern w:val="0"/>
                <w:sz w:val="18"/>
                <w:szCs w:val="18"/>
              </w:rPr>
              <w:t>值</w:t>
            </w:r>
          </w:p>
        </w:tc>
        <w:tc>
          <w:tcPr>
            <w:tcW w:w="1143" w:type="dxa"/>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得</w:t>
            </w:r>
            <w:r>
              <w:rPr>
                <w:rFonts w:ascii="宋体" w:hAnsi="宋体" w:cs="宋体"/>
                <w:color w:val="000000"/>
                <w:kern w:val="0"/>
                <w:sz w:val="18"/>
                <w:szCs w:val="18"/>
              </w:rPr>
              <w:t>分</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b/>
                <w:bCs/>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060"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cantSplit/>
          <w:trHeight w:val="1230" w:hRule="atLeast"/>
        </w:trPr>
        <w:tc>
          <w:tcPr>
            <w:tcW w:w="120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预算管理情况（20）</w:t>
            </w:r>
          </w:p>
        </w:tc>
        <w:tc>
          <w:tcPr>
            <w:tcW w:w="12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财务管理（4）</w:t>
            </w:r>
          </w:p>
        </w:tc>
        <w:tc>
          <w:tcPr>
            <w:tcW w:w="114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财务管理制度健全性</w:t>
            </w:r>
          </w:p>
        </w:tc>
        <w:tc>
          <w:tcPr>
            <w:tcW w:w="14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9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26"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1143" w:type="dxa"/>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　</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财务管理制度健全性:</w:t>
            </w:r>
            <w:r>
              <w:rPr>
                <w:rFonts w:hint="eastAsia" w:ascii="宋体" w:hAnsi="宋体" w:cs="宋体"/>
                <w:color w:val="000000"/>
                <w:kern w:val="0"/>
                <w:sz w:val="18"/>
                <w:szCs w:val="18"/>
              </w:rPr>
              <w:t>部门（单位）为加强财务管理、规范财务行为而制定的管理制度。</w:t>
            </w:r>
          </w:p>
        </w:tc>
        <w:tc>
          <w:tcPr>
            <w:tcW w:w="306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cantSplit/>
          <w:trHeight w:val="2220" w:hRule="atLeast"/>
        </w:trPr>
        <w:tc>
          <w:tcPr>
            <w:tcW w:w="1201"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资金使用合规性和安全性</w:t>
            </w:r>
          </w:p>
        </w:tc>
        <w:tc>
          <w:tcPr>
            <w:tcW w:w="14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9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26" w:type="dxa"/>
            <w:tcBorders>
              <w:top w:val="single" w:color="auto" w:sz="4" w:space="0"/>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1143" w:type="dxa"/>
            <w:tcBorders>
              <w:top w:val="single" w:color="auto" w:sz="4" w:space="0"/>
              <w:left w:val="nil"/>
              <w:bottom w:val="single" w:color="auto" w:sz="4" w:space="0"/>
              <w:right w:val="nil"/>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　</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资金使用合规性和安全性:</w:t>
            </w:r>
            <w:r>
              <w:rPr>
                <w:rFonts w:hint="eastAsia" w:ascii="宋体" w:hAnsi="宋体" w:cs="宋体"/>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306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cantSplit/>
          <w:trHeight w:val="410"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000000"/>
                <w:kern w:val="0"/>
                <w:sz w:val="18"/>
                <w:szCs w:val="18"/>
              </w:rPr>
            </w:pPr>
          </w:p>
        </w:tc>
        <w:tc>
          <w:tcPr>
            <w:tcW w:w="1144"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会计基础信息完善性</w:t>
            </w:r>
          </w:p>
        </w:tc>
        <w:tc>
          <w:tcPr>
            <w:tcW w:w="148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26" w:type="dxa"/>
            <w:tcBorders>
              <w:top w:val="nil"/>
              <w:left w:val="nil"/>
              <w:bottom w:val="single" w:color="auto" w:sz="4" w:space="0"/>
              <w:right w:val="single" w:color="auto" w:sz="4" w:space="0"/>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1143" w:type="dxa"/>
            <w:tcBorders>
              <w:top w:val="nil"/>
              <w:left w:val="nil"/>
              <w:bottom w:val="single" w:color="auto" w:sz="4" w:space="0"/>
              <w:right w:val="nil"/>
            </w:tcBorders>
            <w:noWrap/>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　</w:t>
            </w:r>
          </w:p>
        </w:tc>
        <w:tc>
          <w:tcPr>
            <w:tcW w:w="2815"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会计基础信息完善性:</w:t>
            </w:r>
            <w:r>
              <w:rPr>
                <w:rFonts w:hint="eastAsia" w:ascii="宋体" w:hAnsi="宋体" w:cs="宋体"/>
                <w:color w:val="000000"/>
                <w:kern w:val="0"/>
                <w:sz w:val="18"/>
                <w:szCs w:val="18"/>
              </w:rPr>
              <w:t>部门（单位）会计基础信息情况。</w:t>
            </w:r>
          </w:p>
        </w:tc>
        <w:tc>
          <w:tcPr>
            <w:tcW w:w="30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cantSplit/>
          <w:trHeight w:val="2220"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资产管理（4）</w:t>
            </w:r>
          </w:p>
        </w:tc>
        <w:tc>
          <w:tcPr>
            <w:tcW w:w="11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资产管理规范性</w:t>
            </w:r>
          </w:p>
        </w:tc>
        <w:tc>
          <w:tcPr>
            <w:tcW w:w="14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9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2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　</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资产管理规范性:</w:t>
            </w:r>
            <w:r>
              <w:rPr>
                <w:rFonts w:hint="eastAsia" w:ascii="宋体" w:hAnsi="宋体" w:cs="宋体"/>
                <w:color w:val="000000"/>
                <w:kern w:val="0"/>
                <w:sz w:val="18"/>
                <w:szCs w:val="18"/>
              </w:rPr>
              <w:t>部门（单位）的资产是否保持安全完整，资产配置是否合理，资产使用和资产处理是否规范，用以反映和考核部门（单位）资产管理的整体水平。</w:t>
            </w:r>
          </w:p>
        </w:tc>
        <w:tc>
          <w:tcPr>
            <w:tcW w:w="30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cantSplit/>
          <w:trHeight w:val="1210"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绩效管理（4）</w:t>
            </w:r>
          </w:p>
        </w:tc>
        <w:tc>
          <w:tcPr>
            <w:tcW w:w="1144"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绩效管理情况</w:t>
            </w:r>
          </w:p>
        </w:tc>
        <w:tc>
          <w:tcPr>
            <w:tcW w:w="1483"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9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优</w:t>
            </w:r>
          </w:p>
        </w:tc>
        <w:tc>
          <w:tcPr>
            <w:tcW w:w="102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43" w:type="dxa"/>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　</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b/>
                <w:bCs/>
                <w:color w:val="000000"/>
                <w:kern w:val="0"/>
                <w:sz w:val="18"/>
                <w:szCs w:val="18"/>
              </w:rPr>
              <w:t>绩效管理情况:</w:t>
            </w:r>
            <w:r>
              <w:rPr>
                <w:rFonts w:hint="eastAsia" w:ascii="宋体" w:hAnsi="宋体" w:cs="宋体"/>
                <w:color w:val="000000"/>
                <w:kern w:val="0"/>
                <w:sz w:val="18"/>
                <w:szCs w:val="18"/>
              </w:rPr>
              <w:t>考核部门（单位）在绩效管理信息的汇总和应用情况。</w:t>
            </w:r>
          </w:p>
        </w:tc>
        <w:tc>
          <w:tcPr>
            <w:tcW w:w="306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cantSplit/>
          <w:trHeight w:val="394"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指标　</w:t>
            </w:r>
          </w:p>
        </w:tc>
        <w:tc>
          <w:tcPr>
            <w:tcW w:w="2627"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w:t>
            </w:r>
            <w:r>
              <w:rPr>
                <w:rFonts w:hint="eastAsia" w:ascii="宋体" w:hAnsi="宋体" w:cs="宋体"/>
                <w:color w:val="000000"/>
                <w:kern w:val="0"/>
                <w:sz w:val="18"/>
                <w:szCs w:val="18"/>
                <w:lang w:val="en-US" w:eastAsia="zh-CN"/>
              </w:rPr>
              <w:t>21</w:t>
            </w:r>
            <w:r>
              <w:rPr>
                <w:rFonts w:hint="eastAsia" w:ascii="宋体" w:hAnsi="宋体" w:cs="宋体"/>
                <w:color w:val="000000"/>
                <w:kern w:val="0"/>
                <w:sz w:val="18"/>
                <w:szCs w:val="18"/>
              </w:rPr>
              <w:t>年</w:t>
            </w:r>
          </w:p>
        </w:tc>
        <w:tc>
          <w:tcPr>
            <w:tcW w:w="109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w:t>
            </w:r>
            <w:r>
              <w:rPr>
                <w:rFonts w:hint="eastAsia" w:ascii="宋体" w:hAnsi="宋体" w:cs="宋体"/>
                <w:color w:val="000000"/>
                <w:kern w:val="0"/>
                <w:sz w:val="18"/>
                <w:szCs w:val="18"/>
                <w:lang w:val="en-US" w:eastAsia="zh-CN"/>
              </w:rPr>
              <w:t>2</w:t>
            </w:r>
            <w:r>
              <w:rPr>
                <w:rFonts w:hint="eastAsia" w:ascii="宋体" w:hAnsi="宋体" w:cs="宋体"/>
                <w:color w:val="000000"/>
                <w:kern w:val="0"/>
                <w:sz w:val="18"/>
                <w:szCs w:val="18"/>
              </w:rPr>
              <w:t>年</w:t>
            </w:r>
          </w:p>
        </w:tc>
        <w:tc>
          <w:tcPr>
            <w:tcW w:w="102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分值</w:t>
            </w:r>
          </w:p>
        </w:tc>
        <w:tc>
          <w:tcPr>
            <w:tcW w:w="11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得分</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bCs/>
                <w:color w:val="000000"/>
                <w:kern w:val="0"/>
                <w:sz w:val="18"/>
                <w:szCs w:val="18"/>
              </w:rPr>
              <w:t>指标</w:t>
            </w:r>
            <w:r>
              <w:rPr>
                <w:rFonts w:ascii="宋体" w:hAnsi="宋体" w:cs="宋体"/>
                <w:bCs/>
                <w:color w:val="000000"/>
                <w:kern w:val="0"/>
                <w:sz w:val="18"/>
                <w:szCs w:val="18"/>
              </w:rPr>
              <w:t>解释</w:t>
            </w:r>
          </w:p>
        </w:tc>
        <w:tc>
          <w:tcPr>
            <w:tcW w:w="3060" w:type="dxa"/>
            <w:tcBorders>
              <w:top w:val="single" w:color="auto" w:sz="4" w:space="0"/>
              <w:left w:val="nil"/>
              <w:bottom w:val="single" w:color="auto" w:sz="4" w:space="0"/>
              <w:right w:val="single" w:color="auto" w:sz="4" w:space="0"/>
            </w:tcBorders>
            <w:noWrap w:val="0"/>
            <w:vAlign w:val="center"/>
          </w:tcPr>
          <w:p>
            <w:pPr>
              <w:widowControl/>
              <w:jc w:val="center"/>
              <w:rPr>
                <w:rFonts w:eastAsia="Times New Roman"/>
                <w:kern w:val="0"/>
                <w:sz w:val="18"/>
                <w:szCs w:val="18"/>
              </w:rPr>
            </w:pPr>
            <w:r>
              <w:rPr>
                <w:rFonts w:hint="eastAsia" w:ascii="宋体" w:hAnsi="宋体" w:cs="宋体"/>
                <w:color w:val="000000"/>
                <w:kern w:val="0"/>
                <w:sz w:val="18"/>
                <w:szCs w:val="18"/>
              </w:rPr>
              <w:t>评</w:t>
            </w:r>
            <w:r>
              <w:rPr>
                <w:rFonts w:ascii="宋体" w:hAnsi="宋体" w:cs="宋体"/>
                <w:color w:val="000000"/>
                <w:kern w:val="0"/>
                <w:sz w:val="18"/>
                <w:szCs w:val="18"/>
              </w:rPr>
              <w:t>分标准</w:t>
            </w:r>
          </w:p>
        </w:tc>
      </w:tr>
      <w:tr>
        <w:tblPrEx>
          <w:tblCellMar>
            <w:top w:w="0" w:type="dxa"/>
            <w:left w:w="108" w:type="dxa"/>
            <w:bottom w:w="0" w:type="dxa"/>
            <w:right w:w="108" w:type="dxa"/>
          </w:tblCellMar>
        </w:tblPrEx>
        <w:trPr>
          <w:cantSplit/>
          <w:trHeight w:val="2229"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nil"/>
              <w:left w:val="nil"/>
              <w:bottom w:val="single" w:color="auto" w:sz="4" w:space="0"/>
              <w:right w:val="single" w:color="auto" w:sz="4" w:space="0"/>
            </w:tcBorders>
            <w:noWrap w:val="0"/>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结转结余率（4）</w:t>
            </w:r>
          </w:p>
        </w:tc>
        <w:tc>
          <w:tcPr>
            <w:tcW w:w="2627"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rPr>
              <w:t>　</w:t>
            </w:r>
            <w:r>
              <w:rPr>
                <w:rFonts w:hint="eastAsia" w:ascii="宋体" w:hAnsi="宋体" w:cs="宋体"/>
                <w:color w:val="000000"/>
                <w:kern w:val="0"/>
                <w:sz w:val="18"/>
                <w:szCs w:val="18"/>
                <w:lang w:val="en-US" w:eastAsia="zh-CN"/>
              </w:rPr>
              <w:t>23.77%</w:t>
            </w:r>
          </w:p>
        </w:tc>
        <w:tc>
          <w:tcPr>
            <w:tcW w:w="10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26.54 %</w:t>
            </w:r>
            <w:r>
              <w:rPr>
                <w:rFonts w:hint="eastAsia" w:ascii="宋体" w:hAnsi="宋体" w:cs="宋体"/>
                <w:color w:val="000000"/>
                <w:kern w:val="0"/>
                <w:sz w:val="18"/>
                <w:szCs w:val="18"/>
              </w:rPr>
              <w:t>　</w:t>
            </w:r>
          </w:p>
        </w:tc>
        <w:tc>
          <w:tcPr>
            <w:tcW w:w="102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43"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　</w:t>
            </w:r>
          </w:p>
        </w:tc>
        <w:tc>
          <w:tcPr>
            <w:tcW w:w="281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结转结余率=结转结余总额/支出预算数×100%。</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结转结余总额：部门（单位）本年度的结转资金与结余资金之和。</w:t>
            </w:r>
          </w:p>
        </w:tc>
        <w:tc>
          <w:tcPr>
            <w:tcW w:w="3060" w:type="dxa"/>
            <w:tcBorders>
              <w:top w:val="single" w:color="auto" w:sz="4" w:space="0"/>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cantSplit/>
          <w:trHeight w:val="981" w:hRule="atLeast"/>
        </w:trPr>
        <w:tc>
          <w:tcPr>
            <w:tcW w:w="12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宋体" w:hAnsi="宋体" w:cs="宋体"/>
                <w:color w:val="000000"/>
                <w:kern w:val="0"/>
                <w:sz w:val="18"/>
                <w:szCs w:val="18"/>
              </w:rPr>
            </w:pPr>
          </w:p>
        </w:tc>
        <w:tc>
          <w:tcPr>
            <w:tcW w:w="1205" w:type="dxa"/>
            <w:tcBorders>
              <w:top w:val="nil"/>
              <w:left w:val="nil"/>
              <w:bottom w:val="single" w:color="auto" w:sz="4" w:space="0"/>
              <w:right w:val="single" w:color="auto" w:sz="4" w:space="0"/>
            </w:tcBorders>
            <w:noWrap w:val="0"/>
            <w:vAlign w:val="center"/>
          </w:tcPr>
          <w:p>
            <w:pPr>
              <w:widowControl/>
              <w:rPr>
                <w:rFonts w:hint="eastAsia" w:ascii="宋体" w:hAnsi="宋体" w:cs="宋体"/>
                <w:color w:val="000000"/>
                <w:kern w:val="0"/>
                <w:sz w:val="18"/>
                <w:szCs w:val="18"/>
              </w:rPr>
            </w:pPr>
            <w:r>
              <w:rPr>
                <w:rFonts w:hint="eastAsia" w:ascii="宋体" w:hAnsi="宋体" w:cs="宋体"/>
                <w:color w:val="000000"/>
                <w:kern w:val="0"/>
                <w:sz w:val="18"/>
                <w:szCs w:val="18"/>
              </w:rPr>
              <w:t>部门预决算差异率（4）</w:t>
            </w:r>
          </w:p>
        </w:tc>
        <w:tc>
          <w:tcPr>
            <w:tcW w:w="2627" w:type="dxa"/>
            <w:gridSpan w:val="2"/>
            <w:tcBorders>
              <w:top w:val="single" w:color="auto" w:sz="4" w:space="0"/>
              <w:left w:val="nil"/>
              <w:bottom w:val="single" w:color="auto" w:sz="4" w:space="0"/>
              <w:right w:val="nil"/>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09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60.75%</w:t>
            </w:r>
          </w:p>
        </w:tc>
        <w:tc>
          <w:tcPr>
            <w:tcW w:w="102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1143" w:type="dxa"/>
            <w:tcBorders>
              <w:top w:val="nil"/>
              <w:left w:val="nil"/>
              <w:bottom w:val="single" w:color="auto" w:sz="4" w:space="0"/>
              <w:right w:val="nil"/>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lang w:val="en-US" w:eastAsia="zh-CN"/>
              </w:rPr>
              <w:t>4</w:t>
            </w:r>
            <w:r>
              <w:rPr>
                <w:rFonts w:hint="eastAsia" w:ascii="宋体" w:hAnsi="宋体" w:cs="宋体"/>
                <w:color w:val="000000"/>
                <w:kern w:val="0"/>
                <w:sz w:val="18"/>
                <w:szCs w:val="18"/>
              </w:rPr>
              <w:t>　</w:t>
            </w:r>
          </w:p>
        </w:tc>
        <w:tc>
          <w:tcPr>
            <w:tcW w:w="2815"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通过年度部门决算与年初部门预算对比，对部门的年度支出情况进行考核，衡量部门预算的约束力。</w:t>
            </w:r>
          </w:p>
        </w:tc>
        <w:tc>
          <w:tcPr>
            <w:tcW w:w="306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部门预决算差异率高于市级平均差异率（28.3%）的，每高出10%（含），扣0.4分，扣完为止。</w:t>
            </w:r>
          </w:p>
        </w:tc>
      </w:tr>
      <w:tr>
        <w:tblPrEx>
          <w:tblCellMar>
            <w:top w:w="0" w:type="dxa"/>
            <w:left w:w="108" w:type="dxa"/>
            <w:bottom w:w="0" w:type="dxa"/>
            <w:right w:w="108" w:type="dxa"/>
          </w:tblCellMar>
        </w:tblPrEx>
        <w:trPr>
          <w:cantSplit/>
          <w:trHeight w:val="484" w:hRule="atLeast"/>
        </w:trPr>
        <w:tc>
          <w:tcPr>
            <w:tcW w:w="6130"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合计</w:t>
            </w:r>
          </w:p>
        </w:tc>
        <w:tc>
          <w:tcPr>
            <w:tcW w:w="1026"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143" w:type="dxa"/>
            <w:tcBorders>
              <w:top w:val="nil"/>
              <w:left w:val="nil"/>
              <w:bottom w:val="single" w:color="auto" w:sz="4" w:space="0"/>
              <w:right w:val="nil"/>
            </w:tcBorders>
            <w:noWrap w:val="0"/>
            <w:vAlign w:val="center"/>
          </w:tcPr>
          <w:p>
            <w:pPr>
              <w:widowControl/>
              <w:jc w:val="center"/>
              <w:rPr>
                <w:rFonts w:hint="default" w:ascii="宋体" w:hAnsi="宋体" w:eastAsia="宋体" w:cs="宋体"/>
                <w:color w:val="000000"/>
                <w:kern w:val="0"/>
                <w:sz w:val="18"/>
                <w:szCs w:val="18"/>
                <w:lang w:val="en-US" w:eastAsia="zh-CN"/>
              </w:rPr>
            </w:pPr>
            <w:r>
              <w:rPr>
                <w:rFonts w:hint="eastAsia" w:ascii="宋体" w:hAnsi="宋体" w:cs="宋体"/>
                <w:color w:val="000000"/>
                <w:kern w:val="0"/>
                <w:sz w:val="18"/>
                <w:szCs w:val="18"/>
                <w:lang w:val="en-US" w:eastAsia="zh-CN"/>
              </w:rPr>
              <w:t>94.69</w:t>
            </w:r>
          </w:p>
        </w:tc>
        <w:tc>
          <w:tcPr>
            <w:tcW w:w="5875" w:type="dxa"/>
            <w:gridSpan w:val="2"/>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pPr>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ascii="方正小标宋简体" w:eastAsia="方正小标宋简体"/>
          <w:sz w:val="18"/>
          <w:szCs w:val="18"/>
        </w:rPr>
      </w:pPr>
    </w:p>
    <w:sectPr>
      <w:footerReference r:id="rId3"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43" w:usb2="00000009" w:usb3="00000000" w:csb0="400001FF" w:csb1="FFFF0000"/>
  </w:font>
  <w:font w:name="宋体">
    <w:altName w:val="方正书宋_GBK"/>
    <w:panose1 w:val="02010600030101010101"/>
    <w:charset w:val="0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E9D64F"/>
    <w:multiLevelType w:val="singleLevel"/>
    <w:tmpl w:val="CBE9D64F"/>
    <w:lvl w:ilvl="0" w:tentative="0">
      <w:start w:val="2"/>
      <w:numFmt w:val="chineseCounting"/>
      <w:suff w:val="nothing"/>
      <w:lvlText w:val="（%1）"/>
      <w:lvlJc w:val="left"/>
      <w:rPr>
        <w:rFonts w:hint="eastAsia"/>
      </w:rPr>
    </w:lvl>
  </w:abstractNum>
  <w:abstractNum w:abstractNumId="1">
    <w:nsid w:val="CC626E0B"/>
    <w:multiLevelType w:val="singleLevel"/>
    <w:tmpl w:val="CC626E0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ZWQwMzdkMzMxODcyMTFhZTg4N2M5YTk1ZTZjYzAifQ=="/>
  </w:docVars>
  <w:rsids>
    <w:rsidRoot w:val="F77F09F4"/>
    <w:rsid w:val="05E052E6"/>
    <w:rsid w:val="07577FFE"/>
    <w:rsid w:val="0CCB32DE"/>
    <w:rsid w:val="0E595177"/>
    <w:rsid w:val="13A7495E"/>
    <w:rsid w:val="175F53D8"/>
    <w:rsid w:val="19BC7892"/>
    <w:rsid w:val="1AF46921"/>
    <w:rsid w:val="1E1602B3"/>
    <w:rsid w:val="1EFE2F21"/>
    <w:rsid w:val="205C41DE"/>
    <w:rsid w:val="2B746142"/>
    <w:rsid w:val="2D5F1B4D"/>
    <w:rsid w:val="2D7B3A37"/>
    <w:rsid w:val="32F41852"/>
    <w:rsid w:val="344A790F"/>
    <w:rsid w:val="37173543"/>
    <w:rsid w:val="38B13B42"/>
    <w:rsid w:val="3A7206CF"/>
    <w:rsid w:val="3B883ED9"/>
    <w:rsid w:val="3D2122FB"/>
    <w:rsid w:val="3E647416"/>
    <w:rsid w:val="3FDBA076"/>
    <w:rsid w:val="3FDFB3F0"/>
    <w:rsid w:val="3FDFC9A6"/>
    <w:rsid w:val="3FF76880"/>
    <w:rsid w:val="40A42AAE"/>
    <w:rsid w:val="425132C0"/>
    <w:rsid w:val="449C4FB6"/>
    <w:rsid w:val="45C63CA1"/>
    <w:rsid w:val="4E740A62"/>
    <w:rsid w:val="507A4BEF"/>
    <w:rsid w:val="57EB93AA"/>
    <w:rsid w:val="5A700229"/>
    <w:rsid w:val="5B246C5B"/>
    <w:rsid w:val="5BFD4AC2"/>
    <w:rsid w:val="5CBA6705"/>
    <w:rsid w:val="5FAA26FD"/>
    <w:rsid w:val="5FEB4969"/>
    <w:rsid w:val="609E54CA"/>
    <w:rsid w:val="6259133B"/>
    <w:rsid w:val="62D81168"/>
    <w:rsid w:val="661D34FD"/>
    <w:rsid w:val="67759716"/>
    <w:rsid w:val="67F93FAB"/>
    <w:rsid w:val="6ECC54B2"/>
    <w:rsid w:val="6F7ED27B"/>
    <w:rsid w:val="700D53AB"/>
    <w:rsid w:val="70DA48D4"/>
    <w:rsid w:val="72142791"/>
    <w:rsid w:val="755C3532"/>
    <w:rsid w:val="75B17A7C"/>
    <w:rsid w:val="7610686D"/>
    <w:rsid w:val="763BB4B8"/>
    <w:rsid w:val="7AB7FF50"/>
    <w:rsid w:val="7AEAF641"/>
    <w:rsid w:val="7B4729C1"/>
    <w:rsid w:val="7BAD2729"/>
    <w:rsid w:val="7BFEB0DB"/>
    <w:rsid w:val="7C1F8C94"/>
    <w:rsid w:val="7D275737"/>
    <w:rsid w:val="7F0D0DD5"/>
    <w:rsid w:val="7FAF0A57"/>
    <w:rsid w:val="7FCE1CF8"/>
    <w:rsid w:val="7FD72141"/>
    <w:rsid w:val="7FF63DC7"/>
    <w:rsid w:val="7FFD632E"/>
    <w:rsid w:val="7FFF4E81"/>
    <w:rsid w:val="7FFFD0D3"/>
    <w:rsid w:val="8716660E"/>
    <w:rsid w:val="9B7D40D6"/>
    <w:rsid w:val="A3AA735E"/>
    <w:rsid w:val="A75D4892"/>
    <w:rsid w:val="AD7F08AC"/>
    <w:rsid w:val="AFFFCE02"/>
    <w:rsid w:val="BBCFF232"/>
    <w:rsid w:val="BFDD7348"/>
    <w:rsid w:val="CEFD3F3D"/>
    <w:rsid w:val="D6B22E60"/>
    <w:rsid w:val="DEDF81C3"/>
    <w:rsid w:val="DF3E0F24"/>
    <w:rsid w:val="EA3F77F2"/>
    <w:rsid w:val="EEFE5989"/>
    <w:rsid w:val="EFBF3DC7"/>
    <w:rsid w:val="EFCF3EAE"/>
    <w:rsid w:val="F4FDEB06"/>
    <w:rsid w:val="F5B764A2"/>
    <w:rsid w:val="F77F09F4"/>
    <w:rsid w:val="FBFF6E65"/>
    <w:rsid w:val="FDFFD4F7"/>
    <w:rsid w:val="FE9FADAC"/>
    <w:rsid w:val="FEEF6AA0"/>
    <w:rsid w:val="FFB792B8"/>
    <w:rsid w:val="FFD7BFFC"/>
    <w:rsid w:val="FFFA6B0F"/>
    <w:rsid w:val="FFFFB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line="600" w:lineRule="exact"/>
      <w:ind w:firstLine="640"/>
      <w:outlineLvl w:val="0"/>
    </w:pPr>
    <w:rPr>
      <w:rFonts w:ascii="黑体" w:hAnsi="黑体" w:eastAsia="黑体" w:cs="宋体"/>
      <w:color w:val="000000"/>
      <w:kern w:val="0"/>
    </w:rPr>
  </w:style>
  <w:style w:type="paragraph" w:styleId="4">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5">
    <w:name w:val="Plain Text"/>
    <w:basedOn w:val="1"/>
    <w:next w:val="1"/>
    <w:unhideWhenUsed/>
    <w:qFormat/>
    <w:uiPriority w:val="99"/>
    <w:rPr>
      <w:rFonts w:ascii="宋体" w:hAnsi="Courier New" w:eastAsia="宋体" w:cs="Courier New"/>
    </w:rPr>
  </w:style>
  <w:style w:type="paragraph" w:styleId="6">
    <w:name w:val="footer"/>
    <w:basedOn w:val="1"/>
    <w:qFormat/>
    <w:uiPriority w:val="99"/>
    <w:pPr>
      <w:tabs>
        <w:tab w:val="center" w:pos="4153"/>
        <w:tab w:val="right" w:pos="8306"/>
      </w:tabs>
      <w:snapToGrid w:val="0"/>
      <w:jc w:val="left"/>
    </w:pPr>
    <w:rPr>
      <w:sz w:val="18"/>
      <w:szCs w:val="20"/>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列出段落1"/>
    <w:basedOn w:val="1"/>
    <w:qFormat/>
    <w:uiPriority w:val="34"/>
    <w:pPr>
      <w:ind w:firstLine="420" w:firstLineChars="200"/>
    </w:pPr>
    <w:rPr>
      <w:rFonts w:ascii="Calibri" w:hAnsi="Calibri" w:cs="黑体"/>
      <w:szCs w:val="22"/>
    </w:rPr>
  </w:style>
  <w:style w:type="character" w:customStyle="1" w:styleId="11">
    <w:name w:val="font01"/>
    <w:basedOn w:val="9"/>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3753</Words>
  <Characters>3881</Characters>
  <Lines>0</Lines>
  <Paragraphs>0</Paragraphs>
  <TotalTime>3</TotalTime>
  <ScaleCrop>false</ScaleCrop>
  <LinksUpToDate>false</LinksUpToDate>
  <CharactersWithSpaces>3942</CharactersWithSpaces>
  <Application>WPS Office_11.8.2.1125_F1E327BC-269C-435d-A152-05C5408002CA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2022-03-17T03:16:00Z</dcterms:created>
  <dc:creator>user</dc:creator>
  <cp:lastModifiedBy>Jtj</cp:lastModifiedBy>
  <cp:lastPrinted>2023-06-08T05:03:00Z</cp:lastPrinted>
  <dcterms:modified xsi:type="dcterms:W3CDTF">2023-08-11T16:48:58Z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0B3C28A5CD954F2BA280231D6F02DBA7_12</vt:lpwstr>
  </property>
</Properties>
</file>