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3CA" w:rsidRDefault="00442F1A">
      <w:pPr>
        <w:spacing w:line="560" w:lineRule="exact"/>
        <w:jc w:val="center"/>
        <w:outlineLvl w:val="0"/>
        <w:rPr>
          <w:rFonts w:ascii="方正小标宋简体" w:eastAsia="方正小标宋简体"/>
          <w:sz w:val="36"/>
          <w:szCs w:val="36"/>
        </w:rPr>
      </w:pPr>
      <w:r>
        <w:rPr>
          <w:rFonts w:ascii="方正小标宋简体" w:eastAsia="方正小标宋简体" w:hint="eastAsia"/>
          <w:sz w:val="36"/>
          <w:szCs w:val="36"/>
        </w:rPr>
        <w:t>部门整体绩效评价报告</w:t>
      </w:r>
    </w:p>
    <w:p w:rsidR="001F33CA" w:rsidRDefault="001F33CA">
      <w:pPr>
        <w:jc w:val="center"/>
        <w:rPr>
          <w:rFonts w:ascii="仿宋_GB2312"/>
          <w:szCs w:val="30"/>
        </w:rPr>
      </w:pPr>
    </w:p>
    <w:p w:rsidR="001F33CA" w:rsidRDefault="00442F1A">
      <w:pPr>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1F33CA" w:rsidRDefault="00442F1A">
      <w:pPr>
        <w:ind w:firstLineChars="200" w:firstLine="640"/>
        <w:outlineLvl w:val="1"/>
        <w:rPr>
          <w:rFonts w:ascii="楷体_GB2312" w:eastAsia="楷体_GB2312"/>
          <w:sz w:val="32"/>
          <w:szCs w:val="32"/>
        </w:rPr>
      </w:pPr>
      <w:r>
        <w:rPr>
          <w:rFonts w:ascii="楷体_GB2312" w:eastAsia="楷体_GB2312" w:hint="eastAsia"/>
          <w:sz w:val="32"/>
          <w:szCs w:val="32"/>
        </w:rPr>
        <w:t>（一）机构设置及职责工作任务情况</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1.部门机构设置</w:t>
      </w:r>
    </w:p>
    <w:p w:rsidR="001F33CA" w:rsidRDefault="00442F1A">
      <w:pPr>
        <w:ind w:firstLine="555"/>
        <w:rPr>
          <w:rFonts w:ascii="仿宋_GB2312" w:eastAsia="仿宋_GB2312" w:hAnsi="仿宋_GB2312" w:cs="仿宋_GB2312"/>
          <w:sz w:val="32"/>
        </w:rPr>
      </w:pPr>
      <w:r>
        <w:rPr>
          <w:rFonts w:ascii="仿宋_GB2312" w:eastAsia="仿宋_GB2312" w:hAnsi="楷体" w:hint="eastAsia"/>
          <w:sz w:val="32"/>
          <w:szCs w:val="32"/>
        </w:rPr>
        <w:t>本院是国家法律监督机关。</w:t>
      </w:r>
      <w:r>
        <w:rPr>
          <w:rFonts w:ascii="仿宋_GB2312" w:eastAsia="仿宋_GB2312" w:hAnsi="仿宋_GB2312" w:cs="仿宋_GB2312" w:hint="eastAsia"/>
          <w:sz w:val="32"/>
        </w:rPr>
        <w:t>按照《北京市检察机关内设机构改革方案》要求，本</w:t>
      </w:r>
      <w:proofErr w:type="gramStart"/>
      <w:r>
        <w:rPr>
          <w:rFonts w:ascii="仿宋_GB2312" w:eastAsia="仿宋_GB2312" w:hAnsi="仿宋_GB2312" w:cs="仿宋_GB2312" w:hint="eastAsia"/>
          <w:sz w:val="32"/>
        </w:rPr>
        <w:t>院本级</w:t>
      </w:r>
      <w:proofErr w:type="gramEnd"/>
      <w:r>
        <w:rPr>
          <w:rFonts w:ascii="仿宋_GB2312" w:eastAsia="仿宋_GB2312" w:hAnsi="仿宋_GB2312" w:cs="仿宋_GB2312" w:hint="eastAsia"/>
          <w:sz w:val="32"/>
        </w:rPr>
        <w:t>共设置12个职能部（室），其中业务部门9个，分别为第一检察部、第二检察部、第三检察部、第四检察部、第五检察部、第六检察部、第七检察部、第八检察部、第九检察部（法律政策研究室）；行政部门3个，分别是办公室、检务督察部、行政事务管理部。另设政治部、机关党委（党建工作处）、机关纪委。</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2.部门</w:t>
      </w:r>
      <w:r w:rsidR="0052578C">
        <w:rPr>
          <w:rFonts w:ascii="仿宋_GB2312" w:eastAsia="仿宋_GB2312" w:hAnsi="仿宋_GB2312" w:cs="仿宋_GB2312" w:hint="eastAsia"/>
          <w:sz w:val="32"/>
        </w:rPr>
        <w:t>职责</w:t>
      </w:r>
    </w:p>
    <w:p w:rsidR="001F33CA" w:rsidRDefault="00442F1A">
      <w:pPr>
        <w:ind w:firstLineChars="200" w:firstLine="640"/>
        <w:rPr>
          <w:rFonts w:ascii="仿宋_GB2312" w:eastAsia="仿宋_GB2312" w:hAnsi="仿宋_GB2312" w:cs="仿宋_GB2312"/>
          <w:sz w:val="32"/>
        </w:rPr>
      </w:pPr>
      <w:r>
        <w:rPr>
          <w:rFonts w:ascii="仿宋_GB2312" w:eastAsia="仿宋_GB2312" w:hint="eastAsia"/>
          <w:sz w:val="32"/>
          <w:szCs w:val="32"/>
        </w:rPr>
        <w:t>本院在北京市人民检察院的领导下，依法行使检察权，其主要职责是：</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w:t>
      </w:r>
      <w:r>
        <w:rPr>
          <w:rFonts w:ascii="仿宋_GB2312" w:eastAsia="仿宋_GB2312" w:hint="eastAsia"/>
          <w:sz w:val="32"/>
          <w:szCs w:val="32"/>
        </w:rPr>
        <w:t>负责受理审查属本院管辖提请逮捕的案件</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w:t>
      </w:r>
      <w:r>
        <w:rPr>
          <w:rFonts w:ascii="仿宋_GB2312" w:eastAsia="仿宋_GB2312" w:hint="eastAsia"/>
          <w:sz w:val="32"/>
          <w:szCs w:val="32"/>
        </w:rPr>
        <w:t>负责受理属本院管辖提起公诉的案件并出庭支持公诉</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lastRenderedPageBreak/>
        <w:t>（3）</w:t>
      </w:r>
      <w:r>
        <w:rPr>
          <w:rFonts w:ascii="仿宋_GB2312" w:eastAsia="仿宋_GB2312" w:hint="eastAsia"/>
          <w:sz w:val="32"/>
          <w:szCs w:val="32"/>
        </w:rPr>
        <w:t>负责公安机关不服区人民检察院不捕决定而提请复核的案件</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（4）</w:t>
      </w:r>
      <w:r>
        <w:rPr>
          <w:rFonts w:ascii="仿宋_GB2312" w:eastAsia="仿宋_GB2312" w:hint="eastAsia"/>
          <w:sz w:val="32"/>
          <w:szCs w:val="32"/>
        </w:rPr>
        <w:t>负责受理案件管辖范围</w:t>
      </w:r>
      <w:proofErr w:type="gramStart"/>
      <w:r>
        <w:rPr>
          <w:rFonts w:ascii="仿宋_GB2312" w:eastAsia="仿宋_GB2312" w:hint="eastAsia"/>
          <w:sz w:val="32"/>
          <w:szCs w:val="32"/>
        </w:rPr>
        <w:t>内公民</w:t>
      </w:r>
      <w:proofErr w:type="gramEnd"/>
      <w:r>
        <w:rPr>
          <w:rFonts w:ascii="仿宋_GB2312" w:eastAsia="仿宋_GB2312" w:hint="eastAsia"/>
          <w:sz w:val="32"/>
          <w:szCs w:val="32"/>
        </w:rPr>
        <w:t>和法人的检举、控告、申诉案件</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（5）</w:t>
      </w:r>
      <w:r>
        <w:rPr>
          <w:rFonts w:ascii="仿宋_GB2312" w:eastAsia="仿宋_GB2312" w:hint="eastAsia"/>
          <w:sz w:val="32"/>
          <w:szCs w:val="32"/>
        </w:rPr>
        <w:t>负责对案件管辖范围内刑事上诉、抗诉案件和基层法院已发生法律效力判决的监督</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（6）</w:t>
      </w:r>
      <w:r>
        <w:rPr>
          <w:rFonts w:ascii="仿宋_GB2312" w:eastAsia="仿宋_GB2312" w:hint="eastAsia"/>
          <w:sz w:val="32"/>
          <w:szCs w:val="32"/>
        </w:rPr>
        <w:t>负责对案件管辖范围内的民事、行政诉讼活动进行监督。负责开展公益诉讼工作</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（7）</w:t>
      </w:r>
      <w:r>
        <w:rPr>
          <w:rFonts w:ascii="仿宋_GB2312" w:eastAsia="仿宋_GB2312" w:hint="eastAsia"/>
          <w:sz w:val="32"/>
          <w:szCs w:val="32"/>
        </w:rPr>
        <w:t>受理案件管辖范围内的涉外案件</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（8）</w:t>
      </w:r>
      <w:r>
        <w:rPr>
          <w:rFonts w:ascii="仿宋_GB2312" w:eastAsia="仿宋_GB2312" w:hint="eastAsia"/>
          <w:sz w:val="32"/>
          <w:szCs w:val="32"/>
        </w:rPr>
        <w:t>负责对管辖范围内公安机关、国家安全机关的侦查工作的法律监督</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（9）</w:t>
      </w:r>
      <w:r>
        <w:rPr>
          <w:rFonts w:ascii="仿宋_GB2312" w:eastAsia="仿宋_GB2312" w:hint="eastAsia"/>
          <w:sz w:val="32"/>
          <w:szCs w:val="32"/>
        </w:rPr>
        <w:t>负责对应由分院管辖的刑事赔偿案件的审查及不服区人民检察院处理的赔偿案件的复议</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（10）</w:t>
      </w:r>
      <w:r>
        <w:rPr>
          <w:rFonts w:ascii="仿宋_GB2312" w:eastAsia="仿宋_GB2312" w:hint="eastAsia"/>
          <w:sz w:val="32"/>
          <w:szCs w:val="32"/>
        </w:rPr>
        <w:t>负责本院的队伍建设和权限内的干部人事管理工作；负责本院的检务督察工作；负责本院的后勤和物资装备工作</w:t>
      </w:r>
      <w:r>
        <w:rPr>
          <w:rFonts w:ascii="仿宋_GB2312" w:eastAsia="仿宋_GB2312" w:hAnsi="仿宋_GB2312" w:cs="仿宋_GB2312" w:hint="eastAsia"/>
          <w:sz w:val="32"/>
        </w:rPr>
        <w:t>；</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（11）</w:t>
      </w:r>
      <w:r>
        <w:rPr>
          <w:rFonts w:ascii="仿宋_GB2312" w:eastAsia="仿宋_GB2312" w:hint="eastAsia"/>
          <w:sz w:val="32"/>
          <w:szCs w:val="32"/>
        </w:rPr>
        <w:t>负责市人民检察院交办的有关工作</w:t>
      </w:r>
      <w:r>
        <w:rPr>
          <w:rFonts w:ascii="仿宋_GB2312" w:eastAsia="仿宋_GB2312" w:hAnsi="仿宋_GB2312" w:cs="仿宋_GB2312" w:hint="eastAsia"/>
          <w:sz w:val="32"/>
        </w:rPr>
        <w:t>。</w:t>
      </w:r>
    </w:p>
    <w:p w:rsidR="001F33CA" w:rsidRDefault="00442F1A">
      <w:pPr>
        <w:ind w:firstLineChars="200" w:firstLine="640"/>
        <w:outlineLvl w:val="1"/>
        <w:rPr>
          <w:rFonts w:ascii="楷体_GB2312" w:eastAsia="楷体_GB2312"/>
          <w:sz w:val="32"/>
          <w:szCs w:val="32"/>
        </w:rPr>
      </w:pPr>
      <w:r>
        <w:rPr>
          <w:rFonts w:ascii="楷体_GB2312" w:eastAsia="楷体_GB2312" w:hint="eastAsia"/>
          <w:sz w:val="32"/>
          <w:szCs w:val="32"/>
        </w:rPr>
        <w:t>（二）部门整体绩效目标设立情况</w:t>
      </w:r>
    </w:p>
    <w:p w:rsidR="001F33CA" w:rsidRDefault="00442F1A">
      <w:pPr>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2022年，在市委、市委政法委及市检察院坚强领导下，本院党组紧扣党的二十大召开之年、北京冬奥之年、实施“十四五”规划承上启下重要一年及最高</w:t>
      </w:r>
      <w:proofErr w:type="gramStart"/>
      <w:r>
        <w:rPr>
          <w:rFonts w:ascii="仿宋_GB2312" w:eastAsia="仿宋_GB2312" w:hAnsi="仿宋_GB2312" w:cs="仿宋_GB2312" w:hint="eastAsia"/>
          <w:sz w:val="32"/>
        </w:rPr>
        <w:t>检部署</w:t>
      </w:r>
      <w:proofErr w:type="gramEnd"/>
      <w:r>
        <w:rPr>
          <w:rFonts w:ascii="仿宋_GB2312" w:eastAsia="仿宋_GB2312" w:hAnsi="仿宋_GB2312" w:cs="仿宋_GB2312" w:hint="eastAsia"/>
          <w:sz w:val="32"/>
        </w:rPr>
        <w:t>的检察工作“质量建设年”形势任</w:t>
      </w:r>
      <w:r>
        <w:rPr>
          <w:rFonts w:ascii="仿宋_GB2312" w:eastAsia="仿宋_GB2312" w:hAnsi="仿宋_GB2312" w:cs="仿宋_GB2312" w:hint="eastAsia"/>
          <w:sz w:val="32"/>
        </w:rPr>
        <w:lastRenderedPageBreak/>
        <w:t>务要求，坚持以习近平新时代中国特色社会主义思想为指导，深入贯彻习近平法治思想，聚焦服务保障和学习贯彻党的二十大这一首要政治任务，突出落实《中共中央关于加强新时代检察机关法律监督工作的意见》及市委实施意见这条主线，突出以检察工作高质量发展服务首都高质量发展这个主题，突出深化检察供给侧结构性改革这个主攻方向，依法</w:t>
      </w:r>
      <w:proofErr w:type="gramStart"/>
      <w:r>
        <w:rPr>
          <w:rFonts w:ascii="仿宋_GB2312" w:eastAsia="仿宋_GB2312" w:hAnsi="仿宋_GB2312" w:cs="仿宋_GB2312" w:hint="eastAsia"/>
          <w:sz w:val="32"/>
        </w:rPr>
        <w:t>能动履行</w:t>
      </w:r>
      <w:proofErr w:type="gramEnd"/>
      <w:r>
        <w:rPr>
          <w:rFonts w:ascii="仿宋_GB2312" w:eastAsia="仿宋_GB2312" w:hAnsi="仿宋_GB2312" w:cs="仿宋_GB2312" w:hint="eastAsia"/>
          <w:sz w:val="32"/>
        </w:rPr>
        <w:t>“四大检察”职能，不断深化以党的政治建设统领检察工作实践，各项工作取得新进展。</w:t>
      </w:r>
    </w:p>
    <w:p w:rsidR="001F33CA" w:rsidRDefault="00442F1A">
      <w:pPr>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预算11667</w:t>
      </w:r>
      <w:r w:rsidR="00E10AE9">
        <w:rPr>
          <w:rFonts w:ascii="仿宋_GB2312" w:eastAsia="仿宋_GB2312" w:hAnsi="宋体" w:cs="宋体" w:hint="eastAsia"/>
          <w:color w:val="000000"/>
          <w:kern w:val="0"/>
          <w:sz w:val="32"/>
          <w:szCs w:val="32"/>
        </w:rPr>
        <w:t>.38</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财政资金</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w:t>
      </w:r>
      <w:r w:rsidR="003A4F79">
        <w:rPr>
          <w:rFonts w:ascii="仿宋_GB2312" w:eastAsia="仿宋_GB2312" w:hAnsi="宋体" w:cs="宋体" w:hint="eastAsia"/>
          <w:color w:val="000000"/>
          <w:kern w:val="0"/>
          <w:sz w:val="32"/>
          <w:szCs w:val="32"/>
        </w:rPr>
        <w:t>10914.82</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财政资金项目支出预算696.93</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w:t>
      </w:r>
      <w:r w:rsidR="00E10AE9">
        <w:rPr>
          <w:rFonts w:ascii="仿宋_GB2312" w:eastAsia="仿宋_GB2312" w:hAnsi="等线" w:cs="宋体" w:hint="eastAsia"/>
          <w:kern w:val="0"/>
          <w:sz w:val="32"/>
          <w:szCs w:val="32"/>
        </w:rPr>
        <w:t>55.6</w:t>
      </w:r>
      <w:r w:rsidR="003A4F79">
        <w:rPr>
          <w:rFonts w:ascii="仿宋_GB2312" w:eastAsia="仿宋_GB2312" w:hAnsi="等线" w:cs="宋体" w:hint="eastAsia"/>
          <w:kern w:val="0"/>
          <w:sz w:val="32"/>
          <w:szCs w:val="32"/>
        </w:rPr>
        <w:t>3</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w:t>
      </w:r>
      <w:r>
        <w:rPr>
          <w:rFonts w:ascii="仿宋_GB2312" w:eastAsia="仿宋_GB2312" w:hAnsi="宋体" w:cs="宋体" w:hint="eastAsia"/>
          <w:sz w:val="32"/>
          <w:szCs w:val="32"/>
        </w:rPr>
        <w:t>11477.96</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其中，</w:t>
      </w:r>
      <w:r>
        <w:rPr>
          <w:rFonts w:ascii="仿宋_GB2312" w:eastAsia="仿宋_GB2312" w:hAnsi="宋体" w:cs="宋体" w:hint="eastAsia"/>
          <w:sz w:val="32"/>
          <w:szCs w:val="32"/>
        </w:rPr>
        <w:t>财政资金</w:t>
      </w:r>
      <w:r>
        <w:rPr>
          <w:rFonts w:ascii="仿宋_GB2312" w:eastAsia="仿宋_GB2312" w:hAnsi="宋体" w:cs="宋体"/>
          <w:color w:val="000000"/>
          <w:kern w:val="0"/>
          <w:sz w:val="32"/>
          <w:szCs w:val="32"/>
        </w:rPr>
        <w:t>基本支出</w:t>
      </w:r>
      <w:r>
        <w:rPr>
          <w:rFonts w:ascii="仿宋_GB2312" w:eastAsia="仿宋_GB2312" w:hAnsi="宋体" w:cs="宋体" w:hint="eastAsia"/>
          <w:color w:val="000000"/>
          <w:kern w:val="0"/>
          <w:sz w:val="32"/>
          <w:szCs w:val="32"/>
        </w:rPr>
        <w:t>10791.27</w:t>
      </w:r>
      <w:r>
        <w:rPr>
          <w:rFonts w:ascii="仿宋_GB2312" w:eastAsia="仿宋_GB2312" w:hAnsi="宋体" w:cs="宋体"/>
          <w:color w:val="000000"/>
          <w:kern w:val="0"/>
          <w:sz w:val="32"/>
          <w:szCs w:val="32"/>
        </w:rPr>
        <w:t>万元，</w:t>
      </w:r>
      <w:r>
        <w:rPr>
          <w:rFonts w:ascii="仿宋_GB2312" w:eastAsia="仿宋_GB2312" w:hAnsi="宋体" w:cs="宋体" w:hint="eastAsia"/>
          <w:sz w:val="32"/>
          <w:szCs w:val="32"/>
        </w:rPr>
        <w:t>财政资金</w:t>
      </w:r>
      <w:r>
        <w:rPr>
          <w:rFonts w:ascii="仿宋_GB2312" w:eastAsia="仿宋_GB2312" w:hAnsi="宋体" w:cs="宋体"/>
          <w:color w:val="000000"/>
          <w:kern w:val="0"/>
          <w:sz w:val="32"/>
          <w:szCs w:val="32"/>
        </w:rPr>
        <w:t>项目</w:t>
      </w:r>
      <w:r>
        <w:rPr>
          <w:rFonts w:ascii="仿宋_GB2312" w:eastAsia="仿宋_GB2312" w:hAnsi="宋体" w:cs="宋体" w:hint="eastAsia"/>
          <w:color w:val="000000"/>
          <w:kern w:val="0"/>
          <w:sz w:val="32"/>
          <w:szCs w:val="32"/>
        </w:rPr>
        <w:t>支出</w:t>
      </w:r>
      <w:r>
        <w:rPr>
          <w:rFonts w:ascii="仿宋_GB2312" w:eastAsia="仿宋_GB2312" w:hAnsi="宋体" w:cs="宋体" w:hint="eastAsia"/>
          <w:sz w:val="32"/>
          <w:szCs w:val="32"/>
        </w:rPr>
        <w:t>675.99</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10.7</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sidR="003A4F79">
        <w:rPr>
          <w:rFonts w:ascii="仿宋_GB2312" w:eastAsia="仿宋_GB2312" w:hAnsi="宋体" w:cs="宋体" w:hint="eastAsia"/>
          <w:color w:val="000000"/>
          <w:kern w:val="0"/>
          <w:sz w:val="32"/>
          <w:szCs w:val="32"/>
        </w:rPr>
        <w:t>98.38</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（11477.96/</w:t>
      </w:r>
      <w:r w:rsidR="003A4F79">
        <w:rPr>
          <w:rFonts w:ascii="仿宋_GB2312" w:eastAsia="仿宋_GB2312" w:hAnsi="宋体" w:cs="宋体" w:hint="eastAsia"/>
          <w:color w:val="000000"/>
          <w:kern w:val="0"/>
          <w:sz w:val="32"/>
          <w:szCs w:val="32"/>
        </w:rPr>
        <w:t>11667.38</w:t>
      </w:r>
      <w:r>
        <w:rPr>
          <w:rFonts w:ascii="仿宋_GB2312" w:eastAsia="仿宋_GB2312" w:hAnsi="宋体" w:cs="宋体" w:hint="eastAsia"/>
          <w:color w:val="000000"/>
          <w:kern w:val="0"/>
          <w:sz w:val="32"/>
          <w:szCs w:val="32"/>
        </w:rPr>
        <w:t>）。</w:t>
      </w:r>
    </w:p>
    <w:p w:rsidR="001F33CA" w:rsidRDefault="00442F1A">
      <w:pPr>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（一）产出完成情况分析</w:t>
      </w:r>
    </w:p>
    <w:p w:rsidR="001F33CA" w:rsidRDefault="00442F1A">
      <w:pPr>
        <w:spacing w:line="560" w:lineRule="exact"/>
        <w:ind w:firstLineChars="200" w:firstLine="640"/>
        <w:rPr>
          <w:rFonts w:eastAsia="仿宋_GB2312" w:cstheme="minorBidi"/>
          <w:bCs/>
          <w:sz w:val="32"/>
          <w:szCs w:val="22"/>
        </w:rPr>
      </w:pPr>
      <w:r>
        <w:rPr>
          <w:rFonts w:ascii="仿宋_GB2312" w:eastAsia="仿宋_GB2312" w:hint="eastAsia"/>
          <w:sz w:val="32"/>
          <w:szCs w:val="32"/>
        </w:rPr>
        <w:t>1.产出数量</w:t>
      </w:r>
    </w:p>
    <w:p w:rsidR="001F33CA" w:rsidRDefault="00442F1A">
      <w:pPr>
        <w:spacing w:line="560" w:lineRule="exact"/>
        <w:ind w:firstLineChars="200" w:firstLine="640"/>
        <w:rPr>
          <w:rFonts w:ascii="仿宋_GB2312" w:eastAsia="仿宋_GB2312" w:cstheme="minorBidi"/>
          <w:bCs/>
          <w:sz w:val="32"/>
          <w:szCs w:val="32"/>
        </w:rPr>
      </w:pPr>
      <w:r>
        <w:rPr>
          <w:rFonts w:eastAsia="仿宋_GB2312" w:cstheme="minorBidi" w:hint="eastAsia"/>
          <w:bCs/>
          <w:sz w:val="32"/>
          <w:szCs w:val="22"/>
        </w:rPr>
        <w:lastRenderedPageBreak/>
        <w:t>（</w:t>
      </w:r>
      <w:r>
        <w:rPr>
          <w:rFonts w:eastAsia="仿宋_GB2312" w:cstheme="minorBidi" w:hint="eastAsia"/>
          <w:bCs/>
          <w:sz w:val="32"/>
          <w:szCs w:val="22"/>
        </w:rPr>
        <w:t>1</w:t>
      </w:r>
      <w:r>
        <w:rPr>
          <w:rFonts w:eastAsia="仿宋_GB2312" w:cstheme="minorBidi" w:hint="eastAsia"/>
          <w:bCs/>
          <w:sz w:val="32"/>
          <w:szCs w:val="22"/>
        </w:rPr>
        <w:t>）为大局服务见行见效。落实“统筹发展和安全”要求，全力做好党的二十大安</w:t>
      </w:r>
      <w:proofErr w:type="gramStart"/>
      <w:r>
        <w:rPr>
          <w:rFonts w:eastAsia="仿宋_GB2312" w:cstheme="minorBidi" w:hint="eastAsia"/>
          <w:bCs/>
          <w:sz w:val="32"/>
          <w:szCs w:val="22"/>
        </w:rPr>
        <w:t>保维稳工作</w:t>
      </w:r>
      <w:proofErr w:type="gramEnd"/>
      <w:r>
        <w:rPr>
          <w:rFonts w:eastAsia="仿宋_GB2312" w:cstheme="minorBidi" w:hint="eastAsia"/>
          <w:bCs/>
          <w:sz w:val="32"/>
          <w:szCs w:val="22"/>
        </w:rPr>
        <w:t>。贯彻总体国家安全观，依法办理邪教犯罪案件审查逮捕</w:t>
      </w:r>
      <w:r>
        <w:rPr>
          <w:rFonts w:eastAsia="仿宋_GB2312"/>
          <w:bCs/>
          <w:sz w:val="32"/>
          <w:szCs w:val="22"/>
        </w:rPr>
        <w:t>4</w:t>
      </w:r>
      <w:r>
        <w:rPr>
          <w:rFonts w:eastAsia="仿宋_GB2312" w:hint="eastAsia"/>
          <w:bCs/>
          <w:sz w:val="32"/>
          <w:szCs w:val="22"/>
        </w:rPr>
        <w:t>6</w:t>
      </w:r>
      <w:r>
        <w:rPr>
          <w:rFonts w:eastAsia="仿宋_GB2312" w:cstheme="minorBidi" w:hint="eastAsia"/>
          <w:bCs/>
          <w:sz w:val="32"/>
          <w:szCs w:val="22"/>
        </w:rPr>
        <w:t>件</w:t>
      </w:r>
      <w:r>
        <w:rPr>
          <w:rFonts w:eastAsia="仿宋_GB2312"/>
          <w:bCs/>
          <w:sz w:val="32"/>
          <w:szCs w:val="22"/>
        </w:rPr>
        <w:t>75</w:t>
      </w:r>
      <w:r>
        <w:rPr>
          <w:rFonts w:eastAsia="仿宋_GB2312" w:cstheme="minorBidi" w:hint="eastAsia"/>
          <w:bCs/>
          <w:sz w:val="32"/>
          <w:szCs w:val="22"/>
        </w:rPr>
        <w:t>人，批捕</w:t>
      </w:r>
      <w:r>
        <w:rPr>
          <w:rFonts w:eastAsia="仿宋_GB2312"/>
          <w:bCs/>
          <w:sz w:val="32"/>
          <w:szCs w:val="22"/>
        </w:rPr>
        <w:t>54</w:t>
      </w:r>
      <w:r>
        <w:rPr>
          <w:rFonts w:eastAsia="仿宋_GB2312" w:cstheme="minorBidi" w:hint="eastAsia"/>
          <w:bCs/>
          <w:sz w:val="32"/>
          <w:szCs w:val="22"/>
        </w:rPr>
        <w:t>人，</w:t>
      </w:r>
      <w:proofErr w:type="gramStart"/>
      <w:r>
        <w:rPr>
          <w:rFonts w:eastAsia="仿宋_GB2312" w:cstheme="minorBidi" w:hint="eastAsia"/>
          <w:bCs/>
          <w:sz w:val="32"/>
          <w:szCs w:val="22"/>
        </w:rPr>
        <w:t>不</w:t>
      </w:r>
      <w:proofErr w:type="gramEnd"/>
      <w:r>
        <w:rPr>
          <w:rFonts w:eastAsia="仿宋_GB2312" w:cstheme="minorBidi" w:hint="eastAsia"/>
          <w:bCs/>
          <w:sz w:val="32"/>
          <w:szCs w:val="22"/>
        </w:rPr>
        <w:t>批捕</w:t>
      </w:r>
      <w:r>
        <w:rPr>
          <w:rFonts w:eastAsia="仿宋_GB2312"/>
          <w:bCs/>
          <w:sz w:val="32"/>
          <w:szCs w:val="22"/>
        </w:rPr>
        <w:t>21</w:t>
      </w:r>
      <w:r>
        <w:rPr>
          <w:rFonts w:eastAsia="仿宋_GB2312" w:cstheme="minorBidi" w:hint="eastAsia"/>
          <w:bCs/>
          <w:sz w:val="32"/>
          <w:szCs w:val="22"/>
        </w:rPr>
        <w:t>人。常态化推进扫黑除恶斗争，依法办理中政委关注的“</w:t>
      </w:r>
      <w:r>
        <w:rPr>
          <w:rFonts w:eastAsia="仿宋_GB2312" w:cstheme="minorBidi" w:hint="eastAsia"/>
          <w:bCs/>
          <w:sz w:val="32"/>
          <w:szCs w:val="22"/>
        </w:rPr>
        <w:t>6</w:t>
      </w:r>
      <w:r>
        <w:rPr>
          <w:rFonts w:eastAsia="仿宋_GB2312" w:cstheme="minorBidi" w:hint="eastAsia"/>
          <w:bCs/>
          <w:sz w:val="32"/>
          <w:szCs w:val="22"/>
        </w:rPr>
        <w:t>·</w:t>
      </w:r>
      <w:r>
        <w:rPr>
          <w:rFonts w:eastAsia="仿宋_GB2312" w:cstheme="minorBidi" w:hint="eastAsia"/>
          <w:bCs/>
          <w:sz w:val="32"/>
          <w:szCs w:val="22"/>
        </w:rPr>
        <w:t>20</w:t>
      </w:r>
      <w:r>
        <w:rPr>
          <w:rFonts w:eastAsia="仿宋_GB2312" w:cstheme="minorBidi" w:hint="eastAsia"/>
          <w:bCs/>
          <w:sz w:val="32"/>
          <w:szCs w:val="22"/>
        </w:rPr>
        <w:t>”专案</w:t>
      </w:r>
      <w:r>
        <w:rPr>
          <w:rFonts w:eastAsia="仿宋_GB2312" w:cstheme="minorBidi" w:hint="eastAsia"/>
          <w:bCs/>
          <w:sz w:val="32"/>
          <w:szCs w:val="22"/>
        </w:rPr>
        <w:t>1</w:t>
      </w:r>
      <w:r>
        <w:rPr>
          <w:rFonts w:eastAsia="仿宋_GB2312" w:cstheme="minorBidi" w:hint="eastAsia"/>
          <w:bCs/>
          <w:sz w:val="32"/>
          <w:szCs w:val="22"/>
        </w:rPr>
        <w:t>件</w:t>
      </w:r>
      <w:r>
        <w:rPr>
          <w:rFonts w:eastAsia="仿宋_GB2312" w:cstheme="minorBidi" w:hint="eastAsia"/>
          <w:bCs/>
          <w:sz w:val="32"/>
          <w:szCs w:val="22"/>
        </w:rPr>
        <w:t>15</w:t>
      </w:r>
      <w:r>
        <w:rPr>
          <w:rFonts w:eastAsia="仿宋_GB2312" w:cstheme="minorBidi" w:hint="eastAsia"/>
          <w:bCs/>
          <w:sz w:val="32"/>
          <w:szCs w:val="22"/>
        </w:rPr>
        <w:t>人，指导辖区院办</w:t>
      </w:r>
      <w:proofErr w:type="gramStart"/>
      <w:r>
        <w:rPr>
          <w:rFonts w:eastAsia="仿宋_GB2312" w:cstheme="minorBidi" w:hint="eastAsia"/>
          <w:bCs/>
          <w:sz w:val="32"/>
          <w:szCs w:val="22"/>
        </w:rPr>
        <w:t>理涉恶案件</w:t>
      </w:r>
      <w:proofErr w:type="gramEnd"/>
      <w:r>
        <w:rPr>
          <w:rFonts w:eastAsia="仿宋_GB2312" w:cstheme="minorBidi" w:hint="eastAsia"/>
          <w:bCs/>
          <w:sz w:val="32"/>
          <w:szCs w:val="22"/>
        </w:rPr>
        <w:t>6</w:t>
      </w:r>
      <w:r>
        <w:rPr>
          <w:rFonts w:eastAsia="仿宋_GB2312" w:cstheme="minorBidi" w:hint="eastAsia"/>
          <w:bCs/>
          <w:sz w:val="32"/>
          <w:szCs w:val="22"/>
        </w:rPr>
        <w:t>件</w:t>
      </w:r>
      <w:r>
        <w:rPr>
          <w:rFonts w:eastAsia="仿宋_GB2312" w:cstheme="minorBidi" w:hint="eastAsia"/>
          <w:bCs/>
          <w:sz w:val="32"/>
          <w:szCs w:val="22"/>
        </w:rPr>
        <w:t>70</w:t>
      </w:r>
      <w:r>
        <w:rPr>
          <w:rFonts w:eastAsia="仿宋_GB2312" w:cstheme="minorBidi" w:hint="eastAsia"/>
          <w:bCs/>
          <w:sz w:val="32"/>
          <w:szCs w:val="22"/>
        </w:rPr>
        <w:t>人。</w:t>
      </w:r>
      <w:r>
        <w:rPr>
          <w:rFonts w:ascii="仿宋_GB2312" w:eastAsia="仿宋_GB2312" w:cstheme="minorBidi" w:hint="eastAsia"/>
          <w:bCs/>
          <w:sz w:val="32"/>
          <w:szCs w:val="32"/>
        </w:rPr>
        <w:t>与冬奥组委法</w:t>
      </w:r>
      <w:proofErr w:type="gramStart"/>
      <w:r>
        <w:rPr>
          <w:rFonts w:ascii="仿宋_GB2312" w:eastAsia="仿宋_GB2312" w:cstheme="minorBidi" w:hint="eastAsia"/>
          <w:bCs/>
          <w:sz w:val="32"/>
          <w:szCs w:val="32"/>
        </w:rPr>
        <w:t>务</w:t>
      </w:r>
      <w:proofErr w:type="gramEnd"/>
      <w:r>
        <w:rPr>
          <w:rFonts w:ascii="仿宋_GB2312" w:eastAsia="仿宋_GB2312" w:cstheme="minorBidi" w:hint="eastAsia"/>
          <w:bCs/>
          <w:sz w:val="32"/>
          <w:szCs w:val="32"/>
        </w:rPr>
        <w:t>部门召开联席会，落实精准服务保障冬奥会</w:t>
      </w:r>
      <w:r>
        <w:rPr>
          <w:rFonts w:eastAsia="仿宋_GB2312"/>
          <w:bCs/>
          <w:sz w:val="32"/>
          <w:szCs w:val="32"/>
        </w:rPr>
        <w:t>14</w:t>
      </w:r>
      <w:r>
        <w:rPr>
          <w:rFonts w:ascii="仿宋_GB2312" w:eastAsia="仿宋_GB2312" w:cstheme="minorBidi" w:hint="eastAsia"/>
          <w:bCs/>
          <w:sz w:val="32"/>
          <w:szCs w:val="32"/>
        </w:rPr>
        <w:t>条措施，指导辖区院高标准办理齐某某寻衅</w:t>
      </w:r>
      <w:proofErr w:type="gramStart"/>
      <w:r>
        <w:rPr>
          <w:rFonts w:ascii="仿宋_GB2312" w:eastAsia="仿宋_GB2312" w:cstheme="minorBidi" w:hint="eastAsia"/>
          <w:bCs/>
          <w:sz w:val="32"/>
          <w:szCs w:val="32"/>
        </w:rPr>
        <w:t>滋事案</w:t>
      </w:r>
      <w:proofErr w:type="gramEnd"/>
      <w:r>
        <w:rPr>
          <w:rFonts w:ascii="仿宋_GB2312" w:eastAsia="仿宋_GB2312" w:cstheme="minorBidi" w:hint="eastAsia"/>
          <w:bCs/>
          <w:sz w:val="32"/>
          <w:szCs w:val="32"/>
        </w:rPr>
        <w:t>等</w:t>
      </w:r>
      <w:r>
        <w:rPr>
          <w:rFonts w:eastAsia="仿宋_GB2312"/>
          <w:bCs/>
          <w:sz w:val="32"/>
          <w:szCs w:val="32"/>
        </w:rPr>
        <w:t>2</w:t>
      </w:r>
      <w:r>
        <w:rPr>
          <w:rFonts w:ascii="仿宋_GB2312" w:eastAsia="仿宋_GB2312" w:cstheme="minorBidi" w:hint="eastAsia"/>
          <w:bCs/>
          <w:sz w:val="32"/>
          <w:szCs w:val="32"/>
        </w:rPr>
        <w:t>件涉冬奥案件。</w:t>
      </w:r>
    </w:p>
    <w:p w:rsidR="001F33CA" w:rsidRDefault="00442F1A">
      <w:pPr>
        <w:spacing w:line="560" w:lineRule="exact"/>
        <w:ind w:firstLineChars="200" w:firstLine="640"/>
        <w:rPr>
          <w:rFonts w:eastAsia="仿宋_GB2312" w:cstheme="minorBidi"/>
          <w:bCs/>
          <w:sz w:val="32"/>
          <w:szCs w:val="22"/>
        </w:rPr>
      </w:pPr>
      <w:r>
        <w:rPr>
          <w:rFonts w:eastAsia="仿宋_GB2312" w:cstheme="minorBidi" w:hint="eastAsia"/>
          <w:bCs/>
          <w:sz w:val="32"/>
          <w:szCs w:val="22"/>
        </w:rPr>
        <w:t>（</w:t>
      </w:r>
      <w:r>
        <w:rPr>
          <w:rFonts w:eastAsia="仿宋_GB2312" w:cstheme="minorBidi" w:hint="eastAsia"/>
          <w:bCs/>
          <w:sz w:val="32"/>
          <w:szCs w:val="22"/>
        </w:rPr>
        <w:t>2</w:t>
      </w:r>
      <w:r>
        <w:rPr>
          <w:rFonts w:eastAsia="仿宋_GB2312" w:cstheme="minorBidi" w:hint="eastAsia"/>
          <w:bCs/>
          <w:sz w:val="32"/>
          <w:szCs w:val="22"/>
        </w:rPr>
        <w:t>）为人民司法用心用情。协助市</w:t>
      </w:r>
      <w:proofErr w:type="gramStart"/>
      <w:r>
        <w:rPr>
          <w:rFonts w:eastAsia="仿宋_GB2312" w:cstheme="minorBidi" w:hint="eastAsia"/>
          <w:bCs/>
          <w:sz w:val="32"/>
          <w:szCs w:val="22"/>
        </w:rPr>
        <w:t>院指导金准公司</w:t>
      </w:r>
      <w:proofErr w:type="gramEnd"/>
      <w:r>
        <w:rPr>
          <w:rFonts w:eastAsia="仿宋_GB2312" w:cstheme="minorBidi" w:hint="eastAsia"/>
          <w:bCs/>
          <w:sz w:val="32"/>
          <w:szCs w:val="22"/>
        </w:rPr>
        <w:t>涉嫌核酸检测违法犯罪等近</w:t>
      </w:r>
      <w:r>
        <w:rPr>
          <w:rFonts w:eastAsia="仿宋_GB2312"/>
          <w:bCs/>
          <w:sz w:val="32"/>
          <w:szCs w:val="22"/>
        </w:rPr>
        <w:t>10</w:t>
      </w:r>
      <w:r>
        <w:rPr>
          <w:rFonts w:eastAsia="仿宋_GB2312" w:cstheme="minorBidi" w:hint="eastAsia"/>
          <w:bCs/>
          <w:sz w:val="32"/>
          <w:szCs w:val="22"/>
        </w:rPr>
        <w:t>件涉</w:t>
      </w:r>
      <w:proofErr w:type="gramStart"/>
      <w:r>
        <w:rPr>
          <w:rFonts w:eastAsia="仿宋_GB2312" w:cstheme="minorBidi" w:hint="eastAsia"/>
          <w:bCs/>
          <w:sz w:val="32"/>
          <w:szCs w:val="22"/>
        </w:rPr>
        <w:t>疫</w:t>
      </w:r>
      <w:proofErr w:type="gramEnd"/>
      <w:r>
        <w:rPr>
          <w:rFonts w:eastAsia="仿宋_GB2312" w:cstheme="minorBidi" w:hint="eastAsia"/>
          <w:bCs/>
          <w:sz w:val="32"/>
          <w:szCs w:val="22"/>
        </w:rPr>
        <w:t>案件</w:t>
      </w:r>
      <w:r>
        <w:rPr>
          <w:rFonts w:eastAsia="仿宋_GB2312" w:cstheme="minorBidi" w:hint="eastAsia"/>
          <w:bCs/>
          <w:sz w:val="32"/>
          <w:szCs w:val="32"/>
        </w:rPr>
        <w:t>。</w:t>
      </w:r>
      <w:r>
        <w:rPr>
          <w:rFonts w:ascii="仿宋_GB2312" w:eastAsia="仿宋_GB2312" w:cstheme="minorBidi" w:hint="eastAsia"/>
          <w:bCs/>
          <w:sz w:val="32"/>
          <w:szCs w:val="32"/>
        </w:rPr>
        <w:t>扎实推进打击整治养老诈骗专项行动，办理经济犯罪案件追赃</w:t>
      </w:r>
      <w:proofErr w:type="gramStart"/>
      <w:r>
        <w:rPr>
          <w:rFonts w:ascii="仿宋_GB2312" w:eastAsia="仿宋_GB2312" w:cstheme="minorBidi" w:hint="eastAsia"/>
          <w:bCs/>
          <w:sz w:val="32"/>
          <w:szCs w:val="32"/>
        </w:rPr>
        <w:t>挽损达</w:t>
      </w:r>
      <w:proofErr w:type="gramEnd"/>
      <w:r>
        <w:rPr>
          <w:rFonts w:eastAsia="仿宋_GB2312"/>
          <w:bCs/>
          <w:sz w:val="32"/>
          <w:szCs w:val="32"/>
        </w:rPr>
        <w:t>10777</w:t>
      </w:r>
      <w:r>
        <w:rPr>
          <w:rFonts w:eastAsia="仿宋_GB2312"/>
          <w:bCs/>
          <w:sz w:val="32"/>
          <w:szCs w:val="32"/>
        </w:rPr>
        <w:t>万</w:t>
      </w:r>
      <w:r>
        <w:rPr>
          <w:rFonts w:ascii="仿宋_GB2312" w:eastAsia="仿宋_GB2312" w:cstheme="minorBidi" w:hint="eastAsia"/>
          <w:bCs/>
          <w:sz w:val="32"/>
          <w:szCs w:val="32"/>
        </w:rPr>
        <w:t>元。</w:t>
      </w:r>
      <w:r>
        <w:rPr>
          <w:rFonts w:eastAsia="仿宋_GB2312" w:cstheme="minorBidi" w:hint="eastAsia"/>
          <w:bCs/>
          <w:sz w:val="32"/>
          <w:szCs w:val="22"/>
        </w:rPr>
        <w:t>聚焦“七有”要求和“五性”需求，做实首都检察版“接诉即办”，接待群众来访</w:t>
      </w:r>
      <w:r>
        <w:rPr>
          <w:rFonts w:eastAsia="仿宋_GB2312"/>
          <w:bCs/>
          <w:sz w:val="32"/>
          <w:szCs w:val="22"/>
        </w:rPr>
        <w:t>1058</w:t>
      </w:r>
      <w:r>
        <w:rPr>
          <w:rFonts w:eastAsia="仿宋_GB2312" w:cstheme="minorBidi" w:hint="eastAsia"/>
          <w:bCs/>
          <w:sz w:val="32"/>
          <w:szCs w:val="22"/>
        </w:rPr>
        <w:t>批次</w:t>
      </w:r>
      <w:r>
        <w:rPr>
          <w:rFonts w:eastAsia="仿宋_GB2312"/>
          <w:bCs/>
          <w:sz w:val="32"/>
          <w:szCs w:val="22"/>
        </w:rPr>
        <w:t>1345</w:t>
      </w:r>
      <w:r>
        <w:rPr>
          <w:rFonts w:eastAsia="仿宋_GB2312" w:cstheme="minorBidi" w:hint="eastAsia"/>
          <w:bCs/>
          <w:sz w:val="32"/>
          <w:szCs w:val="22"/>
        </w:rPr>
        <w:t>人次，办理群众来信</w:t>
      </w:r>
      <w:r>
        <w:rPr>
          <w:rFonts w:eastAsia="仿宋_GB2312"/>
          <w:bCs/>
          <w:sz w:val="32"/>
          <w:szCs w:val="22"/>
        </w:rPr>
        <w:t>2682</w:t>
      </w:r>
      <w:r>
        <w:rPr>
          <w:rFonts w:eastAsia="仿宋_GB2312" w:cstheme="minorBidi" w:hint="eastAsia"/>
          <w:bCs/>
          <w:sz w:val="32"/>
          <w:szCs w:val="22"/>
        </w:rPr>
        <w:t>件，办理</w:t>
      </w:r>
      <w:r>
        <w:rPr>
          <w:rFonts w:eastAsia="仿宋_GB2312"/>
          <w:bCs/>
          <w:sz w:val="32"/>
          <w:szCs w:val="22"/>
        </w:rPr>
        <w:t>12345</w:t>
      </w:r>
      <w:r>
        <w:rPr>
          <w:rFonts w:eastAsia="仿宋_GB2312" w:hint="eastAsia"/>
          <w:bCs/>
          <w:sz w:val="32"/>
          <w:szCs w:val="22"/>
        </w:rPr>
        <w:t>市民服务热线</w:t>
      </w:r>
      <w:r>
        <w:rPr>
          <w:rFonts w:eastAsia="仿宋_GB2312" w:cstheme="minorBidi" w:hint="eastAsia"/>
          <w:bCs/>
          <w:sz w:val="32"/>
          <w:szCs w:val="22"/>
        </w:rPr>
        <w:t>派单</w:t>
      </w:r>
      <w:r>
        <w:rPr>
          <w:rFonts w:eastAsia="仿宋_GB2312" w:hint="eastAsia"/>
          <w:bCs/>
          <w:sz w:val="32"/>
          <w:szCs w:val="22"/>
        </w:rPr>
        <w:t>108</w:t>
      </w:r>
      <w:r>
        <w:rPr>
          <w:rFonts w:eastAsia="仿宋_GB2312" w:cstheme="minorBidi" w:hint="eastAsia"/>
          <w:bCs/>
          <w:sz w:val="32"/>
          <w:szCs w:val="22"/>
        </w:rPr>
        <w:t>件，做到“件件有回复、事事有回音”。受理刑事申诉案件</w:t>
      </w:r>
      <w:r>
        <w:rPr>
          <w:rFonts w:eastAsia="仿宋_GB2312"/>
          <w:bCs/>
          <w:sz w:val="32"/>
          <w:szCs w:val="22"/>
        </w:rPr>
        <w:t>28</w:t>
      </w:r>
      <w:r>
        <w:rPr>
          <w:rFonts w:eastAsia="仿宋_GB2312" w:cstheme="minorBidi" w:hint="eastAsia"/>
          <w:bCs/>
          <w:sz w:val="32"/>
          <w:szCs w:val="22"/>
        </w:rPr>
        <w:t>件，首次信访领导包案办理率</w:t>
      </w:r>
      <w:r>
        <w:rPr>
          <w:rFonts w:eastAsia="仿宋_GB2312"/>
          <w:bCs/>
          <w:sz w:val="32"/>
          <w:szCs w:val="22"/>
        </w:rPr>
        <w:t>100</w:t>
      </w:r>
      <w:r>
        <w:rPr>
          <w:rFonts w:eastAsia="仿宋_GB2312" w:cstheme="minorBidi" w:hint="eastAsia"/>
          <w:bCs/>
          <w:sz w:val="32"/>
          <w:szCs w:val="22"/>
        </w:rPr>
        <w:t>%</w:t>
      </w:r>
      <w:r>
        <w:rPr>
          <w:rFonts w:eastAsia="仿宋_GB2312" w:cstheme="minorBidi" w:hint="eastAsia"/>
          <w:bCs/>
          <w:sz w:val="32"/>
          <w:szCs w:val="22"/>
        </w:rPr>
        <w:t>。开展司法救助</w:t>
      </w:r>
      <w:r>
        <w:rPr>
          <w:rFonts w:eastAsia="仿宋_GB2312"/>
          <w:bCs/>
          <w:sz w:val="32"/>
          <w:szCs w:val="22"/>
        </w:rPr>
        <w:t>2</w:t>
      </w:r>
      <w:r>
        <w:rPr>
          <w:rFonts w:eastAsia="仿宋_GB2312" w:cstheme="minorBidi" w:hint="eastAsia"/>
          <w:bCs/>
          <w:sz w:val="32"/>
          <w:szCs w:val="22"/>
        </w:rPr>
        <w:t>件</w:t>
      </w:r>
      <w:r>
        <w:rPr>
          <w:rFonts w:eastAsia="仿宋_GB2312"/>
          <w:bCs/>
          <w:sz w:val="32"/>
          <w:szCs w:val="22"/>
        </w:rPr>
        <w:t>2</w:t>
      </w:r>
      <w:r>
        <w:rPr>
          <w:rFonts w:eastAsia="仿宋_GB2312" w:cstheme="minorBidi" w:hint="eastAsia"/>
          <w:bCs/>
          <w:sz w:val="32"/>
          <w:szCs w:val="22"/>
        </w:rPr>
        <w:t>人，发放救助金</w:t>
      </w:r>
      <w:r>
        <w:rPr>
          <w:rFonts w:eastAsia="仿宋_GB2312"/>
          <w:bCs/>
          <w:sz w:val="32"/>
          <w:szCs w:val="22"/>
        </w:rPr>
        <w:t>21</w:t>
      </w:r>
      <w:r>
        <w:rPr>
          <w:rFonts w:eastAsia="仿宋_GB2312" w:cstheme="minorBidi" w:hint="eastAsia"/>
          <w:bCs/>
          <w:sz w:val="32"/>
          <w:szCs w:val="22"/>
        </w:rPr>
        <w:t>万余元。组织公开听证</w:t>
      </w:r>
      <w:r>
        <w:rPr>
          <w:rFonts w:eastAsia="仿宋_GB2312"/>
          <w:bCs/>
          <w:sz w:val="32"/>
          <w:szCs w:val="22"/>
        </w:rPr>
        <w:t>28</w:t>
      </w:r>
      <w:r>
        <w:rPr>
          <w:rFonts w:eastAsia="仿宋_GB2312" w:cstheme="minorBidi" w:hint="eastAsia"/>
          <w:bCs/>
          <w:sz w:val="32"/>
          <w:szCs w:val="22"/>
        </w:rPr>
        <w:t>件，以公开促</w:t>
      </w:r>
      <w:proofErr w:type="gramStart"/>
      <w:r>
        <w:rPr>
          <w:rFonts w:eastAsia="仿宋_GB2312" w:cstheme="minorBidi" w:hint="eastAsia"/>
          <w:bCs/>
          <w:sz w:val="32"/>
          <w:szCs w:val="22"/>
        </w:rPr>
        <w:t>公正赢公</w:t>
      </w:r>
      <w:proofErr w:type="gramEnd"/>
      <w:r>
        <w:rPr>
          <w:rFonts w:eastAsia="仿宋_GB2312" w:cstheme="minorBidi" w:hint="eastAsia"/>
          <w:bCs/>
          <w:sz w:val="32"/>
          <w:szCs w:val="22"/>
        </w:rPr>
        <w:t>信，让人民群众切实感受到公平正义就在身边。</w:t>
      </w:r>
    </w:p>
    <w:p w:rsidR="001F33CA" w:rsidRDefault="00442F1A">
      <w:pPr>
        <w:spacing w:line="560" w:lineRule="exact"/>
        <w:ind w:firstLineChars="200" w:firstLine="640"/>
        <w:rPr>
          <w:rFonts w:eastAsia="仿宋_GB2312" w:cstheme="minorBidi"/>
          <w:bCs/>
          <w:sz w:val="32"/>
          <w:szCs w:val="22"/>
        </w:rPr>
      </w:pPr>
      <w:r>
        <w:rPr>
          <w:rFonts w:eastAsia="仿宋_GB2312" w:cstheme="minorBidi" w:hint="eastAsia"/>
          <w:bCs/>
          <w:sz w:val="32"/>
          <w:szCs w:val="22"/>
        </w:rPr>
        <w:t>（</w:t>
      </w:r>
      <w:r>
        <w:rPr>
          <w:rFonts w:eastAsia="仿宋_GB2312" w:cstheme="minorBidi" w:hint="eastAsia"/>
          <w:bCs/>
          <w:sz w:val="32"/>
          <w:szCs w:val="22"/>
        </w:rPr>
        <w:t>3</w:t>
      </w:r>
      <w:r>
        <w:rPr>
          <w:rFonts w:eastAsia="仿宋_GB2312" w:cstheme="minorBidi" w:hint="eastAsia"/>
          <w:bCs/>
          <w:sz w:val="32"/>
          <w:szCs w:val="22"/>
        </w:rPr>
        <w:t>）</w:t>
      </w:r>
      <w:proofErr w:type="gramStart"/>
      <w:r>
        <w:rPr>
          <w:rFonts w:eastAsia="仿宋_GB2312" w:cstheme="minorBidi" w:hint="eastAsia"/>
          <w:bCs/>
          <w:sz w:val="32"/>
          <w:szCs w:val="22"/>
        </w:rPr>
        <w:t>强法律</w:t>
      </w:r>
      <w:proofErr w:type="gramEnd"/>
      <w:r>
        <w:rPr>
          <w:rFonts w:eastAsia="仿宋_GB2312" w:cstheme="minorBidi" w:hint="eastAsia"/>
          <w:bCs/>
          <w:sz w:val="32"/>
          <w:szCs w:val="22"/>
        </w:rPr>
        <w:t>监督能动作为。坚持“法定职责必须为”法治原则，深入落实中央《意见》及市委实施意见</w:t>
      </w:r>
      <w:r>
        <w:rPr>
          <w:rFonts w:eastAsia="仿宋_GB2312"/>
          <w:bCs/>
          <w:sz w:val="32"/>
          <w:szCs w:val="22"/>
        </w:rPr>
        <w:t>72</w:t>
      </w:r>
      <w:r>
        <w:rPr>
          <w:rFonts w:eastAsia="仿宋_GB2312" w:cstheme="minorBidi" w:hint="eastAsia"/>
          <w:bCs/>
          <w:sz w:val="32"/>
          <w:szCs w:val="22"/>
        </w:rPr>
        <w:t>项举措，加大监督办案力度，强化依职权主动监督。全年司法办案与监督</w:t>
      </w:r>
      <w:proofErr w:type="gramStart"/>
      <w:r>
        <w:rPr>
          <w:rFonts w:eastAsia="仿宋_GB2312" w:cstheme="minorBidi" w:hint="eastAsia"/>
          <w:bCs/>
          <w:sz w:val="32"/>
          <w:szCs w:val="22"/>
        </w:rPr>
        <w:t>办案占</w:t>
      </w:r>
      <w:proofErr w:type="gramEnd"/>
      <w:r>
        <w:rPr>
          <w:rFonts w:eastAsia="仿宋_GB2312" w:cstheme="minorBidi" w:hint="eastAsia"/>
          <w:bCs/>
          <w:sz w:val="32"/>
          <w:szCs w:val="22"/>
        </w:rPr>
        <w:t>比分别为</w:t>
      </w:r>
      <w:r>
        <w:rPr>
          <w:rFonts w:eastAsia="仿宋_GB2312" w:cstheme="minorBidi" w:hint="eastAsia"/>
          <w:bCs/>
          <w:sz w:val="32"/>
          <w:szCs w:val="22"/>
        </w:rPr>
        <w:t>30.66%</w:t>
      </w:r>
      <w:r>
        <w:rPr>
          <w:rFonts w:eastAsia="仿宋_GB2312" w:cstheme="minorBidi" w:hint="eastAsia"/>
          <w:bCs/>
          <w:sz w:val="32"/>
          <w:szCs w:val="22"/>
        </w:rPr>
        <w:t>与</w:t>
      </w:r>
      <w:r>
        <w:rPr>
          <w:rFonts w:eastAsia="仿宋_GB2312" w:cstheme="minorBidi" w:hint="eastAsia"/>
          <w:bCs/>
          <w:sz w:val="32"/>
          <w:szCs w:val="22"/>
        </w:rPr>
        <w:t>69.34%</w:t>
      </w:r>
      <w:r>
        <w:rPr>
          <w:rFonts w:eastAsia="仿宋_GB2312" w:cstheme="minorBidi" w:hint="eastAsia"/>
          <w:bCs/>
          <w:sz w:val="32"/>
          <w:szCs w:val="22"/>
        </w:rPr>
        <w:t>，依职权主动</w:t>
      </w:r>
      <w:proofErr w:type="gramStart"/>
      <w:r>
        <w:rPr>
          <w:rFonts w:eastAsia="仿宋_GB2312" w:cstheme="minorBidi" w:hint="eastAsia"/>
          <w:bCs/>
          <w:sz w:val="32"/>
          <w:szCs w:val="22"/>
        </w:rPr>
        <w:t>监督占</w:t>
      </w:r>
      <w:proofErr w:type="gramEnd"/>
      <w:r>
        <w:rPr>
          <w:rFonts w:eastAsia="仿宋_GB2312" w:cstheme="minorBidi" w:hint="eastAsia"/>
          <w:bCs/>
          <w:sz w:val="32"/>
          <w:szCs w:val="22"/>
        </w:rPr>
        <w:t>比</w:t>
      </w:r>
      <w:r>
        <w:rPr>
          <w:rFonts w:eastAsia="仿宋_GB2312"/>
          <w:bCs/>
          <w:sz w:val="32"/>
          <w:szCs w:val="22"/>
        </w:rPr>
        <w:t>2</w:t>
      </w:r>
      <w:r>
        <w:rPr>
          <w:rFonts w:eastAsia="仿宋_GB2312" w:hint="eastAsia"/>
          <w:bCs/>
          <w:sz w:val="32"/>
          <w:szCs w:val="22"/>
        </w:rPr>
        <w:t>0</w:t>
      </w:r>
      <w:r>
        <w:rPr>
          <w:rFonts w:eastAsia="仿宋_GB2312" w:cstheme="minorBidi" w:hint="eastAsia"/>
          <w:bCs/>
          <w:sz w:val="32"/>
          <w:szCs w:val="22"/>
        </w:rPr>
        <w:t>.</w:t>
      </w:r>
      <w:r>
        <w:rPr>
          <w:rFonts w:eastAsia="仿宋_GB2312" w:hint="eastAsia"/>
          <w:bCs/>
          <w:sz w:val="32"/>
          <w:szCs w:val="22"/>
        </w:rPr>
        <w:t>12</w:t>
      </w:r>
      <w:r>
        <w:rPr>
          <w:rFonts w:eastAsia="仿宋_GB2312" w:cstheme="minorBidi" w:hint="eastAsia"/>
          <w:bCs/>
          <w:sz w:val="32"/>
          <w:szCs w:val="22"/>
        </w:rPr>
        <w:t>%</w:t>
      </w:r>
      <w:r>
        <w:rPr>
          <w:rFonts w:eastAsia="仿宋_GB2312" w:cstheme="minorBidi" w:hint="eastAsia"/>
          <w:bCs/>
          <w:sz w:val="32"/>
          <w:szCs w:val="22"/>
        </w:rPr>
        <w:t>，检察权监督属性进一步彰显。针对“有案不立、</w:t>
      </w:r>
      <w:r>
        <w:rPr>
          <w:rFonts w:eastAsia="仿宋_GB2312" w:cstheme="minorBidi" w:hint="eastAsia"/>
          <w:bCs/>
          <w:sz w:val="32"/>
          <w:szCs w:val="22"/>
        </w:rPr>
        <w:lastRenderedPageBreak/>
        <w:t>压案不查、有罪不究”问题，监督公安机关立案</w:t>
      </w:r>
      <w:r>
        <w:rPr>
          <w:rFonts w:eastAsia="仿宋_GB2312"/>
          <w:bCs/>
          <w:sz w:val="32"/>
          <w:szCs w:val="22"/>
        </w:rPr>
        <w:t>8</w:t>
      </w:r>
      <w:r>
        <w:rPr>
          <w:rFonts w:eastAsia="仿宋_GB2312" w:cstheme="minorBidi" w:hint="eastAsia"/>
          <w:bCs/>
          <w:sz w:val="32"/>
          <w:szCs w:val="22"/>
        </w:rPr>
        <w:t>件，撤案</w:t>
      </w:r>
      <w:r>
        <w:rPr>
          <w:rFonts w:eastAsia="仿宋_GB2312"/>
          <w:bCs/>
          <w:sz w:val="32"/>
          <w:szCs w:val="22"/>
        </w:rPr>
        <w:t>4</w:t>
      </w:r>
      <w:r>
        <w:rPr>
          <w:rFonts w:eastAsia="仿宋_GB2312" w:cstheme="minorBidi" w:hint="eastAsia"/>
          <w:bCs/>
          <w:sz w:val="32"/>
          <w:szCs w:val="22"/>
        </w:rPr>
        <w:t>件，制发纠正侦查违法通知书</w:t>
      </w:r>
      <w:r>
        <w:rPr>
          <w:rFonts w:eastAsia="仿宋_GB2312"/>
          <w:bCs/>
          <w:sz w:val="32"/>
          <w:szCs w:val="22"/>
        </w:rPr>
        <w:t>9</w:t>
      </w:r>
      <w:r>
        <w:rPr>
          <w:rFonts w:eastAsia="仿宋_GB2312" w:cstheme="minorBidi" w:hint="eastAsia"/>
          <w:bCs/>
          <w:sz w:val="32"/>
          <w:szCs w:val="22"/>
        </w:rPr>
        <w:t>件，回复率</w:t>
      </w:r>
      <w:r>
        <w:rPr>
          <w:rFonts w:eastAsia="仿宋_GB2312"/>
          <w:bCs/>
          <w:sz w:val="32"/>
          <w:szCs w:val="22"/>
        </w:rPr>
        <w:t>100</w:t>
      </w:r>
      <w:r>
        <w:rPr>
          <w:rFonts w:eastAsia="仿宋_GB2312" w:cstheme="minorBidi" w:hint="eastAsia"/>
          <w:bCs/>
          <w:sz w:val="32"/>
          <w:szCs w:val="22"/>
        </w:rPr>
        <w:t>%</w:t>
      </w:r>
      <w:r>
        <w:rPr>
          <w:rFonts w:eastAsia="仿宋_GB2312" w:cstheme="minorBidi" w:hint="eastAsia"/>
          <w:bCs/>
          <w:sz w:val="32"/>
          <w:szCs w:val="22"/>
        </w:rPr>
        <w:t>；针对大标的额民商事案件自由裁量行权不当问题，监督审查相关审判案件</w:t>
      </w:r>
      <w:r>
        <w:rPr>
          <w:rFonts w:eastAsia="仿宋_GB2312"/>
          <w:bCs/>
          <w:sz w:val="32"/>
          <w:szCs w:val="22"/>
        </w:rPr>
        <w:t>80</w:t>
      </w:r>
      <w:r>
        <w:rPr>
          <w:rFonts w:eastAsia="仿宋_GB2312" w:cstheme="minorBidi" w:hint="eastAsia"/>
          <w:bCs/>
          <w:sz w:val="32"/>
          <w:szCs w:val="22"/>
        </w:rPr>
        <w:t>件，提出监督意见</w:t>
      </w:r>
      <w:r>
        <w:rPr>
          <w:rFonts w:eastAsia="仿宋_GB2312"/>
          <w:bCs/>
          <w:sz w:val="32"/>
          <w:szCs w:val="22"/>
        </w:rPr>
        <w:t>34</w:t>
      </w:r>
      <w:r>
        <w:rPr>
          <w:rFonts w:eastAsia="仿宋_GB2312" w:cstheme="minorBidi" w:hint="eastAsia"/>
          <w:bCs/>
          <w:sz w:val="32"/>
          <w:szCs w:val="22"/>
        </w:rPr>
        <w:t>件，其中提请抗诉</w:t>
      </w:r>
      <w:r>
        <w:rPr>
          <w:rFonts w:eastAsia="仿宋_GB2312"/>
          <w:bCs/>
          <w:sz w:val="32"/>
          <w:szCs w:val="22"/>
        </w:rPr>
        <w:t>10</w:t>
      </w:r>
      <w:r>
        <w:rPr>
          <w:rFonts w:eastAsia="仿宋_GB2312" w:cstheme="minorBidi" w:hint="eastAsia"/>
          <w:bCs/>
          <w:sz w:val="32"/>
          <w:szCs w:val="22"/>
        </w:rPr>
        <w:t>件，提出检察建议</w:t>
      </w:r>
      <w:r>
        <w:rPr>
          <w:rFonts w:eastAsia="仿宋_GB2312"/>
          <w:bCs/>
          <w:sz w:val="32"/>
          <w:szCs w:val="22"/>
        </w:rPr>
        <w:t>24</w:t>
      </w:r>
      <w:r>
        <w:rPr>
          <w:rFonts w:eastAsia="仿宋_GB2312" w:cstheme="minorBidi" w:hint="eastAsia"/>
          <w:bCs/>
          <w:sz w:val="32"/>
          <w:szCs w:val="22"/>
        </w:rPr>
        <w:t>件；针对刑罚执行违规违法“减假暂”问题，组织评查案件</w:t>
      </w:r>
      <w:r>
        <w:rPr>
          <w:rFonts w:eastAsia="仿宋_GB2312"/>
          <w:bCs/>
          <w:sz w:val="32"/>
          <w:szCs w:val="22"/>
        </w:rPr>
        <w:t>17</w:t>
      </w:r>
      <w:r>
        <w:rPr>
          <w:rFonts w:eastAsia="仿宋_GB2312" w:cstheme="minorBidi" w:hint="eastAsia"/>
          <w:bCs/>
          <w:sz w:val="32"/>
          <w:szCs w:val="22"/>
        </w:rPr>
        <w:t>件，自查被监管人死亡案件</w:t>
      </w:r>
      <w:r>
        <w:rPr>
          <w:rFonts w:eastAsia="仿宋_GB2312"/>
          <w:bCs/>
          <w:sz w:val="32"/>
          <w:szCs w:val="22"/>
        </w:rPr>
        <w:t>13</w:t>
      </w:r>
      <w:r>
        <w:rPr>
          <w:rFonts w:eastAsia="仿宋_GB2312" w:cstheme="minorBidi" w:hint="eastAsia"/>
          <w:bCs/>
          <w:sz w:val="32"/>
          <w:szCs w:val="22"/>
        </w:rPr>
        <w:t>件，审查法院财产</w:t>
      </w:r>
      <w:proofErr w:type="gramStart"/>
      <w:r>
        <w:rPr>
          <w:rFonts w:eastAsia="仿宋_GB2312" w:cstheme="minorBidi" w:hint="eastAsia"/>
          <w:bCs/>
          <w:sz w:val="32"/>
          <w:szCs w:val="22"/>
        </w:rPr>
        <w:t>刑</w:t>
      </w:r>
      <w:proofErr w:type="gramEnd"/>
      <w:r>
        <w:rPr>
          <w:rFonts w:eastAsia="仿宋_GB2312" w:cstheme="minorBidi" w:hint="eastAsia"/>
          <w:bCs/>
          <w:sz w:val="32"/>
          <w:szCs w:val="22"/>
        </w:rPr>
        <w:t>执行案件</w:t>
      </w:r>
      <w:r>
        <w:rPr>
          <w:rFonts w:eastAsia="仿宋_GB2312"/>
          <w:bCs/>
          <w:sz w:val="32"/>
          <w:szCs w:val="22"/>
        </w:rPr>
        <w:t>49</w:t>
      </w:r>
      <w:r>
        <w:rPr>
          <w:rFonts w:eastAsia="仿宋_GB2312" w:cstheme="minorBidi" w:hint="eastAsia"/>
          <w:bCs/>
          <w:sz w:val="32"/>
          <w:szCs w:val="22"/>
        </w:rPr>
        <w:t>件，针对发现问题制发监督文书</w:t>
      </w:r>
      <w:r>
        <w:rPr>
          <w:rFonts w:eastAsia="仿宋_GB2312" w:cstheme="minorBidi" w:hint="eastAsia"/>
          <w:bCs/>
          <w:sz w:val="32"/>
          <w:szCs w:val="22"/>
        </w:rPr>
        <w:t>5</w:t>
      </w:r>
      <w:r>
        <w:rPr>
          <w:rFonts w:eastAsia="仿宋_GB2312" w:cstheme="minorBidi" w:hint="eastAsia"/>
          <w:bCs/>
          <w:sz w:val="32"/>
          <w:szCs w:val="22"/>
        </w:rPr>
        <w:t>件。受理行政检察案件</w:t>
      </w:r>
      <w:r>
        <w:rPr>
          <w:rFonts w:eastAsia="仿宋_GB2312"/>
          <w:bCs/>
          <w:sz w:val="32"/>
          <w:szCs w:val="22"/>
        </w:rPr>
        <w:t>230</w:t>
      </w:r>
      <w:r>
        <w:rPr>
          <w:rFonts w:eastAsia="仿宋_GB2312" w:cstheme="minorBidi" w:hint="eastAsia"/>
          <w:bCs/>
          <w:sz w:val="32"/>
          <w:szCs w:val="22"/>
        </w:rPr>
        <w:t>件，同比上升</w:t>
      </w:r>
      <w:r>
        <w:rPr>
          <w:rFonts w:eastAsia="仿宋_GB2312"/>
          <w:bCs/>
          <w:sz w:val="32"/>
          <w:szCs w:val="22"/>
        </w:rPr>
        <w:t>36</w:t>
      </w:r>
      <w:r>
        <w:rPr>
          <w:rFonts w:eastAsia="仿宋_GB2312" w:cstheme="minorBidi" w:hint="eastAsia"/>
          <w:bCs/>
          <w:sz w:val="32"/>
          <w:szCs w:val="22"/>
        </w:rPr>
        <w:t>.</w:t>
      </w:r>
      <w:r>
        <w:rPr>
          <w:rFonts w:eastAsia="仿宋_GB2312"/>
          <w:bCs/>
          <w:sz w:val="32"/>
          <w:szCs w:val="22"/>
        </w:rPr>
        <w:t>1</w:t>
      </w:r>
      <w:r>
        <w:rPr>
          <w:rFonts w:eastAsia="仿宋_GB2312" w:cstheme="minorBidi" w:hint="eastAsia"/>
          <w:bCs/>
          <w:sz w:val="32"/>
          <w:szCs w:val="22"/>
        </w:rPr>
        <w:t>%</w:t>
      </w:r>
      <w:r>
        <w:rPr>
          <w:rFonts w:eastAsia="仿宋_GB2312" w:cstheme="minorBidi" w:hint="eastAsia"/>
          <w:bCs/>
          <w:sz w:val="32"/>
          <w:szCs w:val="22"/>
        </w:rPr>
        <w:t>，依职权立案</w:t>
      </w:r>
      <w:r>
        <w:rPr>
          <w:rFonts w:eastAsia="仿宋_GB2312"/>
          <w:bCs/>
          <w:sz w:val="32"/>
          <w:szCs w:val="22"/>
        </w:rPr>
        <w:t>11</w:t>
      </w:r>
      <w:r>
        <w:rPr>
          <w:rFonts w:eastAsia="仿宋_GB2312" w:cstheme="minorBidi" w:hint="eastAsia"/>
          <w:bCs/>
          <w:sz w:val="32"/>
          <w:szCs w:val="22"/>
        </w:rPr>
        <w:t>件，行政违法行为监督检察建议采纳率、提请抗诉获支持率</w:t>
      </w:r>
      <w:r>
        <w:rPr>
          <w:rFonts w:eastAsia="仿宋_GB2312"/>
          <w:bCs/>
          <w:sz w:val="32"/>
          <w:szCs w:val="22"/>
        </w:rPr>
        <w:t>100</w:t>
      </w:r>
      <w:r>
        <w:rPr>
          <w:rFonts w:eastAsia="仿宋_GB2312" w:cstheme="minorBidi" w:hint="eastAsia"/>
          <w:bCs/>
          <w:sz w:val="32"/>
          <w:szCs w:val="22"/>
        </w:rPr>
        <w:t>%</w:t>
      </w:r>
      <w:r>
        <w:rPr>
          <w:rFonts w:eastAsia="仿宋_GB2312" w:cstheme="minorBidi" w:hint="eastAsia"/>
          <w:bCs/>
          <w:sz w:val="32"/>
          <w:szCs w:val="22"/>
        </w:rPr>
        <w:t>。持续深化做实行政争议实质性化解，综合化解行政争议</w:t>
      </w:r>
      <w:r>
        <w:rPr>
          <w:rFonts w:eastAsia="仿宋_GB2312"/>
          <w:bCs/>
          <w:sz w:val="32"/>
          <w:szCs w:val="22"/>
        </w:rPr>
        <w:t>15</w:t>
      </w:r>
      <w:r>
        <w:rPr>
          <w:rFonts w:eastAsia="仿宋_GB2312" w:cstheme="minorBidi" w:hint="eastAsia"/>
          <w:bCs/>
          <w:sz w:val="32"/>
          <w:szCs w:val="22"/>
        </w:rPr>
        <w:t>件，解决群众急难愁盼。</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2.产出</w:t>
      </w:r>
      <w:r>
        <w:rPr>
          <w:rFonts w:ascii="仿宋_GB2312" w:eastAsia="仿宋_GB2312"/>
          <w:sz w:val="32"/>
          <w:szCs w:val="32"/>
        </w:rPr>
        <w:t>质量</w:t>
      </w:r>
    </w:p>
    <w:p w:rsidR="001F33CA" w:rsidRDefault="00442F1A" w:rsidP="0037130B">
      <w:pPr>
        <w:ind w:leftChars="50" w:left="105" w:firstLineChars="200" w:firstLine="640"/>
        <w:rPr>
          <w:rFonts w:eastAsia="仿宋_GB2312"/>
          <w:kern w:val="0"/>
          <w:sz w:val="32"/>
          <w:szCs w:val="32"/>
        </w:rPr>
      </w:pPr>
      <w:r>
        <w:rPr>
          <w:rFonts w:ascii="仿宋_GB2312" w:eastAsia="仿宋_GB2312" w:hAnsi="宋体" w:cs="宋体" w:hint="eastAsia"/>
          <w:color w:val="000000"/>
          <w:kern w:val="0"/>
          <w:sz w:val="32"/>
          <w:szCs w:val="32"/>
        </w:rPr>
        <w:t>本院党组“三重一大”决策事项自觉接受市纪委市监委驻市检察院纪检监察组监督。领导班子成员带头落实双重组织生活制度。认真做好领导干部报告个人有关事项工作。</w:t>
      </w:r>
      <w:r>
        <w:rPr>
          <w:rFonts w:ascii="仿宋_GB2312" w:eastAsia="仿宋_GB2312" w:hAnsi="宋体" w:cs="E-BX" w:hint="eastAsia"/>
          <w:kern w:val="0"/>
          <w:sz w:val="32"/>
          <w:szCs w:val="32"/>
        </w:rPr>
        <w:t>着力建设“首都检察人才高地”，</w:t>
      </w:r>
      <w:r>
        <w:rPr>
          <w:rFonts w:eastAsia="仿宋_GB2312"/>
          <w:kern w:val="0"/>
          <w:sz w:val="32"/>
          <w:szCs w:val="32"/>
        </w:rPr>
        <w:t>组织参加各类培训班</w:t>
      </w:r>
      <w:r>
        <w:rPr>
          <w:rFonts w:eastAsia="仿宋_GB2312" w:hint="eastAsia"/>
          <w:kern w:val="0"/>
          <w:sz w:val="32"/>
          <w:szCs w:val="32"/>
        </w:rPr>
        <w:t>，多人获得奖项、表彰</w:t>
      </w:r>
      <w:r>
        <w:rPr>
          <w:rFonts w:eastAsia="仿宋_GB2312"/>
          <w:kern w:val="0"/>
          <w:sz w:val="32"/>
          <w:szCs w:val="32"/>
        </w:rPr>
        <w:t>，</w:t>
      </w:r>
      <w:r>
        <w:rPr>
          <w:rFonts w:eastAsia="仿宋_GB2312" w:hint="eastAsia"/>
          <w:kern w:val="0"/>
          <w:sz w:val="32"/>
          <w:szCs w:val="32"/>
        </w:rPr>
        <w:t>人数</w:t>
      </w:r>
      <w:r>
        <w:rPr>
          <w:rFonts w:eastAsia="仿宋_GB2312"/>
          <w:kern w:val="0"/>
          <w:sz w:val="32"/>
          <w:szCs w:val="32"/>
        </w:rPr>
        <w:t>位居全市检察机关前列。</w:t>
      </w:r>
      <w:r>
        <w:rPr>
          <w:rFonts w:eastAsia="仿宋_GB2312" w:hint="eastAsia"/>
          <w:kern w:val="0"/>
          <w:sz w:val="32"/>
          <w:szCs w:val="32"/>
        </w:rPr>
        <w:t>在</w:t>
      </w:r>
      <w:r>
        <w:rPr>
          <w:rFonts w:eastAsia="仿宋_GB2312" w:hint="eastAsia"/>
          <w:kern w:val="0"/>
          <w:sz w:val="32"/>
          <w:szCs w:val="32"/>
        </w:rPr>
        <w:t>2022</w:t>
      </w:r>
      <w:r>
        <w:rPr>
          <w:rFonts w:eastAsia="仿宋_GB2312" w:hint="eastAsia"/>
          <w:kern w:val="0"/>
          <w:sz w:val="32"/>
          <w:szCs w:val="32"/>
        </w:rPr>
        <w:t>年全市检察机关业务绩效考评中，本院位居各分院第一名。</w:t>
      </w:r>
    </w:p>
    <w:p w:rsidR="001F33CA" w:rsidRDefault="00442F1A">
      <w:pPr>
        <w:ind w:firstLineChars="200" w:firstLine="640"/>
        <w:rPr>
          <w:rFonts w:ascii="仿宋_GB2312" w:eastAsia="仿宋_GB2312"/>
          <w:sz w:val="32"/>
          <w:szCs w:val="32"/>
        </w:rPr>
      </w:pPr>
      <w:r>
        <w:rPr>
          <w:rFonts w:ascii="仿宋_GB2312" w:eastAsia="仿宋_GB2312" w:hAnsi="仿宋_GB2312" w:cs="仿宋_GB2312" w:hint="eastAsia"/>
          <w:bCs/>
          <w:sz w:val="32"/>
          <w:szCs w:val="32"/>
        </w:rPr>
        <w:t>提办案质效一体发力。</w:t>
      </w:r>
      <w:r>
        <w:rPr>
          <w:rFonts w:ascii="仿宋_GB2312" w:eastAsia="仿宋_GB2312" w:hAnsi="仿宋_GB2312" w:cs="仿宋_GB2312" w:hint="eastAsia"/>
          <w:color w:val="000000" w:themeColor="text1"/>
          <w:sz w:val="32"/>
          <w:szCs w:val="32"/>
        </w:rPr>
        <w:t>聚焦高质量发展主题和</w:t>
      </w:r>
      <w:r>
        <w:rPr>
          <w:rFonts w:ascii="仿宋_GB2312" w:eastAsia="仿宋_GB2312" w:hAnsi="仿宋_GB2312" w:cs="仿宋_GB2312" w:hint="eastAsia"/>
          <w:bCs/>
          <w:sz w:val="32"/>
          <w:szCs w:val="32"/>
        </w:rPr>
        <w:t>“质量建设年”部署，以更严政治要求、更高业务标准、更</w:t>
      </w:r>
      <w:proofErr w:type="gramStart"/>
      <w:r>
        <w:rPr>
          <w:rFonts w:ascii="仿宋_GB2312" w:eastAsia="仿宋_GB2312" w:hAnsi="仿宋_GB2312" w:cs="仿宋_GB2312" w:hint="eastAsia"/>
          <w:bCs/>
          <w:sz w:val="32"/>
          <w:szCs w:val="32"/>
        </w:rPr>
        <w:t>实素质</w:t>
      </w:r>
      <w:proofErr w:type="gramEnd"/>
      <w:r>
        <w:rPr>
          <w:rFonts w:ascii="仿宋_GB2312" w:eastAsia="仿宋_GB2312" w:hAnsi="仿宋_GB2312" w:cs="仿宋_GB2312" w:hint="eastAsia"/>
          <w:bCs/>
          <w:sz w:val="32"/>
          <w:szCs w:val="32"/>
        </w:rPr>
        <w:t>建设抓办案、提质效。全年受理“四大检察”案</w:t>
      </w:r>
      <w:r>
        <w:rPr>
          <w:rFonts w:eastAsia="仿宋_GB2312"/>
          <w:bCs/>
          <w:sz w:val="32"/>
          <w:szCs w:val="32"/>
        </w:rPr>
        <w:t>件</w:t>
      </w:r>
      <w:r>
        <w:rPr>
          <w:rFonts w:eastAsia="仿宋_GB2312"/>
          <w:bCs/>
          <w:sz w:val="32"/>
          <w:szCs w:val="32"/>
        </w:rPr>
        <w:t>1735</w:t>
      </w:r>
      <w:r>
        <w:rPr>
          <w:rFonts w:eastAsia="仿宋_GB2312"/>
          <w:bCs/>
          <w:sz w:val="32"/>
          <w:szCs w:val="32"/>
        </w:rPr>
        <w:t>件，办结</w:t>
      </w:r>
      <w:r>
        <w:rPr>
          <w:rFonts w:eastAsia="仿宋_GB2312"/>
          <w:bCs/>
          <w:sz w:val="32"/>
          <w:szCs w:val="32"/>
        </w:rPr>
        <w:t>1580</w:t>
      </w:r>
      <w:r>
        <w:rPr>
          <w:rFonts w:eastAsia="仿宋_GB2312"/>
          <w:bCs/>
          <w:sz w:val="32"/>
          <w:szCs w:val="32"/>
        </w:rPr>
        <w:t>件，办结率</w:t>
      </w:r>
      <w:r>
        <w:rPr>
          <w:rFonts w:eastAsia="仿宋_GB2312"/>
          <w:bCs/>
          <w:sz w:val="32"/>
          <w:szCs w:val="32"/>
        </w:rPr>
        <w:lastRenderedPageBreak/>
        <w:t>91.07%</w:t>
      </w:r>
      <w:r>
        <w:rPr>
          <w:rFonts w:eastAsia="仿宋_GB2312"/>
          <w:bCs/>
          <w:sz w:val="32"/>
          <w:szCs w:val="32"/>
        </w:rPr>
        <w:t>。</w:t>
      </w:r>
      <w:r>
        <w:rPr>
          <w:rFonts w:ascii="仿宋_GB2312" w:eastAsia="仿宋_GB2312" w:hAnsi="仿宋_GB2312" w:cs="仿宋_GB2312" w:hint="eastAsia"/>
          <w:bCs/>
          <w:sz w:val="32"/>
          <w:szCs w:val="32"/>
        </w:rPr>
        <w:t>发挥业绩考评“指挥棒”“风向标”作用，</w:t>
      </w:r>
      <w:r>
        <w:rPr>
          <w:rFonts w:ascii="仿宋_GB2312" w:eastAsia="仿宋_GB2312" w:cstheme="minorBidi" w:hint="eastAsia"/>
          <w:color w:val="000000" w:themeColor="text1"/>
          <w:sz w:val="32"/>
          <w:szCs w:val="32"/>
        </w:rPr>
        <w:t>完善以“数据要素”为支撑的检察业务分析</w:t>
      </w:r>
      <w:proofErr w:type="gramStart"/>
      <w:r>
        <w:rPr>
          <w:rFonts w:ascii="仿宋_GB2312" w:eastAsia="仿宋_GB2312" w:cstheme="minorBidi" w:hint="eastAsia"/>
          <w:color w:val="000000" w:themeColor="text1"/>
          <w:sz w:val="32"/>
          <w:szCs w:val="32"/>
        </w:rPr>
        <w:t>研</w:t>
      </w:r>
      <w:proofErr w:type="gramEnd"/>
      <w:r>
        <w:rPr>
          <w:rFonts w:ascii="仿宋_GB2312" w:eastAsia="仿宋_GB2312" w:cstheme="minorBidi" w:hint="eastAsia"/>
          <w:color w:val="000000" w:themeColor="text1"/>
          <w:sz w:val="32"/>
          <w:szCs w:val="32"/>
        </w:rPr>
        <w:t>判机制，制定实施本院《检察官业务绩效考评实施细则》，坚持月通报、季分析，以提升“数据账”水涨船高助推渐近高质量发展“履职账”“民生账”目标。发挥检察一体化优势，落实</w:t>
      </w:r>
      <w:r>
        <w:rPr>
          <w:rFonts w:ascii="仿宋_GB2312" w:eastAsia="仿宋_GB2312" w:cstheme="minorBidi"/>
          <w:color w:val="000000" w:themeColor="text1"/>
          <w:sz w:val="32"/>
          <w:szCs w:val="32"/>
        </w:rPr>
        <w:t>《关于协同推进辖区检察工作高质量发展十项举措》</w:t>
      </w:r>
      <w:r>
        <w:rPr>
          <w:rFonts w:ascii="仿宋_GB2312" w:eastAsia="仿宋_GB2312" w:hAnsi="仿宋_GB2312" w:cs="仿宋_GB2312" w:hint="eastAsia"/>
          <w:color w:val="000000" w:themeColor="text1"/>
          <w:kern w:val="0"/>
          <w:sz w:val="32"/>
          <w:szCs w:val="32"/>
          <w:lang w:bidi="ar"/>
        </w:rPr>
        <w:t>，通过每季度印发辖区</w:t>
      </w:r>
      <w:proofErr w:type="gramStart"/>
      <w:r>
        <w:rPr>
          <w:rFonts w:ascii="仿宋_GB2312" w:eastAsia="仿宋_GB2312" w:hAnsi="仿宋_GB2312" w:cs="仿宋_GB2312" w:hint="eastAsia"/>
          <w:color w:val="000000" w:themeColor="text1"/>
          <w:kern w:val="0"/>
          <w:sz w:val="32"/>
          <w:szCs w:val="32"/>
          <w:lang w:bidi="ar"/>
        </w:rPr>
        <w:t>院业务</w:t>
      </w:r>
      <w:proofErr w:type="gramEnd"/>
      <w:r>
        <w:rPr>
          <w:rFonts w:ascii="仿宋_GB2312" w:eastAsia="仿宋_GB2312" w:hAnsi="仿宋_GB2312" w:cs="仿宋_GB2312" w:hint="eastAsia"/>
          <w:color w:val="000000" w:themeColor="text1"/>
          <w:kern w:val="0"/>
          <w:sz w:val="32"/>
          <w:szCs w:val="32"/>
          <w:lang w:bidi="ar"/>
        </w:rPr>
        <w:t>数据分析报告、召开辖区业务绩效考评工作推进会、院领导走访调研基层院等方式，精准把脉问诊开方，一体推进本院及辖区院共同提升办案质效。</w:t>
      </w:r>
      <w:r>
        <w:rPr>
          <w:rFonts w:eastAsia="仿宋_GB2312" w:cstheme="minorBidi" w:hint="eastAsia"/>
          <w:sz w:val="32"/>
          <w:szCs w:val="22"/>
        </w:rPr>
        <w:t>探索大数据赋能法律监督，</w:t>
      </w:r>
      <w:r>
        <w:rPr>
          <w:rFonts w:ascii="仿宋_GB2312" w:eastAsia="仿宋_GB2312" w:hAnsi="仿宋_GB2312" w:cs="仿宋_GB2312" w:hint="eastAsia"/>
          <w:sz w:val="32"/>
          <w:szCs w:val="40"/>
        </w:rPr>
        <w:t>联合辖区院构建“涉刑财政供养人员工资待遇发放法律监督模型”，获全国检察机关大数据法律监督模型竞赛三等奖，入选市院首批</w:t>
      </w:r>
      <w:r>
        <w:rPr>
          <w:rFonts w:eastAsia="仿宋_GB2312"/>
          <w:sz w:val="32"/>
          <w:szCs w:val="40"/>
        </w:rPr>
        <w:t>25</w:t>
      </w:r>
      <w:r>
        <w:rPr>
          <w:rFonts w:ascii="仿宋_GB2312" w:eastAsia="仿宋_GB2312" w:hAnsi="仿宋_GB2312" w:cs="仿宋_GB2312" w:hint="eastAsia"/>
          <w:sz w:val="32"/>
          <w:szCs w:val="40"/>
        </w:rPr>
        <w:t>项大数据法律监督模型试用重点任务清单。</w:t>
      </w:r>
      <w:r>
        <w:rPr>
          <w:rFonts w:eastAsia="仿宋_GB2312"/>
          <w:sz w:val="32"/>
          <w:szCs w:val="40"/>
        </w:rPr>
        <w:t>1</w:t>
      </w:r>
      <w:r>
        <w:rPr>
          <w:rFonts w:eastAsia="仿宋_GB2312"/>
          <w:sz w:val="32"/>
          <w:szCs w:val="40"/>
        </w:rPr>
        <w:t>个</w:t>
      </w:r>
      <w:proofErr w:type="gramStart"/>
      <w:r>
        <w:rPr>
          <w:rFonts w:ascii="仿宋_GB2312" w:eastAsia="仿宋_GB2312" w:hAnsi="仿宋_GB2312" w:cs="仿宋_GB2312" w:hint="eastAsia"/>
          <w:sz w:val="32"/>
          <w:szCs w:val="40"/>
        </w:rPr>
        <w:t>轻应用</w:t>
      </w:r>
      <w:proofErr w:type="gramEnd"/>
      <w:r>
        <w:rPr>
          <w:rFonts w:ascii="仿宋_GB2312" w:eastAsia="仿宋_GB2312" w:hAnsi="仿宋_GB2312" w:cs="仿宋_GB2312" w:hint="eastAsia"/>
          <w:sz w:val="32"/>
          <w:szCs w:val="40"/>
        </w:rPr>
        <w:t>入选全市检察机关大数据法律监督轻应用。</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3.产出</w:t>
      </w:r>
      <w:r>
        <w:rPr>
          <w:rFonts w:ascii="仿宋_GB2312" w:eastAsia="仿宋_GB2312"/>
          <w:sz w:val="32"/>
          <w:szCs w:val="32"/>
        </w:rPr>
        <w:t>进度</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本院工作贯穿全年，按照年初预算批复及年中追加调整批复，2022年完成了各项检察工作。</w:t>
      </w:r>
    </w:p>
    <w:p w:rsidR="001F33CA" w:rsidRDefault="00442F1A">
      <w:pPr>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产出</w:t>
      </w:r>
      <w:r>
        <w:rPr>
          <w:rFonts w:ascii="仿宋_GB2312" w:eastAsia="仿宋_GB2312"/>
          <w:sz w:val="32"/>
          <w:szCs w:val="32"/>
        </w:rPr>
        <w:t>成本</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2022年基本支出10801.97万元，项目支出675.99万元。部门整体支出控制在预算批复内。</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1F33CA" w:rsidRDefault="00442F1A">
      <w:pPr>
        <w:ind w:firstLineChars="200" w:firstLine="640"/>
        <w:rPr>
          <w:rFonts w:ascii="仿宋_GB2312" w:eastAsia="仿宋_GB2312"/>
          <w:sz w:val="32"/>
          <w:szCs w:val="32"/>
        </w:rPr>
      </w:pPr>
      <w:r>
        <w:rPr>
          <w:rFonts w:ascii="仿宋_GB2312" w:eastAsia="仿宋_GB2312"/>
          <w:sz w:val="32"/>
          <w:szCs w:val="32"/>
        </w:rPr>
        <w:lastRenderedPageBreak/>
        <w:t>1</w:t>
      </w:r>
      <w:r>
        <w:rPr>
          <w:rFonts w:ascii="仿宋_GB2312" w:eastAsia="仿宋_GB2312" w:hint="eastAsia"/>
          <w:sz w:val="32"/>
          <w:szCs w:val="32"/>
        </w:rPr>
        <w:t>.社会效益</w:t>
      </w:r>
    </w:p>
    <w:p w:rsidR="001F33CA" w:rsidRDefault="00442F1A">
      <w:pPr>
        <w:spacing w:line="560" w:lineRule="exact"/>
        <w:ind w:firstLineChars="200" w:firstLine="640"/>
        <w:rPr>
          <w:rFonts w:ascii="仿宋_GB2312" w:eastAsia="仿宋_GB2312" w:hAnsi="宋体" w:cs="宋体"/>
          <w:color w:val="000000"/>
          <w:kern w:val="0"/>
          <w:sz w:val="32"/>
          <w:szCs w:val="32"/>
          <w:highlight w:val="yellow"/>
        </w:rPr>
      </w:pPr>
      <w:r>
        <w:rPr>
          <w:rFonts w:ascii="仿宋_GB2312" w:eastAsia="仿宋_GB2312" w:hAnsi="宋体" w:cs="宋体" w:hint="eastAsia"/>
          <w:color w:val="000000"/>
          <w:kern w:val="0"/>
          <w:sz w:val="32"/>
          <w:szCs w:val="32"/>
        </w:rPr>
        <w:t>（1）</w:t>
      </w:r>
      <w:r>
        <w:rPr>
          <w:rFonts w:ascii="仿宋_GB2312" w:eastAsia="仿宋_GB2312" w:cstheme="minorBidi" w:hint="eastAsia"/>
          <w:sz w:val="32"/>
          <w:szCs w:val="32"/>
        </w:rPr>
        <w:t>对接</w:t>
      </w:r>
      <w:r>
        <w:rPr>
          <w:rFonts w:ascii="仿宋_GB2312" w:eastAsia="仿宋_GB2312" w:hAnsi="仿宋" w:cs="仿宋" w:hint="eastAsia"/>
          <w:bCs/>
          <w:sz w:val="32"/>
          <w:szCs w:val="32"/>
        </w:rPr>
        <w:t>“五子”联动服务和融入新发展格局法治需求，调研起草</w:t>
      </w:r>
      <w:r>
        <w:rPr>
          <w:rFonts w:ascii="仿宋_GB2312" w:eastAsia="仿宋_GB2312" w:hAnsi="仿宋" w:cs="仿宋" w:hint="eastAsia"/>
          <w:sz w:val="32"/>
          <w:szCs w:val="32"/>
        </w:rPr>
        <w:t>《</w:t>
      </w:r>
      <w:r>
        <w:rPr>
          <w:rFonts w:eastAsia="仿宋_GB2312" w:hint="eastAsia"/>
          <w:sz w:val="32"/>
          <w:szCs w:val="32"/>
        </w:rPr>
        <w:t>北京市检察机关服务保障全球数字经济标杆城市建设的实施意见</w:t>
      </w:r>
      <w:r>
        <w:rPr>
          <w:rFonts w:ascii="仿宋_GB2312" w:eastAsia="仿宋_GB2312" w:hAnsi="仿宋" w:cs="仿宋" w:hint="eastAsia"/>
          <w:sz w:val="32"/>
          <w:szCs w:val="32"/>
        </w:rPr>
        <w:t>》，制定实施《关于新兴经济领域重大、敏感刑事案件加强检察一体工作指引》，合作研发“涉税企业合</w:t>
      </w:r>
      <w:proofErr w:type="gramStart"/>
      <w:r>
        <w:rPr>
          <w:rFonts w:ascii="仿宋_GB2312" w:eastAsia="仿宋_GB2312" w:hAnsi="仿宋" w:cs="仿宋" w:hint="eastAsia"/>
          <w:sz w:val="32"/>
          <w:szCs w:val="32"/>
        </w:rPr>
        <w:t>规</w:t>
      </w:r>
      <w:proofErr w:type="gramEnd"/>
      <w:r>
        <w:rPr>
          <w:rFonts w:ascii="仿宋_GB2312" w:eastAsia="仿宋_GB2312" w:hAnsi="仿宋" w:cs="仿宋" w:hint="eastAsia"/>
          <w:sz w:val="32"/>
          <w:szCs w:val="32"/>
        </w:rPr>
        <w:t>大数据模型”并在辖区推广使用，在聚焦</w:t>
      </w:r>
      <w:r>
        <w:rPr>
          <w:rFonts w:eastAsia="仿宋_GB2312" w:hint="eastAsia"/>
          <w:bCs/>
          <w:sz w:val="32"/>
          <w:szCs w:val="22"/>
        </w:rPr>
        <w:t>服务保障“国之大者”的首都实践中履职担当。</w:t>
      </w:r>
    </w:p>
    <w:p w:rsidR="001F33CA" w:rsidRDefault="00442F1A">
      <w:pPr>
        <w:ind w:leftChars="50" w:left="105" w:firstLineChars="150" w:firstLine="480"/>
        <w:rPr>
          <w:rFonts w:eastAsia="仿宋_GB2312"/>
        </w:rPr>
      </w:pPr>
      <w:r>
        <w:rPr>
          <w:rFonts w:ascii="仿宋_GB2312" w:eastAsia="仿宋_GB2312" w:hAnsi="宋体" w:cs="宋体" w:hint="eastAsia"/>
          <w:color w:val="000000"/>
          <w:kern w:val="0"/>
          <w:sz w:val="32"/>
          <w:szCs w:val="32"/>
        </w:rPr>
        <w:t>（2）新闻宣传有声有色。在院党组高度重视和各部门倾力支持下，坚持守正创新，持续推进</w:t>
      </w:r>
      <w:proofErr w:type="gramStart"/>
      <w:r>
        <w:rPr>
          <w:rFonts w:ascii="仿宋_GB2312" w:eastAsia="仿宋_GB2312" w:hAnsi="宋体" w:cs="宋体" w:hint="eastAsia"/>
          <w:color w:val="000000"/>
          <w:kern w:val="0"/>
          <w:sz w:val="32"/>
          <w:szCs w:val="32"/>
        </w:rPr>
        <w:t>融媒体</w:t>
      </w:r>
      <w:proofErr w:type="gramEnd"/>
      <w:r>
        <w:rPr>
          <w:rFonts w:ascii="仿宋_GB2312" w:eastAsia="仿宋_GB2312" w:hAnsi="宋体" w:cs="宋体" w:hint="eastAsia"/>
          <w:color w:val="000000"/>
          <w:kern w:val="0"/>
          <w:sz w:val="32"/>
          <w:szCs w:val="32"/>
        </w:rPr>
        <w:t>中心建设，增强多元产品供给。本院</w:t>
      </w:r>
      <w:proofErr w:type="gramStart"/>
      <w:r>
        <w:rPr>
          <w:rFonts w:ascii="仿宋_GB2312" w:eastAsia="仿宋_GB2312" w:hAnsi="宋体" w:cs="宋体" w:hint="eastAsia"/>
          <w:color w:val="000000"/>
          <w:kern w:val="0"/>
          <w:sz w:val="32"/>
          <w:szCs w:val="32"/>
        </w:rPr>
        <w:t>融媒体</w:t>
      </w:r>
      <w:proofErr w:type="gramEnd"/>
      <w:r>
        <w:rPr>
          <w:rFonts w:ascii="仿宋_GB2312" w:eastAsia="仿宋_GB2312" w:hAnsi="宋体" w:cs="宋体" w:hint="eastAsia"/>
          <w:color w:val="000000"/>
          <w:kern w:val="0"/>
          <w:sz w:val="32"/>
          <w:szCs w:val="32"/>
        </w:rPr>
        <w:t>中心在2022年度“两个一百”全国优秀检察新媒体评选中获评“新媒体工作室二十佳”。强化内容建设。多个“微电影、微视频、微动漫”作品在全国、全市检察机关获奖，本院连续三年获评优</w:t>
      </w:r>
      <w:proofErr w:type="gramStart"/>
      <w:r>
        <w:rPr>
          <w:rFonts w:ascii="仿宋_GB2312" w:eastAsia="仿宋_GB2312" w:hAnsi="宋体" w:cs="宋体" w:hint="eastAsia"/>
          <w:color w:val="000000"/>
          <w:kern w:val="0"/>
          <w:sz w:val="32"/>
          <w:szCs w:val="32"/>
        </w:rPr>
        <w:t>秀组织</w:t>
      </w:r>
      <w:proofErr w:type="gramEnd"/>
      <w:r>
        <w:rPr>
          <w:rFonts w:ascii="仿宋_GB2312" w:eastAsia="仿宋_GB2312" w:hAnsi="宋体" w:cs="宋体" w:hint="eastAsia"/>
          <w:color w:val="000000"/>
          <w:kern w:val="0"/>
          <w:sz w:val="32"/>
          <w:szCs w:val="32"/>
        </w:rPr>
        <w:t>奖。制作的原创检察职能微动漫《新时代检察故事》在全国政法机关、全国检察机关、全市检察机关三级评选中均获一等奖，并在市两会代表委员驻地和地铁、公交上循环播放。组织拍摄制作的办案故事视频连续2届在全国检察机关“新时代检察故事汇——检察官讲述办案故事”评选中获奖。强化阵地管理。坚持不断线、多样化建好用好“两微一端”，打造亲民友好、多面立体的社会形象。推动门户网站优化改版，保持更新频率、不</w:t>
      </w:r>
      <w:r>
        <w:rPr>
          <w:rFonts w:ascii="仿宋_GB2312" w:eastAsia="仿宋_GB2312" w:hAnsi="宋体" w:cs="宋体" w:hint="eastAsia"/>
          <w:color w:val="000000"/>
          <w:kern w:val="0"/>
          <w:sz w:val="32"/>
          <w:szCs w:val="32"/>
        </w:rPr>
        <w:lastRenderedPageBreak/>
        <w:t>断丰富内容，被评为“全国检察门户网站规范化管理自查活动优秀网站单位”。强化外部联络，借势扩大检察机关社会影响力。不断深化与各级各类媒体的常态化联系合作，形成“官微首发、媒体跟进”的良性互动。依托</w:t>
      </w:r>
      <w:proofErr w:type="gramStart"/>
      <w:r>
        <w:rPr>
          <w:rFonts w:ascii="仿宋_GB2312" w:eastAsia="仿宋_GB2312" w:hAnsi="宋体" w:cs="宋体" w:hint="eastAsia"/>
          <w:color w:val="000000"/>
          <w:kern w:val="0"/>
          <w:sz w:val="32"/>
          <w:szCs w:val="32"/>
        </w:rPr>
        <w:t>正义网</w:t>
      </w:r>
      <w:proofErr w:type="gramEnd"/>
      <w:r>
        <w:rPr>
          <w:rFonts w:ascii="仿宋_GB2312" w:eastAsia="仿宋_GB2312" w:hAnsi="宋体" w:cs="宋体" w:hint="eastAsia"/>
          <w:color w:val="000000"/>
          <w:kern w:val="0"/>
          <w:sz w:val="32"/>
          <w:szCs w:val="32"/>
        </w:rPr>
        <w:t>与知乎、快手、</w:t>
      </w:r>
      <w:proofErr w:type="gramStart"/>
      <w:r>
        <w:rPr>
          <w:rFonts w:ascii="仿宋_GB2312" w:eastAsia="仿宋_GB2312" w:hAnsi="宋体" w:cs="宋体" w:hint="eastAsia"/>
          <w:color w:val="000000"/>
          <w:kern w:val="0"/>
          <w:sz w:val="32"/>
          <w:szCs w:val="32"/>
        </w:rPr>
        <w:t>微博等</w:t>
      </w:r>
      <w:proofErr w:type="gramEnd"/>
      <w:r>
        <w:rPr>
          <w:rFonts w:ascii="仿宋_GB2312" w:eastAsia="仿宋_GB2312" w:hAnsi="宋体" w:cs="宋体" w:hint="eastAsia"/>
          <w:color w:val="000000"/>
          <w:kern w:val="0"/>
          <w:sz w:val="32"/>
          <w:szCs w:val="32"/>
        </w:rPr>
        <w:t>平台合作推出检察官公开课，通过网络直播宣传普法知识，超105万网友在线观看</w:t>
      </w:r>
      <w:r>
        <w:rPr>
          <w:rFonts w:eastAsia="仿宋_GB2312" w:hint="eastAsia"/>
          <w:sz w:val="32"/>
          <w:szCs w:val="32"/>
        </w:rPr>
        <w:t>。</w:t>
      </w:r>
      <w:proofErr w:type="gramStart"/>
      <w:r>
        <w:rPr>
          <w:rFonts w:eastAsia="仿宋_GB2312" w:hint="eastAsia"/>
          <w:sz w:val="32"/>
          <w:szCs w:val="32"/>
        </w:rPr>
        <w:t>官方微信发稿</w:t>
      </w:r>
      <w:proofErr w:type="gramEnd"/>
      <w:r>
        <w:rPr>
          <w:rFonts w:eastAsia="仿宋_GB2312" w:hint="eastAsia"/>
          <w:sz w:val="32"/>
          <w:szCs w:val="32"/>
        </w:rPr>
        <w:t>876</w:t>
      </w:r>
      <w:r>
        <w:rPr>
          <w:rFonts w:eastAsia="仿宋_GB2312" w:hint="eastAsia"/>
          <w:sz w:val="32"/>
          <w:szCs w:val="32"/>
        </w:rPr>
        <w:t>篇，其中原创作品</w:t>
      </w:r>
      <w:r>
        <w:rPr>
          <w:rFonts w:eastAsia="仿宋_GB2312" w:hint="eastAsia"/>
          <w:sz w:val="32"/>
          <w:szCs w:val="32"/>
        </w:rPr>
        <w:t>402</w:t>
      </w:r>
      <w:r>
        <w:rPr>
          <w:rFonts w:eastAsia="仿宋_GB2312" w:hint="eastAsia"/>
          <w:sz w:val="32"/>
          <w:szCs w:val="32"/>
        </w:rPr>
        <w:t>篇。中央主流媒体报道</w:t>
      </w:r>
      <w:r>
        <w:rPr>
          <w:rFonts w:eastAsia="仿宋_GB2312" w:hint="eastAsia"/>
          <w:sz w:val="32"/>
          <w:szCs w:val="32"/>
        </w:rPr>
        <w:t>8</w:t>
      </w:r>
      <w:r>
        <w:rPr>
          <w:rFonts w:eastAsia="仿宋_GB2312" w:hint="eastAsia"/>
          <w:sz w:val="32"/>
          <w:szCs w:val="32"/>
        </w:rPr>
        <w:t>篇，检察日报报道</w:t>
      </w:r>
      <w:r>
        <w:rPr>
          <w:rFonts w:eastAsia="仿宋_GB2312" w:hint="eastAsia"/>
          <w:sz w:val="32"/>
          <w:szCs w:val="32"/>
        </w:rPr>
        <w:t>14</w:t>
      </w:r>
      <w:r>
        <w:rPr>
          <w:rFonts w:eastAsia="仿宋_GB2312" w:hint="eastAsia"/>
          <w:sz w:val="32"/>
          <w:szCs w:val="32"/>
        </w:rPr>
        <w:t>篇，市属媒体报道</w:t>
      </w:r>
      <w:r>
        <w:rPr>
          <w:rFonts w:eastAsia="仿宋_GB2312" w:hint="eastAsia"/>
          <w:sz w:val="32"/>
          <w:szCs w:val="32"/>
        </w:rPr>
        <w:t>31</w:t>
      </w:r>
      <w:r>
        <w:rPr>
          <w:rFonts w:eastAsia="仿宋_GB2312" w:hint="eastAsia"/>
          <w:sz w:val="32"/>
          <w:szCs w:val="32"/>
        </w:rPr>
        <w:t>篇，“北京政法”“京检在线”采用</w:t>
      </w:r>
      <w:r>
        <w:rPr>
          <w:rFonts w:eastAsia="仿宋_GB2312" w:hint="eastAsia"/>
          <w:sz w:val="32"/>
          <w:szCs w:val="32"/>
        </w:rPr>
        <w:t>106</w:t>
      </w:r>
      <w:r>
        <w:rPr>
          <w:rFonts w:eastAsia="仿宋_GB2312" w:hint="eastAsia"/>
          <w:sz w:val="32"/>
          <w:szCs w:val="32"/>
        </w:rPr>
        <w:t>篇。在《检察日报》《北京晚报》分别刊发整版报道，广播、电视、网络播出</w:t>
      </w:r>
      <w:r>
        <w:rPr>
          <w:rFonts w:eastAsia="仿宋_GB2312" w:hint="eastAsia"/>
          <w:sz w:val="32"/>
          <w:szCs w:val="32"/>
        </w:rPr>
        <w:t>10</w:t>
      </w:r>
      <w:r>
        <w:rPr>
          <w:rFonts w:eastAsia="仿宋_GB2312" w:hint="eastAsia"/>
          <w:sz w:val="32"/>
          <w:szCs w:val="32"/>
        </w:rPr>
        <w:t>分钟以上专题节目</w:t>
      </w:r>
      <w:r>
        <w:rPr>
          <w:rFonts w:eastAsia="仿宋_GB2312" w:hint="eastAsia"/>
          <w:sz w:val="32"/>
          <w:szCs w:val="32"/>
        </w:rPr>
        <w:t>13</w:t>
      </w:r>
      <w:r>
        <w:rPr>
          <w:rFonts w:eastAsia="仿宋_GB2312" w:hint="eastAsia"/>
          <w:sz w:val="32"/>
          <w:szCs w:val="32"/>
        </w:rPr>
        <w:t>次。</w:t>
      </w:r>
      <w:r>
        <w:rPr>
          <w:rFonts w:eastAsia="仿宋_GB2312"/>
          <w:sz w:val="32"/>
          <w:szCs w:val="32"/>
        </w:rPr>
        <w:t>在北京晚报刊发的对刑事案件未成年被害人开展司法救助的整版故事获得社会关注，爱心人士通过报社联系本院，为受害人捐款</w:t>
      </w:r>
      <w:r>
        <w:rPr>
          <w:rFonts w:eastAsia="仿宋_GB2312"/>
          <w:sz w:val="32"/>
          <w:szCs w:val="32"/>
        </w:rPr>
        <w:t>1</w:t>
      </w:r>
      <w:r>
        <w:rPr>
          <w:rFonts w:eastAsia="仿宋_GB2312"/>
          <w:sz w:val="32"/>
          <w:szCs w:val="32"/>
        </w:rPr>
        <w:t>万元，充分体现检察新闻宣传能动履职的社会价值。</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2.可持续性影响</w:t>
      </w:r>
    </w:p>
    <w:p w:rsidR="001F33CA" w:rsidRDefault="00442F1A">
      <w:pPr>
        <w:spacing w:line="560" w:lineRule="exact"/>
        <w:ind w:firstLineChars="200" w:firstLine="640"/>
        <w:rPr>
          <w:rFonts w:ascii="仿宋_GB2312" w:eastAsia="仿宋_GB2312" w:hAnsi="仿宋_GB2312" w:cs="仿宋_GB2312"/>
          <w:sz w:val="32"/>
          <w:szCs w:val="32"/>
        </w:rPr>
      </w:pPr>
      <w:r>
        <w:rPr>
          <w:rFonts w:ascii="仿宋_GB2312" w:eastAsia="仿宋_GB2312" w:cstheme="minorBidi" w:hint="eastAsia"/>
          <w:bCs/>
          <w:sz w:val="32"/>
          <w:szCs w:val="32"/>
        </w:rPr>
        <w:t>促社会治理多</w:t>
      </w:r>
      <w:proofErr w:type="gramStart"/>
      <w:r>
        <w:rPr>
          <w:rFonts w:ascii="仿宋_GB2312" w:eastAsia="仿宋_GB2312" w:cstheme="minorBidi" w:hint="eastAsia"/>
          <w:bCs/>
          <w:sz w:val="32"/>
          <w:szCs w:val="32"/>
        </w:rPr>
        <w:t>措</w:t>
      </w:r>
      <w:proofErr w:type="gramEnd"/>
      <w:r>
        <w:rPr>
          <w:rFonts w:ascii="仿宋_GB2312" w:eastAsia="仿宋_GB2312" w:cstheme="minorBidi" w:hint="eastAsia"/>
          <w:bCs/>
          <w:sz w:val="32"/>
          <w:szCs w:val="32"/>
        </w:rPr>
        <w:t>并举。</w:t>
      </w:r>
      <w:r>
        <w:rPr>
          <w:rFonts w:ascii="仿宋_GB2312" w:eastAsia="仿宋_GB2312" w:cstheme="minorBidi" w:hint="eastAsia"/>
          <w:sz w:val="32"/>
          <w:szCs w:val="32"/>
        </w:rPr>
        <w:t>深挖案件背后的社会治理问题，制发</w:t>
      </w:r>
      <w:r>
        <w:rPr>
          <w:rFonts w:ascii="仿宋_GB2312" w:eastAsia="仿宋_GB2312" w:cstheme="minorBidi" w:hint="eastAsia"/>
          <w:color w:val="000000" w:themeColor="text1"/>
          <w:sz w:val="32"/>
          <w:szCs w:val="32"/>
        </w:rPr>
        <w:t>社会治理类检察建议</w:t>
      </w:r>
      <w:r>
        <w:rPr>
          <w:rFonts w:eastAsia="仿宋_GB2312" w:hint="eastAsia"/>
          <w:color w:val="000000" w:themeColor="text1"/>
          <w:sz w:val="32"/>
          <w:szCs w:val="32"/>
        </w:rPr>
        <w:t>18</w:t>
      </w:r>
      <w:r>
        <w:rPr>
          <w:rFonts w:ascii="仿宋_GB2312" w:eastAsia="仿宋_GB2312" w:cstheme="minorBidi" w:hint="eastAsia"/>
          <w:color w:val="000000" w:themeColor="text1"/>
          <w:sz w:val="32"/>
          <w:szCs w:val="32"/>
        </w:rPr>
        <w:t>件。其中，</w:t>
      </w:r>
      <w:r>
        <w:rPr>
          <w:rFonts w:ascii="仿宋_GB2312" w:eastAsia="仿宋_GB2312" w:cstheme="minorBidi" w:hint="eastAsia"/>
          <w:sz w:val="32"/>
          <w:szCs w:val="32"/>
        </w:rPr>
        <w:t>针对上市公司对外收购、收购审计工作中存在的普遍性问题，挖掘案件背后存在的证券监管风险隐患，依法向中国证券监督管理委员会北京监管局制发检察建议并督促整改落实，</w:t>
      </w:r>
      <w:r>
        <w:rPr>
          <w:rFonts w:ascii="仿宋_GB2312" w:eastAsia="仿宋_GB2312" w:hAnsi="仿宋_GB2312" w:cs="仿宋_GB2312" w:hint="eastAsia"/>
          <w:color w:val="000000"/>
          <w:sz w:val="32"/>
          <w:szCs w:val="32"/>
        </w:rPr>
        <w:t>获评“</w:t>
      </w:r>
      <w:r>
        <w:rPr>
          <w:rFonts w:eastAsia="仿宋_GB2312"/>
          <w:color w:val="000000"/>
          <w:sz w:val="32"/>
          <w:szCs w:val="32"/>
        </w:rPr>
        <w:t>2020</w:t>
      </w:r>
      <w:r>
        <w:rPr>
          <w:rFonts w:ascii="仿宋_GB2312" w:eastAsia="仿宋_GB2312" w:hAnsi="仿宋_GB2312" w:cs="仿宋_GB2312" w:hint="eastAsia"/>
          <w:color w:val="000000"/>
          <w:sz w:val="32"/>
          <w:szCs w:val="32"/>
        </w:rPr>
        <w:t>-</w:t>
      </w:r>
      <w:r>
        <w:rPr>
          <w:rFonts w:eastAsia="仿宋_GB2312"/>
          <w:color w:val="000000"/>
          <w:sz w:val="32"/>
          <w:szCs w:val="32"/>
        </w:rPr>
        <w:t>2021</w:t>
      </w:r>
      <w:r>
        <w:rPr>
          <w:rFonts w:ascii="仿宋_GB2312" w:eastAsia="仿宋_GB2312" w:hAnsi="仿宋_GB2312" w:cs="仿宋_GB2312" w:hint="eastAsia"/>
          <w:color w:val="000000"/>
          <w:sz w:val="32"/>
          <w:szCs w:val="32"/>
        </w:rPr>
        <w:t>年度全市检察机关社会治理类检察建议优秀案例”</w:t>
      </w:r>
      <w:r>
        <w:rPr>
          <w:rFonts w:ascii="仿宋_GB2312" w:eastAsia="仿宋_GB2312" w:cstheme="minorBidi" w:hint="eastAsia"/>
          <w:sz w:val="32"/>
          <w:szCs w:val="32"/>
        </w:rPr>
        <w:t>。</w:t>
      </w:r>
      <w:proofErr w:type="gramStart"/>
      <w:r>
        <w:rPr>
          <w:rFonts w:ascii="仿宋_GB2312" w:eastAsia="仿宋_GB2312" w:cstheme="minorBidi" w:hint="eastAsia"/>
          <w:sz w:val="32"/>
          <w:szCs w:val="32"/>
        </w:rPr>
        <w:t>围绕商</w:t>
      </w:r>
      <w:proofErr w:type="gramEnd"/>
      <w:r>
        <w:rPr>
          <w:rFonts w:ascii="仿宋_GB2312" w:eastAsia="仿宋_GB2312" w:cstheme="minorBidi" w:hint="eastAsia"/>
          <w:sz w:val="32"/>
          <w:szCs w:val="32"/>
        </w:rPr>
        <w:t>超内自助结账盗窃案件形成的调研成果《商超内</w:t>
      </w:r>
      <w:r>
        <w:rPr>
          <w:rFonts w:ascii="仿宋_GB2312" w:eastAsia="仿宋_GB2312" w:cstheme="minorBidi" w:hint="eastAsia"/>
          <w:sz w:val="32"/>
          <w:szCs w:val="32"/>
        </w:rPr>
        <w:lastRenderedPageBreak/>
        <w:t>自助结账盗窃案逐年加速增长 五大难点问题需综合性溯源治理》，获得最高</w:t>
      </w:r>
      <w:proofErr w:type="gramStart"/>
      <w:r>
        <w:rPr>
          <w:rFonts w:ascii="仿宋_GB2312" w:eastAsia="仿宋_GB2312" w:cstheme="minorBidi" w:hint="eastAsia"/>
          <w:sz w:val="32"/>
          <w:szCs w:val="32"/>
        </w:rPr>
        <w:t>检主要</w:t>
      </w:r>
      <w:proofErr w:type="gramEnd"/>
      <w:r>
        <w:rPr>
          <w:rFonts w:ascii="仿宋_GB2312" w:eastAsia="仿宋_GB2312" w:cstheme="minorBidi" w:hint="eastAsia"/>
          <w:sz w:val="32"/>
          <w:szCs w:val="32"/>
        </w:rPr>
        <w:t>领导批示肯定，助力推进轻罪治理体系建设。</w:t>
      </w:r>
      <w:r>
        <w:rPr>
          <w:rFonts w:ascii="仿宋_GB2312" w:eastAsia="仿宋_GB2312" w:hAnsi="Calibri" w:cs="Mongolian Baiti" w:hint="eastAsia"/>
          <w:sz w:val="32"/>
          <w:szCs w:val="32"/>
        </w:rPr>
        <w:t>落实“谁执法谁普法”普法责任制，传播检察好声音，引领社会法治风尚。</w:t>
      </w:r>
    </w:p>
    <w:p w:rsidR="001F33CA" w:rsidRDefault="00442F1A">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.服务对象</w:t>
      </w:r>
      <w:r>
        <w:rPr>
          <w:rFonts w:ascii="仿宋_GB2312" w:eastAsia="仿宋_GB2312"/>
          <w:sz w:val="32"/>
          <w:szCs w:val="32"/>
        </w:rPr>
        <w:t>满意度</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服务对象满意度达到9</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以上。</w:t>
      </w:r>
    </w:p>
    <w:p w:rsidR="001F33CA" w:rsidRDefault="00442F1A">
      <w:pPr>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（一）财务管理</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1.财务</w:t>
      </w:r>
      <w:r>
        <w:rPr>
          <w:rFonts w:ascii="仿宋_GB2312" w:eastAsia="仿宋_GB2312"/>
          <w:sz w:val="32"/>
          <w:szCs w:val="32"/>
        </w:rPr>
        <w:t>管理制度健全性</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2022年，本院对原来的财务管理办法、预算管理办法、经费支出管理办法等相关财务管理制度进行了修订完善，修订完成2022年</w:t>
      </w:r>
      <w:proofErr w:type="gramStart"/>
      <w:r>
        <w:rPr>
          <w:rFonts w:ascii="仿宋_GB2312" w:eastAsia="仿宋_GB2312" w:hAnsi="宋体" w:cs="宋体" w:hint="eastAsia"/>
          <w:color w:val="000000"/>
          <w:kern w:val="0"/>
          <w:sz w:val="32"/>
          <w:szCs w:val="32"/>
        </w:rPr>
        <w:t>版内部</w:t>
      </w:r>
      <w:proofErr w:type="gramEnd"/>
      <w:r>
        <w:rPr>
          <w:rFonts w:ascii="仿宋_GB2312" w:eastAsia="仿宋_GB2312" w:hAnsi="宋体" w:cs="宋体" w:hint="eastAsia"/>
          <w:color w:val="000000"/>
          <w:kern w:val="0"/>
          <w:sz w:val="32"/>
          <w:szCs w:val="32"/>
        </w:rPr>
        <w:t>控制制度汇编（内控手册）。部门财务管理制度较健全，各项规定合法、合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2.资金使用合</w:t>
      </w:r>
      <w:proofErr w:type="gramStart"/>
      <w:r>
        <w:rPr>
          <w:rFonts w:ascii="仿宋_GB2312" w:eastAsia="仿宋_GB2312" w:hint="eastAsia"/>
          <w:sz w:val="32"/>
          <w:szCs w:val="32"/>
        </w:rPr>
        <w:t>规</w:t>
      </w:r>
      <w:proofErr w:type="gramEnd"/>
      <w:r>
        <w:rPr>
          <w:rFonts w:ascii="仿宋_GB2312" w:eastAsia="仿宋_GB2312" w:hint="eastAsia"/>
          <w:sz w:val="32"/>
          <w:szCs w:val="32"/>
        </w:rPr>
        <w:t>性</w:t>
      </w:r>
      <w:r>
        <w:rPr>
          <w:rFonts w:ascii="仿宋_GB2312" w:eastAsia="仿宋_GB2312"/>
          <w:sz w:val="32"/>
          <w:szCs w:val="32"/>
        </w:rPr>
        <w:t>和安全性</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本院预算编制阶段，加强项目评审，部门预算的编制工作。资金支出按照市财政</w:t>
      </w:r>
      <w:r w:rsidR="00B514B8">
        <w:rPr>
          <w:rFonts w:ascii="仿宋_GB2312" w:eastAsia="仿宋_GB2312" w:hAnsi="宋体" w:cs="宋体" w:hint="eastAsia"/>
          <w:color w:val="000000"/>
          <w:kern w:val="0"/>
          <w:sz w:val="32"/>
          <w:szCs w:val="32"/>
        </w:rPr>
        <w:t>局</w:t>
      </w:r>
      <w:r>
        <w:rPr>
          <w:rFonts w:ascii="仿宋_GB2312" w:eastAsia="仿宋_GB2312" w:hAnsi="宋体" w:cs="宋体" w:hint="eastAsia"/>
          <w:color w:val="000000"/>
          <w:kern w:val="0"/>
          <w:sz w:val="32"/>
          <w:szCs w:val="32"/>
        </w:rPr>
        <w:t>预算批复执行，</w:t>
      </w:r>
      <w:r>
        <w:rPr>
          <w:rFonts w:ascii="仿宋_GB2312" w:eastAsia="仿宋_GB2312" w:hAnsi="宋体" w:cs="宋体" w:hint="eastAsia"/>
          <w:color w:val="000000"/>
          <w:kern w:val="0"/>
          <w:sz w:val="32"/>
          <w:szCs w:val="32"/>
        </w:rPr>
        <w:lastRenderedPageBreak/>
        <w:t>2022年经费支出控制在预算批复范围内，严格按照各项制度和要求，资金使用合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，资金管理安全。本院资金支出按照内部管理制度执行，未发现本院资金有超范围、超标准支出的情况，审批手续严格规范。</w:t>
      </w:r>
    </w:p>
    <w:p w:rsidR="001F33CA" w:rsidRDefault="00442F1A">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会计</w:t>
      </w:r>
      <w:r>
        <w:rPr>
          <w:rFonts w:ascii="仿宋_GB2312" w:eastAsia="仿宋_GB2312"/>
          <w:sz w:val="32"/>
          <w:szCs w:val="32"/>
        </w:rPr>
        <w:t>基础信息完善性</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w:t>
      </w:r>
      <w:r w:rsidR="002063DE">
        <w:rPr>
          <w:rFonts w:ascii="仿宋_GB2312" w:eastAsia="仿宋_GB2312" w:hAnsi="宋体" w:cs="宋体" w:hint="eastAsia"/>
          <w:color w:val="000000"/>
          <w:kern w:val="0"/>
          <w:sz w:val="32"/>
          <w:szCs w:val="32"/>
        </w:rPr>
        <w:t>财政部</w:t>
      </w:r>
      <w:r>
        <w:rPr>
          <w:rFonts w:ascii="仿宋_GB2312" w:eastAsia="仿宋_GB2312" w:hAnsi="宋体" w:cs="宋体" w:hint="eastAsia"/>
          <w:color w:val="000000"/>
          <w:kern w:val="0"/>
          <w:sz w:val="32"/>
          <w:szCs w:val="32"/>
        </w:rPr>
        <w:t>《关于贯彻实施政府会计准则制度的通知》和高检院、市检察院的相关要求，开展会计工作。通过梳理重点项目支出会计凭证及会计账簿、财务报告等基础信息，本院会计基础信息和会计信息管理工作较为规范。</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（二）资产管理</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资产总体情况</w:t>
      </w:r>
      <w:r w:rsidR="002E34D7">
        <w:rPr>
          <w:rFonts w:ascii="仿宋_GB2312" w:eastAsia="仿宋_GB2312" w:hint="eastAsia"/>
          <w:sz w:val="32"/>
          <w:szCs w:val="32"/>
        </w:rPr>
        <w:t>。</w:t>
      </w:r>
      <w:r>
        <w:rPr>
          <w:rFonts w:ascii="仿宋_GB2312" w:eastAsia="仿宋_GB2312" w:hAnsi="宋体" w:cs="宋体" w:hint="eastAsia"/>
          <w:color w:val="000000"/>
          <w:kern w:val="0"/>
          <w:sz w:val="32"/>
          <w:szCs w:val="32"/>
        </w:rPr>
        <w:t>截至</w:t>
      </w:r>
      <w:r>
        <w:rPr>
          <w:rFonts w:ascii="仿宋_GB2312" w:eastAsia="仿宋_GB2312" w:hAnsi="宋体" w:cs="宋体"/>
          <w:color w:val="000000"/>
          <w:kern w:val="0"/>
          <w:sz w:val="32"/>
          <w:szCs w:val="32"/>
        </w:rPr>
        <w:t>202</w:t>
      </w:r>
      <w:r>
        <w:rPr>
          <w:rFonts w:ascii="仿宋_GB2312" w:eastAsia="仿宋_GB2312" w:hAnsi="宋体" w:cs="宋体" w:hint="eastAsia"/>
          <w:color w:val="000000"/>
          <w:kern w:val="0"/>
          <w:sz w:val="32"/>
          <w:szCs w:val="32"/>
        </w:rPr>
        <w:t>2年1</w:t>
      </w: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月3</w:t>
      </w: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日，资产总额</w:t>
      </w:r>
      <w:r>
        <w:rPr>
          <w:rFonts w:ascii="仿宋_GB2312" w:eastAsia="仿宋_GB2312" w:hAnsi="宋体" w:cs="宋体"/>
          <w:color w:val="000000"/>
          <w:kern w:val="0"/>
          <w:sz w:val="32"/>
          <w:szCs w:val="32"/>
        </w:rPr>
        <w:t>8978.68</w:t>
      </w:r>
      <w:r>
        <w:rPr>
          <w:rFonts w:ascii="仿宋_GB2312" w:eastAsia="仿宋_GB2312" w:hAnsi="宋体" w:cs="宋体" w:hint="eastAsia"/>
          <w:color w:val="000000"/>
          <w:kern w:val="0"/>
          <w:sz w:val="32"/>
          <w:szCs w:val="32"/>
        </w:rPr>
        <w:t>万元，其中货币资金160.95万元，占资产总额1.79%；财政应返还额度144.49万元，占资产总额1.61%；其他应收款净额2万元，占资产总额0.02%；存货73.49万元，占资产总额0.82%；固定资产7770.34万元，占资产总额86.54%；无形资产746.65万元，占资产总额8.32%；受托代理资产80.76万元，占资产总额0.90%。</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本院固定资产中，土地、房屋及构筑物6376.74万元，占固定资产的82.07%；设备1153.47万</w:t>
      </w:r>
      <w:r>
        <w:rPr>
          <w:rFonts w:ascii="仿宋_GB2312" w:eastAsia="仿宋_GB2312" w:hAnsi="宋体" w:cs="宋体" w:hint="eastAsia"/>
          <w:color w:val="000000"/>
          <w:kern w:val="0"/>
          <w:sz w:val="32"/>
          <w:szCs w:val="32"/>
        </w:rPr>
        <w:lastRenderedPageBreak/>
        <w:t>元，占14.84%；图书档案11.44万元，占0.15%；家具和用具228.69万元，占2.94%。</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rsidR="001F33CA" w:rsidRDefault="00442F1A">
      <w:pPr>
        <w:ind w:left="142" w:right="84"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本院根据市财政局关于预算绩效管理的要求，按照“预算编制有目标、预算执行有监控、预算完成有评价、评价结果有反馈、反馈结果有应用”的总体目标，深化推进全面预算绩效管理工作。</w:t>
      </w:r>
    </w:p>
    <w:p w:rsidR="001F33CA" w:rsidRDefault="00442F1A">
      <w:pPr>
        <w:ind w:left="142" w:right="84"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所有预算资金纳入部门预算绩效管理工作，按照市财政局要求对2022年度全部立项批复项目开展预算绩效监控工作，从预算资金执行、管理以及绩效目标完成等情况进行分析，进一步加强了预算绩效运行监控管理。</w:t>
      </w:r>
    </w:p>
    <w:p w:rsidR="001F33CA" w:rsidRDefault="00442F1A">
      <w:pPr>
        <w:ind w:left="142" w:right="84"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对2022年度部门预算项目实施绩效自评工作，安检安保工作费用采用部门评价方式开展，出具绩效评价报告；7个项目采用单位自评方式进行评价，出具项目支出绩效自评表。总体评价结果来看，各项目能够较好地按照预算编制要求完成，绩效目标设定较为合理，各项目标及指标的完成情况较好，项目执行过程比较规范，符合相关制度要求，项目执行金额能够控制在预算范围内，项目效果基本达到预定目标。</w:t>
      </w:r>
    </w:p>
    <w:p w:rsidR="001F33CA" w:rsidRDefault="00442F1A">
      <w:pPr>
        <w:ind w:left="142" w:right="84"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通过开展绩效监控和绩效评价工作，全面、客观地反映了项目实施的工作成效，对项目决策、</w:t>
      </w:r>
      <w:r>
        <w:rPr>
          <w:rFonts w:ascii="仿宋_GB2312" w:eastAsia="仿宋_GB2312" w:hAnsi="宋体" w:cs="宋体" w:hint="eastAsia"/>
          <w:color w:val="000000"/>
          <w:kern w:val="0"/>
          <w:sz w:val="32"/>
          <w:szCs w:val="32"/>
        </w:rPr>
        <w:lastRenderedPageBreak/>
        <w:t>项目过程、项目产出、项目效益方面存在的不足提出了合理化建议，使预算管理更加科学、完善，进而规范了资金的使用管理，强化了项目实施部门预算成本控制、完善了绩效管理工作，以点带面提升了本院预算绩效管理水平。</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（四）结转结余率</w:t>
      </w:r>
    </w:p>
    <w:p w:rsidR="001F33CA" w:rsidRDefault="00442F1A">
      <w:pPr>
        <w:widowControl/>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本院2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2年预算年末结转结余144.49万元，全年支出预算数11</w:t>
      </w:r>
      <w:r w:rsidR="00015678">
        <w:rPr>
          <w:rFonts w:ascii="仿宋_GB2312" w:eastAsia="仿宋_GB2312" w:hAnsi="宋体" w:cs="宋体" w:hint="eastAsia"/>
          <w:color w:val="000000"/>
          <w:kern w:val="0"/>
          <w:sz w:val="32"/>
          <w:szCs w:val="32"/>
        </w:rPr>
        <w:t>611.74</w:t>
      </w:r>
      <w:r>
        <w:rPr>
          <w:rFonts w:ascii="仿宋_GB2312" w:eastAsia="仿宋_GB2312" w:hAnsi="宋体" w:cs="宋体" w:hint="eastAsia"/>
          <w:color w:val="000000"/>
          <w:kern w:val="0"/>
          <w:sz w:val="32"/>
          <w:szCs w:val="32"/>
        </w:rPr>
        <w:t>万元，结转结余率为1.24</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，较上年结转结余率（2</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01%）低。</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2022年，年初部门预算</w:t>
      </w:r>
      <w:r>
        <w:rPr>
          <w:rFonts w:ascii="仿宋_GB2312" w:eastAsia="仿宋_GB2312" w:hAnsi="宋体" w:cs="宋体" w:hint="eastAsia"/>
          <w:color w:val="000000"/>
          <w:kern w:val="0"/>
          <w:sz w:val="32"/>
          <w:szCs w:val="32"/>
        </w:rPr>
        <w:t>11086.91</w:t>
      </w:r>
      <w:r>
        <w:rPr>
          <w:rFonts w:ascii="仿宋_GB2312" w:eastAsia="仿宋_GB2312" w:hint="eastAsia"/>
          <w:sz w:val="32"/>
          <w:szCs w:val="32"/>
        </w:rPr>
        <w:t>万元，年度部门决算11477.96万元，部门预决算差异率为3.53%。</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1.支出预决算差异情况表（按支出性质）</w:t>
      </w:r>
    </w:p>
    <w:tbl>
      <w:tblPr>
        <w:tblW w:w="8523" w:type="dxa"/>
        <w:tblInd w:w="250" w:type="dxa"/>
        <w:tblLayout w:type="fixed"/>
        <w:tblLook w:val="04A0" w:firstRow="1" w:lastRow="0" w:firstColumn="1" w:lastColumn="0" w:noHBand="0" w:noVBand="1"/>
      </w:tblPr>
      <w:tblGrid>
        <w:gridCol w:w="3065"/>
        <w:gridCol w:w="1912"/>
        <w:gridCol w:w="2066"/>
        <w:gridCol w:w="1480"/>
      </w:tblGrid>
      <w:tr w:rsidR="001F33CA">
        <w:trPr>
          <w:trHeight w:val="285"/>
        </w:trPr>
        <w:tc>
          <w:tcPr>
            <w:tcW w:w="30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本年支出性质</w:t>
            </w:r>
          </w:p>
        </w:tc>
        <w:tc>
          <w:tcPr>
            <w:tcW w:w="1912"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年初预算数</w:t>
            </w:r>
          </w:p>
        </w:tc>
        <w:tc>
          <w:tcPr>
            <w:tcW w:w="2066"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年度决算数</w:t>
            </w:r>
          </w:p>
        </w:tc>
        <w:tc>
          <w:tcPr>
            <w:tcW w:w="1480"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差异率%</w:t>
            </w:r>
          </w:p>
        </w:tc>
      </w:tr>
      <w:tr w:rsidR="001F33CA">
        <w:trPr>
          <w:trHeight w:val="285"/>
        </w:trPr>
        <w:tc>
          <w:tcPr>
            <w:tcW w:w="3065"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资金总体</w:t>
            </w:r>
          </w:p>
        </w:tc>
        <w:tc>
          <w:tcPr>
            <w:tcW w:w="1912" w:type="dxa"/>
            <w:tcBorders>
              <w:top w:val="nil"/>
              <w:left w:val="nil"/>
              <w:bottom w:val="single" w:sz="4" w:space="0" w:color="auto"/>
              <w:right w:val="single" w:sz="4" w:space="0" w:color="auto"/>
            </w:tcBorders>
            <w:shd w:val="clear" w:color="auto" w:fill="auto"/>
            <w:noWrap/>
            <w:vAlign w:val="center"/>
          </w:tcPr>
          <w:p w:rsidR="001F33CA" w:rsidRDefault="00442F1A">
            <w:pPr>
              <w:widowControl/>
              <w:jc w:val="right"/>
              <w:textAlignment w:val="center"/>
              <w:rPr>
                <w:rFonts w:ascii="宋体" w:hAnsi="宋体" w:cs="宋体"/>
                <w:color w:val="000000"/>
                <w:sz w:val="30"/>
                <w:szCs w:val="30"/>
              </w:rPr>
            </w:pPr>
            <w:r>
              <w:rPr>
                <w:rFonts w:ascii="仿宋_GB2312" w:eastAsia="仿宋_GB2312" w:hAnsi="宋体" w:cs="宋体" w:hint="eastAsia"/>
                <w:color w:val="000000"/>
                <w:kern w:val="0"/>
                <w:sz w:val="32"/>
                <w:szCs w:val="32"/>
              </w:rPr>
              <w:t>11086.91</w:t>
            </w:r>
          </w:p>
        </w:tc>
        <w:tc>
          <w:tcPr>
            <w:tcW w:w="2066" w:type="dxa"/>
            <w:tcBorders>
              <w:top w:val="nil"/>
              <w:left w:val="nil"/>
              <w:bottom w:val="single" w:sz="4" w:space="0" w:color="auto"/>
              <w:right w:val="single" w:sz="4" w:space="0" w:color="auto"/>
            </w:tcBorders>
            <w:shd w:val="clear" w:color="auto" w:fill="auto"/>
            <w:noWrap/>
            <w:vAlign w:val="center"/>
          </w:tcPr>
          <w:p w:rsidR="001F33CA" w:rsidRDefault="00442F1A">
            <w:pPr>
              <w:widowControl/>
              <w:jc w:val="right"/>
              <w:rPr>
                <w:rFonts w:ascii="宋体" w:hAnsi="宋体" w:cs="宋体"/>
                <w:color w:val="000000"/>
                <w:kern w:val="0"/>
                <w:sz w:val="30"/>
                <w:szCs w:val="30"/>
              </w:rPr>
            </w:pPr>
            <w:r>
              <w:rPr>
                <w:rFonts w:ascii="宋体" w:hAnsi="宋体" w:cs="宋体" w:hint="eastAsia"/>
                <w:color w:val="000000"/>
                <w:kern w:val="0"/>
                <w:sz w:val="30"/>
                <w:szCs w:val="30"/>
              </w:rPr>
              <w:t>11477.96</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3.53%</w:t>
            </w:r>
          </w:p>
        </w:tc>
      </w:tr>
      <w:tr w:rsidR="001F33CA">
        <w:trPr>
          <w:trHeight w:val="90"/>
        </w:trPr>
        <w:tc>
          <w:tcPr>
            <w:tcW w:w="3065"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基本支出</w:t>
            </w:r>
          </w:p>
        </w:tc>
        <w:tc>
          <w:tcPr>
            <w:tcW w:w="1912"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bottom"/>
              <w:rPr>
                <w:rFonts w:ascii="宋体" w:hAnsi="宋体" w:cs="宋体"/>
                <w:color w:val="000000"/>
                <w:sz w:val="30"/>
                <w:szCs w:val="30"/>
              </w:rPr>
            </w:pPr>
            <w:r>
              <w:rPr>
                <w:rFonts w:ascii="宋体" w:hAnsi="宋体" w:cs="宋体" w:hint="eastAsia"/>
                <w:color w:val="000000"/>
                <w:kern w:val="0"/>
                <w:sz w:val="30"/>
                <w:szCs w:val="30"/>
                <w:lang w:bidi="ar"/>
              </w:rPr>
              <w:t>10237.98</w:t>
            </w:r>
          </w:p>
        </w:tc>
        <w:tc>
          <w:tcPr>
            <w:tcW w:w="2066"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bottom"/>
              <w:rPr>
                <w:rFonts w:ascii="Arial" w:hAnsi="Arial" w:cs="Arial"/>
                <w:color w:val="000000"/>
                <w:sz w:val="30"/>
                <w:szCs w:val="30"/>
              </w:rPr>
            </w:pPr>
            <w:r>
              <w:rPr>
                <w:rFonts w:ascii="宋体" w:hAnsi="宋体" w:cs="宋体" w:hint="eastAsia"/>
                <w:color w:val="000000"/>
                <w:kern w:val="0"/>
                <w:sz w:val="30"/>
                <w:szCs w:val="30"/>
              </w:rPr>
              <w:t>10801.97</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bottom"/>
              <w:rPr>
                <w:rFonts w:ascii="宋体" w:hAnsi="宋体" w:cs="宋体"/>
                <w:kern w:val="0"/>
                <w:sz w:val="30"/>
                <w:szCs w:val="30"/>
              </w:rPr>
            </w:pPr>
            <w:r>
              <w:rPr>
                <w:rFonts w:ascii="宋体" w:hAnsi="宋体" w:cs="宋体" w:hint="eastAsia"/>
                <w:color w:val="000000"/>
                <w:kern w:val="0"/>
                <w:sz w:val="30"/>
                <w:szCs w:val="30"/>
                <w:lang w:bidi="ar"/>
              </w:rPr>
              <w:t>5.51%</w:t>
            </w:r>
          </w:p>
        </w:tc>
      </w:tr>
      <w:tr w:rsidR="001F33CA">
        <w:trPr>
          <w:trHeight w:val="285"/>
        </w:trPr>
        <w:tc>
          <w:tcPr>
            <w:tcW w:w="3065"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项目支出</w:t>
            </w:r>
          </w:p>
        </w:tc>
        <w:tc>
          <w:tcPr>
            <w:tcW w:w="1912"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bottom"/>
              <w:rPr>
                <w:rFonts w:ascii="宋体" w:hAnsi="宋体" w:cs="宋体"/>
                <w:color w:val="000000"/>
                <w:sz w:val="30"/>
                <w:szCs w:val="30"/>
              </w:rPr>
            </w:pPr>
            <w:r>
              <w:rPr>
                <w:rFonts w:ascii="宋体" w:hAnsi="宋体" w:cs="宋体" w:hint="eastAsia"/>
                <w:color w:val="000000"/>
                <w:kern w:val="0"/>
                <w:sz w:val="30"/>
                <w:szCs w:val="30"/>
                <w:lang w:bidi="ar"/>
              </w:rPr>
              <w:t>848.93</w:t>
            </w:r>
          </w:p>
        </w:tc>
        <w:tc>
          <w:tcPr>
            <w:tcW w:w="2066"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675.99</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bottom"/>
              <w:rPr>
                <w:rFonts w:ascii="宋体" w:hAnsi="宋体" w:cs="宋体"/>
                <w:kern w:val="0"/>
                <w:sz w:val="30"/>
                <w:szCs w:val="30"/>
              </w:rPr>
            </w:pPr>
            <w:r>
              <w:rPr>
                <w:rFonts w:ascii="宋体" w:hAnsi="宋体" w:cs="宋体" w:hint="eastAsia"/>
                <w:color w:val="000000"/>
                <w:kern w:val="0"/>
                <w:sz w:val="30"/>
                <w:szCs w:val="30"/>
                <w:lang w:bidi="ar"/>
              </w:rPr>
              <w:t>-20.37%</w:t>
            </w:r>
          </w:p>
        </w:tc>
      </w:tr>
    </w:tbl>
    <w:p w:rsidR="001F33CA" w:rsidRDefault="00442F1A">
      <w:pPr>
        <w:ind w:firstLineChars="200" w:firstLine="640"/>
        <w:rPr>
          <w:rFonts w:ascii="仿宋_GB2312" w:eastAsia="仿宋_GB2312"/>
          <w:sz w:val="32"/>
          <w:szCs w:val="32"/>
        </w:rPr>
      </w:pPr>
      <w:r>
        <w:rPr>
          <w:rFonts w:ascii="仿宋_GB2312" w:eastAsia="仿宋_GB2312" w:hint="eastAsia"/>
          <w:sz w:val="32"/>
          <w:szCs w:val="32"/>
        </w:rPr>
        <w:lastRenderedPageBreak/>
        <w:t>2.支出预决算差异情况表（按功能科目）</w:t>
      </w:r>
    </w:p>
    <w:tbl>
      <w:tblPr>
        <w:tblW w:w="8523" w:type="dxa"/>
        <w:tblInd w:w="250" w:type="dxa"/>
        <w:tblLayout w:type="fixed"/>
        <w:tblLook w:val="04A0" w:firstRow="1" w:lastRow="0" w:firstColumn="1" w:lastColumn="0" w:noHBand="0" w:noVBand="1"/>
      </w:tblPr>
      <w:tblGrid>
        <w:gridCol w:w="3137"/>
        <w:gridCol w:w="1855"/>
        <w:gridCol w:w="2051"/>
        <w:gridCol w:w="1480"/>
      </w:tblGrid>
      <w:tr w:rsidR="001F33CA">
        <w:trPr>
          <w:trHeight w:val="285"/>
        </w:trPr>
        <w:tc>
          <w:tcPr>
            <w:tcW w:w="31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功能科目</w:t>
            </w:r>
          </w:p>
        </w:tc>
        <w:tc>
          <w:tcPr>
            <w:tcW w:w="1855"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年初预算数</w:t>
            </w:r>
          </w:p>
        </w:tc>
        <w:tc>
          <w:tcPr>
            <w:tcW w:w="2051"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年度决算数</w:t>
            </w:r>
          </w:p>
        </w:tc>
        <w:tc>
          <w:tcPr>
            <w:tcW w:w="1480" w:type="dxa"/>
            <w:tcBorders>
              <w:top w:val="single" w:sz="4" w:space="0" w:color="auto"/>
              <w:left w:val="nil"/>
              <w:bottom w:val="single" w:sz="4" w:space="0" w:color="auto"/>
              <w:right w:val="single" w:sz="4" w:space="0" w:color="auto"/>
            </w:tcBorders>
            <w:shd w:val="clear" w:color="auto" w:fill="auto"/>
            <w:noWrap/>
            <w:vAlign w:val="bottom"/>
          </w:tcPr>
          <w:p w:rsidR="001F33CA" w:rsidRDefault="00442F1A">
            <w:pPr>
              <w:widowControl/>
              <w:jc w:val="center"/>
              <w:rPr>
                <w:rFonts w:ascii="宋体" w:hAnsi="宋体" w:cs="宋体"/>
                <w:kern w:val="0"/>
                <w:sz w:val="30"/>
                <w:szCs w:val="30"/>
              </w:rPr>
            </w:pPr>
            <w:r>
              <w:rPr>
                <w:rFonts w:ascii="宋体" w:hAnsi="宋体" w:cs="宋体" w:hint="eastAsia"/>
                <w:kern w:val="0"/>
                <w:sz w:val="30"/>
                <w:szCs w:val="30"/>
              </w:rPr>
              <w:t>差异率%</w:t>
            </w:r>
          </w:p>
        </w:tc>
      </w:tr>
      <w:tr w:rsidR="001F33CA">
        <w:trPr>
          <w:trHeight w:val="285"/>
        </w:trPr>
        <w:tc>
          <w:tcPr>
            <w:tcW w:w="3137"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资金总体</w:t>
            </w:r>
          </w:p>
        </w:tc>
        <w:tc>
          <w:tcPr>
            <w:tcW w:w="1855" w:type="dxa"/>
            <w:tcBorders>
              <w:top w:val="nil"/>
              <w:left w:val="nil"/>
              <w:bottom w:val="single" w:sz="4" w:space="0" w:color="auto"/>
              <w:right w:val="single" w:sz="4" w:space="0" w:color="auto"/>
            </w:tcBorders>
            <w:shd w:val="clear" w:color="auto" w:fill="auto"/>
            <w:noWrap/>
            <w:vAlign w:val="center"/>
          </w:tcPr>
          <w:p w:rsidR="001F33CA" w:rsidRDefault="00442F1A">
            <w:pPr>
              <w:widowControl/>
              <w:jc w:val="right"/>
              <w:textAlignment w:val="center"/>
              <w:rPr>
                <w:rFonts w:ascii="宋体" w:hAnsi="宋体" w:cs="宋体"/>
                <w:color w:val="000000"/>
                <w:sz w:val="30"/>
                <w:szCs w:val="30"/>
              </w:rPr>
            </w:pPr>
            <w:r>
              <w:rPr>
                <w:rFonts w:ascii="仿宋_GB2312" w:eastAsia="仿宋_GB2312" w:hAnsi="宋体" w:cs="宋体" w:hint="eastAsia"/>
                <w:color w:val="000000"/>
                <w:kern w:val="0"/>
                <w:sz w:val="32"/>
                <w:szCs w:val="32"/>
              </w:rPr>
              <w:t>11086.91</w:t>
            </w:r>
          </w:p>
        </w:tc>
        <w:tc>
          <w:tcPr>
            <w:tcW w:w="2051" w:type="dxa"/>
            <w:tcBorders>
              <w:top w:val="nil"/>
              <w:left w:val="nil"/>
              <w:bottom w:val="single" w:sz="4" w:space="0" w:color="auto"/>
              <w:right w:val="single" w:sz="4" w:space="0" w:color="auto"/>
            </w:tcBorders>
            <w:shd w:val="clear" w:color="auto" w:fill="auto"/>
            <w:noWrap/>
            <w:vAlign w:val="center"/>
          </w:tcPr>
          <w:p w:rsidR="001F33CA" w:rsidRDefault="00442F1A">
            <w:pPr>
              <w:widowControl/>
              <w:jc w:val="right"/>
              <w:rPr>
                <w:rFonts w:ascii="宋体" w:hAnsi="宋体" w:cs="宋体"/>
                <w:color w:val="000000"/>
                <w:kern w:val="0"/>
                <w:sz w:val="30"/>
                <w:szCs w:val="30"/>
              </w:rPr>
            </w:pPr>
            <w:r>
              <w:rPr>
                <w:rFonts w:ascii="宋体" w:hAnsi="宋体" w:cs="宋体" w:hint="eastAsia"/>
                <w:color w:val="000000"/>
                <w:kern w:val="0"/>
                <w:sz w:val="30"/>
                <w:szCs w:val="30"/>
              </w:rPr>
              <w:t>11477.96</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3.53%</w:t>
            </w:r>
          </w:p>
        </w:tc>
      </w:tr>
      <w:tr w:rsidR="001F33CA">
        <w:trPr>
          <w:trHeight w:val="285"/>
        </w:trPr>
        <w:tc>
          <w:tcPr>
            <w:tcW w:w="3137"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公共安全支出</w:t>
            </w:r>
          </w:p>
        </w:tc>
        <w:tc>
          <w:tcPr>
            <w:tcW w:w="1855"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color w:val="000000"/>
                <w:sz w:val="30"/>
                <w:szCs w:val="30"/>
              </w:rPr>
              <w:t>9399.21</w:t>
            </w:r>
          </w:p>
        </w:tc>
        <w:tc>
          <w:tcPr>
            <w:tcW w:w="2051"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color w:val="000000"/>
                <w:sz w:val="30"/>
                <w:szCs w:val="30"/>
              </w:rPr>
              <w:t>9907.38</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5.41%</w:t>
            </w:r>
          </w:p>
        </w:tc>
      </w:tr>
      <w:tr w:rsidR="001F33CA">
        <w:trPr>
          <w:trHeight w:val="285"/>
        </w:trPr>
        <w:tc>
          <w:tcPr>
            <w:tcW w:w="3137"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教育支出</w:t>
            </w:r>
          </w:p>
        </w:tc>
        <w:tc>
          <w:tcPr>
            <w:tcW w:w="1855"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hint="eastAsia"/>
                <w:color w:val="000000"/>
                <w:sz w:val="30"/>
                <w:szCs w:val="30"/>
              </w:rPr>
              <w:t>15.12</w:t>
            </w:r>
          </w:p>
        </w:tc>
        <w:tc>
          <w:tcPr>
            <w:tcW w:w="2051"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hint="eastAsia"/>
                <w:color w:val="000000"/>
                <w:sz w:val="30"/>
                <w:szCs w:val="30"/>
              </w:rPr>
              <w:t>7.56</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-50%</w:t>
            </w:r>
          </w:p>
        </w:tc>
      </w:tr>
      <w:tr w:rsidR="001F33CA">
        <w:trPr>
          <w:trHeight w:val="285"/>
        </w:trPr>
        <w:tc>
          <w:tcPr>
            <w:tcW w:w="3137"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社会保障和就业支出</w:t>
            </w:r>
          </w:p>
        </w:tc>
        <w:tc>
          <w:tcPr>
            <w:tcW w:w="1855"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color w:val="000000"/>
                <w:sz w:val="30"/>
                <w:szCs w:val="30"/>
              </w:rPr>
              <w:t>1025.6</w:t>
            </w:r>
          </w:p>
        </w:tc>
        <w:tc>
          <w:tcPr>
            <w:tcW w:w="2051"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color w:val="000000"/>
                <w:sz w:val="30"/>
                <w:szCs w:val="30"/>
              </w:rPr>
              <w:t>948.9</w:t>
            </w:r>
            <w:r>
              <w:rPr>
                <w:rFonts w:ascii="宋体" w:hAnsi="宋体" w:cs="宋体" w:hint="eastAsia"/>
                <w:color w:val="000000"/>
                <w:sz w:val="30"/>
                <w:szCs w:val="30"/>
              </w:rPr>
              <w:t>1</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-7.48%</w:t>
            </w:r>
          </w:p>
        </w:tc>
      </w:tr>
      <w:tr w:rsidR="001F33CA">
        <w:trPr>
          <w:trHeight w:val="285"/>
        </w:trPr>
        <w:tc>
          <w:tcPr>
            <w:tcW w:w="3137" w:type="dxa"/>
            <w:tcBorders>
              <w:top w:val="nil"/>
              <w:left w:val="single" w:sz="4" w:space="0" w:color="auto"/>
              <w:bottom w:val="single" w:sz="4" w:space="0" w:color="auto"/>
              <w:right w:val="single" w:sz="4" w:space="0" w:color="auto"/>
            </w:tcBorders>
            <w:shd w:val="clear" w:color="auto" w:fill="auto"/>
            <w:noWrap/>
            <w:vAlign w:val="bottom"/>
          </w:tcPr>
          <w:p w:rsidR="001F33CA" w:rsidRDefault="00442F1A">
            <w:pPr>
              <w:widowControl/>
              <w:jc w:val="left"/>
              <w:rPr>
                <w:rFonts w:ascii="宋体" w:hAnsi="宋体" w:cs="宋体"/>
                <w:kern w:val="0"/>
                <w:sz w:val="30"/>
                <w:szCs w:val="30"/>
              </w:rPr>
            </w:pPr>
            <w:r>
              <w:rPr>
                <w:rFonts w:ascii="宋体" w:hAnsi="宋体" w:cs="宋体" w:hint="eastAsia"/>
                <w:kern w:val="0"/>
                <w:sz w:val="30"/>
                <w:szCs w:val="30"/>
              </w:rPr>
              <w:t>卫生健康支出</w:t>
            </w:r>
          </w:p>
        </w:tc>
        <w:tc>
          <w:tcPr>
            <w:tcW w:w="1855"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hint="eastAsia"/>
                <w:color w:val="000000"/>
                <w:sz w:val="30"/>
                <w:szCs w:val="30"/>
              </w:rPr>
              <w:t>646.98</w:t>
            </w:r>
          </w:p>
        </w:tc>
        <w:tc>
          <w:tcPr>
            <w:tcW w:w="2051"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textAlignment w:val="center"/>
              <w:rPr>
                <w:rFonts w:ascii="宋体" w:hAnsi="宋体" w:cs="宋体"/>
                <w:color w:val="000000"/>
                <w:sz w:val="30"/>
                <w:szCs w:val="30"/>
              </w:rPr>
            </w:pPr>
            <w:r>
              <w:rPr>
                <w:rFonts w:ascii="宋体" w:hAnsi="宋体" w:cs="宋体" w:hint="eastAsia"/>
                <w:color w:val="000000"/>
                <w:sz w:val="30"/>
                <w:szCs w:val="30"/>
              </w:rPr>
              <w:t>614.11</w:t>
            </w:r>
          </w:p>
        </w:tc>
        <w:tc>
          <w:tcPr>
            <w:tcW w:w="1480" w:type="dxa"/>
            <w:tcBorders>
              <w:top w:val="nil"/>
              <w:left w:val="nil"/>
              <w:bottom w:val="single" w:sz="4" w:space="0" w:color="auto"/>
              <w:right w:val="single" w:sz="4" w:space="0" w:color="auto"/>
            </w:tcBorders>
            <w:shd w:val="clear" w:color="auto" w:fill="auto"/>
            <w:noWrap/>
            <w:vAlign w:val="bottom"/>
          </w:tcPr>
          <w:p w:rsidR="001F33CA" w:rsidRDefault="00442F1A">
            <w:pPr>
              <w:widowControl/>
              <w:jc w:val="right"/>
              <w:rPr>
                <w:rFonts w:ascii="宋体" w:hAnsi="宋体" w:cs="宋体"/>
                <w:kern w:val="0"/>
                <w:sz w:val="30"/>
                <w:szCs w:val="30"/>
              </w:rPr>
            </w:pPr>
            <w:r>
              <w:rPr>
                <w:rFonts w:ascii="宋体" w:hAnsi="宋体" w:cs="宋体" w:hint="eastAsia"/>
                <w:kern w:val="0"/>
                <w:sz w:val="30"/>
                <w:szCs w:val="30"/>
              </w:rPr>
              <w:t>-5.08%</w:t>
            </w:r>
          </w:p>
        </w:tc>
      </w:tr>
    </w:tbl>
    <w:p w:rsidR="001F33CA" w:rsidRDefault="00442F1A">
      <w:pPr>
        <w:ind w:leftChars="50" w:left="105" w:firstLineChars="150" w:firstLine="480"/>
        <w:outlineLvl w:val="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1F33CA" w:rsidRDefault="00442F1A" w:rsidP="00836602">
      <w:pPr>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经评价，本院2</w:t>
      </w:r>
      <w:r>
        <w:rPr>
          <w:rFonts w:ascii="仿宋_GB2312" w:eastAsia="仿宋_GB2312" w:hAnsi="宋体" w:cs="宋体"/>
          <w:color w:val="000000"/>
          <w:kern w:val="0"/>
          <w:sz w:val="32"/>
          <w:szCs w:val="32"/>
        </w:rPr>
        <w:t>02</w:t>
      </w:r>
      <w:r>
        <w:rPr>
          <w:rFonts w:ascii="仿宋_GB2312" w:eastAsia="仿宋_GB2312" w:hAnsi="宋体" w:cs="宋体" w:hint="eastAsia"/>
          <w:color w:val="000000"/>
          <w:kern w:val="0"/>
          <w:sz w:val="32"/>
          <w:szCs w:val="32"/>
        </w:rPr>
        <w:t>2年度部门整体支出绩效评价总得分93.7分，评价结果为“优秀”。其中当年预算执行情况得分为19.7分；整体绩效目标实现情况得分为55分；预算管理情况得分19分。</w:t>
      </w:r>
    </w:p>
    <w:p w:rsidR="001F33CA" w:rsidRDefault="00442F1A">
      <w:pPr>
        <w:ind w:leftChars="50" w:left="105" w:firstLineChars="150" w:firstLine="480"/>
        <w:outlineLvl w:val="1"/>
        <w:rPr>
          <w:rFonts w:ascii="楷体_GB2312" w:eastAsia="楷体_GB2312"/>
          <w:sz w:val="32"/>
          <w:szCs w:val="32"/>
        </w:rPr>
      </w:pPr>
      <w:r>
        <w:rPr>
          <w:rFonts w:ascii="楷体_GB2312" w:eastAsia="楷体_GB2312" w:hint="eastAsia"/>
          <w:sz w:val="32"/>
          <w:szCs w:val="32"/>
        </w:rPr>
        <w:t>（二）存在的问题</w:t>
      </w:r>
      <w:r w:rsidR="002E34D7">
        <w:rPr>
          <w:rFonts w:ascii="楷体_GB2312" w:eastAsia="楷体_GB2312" w:hint="eastAsia"/>
          <w:sz w:val="32"/>
          <w:szCs w:val="32"/>
        </w:rPr>
        <w:t>及原因分析</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int="eastAsia"/>
          <w:bCs/>
          <w:kern w:val="44"/>
          <w:sz w:val="32"/>
          <w:szCs w:val="32"/>
        </w:rPr>
        <w:t>（1）个别项目缺乏需求调研、科学论证等数据支撑。</w:t>
      </w:r>
      <w:r>
        <w:rPr>
          <w:rFonts w:ascii="仿宋_GB2312" w:eastAsia="仿宋_GB2312" w:hAnsi="宋体" w:cs="宋体" w:hint="eastAsia"/>
          <w:color w:val="000000"/>
          <w:kern w:val="0"/>
          <w:sz w:val="32"/>
          <w:szCs w:val="32"/>
        </w:rPr>
        <w:t>预算编制有待进一步科学、细化。大多数</w:t>
      </w:r>
      <w:r>
        <w:rPr>
          <w:rFonts w:ascii="仿宋_GB2312" w:eastAsia="仿宋_GB2312" w:hAnsi="宋体" w:cs="宋体" w:hint="eastAsia"/>
          <w:color w:val="000000"/>
          <w:kern w:val="0"/>
          <w:sz w:val="32"/>
          <w:szCs w:val="32"/>
        </w:rPr>
        <w:lastRenderedPageBreak/>
        <w:t>项目为延续性项目，个别项目缺少组织实施方案或管理制度，对于项目管理机构、人员职责分工、工作进度安排和过程管控措施等内容不够明确。</w:t>
      </w:r>
    </w:p>
    <w:p w:rsidR="001F33CA" w:rsidRDefault="00442F1A">
      <w:pPr>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（2）部分项目缺乏对项目实施情况、效益效果实现情况的历年比较分析，导致项目效益未能完整、充分呈现。部分项目服务对象满意度调查开展不够全面，未充分反映项目服务对象满意度效果。</w:t>
      </w:r>
    </w:p>
    <w:p w:rsidR="001F33CA" w:rsidRDefault="00442F1A">
      <w:pPr>
        <w:ind w:firstLineChars="200" w:firstLine="640"/>
        <w:outlineLvl w:val="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1F33CA" w:rsidRDefault="00442F1A">
      <w:pPr>
        <w:ind w:firstLineChars="200" w:firstLine="640"/>
        <w:rPr>
          <w:rFonts w:ascii="仿宋_GB2312" w:eastAsia="仿宋_GB2312"/>
          <w:sz w:val="32"/>
          <w:szCs w:val="32"/>
        </w:rPr>
      </w:pPr>
      <w:bookmarkStart w:id="0" w:name="_Toc72401385"/>
      <w:r>
        <w:rPr>
          <w:rFonts w:ascii="仿宋_GB2312" w:eastAsia="仿宋_GB2312" w:hint="eastAsia"/>
          <w:sz w:val="32"/>
          <w:szCs w:val="32"/>
        </w:rPr>
        <w:t>1.加强项目前期调研和需求论证</w:t>
      </w:r>
      <w:r w:rsidR="00836602">
        <w:rPr>
          <w:rFonts w:ascii="仿宋_GB2312" w:eastAsia="仿宋_GB2312" w:hint="eastAsia"/>
          <w:sz w:val="32"/>
          <w:szCs w:val="32"/>
        </w:rPr>
        <w:t>。</w:t>
      </w:r>
      <w:r>
        <w:rPr>
          <w:rFonts w:ascii="仿宋_GB2312" w:eastAsia="仿宋_GB2312" w:hint="eastAsia"/>
          <w:sz w:val="32"/>
          <w:szCs w:val="32"/>
        </w:rPr>
        <w:t>经常性项目，结合以前年度项目执行情况、绩效情况，制定年度需求与目标。预算编制应更加科学、细化。强化部门预算约束，严格预算执行，减少预算执行中的项目预算调整，平衡好预算执行进度，提高财政资金使用效率和效益。</w:t>
      </w:r>
    </w:p>
    <w:p w:rsidR="001F33CA" w:rsidRDefault="00442F1A">
      <w:pPr>
        <w:ind w:firstLineChars="200" w:firstLine="640"/>
        <w:rPr>
          <w:rFonts w:ascii="仿宋_GB2312" w:eastAsia="仿宋_GB2312"/>
          <w:sz w:val="32"/>
          <w:szCs w:val="32"/>
        </w:rPr>
      </w:pPr>
      <w:r>
        <w:rPr>
          <w:rFonts w:ascii="仿宋_GB2312" w:eastAsia="仿宋_GB2312" w:hint="eastAsia"/>
          <w:sz w:val="32"/>
          <w:szCs w:val="32"/>
        </w:rPr>
        <w:t>2.健全完善项目实施方案和管理制度。根据项目以前年度实施情况或预期计划，制定切实可行的实施方案和管理制度，明确项目管理各项要素，合理安排项目人员分工、进度计划，强化过程管控，增强对项目实施的指导和约束作用，加强项目实施过程控制及监督管理。</w:t>
      </w:r>
    </w:p>
    <w:p w:rsidR="001F33CA" w:rsidRDefault="00442F1A">
      <w:pPr>
        <w:ind w:firstLineChars="200" w:firstLine="640"/>
        <w:rPr>
          <w:rFonts w:ascii="仿宋_GB2312" w:eastAsia="仿宋_GB2312" w:hAnsi="宋体" w:cs="宋体"/>
          <w:color w:val="000000"/>
          <w:kern w:val="0"/>
          <w:sz w:val="32"/>
          <w:szCs w:val="32"/>
        </w:rPr>
      </w:pPr>
      <w:r>
        <w:rPr>
          <w:rFonts w:ascii="仿宋_GB2312" w:eastAsia="仿宋_GB2312" w:hint="eastAsia"/>
          <w:sz w:val="32"/>
          <w:szCs w:val="32"/>
        </w:rPr>
        <w:t>3.加强全面绩效管理意识</w:t>
      </w:r>
      <w:r w:rsidR="00CD4611">
        <w:rPr>
          <w:rFonts w:ascii="仿宋_GB2312" w:eastAsia="仿宋_GB2312" w:hint="eastAsia"/>
          <w:sz w:val="32"/>
          <w:szCs w:val="32"/>
        </w:rPr>
        <w:t>。</w:t>
      </w:r>
      <w:r>
        <w:rPr>
          <w:rFonts w:ascii="仿宋_GB2312" w:eastAsia="仿宋_GB2312" w:hint="eastAsia"/>
          <w:sz w:val="32"/>
          <w:szCs w:val="32"/>
        </w:rPr>
        <w:t>注重项目效益资料收集，</w:t>
      </w:r>
      <w:bookmarkEnd w:id="0"/>
      <w:r>
        <w:rPr>
          <w:rFonts w:ascii="仿宋_GB2312" w:eastAsia="仿宋_GB2312" w:hint="eastAsia"/>
          <w:sz w:val="32"/>
          <w:szCs w:val="32"/>
        </w:rPr>
        <w:t>项目负责人对项目质量和效益资料完整性负责，项目效益用效果资料和数据支撑。落实服务对象满意度调查，结合项目服务对象，选择适当的方</w:t>
      </w:r>
      <w:r>
        <w:rPr>
          <w:rFonts w:ascii="仿宋_GB2312" w:eastAsia="仿宋_GB2312" w:hint="eastAsia"/>
          <w:sz w:val="32"/>
          <w:szCs w:val="32"/>
        </w:rPr>
        <w:lastRenderedPageBreak/>
        <w:t>式、方法，全面开展服务对象满意度调查及分析，充分反映项目服务对象满意度效果，全面客观地呈现财政资金的使用效益。</w:t>
      </w:r>
    </w:p>
    <w:p w:rsidR="001F33CA" w:rsidRDefault="001F33CA">
      <w:pPr>
        <w:rPr>
          <w:rFonts w:ascii="黑体" w:eastAsia="黑体" w:hAnsi="黑体"/>
          <w:sz w:val="32"/>
          <w:szCs w:val="32"/>
        </w:rPr>
      </w:pPr>
    </w:p>
    <w:tbl>
      <w:tblPr>
        <w:tblW w:w="5000" w:type="pct"/>
        <w:tblLayout w:type="fixed"/>
        <w:tblLook w:val="04A0" w:firstRow="1" w:lastRow="0" w:firstColumn="1" w:lastColumn="0" w:noHBand="0" w:noVBand="1"/>
      </w:tblPr>
      <w:tblGrid>
        <w:gridCol w:w="738"/>
        <w:gridCol w:w="1023"/>
        <w:gridCol w:w="1123"/>
        <w:gridCol w:w="1174"/>
        <w:gridCol w:w="884"/>
        <w:gridCol w:w="609"/>
        <w:gridCol w:w="777"/>
        <w:gridCol w:w="3648"/>
        <w:gridCol w:w="4198"/>
      </w:tblGrid>
      <w:tr w:rsidR="001F33CA">
        <w:trPr>
          <w:trHeight w:val="499"/>
        </w:trPr>
        <w:tc>
          <w:tcPr>
            <w:tcW w:w="5000" w:type="pct"/>
            <w:gridSpan w:val="9"/>
            <w:tcBorders>
              <w:top w:val="nil"/>
              <w:left w:val="nil"/>
              <w:bottom w:val="single" w:sz="4" w:space="0" w:color="auto"/>
              <w:right w:val="nil"/>
            </w:tcBorders>
            <w:noWrap/>
            <w:vAlign w:val="bottom"/>
          </w:tcPr>
          <w:p w:rsidR="001F33CA" w:rsidRDefault="00442F1A">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2022年部门整体绩效评价指标体系评分表</w:t>
            </w:r>
          </w:p>
        </w:tc>
      </w:tr>
      <w:tr w:rsidR="001F33CA">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一、当年预算执行情况（20分）</w:t>
            </w:r>
          </w:p>
        </w:tc>
      </w:tr>
      <w:tr w:rsidR="001F33CA">
        <w:trPr>
          <w:trHeight w:val="660"/>
        </w:trPr>
        <w:tc>
          <w:tcPr>
            <w:tcW w:w="260"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一</w:t>
            </w:r>
            <w:r>
              <w:rPr>
                <w:rFonts w:asciiTheme="minorEastAsia" w:eastAsiaTheme="minorEastAsia" w:hAnsiTheme="minorEastAsia" w:cs="宋体"/>
                <w:color w:val="000000"/>
                <w:kern w:val="0"/>
                <w:sz w:val="20"/>
                <w:szCs w:val="20"/>
              </w:rPr>
              <w:t>级指标</w:t>
            </w:r>
            <w:r>
              <w:rPr>
                <w:rFonts w:asciiTheme="minorEastAsia" w:eastAsiaTheme="minorEastAsia" w:hAnsiTheme="minorEastAsia" w:cs="宋体" w:hint="eastAsia"/>
                <w:color w:val="000000"/>
                <w:kern w:val="0"/>
                <w:sz w:val="20"/>
                <w:szCs w:val="20"/>
              </w:rPr>
              <w:t xml:space="preserve">　</w:t>
            </w:r>
          </w:p>
        </w:tc>
        <w:tc>
          <w:tcPr>
            <w:tcW w:w="361"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二</w:t>
            </w:r>
            <w:r>
              <w:rPr>
                <w:rFonts w:asciiTheme="minorEastAsia" w:eastAsiaTheme="minorEastAsia" w:hAnsiTheme="minorEastAsia" w:cs="宋体"/>
                <w:color w:val="000000"/>
                <w:kern w:val="0"/>
                <w:sz w:val="20"/>
                <w:szCs w:val="20"/>
              </w:rPr>
              <w:t>级指标</w:t>
            </w:r>
            <w:r>
              <w:rPr>
                <w:rFonts w:asciiTheme="minorEastAsia" w:eastAsiaTheme="minorEastAsia" w:hAnsiTheme="minorEastAsia" w:cs="宋体" w:hint="eastAsia"/>
                <w:color w:val="000000"/>
                <w:kern w:val="0"/>
                <w:sz w:val="20"/>
                <w:szCs w:val="20"/>
              </w:rPr>
              <w:t xml:space="preserve">　</w:t>
            </w:r>
          </w:p>
        </w:tc>
        <w:tc>
          <w:tcPr>
            <w:tcW w:w="396"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预算数（万元）</w:t>
            </w:r>
          </w:p>
        </w:tc>
        <w:tc>
          <w:tcPr>
            <w:tcW w:w="414"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执行数（万元）</w:t>
            </w:r>
          </w:p>
        </w:tc>
        <w:tc>
          <w:tcPr>
            <w:tcW w:w="312"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预算执行率</w:t>
            </w:r>
          </w:p>
        </w:tc>
        <w:tc>
          <w:tcPr>
            <w:tcW w:w="215"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274"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得分</w:t>
            </w:r>
          </w:p>
        </w:tc>
        <w:tc>
          <w:tcPr>
            <w:tcW w:w="1287"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指标解释</w:t>
            </w:r>
          </w:p>
        </w:tc>
        <w:tc>
          <w:tcPr>
            <w:tcW w:w="1476"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评分标准</w:t>
            </w:r>
          </w:p>
        </w:tc>
      </w:tr>
      <w:tr w:rsidR="001F33CA">
        <w:trPr>
          <w:trHeight w:val="605"/>
        </w:trPr>
        <w:tc>
          <w:tcPr>
            <w:tcW w:w="260" w:type="pct"/>
            <w:vMerge w:val="restart"/>
            <w:tcBorders>
              <w:top w:val="nil"/>
              <w:left w:val="single" w:sz="4" w:space="0" w:color="auto"/>
              <w:bottom w:val="single" w:sz="4" w:space="0" w:color="000000"/>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当年预算执行情况（20）</w:t>
            </w:r>
          </w:p>
        </w:tc>
        <w:tc>
          <w:tcPr>
            <w:tcW w:w="361"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资金总体</w:t>
            </w:r>
          </w:p>
        </w:tc>
        <w:tc>
          <w:tcPr>
            <w:tcW w:w="396" w:type="pct"/>
            <w:tcBorders>
              <w:top w:val="single" w:sz="4" w:space="0" w:color="auto"/>
              <w:left w:val="single" w:sz="4" w:space="0" w:color="auto"/>
              <w:bottom w:val="single" w:sz="4" w:space="0" w:color="auto"/>
              <w:right w:val="single" w:sz="4" w:space="0" w:color="auto"/>
            </w:tcBorders>
            <w:vAlign w:val="center"/>
          </w:tcPr>
          <w:p w:rsidR="001F33CA" w:rsidRDefault="00442F1A" w:rsidP="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11667.</w:t>
            </w:r>
            <w:r w:rsidR="006546E0">
              <w:rPr>
                <w:rFonts w:asciiTheme="minorEastAsia" w:eastAsiaTheme="minorEastAsia" w:hAnsiTheme="minorEastAsia" w:cs="宋体" w:hint="eastAsia"/>
                <w:color w:val="000000"/>
                <w:kern w:val="0"/>
                <w:sz w:val="20"/>
                <w:szCs w:val="20"/>
              </w:rPr>
              <w:t>38</w:t>
            </w:r>
          </w:p>
        </w:tc>
        <w:tc>
          <w:tcPr>
            <w:tcW w:w="414"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11477.96</w:t>
            </w:r>
          </w:p>
        </w:tc>
        <w:tc>
          <w:tcPr>
            <w:tcW w:w="312" w:type="pct"/>
            <w:tcBorders>
              <w:top w:val="single" w:sz="4" w:space="0" w:color="auto"/>
              <w:left w:val="single" w:sz="4" w:space="0" w:color="auto"/>
              <w:bottom w:val="single" w:sz="4" w:space="0" w:color="auto"/>
              <w:right w:val="single" w:sz="4" w:space="0" w:color="auto"/>
            </w:tcBorders>
            <w:vAlign w:val="center"/>
          </w:tcPr>
          <w:p w:rsidR="001F33CA" w:rsidRDefault="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98.38</w:t>
            </w:r>
            <w:r w:rsidR="00442F1A">
              <w:rPr>
                <w:rFonts w:asciiTheme="minorEastAsia" w:eastAsiaTheme="minorEastAsia" w:hAnsiTheme="minorEastAsia" w:cs="宋体"/>
                <w:color w:val="000000"/>
                <w:kern w:val="0"/>
                <w:sz w:val="20"/>
                <w:szCs w:val="20"/>
              </w:rPr>
              <w:t>%</w:t>
            </w:r>
          </w:p>
        </w:tc>
        <w:tc>
          <w:tcPr>
            <w:tcW w:w="215" w:type="pct"/>
            <w:vMerge w:val="restart"/>
            <w:tcBorders>
              <w:top w:val="single" w:sz="4" w:space="0" w:color="auto"/>
              <w:left w:val="single" w:sz="4" w:space="0" w:color="auto"/>
              <w:bottom w:val="single" w:sz="4" w:space="0" w:color="auto"/>
              <w:right w:val="single" w:sz="4" w:space="0" w:color="auto"/>
            </w:tcBorders>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20</w:t>
            </w:r>
          </w:p>
        </w:tc>
        <w:tc>
          <w:tcPr>
            <w:tcW w:w="274" w:type="pct"/>
            <w:vMerge w:val="restart"/>
            <w:tcBorders>
              <w:top w:val="single" w:sz="4" w:space="0" w:color="auto"/>
              <w:left w:val="single" w:sz="4" w:space="0" w:color="auto"/>
              <w:bottom w:val="single" w:sz="4" w:space="0" w:color="auto"/>
              <w:right w:val="single" w:sz="4" w:space="0" w:color="auto"/>
            </w:tcBorders>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19.7</w:t>
            </w:r>
          </w:p>
        </w:tc>
        <w:tc>
          <w:tcPr>
            <w:tcW w:w="1287" w:type="pct"/>
            <w:vMerge w:val="restar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部门全年执行数与全年预算数的比率。资金总体=基本支出+项目支出+其他</w:t>
            </w:r>
          </w:p>
        </w:tc>
        <w:tc>
          <w:tcPr>
            <w:tcW w:w="1476" w:type="pct"/>
            <w:vMerge w:val="restart"/>
            <w:tcBorders>
              <w:top w:val="nil"/>
              <w:left w:val="single" w:sz="4" w:space="0" w:color="auto"/>
              <w:bottom w:val="single" w:sz="4" w:space="0" w:color="auto"/>
              <w:right w:val="single" w:sz="4" w:space="0" w:color="auto"/>
            </w:tcBorders>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①得分一档最高不能超过该指标分值上限（20分）。</w:t>
            </w:r>
            <w:r>
              <w:rPr>
                <w:rFonts w:asciiTheme="minorEastAsia" w:eastAsiaTheme="minorEastAsia" w:hAnsiTheme="minorEastAsia" w:cs="宋体" w:hint="eastAsia"/>
                <w:color w:val="000000"/>
                <w:kern w:val="0"/>
                <w:sz w:val="20"/>
                <w:szCs w:val="20"/>
              </w:rPr>
              <w:br/>
              <w:t>②该指标若为正向指标，则得分计算方法应用全年实际值（B）/年度指标值（A）*该指标分值；若定量指标为反向指标，则得分计算方法</w:t>
            </w:r>
            <w:r>
              <w:rPr>
                <w:rFonts w:asciiTheme="minorEastAsia" w:eastAsiaTheme="minorEastAsia" w:hAnsiTheme="minorEastAsia" w:cs="宋体" w:hint="eastAsia"/>
                <w:color w:val="000000"/>
                <w:kern w:val="0"/>
                <w:sz w:val="20"/>
                <w:szCs w:val="20"/>
              </w:rPr>
              <w:lastRenderedPageBreak/>
              <w:t>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1F33CA">
        <w:trPr>
          <w:trHeight w:val="600"/>
        </w:trPr>
        <w:tc>
          <w:tcPr>
            <w:tcW w:w="260" w:type="pct"/>
            <w:vMerge/>
            <w:tcBorders>
              <w:top w:val="nil"/>
              <w:left w:val="single" w:sz="4" w:space="0" w:color="auto"/>
              <w:bottom w:val="single" w:sz="4" w:space="0" w:color="000000"/>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基本支出</w:t>
            </w:r>
          </w:p>
        </w:tc>
        <w:tc>
          <w:tcPr>
            <w:tcW w:w="396" w:type="pct"/>
            <w:tcBorders>
              <w:top w:val="single" w:sz="4" w:space="0" w:color="auto"/>
              <w:left w:val="single" w:sz="4" w:space="0" w:color="auto"/>
              <w:bottom w:val="single" w:sz="4" w:space="0" w:color="auto"/>
              <w:right w:val="single" w:sz="4" w:space="0" w:color="auto"/>
            </w:tcBorders>
            <w:vAlign w:val="center"/>
          </w:tcPr>
          <w:p w:rsidR="001F33CA" w:rsidRDefault="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10914.82</w:t>
            </w:r>
          </w:p>
        </w:tc>
        <w:tc>
          <w:tcPr>
            <w:tcW w:w="414" w:type="pct"/>
            <w:tcBorders>
              <w:top w:val="single" w:sz="4" w:space="0" w:color="auto"/>
              <w:left w:val="nil"/>
              <w:bottom w:val="single" w:sz="4" w:space="0" w:color="auto"/>
              <w:right w:val="single" w:sz="4" w:space="0" w:color="auto"/>
            </w:tcBorders>
            <w:vAlign w:val="center"/>
          </w:tcPr>
          <w:p w:rsidR="001F33CA" w:rsidRDefault="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10791.27</w:t>
            </w:r>
          </w:p>
        </w:tc>
        <w:tc>
          <w:tcPr>
            <w:tcW w:w="312" w:type="pct"/>
            <w:vMerge w:val="restar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w:t>
            </w:r>
          </w:p>
        </w:tc>
        <w:tc>
          <w:tcPr>
            <w:tcW w:w="215"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74" w:type="pct"/>
            <w:vMerge/>
            <w:tcBorders>
              <w:top w:val="single" w:sz="4" w:space="0" w:color="auto"/>
              <w:left w:val="nil"/>
              <w:bottom w:val="single" w:sz="4" w:space="0" w:color="auto"/>
              <w:right w:val="nil"/>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287"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76" w:type="pct"/>
            <w:vMerge/>
            <w:tcBorders>
              <w:top w:val="nil"/>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trPr>
          <w:trHeight w:val="615"/>
        </w:trPr>
        <w:tc>
          <w:tcPr>
            <w:tcW w:w="260" w:type="pct"/>
            <w:vMerge/>
            <w:tcBorders>
              <w:top w:val="nil"/>
              <w:left w:val="single" w:sz="4" w:space="0" w:color="auto"/>
              <w:bottom w:val="single" w:sz="4" w:space="0" w:color="000000"/>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61" w:type="pct"/>
            <w:tcBorders>
              <w:top w:val="single" w:sz="4" w:space="0" w:color="auto"/>
              <w:left w:val="single" w:sz="4" w:space="0" w:color="auto"/>
              <w:bottom w:val="single" w:sz="4" w:space="0" w:color="auto"/>
              <w:right w:val="nil"/>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项目支出</w:t>
            </w:r>
          </w:p>
        </w:tc>
        <w:tc>
          <w:tcPr>
            <w:tcW w:w="396"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696.93</w:t>
            </w:r>
          </w:p>
        </w:tc>
        <w:tc>
          <w:tcPr>
            <w:tcW w:w="414"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675.99</w:t>
            </w:r>
          </w:p>
        </w:tc>
        <w:tc>
          <w:tcPr>
            <w:tcW w:w="312"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74" w:type="pct"/>
            <w:vMerge/>
            <w:tcBorders>
              <w:top w:val="single" w:sz="4" w:space="0" w:color="auto"/>
              <w:left w:val="nil"/>
              <w:bottom w:val="single" w:sz="4" w:space="0" w:color="auto"/>
              <w:right w:val="nil"/>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287"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76" w:type="pct"/>
            <w:vMerge/>
            <w:tcBorders>
              <w:top w:val="nil"/>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trPr>
          <w:trHeight w:val="2980"/>
        </w:trPr>
        <w:tc>
          <w:tcPr>
            <w:tcW w:w="260" w:type="pct"/>
            <w:vMerge/>
            <w:tcBorders>
              <w:top w:val="nil"/>
              <w:left w:val="single" w:sz="4" w:space="0" w:color="auto"/>
              <w:bottom w:val="single" w:sz="4" w:space="0" w:color="000000"/>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61" w:type="pct"/>
            <w:tcBorders>
              <w:top w:val="single" w:sz="4" w:space="0" w:color="auto"/>
              <w:left w:val="single" w:sz="4" w:space="0" w:color="auto"/>
              <w:bottom w:val="single" w:sz="4" w:space="0" w:color="auto"/>
              <w:right w:val="single" w:sz="4" w:space="0" w:color="auto"/>
            </w:tcBorders>
            <w:vAlign w:val="center"/>
          </w:tcPr>
          <w:p w:rsidR="001F33CA" w:rsidRDefault="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其他</w:t>
            </w:r>
          </w:p>
        </w:tc>
        <w:tc>
          <w:tcPr>
            <w:tcW w:w="396"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w:t>
            </w:r>
            <w:r w:rsidR="006546E0">
              <w:rPr>
                <w:rFonts w:asciiTheme="minorEastAsia" w:eastAsiaTheme="minorEastAsia" w:hAnsiTheme="minorEastAsia" w:cs="宋体" w:hint="eastAsia"/>
                <w:color w:val="000000"/>
                <w:kern w:val="0"/>
                <w:sz w:val="20"/>
                <w:szCs w:val="20"/>
              </w:rPr>
              <w:t>55.63</w:t>
            </w:r>
          </w:p>
        </w:tc>
        <w:tc>
          <w:tcPr>
            <w:tcW w:w="414" w:type="pct"/>
            <w:tcBorders>
              <w:top w:val="single" w:sz="4" w:space="0" w:color="auto"/>
              <w:left w:val="nil"/>
              <w:bottom w:val="single" w:sz="4" w:space="0" w:color="auto"/>
              <w:right w:val="single" w:sz="4" w:space="0" w:color="auto"/>
            </w:tcBorders>
            <w:vAlign w:val="center"/>
          </w:tcPr>
          <w:p w:rsidR="001F33CA" w:rsidRDefault="006546E0" w:rsidP="006546E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10.7</w:t>
            </w:r>
          </w:p>
        </w:tc>
        <w:tc>
          <w:tcPr>
            <w:tcW w:w="312"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15"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74" w:type="pct"/>
            <w:vMerge/>
            <w:tcBorders>
              <w:top w:val="single" w:sz="4" w:space="0" w:color="auto"/>
              <w:left w:val="nil"/>
              <w:bottom w:val="single" w:sz="4" w:space="0" w:color="auto"/>
              <w:right w:val="nil"/>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287" w:type="pct"/>
            <w:vMerge/>
            <w:tcBorders>
              <w:top w:val="single" w:sz="4" w:space="0" w:color="auto"/>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76" w:type="pct"/>
            <w:vMerge/>
            <w:tcBorders>
              <w:top w:val="nil"/>
              <w:left w:val="single" w:sz="4" w:space="0" w:color="auto"/>
              <w:bottom w:val="single" w:sz="4" w:space="0" w:color="auto"/>
              <w:right w:val="single" w:sz="4" w:space="0" w:color="auto"/>
            </w:tcBorders>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trPr>
          <w:trHeight w:val="569"/>
        </w:trPr>
        <w:tc>
          <w:tcPr>
            <w:tcW w:w="5000" w:type="pct"/>
            <w:gridSpan w:val="9"/>
            <w:tcBorders>
              <w:top w:val="nil"/>
              <w:left w:val="single" w:sz="4" w:space="0" w:color="auto"/>
              <w:bottom w:val="single" w:sz="4" w:space="0" w:color="auto"/>
              <w:right w:val="single" w:sz="4" w:space="0" w:color="auto"/>
            </w:tcBorders>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lastRenderedPageBreak/>
              <w:t>二</w:t>
            </w:r>
            <w:r>
              <w:rPr>
                <w:rFonts w:asciiTheme="minorEastAsia" w:eastAsiaTheme="minorEastAsia" w:hAnsiTheme="minorEastAsia" w:cs="宋体"/>
                <w:color w:val="000000"/>
                <w:kern w:val="0"/>
                <w:sz w:val="20"/>
                <w:szCs w:val="20"/>
              </w:rPr>
              <w:t>、</w:t>
            </w:r>
            <w:r>
              <w:rPr>
                <w:rFonts w:asciiTheme="minorEastAsia" w:eastAsiaTheme="minorEastAsia" w:hAnsiTheme="minorEastAsia" w:cs="宋体" w:hint="eastAsia"/>
                <w:color w:val="000000"/>
                <w:kern w:val="0"/>
                <w:sz w:val="20"/>
                <w:szCs w:val="20"/>
              </w:rPr>
              <w:t>整体绩效目标实现情况（60分）</w:t>
            </w:r>
          </w:p>
        </w:tc>
      </w:tr>
      <w:tr w:rsidR="001F33CA">
        <w:trPr>
          <w:trHeight w:val="499"/>
        </w:trPr>
        <w:tc>
          <w:tcPr>
            <w:tcW w:w="260"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一</w:t>
            </w:r>
            <w:r>
              <w:rPr>
                <w:rFonts w:asciiTheme="minorEastAsia" w:eastAsiaTheme="minorEastAsia" w:hAnsiTheme="minorEastAsia" w:cs="宋体"/>
                <w:color w:val="000000"/>
                <w:kern w:val="0"/>
                <w:sz w:val="20"/>
                <w:szCs w:val="20"/>
              </w:rPr>
              <w:t>级指标</w:t>
            </w:r>
          </w:p>
        </w:tc>
        <w:tc>
          <w:tcPr>
            <w:tcW w:w="361"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二</w:t>
            </w:r>
            <w:r>
              <w:rPr>
                <w:rFonts w:asciiTheme="minorEastAsia" w:eastAsiaTheme="minorEastAsia" w:hAnsiTheme="minorEastAsia" w:cs="宋体"/>
                <w:color w:val="000000"/>
                <w:kern w:val="0"/>
                <w:sz w:val="20"/>
                <w:szCs w:val="20"/>
              </w:rPr>
              <w:t>级指标</w:t>
            </w:r>
            <w:r>
              <w:rPr>
                <w:rFonts w:asciiTheme="minorEastAsia" w:eastAsiaTheme="minorEastAsia" w:hAnsiTheme="minorEastAsia" w:cs="宋体" w:hint="eastAsia"/>
                <w:color w:val="000000"/>
                <w:kern w:val="0"/>
                <w:sz w:val="20"/>
                <w:szCs w:val="20"/>
              </w:rPr>
              <w:t xml:space="preserve">　</w:t>
            </w:r>
          </w:p>
        </w:tc>
        <w:tc>
          <w:tcPr>
            <w:tcW w:w="396"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三</w:t>
            </w:r>
            <w:r>
              <w:rPr>
                <w:rFonts w:asciiTheme="minorEastAsia" w:eastAsiaTheme="minorEastAsia" w:hAnsiTheme="minorEastAsia" w:cs="宋体"/>
                <w:color w:val="000000"/>
                <w:kern w:val="0"/>
                <w:sz w:val="20"/>
                <w:szCs w:val="20"/>
              </w:rPr>
              <w:t>级指标</w:t>
            </w:r>
            <w:r>
              <w:rPr>
                <w:rFonts w:asciiTheme="minorEastAsia" w:eastAsiaTheme="minorEastAsia" w:hAnsiTheme="minorEastAsia" w:cs="宋体" w:hint="eastAsia"/>
                <w:color w:val="000000"/>
                <w:kern w:val="0"/>
                <w:sz w:val="20"/>
                <w:szCs w:val="20"/>
              </w:rPr>
              <w:t xml:space="preserve">　</w:t>
            </w:r>
          </w:p>
        </w:tc>
        <w:tc>
          <w:tcPr>
            <w:tcW w:w="414"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指标值</w:t>
            </w:r>
          </w:p>
        </w:tc>
        <w:tc>
          <w:tcPr>
            <w:tcW w:w="312"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完成值</w:t>
            </w:r>
          </w:p>
        </w:tc>
        <w:tc>
          <w:tcPr>
            <w:tcW w:w="215" w:type="pct"/>
            <w:tcBorders>
              <w:top w:val="single" w:sz="4" w:space="0" w:color="auto"/>
              <w:left w:val="nil"/>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274" w:type="pct"/>
            <w:tcBorders>
              <w:top w:val="single" w:sz="4" w:space="0" w:color="auto"/>
              <w:left w:val="nil"/>
              <w:bottom w:val="single" w:sz="4" w:space="0" w:color="auto"/>
              <w:right w:val="nil"/>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得分</w:t>
            </w:r>
          </w:p>
        </w:tc>
        <w:tc>
          <w:tcPr>
            <w:tcW w:w="1287"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bCs/>
                <w:color w:val="000000"/>
                <w:kern w:val="0"/>
                <w:sz w:val="20"/>
                <w:szCs w:val="20"/>
              </w:rPr>
            </w:pPr>
            <w:r>
              <w:rPr>
                <w:rFonts w:asciiTheme="minorEastAsia" w:eastAsiaTheme="minorEastAsia" w:hAnsiTheme="minorEastAsia" w:cs="宋体" w:hint="eastAsia"/>
                <w:bCs/>
                <w:color w:val="000000"/>
                <w:kern w:val="0"/>
                <w:sz w:val="20"/>
                <w:szCs w:val="20"/>
              </w:rPr>
              <w:t>指标</w:t>
            </w:r>
            <w:r>
              <w:rPr>
                <w:rFonts w:asciiTheme="minorEastAsia" w:eastAsiaTheme="minorEastAsia" w:hAnsiTheme="minorEastAsia" w:cs="宋体"/>
                <w:bCs/>
                <w:color w:val="000000"/>
                <w:kern w:val="0"/>
                <w:sz w:val="20"/>
                <w:szCs w:val="20"/>
              </w:rPr>
              <w:t>解释</w:t>
            </w:r>
          </w:p>
        </w:tc>
        <w:tc>
          <w:tcPr>
            <w:tcW w:w="1476" w:type="pct"/>
            <w:tcBorders>
              <w:top w:val="single" w:sz="4" w:space="0" w:color="auto"/>
              <w:left w:val="single" w:sz="4" w:space="0" w:color="auto"/>
              <w:bottom w:val="single" w:sz="4" w:space="0" w:color="auto"/>
              <w:right w:val="single" w:sz="4" w:space="0" w:color="auto"/>
            </w:tcBorders>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评</w:t>
            </w:r>
            <w:r>
              <w:rPr>
                <w:rFonts w:asciiTheme="minorEastAsia" w:eastAsiaTheme="minorEastAsia" w:hAnsiTheme="minorEastAsia" w:cs="宋体"/>
                <w:color w:val="000000"/>
                <w:kern w:val="0"/>
                <w:sz w:val="20"/>
                <w:szCs w:val="20"/>
              </w:rPr>
              <w:t>分标准</w:t>
            </w:r>
          </w:p>
        </w:tc>
      </w:tr>
    </w:tbl>
    <w:p w:rsidR="001F33CA" w:rsidRDefault="001F33CA">
      <w:pPr>
        <w:rPr>
          <w:rFonts w:asciiTheme="minorEastAsia" w:eastAsiaTheme="minorEastAsia" w:hAnsiTheme="minorEastAsi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44"/>
        <w:gridCol w:w="1085"/>
        <w:gridCol w:w="1116"/>
        <w:gridCol w:w="1133"/>
        <w:gridCol w:w="616"/>
        <w:gridCol w:w="762"/>
        <w:gridCol w:w="3629"/>
        <w:gridCol w:w="4173"/>
      </w:tblGrid>
      <w:tr w:rsidR="001F33CA" w:rsidTr="00415E12">
        <w:trPr>
          <w:trHeight w:val="1196"/>
        </w:trPr>
        <w:tc>
          <w:tcPr>
            <w:tcW w:w="287" w:type="pct"/>
            <w:vMerge w:val="restar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整体绩效目标实现情况（60）</w:t>
            </w:r>
          </w:p>
        </w:tc>
        <w:tc>
          <w:tcPr>
            <w:tcW w:w="298" w:type="pct"/>
            <w:vMerge w:val="restart"/>
            <w:vAlign w:val="center"/>
          </w:tcPr>
          <w:p w:rsidR="001F33CA" w:rsidRDefault="001F33CA">
            <w:pPr>
              <w:widowControl/>
              <w:jc w:val="center"/>
              <w:rPr>
                <w:rFonts w:asciiTheme="minorEastAsia" w:eastAsiaTheme="minorEastAsia" w:hAnsiTheme="minorEastAsia" w:cs="宋体"/>
                <w:color w:val="000000"/>
                <w:kern w:val="0"/>
                <w:sz w:val="20"/>
                <w:szCs w:val="20"/>
              </w:rPr>
            </w:pPr>
          </w:p>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产出（30）</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393" w:type="pct"/>
            <w:vAlign w:val="center"/>
          </w:tcPr>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案件办结数量等业务指标</w:t>
            </w:r>
          </w:p>
        </w:tc>
        <w:tc>
          <w:tcPr>
            <w:tcW w:w="398" w:type="pct"/>
            <w:vAlign w:val="center"/>
          </w:tcPr>
          <w:p w:rsidR="001F33CA" w:rsidRDefault="001F33CA">
            <w:pPr>
              <w:widowControl/>
              <w:jc w:val="center"/>
              <w:rPr>
                <w:rFonts w:asciiTheme="minorEastAsia" w:eastAsiaTheme="minorEastAsia" w:hAnsiTheme="minorEastAsia" w:cs="宋体"/>
                <w:color w:val="000000"/>
                <w:kern w:val="0"/>
                <w:sz w:val="20"/>
                <w:szCs w:val="20"/>
              </w:rPr>
            </w:pPr>
          </w:p>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color w:val="000000"/>
                <w:kern w:val="0"/>
                <w:sz w:val="20"/>
                <w:szCs w:val="20"/>
              </w:rPr>
              <w:t>部门产出数量与绩效目标相符</w:t>
            </w:r>
          </w:p>
        </w:tc>
        <w:tc>
          <w:tcPr>
            <w:tcW w:w="217" w:type="pct"/>
            <w:vAlign w:val="center"/>
          </w:tcPr>
          <w:p w:rsidR="001F33CA" w:rsidRDefault="001F33CA">
            <w:pPr>
              <w:widowControl/>
              <w:jc w:val="center"/>
              <w:rPr>
                <w:rFonts w:asciiTheme="minorEastAsia" w:eastAsiaTheme="minorEastAsia" w:hAnsiTheme="minorEastAsia" w:cs="宋体"/>
                <w:color w:val="000000"/>
                <w:kern w:val="0"/>
                <w:sz w:val="20"/>
                <w:szCs w:val="20"/>
              </w:rPr>
            </w:pPr>
          </w:p>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w:t>
            </w:r>
          </w:p>
        </w:tc>
        <w:tc>
          <w:tcPr>
            <w:tcW w:w="269" w:type="pct"/>
            <w:vAlign w:val="center"/>
          </w:tcPr>
          <w:p w:rsidR="001F33CA" w:rsidRDefault="001F33CA">
            <w:pPr>
              <w:widowControl/>
              <w:jc w:val="center"/>
              <w:rPr>
                <w:rFonts w:asciiTheme="minorEastAsia" w:eastAsiaTheme="minorEastAsia" w:hAnsiTheme="minorEastAsia" w:cs="宋体"/>
                <w:color w:val="000000"/>
                <w:kern w:val="0"/>
                <w:sz w:val="20"/>
                <w:szCs w:val="20"/>
              </w:rPr>
            </w:pPr>
          </w:p>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color w:val="000000"/>
                <w:kern w:val="0"/>
                <w:sz w:val="20"/>
                <w:szCs w:val="20"/>
              </w:rPr>
              <w:t>10</w:t>
            </w:r>
          </w:p>
        </w:tc>
        <w:tc>
          <w:tcPr>
            <w:tcW w:w="1280" w:type="pct"/>
            <w:vMerge w:val="restar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产出数量</w:t>
            </w:r>
            <w:r>
              <w:rPr>
                <w:rFonts w:asciiTheme="minorEastAsia" w:eastAsiaTheme="minorEastAsia" w:hAnsiTheme="minorEastAsia" w:cs="宋体" w:hint="eastAsia"/>
                <w:color w:val="000000"/>
                <w:kern w:val="0"/>
                <w:sz w:val="20"/>
                <w:szCs w:val="20"/>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Theme="minorEastAsia" w:eastAsiaTheme="minorEastAsia" w:hAnsiTheme="minorEastAsia" w:cs="宋体" w:hint="eastAsia"/>
                <w:b/>
                <w:bCs/>
                <w:color w:val="000000"/>
                <w:kern w:val="0"/>
                <w:sz w:val="20"/>
                <w:szCs w:val="20"/>
              </w:rPr>
              <w:t>产出质量</w:t>
            </w:r>
            <w:r>
              <w:rPr>
                <w:rFonts w:asciiTheme="minorEastAsia" w:eastAsiaTheme="minorEastAsia" w:hAnsiTheme="minorEastAsia" w:cs="宋体" w:hint="eastAsia"/>
                <w:color w:val="000000"/>
                <w:kern w:val="0"/>
                <w:sz w:val="20"/>
                <w:szCs w:val="20"/>
              </w:rPr>
              <w:t>：质量达标率=质量达标工作数/实际完成工作数×100%。质量达标工作数：一定时</w:t>
            </w:r>
            <w:r>
              <w:rPr>
                <w:rFonts w:asciiTheme="minorEastAsia" w:eastAsiaTheme="minorEastAsia" w:hAnsiTheme="minorEastAsia" w:cs="宋体" w:hint="eastAsia"/>
                <w:color w:val="000000"/>
                <w:kern w:val="0"/>
                <w:sz w:val="20"/>
                <w:szCs w:val="20"/>
              </w:rPr>
              <w:lastRenderedPageBreak/>
              <w:t>期（年度或规划期）内部门（单位）实际完成工作数中达到部门绩效目标要求（绩效标准值）的工作任务数量。</w:t>
            </w:r>
            <w:r>
              <w:rPr>
                <w:rFonts w:asciiTheme="minorEastAsia" w:eastAsiaTheme="minorEastAsia" w:hAnsiTheme="minorEastAsia" w:cs="宋体" w:hint="eastAsia"/>
                <w:b/>
                <w:bCs/>
                <w:color w:val="000000"/>
                <w:kern w:val="0"/>
                <w:sz w:val="20"/>
                <w:szCs w:val="20"/>
              </w:rPr>
              <w:t>产出进度：</w:t>
            </w:r>
            <w:r>
              <w:rPr>
                <w:rFonts w:asciiTheme="minorEastAsia" w:eastAsiaTheme="minorEastAsia" w:hAnsiTheme="minorEastAsia" w:cs="宋体" w:hint="eastAsia"/>
                <w:color w:val="000000"/>
                <w:kern w:val="0"/>
                <w:sz w:val="20"/>
                <w:szCs w:val="20"/>
              </w:rPr>
              <w:t>按时完成率=（按时完成工作数/实际完成工作数）×100%。按时完成工作数：部门（单位）按照整体绩效目标确定的时限实际完成的工作任务数量。</w:t>
            </w:r>
            <w:r>
              <w:rPr>
                <w:rFonts w:asciiTheme="minorEastAsia" w:eastAsiaTheme="minorEastAsia" w:hAnsiTheme="minorEastAsia" w:cs="宋体" w:hint="eastAsia"/>
                <w:b/>
                <w:bCs/>
                <w:color w:val="000000"/>
                <w:kern w:val="0"/>
                <w:sz w:val="20"/>
                <w:szCs w:val="20"/>
              </w:rPr>
              <w:t>产出成本</w:t>
            </w:r>
            <w:r>
              <w:rPr>
                <w:rFonts w:asciiTheme="minorEastAsia" w:eastAsiaTheme="minorEastAsia" w:hAnsiTheme="minorEastAsia" w:cs="宋体" w:hint="eastAsia"/>
                <w:color w:val="000000"/>
                <w:kern w:val="0"/>
                <w:sz w:val="20"/>
                <w:szCs w:val="20"/>
              </w:rPr>
              <w:t>：单位产出相对于上一年度的节约额；②单位产出相对于市场同类产出的节约额；③部门公用经费的控制情况。</w:t>
            </w:r>
          </w:p>
        </w:tc>
        <w:tc>
          <w:tcPr>
            <w:tcW w:w="1469" w:type="pct"/>
            <w:vMerge w:val="restar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lastRenderedPageBreak/>
              <w:t>部门根据本单位情况自行确定并选择产出指标，合理确定各项指标权重。可量化的指标按照比率*单项指标分值即为该指标得分。如果不能定量评价，则以定性的方式进行自评。</w:t>
            </w:r>
          </w:p>
        </w:tc>
      </w:tr>
      <w:tr w:rsidR="001F33CA" w:rsidTr="00415E12">
        <w:trPr>
          <w:trHeight w:val="113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质量指标</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案件办结率等业务指标</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部门产出质量提升及达到标准</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w:t>
            </w:r>
          </w:p>
        </w:tc>
        <w:tc>
          <w:tcPr>
            <w:tcW w:w="269" w:type="pct"/>
            <w:noWrap/>
            <w:vAlign w:val="center"/>
          </w:tcPr>
          <w:p w:rsidR="001F33CA" w:rsidRDefault="00442F1A">
            <w:pPr>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w:t>
            </w:r>
            <w:r>
              <w:rPr>
                <w:rFonts w:asciiTheme="minorEastAsia" w:eastAsiaTheme="minorEastAsia" w:hAnsiTheme="minorEastAsia" w:cs="宋体"/>
                <w:color w:val="000000"/>
                <w:kern w:val="0"/>
                <w:sz w:val="20"/>
                <w:szCs w:val="20"/>
              </w:rPr>
              <w:t>0</w:t>
            </w:r>
          </w:p>
        </w:tc>
        <w:tc>
          <w:tcPr>
            <w:tcW w:w="1280"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69"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rsidTr="00415E12">
        <w:trPr>
          <w:trHeight w:val="1258"/>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进度指标</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完成全年项目</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w:t>
            </w:r>
            <w:r>
              <w:rPr>
                <w:rFonts w:asciiTheme="minorEastAsia" w:eastAsiaTheme="minorEastAsia" w:hAnsiTheme="minorEastAsia" w:cs="宋体"/>
                <w:color w:val="000000"/>
                <w:kern w:val="0"/>
                <w:sz w:val="20"/>
                <w:szCs w:val="20"/>
              </w:rPr>
              <w:t>02</w:t>
            </w:r>
            <w:r>
              <w:rPr>
                <w:rFonts w:asciiTheme="minorEastAsia" w:eastAsiaTheme="minorEastAsia" w:hAnsiTheme="minorEastAsia" w:cs="宋体" w:hint="eastAsia"/>
                <w:color w:val="000000"/>
                <w:kern w:val="0"/>
                <w:sz w:val="20"/>
                <w:szCs w:val="20"/>
              </w:rPr>
              <w:t xml:space="preserve">2年全年执行，无项目结转　</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5</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5</w:t>
            </w:r>
          </w:p>
        </w:tc>
        <w:tc>
          <w:tcPr>
            <w:tcW w:w="1280"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69"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rsidTr="00415E12">
        <w:trPr>
          <w:trHeight w:val="975"/>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成本指标</w:t>
            </w:r>
          </w:p>
        </w:tc>
        <w:tc>
          <w:tcPr>
            <w:tcW w:w="393" w:type="pct"/>
            <w:vAlign w:val="center"/>
          </w:tcPr>
          <w:p w:rsidR="001F33CA" w:rsidRDefault="00442F1A" w:rsidP="00415E12">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部门预算控制在11667.</w:t>
            </w:r>
            <w:r w:rsidR="00415E12">
              <w:rPr>
                <w:rFonts w:asciiTheme="minorEastAsia" w:eastAsiaTheme="minorEastAsia" w:hAnsiTheme="minorEastAsia" w:cs="宋体" w:hint="eastAsia"/>
                <w:color w:val="000000"/>
                <w:kern w:val="0"/>
                <w:sz w:val="20"/>
                <w:szCs w:val="20"/>
              </w:rPr>
              <w:t>38</w:t>
            </w:r>
            <w:r>
              <w:rPr>
                <w:rFonts w:asciiTheme="minorEastAsia" w:eastAsiaTheme="minorEastAsia" w:hAnsiTheme="minorEastAsia" w:cs="宋体" w:hint="eastAsia"/>
                <w:color w:val="000000"/>
                <w:kern w:val="0"/>
                <w:sz w:val="20"/>
                <w:szCs w:val="20"/>
              </w:rPr>
              <w:t>万元内</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年度预算执行11477.96万元</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5</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4　</w:t>
            </w:r>
          </w:p>
        </w:tc>
        <w:tc>
          <w:tcPr>
            <w:tcW w:w="1280"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69"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rsidTr="00415E12">
        <w:trPr>
          <w:trHeight w:val="675"/>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restar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效果（30）</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社会效益</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服务首都高质量发展，强化检察履职的使命担当</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达到预期目标，资料需进一步完善</w:t>
            </w:r>
          </w:p>
        </w:tc>
        <w:tc>
          <w:tcPr>
            <w:tcW w:w="217"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9</w:t>
            </w:r>
          </w:p>
        </w:tc>
        <w:tc>
          <w:tcPr>
            <w:tcW w:w="1280" w:type="pct"/>
            <w:vMerge w:val="restar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经济效益</w:t>
            </w:r>
            <w:r>
              <w:rPr>
                <w:rFonts w:asciiTheme="minorEastAsia" w:eastAsiaTheme="minorEastAsia" w:hAnsiTheme="minorEastAsia" w:cs="宋体" w:hint="eastAsia"/>
                <w:color w:val="000000"/>
                <w:kern w:val="0"/>
                <w:sz w:val="20"/>
                <w:szCs w:val="20"/>
              </w:rPr>
              <w:t>：部门（单位）履行职责对经济发展所带来的直接或间接影响。</w:t>
            </w:r>
            <w:r>
              <w:rPr>
                <w:rFonts w:asciiTheme="minorEastAsia" w:eastAsiaTheme="minorEastAsia" w:hAnsiTheme="minorEastAsia" w:cs="宋体" w:hint="eastAsia"/>
                <w:b/>
                <w:bCs/>
                <w:color w:val="000000"/>
                <w:kern w:val="0"/>
                <w:sz w:val="20"/>
                <w:szCs w:val="20"/>
              </w:rPr>
              <w:t>社会效益</w:t>
            </w:r>
            <w:r>
              <w:rPr>
                <w:rFonts w:asciiTheme="minorEastAsia" w:eastAsiaTheme="minorEastAsia" w:hAnsiTheme="minorEastAsia" w:cs="宋体" w:hint="eastAsia"/>
                <w:color w:val="000000"/>
                <w:kern w:val="0"/>
                <w:sz w:val="20"/>
                <w:szCs w:val="20"/>
              </w:rPr>
              <w:t>：部门（单位）履行职责对社会发展所带来的直接或间接影响。</w:t>
            </w:r>
            <w:r>
              <w:rPr>
                <w:rFonts w:asciiTheme="minorEastAsia" w:eastAsiaTheme="minorEastAsia" w:hAnsiTheme="minorEastAsia" w:cs="宋体" w:hint="eastAsia"/>
                <w:b/>
                <w:bCs/>
                <w:color w:val="000000"/>
                <w:kern w:val="0"/>
                <w:sz w:val="20"/>
                <w:szCs w:val="20"/>
              </w:rPr>
              <w:t>环境效益</w:t>
            </w:r>
            <w:r>
              <w:rPr>
                <w:rFonts w:asciiTheme="minorEastAsia" w:eastAsiaTheme="minorEastAsia" w:hAnsiTheme="minorEastAsia" w:cs="宋体" w:hint="eastAsia"/>
                <w:color w:val="000000"/>
                <w:kern w:val="0"/>
                <w:sz w:val="20"/>
                <w:szCs w:val="20"/>
              </w:rPr>
              <w:t>：部门（单位）履行职责对环境所带来的直接或间接影响。</w:t>
            </w:r>
            <w:r>
              <w:rPr>
                <w:rFonts w:asciiTheme="minorEastAsia" w:eastAsiaTheme="minorEastAsia" w:hAnsiTheme="minorEastAsia" w:cs="宋体" w:hint="eastAsia"/>
                <w:b/>
                <w:bCs/>
                <w:color w:val="000000"/>
                <w:kern w:val="0"/>
                <w:sz w:val="20"/>
                <w:szCs w:val="20"/>
              </w:rPr>
              <w:t>可持续性影响：</w:t>
            </w:r>
            <w:r>
              <w:rPr>
                <w:rFonts w:asciiTheme="minorEastAsia" w:eastAsiaTheme="minorEastAsia" w:hAnsiTheme="minorEastAsia" w:cs="宋体" w:hint="eastAsia"/>
                <w:color w:val="000000"/>
                <w:kern w:val="0"/>
                <w:sz w:val="20"/>
                <w:szCs w:val="20"/>
              </w:rPr>
              <w:t>部门绩效目标实现的长效机制建设情况，部门工作效率提升措施的创新。</w:t>
            </w:r>
            <w:r>
              <w:rPr>
                <w:rFonts w:asciiTheme="minorEastAsia" w:eastAsiaTheme="minorEastAsia" w:hAnsiTheme="minorEastAsia" w:cs="宋体" w:hint="eastAsia"/>
                <w:b/>
                <w:bCs/>
                <w:color w:val="000000"/>
                <w:kern w:val="0"/>
                <w:sz w:val="20"/>
                <w:szCs w:val="20"/>
              </w:rPr>
              <w:t>服务对象满意度</w:t>
            </w:r>
            <w:r>
              <w:rPr>
                <w:rFonts w:asciiTheme="minorEastAsia" w:eastAsiaTheme="minorEastAsia" w:hAnsiTheme="minorEastAsia" w:cs="宋体" w:hint="eastAsia"/>
                <w:color w:val="000000"/>
                <w:kern w:val="0"/>
                <w:sz w:val="20"/>
                <w:szCs w:val="20"/>
              </w:rPr>
              <w:t>：部门（单位）的服务对象对部门履职效果的满意程度。</w:t>
            </w:r>
          </w:p>
        </w:tc>
        <w:tc>
          <w:tcPr>
            <w:tcW w:w="1469" w:type="pct"/>
            <w:vMerge w:val="restar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部门根据实际情况选择指标进行填写，并将其细化为相应的个性化指标。对于效益类指标可从受益对象瞄准度、受益广度和受益深度上进行设计分析。</w:t>
            </w:r>
          </w:p>
        </w:tc>
      </w:tr>
      <w:tr w:rsidR="001F33CA" w:rsidTr="00415E12">
        <w:trPr>
          <w:trHeight w:val="63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可持续性影响</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推进检察高质量发展，强化检察发展行稳致</w:t>
            </w:r>
            <w:proofErr w:type="gramStart"/>
            <w:r>
              <w:rPr>
                <w:rFonts w:asciiTheme="minorEastAsia" w:eastAsiaTheme="minorEastAsia" w:hAnsiTheme="minorEastAsia" w:cs="宋体" w:hint="eastAsia"/>
                <w:color w:val="000000"/>
                <w:kern w:val="0"/>
                <w:sz w:val="20"/>
                <w:szCs w:val="20"/>
              </w:rPr>
              <w:t>远战略</w:t>
            </w:r>
            <w:proofErr w:type="gramEnd"/>
            <w:r>
              <w:rPr>
                <w:rFonts w:asciiTheme="minorEastAsia" w:eastAsiaTheme="minorEastAsia" w:hAnsiTheme="minorEastAsia" w:cs="宋体" w:hint="eastAsia"/>
                <w:color w:val="000000"/>
                <w:kern w:val="0"/>
                <w:sz w:val="20"/>
                <w:szCs w:val="20"/>
              </w:rPr>
              <w:t>支撑</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达到预期目标，资料需进一步完善</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9</w:t>
            </w:r>
          </w:p>
        </w:tc>
        <w:tc>
          <w:tcPr>
            <w:tcW w:w="1280"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69"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rsidTr="00415E12">
        <w:trPr>
          <w:trHeight w:val="1365"/>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服务对象满意程度</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服务对象满意度9</w:t>
            </w:r>
            <w:r>
              <w:rPr>
                <w:rFonts w:asciiTheme="minorEastAsia" w:eastAsiaTheme="minorEastAsia" w:hAnsiTheme="minorEastAsia" w:cs="宋体"/>
                <w:color w:val="000000"/>
                <w:kern w:val="0"/>
                <w:sz w:val="20"/>
                <w:szCs w:val="20"/>
              </w:rPr>
              <w:t>0%</w:t>
            </w:r>
            <w:r>
              <w:rPr>
                <w:rFonts w:asciiTheme="minorEastAsia" w:eastAsiaTheme="minorEastAsia" w:hAnsiTheme="minorEastAsia" w:cs="宋体" w:hint="eastAsia"/>
                <w:color w:val="000000"/>
                <w:kern w:val="0"/>
                <w:sz w:val="20"/>
                <w:szCs w:val="20"/>
              </w:rPr>
              <w:t>以上</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满意度达到要求，但资料需进一步完善</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8</w:t>
            </w:r>
          </w:p>
        </w:tc>
        <w:tc>
          <w:tcPr>
            <w:tcW w:w="1280"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1469"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r>
      <w:tr w:rsidR="001F33CA" w:rsidTr="00415E12">
        <w:trPr>
          <w:trHeight w:val="699"/>
        </w:trPr>
        <w:tc>
          <w:tcPr>
            <w:tcW w:w="5000" w:type="pct"/>
            <w:gridSpan w:val="9"/>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lastRenderedPageBreak/>
              <w:t>三</w:t>
            </w:r>
            <w:r>
              <w:rPr>
                <w:rFonts w:asciiTheme="minorEastAsia" w:eastAsiaTheme="minorEastAsia" w:hAnsiTheme="minorEastAsia" w:cs="宋体"/>
                <w:color w:val="000000"/>
                <w:kern w:val="0"/>
                <w:sz w:val="20"/>
                <w:szCs w:val="20"/>
              </w:rPr>
              <w:t>、</w:t>
            </w:r>
            <w:r>
              <w:rPr>
                <w:rFonts w:asciiTheme="minorEastAsia" w:eastAsiaTheme="minorEastAsia" w:hAnsiTheme="minorEastAsia" w:cs="宋体" w:hint="eastAsia"/>
                <w:color w:val="000000"/>
                <w:kern w:val="0"/>
                <w:sz w:val="20"/>
                <w:szCs w:val="20"/>
              </w:rPr>
              <w:t>预算管理情况（20分）</w:t>
            </w:r>
          </w:p>
        </w:tc>
      </w:tr>
      <w:tr w:rsidR="001F33CA" w:rsidTr="00415E12">
        <w:trPr>
          <w:trHeight w:val="702"/>
        </w:trPr>
        <w:tc>
          <w:tcPr>
            <w:tcW w:w="28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一</w:t>
            </w:r>
            <w:r>
              <w:rPr>
                <w:rFonts w:asciiTheme="minorEastAsia" w:eastAsiaTheme="minorEastAsia" w:hAnsiTheme="minorEastAsia" w:cs="宋体"/>
                <w:color w:val="000000"/>
                <w:kern w:val="0"/>
                <w:sz w:val="20"/>
                <w:szCs w:val="20"/>
              </w:rPr>
              <w:t>级指标</w:t>
            </w:r>
          </w:p>
        </w:tc>
        <w:tc>
          <w:tcPr>
            <w:tcW w:w="2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二</w:t>
            </w:r>
            <w:r>
              <w:rPr>
                <w:rFonts w:asciiTheme="minorEastAsia" w:eastAsiaTheme="minorEastAsia" w:hAnsiTheme="minorEastAsia" w:cs="宋体"/>
                <w:color w:val="000000"/>
                <w:kern w:val="0"/>
                <w:sz w:val="20"/>
                <w:szCs w:val="20"/>
              </w:rPr>
              <w:t>级指标</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三</w:t>
            </w:r>
            <w:r>
              <w:rPr>
                <w:rFonts w:asciiTheme="minorEastAsia" w:eastAsiaTheme="minorEastAsia" w:hAnsiTheme="minorEastAsia" w:cs="宋体"/>
                <w:color w:val="000000"/>
                <w:kern w:val="0"/>
                <w:sz w:val="20"/>
                <w:szCs w:val="20"/>
              </w:rPr>
              <w:t>级指标</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指标</w:t>
            </w:r>
            <w:r>
              <w:rPr>
                <w:rFonts w:asciiTheme="minorEastAsia" w:eastAsiaTheme="minorEastAsia" w:hAnsiTheme="minorEastAsia" w:cs="宋体"/>
                <w:color w:val="000000"/>
                <w:kern w:val="0"/>
                <w:sz w:val="20"/>
                <w:szCs w:val="20"/>
              </w:rPr>
              <w:t>值</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完成</w:t>
            </w:r>
            <w:r>
              <w:rPr>
                <w:rFonts w:asciiTheme="minorEastAsia" w:eastAsiaTheme="minorEastAsia" w:hAnsiTheme="minorEastAsia" w:cs="宋体"/>
                <w:color w:val="000000"/>
                <w:kern w:val="0"/>
                <w:sz w:val="20"/>
                <w:szCs w:val="20"/>
              </w:rPr>
              <w:t>值</w:t>
            </w:r>
          </w:p>
        </w:tc>
        <w:tc>
          <w:tcPr>
            <w:tcW w:w="217"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分</w:t>
            </w:r>
            <w:r>
              <w:rPr>
                <w:rFonts w:asciiTheme="minorEastAsia" w:eastAsiaTheme="minorEastAsia" w:hAnsiTheme="minorEastAsia" w:cs="宋体"/>
                <w:color w:val="000000"/>
                <w:kern w:val="0"/>
                <w:sz w:val="20"/>
                <w:szCs w:val="20"/>
              </w:rPr>
              <w:t>值</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得</w:t>
            </w:r>
            <w:r>
              <w:rPr>
                <w:rFonts w:asciiTheme="minorEastAsia" w:eastAsiaTheme="minorEastAsia" w:hAnsiTheme="minorEastAsia" w:cs="宋体"/>
                <w:color w:val="000000"/>
                <w:kern w:val="0"/>
                <w:sz w:val="20"/>
                <w:szCs w:val="20"/>
              </w:rPr>
              <w:t>分</w:t>
            </w:r>
          </w:p>
        </w:tc>
        <w:tc>
          <w:tcPr>
            <w:tcW w:w="1280" w:type="pct"/>
            <w:vAlign w:val="center"/>
          </w:tcPr>
          <w:p w:rsidR="001F33CA" w:rsidRDefault="00442F1A">
            <w:pPr>
              <w:widowControl/>
              <w:jc w:val="center"/>
              <w:rPr>
                <w:rFonts w:asciiTheme="minorEastAsia" w:eastAsiaTheme="minorEastAsia" w:hAnsiTheme="minorEastAsia" w:cs="宋体"/>
                <w:b/>
                <w:bCs/>
                <w:color w:val="000000"/>
                <w:kern w:val="0"/>
                <w:sz w:val="20"/>
                <w:szCs w:val="20"/>
              </w:rPr>
            </w:pPr>
            <w:r>
              <w:rPr>
                <w:rFonts w:asciiTheme="minorEastAsia" w:eastAsiaTheme="minorEastAsia" w:hAnsiTheme="minorEastAsia" w:cs="宋体" w:hint="eastAsia"/>
                <w:bCs/>
                <w:color w:val="000000"/>
                <w:kern w:val="0"/>
                <w:sz w:val="20"/>
                <w:szCs w:val="20"/>
              </w:rPr>
              <w:t>指标</w:t>
            </w:r>
            <w:r>
              <w:rPr>
                <w:rFonts w:asciiTheme="minorEastAsia" w:eastAsiaTheme="minorEastAsia" w:hAnsiTheme="minorEastAsia" w:cs="宋体"/>
                <w:bCs/>
                <w:color w:val="000000"/>
                <w:kern w:val="0"/>
                <w:sz w:val="20"/>
                <w:szCs w:val="20"/>
              </w:rPr>
              <w:t>解释</w:t>
            </w:r>
          </w:p>
        </w:tc>
        <w:tc>
          <w:tcPr>
            <w:tcW w:w="14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评</w:t>
            </w:r>
            <w:r>
              <w:rPr>
                <w:rFonts w:asciiTheme="minorEastAsia" w:eastAsiaTheme="minorEastAsia" w:hAnsiTheme="minorEastAsia" w:cs="宋体"/>
                <w:color w:val="000000"/>
                <w:kern w:val="0"/>
                <w:sz w:val="20"/>
                <w:szCs w:val="20"/>
              </w:rPr>
              <w:t>分标准</w:t>
            </w:r>
          </w:p>
        </w:tc>
      </w:tr>
      <w:tr w:rsidR="001F33CA" w:rsidTr="00415E12">
        <w:trPr>
          <w:trHeight w:val="1230"/>
        </w:trPr>
        <w:tc>
          <w:tcPr>
            <w:tcW w:w="287" w:type="pct"/>
            <w:vMerge w:val="restar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预算管理情况（20）</w:t>
            </w:r>
          </w:p>
        </w:tc>
        <w:tc>
          <w:tcPr>
            <w:tcW w:w="298" w:type="pct"/>
            <w:vMerge w:val="restar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财务管理（4）</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财务管理制度健全性</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财务管理制度健全性　</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完整</w:t>
            </w:r>
            <w:proofErr w:type="gramStart"/>
            <w:r>
              <w:rPr>
                <w:rFonts w:asciiTheme="minorEastAsia" w:eastAsiaTheme="minorEastAsia" w:hAnsiTheme="minorEastAsia" w:cs="宋体" w:hint="eastAsia"/>
                <w:color w:val="000000"/>
                <w:kern w:val="0"/>
                <w:sz w:val="20"/>
                <w:szCs w:val="20"/>
              </w:rPr>
              <w:t xml:space="preserve">健全　</w:t>
            </w:r>
            <w:proofErr w:type="gramEnd"/>
          </w:p>
        </w:tc>
        <w:tc>
          <w:tcPr>
            <w:tcW w:w="217"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1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财务管理制度健全性:</w:t>
            </w:r>
            <w:r>
              <w:rPr>
                <w:rFonts w:asciiTheme="minorEastAsia" w:eastAsiaTheme="minorEastAsia" w:hAnsiTheme="minorEastAsia" w:cs="宋体" w:hint="eastAsia"/>
                <w:color w:val="000000"/>
                <w:kern w:val="0"/>
                <w:sz w:val="20"/>
                <w:szCs w:val="20"/>
              </w:rPr>
              <w:t>部门（单位）为加强财务管理、规范财务行为而制定的管理制度。</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①预算资金管理办法、绩效跟踪管理办法、资产管理办法等各项制度是否健全；②部门内部财务管理制度是否完整、合</w:t>
            </w:r>
            <w:proofErr w:type="gramStart"/>
            <w:r>
              <w:rPr>
                <w:rFonts w:asciiTheme="minorEastAsia" w:eastAsiaTheme="minorEastAsia" w:hAnsiTheme="minorEastAsia" w:cs="宋体" w:hint="eastAsia"/>
                <w:color w:val="000000"/>
                <w:kern w:val="0"/>
                <w:sz w:val="20"/>
                <w:szCs w:val="20"/>
              </w:rPr>
              <w:t>规</w:t>
            </w:r>
            <w:proofErr w:type="gramEnd"/>
            <w:r>
              <w:rPr>
                <w:rFonts w:asciiTheme="minorEastAsia" w:eastAsiaTheme="minorEastAsia" w:hAnsiTheme="minorEastAsia" w:cs="宋体" w:hint="eastAsia"/>
                <w:color w:val="000000"/>
                <w:kern w:val="0"/>
                <w:sz w:val="20"/>
                <w:szCs w:val="20"/>
              </w:rPr>
              <w:t>；③会计核算制度是否完整、合</w:t>
            </w:r>
            <w:proofErr w:type="gramStart"/>
            <w:r>
              <w:rPr>
                <w:rFonts w:asciiTheme="minorEastAsia" w:eastAsiaTheme="minorEastAsia" w:hAnsiTheme="minorEastAsia" w:cs="宋体" w:hint="eastAsia"/>
                <w:color w:val="000000"/>
                <w:kern w:val="0"/>
                <w:sz w:val="20"/>
                <w:szCs w:val="20"/>
              </w:rPr>
              <w:t>规</w:t>
            </w:r>
            <w:proofErr w:type="gramEnd"/>
            <w:r>
              <w:rPr>
                <w:rFonts w:asciiTheme="minorEastAsia" w:eastAsiaTheme="minorEastAsia" w:hAnsiTheme="minorEastAsia" w:cs="宋体" w:hint="eastAsia"/>
                <w:color w:val="000000"/>
                <w:kern w:val="0"/>
                <w:sz w:val="20"/>
                <w:szCs w:val="20"/>
              </w:rPr>
              <w:t>。每有一项不合格扣0.5分，扣完为止。</w:t>
            </w:r>
          </w:p>
        </w:tc>
      </w:tr>
      <w:tr w:rsidR="001F33CA" w:rsidTr="00415E12">
        <w:trPr>
          <w:trHeight w:val="222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资金使用合</w:t>
            </w:r>
            <w:proofErr w:type="gramStart"/>
            <w:r>
              <w:rPr>
                <w:rFonts w:asciiTheme="minorEastAsia" w:eastAsiaTheme="minorEastAsia" w:hAnsiTheme="minorEastAsia" w:cs="宋体" w:hint="eastAsia"/>
                <w:color w:val="000000"/>
                <w:kern w:val="0"/>
                <w:sz w:val="20"/>
                <w:szCs w:val="20"/>
              </w:rPr>
              <w:t>规</w:t>
            </w:r>
            <w:proofErr w:type="gramEnd"/>
            <w:r>
              <w:rPr>
                <w:rFonts w:asciiTheme="minorEastAsia" w:eastAsiaTheme="minorEastAsia" w:hAnsiTheme="minorEastAsia" w:cs="宋体" w:hint="eastAsia"/>
                <w:color w:val="000000"/>
                <w:kern w:val="0"/>
                <w:sz w:val="20"/>
                <w:szCs w:val="20"/>
              </w:rPr>
              <w:t>性和安全性</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资金使用合</w:t>
            </w:r>
            <w:proofErr w:type="gramStart"/>
            <w:r>
              <w:rPr>
                <w:rFonts w:asciiTheme="minorEastAsia" w:eastAsiaTheme="minorEastAsia" w:hAnsiTheme="minorEastAsia" w:cs="宋体" w:hint="eastAsia"/>
                <w:color w:val="000000"/>
                <w:kern w:val="0"/>
                <w:sz w:val="20"/>
                <w:szCs w:val="20"/>
              </w:rPr>
              <w:t>规</w:t>
            </w:r>
            <w:proofErr w:type="gramEnd"/>
            <w:r>
              <w:rPr>
                <w:rFonts w:asciiTheme="minorEastAsia" w:eastAsiaTheme="minorEastAsia" w:hAnsiTheme="minorEastAsia" w:cs="宋体" w:hint="eastAsia"/>
                <w:color w:val="000000"/>
                <w:kern w:val="0"/>
                <w:sz w:val="20"/>
                <w:szCs w:val="20"/>
              </w:rPr>
              <w:t xml:space="preserve">性和安全性　</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规范　</w:t>
            </w:r>
          </w:p>
        </w:tc>
        <w:tc>
          <w:tcPr>
            <w:tcW w:w="217"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2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资金使用合</w:t>
            </w:r>
            <w:proofErr w:type="gramStart"/>
            <w:r>
              <w:rPr>
                <w:rFonts w:asciiTheme="minorEastAsia" w:eastAsiaTheme="minorEastAsia" w:hAnsiTheme="minorEastAsia" w:cs="宋体" w:hint="eastAsia"/>
                <w:b/>
                <w:bCs/>
                <w:color w:val="000000"/>
                <w:kern w:val="0"/>
                <w:sz w:val="20"/>
                <w:szCs w:val="20"/>
              </w:rPr>
              <w:t>规</w:t>
            </w:r>
            <w:proofErr w:type="gramEnd"/>
            <w:r>
              <w:rPr>
                <w:rFonts w:asciiTheme="minorEastAsia" w:eastAsiaTheme="minorEastAsia" w:hAnsiTheme="minorEastAsia" w:cs="宋体" w:hint="eastAsia"/>
                <w:b/>
                <w:bCs/>
                <w:color w:val="000000"/>
                <w:kern w:val="0"/>
                <w:sz w:val="20"/>
                <w:szCs w:val="20"/>
              </w:rPr>
              <w:t>性和安全性:</w:t>
            </w:r>
            <w:r>
              <w:rPr>
                <w:rFonts w:asciiTheme="minorEastAsia" w:eastAsiaTheme="minorEastAsia" w:hAnsiTheme="minorEastAsia" w:cs="宋体" w:hint="eastAsia"/>
                <w:color w:val="000000"/>
                <w:kern w:val="0"/>
                <w:sz w:val="20"/>
                <w:szCs w:val="20"/>
              </w:rPr>
              <w:t>部门（单位）使用预算资金是否符合相关的预算财务管理制度的规定，是否符合相关规定的开支范围，用以反映考核部门（单位）预算资金的规范运行和安全运行情况。</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1F33CA" w:rsidTr="00415E12">
        <w:trPr>
          <w:trHeight w:val="1035"/>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会计基础信息完善性</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会计基础信息真实、完整、准确　</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规范　</w:t>
            </w:r>
          </w:p>
        </w:tc>
        <w:tc>
          <w:tcPr>
            <w:tcW w:w="217"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w:t>
            </w:r>
          </w:p>
        </w:tc>
        <w:tc>
          <w:tcPr>
            <w:tcW w:w="269" w:type="pct"/>
            <w:noWrap/>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1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会计基础信息完善性:</w:t>
            </w:r>
            <w:r>
              <w:rPr>
                <w:rFonts w:asciiTheme="minorEastAsia" w:eastAsiaTheme="minorEastAsia" w:hAnsiTheme="minorEastAsia" w:cs="宋体" w:hint="eastAsia"/>
                <w:color w:val="000000"/>
                <w:kern w:val="0"/>
                <w:sz w:val="20"/>
                <w:szCs w:val="20"/>
              </w:rPr>
              <w:t>部门（单位）会计基础信息情况。</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①基础数据信息和会计信息资料是否真实；②基础数据信息和会计信息资料是否完整；③基础数据信息和会计信息资料是否准确。每有一项不合格扣0.5分，扣完为止。</w:t>
            </w:r>
          </w:p>
        </w:tc>
      </w:tr>
      <w:tr w:rsidR="001F33CA" w:rsidTr="00415E12">
        <w:trPr>
          <w:trHeight w:val="222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资产管理（4）</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资产管理规范性</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资产制度健全，管理规范</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规范</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4</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3</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资产管理规范性:</w:t>
            </w:r>
            <w:r>
              <w:rPr>
                <w:rFonts w:asciiTheme="minorEastAsia" w:eastAsiaTheme="minorEastAsia" w:hAnsiTheme="minorEastAsia" w:cs="宋体" w:hint="eastAsia"/>
                <w:color w:val="000000"/>
                <w:kern w:val="0"/>
                <w:sz w:val="20"/>
                <w:szCs w:val="20"/>
              </w:rPr>
              <w:t>部门（单位）的资产是否保持安全完整，资产配置是否合理，资产使用和资产处理是否规范，用以反映和考核部门（单位）资产管理的整体水平。</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1F33CA" w:rsidTr="00415E12">
        <w:trPr>
          <w:trHeight w:val="175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绩效管理（4）</w:t>
            </w:r>
          </w:p>
        </w:tc>
        <w:tc>
          <w:tcPr>
            <w:tcW w:w="38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绩效管理情况</w:t>
            </w:r>
          </w:p>
        </w:tc>
        <w:tc>
          <w:tcPr>
            <w:tcW w:w="393"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绩效管理规范，未发生目标偏离</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规范</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4</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4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
                <w:bCs/>
                <w:color w:val="000000"/>
                <w:kern w:val="0"/>
                <w:sz w:val="20"/>
                <w:szCs w:val="20"/>
              </w:rPr>
              <w:t>绩效管理情况:</w:t>
            </w:r>
            <w:r>
              <w:rPr>
                <w:rFonts w:asciiTheme="minorEastAsia" w:eastAsiaTheme="minorEastAsia" w:hAnsiTheme="minorEastAsia" w:cs="宋体" w:hint="eastAsia"/>
                <w:color w:val="000000"/>
                <w:kern w:val="0"/>
                <w:sz w:val="20"/>
                <w:szCs w:val="20"/>
              </w:rPr>
              <w:t>考核部门（单位）在绩效管理信息的汇总和应用情况。</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①部门（单位）是否及时对绩效信息进行汇总分析整理；②部门（单位）是否对绩效目标偏离情况及时进行矫正。每有一项不合格扣2分。</w:t>
            </w:r>
          </w:p>
        </w:tc>
      </w:tr>
      <w:tr w:rsidR="001F33CA" w:rsidTr="00415E12">
        <w:trPr>
          <w:trHeight w:val="394"/>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指标　</w:t>
            </w:r>
          </w:p>
        </w:tc>
        <w:tc>
          <w:tcPr>
            <w:tcW w:w="777" w:type="pct"/>
            <w:gridSpan w:val="2"/>
            <w:vAlign w:val="center"/>
          </w:tcPr>
          <w:p w:rsidR="001F33CA" w:rsidRDefault="00442F1A" w:rsidP="005450CF">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202</w:t>
            </w:r>
            <w:r w:rsidR="005450CF">
              <w:rPr>
                <w:rFonts w:asciiTheme="minorEastAsia" w:eastAsiaTheme="minorEastAsia" w:hAnsiTheme="minorEastAsia" w:cs="宋体" w:hint="eastAsia"/>
                <w:color w:val="000000"/>
                <w:kern w:val="0"/>
                <w:sz w:val="20"/>
                <w:szCs w:val="20"/>
              </w:rPr>
              <w:t>1</w:t>
            </w:r>
            <w:r>
              <w:rPr>
                <w:rFonts w:asciiTheme="minorEastAsia" w:eastAsiaTheme="minorEastAsia" w:hAnsiTheme="minorEastAsia" w:cs="宋体" w:hint="eastAsia"/>
                <w:color w:val="000000"/>
                <w:kern w:val="0"/>
                <w:sz w:val="20"/>
                <w:szCs w:val="20"/>
              </w:rPr>
              <w:t>年</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2022年</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得分</w:t>
            </w:r>
          </w:p>
        </w:tc>
        <w:tc>
          <w:tcPr>
            <w:tcW w:w="1280"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bCs/>
                <w:color w:val="000000"/>
                <w:kern w:val="0"/>
                <w:sz w:val="20"/>
                <w:szCs w:val="20"/>
              </w:rPr>
              <w:t>指标</w:t>
            </w:r>
            <w:r>
              <w:rPr>
                <w:rFonts w:asciiTheme="minorEastAsia" w:eastAsiaTheme="minorEastAsia" w:hAnsiTheme="minorEastAsia" w:cs="宋体"/>
                <w:bCs/>
                <w:color w:val="000000"/>
                <w:kern w:val="0"/>
                <w:sz w:val="20"/>
                <w:szCs w:val="20"/>
              </w:rPr>
              <w:t>解释</w:t>
            </w:r>
          </w:p>
        </w:tc>
        <w:tc>
          <w:tcPr>
            <w:tcW w:w="1469" w:type="pct"/>
            <w:vAlign w:val="center"/>
          </w:tcPr>
          <w:p w:rsidR="001F33CA" w:rsidRDefault="00442F1A">
            <w:pPr>
              <w:widowControl/>
              <w:jc w:val="center"/>
              <w:rPr>
                <w:rFonts w:asciiTheme="minorEastAsia" w:eastAsiaTheme="minorEastAsia" w:hAnsiTheme="minorEastAsia"/>
                <w:kern w:val="0"/>
                <w:sz w:val="20"/>
                <w:szCs w:val="20"/>
              </w:rPr>
            </w:pPr>
            <w:r>
              <w:rPr>
                <w:rFonts w:asciiTheme="minorEastAsia" w:eastAsiaTheme="minorEastAsia" w:hAnsiTheme="minorEastAsia" w:cs="宋体" w:hint="eastAsia"/>
                <w:color w:val="000000"/>
                <w:kern w:val="0"/>
                <w:sz w:val="20"/>
                <w:szCs w:val="20"/>
              </w:rPr>
              <w:t>评</w:t>
            </w:r>
            <w:r>
              <w:rPr>
                <w:rFonts w:asciiTheme="minorEastAsia" w:eastAsiaTheme="minorEastAsia" w:hAnsiTheme="minorEastAsia" w:cs="宋体"/>
                <w:color w:val="000000"/>
                <w:kern w:val="0"/>
                <w:sz w:val="20"/>
                <w:szCs w:val="20"/>
              </w:rPr>
              <w:t>分标准</w:t>
            </w:r>
          </w:p>
        </w:tc>
      </w:tr>
      <w:tr w:rsidR="001F33CA" w:rsidTr="00415E12">
        <w:trPr>
          <w:trHeight w:val="1365"/>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Align w:val="center"/>
          </w:tcPr>
          <w:p w:rsidR="001F33CA" w:rsidRDefault="00442F1A">
            <w:pPr>
              <w:widowControl/>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结转结余率（4）</w:t>
            </w:r>
          </w:p>
        </w:tc>
        <w:tc>
          <w:tcPr>
            <w:tcW w:w="777" w:type="pct"/>
            <w:gridSpan w:val="2"/>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2.01</w:t>
            </w:r>
            <w:r>
              <w:rPr>
                <w:rFonts w:asciiTheme="minorEastAsia" w:eastAsiaTheme="minorEastAsia" w:hAnsiTheme="minorEastAsia" w:cs="宋体"/>
                <w:color w:val="000000"/>
                <w:kern w:val="0"/>
                <w:sz w:val="20"/>
                <w:szCs w:val="20"/>
              </w:rPr>
              <w:t>%</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1.24%</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4</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4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结转结余率=结转结余总额/支出预算数×100%。</w:t>
            </w:r>
            <w:r>
              <w:rPr>
                <w:rFonts w:asciiTheme="minorEastAsia" w:eastAsiaTheme="minorEastAsia" w:hAnsiTheme="minorEastAsia" w:cs="宋体" w:hint="eastAsia"/>
                <w:color w:val="000000"/>
                <w:kern w:val="0"/>
                <w:sz w:val="20"/>
                <w:szCs w:val="20"/>
              </w:rPr>
              <w:br/>
              <w:t>结转结余总额：部门（单位）本年度的结转资金与结余资金之</w:t>
            </w:r>
            <w:proofErr w:type="gramStart"/>
            <w:r>
              <w:rPr>
                <w:rFonts w:asciiTheme="minorEastAsia" w:eastAsiaTheme="minorEastAsia" w:hAnsiTheme="minorEastAsia" w:cs="宋体" w:hint="eastAsia"/>
                <w:color w:val="000000"/>
                <w:kern w:val="0"/>
                <w:sz w:val="20"/>
                <w:szCs w:val="20"/>
              </w:rPr>
              <w:t>和</w:t>
            </w:r>
            <w:proofErr w:type="gramEnd"/>
            <w:r>
              <w:rPr>
                <w:rFonts w:asciiTheme="minorEastAsia" w:eastAsiaTheme="minorEastAsia" w:hAnsiTheme="minorEastAsia" w:cs="宋体" w:hint="eastAsia"/>
                <w:color w:val="000000"/>
                <w:kern w:val="0"/>
                <w:sz w:val="20"/>
                <w:szCs w:val="20"/>
              </w:rPr>
              <w:t>。</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部门结转结余率低于上年的不扣分；高于上年结余率，每高出1个百分点扣0.4分，扣完为止。（说明：预算调整和结转结余指标，如</w:t>
            </w:r>
            <w:proofErr w:type="gramStart"/>
            <w:r>
              <w:rPr>
                <w:rFonts w:asciiTheme="minorEastAsia" w:eastAsiaTheme="minorEastAsia" w:hAnsiTheme="minorEastAsia" w:cs="宋体" w:hint="eastAsia"/>
                <w:color w:val="000000"/>
                <w:kern w:val="0"/>
                <w:sz w:val="20"/>
                <w:szCs w:val="20"/>
              </w:rPr>
              <w:t>非预算</w:t>
            </w:r>
            <w:proofErr w:type="gramEnd"/>
            <w:r>
              <w:rPr>
                <w:rFonts w:asciiTheme="minorEastAsia" w:eastAsiaTheme="minorEastAsia" w:hAnsiTheme="minorEastAsia" w:cs="宋体" w:hint="eastAsia"/>
                <w:color w:val="000000"/>
                <w:kern w:val="0"/>
                <w:sz w:val="20"/>
                <w:szCs w:val="20"/>
              </w:rPr>
              <w:t>部门主观因素导致扣分的，在评分结果征求意见环节，经与相关部门预算主管处室共同研究，可作为例外情况酌情考虑。）</w:t>
            </w:r>
          </w:p>
        </w:tc>
      </w:tr>
      <w:tr w:rsidR="001F33CA" w:rsidTr="00415E12">
        <w:trPr>
          <w:trHeight w:val="90"/>
        </w:trPr>
        <w:tc>
          <w:tcPr>
            <w:tcW w:w="287" w:type="pct"/>
            <w:vMerge/>
            <w:vAlign w:val="center"/>
          </w:tcPr>
          <w:p w:rsidR="001F33CA" w:rsidRDefault="001F33CA">
            <w:pPr>
              <w:widowControl/>
              <w:jc w:val="left"/>
              <w:rPr>
                <w:rFonts w:asciiTheme="minorEastAsia" w:eastAsiaTheme="minorEastAsia" w:hAnsiTheme="minorEastAsia" w:cs="宋体"/>
                <w:color w:val="000000"/>
                <w:kern w:val="0"/>
                <w:sz w:val="20"/>
                <w:szCs w:val="20"/>
              </w:rPr>
            </w:pPr>
          </w:p>
        </w:tc>
        <w:tc>
          <w:tcPr>
            <w:tcW w:w="298" w:type="pct"/>
            <w:vAlign w:val="center"/>
          </w:tcPr>
          <w:p w:rsidR="001F33CA" w:rsidRDefault="00442F1A">
            <w:pPr>
              <w:widowControl/>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部门预决算差异率（4）</w:t>
            </w:r>
          </w:p>
        </w:tc>
        <w:tc>
          <w:tcPr>
            <w:tcW w:w="777" w:type="pct"/>
            <w:gridSpan w:val="2"/>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w:t>
            </w:r>
          </w:p>
        </w:tc>
        <w:tc>
          <w:tcPr>
            <w:tcW w:w="398"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3.53%</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4</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4　</w:t>
            </w:r>
          </w:p>
        </w:tc>
        <w:tc>
          <w:tcPr>
            <w:tcW w:w="1280"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通过年度部门决算与年初部门预算对比，对部门的年度支出情况进行考核，衡量部门预算的约束力。</w:t>
            </w:r>
          </w:p>
        </w:tc>
        <w:tc>
          <w:tcPr>
            <w:tcW w:w="1469" w:type="pct"/>
            <w:vAlign w:val="center"/>
          </w:tcPr>
          <w:p w:rsidR="001F33CA" w:rsidRDefault="00442F1A">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部门预决算差异率高于市级平均差异率（28.3%）的，每高出10%（含），扣0.4分，扣完为止。</w:t>
            </w:r>
          </w:p>
        </w:tc>
      </w:tr>
      <w:tr w:rsidR="001F33CA" w:rsidTr="00415E12">
        <w:trPr>
          <w:trHeight w:val="404"/>
        </w:trPr>
        <w:tc>
          <w:tcPr>
            <w:tcW w:w="1762" w:type="pct"/>
            <w:gridSpan w:val="5"/>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合计</w:t>
            </w:r>
          </w:p>
        </w:tc>
        <w:tc>
          <w:tcPr>
            <w:tcW w:w="217"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100</w:t>
            </w:r>
          </w:p>
        </w:tc>
        <w:tc>
          <w:tcPr>
            <w:tcW w:w="269" w:type="pct"/>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93.7</w:t>
            </w:r>
          </w:p>
        </w:tc>
        <w:tc>
          <w:tcPr>
            <w:tcW w:w="2750" w:type="pct"/>
            <w:gridSpan w:val="2"/>
            <w:vAlign w:val="center"/>
          </w:tcPr>
          <w:p w:rsidR="001F33CA" w:rsidRDefault="00442F1A">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 xml:space="preserve">　</w:t>
            </w:r>
          </w:p>
        </w:tc>
      </w:tr>
    </w:tbl>
    <w:p w:rsidR="001F33CA" w:rsidRDefault="001F33CA">
      <w:pPr>
        <w:rPr>
          <w:rFonts w:asciiTheme="minorEastAsia" w:eastAsiaTheme="minorEastAsia" w:hAnsiTheme="minorEastAsia"/>
          <w:sz w:val="20"/>
          <w:szCs w:val="20"/>
        </w:rPr>
      </w:pPr>
      <w:bookmarkStart w:id="1" w:name="_GoBack"/>
      <w:bookmarkEnd w:id="1"/>
    </w:p>
    <w:sectPr w:rsidR="001F33CA" w:rsidSect="00415E12">
      <w:headerReference w:type="even" r:id="rId9"/>
      <w:headerReference w:type="default" r:id="rId10"/>
      <w:footerReference w:type="default" r:id="rId11"/>
      <w:pgSz w:w="16838" w:h="11906" w:orient="landscape"/>
      <w:pgMar w:top="1797" w:right="1440" w:bottom="1797" w:left="1440" w:header="851" w:footer="992" w:gutter="0"/>
      <w:pgBorders w:offsetFrom="page">
        <w:top w:val="single" w:sz="4" w:space="24" w:color="auto"/>
        <w:left w:val="single" w:sz="4" w:space="24" w:color="auto"/>
        <w:bottom w:val="single" w:sz="4" w:space="24" w:color="auto"/>
        <w:right w:val="single" w:sz="4" w:space="24" w:color="auto"/>
      </w:pgBorders>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EE9" w:rsidRDefault="00576EE9">
      <w:r>
        <w:separator/>
      </w:r>
    </w:p>
  </w:endnote>
  <w:endnote w:type="continuationSeparator" w:id="0">
    <w:p w:rsidR="00576EE9" w:rsidRDefault="0057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charset w:val="86"/>
    <w:family w:val="auto"/>
    <w:pitch w:val="variable"/>
    <w:sig w:usb0="A00002BF" w:usb1="38CF7CFA" w:usb2="00000016" w:usb3="00000000" w:csb0="0004000F" w:csb1="00000000"/>
  </w:font>
  <w:font w:name="E-BX">
    <w:altName w:val="仿宋_GB2312"/>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CA" w:rsidRDefault="00442F1A">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74DFEC99" wp14:editId="4D84A0B8">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F33CA" w:rsidRDefault="00442F1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450CF" w:rsidRPr="005450CF">
                            <w:rPr>
                              <w:rFonts w:ascii="宋体" w:hAnsi="宋体"/>
                              <w:noProof/>
                              <w:sz w:val="28"/>
                              <w:szCs w:val="28"/>
                              <w:lang w:val="zh-CN"/>
                            </w:rPr>
                            <w:t>-</w:t>
                          </w:r>
                          <w:r w:rsidR="005450CF">
                            <w:rPr>
                              <w:rFonts w:ascii="宋体" w:hAnsi="宋体"/>
                              <w:noProof/>
                              <w:sz w:val="28"/>
                              <w:szCs w:val="28"/>
                            </w:rPr>
                            <w:t xml:space="preserve"> 19 -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F33CA" w:rsidRDefault="00442F1A">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450CF" w:rsidRPr="005450CF">
                      <w:rPr>
                        <w:rFonts w:ascii="宋体" w:hAnsi="宋体"/>
                        <w:noProof/>
                        <w:sz w:val="28"/>
                        <w:szCs w:val="28"/>
                        <w:lang w:val="zh-CN"/>
                      </w:rPr>
                      <w:t>-</w:t>
                    </w:r>
                    <w:r w:rsidR="005450CF">
                      <w:rPr>
                        <w:rFonts w:ascii="宋体" w:hAnsi="宋体"/>
                        <w:noProof/>
                        <w:sz w:val="28"/>
                        <w:szCs w:val="28"/>
                      </w:rPr>
                      <w:t xml:space="preserve"> 19 -</w:t>
                    </w:r>
                    <w:r>
                      <w:rPr>
                        <w:rFonts w:ascii="宋体" w:hAnsi="宋体"/>
                        <w:sz w:val="28"/>
                        <w:szCs w:val="28"/>
                      </w:rPr>
                      <w:fldChar w:fldCharType="end"/>
                    </w:r>
                  </w:p>
                </w:txbxContent>
              </v:textbox>
              <w10:wrap anchorx="margin"/>
            </v:shape>
          </w:pict>
        </mc:Fallback>
      </mc:AlternateContent>
    </w:r>
  </w:p>
  <w:p w:rsidR="001F33CA" w:rsidRDefault="001F33C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EE9" w:rsidRDefault="00576EE9">
      <w:r>
        <w:separator/>
      </w:r>
    </w:p>
  </w:footnote>
  <w:footnote w:type="continuationSeparator" w:id="0">
    <w:p w:rsidR="00576EE9" w:rsidRDefault="0057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CA" w:rsidRDefault="001F33CA">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3CA" w:rsidRDefault="001F33C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OTQ4Mzk3MTUxZGYxOTgzN2M1NGY2NjNkMDExMGMifQ=="/>
  </w:docVars>
  <w:rsids>
    <w:rsidRoot w:val="50B81F77"/>
    <w:rsid w:val="50B81F77"/>
    <w:rsid w:val="CAFF5121"/>
    <w:rsid w:val="FED56599"/>
    <w:rsid w:val="00015678"/>
    <w:rsid w:val="00015799"/>
    <w:rsid w:val="000343D5"/>
    <w:rsid w:val="000435EE"/>
    <w:rsid w:val="00061132"/>
    <w:rsid w:val="00077C5F"/>
    <w:rsid w:val="00080E50"/>
    <w:rsid w:val="000A05CA"/>
    <w:rsid w:val="000C13B2"/>
    <w:rsid w:val="00111133"/>
    <w:rsid w:val="001345FE"/>
    <w:rsid w:val="00143F5C"/>
    <w:rsid w:val="00154105"/>
    <w:rsid w:val="001F33CA"/>
    <w:rsid w:val="002063DE"/>
    <w:rsid w:val="00212B44"/>
    <w:rsid w:val="0023203C"/>
    <w:rsid w:val="00240CEB"/>
    <w:rsid w:val="00246DE0"/>
    <w:rsid w:val="00250534"/>
    <w:rsid w:val="00265291"/>
    <w:rsid w:val="002857DF"/>
    <w:rsid w:val="0029611F"/>
    <w:rsid w:val="002B6C59"/>
    <w:rsid w:val="002C3440"/>
    <w:rsid w:val="002D211B"/>
    <w:rsid w:val="002E34D7"/>
    <w:rsid w:val="002F5126"/>
    <w:rsid w:val="00301AB4"/>
    <w:rsid w:val="003300EC"/>
    <w:rsid w:val="00336085"/>
    <w:rsid w:val="00337707"/>
    <w:rsid w:val="00347A0C"/>
    <w:rsid w:val="00352B78"/>
    <w:rsid w:val="0037130B"/>
    <w:rsid w:val="0039116C"/>
    <w:rsid w:val="003A4F79"/>
    <w:rsid w:val="003B36B0"/>
    <w:rsid w:val="003C105A"/>
    <w:rsid w:val="003D7E32"/>
    <w:rsid w:val="004045A7"/>
    <w:rsid w:val="00415E12"/>
    <w:rsid w:val="004200A4"/>
    <w:rsid w:val="00442F1A"/>
    <w:rsid w:val="00447205"/>
    <w:rsid w:val="00490D21"/>
    <w:rsid w:val="00494B85"/>
    <w:rsid w:val="004A28B4"/>
    <w:rsid w:val="004B0BD6"/>
    <w:rsid w:val="004D6EBC"/>
    <w:rsid w:val="004E1638"/>
    <w:rsid w:val="0052578C"/>
    <w:rsid w:val="005447B3"/>
    <w:rsid w:val="005450CF"/>
    <w:rsid w:val="00551F06"/>
    <w:rsid w:val="00564E2B"/>
    <w:rsid w:val="00576EE9"/>
    <w:rsid w:val="005C6962"/>
    <w:rsid w:val="005D12E6"/>
    <w:rsid w:val="005F06CD"/>
    <w:rsid w:val="00601E9B"/>
    <w:rsid w:val="0060457D"/>
    <w:rsid w:val="006245BC"/>
    <w:rsid w:val="0063446F"/>
    <w:rsid w:val="00645D21"/>
    <w:rsid w:val="006546E0"/>
    <w:rsid w:val="00660D62"/>
    <w:rsid w:val="0066139A"/>
    <w:rsid w:val="00685F43"/>
    <w:rsid w:val="006C541E"/>
    <w:rsid w:val="006D6A71"/>
    <w:rsid w:val="006D711A"/>
    <w:rsid w:val="00706E0A"/>
    <w:rsid w:val="00707B7F"/>
    <w:rsid w:val="00725CD3"/>
    <w:rsid w:val="00766626"/>
    <w:rsid w:val="0077196A"/>
    <w:rsid w:val="007A3607"/>
    <w:rsid w:val="007D0DC9"/>
    <w:rsid w:val="007D2B09"/>
    <w:rsid w:val="00805745"/>
    <w:rsid w:val="00806527"/>
    <w:rsid w:val="00836602"/>
    <w:rsid w:val="00852FF7"/>
    <w:rsid w:val="00856A7E"/>
    <w:rsid w:val="00877E85"/>
    <w:rsid w:val="00891324"/>
    <w:rsid w:val="008E3A7B"/>
    <w:rsid w:val="008E5090"/>
    <w:rsid w:val="009205B8"/>
    <w:rsid w:val="00920C6C"/>
    <w:rsid w:val="0093165B"/>
    <w:rsid w:val="00965889"/>
    <w:rsid w:val="009677AC"/>
    <w:rsid w:val="009722DD"/>
    <w:rsid w:val="00990030"/>
    <w:rsid w:val="009A7088"/>
    <w:rsid w:val="009B72A9"/>
    <w:rsid w:val="009C3BC0"/>
    <w:rsid w:val="009C5B5B"/>
    <w:rsid w:val="00A13EFB"/>
    <w:rsid w:val="00A276E1"/>
    <w:rsid w:val="00A3204B"/>
    <w:rsid w:val="00A458A7"/>
    <w:rsid w:val="00A7016B"/>
    <w:rsid w:val="00AA18CE"/>
    <w:rsid w:val="00AB59E0"/>
    <w:rsid w:val="00B22E82"/>
    <w:rsid w:val="00B36E25"/>
    <w:rsid w:val="00B514B8"/>
    <w:rsid w:val="00BC3850"/>
    <w:rsid w:val="00BD28AD"/>
    <w:rsid w:val="00BD3100"/>
    <w:rsid w:val="00BE176D"/>
    <w:rsid w:val="00BE2F97"/>
    <w:rsid w:val="00C07771"/>
    <w:rsid w:val="00C21492"/>
    <w:rsid w:val="00C264B0"/>
    <w:rsid w:val="00C32153"/>
    <w:rsid w:val="00C42DA5"/>
    <w:rsid w:val="00C50E07"/>
    <w:rsid w:val="00C530A4"/>
    <w:rsid w:val="00CB2DF6"/>
    <w:rsid w:val="00CB6796"/>
    <w:rsid w:val="00CD4611"/>
    <w:rsid w:val="00CD4643"/>
    <w:rsid w:val="00CD64D5"/>
    <w:rsid w:val="00CF522A"/>
    <w:rsid w:val="00D05BB1"/>
    <w:rsid w:val="00D1460E"/>
    <w:rsid w:val="00D207A2"/>
    <w:rsid w:val="00D27F88"/>
    <w:rsid w:val="00E10AE9"/>
    <w:rsid w:val="00E16490"/>
    <w:rsid w:val="00E22C82"/>
    <w:rsid w:val="00E335FF"/>
    <w:rsid w:val="00E46E12"/>
    <w:rsid w:val="00E47A79"/>
    <w:rsid w:val="00E63AE8"/>
    <w:rsid w:val="00EB715A"/>
    <w:rsid w:val="00EC4ACD"/>
    <w:rsid w:val="00F11AEE"/>
    <w:rsid w:val="00F159AB"/>
    <w:rsid w:val="00F16FE5"/>
    <w:rsid w:val="00F201C2"/>
    <w:rsid w:val="00F34246"/>
    <w:rsid w:val="00F342BD"/>
    <w:rsid w:val="00F44EE5"/>
    <w:rsid w:val="00F51FA0"/>
    <w:rsid w:val="00F75FE5"/>
    <w:rsid w:val="00FB55E9"/>
    <w:rsid w:val="00FB5CF8"/>
    <w:rsid w:val="00FC6D43"/>
    <w:rsid w:val="00FD1908"/>
    <w:rsid w:val="00FE4AA5"/>
    <w:rsid w:val="00FF124B"/>
    <w:rsid w:val="01881C61"/>
    <w:rsid w:val="02A16CBD"/>
    <w:rsid w:val="05EC7475"/>
    <w:rsid w:val="060B7F37"/>
    <w:rsid w:val="064447C8"/>
    <w:rsid w:val="0821042B"/>
    <w:rsid w:val="08657816"/>
    <w:rsid w:val="087C32B0"/>
    <w:rsid w:val="0A5A2327"/>
    <w:rsid w:val="0B845EE1"/>
    <w:rsid w:val="0D984ECC"/>
    <w:rsid w:val="0E664144"/>
    <w:rsid w:val="0F625791"/>
    <w:rsid w:val="0FFB3CB9"/>
    <w:rsid w:val="10AF2C82"/>
    <w:rsid w:val="11151690"/>
    <w:rsid w:val="124F1731"/>
    <w:rsid w:val="15B34F99"/>
    <w:rsid w:val="16D96D94"/>
    <w:rsid w:val="17DF63E2"/>
    <w:rsid w:val="195F2692"/>
    <w:rsid w:val="1B4A1EFB"/>
    <w:rsid w:val="1BC1139B"/>
    <w:rsid w:val="1CBA0FA6"/>
    <w:rsid w:val="1E8B615F"/>
    <w:rsid w:val="1EB71A80"/>
    <w:rsid w:val="1F77153E"/>
    <w:rsid w:val="1F867253"/>
    <w:rsid w:val="1F926C26"/>
    <w:rsid w:val="1FEDD46F"/>
    <w:rsid w:val="208D0EC3"/>
    <w:rsid w:val="21515666"/>
    <w:rsid w:val="217575A6"/>
    <w:rsid w:val="21C3177B"/>
    <w:rsid w:val="224F6049"/>
    <w:rsid w:val="24014C67"/>
    <w:rsid w:val="246F652F"/>
    <w:rsid w:val="276E6F72"/>
    <w:rsid w:val="28453634"/>
    <w:rsid w:val="2B877489"/>
    <w:rsid w:val="2C1F63DC"/>
    <w:rsid w:val="2D113431"/>
    <w:rsid w:val="2E9D1E16"/>
    <w:rsid w:val="2F2844FF"/>
    <w:rsid w:val="31963EAA"/>
    <w:rsid w:val="31CF41A3"/>
    <w:rsid w:val="32680122"/>
    <w:rsid w:val="331A0154"/>
    <w:rsid w:val="3381680B"/>
    <w:rsid w:val="34F33521"/>
    <w:rsid w:val="35810AB0"/>
    <w:rsid w:val="36FD1717"/>
    <w:rsid w:val="386572B7"/>
    <w:rsid w:val="39783C80"/>
    <w:rsid w:val="3C0276E9"/>
    <w:rsid w:val="3D260FCF"/>
    <w:rsid w:val="3DD671C7"/>
    <w:rsid w:val="3DFF07F8"/>
    <w:rsid w:val="400B3158"/>
    <w:rsid w:val="40D24DE9"/>
    <w:rsid w:val="42A35D7B"/>
    <w:rsid w:val="44AB315B"/>
    <w:rsid w:val="456E7D4F"/>
    <w:rsid w:val="471D19C3"/>
    <w:rsid w:val="482164EA"/>
    <w:rsid w:val="491C5E3D"/>
    <w:rsid w:val="4C7B3413"/>
    <w:rsid w:val="4C96280B"/>
    <w:rsid w:val="4F275BC9"/>
    <w:rsid w:val="507C59AC"/>
    <w:rsid w:val="50B81F77"/>
    <w:rsid w:val="520E7E19"/>
    <w:rsid w:val="55564A1D"/>
    <w:rsid w:val="56104CB4"/>
    <w:rsid w:val="57172DEE"/>
    <w:rsid w:val="57EE37CB"/>
    <w:rsid w:val="596908C2"/>
    <w:rsid w:val="5BFE17A4"/>
    <w:rsid w:val="5E341674"/>
    <w:rsid w:val="60A307F7"/>
    <w:rsid w:val="671E1113"/>
    <w:rsid w:val="675D1C3B"/>
    <w:rsid w:val="67AA53C7"/>
    <w:rsid w:val="69C02731"/>
    <w:rsid w:val="6AC33EA4"/>
    <w:rsid w:val="6E5E7EB8"/>
    <w:rsid w:val="6FC6089A"/>
    <w:rsid w:val="70A1163F"/>
    <w:rsid w:val="72836A24"/>
    <w:rsid w:val="730A75B3"/>
    <w:rsid w:val="755157DC"/>
    <w:rsid w:val="7718641E"/>
    <w:rsid w:val="777A30F3"/>
    <w:rsid w:val="7A7A3098"/>
    <w:rsid w:val="7BBFE05A"/>
    <w:rsid w:val="7BDD2DD9"/>
    <w:rsid w:val="7C2B2981"/>
    <w:rsid w:val="7CBB531D"/>
    <w:rsid w:val="7CC77E2B"/>
    <w:rsid w:val="7F890545"/>
    <w:rsid w:val="7FC8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
    <w:name w:val="页眉 Char"/>
    <w:basedOn w:val="a0"/>
    <w:link w:val="a4"/>
    <w:qFormat/>
    <w:rPr>
      <w:rFonts w:ascii="Times New Roman" w:eastAsia="宋体" w:hAnsi="Times New Roman" w:cs="Times New Roman"/>
      <w:kern w:val="2"/>
      <w:sz w:val="18"/>
      <w:szCs w:val="18"/>
    </w:rPr>
  </w:style>
  <w:style w:type="paragraph" w:styleId="a6">
    <w:name w:val="Balloon Text"/>
    <w:basedOn w:val="a"/>
    <w:link w:val="Char0"/>
    <w:rsid w:val="0052578C"/>
    <w:rPr>
      <w:sz w:val="18"/>
      <w:szCs w:val="18"/>
    </w:rPr>
  </w:style>
  <w:style w:type="character" w:customStyle="1" w:styleId="Char0">
    <w:name w:val="批注框文本 Char"/>
    <w:basedOn w:val="a0"/>
    <w:link w:val="a6"/>
    <w:rsid w:val="0052578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
    <w:name w:val="页眉 Char"/>
    <w:basedOn w:val="a0"/>
    <w:link w:val="a4"/>
    <w:qFormat/>
    <w:rPr>
      <w:rFonts w:ascii="Times New Roman" w:eastAsia="宋体" w:hAnsi="Times New Roman" w:cs="Times New Roman"/>
      <w:kern w:val="2"/>
      <w:sz w:val="18"/>
      <w:szCs w:val="18"/>
    </w:rPr>
  </w:style>
  <w:style w:type="paragraph" w:styleId="a6">
    <w:name w:val="Balloon Text"/>
    <w:basedOn w:val="a"/>
    <w:link w:val="Char0"/>
    <w:rsid w:val="0052578C"/>
    <w:rPr>
      <w:sz w:val="18"/>
      <w:szCs w:val="18"/>
    </w:rPr>
  </w:style>
  <w:style w:type="character" w:customStyle="1" w:styleId="Char0">
    <w:name w:val="批注框文本 Char"/>
    <w:basedOn w:val="a0"/>
    <w:link w:val="a6"/>
    <w:rsid w:val="0052578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74693-E0DF-47C0-90C4-E0B3F28A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20</Pages>
  <Words>1396</Words>
  <Characters>7963</Characters>
  <Application>Microsoft Office Word</Application>
  <DocSecurity>0</DocSecurity>
  <Lines>66</Lines>
  <Paragraphs>18</Paragraphs>
  <ScaleCrop>false</ScaleCrop>
  <Company>北京市人民检察院第一分院</Company>
  <LinksUpToDate>false</LinksUpToDate>
  <CharactersWithSpaces>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肆月</dc:creator>
  <cp:lastModifiedBy>20190524</cp:lastModifiedBy>
  <cp:revision>21</cp:revision>
  <cp:lastPrinted>2023-08-29T07:50:00Z</cp:lastPrinted>
  <dcterms:created xsi:type="dcterms:W3CDTF">2023-06-06T08:46:00Z</dcterms:created>
  <dcterms:modified xsi:type="dcterms:W3CDTF">2023-08-29T08:01:00Z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AFD733C9BF3247649E77AF5CE1109C34</vt:lpwstr>
  </property>
</Properties>
</file>