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b/>
          <w:sz w:val="52"/>
          <w:szCs w:val="52"/>
        </w:rPr>
      </w:pPr>
    </w:p>
    <w:p>
      <w:pPr>
        <w:snapToGrid w:val="0"/>
        <w:spacing w:line="360" w:lineRule="auto"/>
        <w:jc w:val="center"/>
        <w:rPr>
          <w:b/>
          <w:sz w:val="52"/>
          <w:szCs w:val="52"/>
        </w:rPr>
      </w:pPr>
    </w:p>
    <w:p>
      <w:pPr>
        <w:snapToGrid w:val="0"/>
        <w:spacing w:line="360" w:lineRule="auto"/>
        <w:jc w:val="center"/>
        <w:rPr>
          <w:b/>
          <w:sz w:val="52"/>
          <w:szCs w:val="52"/>
        </w:rPr>
      </w:pPr>
    </w:p>
    <w:p>
      <w:pPr>
        <w:snapToGrid w:val="0"/>
        <w:spacing w:line="360" w:lineRule="auto"/>
        <w:ind w:left="0" w:leftChars="0" w:firstLine="0" w:firstLineChars="0"/>
        <w:jc w:val="center"/>
        <w:rPr>
          <w:rFonts w:hint="eastAsia" w:ascii="华文中宋" w:hAnsi="华文中宋" w:eastAsia="华文中宋" w:cs="华文中宋"/>
          <w:b/>
          <w:sz w:val="52"/>
          <w:szCs w:val="52"/>
        </w:rPr>
      </w:pPr>
      <w:r>
        <w:rPr>
          <w:rFonts w:hint="eastAsia" w:ascii="华文中宋" w:hAnsi="华文中宋" w:eastAsia="华文中宋" w:cs="华文中宋"/>
          <w:b/>
          <w:sz w:val="52"/>
          <w:szCs w:val="52"/>
        </w:rPr>
        <w:t>中共北京市委研究室</w:t>
      </w:r>
    </w:p>
    <w:p>
      <w:pPr>
        <w:snapToGrid w:val="0"/>
        <w:spacing w:line="360" w:lineRule="auto"/>
        <w:ind w:left="0" w:leftChars="0" w:firstLine="0" w:firstLineChars="0"/>
        <w:jc w:val="center"/>
        <w:rPr>
          <w:rFonts w:hint="eastAsia" w:ascii="华文中宋" w:hAnsi="华文中宋" w:eastAsia="华文中宋" w:cs="华文中宋"/>
          <w:b/>
          <w:sz w:val="52"/>
          <w:szCs w:val="52"/>
        </w:rPr>
      </w:pPr>
      <w:r>
        <w:rPr>
          <w:rFonts w:hint="eastAsia" w:ascii="华文中宋" w:hAnsi="华文中宋" w:eastAsia="华文中宋" w:cs="华文中宋"/>
          <w:b/>
          <w:sz w:val="52"/>
          <w:szCs w:val="52"/>
        </w:rPr>
        <w:t>部门整体绩效评价报告</w:t>
      </w:r>
    </w:p>
    <w:p>
      <w:pPr>
        <w:snapToGrid w:val="0"/>
        <w:spacing w:line="360" w:lineRule="auto"/>
        <w:ind w:firstLine="640"/>
        <w:jc w:val="center"/>
        <w:rPr>
          <w:sz w:val="32"/>
          <w:szCs w:val="32"/>
        </w:rPr>
      </w:pPr>
    </w:p>
    <w:p>
      <w:pPr>
        <w:snapToGrid w:val="0"/>
        <w:spacing w:line="360" w:lineRule="auto"/>
        <w:ind w:firstLine="1044"/>
        <w:jc w:val="center"/>
        <w:rPr>
          <w:b/>
          <w:sz w:val="52"/>
        </w:rPr>
      </w:pPr>
    </w:p>
    <w:p>
      <w:pPr>
        <w:snapToGrid w:val="0"/>
        <w:spacing w:line="360" w:lineRule="auto"/>
        <w:ind w:firstLine="1044"/>
        <w:rPr>
          <w:b/>
          <w:sz w:val="52"/>
        </w:rPr>
      </w:pPr>
    </w:p>
    <w:p>
      <w:pPr>
        <w:snapToGrid w:val="0"/>
        <w:spacing w:line="360" w:lineRule="auto"/>
        <w:ind w:firstLine="1044"/>
        <w:rPr>
          <w:b/>
          <w:sz w:val="52"/>
        </w:rPr>
      </w:pPr>
    </w:p>
    <w:p>
      <w:pPr>
        <w:snapToGrid w:val="0"/>
        <w:spacing w:line="360" w:lineRule="auto"/>
        <w:ind w:firstLine="600"/>
        <w:rPr>
          <w:sz w:val="30"/>
        </w:rPr>
      </w:pPr>
    </w:p>
    <w:p>
      <w:pPr>
        <w:snapToGrid w:val="0"/>
        <w:spacing w:line="360" w:lineRule="auto"/>
        <w:ind w:firstLine="640"/>
        <w:jc w:val="center"/>
        <w:rPr>
          <w:rFonts w:eastAsia="仿宋_GB2312"/>
          <w:sz w:val="32"/>
          <w:szCs w:val="32"/>
        </w:rPr>
      </w:pPr>
    </w:p>
    <w:tbl>
      <w:tblPr>
        <w:tblStyle w:val="9"/>
        <w:tblW w:w="8529" w:type="dxa"/>
        <w:tblInd w:w="0" w:type="dxa"/>
        <w:tblLayout w:type="fixed"/>
        <w:tblCellMar>
          <w:top w:w="0" w:type="dxa"/>
          <w:left w:w="108" w:type="dxa"/>
          <w:bottom w:w="0" w:type="dxa"/>
          <w:right w:w="108" w:type="dxa"/>
        </w:tblCellMar>
      </w:tblPr>
      <w:tblGrid>
        <w:gridCol w:w="1668"/>
        <w:gridCol w:w="6861"/>
      </w:tblGrid>
      <w:tr>
        <w:tblPrEx>
          <w:tblCellMar>
            <w:top w:w="0" w:type="dxa"/>
            <w:left w:w="108" w:type="dxa"/>
            <w:bottom w:w="0" w:type="dxa"/>
            <w:right w:w="108" w:type="dxa"/>
          </w:tblCellMar>
        </w:tblPrEx>
        <w:trPr>
          <w:trHeight w:val="889" w:hRule="atLeast"/>
        </w:trPr>
        <w:tc>
          <w:tcPr>
            <w:tcW w:w="1668" w:type="dxa"/>
            <w:shd w:val="clear" w:color="auto" w:fill="auto"/>
            <w:vAlign w:val="bottom"/>
          </w:tcPr>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ascii="Calibri" w:hAnsi="Calibri"/>
                <w:b/>
                <w:sz w:val="52"/>
              </w:rPr>
            </w:pPr>
            <w:r>
              <w:rPr>
                <w:rFonts w:hint="eastAsia" w:ascii="Calibri" w:hAnsi="Calibri"/>
                <w:sz w:val="32"/>
                <w:szCs w:val="32"/>
              </w:rPr>
              <w:t>部门名称</w:t>
            </w:r>
          </w:p>
        </w:tc>
        <w:tc>
          <w:tcPr>
            <w:tcW w:w="6861" w:type="dxa"/>
            <w:shd w:val="clear" w:color="auto" w:fill="auto"/>
            <w:vAlign w:val="bottom"/>
          </w:tcPr>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ascii="Calibri" w:hAnsi="Calibri"/>
                <w:sz w:val="32"/>
                <w:szCs w:val="32"/>
                <w:u w:val="single"/>
              </w:rPr>
            </w:pPr>
            <w:r>
              <w:rPr>
                <w:rFonts w:hint="eastAsia" w:ascii="Calibri" w:hAnsi="Calibri"/>
                <w:sz w:val="32"/>
                <w:szCs w:val="32"/>
                <w:u w:val="single"/>
              </w:rPr>
              <w:t xml:space="preserve">          中共北京市委研究室            </w:t>
            </w:r>
          </w:p>
        </w:tc>
      </w:tr>
    </w:tbl>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pPr>
    </w:p>
    <w:p>
      <w:pPr>
        <w:pStyle w:val="2"/>
        <w:sectPr>
          <w:footerReference r:id="rId5" w:type="default"/>
          <w:pgSz w:w="11906" w:h="16838"/>
          <w:pgMar w:top="1440" w:right="1800" w:bottom="1440" w:left="1800" w:header="851" w:footer="992" w:gutter="0"/>
          <w:pgNumType w:fmt="decimal" w:start="1"/>
          <w:cols w:space="425" w:num="1"/>
          <w:docGrid w:type="lines" w:linePitch="312" w:charSpace="0"/>
        </w:sectPr>
      </w:pPr>
    </w:p>
    <w:p>
      <w:pPr>
        <w:pStyle w:val="2"/>
      </w:pPr>
    </w:p>
    <w:p>
      <w:pPr>
        <w:spacing w:line="560" w:lineRule="exact"/>
        <w:jc w:val="center"/>
        <w:rPr>
          <w:rFonts w:ascii="方正小标宋简体" w:eastAsia="方正小标宋简体"/>
          <w:sz w:val="36"/>
          <w:szCs w:val="36"/>
        </w:rPr>
      </w:pPr>
    </w:p>
    <w:sdt>
      <w:sdtPr>
        <w:rPr>
          <w:rFonts w:ascii="宋体" w:hAnsi="宋体"/>
          <w:b/>
          <w:bCs/>
        </w:rPr>
        <w:id w:val="147476741"/>
        <w:docPartObj>
          <w:docPartGallery w:val="Table of Contents"/>
          <w:docPartUnique/>
        </w:docPartObj>
      </w:sdtPr>
      <w:sdtEndPr>
        <w:rPr>
          <w:rFonts w:hint="eastAsia" w:ascii="方正小标宋简体" w:hAnsi="Times New Roman" w:eastAsia="方正小标宋简体"/>
          <w:b/>
          <w:bCs/>
          <w:szCs w:val="36"/>
        </w:rPr>
      </w:sdtEndPr>
      <w:sdtContent>
        <w:p>
          <w:pPr>
            <w:spacing w:line="360" w:lineRule="auto"/>
            <w:ind w:firstLine="643" w:firstLineChars="200"/>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目录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_Toc11372 </w:instrText>
          </w:r>
          <w:r>
            <w:rPr>
              <w:rFonts w:hint="eastAsia" w:ascii="仿宋_GB2312" w:hAnsi="仿宋_GB2312" w:eastAsia="仿宋_GB2312" w:cs="仿宋_GB2312"/>
              <w:szCs w:val="32"/>
            </w:rPr>
            <w:fldChar w:fldCharType="separate"/>
          </w:r>
          <w:r>
            <w:rPr>
              <w:rFonts w:hint="eastAsia"/>
            </w:rPr>
            <w:t>一、部门概况</w:t>
          </w:r>
          <w:r>
            <w:tab/>
          </w:r>
          <w:r>
            <w:fldChar w:fldCharType="begin"/>
          </w:r>
          <w:r>
            <w:instrText xml:space="preserve"> PAGEREF _Toc11372 \h </w:instrText>
          </w:r>
          <w:r>
            <w:fldChar w:fldCharType="separate"/>
          </w:r>
          <w:r>
            <w:t>1</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_Toc18656 </w:instrText>
          </w:r>
          <w:r>
            <w:rPr>
              <w:rFonts w:hint="eastAsia" w:ascii="仿宋_GB2312" w:hAnsi="仿宋_GB2312" w:eastAsia="仿宋_GB2312" w:cs="仿宋_GB2312"/>
              <w:szCs w:val="32"/>
            </w:rPr>
            <w:fldChar w:fldCharType="separate"/>
          </w:r>
          <w:r>
            <w:rPr>
              <w:rFonts w:hint="eastAsia"/>
            </w:rPr>
            <w:t>（一）机构设置及职责工作任务情况</w:t>
          </w:r>
          <w:r>
            <w:tab/>
          </w:r>
          <w:r>
            <w:fldChar w:fldCharType="begin"/>
          </w:r>
          <w:r>
            <w:instrText xml:space="preserve"> PAGEREF _Toc18656 \h </w:instrText>
          </w:r>
          <w:r>
            <w:fldChar w:fldCharType="separate"/>
          </w:r>
          <w:r>
            <w:t>1</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_Toc6970 </w:instrText>
          </w:r>
          <w:r>
            <w:rPr>
              <w:rFonts w:hint="eastAsia" w:ascii="仿宋_GB2312" w:hAnsi="仿宋_GB2312" w:eastAsia="仿宋_GB2312" w:cs="仿宋_GB2312"/>
              <w:szCs w:val="32"/>
            </w:rPr>
            <w:fldChar w:fldCharType="separate"/>
          </w:r>
          <w:r>
            <w:rPr>
              <w:rFonts w:hint="eastAsia"/>
            </w:rPr>
            <w:t>（二）部门整体绩效目标设立情况</w:t>
          </w:r>
          <w:r>
            <w:tab/>
          </w:r>
          <w:r>
            <w:fldChar w:fldCharType="begin"/>
          </w:r>
          <w:r>
            <w:instrText xml:space="preserve"> PAGEREF _Toc6970 \h </w:instrText>
          </w:r>
          <w:r>
            <w:fldChar w:fldCharType="separate"/>
          </w:r>
          <w:r>
            <w:t>2</w:t>
          </w:r>
          <w:r>
            <w:fldChar w:fldCharType="end"/>
          </w:r>
          <w:r>
            <w:rPr>
              <w:rFonts w:hint="eastAsia" w:ascii="仿宋_GB2312" w:hAnsi="仿宋_GB2312" w:eastAsia="仿宋_GB2312" w:cs="仿宋_GB2312"/>
              <w:szCs w:val="32"/>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_Toc4662 </w:instrText>
          </w:r>
          <w:r>
            <w:rPr>
              <w:rFonts w:hint="eastAsia" w:ascii="仿宋_GB2312" w:hAnsi="仿宋_GB2312" w:eastAsia="仿宋_GB2312" w:cs="仿宋_GB2312"/>
              <w:szCs w:val="32"/>
            </w:rPr>
            <w:fldChar w:fldCharType="separate"/>
          </w:r>
          <w:r>
            <w:rPr>
              <w:rFonts w:hint="eastAsia"/>
            </w:rPr>
            <w:t>二</w:t>
          </w:r>
          <w:r>
            <w:t>、</w:t>
          </w:r>
          <w:r>
            <w:rPr>
              <w:rFonts w:hint="eastAsia"/>
            </w:rPr>
            <w:t>当年</w:t>
          </w:r>
          <w:r>
            <w:t>预算执行情况</w:t>
          </w:r>
          <w:r>
            <w:tab/>
          </w:r>
          <w:r>
            <w:fldChar w:fldCharType="begin"/>
          </w:r>
          <w:r>
            <w:instrText xml:space="preserve"> PAGEREF _Toc4662 \h </w:instrText>
          </w:r>
          <w:r>
            <w:fldChar w:fldCharType="separate"/>
          </w:r>
          <w:r>
            <w:t>6</w:t>
          </w:r>
          <w:r>
            <w:fldChar w:fldCharType="end"/>
          </w:r>
          <w:r>
            <w:rPr>
              <w:rFonts w:hint="eastAsia" w:ascii="仿宋_GB2312" w:hAnsi="仿宋_GB2312" w:eastAsia="仿宋_GB2312" w:cs="仿宋_GB2312"/>
              <w:szCs w:val="32"/>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_Toc29591 </w:instrText>
          </w:r>
          <w:r>
            <w:rPr>
              <w:rFonts w:hint="eastAsia" w:ascii="仿宋_GB2312" w:hAnsi="仿宋_GB2312" w:eastAsia="仿宋_GB2312" w:cs="仿宋_GB2312"/>
              <w:szCs w:val="32"/>
            </w:rPr>
            <w:fldChar w:fldCharType="separate"/>
          </w:r>
          <w:r>
            <w:rPr>
              <w:rFonts w:hint="eastAsia"/>
            </w:rPr>
            <w:t>三</w:t>
          </w:r>
          <w:r>
            <w:t>、整体绩效目标实现情况</w:t>
          </w:r>
          <w:r>
            <w:tab/>
          </w:r>
          <w:r>
            <w:fldChar w:fldCharType="begin"/>
          </w:r>
          <w:r>
            <w:instrText xml:space="preserve"> PAGEREF _Toc29591 \h </w:instrText>
          </w:r>
          <w:r>
            <w:fldChar w:fldCharType="separate"/>
          </w:r>
          <w:r>
            <w:t>8</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_Toc2857 </w:instrText>
          </w:r>
          <w:r>
            <w:rPr>
              <w:rFonts w:hint="eastAsia" w:ascii="仿宋_GB2312" w:hAnsi="仿宋_GB2312" w:eastAsia="仿宋_GB2312" w:cs="仿宋_GB2312"/>
              <w:szCs w:val="32"/>
            </w:rPr>
            <w:fldChar w:fldCharType="separate"/>
          </w:r>
          <w:r>
            <w:rPr>
              <w:rFonts w:hint="eastAsia"/>
            </w:rPr>
            <w:t>（一）产出完成情况分析</w:t>
          </w:r>
          <w:r>
            <w:tab/>
          </w:r>
          <w:r>
            <w:fldChar w:fldCharType="begin"/>
          </w:r>
          <w:r>
            <w:instrText xml:space="preserve"> PAGEREF _Toc2857 \h </w:instrText>
          </w:r>
          <w:r>
            <w:fldChar w:fldCharType="separate"/>
          </w:r>
          <w:r>
            <w:t>8</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_Toc9541 </w:instrText>
          </w:r>
          <w:r>
            <w:rPr>
              <w:rFonts w:hint="eastAsia" w:ascii="仿宋_GB2312" w:hAnsi="仿宋_GB2312" w:eastAsia="仿宋_GB2312" w:cs="仿宋_GB2312"/>
              <w:szCs w:val="32"/>
            </w:rPr>
            <w:fldChar w:fldCharType="separate"/>
          </w:r>
          <w:r>
            <w:rPr>
              <w:rFonts w:hint="eastAsia"/>
            </w:rPr>
            <w:t>（二）效果实现情况分析</w:t>
          </w:r>
          <w:r>
            <w:tab/>
          </w:r>
          <w:r>
            <w:fldChar w:fldCharType="begin"/>
          </w:r>
          <w:r>
            <w:instrText xml:space="preserve"> PAGEREF _Toc9541 \h </w:instrText>
          </w:r>
          <w:r>
            <w:fldChar w:fldCharType="separate"/>
          </w:r>
          <w:r>
            <w:t>10</w:t>
          </w:r>
          <w:r>
            <w:fldChar w:fldCharType="end"/>
          </w:r>
          <w:r>
            <w:rPr>
              <w:rFonts w:hint="eastAsia" w:ascii="仿宋_GB2312" w:hAnsi="仿宋_GB2312" w:eastAsia="仿宋_GB2312" w:cs="仿宋_GB2312"/>
              <w:szCs w:val="32"/>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_Toc14505 </w:instrText>
          </w:r>
          <w:r>
            <w:rPr>
              <w:rFonts w:hint="eastAsia" w:ascii="仿宋_GB2312" w:hAnsi="仿宋_GB2312" w:eastAsia="仿宋_GB2312" w:cs="仿宋_GB2312"/>
              <w:szCs w:val="32"/>
            </w:rPr>
            <w:fldChar w:fldCharType="separate"/>
          </w:r>
          <w:r>
            <w:rPr>
              <w:rFonts w:hint="eastAsia"/>
            </w:rPr>
            <w:t>四</w:t>
          </w:r>
          <w:r>
            <w:t>、预算管理</w:t>
          </w:r>
          <w:r>
            <w:rPr>
              <w:rFonts w:hint="eastAsia"/>
            </w:rPr>
            <w:t>情况分</w:t>
          </w:r>
          <w:r>
            <w:t>析</w:t>
          </w:r>
          <w:r>
            <w:tab/>
          </w:r>
          <w:r>
            <w:fldChar w:fldCharType="begin"/>
          </w:r>
          <w:r>
            <w:instrText xml:space="preserve"> PAGEREF _Toc14505 \h </w:instrText>
          </w:r>
          <w:r>
            <w:fldChar w:fldCharType="separate"/>
          </w:r>
          <w:r>
            <w:t>10</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_Toc3274 </w:instrText>
          </w:r>
          <w:r>
            <w:rPr>
              <w:rFonts w:hint="eastAsia" w:ascii="仿宋_GB2312" w:hAnsi="仿宋_GB2312" w:eastAsia="仿宋_GB2312" w:cs="仿宋_GB2312"/>
              <w:szCs w:val="32"/>
            </w:rPr>
            <w:fldChar w:fldCharType="separate"/>
          </w:r>
          <w:r>
            <w:rPr>
              <w:rFonts w:hint="eastAsia"/>
            </w:rPr>
            <w:t>（一）财务管理</w:t>
          </w:r>
          <w:r>
            <w:tab/>
          </w:r>
          <w:r>
            <w:fldChar w:fldCharType="begin"/>
          </w:r>
          <w:r>
            <w:instrText xml:space="preserve"> PAGEREF _Toc3274 \h </w:instrText>
          </w:r>
          <w:r>
            <w:fldChar w:fldCharType="separate"/>
          </w:r>
          <w:r>
            <w:t>10</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_Toc2860 </w:instrText>
          </w:r>
          <w:r>
            <w:rPr>
              <w:rFonts w:hint="eastAsia" w:ascii="仿宋_GB2312" w:hAnsi="仿宋_GB2312" w:eastAsia="仿宋_GB2312" w:cs="仿宋_GB2312"/>
              <w:szCs w:val="32"/>
            </w:rPr>
            <w:fldChar w:fldCharType="separate"/>
          </w:r>
          <w:r>
            <w:rPr>
              <w:rFonts w:hint="eastAsia"/>
            </w:rPr>
            <w:t>（二）资产管理</w:t>
          </w:r>
          <w:r>
            <w:tab/>
          </w:r>
          <w:r>
            <w:fldChar w:fldCharType="begin"/>
          </w:r>
          <w:r>
            <w:instrText xml:space="preserve"> PAGEREF _Toc2860 \h </w:instrText>
          </w:r>
          <w:r>
            <w:fldChar w:fldCharType="separate"/>
          </w:r>
          <w:r>
            <w:t>11</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_Toc28321 </w:instrText>
          </w:r>
          <w:r>
            <w:rPr>
              <w:rFonts w:hint="eastAsia" w:ascii="仿宋_GB2312" w:hAnsi="仿宋_GB2312" w:eastAsia="仿宋_GB2312" w:cs="仿宋_GB2312"/>
              <w:szCs w:val="32"/>
            </w:rPr>
            <w:fldChar w:fldCharType="separate"/>
          </w:r>
          <w:r>
            <w:rPr>
              <w:rFonts w:hint="eastAsia"/>
            </w:rPr>
            <w:t>（三）绩效</w:t>
          </w:r>
          <w:r>
            <w:t>管理</w:t>
          </w:r>
          <w:r>
            <w:tab/>
          </w:r>
          <w:r>
            <w:fldChar w:fldCharType="begin"/>
          </w:r>
          <w:r>
            <w:instrText xml:space="preserve"> PAGEREF _Toc28321 \h </w:instrText>
          </w:r>
          <w:r>
            <w:fldChar w:fldCharType="separate"/>
          </w:r>
          <w:r>
            <w:t>13</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_Toc31649 </w:instrText>
          </w:r>
          <w:r>
            <w:rPr>
              <w:rFonts w:hint="eastAsia" w:ascii="仿宋_GB2312" w:hAnsi="仿宋_GB2312" w:eastAsia="仿宋_GB2312" w:cs="仿宋_GB2312"/>
              <w:szCs w:val="32"/>
            </w:rPr>
            <w:fldChar w:fldCharType="separate"/>
          </w:r>
          <w:r>
            <w:rPr>
              <w:rFonts w:hint="eastAsia"/>
            </w:rPr>
            <w:t>（四）结转结余率</w:t>
          </w:r>
          <w:r>
            <w:tab/>
          </w:r>
          <w:r>
            <w:fldChar w:fldCharType="begin"/>
          </w:r>
          <w:r>
            <w:instrText xml:space="preserve"> PAGEREF _Toc31649 \h </w:instrText>
          </w:r>
          <w:r>
            <w:fldChar w:fldCharType="separate"/>
          </w:r>
          <w:r>
            <w:t>13</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_Toc29942 </w:instrText>
          </w:r>
          <w:r>
            <w:rPr>
              <w:rFonts w:hint="eastAsia" w:ascii="仿宋_GB2312" w:hAnsi="仿宋_GB2312" w:eastAsia="仿宋_GB2312" w:cs="仿宋_GB2312"/>
              <w:szCs w:val="32"/>
            </w:rPr>
            <w:fldChar w:fldCharType="separate"/>
          </w:r>
          <w:r>
            <w:rPr>
              <w:rFonts w:hint="eastAsia"/>
            </w:rPr>
            <w:t>（五）部门</w:t>
          </w:r>
          <w:r>
            <w:t>预决算差异率</w:t>
          </w:r>
          <w:r>
            <w:tab/>
          </w:r>
          <w:r>
            <w:fldChar w:fldCharType="begin"/>
          </w:r>
          <w:r>
            <w:instrText xml:space="preserve"> PAGEREF _Toc29942 \h </w:instrText>
          </w:r>
          <w:r>
            <w:fldChar w:fldCharType="separate"/>
          </w:r>
          <w:r>
            <w:t>14</w:t>
          </w:r>
          <w:r>
            <w:fldChar w:fldCharType="end"/>
          </w:r>
          <w:r>
            <w:rPr>
              <w:rFonts w:hint="eastAsia" w:ascii="仿宋_GB2312" w:hAnsi="仿宋_GB2312" w:eastAsia="仿宋_GB2312" w:cs="仿宋_GB2312"/>
              <w:szCs w:val="32"/>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_Toc5291 </w:instrText>
          </w:r>
          <w:r>
            <w:rPr>
              <w:rFonts w:hint="eastAsia" w:ascii="仿宋_GB2312" w:hAnsi="仿宋_GB2312" w:eastAsia="仿宋_GB2312" w:cs="仿宋_GB2312"/>
              <w:szCs w:val="32"/>
            </w:rPr>
            <w:fldChar w:fldCharType="separate"/>
          </w:r>
          <w:r>
            <w:rPr>
              <w:rFonts w:hint="eastAsia"/>
            </w:rPr>
            <w:t>五、总体</w:t>
          </w:r>
          <w:r>
            <w:t>评价结论</w:t>
          </w:r>
          <w:r>
            <w:tab/>
          </w:r>
          <w:r>
            <w:fldChar w:fldCharType="begin"/>
          </w:r>
          <w:r>
            <w:instrText xml:space="preserve"> PAGEREF _Toc5291 \h </w:instrText>
          </w:r>
          <w:r>
            <w:fldChar w:fldCharType="separate"/>
          </w:r>
          <w:r>
            <w:t>14</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_Toc3163 </w:instrText>
          </w:r>
          <w:r>
            <w:rPr>
              <w:rFonts w:hint="eastAsia" w:ascii="仿宋_GB2312" w:hAnsi="仿宋_GB2312" w:eastAsia="仿宋_GB2312" w:cs="仿宋_GB2312"/>
              <w:szCs w:val="32"/>
            </w:rPr>
            <w:fldChar w:fldCharType="separate"/>
          </w:r>
          <w:r>
            <w:rPr>
              <w:rFonts w:hint="eastAsia"/>
            </w:rPr>
            <w:t>（一）评价</w:t>
          </w:r>
          <w:r>
            <w:t>得分</w:t>
          </w:r>
          <w:r>
            <w:rPr>
              <w:rFonts w:hint="eastAsia"/>
            </w:rPr>
            <w:t>情况</w:t>
          </w:r>
          <w:r>
            <w:tab/>
          </w:r>
          <w:r>
            <w:fldChar w:fldCharType="begin"/>
          </w:r>
          <w:r>
            <w:instrText xml:space="preserve"> PAGEREF _Toc3163 \h </w:instrText>
          </w:r>
          <w:r>
            <w:fldChar w:fldCharType="separate"/>
          </w:r>
          <w:r>
            <w:t>14</w:t>
          </w:r>
          <w:r>
            <w:fldChar w:fldCharType="end"/>
          </w:r>
          <w:r>
            <w:rPr>
              <w:rFonts w:hint="eastAsia" w:ascii="仿宋_GB2312" w:hAnsi="仿宋_GB2312" w:eastAsia="仿宋_GB2312" w:cs="仿宋_GB2312"/>
              <w:szCs w:val="32"/>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_Toc29455 </w:instrText>
          </w:r>
          <w:r>
            <w:rPr>
              <w:rFonts w:hint="eastAsia" w:ascii="仿宋_GB2312" w:hAnsi="仿宋_GB2312" w:eastAsia="仿宋_GB2312" w:cs="仿宋_GB2312"/>
              <w:szCs w:val="32"/>
            </w:rPr>
            <w:fldChar w:fldCharType="separate"/>
          </w:r>
          <w:r>
            <w:rPr>
              <w:rFonts w:hint="eastAsia"/>
            </w:rPr>
            <w:t>（二）存在的问题及原因分析</w:t>
          </w:r>
          <w:r>
            <w:tab/>
          </w:r>
          <w:r>
            <w:fldChar w:fldCharType="begin"/>
          </w:r>
          <w:r>
            <w:instrText xml:space="preserve"> PAGEREF _Toc29455 \h </w:instrText>
          </w:r>
          <w:r>
            <w:fldChar w:fldCharType="separate"/>
          </w:r>
          <w:r>
            <w:t>15</w:t>
          </w:r>
          <w:r>
            <w:fldChar w:fldCharType="end"/>
          </w:r>
          <w:r>
            <w:rPr>
              <w:rFonts w:hint="eastAsia" w:ascii="仿宋_GB2312" w:hAnsi="仿宋_GB2312" w:eastAsia="仿宋_GB2312" w:cs="仿宋_GB2312"/>
              <w:szCs w:val="32"/>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firstLine="0" w:firstLineChars="0"/>
            <w:textAlignment w:val="auto"/>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_Toc7961 </w:instrText>
          </w:r>
          <w:r>
            <w:rPr>
              <w:rFonts w:hint="eastAsia" w:ascii="仿宋_GB2312" w:hAnsi="仿宋_GB2312" w:eastAsia="仿宋_GB2312" w:cs="仿宋_GB2312"/>
              <w:szCs w:val="32"/>
            </w:rPr>
            <w:fldChar w:fldCharType="separate"/>
          </w:r>
          <w:r>
            <w:rPr>
              <w:rFonts w:hint="eastAsia"/>
            </w:rPr>
            <w:t>六、措施建议</w:t>
          </w:r>
          <w:r>
            <w:tab/>
          </w:r>
          <w:r>
            <w:fldChar w:fldCharType="begin"/>
          </w:r>
          <w:r>
            <w:instrText xml:space="preserve"> PAGEREF _Toc7961 \h </w:instrText>
          </w:r>
          <w:r>
            <w:fldChar w:fldCharType="separate"/>
          </w:r>
          <w:r>
            <w:t>15</w:t>
          </w:r>
          <w:r>
            <w:fldChar w:fldCharType="end"/>
          </w:r>
          <w:r>
            <w:rPr>
              <w:rFonts w:hint="eastAsia" w:ascii="仿宋_GB2312" w:hAnsi="仿宋_GB2312" w:eastAsia="仿宋_GB2312" w:cs="仿宋_GB2312"/>
              <w:szCs w:val="32"/>
            </w:rPr>
            <w:fldChar w:fldCharType="end"/>
          </w:r>
        </w:p>
        <w:p>
          <w:pPr>
            <w:spacing w:line="360" w:lineRule="auto"/>
            <w:ind w:firstLine="640" w:firstLineChars="200"/>
            <w:rPr>
              <w:rFonts w:ascii="方正小标宋简体" w:eastAsia="方正小标宋简体"/>
              <w:sz w:val="36"/>
              <w:szCs w:val="36"/>
            </w:rPr>
          </w:pPr>
          <w:r>
            <w:rPr>
              <w:rFonts w:hint="eastAsia" w:ascii="仿宋_GB2312" w:hAnsi="仿宋_GB2312" w:eastAsia="仿宋_GB2312" w:cs="仿宋_GB2312"/>
              <w:szCs w:val="32"/>
            </w:rPr>
            <w:fldChar w:fldCharType="end"/>
          </w:r>
        </w:p>
      </w:sdtContent>
    </w:sdt>
    <w:p>
      <w:pPr>
        <w:jc w:val="center"/>
        <w:rPr>
          <w:rFonts w:hint="eastAsia" w:ascii="方正小标宋简体" w:eastAsia="方正小标宋简体"/>
          <w:sz w:val="36"/>
          <w:szCs w:val="36"/>
        </w:rPr>
        <w:sectPr>
          <w:footerReference r:id="rId6" w:type="default"/>
          <w:pgSz w:w="11906" w:h="16838"/>
          <w:pgMar w:top="1440" w:right="1800" w:bottom="1440" w:left="1800" w:header="851" w:footer="992" w:gutter="0"/>
          <w:pgNumType w:fmt="decimal" w:start="1"/>
          <w:cols w:space="425" w:num="1"/>
          <w:docGrid w:type="lines" w:linePitch="312" w:charSpace="0"/>
        </w:sectPr>
      </w:pPr>
    </w:p>
    <w:p>
      <w:pPr>
        <w:jc w:val="center"/>
        <w:rPr>
          <w:rFonts w:hint="eastAsia" w:ascii="方正小标宋简体" w:eastAsia="方正小标宋简体"/>
          <w:sz w:val="36"/>
          <w:szCs w:val="36"/>
        </w:rPr>
      </w:pPr>
      <w:r>
        <w:rPr>
          <w:rFonts w:hint="eastAsia" w:ascii="方正小标宋简体" w:eastAsia="方正小标宋简体"/>
          <w:sz w:val="36"/>
          <w:szCs w:val="36"/>
        </w:rPr>
        <w:t>部门整体绩效评价报告</w:t>
      </w:r>
    </w:p>
    <w:p>
      <w:pPr>
        <w:pStyle w:val="2"/>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方正小标宋简体" w:eastAsia="方正小标宋简体"/>
          <w:sz w:val="36"/>
          <w:szCs w:val="36"/>
        </w:rPr>
      </w:pPr>
      <w:r>
        <w:rPr>
          <w:rFonts w:hint="eastAsia" w:ascii="仿宋_GB2312" w:hAnsi="仿宋_GB2312" w:eastAsia="仿宋_GB2312" w:cs="仿宋_GB2312"/>
          <w:sz w:val="32"/>
          <w:szCs w:val="32"/>
        </w:rPr>
        <w:t>为有效提高财政资金使用效率，落实《中共中央国务院关于全面实施预算绩效管理的意见》（中发﹝2018﹞34号）“加快建成全方位、全过程、全覆盖的预算绩效管理体系”的要求，依据《北京市预算绩效管理办法》（京财绩效﹝2019﹞2129号）、《北京市项目支出绩效评价管理办法》（京财绩效﹝2020﹞2146号），中国共产党北京市委员会研究室成立绩效评价工作组，对2022年度部门整体支出开展了绩效评价。具体情况如下：</w:t>
      </w:r>
    </w:p>
    <w:p>
      <w:pPr>
        <w:pStyle w:val="3"/>
        <w:bidi w:val="0"/>
        <w:rPr>
          <w:rFonts w:hint="eastAsia"/>
        </w:rPr>
      </w:pPr>
      <w:bookmarkStart w:id="0" w:name="_Toc11372"/>
      <w:r>
        <w:rPr>
          <w:rFonts w:hint="eastAsia"/>
        </w:rPr>
        <w:t>一、部门概况</w:t>
      </w:r>
      <w:bookmarkEnd w:id="0"/>
    </w:p>
    <w:p>
      <w:pPr>
        <w:pStyle w:val="4"/>
        <w:bidi w:val="0"/>
        <w:rPr>
          <w:rFonts w:hint="eastAsia"/>
        </w:rPr>
      </w:pPr>
      <w:bookmarkStart w:id="1" w:name="_Toc18656"/>
      <w:r>
        <w:rPr>
          <w:rFonts w:hint="eastAsia"/>
        </w:rPr>
        <w:t>（一）机构设置及职责工作任务情况</w:t>
      </w:r>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1.本部门性质、职责等情况</w:t>
      </w:r>
    </w:p>
    <w:p>
      <w:pPr>
        <w:spacing w:line="560" w:lineRule="exact"/>
        <w:ind w:firstLine="640" w:firstLineChars="200"/>
        <w:rPr>
          <w:rFonts w:ascii="仿宋_GB2312" w:hAnsi="Arial" w:eastAsia="仿宋_GB2312" w:cs="Arial"/>
          <w:kern w:val="0"/>
          <w:sz w:val="32"/>
          <w:szCs w:val="32"/>
        </w:rPr>
      </w:pPr>
      <w:r>
        <w:rPr>
          <w:rFonts w:hint="eastAsia" w:ascii="仿宋_GB2312" w:hAnsi="仿宋_GB2312" w:eastAsia="仿宋_GB2312" w:cs="仿宋_GB2312"/>
          <w:sz w:val="32"/>
          <w:szCs w:val="32"/>
        </w:rPr>
        <w:t>市委研究室是一家行政单位，其主要职责是：1.围绕全市工作大局和市委的工作部署，按照市委的指示和确定的重点课题，开展调查研究，提供决策意见和建议；2.组织撰写市委的重要文件、文稿；3.收集和提供具有重要参考价值的政治、经济和社会发展等方面的信息；4.组织协调全市调查研究工作；5.完成市委交办的其他任务。根据中共北京市委办公厅《关于调整市委研究室职能配置、内设机构和人员编制的通知》（京办字[2019]34号），市委全面深化改革委员会办公室（简称市委改革办）设在市委研究室，负责处理市委全面深化改革委员会日常工作，主要职责是：1.组织开展本市全面深化改革重大问题的政策研究；2.统筹协调有关方面提出的改革工作方案和措施；3.协调督促有关方面落实市委深改委的决定事项、工作部署和要求；4.收集汇总有关改</w:t>
      </w:r>
      <w:r>
        <w:rPr>
          <w:rFonts w:hint="eastAsia" w:ascii="仿宋_GB2312" w:hAnsi="Arial" w:eastAsia="仿宋_GB2312" w:cs="Arial"/>
          <w:kern w:val="0"/>
          <w:sz w:val="32"/>
          <w:szCs w:val="32"/>
        </w:rPr>
        <w:t>革问题的信息资料；</w:t>
      </w:r>
      <w:r>
        <w:rPr>
          <w:rFonts w:ascii="仿宋_GB2312" w:hAnsi="Arial" w:eastAsia="仿宋_GB2312" w:cs="Arial"/>
          <w:kern w:val="0"/>
          <w:sz w:val="32"/>
          <w:szCs w:val="32"/>
        </w:rPr>
        <w:t>5.</w:t>
      </w:r>
      <w:r>
        <w:rPr>
          <w:rFonts w:hint="eastAsia" w:ascii="仿宋_GB2312" w:hAnsi="Arial" w:eastAsia="仿宋_GB2312" w:cs="Arial"/>
          <w:kern w:val="0"/>
          <w:sz w:val="32"/>
          <w:szCs w:val="32"/>
        </w:rPr>
        <w:t>联系有关研究机构和专家学者就改革重要问题进行研究和咨询；</w:t>
      </w:r>
      <w:r>
        <w:rPr>
          <w:rFonts w:ascii="仿宋_GB2312" w:hAnsi="Arial" w:eastAsia="仿宋_GB2312" w:cs="Arial"/>
          <w:kern w:val="0"/>
          <w:sz w:val="32"/>
          <w:szCs w:val="32"/>
        </w:rPr>
        <w:t>6.</w:t>
      </w:r>
      <w:r>
        <w:rPr>
          <w:rFonts w:hint="eastAsia" w:ascii="仿宋_GB2312" w:hAnsi="Arial" w:eastAsia="仿宋_GB2312" w:cs="Arial"/>
          <w:kern w:val="0"/>
          <w:sz w:val="32"/>
          <w:szCs w:val="32"/>
        </w:rPr>
        <w:t>负责市委深改委的会议组织、日常联络、简报编印等工作。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机构设置、人员构成情况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委研究室设16个内设机构和机关党委，分别为办公室、人事处、城市处、法制处、经济处、政治处、文化处、科教处、综合处、郊区处、社会处、战略处、改革综合处、改革一处、改革二处、督察处和机关党委。</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市委研究室行政编制94人，实际</w:t>
      </w:r>
      <w:r>
        <w:rPr>
          <w:rFonts w:hint="eastAsia" w:ascii="仿宋_GB2312" w:hAnsi="仿宋_GB2312" w:eastAsia="仿宋_GB2312" w:cs="仿宋_GB2312"/>
          <w:sz w:val="32"/>
          <w:szCs w:val="32"/>
          <w:lang w:val="en-US" w:eastAsia="zh-CN"/>
        </w:rPr>
        <w:t>88</w:t>
      </w:r>
      <w:r>
        <w:rPr>
          <w:rFonts w:hint="eastAsia" w:ascii="仿宋_GB2312" w:hAnsi="仿宋_GB2312" w:eastAsia="仿宋_GB2312" w:cs="仿宋_GB2312"/>
          <w:sz w:val="32"/>
          <w:szCs w:val="32"/>
        </w:rPr>
        <w:t>人；聘用人员（其他聘用人员--临时工）6人；离退休人员3</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人，其中：离休2人，退休</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人。</w:t>
      </w:r>
    </w:p>
    <w:p>
      <w:pPr>
        <w:pStyle w:val="4"/>
        <w:numPr>
          <w:ilvl w:val="0"/>
          <w:numId w:val="1"/>
        </w:numPr>
        <w:bidi w:val="0"/>
        <w:rPr>
          <w:rFonts w:hint="eastAsia"/>
        </w:rPr>
      </w:pPr>
      <w:bookmarkStart w:id="2" w:name="_Toc6970"/>
      <w:r>
        <w:rPr>
          <w:rFonts w:hint="eastAsia"/>
        </w:rPr>
        <w:t>部门整体绩效目标设立情况</w:t>
      </w:r>
      <w:bookmarkEnd w:id="2"/>
    </w:p>
    <w:p>
      <w:pPr>
        <w:spacing w:line="560" w:lineRule="exact"/>
        <w:ind w:firstLine="640" w:firstLineChars="200"/>
        <w:rPr>
          <w:rFonts w:hint="eastAsia" w:ascii="仿宋_GB2312" w:hAnsi="Arial" w:eastAsia="仿宋_GB2312" w:cs="Arial"/>
          <w:kern w:val="0"/>
          <w:sz w:val="32"/>
          <w:szCs w:val="32"/>
        </w:rPr>
      </w:pPr>
      <w:bookmarkStart w:id="3" w:name="_Toc601"/>
      <w:r>
        <w:rPr>
          <w:rFonts w:hint="eastAsia" w:ascii="仿宋_GB2312" w:hAnsi="Arial" w:eastAsia="仿宋_GB2312" w:cs="Arial"/>
          <w:kern w:val="0"/>
          <w:sz w:val="32"/>
          <w:szCs w:val="32"/>
        </w:rPr>
        <w:t>1.部门决策情况</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（1）主要决策内容</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部门2022年工作要点：</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文稿起草方面。落实逢稿必调研机制，加强业务领域研究，组织骨干力量做好冬奥会冬残奥会、市第十三次党代会、党的二十大相关文稿起草工作。继续办好业务交流学习会，建设并用好全室数据资料库，推动交流共享、学习互鉴。</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调查研究方面。围绕市领导关注和群众关切的重点、热点问题，如“五子”联动融入新发展格局、疫情防控、首都城市治理等领域，不断扩展调查研究的深度和广度，力争形成更多高质量成果。继续开展好“机关接地气，干部走基层”活动，从身边小事做起，把群众的诉求、工作中的堵点难点摸上来，为市委科学决策提供有针对性的对策建议。发挥市调研联席会平台作用，做好2022年度全市重点课题服务，积极推动研究成果转化。开展第十五届全市调查研究先进单位和优秀调研成果评比表彰，为全市调查研究树榜样、立标杆。做好《北京调研》《决策参考》《国之大者》编辑报送。加强与首都高端智库的交流合作。</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推动全面深化改革方面。紧扣进入新发展阶段、贯彻新发展理念、服务和融入新发展格局，聚焦重点领域和突出问题，围绕高质量服务市委深改委，更好发挥改革办职能作用，推动我市全面深化改革取得更大突破、展现更大作为。抓好本市“十四五”重要改革清单落地，推出一批小切口、见实效的改革举措。紧盯解决突出问题，加强市委深改委会议议题与接诉即办“每月一题”、基层“微改革微创新”等衔接，健全与市委其他议事协调机构办公室的沟通协作机制。</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（2）决策依据</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市委研究室根据2022年工作要点，按照《“三重一大”决策实施细则》规定的程序进行决策。资金使用符合部门职能规定的范围。通过预算调整、责任落实、监督检查等保障年度绩效目的的实现。</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（3）决策流程</w:t>
      </w:r>
    </w:p>
    <w:p>
      <w:pPr>
        <w:spacing w:line="560" w:lineRule="exact"/>
        <w:ind w:firstLine="640" w:firstLineChars="200"/>
        <w:rPr>
          <w:rFonts w:hint="eastAsia" w:ascii="仿宋_GB2312" w:hAnsi="Arial" w:eastAsia="仿宋_GB2312" w:cs="Arial"/>
          <w:kern w:val="0"/>
          <w:sz w:val="32"/>
          <w:szCs w:val="32"/>
          <w:lang w:eastAsia="zh-CN"/>
        </w:rPr>
      </w:pPr>
      <w:r>
        <w:rPr>
          <w:rFonts w:hint="eastAsia" w:ascii="仿宋_GB2312" w:hAnsi="Arial" w:eastAsia="仿宋_GB2312" w:cs="Arial"/>
          <w:kern w:val="0"/>
          <w:sz w:val="32"/>
          <w:szCs w:val="32"/>
        </w:rPr>
        <w:t>根据《中国共产党北京市委员会研究室“三重一大”决策制度实施办法》《中国共产党北京市委员会研究室预算管理制度》《中国共产党北京市委员会研究室财务管理制度》等制度，各处室负责本处室预算的编制、申报、执行和分析；办公室按照规定编制年度部门预算，报北京市财政局审核、批复后执行。涉及“三重一大”的项目和资金使用，按照“三重一大”流程进行集体决策。通过内部审计、会计核算监督、预算执行情况分析，及时发现和解决预算执行中存在的问题</w:t>
      </w:r>
      <w:r>
        <w:rPr>
          <w:rFonts w:hint="eastAsia" w:ascii="仿宋_GB2312" w:hAnsi="Arial" w:cs="Arial"/>
          <w:kern w:val="0"/>
          <w:sz w:val="32"/>
          <w:szCs w:val="32"/>
          <w:lang w:eastAsia="zh-CN"/>
        </w:rPr>
        <w:t>。</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cs="Arial"/>
          <w:kern w:val="0"/>
          <w:sz w:val="32"/>
          <w:szCs w:val="32"/>
          <w:lang w:val="en-US" w:eastAsia="zh-CN"/>
        </w:rPr>
        <w:t>2</w:t>
      </w:r>
      <w:r>
        <w:rPr>
          <w:rFonts w:hint="eastAsia" w:ascii="仿宋_GB2312" w:hAnsi="Arial" w:eastAsia="仿宋_GB2312" w:cs="Arial"/>
          <w:kern w:val="0"/>
          <w:sz w:val="32"/>
          <w:szCs w:val="32"/>
        </w:rPr>
        <w:t>.总体目标</w:t>
      </w:r>
    </w:p>
    <w:bookmarkEnd w:id="3"/>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一是加强理论武装。深入学习习近平新时代中国特色社会主义思想，使之成为我们开展决策服务的根本遵循。尤其是作为研究室，更要在学习贯彻习近平总书记对北京重要讲话精神上先一步、深一层，努力做到学深悟透、弄懂做实，并全面融入业务工作。</w:t>
      </w:r>
    </w:p>
    <w:p>
      <w:pPr>
        <w:spacing w:line="560" w:lineRule="exact"/>
        <w:ind w:firstLine="640" w:firstLineChars="200"/>
        <w:rPr>
          <w:rFonts w:hint="eastAsia" w:ascii="仿宋_GB2312" w:hAnsi="Arial" w:eastAsia="仿宋_GB2312" w:cs="Arial"/>
          <w:kern w:val="0"/>
          <w:sz w:val="32"/>
          <w:szCs w:val="32"/>
        </w:rPr>
      </w:pPr>
      <w:r>
        <w:rPr>
          <w:rFonts w:hint="eastAsia" w:ascii="仿宋_GB2312" w:hAnsi="Arial" w:eastAsia="仿宋_GB2312" w:cs="Arial"/>
          <w:kern w:val="0"/>
          <w:sz w:val="32"/>
          <w:szCs w:val="32"/>
        </w:rPr>
        <w:t>二是提高业务工作能力和水平。在文稿服务方面，牢固树立精品意识，继续落实“逢稿必调研”机制，严把文稿质量关。在调查研究方面，首先继续做好市委重点课题，并进一步加强重大问题的持续深入研究，推出更多高质量调研成果。同时，开展好两年一次的全市调查研究先进单位和优秀调研成果评比表彰，促进全市各单位大兴调查研究之风。在深化改革方面，扎实做好服务深改委的各项工作，继续抓好改革督察落实，既要确保落实中央部署的各项改革举措不打折、不走样，又要结合实际、深思善谋、大胆创新，坚持推进具有北京特点的改革。</w:t>
      </w:r>
    </w:p>
    <w:p>
      <w:pPr>
        <w:spacing w:line="560" w:lineRule="exact"/>
        <w:ind w:firstLine="640" w:firstLineChars="200"/>
        <w:rPr>
          <w:rFonts w:hint="eastAsia" w:ascii="仿宋_GB2312" w:hAnsi="Arial" w:eastAsia="仿宋_GB2312" w:cs="Arial"/>
          <w:kern w:val="0"/>
          <w:sz w:val="32"/>
          <w:szCs w:val="32"/>
          <w:lang w:val="en-US" w:eastAsia="zh-CN"/>
        </w:rPr>
      </w:pPr>
      <w:r>
        <w:rPr>
          <w:rFonts w:hint="eastAsia" w:ascii="仿宋_GB2312" w:hAnsi="Arial" w:cs="Arial"/>
          <w:kern w:val="0"/>
          <w:sz w:val="32"/>
          <w:szCs w:val="32"/>
          <w:lang w:val="en-US" w:eastAsia="zh-CN"/>
        </w:rPr>
        <w:t>3</w:t>
      </w:r>
      <w:r>
        <w:rPr>
          <w:rFonts w:hint="eastAsia" w:ascii="仿宋_GB2312" w:hAnsi="Arial" w:eastAsia="仿宋_GB2312" w:cs="Arial"/>
          <w:kern w:val="0"/>
          <w:sz w:val="32"/>
          <w:szCs w:val="32"/>
          <w:lang w:val="en-US" w:eastAsia="zh-CN"/>
        </w:rPr>
        <w:t>.重点目标</w:t>
      </w:r>
    </w:p>
    <w:p>
      <w:pPr>
        <w:spacing w:line="560" w:lineRule="exact"/>
        <w:ind w:firstLine="640" w:firstLineChars="200"/>
        <w:rPr>
          <w:rFonts w:hint="eastAsia" w:ascii="仿宋_GB2312" w:hAnsi="Arial" w:eastAsia="仿宋_GB2312" w:cs="Arial"/>
          <w:kern w:val="0"/>
          <w:sz w:val="32"/>
          <w:szCs w:val="32"/>
          <w:lang w:eastAsia="zh-CN"/>
        </w:rPr>
      </w:pPr>
      <w:r>
        <w:rPr>
          <w:rFonts w:hint="eastAsia" w:ascii="仿宋_GB2312" w:hAnsi="Arial" w:eastAsia="仿宋_GB2312" w:cs="Arial"/>
          <w:kern w:val="0"/>
          <w:sz w:val="32"/>
          <w:szCs w:val="32"/>
          <w:lang w:eastAsia="zh-CN"/>
        </w:rPr>
        <w:t>完成市委重要文件、文稿起草；</w:t>
      </w:r>
    </w:p>
    <w:p>
      <w:pPr>
        <w:spacing w:line="560" w:lineRule="exact"/>
        <w:ind w:firstLine="640" w:firstLineChars="200"/>
        <w:rPr>
          <w:rFonts w:hint="default" w:ascii="仿宋_GB2312" w:hAnsi="Arial" w:eastAsia="仿宋_GB2312" w:cs="Arial"/>
          <w:kern w:val="0"/>
          <w:sz w:val="32"/>
          <w:szCs w:val="32"/>
          <w:lang w:val="en-US" w:eastAsia="zh-CN"/>
        </w:rPr>
      </w:pPr>
      <w:r>
        <w:rPr>
          <w:rFonts w:hint="eastAsia" w:ascii="仿宋_GB2312" w:hAnsi="Arial" w:eastAsia="仿宋_GB2312" w:cs="Arial"/>
          <w:kern w:val="0"/>
          <w:sz w:val="32"/>
          <w:szCs w:val="32"/>
          <w:lang w:eastAsia="zh-CN"/>
        </w:rPr>
        <w:t>围绕贯彻落实党的十九大、二中、三中、四中、五中、六中全会重大决策以及北京市“十四五”规划等市委中心工作开展调查研究；</w:t>
      </w:r>
    </w:p>
    <w:p>
      <w:pPr>
        <w:spacing w:line="560" w:lineRule="exact"/>
        <w:ind w:firstLine="640" w:firstLineChars="200"/>
        <w:rPr>
          <w:rFonts w:hint="default" w:ascii="仿宋_GB2312" w:hAnsi="Arial" w:eastAsia="仿宋_GB2312" w:cs="Arial"/>
          <w:kern w:val="0"/>
          <w:sz w:val="32"/>
          <w:szCs w:val="32"/>
          <w:lang w:val="en-US" w:eastAsia="zh-CN"/>
        </w:rPr>
      </w:pPr>
      <w:r>
        <w:rPr>
          <w:rFonts w:hint="eastAsia" w:ascii="仿宋_GB2312" w:hAnsi="Arial" w:eastAsia="仿宋_GB2312" w:cs="Arial"/>
          <w:kern w:val="0"/>
          <w:sz w:val="32"/>
          <w:szCs w:val="32"/>
          <w:lang w:eastAsia="zh-CN"/>
        </w:rPr>
        <w:t>扎实推进深化改革任务落实，开展改革方案论证工作；</w:t>
      </w:r>
    </w:p>
    <w:p>
      <w:pPr>
        <w:spacing w:line="560" w:lineRule="exact"/>
        <w:ind w:firstLine="640" w:firstLineChars="200"/>
        <w:rPr>
          <w:rFonts w:hint="default" w:ascii="仿宋_GB2312" w:hAnsi="Arial" w:eastAsia="仿宋_GB2312" w:cs="Arial"/>
          <w:kern w:val="0"/>
          <w:sz w:val="32"/>
          <w:szCs w:val="32"/>
          <w:lang w:val="en-US" w:eastAsia="zh-CN"/>
        </w:rPr>
      </w:pPr>
      <w:r>
        <w:rPr>
          <w:rFonts w:hint="eastAsia" w:ascii="仿宋_GB2312" w:hAnsi="Arial" w:eastAsia="仿宋_GB2312" w:cs="Arial"/>
          <w:kern w:val="0"/>
          <w:sz w:val="32"/>
          <w:szCs w:val="32"/>
          <w:lang w:eastAsia="zh-CN"/>
        </w:rPr>
        <w:t>聚焦重点改革任务，加大对改革议题、改革文件的审核把关，对重点问题积极开展调查研究；</w:t>
      </w:r>
    </w:p>
    <w:p>
      <w:pPr>
        <w:spacing w:line="560" w:lineRule="exact"/>
        <w:ind w:firstLine="640" w:firstLineChars="200"/>
        <w:rPr>
          <w:rFonts w:hint="default" w:ascii="仿宋_GB2312" w:hAnsi="Arial" w:eastAsia="仿宋_GB2312" w:cs="Arial"/>
          <w:kern w:val="0"/>
          <w:sz w:val="32"/>
          <w:szCs w:val="32"/>
          <w:lang w:val="en-US" w:eastAsia="zh-CN"/>
        </w:rPr>
      </w:pPr>
      <w:r>
        <w:rPr>
          <w:rFonts w:hint="eastAsia" w:ascii="仿宋_GB2312" w:hAnsi="Arial" w:eastAsia="仿宋_GB2312" w:cs="Arial"/>
          <w:kern w:val="0"/>
          <w:sz w:val="32"/>
          <w:szCs w:val="32"/>
          <w:lang w:eastAsia="zh-CN"/>
        </w:rPr>
        <w:t>积极开展改革任务督察督办工作；</w:t>
      </w:r>
    </w:p>
    <w:p>
      <w:pPr>
        <w:spacing w:line="560" w:lineRule="exact"/>
        <w:ind w:firstLine="640" w:firstLineChars="200"/>
        <w:rPr>
          <w:rFonts w:hint="default" w:ascii="仿宋_GB2312" w:hAnsi="Arial" w:eastAsia="仿宋_GB2312" w:cs="Arial"/>
          <w:kern w:val="0"/>
          <w:sz w:val="32"/>
          <w:szCs w:val="32"/>
          <w:lang w:val="en-US" w:eastAsia="zh-CN"/>
        </w:rPr>
      </w:pPr>
      <w:r>
        <w:rPr>
          <w:rFonts w:hint="eastAsia" w:ascii="仿宋_GB2312" w:hAnsi="Arial" w:eastAsia="仿宋_GB2312" w:cs="Arial"/>
          <w:kern w:val="0"/>
          <w:sz w:val="32"/>
          <w:szCs w:val="32"/>
          <w:lang w:eastAsia="zh-CN"/>
        </w:rPr>
        <w:t>编撰《改革督察》《改革简报》等刊物；</w:t>
      </w:r>
    </w:p>
    <w:p>
      <w:pPr>
        <w:spacing w:line="560" w:lineRule="exact"/>
        <w:ind w:firstLine="640" w:firstLineChars="200"/>
        <w:rPr>
          <w:rFonts w:hint="default" w:ascii="仿宋_GB2312" w:hAnsi="Arial" w:eastAsia="仿宋_GB2312" w:cs="Arial"/>
          <w:kern w:val="0"/>
          <w:sz w:val="32"/>
          <w:szCs w:val="32"/>
          <w:lang w:val="en-US" w:eastAsia="zh-CN"/>
        </w:rPr>
      </w:pPr>
      <w:r>
        <w:rPr>
          <w:rFonts w:hint="eastAsia" w:ascii="仿宋_GB2312" w:hAnsi="Arial" w:eastAsia="仿宋_GB2312" w:cs="Arial"/>
          <w:kern w:val="0"/>
          <w:sz w:val="32"/>
          <w:szCs w:val="32"/>
          <w:lang w:eastAsia="zh-CN"/>
        </w:rPr>
        <w:t>积极宣传改革成功经验，开展系列宣传活动；</w:t>
      </w:r>
    </w:p>
    <w:p>
      <w:pPr>
        <w:spacing w:line="560" w:lineRule="exact"/>
        <w:ind w:firstLine="640" w:firstLineChars="200"/>
        <w:rPr>
          <w:rFonts w:hint="default" w:ascii="仿宋_GB2312" w:hAnsi="Arial" w:eastAsia="仿宋_GB2312" w:cs="Arial"/>
          <w:kern w:val="0"/>
          <w:sz w:val="32"/>
          <w:szCs w:val="32"/>
          <w:lang w:val="en-US" w:eastAsia="zh-CN"/>
        </w:rPr>
      </w:pPr>
      <w:r>
        <w:rPr>
          <w:rFonts w:hint="eastAsia" w:ascii="仿宋_GB2312" w:hAnsi="Arial" w:eastAsia="仿宋_GB2312" w:cs="Arial"/>
          <w:kern w:val="0"/>
          <w:sz w:val="32"/>
          <w:szCs w:val="32"/>
          <w:lang w:eastAsia="zh-CN"/>
        </w:rPr>
        <w:t>统筹全市调查研究工作，召开北京市调查研究工作协调联席会议，认真履行联席会办公室职能；</w:t>
      </w:r>
    </w:p>
    <w:p>
      <w:pPr>
        <w:spacing w:line="560" w:lineRule="exact"/>
        <w:ind w:firstLine="640" w:firstLineChars="200"/>
        <w:rPr>
          <w:rFonts w:hint="default" w:ascii="仿宋_GB2312" w:hAnsi="Arial" w:eastAsia="仿宋_GB2312" w:cs="Arial"/>
          <w:kern w:val="0"/>
          <w:sz w:val="32"/>
          <w:szCs w:val="32"/>
          <w:lang w:val="en-US" w:eastAsia="zh-CN"/>
        </w:rPr>
      </w:pPr>
      <w:r>
        <w:rPr>
          <w:rFonts w:hint="eastAsia" w:ascii="仿宋_GB2312" w:hAnsi="Arial" w:eastAsia="仿宋_GB2312" w:cs="Arial"/>
          <w:kern w:val="0"/>
          <w:sz w:val="32"/>
          <w:szCs w:val="32"/>
          <w:lang w:eastAsia="zh-CN"/>
        </w:rPr>
        <w:t>组织全市研究系统、改革系统人员培训以及召开工作交流会议；</w:t>
      </w:r>
    </w:p>
    <w:p>
      <w:pPr>
        <w:spacing w:line="560" w:lineRule="exact"/>
        <w:ind w:firstLine="640" w:firstLineChars="200"/>
        <w:rPr>
          <w:rFonts w:hint="default" w:ascii="仿宋_GB2312" w:hAnsi="Arial" w:eastAsia="仿宋_GB2312" w:cs="Arial"/>
          <w:kern w:val="0"/>
          <w:sz w:val="32"/>
          <w:szCs w:val="32"/>
          <w:lang w:val="en-US" w:eastAsia="zh-CN"/>
        </w:rPr>
      </w:pPr>
      <w:r>
        <w:rPr>
          <w:rFonts w:hint="eastAsia" w:ascii="仿宋_GB2312" w:hAnsi="Arial" w:eastAsia="仿宋_GB2312" w:cs="Arial"/>
          <w:kern w:val="0"/>
          <w:sz w:val="32"/>
          <w:szCs w:val="32"/>
          <w:lang w:eastAsia="zh-CN"/>
        </w:rPr>
        <w:t>编撰《北京调研》《决策参考》两本刊物；</w:t>
      </w:r>
    </w:p>
    <w:p>
      <w:pPr>
        <w:spacing w:line="560" w:lineRule="exact"/>
        <w:ind w:firstLine="640" w:firstLineChars="200"/>
        <w:rPr>
          <w:rFonts w:hint="eastAsia" w:ascii="仿宋_GB2312" w:hAnsi="Arial" w:eastAsia="仿宋_GB2312" w:cs="Arial"/>
          <w:kern w:val="0"/>
          <w:sz w:val="32"/>
          <w:szCs w:val="32"/>
          <w:lang w:eastAsia="zh-CN"/>
        </w:rPr>
      </w:pPr>
      <w:r>
        <w:rPr>
          <w:rFonts w:hint="eastAsia" w:ascii="仿宋_GB2312" w:hAnsi="Arial" w:eastAsia="仿宋_GB2312" w:cs="Arial"/>
          <w:kern w:val="0"/>
          <w:sz w:val="32"/>
          <w:szCs w:val="32"/>
          <w:lang w:eastAsia="zh-CN"/>
        </w:rPr>
        <w:t>组织开展第十五</w:t>
      </w:r>
      <w:r>
        <w:rPr>
          <w:rFonts w:hint="eastAsia" w:ascii="仿宋_GB2312" w:hAnsi="Arial" w:eastAsia="仿宋_GB2312" w:cs="Arial"/>
          <w:kern w:val="0"/>
          <w:sz w:val="32"/>
          <w:szCs w:val="32"/>
          <w:lang w:val="en-US" w:eastAsia="zh-CN"/>
        </w:rPr>
        <w:t>届</w:t>
      </w:r>
      <w:r>
        <w:rPr>
          <w:rFonts w:hint="eastAsia" w:ascii="仿宋_GB2312" w:hAnsi="Arial" w:eastAsia="仿宋_GB2312" w:cs="Arial"/>
          <w:kern w:val="0"/>
          <w:sz w:val="32"/>
          <w:szCs w:val="32"/>
          <w:lang w:eastAsia="zh-CN"/>
        </w:rPr>
        <w:t>全市调查先进单位和优秀调研课题评比表彰。</w:t>
      </w:r>
    </w:p>
    <w:p>
      <w:pPr>
        <w:numPr>
          <w:ilvl w:val="0"/>
          <w:numId w:val="0"/>
        </w:numPr>
        <w:spacing w:line="6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sz w:val="32"/>
          <w:szCs w:val="32"/>
          <w:lang w:eastAsia="zh-CN"/>
        </w:rPr>
        <w:t>评价标准</w:t>
      </w:r>
    </w:p>
    <w:p>
      <w:pPr>
        <w:pStyle w:val="2"/>
        <w:numPr>
          <w:ilvl w:val="0"/>
          <w:numId w:val="0"/>
        </w:numPr>
        <w:jc w:val="center"/>
        <w:rPr>
          <w:rFonts w:hint="eastAsia" w:ascii="仿宋_GB2312" w:hAnsi="仿宋_GB2312" w:eastAsia="仿宋_GB2312" w:cs="仿宋_GB2312"/>
          <w:b/>
          <w:bCs/>
          <w:sz w:val="24"/>
          <w:szCs w:val="22"/>
          <w:highlight w:val="none"/>
        </w:rPr>
      </w:pPr>
    </w:p>
    <w:p>
      <w:pPr>
        <w:pStyle w:val="2"/>
        <w:numPr>
          <w:ilvl w:val="0"/>
          <w:numId w:val="0"/>
        </w:numPr>
        <w:jc w:val="center"/>
        <w:rPr>
          <w:rFonts w:hint="default" w:eastAsia="仿宋_GB2312"/>
          <w:lang w:val="en-US" w:eastAsia="zh-CN"/>
        </w:rPr>
      </w:pPr>
      <w:r>
        <w:rPr>
          <w:rFonts w:hint="eastAsia" w:ascii="仿宋_GB2312" w:hAnsi="仿宋_GB2312" w:eastAsia="仿宋_GB2312" w:cs="仿宋_GB2312"/>
          <w:b/>
          <w:bCs/>
          <w:sz w:val="24"/>
          <w:szCs w:val="22"/>
          <w:highlight w:val="none"/>
        </w:rPr>
        <w:t>表</w:t>
      </w:r>
      <w:r>
        <w:rPr>
          <w:rFonts w:hint="eastAsia" w:ascii="仿宋_GB2312" w:hAnsi="仿宋_GB2312" w:eastAsia="仿宋_GB2312" w:cs="仿宋_GB2312"/>
          <w:b/>
          <w:bCs/>
          <w:sz w:val="24"/>
          <w:szCs w:val="22"/>
          <w:highlight w:val="none"/>
          <w:lang w:val="en-US" w:eastAsia="zh-CN"/>
        </w:rPr>
        <w:t xml:space="preserve">1 </w:t>
      </w:r>
      <w:r>
        <w:rPr>
          <w:rFonts w:hint="eastAsia" w:ascii="仿宋_GB2312" w:hAnsi="仿宋_GB2312" w:eastAsia="仿宋_GB2312" w:cs="仿宋_GB2312"/>
          <w:b/>
          <w:bCs/>
          <w:sz w:val="24"/>
          <w:szCs w:val="22"/>
          <w:highlight w:val="none"/>
        </w:rPr>
        <w:t>202</w:t>
      </w:r>
      <w:r>
        <w:rPr>
          <w:rFonts w:hint="eastAsia" w:ascii="仿宋_GB2312" w:hAnsi="仿宋_GB2312" w:eastAsia="仿宋_GB2312" w:cs="仿宋_GB2312"/>
          <w:b/>
          <w:bCs/>
          <w:sz w:val="24"/>
          <w:szCs w:val="22"/>
          <w:highlight w:val="none"/>
          <w:lang w:val="en-US" w:eastAsia="zh-CN"/>
        </w:rPr>
        <w:t>2</w:t>
      </w:r>
      <w:r>
        <w:rPr>
          <w:rFonts w:hint="eastAsia" w:ascii="仿宋_GB2312" w:hAnsi="仿宋_GB2312" w:eastAsia="仿宋_GB2312" w:cs="仿宋_GB2312"/>
          <w:b/>
          <w:bCs/>
          <w:sz w:val="24"/>
          <w:szCs w:val="22"/>
          <w:highlight w:val="none"/>
        </w:rPr>
        <w:t>年</w:t>
      </w:r>
      <w:r>
        <w:rPr>
          <w:rFonts w:hint="eastAsia" w:ascii="仿宋_GB2312" w:hAnsi="仿宋_GB2312" w:eastAsia="仿宋_GB2312" w:cs="仿宋_GB2312"/>
          <w:b/>
          <w:bCs/>
          <w:sz w:val="24"/>
          <w:szCs w:val="22"/>
          <w:highlight w:val="none"/>
          <w:lang w:eastAsia="zh-CN"/>
        </w:rPr>
        <w:t>市委研究室</w:t>
      </w:r>
      <w:r>
        <w:rPr>
          <w:rFonts w:hint="eastAsia" w:ascii="仿宋_GB2312" w:hAnsi="仿宋_GB2312" w:cs="仿宋_GB2312"/>
          <w:b/>
          <w:bCs/>
          <w:sz w:val="24"/>
          <w:szCs w:val="22"/>
          <w:highlight w:val="none"/>
          <w:lang w:val="en-US" w:eastAsia="zh-CN"/>
        </w:rPr>
        <w:t>部门整体绩效指标设置情况</w:t>
      </w:r>
    </w:p>
    <w:tbl>
      <w:tblPr>
        <w:tblStyle w:val="9"/>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3827"/>
        <w:gridCol w:w="1085"/>
        <w:gridCol w:w="851"/>
        <w:gridCol w:w="1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1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color w:val="auto"/>
                <w:sz w:val="20"/>
                <w:szCs w:val="20"/>
                <w:lang w:eastAsia="zh-CN" w:bidi="ar-SA"/>
              </w:rPr>
            </w:pPr>
            <w:r>
              <w:rPr>
                <w:rFonts w:hint="eastAsia" w:ascii="仿宋_GB2312" w:hAnsi="仿宋_GB2312" w:eastAsia="仿宋_GB2312" w:cs="仿宋_GB2312"/>
                <w:b/>
                <w:bCs/>
                <w:color w:val="auto"/>
                <w:sz w:val="20"/>
                <w:szCs w:val="20"/>
                <w:lang w:eastAsia="zh-CN" w:bidi="ar-SA"/>
              </w:rPr>
              <w:t>活动</w:t>
            </w:r>
          </w:p>
        </w:tc>
        <w:tc>
          <w:tcPr>
            <w:tcW w:w="38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color w:val="auto"/>
                <w:sz w:val="20"/>
                <w:szCs w:val="20"/>
                <w:lang w:eastAsia="zh-CN" w:bidi="ar-SA"/>
              </w:rPr>
            </w:pPr>
            <w:r>
              <w:rPr>
                <w:rFonts w:hint="eastAsia" w:ascii="仿宋_GB2312" w:hAnsi="仿宋_GB2312" w:eastAsia="仿宋_GB2312" w:cs="仿宋_GB2312"/>
                <w:b/>
                <w:bCs/>
                <w:color w:val="auto"/>
                <w:sz w:val="20"/>
                <w:szCs w:val="20"/>
                <w:lang w:eastAsia="zh-CN" w:bidi="ar-SA"/>
              </w:rPr>
              <w:t>绩效指标</w:t>
            </w:r>
          </w:p>
        </w:tc>
        <w:tc>
          <w:tcPr>
            <w:tcW w:w="10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color w:val="auto"/>
                <w:sz w:val="20"/>
                <w:szCs w:val="20"/>
                <w:lang w:eastAsia="zh-CN" w:bidi="ar-SA"/>
              </w:rPr>
            </w:pPr>
            <w:r>
              <w:rPr>
                <w:rFonts w:hint="eastAsia" w:ascii="仿宋_GB2312" w:hAnsi="仿宋_GB2312" w:eastAsia="仿宋_GB2312" w:cs="仿宋_GB2312"/>
                <w:b/>
                <w:bCs/>
                <w:color w:val="auto"/>
                <w:sz w:val="20"/>
                <w:szCs w:val="20"/>
                <w:lang w:eastAsia="zh-CN" w:bidi="ar-SA"/>
              </w:rPr>
              <w:t>指标性质</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color w:val="auto"/>
                <w:sz w:val="20"/>
                <w:szCs w:val="20"/>
                <w:lang w:eastAsia="zh-CN" w:bidi="ar-SA"/>
              </w:rPr>
            </w:pPr>
            <w:r>
              <w:rPr>
                <w:rFonts w:hint="eastAsia" w:ascii="仿宋_GB2312" w:hAnsi="仿宋_GB2312" w:eastAsia="仿宋_GB2312" w:cs="仿宋_GB2312"/>
                <w:b/>
                <w:bCs/>
                <w:color w:val="auto"/>
                <w:sz w:val="20"/>
                <w:szCs w:val="20"/>
                <w:lang w:eastAsia="zh-CN" w:bidi="ar-SA"/>
              </w:rPr>
              <w:t>指标值</w:t>
            </w:r>
          </w:p>
        </w:tc>
        <w:tc>
          <w:tcPr>
            <w:tcW w:w="104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color w:val="auto"/>
                <w:sz w:val="20"/>
                <w:szCs w:val="20"/>
                <w:lang w:eastAsia="zh-CN" w:bidi="ar-SA"/>
              </w:rPr>
            </w:pPr>
            <w:r>
              <w:rPr>
                <w:rFonts w:hint="eastAsia" w:ascii="仿宋_GB2312" w:hAnsi="仿宋_GB2312" w:eastAsia="仿宋_GB2312" w:cs="仿宋_GB2312"/>
                <w:b/>
                <w:bCs/>
                <w:color w:val="auto"/>
                <w:sz w:val="20"/>
                <w:szCs w:val="20"/>
                <w:lang w:eastAsia="zh-CN" w:bidi="ar-SA"/>
              </w:rPr>
              <w:t>度量单位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1418"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调查研究</w:t>
            </w:r>
          </w:p>
        </w:tc>
        <w:tc>
          <w:tcPr>
            <w:tcW w:w="3827"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产出指标数量指标召开全市调查研究工作协调联席会议，研究审议2022年市区两级重点调研课题；举办全市决策研究系统干部专题培训班，开展全市调研先进单位和优秀调研成果评比表彰。汇总编辑全市优秀调研课题集、市委重要文稿汇编等。</w:t>
            </w:r>
          </w:p>
        </w:tc>
        <w:tc>
          <w:tcPr>
            <w:tcW w:w="1085"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w:t>
            </w:r>
          </w:p>
        </w:tc>
        <w:tc>
          <w:tcPr>
            <w:tcW w:w="85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6</w:t>
            </w:r>
          </w:p>
        </w:tc>
        <w:tc>
          <w:tcPr>
            <w:tcW w:w="104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1418"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研究提出改革政策</w:t>
            </w:r>
          </w:p>
        </w:tc>
        <w:tc>
          <w:tcPr>
            <w:tcW w:w="3827"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产出指标数量指标编辑刊发《改革信息专报》《改革工作简报》《改革情况交流》等刊物不少于70期。组织各领域专家开展改革问题咨询会议不少于20批次。</w:t>
            </w:r>
          </w:p>
        </w:tc>
        <w:tc>
          <w:tcPr>
            <w:tcW w:w="1085"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w:t>
            </w:r>
          </w:p>
        </w:tc>
        <w:tc>
          <w:tcPr>
            <w:tcW w:w="85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70</w:t>
            </w:r>
          </w:p>
        </w:tc>
        <w:tc>
          <w:tcPr>
            <w:tcW w:w="104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1418"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调查研究</w:t>
            </w:r>
          </w:p>
        </w:tc>
        <w:tc>
          <w:tcPr>
            <w:tcW w:w="3827"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产出指标数量指标深入开展全市调查研究工作，编辑《北京调研》不低于12期，起草《决策参考》不低于30期。</w:t>
            </w:r>
          </w:p>
        </w:tc>
        <w:tc>
          <w:tcPr>
            <w:tcW w:w="1085"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w:t>
            </w:r>
          </w:p>
        </w:tc>
        <w:tc>
          <w:tcPr>
            <w:tcW w:w="85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42</w:t>
            </w:r>
          </w:p>
        </w:tc>
        <w:tc>
          <w:tcPr>
            <w:tcW w:w="104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1418"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调查研究</w:t>
            </w:r>
          </w:p>
        </w:tc>
        <w:tc>
          <w:tcPr>
            <w:tcW w:w="3827"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产出指标数量指标认真履行服务市委科学决策的职责，为起草好市委重要文件、文稿，积极主动开展调研，全年调研次数不少于150批次，起草市委重要文件、文稿不低于400篇。</w:t>
            </w:r>
          </w:p>
        </w:tc>
        <w:tc>
          <w:tcPr>
            <w:tcW w:w="1085"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w:t>
            </w:r>
          </w:p>
        </w:tc>
        <w:tc>
          <w:tcPr>
            <w:tcW w:w="85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400</w:t>
            </w:r>
          </w:p>
        </w:tc>
        <w:tc>
          <w:tcPr>
            <w:tcW w:w="104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418"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调查研究</w:t>
            </w:r>
          </w:p>
        </w:tc>
        <w:tc>
          <w:tcPr>
            <w:tcW w:w="3827"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满意度指标服务对象满意度指标课题成果为政府决策提供有效依据</w:t>
            </w:r>
          </w:p>
        </w:tc>
        <w:tc>
          <w:tcPr>
            <w:tcW w:w="1085"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定性</w:t>
            </w:r>
          </w:p>
        </w:tc>
        <w:tc>
          <w:tcPr>
            <w:tcW w:w="85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好坏</w:t>
            </w:r>
          </w:p>
        </w:tc>
        <w:tc>
          <w:tcPr>
            <w:tcW w:w="104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1418"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研究提出改革政策</w:t>
            </w:r>
          </w:p>
        </w:tc>
        <w:tc>
          <w:tcPr>
            <w:tcW w:w="3827"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产出指标数量指标筹办6次市委深化改革委员会会议，审议议题50个，筹办全市改革专项小组会、专项小组办公室主任暨区委改革办主任会等6次。</w:t>
            </w:r>
          </w:p>
        </w:tc>
        <w:tc>
          <w:tcPr>
            <w:tcW w:w="1085"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w:t>
            </w:r>
          </w:p>
        </w:tc>
        <w:tc>
          <w:tcPr>
            <w:tcW w:w="85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50</w:t>
            </w:r>
          </w:p>
        </w:tc>
        <w:tc>
          <w:tcPr>
            <w:tcW w:w="104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418"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研究提出改革政策</w:t>
            </w:r>
          </w:p>
        </w:tc>
        <w:tc>
          <w:tcPr>
            <w:tcW w:w="3827"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产出指标数量指标开展全市改革重点领域专项督察，完成6个改革督察第三方评估任务。</w:t>
            </w:r>
          </w:p>
        </w:tc>
        <w:tc>
          <w:tcPr>
            <w:tcW w:w="1085"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w:t>
            </w:r>
          </w:p>
        </w:tc>
        <w:tc>
          <w:tcPr>
            <w:tcW w:w="85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6</w:t>
            </w:r>
          </w:p>
        </w:tc>
        <w:tc>
          <w:tcPr>
            <w:tcW w:w="1041" w:type="dxa"/>
            <w:shd w:val="clear" w:color="FFFFFF"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_GB2312" w:hAnsi="仿宋_GB2312" w:eastAsia="仿宋_GB2312" w:cs="仿宋_GB2312"/>
                <w:color w:val="auto"/>
                <w:sz w:val="18"/>
                <w:szCs w:val="18"/>
                <w:lang w:eastAsia="zh-CN" w:bidi="ar-SA"/>
              </w:rPr>
            </w:pPr>
            <w:r>
              <w:rPr>
                <w:rFonts w:hint="eastAsia" w:ascii="仿宋_GB2312" w:hAnsi="仿宋_GB2312" w:eastAsia="仿宋_GB2312" w:cs="仿宋_GB2312"/>
                <w:color w:val="auto"/>
                <w:sz w:val="18"/>
                <w:szCs w:val="18"/>
                <w:lang w:eastAsia="zh-CN" w:bidi="ar-SA"/>
              </w:rPr>
              <w:t>个</w:t>
            </w:r>
          </w:p>
        </w:tc>
      </w:tr>
    </w:tbl>
    <w:p>
      <w:pPr>
        <w:spacing w:line="560" w:lineRule="exact"/>
        <w:ind w:firstLine="555"/>
        <w:rPr>
          <w:rFonts w:hint="eastAsia" w:ascii="仿宋_GB2312" w:hAnsi="Arial" w:eastAsia="仿宋_GB2312" w:cs="Arial"/>
          <w:kern w:val="0"/>
          <w:sz w:val="32"/>
          <w:szCs w:val="32"/>
          <w:lang w:eastAsia="zh-CN"/>
        </w:rPr>
      </w:pPr>
      <w:r>
        <w:rPr>
          <w:rFonts w:hint="eastAsia" w:ascii="仿宋_GB2312" w:hAnsi="Arial" w:eastAsia="仿宋_GB2312" w:cs="Arial"/>
          <w:kern w:val="0"/>
          <w:sz w:val="32"/>
          <w:szCs w:val="32"/>
          <w:lang w:eastAsia="zh-CN"/>
        </w:rPr>
        <w:t>部门整体绩效目标填制不够完整，虽然对于产出数量已经细化，但是缺少质量指标、时效指标、成本指标、效益指标、服务对象满意度等指标。</w:t>
      </w:r>
    </w:p>
    <w:p>
      <w:pPr>
        <w:pStyle w:val="3"/>
        <w:bidi w:val="0"/>
      </w:pPr>
      <w:bookmarkStart w:id="4" w:name="_Toc4662"/>
      <w:r>
        <w:rPr>
          <w:rFonts w:hint="eastAsia"/>
        </w:rPr>
        <w:t>二</w:t>
      </w:r>
      <w:r>
        <w:t>、</w:t>
      </w:r>
      <w:r>
        <w:rPr>
          <w:rFonts w:hint="eastAsia"/>
        </w:rPr>
        <w:t>当年</w:t>
      </w:r>
      <w:r>
        <w:t>预算执行情况</w:t>
      </w:r>
      <w:bookmarkEnd w:id="4"/>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市委研究室2022年年初预算数4,271.8656 万元，预算调整合计数47.2706万元，其中，追加预算247.7306万元，追减预算200.4600万元。2022年全年预算数4,319.1362万元，其中，基本支出预算数3,929.0362万元，项目支出预算数390.10万元，其他支出预算数0.00万元。资金总体支出4,167.511242万元，其中，基本支出3,816.711732万元，项目支出350.79951万元，其他支出0.00万元。预算执行率为96.49%。</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1.“三公”经费支出情况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2022年“三公”经费财政拨款决算数0.00万元，比年初预算数24.20万元减少24.20万元，与上年决算数0.00万元持平。其中：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因公出国（境）费用。2022年决算数0.00万元，比年初预算数24.00万元减少24.00万元，与上年决算数0.00万元持平。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公务接待费。2022年决算数0.00万元，比年初预算数0.20万元减少0.20万元，与上年决算数0.00万元持平。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公务用车购置及运行维护费。2022年决算数0.00万元，与初预算数0.00万元持平，与上年决算数0.00万元持平。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2.项目支出情况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2022年市委研究室财政预算支出项目共计</w:t>
      </w:r>
      <w:r>
        <w:rPr>
          <w:rFonts w:hint="eastAsia" w:ascii="仿宋_GB2312" w:hAnsi="仿宋_GB2312" w:cs="仿宋_GB2312"/>
          <w:lang w:val="en-US" w:eastAsia="zh-CN"/>
        </w:rPr>
        <w:t>6</w:t>
      </w:r>
      <w:r>
        <w:rPr>
          <w:rFonts w:hint="eastAsia" w:ascii="仿宋_GB2312" w:hAnsi="仿宋_GB2312" w:eastAsia="仿宋_GB2312" w:cs="仿宋_GB2312"/>
        </w:rPr>
        <w:t>个，项目支出预算总额390.10万元，截至2022年末，项目实际支出350.79951万元，项目总体预算执行率89.93%，项目预算与执行情况详见表2。</w:t>
      </w:r>
    </w:p>
    <w:p>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bCs/>
          <w:sz w:val="24"/>
          <w:szCs w:val="22"/>
          <w:highlight w:val="none"/>
        </w:rPr>
      </w:pPr>
    </w:p>
    <w:p>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szCs w:val="22"/>
          <w:highlight w:val="none"/>
        </w:rPr>
        <w:t>表</w:t>
      </w:r>
      <w:r>
        <w:rPr>
          <w:rFonts w:hint="eastAsia" w:ascii="仿宋_GB2312" w:hAnsi="仿宋_GB2312" w:cs="仿宋_GB2312"/>
          <w:b/>
          <w:bCs/>
          <w:sz w:val="24"/>
          <w:szCs w:val="22"/>
          <w:highlight w:val="none"/>
          <w:lang w:val="en-US" w:eastAsia="zh-CN"/>
        </w:rPr>
        <w:t>2</w:t>
      </w:r>
      <w:r>
        <w:rPr>
          <w:rFonts w:hint="eastAsia" w:ascii="仿宋_GB2312" w:hAnsi="仿宋_GB2312" w:eastAsia="仿宋_GB2312" w:cs="仿宋_GB2312"/>
          <w:b/>
          <w:bCs/>
          <w:sz w:val="24"/>
          <w:szCs w:val="22"/>
          <w:highlight w:val="none"/>
          <w:lang w:val="en-US" w:eastAsia="zh-CN"/>
        </w:rPr>
        <w:t xml:space="preserve"> </w:t>
      </w:r>
      <w:r>
        <w:rPr>
          <w:rFonts w:hint="eastAsia" w:ascii="仿宋_GB2312" w:hAnsi="仿宋_GB2312" w:eastAsia="仿宋_GB2312" w:cs="仿宋_GB2312"/>
          <w:b/>
          <w:bCs/>
          <w:sz w:val="24"/>
          <w:szCs w:val="22"/>
          <w:highlight w:val="none"/>
        </w:rPr>
        <w:t>202</w:t>
      </w:r>
      <w:r>
        <w:rPr>
          <w:rFonts w:hint="eastAsia" w:ascii="仿宋_GB2312" w:hAnsi="仿宋_GB2312" w:eastAsia="仿宋_GB2312" w:cs="仿宋_GB2312"/>
          <w:b/>
          <w:bCs/>
          <w:sz w:val="24"/>
          <w:szCs w:val="22"/>
          <w:highlight w:val="none"/>
          <w:lang w:val="en-US" w:eastAsia="zh-CN"/>
        </w:rPr>
        <w:t>2</w:t>
      </w:r>
      <w:r>
        <w:rPr>
          <w:rFonts w:hint="eastAsia" w:ascii="仿宋_GB2312" w:hAnsi="仿宋_GB2312" w:eastAsia="仿宋_GB2312" w:cs="仿宋_GB2312"/>
          <w:b/>
          <w:bCs/>
          <w:sz w:val="24"/>
          <w:szCs w:val="22"/>
          <w:highlight w:val="none"/>
        </w:rPr>
        <w:t>年</w:t>
      </w:r>
      <w:r>
        <w:rPr>
          <w:rFonts w:hint="eastAsia" w:ascii="仿宋_GB2312" w:hAnsi="仿宋_GB2312" w:eastAsia="仿宋_GB2312" w:cs="仿宋_GB2312"/>
          <w:b/>
          <w:bCs/>
          <w:sz w:val="24"/>
          <w:szCs w:val="22"/>
          <w:highlight w:val="none"/>
          <w:lang w:eastAsia="zh-CN"/>
        </w:rPr>
        <w:t>市委研究室</w:t>
      </w:r>
      <w:r>
        <w:rPr>
          <w:rFonts w:hint="eastAsia" w:ascii="仿宋_GB2312" w:hAnsi="仿宋_GB2312" w:eastAsia="仿宋_GB2312" w:cs="仿宋_GB2312"/>
          <w:b/>
          <w:bCs/>
          <w:sz w:val="24"/>
          <w:szCs w:val="22"/>
          <w:highlight w:val="none"/>
        </w:rPr>
        <w:t>项目预算与执行情况</w:t>
      </w:r>
      <w:r>
        <w:rPr>
          <w:rFonts w:hint="eastAsia" w:ascii="仿宋_GB2312" w:hAnsi="仿宋_GB2312" w:cs="仿宋_GB2312"/>
          <w:b/>
          <w:bCs/>
          <w:sz w:val="24"/>
          <w:szCs w:val="22"/>
          <w:highlight w:val="none"/>
          <w:lang w:val="en-US" w:eastAsia="zh-CN"/>
        </w:rPr>
        <w:t>汇总</w:t>
      </w:r>
      <w:r>
        <w:rPr>
          <w:rFonts w:hint="eastAsia" w:ascii="仿宋_GB2312" w:hAnsi="仿宋_GB2312" w:eastAsia="仿宋_GB2312" w:cs="仿宋_GB2312"/>
          <w:b/>
          <w:bCs/>
          <w:sz w:val="24"/>
          <w:szCs w:val="22"/>
          <w:highlight w:val="none"/>
        </w:rPr>
        <w:t>表</w:t>
      </w:r>
    </w:p>
    <w:p>
      <w:pPr>
        <w:keepNext w:val="0"/>
        <w:keepLines w:val="0"/>
        <w:pageBreakBefore w:val="0"/>
        <w:widowControl/>
        <w:kinsoku/>
        <w:wordWrap/>
        <w:overflowPunct/>
        <w:topLinePunct w:val="0"/>
        <w:autoSpaceDE/>
        <w:autoSpaceDN/>
        <w:bidi w:val="0"/>
        <w:adjustRightInd/>
        <w:snapToGrid/>
        <w:ind w:firstLine="420" w:firstLineChars="200"/>
        <w:jc w:val="right"/>
        <w:textAlignment w:val="auto"/>
        <w:rPr>
          <w:rFonts w:hint="eastAsia" w:ascii="仿宋_GB2312" w:hAnsi="仿宋_GB2312" w:eastAsia="仿宋_GB2312" w:cs="仿宋_GB2312"/>
          <w:sz w:val="21"/>
          <w:highlight w:val="none"/>
        </w:rPr>
      </w:pPr>
      <w:r>
        <w:rPr>
          <w:rFonts w:hint="eastAsia" w:ascii="仿宋_GB2312" w:hAnsi="仿宋_GB2312" w:eastAsia="仿宋_GB2312" w:cs="仿宋_GB2312"/>
          <w:sz w:val="21"/>
          <w:highlight w:val="none"/>
        </w:rPr>
        <w:t>单位：万元</w:t>
      </w:r>
    </w:p>
    <w:tbl>
      <w:tblPr>
        <w:tblStyle w:val="10"/>
        <w:tblW w:w="5065" w:type="pct"/>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965"/>
        <w:gridCol w:w="1145"/>
        <w:gridCol w:w="1575"/>
        <w:gridCol w:w="1567"/>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45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b/>
                <w:bCs/>
                <w:kern w:val="0"/>
                <w:sz w:val="21"/>
                <w:highlight w:val="none"/>
              </w:rPr>
            </w:pPr>
            <w:r>
              <w:rPr>
                <w:rFonts w:hint="eastAsia" w:ascii="仿宋_GB2312" w:hAnsi="仿宋_GB2312" w:eastAsia="仿宋_GB2312" w:cs="仿宋_GB2312"/>
                <w:b/>
                <w:bCs/>
                <w:kern w:val="0"/>
                <w:sz w:val="21"/>
                <w:highlight w:val="none"/>
              </w:rPr>
              <w:t>序号</w:t>
            </w:r>
          </w:p>
        </w:tc>
        <w:tc>
          <w:tcPr>
            <w:tcW w:w="113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b/>
                <w:bCs/>
                <w:kern w:val="0"/>
                <w:sz w:val="21"/>
                <w:highlight w:val="none"/>
              </w:rPr>
            </w:pPr>
            <w:r>
              <w:rPr>
                <w:rFonts w:hint="eastAsia" w:ascii="仿宋_GB2312" w:hAnsi="仿宋_GB2312" w:eastAsia="仿宋_GB2312" w:cs="仿宋_GB2312"/>
                <w:b/>
                <w:bCs/>
                <w:kern w:val="0"/>
                <w:sz w:val="21"/>
                <w:highlight w:val="none"/>
              </w:rPr>
              <w:t>项目名称</w:t>
            </w:r>
          </w:p>
        </w:tc>
        <w:tc>
          <w:tcPr>
            <w:tcW w:w="66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b/>
                <w:bCs/>
                <w:spacing w:val="-20"/>
                <w:kern w:val="0"/>
                <w:sz w:val="21"/>
                <w:highlight w:val="none"/>
              </w:rPr>
            </w:pPr>
            <w:r>
              <w:rPr>
                <w:rFonts w:hint="eastAsia" w:ascii="仿宋_GB2312" w:hAnsi="仿宋_GB2312" w:eastAsia="仿宋_GB2312" w:cs="仿宋_GB2312"/>
                <w:b/>
                <w:bCs/>
                <w:kern w:val="0"/>
                <w:sz w:val="21"/>
                <w:highlight w:val="none"/>
              </w:rPr>
              <w:t>年初结转</w:t>
            </w:r>
          </w:p>
        </w:tc>
        <w:tc>
          <w:tcPr>
            <w:tcW w:w="91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b/>
                <w:bCs/>
                <w:kern w:val="0"/>
                <w:sz w:val="21"/>
                <w:highlight w:val="none"/>
                <w:lang w:val="en-US" w:eastAsia="zh-CN"/>
              </w:rPr>
            </w:pPr>
            <w:r>
              <w:rPr>
                <w:rFonts w:hint="eastAsia" w:ascii="仿宋_GB2312" w:hAnsi="仿宋_GB2312" w:eastAsia="仿宋_GB2312" w:cs="仿宋_GB2312"/>
                <w:b/>
                <w:bCs/>
                <w:kern w:val="0"/>
                <w:sz w:val="21"/>
                <w:highlight w:val="none"/>
              </w:rPr>
              <w:t>预算</w:t>
            </w:r>
            <w:r>
              <w:rPr>
                <w:rFonts w:hint="eastAsia" w:ascii="仿宋_GB2312" w:hAnsi="仿宋_GB2312" w:eastAsia="仿宋_GB2312" w:cs="仿宋_GB2312"/>
                <w:b/>
                <w:bCs/>
                <w:kern w:val="0"/>
                <w:sz w:val="21"/>
                <w:highlight w:val="none"/>
                <w:lang w:val="en-US" w:eastAsia="zh-CN"/>
              </w:rPr>
              <w:t>金额</w:t>
            </w:r>
          </w:p>
        </w:tc>
        <w:tc>
          <w:tcPr>
            <w:tcW w:w="90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b/>
                <w:bCs/>
                <w:kern w:val="0"/>
                <w:sz w:val="21"/>
                <w:highlight w:val="none"/>
              </w:rPr>
            </w:pPr>
            <w:r>
              <w:rPr>
                <w:rFonts w:hint="eastAsia" w:ascii="仿宋_GB2312" w:hAnsi="仿宋_GB2312" w:eastAsia="仿宋_GB2312" w:cs="仿宋_GB2312"/>
                <w:b/>
                <w:bCs/>
                <w:kern w:val="0"/>
                <w:sz w:val="21"/>
                <w:highlight w:val="none"/>
              </w:rPr>
              <w:t>决算金额</w:t>
            </w:r>
          </w:p>
        </w:tc>
        <w:tc>
          <w:tcPr>
            <w:tcW w:w="922"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b/>
                <w:bCs/>
                <w:kern w:val="0"/>
                <w:sz w:val="21"/>
                <w:highlight w:val="none"/>
              </w:rPr>
            </w:pPr>
            <w:r>
              <w:rPr>
                <w:rFonts w:hint="eastAsia" w:ascii="仿宋_GB2312" w:hAnsi="仿宋_GB2312" w:eastAsia="仿宋_GB2312" w:cs="仿宋_GB2312"/>
                <w:b/>
                <w:bCs/>
                <w:kern w:val="0"/>
                <w:sz w:val="21"/>
                <w:highlight w:val="none"/>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1</w:t>
            </w:r>
          </w:p>
        </w:tc>
        <w:tc>
          <w:tcPr>
            <w:tcW w:w="113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lang w:eastAsia="zh-CN"/>
              </w:rPr>
              <w:t>市级重点课题研究项目</w:t>
            </w:r>
          </w:p>
        </w:tc>
        <w:tc>
          <w:tcPr>
            <w:tcW w:w="66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right"/>
              <w:textAlignment w:val="center"/>
              <w:rPr>
                <w:rFonts w:hint="eastAsia" w:ascii="仿宋_GB2312" w:hAnsi="仿宋_GB2312" w:eastAsia="仿宋_GB2312" w:cs="仿宋_GB2312"/>
                <w:kern w:val="0"/>
                <w:sz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0.00 </w:t>
            </w:r>
          </w:p>
        </w:tc>
        <w:tc>
          <w:tcPr>
            <w:tcW w:w="91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lang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24.90 </w:t>
            </w:r>
          </w:p>
        </w:tc>
        <w:tc>
          <w:tcPr>
            <w:tcW w:w="90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24.9000 </w:t>
            </w:r>
          </w:p>
        </w:tc>
        <w:tc>
          <w:tcPr>
            <w:tcW w:w="92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5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2</w:t>
            </w:r>
          </w:p>
        </w:tc>
        <w:tc>
          <w:tcPr>
            <w:tcW w:w="113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改革督察第三方评估项目</w:t>
            </w:r>
          </w:p>
        </w:tc>
        <w:tc>
          <w:tcPr>
            <w:tcW w:w="66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right"/>
              <w:textAlignment w:val="center"/>
              <w:rPr>
                <w:rFonts w:hint="eastAsia" w:ascii="仿宋_GB2312" w:hAnsi="仿宋_GB2312" w:eastAsia="仿宋_GB2312" w:cs="仿宋_GB2312"/>
                <w:kern w:val="0"/>
                <w:sz w:val="21"/>
                <w:highlight w:val="none"/>
                <w:lang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0.00 </w:t>
            </w:r>
          </w:p>
        </w:tc>
        <w:tc>
          <w:tcPr>
            <w:tcW w:w="91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82.50 </w:t>
            </w:r>
          </w:p>
        </w:tc>
        <w:tc>
          <w:tcPr>
            <w:tcW w:w="90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lang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61.5000 </w:t>
            </w:r>
          </w:p>
        </w:tc>
        <w:tc>
          <w:tcPr>
            <w:tcW w:w="92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74.55%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45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3</w:t>
            </w:r>
          </w:p>
        </w:tc>
        <w:tc>
          <w:tcPr>
            <w:tcW w:w="113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市委改革办年度会议及宣传工作项目</w:t>
            </w:r>
          </w:p>
        </w:tc>
        <w:tc>
          <w:tcPr>
            <w:tcW w:w="66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right"/>
              <w:textAlignment w:val="center"/>
              <w:rPr>
                <w:rFonts w:hint="eastAsia" w:ascii="仿宋_GB2312" w:hAnsi="仿宋_GB2312" w:eastAsia="仿宋_GB2312" w:cs="仿宋_GB2312"/>
                <w:kern w:val="0"/>
                <w:sz w:val="21"/>
                <w:highlight w:val="none"/>
                <w:lang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0.00 </w:t>
            </w:r>
          </w:p>
        </w:tc>
        <w:tc>
          <w:tcPr>
            <w:tcW w:w="91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50.00 </w:t>
            </w:r>
          </w:p>
        </w:tc>
        <w:tc>
          <w:tcPr>
            <w:tcW w:w="90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lang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47.0415 </w:t>
            </w:r>
          </w:p>
        </w:tc>
        <w:tc>
          <w:tcPr>
            <w:tcW w:w="92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94.08%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45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4</w:t>
            </w:r>
          </w:p>
        </w:tc>
        <w:tc>
          <w:tcPr>
            <w:tcW w:w="113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《北京调研》《决策参考》发行项目</w:t>
            </w:r>
          </w:p>
        </w:tc>
        <w:tc>
          <w:tcPr>
            <w:tcW w:w="66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right"/>
              <w:textAlignment w:val="center"/>
              <w:rPr>
                <w:rFonts w:hint="eastAsia" w:ascii="仿宋_GB2312" w:hAnsi="仿宋_GB2312" w:eastAsia="仿宋_GB2312" w:cs="仿宋_GB2312"/>
                <w:kern w:val="0"/>
                <w:sz w:val="21"/>
                <w:highlight w:val="none"/>
                <w:lang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0.00 </w:t>
            </w:r>
          </w:p>
        </w:tc>
        <w:tc>
          <w:tcPr>
            <w:tcW w:w="91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40.00 </w:t>
            </w:r>
          </w:p>
        </w:tc>
        <w:tc>
          <w:tcPr>
            <w:tcW w:w="90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27.04601 </w:t>
            </w:r>
          </w:p>
        </w:tc>
        <w:tc>
          <w:tcPr>
            <w:tcW w:w="92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67.62%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5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5</w:t>
            </w:r>
          </w:p>
        </w:tc>
        <w:tc>
          <w:tcPr>
            <w:tcW w:w="113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绩效及审计类项目</w:t>
            </w:r>
          </w:p>
        </w:tc>
        <w:tc>
          <w:tcPr>
            <w:tcW w:w="66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0.00 </w:t>
            </w:r>
          </w:p>
        </w:tc>
        <w:tc>
          <w:tcPr>
            <w:tcW w:w="91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25.70 </w:t>
            </w:r>
          </w:p>
        </w:tc>
        <w:tc>
          <w:tcPr>
            <w:tcW w:w="90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25.7000 </w:t>
            </w:r>
          </w:p>
        </w:tc>
        <w:tc>
          <w:tcPr>
            <w:tcW w:w="92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6</w:t>
            </w:r>
          </w:p>
        </w:tc>
        <w:tc>
          <w:tcPr>
            <w:tcW w:w="1137"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kern w:val="0"/>
                <w:sz w:val="21"/>
                <w:highlight w:val="none"/>
              </w:rPr>
              <w:t>后勤综合服务保障项目</w:t>
            </w:r>
          </w:p>
        </w:tc>
        <w:tc>
          <w:tcPr>
            <w:tcW w:w="66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right"/>
              <w:textAlignment w:val="center"/>
              <w:rPr>
                <w:rFonts w:hint="eastAsia" w:ascii="仿宋_GB2312" w:hAnsi="仿宋_GB2312" w:eastAsia="仿宋_GB2312" w:cs="仿宋_GB2312"/>
                <w:kern w:val="0"/>
                <w:sz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0.00 </w:t>
            </w:r>
          </w:p>
        </w:tc>
        <w:tc>
          <w:tcPr>
            <w:tcW w:w="91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96.00 </w:t>
            </w:r>
          </w:p>
        </w:tc>
        <w:tc>
          <w:tcPr>
            <w:tcW w:w="90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 xml:space="preserve">94.1480 </w:t>
            </w:r>
          </w:p>
        </w:tc>
        <w:tc>
          <w:tcPr>
            <w:tcW w:w="92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right"/>
              <w:textAlignment w:val="center"/>
              <w:rPr>
                <w:rFonts w:hint="eastAsia" w:ascii="仿宋_GB2312" w:hAnsi="仿宋_GB2312" w:eastAsia="仿宋_GB2312" w:cs="仿宋_GB2312"/>
                <w:kern w:val="0"/>
                <w:sz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98.07%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仿宋_GB2312" w:hAnsi="仿宋_GB2312" w:eastAsia="仿宋_GB2312" w:cs="仿宋_GB2312"/>
                <w:b/>
                <w:bCs/>
                <w:kern w:val="0"/>
                <w:sz w:val="21"/>
                <w:highlight w:val="none"/>
              </w:rPr>
            </w:pPr>
            <w:r>
              <w:rPr>
                <w:rFonts w:hint="eastAsia" w:ascii="仿宋_GB2312" w:hAnsi="仿宋_GB2312" w:eastAsia="仿宋_GB2312" w:cs="仿宋_GB2312"/>
                <w:b/>
                <w:bCs/>
                <w:kern w:val="0"/>
                <w:sz w:val="21"/>
                <w:highlight w:val="none"/>
              </w:rPr>
              <w:t>合计</w:t>
            </w:r>
          </w:p>
        </w:tc>
        <w:tc>
          <w:tcPr>
            <w:tcW w:w="66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right"/>
              <w:textAlignment w:val="center"/>
              <w:rPr>
                <w:rFonts w:hint="eastAsia" w:ascii="仿宋_GB2312" w:hAnsi="仿宋_GB2312" w:eastAsia="仿宋_GB2312" w:cs="仿宋_GB2312"/>
                <w:b/>
                <w:bCs/>
                <w:kern w:val="0"/>
                <w:sz w:val="21"/>
                <w:highlight w:val="none"/>
                <w:lang w:val="en-US" w:eastAsia="zh-CN"/>
              </w:rPr>
            </w:pPr>
            <w:r>
              <w:rPr>
                <w:rFonts w:hint="eastAsia" w:ascii="仿宋_GB2312" w:hAnsi="仿宋_GB2312" w:eastAsia="仿宋_GB2312" w:cs="仿宋_GB2312"/>
                <w:b/>
                <w:bCs/>
                <w:i w:val="0"/>
                <w:iCs w:val="0"/>
                <w:color w:val="000000"/>
                <w:kern w:val="0"/>
                <w:sz w:val="21"/>
                <w:szCs w:val="21"/>
                <w:highlight w:val="none"/>
                <w:u w:val="none"/>
                <w:lang w:val="en-US" w:eastAsia="zh-CN" w:bidi="ar"/>
              </w:rPr>
              <w:t xml:space="preserve">0.00 </w:t>
            </w:r>
          </w:p>
        </w:tc>
        <w:tc>
          <w:tcPr>
            <w:tcW w:w="91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2" w:firstLineChars="200"/>
              <w:jc w:val="right"/>
              <w:textAlignment w:val="center"/>
              <w:rPr>
                <w:rFonts w:hint="eastAsia" w:ascii="仿宋_GB2312" w:hAnsi="仿宋_GB2312" w:eastAsia="仿宋_GB2312" w:cs="仿宋_GB2312"/>
                <w:b/>
                <w:bCs/>
                <w:kern w:val="0"/>
                <w:sz w:val="21"/>
                <w:highlight w:val="none"/>
              </w:rPr>
            </w:pPr>
            <w:r>
              <w:rPr>
                <w:rFonts w:hint="eastAsia" w:ascii="仿宋_GB2312" w:hAnsi="仿宋_GB2312" w:eastAsia="仿宋_GB2312" w:cs="仿宋_GB2312"/>
                <w:b/>
                <w:bCs/>
                <w:i w:val="0"/>
                <w:iCs w:val="0"/>
                <w:color w:val="000000"/>
                <w:kern w:val="0"/>
                <w:sz w:val="21"/>
                <w:szCs w:val="21"/>
                <w:highlight w:val="none"/>
                <w:u w:val="none"/>
                <w:lang w:val="en-US" w:eastAsia="zh-CN" w:bidi="ar"/>
              </w:rPr>
              <w:t xml:space="preserve">390.10 </w:t>
            </w:r>
          </w:p>
        </w:tc>
        <w:tc>
          <w:tcPr>
            <w:tcW w:w="90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right"/>
              <w:textAlignment w:val="center"/>
              <w:rPr>
                <w:rFonts w:hint="eastAsia" w:ascii="仿宋_GB2312" w:hAnsi="仿宋_GB2312" w:eastAsia="仿宋_GB2312" w:cs="仿宋_GB2312"/>
                <w:b/>
                <w:bCs/>
                <w:kern w:val="0"/>
                <w:sz w:val="21"/>
                <w:highlight w:val="none"/>
              </w:rPr>
            </w:pPr>
            <w:r>
              <w:rPr>
                <w:rFonts w:hint="eastAsia" w:ascii="仿宋_GB2312" w:hAnsi="仿宋_GB2312" w:eastAsia="仿宋_GB2312" w:cs="仿宋_GB2312"/>
                <w:b/>
                <w:bCs/>
                <w:i w:val="0"/>
                <w:iCs w:val="0"/>
                <w:color w:val="000000"/>
                <w:kern w:val="0"/>
                <w:sz w:val="21"/>
                <w:szCs w:val="21"/>
                <w:highlight w:val="none"/>
                <w:u w:val="none"/>
                <w:lang w:val="en-US" w:eastAsia="zh-CN" w:bidi="ar"/>
              </w:rPr>
              <w:t xml:space="preserve">350.79951 </w:t>
            </w:r>
          </w:p>
        </w:tc>
        <w:tc>
          <w:tcPr>
            <w:tcW w:w="92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firstLine="422" w:firstLineChars="200"/>
              <w:jc w:val="right"/>
              <w:textAlignment w:val="center"/>
              <w:rPr>
                <w:rFonts w:hint="eastAsia" w:ascii="仿宋_GB2312" w:hAnsi="仿宋_GB2312" w:eastAsia="仿宋_GB2312" w:cs="仿宋_GB2312"/>
                <w:b/>
                <w:bCs/>
                <w:kern w:val="0"/>
                <w:sz w:val="21"/>
                <w:highlight w:val="none"/>
              </w:rPr>
            </w:pPr>
            <w:r>
              <w:rPr>
                <w:rFonts w:hint="eastAsia" w:ascii="仿宋_GB2312" w:hAnsi="仿宋_GB2312" w:eastAsia="仿宋_GB2312" w:cs="仿宋_GB2312"/>
                <w:b/>
                <w:bCs/>
                <w:i w:val="0"/>
                <w:iCs w:val="0"/>
                <w:color w:val="000000"/>
                <w:kern w:val="0"/>
                <w:sz w:val="21"/>
                <w:szCs w:val="21"/>
                <w:highlight w:val="none"/>
                <w:u w:val="none"/>
                <w:lang w:val="en-US" w:eastAsia="zh-CN" w:bidi="ar"/>
              </w:rPr>
              <w:t>89.84%</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rPr>
        <w:t>市委研究室按照年初计划、年中追加项目调整后的绩效目标和相关规定开展工作，整体绩效目标完成情况良好</w:t>
      </w:r>
      <w:r>
        <w:rPr>
          <w:rFonts w:hint="eastAsia" w:ascii="仿宋_GB2312" w:hAnsi="仿宋_GB2312" w:cs="仿宋_GB2312"/>
          <w:lang w:eastAsia="zh-CN"/>
        </w:rPr>
        <w:t>。</w:t>
      </w:r>
    </w:p>
    <w:p>
      <w:pPr>
        <w:pStyle w:val="3"/>
        <w:bidi w:val="0"/>
      </w:pPr>
      <w:bookmarkStart w:id="5" w:name="_Toc29591"/>
      <w:r>
        <w:rPr>
          <w:rFonts w:hint="eastAsia"/>
        </w:rPr>
        <w:t>三</w:t>
      </w:r>
      <w:r>
        <w:t>、整体绩效目标实现情况</w:t>
      </w:r>
      <w:bookmarkEnd w:id="5"/>
    </w:p>
    <w:p>
      <w:pPr>
        <w:pStyle w:val="4"/>
        <w:bidi w:val="0"/>
      </w:pPr>
      <w:bookmarkStart w:id="6" w:name="_Toc2857"/>
      <w:r>
        <w:rPr>
          <w:rFonts w:hint="eastAsia"/>
        </w:rPr>
        <w:t>（一）产出完成情况分析</w:t>
      </w:r>
      <w:bookmarkEnd w:id="6"/>
    </w:p>
    <w:p>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1.产出数量</w:t>
      </w:r>
    </w:p>
    <w:p>
      <w:pPr>
        <w:bidi w:val="0"/>
        <w:rPr>
          <w:rFonts w:hint="eastAsia" w:ascii="仿宋_GB2312" w:eastAsia="仿宋_GB2312"/>
          <w:sz w:val="32"/>
          <w:szCs w:val="32"/>
          <w:lang w:eastAsia="zh-CN"/>
        </w:rPr>
      </w:pPr>
      <w:r>
        <w:rPr>
          <w:rFonts w:hint="eastAsia" w:ascii="仿宋_GB2312" w:hAnsi="宋体" w:eastAsia="仿宋_GB2312" w:cs="宋体"/>
          <w:color w:val="000000"/>
          <w:kern w:val="0"/>
          <w:sz w:val="32"/>
          <w:szCs w:val="32"/>
          <w:lang w:val="en-US" w:eastAsia="zh-CN"/>
        </w:rPr>
        <w:t>文稿服务方面。</w:t>
      </w:r>
      <w:r>
        <w:rPr>
          <w:rFonts w:hint="eastAsia" w:ascii="仿宋_GB2312" w:hAnsi="黑体" w:eastAsia="仿宋_GB2312"/>
          <w:bCs/>
          <w:sz w:val="32"/>
          <w:szCs w:val="32"/>
          <w:lang w:eastAsia="zh-CN"/>
        </w:rPr>
        <w:t>全年共完成重要文稿215篇、60余万字，整理加工参阅素材100篇。</w:t>
      </w:r>
      <w:r>
        <w:rPr>
          <w:rFonts w:hint="eastAsia" w:ascii="仿宋_GB2312" w:hAnsi="黑体" w:eastAsia="仿宋_GB2312"/>
          <w:bCs/>
          <w:sz w:val="32"/>
          <w:szCs w:val="32"/>
          <w:lang w:val="en-US" w:eastAsia="zh-CN"/>
        </w:rPr>
        <w:t>起草</w:t>
      </w:r>
      <w:r>
        <w:rPr>
          <w:rFonts w:hint="eastAsia" w:ascii="仿宋_GB2312" w:hAnsi="黑体" w:eastAsia="仿宋_GB2312"/>
          <w:bCs/>
          <w:sz w:val="32"/>
          <w:szCs w:val="32"/>
          <w:lang w:eastAsia="zh-CN"/>
        </w:rPr>
        <w:t>二十大北京代表团文稿26篇、北京冬奥会冬残奥会文稿100余篇、</w:t>
      </w:r>
      <w:r>
        <w:rPr>
          <w:rFonts w:hint="eastAsia" w:ascii="仿宋_GB2312" w:hAnsi="宋体" w:eastAsia="仿宋_GB2312" w:cs="宋体"/>
          <w:color w:val="000000"/>
          <w:kern w:val="0"/>
          <w:sz w:val="32"/>
          <w:szCs w:val="32"/>
          <w:lang w:val="en-US" w:eastAsia="zh-CN"/>
        </w:rPr>
        <w:t>市第十三次党代会</w:t>
      </w:r>
      <w:r>
        <w:rPr>
          <w:rFonts w:hint="eastAsia" w:ascii="仿宋_GB2312" w:hAnsi="黑体" w:eastAsia="仿宋_GB2312"/>
          <w:bCs/>
          <w:sz w:val="32"/>
          <w:szCs w:val="32"/>
          <w:lang w:eastAsia="zh-CN"/>
        </w:rPr>
        <w:t>文稿59篇、疫情防控文稿35篇、</w:t>
      </w:r>
      <w:r>
        <w:rPr>
          <w:rFonts w:hint="eastAsia" w:ascii="仿宋_GB2312" w:eastAsia="仿宋_GB2312"/>
          <w:sz w:val="32"/>
          <w:szCs w:val="32"/>
          <w:lang w:eastAsia="zh-CN"/>
        </w:rPr>
        <w:t>防疫数据表及风险研判报告等涉疫文稿508篇。</w:t>
      </w:r>
    </w:p>
    <w:p>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黑体" w:eastAsia="仿宋_GB2312"/>
          <w:bCs/>
          <w:sz w:val="32"/>
          <w:szCs w:val="32"/>
          <w:lang w:eastAsia="zh-CN"/>
        </w:rPr>
      </w:pPr>
      <w:r>
        <w:rPr>
          <w:rFonts w:hint="eastAsia" w:ascii="仿宋_GB2312" w:hAnsi="黑体" w:eastAsia="仿宋_GB2312"/>
          <w:bCs/>
          <w:sz w:val="32"/>
          <w:szCs w:val="32"/>
          <w:lang w:val="en-US" w:eastAsia="zh-CN"/>
        </w:rPr>
        <w:t>调查研究方面。</w:t>
      </w:r>
      <w:r>
        <w:rPr>
          <w:rFonts w:hint="eastAsia" w:ascii="仿宋_GB2312" w:hAnsi="黑体" w:eastAsia="仿宋_GB2312"/>
          <w:bCs/>
          <w:sz w:val="32"/>
          <w:szCs w:val="32"/>
          <w:lang w:eastAsia="zh-CN"/>
        </w:rPr>
        <w:t>完成课题报告《高水平构建现代化首都都市圈研究》，包括1个总报告、2个综合研究报告和22个专题研究报告，共计40余万字。完成2022年市级重点课题立项124个</w:t>
      </w:r>
      <w:r>
        <w:rPr>
          <w:rFonts w:hint="eastAsia" w:ascii="仿宋_GB2312" w:hAnsi="黑体"/>
          <w:bCs/>
          <w:sz w:val="32"/>
          <w:szCs w:val="32"/>
          <w:lang w:val="en-US" w:eastAsia="zh-CN"/>
        </w:rPr>
        <w:t>,</w:t>
      </w:r>
      <w:r>
        <w:rPr>
          <w:rFonts w:hint="eastAsia" w:ascii="仿宋_GB2312" w:hAnsi="黑体" w:eastAsia="仿宋_GB2312"/>
          <w:bCs/>
          <w:sz w:val="32"/>
          <w:szCs w:val="32"/>
          <w:lang w:eastAsia="zh-CN"/>
        </w:rPr>
        <w:t>编发《决策参考》25期，15期获市领导批示；编发《北京调研》12期，其中2篇文章被《学习与研究》转载。</w:t>
      </w:r>
    </w:p>
    <w:p>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仿宋_GB2312" w:hAnsi="黑体" w:eastAsia="仿宋_GB2312"/>
          <w:bCs/>
          <w:sz w:val="32"/>
          <w:szCs w:val="32"/>
          <w:lang w:val="en-US" w:eastAsia="zh-CN"/>
        </w:rPr>
      </w:pPr>
      <w:r>
        <w:rPr>
          <w:rFonts w:hint="eastAsia" w:ascii="仿宋_GB2312" w:hAnsi="黑体"/>
          <w:bCs/>
          <w:sz w:val="32"/>
          <w:szCs w:val="32"/>
          <w:lang w:val="en-US" w:eastAsia="zh-CN"/>
        </w:rPr>
        <w:t>深化改革方面。完成改革工作要点确定的68项任务，共出台重要改革文件78个。</w:t>
      </w:r>
      <w:r>
        <w:rPr>
          <w:rFonts w:hint="eastAsia" w:ascii="仿宋_GB2312" w:hAnsi="黑体" w:eastAsia="仿宋_GB2312"/>
          <w:bCs/>
          <w:sz w:val="32"/>
          <w:szCs w:val="32"/>
          <w:lang w:eastAsia="zh-CN"/>
        </w:rPr>
        <w:t>全年共筹办市委深改委会议6次，审议议题53个，形成31份审核把关材料。全年共筹办市委深改委会议6次，审议议题53个</w:t>
      </w:r>
      <w:r>
        <w:rPr>
          <w:rFonts w:hint="eastAsia" w:ascii="仿宋_GB2312" w:hAnsi="黑体"/>
          <w:bCs/>
          <w:sz w:val="32"/>
          <w:szCs w:val="32"/>
          <w:lang w:eastAsia="zh-CN"/>
        </w:rPr>
        <w:t>。</w:t>
      </w:r>
      <w:r>
        <w:rPr>
          <w:rFonts w:hint="eastAsia" w:ascii="仿宋_GB2312" w:hAnsi="黑体" w:eastAsia="仿宋_GB2312"/>
          <w:bCs/>
          <w:sz w:val="32"/>
          <w:szCs w:val="32"/>
          <w:lang w:eastAsia="zh-CN"/>
        </w:rPr>
        <w:t>全年编发《北京改革情况交流》36期，《北京改革调研报告》22期，《北京督察情况》7期</w:t>
      </w:r>
      <w:r>
        <w:rPr>
          <w:rFonts w:hint="eastAsia" w:ascii="仿宋_GB2312" w:hAnsi="黑体"/>
          <w:bCs/>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黑体" w:eastAsia="仿宋_GB2312"/>
          <w:bCs/>
          <w:sz w:val="32"/>
          <w:szCs w:val="32"/>
          <w:lang w:val="en-US" w:eastAsia="zh-CN"/>
        </w:rPr>
      </w:pPr>
      <w:r>
        <w:rPr>
          <w:rFonts w:hint="eastAsia" w:ascii="仿宋_GB2312" w:hAnsi="黑体" w:eastAsia="仿宋_GB2312" w:cs="Times New Roman"/>
          <w:bCs/>
          <w:kern w:val="2"/>
          <w:sz w:val="32"/>
          <w:szCs w:val="32"/>
          <w:lang w:val="en-US" w:eastAsia="zh-CN" w:bidi="ar-SA"/>
        </w:rPr>
        <w:t>2.</w:t>
      </w:r>
      <w:r>
        <w:rPr>
          <w:rFonts w:hint="eastAsia" w:ascii="仿宋_GB2312" w:hAnsi="黑体" w:eastAsia="仿宋_GB2312"/>
          <w:bCs/>
          <w:sz w:val="32"/>
          <w:szCs w:val="32"/>
          <w:lang w:val="en-US" w:eastAsia="zh-CN"/>
        </w:rPr>
        <w:t>产出质量</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黑体" w:eastAsia="仿宋_GB2312"/>
          <w:bCs/>
          <w:sz w:val="32"/>
          <w:szCs w:val="32"/>
          <w:lang w:eastAsia="zh-CN"/>
        </w:rPr>
      </w:pPr>
      <w:r>
        <w:rPr>
          <w:rFonts w:hint="eastAsia" w:ascii="仿宋_GB2312" w:hAnsi="黑体"/>
          <w:bCs/>
          <w:sz w:val="32"/>
          <w:szCs w:val="32"/>
          <w:lang w:val="en-US" w:eastAsia="zh-CN"/>
        </w:rPr>
        <w:t>二十大北京代表团文稿任务编发简报快报11期，简报内容获中央部门相关同志好评。疫情防控文稿做到快速响应，数据精准。高质量完成《高水平构建现代化首都都市圈研究》，课题成果得到市委主要领导肯定性批示，并送市四套班子领导及相关单位参阅。“四个服务”清单及评估体系、“大党独有难题”观点综述、发挥改革在北京服务和融入新发展格局中的关键作用等一批优秀调研成果，多篇获市领导批示或应用于有关文稿，最终转化为市委工作决策。改革督察工作经验做法登上中央《改革情况交流》</w:t>
      </w:r>
      <w:r>
        <w:rPr>
          <w:rFonts w:hint="eastAsia" w:ascii="仿宋_GB2312" w:hAnsi="黑体" w:eastAsia="仿宋_GB2312"/>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黑体" w:eastAsia="仿宋_GB2312"/>
          <w:bCs/>
          <w:sz w:val="32"/>
          <w:szCs w:val="32"/>
          <w:lang w:eastAsia="zh-CN"/>
        </w:rPr>
      </w:pPr>
      <w:r>
        <w:rPr>
          <w:rFonts w:hint="eastAsia" w:ascii="仿宋_GB2312" w:hAnsi="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val="en-US" w:eastAsia="zh-CN"/>
        </w:rPr>
        <w:t>.产出</w:t>
      </w:r>
      <w:r>
        <w:rPr>
          <w:rFonts w:hint="eastAsia" w:ascii="仿宋_GB2312" w:hAnsi="仿宋_GB2312" w:cs="仿宋_GB2312"/>
          <w:color w:val="000000"/>
          <w:kern w:val="0"/>
          <w:sz w:val="32"/>
          <w:szCs w:val="32"/>
          <w:lang w:val="en-US" w:eastAsia="zh-CN"/>
        </w:rPr>
        <w:t>进度</w:t>
      </w:r>
    </w:p>
    <w:p>
      <w:pPr>
        <w:widowControl w:val="0"/>
        <w:numPr>
          <w:ilvl w:val="0"/>
          <w:numId w:val="0"/>
        </w:numPr>
        <w:spacing w:line="600" w:lineRule="exact"/>
        <w:jc w:val="both"/>
        <w:rPr>
          <w:rFonts w:hint="default" w:ascii="仿宋_GB2312" w:hAnsi="黑体" w:eastAsia="仿宋_GB2312"/>
          <w:bCs/>
          <w:sz w:val="32"/>
          <w:szCs w:val="32"/>
          <w:lang w:val="en-US" w:eastAsia="zh-CN"/>
        </w:rPr>
      </w:pPr>
      <w:r>
        <w:rPr>
          <w:rFonts w:hint="eastAsia" w:ascii="仿宋_GB2312" w:hAnsi="黑体"/>
          <w:bCs/>
          <w:sz w:val="32"/>
          <w:szCs w:val="32"/>
          <w:lang w:val="en-US" w:eastAsia="zh-CN"/>
        </w:rPr>
        <w:t xml:space="preserve">    由于疫情原因，除《北京调研》《决策参考》发行项目、改革督察第三方评估经费项目未能全部完成外，其余进度均在本年内完成。</w:t>
      </w:r>
    </w:p>
    <w:p>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4.产出成本</w:t>
      </w:r>
    </w:p>
    <w:p>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总体来看，市委研究室基本支出和项目均有结转和结余，成本控制在预算范围内，未超预算支出</w:t>
      </w:r>
      <w:r>
        <w:rPr>
          <w:rFonts w:hint="eastAsia" w:ascii="仿宋_GB2312" w:hAnsi="仿宋_GB2312" w:cs="仿宋_GB2312"/>
          <w:color w:val="000000"/>
          <w:kern w:val="0"/>
          <w:sz w:val="32"/>
          <w:szCs w:val="32"/>
          <w:lang w:val="en-US" w:eastAsia="zh-CN"/>
        </w:rPr>
        <w:t>。</w:t>
      </w:r>
    </w:p>
    <w:p>
      <w:pPr>
        <w:pStyle w:val="4"/>
        <w:bidi w:val="0"/>
        <w:rPr>
          <w:rFonts w:hint="eastAsia"/>
        </w:rPr>
      </w:pPr>
      <w:bookmarkStart w:id="7" w:name="_Toc9541"/>
      <w:r>
        <w:rPr>
          <w:rFonts w:hint="eastAsia"/>
        </w:rPr>
        <w:t>（二）效果实现情况分析</w:t>
      </w:r>
      <w:bookmarkEnd w:id="7"/>
    </w:p>
    <w:p>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lang w:eastAsia="zh-CN"/>
        </w:rPr>
        <w:t>由于市委研究室服务于市委机关内部，经济效益、社会效益、可持续影响没有直观数据可供参考、相关佐证资料不足。</w:t>
      </w:r>
    </w:p>
    <w:p>
      <w:pPr>
        <w:pStyle w:val="3"/>
        <w:bidi w:val="0"/>
        <w:rPr>
          <w:rFonts w:hint="eastAsia"/>
        </w:rPr>
      </w:pPr>
      <w:bookmarkStart w:id="8" w:name="_Toc14505"/>
      <w:r>
        <w:rPr>
          <w:rFonts w:hint="eastAsia"/>
        </w:rPr>
        <w:t>四</w:t>
      </w:r>
      <w:r>
        <w:t>、预算管理</w:t>
      </w:r>
      <w:r>
        <w:rPr>
          <w:rFonts w:hint="eastAsia"/>
        </w:rPr>
        <w:t>情况分</w:t>
      </w:r>
      <w:r>
        <w:t>析</w:t>
      </w:r>
      <w:bookmarkEnd w:id="8"/>
    </w:p>
    <w:p>
      <w:pPr>
        <w:pStyle w:val="4"/>
        <w:bidi w:val="0"/>
        <w:rPr>
          <w:rFonts w:hint="eastAsia"/>
        </w:rPr>
      </w:pPr>
      <w:bookmarkStart w:id="9" w:name="_Toc3274"/>
      <w:r>
        <w:rPr>
          <w:rFonts w:hint="eastAsia"/>
        </w:rPr>
        <w:t>（一）财务管理</w:t>
      </w:r>
      <w:bookmarkEnd w:id="9"/>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1.财务管理制度健全性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市委研究室为加强预算绩效管理，规范财务行为，制定了《市委研究室“三重一大”决策制度实施办法》《预算管理制度》《财务管理制度》《资金支出管理办法》《课题经费管理实施细则》《固定资产管理办法》《采购管理办法》《合同管理办法》《银行账户管理办法》《内部控制自我评价管理办法》等管理制度并执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现金管理规范性不足，科目余额表显示现金科目期初、期末余额均为1万元，本期没有发生额，现金余额未存入银行。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建立的财务信息系统，会计凭证按规定装订成册并统一保管，会计信息资料未发现失真失实的情况。</w:t>
      </w:r>
    </w:p>
    <w:p>
      <w:pPr>
        <w:pStyle w:val="4"/>
        <w:bidi w:val="0"/>
      </w:pPr>
      <w:bookmarkStart w:id="10" w:name="_Toc2860"/>
      <w:r>
        <w:rPr>
          <w:rFonts w:hint="eastAsia"/>
        </w:rPr>
        <w:t>（二）资产管理</w:t>
      </w:r>
      <w:bookmarkEnd w:id="10"/>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市委研究室制定了《市委研究室固定资产管理办法》，明确了固定资产管理机构及职责、固定资产配置原则，以及采购、维修保养、清查盘点等固定资产管理流程。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1.资产的总体情况分析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截至 2022 年 12月31日，资产总额 1,219.03794万元，较上年1,604.069518万元下降385.031578万元，降幅24.00%。负债总额190.235851万元 ，较上年770,635.64万元增长113.172287万元，增幅146.86%。净资产1,028.802089万元 ，较上年1,527.005954万元下降498.203865万元，降幅-32.63%。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（1）资产分布情况。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市委研究室行政单位国有资产1,219.03794万元，占 100.00%；事业单位国有资产 0万元，占 0.00%，其中执行民间非营利组织会计制度的社会团体国有资产 0万元，占 0.00%。</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（2）资产构成情况。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流动资产 342.232971 万元，占资产总额 28.07%； 固定资产 493.484969万元， 占资产总额40.48 % ； 在建工程 383.3200万元，占资产总额 31.45%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（3）固定资产构成情况。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家具、用具、装具及动植物235.770424万元，占固定资产的 28.38%  ； 通用设备 285.202951万元，占34.31 %（其中，车辆 0 万元，占 0.00% ， 单价 50万（含）以上（不含车辆）设备 0万元，占 0.00%） ； 专用设备 0万元，占 0.00%（单价100万（含）以上设备 0万元，占 0.00%） ； 文物和陈列品 0 万元，占 0.00 % ； 图书、档案310.0001万元，占 37.31%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2.资产配置、使用情况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（1）资产配置情况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 2022 年度，市委研究室配置固定资产 830.973475 万元（账面原值，下同）。从资产类别分析，配置土地、房屋及构筑物 0万元，占 0.00 %； 配置家具、用具、装具及动植物235.770424 万元，占 28.38 % ； 通用设备 285.202951万元，占34.31 %； 配置文物和陈列品 0 万元，占 0.00 %；图书、档案310.0001万元，占 37.31%  。从配置方式分析，新购 326.755251 万元，占 39.32 %；调拨504.21224万元，占 60.68 %；接受捐赠 0 万元，占 0.00 %；置换 0 万元，占 0.00 %；其他方式新增 0 万元，占 0.00 %。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 市委研究室配置在建工程 383.3200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（2）资产使用情况。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市委研究室资产全部为自用。截至 2022年12月31日， 自用固定资产 830.973475万元，占账面固定资产总额的 100.00 %， 其中 : 在用 830.973475万元，占账面固定资产总额的 100.00 % ；闲置 0 万元，占账面固定资产总额的 0.00 % ； 待处置（待报废、毁损等） 0 万元，占账面固定资产总额的 0.00 % 。自用无形资产 216.4 万元 ，占账面无形资产总额的 100.00% ；其中 在用 216.4 万元，占账面无形资产总额的 100.00 % ；闲置 0 万元，占账面无形资产总额的 0.00 % ； 待处置（待报废、毁损等） 0 万元，占账面无形资产总额的 0.00 % 。</w:t>
      </w:r>
    </w:p>
    <w:p>
      <w:pPr>
        <w:pStyle w:val="4"/>
        <w:bidi w:val="0"/>
      </w:pPr>
      <w:bookmarkStart w:id="11" w:name="_Toc28321"/>
      <w:r>
        <w:rPr>
          <w:rFonts w:hint="eastAsia"/>
        </w:rPr>
        <w:t>（三）绩效</w:t>
      </w:r>
      <w:r>
        <w:t>管理</w:t>
      </w:r>
      <w:bookmarkEnd w:id="11"/>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按照财政要求对</w:t>
      </w:r>
      <w:r>
        <w:rPr>
          <w:rFonts w:hint="eastAsia" w:ascii="仿宋_GB2312" w:hAnsi="仿宋_GB2312" w:eastAsia="仿宋_GB2312" w:cs="仿宋_GB2312"/>
          <w:sz w:val="32"/>
          <w:szCs w:val="32"/>
          <w:highlight w:val="none"/>
          <w:lang w:val="en-US" w:eastAsia="zh-CN"/>
        </w:rPr>
        <w:t>市委研究室</w:t>
      </w:r>
      <w:r>
        <w:rPr>
          <w:rFonts w:hint="eastAsia" w:ascii="仿宋_GB2312" w:hAnsi="仿宋_GB2312" w:eastAsia="仿宋_GB2312" w:cs="仿宋_GB2312"/>
          <w:sz w:val="32"/>
          <w:szCs w:val="32"/>
          <w:highlight w:val="none"/>
        </w:rPr>
        <w:t>切实推动财政资金使用开展绩效评价，组织完成202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年度部门预算项目</w:t>
      </w:r>
      <w:r>
        <w:rPr>
          <w:rFonts w:hint="eastAsia" w:ascii="仿宋_GB2312" w:hAnsi="仿宋_GB2312" w:eastAsia="仿宋_GB2312" w:cs="仿宋_GB2312"/>
          <w:sz w:val="32"/>
          <w:szCs w:val="32"/>
          <w:highlight w:val="none"/>
          <w:lang w:val="en-US" w:eastAsia="zh-CN"/>
        </w:rPr>
        <w:t>评价</w:t>
      </w:r>
      <w:r>
        <w:rPr>
          <w:rFonts w:hint="eastAsia" w:ascii="仿宋_GB2312" w:hAnsi="仿宋_GB2312" w:eastAsia="仿宋_GB2312" w:cs="仿宋_GB2312"/>
          <w:sz w:val="32"/>
          <w:szCs w:val="32"/>
          <w:highlight w:val="none"/>
        </w:rPr>
        <w:t>工作，评价项目</w:t>
      </w:r>
      <w:r>
        <w:rPr>
          <w:rFonts w:hint="eastAsia" w:ascii="仿宋_GB2312" w:hAnsi="仿宋_GB2312" w:cs="仿宋_GB2312"/>
          <w:sz w:val="32"/>
          <w:szCs w:val="32"/>
          <w:highlight w:val="none"/>
          <w:lang w:val="en-US" w:eastAsia="zh-CN"/>
        </w:rPr>
        <w:t>6</w:t>
      </w:r>
      <w:r>
        <w:rPr>
          <w:rFonts w:hint="eastAsia" w:ascii="仿宋_GB2312" w:hAnsi="仿宋_GB2312" w:eastAsia="仿宋_GB2312" w:cs="仿宋_GB2312"/>
          <w:sz w:val="32"/>
          <w:szCs w:val="32"/>
          <w:highlight w:val="none"/>
        </w:rPr>
        <w:t>个，占部门财政预算项目总数的</w:t>
      </w:r>
      <w:r>
        <w:rPr>
          <w:rFonts w:hint="eastAsia" w:ascii="仿宋_GB2312" w:hAnsi="仿宋_GB2312" w:cs="仿宋_GB2312"/>
          <w:sz w:val="32"/>
          <w:szCs w:val="32"/>
          <w:highlight w:val="none"/>
          <w:lang w:val="en-US" w:eastAsia="zh-CN"/>
        </w:rPr>
        <w:t>100.00</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eastAsia="zh-CN"/>
        </w:rPr>
        <w:t>，</w:t>
      </w:r>
      <w:r>
        <w:rPr>
          <w:rFonts w:hint="eastAsia" w:ascii="仿宋_GB2312" w:hAnsi="仿宋_GB2312" w:cs="仿宋_GB2312"/>
          <w:sz w:val="32"/>
          <w:szCs w:val="32"/>
          <w:highlight w:val="none"/>
          <w:lang w:val="en-US" w:eastAsia="zh-CN"/>
        </w:rPr>
        <w:t>其中，自评项目2个，</w:t>
      </w:r>
      <w:r>
        <w:rPr>
          <w:rFonts w:hint="eastAsia" w:ascii="仿宋_GB2312" w:hAnsi="仿宋_GB2312" w:eastAsia="仿宋_GB2312" w:cs="仿宋_GB2312"/>
          <w:sz w:val="32"/>
          <w:szCs w:val="32"/>
          <w:highlight w:val="none"/>
        </w:rPr>
        <w:t>涉及金额</w:t>
      </w:r>
      <w:r>
        <w:rPr>
          <w:rFonts w:hint="eastAsia" w:ascii="仿宋_GB2312" w:hAnsi="仿宋_GB2312" w:eastAsia="仿宋_GB2312" w:cs="仿宋_GB2312"/>
          <w:sz w:val="32"/>
          <w:szCs w:val="32"/>
          <w:highlight w:val="none"/>
          <w:lang w:val="en-US" w:eastAsia="zh-CN"/>
        </w:rPr>
        <w:t>19</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cs="仿宋_GB2312"/>
          <w:sz w:val="32"/>
          <w:szCs w:val="32"/>
          <w:highlight w:val="none"/>
          <w:lang w:val="en-US" w:eastAsia="zh-CN"/>
        </w:rPr>
        <w:t>7</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w:t>
      </w:r>
      <w:r>
        <w:rPr>
          <w:rFonts w:hint="eastAsia" w:ascii="仿宋_GB2312" w:hAnsi="仿宋_GB2312" w:cs="仿宋_GB2312"/>
          <w:sz w:val="32"/>
          <w:szCs w:val="32"/>
          <w:highlight w:val="none"/>
          <w:lang w:eastAsia="zh-CN"/>
        </w:rPr>
        <w:t>；</w:t>
      </w:r>
      <w:r>
        <w:rPr>
          <w:rFonts w:hint="eastAsia" w:ascii="仿宋_GB2312" w:hAnsi="仿宋_GB2312" w:cs="仿宋_GB2312"/>
          <w:sz w:val="32"/>
          <w:szCs w:val="32"/>
          <w:highlight w:val="none"/>
          <w:lang w:val="en-US" w:eastAsia="zh-CN"/>
        </w:rPr>
        <w:t>委托第三方评估项目4个</w:t>
      </w:r>
      <w:r>
        <w:rPr>
          <w:rFonts w:hint="eastAsia" w:ascii="仿宋_GB2312" w:hAnsi="仿宋_GB2312" w:eastAsia="仿宋_GB2312" w:cs="仿宋_GB2312"/>
          <w:sz w:val="32"/>
          <w:szCs w:val="32"/>
          <w:highlight w:val="none"/>
        </w:rPr>
        <w:t>，涉及金额</w:t>
      </w:r>
      <w:r>
        <w:rPr>
          <w:rFonts w:hint="eastAsia" w:ascii="仿宋_GB2312" w:hAnsi="仿宋_GB2312" w:eastAsia="仿宋_GB2312" w:cs="仿宋_GB2312"/>
          <w:sz w:val="32"/>
          <w:szCs w:val="32"/>
          <w:highlight w:val="none"/>
          <w:lang w:val="en-US" w:eastAsia="zh-CN"/>
        </w:rPr>
        <w:t>197.40</w:t>
      </w:r>
      <w:r>
        <w:rPr>
          <w:rFonts w:hint="eastAsia" w:ascii="仿宋_GB2312" w:hAnsi="仿宋_GB2312" w:eastAsia="仿宋_GB2312" w:cs="仿宋_GB2312"/>
          <w:sz w:val="32"/>
          <w:szCs w:val="32"/>
          <w:highlight w:val="none"/>
        </w:rPr>
        <w:t>万元。</w:t>
      </w:r>
    </w:p>
    <w:p>
      <w:pPr>
        <w:pStyle w:val="4"/>
        <w:bidi w:val="0"/>
      </w:pPr>
      <w:bookmarkStart w:id="12" w:name="_Toc31649"/>
      <w:r>
        <w:rPr>
          <w:rFonts w:hint="eastAsia"/>
        </w:rPr>
        <w:t>（四）结转结余率</w:t>
      </w:r>
      <w:bookmarkEnd w:id="12"/>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市委研究室2022年年初结转结余资金0.00万元，2022年年末结转结余资金151.624958</w:t>
      </w:r>
      <w:bookmarkStart w:id="22" w:name="_GoBack"/>
      <w:bookmarkEnd w:id="22"/>
      <w:r>
        <w:rPr>
          <w:rFonts w:hint="eastAsia" w:ascii="仿宋_GB2312" w:hAnsi="宋体" w:eastAsia="仿宋_GB2312" w:cs="宋体"/>
          <w:color w:val="000000"/>
          <w:kern w:val="0"/>
          <w:sz w:val="32"/>
          <w:szCs w:val="32"/>
          <w:lang w:val="en-US" w:eastAsia="zh-CN"/>
        </w:rPr>
        <w:t>万元，其中，基本支出结转112.324468万元，项目支出结转39.30049万元。结转结余变动金额151.624958万元，其中，基本支出结转变动112.324468万元，项目支出结转变动39.30049万元。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2022年结转结余率3.51%。</w:t>
      </w:r>
    </w:p>
    <w:p>
      <w:pPr>
        <w:pStyle w:val="4"/>
        <w:numPr>
          <w:ilvl w:val="0"/>
          <w:numId w:val="2"/>
        </w:numPr>
        <w:bidi w:val="0"/>
      </w:pPr>
      <w:bookmarkStart w:id="13" w:name="_Toc29942"/>
      <w:r>
        <w:rPr>
          <w:rFonts w:hint="eastAsia"/>
        </w:rPr>
        <w:t>部门</w:t>
      </w:r>
      <w:r>
        <w:t>预决算差异率</w:t>
      </w:r>
      <w:bookmarkEnd w:id="13"/>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市委研究室2022年决算支出4,167.511242万元，年初预算支出</w:t>
      </w:r>
      <w:r>
        <w:rPr>
          <w:rFonts w:hint="eastAsia" w:ascii="仿宋_GB2312" w:hAnsi="宋体" w:eastAsia="仿宋_GB2312" w:cs="宋体"/>
          <w:color w:val="000000"/>
          <w:kern w:val="0"/>
          <w:sz w:val="32"/>
          <w:szCs w:val="32"/>
        </w:rPr>
        <w:t>4,271.8656</w:t>
      </w:r>
      <w:r>
        <w:rPr>
          <w:rFonts w:hint="eastAsia" w:ascii="仿宋_GB2312" w:hAnsi="宋体" w:eastAsia="仿宋_GB2312" w:cs="宋体"/>
          <w:color w:val="000000"/>
          <w:kern w:val="0"/>
          <w:sz w:val="32"/>
          <w:szCs w:val="32"/>
          <w:lang w:val="en-US" w:eastAsia="zh-CN"/>
        </w:rPr>
        <w:t>万元，部门预决算差异率-2.44%。</w:t>
      </w:r>
    </w:p>
    <w:p>
      <w:pPr>
        <w:pStyle w:val="3"/>
        <w:bidi w:val="0"/>
      </w:pPr>
      <w:bookmarkStart w:id="14" w:name="_Toc5291"/>
      <w:r>
        <w:rPr>
          <w:rFonts w:hint="eastAsia"/>
        </w:rPr>
        <w:t>五、总体</w:t>
      </w:r>
      <w:r>
        <w:t>评价结论</w:t>
      </w:r>
      <w:bookmarkEnd w:id="14"/>
    </w:p>
    <w:p>
      <w:pPr>
        <w:pStyle w:val="4"/>
        <w:bidi w:val="0"/>
        <w:rPr>
          <w:rFonts w:hint="eastAsia"/>
        </w:rPr>
      </w:pPr>
      <w:bookmarkStart w:id="15" w:name="_Toc3163"/>
      <w:r>
        <w:rPr>
          <w:rFonts w:hint="eastAsia"/>
        </w:rPr>
        <w:t>（一）评价</w:t>
      </w:r>
      <w:r>
        <w:t>得分</w:t>
      </w:r>
      <w:r>
        <w:rPr>
          <w:rFonts w:hint="eastAsia"/>
        </w:rPr>
        <w:t>情况</w:t>
      </w:r>
      <w:bookmarkEnd w:id="15"/>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outlineLvl w:val="9"/>
        <w:rPr>
          <w:rFonts w:hint="eastAsia" w:ascii="仿宋_GB2312" w:hAnsi="Times New Roman" w:eastAsia="仿宋_GB2312" w:cs="Times New Roman"/>
          <w:sz w:val="32"/>
          <w:szCs w:val="32"/>
          <w:highlight w:val="none"/>
        </w:rPr>
      </w:pPr>
      <w:bookmarkStart w:id="16" w:name="_Toc16017"/>
      <w:bookmarkStart w:id="17" w:name="_Toc26024"/>
      <w:bookmarkStart w:id="18" w:name="_Toc20594"/>
      <w:r>
        <w:rPr>
          <w:rFonts w:hint="eastAsia" w:ascii="仿宋_GB2312" w:eastAsia="仿宋_GB2312"/>
          <w:sz w:val="32"/>
          <w:szCs w:val="32"/>
          <w:highlight w:val="none"/>
        </w:rPr>
        <w:t>经过专家评价，</w:t>
      </w:r>
      <w:r>
        <w:rPr>
          <w:rFonts w:hint="eastAsia" w:ascii="仿宋_GB2312" w:hAnsi="宋体" w:eastAsia="仿宋_GB2312" w:cs="宋体"/>
          <w:color w:val="000000"/>
          <w:kern w:val="0"/>
          <w:sz w:val="32"/>
          <w:szCs w:val="32"/>
          <w:lang w:val="en-US" w:eastAsia="zh-CN"/>
        </w:rPr>
        <w:t>市委研究室</w:t>
      </w:r>
      <w:r>
        <w:rPr>
          <w:rFonts w:hint="eastAsia" w:ascii="仿宋_GB2312" w:eastAsia="仿宋_GB2312"/>
          <w:sz w:val="32"/>
          <w:szCs w:val="32"/>
          <w:highlight w:val="none"/>
        </w:rPr>
        <w:t>20</w:t>
      </w:r>
      <w:r>
        <w:rPr>
          <w:rFonts w:hint="eastAsia" w:ascii="仿宋_GB2312" w:eastAsia="仿宋_GB2312"/>
          <w:sz w:val="32"/>
          <w:szCs w:val="32"/>
          <w:highlight w:val="none"/>
          <w:lang w:val="en-US" w:eastAsia="zh-CN"/>
        </w:rPr>
        <w:t>22</w:t>
      </w:r>
      <w:r>
        <w:rPr>
          <w:rFonts w:hint="eastAsia" w:ascii="仿宋_GB2312" w:eastAsia="仿宋_GB2312"/>
          <w:sz w:val="32"/>
          <w:szCs w:val="32"/>
          <w:highlight w:val="none"/>
        </w:rPr>
        <w:t>年部门整体支出综合评价得分90.07分，其中：部门决策12.67分，部门管理36.33分，部门绩效41.07分，综合绩效评定结论为“</w:t>
      </w:r>
      <w:r>
        <w:rPr>
          <w:rFonts w:hint="eastAsia" w:ascii="仿宋_GB2312"/>
          <w:sz w:val="32"/>
          <w:szCs w:val="32"/>
          <w:highlight w:val="none"/>
          <w:lang w:val="en-US" w:eastAsia="zh-CN"/>
        </w:rPr>
        <w:t>优</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bookmarkEnd w:id="16"/>
      <w:bookmarkEnd w:id="17"/>
      <w:bookmarkEnd w:id="18"/>
    </w:p>
    <w:p>
      <w:pPr>
        <w:keepNext w:val="0"/>
        <w:keepLines w:val="0"/>
        <w:pageBreakBefore w:val="0"/>
        <w:kinsoku/>
        <w:wordWrap/>
        <w:overflowPunct/>
        <w:topLinePunct w:val="0"/>
        <w:bidi w:val="0"/>
        <w:spacing w:line="520" w:lineRule="exact"/>
        <w:ind w:left="0" w:leftChars="0" w:firstLine="0" w:firstLineChars="0"/>
        <w:jc w:val="center"/>
        <w:outlineLvl w:val="9"/>
        <w:rPr>
          <w:rFonts w:hint="eastAsia" w:ascii="仿宋_GB2312" w:hAnsi="Times New Roman" w:eastAsia="仿宋_GB2312" w:cs="Times New Roman"/>
          <w:sz w:val="32"/>
          <w:szCs w:val="32"/>
          <w:highlight w:val="none"/>
        </w:rPr>
      </w:pPr>
      <w:bookmarkStart w:id="19" w:name="_Toc30482"/>
      <w:r>
        <w:rPr>
          <w:rFonts w:hint="eastAsia" w:ascii="仿宋_GB2312" w:hAnsi="仿宋_GB2312" w:eastAsia="仿宋_GB2312" w:cs="仿宋_GB2312"/>
          <w:b/>
          <w:bCs/>
          <w:sz w:val="24"/>
          <w:szCs w:val="22"/>
          <w:highlight w:val="none"/>
          <w:lang w:val="en-US" w:eastAsia="zh-CN"/>
        </w:rPr>
        <w:t>表</w:t>
      </w:r>
      <w:r>
        <w:rPr>
          <w:rFonts w:hint="eastAsia" w:ascii="仿宋_GB2312" w:hAnsi="仿宋_GB2312" w:cs="仿宋_GB2312"/>
          <w:b/>
          <w:bCs/>
          <w:sz w:val="24"/>
          <w:szCs w:val="22"/>
          <w:highlight w:val="none"/>
          <w:lang w:val="en-US" w:eastAsia="zh-CN"/>
        </w:rPr>
        <w:t>3</w:t>
      </w:r>
      <w:r>
        <w:rPr>
          <w:rFonts w:hint="eastAsia" w:ascii="仿宋_GB2312" w:hAnsi="仿宋_GB2312" w:eastAsia="仿宋_GB2312" w:cs="仿宋_GB2312"/>
          <w:b/>
          <w:bCs/>
          <w:sz w:val="24"/>
          <w:szCs w:val="22"/>
          <w:highlight w:val="none"/>
          <w:lang w:val="en-US" w:eastAsia="zh-CN"/>
        </w:rPr>
        <w:t xml:space="preserve">  绩效指标得分简表</w:t>
      </w:r>
      <w:bookmarkEnd w:id="19"/>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703"/>
        <w:gridCol w:w="1701"/>
        <w:gridCol w:w="1703"/>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一级指标</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二级指标</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分值</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得分</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01"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部门决策</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（15分）</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Style w:val="12"/>
                <w:rFonts w:hint="eastAsia" w:ascii="仿宋_GB2312" w:hAnsi="仿宋_GB2312" w:eastAsia="仿宋_GB2312" w:cs="仿宋_GB2312"/>
                <w:lang w:val="en-US" w:eastAsia="zh-CN" w:bidi="ar"/>
              </w:rPr>
              <w:t>目标设定　</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 xml:space="preserve">5.03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83.89%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01"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仿宋_GB2312" w:hAnsi="仿宋_GB2312" w:eastAsia="仿宋_GB2312" w:cs="仿宋_GB2312"/>
                <w:i w:val="0"/>
                <w:iCs w:val="0"/>
                <w:color w:val="000000"/>
                <w:sz w:val="24"/>
                <w:szCs w:val="24"/>
                <w:u w:val="none"/>
              </w:rPr>
            </w:pP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Style w:val="12"/>
                <w:rFonts w:hint="eastAsia" w:ascii="仿宋_GB2312" w:hAnsi="仿宋_GB2312" w:eastAsia="仿宋_GB2312" w:cs="仿宋_GB2312"/>
                <w:lang w:val="en-US" w:eastAsia="zh-CN" w:bidi="ar"/>
              </w:rPr>
              <w:t>决策过程　</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 xml:space="preserve">2.67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88.89%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01"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仿宋_GB2312" w:hAnsi="仿宋_GB2312" w:eastAsia="仿宋_GB2312" w:cs="仿宋_GB2312"/>
                <w:i w:val="0"/>
                <w:iCs w:val="0"/>
                <w:color w:val="000000"/>
                <w:sz w:val="24"/>
                <w:szCs w:val="24"/>
                <w:u w:val="none"/>
              </w:rPr>
            </w:pP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Style w:val="12"/>
                <w:rFonts w:hint="eastAsia" w:ascii="仿宋_GB2312" w:hAnsi="仿宋_GB2312" w:eastAsia="仿宋_GB2312" w:cs="仿宋_GB2312"/>
                <w:lang w:val="en-US" w:eastAsia="zh-CN" w:bidi="ar"/>
              </w:rPr>
              <w:t>资金分配</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 xml:space="preserve">4.97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82.81%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01"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部门管理</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（40分）</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Style w:val="12"/>
                <w:rFonts w:hint="eastAsia" w:ascii="仿宋_GB2312" w:hAnsi="仿宋_GB2312" w:eastAsia="仿宋_GB2312" w:cs="仿宋_GB2312"/>
                <w:lang w:val="en-US" w:eastAsia="zh-CN" w:bidi="ar"/>
              </w:rPr>
              <w:t>预算执行</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 xml:space="preserve">13.21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88.04%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01"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仿宋_GB2312" w:hAnsi="仿宋_GB2312" w:eastAsia="仿宋_GB2312" w:cs="仿宋_GB2312"/>
                <w:i w:val="0"/>
                <w:iCs w:val="0"/>
                <w:color w:val="000000"/>
                <w:sz w:val="24"/>
                <w:szCs w:val="24"/>
                <w:u w:val="none"/>
              </w:rPr>
            </w:pP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Style w:val="12"/>
                <w:rFonts w:hint="eastAsia" w:ascii="仿宋_GB2312" w:hAnsi="仿宋_GB2312" w:eastAsia="仿宋_GB2312" w:cs="仿宋_GB2312"/>
                <w:lang w:val="en-US" w:eastAsia="zh-CN" w:bidi="ar"/>
              </w:rPr>
              <w:t>预算管理</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 xml:space="preserve">14.10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01"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仿宋_GB2312" w:hAnsi="仿宋_GB2312" w:eastAsia="仿宋_GB2312" w:cs="仿宋_GB2312"/>
                <w:i w:val="0"/>
                <w:iCs w:val="0"/>
                <w:color w:val="000000"/>
                <w:sz w:val="24"/>
                <w:szCs w:val="24"/>
                <w:u w:val="none"/>
              </w:rPr>
            </w:pP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Style w:val="12"/>
                <w:rFonts w:hint="eastAsia" w:ascii="仿宋_GB2312" w:hAnsi="仿宋_GB2312" w:eastAsia="仿宋_GB2312" w:cs="仿宋_GB2312"/>
                <w:lang w:val="en-US" w:eastAsia="zh-CN" w:bidi="ar"/>
              </w:rPr>
              <w:t>绩效管理</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 xml:space="preserve">4.30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86.00%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仿宋_GB2312" w:hAnsi="仿宋_GB2312" w:eastAsia="仿宋_GB2312" w:cs="仿宋_GB2312"/>
                <w:i w:val="0"/>
                <w:iCs w:val="0"/>
                <w:color w:val="000000"/>
                <w:sz w:val="24"/>
                <w:szCs w:val="24"/>
                <w:u w:val="none"/>
              </w:rPr>
            </w:pP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Style w:val="12"/>
                <w:rFonts w:hint="eastAsia" w:ascii="仿宋_GB2312" w:hAnsi="仿宋_GB2312" w:eastAsia="仿宋_GB2312" w:cs="仿宋_GB2312"/>
                <w:lang w:val="en-US" w:eastAsia="zh-CN" w:bidi="ar"/>
              </w:rPr>
              <w:t>资产管理</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 xml:space="preserve">4.73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94.51%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01"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部门绩效</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（45分）</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Style w:val="12"/>
                <w:rFonts w:hint="eastAsia" w:ascii="仿宋_GB2312" w:hAnsi="仿宋_GB2312" w:eastAsia="仿宋_GB2312" w:cs="仿宋_GB2312"/>
                <w:lang w:val="en-US" w:eastAsia="zh-CN" w:bidi="ar"/>
              </w:rPr>
              <w:t>产出</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20</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 xml:space="preserve">18.37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91.83%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01"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仿宋_GB2312" w:hAnsi="仿宋_GB2312" w:eastAsia="仿宋_GB2312" w:cs="仿宋_GB2312"/>
                <w:i w:val="0"/>
                <w:iCs w:val="0"/>
                <w:color w:val="000000"/>
                <w:sz w:val="24"/>
                <w:szCs w:val="24"/>
                <w:u w:val="none"/>
              </w:rPr>
            </w:pP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效果</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25</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 xml:space="preserve">22.70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90.80%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3404"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总计</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100</w:t>
            </w:r>
          </w:p>
        </w:tc>
        <w:tc>
          <w:tcPr>
            <w:tcW w:w="170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 xml:space="preserve">90.07 </w:t>
            </w:r>
          </w:p>
        </w:tc>
        <w:tc>
          <w:tcPr>
            <w:tcW w:w="171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w:t>
            </w:r>
          </w:p>
        </w:tc>
      </w:tr>
    </w:tbl>
    <w:p>
      <w:pPr>
        <w:keepNext w:val="0"/>
        <w:keepLines w:val="0"/>
        <w:pageBreakBefore w:val="0"/>
        <w:kinsoku/>
        <w:wordWrap/>
        <w:overflowPunct/>
        <w:topLinePunct w:val="0"/>
        <w:bidi w:val="0"/>
        <w:spacing w:line="520" w:lineRule="exact"/>
        <w:ind w:firstLine="640" w:firstLineChars="200"/>
        <w:outlineLvl w:val="9"/>
        <w:rPr>
          <w:rFonts w:hint="eastAsia" w:ascii="楷体_GB2312" w:hAnsi="楷体_GB2312" w:eastAsia="楷体_GB2312" w:cs="楷体_GB2312"/>
          <w:sz w:val="32"/>
          <w:szCs w:val="32"/>
        </w:rPr>
      </w:pPr>
    </w:p>
    <w:p>
      <w:pPr>
        <w:pStyle w:val="4"/>
        <w:bidi w:val="0"/>
        <w:rPr>
          <w:rFonts w:hint="eastAsia"/>
        </w:rPr>
      </w:pPr>
      <w:bookmarkStart w:id="20" w:name="_Toc29455"/>
      <w:r>
        <w:rPr>
          <w:rFonts w:hint="eastAsia"/>
        </w:rPr>
        <w:t>（二）存在的问题及原因分析</w:t>
      </w:r>
      <w:bookmarkEnd w:id="20"/>
    </w:p>
    <w:p>
      <w:pPr>
        <w:numPr>
          <w:ilvl w:val="0"/>
          <w:numId w:val="0"/>
        </w:numPr>
        <w:ind w:left="0" w:leftChars="0" w:firstLine="640" w:firstLineChars="200"/>
        <w:rPr>
          <w:rFonts w:hint="eastAsia" w:ascii="仿宋_GB2312" w:hAnsi="仿宋_GB2312" w:eastAsia="仿宋_GB2312" w:cs="仿宋_GB2312"/>
          <w:bCs w:val="0"/>
          <w:kern w:val="2"/>
          <w:sz w:val="32"/>
          <w:szCs w:val="32"/>
          <w:highlight w:val="none"/>
          <w:lang w:val="en-US" w:eastAsia="zh-Hans" w:bidi="ar-SA"/>
        </w:rPr>
      </w:pPr>
      <w:r>
        <w:rPr>
          <w:rFonts w:hint="eastAsia" w:ascii="仿宋_GB2312" w:hAnsi="仿宋_GB2312" w:cs="仿宋_GB2312"/>
          <w:bCs w:val="0"/>
          <w:kern w:val="2"/>
          <w:sz w:val="32"/>
          <w:szCs w:val="32"/>
          <w:highlight w:val="none"/>
          <w:lang w:val="en-US" w:eastAsia="zh-CN" w:bidi="ar-SA"/>
        </w:rPr>
        <w:t>1</w:t>
      </w:r>
      <w:r>
        <w:rPr>
          <w:rFonts w:hint="eastAsia" w:ascii="仿宋_GB2312" w:hAnsi="仿宋_GB2312" w:eastAsia="仿宋_GB2312" w:cs="仿宋_GB2312"/>
          <w:bCs w:val="0"/>
          <w:kern w:val="2"/>
          <w:sz w:val="32"/>
          <w:szCs w:val="32"/>
          <w:highlight w:val="none"/>
          <w:lang w:val="en-US" w:eastAsia="zh-CN" w:bidi="ar-SA"/>
        </w:rPr>
        <w:t>.</w:t>
      </w:r>
      <w:r>
        <w:rPr>
          <w:rFonts w:hint="eastAsia" w:ascii="仿宋_GB2312" w:hAnsi="仿宋_GB2312" w:eastAsia="仿宋_GB2312" w:cs="仿宋_GB2312"/>
          <w:bCs w:val="0"/>
          <w:kern w:val="2"/>
          <w:sz w:val="32"/>
          <w:szCs w:val="32"/>
          <w:highlight w:val="none"/>
          <w:lang w:val="en-US" w:eastAsia="zh-Hans" w:bidi="ar-SA"/>
        </w:rPr>
        <w:t>决算报表显示专项资金</w:t>
      </w:r>
      <w:r>
        <w:rPr>
          <w:rFonts w:hint="eastAsia" w:ascii="仿宋_GB2312" w:hAnsi="仿宋_GB2312" w:cs="仿宋_GB2312"/>
          <w:bCs w:val="0"/>
          <w:kern w:val="2"/>
          <w:sz w:val="32"/>
          <w:szCs w:val="32"/>
          <w:highlight w:val="none"/>
          <w:lang w:val="en-US" w:eastAsia="zh-CN" w:bidi="ar-SA"/>
        </w:rPr>
        <w:t>7</w:t>
      </w:r>
      <w:r>
        <w:rPr>
          <w:rFonts w:hint="eastAsia" w:ascii="仿宋_GB2312" w:hAnsi="仿宋_GB2312" w:eastAsia="仿宋_GB2312" w:cs="仿宋_GB2312"/>
          <w:bCs w:val="0"/>
          <w:kern w:val="2"/>
          <w:sz w:val="32"/>
          <w:szCs w:val="32"/>
          <w:highlight w:val="none"/>
          <w:lang w:val="en-US" w:eastAsia="zh-Hans" w:bidi="ar-SA"/>
        </w:rPr>
        <w:t>项，收入合计390.1万元，支出350.8万元，结余资金39.3万元，结余资金占收入的10%。其中，《北京调研</w:t>
      </w:r>
      <w:r>
        <w:rPr>
          <w:rFonts w:hint="eastAsia" w:ascii="仿宋_GB2312" w:hAnsi="仿宋_GB2312" w:eastAsia="仿宋_GB2312" w:cs="仿宋_GB2312"/>
          <w:bCs w:val="0"/>
          <w:kern w:val="2"/>
          <w:sz w:val="32"/>
          <w:szCs w:val="32"/>
          <w:highlight w:val="none"/>
          <w:lang w:val="en-US" w:eastAsia="zh-CN" w:bidi="ar-SA"/>
        </w:rPr>
        <w:t>》</w:t>
      </w:r>
      <w:r>
        <w:rPr>
          <w:rFonts w:hint="eastAsia" w:cs="仿宋_GB2312"/>
          <w:bCs w:val="0"/>
          <w:kern w:val="2"/>
          <w:sz w:val="32"/>
          <w:szCs w:val="32"/>
          <w:highlight w:val="none"/>
          <w:lang w:val="en-US" w:eastAsia="zh-CN" w:bidi="ar-SA"/>
        </w:rPr>
        <w:t>《</w:t>
      </w:r>
      <w:r>
        <w:rPr>
          <w:rFonts w:hint="eastAsia" w:ascii="仿宋_GB2312" w:hAnsi="仿宋_GB2312" w:eastAsia="仿宋_GB2312" w:cs="仿宋_GB2312"/>
          <w:bCs w:val="0"/>
          <w:kern w:val="2"/>
          <w:sz w:val="32"/>
          <w:szCs w:val="32"/>
          <w:highlight w:val="none"/>
          <w:lang w:val="en-US" w:eastAsia="zh-Hans" w:bidi="ar-SA"/>
        </w:rPr>
        <w:t>决策参考</w:t>
      </w:r>
      <w:r>
        <w:rPr>
          <w:rFonts w:hint="eastAsia" w:ascii="仿宋_GB2312" w:hAnsi="仿宋_GB2312" w:eastAsia="仿宋_GB2312" w:cs="仿宋_GB2312"/>
          <w:bCs w:val="0"/>
          <w:kern w:val="2"/>
          <w:sz w:val="32"/>
          <w:szCs w:val="32"/>
          <w:highlight w:val="none"/>
          <w:lang w:val="en-US" w:eastAsia="zh-CN" w:bidi="ar-SA"/>
        </w:rPr>
        <w:t>》</w:t>
      </w:r>
      <w:r>
        <w:rPr>
          <w:rFonts w:hint="eastAsia" w:ascii="仿宋_GB2312" w:hAnsi="仿宋_GB2312" w:eastAsia="仿宋_GB2312" w:cs="仿宋_GB2312"/>
          <w:bCs w:val="0"/>
          <w:kern w:val="2"/>
          <w:sz w:val="32"/>
          <w:szCs w:val="32"/>
          <w:highlight w:val="none"/>
          <w:lang w:val="en-US" w:eastAsia="zh-Hans" w:bidi="ar-SA"/>
        </w:rPr>
        <w:t>发行项目结余资金</w:t>
      </w:r>
      <w:r>
        <w:rPr>
          <w:rFonts w:hint="eastAsia" w:ascii="仿宋_GB2312" w:hAnsi="仿宋_GB2312" w:eastAsia="仿宋_GB2312" w:cs="仿宋_GB2312"/>
          <w:bCs w:val="0"/>
          <w:kern w:val="2"/>
          <w:sz w:val="32"/>
          <w:szCs w:val="32"/>
          <w:highlight w:val="none"/>
          <w:lang w:val="en-US" w:eastAsia="zh-CN" w:bidi="ar-SA"/>
        </w:rPr>
        <w:t>12.95</w:t>
      </w:r>
      <w:r>
        <w:rPr>
          <w:rFonts w:hint="eastAsia" w:ascii="仿宋_GB2312" w:hAnsi="仿宋_GB2312" w:eastAsia="仿宋_GB2312" w:cs="仿宋_GB2312"/>
          <w:bCs w:val="0"/>
          <w:kern w:val="2"/>
          <w:sz w:val="32"/>
          <w:szCs w:val="32"/>
          <w:highlight w:val="none"/>
          <w:lang w:val="en-US" w:eastAsia="zh-Hans" w:bidi="ar-SA"/>
        </w:rPr>
        <w:t>万元，占项目收入</w:t>
      </w:r>
      <w:r>
        <w:rPr>
          <w:rFonts w:hint="eastAsia" w:ascii="仿宋_GB2312" w:hAnsi="仿宋_GB2312" w:eastAsia="仿宋_GB2312" w:cs="仿宋_GB2312"/>
          <w:bCs w:val="0"/>
          <w:kern w:val="2"/>
          <w:sz w:val="32"/>
          <w:szCs w:val="32"/>
          <w:highlight w:val="none"/>
          <w:lang w:val="en-US" w:eastAsia="zh-CN" w:bidi="ar-SA"/>
        </w:rPr>
        <w:t>4</w:t>
      </w:r>
      <w:r>
        <w:rPr>
          <w:rFonts w:hint="eastAsia" w:ascii="仿宋_GB2312" w:hAnsi="仿宋_GB2312" w:eastAsia="仿宋_GB2312" w:cs="仿宋_GB2312"/>
          <w:bCs w:val="0"/>
          <w:kern w:val="2"/>
          <w:sz w:val="32"/>
          <w:szCs w:val="32"/>
          <w:highlight w:val="none"/>
          <w:lang w:val="en-US" w:eastAsia="zh-Hans" w:bidi="ar-SA"/>
        </w:rPr>
        <w:t>0万元的</w:t>
      </w:r>
      <w:r>
        <w:rPr>
          <w:rFonts w:hint="eastAsia" w:ascii="仿宋_GB2312" w:hAnsi="仿宋_GB2312" w:eastAsia="仿宋_GB2312" w:cs="仿宋_GB2312"/>
          <w:bCs w:val="0"/>
          <w:kern w:val="2"/>
          <w:sz w:val="32"/>
          <w:szCs w:val="32"/>
          <w:highlight w:val="none"/>
          <w:lang w:val="en-US" w:eastAsia="zh-CN" w:bidi="ar-SA"/>
        </w:rPr>
        <w:t>32.38</w:t>
      </w:r>
      <w:r>
        <w:rPr>
          <w:rFonts w:hint="eastAsia" w:ascii="仿宋_GB2312" w:hAnsi="仿宋_GB2312" w:eastAsia="仿宋_GB2312" w:cs="仿宋_GB2312"/>
          <w:bCs w:val="0"/>
          <w:kern w:val="2"/>
          <w:sz w:val="32"/>
          <w:szCs w:val="32"/>
          <w:highlight w:val="none"/>
          <w:lang w:val="en-US" w:eastAsia="zh-Hans" w:bidi="ar-SA"/>
        </w:rPr>
        <w:t>%，改革督察第三方评估项目结余资金21万元，占项目收入82.5万元的25</w:t>
      </w:r>
      <w:r>
        <w:rPr>
          <w:rFonts w:hint="eastAsia" w:ascii="仿宋_GB2312" w:hAnsi="仿宋_GB2312" w:eastAsia="仿宋_GB2312" w:cs="仿宋_GB2312"/>
          <w:bCs w:val="0"/>
          <w:kern w:val="2"/>
          <w:sz w:val="32"/>
          <w:szCs w:val="32"/>
          <w:highlight w:val="none"/>
          <w:lang w:val="en-US" w:eastAsia="zh-CN" w:bidi="ar-SA"/>
        </w:rPr>
        <w:t>.45</w:t>
      </w:r>
      <w:r>
        <w:rPr>
          <w:rFonts w:hint="eastAsia" w:ascii="仿宋_GB2312" w:hAnsi="仿宋_GB2312" w:eastAsia="仿宋_GB2312" w:cs="仿宋_GB2312"/>
          <w:bCs w:val="0"/>
          <w:kern w:val="2"/>
          <w:sz w:val="32"/>
          <w:szCs w:val="32"/>
          <w:highlight w:val="none"/>
          <w:lang w:val="en-US" w:eastAsia="zh-Hans" w:bidi="ar-SA"/>
        </w:rPr>
        <w:t>%，项目资金结余比例较大。</w:t>
      </w:r>
      <w:r>
        <w:rPr>
          <w:rFonts w:hint="eastAsia" w:ascii="仿宋_GB2312" w:hAnsi="仿宋_GB2312" w:cs="仿宋_GB2312"/>
          <w:lang w:val="en-US" w:eastAsia="zh-CN"/>
        </w:rPr>
        <w:t>主要原因为，改革督察第三方评估项目因疫情影响项目进度；《北京调研》《决策参考》发行项目因疫情原因导致付款进度延后</w:t>
      </w:r>
      <w:r>
        <w:rPr>
          <w:rFonts w:hint="eastAsia" w:ascii="仿宋_GB2312" w:hAnsi="仿宋_GB2312" w:eastAsia="仿宋_GB2312" w:cs="仿宋_GB2312"/>
        </w:rPr>
        <w:t>。</w:t>
      </w:r>
    </w:p>
    <w:p>
      <w:pPr>
        <w:pStyle w:val="3"/>
        <w:bidi w:val="0"/>
        <w:rPr>
          <w:rFonts w:hint="eastAsia"/>
        </w:rPr>
      </w:pPr>
      <w:bookmarkStart w:id="21" w:name="_Toc7961"/>
      <w:r>
        <w:rPr>
          <w:rFonts w:hint="eastAsia"/>
        </w:rPr>
        <w:t>六、措施建议</w:t>
      </w:r>
      <w:bookmarkEnd w:id="21"/>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1.加强单位整体绩效材料的总结和整理，对照设定绩效目标整理绩效完成情况，总结经验发现不足，促进今后绩效管理工作的改进。</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宋体" w:eastAsia="仿宋_GB2312" w:cs="宋体"/>
          <w:bCs w:val="0"/>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rPr>
        <w:t>2.合理编制预算，尤其是针对项目预算，尽量细化并合理预估项目支出，降低预算的调整率。</w:t>
      </w: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78603A9-A5C8-4B50-83E0-F7C3A3FF5BCC}"/>
  </w:font>
  <w:font w:name="黑体">
    <w:panose1 w:val="02010609060101010101"/>
    <w:charset w:val="86"/>
    <w:family w:val="auto"/>
    <w:pitch w:val="default"/>
    <w:sig w:usb0="800002BF" w:usb1="38CF7CFA" w:usb2="00000016" w:usb3="00000000" w:csb0="00040001" w:csb1="00000000"/>
    <w:embedRegular r:id="rId2" w:fontKey="{86305DC5-84FA-4751-BC5E-618B08C0039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A670D02B-418E-4FD8-81C1-ECE0B000A647}"/>
  </w:font>
  <w:font w:name="仿宋_GB2312">
    <w:panose1 w:val="02010609030101010101"/>
    <w:charset w:val="86"/>
    <w:family w:val="modern"/>
    <w:pitch w:val="default"/>
    <w:sig w:usb0="00000001" w:usb1="080E0000" w:usb2="00000000" w:usb3="00000000" w:csb0="00040000" w:csb1="00000000"/>
    <w:embedRegular r:id="rId4" w:fontKey="{C82944E6-B016-41BD-A69D-991FF0C5FE4E}"/>
  </w:font>
  <w:font w:name="楷体_GB2312">
    <w:panose1 w:val="02010609030101010101"/>
    <w:charset w:val="86"/>
    <w:family w:val="modern"/>
    <w:pitch w:val="default"/>
    <w:sig w:usb0="00000001" w:usb1="080E0000" w:usb2="00000000" w:usb3="00000000" w:csb0="00040000" w:csb1="00000000"/>
    <w:embedRegular r:id="rId5" w:fontKey="{5ED3BECF-11BB-4A96-8A2A-DFC21F30781B}"/>
  </w:font>
  <w:font w:name="华文中宋">
    <w:panose1 w:val="02010600040101010101"/>
    <w:charset w:val="86"/>
    <w:family w:val="auto"/>
    <w:pitch w:val="default"/>
    <w:sig w:usb0="00000287" w:usb1="080F0000" w:usb2="00000000" w:usb3="00000000" w:csb0="0004009F" w:csb1="DFD70000"/>
    <w:embedRegular r:id="rId6" w:fontKey="{A16430D3-CB81-47DF-AD65-F5BE838F7C6F}"/>
  </w:font>
  <w:font w:name="方正小标宋简体">
    <w:panose1 w:val="03000509000000000000"/>
    <w:charset w:val="86"/>
    <w:family w:val="auto"/>
    <w:pitch w:val="default"/>
    <w:sig w:usb0="00000001" w:usb1="080E0000" w:usb2="00000000" w:usb3="00000000" w:csb0="00040000" w:csb1="00000000"/>
    <w:embedRegular r:id="rId7" w:fontKey="{3966F4A6-2BA6-41D2-B422-5B174A556D3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ascii="宋体" w:hAnsi="宋体"/>
        <w:sz w:val="28"/>
        <w:szCs w:val="28"/>
      </w:rP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ascii="宋体" w:hAnsi="宋体"/>
        <w:sz w:val="28"/>
        <w:szCs w:val="28"/>
      </w:rPr>
    </w:pP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- 3 -</w:t>
                    </w:r>
                    <w:r>
                      <w:fldChar w:fldCharType="end"/>
                    </w:r>
                  </w:p>
                </w:txbxContent>
              </v:textbox>
            </v:shape>
          </w:pict>
        </mc:Fallback>
      </mc:AlternateContent>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7319AB"/>
    <w:multiLevelType w:val="singleLevel"/>
    <w:tmpl w:val="B97319AB"/>
    <w:lvl w:ilvl="0" w:tentative="0">
      <w:start w:val="5"/>
      <w:numFmt w:val="chineseCounting"/>
      <w:suff w:val="nothing"/>
      <w:lvlText w:val="（%1）"/>
      <w:lvlJc w:val="left"/>
      <w:rPr>
        <w:rFonts w:hint="eastAsia"/>
      </w:rPr>
    </w:lvl>
  </w:abstractNum>
  <w:abstractNum w:abstractNumId="1">
    <w:nsid w:val="3D467084"/>
    <w:multiLevelType w:val="singleLevel"/>
    <w:tmpl w:val="3D46708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NTkxZmEyMzdjNTgwNjAxMGY2OTQ3NTc5OThjNmMifQ=="/>
  </w:docVars>
  <w:rsids>
    <w:rsidRoot w:val="00000000"/>
    <w:rsid w:val="0256755B"/>
    <w:rsid w:val="03A35DFB"/>
    <w:rsid w:val="080261BB"/>
    <w:rsid w:val="0B8B471A"/>
    <w:rsid w:val="0DF60DD1"/>
    <w:rsid w:val="0FDC5544"/>
    <w:rsid w:val="143C0CA7"/>
    <w:rsid w:val="18E77D2C"/>
    <w:rsid w:val="19DB00FF"/>
    <w:rsid w:val="1D0D1432"/>
    <w:rsid w:val="20EF0904"/>
    <w:rsid w:val="23DD206F"/>
    <w:rsid w:val="24EA01FB"/>
    <w:rsid w:val="2D1F13F4"/>
    <w:rsid w:val="32176F40"/>
    <w:rsid w:val="34175BA8"/>
    <w:rsid w:val="39342449"/>
    <w:rsid w:val="3A3926B3"/>
    <w:rsid w:val="417C7511"/>
    <w:rsid w:val="462A6302"/>
    <w:rsid w:val="469814BD"/>
    <w:rsid w:val="47A65E5C"/>
    <w:rsid w:val="4A9D1E95"/>
    <w:rsid w:val="501E6ED7"/>
    <w:rsid w:val="50962F12"/>
    <w:rsid w:val="57CA5F5C"/>
    <w:rsid w:val="58E76246"/>
    <w:rsid w:val="5A362797"/>
    <w:rsid w:val="64903D54"/>
    <w:rsid w:val="64C8430A"/>
    <w:rsid w:val="64D93166"/>
    <w:rsid w:val="6DDD5884"/>
    <w:rsid w:val="6DE54739"/>
    <w:rsid w:val="6EAF3BF9"/>
    <w:rsid w:val="6F7159FA"/>
    <w:rsid w:val="793D7B1F"/>
    <w:rsid w:val="7C266648"/>
    <w:rsid w:val="7D4C3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1044"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99"/>
    <w:pPr>
      <w:keepNext/>
      <w:keepLines/>
      <w:spacing w:line="600" w:lineRule="exact"/>
      <w:ind w:firstLine="1044" w:firstLineChars="200"/>
      <w:outlineLvl w:val="0"/>
    </w:pPr>
    <w:rPr>
      <w:rFonts w:ascii="Times New Roman" w:hAnsi="Times New Roman" w:eastAsia="黑体"/>
      <w:bCs/>
      <w:kern w:val="44"/>
      <w:szCs w:val="44"/>
    </w:rPr>
  </w:style>
  <w:style w:type="paragraph" w:styleId="4">
    <w:name w:val="heading 2"/>
    <w:basedOn w:val="1"/>
    <w:next w:val="1"/>
    <w:unhideWhenUsed/>
    <w:qFormat/>
    <w:uiPriority w:val="0"/>
    <w:pPr>
      <w:keepNext/>
      <w:keepLines/>
      <w:spacing w:beforeLines="0" w:beforeAutospacing="0" w:afterLines="0" w:afterAutospacing="0" w:line="600" w:lineRule="exact"/>
      <w:ind w:firstLine="1044" w:firstLineChars="200"/>
      <w:outlineLvl w:val="1"/>
    </w:pPr>
    <w:rPr>
      <w:rFonts w:ascii="Arial" w:hAnsi="Arial" w:eastAsia="楷体_GB231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table" w:styleId="10">
    <w:name w:val="Table Grid"/>
    <w:basedOn w:val="9"/>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font11"/>
    <w:basedOn w:val="11"/>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6569</Words>
  <Characters>7688</Characters>
  <Lines>0</Lines>
  <Paragraphs>0</Paragraphs>
  <TotalTime>14</TotalTime>
  <ScaleCrop>false</ScaleCrop>
  <LinksUpToDate>false</LinksUpToDate>
  <CharactersWithSpaces>7951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2023-06-09T07:10:00Z</dcterms:created>
  <dc:creator>zhang</dc:creator>
  <cp:lastModifiedBy>jdx</cp:lastModifiedBy>
  <dcterms:modified xsi:type="dcterms:W3CDTF">2023-08-24T07:54:08Z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390653E250164A92806684F4FE26E8CF_12</vt:lpwstr>
  </property>
</Properties>
</file>