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80" w:lineRule="exact"/>
        <w:ind w:right="0" w:rightChars="0" w:firstLine="570" w:firstLineChars="0"/>
        <w:jc w:val="center"/>
        <w:textAlignment w:val="auto"/>
        <w:rPr>
          <w:rFonts w:hint="eastAsia" w:ascii="方正小标宋简体" w:eastAsia="方正小标宋简体"/>
          <w:sz w:val="36"/>
          <w:szCs w:val="36"/>
        </w:rPr>
      </w:pPr>
      <w:r>
        <w:rPr>
          <w:rFonts w:hint="eastAsia" w:ascii="方正小标宋简体" w:eastAsia="方正小标宋简体"/>
          <w:sz w:val="36"/>
          <w:szCs w:val="36"/>
        </w:rPr>
        <w:t>部门整体绩效评价报告</w:t>
      </w: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570" w:firstLineChars="0"/>
        <w:textAlignment w:val="auto"/>
        <w:rPr>
          <w:rFonts w:hint="eastAsia" w:ascii="黑体" w:hAnsi="黑体" w:eastAsia="黑体" w:cs="宋体"/>
          <w:color w:val="000000"/>
          <w:kern w:val="0"/>
          <w:sz w:val="32"/>
          <w:szCs w:val="32"/>
        </w:rPr>
      </w:pP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570" w:firstLineChars="0"/>
        <w:textAlignment w:val="auto"/>
        <w:rPr>
          <w:rFonts w:hint="eastAsia" w:ascii="黑体" w:hAnsi="黑体" w:eastAsia="黑体" w:cs="宋体"/>
          <w:color w:val="000000"/>
          <w:kern w:val="0"/>
          <w:sz w:val="28"/>
          <w:szCs w:val="28"/>
        </w:rPr>
      </w:pPr>
      <w:r>
        <w:rPr>
          <w:rFonts w:hint="eastAsia" w:ascii="黑体" w:hAnsi="黑体" w:eastAsia="黑体" w:cs="宋体"/>
          <w:color w:val="000000"/>
          <w:kern w:val="0"/>
          <w:sz w:val="28"/>
          <w:szCs w:val="28"/>
        </w:rPr>
        <w:t>一、部门概况</w:t>
      </w: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570" w:firstLineChars="0"/>
        <w:textAlignment w:val="auto"/>
        <w:rPr>
          <w:rFonts w:ascii="楷体_GB2312" w:eastAsia="楷体_GB2312"/>
          <w:sz w:val="28"/>
          <w:szCs w:val="28"/>
        </w:rPr>
      </w:pPr>
      <w:r>
        <w:rPr>
          <w:rFonts w:hint="eastAsia" w:ascii="楷体_GB2312" w:eastAsia="楷体_GB2312"/>
          <w:sz w:val="28"/>
          <w:szCs w:val="28"/>
        </w:rPr>
        <w:t>（一）机构设置及职责工作任务情况</w:t>
      </w:r>
    </w:p>
    <w:p>
      <w:pPr>
        <w:keepNext w:val="0"/>
        <w:keepLines w:val="0"/>
        <w:pageBreakBefore w:val="0"/>
        <w:widowControl w:val="0"/>
        <w:kinsoku/>
        <w:wordWrap/>
        <w:overflowPunct/>
        <w:topLinePunct w:val="0"/>
        <w:autoSpaceDE/>
        <w:autoSpaceDN/>
        <w:bidi w:val="0"/>
        <w:spacing w:line="240" w:lineRule="auto"/>
        <w:ind w:right="0" w:rightChars="0" w:firstLine="570" w:firstLineChars="0"/>
        <w:textAlignment w:val="auto"/>
        <w:rPr>
          <w:rFonts w:hint="eastAsia" w:ascii="仿宋_GB2312" w:eastAsia="仿宋_GB2312"/>
          <w:sz w:val="28"/>
          <w:szCs w:val="28"/>
        </w:rPr>
      </w:pPr>
      <w:r>
        <w:rPr>
          <w:rFonts w:hint="eastAsia" w:ascii="仿宋_GB2312" w:eastAsia="仿宋_GB2312"/>
          <w:sz w:val="28"/>
          <w:szCs w:val="28"/>
        </w:rPr>
        <w:t>市政府研究室是承担综合性政策研究和咨询任务的市政府直属机构。主要职责：负责起草《政府工作报告》，牵头组织市政府重要会议的文件起草，参与市委重要会议的文件起草工作；根据市政府领导同志指示，单独或组织、协助有关方面起草、修改市政府有关重要文件和报告，起草市政府领导同志重要讲话等文稿；对首都经济社会发展重大问题进行调查研究，提出政策性建议和咨询意见；收集、分析、整理经济社会发展的重要信息，为市政府领导同志提供参考建议；承办市政府交办的其他事项。</w:t>
      </w:r>
    </w:p>
    <w:p>
      <w:pPr>
        <w:keepNext w:val="0"/>
        <w:keepLines w:val="0"/>
        <w:pageBreakBefore w:val="0"/>
        <w:widowControl w:val="0"/>
        <w:kinsoku/>
        <w:wordWrap/>
        <w:overflowPunct/>
        <w:topLinePunct w:val="0"/>
        <w:autoSpaceDE/>
        <w:autoSpaceDN/>
        <w:bidi w:val="0"/>
        <w:spacing w:line="240" w:lineRule="auto"/>
        <w:ind w:right="0" w:rightChars="0" w:firstLine="570" w:firstLineChars="0"/>
        <w:textAlignment w:val="auto"/>
        <w:rPr>
          <w:rFonts w:hint="eastAsia" w:ascii="仿宋_GB2312" w:eastAsia="仿宋_GB2312"/>
          <w:sz w:val="28"/>
          <w:szCs w:val="28"/>
        </w:rPr>
      </w:pPr>
      <w:r>
        <w:rPr>
          <w:rFonts w:hint="eastAsia" w:ascii="仿宋_GB2312" w:eastAsia="仿宋_GB2312"/>
          <w:sz w:val="28"/>
          <w:szCs w:val="28"/>
        </w:rPr>
        <w:t>市政府研究室设11个内设机构和机关党委（工会），工作任务主要为起草《政府工作报告》及领导重要讲话、调查研究、重大经济专题分析等。</w:t>
      </w:r>
    </w:p>
    <w:p>
      <w:pPr>
        <w:keepNext w:val="0"/>
        <w:keepLines w:val="0"/>
        <w:pageBreakBefore w:val="0"/>
        <w:widowControl w:val="0"/>
        <w:numPr>
          <w:ilvl w:val="0"/>
          <w:numId w:val="1"/>
        </w:numPr>
        <w:kinsoku/>
        <w:wordWrap/>
        <w:overflowPunct/>
        <w:topLinePunct w:val="0"/>
        <w:autoSpaceDE/>
        <w:autoSpaceDN/>
        <w:bidi w:val="0"/>
        <w:spacing w:line="240" w:lineRule="auto"/>
        <w:ind w:right="0" w:rightChars="0" w:firstLine="570" w:firstLineChars="0"/>
        <w:textAlignment w:val="auto"/>
        <w:rPr>
          <w:rFonts w:hint="eastAsia" w:ascii="楷体_GB2312" w:eastAsia="楷体_GB2312"/>
          <w:sz w:val="28"/>
          <w:szCs w:val="28"/>
        </w:rPr>
      </w:pPr>
      <w:r>
        <w:rPr>
          <w:rFonts w:hint="eastAsia" w:ascii="楷体_GB2312" w:eastAsia="楷体_GB2312"/>
          <w:sz w:val="28"/>
          <w:szCs w:val="28"/>
        </w:rPr>
        <w:t>部门整体绩效目标设立情况</w:t>
      </w:r>
    </w:p>
    <w:p>
      <w:pPr>
        <w:keepNext w:val="0"/>
        <w:keepLines w:val="0"/>
        <w:pageBreakBefore w:val="0"/>
        <w:widowControl w:val="0"/>
        <w:numPr>
          <w:ilvl w:val="0"/>
          <w:numId w:val="0"/>
        </w:numPr>
        <w:kinsoku/>
        <w:wordWrap/>
        <w:overflowPunct/>
        <w:topLinePunct w:val="0"/>
        <w:autoSpaceDE/>
        <w:autoSpaceDN/>
        <w:bidi w:val="0"/>
        <w:spacing w:line="240" w:lineRule="auto"/>
        <w:ind w:right="0" w:rightChars="0"/>
        <w:textAlignment w:val="auto"/>
        <w:rPr>
          <w:rFonts w:hint="eastAsia" w:ascii="仿宋_GB2312" w:eastAsia="仿宋_GB2312"/>
          <w:sz w:val="28"/>
          <w:szCs w:val="28"/>
        </w:rPr>
      </w:pPr>
      <w:r>
        <w:rPr>
          <w:rFonts w:hint="eastAsia" w:ascii="仿宋_GB2312" w:eastAsia="仿宋_GB2312"/>
          <w:sz w:val="28"/>
          <w:szCs w:val="28"/>
          <w:lang w:val="en-US" w:eastAsia="zh-CN"/>
        </w:rPr>
        <w:t xml:space="preserve">    </w:t>
      </w:r>
      <w:r>
        <w:rPr>
          <w:rFonts w:hint="eastAsia" w:ascii="仿宋_GB2312" w:eastAsia="仿宋_GB2312"/>
          <w:sz w:val="28"/>
          <w:szCs w:val="28"/>
        </w:rPr>
        <w:t>2022年度部门整体绩效目标的设立依据主要包括部门职能职责以及2022年度主要工作任务。部门整体绩效目标设置与部门职能定位相符，部门整体绩效目标对2022年度计划重点工作内容体现较为全面。设立的部门整体绩效目标如下：</w:t>
      </w:r>
    </w:p>
    <w:p>
      <w:pPr>
        <w:keepNext w:val="0"/>
        <w:keepLines w:val="0"/>
        <w:pageBreakBefore w:val="0"/>
        <w:widowControl w:val="0"/>
        <w:kinsoku/>
        <w:wordWrap/>
        <w:overflowPunct/>
        <w:topLinePunct w:val="0"/>
        <w:autoSpaceDE/>
        <w:autoSpaceDN/>
        <w:bidi w:val="0"/>
        <w:spacing w:line="240" w:lineRule="auto"/>
        <w:ind w:right="0" w:rightChars="0" w:firstLine="570" w:firstLineChars="0"/>
        <w:textAlignment w:val="auto"/>
        <w:rPr>
          <w:rFonts w:hint="eastAsia" w:ascii="仿宋_GB2312" w:eastAsia="仿宋_GB2312"/>
          <w:sz w:val="28"/>
          <w:szCs w:val="28"/>
        </w:rPr>
      </w:pPr>
      <w:r>
        <w:rPr>
          <w:rFonts w:hint="eastAsia" w:ascii="仿宋_GB2312" w:eastAsia="仿宋_GB2312"/>
          <w:sz w:val="28"/>
          <w:szCs w:val="28"/>
        </w:rPr>
        <w:t>完成市政府综合性政策研究和咨询任务，高质量起草《政府工作报告》、市委市政府重要会议文件和市政府领导同志重要讲话稿；对首都经济社会发展重大问题进行调查研究，提出政策性建议和咨询意见；收集、分析、整理经济社会发展的重要信息，为市政府领导同志提供参考建议。</w:t>
      </w:r>
    </w:p>
    <w:p>
      <w:pPr>
        <w:keepNext w:val="0"/>
        <w:keepLines w:val="0"/>
        <w:pageBreakBefore w:val="0"/>
        <w:widowControl w:val="0"/>
        <w:kinsoku/>
        <w:wordWrap/>
        <w:overflowPunct/>
        <w:topLinePunct w:val="0"/>
        <w:autoSpaceDE/>
        <w:autoSpaceDN/>
        <w:bidi w:val="0"/>
        <w:spacing w:line="240" w:lineRule="auto"/>
        <w:ind w:right="0" w:rightChars="0" w:firstLine="570" w:firstLineChars="0"/>
        <w:textAlignment w:val="auto"/>
        <w:rPr>
          <w:rFonts w:hint="eastAsia" w:ascii="仿宋_GB2312" w:eastAsia="仿宋_GB2312"/>
          <w:sz w:val="28"/>
          <w:szCs w:val="28"/>
        </w:rPr>
      </w:pPr>
      <w:r>
        <w:rPr>
          <w:rFonts w:hint="eastAsia" w:ascii="仿宋_GB2312" w:eastAsia="仿宋_GB2312"/>
          <w:sz w:val="28"/>
          <w:szCs w:val="28"/>
        </w:rPr>
        <w:t>部门整体绩效目标设置紧密围绕市政府研究室主责主业，指标设定与部门职能任务匹配，符合相关法律法规的要求及部门整体支出的客观实际，目标依据充分，具有一定的可操作性和可实现性。</w:t>
      </w: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570" w:firstLineChars="0"/>
        <w:textAlignment w:val="auto"/>
        <w:rPr>
          <w:rFonts w:ascii="黑体" w:hAnsi="黑体" w:eastAsia="黑体" w:cs="宋体"/>
          <w:color w:val="000000"/>
          <w:kern w:val="0"/>
          <w:sz w:val="28"/>
          <w:szCs w:val="28"/>
        </w:rPr>
      </w:pPr>
      <w:r>
        <w:rPr>
          <w:rFonts w:hint="eastAsia" w:ascii="黑体" w:hAnsi="黑体" w:eastAsia="黑体" w:cs="宋体"/>
          <w:color w:val="000000"/>
          <w:kern w:val="0"/>
          <w:sz w:val="28"/>
          <w:szCs w:val="28"/>
        </w:rPr>
        <w:t>二</w:t>
      </w:r>
      <w:r>
        <w:rPr>
          <w:rFonts w:ascii="黑体" w:hAnsi="黑体" w:eastAsia="黑体" w:cs="宋体"/>
          <w:color w:val="000000"/>
          <w:kern w:val="0"/>
          <w:sz w:val="28"/>
          <w:szCs w:val="28"/>
        </w:rPr>
        <w:t>、</w:t>
      </w:r>
      <w:r>
        <w:rPr>
          <w:rFonts w:hint="eastAsia" w:ascii="黑体" w:hAnsi="黑体" w:eastAsia="黑体" w:cs="宋体"/>
          <w:color w:val="000000"/>
          <w:kern w:val="0"/>
          <w:sz w:val="28"/>
          <w:szCs w:val="28"/>
        </w:rPr>
        <w:t>当年</w:t>
      </w:r>
      <w:r>
        <w:rPr>
          <w:rFonts w:ascii="黑体" w:hAnsi="黑体" w:eastAsia="黑体" w:cs="宋体"/>
          <w:color w:val="000000"/>
          <w:kern w:val="0"/>
          <w:sz w:val="28"/>
          <w:szCs w:val="28"/>
        </w:rPr>
        <w:t>预算执行情况</w:t>
      </w:r>
    </w:p>
    <w:p>
      <w:pPr>
        <w:keepNext w:val="0"/>
        <w:keepLines w:val="0"/>
        <w:pageBreakBefore w:val="0"/>
        <w:widowControl w:val="0"/>
        <w:kinsoku/>
        <w:wordWrap/>
        <w:overflowPunct/>
        <w:topLinePunct w:val="0"/>
        <w:autoSpaceDE/>
        <w:autoSpaceDN/>
        <w:bidi w:val="0"/>
        <w:spacing w:line="240" w:lineRule="auto"/>
        <w:ind w:right="0" w:rightChars="0" w:firstLine="570" w:firstLineChars="0"/>
        <w:textAlignment w:val="auto"/>
        <w:rPr>
          <w:rFonts w:hint="eastAsia" w:ascii="仿宋_GB2312" w:eastAsia="仿宋_GB2312"/>
          <w:sz w:val="28"/>
          <w:szCs w:val="28"/>
        </w:rPr>
      </w:pPr>
      <w:r>
        <w:rPr>
          <w:rFonts w:hint="eastAsia" w:ascii="仿宋_GB2312" w:eastAsia="仿宋_GB2312"/>
          <w:sz w:val="28"/>
          <w:szCs w:val="28"/>
        </w:rPr>
        <w:t>2022年全年预算数3336.50万元，其中：基本支出预算数3015.57万元、项目支出预算数320.93万元。资金总体支出2908.87万元，其中：基本支出2678.62万元、项目支出230.25万元。预算执行率为87.18%。</w:t>
      </w:r>
    </w:p>
    <w:p>
      <w:pPr>
        <w:keepNext w:val="0"/>
        <w:keepLines w:val="0"/>
        <w:pageBreakBefore w:val="0"/>
        <w:widowControl w:val="0"/>
        <w:kinsoku/>
        <w:wordWrap/>
        <w:overflowPunct/>
        <w:topLinePunct w:val="0"/>
        <w:autoSpaceDE/>
        <w:autoSpaceDN/>
        <w:bidi w:val="0"/>
        <w:adjustRightInd w:val="0"/>
        <w:snapToGrid w:val="0"/>
        <w:spacing w:line="240" w:lineRule="auto"/>
        <w:ind w:left="105" w:leftChars="50" w:right="0" w:rightChars="0" w:firstLine="570" w:firstLineChars="0"/>
        <w:textAlignment w:val="auto"/>
        <w:rPr>
          <w:rFonts w:ascii="黑体" w:hAnsi="黑体" w:eastAsia="黑体" w:cs="宋体"/>
          <w:color w:val="000000"/>
          <w:kern w:val="0"/>
          <w:sz w:val="28"/>
          <w:szCs w:val="28"/>
        </w:rPr>
      </w:pPr>
      <w:r>
        <w:rPr>
          <w:rFonts w:hint="eastAsia" w:ascii="黑体" w:hAnsi="黑体" w:eastAsia="黑体" w:cs="宋体"/>
          <w:color w:val="000000"/>
          <w:kern w:val="0"/>
          <w:sz w:val="28"/>
          <w:szCs w:val="28"/>
        </w:rPr>
        <w:t>三</w:t>
      </w:r>
      <w:r>
        <w:rPr>
          <w:rFonts w:ascii="黑体" w:hAnsi="黑体" w:eastAsia="黑体" w:cs="宋体"/>
          <w:color w:val="000000"/>
          <w:kern w:val="0"/>
          <w:sz w:val="28"/>
          <w:szCs w:val="28"/>
        </w:rPr>
        <w:t>、整体绩效目标实现情况</w:t>
      </w:r>
    </w:p>
    <w:p>
      <w:pPr>
        <w:keepNext w:val="0"/>
        <w:keepLines w:val="0"/>
        <w:pageBreakBefore w:val="0"/>
        <w:widowControl w:val="0"/>
        <w:kinsoku/>
        <w:wordWrap/>
        <w:overflowPunct/>
        <w:topLinePunct w:val="0"/>
        <w:autoSpaceDE/>
        <w:autoSpaceDN/>
        <w:bidi w:val="0"/>
        <w:spacing w:line="240" w:lineRule="auto"/>
        <w:ind w:right="0" w:rightChars="0" w:firstLine="570" w:firstLineChars="0"/>
        <w:textAlignment w:val="auto"/>
        <w:rPr>
          <w:rFonts w:hint="eastAsia" w:ascii="仿宋_GB2312" w:eastAsia="仿宋_GB2312"/>
          <w:sz w:val="28"/>
          <w:szCs w:val="28"/>
        </w:rPr>
      </w:pPr>
      <w:r>
        <w:rPr>
          <w:rFonts w:hint="eastAsia" w:ascii="仿宋_GB2312" w:eastAsia="仿宋_GB2312"/>
          <w:sz w:val="28"/>
          <w:szCs w:val="28"/>
        </w:rPr>
        <w:t>2022年，市政府研究室</w:t>
      </w:r>
      <w:r>
        <w:rPr>
          <w:rFonts w:hint="eastAsia" w:ascii="仿宋_GB2312" w:eastAsia="仿宋_GB2312"/>
          <w:sz w:val="28"/>
          <w:szCs w:val="28"/>
          <w:lang w:eastAsia="zh-CN"/>
        </w:rPr>
        <w:t>坚持以习近平新时代中国特色社会主义思想为指导，</w:t>
      </w:r>
      <w:r>
        <w:rPr>
          <w:rFonts w:hint="eastAsia" w:ascii="仿宋_GB2312" w:eastAsia="仿宋_GB2312"/>
          <w:sz w:val="28"/>
          <w:szCs w:val="28"/>
        </w:rPr>
        <w:t>认真学习贯彻党的二十大精神，深入贯彻习近平总书记对北京一系列重要讲话</w:t>
      </w:r>
      <w:r>
        <w:rPr>
          <w:rFonts w:hint="eastAsia" w:ascii="仿宋_GB2312" w:eastAsia="仿宋_GB2312"/>
          <w:sz w:val="28"/>
          <w:szCs w:val="28"/>
          <w:lang w:eastAsia="zh-CN"/>
        </w:rPr>
        <w:t>的批示指示</w:t>
      </w:r>
      <w:r>
        <w:rPr>
          <w:rFonts w:hint="eastAsia" w:ascii="仿宋_GB2312" w:eastAsia="仿宋_GB2312"/>
          <w:sz w:val="28"/>
          <w:szCs w:val="28"/>
        </w:rPr>
        <w:t>精神，按照市委市政府统一部署，统筹疫情防控与业务工作，全力以赴高质量完成各项交办任务，扎实推动研究室各项工作取得新的成绩，达到了年初设定的部门整体绩效目标。</w:t>
      </w:r>
    </w:p>
    <w:p>
      <w:pPr>
        <w:keepNext w:val="0"/>
        <w:keepLines w:val="0"/>
        <w:pageBreakBefore w:val="0"/>
        <w:widowControl w:val="0"/>
        <w:kinsoku/>
        <w:wordWrap/>
        <w:overflowPunct/>
        <w:topLinePunct w:val="0"/>
        <w:autoSpaceDE/>
        <w:autoSpaceDN/>
        <w:bidi w:val="0"/>
        <w:adjustRightInd w:val="0"/>
        <w:snapToGrid w:val="0"/>
        <w:spacing w:line="240" w:lineRule="auto"/>
        <w:ind w:left="105" w:leftChars="50" w:right="0" w:rightChars="0" w:firstLine="570" w:firstLineChars="0"/>
        <w:jc w:val="both"/>
        <w:textAlignment w:val="auto"/>
        <w:outlineLvl w:val="9"/>
        <w:rPr>
          <w:rFonts w:ascii="楷体_GB2312" w:eastAsia="楷体_GB2312"/>
          <w:sz w:val="28"/>
          <w:szCs w:val="28"/>
        </w:rPr>
      </w:pPr>
      <w:r>
        <w:rPr>
          <w:rFonts w:hint="eastAsia" w:ascii="楷体_GB2312" w:eastAsia="楷体_GB2312"/>
          <w:sz w:val="28"/>
          <w:szCs w:val="28"/>
        </w:rPr>
        <w:t>（一）产出完成情况分析</w:t>
      </w:r>
    </w:p>
    <w:p>
      <w:pPr>
        <w:keepNext w:val="0"/>
        <w:keepLines w:val="0"/>
        <w:pageBreakBefore w:val="0"/>
        <w:widowControl w:val="0"/>
        <w:kinsoku/>
        <w:wordWrap/>
        <w:overflowPunct/>
        <w:topLinePunct w:val="0"/>
        <w:autoSpaceDE/>
        <w:autoSpaceDN/>
        <w:bidi w:val="0"/>
        <w:adjustRightInd/>
        <w:snapToGrid/>
        <w:spacing w:line="240" w:lineRule="auto"/>
        <w:ind w:left="105" w:leftChars="50" w:right="0" w:rightChars="0" w:firstLine="570" w:firstLineChars="0"/>
        <w:jc w:val="both"/>
        <w:textAlignment w:val="auto"/>
        <w:outlineLvl w:val="9"/>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1.产出数量</w:t>
      </w:r>
    </w:p>
    <w:p>
      <w:pPr>
        <w:keepNext w:val="0"/>
        <w:keepLines w:val="0"/>
        <w:pageBreakBefore w:val="0"/>
        <w:widowControl w:val="0"/>
        <w:kinsoku/>
        <w:wordWrap/>
        <w:overflowPunct/>
        <w:topLinePunct w:val="0"/>
        <w:autoSpaceDE/>
        <w:autoSpaceDN/>
        <w:bidi w:val="0"/>
        <w:adjustRightInd/>
        <w:snapToGrid/>
        <w:spacing w:line="240" w:lineRule="auto"/>
        <w:ind w:left="105" w:leftChars="50" w:right="0" w:rightChars="0" w:firstLine="570" w:firstLineChars="0"/>
        <w:jc w:val="both"/>
        <w:textAlignment w:val="auto"/>
        <w:outlineLvl w:val="9"/>
        <w:rPr>
          <w:rFonts w:hint="eastAsia" w:ascii="仿宋_GB2312" w:eastAsia="仿宋_GB2312"/>
          <w:sz w:val="28"/>
          <w:szCs w:val="28"/>
        </w:rPr>
      </w:pPr>
      <w:r>
        <w:rPr>
          <w:rFonts w:hint="eastAsia" w:ascii="仿宋_GB2312" w:eastAsia="仿宋_GB2312"/>
          <w:sz w:val="28"/>
          <w:szCs w:val="28"/>
        </w:rPr>
        <w:t>2023年《政府工作报告》、2022年《上半年经济社会发展情况和下半年工作安排的报告》、2022年《关于全市经济社会发展工作的报告》以及刊发市长参阅、专题报告等各项产出数量指标均已完成。</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105" w:leftChars="50" w:right="0" w:rightChars="0" w:firstLine="570" w:firstLineChars="0"/>
        <w:jc w:val="both"/>
        <w:textAlignment w:val="auto"/>
        <w:outlineLvl w:val="9"/>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产出</w:t>
      </w:r>
      <w:r>
        <w:rPr>
          <w:rFonts w:ascii="仿宋_GB2312" w:hAnsi="宋体" w:eastAsia="仿宋_GB2312" w:cs="宋体"/>
          <w:color w:val="000000"/>
          <w:kern w:val="0"/>
          <w:sz w:val="28"/>
          <w:szCs w:val="28"/>
        </w:rPr>
        <w:t>质量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70" w:firstLineChars="0"/>
        <w:jc w:val="both"/>
        <w:textAlignment w:val="auto"/>
        <w:outlineLvl w:val="9"/>
        <w:rPr>
          <w:rFonts w:hint="eastAsia"/>
          <w:sz w:val="28"/>
          <w:szCs w:val="28"/>
        </w:rPr>
      </w:pPr>
      <w:r>
        <w:rPr>
          <w:rFonts w:hint="eastAsia" w:ascii="仿宋_GB2312" w:eastAsia="仿宋_GB2312"/>
          <w:kern w:val="2"/>
          <w:sz w:val="28"/>
          <w:szCs w:val="28"/>
          <w:lang w:val="en-US" w:eastAsia="zh-CN" w:bidi="ar-SA"/>
        </w:rPr>
        <w:t xml:space="preserve"> 重点工作项目质量达标率100%，高质量完成了各项重点工作任务。</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105" w:leftChars="50" w:right="0" w:rightChars="0" w:firstLine="570" w:firstLineChars="0"/>
        <w:jc w:val="both"/>
        <w:textAlignment w:val="auto"/>
        <w:outlineLvl w:val="9"/>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产出</w:t>
      </w:r>
      <w:r>
        <w:rPr>
          <w:rFonts w:ascii="仿宋_GB2312" w:hAnsi="宋体" w:eastAsia="仿宋_GB2312" w:cs="宋体"/>
          <w:color w:val="000000"/>
          <w:kern w:val="0"/>
          <w:sz w:val="28"/>
          <w:szCs w:val="28"/>
        </w:rPr>
        <w:t>进度</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70" w:firstLineChars="0"/>
        <w:jc w:val="both"/>
        <w:textAlignment w:val="auto"/>
        <w:outlineLvl w:val="9"/>
        <w:rPr>
          <w:rFonts w:hint="eastAsia" w:ascii="宋体" w:hAnsi="宋体"/>
          <w:sz w:val="28"/>
          <w:szCs w:val="28"/>
        </w:rPr>
      </w:pPr>
      <w:r>
        <w:rPr>
          <w:rFonts w:hint="eastAsia" w:ascii="仿宋_GB2312" w:eastAsia="仿宋_GB2312"/>
          <w:kern w:val="2"/>
          <w:sz w:val="28"/>
          <w:szCs w:val="28"/>
          <w:lang w:val="en-US" w:eastAsia="zh-CN" w:bidi="ar-SA"/>
        </w:rPr>
        <w:t xml:space="preserve"> 按时完成率100%，及时高效地完成了各项工作计划任务。</w:t>
      </w:r>
    </w:p>
    <w:p>
      <w:pPr>
        <w:keepNext w:val="0"/>
        <w:keepLines w:val="0"/>
        <w:pageBreakBefore w:val="0"/>
        <w:widowControl w:val="0"/>
        <w:kinsoku/>
        <w:wordWrap/>
        <w:overflowPunct/>
        <w:topLinePunct w:val="0"/>
        <w:autoSpaceDE/>
        <w:autoSpaceDN/>
        <w:bidi w:val="0"/>
        <w:adjustRightInd/>
        <w:snapToGrid/>
        <w:spacing w:line="240" w:lineRule="auto"/>
        <w:ind w:left="105" w:leftChars="50" w:right="0" w:rightChars="0" w:firstLine="570" w:firstLineChars="0"/>
        <w:jc w:val="both"/>
        <w:textAlignment w:val="auto"/>
        <w:outlineLvl w:val="9"/>
        <w:rPr>
          <w:rFonts w:ascii="仿宋_GB2312" w:hAnsi="宋体" w:eastAsia="仿宋_GB2312" w:cs="宋体"/>
          <w:color w:val="000000"/>
          <w:kern w:val="0"/>
          <w:sz w:val="28"/>
          <w:szCs w:val="28"/>
        </w:rPr>
      </w:pPr>
      <w:r>
        <w:rPr>
          <w:rFonts w:ascii="仿宋_GB2312" w:hAnsi="宋体" w:eastAsia="仿宋_GB2312" w:cs="宋体"/>
          <w:color w:val="000000"/>
          <w:kern w:val="0"/>
          <w:sz w:val="28"/>
          <w:szCs w:val="28"/>
        </w:rPr>
        <w:t>4.</w:t>
      </w:r>
      <w:r>
        <w:rPr>
          <w:rFonts w:hint="eastAsia" w:ascii="仿宋_GB2312" w:hAnsi="宋体" w:eastAsia="仿宋_GB2312" w:cs="宋体"/>
          <w:color w:val="000000"/>
          <w:kern w:val="0"/>
          <w:sz w:val="28"/>
          <w:szCs w:val="28"/>
        </w:rPr>
        <w:t>产出</w:t>
      </w:r>
      <w:r>
        <w:rPr>
          <w:rFonts w:ascii="仿宋_GB2312" w:hAnsi="宋体" w:eastAsia="仿宋_GB2312" w:cs="宋体"/>
          <w:color w:val="000000"/>
          <w:kern w:val="0"/>
          <w:sz w:val="28"/>
          <w:szCs w:val="28"/>
        </w:rPr>
        <w:t>成本</w:t>
      </w:r>
      <w:r>
        <w:rPr>
          <w:rFonts w:hint="eastAsia" w:ascii="仿宋_GB2312" w:hAnsi="宋体" w:eastAsia="仿宋_GB2312" w:cs="宋体"/>
          <w:color w:val="000000"/>
          <w:kern w:val="0"/>
          <w:sz w:val="28"/>
          <w:szCs w:val="28"/>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105" w:leftChars="50" w:right="0" w:rightChars="0" w:firstLine="570" w:firstLineChars="0"/>
        <w:jc w:val="both"/>
        <w:textAlignment w:val="auto"/>
        <w:outlineLvl w:val="9"/>
        <w:rPr>
          <w:rFonts w:eastAsia="楷体_GB2312"/>
          <w:sz w:val="28"/>
          <w:szCs w:val="28"/>
        </w:rPr>
      </w:pPr>
      <w:r>
        <w:rPr>
          <w:rFonts w:hint="eastAsia" w:ascii="仿宋_GB2312" w:eastAsia="仿宋_GB2312"/>
          <w:sz w:val="28"/>
          <w:szCs w:val="28"/>
        </w:rPr>
        <w:t>2022年度项目预算成本全年执行数2908.87万元，成本总体控制较好，无超预算支出。</w:t>
      </w:r>
      <w:r>
        <w:rPr>
          <w:rFonts w:eastAsia="楷体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105" w:leftChars="50" w:right="0" w:rightChars="0" w:firstLine="570" w:firstLineChars="0"/>
        <w:jc w:val="both"/>
        <w:textAlignment w:val="auto"/>
        <w:outlineLvl w:val="9"/>
        <w:rPr>
          <w:rFonts w:ascii="楷体_GB2312" w:eastAsia="楷体_GB2312"/>
          <w:sz w:val="28"/>
          <w:szCs w:val="28"/>
        </w:rPr>
      </w:pPr>
      <w:r>
        <w:rPr>
          <w:rFonts w:hint="eastAsia" w:ascii="楷体_GB2312" w:eastAsia="楷体_GB2312"/>
          <w:sz w:val="28"/>
          <w:szCs w:val="28"/>
        </w:rPr>
        <w:t>（二）效果</w:t>
      </w:r>
      <w:r>
        <w:rPr>
          <w:rFonts w:ascii="楷体_GB2312" w:eastAsia="楷体_GB2312"/>
          <w:sz w:val="28"/>
          <w:szCs w:val="28"/>
        </w:rPr>
        <w:t>实现情况分析</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570" w:firstLineChars="0"/>
        <w:jc w:val="both"/>
        <w:textAlignment w:val="auto"/>
        <w:outlineLvl w:val="9"/>
        <w:rPr>
          <w:rFonts w:hint="eastAsia" w:ascii="仿宋_GB2312" w:eastAsia="仿宋_GB2312"/>
          <w:sz w:val="28"/>
          <w:szCs w:val="28"/>
        </w:rPr>
      </w:pPr>
      <w:r>
        <w:rPr>
          <w:rFonts w:hint="eastAsia" w:ascii="仿宋_GB2312" w:eastAsia="仿宋_GB2312"/>
          <w:sz w:val="28"/>
          <w:szCs w:val="28"/>
        </w:rPr>
        <w:t>2022年，通过对重点问题、全市经济社会发展热点难点、营商环境建设等方面的分析研究，高质量完成了综合分析报告、专题调研报告以及文稿起草等各项交办任务，及时为市领导决策提供参考，得到市领导多次</w:t>
      </w:r>
      <w:r>
        <w:rPr>
          <w:rFonts w:hint="eastAsia" w:ascii="仿宋_GB2312" w:eastAsia="仿宋_GB2312"/>
          <w:sz w:val="28"/>
          <w:szCs w:val="28"/>
          <w:lang w:eastAsia="zh-CN"/>
        </w:rPr>
        <w:t>批</w:t>
      </w:r>
      <w:r>
        <w:rPr>
          <w:rFonts w:hint="eastAsia" w:ascii="仿宋_GB2312" w:eastAsia="仿宋_GB2312"/>
          <w:sz w:val="28"/>
          <w:szCs w:val="28"/>
        </w:rPr>
        <w:t>示和高度肯定，为推动全市高质量发展发挥了积极作用。</w:t>
      </w:r>
    </w:p>
    <w:p>
      <w:pPr>
        <w:keepNext w:val="0"/>
        <w:keepLines w:val="0"/>
        <w:pageBreakBefore w:val="0"/>
        <w:widowControl w:val="0"/>
        <w:kinsoku/>
        <w:wordWrap/>
        <w:overflowPunct/>
        <w:topLinePunct w:val="0"/>
        <w:autoSpaceDE/>
        <w:autoSpaceDN/>
        <w:bidi w:val="0"/>
        <w:adjustRightInd/>
        <w:snapToGrid/>
        <w:spacing w:line="240" w:lineRule="auto"/>
        <w:ind w:left="105" w:leftChars="50" w:right="0" w:rightChars="0" w:firstLine="570" w:firstLineChars="0"/>
        <w:jc w:val="both"/>
        <w:textAlignment w:val="auto"/>
        <w:outlineLvl w:val="9"/>
        <w:rPr>
          <w:rFonts w:hint="eastAsia" w:ascii="黑体" w:hAnsi="黑体" w:eastAsia="黑体" w:cs="宋体"/>
          <w:color w:val="000000"/>
          <w:kern w:val="0"/>
          <w:sz w:val="28"/>
          <w:szCs w:val="28"/>
        </w:rPr>
      </w:pPr>
      <w:r>
        <w:rPr>
          <w:rFonts w:hint="eastAsia" w:ascii="黑体" w:hAnsi="黑体" w:eastAsia="黑体" w:cs="宋体"/>
          <w:color w:val="000000"/>
          <w:kern w:val="0"/>
          <w:sz w:val="28"/>
          <w:szCs w:val="28"/>
        </w:rPr>
        <w:t>四</w:t>
      </w:r>
      <w:r>
        <w:rPr>
          <w:rFonts w:ascii="黑体" w:hAnsi="黑体" w:eastAsia="黑体" w:cs="宋体"/>
          <w:color w:val="000000"/>
          <w:kern w:val="0"/>
          <w:sz w:val="28"/>
          <w:szCs w:val="28"/>
        </w:rPr>
        <w:t>、预算管理</w:t>
      </w:r>
      <w:r>
        <w:rPr>
          <w:rFonts w:hint="eastAsia" w:ascii="黑体" w:hAnsi="黑体" w:eastAsia="黑体" w:cs="宋体"/>
          <w:color w:val="000000"/>
          <w:kern w:val="0"/>
          <w:sz w:val="28"/>
          <w:szCs w:val="28"/>
        </w:rPr>
        <w:t>情况分</w:t>
      </w:r>
      <w:r>
        <w:rPr>
          <w:rFonts w:ascii="黑体" w:hAnsi="黑体" w:eastAsia="黑体" w:cs="宋体"/>
          <w:color w:val="000000"/>
          <w:kern w:val="0"/>
          <w:sz w:val="28"/>
          <w:szCs w:val="28"/>
        </w:rPr>
        <w:t>析</w:t>
      </w:r>
    </w:p>
    <w:p>
      <w:pPr>
        <w:keepNext w:val="0"/>
        <w:keepLines w:val="0"/>
        <w:pageBreakBefore w:val="0"/>
        <w:widowControl w:val="0"/>
        <w:kinsoku/>
        <w:wordWrap/>
        <w:overflowPunct/>
        <w:topLinePunct w:val="0"/>
        <w:autoSpaceDE/>
        <w:autoSpaceDN/>
        <w:bidi w:val="0"/>
        <w:adjustRightInd/>
        <w:snapToGrid/>
        <w:spacing w:line="240" w:lineRule="auto"/>
        <w:ind w:left="105" w:leftChars="50" w:right="0" w:rightChars="0" w:firstLine="570" w:firstLineChars="0"/>
        <w:jc w:val="both"/>
        <w:textAlignment w:val="auto"/>
        <w:outlineLvl w:val="9"/>
        <w:rPr>
          <w:rFonts w:ascii="楷体_GB2312" w:eastAsia="楷体_GB2312"/>
          <w:sz w:val="28"/>
          <w:szCs w:val="28"/>
        </w:rPr>
      </w:pPr>
      <w:r>
        <w:rPr>
          <w:rFonts w:hint="eastAsia" w:ascii="楷体_GB2312" w:eastAsia="楷体_GB2312"/>
          <w:sz w:val="28"/>
          <w:szCs w:val="28"/>
        </w:rPr>
        <w:t>（一）财务管理</w:t>
      </w:r>
    </w:p>
    <w:p>
      <w:pPr>
        <w:keepNext w:val="0"/>
        <w:keepLines w:val="0"/>
        <w:pageBreakBefore w:val="0"/>
        <w:widowControl w:val="0"/>
        <w:kinsoku/>
        <w:wordWrap/>
        <w:overflowPunct/>
        <w:topLinePunct w:val="0"/>
        <w:autoSpaceDE/>
        <w:autoSpaceDN/>
        <w:bidi w:val="0"/>
        <w:adjustRightInd/>
        <w:snapToGrid/>
        <w:spacing w:line="240" w:lineRule="auto"/>
        <w:ind w:left="105" w:leftChars="50" w:right="0" w:rightChars="0" w:firstLine="570" w:firstLineChars="0"/>
        <w:jc w:val="both"/>
        <w:textAlignment w:val="auto"/>
        <w:outlineLvl w:val="9"/>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1.财务</w:t>
      </w:r>
      <w:r>
        <w:rPr>
          <w:rFonts w:ascii="仿宋_GB2312" w:hAnsi="宋体" w:eastAsia="仿宋_GB2312" w:cs="宋体"/>
          <w:color w:val="000000"/>
          <w:kern w:val="0"/>
          <w:sz w:val="28"/>
          <w:szCs w:val="28"/>
        </w:rPr>
        <w:t>管理制度健全性</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570" w:firstLineChars="0"/>
        <w:jc w:val="both"/>
        <w:textAlignment w:val="auto"/>
        <w:outlineLvl w:val="9"/>
        <w:rPr>
          <w:rFonts w:hint="eastAsia" w:ascii="仿宋_GB2312" w:eastAsia="仿宋_GB2312"/>
          <w:sz w:val="28"/>
          <w:szCs w:val="28"/>
        </w:rPr>
      </w:pPr>
      <w:r>
        <w:rPr>
          <w:rFonts w:hint="eastAsia" w:ascii="仿宋_GB2312" w:eastAsia="仿宋_GB2312"/>
          <w:sz w:val="28"/>
          <w:szCs w:val="28"/>
        </w:rPr>
        <w:t>为进一步提高单位财务管理能力和水平，市政府研究室结合自身业务特点，建立了比较完善的财务管理制度体系和《内部控制管理手册》，从资金审批、预算管理、经费支出、资产管理、政府采购、合同管理等方面对财务工作进行了规范监督，保障了日常工作有章可循、稳步推进。</w:t>
      </w:r>
    </w:p>
    <w:p>
      <w:pPr>
        <w:keepNext w:val="0"/>
        <w:keepLines w:val="0"/>
        <w:pageBreakBefore w:val="0"/>
        <w:widowControl w:val="0"/>
        <w:kinsoku/>
        <w:wordWrap/>
        <w:overflowPunct/>
        <w:topLinePunct w:val="0"/>
        <w:autoSpaceDE/>
        <w:autoSpaceDN/>
        <w:bidi w:val="0"/>
        <w:adjustRightInd/>
        <w:snapToGrid/>
        <w:spacing w:line="240" w:lineRule="auto"/>
        <w:ind w:left="105" w:leftChars="50" w:right="0" w:rightChars="0" w:firstLine="570" w:firstLineChars="0"/>
        <w:jc w:val="both"/>
        <w:textAlignment w:val="auto"/>
        <w:outlineLvl w:val="9"/>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2.资金使用合规性</w:t>
      </w:r>
      <w:r>
        <w:rPr>
          <w:rFonts w:ascii="仿宋_GB2312" w:hAnsi="宋体" w:eastAsia="仿宋_GB2312" w:cs="宋体"/>
          <w:color w:val="000000"/>
          <w:kern w:val="0"/>
          <w:sz w:val="28"/>
          <w:szCs w:val="28"/>
        </w:rPr>
        <w:t>和安全性</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570" w:firstLineChars="0"/>
        <w:jc w:val="both"/>
        <w:textAlignment w:val="auto"/>
        <w:outlineLvl w:val="9"/>
        <w:rPr>
          <w:rFonts w:hint="eastAsia" w:ascii="仿宋_GB2312" w:eastAsia="仿宋_GB2312"/>
          <w:sz w:val="28"/>
          <w:szCs w:val="28"/>
        </w:rPr>
      </w:pPr>
      <w:r>
        <w:rPr>
          <w:rFonts w:hint="eastAsia" w:ascii="仿宋_GB2312" w:eastAsia="仿宋_GB2312"/>
          <w:sz w:val="28"/>
          <w:szCs w:val="28"/>
        </w:rPr>
        <w:t>严格遵照国家法律法规和有关管理制度执行，资金拨付审批程序完整规范，资金使用安全合规。重大项目支出经过室党组集体审议，不存在截留、挤占、挪用、虚列支出等情况。</w:t>
      </w:r>
    </w:p>
    <w:p>
      <w:pPr>
        <w:keepNext w:val="0"/>
        <w:keepLines w:val="0"/>
        <w:pageBreakBefore w:val="0"/>
        <w:widowControl w:val="0"/>
        <w:kinsoku/>
        <w:wordWrap/>
        <w:overflowPunct/>
        <w:topLinePunct w:val="0"/>
        <w:autoSpaceDE/>
        <w:autoSpaceDN/>
        <w:bidi w:val="0"/>
        <w:adjustRightInd/>
        <w:snapToGrid/>
        <w:spacing w:line="240" w:lineRule="auto"/>
        <w:ind w:left="105" w:leftChars="50" w:right="0" w:rightChars="0" w:firstLine="570" w:firstLineChars="0"/>
        <w:jc w:val="both"/>
        <w:textAlignment w:val="auto"/>
        <w:outlineLvl w:val="9"/>
        <w:rPr>
          <w:rFonts w:ascii="仿宋_GB2312" w:hAnsi="宋体" w:eastAsia="仿宋_GB2312" w:cs="宋体"/>
          <w:color w:val="000000"/>
          <w:kern w:val="0"/>
          <w:sz w:val="28"/>
          <w:szCs w:val="28"/>
        </w:rPr>
      </w:pPr>
      <w:r>
        <w:rPr>
          <w:rFonts w:ascii="仿宋_GB2312" w:hAnsi="宋体" w:eastAsia="仿宋_GB2312" w:cs="宋体"/>
          <w:color w:val="000000"/>
          <w:kern w:val="0"/>
          <w:sz w:val="28"/>
          <w:szCs w:val="28"/>
        </w:rPr>
        <w:t>3.</w:t>
      </w:r>
      <w:r>
        <w:rPr>
          <w:rFonts w:hint="eastAsia" w:ascii="仿宋_GB2312" w:hAnsi="宋体" w:eastAsia="仿宋_GB2312" w:cs="宋体"/>
          <w:color w:val="000000"/>
          <w:kern w:val="0"/>
          <w:sz w:val="28"/>
          <w:szCs w:val="28"/>
        </w:rPr>
        <w:t>会计</w:t>
      </w:r>
      <w:r>
        <w:rPr>
          <w:rFonts w:ascii="仿宋_GB2312" w:hAnsi="宋体" w:eastAsia="仿宋_GB2312" w:cs="宋体"/>
          <w:color w:val="000000"/>
          <w:kern w:val="0"/>
          <w:sz w:val="28"/>
          <w:szCs w:val="28"/>
        </w:rPr>
        <w:t>基础信息完善性</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570" w:firstLineChars="0"/>
        <w:jc w:val="both"/>
        <w:textAlignment w:val="auto"/>
        <w:outlineLvl w:val="9"/>
        <w:rPr>
          <w:rFonts w:hint="eastAsia" w:ascii="仿宋_GB2312" w:eastAsia="仿宋_GB2312"/>
          <w:sz w:val="28"/>
          <w:szCs w:val="28"/>
        </w:rPr>
      </w:pPr>
      <w:r>
        <w:rPr>
          <w:rFonts w:hint="eastAsia" w:ascii="仿宋_GB2312" w:eastAsia="仿宋_GB2312"/>
          <w:sz w:val="28"/>
          <w:szCs w:val="28"/>
        </w:rPr>
        <w:t>严格执行政府会计准则和政府会计制度规定。按照政府会计准则及制度设置会计科目，进行日常会计核算，编制财务会计报表和部门决算报表。财务工作以真实反映</w:t>
      </w:r>
      <w:r>
        <w:rPr>
          <w:rFonts w:hint="eastAsia" w:ascii="仿宋_GB2312" w:eastAsia="仿宋_GB2312"/>
          <w:sz w:val="28"/>
          <w:szCs w:val="28"/>
          <w:lang w:eastAsia="zh-CN"/>
        </w:rPr>
        <w:t>市政府研究</w:t>
      </w:r>
      <w:r>
        <w:rPr>
          <w:rFonts w:hint="eastAsia" w:ascii="仿宋_GB2312" w:eastAsia="仿宋_GB2312"/>
          <w:sz w:val="28"/>
          <w:szCs w:val="28"/>
        </w:rPr>
        <w:t>室财务状况为重点，编制预算合理，执行预算控制有效，财务报告编报完整准确，会计基础信息较为完善。</w:t>
      </w:r>
    </w:p>
    <w:p>
      <w:pPr>
        <w:keepNext w:val="0"/>
        <w:keepLines w:val="0"/>
        <w:pageBreakBefore w:val="0"/>
        <w:widowControl w:val="0"/>
        <w:kinsoku/>
        <w:wordWrap/>
        <w:overflowPunct/>
        <w:topLinePunct w:val="0"/>
        <w:autoSpaceDE/>
        <w:autoSpaceDN/>
        <w:bidi w:val="0"/>
        <w:adjustRightInd/>
        <w:snapToGrid/>
        <w:spacing w:line="240" w:lineRule="auto"/>
        <w:ind w:left="105" w:leftChars="50" w:right="0" w:rightChars="0" w:firstLine="570" w:firstLineChars="0"/>
        <w:jc w:val="both"/>
        <w:textAlignment w:val="auto"/>
        <w:outlineLvl w:val="9"/>
        <w:rPr>
          <w:rFonts w:ascii="楷体_GB2312" w:eastAsia="楷体_GB2312"/>
          <w:sz w:val="28"/>
          <w:szCs w:val="28"/>
        </w:rPr>
      </w:pPr>
      <w:r>
        <w:rPr>
          <w:rFonts w:hint="eastAsia" w:ascii="楷体_GB2312" w:eastAsia="楷体_GB2312"/>
          <w:sz w:val="28"/>
          <w:szCs w:val="28"/>
        </w:rPr>
        <w:t>（二）资产管理</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570" w:firstLineChars="0"/>
        <w:jc w:val="both"/>
        <w:textAlignment w:val="auto"/>
        <w:outlineLvl w:val="9"/>
        <w:rPr>
          <w:rFonts w:hint="eastAsia" w:ascii="仿宋_GB2312" w:eastAsia="仿宋_GB2312"/>
          <w:sz w:val="28"/>
          <w:szCs w:val="28"/>
        </w:rPr>
      </w:pPr>
      <w:r>
        <w:rPr>
          <w:rFonts w:hint="eastAsia" w:ascii="仿宋_GB2312" w:eastAsia="仿宋_GB2312"/>
          <w:sz w:val="28"/>
          <w:szCs w:val="28"/>
        </w:rPr>
        <w:t>依据财政部门资产管理法律法规以及内部管理制度规定，建立健全资产管理台账，定期维护行政事业资产管理信息系统中的资产基础信息，进一步规范日常资产管理工作，确保国有资产的安全完整、合理配置和有效利用。</w:t>
      </w:r>
    </w:p>
    <w:p>
      <w:pPr>
        <w:keepNext w:val="0"/>
        <w:keepLines w:val="0"/>
        <w:pageBreakBefore w:val="0"/>
        <w:widowControl w:val="0"/>
        <w:kinsoku/>
        <w:wordWrap/>
        <w:overflowPunct/>
        <w:topLinePunct w:val="0"/>
        <w:autoSpaceDE/>
        <w:autoSpaceDN/>
        <w:bidi w:val="0"/>
        <w:adjustRightInd/>
        <w:snapToGrid/>
        <w:spacing w:line="240" w:lineRule="auto"/>
        <w:ind w:left="105" w:leftChars="50" w:right="0" w:rightChars="0" w:firstLine="570" w:firstLineChars="0"/>
        <w:jc w:val="both"/>
        <w:textAlignment w:val="auto"/>
        <w:outlineLvl w:val="9"/>
        <w:rPr>
          <w:rFonts w:ascii="楷体_GB2312" w:eastAsia="楷体_GB2312"/>
          <w:sz w:val="28"/>
          <w:szCs w:val="28"/>
        </w:rPr>
      </w:pPr>
      <w:r>
        <w:rPr>
          <w:rFonts w:hint="eastAsia" w:ascii="楷体_GB2312" w:eastAsia="楷体_GB2312"/>
          <w:sz w:val="28"/>
          <w:szCs w:val="28"/>
        </w:rPr>
        <w:t>（三）绩效</w:t>
      </w:r>
      <w:r>
        <w:rPr>
          <w:rFonts w:ascii="楷体_GB2312" w:eastAsia="楷体_GB2312"/>
          <w:sz w:val="28"/>
          <w:szCs w:val="28"/>
        </w:rPr>
        <w:t>管理</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570" w:firstLineChars="0"/>
        <w:jc w:val="both"/>
        <w:textAlignment w:val="auto"/>
        <w:outlineLvl w:val="9"/>
        <w:rPr>
          <w:rFonts w:hint="eastAsia" w:ascii="仿宋_GB2312" w:eastAsia="仿宋_GB2312"/>
          <w:sz w:val="28"/>
          <w:szCs w:val="28"/>
        </w:rPr>
      </w:pPr>
      <w:r>
        <w:rPr>
          <w:rFonts w:hint="eastAsia" w:ascii="仿宋_GB2312" w:eastAsia="仿宋_GB2312"/>
          <w:sz w:val="28"/>
          <w:szCs w:val="28"/>
        </w:rPr>
        <w:t>认真贯彻落实市财政有关深化全面预算绩效管理方面的文件精神及相关规定，紧紧围绕“预算编制有目标、预算执行有监控、预算完成有评价、评价结果有反馈、反馈结果有应用”的预算绩效管理要求，建立健全工作机制，组织开展工作，包括对年初预算项目设置绩效目标，开展绩效运行监控和事后绩效评价，突出预算绩效管理，提高资金使用效益。</w:t>
      </w:r>
    </w:p>
    <w:p>
      <w:pPr>
        <w:keepNext w:val="0"/>
        <w:keepLines w:val="0"/>
        <w:pageBreakBefore w:val="0"/>
        <w:widowControl w:val="0"/>
        <w:kinsoku/>
        <w:wordWrap/>
        <w:overflowPunct/>
        <w:topLinePunct w:val="0"/>
        <w:autoSpaceDE/>
        <w:autoSpaceDN/>
        <w:bidi w:val="0"/>
        <w:adjustRightInd/>
        <w:snapToGrid/>
        <w:spacing w:line="240" w:lineRule="auto"/>
        <w:ind w:left="105" w:leftChars="50" w:right="0" w:rightChars="0" w:firstLine="570" w:firstLineChars="0"/>
        <w:jc w:val="both"/>
        <w:textAlignment w:val="auto"/>
        <w:outlineLvl w:val="9"/>
        <w:rPr>
          <w:rFonts w:ascii="楷体_GB2312" w:eastAsia="楷体_GB2312"/>
          <w:sz w:val="28"/>
          <w:szCs w:val="28"/>
        </w:rPr>
      </w:pPr>
      <w:r>
        <w:rPr>
          <w:rFonts w:hint="eastAsia" w:ascii="楷体_GB2312" w:eastAsia="楷体_GB2312"/>
          <w:sz w:val="28"/>
          <w:szCs w:val="28"/>
        </w:rPr>
        <w:t>（四）结转结余率</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570" w:firstLineChars="0"/>
        <w:jc w:val="both"/>
        <w:textAlignment w:val="auto"/>
        <w:outlineLvl w:val="9"/>
        <w:rPr>
          <w:rFonts w:hint="eastAsia" w:ascii="仿宋_GB2312" w:eastAsia="仿宋_GB2312"/>
          <w:sz w:val="28"/>
          <w:szCs w:val="28"/>
        </w:rPr>
      </w:pPr>
      <w:r>
        <w:rPr>
          <w:rFonts w:hint="eastAsia" w:ascii="仿宋_GB2312" w:eastAsia="仿宋_GB2312"/>
          <w:sz w:val="28"/>
          <w:szCs w:val="28"/>
        </w:rPr>
        <w:t>2022年末结转结余资金427.63万元，2022年支出预算总额3,336.50万元，结转结余率12.82%。本年结转结余率较上年增加5.38%。主要原因是受2022年几轮新冠疫情影响，差旅、会议、调研等工作经费支出受阻。2023年，</w:t>
      </w:r>
      <w:r>
        <w:rPr>
          <w:rFonts w:hint="eastAsia" w:ascii="仿宋_GB2312" w:eastAsia="仿宋_GB2312"/>
          <w:sz w:val="28"/>
          <w:szCs w:val="28"/>
          <w:lang w:eastAsia="zh-CN"/>
        </w:rPr>
        <w:t>应</w:t>
      </w:r>
      <w:r>
        <w:rPr>
          <w:rFonts w:hint="eastAsia" w:ascii="仿宋_GB2312" w:eastAsia="仿宋_GB2312"/>
          <w:sz w:val="28"/>
          <w:szCs w:val="28"/>
        </w:rPr>
        <w:t>进一步强化资金统筹调度，加大预算执行力度，降低资金结转结余比率。</w:t>
      </w:r>
    </w:p>
    <w:p>
      <w:pPr>
        <w:keepNext w:val="0"/>
        <w:keepLines w:val="0"/>
        <w:pageBreakBefore w:val="0"/>
        <w:widowControl w:val="0"/>
        <w:kinsoku/>
        <w:wordWrap/>
        <w:overflowPunct/>
        <w:topLinePunct w:val="0"/>
        <w:autoSpaceDE/>
        <w:autoSpaceDN/>
        <w:bidi w:val="0"/>
        <w:adjustRightInd/>
        <w:snapToGrid/>
        <w:spacing w:line="240" w:lineRule="auto"/>
        <w:ind w:left="105" w:leftChars="50" w:right="0" w:rightChars="0" w:firstLine="570" w:firstLineChars="0"/>
        <w:jc w:val="both"/>
        <w:textAlignment w:val="auto"/>
        <w:outlineLvl w:val="9"/>
        <w:rPr>
          <w:rFonts w:ascii="楷体_GB2312" w:eastAsia="楷体_GB2312"/>
          <w:sz w:val="28"/>
          <w:szCs w:val="28"/>
        </w:rPr>
      </w:pPr>
      <w:r>
        <w:rPr>
          <w:rFonts w:hint="eastAsia" w:ascii="楷体_GB2312" w:eastAsia="楷体_GB2312"/>
          <w:sz w:val="28"/>
          <w:szCs w:val="28"/>
        </w:rPr>
        <w:t>（五）部门</w:t>
      </w:r>
      <w:r>
        <w:rPr>
          <w:rFonts w:ascii="楷体_GB2312" w:eastAsia="楷体_GB2312"/>
          <w:sz w:val="28"/>
          <w:szCs w:val="28"/>
        </w:rPr>
        <w:t>预决算差异率</w:t>
      </w:r>
    </w:p>
    <w:p>
      <w:pPr>
        <w:pStyle w:val="2"/>
        <w:keepNext w:val="0"/>
        <w:keepLines w:val="0"/>
        <w:pageBreakBefore w:val="0"/>
        <w:widowControl w:val="0"/>
        <w:kinsoku/>
        <w:wordWrap/>
        <w:overflowPunct/>
        <w:topLinePunct w:val="0"/>
        <w:autoSpaceDE/>
        <w:autoSpaceDN/>
        <w:bidi w:val="0"/>
        <w:adjustRightInd/>
        <w:snapToGrid/>
        <w:spacing w:line="240" w:lineRule="auto"/>
        <w:ind w:right="0" w:rightChars="0" w:firstLine="570" w:firstLineChars="0"/>
        <w:jc w:val="both"/>
        <w:textAlignment w:val="auto"/>
        <w:outlineLvl w:val="9"/>
        <w:rPr>
          <w:rFonts w:hint="eastAsia"/>
          <w:sz w:val="28"/>
          <w:szCs w:val="28"/>
        </w:rPr>
      </w:pPr>
      <w:r>
        <w:rPr>
          <w:rFonts w:hint="eastAsia" w:ascii="仿宋_GB2312" w:eastAsia="仿宋_GB2312"/>
          <w:kern w:val="2"/>
          <w:sz w:val="28"/>
          <w:szCs w:val="28"/>
          <w:lang w:val="en-US" w:eastAsia="zh-CN" w:bidi="ar-SA"/>
        </w:rPr>
        <w:t>2022年初预算数3,295.01万元，全部为财政拨款预算数。2022年度支出决算数2,908.87万元，预决算差异额386.14万元，预决算差异率11.72%。</w:t>
      </w:r>
    </w:p>
    <w:p>
      <w:pPr>
        <w:keepNext w:val="0"/>
        <w:keepLines w:val="0"/>
        <w:pageBreakBefore w:val="0"/>
        <w:widowControl w:val="0"/>
        <w:kinsoku/>
        <w:wordWrap/>
        <w:overflowPunct/>
        <w:topLinePunct w:val="0"/>
        <w:autoSpaceDE/>
        <w:autoSpaceDN/>
        <w:bidi w:val="0"/>
        <w:adjustRightInd/>
        <w:snapToGrid/>
        <w:spacing w:line="240" w:lineRule="auto"/>
        <w:ind w:left="105" w:leftChars="50" w:right="0" w:rightChars="0" w:firstLine="570" w:firstLineChars="0"/>
        <w:jc w:val="both"/>
        <w:textAlignment w:val="auto"/>
        <w:outlineLvl w:val="9"/>
        <w:rPr>
          <w:rFonts w:ascii="黑体" w:hAnsi="黑体" w:eastAsia="黑体"/>
          <w:sz w:val="28"/>
          <w:szCs w:val="28"/>
        </w:rPr>
      </w:pPr>
      <w:r>
        <w:rPr>
          <w:rFonts w:hint="eastAsia" w:ascii="黑体" w:hAnsi="黑体" w:eastAsia="黑体"/>
          <w:sz w:val="28"/>
          <w:szCs w:val="28"/>
        </w:rPr>
        <w:t>五、总体</w:t>
      </w:r>
      <w:r>
        <w:rPr>
          <w:rFonts w:ascii="黑体" w:hAnsi="黑体" w:eastAsia="黑体"/>
          <w:sz w:val="28"/>
          <w:szCs w:val="28"/>
        </w:rPr>
        <w:t>评价结论</w:t>
      </w:r>
    </w:p>
    <w:p>
      <w:pPr>
        <w:keepNext w:val="0"/>
        <w:keepLines w:val="0"/>
        <w:pageBreakBefore w:val="0"/>
        <w:widowControl w:val="0"/>
        <w:kinsoku/>
        <w:wordWrap/>
        <w:overflowPunct/>
        <w:topLinePunct w:val="0"/>
        <w:autoSpaceDE/>
        <w:autoSpaceDN/>
        <w:bidi w:val="0"/>
        <w:adjustRightInd/>
        <w:snapToGrid/>
        <w:spacing w:line="240" w:lineRule="auto"/>
        <w:ind w:left="105" w:leftChars="50" w:right="0" w:rightChars="0" w:firstLine="570" w:firstLineChars="0"/>
        <w:jc w:val="both"/>
        <w:textAlignment w:val="auto"/>
        <w:outlineLvl w:val="9"/>
        <w:rPr>
          <w:rFonts w:ascii="楷体_GB2312" w:eastAsia="楷体_GB2312"/>
          <w:sz w:val="28"/>
          <w:szCs w:val="28"/>
        </w:rPr>
      </w:pPr>
      <w:r>
        <w:rPr>
          <w:rFonts w:hint="eastAsia" w:ascii="楷体_GB2312" w:eastAsia="楷体_GB2312"/>
          <w:sz w:val="28"/>
          <w:szCs w:val="28"/>
        </w:rPr>
        <w:t>（一）评价</w:t>
      </w:r>
      <w:r>
        <w:rPr>
          <w:rFonts w:ascii="楷体_GB2312" w:eastAsia="楷体_GB2312"/>
          <w:sz w:val="28"/>
          <w:szCs w:val="28"/>
        </w:rPr>
        <w:t>得分</w:t>
      </w:r>
      <w:r>
        <w:rPr>
          <w:rFonts w:hint="eastAsia" w:ascii="楷体_GB2312" w:eastAsia="楷体_GB2312"/>
          <w:sz w:val="28"/>
          <w:szCs w:val="28"/>
        </w:rPr>
        <w:t>情况</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570" w:firstLineChars="0"/>
        <w:jc w:val="both"/>
        <w:textAlignment w:val="auto"/>
        <w:outlineLvl w:val="9"/>
        <w:rPr>
          <w:rFonts w:hint="eastAsia" w:ascii="仿宋_GB2312" w:eastAsia="仿宋_GB2312"/>
          <w:sz w:val="28"/>
          <w:szCs w:val="28"/>
        </w:rPr>
      </w:pPr>
      <w:r>
        <w:rPr>
          <w:rFonts w:hint="eastAsia" w:ascii="仿宋_GB2312" w:eastAsia="仿宋_GB2312"/>
          <w:sz w:val="28"/>
          <w:szCs w:val="28"/>
        </w:rPr>
        <w:t>按照市财政年初批复并经预算信息公开的《部门整体支出绩效目标表》，结合实际情况，经综合评价，部门整体绩效评价综合得分93.29分，绩效级别评定为“优”。</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105" w:leftChars="50" w:right="0" w:rightChars="0" w:firstLine="570" w:firstLineChars="0"/>
        <w:jc w:val="both"/>
        <w:textAlignment w:val="auto"/>
        <w:outlineLvl w:val="9"/>
        <w:rPr>
          <w:rFonts w:hint="eastAsia" w:ascii="楷体_GB2312" w:eastAsia="楷体_GB2312"/>
          <w:sz w:val="28"/>
          <w:szCs w:val="28"/>
        </w:rPr>
      </w:pPr>
      <w:r>
        <w:rPr>
          <w:rFonts w:hint="eastAsia" w:ascii="楷体_GB2312" w:eastAsia="楷体_GB2312"/>
          <w:sz w:val="28"/>
          <w:szCs w:val="28"/>
        </w:rPr>
        <w:t>存在的问题及原因分析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sz w:val="28"/>
          <w:szCs w:val="28"/>
        </w:rPr>
      </w:pPr>
      <w:r>
        <w:rPr>
          <w:rFonts w:hint="eastAsia" w:ascii="仿宋_GB2312" w:eastAsia="仿宋_GB2312"/>
          <w:sz w:val="28"/>
          <w:szCs w:val="28"/>
          <w:lang w:val="en-US" w:eastAsia="zh-CN"/>
        </w:rPr>
        <w:t xml:space="preserve">    </w:t>
      </w:r>
      <w:r>
        <w:rPr>
          <w:rFonts w:hint="eastAsia" w:ascii="仿宋_GB2312" w:eastAsia="仿宋_GB2312"/>
          <w:sz w:val="28"/>
          <w:szCs w:val="28"/>
        </w:rPr>
        <w:t>部门效果指标设置细化量化程度不够，有待进一步完善。</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570" w:firstLineChars="0"/>
        <w:jc w:val="both"/>
        <w:textAlignment w:val="auto"/>
        <w:outlineLvl w:val="9"/>
        <w:rPr>
          <w:rFonts w:hint="eastAsia" w:ascii="仿宋_GB2312" w:hAnsi="宋体" w:eastAsia="仿宋_GB2312" w:cs="宋体"/>
          <w:color w:val="000000"/>
          <w:kern w:val="0"/>
          <w:sz w:val="28"/>
          <w:szCs w:val="28"/>
        </w:rPr>
      </w:pPr>
      <w:r>
        <w:rPr>
          <w:rFonts w:hint="eastAsia" w:ascii="黑体" w:hAnsi="黑体" w:eastAsia="黑体" w:cs="宋体"/>
          <w:color w:val="000000"/>
          <w:kern w:val="0"/>
          <w:sz w:val="28"/>
          <w:szCs w:val="28"/>
        </w:rPr>
        <w:t>六、措施建议</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570" w:firstLineChars="0"/>
        <w:jc w:val="both"/>
        <w:textAlignment w:val="auto"/>
        <w:outlineLvl w:val="9"/>
        <w:rPr>
          <w:rFonts w:hint="eastAsia" w:ascii="仿宋_GB2312" w:eastAsia="仿宋_GB2312"/>
          <w:sz w:val="28"/>
          <w:szCs w:val="28"/>
        </w:rPr>
      </w:pPr>
      <w:r>
        <w:rPr>
          <w:rFonts w:hint="eastAsia" w:ascii="仿宋_GB2312" w:eastAsia="仿宋_GB2312"/>
          <w:sz w:val="28"/>
          <w:szCs w:val="28"/>
        </w:rPr>
        <w:t>严格按照相关规定及要求，进一步提高部门效果指标设置的细化量化程度，切实发挥指标引领作用，客观、合理地反映部门整体</w:t>
      </w:r>
      <w:bookmarkStart w:id="0" w:name="_GoBack"/>
      <w:bookmarkEnd w:id="0"/>
      <w:r>
        <w:rPr>
          <w:rFonts w:hint="eastAsia" w:ascii="仿宋_GB2312" w:eastAsia="仿宋_GB2312"/>
          <w:sz w:val="28"/>
          <w:szCs w:val="28"/>
        </w:rPr>
        <w:t>效益和效果。</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570" w:firstLineChars="0"/>
        <w:jc w:val="both"/>
        <w:textAlignment w:val="auto"/>
        <w:outlineLvl w:val="9"/>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right="0" w:rightChars="0" w:firstLine="570" w:firstLineChars="0"/>
        <w:jc w:val="center"/>
        <w:textAlignment w:val="auto"/>
        <w:outlineLvl w:val="9"/>
        <w:rPr>
          <w:rFonts w:hint="eastAsia" w:ascii="方正小标宋简体" w:eastAsia="方正小标宋简体"/>
          <w:sz w:val="28"/>
          <w:szCs w:val="28"/>
        </w:rPr>
      </w:pPr>
    </w:p>
    <w:p>
      <w:pPr>
        <w:keepNext w:val="0"/>
        <w:keepLines w:val="0"/>
        <w:pageBreakBefore w:val="0"/>
        <w:widowControl w:val="0"/>
        <w:kinsoku/>
        <w:wordWrap/>
        <w:overflowPunct/>
        <w:topLinePunct w:val="0"/>
        <w:autoSpaceDE/>
        <w:autoSpaceDN/>
        <w:bidi w:val="0"/>
        <w:spacing w:line="240" w:lineRule="auto"/>
        <w:ind w:right="0" w:rightChars="0"/>
        <w:textAlignment w:val="auto"/>
        <w:rPr>
          <w:sz w:val="28"/>
          <w:szCs w:val="28"/>
        </w:rPr>
      </w:pPr>
    </w:p>
    <w:sectPr>
      <w:footerReference r:id="rId3" w:type="default"/>
      <w:footerReference r:id="rId4" w:type="even"/>
      <w:pgSz w:w="11906" w:h="16838"/>
      <w:pgMar w:top="1134" w:right="1134" w:bottom="1134" w:left="1134" w:header="851" w:footer="680"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Light">
    <w:altName w:val="黑体"/>
    <w:panose1 w:val="00000000000000000000"/>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5"/>
      </w:rPr>
    </w:pPr>
    <w:r>
      <w:fldChar w:fldCharType="begin"/>
    </w:r>
    <w:r>
      <w:rPr>
        <w:rStyle w:val="5"/>
      </w:rPr>
      <w:instrText xml:space="preserve">PAGE  </w:instrText>
    </w:r>
    <w:r>
      <w:fldChar w:fldCharType="separate"/>
    </w:r>
    <w:r>
      <w:rPr>
        <w:rStyle w:val="5"/>
      </w:rPr>
      <w:t>28</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5"/>
      </w:rPr>
    </w:pPr>
    <w:r>
      <w:fldChar w:fldCharType="begin"/>
    </w:r>
    <w:r>
      <w:rPr>
        <w:rStyle w:val="5"/>
      </w:rPr>
      <w:instrText xml:space="preserve">PAGE  </w:instrText>
    </w:r>
    <w:r>
      <w:fldChar w:fldCharType="separate"/>
    </w:r>
    <w:r>
      <w:rPr>
        <w:rStyle w:val="5"/>
      </w:rPr>
      <w:t>15</w: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819B01"/>
    <w:multiLevelType w:val="singleLevel"/>
    <w:tmpl w:val="64819B01"/>
    <w:lvl w:ilvl="0" w:tentative="0">
      <w:start w:val="2"/>
      <w:numFmt w:val="chineseCounting"/>
      <w:suff w:val="nothing"/>
      <w:lvlText w:val="（%1）"/>
      <w:lvlJc w:val="left"/>
    </w:lvl>
  </w:abstractNum>
  <w:abstractNum w:abstractNumId="1">
    <w:nsid w:val="6482CDE7"/>
    <w:multiLevelType w:val="singleLevel"/>
    <w:tmpl w:val="6482CDE7"/>
    <w:lvl w:ilvl="0" w:tentative="0">
      <w:start w:val="2"/>
      <w:numFmt w:val="decimal"/>
      <w:suff w:val="nothing"/>
      <w:lvlText w:val="%1."/>
      <w:lvlJc w:val="left"/>
    </w:lvl>
  </w:abstractNum>
  <w:abstractNum w:abstractNumId="2">
    <w:nsid w:val="64DF2300"/>
    <w:multiLevelType w:val="singleLevel"/>
    <w:tmpl w:val="64DF2300"/>
    <w:lvl w:ilvl="0" w:tentative="0">
      <w:start w:val="2"/>
      <w:numFmt w:val="chineseCounting"/>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886BA9"/>
    <w:rsid w:val="1CD746AB"/>
    <w:rsid w:val="282D05D8"/>
    <w:rsid w:val="3F2E26D2"/>
    <w:rsid w:val="511870E6"/>
    <w:rsid w:val="75D03BA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3">
    <w:name w:val="footer"/>
    <w:basedOn w:val="1"/>
    <w:qFormat/>
    <w:uiPriority w:val="0"/>
    <w:pPr>
      <w:tabs>
        <w:tab w:val="center" w:pos="4153"/>
        <w:tab w:val="right" w:pos="8306"/>
      </w:tabs>
      <w:snapToGrid w:val="0"/>
      <w:jc w:val="left"/>
    </w:pPr>
    <w:rPr>
      <w:sz w:val="18"/>
      <w:szCs w:val="18"/>
    </w:rPr>
  </w:style>
  <w:style w:type="character" w:styleId="5">
    <w:name w:val="page number"/>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2023-08-21T08:08:41Z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