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9F9" w:rsidRDefault="002A6499">
      <w:pPr>
        <w:spacing w:line="600" w:lineRule="exact"/>
        <w:jc w:val="center"/>
        <w:rPr>
          <w:rFonts w:ascii="方正小标宋简体" w:eastAsia="方正小标宋简体"/>
          <w:sz w:val="36"/>
          <w:szCs w:val="36"/>
        </w:rPr>
      </w:pPr>
      <w:r>
        <w:rPr>
          <w:rFonts w:ascii="方正小标宋简体" w:eastAsia="方正小标宋简体" w:hint="eastAsia"/>
          <w:sz w:val="36"/>
          <w:szCs w:val="36"/>
        </w:rPr>
        <w:t>北京市第四中级人民法院</w:t>
      </w:r>
      <w:r>
        <w:rPr>
          <w:rFonts w:ascii="方正小标宋简体" w:eastAsia="方正小标宋简体" w:hint="eastAsia"/>
          <w:sz w:val="36"/>
          <w:szCs w:val="36"/>
        </w:rPr>
        <w:t>2022</w:t>
      </w:r>
      <w:r>
        <w:rPr>
          <w:rFonts w:ascii="方正小标宋简体" w:eastAsia="方正小标宋简体" w:hint="eastAsia"/>
          <w:sz w:val="36"/>
          <w:szCs w:val="36"/>
        </w:rPr>
        <w:t>年度</w:t>
      </w:r>
    </w:p>
    <w:p w:rsidR="006F09F9" w:rsidRDefault="002A6499">
      <w:pPr>
        <w:spacing w:line="60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rsidR="006F09F9" w:rsidRDefault="006F09F9">
      <w:pPr>
        <w:spacing w:line="600" w:lineRule="exact"/>
        <w:jc w:val="center"/>
        <w:rPr>
          <w:rFonts w:ascii="仿宋_GB2312"/>
          <w:szCs w:val="30"/>
        </w:rPr>
      </w:pPr>
    </w:p>
    <w:p w:rsidR="006F09F9" w:rsidRDefault="002A6499">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机构设置情况</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sz w:val="32"/>
          <w:szCs w:val="32"/>
        </w:rPr>
        <w:t>北京市第四中级人民法院</w:t>
      </w:r>
      <w:r>
        <w:rPr>
          <w:rFonts w:ascii="仿宋" w:eastAsia="仿宋" w:hAnsi="仿宋" w:hint="eastAsia"/>
          <w:sz w:val="32"/>
          <w:szCs w:val="32"/>
        </w:rPr>
        <w:t>(</w:t>
      </w:r>
      <w:r>
        <w:rPr>
          <w:rFonts w:ascii="仿宋" w:eastAsia="仿宋" w:hAnsi="仿宋" w:hint="eastAsia"/>
          <w:sz w:val="32"/>
          <w:szCs w:val="32"/>
        </w:rPr>
        <w:t>北京铁路运输中级法院</w:t>
      </w:r>
      <w:r>
        <w:rPr>
          <w:rFonts w:ascii="仿宋" w:eastAsia="仿宋" w:hAnsi="仿宋" w:hint="eastAsia"/>
          <w:sz w:val="32"/>
          <w:szCs w:val="32"/>
        </w:rPr>
        <w:t>)</w:t>
      </w:r>
      <w:r>
        <w:rPr>
          <w:rFonts w:ascii="仿宋" w:eastAsia="仿宋" w:hAnsi="仿宋" w:hint="eastAsia"/>
          <w:sz w:val="32"/>
          <w:szCs w:val="32"/>
        </w:rPr>
        <w:t>，是按照党的十八届四中全会关于“探索设立跨行政区划的人民法院”，全面推进依法治国的重要部署，在北京市建立的跨行政区划的中级法院，于</w:t>
      </w:r>
      <w:r>
        <w:rPr>
          <w:rFonts w:ascii="仿宋" w:eastAsia="仿宋" w:hAnsi="仿宋" w:hint="eastAsia"/>
          <w:sz w:val="32"/>
          <w:szCs w:val="32"/>
        </w:rPr>
        <w:t>2014</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日正式挂牌成立。</w:t>
      </w:r>
      <w:r>
        <w:rPr>
          <w:rFonts w:ascii="仿宋" w:eastAsia="仿宋" w:hAnsi="仿宋" w:hint="eastAsia"/>
          <w:sz w:val="32"/>
          <w:szCs w:val="32"/>
        </w:rPr>
        <w:t xml:space="preserve"> </w:t>
      </w:r>
      <w:r>
        <w:rPr>
          <w:rFonts w:ascii="仿宋" w:eastAsia="仿宋" w:hAnsi="仿宋" w:hint="eastAsia"/>
          <w:sz w:val="32"/>
          <w:szCs w:val="32"/>
        </w:rPr>
        <w:t>北京市第四中级人民法院（北京铁路运输中级法院）于</w:t>
      </w:r>
      <w:r>
        <w:rPr>
          <w:rFonts w:ascii="仿宋" w:eastAsia="仿宋" w:hAnsi="仿宋" w:hint="eastAsia"/>
          <w:sz w:val="32"/>
          <w:szCs w:val="32"/>
        </w:rPr>
        <w:t>2014</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日成立并正式办案。法院办公楼坐落于北京市丰台区三顷地甲</w:t>
      </w:r>
      <w:r>
        <w:rPr>
          <w:rFonts w:ascii="仿宋" w:eastAsia="仿宋" w:hAnsi="仿宋" w:hint="eastAsia"/>
          <w:sz w:val="32"/>
          <w:szCs w:val="32"/>
        </w:rPr>
        <w:t>3</w:t>
      </w:r>
      <w:r>
        <w:rPr>
          <w:rFonts w:ascii="仿宋" w:eastAsia="仿宋" w:hAnsi="仿宋" w:hint="eastAsia"/>
          <w:sz w:val="32"/>
          <w:szCs w:val="32"/>
        </w:rPr>
        <w:t>号张仪村路东侧。北京市第四中级人民法院依托北京铁路运输中级法院成立，并保留了北京铁路运输中级法院的名称和规格，单位性质为国家审判机关。根据北京市委机构编制委员会办公室批复（京编委〔</w:t>
      </w:r>
      <w:r>
        <w:rPr>
          <w:rFonts w:ascii="仿宋" w:eastAsia="仿宋" w:hAnsi="仿宋" w:hint="eastAsia"/>
          <w:sz w:val="32"/>
          <w:szCs w:val="32"/>
        </w:rPr>
        <w:t>2015</w:t>
      </w:r>
      <w:r>
        <w:rPr>
          <w:rFonts w:ascii="仿宋" w:eastAsia="仿宋" w:hAnsi="仿宋" w:hint="eastAsia"/>
          <w:sz w:val="32"/>
          <w:szCs w:val="32"/>
        </w:rPr>
        <w:t>〕</w:t>
      </w:r>
      <w:r>
        <w:rPr>
          <w:rFonts w:ascii="仿宋" w:eastAsia="仿宋" w:hAnsi="仿宋" w:hint="eastAsia"/>
          <w:sz w:val="32"/>
          <w:szCs w:val="32"/>
        </w:rPr>
        <w:t>40</w:t>
      </w:r>
      <w:r>
        <w:rPr>
          <w:rFonts w:ascii="仿宋" w:eastAsia="仿宋" w:hAnsi="仿宋" w:hint="eastAsia"/>
          <w:sz w:val="32"/>
          <w:szCs w:val="32"/>
        </w:rPr>
        <w:t>号、京编办复〔</w:t>
      </w:r>
      <w:r>
        <w:rPr>
          <w:rFonts w:ascii="仿宋" w:eastAsia="仿宋" w:hAnsi="仿宋" w:hint="eastAsia"/>
          <w:sz w:val="32"/>
          <w:szCs w:val="32"/>
        </w:rPr>
        <w:t>2021</w:t>
      </w:r>
      <w:r>
        <w:rPr>
          <w:rFonts w:ascii="仿宋" w:eastAsia="仿宋" w:hAnsi="仿宋" w:hint="eastAsia"/>
          <w:sz w:val="32"/>
          <w:szCs w:val="32"/>
        </w:rPr>
        <w:t>〕</w:t>
      </w:r>
      <w:r>
        <w:rPr>
          <w:rFonts w:ascii="仿宋" w:eastAsia="仿宋" w:hAnsi="仿宋" w:hint="eastAsia"/>
          <w:sz w:val="32"/>
          <w:szCs w:val="32"/>
        </w:rPr>
        <w:t>51</w:t>
      </w:r>
      <w:r>
        <w:rPr>
          <w:rFonts w:ascii="仿宋" w:eastAsia="仿宋" w:hAnsi="仿宋" w:hint="eastAsia"/>
          <w:sz w:val="32"/>
          <w:szCs w:val="32"/>
        </w:rPr>
        <w:t>号），内设立案庭、刑事审判庭、民事审判庭、行政审判庭、综合审判监督庭、执行局、综合办公室、审判管理办公室（研究室）、司法警察支队和督察室等</w:t>
      </w:r>
      <w:r>
        <w:rPr>
          <w:rFonts w:ascii="仿宋" w:eastAsia="仿宋" w:hAnsi="仿宋" w:hint="eastAsia"/>
          <w:sz w:val="32"/>
          <w:szCs w:val="32"/>
        </w:rPr>
        <w:t>10</w:t>
      </w:r>
      <w:r>
        <w:rPr>
          <w:rFonts w:ascii="仿宋" w:eastAsia="仿宋" w:hAnsi="仿宋" w:hint="eastAsia"/>
          <w:sz w:val="32"/>
          <w:szCs w:val="32"/>
        </w:rPr>
        <w:t>个机构和机关党委。民事审</w:t>
      </w:r>
      <w:r>
        <w:rPr>
          <w:rFonts w:ascii="仿宋" w:eastAsia="仿宋" w:hAnsi="仿宋" w:hint="eastAsia"/>
          <w:sz w:val="32"/>
          <w:szCs w:val="32"/>
        </w:rPr>
        <w:t>判庭对外可以北京国际商事法庭名义开展工作。</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部门职责工作任务情况</w:t>
      </w:r>
    </w:p>
    <w:p w:rsidR="006F09F9" w:rsidRDefault="002A6499">
      <w:pPr>
        <w:spacing w:line="600" w:lineRule="exact"/>
        <w:ind w:firstLineChars="200" w:firstLine="640"/>
        <w:rPr>
          <w:rFonts w:ascii="仿宋_GB2312" w:eastAsia="仿宋_GB2312" w:hAnsi="仿宋"/>
          <w:sz w:val="32"/>
          <w:szCs w:val="32"/>
        </w:rPr>
      </w:pPr>
      <w:r>
        <w:rPr>
          <w:rFonts w:ascii="仿宋" w:eastAsia="仿宋" w:hAnsi="仿宋" w:hint="eastAsia"/>
          <w:sz w:val="32"/>
          <w:szCs w:val="32"/>
        </w:rPr>
        <w:t>北京市第四中级人民法院案件管辖范围主要包括：以本市区人民政府为被告的一审行政案件、提起上诉的案件；本市人民法</w:t>
      </w:r>
      <w:r>
        <w:rPr>
          <w:rFonts w:ascii="仿宋" w:eastAsia="仿宋" w:hAnsi="仿宋" w:hint="eastAsia"/>
          <w:sz w:val="32"/>
          <w:szCs w:val="32"/>
        </w:rPr>
        <w:lastRenderedPageBreak/>
        <w:t>院管辖、标的额</w:t>
      </w:r>
      <w:r>
        <w:rPr>
          <w:rFonts w:ascii="仿宋" w:eastAsia="仿宋" w:hAnsi="仿宋" w:hint="eastAsia"/>
          <w:sz w:val="32"/>
          <w:szCs w:val="32"/>
        </w:rPr>
        <w:t>50</w:t>
      </w:r>
      <w:r>
        <w:rPr>
          <w:rFonts w:ascii="仿宋" w:eastAsia="仿宋" w:hAnsi="仿宋" w:hint="eastAsia"/>
          <w:sz w:val="32"/>
          <w:szCs w:val="32"/>
        </w:rPr>
        <w:t>亿元以下的一审涉外及涉港澳台商事案件（金融案件除外）；跨地区的重大环境资源保护案件、重大食品药品安全一审案件；本市人民法院管辖的申请承认和执行外国及港澳台地区仲裁裁决、民事判决案件；本市人民法院管辖的申请确认仲裁协议效力或撤销仲裁裁决的案件；市人民检察院第四分院提起公诉的案件；对北京互联网法院作出的判决、裁定提起上</w:t>
      </w:r>
      <w:r>
        <w:rPr>
          <w:rFonts w:ascii="仿宋" w:eastAsia="仿宋" w:hAnsi="仿宋" w:hint="eastAsia"/>
          <w:sz w:val="32"/>
          <w:szCs w:val="32"/>
        </w:rPr>
        <w:t>诉的部分案件；天津铁路运输法院审理的环境保护行政案件上诉案件；京津冀铁路专门管辖一审上诉案件；市高级法院指定管辖的其它特殊案件。北京市第四中级人民法院按照中央司法体制改革的有关要求，努力探索符合跨行政区划法院工作规律的审判运行机制和人员管理模式，不断提升法院审判质效，真正实现“让审理者裁判，由裁判者负责”，让人民群众在每一个司法案件中感受到公平正义。</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color w:val="000000"/>
          <w:kern w:val="0"/>
          <w:sz w:val="32"/>
          <w:szCs w:val="32"/>
        </w:rPr>
        <w:t>本部门整体绩效目标的设立，主要依据本部门职责和年度主要工作任务、本部门年度预算安排以及重点项目计划开展情况等。本部门整体绩效目</w:t>
      </w:r>
      <w:r>
        <w:rPr>
          <w:rFonts w:ascii="仿宋" w:eastAsia="仿宋" w:hAnsi="仿宋" w:cs="宋体"/>
          <w:color w:val="000000"/>
          <w:kern w:val="0"/>
          <w:sz w:val="32"/>
          <w:szCs w:val="32"/>
        </w:rPr>
        <w:t>标设立符合本部门职能定位，目标设置合理。</w:t>
      </w:r>
    </w:p>
    <w:p w:rsidR="006F09F9" w:rsidRDefault="002A6499">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w:t>
      </w:r>
      <w:r>
        <w:rPr>
          <w:rFonts w:ascii="仿宋" w:eastAsia="仿宋" w:hAnsi="仿宋" w:cs="宋体"/>
          <w:color w:val="000000"/>
          <w:kern w:val="0"/>
          <w:sz w:val="32"/>
          <w:szCs w:val="32"/>
        </w:rPr>
        <w:t>全年</w:t>
      </w:r>
      <w:r>
        <w:rPr>
          <w:rFonts w:ascii="仿宋" w:eastAsia="仿宋" w:hAnsi="仿宋" w:cs="宋体" w:hint="eastAsia"/>
          <w:color w:val="000000"/>
          <w:kern w:val="0"/>
          <w:sz w:val="32"/>
          <w:szCs w:val="32"/>
        </w:rPr>
        <w:t>预算数</w:t>
      </w:r>
      <w:r>
        <w:rPr>
          <w:rFonts w:ascii="仿宋" w:eastAsia="仿宋" w:hAnsi="仿宋" w:cs="宋体" w:hint="eastAsia"/>
          <w:color w:val="000000"/>
          <w:kern w:val="0"/>
          <w:sz w:val="32"/>
          <w:szCs w:val="32"/>
        </w:rPr>
        <w:t>11327.49</w:t>
      </w:r>
      <w:r>
        <w:rPr>
          <w:rFonts w:ascii="仿宋" w:eastAsia="仿宋" w:hAnsi="仿宋" w:cs="宋体" w:hint="eastAsia"/>
          <w:color w:val="000000"/>
          <w:kern w:val="0"/>
          <w:sz w:val="32"/>
          <w:szCs w:val="32"/>
        </w:rPr>
        <w:t>万元</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其中</w:t>
      </w:r>
      <w:r>
        <w:rPr>
          <w:rFonts w:ascii="仿宋" w:eastAsia="仿宋" w:hAnsi="仿宋" w:cs="宋体"/>
          <w:color w:val="000000"/>
          <w:kern w:val="0"/>
          <w:sz w:val="32"/>
          <w:szCs w:val="32"/>
        </w:rPr>
        <w:t>，基本</w:t>
      </w:r>
      <w:r>
        <w:rPr>
          <w:rFonts w:ascii="仿宋" w:eastAsia="仿宋" w:hAnsi="仿宋" w:cs="宋体" w:hint="eastAsia"/>
          <w:color w:val="000000"/>
          <w:kern w:val="0"/>
          <w:sz w:val="32"/>
          <w:szCs w:val="32"/>
        </w:rPr>
        <w:t>支出</w:t>
      </w:r>
      <w:r>
        <w:rPr>
          <w:rFonts w:ascii="仿宋" w:eastAsia="仿宋" w:hAnsi="仿宋" w:cs="宋体"/>
          <w:color w:val="000000"/>
          <w:kern w:val="0"/>
          <w:sz w:val="32"/>
          <w:szCs w:val="32"/>
        </w:rPr>
        <w:t>预算数</w:t>
      </w:r>
      <w:r>
        <w:rPr>
          <w:rFonts w:ascii="仿宋" w:eastAsia="仿宋" w:hAnsi="仿宋" w:cs="宋体" w:hint="eastAsia"/>
          <w:color w:val="000000"/>
          <w:kern w:val="0"/>
          <w:sz w:val="32"/>
          <w:szCs w:val="32"/>
        </w:rPr>
        <w:t>7535.00</w:t>
      </w:r>
      <w:r>
        <w:rPr>
          <w:rFonts w:ascii="仿宋" w:eastAsia="仿宋" w:hAnsi="仿宋" w:cs="宋体"/>
          <w:color w:val="000000"/>
          <w:kern w:val="0"/>
          <w:sz w:val="32"/>
          <w:szCs w:val="32"/>
        </w:rPr>
        <w:t>万元，</w:t>
      </w:r>
      <w:r>
        <w:rPr>
          <w:rFonts w:ascii="仿宋" w:eastAsia="仿宋" w:hAnsi="仿宋" w:cs="宋体" w:hint="eastAsia"/>
          <w:color w:val="000000"/>
          <w:kern w:val="0"/>
          <w:sz w:val="32"/>
          <w:szCs w:val="32"/>
        </w:rPr>
        <w:t>项目支出预算数</w:t>
      </w:r>
      <w:r>
        <w:rPr>
          <w:rFonts w:ascii="仿宋" w:eastAsia="仿宋" w:hAnsi="仿宋" w:cs="宋体" w:hint="eastAsia"/>
          <w:color w:val="000000"/>
          <w:kern w:val="0"/>
          <w:sz w:val="32"/>
          <w:szCs w:val="32"/>
        </w:rPr>
        <w:t>3792.49</w:t>
      </w:r>
      <w:r>
        <w:rPr>
          <w:rFonts w:ascii="仿宋" w:eastAsia="仿宋" w:hAnsi="仿宋" w:cs="宋体"/>
          <w:color w:val="000000"/>
          <w:kern w:val="0"/>
          <w:sz w:val="32"/>
          <w:szCs w:val="32"/>
        </w:rPr>
        <w:t>万元，其他支出</w:t>
      </w:r>
      <w:r>
        <w:rPr>
          <w:rFonts w:ascii="仿宋" w:eastAsia="仿宋" w:hAnsi="仿宋" w:cs="宋体" w:hint="eastAsia"/>
          <w:color w:val="000000"/>
          <w:kern w:val="0"/>
          <w:sz w:val="32"/>
          <w:szCs w:val="32"/>
        </w:rPr>
        <w:t>预算数</w:t>
      </w:r>
      <w:r>
        <w:rPr>
          <w:rFonts w:ascii="仿宋" w:eastAsia="仿宋" w:hAnsi="仿宋" w:cs="宋体" w:hint="eastAsia"/>
          <w:color w:val="000000"/>
          <w:kern w:val="0"/>
          <w:sz w:val="32"/>
          <w:szCs w:val="32"/>
        </w:rPr>
        <w:t>0</w:t>
      </w:r>
      <w:r>
        <w:rPr>
          <w:rFonts w:ascii="仿宋" w:eastAsia="仿宋" w:hAnsi="仿宋" w:cs="宋体"/>
          <w:color w:val="000000"/>
          <w:kern w:val="0"/>
          <w:sz w:val="32"/>
          <w:szCs w:val="32"/>
        </w:rPr>
        <w:t>万元</w:t>
      </w:r>
      <w:r>
        <w:rPr>
          <w:rFonts w:ascii="仿宋" w:eastAsia="仿宋" w:hAnsi="仿宋" w:cs="宋体" w:hint="eastAsia"/>
          <w:color w:val="000000"/>
          <w:kern w:val="0"/>
          <w:sz w:val="32"/>
          <w:szCs w:val="32"/>
        </w:rPr>
        <w:t>。</w:t>
      </w:r>
      <w:r>
        <w:rPr>
          <w:rFonts w:ascii="仿宋" w:eastAsia="仿宋" w:hAnsi="仿宋" w:cs="宋体"/>
          <w:color w:val="000000"/>
          <w:kern w:val="0"/>
          <w:sz w:val="32"/>
          <w:szCs w:val="32"/>
        </w:rPr>
        <w:t>资金总体</w:t>
      </w:r>
      <w:r>
        <w:rPr>
          <w:rFonts w:ascii="仿宋" w:eastAsia="仿宋" w:hAnsi="仿宋" w:cs="宋体" w:hint="eastAsia"/>
          <w:color w:val="000000"/>
          <w:kern w:val="0"/>
          <w:sz w:val="32"/>
          <w:szCs w:val="32"/>
        </w:rPr>
        <w:t>支出</w:t>
      </w:r>
      <w:r>
        <w:rPr>
          <w:rFonts w:ascii="仿宋" w:eastAsia="仿宋" w:hAnsi="仿宋" w:cs="宋体" w:hint="eastAsia"/>
          <w:color w:val="000000"/>
          <w:kern w:val="0"/>
          <w:sz w:val="32"/>
          <w:szCs w:val="32"/>
        </w:rPr>
        <w:t>11238.51</w:t>
      </w:r>
      <w:r>
        <w:rPr>
          <w:rFonts w:ascii="仿宋" w:eastAsia="仿宋" w:hAnsi="仿宋" w:cs="宋体"/>
          <w:color w:val="000000"/>
          <w:kern w:val="0"/>
          <w:sz w:val="32"/>
          <w:szCs w:val="32"/>
        </w:rPr>
        <w:t>万元，其中，基本支出</w:t>
      </w:r>
      <w:r>
        <w:rPr>
          <w:rFonts w:ascii="仿宋" w:eastAsia="仿宋" w:hAnsi="仿宋" w:cs="宋体" w:hint="eastAsia"/>
          <w:color w:val="000000"/>
          <w:kern w:val="0"/>
          <w:sz w:val="32"/>
          <w:szCs w:val="32"/>
        </w:rPr>
        <w:t>7497.20</w:t>
      </w:r>
      <w:r>
        <w:rPr>
          <w:rFonts w:ascii="仿宋" w:eastAsia="仿宋" w:hAnsi="仿宋" w:cs="宋体"/>
          <w:color w:val="000000"/>
          <w:kern w:val="0"/>
          <w:sz w:val="32"/>
          <w:szCs w:val="32"/>
        </w:rPr>
        <w:t>万元，项目</w:t>
      </w:r>
      <w:r>
        <w:rPr>
          <w:rFonts w:ascii="仿宋" w:eastAsia="仿宋" w:hAnsi="仿宋" w:cs="宋体" w:hint="eastAsia"/>
          <w:color w:val="000000"/>
          <w:kern w:val="0"/>
          <w:sz w:val="32"/>
          <w:szCs w:val="32"/>
        </w:rPr>
        <w:t>支出</w:t>
      </w:r>
      <w:r>
        <w:rPr>
          <w:rFonts w:ascii="仿宋" w:eastAsia="仿宋" w:hAnsi="仿宋" w:cs="宋体" w:hint="eastAsia"/>
          <w:color w:val="000000"/>
          <w:kern w:val="0"/>
          <w:sz w:val="32"/>
          <w:szCs w:val="32"/>
        </w:rPr>
        <w:t>3741.30</w:t>
      </w:r>
      <w:r>
        <w:rPr>
          <w:rFonts w:ascii="仿宋" w:eastAsia="仿宋" w:hAnsi="仿宋" w:cs="宋体"/>
          <w:color w:val="000000"/>
          <w:kern w:val="0"/>
          <w:sz w:val="32"/>
          <w:szCs w:val="32"/>
        </w:rPr>
        <w:t>万元，其他支出</w:t>
      </w:r>
      <w:r>
        <w:rPr>
          <w:rFonts w:ascii="仿宋" w:eastAsia="仿宋" w:hAnsi="仿宋" w:cs="宋体" w:hint="eastAsia"/>
          <w:color w:val="000000"/>
          <w:kern w:val="0"/>
          <w:sz w:val="32"/>
          <w:szCs w:val="32"/>
        </w:rPr>
        <w:t>0</w:t>
      </w:r>
      <w:r>
        <w:rPr>
          <w:rFonts w:ascii="仿宋" w:eastAsia="仿宋" w:hAnsi="仿宋" w:cs="宋体"/>
          <w:color w:val="000000"/>
          <w:kern w:val="0"/>
          <w:sz w:val="32"/>
          <w:szCs w:val="32"/>
        </w:rPr>
        <w:t>万元。</w:t>
      </w:r>
      <w:r>
        <w:rPr>
          <w:rFonts w:ascii="仿宋" w:eastAsia="仿宋" w:hAnsi="仿宋" w:cs="宋体" w:hint="eastAsia"/>
          <w:color w:val="000000"/>
          <w:kern w:val="0"/>
          <w:sz w:val="32"/>
          <w:szCs w:val="32"/>
        </w:rPr>
        <w:t>预算</w:t>
      </w:r>
      <w:r>
        <w:rPr>
          <w:rFonts w:ascii="仿宋" w:eastAsia="仿宋" w:hAnsi="仿宋" w:cs="宋体"/>
          <w:color w:val="000000"/>
          <w:kern w:val="0"/>
          <w:sz w:val="32"/>
          <w:szCs w:val="32"/>
        </w:rPr>
        <w:t>执行率为</w:t>
      </w:r>
      <w:r>
        <w:rPr>
          <w:rFonts w:ascii="仿宋" w:eastAsia="仿宋" w:hAnsi="仿宋" w:cs="宋体" w:hint="eastAsia"/>
          <w:color w:val="000000"/>
          <w:kern w:val="0"/>
          <w:sz w:val="32"/>
          <w:szCs w:val="32"/>
        </w:rPr>
        <w:t>99.21%</w:t>
      </w:r>
      <w:r>
        <w:rPr>
          <w:rFonts w:ascii="仿宋" w:eastAsia="仿宋" w:hAnsi="仿宋" w:cs="宋体" w:hint="eastAsia"/>
          <w:color w:val="000000"/>
          <w:kern w:val="0"/>
          <w:sz w:val="32"/>
          <w:szCs w:val="32"/>
        </w:rPr>
        <w:t>。</w:t>
      </w:r>
    </w:p>
    <w:p w:rsidR="006F09F9" w:rsidRDefault="002A6499">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lastRenderedPageBreak/>
        <w:t>三</w:t>
      </w:r>
      <w:r>
        <w:rPr>
          <w:rFonts w:ascii="黑体" w:eastAsia="黑体" w:hAnsi="黑体" w:cs="宋体"/>
          <w:color w:val="000000"/>
          <w:kern w:val="0"/>
          <w:sz w:val="32"/>
          <w:szCs w:val="32"/>
        </w:rPr>
        <w:t>、整体绩效目标实现情况</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（一）产出完成情况分析</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Pr>
          <w:rFonts w:ascii="仿宋" w:eastAsia="仿宋" w:hAnsi="仿宋" w:cs="宋体" w:hint="eastAsia"/>
          <w:color w:val="000000"/>
          <w:kern w:val="0"/>
          <w:sz w:val="32"/>
          <w:szCs w:val="32"/>
        </w:rPr>
        <w:t>产出数量</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年度，本部门主要产出数量指标如下：</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sz w:val="32"/>
          <w:szCs w:val="32"/>
        </w:rPr>
        <w:t>①充分发挥案件管辖职能优势，大力实施涉外商事审判精品战略，加大涉网案件审理力度，着力提升环境公益诉讼案件审判质效，进一步做好仲裁审查，切实以高质量司法服务助力首都高质量发展。全年共受理各类案件</w:t>
      </w:r>
      <w:r>
        <w:rPr>
          <w:rFonts w:ascii="仿宋" w:eastAsia="仿宋" w:hAnsi="仿宋" w:hint="eastAsia"/>
          <w:sz w:val="32"/>
          <w:szCs w:val="32"/>
        </w:rPr>
        <w:t>4459</w:t>
      </w:r>
      <w:r>
        <w:rPr>
          <w:rFonts w:ascii="仿宋" w:eastAsia="仿宋" w:hAnsi="仿宋" w:hint="eastAsia"/>
          <w:sz w:val="32"/>
          <w:szCs w:val="32"/>
        </w:rPr>
        <w:t>件，结案</w:t>
      </w:r>
      <w:r>
        <w:rPr>
          <w:rFonts w:ascii="仿宋" w:eastAsia="仿宋" w:hAnsi="仿宋" w:hint="eastAsia"/>
          <w:sz w:val="32"/>
          <w:szCs w:val="32"/>
        </w:rPr>
        <w:t>4415</w:t>
      </w:r>
      <w:r>
        <w:rPr>
          <w:rFonts w:ascii="仿宋" w:eastAsia="仿宋" w:hAnsi="仿宋" w:hint="eastAsia"/>
          <w:sz w:val="32"/>
          <w:szCs w:val="32"/>
        </w:rPr>
        <w:t>件。</w:t>
      </w:r>
    </w:p>
    <w:p w:rsidR="006F09F9" w:rsidRDefault="002A649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t>②全年完成审判卷宗随案同步生成扫描及校核</w:t>
      </w:r>
      <w:r>
        <w:rPr>
          <w:rFonts w:ascii="仿宋" w:eastAsia="仿宋" w:hAnsi="仿宋" w:cs="宋体" w:hint="eastAsia"/>
          <w:sz w:val="32"/>
          <w:szCs w:val="32"/>
        </w:rPr>
        <w:t>2095</w:t>
      </w:r>
      <w:r>
        <w:rPr>
          <w:rFonts w:ascii="仿宋" w:eastAsia="仿宋" w:hAnsi="仿宋" w:cs="宋体" w:hint="eastAsia"/>
          <w:sz w:val="32"/>
          <w:szCs w:val="32"/>
        </w:rPr>
        <w:t>卷，共计</w:t>
      </w:r>
      <w:r>
        <w:rPr>
          <w:rFonts w:ascii="仿宋" w:eastAsia="仿宋" w:hAnsi="仿宋" w:cs="宋体" w:hint="eastAsia"/>
          <w:sz w:val="32"/>
          <w:szCs w:val="32"/>
        </w:rPr>
        <w:t>75.35</w:t>
      </w:r>
      <w:r>
        <w:rPr>
          <w:rFonts w:ascii="仿宋" w:eastAsia="仿宋" w:hAnsi="仿宋" w:cs="宋体" w:hint="eastAsia"/>
          <w:sz w:val="32"/>
          <w:szCs w:val="32"/>
        </w:rPr>
        <w:t>万页，电子卷宗扫描率</w:t>
      </w:r>
      <w:r>
        <w:rPr>
          <w:rFonts w:ascii="仿宋" w:eastAsia="仿宋" w:hAnsi="仿宋" w:cs="宋体" w:hint="eastAsia"/>
          <w:sz w:val="32"/>
          <w:szCs w:val="32"/>
        </w:rPr>
        <w:t>99.92%</w:t>
      </w:r>
      <w:r>
        <w:rPr>
          <w:rFonts w:ascii="仿宋" w:eastAsia="仿宋" w:hAnsi="仿宋" w:cs="宋体" w:hint="eastAsia"/>
          <w:sz w:val="32"/>
          <w:szCs w:val="32"/>
        </w:rPr>
        <w:t>，有效保证电子卷宗在审判过程中的流转与使用；完成诉讼档案卷宗数字化加工</w:t>
      </w:r>
      <w:r>
        <w:rPr>
          <w:rFonts w:ascii="仿宋" w:eastAsia="仿宋" w:hAnsi="仿宋" w:cs="宋体" w:hint="eastAsia"/>
          <w:sz w:val="32"/>
          <w:szCs w:val="32"/>
        </w:rPr>
        <w:t>3729</w:t>
      </w:r>
      <w:r>
        <w:rPr>
          <w:rFonts w:ascii="仿宋" w:eastAsia="仿宋" w:hAnsi="仿宋" w:cs="宋体" w:hint="eastAsia"/>
          <w:sz w:val="32"/>
          <w:szCs w:val="32"/>
        </w:rPr>
        <w:t>卷，共计</w:t>
      </w:r>
      <w:r>
        <w:rPr>
          <w:rFonts w:ascii="仿宋" w:eastAsia="仿宋" w:hAnsi="仿宋" w:cs="宋体" w:hint="eastAsia"/>
          <w:sz w:val="32"/>
          <w:szCs w:val="32"/>
        </w:rPr>
        <w:t>8481</w:t>
      </w:r>
      <w:r>
        <w:rPr>
          <w:rFonts w:ascii="仿宋" w:eastAsia="仿宋" w:hAnsi="仿宋" w:cs="宋体" w:hint="eastAsia"/>
          <w:sz w:val="32"/>
          <w:szCs w:val="32"/>
        </w:rPr>
        <w:t>册、</w:t>
      </w:r>
      <w:r>
        <w:rPr>
          <w:rFonts w:ascii="仿宋" w:eastAsia="仿宋" w:hAnsi="仿宋" w:cs="宋体" w:hint="eastAsia"/>
          <w:sz w:val="32"/>
          <w:szCs w:val="32"/>
        </w:rPr>
        <w:t>74.81</w:t>
      </w:r>
      <w:r>
        <w:rPr>
          <w:rFonts w:ascii="仿宋" w:eastAsia="仿宋" w:hAnsi="仿宋" w:cs="宋体" w:hint="eastAsia"/>
          <w:sz w:val="32"/>
          <w:szCs w:val="32"/>
        </w:rPr>
        <w:t>万页。</w:t>
      </w:r>
    </w:p>
    <w:p w:rsidR="006F09F9" w:rsidRDefault="002A6499">
      <w:pPr>
        <w:spacing w:line="600" w:lineRule="exact"/>
        <w:ind w:firstLineChars="200" w:firstLine="640"/>
        <w:rPr>
          <w:rFonts w:ascii="仿宋" w:eastAsia="仿宋" w:hAnsi="仿宋" w:cs="宋体"/>
          <w:sz w:val="32"/>
          <w:szCs w:val="32"/>
        </w:rPr>
      </w:pPr>
      <w:r>
        <w:rPr>
          <w:rFonts w:ascii="仿宋" w:eastAsia="仿宋" w:hAnsi="仿宋" w:hint="eastAsia"/>
          <w:sz w:val="32"/>
          <w:szCs w:val="32"/>
        </w:rPr>
        <w:t>③积极围绕行使北京国际商事法庭和北京法院国际商事纠纷一站式多元解纷中心职能，</w:t>
      </w:r>
      <w:r>
        <w:rPr>
          <w:rFonts w:ascii="仿宋" w:eastAsia="仿宋" w:hAnsi="仿宋" w:hint="eastAsia"/>
          <w:sz w:val="32"/>
          <w:szCs w:val="32"/>
        </w:rPr>
        <w:t>创新新闻舆论工作，强化法制宣传。全年共计组织召开审判业务相关新闻通报会</w:t>
      </w:r>
      <w:r>
        <w:rPr>
          <w:rFonts w:ascii="仿宋" w:eastAsia="仿宋" w:hAnsi="仿宋" w:hint="eastAsia"/>
          <w:sz w:val="32"/>
          <w:szCs w:val="32"/>
        </w:rPr>
        <w:t>6</w:t>
      </w:r>
      <w:r>
        <w:rPr>
          <w:rFonts w:ascii="仿宋" w:eastAsia="仿宋" w:hAnsi="仿宋" w:hint="eastAsia"/>
          <w:sz w:val="32"/>
          <w:szCs w:val="32"/>
        </w:rPr>
        <w:t>场，发布各类普法图文音视频</w:t>
      </w:r>
      <w:r>
        <w:rPr>
          <w:rFonts w:ascii="仿宋" w:eastAsia="仿宋" w:hAnsi="仿宋" w:hint="eastAsia"/>
          <w:sz w:val="32"/>
          <w:szCs w:val="32"/>
        </w:rPr>
        <w:t>100</w:t>
      </w:r>
      <w:r>
        <w:rPr>
          <w:rFonts w:ascii="仿宋" w:eastAsia="仿宋" w:hAnsi="仿宋" w:hint="eastAsia"/>
          <w:sz w:val="32"/>
          <w:szCs w:val="32"/>
        </w:rPr>
        <w:t>余条。</w:t>
      </w:r>
    </w:p>
    <w:p w:rsidR="006F09F9" w:rsidRDefault="002A649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t>④严格按照《政府采购法》及实施条例的相关要求使用业务装备经费购置相关设备，以服务北京国际商事法庭和审判信息化机房正常运转为重点，努力提升部门履职能力和效果，全年共计采购各类设备</w:t>
      </w:r>
      <w:r>
        <w:rPr>
          <w:rFonts w:ascii="仿宋" w:eastAsia="仿宋" w:hAnsi="仿宋" w:cs="宋体" w:hint="eastAsia"/>
          <w:sz w:val="32"/>
          <w:szCs w:val="32"/>
        </w:rPr>
        <w:t>65</w:t>
      </w:r>
      <w:r>
        <w:rPr>
          <w:rFonts w:ascii="仿宋" w:eastAsia="仿宋" w:hAnsi="仿宋" w:cs="宋体" w:hint="eastAsia"/>
          <w:sz w:val="32"/>
          <w:szCs w:val="32"/>
        </w:rPr>
        <w:t>台（套）。</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Pr>
          <w:rFonts w:ascii="仿宋" w:eastAsia="仿宋" w:hAnsi="仿宋" w:cs="宋体" w:hint="eastAsia"/>
          <w:color w:val="000000"/>
          <w:kern w:val="0"/>
          <w:sz w:val="32"/>
          <w:szCs w:val="32"/>
        </w:rPr>
        <w:t>产出</w:t>
      </w:r>
      <w:r>
        <w:rPr>
          <w:rFonts w:ascii="仿宋" w:eastAsia="仿宋" w:hAnsi="仿宋" w:cs="宋体"/>
          <w:color w:val="000000"/>
          <w:kern w:val="0"/>
          <w:sz w:val="32"/>
          <w:szCs w:val="32"/>
        </w:rPr>
        <w:t>质量</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年度，本部门主要产出质量指标如下：</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hint="eastAsia"/>
          <w:sz w:val="32"/>
          <w:szCs w:val="32"/>
        </w:rPr>
        <w:t>①认真贯彻落实《最高人民法院关于涉外民商事案件管辖若</w:t>
      </w:r>
      <w:r>
        <w:rPr>
          <w:rFonts w:ascii="仿宋" w:eastAsia="仿宋" w:hAnsi="仿宋" w:hint="eastAsia"/>
          <w:sz w:val="32"/>
          <w:szCs w:val="32"/>
        </w:rPr>
        <w:lastRenderedPageBreak/>
        <w:t>干问题的规定》，充分研判管辖调整后的新形势、新任务，强化审判工作质效，全年案件结收比到达</w:t>
      </w:r>
      <w:r>
        <w:rPr>
          <w:rFonts w:ascii="仿宋" w:eastAsia="仿宋" w:hAnsi="仿宋" w:hint="eastAsia"/>
          <w:sz w:val="32"/>
          <w:szCs w:val="32"/>
        </w:rPr>
        <w:t>99.01%</w:t>
      </w:r>
      <w:r>
        <w:rPr>
          <w:rFonts w:ascii="仿宋" w:eastAsia="仿宋" w:hAnsi="仿宋" w:hint="eastAsia"/>
          <w:sz w:val="32"/>
          <w:szCs w:val="32"/>
        </w:rPr>
        <w:t>。</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sz w:val="32"/>
          <w:szCs w:val="32"/>
        </w:rPr>
        <w:t>②持续加强电子信息技术服务保障审判工作应用，不断拓展电子信息共享，确保电子档案清晰和查阅系统的正常运行，为诉讼当事人提供了充足、便捷、优质的诉讼服务。</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hint="eastAsia"/>
          <w:sz w:val="32"/>
          <w:szCs w:val="32"/>
        </w:rPr>
        <w:t>③</w:t>
      </w:r>
      <w:r>
        <w:rPr>
          <w:rFonts w:ascii="仿宋" w:eastAsia="仿宋" w:hAnsi="仿宋" w:cs="宋体" w:hint="eastAsia"/>
          <w:color w:val="000000"/>
          <w:kern w:val="0"/>
          <w:sz w:val="32"/>
          <w:szCs w:val="32"/>
        </w:rPr>
        <w:t>在开展法制宣传和理论研究方面，</w:t>
      </w:r>
      <w:r>
        <w:rPr>
          <w:rFonts w:ascii="仿宋" w:eastAsia="仿宋" w:hAnsi="仿宋" w:hint="eastAsia"/>
          <w:sz w:val="32"/>
          <w:szCs w:val="32"/>
        </w:rPr>
        <w:t>积极发挥官方自媒体作用，守牢意识形态阵地、传递正能量、营造良好氛围，有力提升单位在社会公众中的影响，为公正司法和司法公开打开新局面。</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sz w:val="32"/>
          <w:szCs w:val="32"/>
        </w:rPr>
        <w:t>④</w:t>
      </w:r>
      <w:r>
        <w:rPr>
          <w:rFonts w:ascii="仿宋" w:eastAsia="仿宋" w:hAnsi="仿宋" w:cs="宋体"/>
          <w:color w:val="000000"/>
          <w:kern w:val="0"/>
          <w:sz w:val="32"/>
          <w:szCs w:val="32"/>
        </w:rPr>
        <w:t>设备采购紧密结合部门职责发展变化需求</w:t>
      </w:r>
      <w:r>
        <w:rPr>
          <w:rFonts w:ascii="仿宋" w:eastAsia="仿宋" w:hAnsi="仿宋" w:cs="宋体"/>
          <w:color w:val="000000"/>
          <w:kern w:val="0"/>
          <w:sz w:val="32"/>
          <w:szCs w:val="32"/>
        </w:rPr>
        <w:t>，</w:t>
      </w:r>
      <w:r>
        <w:rPr>
          <w:rFonts w:ascii="仿宋" w:eastAsia="仿宋" w:hAnsi="仿宋" w:cs="宋体" w:hint="eastAsia"/>
          <w:sz w:val="32"/>
          <w:szCs w:val="32"/>
        </w:rPr>
        <w:t>优先保障审判执行业务需求，积极应对疫情防控工作需要；</w:t>
      </w:r>
      <w:r>
        <w:rPr>
          <w:rFonts w:ascii="仿宋" w:eastAsia="仿宋" w:hAnsi="仿宋" w:cs="宋体"/>
          <w:color w:val="000000"/>
          <w:kern w:val="0"/>
          <w:sz w:val="32"/>
          <w:szCs w:val="32"/>
        </w:rPr>
        <w:t>同时，厉行节约，有力控制新增资产配置，</w:t>
      </w:r>
      <w:r>
        <w:rPr>
          <w:rFonts w:ascii="仿宋" w:eastAsia="仿宋" w:hAnsi="仿宋" w:hint="eastAsia"/>
          <w:sz w:val="32"/>
          <w:szCs w:val="32"/>
        </w:rPr>
        <w:t>避免超标准和国有资产浪费。</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r>
        <w:rPr>
          <w:rFonts w:ascii="仿宋" w:eastAsia="仿宋" w:hAnsi="仿宋" w:cs="宋体" w:hint="eastAsia"/>
          <w:color w:val="000000"/>
          <w:kern w:val="0"/>
          <w:sz w:val="32"/>
          <w:szCs w:val="32"/>
        </w:rPr>
        <w:t>产出</w:t>
      </w:r>
      <w:r>
        <w:rPr>
          <w:rFonts w:ascii="仿宋" w:eastAsia="仿宋" w:hAnsi="仿宋" w:cs="宋体"/>
          <w:color w:val="000000"/>
          <w:kern w:val="0"/>
          <w:sz w:val="32"/>
          <w:szCs w:val="32"/>
        </w:rPr>
        <w:t>进度</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color w:val="000000"/>
          <w:kern w:val="0"/>
          <w:sz w:val="32"/>
          <w:szCs w:val="32"/>
        </w:rPr>
        <w:t>因审判机关工作特殊性和案件受理的不确定性，本部门不适用产出进度指标。</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color w:val="000000"/>
          <w:kern w:val="0"/>
          <w:sz w:val="32"/>
          <w:szCs w:val="32"/>
        </w:rPr>
        <w:t>4.</w:t>
      </w:r>
      <w:r>
        <w:rPr>
          <w:rFonts w:ascii="仿宋" w:eastAsia="仿宋" w:hAnsi="仿宋" w:cs="宋体" w:hint="eastAsia"/>
          <w:color w:val="000000"/>
          <w:kern w:val="0"/>
          <w:sz w:val="32"/>
          <w:szCs w:val="32"/>
        </w:rPr>
        <w:t>产出</w:t>
      </w:r>
      <w:r>
        <w:rPr>
          <w:rFonts w:ascii="仿宋" w:eastAsia="仿宋" w:hAnsi="仿宋" w:cs="宋体"/>
          <w:color w:val="000000"/>
          <w:kern w:val="0"/>
          <w:sz w:val="32"/>
          <w:szCs w:val="32"/>
        </w:rPr>
        <w:t>成本</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color w:val="000000"/>
          <w:kern w:val="0"/>
          <w:sz w:val="32"/>
          <w:szCs w:val="32"/>
        </w:rPr>
        <w:t>因审判机关工作特殊性和案件受理的不确定性，本部门不适用产出</w:t>
      </w:r>
      <w:r>
        <w:rPr>
          <w:rFonts w:ascii="仿宋" w:eastAsia="仿宋" w:hAnsi="仿宋" w:cs="宋体" w:hint="eastAsia"/>
          <w:color w:val="000000"/>
          <w:kern w:val="0"/>
          <w:sz w:val="32"/>
          <w:szCs w:val="32"/>
        </w:rPr>
        <w:t>成本</w:t>
      </w:r>
      <w:r>
        <w:rPr>
          <w:rFonts w:ascii="仿宋" w:eastAsia="仿宋" w:hAnsi="仿宋" w:cs="宋体"/>
          <w:color w:val="000000"/>
          <w:kern w:val="0"/>
          <w:sz w:val="32"/>
          <w:szCs w:val="32"/>
        </w:rPr>
        <w:t>指标。</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Pr>
          <w:rFonts w:ascii="仿宋" w:eastAsia="仿宋" w:hAnsi="仿宋" w:cs="宋体" w:hint="eastAsia"/>
          <w:color w:val="000000"/>
          <w:kern w:val="0"/>
          <w:sz w:val="32"/>
          <w:szCs w:val="32"/>
        </w:rPr>
        <w:t>经济</w:t>
      </w:r>
      <w:r>
        <w:rPr>
          <w:rFonts w:ascii="仿宋" w:eastAsia="仿宋" w:hAnsi="仿宋" w:cs="宋体"/>
          <w:color w:val="000000"/>
          <w:kern w:val="0"/>
          <w:sz w:val="32"/>
          <w:szCs w:val="32"/>
        </w:rPr>
        <w:t>效益</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年度，本部门用于维持机构日常运转成本支出（主要包括水、电、暖、物业及维护费用）合计</w:t>
      </w:r>
      <w:r>
        <w:rPr>
          <w:rFonts w:ascii="仿宋" w:eastAsia="仿宋" w:hAnsi="仿宋" w:cs="宋体" w:hint="eastAsia"/>
          <w:color w:val="000000"/>
          <w:kern w:val="0"/>
          <w:sz w:val="32"/>
          <w:szCs w:val="32"/>
        </w:rPr>
        <w:t>451.40</w:t>
      </w:r>
      <w:r>
        <w:rPr>
          <w:rFonts w:ascii="仿宋" w:eastAsia="仿宋" w:hAnsi="仿宋" w:cs="宋体" w:hint="eastAsia"/>
          <w:color w:val="000000"/>
          <w:kern w:val="0"/>
          <w:sz w:val="32"/>
          <w:szCs w:val="32"/>
        </w:rPr>
        <w:t>万元，同比上年度</w:t>
      </w:r>
      <w:r>
        <w:rPr>
          <w:rFonts w:ascii="仿宋" w:eastAsia="仿宋" w:hAnsi="仿宋" w:cs="宋体" w:hint="eastAsia"/>
          <w:color w:val="000000"/>
          <w:kern w:val="0"/>
          <w:sz w:val="32"/>
          <w:szCs w:val="32"/>
        </w:rPr>
        <w:t>460.60</w:t>
      </w:r>
      <w:r>
        <w:rPr>
          <w:rFonts w:ascii="仿宋" w:eastAsia="仿宋" w:hAnsi="仿宋" w:cs="宋体" w:hint="eastAsia"/>
          <w:color w:val="000000"/>
          <w:kern w:val="0"/>
          <w:sz w:val="32"/>
          <w:szCs w:val="32"/>
        </w:rPr>
        <w:t>万元下降</w:t>
      </w:r>
      <w:r>
        <w:rPr>
          <w:rFonts w:ascii="仿宋" w:eastAsia="仿宋" w:hAnsi="仿宋" w:cs="宋体" w:hint="eastAsia"/>
          <w:color w:val="000000"/>
          <w:kern w:val="0"/>
          <w:sz w:val="32"/>
          <w:szCs w:val="32"/>
        </w:rPr>
        <w:t>2%</w:t>
      </w:r>
      <w:r>
        <w:rPr>
          <w:rFonts w:ascii="仿宋" w:eastAsia="仿宋" w:hAnsi="仿宋" w:cs="宋体" w:hint="eastAsia"/>
          <w:color w:val="000000"/>
          <w:kern w:val="0"/>
          <w:sz w:val="32"/>
          <w:szCs w:val="32"/>
        </w:rPr>
        <w:t>，符合降低行政运行成本的预期目标。</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年度，本部门“三公”经费（主要用于公务用车运行</w:t>
      </w:r>
      <w:r>
        <w:rPr>
          <w:rFonts w:ascii="仿宋" w:eastAsia="仿宋" w:hAnsi="仿宋" w:cs="宋体" w:hint="eastAsia"/>
          <w:color w:val="000000"/>
          <w:kern w:val="0"/>
          <w:sz w:val="32"/>
          <w:szCs w:val="32"/>
        </w:rPr>
        <w:lastRenderedPageBreak/>
        <w:t>维护）支出合计</w:t>
      </w:r>
      <w:r>
        <w:rPr>
          <w:rFonts w:ascii="仿宋" w:eastAsia="仿宋" w:hAnsi="仿宋" w:cs="宋体" w:hint="eastAsia"/>
          <w:color w:val="000000"/>
          <w:kern w:val="0"/>
          <w:sz w:val="32"/>
          <w:szCs w:val="32"/>
        </w:rPr>
        <w:t>41.92</w:t>
      </w:r>
      <w:r>
        <w:rPr>
          <w:rFonts w:ascii="仿宋" w:eastAsia="仿宋" w:hAnsi="仿宋" w:cs="宋体" w:hint="eastAsia"/>
          <w:color w:val="000000"/>
          <w:kern w:val="0"/>
          <w:sz w:val="32"/>
          <w:szCs w:val="32"/>
        </w:rPr>
        <w:t>万元，同比上年度</w:t>
      </w:r>
      <w:r>
        <w:rPr>
          <w:rFonts w:ascii="仿宋" w:eastAsia="仿宋" w:hAnsi="仿宋" w:cs="宋体" w:hint="eastAsia"/>
          <w:color w:val="000000"/>
          <w:kern w:val="0"/>
          <w:sz w:val="32"/>
          <w:szCs w:val="32"/>
        </w:rPr>
        <w:t>41.93</w:t>
      </w:r>
      <w:r>
        <w:rPr>
          <w:rFonts w:ascii="仿宋" w:eastAsia="仿宋" w:hAnsi="仿宋" w:cs="宋体" w:hint="eastAsia"/>
          <w:color w:val="000000"/>
          <w:kern w:val="0"/>
          <w:sz w:val="32"/>
          <w:szCs w:val="32"/>
        </w:rPr>
        <w:t>万元减少</w:t>
      </w:r>
      <w:r>
        <w:rPr>
          <w:rFonts w:ascii="仿宋" w:eastAsia="仿宋" w:hAnsi="仿宋" w:cs="宋体" w:hint="eastAsia"/>
          <w:color w:val="000000"/>
          <w:kern w:val="0"/>
          <w:sz w:val="32"/>
          <w:szCs w:val="32"/>
        </w:rPr>
        <w:t>0.01</w:t>
      </w:r>
      <w:r>
        <w:rPr>
          <w:rFonts w:ascii="仿宋" w:eastAsia="仿宋" w:hAnsi="仿宋" w:cs="宋体" w:hint="eastAsia"/>
          <w:color w:val="000000"/>
          <w:kern w:val="0"/>
          <w:sz w:val="32"/>
          <w:szCs w:val="32"/>
        </w:rPr>
        <w:t>万元，符合“三公”经费支出只减不增的目标。</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Pr>
          <w:rFonts w:ascii="仿宋" w:eastAsia="仿宋" w:hAnsi="仿宋" w:cs="宋体" w:hint="eastAsia"/>
          <w:color w:val="000000"/>
          <w:kern w:val="0"/>
          <w:sz w:val="32"/>
          <w:szCs w:val="32"/>
        </w:rPr>
        <w:t>社会效益</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本部门聚焦法治政府建设，着力提升行政案件司法审查能力。为切实保障人民群众诉讼需求和行政案件线上开庭审理需要，优先使用装备经费用于信息化系统运行维护和信息化设备的购置，确保互联网法庭和各类审判业务系统正常运行，有力保障为维护社会稳定和诉讼当事人合法权益，推进政府机关依法行政起到积极促进作用，社会效益明显。</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r>
        <w:rPr>
          <w:rFonts w:ascii="仿宋" w:eastAsia="仿宋" w:hAnsi="仿宋" w:cs="宋体" w:hint="eastAsia"/>
          <w:color w:val="000000"/>
          <w:kern w:val="0"/>
          <w:sz w:val="32"/>
          <w:szCs w:val="32"/>
        </w:rPr>
        <w:t>环境效益</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年度，本部门始终坚持绿色、节约的工作理念，持续加大内部宣传倡导力度，提倡优先选购绿色、环保产品和进一步拓展无纸化办公范围，努力节能降耗。</w:t>
      </w: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年度能源消耗支出（水、电、暖）合计</w:t>
      </w:r>
      <w:r>
        <w:rPr>
          <w:rFonts w:ascii="仿宋" w:eastAsia="仿宋" w:hAnsi="仿宋" w:cs="宋体" w:hint="eastAsia"/>
          <w:color w:val="000000"/>
          <w:kern w:val="0"/>
          <w:sz w:val="32"/>
          <w:szCs w:val="32"/>
        </w:rPr>
        <w:t>252.23</w:t>
      </w:r>
      <w:r>
        <w:rPr>
          <w:rFonts w:ascii="仿宋" w:eastAsia="仿宋" w:hAnsi="仿宋" w:cs="宋体" w:hint="eastAsia"/>
          <w:color w:val="000000"/>
          <w:kern w:val="0"/>
          <w:sz w:val="32"/>
          <w:szCs w:val="32"/>
        </w:rPr>
        <w:t>万元，同比上年度增长</w:t>
      </w:r>
      <w:r>
        <w:rPr>
          <w:rFonts w:ascii="仿宋" w:eastAsia="仿宋" w:hAnsi="仿宋" w:cs="宋体" w:hint="eastAsia"/>
          <w:color w:val="000000"/>
          <w:kern w:val="0"/>
          <w:sz w:val="32"/>
          <w:szCs w:val="32"/>
        </w:rPr>
        <w:t>0.64</w:t>
      </w:r>
      <w:r>
        <w:rPr>
          <w:rFonts w:ascii="仿宋" w:eastAsia="仿宋" w:hAnsi="仿宋" w:cs="宋体" w:hint="eastAsia"/>
          <w:color w:val="000000"/>
          <w:kern w:val="0"/>
          <w:sz w:val="32"/>
          <w:szCs w:val="32"/>
        </w:rPr>
        <w:t>万元，综合疫情形势缓和及复产复工形势好转，能源消耗增长控制在合理范围以内。</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Pr>
          <w:rFonts w:ascii="仿宋" w:eastAsia="仿宋" w:hAnsi="仿宋" w:cs="宋体" w:hint="eastAsia"/>
          <w:color w:val="000000"/>
          <w:kern w:val="0"/>
          <w:sz w:val="32"/>
          <w:szCs w:val="32"/>
        </w:rPr>
        <w:t>可持续</w:t>
      </w:r>
      <w:r>
        <w:rPr>
          <w:rFonts w:ascii="仿宋" w:eastAsia="仿宋" w:hAnsi="仿宋" w:cs="宋体"/>
          <w:color w:val="000000"/>
          <w:kern w:val="0"/>
          <w:sz w:val="32"/>
          <w:szCs w:val="32"/>
        </w:rPr>
        <w:t>性影响效益</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年度，本部门积极探索和实践案件管辖调整赋予新的审判职能工作模式，特别是依托</w:t>
      </w:r>
      <w:r>
        <w:rPr>
          <w:rFonts w:ascii="仿宋" w:eastAsia="仿宋" w:hAnsi="仿宋" w:hint="eastAsia"/>
          <w:sz w:val="32"/>
          <w:szCs w:val="32"/>
        </w:rPr>
        <w:t>北京国际商事法庭和涉外商事案件一站式多元解纷中心，强化在涉外商事案件审判和执行领域的突破，精准</w:t>
      </w:r>
      <w:r>
        <w:rPr>
          <w:rFonts w:ascii="仿宋" w:eastAsia="仿宋" w:hAnsi="仿宋" w:cs="宋体" w:hint="eastAsia"/>
          <w:color w:val="000000"/>
          <w:kern w:val="0"/>
          <w:sz w:val="32"/>
          <w:szCs w:val="32"/>
        </w:rPr>
        <w:t>服务首都两区</w:t>
      </w:r>
      <w:r>
        <w:rPr>
          <w:rFonts w:ascii="仿宋" w:eastAsia="仿宋" w:hAnsi="仿宋" w:cs="宋体" w:hint="eastAsia"/>
          <w:color w:val="000000"/>
          <w:kern w:val="0"/>
          <w:sz w:val="32"/>
          <w:szCs w:val="32"/>
        </w:rPr>
        <w:t>建设和营商环境建设，为向国际社会展示我国的法治形象具有重大意义</w:t>
      </w:r>
      <w:r>
        <w:rPr>
          <w:rFonts w:ascii="仿宋" w:eastAsia="仿宋" w:hAnsi="仿宋" w:hint="eastAsia"/>
          <w:sz w:val="32"/>
          <w:szCs w:val="32"/>
        </w:rPr>
        <w:t>，可持续影响效益明显。</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Pr>
          <w:rFonts w:ascii="仿宋" w:eastAsia="仿宋" w:hAnsi="仿宋" w:cs="宋体" w:hint="eastAsia"/>
          <w:color w:val="000000"/>
          <w:kern w:val="0"/>
          <w:sz w:val="32"/>
          <w:szCs w:val="32"/>
        </w:rPr>
        <w:t>服务对象</w:t>
      </w:r>
      <w:r>
        <w:rPr>
          <w:rFonts w:ascii="仿宋" w:eastAsia="仿宋" w:hAnsi="仿宋" w:cs="宋体"/>
          <w:color w:val="000000"/>
          <w:kern w:val="0"/>
          <w:sz w:val="32"/>
          <w:szCs w:val="32"/>
        </w:rPr>
        <w:t>满意度</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lastRenderedPageBreak/>
        <w:t>2022</w:t>
      </w:r>
      <w:r>
        <w:rPr>
          <w:rFonts w:ascii="仿宋" w:eastAsia="仿宋" w:hAnsi="仿宋" w:cs="宋体" w:hint="eastAsia"/>
          <w:color w:val="000000"/>
          <w:kern w:val="0"/>
          <w:sz w:val="32"/>
          <w:szCs w:val="32"/>
        </w:rPr>
        <w:t>年度，本部门持续强化优化诉讼办事流程、拓展互联网审判应用范围、</w:t>
      </w:r>
      <w:r>
        <w:rPr>
          <w:rFonts w:ascii="仿宋" w:eastAsia="仿宋" w:hAnsi="仿宋" w:hint="eastAsia"/>
          <w:sz w:val="32"/>
          <w:szCs w:val="32"/>
        </w:rPr>
        <w:t>贯彻善意文明执行理念、“双线联动”打造普法新模式等举措，为广大人民群众和诉讼当事人提供便捷、优质、高效的案件审理和法律咨询服务，得到了受众群体的一致好评。</w:t>
      </w:r>
    </w:p>
    <w:p w:rsidR="006F09F9" w:rsidRDefault="002A6499">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（一）财务管理</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Pr>
          <w:rFonts w:ascii="仿宋" w:eastAsia="仿宋" w:hAnsi="仿宋" w:cs="宋体" w:hint="eastAsia"/>
          <w:color w:val="000000"/>
          <w:kern w:val="0"/>
          <w:sz w:val="32"/>
          <w:szCs w:val="32"/>
        </w:rPr>
        <w:t>财务</w:t>
      </w:r>
      <w:r>
        <w:rPr>
          <w:rFonts w:ascii="仿宋" w:eastAsia="仿宋" w:hAnsi="仿宋" w:cs="宋体"/>
          <w:color w:val="000000"/>
          <w:kern w:val="0"/>
          <w:sz w:val="32"/>
          <w:szCs w:val="32"/>
        </w:rPr>
        <w:t>管理制度健全性</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在财务管理制度方面，本部门已制定并施行《财务管理办法》《内部控制手册》《内部审计工作办法（试行）》《公务卡管理使用办法》《案款管理办法》和《诉讼费管理办法》等一系列的内部规章制度，形成了较为健全的财务管理内部控制体系。同时，结合上级有关政策、法律和法规、制度的不断更迭，适时修改和完善相关内部制度，有力防范财务管理风险。</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Pr>
          <w:rFonts w:ascii="仿宋" w:eastAsia="仿宋" w:hAnsi="仿宋" w:cs="宋体" w:hint="eastAsia"/>
          <w:color w:val="000000"/>
          <w:kern w:val="0"/>
          <w:sz w:val="32"/>
          <w:szCs w:val="32"/>
        </w:rPr>
        <w:t>资金使用合规性</w:t>
      </w:r>
      <w:r>
        <w:rPr>
          <w:rFonts w:ascii="仿宋" w:eastAsia="仿宋" w:hAnsi="仿宋" w:cs="宋体"/>
          <w:color w:val="000000"/>
          <w:kern w:val="0"/>
          <w:sz w:val="32"/>
          <w:szCs w:val="32"/>
        </w:rPr>
        <w:t>和安全性</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在资金使用合规性</w:t>
      </w:r>
      <w:r>
        <w:rPr>
          <w:rFonts w:ascii="仿宋" w:eastAsia="仿宋" w:hAnsi="仿宋" w:cs="宋体"/>
          <w:color w:val="000000"/>
          <w:kern w:val="0"/>
          <w:sz w:val="32"/>
          <w:szCs w:val="32"/>
        </w:rPr>
        <w:t>和安全性方面</w:t>
      </w:r>
      <w:r>
        <w:rPr>
          <w:rFonts w:ascii="仿宋" w:eastAsia="仿宋" w:hAnsi="仿宋" w:cs="宋体" w:hint="eastAsia"/>
          <w:color w:val="000000"/>
          <w:kern w:val="0"/>
          <w:sz w:val="32"/>
          <w:szCs w:val="32"/>
        </w:rPr>
        <w:t>，本部门</w:t>
      </w:r>
      <w:r>
        <w:rPr>
          <w:rFonts w:ascii="仿宋" w:eastAsia="仿宋" w:hAnsi="仿宋" w:cs="宋体"/>
          <w:color w:val="000000"/>
          <w:kern w:val="0"/>
          <w:sz w:val="32"/>
          <w:szCs w:val="32"/>
        </w:rPr>
        <w:t>严格遵循市级财政部门关于预算资金管理、国有资产管理、政府采购管理等方面的制度规范，内部严格执行</w:t>
      </w:r>
      <w:r>
        <w:rPr>
          <w:rFonts w:ascii="仿宋" w:eastAsia="仿宋" w:hAnsi="仿宋" w:cs="宋体"/>
          <w:color w:val="000000"/>
          <w:kern w:val="0"/>
          <w:sz w:val="32"/>
          <w:szCs w:val="32"/>
        </w:rPr>
        <w:t>“</w:t>
      </w:r>
      <w:r>
        <w:rPr>
          <w:rFonts w:ascii="仿宋" w:eastAsia="仿宋" w:hAnsi="仿宋" w:cs="宋体"/>
          <w:color w:val="000000"/>
          <w:kern w:val="0"/>
          <w:sz w:val="32"/>
          <w:szCs w:val="32"/>
        </w:rPr>
        <w:t>三重一大</w:t>
      </w:r>
      <w:r>
        <w:rPr>
          <w:rFonts w:ascii="仿宋" w:eastAsia="仿宋" w:hAnsi="仿宋" w:cs="宋体"/>
          <w:color w:val="000000"/>
          <w:kern w:val="0"/>
          <w:sz w:val="32"/>
          <w:szCs w:val="32"/>
        </w:rPr>
        <w:t>”</w:t>
      </w:r>
      <w:r>
        <w:rPr>
          <w:rFonts w:ascii="仿宋" w:eastAsia="仿宋" w:hAnsi="仿宋" w:cs="宋体"/>
          <w:color w:val="000000"/>
          <w:kern w:val="0"/>
          <w:sz w:val="32"/>
          <w:szCs w:val="32"/>
        </w:rPr>
        <w:t>制度、大额资金支出管</w:t>
      </w:r>
      <w:r>
        <w:rPr>
          <w:rFonts w:ascii="仿宋" w:eastAsia="仿宋" w:hAnsi="仿宋" w:cs="宋体"/>
          <w:color w:val="000000"/>
          <w:kern w:val="0"/>
          <w:sz w:val="32"/>
          <w:szCs w:val="32"/>
        </w:rPr>
        <w:t>理制度和相关经费支出审批制度，坚持开展常态化内部审计监督，确保各类资金使用合规、安全。</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color w:val="000000"/>
          <w:kern w:val="0"/>
          <w:sz w:val="32"/>
          <w:szCs w:val="32"/>
        </w:rPr>
        <w:t>3.</w:t>
      </w:r>
      <w:r>
        <w:rPr>
          <w:rFonts w:ascii="仿宋" w:eastAsia="仿宋" w:hAnsi="仿宋" w:cs="宋体" w:hint="eastAsia"/>
          <w:color w:val="000000"/>
          <w:kern w:val="0"/>
          <w:sz w:val="32"/>
          <w:szCs w:val="32"/>
        </w:rPr>
        <w:t>会计</w:t>
      </w:r>
      <w:r>
        <w:rPr>
          <w:rFonts w:ascii="仿宋" w:eastAsia="仿宋" w:hAnsi="仿宋" w:cs="宋体"/>
          <w:color w:val="000000"/>
          <w:kern w:val="0"/>
          <w:sz w:val="32"/>
          <w:szCs w:val="32"/>
        </w:rPr>
        <w:t>基础信息完善性</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本部门会计账套和会计科目体系设置符合《政府会计制度》要求和行政单位业务实际需要，会计基础资料真实、有效、完整，会计账簿健全、完善，会计凭证档案建立完整、保管妥善，各项</w:t>
      </w:r>
      <w:r>
        <w:rPr>
          <w:rFonts w:ascii="仿宋" w:eastAsia="仿宋" w:hAnsi="仿宋" w:cs="宋体" w:hint="eastAsia"/>
          <w:color w:val="000000"/>
          <w:kern w:val="0"/>
          <w:sz w:val="32"/>
          <w:szCs w:val="32"/>
        </w:rPr>
        <w:lastRenderedPageBreak/>
        <w:t>会计记录及时、准确，各项预决算报表、报告严格依据市级财政部门要求编制，各项会计基础信息完善。</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（二）资产管理</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kern w:val="0"/>
          <w:sz w:val="32"/>
          <w:szCs w:val="32"/>
        </w:rPr>
        <w:t>本部门始终坚持</w:t>
      </w:r>
      <w:r>
        <w:rPr>
          <w:rFonts w:ascii="仿宋" w:eastAsia="仿宋" w:hAnsi="仿宋" w:hint="eastAsia"/>
          <w:sz w:val="32"/>
          <w:szCs w:val="32"/>
        </w:rPr>
        <w:t>严格落实中央和市级资产管理相关政策和文件精神，坚持严格执行资产配置标准，严格履行各项审批程序，加强</w:t>
      </w:r>
      <w:r>
        <w:rPr>
          <w:rFonts w:ascii="仿宋" w:eastAsia="仿宋" w:hAnsi="仿宋" w:hint="eastAsia"/>
          <w:kern w:val="0"/>
          <w:sz w:val="32"/>
          <w:szCs w:val="32"/>
        </w:rPr>
        <w:t>信息化办公方式在资产管理工作中的应用，不断健全和</w:t>
      </w:r>
      <w:r>
        <w:rPr>
          <w:rFonts w:ascii="仿宋" w:eastAsia="仿宋" w:hAnsi="仿宋" w:hint="eastAsia"/>
          <w:sz w:val="32"/>
          <w:szCs w:val="32"/>
        </w:rPr>
        <w:t>完善资产配置、使用、处置等管理制度</w:t>
      </w:r>
      <w:r>
        <w:rPr>
          <w:rFonts w:ascii="仿宋" w:eastAsia="仿宋" w:hAnsi="仿宋" w:hint="eastAsia"/>
          <w:kern w:val="0"/>
          <w:sz w:val="32"/>
          <w:szCs w:val="32"/>
        </w:rPr>
        <w:t>和内部控制机制</w:t>
      </w:r>
      <w:r>
        <w:rPr>
          <w:rFonts w:ascii="仿宋" w:eastAsia="仿宋" w:hAnsi="仿宋" w:hint="eastAsia"/>
          <w:sz w:val="32"/>
          <w:szCs w:val="32"/>
        </w:rPr>
        <w:t>，形成财务、资产管理、采购、纪检监察等关键部门及关键岗位监督合力，有效防范各类资产管理风险，杜绝资产流失、浪费。</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kern w:val="0"/>
          <w:sz w:val="32"/>
          <w:szCs w:val="32"/>
        </w:rPr>
        <w:t>本部门积极探索和完善预算项目绩效管理工作模式和方法，依据市级部门预算支出绩效管理的有关制度规范，结合部门实际，以承担预算项目的业务部门为主，财务部门委托外部会计师事务所为辅，全面梳理部门主要经济活动运行模式，研究分析特征规律和主要风险，总结经验、查找不足，不断提高预算支出绩效目标设置的</w:t>
      </w:r>
      <w:r>
        <w:rPr>
          <w:rFonts w:ascii="仿宋" w:eastAsia="仿宋" w:hAnsi="仿宋" w:hint="eastAsia"/>
          <w:kern w:val="0"/>
          <w:sz w:val="32"/>
          <w:szCs w:val="32"/>
        </w:rPr>
        <w:t>合理性、科学性，努力确保预算执行符合部门职责实际，确保各项财政资金发挥应有的效益。</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（四）结转结余率</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sz w:val="32"/>
          <w:szCs w:val="32"/>
        </w:rPr>
        <w:t>2022</w:t>
      </w:r>
      <w:r>
        <w:rPr>
          <w:rFonts w:ascii="仿宋" w:eastAsia="仿宋" w:hAnsi="仿宋" w:hint="eastAsia"/>
          <w:sz w:val="32"/>
          <w:szCs w:val="32"/>
        </w:rPr>
        <w:t>年末，本部门全口径预算资金结转结余合计</w:t>
      </w:r>
      <w:r>
        <w:rPr>
          <w:rFonts w:ascii="仿宋" w:eastAsia="仿宋" w:hAnsi="仿宋" w:hint="eastAsia"/>
          <w:sz w:val="32"/>
          <w:szCs w:val="32"/>
        </w:rPr>
        <w:t>88.98</w:t>
      </w:r>
      <w:r>
        <w:rPr>
          <w:rFonts w:ascii="仿宋" w:eastAsia="仿宋" w:hAnsi="仿宋" w:hint="eastAsia"/>
          <w:sz w:val="32"/>
          <w:szCs w:val="32"/>
        </w:rPr>
        <w:t>万元，同比当年调整预算支出数</w:t>
      </w:r>
      <w:r>
        <w:rPr>
          <w:rFonts w:ascii="仿宋" w:eastAsia="仿宋" w:hAnsi="仿宋" w:hint="eastAsia"/>
          <w:sz w:val="32"/>
          <w:szCs w:val="32"/>
        </w:rPr>
        <w:t>11294.15</w:t>
      </w:r>
      <w:r>
        <w:rPr>
          <w:rFonts w:ascii="仿宋" w:eastAsia="仿宋" w:hAnsi="仿宋" w:hint="eastAsia"/>
          <w:sz w:val="32"/>
          <w:szCs w:val="32"/>
        </w:rPr>
        <w:t>万元，结转结余率为</w:t>
      </w:r>
      <w:r>
        <w:rPr>
          <w:rFonts w:ascii="仿宋" w:eastAsia="仿宋" w:hAnsi="仿宋" w:hint="eastAsia"/>
          <w:sz w:val="32"/>
          <w:szCs w:val="32"/>
        </w:rPr>
        <w:t>0.79%</w:t>
      </w:r>
      <w:r>
        <w:rPr>
          <w:rFonts w:ascii="仿宋" w:eastAsia="仿宋" w:hAnsi="仿宋" w:hint="eastAsia"/>
          <w:sz w:val="32"/>
          <w:szCs w:val="32"/>
        </w:rPr>
        <w:t>。</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sz w:val="32"/>
          <w:szCs w:val="32"/>
        </w:rPr>
        <w:t>2022</w:t>
      </w:r>
      <w:r>
        <w:rPr>
          <w:rFonts w:ascii="仿宋" w:eastAsia="仿宋" w:hAnsi="仿宋" w:hint="eastAsia"/>
          <w:sz w:val="32"/>
          <w:szCs w:val="32"/>
        </w:rPr>
        <w:t>年度，本部门全口径收入预算数</w:t>
      </w:r>
      <w:r>
        <w:rPr>
          <w:rFonts w:ascii="仿宋" w:eastAsia="仿宋" w:hAnsi="仿宋" w:hint="eastAsia"/>
          <w:sz w:val="32"/>
          <w:szCs w:val="32"/>
        </w:rPr>
        <w:t>11327.49</w:t>
      </w:r>
      <w:r>
        <w:rPr>
          <w:rFonts w:ascii="仿宋" w:eastAsia="仿宋" w:hAnsi="仿宋" w:hint="eastAsia"/>
          <w:sz w:val="32"/>
          <w:szCs w:val="32"/>
        </w:rPr>
        <w:t>万元，全口</w:t>
      </w:r>
      <w:r>
        <w:rPr>
          <w:rFonts w:ascii="仿宋" w:eastAsia="仿宋" w:hAnsi="仿宋" w:hint="eastAsia"/>
          <w:sz w:val="32"/>
          <w:szCs w:val="32"/>
        </w:rPr>
        <w:lastRenderedPageBreak/>
        <w:t>径收入决算数与预算数一致，无差异。全口径支出预算数</w:t>
      </w:r>
      <w:r>
        <w:rPr>
          <w:rFonts w:ascii="仿宋" w:eastAsia="仿宋" w:hAnsi="仿宋" w:hint="eastAsia"/>
          <w:sz w:val="32"/>
          <w:szCs w:val="32"/>
        </w:rPr>
        <w:t>11294.15</w:t>
      </w:r>
      <w:r>
        <w:rPr>
          <w:rFonts w:ascii="仿宋" w:eastAsia="仿宋" w:hAnsi="仿宋" w:hint="eastAsia"/>
          <w:sz w:val="32"/>
          <w:szCs w:val="32"/>
        </w:rPr>
        <w:t>万元，全口径支出决算数</w:t>
      </w:r>
      <w:r>
        <w:rPr>
          <w:rFonts w:ascii="仿宋" w:eastAsia="仿宋" w:hAnsi="仿宋" w:hint="eastAsia"/>
          <w:sz w:val="32"/>
          <w:szCs w:val="32"/>
        </w:rPr>
        <w:t>11238.51</w:t>
      </w:r>
      <w:r>
        <w:rPr>
          <w:rFonts w:ascii="仿宋" w:eastAsia="仿宋" w:hAnsi="仿宋" w:hint="eastAsia"/>
          <w:sz w:val="32"/>
          <w:szCs w:val="32"/>
        </w:rPr>
        <w:t>万元，差异率</w:t>
      </w:r>
      <w:r>
        <w:rPr>
          <w:rFonts w:ascii="仿宋" w:eastAsia="仿宋" w:hAnsi="仿宋" w:hint="eastAsia"/>
          <w:sz w:val="32"/>
          <w:szCs w:val="32"/>
        </w:rPr>
        <w:t>0.79%</w:t>
      </w:r>
      <w:r>
        <w:rPr>
          <w:rFonts w:ascii="仿宋" w:eastAsia="仿宋" w:hAnsi="仿宋" w:hint="eastAsia"/>
          <w:sz w:val="32"/>
          <w:szCs w:val="32"/>
        </w:rPr>
        <w:t>。</w:t>
      </w:r>
    </w:p>
    <w:p w:rsidR="006F09F9" w:rsidRDefault="002A6499">
      <w:pPr>
        <w:spacing w:line="600" w:lineRule="exact"/>
        <w:ind w:firstLineChars="200" w:firstLine="64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sz w:val="32"/>
          <w:szCs w:val="32"/>
        </w:rPr>
        <w:t>2022</w:t>
      </w:r>
      <w:r>
        <w:rPr>
          <w:rFonts w:ascii="仿宋" w:eastAsia="仿宋" w:hAnsi="仿宋" w:hint="eastAsia"/>
          <w:sz w:val="32"/>
          <w:szCs w:val="32"/>
        </w:rPr>
        <w:t>年度四中院部门整体绩效评价</w:t>
      </w:r>
      <w:r w:rsidR="008279BD">
        <w:rPr>
          <w:rFonts w:ascii="仿宋" w:eastAsia="仿宋" w:hAnsi="仿宋" w:hint="eastAsia"/>
          <w:sz w:val="32"/>
          <w:szCs w:val="32"/>
        </w:rPr>
        <w:t>得分99.92分，评价等次</w:t>
      </w:r>
      <w:r>
        <w:rPr>
          <w:rFonts w:ascii="仿宋" w:eastAsia="仿宋" w:hAnsi="仿宋" w:hint="eastAsia"/>
          <w:sz w:val="32"/>
          <w:szCs w:val="32"/>
        </w:rPr>
        <w:t>为优。</w:t>
      </w:r>
    </w:p>
    <w:p w:rsidR="006F09F9" w:rsidRDefault="002A6499">
      <w:pPr>
        <w:spacing w:line="600" w:lineRule="exact"/>
        <w:ind w:firstLineChars="200" w:firstLine="640"/>
        <w:rPr>
          <w:rFonts w:ascii="楷体_GB2312" w:eastAsia="楷体_GB2312"/>
          <w:sz w:val="32"/>
          <w:szCs w:val="32"/>
        </w:rPr>
      </w:pPr>
      <w:r>
        <w:rPr>
          <w:rFonts w:ascii="楷体_GB2312" w:eastAsia="楷体_GB2312" w:hint="eastAsia"/>
          <w:sz w:val="32"/>
          <w:szCs w:val="32"/>
        </w:rPr>
        <w:t>（二）存在的问题及原因分析</w:t>
      </w:r>
    </w:p>
    <w:p w:rsidR="006F09F9" w:rsidRDefault="002A6499">
      <w:pPr>
        <w:spacing w:line="600" w:lineRule="exact"/>
        <w:ind w:firstLineChars="200" w:firstLine="640"/>
        <w:rPr>
          <w:rFonts w:ascii="仿宋" w:eastAsia="仿宋" w:hAnsi="仿宋"/>
          <w:sz w:val="32"/>
          <w:szCs w:val="32"/>
        </w:rPr>
      </w:pPr>
      <w:r>
        <w:rPr>
          <w:rFonts w:ascii="仿宋" w:eastAsia="仿宋" w:hAnsi="仿宋" w:hint="eastAsia"/>
          <w:sz w:val="32"/>
          <w:szCs w:val="32"/>
        </w:rPr>
        <w:t>2022</w:t>
      </w:r>
      <w:r>
        <w:rPr>
          <w:rFonts w:ascii="仿宋" w:eastAsia="仿宋" w:hAnsi="仿宋" w:hint="eastAsia"/>
          <w:sz w:val="32"/>
          <w:szCs w:val="32"/>
        </w:rPr>
        <w:t>年度四中院部门整体绩效无明显问题。</w:t>
      </w:r>
    </w:p>
    <w:p w:rsidR="006F09F9" w:rsidRDefault="002A6499">
      <w:pPr>
        <w:spacing w:line="600" w:lineRule="exact"/>
        <w:ind w:firstLineChars="200" w:firstLine="640"/>
        <w:rPr>
          <w:rFonts w:ascii="仿宋" w:eastAsia="仿宋" w:hAnsi="仿宋" w:cs="宋体"/>
          <w:color w:val="000000"/>
          <w:kern w:val="0"/>
          <w:sz w:val="32"/>
          <w:szCs w:val="32"/>
        </w:rPr>
      </w:pPr>
      <w:r>
        <w:rPr>
          <w:rFonts w:ascii="黑体" w:eastAsia="黑体" w:hAnsi="黑体" w:cs="宋体" w:hint="eastAsia"/>
          <w:color w:val="000000"/>
          <w:kern w:val="0"/>
          <w:sz w:val="32"/>
          <w:szCs w:val="32"/>
        </w:rPr>
        <w:t>六、措施建议</w:t>
      </w:r>
    </w:p>
    <w:p w:rsidR="006F09F9" w:rsidRDefault="002A649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一是</w:t>
      </w:r>
      <w:r>
        <w:rPr>
          <w:rFonts w:ascii="仿宋" w:eastAsia="仿宋" w:hAnsi="仿宋" w:cs="宋体"/>
          <w:color w:val="000000"/>
          <w:kern w:val="0"/>
          <w:sz w:val="32"/>
          <w:szCs w:val="32"/>
        </w:rPr>
        <w:t>进一步</w:t>
      </w:r>
      <w:r>
        <w:rPr>
          <w:rFonts w:ascii="仿宋" w:eastAsia="仿宋" w:hAnsi="仿宋" w:cs="宋体" w:hint="eastAsia"/>
          <w:color w:val="000000"/>
          <w:kern w:val="0"/>
          <w:sz w:val="32"/>
          <w:szCs w:val="32"/>
        </w:rPr>
        <w:t>提升</w:t>
      </w:r>
      <w:r>
        <w:rPr>
          <w:rFonts w:ascii="仿宋" w:eastAsia="仿宋" w:hAnsi="仿宋" w:cs="宋体"/>
          <w:color w:val="000000"/>
          <w:kern w:val="0"/>
          <w:sz w:val="32"/>
          <w:szCs w:val="32"/>
        </w:rPr>
        <w:t>部门整体绩效目标</w:t>
      </w:r>
      <w:r>
        <w:rPr>
          <w:rFonts w:ascii="仿宋" w:eastAsia="仿宋" w:hAnsi="仿宋" w:cs="宋体" w:hint="eastAsia"/>
          <w:color w:val="000000"/>
          <w:kern w:val="0"/>
          <w:sz w:val="32"/>
          <w:szCs w:val="32"/>
        </w:rPr>
        <w:t>设置</w:t>
      </w:r>
      <w:r>
        <w:rPr>
          <w:rFonts w:ascii="仿宋" w:eastAsia="仿宋" w:hAnsi="仿宋" w:cs="宋体" w:hint="eastAsia"/>
          <w:color w:val="000000"/>
          <w:kern w:val="0"/>
          <w:sz w:val="32"/>
          <w:szCs w:val="32"/>
        </w:rPr>
        <w:t>水平</w:t>
      </w:r>
      <w:r>
        <w:rPr>
          <w:rFonts w:ascii="仿宋" w:eastAsia="仿宋" w:hAnsi="仿宋" w:cs="宋体"/>
          <w:color w:val="000000"/>
          <w:kern w:val="0"/>
          <w:sz w:val="32"/>
          <w:szCs w:val="32"/>
        </w:rPr>
        <w:t>，确保</w:t>
      </w:r>
      <w:r>
        <w:rPr>
          <w:rFonts w:ascii="仿宋" w:eastAsia="仿宋" w:hAnsi="仿宋" w:cs="宋体" w:hint="eastAsia"/>
          <w:color w:val="000000"/>
          <w:kern w:val="0"/>
          <w:sz w:val="32"/>
          <w:szCs w:val="32"/>
        </w:rPr>
        <w:t>目标</w:t>
      </w:r>
      <w:r>
        <w:rPr>
          <w:rFonts w:ascii="仿宋" w:eastAsia="仿宋" w:hAnsi="仿宋" w:cs="宋体"/>
          <w:color w:val="000000"/>
          <w:kern w:val="0"/>
          <w:sz w:val="32"/>
          <w:szCs w:val="32"/>
        </w:rPr>
        <w:t>符合本部门</w:t>
      </w:r>
      <w:r>
        <w:rPr>
          <w:rFonts w:ascii="仿宋" w:eastAsia="仿宋" w:hAnsi="仿宋" w:cs="宋体" w:hint="eastAsia"/>
          <w:color w:val="000000"/>
          <w:kern w:val="0"/>
          <w:sz w:val="32"/>
          <w:szCs w:val="32"/>
        </w:rPr>
        <w:t>职能任务和工作实际，确保</w:t>
      </w:r>
      <w:r>
        <w:rPr>
          <w:rFonts w:ascii="仿宋" w:eastAsia="仿宋" w:hAnsi="仿宋" w:cs="宋体" w:hint="eastAsia"/>
          <w:color w:val="000000"/>
          <w:kern w:val="0"/>
          <w:sz w:val="32"/>
          <w:szCs w:val="32"/>
        </w:rPr>
        <w:t>绩效</w:t>
      </w:r>
      <w:r>
        <w:rPr>
          <w:rFonts w:ascii="仿宋" w:eastAsia="仿宋" w:hAnsi="仿宋" w:cs="宋体" w:hint="eastAsia"/>
          <w:color w:val="000000"/>
          <w:kern w:val="0"/>
          <w:sz w:val="32"/>
          <w:szCs w:val="32"/>
        </w:rPr>
        <w:t>评价能够</w:t>
      </w:r>
      <w:r>
        <w:rPr>
          <w:rFonts w:ascii="仿宋" w:eastAsia="仿宋" w:hAnsi="仿宋" w:cs="宋体" w:hint="eastAsia"/>
          <w:color w:val="000000"/>
          <w:kern w:val="0"/>
          <w:sz w:val="32"/>
          <w:szCs w:val="32"/>
        </w:rPr>
        <w:t>全面、系统、</w:t>
      </w:r>
      <w:r>
        <w:rPr>
          <w:rFonts w:ascii="仿宋" w:eastAsia="仿宋" w:hAnsi="仿宋" w:cs="宋体" w:hint="eastAsia"/>
          <w:color w:val="000000"/>
          <w:kern w:val="0"/>
          <w:sz w:val="32"/>
          <w:szCs w:val="32"/>
        </w:rPr>
        <w:t>完整</w:t>
      </w:r>
      <w:r>
        <w:rPr>
          <w:rFonts w:ascii="仿宋" w:eastAsia="仿宋" w:hAnsi="仿宋" w:cs="宋体" w:hint="eastAsia"/>
          <w:color w:val="000000"/>
          <w:kern w:val="0"/>
          <w:sz w:val="32"/>
          <w:szCs w:val="32"/>
        </w:rPr>
        <w:t>、</w:t>
      </w:r>
      <w:r>
        <w:rPr>
          <w:rFonts w:ascii="仿宋" w:eastAsia="仿宋" w:hAnsi="仿宋" w:cs="宋体" w:hint="eastAsia"/>
          <w:color w:val="000000"/>
          <w:kern w:val="0"/>
          <w:sz w:val="32"/>
          <w:szCs w:val="32"/>
        </w:rPr>
        <w:t>客观</w:t>
      </w:r>
      <w:r>
        <w:rPr>
          <w:rFonts w:ascii="仿宋" w:eastAsia="仿宋" w:hAnsi="仿宋" w:cs="宋体" w:hint="eastAsia"/>
          <w:color w:val="000000"/>
          <w:kern w:val="0"/>
          <w:sz w:val="32"/>
          <w:szCs w:val="32"/>
        </w:rPr>
        <w:t>反映部门主要业绩</w:t>
      </w:r>
      <w:r>
        <w:rPr>
          <w:rFonts w:ascii="仿宋" w:eastAsia="仿宋" w:hAnsi="仿宋" w:cs="宋体"/>
          <w:color w:val="000000"/>
          <w:kern w:val="0"/>
          <w:sz w:val="32"/>
          <w:szCs w:val="32"/>
        </w:rPr>
        <w:t>。</w:t>
      </w:r>
    </w:p>
    <w:p w:rsidR="006F09F9" w:rsidRDefault="002A6499">
      <w:pPr>
        <w:spacing w:line="600" w:lineRule="exact"/>
        <w:ind w:firstLineChars="200" w:firstLine="640"/>
        <w:rPr>
          <w:rFonts w:ascii="仿宋_GB2312" w:eastAsia="仿宋_GB2312" w:cs="仿宋_GB2312"/>
          <w:sz w:val="32"/>
          <w:szCs w:val="32"/>
        </w:rPr>
      </w:pPr>
      <w:r>
        <w:rPr>
          <w:rFonts w:ascii="仿宋" w:eastAsia="仿宋" w:hAnsi="仿宋" w:cs="宋体" w:hint="eastAsia"/>
          <w:color w:val="000000"/>
          <w:kern w:val="0"/>
          <w:sz w:val="32"/>
          <w:szCs w:val="32"/>
        </w:rPr>
        <w:t>二是进一步</w:t>
      </w:r>
      <w:r>
        <w:rPr>
          <w:rFonts w:ascii="仿宋" w:eastAsia="仿宋" w:hAnsi="仿宋" w:cs="宋体" w:hint="eastAsia"/>
          <w:color w:val="000000"/>
          <w:kern w:val="0"/>
          <w:sz w:val="32"/>
          <w:szCs w:val="32"/>
        </w:rPr>
        <w:t>完善</w:t>
      </w:r>
      <w:r>
        <w:rPr>
          <w:rFonts w:ascii="仿宋" w:eastAsia="仿宋" w:hAnsi="仿宋" w:cs="宋体" w:hint="eastAsia"/>
          <w:color w:val="000000"/>
          <w:kern w:val="0"/>
          <w:sz w:val="32"/>
          <w:szCs w:val="32"/>
        </w:rPr>
        <w:t>绩效</w:t>
      </w:r>
      <w:r>
        <w:rPr>
          <w:rFonts w:ascii="仿宋" w:eastAsia="仿宋" w:hAnsi="仿宋" w:cs="宋体" w:hint="eastAsia"/>
          <w:color w:val="000000"/>
          <w:kern w:val="0"/>
          <w:sz w:val="32"/>
          <w:szCs w:val="32"/>
        </w:rPr>
        <w:t>评价指标</w:t>
      </w:r>
      <w:r>
        <w:rPr>
          <w:rFonts w:ascii="仿宋" w:eastAsia="仿宋" w:hAnsi="仿宋" w:cs="宋体" w:hint="eastAsia"/>
          <w:color w:val="000000"/>
          <w:kern w:val="0"/>
          <w:sz w:val="32"/>
          <w:szCs w:val="32"/>
        </w:rPr>
        <w:t>设置，</w:t>
      </w:r>
      <w:r>
        <w:rPr>
          <w:rFonts w:ascii="仿宋" w:eastAsia="仿宋" w:hAnsi="仿宋" w:cs="宋体" w:hint="eastAsia"/>
          <w:color w:val="000000"/>
          <w:kern w:val="0"/>
          <w:sz w:val="32"/>
          <w:szCs w:val="32"/>
        </w:rPr>
        <w:t>加大</w:t>
      </w:r>
      <w:r>
        <w:rPr>
          <w:rFonts w:ascii="仿宋" w:eastAsia="仿宋" w:hAnsi="仿宋" w:cs="宋体" w:hint="eastAsia"/>
          <w:color w:val="000000"/>
          <w:kern w:val="0"/>
          <w:sz w:val="32"/>
          <w:szCs w:val="32"/>
        </w:rPr>
        <w:t>量化</w:t>
      </w:r>
      <w:r>
        <w:rPr>
          <w:rFonts w:ascii="仿宋" w:eastAsia="仿宋" w:hAnsi="仿宋" w:cs="宋体" w:hint="eastAsia"/>
          <w:color w:val="000000"/>
          <w:kern w:val="0"/>
          <w:sz w:val="32"/>
          <w:szCs w:val="32"/>
        </w:rPr>
        <w:t>评价</w:t>
      </w:r>
      <w:r>
        <w:rPr>
          <w:rFonts w:ascii="仿宋" w:eastAsia="仿宋" w:hAnsi="仿宋" w:cs="宋体" w:hint="eastAsia"/>
          <w:color w:val="000000"/>
          <w:kern w:val="0"/>
          <w:sz w:val="32"/>
          <w:szCs w:val="32"/>
        </w:rPr>
        <w:t>指标</w:t>
      </w:r>
      <w:r>
        <w:rPr>
          <w:rFonts w:ascii="仿宋" w:eastAsia="仿宋" w:hAnsi="仿宋" w:cs="宋体" w:hint="eastAsia"/>
          <w:color w:val="000000"/>
          <w:kern w:val="0"/>
          <w:sz w:val="32"/>
          <w:szCs w:val="32"/>
        </w:rPr>
        <w:t>在</w:t>
      </w:r>
      <w:r>
        <w:rPr>
          <w:rFonts w:ascii="仿宋" w:eastAsia="仿宋" w:hAnsi="仿宋" w:cs="宋体" w:hint="eastAsia"/>
          <w:color w:val="000000"/>
          <w:kern w:val="0"/>
          <w:sz w:val="32"/>
          <w:szCs w:val="32"/>
        </w:rPr>
        <w:t>全部指标中的</w:t>
      </w:r>
      <w:r>
        <w:rPr>
          <w:rFonts w:ascii="仿宋" w:eastAsia="仿宋" w:hAnsi="仿宋" w:cs="宋体" w:hint="eastAsia"/>
          <w:color w:val="000000"/>
          <w:kern w:val="0"/>
          <w:sz w:val="32"/>
          <w:szCs w:val="32"/>
        </w:rPr>
        <w:t>比例，</w:t>
      </w:r>
      <w:r>
        <w:rPr>
          <w:rFonts w:ascii="仿宋" w:eastAsia="仿宋" w:hAnsi="仿宋" w:cs="宋体" w:hint="eastAsia"/>
          <w:color w:val="000000"/>
          <w:kern w:val="0"/>
          <w:sz w:val="32"/>
          <w:szCs w:val="32"/>
        </w:rPr>
        <w:t>充分发挥</w:t>
      </w:r>
      <w:r>
        <w:rPr>
          <w:rFonts w:ascii="仿宋_GB2312" w:eastAsia="仿宋_GB2312" w:cs="仿宋_GB2312" w:hint="eastAsia"/>
          <w:sz w:val="32"/>
          <w:szCs w:val="32"/>
        </w:rPr>
        <w:t>数量、</w:t>
      </w:r>
      <w:r>
        <w:rPr>
          <w:rFonts w:ascii="仿宋_GB2312" w:eastAsia="仿宋_GB2312" w:cs="仿宋_GB2312" w:hint="eastAsia"/>
          <w:sz w:val="32"/>
          <w:szCs w:val="32"/>
        </w:rPr>
        <w:t>时效</w:t>
      </w:r>
      <w:r>
        <w:rPr>
          <w:rFonts w:ascii="仿宋_GB2312" w:eastAsia="仿宋_GB2312" w:cs="仿宋_GB2312" w:hint="eastAsia"/>
          <w:sz w:val="32"/>
          <w:szCs w:val="32"/>
        </w:rPr>
        <w:t>、进度等</w:t>
      </w:r>
      <w:r>
        <w:rPr>
          <w:rFonts w:ascii="仿宋_GB2312" w:eastAsia="仿宋_GB2312" w:cs="仿宋_GB2312" w:hint="eastAsia"/>
          <w:sz w:val="32"/>
          <w:szCs w:val="32"/>
        </w:rPr>
        <w:t>不同维度在绩效目标评价中的作用</w:t>
      </w:r>
      <w:r>
        <w:rPr>
          <w:rFonts w:ascii="仿宋_GB2312" w:eastAsia="仿宋_GB2312" w:cs="仿宋_GB2312" w:hint="eastAsia"/>
          <w:sz w:val="32"/>
          <w:szCs w:val="32"/>
        </w:rPr>
        <w:t>。</w:t>
      </w:r>
    </w:p>
    <w:p w:rsidR="006F09F9" w:rsidRDefault="002A6499">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三是进一步坚持严格预算执行管理，要结合预算资金批复和绩效目标设立情况，合理分配使用有限的</w:t>
      </w:r>
      <w:bookmarkStart w:id="0" w:name="_GoBack"/>
      <w:bookmarkEnd w:id="0"/>
      <w:r>
        <w:rPr>
          <w:rFonts w:ascii="仿宋_GB2312" w:eastAsia="仿宋_GB2312" w:cs="仿宋_GB2312" w:hint="eastAsia"/>
          <w:sz w:val="32"/>
          <w:szCs w:val="32"/>
        </w:rPr>
        <w:t>资金，使其能够发挥出最大的使用效益，确保绩效目标的顺利完成。</w:t>
      </w:r>
    </w:p>
    <w:p w:rsidR="006F09F9" w:rsidRDefault="002A6499">
      <w:pPr>
        <w:pStyle w:val="1"/>
        <w:rPr>
          <w:sz w:val="32"/>
          <w:szCs w:val="32"/>
        </w:rPr>
      </w:pPr>
      <w:bookmarkStart w:id="1" w:name="_Toc103006301"/>
      <w:r>
        <w:rPr>
          <w:rFonts w:hint="eastAsia"/>
          <w:sz w:val="32"/>
          <w:szCs w:val="32"/>
        </w:rPr>
        <w:t>七、附件</w:t>
      </w:r>
      <w:bookmarkEnd w:id="1"/>
    </w:p>
    <w:p w:rsidR="006F09F9" w:rsidRDefault="002A6499">
      <w:pPr>
        <w:spacing w:line="600" w:lineRule="exact"/>
        <w:ind w:firstLine="641"/>
        <w:rPr>
          <w:rFonts w:ascii="仿宋" w:eastAsia="仿宋" w:hAnsi="仿宋" w:cs="宋体"/>
          <w:color w:val="000000"/>
          <w:kern w:val="0"/>
          <w:sz w:val="32"/>
          <w:szCs w:val="32"/>
        </w:rPr>
      </w:pP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年部门整体绩效评价指标体系评分表</w:t>
      </w:r>
    </w:p>
    <w:sectPr w:rsidR="006F09F9" w:rsidSect="006F09F9">
      <w:footerReference w:type="default" r:id="rId7"/>
      <w:pgSz w:w="11906" w:h="16838"/>
      <w:pgMar w:top="1418" w:right="1474"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499" w:rsidRDefault="002A6499" w:rsidP="006F09F9">
      <w:r>
        <w:separator/>
      </w:r>
    </w:p>
  </w:endnote>
  <w:endnote w:type="continuationSeparator" w:id="1">
    <w:p w:rsidR="002A6499" w:rsidRDefault="002A6499" w:rsidP="006F09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9F9" w:rsidRDefault="006F09F9">
    <w:pPr>
      <w:pStyle w:val="a3"/>
      <w:ind w:firstLine="360"/>
      <w:jc w:val="center"/>
      <w:rPr>
        <w:sz w:val="21"/>
        <w:szCs w:val="21"/>
      </w:rPr>
    </w:pPr>
    <w:r w:rsidRPr="006F09F9">
      <w:rPr>
        <w:szCs w:val="20"/>
      </w:rPr>
      <w:pict>
        <v:shapetype id="_x0000_t202" coordsize="21600,21600" o:spt="202" path="m,l,21600r21600,l21600,xe">
          <v:stroke joinstyle="miter"/>
          <v:path gradientshapeok="t" o:connecttype="rect"/>
        </v:shapetype>
        <v:shape id="_x0000_s15361" type="#_x0000_t202" style="position:absolute;left:0;text-align:left;margin-left:0;margin-top:0;width:2in;height:2in;z-index:251659264;mso-wrap-style:none;mso-position-horizontal:center;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filled="f" stroked="f" strokeweight=".5pt">
          <v:textbox style="mso-fit-shape-to-text:t" inset="0,0,0,0">
            <w:txbxContent>
              <w:p w:rsidR="006F09F9" w:rsidRDefault="006F09F9">
                <w:pPr>
                  <w:pStyle w:val="a3"/>
                </w:pPr>
                <w:r>
                  <w:fldChar w:fldCharType="begin"/>
                </w:r>
                <w:r w:rsidR="002A6499">
                  <w:instrText xml:space="preserve"> PAGE  \* MERGEFORMAT </w:instrText>
                </w:r>
                <w:r>
                  <w:fldChar w:fldCharType="separate"/>
                </w:r>
                <w:r w:rsidR="008279BD">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499" w:rsidRDefault="002A6499" w:rsidP="006F09F9">
      <w:r>
        <w:separator/>
      </w:r>
    </w:p>
  </w:footnote>
  <w:footnote w:type="continuationSeparator" w:id="1">
    <w:p w:rsidR="002A6499" w:rsidRDefault="002A6499" w:rsidP="006F09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o:shapelayout v:ext="edit">
      <o:idmap v:ext="edit" data="15"/>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gyMjJmMTYyMWEyNjliODcxZDQ3NTM2ZmMzM2E1MzcifQ=="/>
  </w:docVars>
  <w:rsids>
    <w:rsidRoot w:val="00B445C1"/>
    <w:rsid w:val="0003778F"/>
    <w:rsid w:val="00044CDC"/>
    <w:rsid w:val="000A5D4B"/>
    <w:rsid w:val="000E4C17"/>
    <w:rsid w:val="000F3A69"/>
    <w:rsid w:val="00115140"/>
    <w:rsid w:val="00163F7D"/>
    <w:rsid w:val="001A1A03"/>
    <w:rsid w:val="001B01D6"/>
    <w:rsid w:val="001D134C"/>
    <w:rsid w:val="001D622D"/>
    <w:rsid w:val="001D7F0C"/>
    <w:rsid w:val="001E479B"/>
    <w:rsid w:val="001F4A61"/>
    <w:rsid w:val="00221A38"/>
    <w:rsid w:val="00227C60"/>
    <w:rsid w:val="002328F4"/>
    <w:rsid w:val="00243585"/>
    <w:rsid w:val="00275FD0"/>
    <w:rsid w:val="002A6499"/>
    <w:rsid w:val="00315898"/>
    <w:rsid w:val="00316918"/>
    <w:rsid w:val="00331D32"/>
    <w:rsid w:val="00375DFF"/>
    <w:rsid w:val="003E13D3"/>
    <w:rsid w:val="003F1E5A"/>
    <w:rsid w:val="0041757F"/>
    <w:rsid w:val="00423E6A"/>
    <w:rsid w:val="00486CEA"/>
    <w:rsid w:val="004B6B29"/>
    <w:rsid w:val="004C1EB1"/>
    <w:rsid w:val="005057B7"/>
    <w:rsid w:val="00522758"/>
    <w:rsid w:val="00525B5C"/>
    <w:rsid w:val="005623D4"/>
    <w:rsid w:val="005726C8"/>
    <w:rsid w:val="005B3490"/>
    <w:rsid w:val="005C6754"/>
    <w:rsid w:val="005E3B59"/>
    <w:rsid w:val="006957C1"/>
    <w:rsid w:val="006D374B"/>
    <w:rsid w:val="006F09F9"/>
    <w:rsid w:val="006F30CC"/>
    <w:rsid w:val="007030B5"/>
    <w:rsid w:val="00722079"/>
    <w:rsid w:val="00740276"/>
    <w:rsid w:val="00764F52"/>
    <w:rsid w:val="00784C10"/>
    <w:rsid w:val="00786CBE"/>
    <w:rsid w:val="007B0C16"/>
    <w:rsid w:val="007B5956"/>
    <w:rsid w:val="007C3942"/>
    <w:rsid w:val="007D40FC"/>
    <w:rsid w:val="008279BD"/>
    <w:rsid w:val="00827E43"/>
    <w:rsid w:val="008630D8"/>
    <w:rsid w:val="00865533"/>
    <w:rsid w:val="008A3EA9"/>
    <w:rsid w:val="008B72CE"/>
    <w:rsid w:val="008C479C"/>
    <w:rsid w:val="0094268F"/>
    <w:rsid w:val="009508DD"/>
    <w:rsid w:val="009A260F"/>
    <w:rsid w:val="009C3F38"/>
    <w:rsid w:val="009D561E"/>
    <w:rsid w:val="009F5FBE"/>
    <w:rsid w:val="00A5486E"/>
    <w:rsid w:val="00A643F1"/>
    <w:rsid w:val="00A64919"/>
    <w:rsid w:val="00A67251"/>
    <w:rsid w:val="00AB3F07"/>
    <w:rsid w:val="00AC5B3D"/>
    <w:rsid w:val="00AC701E"/>
    <w:rsid w:val="00AD1722"/>
    <w:rsid w:val="00AE4CC4"/>
    <w:rsid w:val="00B11198"/>
    <w:rsid w:val="00B445C1"/>
    <w:rsid w:val="00B66003"/>
    <w:rsid w:val="00B73589"/>
    <w:rsid w:val="00BA10EC"/>
    <w:rsid w:val="00BE7909"/>
    <w:rsid w:val="00BF0A7A"/>
    <w:rsid w:val="00C07615"/>
    <w:rsid w:val="00C2415F"/>
    <w:rsid w:val="00C53991"/>
    <w:rsid w:val="00C648B5"/>
    <w:rsid w:val="00C75B5A"/>
    <w:rsid w:val="00CA12CC"/>
    <w:rsid w:val="00CB3681"/>
    <w:rsid w:val="00CE1A90"/>
    <w:rsid w:val="00D34C04"/>
    <w:rsid w:val="00D50C31"/>
    <w:rsid w:val="00D96340"/>
    <w:rsid w:val="00DA4E4F"/>
    <w:rsid w:val="00E152A0"/>
    <w:rsid w:val="00E25E2F"/>
    <w:rsid w:val="00E339C5"/>
    <w:rsid w:val="00E56887"/>
    <w:rsid w:val="00E805D2"/>
    <w:rsid w:val="00EC4197"/>
    <w:rsid w:val="00F63DDA"/>
    <w:rsid w:val="00F66061"/>
    <w:rsid w:val="00FC789B"/>
    <w:rsid w:val="0FD75D62"/>
    <w:rsid w:val="24162F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9F9"/>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6F09F9"/>
    <w:pPr>
      <w:spacing w:line="600" w:lineRule="exact"/>
      <w:ind w:firstLine="640"/>
      <w:outlineLvl w:val="0"/>
    </w:pPr>
    <w:rPr>
      <w:rFonts w:ascii="黑体" w:eastAsia="黑体" w:hAnsi="黑体" w:cs="宋体"/>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F09F9"/>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6F09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F09F9"/>
    <w:rPr>
      <w:rFonts w:ascii="Times New Roman" w:eastAsia="宋体" w:hAnsi="Times New Roman" w:cs="Times New Roman"/>
      <w:sz w:val="18"/>
      <w:szCs w:val="18"/>
    </w:rPr>
  </w:style>
  <w:style w:type="character" w:customStyle="1" w:styleId="Char">
    <w:name w:val="页脚 Char"/>
    <w:basedOn w:val="a0"/>
    <w:link w:val="a3"/>
    <w:uiPriority w:val="99"/>
    <w:semiHidden/>
    <w:rsid w:val="006F09F9"/>
    <w:rPr>
      <w:rFonts w:ascii="Times New Roman" w:eastAsia="宋体" w:hAnsi="Times New Roman" w:cs="Times New Roman"/>
      <w:sz w:val="18"/>
      <w:szCs w:val="18"/>
    </w:rPr>
  </w:style>
  <w:style w:type="paragraph" w:styleId="a5">
    <w:name w:val="List Paragraph"/>
    <w:basedOn w:val="a"/>
    <w:uiPriority w:val="34"/>
    <w:qFormat/>
    <w:rsid w:val="006F09F9"/>
    <w:pPr>
      <w:ind w:firstLineChars="200" w:firstLine="420"/>
    </w:pPr>
  </w:style>
  <w:style w:type="character" w:customStyle="1" w:styleId="1Char">
    <w:name w:val="标题 1 Char"/>
    <w:basedOn w:val="a0"/>
    <w:link w:val="1"/>
    <w:uiPriority w:val="9"/>
    <w:rsid w:val="006F09F9"/>
    <w:rPr>
      <w:rFonts w:ascii="黑体" w:eastAsia="黑体" w:hAnsi="黑体" w:cs="宋体"/>
      <w:color w:val="000000"/>
      <w:kern w:val="0"/>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53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8</Pages>
  <Words>617</Words>
  <Characters>3517</Characters>
  <Application>Microsoft Office Word</Application>
  <DocSecurity>0</DocSecurity>
  <Lines>29</Lines>
  <Paragraphs>8</Paragraphs>
  <ScaleCrop>false</ScaleCrop>
  <Company/>
  <LinksUpToDate>false</LinksUpToDate>
  <CharactersWithSpaces>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dc:creator>
  <cp:lastModifiedBy>zxd</cp:lastModifiedBy>
  <cp:revision>90</cp:revision>
  <dcterms:created xsi:type="dcterms:W3CDTF">2022-05-11T03:13:00Z</dcterms:created>
  <dcterms:modified xsi:type="dcterms:W3CDTF">2023-05-29T01:22:00Z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63B62BA543AF4792A2D1BD1A14057481_12</vt:lpwstr>
  </property>
</Properties>
</file>