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hint="eastAsia" w:ascii="方正小标宋简体" w:hAnsi="Leelawadee UI" w:eastAsia="方正小标宋简体" w:cs="Leelawadee UI"/>
          <w:bCs/>
          <w:kern w:val="0"/>
          <w:sz w:val="44"/>
          <w:szCs w:val="28"/>
          <w:lang w:eastAsia="zh-CN"/>
        </w:rPr>
      </w:pPr>
      <w:bookmarkStart w:id="0" w:name="_Toc4816"/>
      <w:r>
        <w:rPr>
          <w:rFonts w:hint="eastAsia" w:ascii="方正小标宋简体" w:hAnsi="Leelawadee UI" w:eastAsia="方正小标宋简体" w:cs="Leelawadee UI"/>
          <w:bCs/>
          <w:kern w:val="0"/>
          <w:sz w:val="44"/>
          <w:szCs w:val="28"/>
        </w:rPr>
        <w:t>北京市粮食和物资储备</w:t>
      </w:r>
      <w:bookmarkEnd w:id="0"/>
      <w:bookmarkStart w:id="1" w:name="_Toc13079"/>
      <w:r>
        <w:rPr>
          <w:rFonts w:hint="eastAsia" w:ascii="方正小标宋简体" w:hAnsi="Leelawadee UI" w:eastAsia="方正小标宋简体" w:cs="Leelawadee UI"/>
          <w:bCs/>
          <w:kern w:val="0"/>
          <w:sz w:val="44"/>
          <w:szCs w:val="28"/>
          <w:lang w:eastAsia="zh-CN"/>
        </w:rPr>
        <w:t>局市储备粮监管</w:t>
      </w:r>
    </w:p>
    <w:p>
      <w:pPr>
        <w:spacing w:line="700" w:lineRule="exact"/>
        <w:jc w:val="center"/>
        <w:rPr>
          <w:rFonts w:ascii="方正小标宋简体" w:hAnsi="Leelawadee UI" w:eastAsia="方正小标宋简体" w:cs="Leelawadee UI"/>
          <w:bCs/>
          <w:kern w:val="0"/>
          <w:sz w:val="44"/>
          <w:szCs w:val="28"/>
        </w:rPr>
      </w:pPr>
      <w:r>
        <w:rPr>
          <w:rFonts w:hint="eastAsia" w:ascii="方正小标宋简体" w:hAnsi="Leelawadee UI" w:eastAsia="方正小标宋简体" w:cs="Leelawadee UI"/>
          <w:bCs/>
          <w:kern w:val="0"/>
          <w:sz w:val="44"/>
          <w:szCs w:val="28"/>
        </w:rPr>
        <w:t>项目</w:t>
      </w:r>
      <w:bookmarkEnd w:id="1"/>
      <w:bookmarkStart w:id="2" w:name="_Toc22604"/>
      <w:r>
        <w:rPr>
          <w:rFonts w:hint="eastAsia" w:ascii="方正小标宋简体" w:hAnsi="Leelawadee UI" w:eastAsia="方正小标宋简体" w:cs="Leelawadee UI"/>
          <w:bCs/>
          <w:kern w:val="0"/>
          <w:sz w:val="44"/>
          <w:szCs w:val="28"/>
          <w:lang w:eastAsia="zh-CN"/>
        </w:rPr>
        <w:t>支出</w:t>
      </w:r>
      <w:r>
        <w:rPr>
          <w:rFonts w:hint="eastAsia" w:ascii="方正小标宋简体" w:hAnsi="Leelawadee UI" w:eastAsia="方正小标宋简体" w:cs="Leelawadee UI"/>
          <w:bCs/>
          <w:kern w:val="0"/>
          <w:sz w:val="44"/>
          <w:szCs w:val="28"/>
        </w:rPr>
        <w:t>绩效评价报告</w:t>
      </w:r>
      <w:bookmarkEnd w:id="2"/>
    </w:p>
    <w:p>
      <w:pPr>
        <w:wordWrap w:val="0"/>
        <w:jc w:val="right"/>
        <w:rPr>
          <w:rFonts w:hint="eastAsia" w:ascii="仿宋_GB2312" w:eastAsia="仿宋_GB2312" w:hAnsiTheme="minorEastAsia" w:cstheme="minorBidi"/>
          <w:sz w:val="32"/>
          <w:szCs w:val="32"/>
          <w:highlight w:val="none"/>
          <w:lang w:eastAsia="zh-CN"/>
        </w:rPr>
      </w:pPr>
      <w:r>
        <w:rPr>
          <w:rFonts w:hint="eastAsia" w:ascii="仿宋_GB2312" w:eastAsia="仿宋_GB2312" w:hAnsiTheme="minorEastAsia" w:cstheme="minorBidi"/>
          <w:sz w:val="32"/>
          <w:szCs w:val="32"/>
          <w:highlight w:val="none"/>
          <w:lang w:val="en-US" w:eastAsia="zh-CN"/>
        </w:rPr>
        <w:t xml:space="preserve"> </w:t>
      </w:r>
    </w:p>
    <w:p>
      <w:pPr>
        <w:ind w:firstLine="640" w:firstLineChars="200"/>
        <w:outlineLvl w:val="0"/>
        <w:rPr>
          <w:rFonts w:ascii="黑体" w:hAnsi="黑体" w:eastAsia="黑体"/>
          <w:bCs/>
          <w:kern w:val="0"/>
          <w:sz w:val="32"/>
          <w:szCs w:val="28"/>
        </w:rPr>
      </w:pPr>
      <w:bookmarkStart w:id="3" w:name="_Toc530336291"/>
      <w:bookmarkStart w:id="4" w:name="_Toc27711"/>
      <w:bookmarkStart w:id="5" w:name="_Toc104134419"/>
      <w:r>
        <w:rPr>
          <w:rFonts w:hint="eastAsia" w:ascii="黑体" w:hAnsi="黑体" w:eastAsia="黑体"/>
          <w:bCs/>
          <w:kern w:val="0"/>
          <w:sz w:val="32"/>
          <w:szCs w:val="28"/>
        </w:rPr>
        <w:t>一、</w:t>
      </w:r>
      <w:bookmarkEnd w:id="3"/>
      <w:r>
        <w:rPr>
          <w:rFonts w:hint="eastAsia" w:ascii="黑体" w:hAnsi="黑体" w:eastAsia="黑体"/>
          <w:bCs/>
          <w:kern w:val="0"/>
          <w:sz w:val="32"/>
          <w:szCs w:val="28"/>
        </w:rPr>
        <w:t>基本情况</w:t>
      </w:r>
      <w:bookmarkEnd w:id="4"/>
      <w:bookmarkEnd w:id="5"/>
    </w:p>
    <w:p>
      <w:pPr>
        <w:ind w:firstLine="640" w:firstLineChars="200"/>
        <w:outlineLvl w:val="1"/>
        <w:rPr>
          <w:rFonts w:ascii="楷体" w:hAnsi="楷体" w:eastAsia="楷体"/>
          <w:bCs/>
          <w:kern w:val="0"/>
          <w:sz w:val="32"/>
          <w:szCs w:val="28"/>
        </w:rPr>
      </w:pPr>
      <w:bookmarkStart w:id="6" w:name="_Toc530336292"/>
      <w:bookmarkStart w:id="7" w:name="_Toc104134420"/>
      <w:bookmarkStart w:id="8" w:name="_Toc9374"/>
      <w:r>
        <w:rPr>
          <w:rFonts w:hint="eastAsia" w:ascii="楷体" w:hAnsi="楷体" w:eastAsia="楷体"/>
          <w:bCs/>
          <w:kern w:val="0"/>
          <w:sz w:val="32"/>
          <w:szCs w:val="28"/>
        </w:rPr>
        <w:t>（一）</w:t>
      </w:r>
      <w:bookmarkEnd w:id="6"/>
      <w:r>
        <w:rPr>
          <w:rFonts w:hint="eastAsia" w:ascii="楷体" w:hAnsi="楷体" w:eastAsia="楷体"/>
          <w:bCs/>
          <w:kern w:val="0"/>
          <w:sz w:val="32"/>
          <w:szCs w:val="28"/>
        </w:rPr>
        <w:t>项目概况</w:t>
      </w:r>
      <w:bookmarkEnd w:id="7"/>
      <w:bookmarkEnd w:id="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bookmarkStart w:id="9" w:name="_Toc72129824"/>
      <w:bookmarkStart w:id="10" w:name="_Toc72117809"/>
      <w:bookmarkStart w:id="11" w:name="_Toc73028717"/>
      <w:r>
        <w:rPr>
          <w:rFonts w:hint="eastAsia" w:ascii="仿宋_GB2312" w:hAnsi="仿宋_GB2312" w:eastAsia="仿宋_GB2312" w:cs="仿宋_GB2312"/>
          <w:sz w:val="32"/>
        </w:rPr>
        <w:t>1.项目背景</w:t>
      </w:r>
      <w:bookmarkEnd w:id="9"/>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eastAsia="zh-CN"/>
        </w:rPr>
        <w:t>根据《北京市储备粮管理办法》，为确保市储备粮数量真实、质量良好、储存安全，北京市粮食和物资储备局对市储备粮开展日常监管</w:t>
      </w:r>
      <w:r>
        <w:rPr>
          <w:rFonts w:hint="eastAsia" w:ascii="仿宋_GB2312" w:hAnsi="仿宋_GB2312" w:eastAsia="仿宋_GB2312" w:cs="仿宋_GB2312"/>
          <w:sz w:val="32"/>
          <w:lang w:val="en-US" w:eastAsia="zh-CN"/>
        </w:rPr>
        <w:t>。依据《北京市粮食局关于成立市储备成品粮油监管小组的通知</w:t>
      </w:r>
      <w:bookmarkStart w:id="12" w:name="_Hlk108410483"/>
      <w:r>
        <w:rPr>
          <w:rFonts w:hint="eastAsia" w:ascii="仿宋_GB2312" w:hAnsi="仿宋_GB2312" w:eastAsia="仿宋_GB2312" w:cs="仿宋_GB2312"/>
          <w:sz w:val="32"/>
          <w:lang w:val="en-US" w:eastAsia="zh-CN"/>
        </w:rPr>
        <w:t>》（京粮发〔2008〕37号）由市储备成品粮监管小组对市储备成品粮油进行巡回检查工作。</w:t>
      </w:r>
      <w:bookmarkEnd w:id="12"/>
      <w:r>
        <w:rPr>
          <w:rFonts w:hint="eastAsia" w:ascii="仿宋_GB2312" w:hAnsi="仿宋_GB2312" w:eastAsia="仿宋_GB2312" w:cs="仿宋_GB2312"/>
          <w:sz w:val="32"/>
        </w:rPr>
        <w:t>市粮食和储备局作为</w:t>
      </w:r>
      <w:r>
        <w:rPr>
          <w:rFonts w:hint="eastAsia" w:ascii="仿宋_GB2312" w:hAnsi="仿宋_GB2312" w:eastAsia="仿宋_GB2312" w:cs="仿宋_GB2312"/>
          <w:sz w:val="32"/>
          <w:lang w:eastAsia="zh-CN"/>
        </w:rPr>
        <w:t>市储备粮监管</w:t>
      </w:r>
      <w:r>
        <w:rPr>
          <w:rFonts w:hint="eastAsia" w:ascii="仿宋_GB2312" w:hAnsi="仿宋_GB2312" w:eastAsia="仿宋_GB2312" w:cs="仿宋_GB2312"/>
          <w:sz w:val="32"/>
          <w:lang w:val="en-US" w:eastAsia="zh-CN"/>
        </w:rPr>
        <w:t>工作</w:t>
      </w:r>
      <w:r>
        <w:rPr>
          <w:rFonts w:hint="eastAsia" w:ascii="仿宋_GB2312" w:hAnsi="仿宋_GB2312" w:eastAsia="仿宋_GB2312" w:cs="仿宋_GB2312"/>
          <w:sz w:val="32"/>
        </w:rPr>
        <w:t>的行业主管部门，负责落实上述文件要求和部署，并对该项工作进行监督管理，</w:t>
      </w:r>
      <w:r>
        <w:rPr>
          <w:rFonts w:hint="eastAsia" w:ascii="仿宋_GB2312" w:hAnsi="仿宋_GB2312" w:eastAsia="仿宋_GB2312" w:cs="仿宋_GB2312"/>
          <w:sz w:val="32"/>
          <w:lang w:val="en-US" w:eastAsia="zh-CN"/>
        </w:rPr>
        <w:t>2022年继续</w:t>
      </w:r>
      <w:r>
        <w:rPr>
          <w:rFonts w:hint="eastAsia" w:ascii="仿宋_GB2312" w:hAnsi="仿宋_GB2312" w:eastAsia="仿宋_GB2312" w:cs="仿宋_GB2312"/>
          <w:sz w:val="32"/>
        </w:rPr>
        <w:t>申报</w:t>
      </w:r>
      <w:r>
        <w:rPr>
          <w:rFonts w:hint="eastAsia" w:ascii="仿宋_GB2312" w:hAnsi="仿宋_GB2312" w:eastAsia="仿宋_GB2312" w:cs="仿宋_GB2312"/>
          <w:sz w:val="32"/>
          <w:lang w:eastAsia="zh-CN"/>
        </w:rPr>
        <w:t>“市储备粮监管”</w:t>
      </w:r>
      <w:r>
        <w:rPr>
          <w:rFonts w:hint="eastAsia" w:ascii="仿宋_GB2312" w:hAnsi="仿宋_GB2312" w:eastAsia="仿宋_GB2312" w:cs="仿宋_GB2312"/>
          <w:sz w:val="32"/>
        </w:rPr>
        <w:t>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2.项目主要内容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该项目主要由市粮食和储备局组织开展，指导承储企业及代储代轮换企业按照北京市储备粮管理要求，做好市内及异地市储备粮存储轮换工作，委托</w:t>
      </w:r>
      <w:r>
        <w:rPr>
          <w:rFonts w:hint="eastAsia" w:ascii="仿宋_GB2312" w:hAnsi="仿宋_GB2312" w:eastAsia="仿宋_GB2312" w:cs="仿宋_GB2312"/>
          <w:sz w:val="32"/>
          <w:lang w:eastAsia="zh-CN"/>
        </w:rPr>
        <w:t>监管小组</w:t>
      </w:r>
      <w:r>
        <w:rPr>
          <w:rFonts w:hint="eastAsia" w:ascii="仿宋_GB2312" w:hAnsi="仿宋_GB2312" w:eastAsia="仿宋_GB2312" w:cs="仿宋_GB2312"/>
          <w:sz w:val="32"/>
          <w:lang w:val="en-US" w:eastAsia="zh-CN"/>
        </w:rPr>
        <w:t>代表市粮食和储备局对存放在市内的成品粮油储备进行日常巡回检查，对存放在异地的成品粮油储备进行季度巡回检查。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3.项目资金情况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1月</w:t>
      </w:r>
      <w:r>
        <w:rPr>
          <w:rFonts w:hint="eastAsia" w:ascii="仿宋_GB2312" w:hAnsi="仿宋_GB2312" w:eastAsia="仿宋_GB2312" w:cs="仿宋_GB2312"/>
          <w:sz w:val="32"/>
        </w:rPr>
        <w:t>，</w:t>
      </w:r>
      <w:r>
        <w:rPr>
          <w:rFonts w:hint="eastAsia" w:ascii="仿宋_GB2312" w:hAnsi="仿宋_GB2312" w:eastAsia="仿宋_GB2312" w:cs="仿宋_GB2312"/>
          <w:sz w:val="32"/>
          <w:lang w:val="en-US" w:eastAsia="zh-CN"/>
        </w:rPr>
        <w:t>北京</w:t>
      </w:r>
      <w:r>
        <w:rPr>
          <w:rFonts w:hint="eastAsia" w:ascii="仿宋_GB2312" w:hAnsi="仿宋_GB2312" w:eastAsia="仿宋_GB2312" w:cs="仿宋_GB2312"/>
          <w:sz w:val="32"/>
        </w:rPr>
        <w:t>市财政局批复项目</w:t>
      </w:r>
      <w:r>
        <w:rPr>
          <w:rFonts w:hint="eastAsia" w:ascii="仿宋_GB2312" w:hAnsi="仿宋_GB2312" w:eastAsia="仿宋_GB2312" w:cs="仿宋_GB2312"/>
          <w:sz w:val="32"/>
          <w:lang w:eastAsia="zh-CN"/>
        </w:rPr>
        <w:t>年初</w:t>
      </w:r>
      <w:r>
        <w:rPr>
          <w:rFonts w:hint="eastAsia" w:ascii="仿宋_GB2312" w:hAnsi="仿宋_GB2312" w:eastAsia="仿宋_GB2312" w:cs="仿宋_GB2312"/>
          <w:sz w:val="32"/>
        </w:rPr>
        <w:t>预算101.56万元，</w:t>
      </w:r>
      <w:r>
        <w:rPr>
          <w:rFonts w:hint="eastAsia" w:ascii="仿宋_GB2312" w:hAnsi="仿宋_GB2312" w:eastAsia="仿宋_GB2312" w:cs="仿宋_GB2312"/>
          <w:sz w:val="32"/>
          <w:lang w:eastAsia="zh-CN"/>
        </w:rPr>
        <w:t>项目执行中发生调整，经批准，项目年度</w:t>
      </w:r>
      <w:r>
        <w:rPr>
          <w:rFonts w:hint="eastAsia" w:ascii="仿宋_GB2312" w:hAnsi="仿宋_GB2312" w:eastAsia="仿宋_GB2312" w:cs="仿宋_GB2312"/>
          <w:sz w:val="32"/>
          <w:lang w:val="en-US" w:eastAsia="zh-CN"/>
        </w:rPr>
        <w:t>预算为118.73万元。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截至202</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年12月31日，项目实际支出</w:t>
      </w:r>
      <w:r>
        <w:rPr>
          <w:rFonts w:hint="eastAsia" w:ascii="仿宋_GB2312" w:hAnsi="仿宋_GB2312" w:eastAsia="仿宋_GB2312" w:cs="仿宋_GB2312"/>
          <w:sz w:val="32"/>
          <w:lang w:val="en-US" w:eastAsia="zh-CN"/>
        </w:rPr>
        <w:t>105.18万元，</w:t>
      </w:r>
      <w:r>
        <w:rPr>
          <w:rFonts w:hint="eastAsia" w:ascii="仿宋_GB2312" w:hAnsi="仿宋_GB2312" w:eastAsia="仿宋_GB2312" w:cs="仿宋_GB2312"/>
          <w:sz w:val="32"/>
        </w:rPr>
        <w:t>预算执行率</w:t>
      </w:r>
      <w:r>
        <w:rPr>
          <w:rFonts w:hint="eastAsia" w:ascii="仿宋_GB2312" w:hAnsi="仿宋_GB2312" w:eastAsia="仿宋_GB2312" w:cs="仿宋_GB2312"/>
          <w:sz w:val="32"/>
          <w:lang w:val="en-US" w:eastAsia="zh-CN"/>
        </w:rPr>
        <w:t>88.58%，结余资金13.55</w:t>
      </w:r>
      <w:r>
        <w:rPr>
          <w:rFonts w:hint="eastAsia" w:ascii="仿宋_GB2312" w:hAnsi="仿宋_GB2312" w:eastAsia="仿宋_GB2312" w:cs="仿宋_GB2312"/>
          <w:sz w:val="32"/>
        </w:rPr>
        <w:t>万元</w:t>
      </w:r>
      <w:r>
        <w:rPr>
          <w:rFonts w:hint="eastAsia" w:ascii="仿宋_GB2312" w:hAnsi="仿宋_GB2312" w:eastAsia="仿宋_GB2312" w:cs="仿宋_GB2312"/>
          <w:sz w:val="32"/>
          <w:lang w:eastAsia="zh-CN"/>
        </w:rPr>
        <w:t>。</w:t>
      </w:r>
    </w:p>
    <w:p>
      <w:pPr>
        <w:ind w:firstLine="640" w:firstLineChars="200"/>
        <w:outlineLvl w:val="1"/>
        <w:rPr>
          <w:rFonts w:ascii="楷体" w:hAnsi="楷体" w:eastAsia="楷体"/>
          <w:bCs/>
          <w:kern w:val="0"/>
          <w:sz w:val="32"/>
          <w:szCs w:val="28"/>
        </w:rPr>
      </w:pPr>
      <w:bookmarkStart w:id="13" w:name="_Toc104134421"/>
      <w:bookmarkStart w:id="14" w:name="_Toc25100"/>
      <w:r>
        <w:rPr>
          <w:rFonts w:hint="eastAsia" w:ascii="楷体" w:hAnsi="楷体" w:eastAsia="楷体"/>
          <w:bCs/>
          <w:kern w:val="0"/>
          <w:sz w:val="32"/>
          <w:szCs w:val="28"/>
        </w:rPr>
        <w:t>（二）项目绩效目标</w:t>
      </w:r>
      <w:bookmarkEnd w:id="13"/>
      <w:bookmarkEnd w:id="1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rPr>
      </w:pP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年度目标：</w:t>
      </w:r>
      <w:r>
        <w:rPr>
          <w:rFonts w:hint="eastAsia" w:ascii="仿宋_GB2312" w:hAnsi="仿宋_GB2312" w:eastAsia="仿宋_GB2312" w:cs="仿宋_GB2312"/>
          <w:sz w:val="32"/>
          <w:lang w:val="en-US" w:eastAsia="zh-CN"/>
        </w:rPr>
        <w:t>通过开展市储备成品粮及异地市储备粮监管工作，指导承储和代储企业按照北京市储备粮管理相关规定做好市储备粮储存工作，确保市储备粮数量准确、储存安全。</w:t>
      </w:r>
    </w:p>
    <w:p>
      <w:pPr>
        <w:ind w:firstLine="640" w:firstLineChars="200"/>
        <w:rPr>
          <w:rFonts w:hint="eastAsia" w:ascii="仿宋_GB2312" w:hAnsi="仿宋_GB2312" w:eastAsia="仿宋_GB2312" w:cs="仿宋_GB2312"/>
          <w:sz w:val="32"/>
          <w:highlight w:val="none"/>
        </w:rPr>
      </w:pPr>
      <w:r>
        <w:rPr>
          <w:rFonts w:hint="eastAsia" w:ascii="仿宋_GB2312" w:hAnsi="仿宋_GB2312" w:eastAsia="仿宋_GB2312" w:cs="仿宋_GB2312"/>
          <w:sz w:val="32"/>
          <w:highlight w:val="none"/>
        </w:rPr>
        <w:t>（1）产出指标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①数量指标：对黑龙江等七个省市约40万吨</w:t>
      </w:r>
      <w:r>
        <w:rPr>
          <w:rFonts w:hint="eastAsia" w:ascii="仿宋_GB2312" w:hAnsi="仿宋_GB2312" w:eastAsia="仿宋_GB2312" w:cs="仿宋_GB2312"/>
          <w:sz w:val="32"/>
          <w:lang w:val="en-US" w:eastAsia="zh-CN"/>
        </w:rPr>
        <w:t>的</w:t>
      </w:r>
      <w:r>
        <w:rPr>
          <w:rFonts w:hint="eastAsia" w:ascii="仿宋_GB2312" w:hAnsi="仿宋_GB2312" w:eastAsia="仿宋_GB2312" w:cs="仿宋_GB2312"/>
          <w:sz w:val="32"/>
        </w:rPr>
        <w:t>代储市储备粮进行检查，检查异地代储市储备粮省市数量</w:t>
      </w:r>
      <w:r>
        <w:rPr>
          <w:rFonts w:hint="eastAsia" w:ascii="仿宋_GB2312" w:hAnsi="仿宋_GB2312" w:eastAsia="仿宋_GB2312" w:cs="仿宋_GB2312"/>
          <w:sz w:val="32"/>
          <w:lang w:val="en-US" w:eastAsia="zh-CN"/>
        </w:rPr>
        <w:t>≥7个，</w:t>
      </w:r>
      <w:r>
        <w:rPr>
          <w:rFonts w:hint="eastAsia" w:ascii="仿宋_GB2312" w:hAnsi="仿宋_GB2312" w:eastAsia="仿宋_GB2312" w:cs="仿宋_GB2312"/>
          <w:sz w:val="32"/>
        </w:rPr>
        <w:t>撰写异地检查报告1份；对约16万吨成品粮油进行巡查、审核两个监管小组月度检查报告48份，检查季度报告数量8份。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②质量指标：符合《北京市储备粮异地储存管理办法》规定。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③时效指标：对北京市内及周边市储备成品粮检查进度≥24次/年；异地市储备成品粮检查进度≥4次/年；完成异地市储备粮检查期限</w:t>
      </w:r>
      <w:r>
        <w:rPr>
          <w:rFonts w:hint="eastAsia" w:ascii="仿宋_GB2312" w:hAnsi="仿宋_GB2312" w:eastAsia="仿宋_GB2312" w:cs="仿宋_GB2312"/>
          <w:sz w:val="32"/>
          <w:lang w:val="en-US" w:eastAsia="zh-CN"/>
        </w:rPr>
        <w:t>为</w:t>
      </w:r>
      <w:r>
        <w:rPr>
          <w:rFonts w:hint="eastAsia" w:ascii="仿宋_GB2312" w:hAnsi="仿宋_GB2312" w:eastAsia="仿宋_GB2312" w:cs="仿宋_GB2312"/>
          <w:sz w:val="32"/>
        </w:rPr>
        <w:t>2022年12月前</w:t>
      </w:r>
      <w:r>
        <w:rPr>
          <w:rFonts w:hint="eastAsia" w:ascii="仿宋_GB2312" w:hAnsi="仿宋_GB2312" w:eastAsia="仿宋_GB2312" w:cs="仿宋_GB2312"/>
          <w:sz w:val="32"/>
          <w:lang w:eastAsia="zh-CN"/>
        </w:rPr>
        <w:t>；完成检查报告撰写期限</w:t>
      </w:r>
      <w:r>
        <w:rPr>
          <w:rFonts w:hint="eastAsia" w:ascii="仿宋_GB2312" w:hAnsi="仿宋_GB2312" w:eastAsia="仿宋_GB2312" w:cs="仿宋_GB2312"/>
          <w:sz w:val="32"/>
          <w:lang w:val="en-US" w:eastAsia="zh-CN"/>
        </w:rPr>
        <w:t>为</w:t>
      </w:r>
      <w:r>
        <w:rPr>
          <w:rFonts w:hint="eastAsia" w:ascii="仿宋_GB2312" w:hAnsi="仿宋_GB2312" w:eastAsia="仿宋_GB2312" w:cs="仿宋_GB2312"/>
          <w:sz w:val="32"/>
        </w:rPr>
        <w:t>2022年12月前。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④成本指标：市储备粮监管成本≤118.73万元；市储备粮监管单位成本≤8元/年。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（2）效益指标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①社会效益：指导承、代储企业落实市储备粮管理制度，做好北京市储备粮管理工作。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②可持续影响指标：</w:t>
      </w:r>
      <w:r>
        <w:rPr>
          <w:rFonts w:hint="eastAsia" w:ascii="仿宋_GB2312" w:hAnsi="仿宋_GB2312" w:eastAsia="仿宋_GB2312" w:cs="仿宋_GB2312"/>
          <w:sz w:val="32"/>
          <w:lang w:val="en-US" w:eastAsia="zh-CN"/>
        </w:rPr>
        <w:t>确</w:t>
      </w:r>
      <w:r>
        <w:rPr>
          <w:rFonts w:hint="eastAsia" w:ascii="仿宋_GB2312" w:hAnsi="仿宋_GB2312" w:eastAsia="仿宋_GB2312" w:cs="仿宋_GB2312"/>
          <w:sz w:val="32"/>
        </w:rPr>
        <w:t>保市储备粮数量准确、储存安全、轮换及时等作用可持续发展。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rPr>
        <w:t>③服务对象满意度指标：承储企业满意度≥90%</w:t>
      </w:r>
      <w:bookmarkStart w:id="15" w:name="_Toc27794"/>
      <w:bookmarkStart w:id="16" w:name="_Toc104134422"/>
      <w:r>
        <w:rPr>
          <w:rFonts w:hint="eastAsia" w:ascii="仿宋_GB2312" w:hAnsi="仿宋_GB2312" w:eastAsia="仿宋_GB2312" w:cs="仿宋_GB2312"/>
          <w:sz w:val="32"/>
          <w:lang w:val="en-US" w:eastAsia="zh-CN"/>
        </w:rPr>
        <w:t>。</w:t>
      </w:r>
    </w:p>
    <w:p>
      <w:pPr>
        <w:ind w:firstLine="640" w:firstLineChars="200"/>
        <w:outlineLvl w:val="0"/>
        <w:rPr>
          <w:rFonts w:ascii="黑体" w:hAnsi="黑体" w:eastAsia="黑体"/>
          <w:bCs/>
          <w:kern w:val="0"/>
          <w:sz w:val="32"/>
          <w:szCs w:val="28"/>
        </w:rPr>
      </w:pPr>
      <w:r>
        <w:rPr>
          <w:rFonts w:hint="eastAsia" w:ascii="黑体" w:hAnsi="黑体" w:eastAsia="黑体"/>
          <w:bCs/>
          <w:kern w:val="0"/>
          <w:sz w:val="32"/>
          <w:szCs w:val="28"/>
        </w:rPr>
        <w:t>二、绩效评价工作开展情况</w:t>
      </w:r>
      <w:bookmarkEnd w:id="15"/>
      <w:bookmarkEnd w:id="16"/>
    </w:p>
    <w:p>
      <w:pPr>
        <w:ind w:firstLine="640" w:firstLineChars="200"/>
        <w:outlineLvl w:val="1"/>
        <w:rPr>
          <w:rFonts w:ascii="楷体" w:hAnsi="楷体" w:eastAsia="楷体"/>
          <w:bCs/>
          <w:kern w:val="0"/>
          <w:sz w:val="32"/>
          <w:szCs w:val="28"/>
        </w:rPr>
      </w:pPr>
      <w:bookmarkStart w:id="17" w:name="_Toc104134423"/>
      <w:bookmarkStart w:id="18" w:name="_Toc24897"/>
      <w:r>
        <w:rPr>
          <w:rFonts w:hint="eastAsia" w:ascii="楷体" w:hAnsi="楷体" w:eastAsia="楷体"/>
          <w:bCs/>
          <w:kern w:val="0"/>
          <w:sz w:val="32"/>
          <w:szCs w:val="28"/>
        </w:rPr>
        <w:t>（一）绩效评价目的、对象和范围</w:t>
      </w:r>
      <w:bookmarkEnd w:id="17"/>
      <w:bookmarkEnd w:id="1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bookmarkStart w:id="19" w:name="_Toc72129830"/>
      <w:bookmarkStart w:id="20" w:name="_Toc73028722"/>
      <w:bookmarkStart w:id="21" w:name="_Toc72117815"/>
      <w:r>
        <w:rPr>
          <w:rFonts w:hint="eastAsia" w:ascii="仿宋_GB2312" w:hAnsi="仿宋_GB2312" w:eastAsia="仿宋_GB2312" w:cs="仿宋_GB2312"/>
          <w:sz w:val="32"/>
        </w:rPr>
        <w:t>1.评价目的</w:t>
      </w:r>
      <w:bookmarkEnd w:id="19"/>
      <w:bookmarkEnd w:id="20"/>
      <w:bookmarkEnd w:id="2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通过</w:t>
      </w:r>
      <w:r>
        <w:rPr>
          <w:rFonts w:hint="eastAsia" w:ascii="仿宋_GB2312" w:hAnsi="仿宋_GB2312" w:eastAsia="仿宋_GB2312" w:cs="仿宋_GB2312"/>
          <w:sz w:val="32"/>
          <w:lang w:val="en-US" w:eastAsia="zh-CN"/>
        </w:rPr>
        <w:t>开展项目</w:t>
      </w:r>
      <w:r>
        <w:rPr>
          <w:rFonts w:hint="eastAsia" w:ascii="仿宋_GB2312" w:hAnsi="仿宋_GB2312" w:eastAsia="仿宋_GB2312" w:cs="仿宋_GB2312"/>
          <w:sz w:val="32"/>
        </w:rPr>
        <w:t>绩效评价，对该项目整体情况进行分析，全面、客观地反映项目单位的工作成效，对项目决策、项目过程、项目产出、项目效益四个方面存在的不足提出合理化建议，使预算绩效管理更加科学、规范，提高项目预算绩效管理水平和财政资金使用效益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bookmarkStart w:id="22" w:name="_Toc72129831"/>
      <w:bookmarkStart w:id="23" w:name="_Toc72117816"/>
      <w:bookmarkStart w:id="24" w:name="_Toc73028723"/>
      <w:r>
        <w:rPr>
          <w:rFonts w:hint="eastAsia" w:ascii="仿宋_GB2312" w:hAnsi="仿宋_GB2312" w:eastAsia="仿宋_GB2312" w:cs="仿宋_GB2312"/>
          <w:sz w:val="32"/>
        </w:rPr>
        <w:t>2.评价对象和范围</w:t>
      </w:r>
      <w:bookmarkEnd w:id="22"/>
      <w:bookmarkEnd w:id="23"/>
      <w:bookmarkEnd w:id="2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bookmarkStart w:id="25" w:name="_Toc28767"/>
      <w:r>
        <w:rPr>
          <w:rFonts w:hint="eastAsia" w:ascii="仿宋_GB2312" w:hAnsi="仿宋_GB2312" w:eastAsia="仿宋_GB2312" w:cs="仿宋_GB2312"/>
          <w:sz w:val="32"/>
        </w:rPr>
        <w:t>对</w:t>
      </w:r>
      <w:r>
        <w:rPr>
          <w:rFonts w:hint="eastAsia" w:ascii="仿宋_GB2312" w:hAnsi="仿宋_GB2312" w:eastAsia="仿宋_GB2312" w:cs="仿宋_GB2312"/>
          <w:sz w:val="32"/>
          <w:lang w:val="en-US" w:eastAsia="zh-CN"/>
        </w:rPr>
        <w:t>市粮食和储备局本级</w:t>
      </w:r>
      <w:r>
        <w:rPr>
          <w:rFonts w:hint="eastAsia" w:ascii="仿宋_GB2312" w:hAnsi="仿宋_GB2312" w:eastAsia="仿宋_GB2312" w:cs="仿宋_GB2312"/>
          <w:sz w:val="32"/>
          <w:lang w:eastAsia="zh-CN"/>
        </w:rPr>
        <w:t>市储备粮监管</w:t>
      </w:r>
      <w:r>
        <w:rPr>
          <w:rFonts w:hint="eastAsia" w:ascii="仿宋_GB2312" w:hAnsi="仿宋_GB2312" w:eastAsia="仿宋_GB2312" w:cs="仿宋_GB2312"/>
          <w:sz w:val="32"/>
        </w:rPr>
        <w:t>项目</w:t>
      </w:r>
      <w:r>
        <w:rPr>
          <w:rFonts w:hint="eastAsia" w:ascii="仿宋_GB2312" w:hAnsi="仿宋_GB2312" w:eastAsia="仿宋_GB2312" w:cs="仿宋_GB2312"/>
          <w:sz w:val="32"/>
          <w:lang w:val="en-US" w:eastAsia="zh-CN"/>
        </w:rPr>
        <w:t>118.73</w:t>
      </w:r>
      <w:r>
        <w:rPr>
          <w:rFonts w:hint="eastAsia" w:ascii="仿宋_GB2312" w:hAnsi="仿宋_GB2312" w:eastAsia="仿宋_GB2312" w:cs="仿宋_GB2312"/>
          <w:sz w:val="32"/>
        </w:rPr>
        <w:t>万元的资金支出情况开展绩效评价。</w:t>
      </w:r>
    </w:p>
    <w:p>
      <w:pPr>
        <w:ind w:firstLine="640" w:firstLineChars="200"/>
        <w:outlineLvl w:val="1"/>
        <w:rPr>
          <w:rFonts w:ascii="楷体" w:hAnsi="楷体" w:eastAsia="楷体"/>
          <w:bCs/>
          <w:kern w:val="0"/>
          <w:sz w:val="32"/>
          <w:szCs w:val="28"/>
        </w:rPr>
      </w:pPr>
      <w:bookmarkStart w:id="26" w:name="_Toc104134424"/>
      <w:r>
        <w:rPr>
          <w:rFonts w:hint="eastAsia" w:ascii="楷体" w:hAnsi="楷体" w:eastAsia="楷体"/>
          <w:bCs/>
          <w:kern w:val="0"/>
          <w:sz w:val="32"/>
          <w:szCs w:val="28"/>
        </w:rPr>
        <w:t>（二）绩效评价基本情况</w:t>
      </w:r>
      <w:bookmarkEnd w:id="25"/>
      <w:bookmarkEnd w:id="2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bookmarkStart w:id="27" w:name="_Toc72129833"/>
      <w:bookmarkStart w:id="28" w:name="_Toc72117818"/>
      <w:bookmarkStart w:id="29" w:name="_Toc73028725"/>
      <w:r>
        <w:rPr>
          <w:rFonts w:hint="eastAsia" w:ascii="仿宋_GB2312" w:hAnsi="仿宋_GB2312" w:eastAsia="仿宋_GB2312" w:cs="仿宋_GB2312"/>
          <w:sz w:val="32"/>
        </w:rPr>
        <w:t>1.绩效评价原则及方法</w:t>
      </w:r>
      <w:bookmarkEnd w:id="27"/>
      <w:bookmarkEnd w:id="28"/>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本次绩效评价遵循“客观、公正、科学、规范”的原则，结合项目的特点，采用比较法、因素分析法、专家评议法等方法，</w:t>
      </w:r>
      <w:r>
        <w:rPr>
          <w:rFonts w:hint="eastAsia" w:ascii="仿宋_GB2312" w:hAnsi="仿宋_GB2312" w:eastAsia="仿宋_GB2312" w:cs="仿宋_GB2312"/>
          <w:sz w:val="32"/>
          <w:lang w:val="en-US" w:eastAsia="zh-CN"/>
        </w:rPr>
        <w:t>通过</w:t>
      </w:r>
      <w:r>
        <w:rPr>
          <w:rFonts w:hint="eastAsia" w:ascii="仿宋_GB2312" w:hAnsi="仿宋_GB2312" w:eastAsia="仿宋_GB2312" w:cs="仿宋_GB2312"/>
          <w:sz w:val="32"/>
        </w:rPr>
        <w:t>定性与定量相结合，从项目决策、项目过程、项目产出、项目效益四个方面对本项目开展绩效评价。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bookmarkStart w:id="30" w:name="_Toc72129834"/>
      <w:bookmarkStart w:id="31" w:name="_Toc72117819"/>
      <w:bookmarkStart w:id="32" w:name="_Toc73028726"/>
      <w:r>
        <w:rPr>
          <w:rFonts w:hint="eastAsia" w:ascii="仿宋_GB2312" w:hAnsi="仿宋_GB2312" w:eastAsia="仿宋_GB2312" w:cs="仿宋_GB2312"/>
          <w:sz w:val="32"/>
        </w:rPr>
        <w:t>2.绩效评价指标体系</w:t>
      </w:r>
      <w:bookmarkEnd w:id="30"/>
      <w:bookmarkEnd w:id="31"/>
      <w:bookmarkEnd w:id="3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绩效评价指标体系主要包括项目决策、项目过程、项目产出、项目效益四个方面，满分100分。一是决策指标</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10分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，主要评价项目立项、绩效目标和资金投入内容；二是过程指标</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，主要评价项目资金管理和组织实施内容；三是产出指标</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40分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，主要评价项目产出数量、产出质量、产出时效和产出成本；四是效益指标</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30分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，主要评价项目实施效益和服务对象满意度内容。</w:t>
      </w:r>
    </w:p>
    <w:p>
      <w:pPr>
        <w:pStyle w:val="2"/>
        <w:rPr>
          <w:rFonts w:hint="eastAsia"/>
        </w:rPr>
      </w:pPr>
    </w:p>
    <w:tbl>
      <w:tblPr>
        <w:tblStyle w:val="11"/>
        <w:tblW w:w="8666" w:type="dxa"/>
        <w:jc w:val="center"/>
        <w:tblLayout w:type="fixed"/>
        <w:tblCellMar>
          <w:top w:w="0" w:type="dxa"/>
          <w:left w:w="108" w:type="dxa"/>
          <w:bottom w:w="0" w:type="dxa"/>
          <w:right w:w="108" w:type="dxa"/>
        </w:tblCellMar>
      </w:tblPr>
      <w:tblGrid>
        <w:gridCol w:w="1193"/>
        <w:gridCol w:w="2942"/>
        <w:gridCol w:w="3441"/>
        <w:gridCol w:w="1090"/>
      </w:tblGrid>
      <w:tr>
        <w:tblPrEx>
          <w:tblCellMar>
            <w:top w:w="0" w:type="dxa"/>
            <w:left w:w="108" w:type="dxa"/>
            <w:bottom w:w="0" w:type="dxa"/>
            <w:right w:w="108" w:type="dxa"/>
          </w:tblCellMar>
        </w:tblPrEx>
        <w:trPr>
          <w:trHeight w:val="510" w:hRule="atLeast"/>
          <w:tblHeader/>
          <w:jc w:val="center"/>
        </w:trPr>
        <w:tc>
          <w:tcPr>
            <w:tcW w:w="1193"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一级指标</w:t>
            </w:r>
          </w:p>
        </w:tc>
        <w:tc>
          <w:tcPr>
            <w:tcW w:w="2942"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二级指标</w:t>
            </w:r>
          </w:p>
        </w:tc>
        <w:tc>
          <w:tcPr>
            <w:tcW w:w="3441"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三级指标</w:t>
            </w:r>
          </w:p>
        </w:tc>
        <w:tc>
          <w:tcPr>
            <w:tcW w:w="109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分值</w:t>
            </w:r>
          </w:p>
        </w:tc>
      </w:tr>
      <w:tr>
        <w:tblPrEx>
          <w:tblCellMar>
            <w:top w:w="0" w:type="dxa"/>
            <w:left w:w="108" w:type="dxa"/>
            <w:bottom w:w="0" w:type="dxa"/>
            <w:right w:w="108" w:type="dxa"/>
          </w:tblCellMar>
        </w:tblPrEx>
        <w:trPr>
          <w:trHeight w:val="510" w:hRule="atLeast"/>
          <w:jc w:val="center"/>
        </w:trPr>
        <w:tc>
          <w:tcPr>
            <w:tcW w:w="1193"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决策</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（10分）</w:t>
            </w:r>
          </w:p>
        </w:tc>
        <w:tc>
          <w:tcPr>
            <w:tcW w:w="2942"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项目立项（4分）</w:t>
            </w:r>
          </w:p>
        </w:tc>
        <w:tc>
          <w:tcPr>
            <w:tcW w:w="3441"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立项依据充分性</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2.00 </w:t>
            </w:r>
          </w:p>
        </w:tc>
      </w:tr>
      <w:tr>
        <w:tblPrEx>
          <w:tblCellMar>
            <w:top w:w="0" w:type="dxa"/>
            <w:left w:w="108" w:type="dxa"/>
            <w:bottom w:w="0" w:type="dxa"/>
            <w:right w:w="108" w:type="dxa"/>
          </w:tblCellMar>
        </w:tblPrEx>
        <w:trPr>
          <w:trHeight w:val="510" w:hRule="atLeast"/>
          <w:jc w:val="center"/>
        </w:trPr>
        <w:tc>
          <w:tcPr>
            <w:tcW w:w="1193"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2942"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344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立项程序规范性</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2.00 </w:t>
            </w:r>
          </w:p>
        </w:tc>
      </w:tr>
      <w:tr>
        <w:tblPrEx>
          <w:tblCellMar>
            <w:top w:w="0" w:type="dxa"/>
            <w:left w:w="108" w:type="dxa"/>
            <w:bottom w:w="0" w:type="dxa"/>
            <w:right w:w="108" w:type="dxa"/>
          </w:tblCellMar>
        </w:tblPrEx>
        <w:trPr>
          <w:trHeight w:val="510" w:hRule="atLeast"/>
          <w:jc w:val="center"/>
        </w:trPr>
        <w:tc>
          <w:tcPr>
            <w:tcW w:w="1193"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294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绩效目标（3分）</w:t>
            </w:r>
          </w:p>
        </w:tc>
        <w:tc>
          <w:tcPr>
            <w:tcW w:w="344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绩效目标合理性</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2.00 </w:t>
            </w:r>
          </w:p>
        </w:tc>
      </w:tr>
      <w:tr>
        <w:tblPrEx>
          <w:tblCellMar>
            <w:top w:w="0" w:type="dxa"/>
            <w:left w:w="108" w:type="dxa"/>
            <w:bottom w:w="0" w:type="dxa"/>
            <w:right w:w="108" w:type="dxa"/>
          </w:tblCellMar>
        </w:tblPrEx>
        <w:trPr>
          <w:trHeight w:val="510" w:hRule="atLeast"/>
          <w:jc w:val="center"/>
        </w:trPr>
        <w:tc>
          <w:tcPr>
            <w:tcW w:w="1193"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294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344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绩效指标明确性</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1.00 </w:t>
            </w:r>
          </w:p>
        </w:tc>
      </w:tr>
      <w:tr>
        <w:tblPrEx>
          <w:tblCellMar>
            <w:top w:w="0" w:type="dxa"/>
            <w:left w:w="108" w:type="dxa"/>
            <w:bottom w:w="0" w:type="dxa"/>
            <w:right w:w="108" w:type="dxa"/>
          </w:tblCellMar>
        </w:tblPrEx>
        <w:trPr>
          <w:trHeight w:val="510" w:hRule="atLeast"/>
          <w:jc w:val="center"/>
        </w:trPr>
        <w:tc>
          <w:tcPr>
            <w:tcW w:w="1193"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294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资金投入（3分）</w:t>
            </w:r>
          </w:p>
        </w:tc>
        <w:tc>
          <w:tcPr>
            <w:tcW w:w="344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预算编制科学性</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2.00 </w:t>
            </w:r>
          </w:p>
        </w:tc>
      </w:tr>
      <w:tr>
        <w:tblPrEx>
          <w:tblCellMar>
            <w:top w:w="0" w:type="dxa"/>
            <w:left w:w="108" w:type="dxa"/>
            <w:bottom w:w="0" w:type="dxa"/>
            <w:right w:w="108" w:type="dxa"/>
          </w:tblCellMar>
        </w:tblPrEx>
        <w:trPr>
          <w:trHeight w:val="510" w:hRule="atLeast"/>
          <w:jc w:val="center"/>
        </w:trPr>
        <w:tc>
          <w:tcPr>
            <w:tcW w:w="1193"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294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344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资金分配合理性</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1.00 </w:t>
            </w:r>
          </w:p>
        </w:tc>
      </w:tr>
      <w:tr>
        <w:tblPrEx>
          <w:tblCellMar>
            <w:top w:w="0" w:type="dxa"/>
            <w:left w:w="108" w:type="dxa"/>
            <w:bottom w:w="0" w:type="dxa"/>
            <w:right w:w="108" w:type="dxa"/>
          </w:tblCellMar>
        </w:tblPrEx>
        <w:trPr>
          <w:trHeight w:val="510" w:hRule="atLeast"/>
          <w:jc w:val="center"/>
        </w:trPr>
        <w:tc>
          <w:tcPr>
            <w:tcW w:w="1193"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过程</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（20分）</w:t>
            </w:r>
          </w:p>
        </w:tc>
        <w:tc>
          <w:tcPr>
            <w:tcW w:w="2942"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资金管理</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10分）</w:t>
            </w:r>
          </w:p>
        </w:tc>
        <w:tc>
          <w:tcPr>
            <w:tcW w:w="344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资金到位率</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2.00 </w:t>
            </w:r>
          </w:p>
        </w:tc>
      </w:tr>
      <w:tr>
        <w:tblPrEx>
          <w:tblCellMar>
            <w:top w:w="0" w:type="dxa"/>
            <w:left w:w="108" w:type="dxa"/>
            <w:bottom w:w="0" w:type="dxa"/>
            <w:right w:w="108" w:type="dxa"/>
          </w:tblCellMar>
        </w:tblPrEx>
        <w:trPr>
          <w:trHeight w:val="510" w:hRule="atLeast"/>
          <w:jc w:val="center"/>
        </w:trPr>
        <w:tc>
          <w:tcPr>
            <w:tcW w:w="1193"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2942"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344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预算执行率</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5.00 </w:t>
            </w:r>
          </w:p>
        </w:tc>
      </w:tr>
      <w:tr>
        <w:tblPrEx>
          <w:tblCellMar>
            <w:top w:w="0" w:type="dxa"/>
            <w:left w:w="108" w:type="dxa"/>
            <w:bottom w:w="0" w:type="dxa"/>
            <w:right w:w="108" w:type="dxa"/>
          </w:tblCellMar>
        </w:tblPrEx>
        <w:trPr>
          <w:trHeight w:val="510" w:hRule="atLeast"/>
          <w:jc w:val="center"/>
        </w:trPr>
        <w:tc>
          <w:tcPr>
            <w:tcW w:w="1193"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2942"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3441"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资金使用合规性</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3.00 </w:t>
            </w:r>
          </w:p>
        </w:tc>
      </w:tr>
      <w:tr>
        <w:tblPrEx>
          <w:tblCellMar>
            <w:top w:w="0" w:type="dxa"/>
            <w:left w:w="108" w:type="dxa"/>
            <w:bottom w:w="0" w:type="dxa"/>
            <w:right w:w="108" w:type="dxa"/>
          </w:tblCellMar>
        </w:tblPrEx>
        <w:trPr>
          <w:trHeight w:val="510" w:hRule="atLeast"/>
          <w:jc w:val="center"/>
        </w:trPr>
        <w:tc>
          <w:tcPr>
            <w:tcW w:w="1193"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294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组织实施（10分）</w:t>
            </w:r>
          </w:p>
        </w:tc>
        <w:tc>
          <w:tcPr>
            <w:tcW w:w="3441"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管理制度健全性</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5.00 </w:t>
            </w:r>
          </w:p>
        </w:tc>
      </w:tr>
      <w:tr>
        <w:tblPrEx>
          <w:tblCellMar>
            <w:top w:w="0" w:type="dxa"/>
            <w:left w:w="108" w:type="dxa"/>
            <w:bottom w:w="0" w:type="dxa"/>
            <w:right w:w="108" w:type="dxa"/>
          </w:tblCellMar>
        </w:tblPrEx>
        <w:trPr>
          <w:trHeight w:val="510" w:hRule="atLeast"/>
          <w:jc w:val="center"/>
        </w:trPr>
        <w:tc>
          <w:tcPr>
            <w:tcW w:w="1193"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294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3441"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制度执行有效性</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5.00 </w:t>
            </w:r>
          </w:p>
        </w:tc>
      </w:tr>
      <w:tr>
        <w:tblPrEx>
          <w:tblCellMar>
            <w:top w:w="0" w:type="dxa"/>
            <w:left w:w="108" w:type="dxa"/>
            <w:bottom w:w="0" w:type="dxa"/>
            <w:right w:w="108" w:type="dxa"/>
          </w:tblCellMar>
        </w:tblPrEx>
        <w:trPr>
          <w:trHeight w:val="510" w:hRule="atLeast"/>
          <w:jc w:val="center"/>
        </w:trPr>
        <w:tc>
          <w:tcPr>
            <w:tcW w:w="1193"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产出</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（40分）</w:t>
            </w:r>
          </w:p>
        </w:tc>
        <w:tc>
          <w:tcPr>
            <w:tcW w:w="2942"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产出数量（10分）</w:t>
            </w:r>
          </w:p>
        </w:tc>
        <w:tc>
          <w:tcPr>
            <w:tcW w:w="3441"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实际完成率</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10.00 </w:t>
            </w:r>
          </w:p>
        </w:tc>
      </w:tr>
      <w:tr>
        <w:tblPrEx>
          <w:tblCellMar>
            <w:top w:w="0" w:type="dxa"/>
            <w:left w:w="108" w:type="dxa"/>
            <w:bottom w:w="0" w:type="dxa"/>
            <w:right w:w="108" w:type="dxa"/>
          </w:tblCellMar>
        </w:tblPrEx>
        <w:trPr>
          <w:trHeight w:val="510" w:hRule="atLeast"/>
          <w:jc w:val="center"/>
        </w:trPr>
        <w:tc>
          <w:tcPr>
            <w:tcW w:w="1193"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2942"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产出质量（10分）</w:t>
            </w:r>
          </w:p>
        </w:tc>
        <w:tc>
          <w:tcPr>
            <w:tcW w:w="3441"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质量达标率</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10.00 </w:t>
            </w:r>
          </w:p>
        </w:tc>
      </w:tr>
      <w:tr>
        <w:tblPrEx>
          <w:tblCellMar>
            <w:top w:w="0" w:type="dxa"/>
            <w:left w:w="108" w:type="dxa"/>
            <w:bottom w:w="0" w:type="dxa"/>
            <w:right w:w="108" w:type="dxa"/>
          </w:tblCellMar>
        </w:tblPrEx>
        <w:trPr>
          <w:trHeight w:val="510" w:hRule="atLeast"/>
          <w:jc w:val="center"/>
        </w:trPr>
        <w:tc>
          <w:tcPr>
            <w:tcW w:w="1193"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2942"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产出时效（10分）</w:t>
            </w:r>
          </w:p>
        </w:tc>
        <w:tc>
          <w:tcPr>
            <w:tcW w:w="3441"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完成及时性</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10.00 </w:t>
            </w:r>
          </w:p>
        </w:tc>
      </w:tr>
      <w:tr>
        <w:tblPrEx>
          <w:tblCellMar>
            <w:top w:w="0" w:type="dxa"/>
            <w:left w:w="108" w:type="dxa"/>
            <w:bottom w:w="0" w:type="dxa"/>
            <w:right w:w="108" w:type="dxa"/>
          </w:tblCellMar>
        </w:tblPrEx>
        <w:trPr>
          <w:trHeight w:val="510" w:hRule="atLeast"/>
          <w:jc w:val="center"/>
        </w:trPr>
        <w:tc>
          <w:tcPr>
            <w:tcW w:w="1193"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294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产出成本（10分）</w:t>
            </w:r>
          </w:p>
        </w:tc>
        <w:tc>
          <w:tcPr>
            <w:tcW w:w="344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成本节约率</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10.00 </w:t>
            </w:r>
          </w:p>
        </w:tc>
      </w:tr>
      <w:tr>
        <w:tblPrEx>
          <w:tblCellMar>
            <w:top w:w="0" w:type="dxa"/>
            <w:left w:w="108" w:type="dxa"/>
            <w:bottom w:w="0" w:type="dxa"/>
            <w:right w:w="108" w:type="dxa"/>
          </w:tblCellMar>
        </w:tblPrEx>
        <w:trPr>
          <w:trHeight w:val="510" w:hRule="atLeast"/>
          <w:jc w:val="center"/>
        </w:trPr>
        <w:tc>
          <w:tcPr>
            <w:tcW w:w="1193"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效益</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（30分）</w:t>
            </w:r>
          </w:p>
        </w:tc>
        <w:tc>
          <w:tcPr>
            <w:tcW w:w="294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项目效益（30分）</w:t>
            </w:r>
          </w:p>
        </w:tc>
        <w:tc>
          <w:tcPr>
            <w:tcW w:w="3441"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社会效益</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13.00</w:t>
            </w:r>
          </w:p>
        </w:tc>
      </w:tr>
      <w:tr>
        <w:tblPrEx>
          <w:tblCellMar>
            <w:top w:w="0" w:type="dxa"/>
            <w:left w:w="108" w:type="dxa"/>
            <w:bottom w:w="0" w:type="dxa"/>
            <w:right w:w="108" w:type="dxa"/>
          </w:tblCellMar>
        </w:tblPrEx>
        <w:trPr>
          <w:trHeight w:val="510" w:hRule="atLeast"/>
          <w:jc w:val="center"/>
        </w:trPr>
        <w:tc>
          <w:tcPr>
            <w:tcW w:w="1193"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294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344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可持续影响</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12.00</w:t>
            </w:r>
          </w:p>
        </w:tc>
      </w:tr>
      <w:tr>
        <w:tblPrEx>
          <w:tblCellMar>
            <w:top w:w="0" w:type="dxa"/>
            <w:left w:w="108" w:type="dxa"/>
            <w:bottom w:w="0" w:type="dxa"/>
            <w:right w:w="108" w:type="dxa"/>
          </w:tblCellMar>
        </w:tblPrEx>
        <w:trPr>
          <w:trHeight w:val="510" w:hRule="atLeast"/>
          <w:jc w:val="center"/>
        </w:trPr>
        <w:tc>
          <w:tcPr>
            <w:tcW w:w="1193"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294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tc>
        <w:tc>
          <w:tcPr>
            <w:tcW w:w="344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满意度</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（10分）</w:t>
            </w:r>
          </w:p>
        </w:tc>
        <w:tc>
          <w:tcPr>
            <w:tcW w:w="109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 xml:space="preserve">.00 </w:t>
            </w:r>
          </w:p>
        </w:tc>
      </w:tr>
      <w:tr>
        <w:tblPrEx>
          <w:tblCellMar>
            <w:top w:w="0" w:type="dxa"/>
            <w:left w:w="108" w:type="dxa"/>
            <w:bottom w:w="0" w:type="dxa"/>
            <w:right w:w="108" w:type="dxa"/>
          </w:tblCellMar>
        </w:tblPrEx>
        <w:trPr>
          <w:trHeight w:val="510" w:hRule="atLeast"/>
          <w:jc w:val="center"/>
        </w:trPr>
        <w:tc>
          <w:tcPr>
            <w:tcW w:w="7576" w:type="dxa"/>
            <w:gridSpan w:val="3"/>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合计</w:t>
            </w:r>
          </w:p>
        </w:tc>
        <w:tc>
          <w:tcPr>
            <w:tcW w:w="109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100.00</w:t>
            </w:r>
          </w:p>
        </w:tc>
      </w:tr>
    </w:tbl>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bookmarkStart w:id="33" w:name="_Toc73028727"/>
      <w:bookmarkStart w:id="34" w:name="_Toc72129835"/>
      <w:bookmarkStart w:id="35" w:name="_Toc72117820"/>
      <w:r>
        <w:rPr>
          <w:rFonts w:hint="eastAsia" w:ascii="仿宋_GB2312" w:hAnsi="仿宋_GB2312" w:eastAsia="仿宋_GB2312" w:cs="仿宋_GB2312"/>
          <w:sz w:val="32"/>
        </w:rPr>
        <w:t>3.评价标准</w:t>
      </w:r>
      <w:bookmarkEnd w:id="33"/>
      <w:bookmarkEnd w:id="34"/>
      <w:bookmarkEnd w:id="3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本次绩效评价标准为计划标准，以该项目预先制定的</w:t>
      </w:r>
      <w:r>
        <w:rPr>
          <w:rFonts w:hint="eastAsia" w:ascii="仿宋_GB2312" w:hAnsi="仿宋_GB2312" w:eastAsia="仿宋_GB2312" w:cs="仿宋_GB2312"/>
          <w:sz w:val="32"/>
          <w:lang w:val="en-US" w:eastAsia="zh-CN"/>
        </w:rPr>
        <w:t>项目</w:t>
      </w:r>
      <w:r>
        <w:rPr>
          <w:rFonts w:hint="eastAsia" w:ascii="仿宋_GB2312" w:hAnsi="仿宋_GB2312" w:eastAsia="仿宋_GB2312" w:cs="仿宋_GB2312"/>
          <w:sz w:val="32"/>
        </w:rPr>
        <w:t>目标、计划、预算作为评价标准，对绩效指标完成情况进行比较。</w:t>
      </w:r>
    </w:p>
    <w:p>
      <w:pPr>
        <w:ind w:firstLine="640" w:firstLineChars="200"/>
        <w:outlineLvl w:val="1"/>
        <w:rPr>
          <w:rFonts w:ascii="楷体" w:hAnsi="楷体" w:eastAsia="楷体"/>
          <w:bCs/>
          <w:kern w:val="0"/>
          <w:sz w:val="32"/>
          <w:szCs w:val="28"/>
        </w:rPr>
      </w:pPr>
      <w:bookmarkStart w:id="36" w:name="_Toc15796"/>
      <w:bookmarkStart w:id="37" w:name="_Toc104134425"/>
      <w:r>
        <w:rPr>
          <w:rFonts w:hint="eastAsia" w:ascii="楷体" w:hAnsi="楷体" w:eastAsia="楷体"/>
          <w:bCs/>
          <w:kern w:val="0"/>
          <w:sz w:val="32"/>
          <w:szCs w:val="28"/>
        </w:rPr>
        <w:t>（三）绩效评价工作过程</w:t>
      </w:r>
      <w:bookmarkEnd w:id="36"/>
      <w:bookmarkEnd w:id="3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成立</w:t>
      </w:r>
      <w:r>
        <w:rPr>
          <w:rFonts w:hint="eastAsia" w:ascii="仿宋_GB2312" w:hAnsi="仿宋_GB2312" w:eastAsia="仿宋_GB2312" w:cs="仿宋_GB2312"/>
          <w:sz w:val="32"/>
          <w:lang w:eastAsia="zh-CN"/>
        </w:rPr>
        <w:t>绩效</w:t>
      </w:r>
      <w:r>
        <w:rPr>
          <w:rFonts w:hint="eastAsia" w:ascii="仿宋_GB2312" w:hAnsi="仿宋_GB2312" w:eastAsia="仿宋_GB2312" w:cs="仿宋_GB2312"/>
          <w:sz w:val="32"/>
        </w:rPr>
        <w:t>评价工作组</w:t>
      </w:r>
      <w:r>
        <w:rPr>
          <w:rFonts w:hint="eastAsia" w:ascii="仿宋_GB2312" w:hAnsi="仿宋_GB2312" w:eastAsia="仿宋_GB2312" w:cs="仿宋_GB2312"/>
          <w:sz w:val="32"/>
          <w:lang w:eastAsia="zh-CN"/>
        </w:rPr>
        <w:t>，深入沟通交流，收集绩效</w:t>
      </w:r>
      <w:r>
        <w:rPr>
          <w:rFonts w:hint="eastAsia" w:ascii="仿宋_GB2312" w:hAnsi="仿宋_GB2312" w:eastAsia="仿宋_GB2312" w:cs="仿宋_GB2312"/>
          <w:sz w:val="32"/>
        </w:rPr>
        <w:t>资料</w:t>
      </w:r>
      <w:r>
        <w:rPr>
          <w:rFonts w:hint="eastAsia" w:ascii="仿宋_GB2312" w:hAnsi="仿宋_GB2312" w:eastAsia="仿宋_GB2312" w:cs="仿宋_GB2312"/>
          <w:sz w:val="32"/>
          <w:lang w:eastAsia="zh-CN"/>
        </w:rPr>
        <w:t>，支撑</w:t>
      </w:r>
      <w:r>
        <w:rPr>
          <w:rFonts w:hint="eastAsia" w:ascii="仿宋_GB2312" w:hAnsi="仿宋_GB2312" w:eastAsia="仿宋_GB2312" w:cs="仿宋_GB2312"/>
          <w:sz w:val="32"/>
        </w:rPr>
        <w:t>项目资金使用和取得的效益情况，并在此基础上召开线上专家评价会，最终根据前期沟通及收集资料情况，结合专家评价会的专家组意见，</w:t>
      </w:r>
      <w:r>
        <w:rPr>
          <w:rFonts w:hint="eastAsia" w:ascii="仿宋_GB2312" w:hAnsi="仿宋_GB2312" w:eastAsia="仿宋_GB2312" w:cs="仿宋_GB2312"/>
          <w:sz w:val="32"/>
          <w:lang w:eastAsia="zh-CN"/>
        </w:rPr>
        <w:t>形成</w:t>
      </w:r>
      <w:r>
        <w:rPr>
          <w:rFonts w:hint="eastAsia" w:ascii="仿宋_GB2312" w:hAnsi="仿宋_GB2312" w:eastAsia="仿宋_GB2312" w:cs="仿宋_GB2312"/>
          <w:sz w:val="32"/>
        </w:rPr>
        <w:t>绩效评价报告。</w:t>
      </w:r>
    </w:p>
    <w:p>
      <w:pPr>
        <w:ind w:firstLine="640" w:firstLineChars="200"/>
        <w:outlineLvl w:val="0"/>
        <w:rPr>
          <w:rFonts w:ascii="黑体" w:hAnsi="黑体" w:eastAsia="黑体"/>
          <w:bCs/>
          <w:kern w:val="0"/>
          <w:sz w:val="32"/>
          <w:szCs w:val="28"/>
        </w:rPr>
      </w:pPr>
      <w:bookmarkStart w:id="38" w:name="_Toc24343"/>
      <w:bookmarkStart w:id="39" w:name="_Toc104134426"/>
      <w:r>
        <w:rPr>
          <w:rFonts w:hint="eastAsia" w:ascii="黑体" w:hAnsi="黑体" w:eastAsia="黑体"/>
          <w:bCs/>
          <w:kern w:val="0"/>
          <w:sz w:val="32"/>
          <w:szCs w:val="28"/>
        </w:rPr>
        <w:t>三、综合评价情况及评价结论</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经专家综合评价</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该项目</w:t>
      </w:r>
      <w:r>
        <w:rPr>
          <w:rFonts w:hint="eastAsia" w:ascii="仿宋_GB2312" w:hAnsi="仿宋_GB2312" w:eastAsia="仿宋_GB2312" w:cs="仿宋_GB2312"/>
          <w:sz w:val="32"/>
        </w:rPr>
        <w:t>绩效评价综合得分</w:t>
      </w:r>
      <w:r>
        <w:rPr>
          <w:rFonts w:hint="eastAsia" w:ascii="仿宋_GB2312" w:hAnsi="仿宋_GB2312" w:eastAsia="仿宋_GB2312" w:cs="仿宋_GB2312"/>
          <w:sz w:val="32"/>
          <w:lang w:val="en-US" w:eastAsia="zh-CN"/>
        </w:rPr>
        <w:t>87.19</w:t>
      </w:r>
      <w:r>
        <w:rPr>
          <w:rFonts w:hint="eastAsia" w:ascii="仿宋_GB2312" w:hAnsi="仿宋_GB2312" w:eastAsia="仿宋_GB2312" w:cs="仿宋_GB2312"/>
          <w:sz w:val="32"/>
        </w:rPr>
        <w:t>分，绩效评价</w:t>
      </w:r>
      <w:r>
        <w:rPr>
          <w:rFonts w:hint="eastAsia" w:ascii="仿宋_GB2312" w:hAnsi="仿宋_GB2312" w:eastAsia="仿宋_GB2312" w:cs="仿宋_GB2312"/>
          <w:sz w:val="32"/>
          <w:lang w:val="en-US" w:eastAsia="zh-CN"/>
        </w:rPr>
        <w:t>结论等</w:t>
      </w:r>
      <w:r>
        <w:rPr>
          <w:rFonts w:hint="eastAsia" w:ascii="仿宋_GB2312" w:hAnsi="仿宋_GB2312" w:eastAsia="仿宋_GB2312" w:cs="仿宋_GB2312"/>
          <w:sz w:val="32"/>
        </w:rPr>
        <w:t>级为“</w:t>
      </w:r>
      <w:r>
        <w:rPr>
          <w:rFonts w:hint="eastAsia" w:ascii="仿宋_GB2312" w:hAnsi="仿宋_GB2312" w:eastAsia="仿宋_GB2312" w:cs="仿宋_GB2312"/>
          <w:sz w:val="32"/>
          <w:lang w:eastAsia="zh-CN"/>
        </w:rPr>
        <w:t>良好</w:t>
      </w:r>
      <w:r>
        <w:rPr>
          <w:rFonts w:hint="eastAsia" w:ascii="仿宋_GB2312" w:hAnsi="仿宋_GB2312" w:eastAsia="仿宋_GB2312" w:cs="仿宋_GB2312"/>
          <w:sz w:val="32"/>
        </w:rPr>
        <w:t>”。其中，项目决策得分</w:t>
      </w:r>
      <w:r>
        <w:rPr>
          <w:rFonts w:hint="eastAsia" w:ascii="仿宋_GB2312" w:hAnsi="仿宋_GB2312" w:eastAsia="仿宋_GB2312" w:cs="仿宋_GB2312"/>
          <w:sz w:val="32"/>
          <w:lang w:val="en-US" w:eastAsia="zh-CN"/>
        </w:rPr>
        <w:t>9.60</w:t>
      </w:r>
      <w:r>
        <w:rPr>
          <w:rFonts w:hint="eastAsia" w:ascii="仿宋_GB2312" w:hAnsi="仿宋_GB2312" w:eastAsia="仿宋_GB2312" w:cs="仿宋_GB2312"/>
          <w:sz w:val="32"/>
        </w:rPr>
        <w:t>分，项目过程得分</w:t>
      </w:r>
      <w:r>
        <w:rPr>
          <w:rFonts w:hint="eastAsia" w:ascii="仿宋_GB2312" w:hAnsi="仿宋_GB2312" w:eastAsia="仿宋_GB2312" w:cs="仿宋_GB2312"/>
          <w:sz w:val="32"/>
          <w:lang w:val="en-US" w:eastAsia="zh-CN"/>
        </w:rPr>
        <w:t>16.57</w:t>
      </w:r>
      <w:r>
        <w:rPr>
          <w:rFonts w:hint="eastAsia" w:ascii="仿宋_GB2312" w:hAnsi="仿宋_GB2312" w:eastAsia="仿宋_GB2312" w:cs="仿宋_GB2312"/>
          <w:sz w:val="32"/>
        </w:rPr>
        <w:t>分，项目产出得分</w:t>
      </w:r>
      <w:r>
        <w:rPr>
          <w:rFonts w:hint="eastAsia" w:ascii="仿宋_GB2312" w:hAnsi="仿宋_GB2312" w:eastAsia="仿宋_GB2312" w:cs="仿宋_GB2312"/>
          <w:sz w:val="32"/>
          <w:lang w:val="en-US" w:eastAsia="zh-CN"/>
        </w:rPr>
        <w:t>38.10</w:t>
      </w:r>
      <w:r>
        <w:rPr>
          <w:rFonts w:hint="eastAsia" w:ascii="仿宋_GB2312" w:hAnsi="仿宋_GB2312" w:eastAsia="仿宋_GB2312" w:cs="仿宋_GB2312"/>
          <w:sz w:val="32"/>
        </w:rPr>
        <w:t>分，项目效益得分</w:t>
      </w:r>
      <w:r>
        <w:rPr>
          <w:rFonts w:hint="eastAsia" w:ascii="仿宋_GB2312" w:hAnsi="仿宋_GB2312" w:eastAsia="仿宋_GB2312" w:cs="仿宋_GB2312"/>
          <w:sz w:val="32"/>
          <w:lang w:val="en-US" w:eastAsia="zh-CN"/>
        </w:rPr>
        <w:t>22.92</w:t>
      </w:r>
      <w:r>
        <w:rPr>
          <w:rFonts w:hint="eastAsia" w:ascii="仿宋_GB2312" w:hAnsi="仿宋_GB2312" w:eastAsia="仿宋_GB2312" w:cs="仿宋_GB2312"/>
          <w:sz w:val="32"/>
        </w:rPr>
        <w:t>分。</w:t>
      </w:r>
    </w:p>
    <w:p>
      <w:pPr>
        <w:ind w:firstLine="640" w:firstLineChars="200"/>
        <w:jc w:val="center"/>
        <w:rPr>
          <w:rFonts w:ascii="仿宋_GB2312" w:eastAsia="仿宋_GB2312"/>
          <w:bCs/>
          <w:sz w:val="32"/>
          <w:szCs w:val="32"/>
        </w:rPr>
      </w:pPr>
      <w:r>
        <w:rPr>
          <w:rFonts w:hint="eastAsia" w:eastAsia="仿宋_GB2312"/>
          <w:bCs/>
          <w:sz w:val="32"/>
          <w:szCs w:val="32"/>
        </w:rPr>
        <w:t>项目绩效评价结论一览表</w:t>
      </w:r>
    </w:p>
    <w:tbl>
      <w:tblPr>
        <w:tblStyle w:val="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autofit"/>
        <w:tblCellMar>
          <w:top w:w="0" w:type="dxa"/>
          <w:left w:w="108" w:type="dxa"/>
          <w:bottom w:w="0" w:type="dxa"/>
          <w:right w:w="108" w:type="dxa"/>
        </w:tblCellMar>
      </w:tblPr>
      <w:tblGrid>
        <w:gridCol w:w="3746"/>
        <w:gridCol w:w="1934"/>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2198"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ascii="宋体" w:hAnsi="宋体" w:cs="宋体"/>
                <w:kern w:val="0"/>
                <w:sz w:val="28"/>
                <w:szCs w:val="28"/>
              </w:rPr>
            </w:pPr>
            <w:r>
              <w:rPr>
                <w:rFonts w:hint="eastAsia" w:ascii="宋体" w:hAnsi="宋体" w:cs="宋体"/>
                <w:kern w:val="0"/>
                <w:sz w:val="28"/>
                <w:szCs w:val="28"/>
              </w:rPr>
              <w:t>评价内容</w:t>
            </w:r>
          </w:p>
        </w:tc>
        <w:tc>
          <w:tcPr>
            <w:tcW w:w="1135"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ascii="宋体" w:hAnsi="宋体" w:cs="宋体"/>
                <w:kern w:val="0"/>
                <w:sz w:val="28"/>
                <w:szCs w:val="28"/>
              </w:rPr>
            </w:pPr>
            <w:r>
              <w:rPr>
                <w:rFonts w:hint="eastAsia" w:ascii="宋体" w:hAnsi="宋体" w:cs="宋体"/>
                <w:kern w:val="0"/>
                <w:sz w:val="28"/>
                <w:szCs w:val="28"/>
              </w:rPr>
              <w:t>分值</w:t>
            </w:r>
          </w:p>
        </w:tc>
        <w:tc>
          <w:tcPr>
            <w:tcW w:w="1666"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ascii="宋体" w:hAnsi="宋体" w:cs="宋体"/>
                <w:kern w:val="0"/>
                <w:sz w:val="28"/>
                <w:szCs w:val="28"/>
              </w:rPr>
            </w:pPr>
            <w:r>
              <w:rPr>
                <w:rFonts w:hint="eastAsia" w:ascii="宋体" w:hAnsi="宋体" w:cs="宋体"/>
                <w:kern w:val="0"/>
                <w:sz w:val="28"/>
                <w:szCs w:val="28"/>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567" w:hRule="atLeast"/>
        </w:trPr>
        <w:tc>
          <w:tcPr>
            <w:tcW w:w="2198"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ascii="宋体" w:hAnsi="宋体" w:cs="宋体"/>
                <w:kern w:val="0"/>
                <w:sz w:val="28"/>
                <w:szCs w:val="28"/>
              </w:rPr>
            </w:pPr>
            <w:r>
              <w:rPr>
                <w:rFonts w:hint="eastAsia" w:ascii="宋体" w:hAnsi="宋体" w:cs="宋体"/>
                <w:kern w:val="0"/>
                <w:sz w:val="28"/>
                <w:szCs w:val="28"/>
              </w:rPr>
              <w:t>项目决策</w:t>
            </w:r>
          </w:p>
        </w:tc>
        <w:tc>
          <w:tcPr>
            <w:tcW w:w="1135"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ascii="宋体" w:hAnsi="宋体" w:cs="宋体"/>
                <w:kern w:val="0"/>
                <w:sz w:val="28"/>
                <w:szCs w:val="28"/>
              </w:rPr>
            </w:pPr>
            <w:r>
              <w:rPr>
                <w:rFonts w:hint="eastAsia" w:ascii="宋体" w:hAnsi="宋体" w:cs="宋体"/>
                <w:kern w:val="0"/>
                <w:sz w:val="28"/>
                <w:szCs w:val="28"/>
              </w:rPr>
              <w:t>10</w:t>
            </w:r>
          </w:p>
        </w:tc>
        <w:tc>
          <w:tcPr>
            <w:tcW w:w="1666"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hint="default" w:ascii="宋体" w:hAnsi="宋体" w:eastAsia="宋体" w:cs="宋体"/>
                <w:kern w:val="0"/>
                <w:sz w:val="28"/>
                <w:szCs w:val="28"/>
                <w:lang w:val="en-US" w:eastAsia="zh-CN"/>
              </w:rPr>
            </w:pPr>
            <w:r>
              <w:rPr>
                <w:rFonts w:hint="eastAsia" w:ascii="宋体" w:hAnsi="宋体" w:cs="宋体"/>
                <w:kern w:val="0"/>
                <w:sz w:val="28"/>
                <w:szCs w:val="2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567" w:hRule="atLeast"/>
        </w:trPr>
        <w:tc>
          <w:tcPr>
            <w:tcW w:w="2198"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ascii="宋体" w:hAnsi="宋体" w:cs="宋体"/>
                <w:kern w:val="0"/>
                <w:sz w:val="28"/>
                <w:szCs w:val="28"/>
              </w:rPr>
            </w:pPr>
            <w:r>
              <w:rPr>
                <w:rFonts w:hint="eastAsia" w:ascii="宋体" w:hAnsi="宋体" w:cs="宋体"/>
                <w:kern w:val="0"/>
                <w:sz w:val="28"/>
                <w:szCs w:val="28"/>
              </w:rPr>
              <w:t>项目过程</w:t>
            </w:r>
          </w:p>
        </w:tc>
        <w:tc>
          <w:tcPr>
            <w:tcW w:w="1135"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ascii="宋体" w:hAnsi="宋体" w:cs="宋体"/>
                <w:kern w:val="0"/>
                <w:sz w:val="28"/>
                <w:szCs w:val="28"/>
              </w:rPr>
            </w:pPr>
            <w:r>
              <w:rPr>
                <w:rFonts w:hint="eastAsia" w:ascii="宋体" w:hAnsi="宋体" w:cs="宋体"/>
                <w:kern w:val="0"/>
                <w:sz w:val="28"/>
                <w:szCs w:val="28"/>
              </w:rPr>
              <w:t>20</w:t>
            </w:r>
          </w:p>
        </w:tc>
        <w:tc>
          <w:tcPr>
            <w:tcW w:w="1666"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hint="default" w:ascii="宋体" w:hAnsi="宋体" w:eastAsia="宋体" w:cs="宋体"/>
                <w:kern w:val="0"/>
                <w:sz w:val="28"/>
                <w:szCs w:val="28"/>
                <w:lang w:val="en-US" w:eastAsia="zh-CN"/>
              </w:rPr>
            </w:pPr>
            <w:r>
              <w:rPr>
                <w:rFonts w:hint="eastAsia" w:ascii="宋体" w:hAnsi="宋体" w:cs="宋体"/>
                <w:kern w:val="0"/>
                <w:sz w:val="28"/>
                <w:szCs w:val="28"/>
                <w:lang w:val="en-US" w:eastAsia="zh-CN"/>
              </w:rPr>
              <w:t>16.57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567" w:hRule="atLeast"/>
        </w:trPr>
        <w:tc>
          <w:tcPr>
            <w:tcW w:w="2198"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ascii="宋体" w:hAnsi="宋体" w:cs="宋体"/>
                <w:kern w:val="0"/>
                <w:sz w:val="28"/>
                <w:szCs w:val="28"/>
              </w:rPr>
            </w:pPr>
            <w:r>
              <w:rPr>
                <w:rFonts w:hint="eastAsia" w:ascii="宋体" w:hAnsi="宋体" w:cs="宋体"/>
                <w:kern w:val="0"/>
                <w:sz w:val="28"/>
                <w:szCs w:val="28"/>
              </w:rPr>
              <w:t>项目产出</w:t>
            </w:r>
          </w:p>
        </w:tc>
        <w:tc>
          <w:tcPr>
            <w:tcW w:w="1135"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ascii="宋体" w:hAnsi="宋体" w:cs="宋体"/>
                <w:kern w:val="0"/>
                <w:sz w:val="28"/>
                <w:szCs w:val="28"/>
              </w:rPr>
            </w:pPr>
            <w:r>
              <w:rPr>
                <w:rFonts w:hint="eastAsia" w:ascii="宋体" w:hAnsi="宋体" w:cs="宋体"/>
                <w:kern w:val="0"/>
                <w:sz w:val="28"/>
                <w:szCs w:val="28"/>
              </w:rPr>
              <w:t>40</w:t>
            </w:r>
          </w:p>
        </w:tc>
        <w:tc>
          <w:tcPr>
            <w:tcW w:w="1666"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hint="default" w:ascii="宋体" w:hAnsi="宋体" w:eastAsia="宋体" w:cs="宋体"/>
                <w:kern w:val="0"/>
                <w:sz w:val="28"/>
                <w:szCs w:val="28"/>
                <w:lang w:val="en-US" w:eastAsia="zh-CN"/>
              </w:rPr>
            </w:pPr>
            <w:r>
              <w:rPr>
                <w:rFonts w:hint="eastAsia" w:ascii="宋体" w:hAnsi="宋体" w:cs="宋体"/>
                <w:kern w:val="0"/>
                <w:sz w:val="28"/>
                <w:szCs w:val="28"/>
                <w:lang w:val="en-US" w:eastAsia="zh-CN"/>
              </w:rPr>
              <w:t>38.10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567" w:hRule="atLeast"/>
        </w:trPr>
        <w:tc>
          <w:tcPr>
            <w:tcW w:w="2198"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ascii="宋体" w:hAnsi="宋体" w:cs="宋体"/>
                <w:kern w:val="0"/>
                <w:sz w:val="28"/>
                <w:szCs w:val="28"/>
              </w:rPr>
            </w:pPr>
            <w:r>
              <w:rPr>
                <w:rFonts w:hint="eastAsia" w:ascii="宋体" w:hAnsi="宋体" w:cs="宋体"/>
                <w:kern w:val="0"/>
                <w:sz w:val="28"/>
                <w:szCs w:val="28"/>
              </w:rPr>
              <w:t>项目效益</w:t>
            </w:r>
          </w:p>
        </w:tc>
        <w:tc>
          <w:tcPr>
            <w:tcW w:w="1135"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ascii="宋体" w:hAnsi="宋体" w:cs="宋体"/>
                <w:kern w:val="0"/>
                <w:sz w:val="28"/>
                <w:szCs w:val="28"/>
              </w:rPr>
            </w:pPr>
            <w:r>
              <w:rPr>
                <w:rFonts w:hint="eastAsia" w:ascii="宋体" w:hAnsi="宋体" w:cs="宋体"/>
                <w:kern w:val="0"/>
                <w:sz w:val="28"/>
                <w:szCs w:val="28"/>
              </w:rPr>
              <w:t>30</w:t>
            </w:r>
          </w:p>
        </w:tc>
        <w:tc>
          <w:tcPr>
            <w:tcW w:w="1666"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hint="default" w:ascii="宋体" w:hAnsi="宋体" w:eastAsia="宋体" w:cs="宋体"/>
                <w:kern w:val="0"/>
                <w:sz w:val="28"/>
                <w:szCs w:val="28"/>
                <w:lang w:val="en-US" w:eastAsia="zh-CN"/>
              </w:rPr>
            </w:pPr>
            <w:r>
              <w:rPr>
                <w:rFonts w:hint="eastAsia" w:ascii="宋体" w:hAnsi="宋体" w:cs="宋体"/>
                <w:kern w:val="0"/>
                <w:sz w:val="28"/>
                <w:szCs w:val="28"/>
                <w:lang w:val="en-US" w:eastAsia="zh-CN"/>
              </w:rPr>
              <w:t>22.92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567" w:hRule="atLeast"/>
        </w:trPr>
        <w:tc>
          <w:tcPr>
            <w:tcW w:w="2198"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ascii="宋体" w:hAnsi="宋体" w:cs="宋体"/>
                <w:kern w:val="0"/>
                <w:sz w:val="28"/>
                <w:szCs w:val="28"/>
              </w:rPr>
            </w:pPr>
            <w:r>
              <w:rPr>
                <w:rFonts w:hint="eastAsia" w:ascii="宋体" w:hAnsi="宋体" w:cs="宋体"/>
                <w:kern w:val="0"/>
                <w:sz w:val="28"/>
                <w:szCs w:val="28"/>
              </w:rPr>
              <w:t>综合得分</w:t>
            </w:r>
          </w:p>
        </w:tc>
        <w:tc>
          <w:tcPr>
            <w:tcW w:w="1135"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ascii="宋体" w:hAnsi="宋体" w:cs="宋体"/>
                <w:kern w:val="0"/>
                <w:sz w:val="28"/>
                <w:szCs w:val="28"/>
              </w:rPr>
            </w:pPr>
            <w:r>
              <w:rPr>
                <w:rFonts w:hint="eastAsia" w:ascii="宋体" w:hAnsi="宋体" w:cs="宋体"/>
                <w:kern w:val="0"/>
                <w:sz w:val="28"/>
                <w:szCs w:val="28"/>
              </w:rPr>
              <w:t>100</w:t>
            </w:r>
          </w:p>
        </w:tc>
        <w:tc>
          <w:tcPr>
            <w:tcW w:w="1666"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hint="default" w:ascii="宋体" w:hAnsi="宋体" w:eastAsia="宋体" w:cs="宋体"/>
                <w:kern w:val="0"/>
                <w:sz w:val="28"/>
                <w:szCs w:val="28"/>
                <w:lang w:val="en-US" w:eastAsia="zh-CN"/>
              </w:rPr>
            </w:pPr>
            <w:r>
              <w:rPr>
                <w:rFonts w:hint="eastAsia" w:ascii="宋体" w:hAnsi="宋体" w:cs="宋体"/>
                <w:kern w:val="0"/>
                <w:sz w:val="28"/>
                <w:szCs w:val="28"/>
                <w:lang w:val="en-US" w:eastAsia="zh-CN"/>
              </w:rPr>
              <w:t>87.19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567" w:hRule="atLeast"/>
        </w:trPr>
        <w:tc>
          <w:tcPr>
            <w:tcW w:w="2198" w:type="pct"/>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ascii="宋体" w:hAnsi="宋体" w:cs="宋体"/>
                <w:kern w:val="0"/>
                <w:sz w:val="28"/>
                <w:szCs w:val="28"/>
              </w:rPr>
            </w:pPr>
            <w:r>
              <w:rPr>
                <w:rFonts w:hint="eastAsia" w:ascii="宋体" w:hAnsi="宋体" w:cs="宋体"/>
                <w:kern w:val="0"/>
                <w:sz w:val="28"/>
                <w:szCs w:val="28"/>
              </w:rPr>
              <w:t>绩效评定级别</w:t>
            </w:r>
          </w:p>
        </w:tc>
        <w:tc>
          <w:tcPr>
            <w:tcW w:w="2801" w:type="pct"/>
            <w:gridSpan w:val="2"/>
            <w:shd w:val="clear" w:color="000000" w:fill="auto"/>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jc w:val="center"/>
              <w:textAlignment w:val="auto"/>
              <w:rPr>
                <w:rFonts w:hint="eastAsia" w:ascii="宋体" w:hAnsi="宋体" w:eastAsia="宋体" w:cs="宋体"/>
                <w:kern w:val="0"/>
                <w:sz w:val="28"/>
                <w:szCs w:val="28"/>
                <w:lang w:eastAsia="zh-CN"/>
              </w:rPr>
            </w:pPr>
            <w:r>
              <w:rPr>
                <w:rFonts w:hint="eastAsia" w:ascii="宋体" w:hAnsi="宋体"/>
                <w:sz w:val="28"/>
                <w:szCs w:val="28"/>
                <w:lang w:eastAsia="zh-CN"/>
              </w:rPr>
              <w:t>良好</w:t>
            </w:r>
          </w:p>
        </w:tc>
      </w:tr>
    </w:tbl>
    <w:p>
      <w:pPr>
        <w:ind w:firstLine="640" w:firstLineChars="200"/>
        <w:outlineLvl w:val="0"/>
        <w:rPr>
          <w:rFonts w:ascii="黑体" w:hAnsi="黑体" w:eastAsia="黑体"/>
          <w:bCs/>
          <w:kern w:val="0"/>
          <w:sz w:val="32"/>
          <w:szCs w:val="28"/>
        </w:rPr>
      </w:pPr>
      <w:bookmarkStart w:id="40" w:name="_Toc104134427"/>
      <w:bookmarkStart w:id="41" w:name="_Toc12922"/>
      <w:r>
        <w:rPr>
          <w:rFonts w:hint="eastAsia" w:ascii="黑体" w:hAnsi="黑体" w:eastAsia="黑体"/>
          <w:bCs/>
          <w:kern w:val="0"/>
          <w:sz w:val="32"/>
          <w:szCs w:val="28"/>
        </w:rPr>
        <w:t>四、绩效评价指标分析</w:t>
      </w:r>
      <w:bookmarkEnd w:id="40"/>
      <w:bookmarkEnd w:id="41"/>
    </w:p>
    <w:p>
      <w:pPr>
        <w:ind w:firstLine="640" w:firstLineChars="200"/>
        <w:outlineLvl w:val="1"/>
        <w:rPr>
          <w:rFonts w:ascii="楷体" w:hAnsi="楷体" w:eastAsia="楷体"/>
          <w:bCs/>
          <w:kern w:val="0"/>
          <w:sz w:val="32"/>
          <w:szCs w:val="28"/>
        </w:rPr>
      </w:pPr>
      <w:bookmarkStart w:id="42" w:name="_Toc104134428"/>
      <w:bookmarkStart w:id="43" w:name="_Toc22171"/>
      <w:r>
        <w:rPr>
          <w:rFonts w:hint="eastAsia" w:ascii="楷体" w:hAnsi="楷体" w:eastAsia="楷体"/>
          <w:bCs/>
          <w:kern w:val="0"/>
          <w:sz w:val="32"/>
          <w:szCs w:val="28"/>
        </w:rPr>
        <w:t>（一）项目决策情况</w:t>
      </w:r>
      <w:bookmarkEnd w:id="42"/>
      <w:bookmarkEnd w:id="4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项目决策指标，满分10分，评价得分为</w:t>
      </w:r>
      <w:r>
        <w:rPr>
          <w:rFonts w:hint="eastAsia" w:ascii="仿宋_GB2312" w:hAnsi="仿宋_GB2312" w:eastAsia="仿宋_GB2312" w:cs="仿宋_GB2312"/>
          <w:sz w:val="32"/>
          <w:lang w:val="en-US" w:eastAsia="zh-CN"/>
        </w:rPr>
        <w:t>9.60</w:t>
      </w:r>
      <w:r>
        <w:rPr>
          <w:rFonts w:hint="eastAsia" w:ascii="仿宋_GB2312" w:hAnsi="仿宋_GB2312" w:eastAsia="仿宋_GB2312" w:cs="仿宋_GB2312"/>
          <w:sz w:val="32"/>
        </w:rPr>
        <w:t>分。该项目依据</w:t>
      </w:r>
      <w:r>
        <w:rPr>
          <w:rFonts w:hint="eastAsia" w:ascii="仿宋_GB2312" w:hAnsi="仿宋_GB2312" w:eastAsia="仿宋_GB2312" w:cs="仿宋_GB2312"/>
          <w:sz w:val="32"/>
          <w:lang w:eastAsia="zh-CN"/>
        </w:rPr>
        <w:t>《北京市储备粮管理办法》《北京市储备成品粮储存管理规定》《北京市储备粮异地储存管理办法》《北京市粮食和物资储备局市储备成品粮油监管单位管理办法》</w:t>
      </w:r>
      <w:r>
        <w:rPr>
          <w:rFonts w:hint="eastAsia" w:ascii="仿宋_GB2312" w:hAnsi="仿宋_GB2312" w:eastAsia="仿宋_GB2312" w:cs="仿宋_GB2312"/>
          <w:sz w:val="32"/>
        </w:rPr>
        <w:t>等文件要求立项，项目申报依据比较明确</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项目绩效目标明确，项目产出数量指标、质量指标等合理性待加强</w:t>
      </w:r>
      <w:r>
        <w:rPr>
          <w:rFonts w:hint="eastAsia" w:ascii="仿宋_GB2312" w:hAnsi="仿宋_GB2312" w:eastAsia="仿宋_GB2312" w:cs="仿宋_GB2312"/>
          <w:sz w:val="32"/>
          <w:lang w:eastAsia="zh-CN"/>
        </w:rPr>
        <w:t>。</w:t>
      </w:r>
    </w:p>
    <w:p>
      <w:pPr>
        <w:ind w:firstLine="640" w:firstLineChars="200"/>
        <w:outlineLvl w:val="1"/>
        <w:rPr>
          <w:rFonts w:ascii="楷体" w:hAnsi="楷体" w:eastAsia="楷体"/>
          <w:bCs/>
          <w:kern w:val="0"/>
          <w:sz w:val="32"/>
          <w:szCs w:val="28"/>
        </w:rPr>
      </w:pPr>
      <w:bookmarkStart w:id="44" w:name="_Toc104134429"/>
      <w:bookmarkStart w:id="45" w:name="_Toc136"/>
      <w:r>
        <w:rPr>
          <w:rFonts w:hint="eastAsia" w:ascii="楷体" w:hAnsi="楷体" w:eastAsia="楷体"/>
          <w:bCs/>
          <w:kern w:val="0"/>
          <w:sz w:val="32"/>
          <w:szCs w:val="28"/>
        </w:rPr>
        <w:t>（二）项目过程情况</w:t>
      </w:r>
      <w:bookmarkEnd w:id="44"/>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项目过程指标，满分20分，评价得分为</w:t>
      </w:r>
      <w:r>
        <w:rPr>
          <w:rFonts w:hint="eastAsia" w:ascii="仿宋_GB2312" w:hAnsi="仿宋_GB2312" w:eastAsia="仿宋_GB2312" w:cs="仿宋_GB2312"/>
          <w:sz w:val="32"/>
          <w:lang w:val="en-US" w:eastAsia="zh-CN"/>
        </w:rPr>
        <w:t>16.57</w:t>
      </w:r>
      <w:r>
        <w:rPr>
          <w:rFonts w:hint="eastAsia" w:ascii="仿宋_GB2312" w:hAnsi="仿宋_GB2312" w:eastAsia="仿宋_GB2312" w:cs="仿宋_GB2312"/>
          <w:sz w:val="32"/>
        </w:rPr>
        <w:t>分。在资金管理方面，资金及时足额到位，财务制度健全完善，资金使用规范</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但预算执行率不高</w:t>
      </w:r>
      <w:r>
        <w:rPr>
          <w:rFonts w:hint="eastAsia" w:ascii="仿宋_GB2312" w:hAnsi="仿宋_GB2312" w:eastAsia="仿宋_GB2312" w:cs="仿宋_GB2312"/>
          <w:sz w:val="32"/>
        </w:rPr>
        <w:t>；在项目实施方面，</w:t>
      </w:r>
      <w:r>
        <w:rPr>
          <w:rFonts w:hint="eastAsia" w:ascii="仿宋_GB2312" w:hAnsi="仿宋_GB2312" w:eastAsia="仿宋_GB2312" w:cs="仿宋_GB2312"/>
          <w:sz w:val="32"/>
          <w:lang w:val="en-US" w:eastAsia="zh-CN"/>
        </w:rPr>
        <w:t>项目未单独建立项目实施方案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项目对监管报告等成果资料未制定统一格式模板</w:t>
      </w:r>
      <w:r>
        <w:rPr>
          <w:rFonts w:hint="eastAsia" w:ascii="仿宋_GB2312" w:hAnsi="仿宋_GB2312" w:eastAsia="仿宋_GB2312" w:cs="仿宋_GB2312"/>
          <w:sz w:val="32"/>
        </w:rPr>
        <w:t>。</w:t>
      </w:r>
    </w:p>
    <w:p>
      <w:pPr>
        <w:ind w:firstLine="640" w:firstLineChars="200"/>
        <w:outlineLvl w:val="1"/>
        <w:rPr>
          <w:rFonts w:ascii="楷体" w:hAnsi="楷体" w:eastAsia="楷体"/>
          <w:bCs/>
          <w:kern w:val="0"/>
          <w:sz w:val="32"/>
          <w:szCs w:val="28"/>
        </w:rPr>
      </w:pPr>
      <w:bookmarkStart w:id="46" w:name="_Toc104134430"/>
      <w:bookmarkStart w:id="47" w:name="_Toc11329"/>
      <w:r>
        <w:rPr>
          <w:rFonts w:hint="eastAsia" w:ascii="楷体" w:hAnsi="楷体" w:eastAsia="楷体"/>
          <w:bCs/>
          <w:kern w:val="0"/>
          <w:sz w:val="32"/>
          <w:szCs w:val="28"/>
        </w:rPr>
        <w:t>（三）项目产出情况</w:t>
      </w:r>
      <w:bookmarkEnd w:id="46"/>
      <w:bookmarkEnd w:id="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项目产出指标，满分40分，评价得分为</w:t>
      </w:r>
      <w:r>
        <w:rPr>
          <w:rFonts w:hint="eastAsia" w:ascii="仿宋_GB2312" w:hAnsi="仿宋_GB2312" w:eastAsia="仿宋_GB2312" w:cs="仿宋_GB2312"/>
          <w:sz w:val="32"/>
          <w:lang w:val="en-US" w:eastAsia="zh-CN"/>
        </w:rPr>
        <w:t>38.10</w:t>
      </w:r>
      <w:r>
        <w:rPr>
          <w:rFonts w:hint="eastAsia" w:ascii="仿宋_GB2312" w:hAnsi="仿宋_GB2312" w:eastAsia="仿宋_GB2312" w:cs="仿宋_GB2312"/>
          <w:sz w:val="32"/>
        </w:rPr>
        <w:t>分。该项目</w:t>
      </w:r>
      <w:r>
        <w:rPr>
          <w:rFonts w:hint="eastAsia" w:ascii="仿宋_GB2312" w:hAnsi="仿宋_GB2312" w:eastAsia="仿宋_GB2312" w:cs="仿宋_GB2312"/>
          <w:sz w:val="32"/>
          <w:lang w:eastAsia="zh-CN"/>
        </w:rPr>
        <w:t>完成了市储备成品粮及异地市储备粮监管工作，</w:t>
      </w:r>
      <w:r>
        <w:rPr>
          <w:rFonts w:hint="eastAsia" w:ascii="仿宋_GB2312" w:hAnsi="仿宋_GB2312" w:eastAsia="仿宋_GB2312" w:cs="仿宋_GB2312"/>
          <w:sz w:val="32"/>
        </w:rPr>
        <w:t>但</w:t>
      </w:r>
      <w:r>
        <w:rPr>
          <w:rFonts w:hint="eastAsia" w:ascii="仿宋_GB2312" w:hAnsi="仿宋_GB2312" w:eastAsia="仿宋_GB2312" w:cs="仿宋_GB2312"/>
          <w:sz w:val="32"/>
          <w:lang w:eastAsia="zh-CN"/>
        </w:rPr>
        <w:t>项目管理过程不够严谨，</w:t>
      </w:r>
      <w:r>
        <w:rPr>
          <w:rFonts w:hint="eastAsia" w:ascii="仿宋_GB2312" w:hAnsi="仿宋_GB2312" w:eastAsia="仿宋_GB2312" w:cs="仿宋_GB2312"/>
          <w:sz w:val="32"/>
          <w:lang w:val="en-US" w:eastAsia="zh-CN"/>
        </w:rPr>
        <w:t>项目管理的相关留痕记录不足。</w:t>
      </w:r>
    </w:p>
    <w:p>
      <w:pPr>
        <w:spacing w:line="240" w:lineRule="auto"/>
        <w:ind w:firstLine="640" w:firstLineChars="200"/>
        <w:outlineLvl w:val="1"/>
        <w:rPr>
          <w:rFonts w:ascii="楷体" w:hAnsi="楷体" w:eastAsia="楷体"/>
          <w:bCs/>
          <w:kern w:val="0"/>
          <w:sz w:val="32"/>
          <w:szCs w:val="28"/>
        </w:rPr>
      </w:pPr>
      <w:bookmarkStart w:id="48" w:name="_Toc104134431"/>
      <w:bookmarkStart w:id="49" w:name="_Toc10057"/>
      <w:r>
        <w:rPr>
          <w:rFonts w:hint="eastAsia" w:ascii="楷体" w:hAnsi="楷体" w:eastAsia="楷体"/>
          <w:bCs/>
          <w:kern w:val="0"/>
          <w:sz w:val="32"/>
          <w:szCs w:val="28"/>
        </w:rPr>
        <w:t>（四）项目效益情况</w:t>
      </w:r>
      <w:bookmarkEnd w:id="48"/>
      <w:bookmarkEnd w:id="4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项目效益指标，满分30分，评价得分为</w:t>
      </w:r>
      <w:r>
        <w:rPr>
          <w:rFonts w:hint="eastAsia" w:ascii="仿宋_GB2312" w:hAnsi="仿宋_GB2312" w:eastAsia="仿宋_GB2312" w:cs="仿宋_GB2312"/>
          <w:sz w:val="32"/>
          <w:lang w:val="en-US" w:eastAsia="zh-CN"/>
        </w:rPr>
        <w:t>22.90</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该项目完成了市储备成品粮及异地市储备粮监管工作，</w:t>
      </w:r>
      <w:r>
        <w:rPr>
          <w:rFonts w:hint="eastAsia" w:ascii="仿宋_GB2312" w:hAnsi="仿宋_GB2312" w:eastAsia="仿宋_GB2312" w:cs="仿宋_GB2312"/>
          <w:sz w:val="32"/>
          <w:lang w:val="en-US" w:eastAsia="zh-CN"/>
        </w:rPr>
        <w:t>市储备粮检查工作原计划采取现场检查方式，</w:t>
      </w:r>
      <w:r>
        <w:rPr>
          <w:rFonts w:hint="eastAsia" w:ascii="仿宋_GB2312" w:hAnsi="仿宋_GB2312" w:eastAsia="仿宋_GB2312" w:cs="仿宋_GB2312"/>
          <w:sz w:val="32"/>
          <w:lang w:eastAsia="zh-CN"/>
        </w:rPr>
        <w:t>因新冠疫情反复和疫情防控措施调整</w:t>
      </w:r>
      <w:r>
        <w:rPr>
          <w:rFonts w:hint="eastAsia" w:ascii="仿宋_GB2312" w:hAnsi="仿宋_GB2312" w:eastAsia="仿宋_GB2312" w:cs="仿宋_GB2312"/>
          <w:sz w:val="32"/>
          <w:lang w:val="en-US" w:eastAsia="zh-CN"/>
        </w:rPr>
        <w:t>的</w:t>
      </w:r>
      <w:r>
        <w:rPr>
          <w:rFonts w:hint="eastAsia" w:ascii="仿宋_GB2312" w:hAnsi="仿宋_GB2312" w:eastAsia="仿宋_GB2312" w:cs="仿宋_GB2312"/>
          <w:sz w:val="32"/>
          <w:lang w:eastAsia="zh-CN"/>
        </w:rPr>
        <w:t>影响，实际以视频检查方式开展。</w:t>
      </w:r>
      <w:r>
        <w:rPr>
          <w:rFonts w:hint="eastAsia" w:ascii="仿宋_GB2312" w:hAnsi="仿宋_GB2312" w:eastAsia="仿宋_GB2312" w:cs="仿宋_GB2312"/>
          <w:sz w:val="32"/>
          <w:lang w:val="en-US" w:eastAsia="zh-CN"/>
        </w:rPr>
        <w:t>项目效益效果体现、收集不够完善，缺少对发现问题所采取措施的统计以及归纳整理。服务对象满意度相关情况的资料呈现不足。</w:t>
      </w:r>
    </w:p>
    <w:p>
      <w:pPr>
        <w:ind w:firstLine="640" w:firstLineChars="200"/>
        <w:outlineLvl w:val="0"/>
        <w:rPr>
          <w:rFonts w:ascii="黑体" w:hAnsi="黑体" w:eastAsia="黑体"/>
          <w:bCs/>
          <w:kern w:val="0"/>
          <w:sz w:val="32"/>
          <w:szCs w:val="28"/>
        </w:rPr>
      </w:pPr>
      <w:bookmarkStart w:id="50" w:name="_Toc104134432"/>
      <w:bookmarkStart w:id="51" w:name="_Toc2952"/>
      <w:r>
        <w:rPr>
          <w:rFonts w:hint="eastAsia" w:ascii="黑体" w:hAnsi="黑体" w:eastAsia="黑体"/>
          <w:bCs/>
          <w:kern w:val="0"/>
          <w:sz w:val="32"/>
          <w:szCs w:val="28"/>
        </w:rPr>
        <w:t>五、存在的主要问题</w:t>
      </w:r>
      <w:bookmarkEnd w:id="50"/>
      <w:bookmarkEnd w:id="51"/>
    </w:p>
    <w:p>
      <w:pPr>
        <w:ind w:firstLine="640" w:firstLineChars="200"/>
        <w:outlineLvl w:val="1"/>
        <w:rPr>
          <w:rFonts w:hint="eastAsia" w:ascii="仿宋_GB2312" w:hAnsi="仿宋_GB2312" w:eastAsia="仿宋_GB2312" w:cs="仿宋_GB2312"/>
          <w:sz w:val="32"/>
        </w:rPr>
      </w:pPr>
      <w:bookmarkStart w:id="52" w:name="_Toc12025"/>
      <w:bookmarkStart w:id="53" w:name="_Toc104134433"/>
      <w:r>
        <w:rPr>
          <w:rFonts w:hint="eastAsia" w:ascii="楷体" w:hAnsi="楷体" w:eastAsia="楷体"/>
          <w:bCs/>
          <w:kern w:val="0"/>
          <w:sz w:val="32"/>
          <w:szCs w:val="28"/>
        </w:rPr>
        <w:t>（一）</w:t>
      </w:r>
      <w:bookmarkEnd w:id="52"/>
      <w:bookmarkEnd w:id="53"/>
      <w:bookmarkStart w:id="54" w:name="_Toc31430"/>
      <w:bookmarkStart w:id="55" w:name="_Toc104134434"/>
      <w:r>
        <w:rPr>
          <w:rFonts w:hint="eastAsia" w:ascii="楷体" w:hAnsi="楷体" w:eastAsia="楷体"/>
          <w:bCs/>
          <w:kern w:val="0"/>
          <w:sz w:val="32"/>
          <w:szCs w:val="28"/>
        </w:rPr>
        <w:t>项目绩效指标设置不够细化</w:t>
      </w:r>
      <w:bookmarkEnd w:id="54"/>
      <w:bookmarkEnd w:id="55"/>
      <w:r>
        <w:rPr>
          <w:rFonts w:hint="eastAsia" w:ascii="楷体" w:hAnsi="楷体" w:eastAsia="楷体"/>
          <w:bCs/>
          <w:kern w:val="0"/>
          <w:sz w:val="32"/>
          <w:szCs w:val="28"/>
          <w:lang w:eastAsia="zh-CN"/>
        </w:rPr>
        <w:t>。</w:t>
      </w:r>
      <w:r>
        <w:rPr>
          <w:rFonts w:hint="eastAsia" w:ascii="仿宋_GB2312" w:hAnsi="仿宋_GB2312" w:eastAsia="仿宋_GB2312" w:cs="仿宋_GB2312"/>
          <w:sz w:val="32"/>
        </w:rPr>
        <w:t>项目绩效指标</w:t>
      </w:r>
      <w:r>
        <w:rPr>
          <w:rFonts w:hint="eastAsia" w:ascii="仿宋_GB2312" w:hAnsi="仿宋_GB2312" w:eastAsia="仿宋_GB2312" w:cs="仿宋_GB2312"/>
          <w:sz w:val="32"/>
          <w:lang w:val="en-US" w:eastAsia="zh-CN"/>
        </w:rPr>
        <w:t>设置</w:t>
      </w:r>
      <w:r>
        <w:rPr>
          <w:rFonts w:hint="eastAsia" w:ascii="仿宋_GB2312" w:hAnsi="仿宋_GB2312" w:eastAsia="仿宋_GB2312" w:cs="仿宋_GB2312"/>
          <w:sz w:val="32"/>
        </w:rPr>
        <w:t>与项目产出、</w:t>
      </w:r>
      <w:r>
        <w:rPr>
          <w:rFonts w:hint="eastAsia" w:ascii="仿宋_GB2312" w:hAnsi="仿宋_GB2312" w:eastAsia="仿宋_GB2312" w:cs="仿宋_GB2312"/>
          <w:sz w:val="32"/>
          <w:lang w:eastAsia="zh-CN"/>
        </w:rPr>
        <w:t>内容</w:t>
      </w:r>
      <w:r>
        <w:rPr>
          <w:rFonts w:hint="eastAsia" w:ascii="仿宋_GB2312" w:hAnsi="仿宋_GB2312" w:eastAsia="仿宋_GB2312" w:cs="仿宋_GB2312"/>
          <w:sz w:val="32"/>
        </w:rPr>
        <w:t>匹配</w:t>
      </w:r>
      <w:r>
        <w:rPr>
          <w:rFonts w:hint="eastAsia" w:ascii="仿宋_GB2312" w:hAnsi="仿宋_GB2312" w:eastAsia="仿宋_GB2312" w:cs="仿宋_GB2312"/>
          <w:sz w:val="32"/>
          <w:lang w:val="en-US" w:eastAsia="zh-CN"/>
        </w:rPr>
        <w:t>度不足</w:t>
      </w:r>
      <w:r>
        <w:rPr>
          <w:rFonts w:hint="eastAsia" w:ascii="仿宋_GB2312" w:hAnsi="仿宋_GB2312" w:eastAsia="仿宋_GB2312" w:cs="仿宋_GB2312"/>
          <w:sz w:val="32"/>
        </w:rPr>
        <w:t>，指标设置合理性有待提高。</w:t>
      </w:r>
      <w:bookmarkStart w:id="56" w:name="_Toc8490"/>
    </w:p>
    <w:p>
      <w:pPr>
        <w:ind w:firstLine="640" w:firstLineChars="200"/>
        <w:outlineLvl w:val="1"/>
        <w:rPr>
          <w:rFonts w:hint="eastAsia" w:ascii="仿宋_GB2312" w:hAnsi="仿宋_GB2312" w:eastAsia="仿宋_GB2312" w:cs="仿宋_GB2312"/>
          <w:sz w:val="32"/>
          <w:lang w:val="en-US" w:eastAsia="zh-CN"/>
        </w:rPr>
      </w:pPr>
      <w:bookmarkStart w:id="57" w:name="_Toc104134435"/>
      <w:r>
        <w:rPr>
          <w:rFonts w:hint="eastAsia" w:ascii="楷体" w:hAnsi="楷体" w:eastAsia="楷体"/>
          <w:bCs/>
          <w:kern w:val="0"/>
          <w:sz w:val="32"/>
          <w:szCs w:val="28"/>
        </w:rPr>
        <w:t>（二）实施方案</w:t>
      </w:r>
      <w:bookmarkEnd w:id="56"/>
      <w:r>
        <w:rPr>
          <w:rFonts w:hint="eastAsia" w:ascii="楷体" w:hAnsi="楷体" w:eastAsia="楷体"/>
          <w:bCs/>
          <w:kern w:val="0"/>
          <w:sz w:val="32"/>
          <w:szCs w:val="28"/>
        </w:rPr>
        <w:t>完善性有待加强</w:t>
      </w:r>
      <w:bookmarkEnd w:id="57"/>
      <w:r>
        <w:rPr>
          <w:rFonts w:hint="eastAsia" w:ascii="楷体" w:hAnsi="楷体" w:eastAsia="楷体"/>
          <w:bCs/>
          <w:kern w:val="0"/>
          <w:sz w:val="32"/>
          <w:szCs w:val="28"/>
          <w:lang w:eastAsia="zh-CN"/>
        </w:rPr>
        <w:t>，</w:t>
      </w:r>
      <w:r>
        <w:rPr>
          <w:rFonts w:hint="eastAsia" w:ascii="楷体" w:hAnsi="楷体" w:eastAsia="楷体"/>
          <w:bCs/>
          <w:kern w:val="0"/>
          <w:sz w:val="32"/>
          <w:szCs w:val="28"/>
          <w:lang w:val="en-US" w:eastAsia="zh-CN"/>
        </w:rPr>
        <w:t>项目管理过程严谨性不足。</w:t>
      </w:r>
      <w:r>
        <w:rPr>
          <w:rFonts w:hint="eastAsia" w:ascii="仿宋_GB2312" w:hAnsi="仿宋_GB2312" w:eastAsia="仿宋_GB2312" w:cs="仿宋_GB2312"/>
          <w:sz w:val="32"/>
        </w:rPr>
        <w:t>该项目</w:t>
      </w:r>
      <w:r>
        <w:rPr>
          <w:rFonts w:hint="eastAsia" w:ascii="仿宋_GB2312" w:hAnsi="仿宋_GB2312" w:eastAsia="仿宋_GB2312" w:cs="仿宋_GB2312"/>
          <w:sz w:val="32"/>
          <w:lang w:eastAsia="zh-CN"/>
        </w:rPr>
        <w:t>根据</w:t>
      </w:r>
      <w:r>
        <w:rPr>
          <w:rFonts w:hint="eastAsia" w:ascii="仿宋_GB2312" w:hAnsi="仿宋_GB2312" w:eastAsia="仿宋_GB2312" w:cs="仿宋_GB2312"/>
          <w:sz w:val="32"/>
          <w:lang w:val="en-US" w:eastAsia="zh-CN"/>
        </w:rPr>
        <w:t>《市储备成品粮油监管单位管理办法》开展工作，但</w:t>
      </w:r>
      <w:r>
        <w:rPr>
          <w:rFonts w:hint="eastAsia" w:ascii="仿宋_GB2312" w:hAnsi="仿宋_GB2312" w:eastAsia="仿宋_GB2312" w:cs="仿宋_GB2312"/>
          <w:sz w:val="32"/>
          <w:lang w:eastAsia="zh-CN"/>
        </w:rPr>
        <w:t>未</w:t>
      </w:r>
      <w:r>
        <w:rPr>
          <w:rFonts w:hint="eastAsia" w:ascii="仿宋_GB2312" w:hAnsi="仿宋_GB2312" w:eastAsia="仿宋_GB2312" w:cs="仿宋_GB2312"/>
          <w:sz w:val="32"/>
          <w:lang w:val="en-US" w:eastAsia="zh-CN"/>
        </w:rPr>
        <w:t>建立项目实施方案；两个监管小组的监管报告格式不够统一，作为延续、常规项目，未对监管报告等成果性文件制定规范、统一格式的文件模板；该项目缺乏对监管小组人员的日常管理与考核制度，过程材料体现不足。</w:t>
      </w:r>
    </w:p>
    <w:p>
      <w:pPr>
        <w:ind w:firstLine="640" w:firstLineChars="200"/>
        <w:outlineLvl w:val="1"/>
        <w:rPr>
          <w:rFonts w:hint="eastAsia" w:ascii="楷体" w:hAnsi="楷体" w:eastAsia="楷体"/>
          <w:bCs/>
          <w:kern w:val="0"/>
          <w:sz w:val="32"/>
          <w:szCs w:val="28"/>
          <w:lang w:eastAsia="zh-CN"/>
        </w:rPr>
      </w:pPr>
      <w:bookmarkStart w:id="58" w:name="_Toc2308"/>
      <w:bookmarkStart w:id="59" w:name="_Toc104134437"/>
      <w:r>
        <w:rPr>
          <w:rFonts w:hint="eastAsia" w:ascii="楷体" w:hAnsi="楷体" w:eastAsia="楷体"/>
          <w:bCs/>
          <w:kern w:val="0"/>
          <w:sz w:val="32"/>
          <w:szCs w:val="28"/>
        </w:rPr>
        <w:t>（</w:t>
      </w:r>
      <w:r>
        <w:rPr>
          <w:rFonts w:hint="eastAsia" w:ascii="楷体" w:hAnsi="楷体" w:eastAsia="楷体"/>
          <w:bCs/>
          <w:kern w:val="0"/>
          <w:sz w:val="32"/>
          <w:szCs w:val="28"/>
          <w:lang w:val="en-US" w:eastAsia="zh-CN"/>
        </w:rPr>
        <w:t>三</w:t>
      </w:r>
      <w:r>
        <w:rPr>
          <w:rFonts w:hint="eastAsia" w:ascii="楷体" w:hAnsi="楷体" w:eastAsia="楷体"/>
          <w:bCs/>
          <w:kern w:val="0"/>
          <w:sz w:val="32"/>
          <w:szCs w:val="28"/>
        </w:rPr>
        <w:t>）</w:t>
      </w:r>
      <w:bookmarkEnd w:id="58"/>
      <w:r>
        <w:rPr>
          <w:rFonts w:hint="eastAsia" w:ascii="楷体" w:hAnsi="楷体" w:eastAsia="楷体"/>
          <w:bCs/>
          <w:kern w:val="0"/>
          <w:sz w:val="32"/>
          <w:szCs w:val="28"/>
        </w:rPr>
        <w:t>项目效益效果体现</w:t>
      </w:r>
      <w:bookmarkEnd w:id="59"/>
      <w:r>
        <w:rPr>
          <w:rFonts w:hint="eastAsia" w:ascii="楷体" w:hAnsi="楷体" w:eastAsia="楷体"/>
          <w:bCs/>
          <w:kern w:val="0"/>
          <w:sz w:val="32"/>
          <w:szCs w:val="28"/>
          <w:lang w:val="en-US" w:eastAsia="zh-CN"/>
        </w:rPr>
        <w:t>不充分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rPr>
        <w:t>该项目</w:t>
      </w:r>
      <w:r>
        <w:rPr>
          <w:rFonts w:hint="eastAsia" w:ascii="仿宋_GB2312" w:hAnsi="仿宋_GB2312" w:eastAsia="仿宋_GB2312" w:cs="仿宋_GB2312"/>
          <w:sz w:val="32"/>
          <w:lang w:val="en-US" w:eastAsia="zh-CN"/>
        </w:rPr>
        <w:t>相关绩效效益效果体现不够充分，对相关材料的收集归纳不够完善，对发现的问题所采取的措施体现方面，缺少对年度处理、解决问题的汇总统计和整理；满意度呈现缺乏依据。</w:t>
      </w:r>
    </w:p>
    <w:p>
      <w:pPr>
        <w:ind w:firstLine="640" w:firstLineChars="200"/>
        <w:outlineLvl w:val="0"/>
        <w:rPr>
          <w:rFonts w:ascii="黑体" w:hAnsi="黑体" w:eastAsia="黑体"/>
          <w:bCs/>
          <w:kern w:val="0"/>
          <w:sz w:val="32"/>
          <w:szCs w:val="28"/>
        </w:rPr>
      </w:pPr>
      <w:bookmarkStart w:id="60" w:name="_Toc31224"/>
      <w:bookmarkStart w:id="61" w:name="_Toc104134438"/>
      <w:r>
        <w:rPr>
          <w:rFonts w:hint="eastAsia" w:ascii="黑体" w:hAnsi="黑体" w:eastAsia="黑体"/>
          <w:bCs/>
          <w:kern w:val="0"/>
          <w:sz w:val="32"/>
          <w:szCs w:val="28"/>
        </w:rPr>
        <w:t>六、有关建议</w:t>
      </w:r>
      <w:bookmarkEnd w:id="60"/>
      <w:bookmarkEnd w:id="61"/>
    </w:p>
    <w:p>
      <w:pPr>
        <w:ind w:firstLine="640" w:firstLineChars="200"/>
        <w:outlineLvl w:val="1"/>
        <w:rPr>
          <w:rFonts w:ascii="楷体" w:hAnsi="楷体" w:eastAsia="楷体"/>
          <w:bCs/>
          <w:kern w:val="0"/>
          <w:sz w:val="32"/>
          <w:szCs w:val="28"/>
        </w:rPr>
      </w:pPr>
      <w:bookmarkStart w:id="62" w:name="_Toc31934"/>
      <w:bookmarkStart w:id="63" w:name="_Toc104134439"/>
      <w:r>
        <w:rPr>
          <w:rFonts w:hint="eastAsia" w:ascii="楷体" w:hAnsi="楷体" w:eastAsia="楷体"/>
          <w:bCs/>
          <w:kern w:val="0"/>
          <w:sz w:val="32"/>
          <w:szCs w:val="28"/>
        </w:rPr>
        <w:t>（一）结合项目整体内容，细化绩效指标</w:t>
      </w:r>
      <w:bookmarkEnd w:id="62"/>
      <w:bookmarkEnd w:id="6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深度理解</w:t>
      </w:r>
      <w:r>
        <w:rPr>
          <w:rFonts w:hint="eastAsia" w:ascii="仿宋_GB2312" w:hAnsi="仿宋_GB2312" w:eastAsia="仿宋_GB2312" w:cs="仿宋_GB2312"/>
          <w:sz w:val="32"/>
        </w:rPr>
        <w:t>项目绩效评价指标体系</w:t>
      </w:r>
      <w:r>
        <w:rPr>
          <w:rFonts w:hint="eastAsia" w:ascii="仿宋_GB2312" w:hAnsi="仿宋_GB2312" w:eastAsia="仿宋_GB2312" w:cs="仿宋_GB2312"/>
          <w:sz w:val="32"/>
          <w:lang w:val="en-US" w:eastAsia="zh-CN"/>
        </w:rPr>
        <w:t>设置要求</w:t>
      </w:r>
      <w:r>
        <w:rPr>
          <w:rFonts w:hint="eastAsia" w:ascii="仿宋_GB2312" w:hAnsi="仿宋_GB2312" w:eastAsia="仿宋_GB2312" w:cs="仿宋_GB2312"/>
          <w:sz w:val="32"/>
        </w:rPr>
        <w:t>，提高绩效目标与项目产出、效果的匹配性，结合项目预算内容和实施结果，合理、细化绩效指标，并按照社会效益、可持续影响等指标进行细分，</w:t>
      </w:r>
      <w:r>
        <w:rPr>
          <w:rFonts w:hint="eastAsia" w:ascii="仿宋_GB2312" w:hAnsi="仿宋_GB2312" w:eastAsia="仿宋_GB2312" w:cs="仿宋_GB2312"/>
          <w:sz w:val="32"/>
          <w:lang w:val="en-US" w:eastAsia="zh-CN"/>
        </w:rPr>
        <w:t>合理</w:t>
      </w:r>
      <w:r>
        <w:rPr>
          <w:rFonts w:hint="eastAsia" w:ascii="仿宋_GB2312" w:hAnsi="仿宋_GB2312" w:eastAsia="仿宋_GB2312" w:cs="仿宋_GB2312"/>
          <w:sz w:val="32"/>
        </w:rPr>
        <w:t>确定项目服务对象，</w:t>
      </w:r>
      <w:r>
        <w:rPr>
          <w:rFonts w:hint="eastAsia" w:ascii="仿宋_GB2312" w:hAnsi="仿宋_GB2312" w:eastAsia="仿宋_GB2312" w:cs="仿宋_GB2312"/>
          <w:sz w:val="32"/>
          <w:lang w:eastAsia="zh-CN"/>
        </w:rPr>
        <w:t>开展</w:t>
      </w:r>
      <w:r>
        <w:rPr>
          <w:rFonts w:hint="eastAsia" w:ascii="仿宋_GB2312" w:hAnsi="仿宋_GB2312" w:eastAsia="仿宋_GB2312" w:cs="仿宋_GB2312"/>
          <w:sz w:val="32"/>
        </w:rPr>
        <w:t>满意度</w:t>
      </w:r>
      <w:r>
        <w:rPr>
          <w:rFonts w:hint="eastAsia" w:ascii="仿宋_GB2312" w:hAnsi="仿宋_GB2312" w:eastAsia="仿宋_GB2312" w:cs="仿宋_GB2312"/>
          <w:sz w:val="32"/>
          <w:lang w:eastAsia="zh-CN"/>
        </w:rPr>
        <w:t>调查</w:t>
      </w:r>
      <w:r>
        <w:rPr>
          <w:rFonts w:hint="eastAsia" w:ascii="仿宋_GB2312" w:hAnsi="仿宋_GB2312" w:eastAsia="仿宋_GB2312" w:cs="仿宋_GB2312"/>
          <w:sz w:val="32"/>
        </w:rPr>
        <w:t>。</w:t>
      </w:r>
    </w:p>
    <w:p>
      <w:pPr>
        <w:ind w:firstLine="640" w:firstLineChars="200"/>
        <w:outlineLvl w:val="1"/>
        <w:rPr>
          <w:rFonts w:ascii="楷体" w:hAnsi="楷体" w:eastAsia="楷体"/>
          <w:bCs/>
          <w:kern w:val="0"/>
          <w:sz w:val="32"/>
          <w:szCs w:val="28"/>
        </w:rPr>
      </w:pPr>
      <w:bookmarkStart w:id="64" w:name="_Toc104134440"/>
      <w:r>
        <w:rPr>
          <w:rFonts w:hint="eastAsia" w:ascii="楷体" w:hAnsi="楷体" w:eastAsia="楷体"/>
          <w:bCs/>
          <w:kern w:val="0"/>
          <w:sz w:val="32"/>
          <w:szCs w:val="28"/>
        </w:rPr>
        <w:t>（二）</w:t>
      </w:r>
      <w:bookmarkEnd w:id="64"/>
      <w:bookmarkStart w:id="65" w:name="_Toc104134441"/>
      <w:bookmarkStart w:id="66" w:name="_Toc14855"/>
      <w:r>
        <w:rPr>
          <w:rFonts w:hint="eastAsia" w:ascii="楷体" w:hAnsi="楷体" w:eastAsia="楷体"/>
          <w:bCs/>
          <w:kern w:val="0"/>
          <w:sz w:val="32"/>
          <w:szCs w:val="28"/>
          <w:lang w:eastAsia="zh-CN"/>
        </w:rPr>
        <w:t>建立</w:t>
      </w:r>
      <w:r>
        <w:rPr>
          <w:rFonts w:hint="eastAsia" w:ascii="楷体" w:hAnsi="楷体" w:eastAsia="楷体"/>
          <w:bCs/>
          <w:kern w:val="0"/>
          <w:sz w:val="32"/>
          <w:szCs w:val="28"/>
        </w:rPr>
        <w:t>项目实施方案，加强项目过程管理</w:t>
      </w:r>
      <w:bookmarkEnd w:id="6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lang w:val="en-US" w:eastAsia="zh-CN"/>
        </w:rPr>
      </w:pPr>
      <w:bookmarkStart w:id="73" w:name="_GoBack"/>
      <w:bookmarkEnd w:id="73"/>
      <w:r>
        <w:rPr>
          <w:rFonts w:hint="eastAsia" w:ascii="仿宋_GB2312" w:hAnsi="仿宋_GB2312" w:eastAsia="仿宋_GB2312" w:cs="仿宋_GB2312"/>
          <w:sz w:val="32"/>
          <w:lang w:val="en-US" w:eastAsia="zh-CN"/>
        </w:rPr>
        <w:t>在相关管理制度保障的基础上编制实施方案，明确监督检查程序和验收复核流程，加强监管责任和信用监管制度。制定规范统一、涵盖重点监管要素的报告模板，从形式上提高监管成果的规范严谨性。注意日常留存对检查结果真实性抽查复核的工作记录、指导业务开展的监管痕迹，体现监管主体责任。</w:t>
      </w:r>
    </w:p>
    <w:bookmarkEnd w:id="66"/>
    <w:p>
      <w:pPr>
        <w:ind w:firstLine="640" w:firstLineChars="200"/>
        <w:outlineLvl w:val="1"/>
        <w:rPr>
          <w:rFonts w:ascii="楷体" w:hAnsi="楷体" w:eastAsia="楷体"/>
          <w:bCs/>
          <w:kern w:val="0"/>
          <w:sz w:val="32"/>
          <w:szCs w:val="28"/>
        </w:rPr>
      </w:pPr>
      <w:bookmarkStart w:id="67" w:name="_Toc5838"/>
      <w:bookmarkStart w:id="68" w:name="_Toc104134442"/>
      <w:r>
        <w:rPr>
          <w:rFonts w:hint="eastAsia" w:ascii="楷体" w:hAnsi="楷体" w:eastAsia="楷体"/>
          <w:bCs/>
          <w:kern w:val="0"/>
          <w:sz w:val="32"/>
          <w:szCs w:val="28"/>
        </w:rPr>
        <w:t>（三）注重项目效益资料的收集，开展项目满意度调查</w:t>
      </w:r>
      <w:bookmarkEnd w:id="67"/>
      <w:bookmarkEnd w:id="6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重视项目绩效资料的归集整理，</w:t>
      </w:r>
      <w:r>
        <w:rPr>
          <w:rFonts w:hint="eastAsia" w:ascii="仿宋_GB2312" w:hAnsi="仿宋_GB2312" w:eastAsia="仿宋_GB2312" w:cs="仿宋_GB2312"/>
          <w:sz w:val="32"/>
          <w:lang w:val="en-US" w:eastAsia="zh-CN"/>
        </w:rPr>
        <w:t>充分展现监管工作应用、问题处理的效益效果。建议通过多渠道、多方式开展项目满意度调查工作，可以通过</w:t>
      </w:r>
      <w:r>
        <w:rPr>
          <w:rFonts w:hint="eastAsia" w:ascii="仿宋_GB2312" w:hAnsi="仿宋_GB2312" w:eastAsia="仿宋_GB2312" w:cs="仿宋_GB2312"/>
          <w:sz w:val="32"/>
        </w:rPr>
        <w:t>发动群众</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畅通投诉举报渠道</w:t>
      </w:r>
      <w:r>
        <w:rPr>
          <w:rFonts w:hint="eastAsia" w:ascii="仿宋_GB2312" w:hAnsi="仿宋_GB2312" w:eastAsia="仿宋_GB2312" w:cs="仿宋_GB2312"/>
          <w:sz w:val="32"/>
          <w:lang w:val="en-US" w:eastAsia="zh-CN"/>
        </w:rPr>
        <w:t>等方式</w:t>
      </w:r>
      <w:r>
        <w:rPr>
          <w:rFonts w:hint="eastAsia" w:ascii="仿宋_GB2312" w:hAnsi="仿宋_GB2312" w:eastAsia="仿宋_GB2312" w:cs="仿宋_GB2312"/>
          <w:sz w:val="32"/>
        </w:rPr>
        <w:t>，接受群众监督，提高监管效率</w:t>
      </w:r>
      <w:r>
        <w:rPr>
          <w:rFonts w:hint="eastAsia" w:ascii="仿宋_GB2312" w:hAnsi="仿宋_GB2312" w:eastAsia="仿宋_GB2312" w:cs="仿宋_GB2312"/>
          <w:sz w:val="32"/>
          <w:lang w:eastAsia="zh-CN"/>
        </w:rPr>
        <w:t>。</w:t>
      </w:r>
    </w:p>
    <w:p>
      <w:pPr>
        <w:ind w:firstLine="640" w:firstLineChars="200"/>
        <w:outlineLvl w:val="0"/>
        <w:rPr>
          <w:rFonts w:ascii="黑体" w:hAnsi="黑体" w:eastAsia="黑体"/>
          <w:bCs/>
          <w:kern w:val="0"/>
          <w:sz w:val="32"/>
          <w:szCs w:val="28"/>
        </w:rPr>
      </w:pPr>
      <w:bookmarkStart w:id="69" w:name="_Toc21065"/>
      <w:bookmarkStart w:id="70" w:name="_Toc104134443"/>
      <w:r>
        <w:rPr>
          <w:rFonts w:hint="eastAsia" w:ascii="黑体" w:hAnsi="黑体" w:eastAsia="黑体"/>
          <w:bCs/>
          <w:kern w:val="0"/>
          <w:sz w:val="32"/>
          <w:szCs w:val="28"/>
        </w:rPr>
        <w:t>七、其他说明事项</w:t>
      </w:r>
      <w:bookmarkEnd w:id="69"/>
      <w:bookmarkEnd w:id="7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bookmarkStart w:id="71" w:name="_Toc103573668"/>
      <w:bookmarkStart w:id="72" w:name="_Toc104134444"/>
      <w:r>
        <w:rPr>
          <w:rFonts w:hint="eastAsia" w:ascii="仿宋_GB2312" w:hAnsi="仿宋_GB2312" w:eastAsia="仿宋_GB2312" w:cs="仿宋_GB2312"/>
          <w:sz w:val="32"/>
          <w:lang w:eastAsia="zh-CN"/>
        </w:rPr>
        <w:t>无</w:t>
      </w:r>
      <w:r>
        <w:rPr>
          <w:rFonts w:hint="eastAsia" w:ascii="仿宋_GB2312" w:hAnsi="仿宋_GB2312" w:eastAsia="仿宋_GB2312" w:cs="仿宋_GB2312"/>
          <w:sz w:val="32"/>
        </w:rPr>
        <w:t>。</w:t>
      </w:r>
    </w:p>
    <w:bookmarkEnd w:id="71"/>
    <w:bookmarkEnd w:id="72"/>
    <w:p>
      <w:pPr>
        <w:rPr>
          <w:rFonts w:ascii="黑体" w:eastAsia="黑体"/>
          <w:b/>
          <w:sz w:val="32"/>
          <w:szCs w:val="2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Leelawadee UI">
    <w:altName w:val="Noto Music"/>
    <w:panose1 w:val="020B0502040204020203"/>
    <w:charset w:val="00"/>
    <w:family w:val="swiss"/>
    <w:pitch w:val="default"/>
    <w:sig w:usb0="00000000" w:usb1="00000000" w:usb2="00010000" w:usb3="00000001" w:csb0="00010101"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DFST-M8">
    <w:panose1 w:val="02010609000101010101"/>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Noto Music">
    <w:panose1 w:val="020B0502040504020204"/>
    <w:charset w:val="00"/>
    <w:family w:val="auto"/>
    <w:pitch w:val="default"/>
    <w:sig w:usb0="00000003" w:usb1="02006000" w:usb2="01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1069352"/>
      <w:docPartObj>
        <w:docPartGallery w:val="autotext"/>
      </w:docPartObj>
    </w:sdtPr>
    <w:sdtContent>
      <w:p>
        <w:pPr>
          <w:pStyle w:val="6"/>
          <w:jc w:val="center"/>
        </w:pPr>
        <w:r>
          <w:fldChar w:fldCharType="begin"/>
        </w:r>
        <w:r>
          <w:instrText xml:space="preserve">PAGE   \* MERGEFORMAT</w:instrText>
        </w:r>
        <w:r>
          <w:fldChar w:fldCharType="separate"/>
        </w:r>
        <w:r>
          <w:rPr>
            <w:lang w:val="zh-CN"/>
          </w:rPr>
          <w:t>2</w:t>
        </w:r>
        <w: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xZTIyMTRjMGNiOGQwMjdiYTBkNDMzOTJkNjJjYmMifQ=="/>
  </w:docVars>
  <w:rsids>
    <w:rsidRoot w:val="7E8E6F73"/>
    <w:rsid w:val="0003436A"/>
    <w:rsid w:val="00057686"/>
    <w:rsid w:val="00084321"/>
    <w:rsid w:val="000B26B2"/>
    <w:rsid w:val="000E6E76"/>
    <w:rsid w:val="001765F1"/>
    <w:rsid w:val="001A24C9"/>
    <w:rsid w:val="001C304D"/>
    <w:rsid w:val="00217F5B"/>
    <w:rsid w:val="00232C8B"/>
    <w:rsid w:val="00235B20"/>
    <w:rsid w:val="00267331"/>
    <w:rsid w:val="002A406B"/>
    <w:rsid w:val="003149C1"/>
    <w:rsid w:val="00325756"/>
    <w:rsid w:val="00367B0A"/>
    <w:rsid w:val="00393F83"/>
    <w:rsid w:val="0039780E"/>
    <w:rsid w:val="003D172E"/>
    <w:rsid w:val="003D63C9"/>
    <w:rsid w:val="003E127D"/>
    <w:rsid w:val="003E1922"/>
    <w:rsid w:val="003F7191"/>
    <w:rsid w:val="00417564"/>
    <w:rsid w:val="004514B1"/>
    <w:rsid w:val="00456D52"/>
    <w:rsid w:val="00484557"/>
    <w:rsid w:val="004B2B6C"/>
    <w:rsid w:val="005B6F0F"/>
    <w:rsid w:val="00602723"/>
    <w:rsid w:val="00605757"/>
    <w:rsid w:val="00614791"/>
    <w:rsid w:val="00634639"/>
    <w:rsid w:val="0064559B"/>
    <w:rsid w:val="00670ADE"/>
    <w:rsid w:val="00697AF7"/>
    <w:rsid w:val="006A6523"/>
    <w:rsid w:val="006B690D"/>
    <w:rsid w:val="006E0FA1"/>
    <w:rsid w:val="006E5973"/>
    <w:rsid w:val="006F1B1C"/>
    <w:rsid w:val="006F4D99"/>
    <w:rsid w:val="00723201"/>
    <w:rsid w:val="007726DD"/>
    <w:rsid w:val="007A0DE6"/>
    <w:rsid w:val="00860D49"/>
    <w:rsid w:val="00872CE1"/>
    <w:rsid w:val="00874E01"/>
    <w:rsid w:val="008E5213"/>
    <w:rsid w:val="008E74DB"/>
    <w:rsid w:val="00902A69"/>
    <w:rsid w:val="00904874"/>
    <w:rsid w:val="009200F2"/>
    <w:rsid w:val="009319E0"/>
    <w:rsid w:val="00961946"/>
    <w:rsid w:val="009667E7"/>
    <w:rsid w:val="00970231"/>
    <w:rsid w:val="009724FA"/>
    <w:rsid w:val="00991B3A"/>
    <w:rsid w:val="009A7946"/>
    <w:rsid w:val="009B09ED"/>
    <w:rsid w:val="009C172C"/>
    <w:rsid w:val="009D6078"/>
    <w:rsid w:val="00A15919"/>
    <w:rsid w:val="00A65709"/>
    <w:rsid w:val="00A848C7"/>
    <w:rsid w:val="00AB3520"/>
    <w:rsid w:val="00AC3D16"/>
    <w:rsid w:val="00AE57D0"/>
    <w:rsid w:val="00AF12B8"/>
    <w:rsid w:val="00B017FC"/>
    <w:rsid w:val="00B041F5"/>
    <w:rsid w:val="00B252EA"/>
    <w:rsid w:val="00B266FE"/>
    <w:rsid w:val="00B41989"/>
    <w:rsid w:val="00B47593"/>
    <w:rsid w:val="00B96CF1"/>
    <w:rsid w:val="00BA194B"/>
    <w:rsid w:val="00BD5257"/>
    <w:rsid w:val="00BF28B4"/>
    <w:rsid w:val="00C31774"/>
    <w:rsid w:val="00C47297"/>
    <w:rsid w:val="00C51FF3"/>
    <w:rsid w:val="00C67484"/>
    <w:rsid w:val="00C7369C"/>
    <w:rsid w:val="00CA5DF6"/>
    <w:rsid w:val="00D00506"/>
    <w:rsid w:val="00D22238"/>
    <w:rsid w:val="00D43625"/>
    <w:rsid w:val="00D64353"/>
    <w:rsid w:val="00DC4572"/>
    <w:rsid w:val="00E15AE6"/>
    <w:rsid w:val="00E410B5"/>
    <w:rsid w:val="00E50CF9"/>
    <w:rsid w:val="00E97D9D"/>
    <w:rsid w:val="00EC7E91"/>
    <w:rsid w:val="00ED5E34"/>
    <w:rsid w:val="00F16A03"/>
    <w:rsid w:val="00F676B2"/>
    <w:rsid w:val="00F85ECF"/>
    <w:rsid w:val="00FA5EC4"/>
    <w:rsid w:val="00FC5527"/>
    <w:rsid w:val="01536809"/>
    <w:rsid w:val="04215E0D"/>
    <w:rsid w:val="057807F4"/>
    <w:rsid w:val="07EDA738"/>
    <w:rsid w:val="08A96A28"/>
    <w:rsid w:val="0A7964DD"/>
    <w:rsid w:val="0E6C0B62"/>
    <w:rsid w:val="10470CB5"/>
    <w:rsid w:val="124565CE"/>
    <w:rsid w:val="18C9062F"/>
    <w:rsid w:val="1C127DA7"/>
    <w:rsid w:val="297F7B50"/>
    <w:rsid w:val="2AE64AC8"/>
    <w:rsid w:val="33C10429"/>
    <w:rsid w:val="356B2D42"/>
    <w:rsid w:val="36FEF6D7"/>
    <w:rsid w:val="3713113A"/>
    <w:rsid w:val="40347952"/>
    <w:rsid w:val="40375379"/>
    <w:rsid w:val="40962702"/>
    <w:rsid w:val="42262AE6"/>
    <w:rsid w:val="45406713"/>
    <w:rsid w:val="4B600326"/>
    <w:rsid w:val="4C784629"/>
    <w:rsid w:val="4FFC2ABD"/>
    <w:rsid w:val="50AC5B0E"/>
    <w:rsid w:val="50ED14DC"/>
    <w:rsid w:val="515F4891"/>
    <w:rsid w:val="535B5CDF"/>
    <w:rsid w:val="53C44F43"/>
    <w:rsid w:val="5435182E"/>
    <w:rsid w:val="581636C0"/>
    <w:rsid w:val="58A34FD3"/>
    <w:rsid w:val="59A826C9"/>
    <w:rsid w:val="5A2F250F"/>
    <w:rsid w:val="5C7A1FAE"/>
    <w:rsid w:val="5D505901"/>
    <w:rsid w:val="5ECE7210"/>
    <w:rsid w:val="63021D41"/>
    <w:rsid w:val="630D27CD"/>
    <w:rsid w:val="64171337"/>
    <w:rsid w:val="66BF72D0"/>
    <w:rsid w:val="67F05861"/>
    <w:rsid w:val="69E15C32"/>
    <w:rsid w:val="6ABD01DB"/>
    <w:rsid w:val="6AED1528"/>
    <w:rsid w:val="6BE2746D"/>
    <w:rsid w:val="6CCF08E7"/>
    <w:rsid w:val="6FCD4573"/>
    <w:rsid w:val="70612A17"/>
    <w:rsid w:val="71D42B9B"/>
    <w:rsid w:val="736466C0"/>
    <w:rsid w:val="73D25BF1"/>
    <w:rsid w:val="7C790ED2"/>
    <w:rsid w:val="7DE919E1"/>
    <w:rsid w:val="7E083A28"/>
    <w:rsid w:val="7E8E6F73"/>
    <w:rsid w:val="7F7FB9C0"/>
    <w:rsid w:val="7FFD4207"/>
    <w:rsid w:val="9FFFCC9C"/>
    <w:rsid w:val="DD98515C"/>
    <w:rsid w:val="F7FFA430"/>
    <w:rsid w:val="FF7FBE46"/>
    <w:rsid w:val="FFFF8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tabs>
        <w:tab w:val="left" w:pos="2880"/>
      </w:tabs>
      <w:ind w:firstLine="200" w:firstLineChars="200"/>
    </w:pPr>
  </w:style>
  <w:style w:type="paragraph" w:styleId="3">
    <w:name w:val="Body Text Indent"/>
    <w:basedOn w:val="1"/>
    <w:qFormat/>
    <w:uiPriority w:val="0"/>
    <w:pPr>
      <w:tabs>
        <w:tab w:val="left" w:pos="2880"/>
      </w:tabs>
      <w:spacing w:line="360" w:lineRule="auto"/>
      <w:ind w:firstLine="480" w:firstLineChars="200"/>
    </w:pPr>
    <w:rPr>
      <w:rFonts w:ascii="Times New Roman" w:hAnsi="Times New Roman"/>
      <w:bCs/>
      <w:kern w:val="0"/>
      <w:sz w:val="24"/>
      <w:szCs w:val="20"/>
    </w:rPr>
  </w:style>
  <w:style w:type="paragraph" w:styleId="4">
    <w:name w:val="annotation text"/>
    <w:basedOn w:val="1"/>
    <w:link w:val="18"/>
    <w:qFormat/>
    <w:uiPriority w:val="0"/>
    <w:pPr>
      <w:jc w:val="left"/>
    </w:pPr>
  </w:style>
  <w:style w:type="paragraph" w:styleId="5">
    <w:name w:val="Balloon Text"/>
    <w:basedOn w:val="1"/>
    <w:link w:val="20"/>
    <w:qFormat/>
    <w:uiPriority w:val="0"/>
    <w:rPr>
      <w:sz w:val="18"/>
      <w:szCs w:val="18"/>
    </w:rPr>
  </w:style>
  <w:style w:type="paragraph" w:styleId="6">
    <w:name w:val="footer"/>
    <w:basedOn w:val="1"/>
    <w:link w:val="2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unhideWhenUsed/>
    <w:qFormat/>
    <w:uiPriority w:val="39"/>
  </w:style>
  <w:style w:type="paragraph" w:styleId="9">
    <w:name w:val="toc 2"/>
    <w:basedOn w:val="1"/>
    <w:next w:val="1"/>
    <w:unhideWhenUsed/>
    <w:qFormat/>
    <w:uiPriority w:val="39"/>
    <w:pPr>
      <w:ind w:left="420" w:leftChars="200"/>
    </w:pPr>
  </w:style>
  <w:style w:type="paragraph" w:styleId="10">
    <w:name w:val="annotation subject"/>
    <w:basedOn w:val="4"/>
    <w:next w:val="4"/>
    <w:link w:val="19"/>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unhideWhenUsed/>
    <w:qFormat/>
    <w:uiPriority w:val="99"/>
    <w:rPr>
      <w:color w:val="0000FF"/>
      <w:u w:val="single"/>
    </w:rPr>
  </w:style>
  <w:style w:type="character" w:styleId="15">
    <w:name w:val="annotation reference"/>
    <w:basedOn w:val="13"/>
    <w:qFormat/>
    <w:uiPriority w:val="0"/>
    <w:rPr>
      <w:sz w:val="21"/>
      <w:szCs w:val="21"/>
    </w:rPr>
  </w:style>
  <w:style w:type="paragraph" w:customStyle="1" w:styleId="16">
    <w:name w:val="WPSOffice手动目录 1"/>
    <w:qFormat/>
    <w:uiPriority w:val="0"/>
    <w:rPr>
      <w:rFonts w:ascii="Times New Roman" w:hAnsi="Times New Roman" w:eastAsia="宋体" w:cs="Times New Roman"/>
      <w:lang w:val="en-US" w:eastAsia="zh-CN" w:bidi="ar-SA"/>
    </w:rPr>
  </w:style>
  <w:style w:type="paragraph" w:customStyle="1" w:styleId="17">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8">
    <w:name w:val="批注文字 字符"/>
    <w:basedOn w:val="13"/>
    <w:link w:val="4"/>
    <w:qFormat/>
    <w:uiPriority w:val="0"/>
    <w:rPr>
      <w:kern w:val="2"/>
      <w:sz w:val="21"/>
      <w:szCs w:val="22"/>
    </w:rPr>
  </w:style>
  <w:style w:type="character" w:customStyle="1" w:styleId="19">
    <w:name w:val="批注主题 字符"/>
    <w:basedOn w:val="18"/>
    <w:link w:val="10"/>
    <w:qFormat/>
    <w:uiPriority w:val="0"/>
    <w:rPr>
      <w:b/>
      <w:bCs/>
      <w:kern w:val="2"/>
      <w:sz w:val="21"/>
      <w:szCs w:val="22"/>
    </w:rPr>
  </w:style>
  <w:style w:type="character" w:customStyle="1" w:styleId="20">
    <w:name w:val="批注框文本 字符"/>
    <w:basedOn w:val="13"/>
    <w:link w:val="5"/>
    <w:qFormat/>
    <w:uiPriority w:val="0"/>
    <w:rPr>
      <w:kern w:val="2"/>
      <w:sz w:val="18"/>
      <w:szCs w:val="18"/>
    </w:rPr>
  </w:style>
  <w:style w:type="character" w:customStyle="1" w:styleId="21">
    <w:name w:val="页脚 字符"/>
    <w:basedOn w:val="13"/>
    <w:link w:val="6"/>
    <w:qFormat/>
    <w:uiPriority w:val="99"/>
    <w:rPr>
      <w:kern w:val="2"/>
      <w:sz w:val="18"/>
      <w:szCs w:val="18"/>
    </w:rPr>
  </w:style>
  <w:style w:type="paragraph" w:customStyle="1" w:styleId="22">
    <w:name w:val="Revision"/>
    <w:hidden/>
    <w:semiHidden/>
    <w:qFormat/>
    <w:uiPriority w:val="99"/>
    <w:rPr>
      <w:rFonts w:ascii="Times New Roman" w:hAnsi="Times New Roman" w:eastAsia="宋体" w:cs="Times New Roman"/>
      <w:kern w:val="2"/>
      <w:sz w:val="21"/>
      <w:szCs w:val="22"/>
      <w:lang w:val="en-US" w:eastAsia="zh-CN" w:bidi="ar-SA"/>
    </w:rPr>
  </w:style>
  <w:style w:type="paragraph" w:styleId="23">
    <w:name w:val="List Paragraph"/>
    <w:basedOn w:val="1"/>
    <w:qFormat/>
    <w:uiPriority w:val="34"/>
    <w:pPr>
      <w:ind w:firstLine="420" w:firstLineChars="200"/>
    </w:pPr>
    <w:rPr>
      <w:rFonts w:asciiTheme="minorHAnsi" w:hAnsiTheme="minorHAnsi" w:eastAsiaTheme="minorEastAsia" w:cstheme="minorBidi"/>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7398</Words>
  <Characters>8444</Characters>
  <Lines>70</Lines>
  <Paragraphs>19</Paragraphs>
  <TotalTime>8</TotalTime>
  <ScaleCrop>false</ScaleCrop>
  <LinksUpToDate>false</LinksUpToDate>
  <CharactersWithSpaces>9274</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2022-05-20T08:18:00Z</dcterms:created>
  <dc:creator>工作组</dc:creator>
  <cp:lastModifiedBy> </cp:lastModifiedBy>
  <cp:lastPrinted>2023-05-26T22:07:00Z</cp:lastPrinted>
  <dcterms:modified xsi:type="dcterms:W3CDTF">2023-06-14T09:15:09Z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E3F4A2F108E6487BA314405D9EBD5F60_13</vt:lpwstr>
  </property>
</Properties>
</file>