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北京市粮食和物资储备局</w:t>
      </w:r>
    </w:p>
    <w:p>
      <w:pPr>
        <w:bidi w:val="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2022年度</w:t>
      </w:r>
      <w:r>
        <w:rPr>
          <w:rFonts w:hint="eastAsia" w:ascii="方正小标宋简体" w:hAnsi="方正小标宋简体" w:eastAsia="方正小标宋简体" w:cs="方正小标宋简体"/>
          <w:sz w:val="44"/>
          <w:szCs w:val="44"/>
        </w:rPr>
        <w:t>部门整体绩效评价报告</w:t>
      </w:r>
    </w:p>
    <w:p>
      <w:pPr>
        <w:wordWrap w:val="0"/>
        <w:jc w:val="right"/>
        <w:rPr>
          <w:rFonts w:hint="eastAsia" w:ascii="仿宋_GB2312" w:hAnsi="等线" w:eastAsia="仿宋_GB2312"/>
          <w:sz w:val="32"/>
          <w:szCs w:val="32"/>
          <w:lang w:eastAsia="zh-CN"/>
        </w:rPr>
      </w:pPr>
      <w:r>
        <w:rPr>
          <w:rFonts w:hint="eastAsia" w:ascii="仿宋_GB2312" w:hAnsi="等线" w:eastAsia="仿宋_GB2312"/>
          <w:sz w:val="32"/>
          <w:szCs w:val="32"/>
          <w:lang w:val="en-US" w:eastAsia="zh-CN"/>
        </w:rPr>
        <w:t xml:space="preserve"> </w:t>
      </w:r>
    </w:p>
    <w:p>
      <w:pPr>
        <w:spacing w:line="600" w:lineRule="exact"/>
        <w:ind w:firstLine="640" w:firstLineChars="200"/>
        <w:outlineLvl w:val="0"/>
        <w:rPr>
          <w:rFonts w:ascii="黑体" w:hAnsi="黑体" w:eastAsia="黑体" w:cs="宋体"/>
          <w:color w:val="auto"/>
          <w:kern w:val="0"/>
          <w:sz w:val="32"/>
          <w:szCs w:val="32"/>
        </w:rPr>
      </w:pPr>
      <w:bookmarkStart w:id="0" w:name="_Toc12269"/>
      <w:bookmarkStart w:id="1" w:name="_Toc29634"/>
      <w:bookmarkStart w:id="2" w:name="_Toc15880"/>
      <w:r>
        <w:rPr>
          <w:rFonts w:hint="eastAsia" w:ascii="黑体" w:hAnsi="黑体" w:eastAsia="黑体" w:cs="宋体"/>
          <w:color w:val="auto"/>
          <w:kern w:val="0"/>
          <w:sz w:val="32"/>
          <w:szCs w:val="32"/>
        </w:rPr>
        <w:t>一、部门概况</w:t>
      </w:r>
      <w:bookmarkEnd w:id="0"/>
      <w:bookmarkEnd w:id="1"/>
      <w:bookmarkEnd w:id="2"/>
    </w:p>
    <w:p>
      <w:pPr>
        <w:spacing w:line="600" w:lineRule="exact"/>
        <w:ind w:firstLine="640" w:firstLineChars="200"/>
        <w:outlineLvl w:val="1"/>
        <w:rPr>
          <w:rFonts w:hint="eastAsia" w:ascii="楷体" w:hAnsi="楷体" w:eastAsia="楷体"/>
          <w:color w:val="auto"/>
          <w:sz w:val="32"/>
          <w:szCs w:val="32"/>
          <w:lang w:val="en-US" w:eastAsia="zh-CN"/>
        </w:rPr>
      </w:pPr>
      <w:bookmarkStart w:id="3" w:name="_Toc26155"/>
      <w:bookmarkStart w:id="4" w:name="_Toc27496"/>
      <w:bookmarkStart w:id="5" w:name="_Toc32585"/>
      <w:r>
        <w:rPr>
          <w:rFonts w:hint="eastAsia" w:ascii="楷体" w:hAnsi="楷体" w:eastAsia="楷体"/>
          <w:color w:val="auto"/>
          <w:sz w:val="32"/>
          <w:szCs w:val="32"/>
        </w:rPr>
        <w:t>（一）机构设置</w:t>
      </w:r>
      <w:r>
        <w:rPr>
          <w:rFonts w:hint="eastAsia" w:ascii="楷体" w:hAnsi="楷体" w:eastAsia="楷体"/>
          <w:color w:val="auto"/>
          <w:sz w:val="32"/>
          <w:szCs w:val="32"/>
          <w:lang w:val="en-US" w:eastAsia="zh-CN"/>
        </w:rPr>
        <w:t>及职责工作任务情况</w:t>
      </w:r>
      <w:bookmarkEnd w:id="3"/>
      <w:bookmarkEnd w:id="4"/>
      <w:bookmarkEnd w:id="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lang w:val="en-US" w:eastAsia="zh-CN"/>
        </w:rPr>
      </w:pPr>
      <w:r>
        <w:rPr>
          <w:rFonts w:hint="eastAsia" w:ascii="仿宋_GB2312" w:hAnsi="仿宋_GB2312" w:eastAsia="仿宋_GB2312" w:cs="仿宋_GB2312"/>
          <w:sz w:val="32"/>
          <w:szCs w:val="22"/>
        </w:rPr>
        <w:t>1.机构设置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rPr>
      </w:pPr>
      <w:r>
        <w:rPr>
          <w:rFonts w:hint="eastAsia" w:ascii="仿宋_GB2312" w:hAnsi="仿宋_GB2312" w:eastAsia="仿宋_GB2312" w:cs="仿宋_GB2312"/>
          <w:sz w:val="32"/>
          <w:szCs w:val="22"/>
        </w:rPr>
        <w:t>根据中共北京市委办公厅北京市人民政府办公厅《关于印发北京市粮食和物资储备局职能配置、内设机构和人员编制规定的通知》（京办字﹝2019﹞10号）规定，市粮食和储备局内设11个处室，分别为：办公室、法规体改处、规划建设处（流通管理处）、粮食储备处、物资储备处、安全仓储与科技处、执法督查处、财务审计处、机关党委（人事处）、机关纪委、离退休干部处。下属</w:t>
      </w:r>
      <w:r>
        <w:rPr>
          <w:rFonts w:hint="eastAsia" w:ascii="仿宋_GB2312" w:hAnsi="仿宋_GB2312" w:eastAsia="仿宋_GB2312" w:cs="仿宋_GB2312"/>
          <w:sz w:val="32"/>
          <w:szCs w:val="22"/>
          <w:lang w:val="en-US" w:eastAsia="zh-CN"/>
        </w:rPr>
        <w:t>5</w:t>
      </w:r>
      <w:r>
        <w:rPr>
          <w:rFonts w:hint="eastAsia" w:ascii="仿宋_GB2312" w:hAnsi="仿宋_GB2312" w:eastAsia="仿宋_GB2312" w:cs="仿宋_GB2312"/>
          <w:sz w:val="32"/>
          <w:szCs w:val="22"/>
        </w:rPr>
        <w:t>个预算单位，分别为：北京市经济管理学校（北京市粮食和物资储备局党校）、北京市粮食和物资储备局军粮供应管理中心、北京市粮食和物资储备局</w:t>
      </w:r>
      <w:r>
        <w:rPr>
          <w:rFonts w:hint="eastAsia" w:ascii="仿宋_GB2312" w:hAnsi="仿宋_GB2312" w:eastAsia="仿宋_GB2312" w:cs="仿宋_GB2312"/>
          <w:sz w:val="32"/>
          <w:szCs w:val="22"/>
          <w:lang w:eastAsia="zh-CN"/>
        </w:rPr>
        <w:t>综合事务中心、</w:t>
      </w:r>
      <w:r>
        <w:rPr>
          <w:rFonts w:hint="eastAsia" w:ascii="仿宋_GB2312" w:hAnsi="仿宋_GB2312" w:eastAsia="仿宋_GB2312" w:cs="仿宋_GB2312"/>
          <w:sz w:val="32"/>
          <w:szCs w:val="22"/>
        </w:rPr>
        <w:t>北京市粮食和物资储备事务中心、</w:t>
      </w:r>
      <w:r>
        <w:rPr>
          <w:rFonts w:hint="eastAsia" w:ascii="仿宋_GB2312" w:hAnsi="仿宋_GB2312" w:eastAsia="仿宋_GB2312" w:cs="仿宋_GB2312"/>
          <w:sz w:val="32"/>
          <w:szCs w:val="22"/>
          <w:lang w:eastAsia="zh-CN"/>
        </w:rPr>
        <w:t>北京国家粮食交易中心</w:t>
      </w:r>
      <w:r>
        <w:rPr>
          <w:rFonts w:hint="eastAsia" w:ascii="仿宋_GB2312" w:hAnsi="仿宋_GB2312" w:eastAsia="仿宋_GB2312" w:cs="仿宋_GB2312"/>
          <w:sz w:val="32"/>
          <w:szCs w:val="2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22"/>
          <w:lang w:val="en-US" w:eastAsia="zh-CN"/>
        </w:rPr>
      </w:pPr>
      <w:r>
        <w:rPr>
          <w:rFonts w:hint="eastAsia" w:ascii="仿宋_GB2312" w:hAnsi="仿宋_GB2312" w:eastAsia="仿宋_GB2312" w:cs="仿宋_GB2312"/>
          <w:sz w:val="32"/>
          <w:szCs w:val="22"/>
        </w:rPr>
        <w:t>2.</w:t>
      </w:r>
      <w:r>
        <w:rPr>
          <w:rFonts w:hint="eastAsia" w:ascii="仿宋_GB2312" w:hAnsi="仿宋_GB2312" w:eastAsia="仿宋_GB2312" w:cs="仿宋_GB2312"/>
          <w:sz w:val="32"/>
          <w:szCs w:val="22"/>
          <w:lang w:val="en-US" w:eastAsia="zh-CN"/>
        </w:rPr>
        <w:t>主要职能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rPr>
      </w:pPr>
      <w:r>
        <w:rPr>
          <w:rFonts w:hint="eastAsia" w:ascii="仿宋_GB2312" w:hAnsi="仿宋_GB2312" w:eastAsia="仿宋_GB2312" w:cs="仿宋_GB2312"/>
          <w:sz w:val="32"/>
          <w:szCs w:val="22"/>
        </w:rPr>
        <w:t>（1）贯彻落实国家关于粮食流通和物资储备管理的法律法规、规章和政策，起草本市相关地方性法规草案、政府规章草案。研究提出粮食流通和物资储备体制改革方案并组织实施。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rPr>
      </w:pPr>
      <w:r>
        <w:rPr>
          <w:rFonts w:hint="eastAsia" w:ascii="仿宋_GB2312" w:hAnsi="仿宋_GB2312" w:eastAsia="仿宋_GB2312" w:cs="仿宋_GB2312"/>
          <w:sz w:val="32"/>
          <w:szCs w:val="22"/>
        </w:rPr>
        <w:t>（2）研究提出本市重要商品和应急物资储备规划、储备品种目录的建议。指导监督重要商品收储、轮换和投放。根据储备总体发展规划和品种目录，组织实施应急储备物资的收储、轮换和管理，落实有关动用计划和指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rPr>
      </w:pPr>
      <w:r>
        <w:rPr>
          <w:rFonts w:hint="eastAsia" w:ascii="仿宋_GB2312" w:hAnsi="仿宋_GB2312" w:eastAsia="仿宋_GB2312" w:cs="仿宋_GB2312"/>
          <w:sz w:val="32"/>
          <w:szCs w:val="22"/>
        </w:rPr>
        <w:t>（3）负责本市储备粮的日常管理工作。参与储备粮相关财政资金的使用和管理，指导储备粮承储企业的仓储业务。监测粮食和应急物资供求变化并预测预警，承担粮食流通调控的具体工作。承担粮食安全责任制考核相关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rPr>
      </w:pPr>
      <w:r>
        <w:rPr>
          <w:rFonts w:hint="eastAsia" w:ascii="仿宋_GB2312" w:hAnsi="仿宋_GB2312" w:eastAsia="仿宋_GB2312" w:cs="仿宋_GB2312"/>
          <w:sz w:val="32"/>
          <w:szCs w:val="22"/>
        </w:rPr>
        <w:t>（4）拟订本市粮食和物资储备仓储管理有关技术标准和规范并组织实施。指导本市粮食行业安全生产工作，对粮食行业的安全工作承担日常管理责任。承担市级物资储备承储单位安全生产的监管责任。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rPr>
      </w:pPr>
      <w:r>
        <w:rPr>
          <w:rFonts w:hint="eastAsia" w:ascii="仿宋_GB2312" w:hAnsi="仿宋_GB2312" w:eastAsia="仿宋_GB2312" w:cs="仿宋_GB2312"/>
          <w:sz w:val="32"/>
          <w:szCs w:val="22"/>
        </w:rPr>
        <w:t>（5）根据本市储备总体发展规划，负责储备基础设施建设和管理。拟订储备基础设施、粮食流通设施建设规划并组织实施，管理有关储备基础设施和粮食流通设施市级投资项目。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rPr>
      </w:pPr>
      <w:r>
        <w:rPr>
          <w:rFonts w:hint="eastAsia" w:ascii="仿宋_GB2312" w:hAnsi="仿宋_GB2312" w:eastAsia="仿宋_GB2312" w:cs="仿宋_GB2312"/>
          <w:sz w:val="32"/>
          <w:szCs w:val="22"/>
        </w:rPr>
        <w:t>（6）负责对本市管理的政府储备、企业储备以及储备政策落实情况进行监督检查。负责本市粮食流通监督检查，负责粮食收购、储存、运输环节粮食质量安全和原粮卫生的管理，组织实施全市粮食库存检查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rPr>
      </w:pPr>
      <w:r>
        <w:rPr>
          <w:rFonts w:hint="eastAsia" w:ascii="仿宋_GB2312" w:hAnsi="仿宋_GB2312" w:eastAsia="仿宋_GB2312" w:cs="仿宋_GB2312"/>
          <w:sz w:val="32"/>
          <w:szCs w:val="22"/>
        </w:rPr>
        <w:t>（7）负责本市粮食流通行业管理，制定行业发展规划、政策，拟订粮食流通和物资储备有关标准、粮食质量地方标准，监督执行有关技术规范。开展粮食和物资储备的对外合作与交流。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rPr>
      </w:pPr>
      <w:r>
        <w:rPr>
          <w:rFonts w:hint="eastAsia" w:ascii="仿宋_GB2312" w:hAnsi="仿宋_GB2312" w:eastAsia="仿宋_GB2312" w:cs="仿宋_GB2312"/>
          <w:sz w:val="32"/>
          <w:szCs w:val="22"/>
        </w:rPr>
        <w:t>（8）完成市委、市政府交办的其他任务。</w:t>
      </w:r>
    </w:p>
    <w:p>
      <w:pPr>
        <w:spacing w:line="600" w:lineRule="exact"/>
        <w:ind w:firstLine="640" w:firstLineChars="200"/>
        <w:outlineLvl w:val="1"/>
        <w:rPr>
          <w:rFonts w:hint="eastAsia" w:ascii="楷体" w:hAnsi="楷体" w:eastAsia="楷体"/>
          <w:color w:val="auto"/>
          <w:sz w:val="32"/>
          <w:szCs w:val="32"/>
          <w:lang w:val="en-US" w:eastAsia="zh-CN"/>
        </w:rPr>
      </w:pPr>
      <w:bookmarkStart w:id="6" w:name="_Toc29788"/>
      <w:bookmarkStart w:id="7" w:name="_Toc13190"/>
      <w:bookmarkStart w:id="8" w:name="_Toc30505"/>
      <w:r>
        <w:rPr>
          <w:rFonts w:hint="eastAsia" w:ascii="楷体" w:hAnsi="楷体" w:eastAsia="楷体"/>
          <w:color w:val="auto"/>
          <w:sz w:val="32"/>
          <w:szCs w:val="32"/>
        </w:rPr>
        <w:t>（</w:t>
      </w:r>
      <w:r>
        <w:rPr>
          <w:rFonts w:hint="eastAsia" w:ascii="楷体" w:hAnsi="楷体" w:eastAsia="楷体"/>
          <w:color w:val="auto"/>
          <w:sz w:val="32"/>
          <w:szCs w:val="32"/>
          <w:lang w:val="en-US" w:eastAsia="zh-CN"/>
        </w:rPr>
        <w:t>二</w:t>
      </w:r>
      <w:r>
        <w:rPr>
          <w:rFonts w:hint="eastAsia" w:ascii="楷体" w:hAnsi="楷体" w:eastAsia="楷体"/>
          <w:color w:val="auto"/>
          <w:sz w:val="32"/>
          <w:szCs w:val="32"/>
        </w:rPr>
        <w:t>）</w:t>
      </w:r>
      <w:r>
        <w:rPr>
          <w:rFonts w:hint="eastAsia" w:ascii="楷体" w:hAnsi="楷体" w:eastAsia="楷体"/>
          <w:color w:val="auto"/>
          <w:sz w:val="32"/>
          <w:szCs w:val="32"/>
          <w:lang w:val="en-US" w:eastAsia="zh-CN"/>
        </w:rPr>
        <w:t>部门整体绩效目标设立情况</w:t>
      </w:r>
      <w:bookmarkEnd w:id="6"/>
      <w:bookmarkEnd w:id="7"/>
      <w:bookmarkEnd w:id="8"/>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22"/>
          <w:lang w:val="en-US" w:eastAsia="zh-CN"/>
        </w:rPr>
      </w:pPr>
      <w:r>
        <w:rPr>
          <w:rFonts w:hint="eastAsia" w:ascii="仿宋_GB2312" w:hAnsi="仿宋_GB2312" w:eastAsia="仿宋_GB2312" w:cs="仿宋_GB2312"/>
          <w:sz w:val="32"/>
          <w:szCs w:val="22"/>
          <w:lang w:val="en-US" w:eastAsia="zh-CN"/>
        </w:rPr>
        <w:t>为贯彻落实习近平总书记关于粮食和物资储备工作讲话精神，贯彻落实国家粮食和物资储备工作要求，全面落实市委市政府各项工作部署，市粮食和储备局制定了《2022年粮食和物资储备工作要点》，明确“稳市场保民生，坚决扛稳粮食安全重任”“防风险守底线，加快构建符合首都功能定位的储备体系”“抓监管强考核，提升粮食和物资储备安全保障治理能力”“注重规划引领，厚植粮食和物资储备发展基础”“坚持政治建设为统领，推动全面从严治党向纵深发展”等年度工作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22"/>
          <w:lang w:val="en-US" w:eastAsia="zh-CN"/>
        </w:rPr>
      </w:pPr>
      <w:r>
        <w:rPr>
          <w:rFonts w:hint="eastAsia" w:ascii="仿宋_GB2312" w:hAnsi="仿宋_GB2312" w:eastAsia="仿宋_GB2312" w:cs="仿宋_GB2312"/>
          <w:sz w:val="32"/>
          <w:szCs w:val="22"/>
          <w:lang w:val="en-US" w:eastAsia="zh-CN"/>
        </w:rPr>
        <w:t>2022年，市粮食和储备局部门整体绩效目标紧紧围绕单位职能职责，结合北京市粮食流通和物资储备“十四五”发展规划、2022年度工作要点等设定。部门整体绩效目标既体现了单位履职范围内的常规工作任务，也结合特殊重要时点突出了年度新增特色重点工作内容，整体绩效目标设定比较合理。</w:t>
      </w:r>
    </w:p>
    <w:p>
      <w:pPr>
        <w:spacing w:line="600" w:lineRule="exact"/>
        <w:ind w:firstLine="640" w:firstLineChars="200"/>
        <w:outlineLvl w:val="0"/>
        <w:rPr>
          <w:rFonts w:ascii="黑体" w:hAnsi="黑体" w:eastAsia="黑体" w:cs="宋体"/>
          <w:kern w:val="0"/>
          <w:sz w:val="32"/>
          <w:szCs w:val="32"/>
        </w:rPr>
      </w:pPr>
      <w:bookmarkStart w:id="9" w:name="_Toc7940"/>
      <w:bookmarkStart w:id="10" w:name="_Toc11384"/>
      <w:bookmarkStart w:id="11" w:name="_Toc14970"/>
      <w:r>
        <w:rPr>
          <w:rFonts w:hint="eastAsia" w:ascii="黑体" w:hAnsi="黑体" w:eastAsia="黑体" w:cs="宋体"/>
          <w:kern w:val="0"/>
          <w:sz w:val="32"/>
          <w:szCs w:val="32"/>
        </w:rPr>
        <w:t>二</w:t>
      </w:r>
      <w:r>
        <w:rPr>
          <w:rFonts w:ascii="黑体" w:hAnsi="黑体" w:eastAsia="黑体" w:cs="宋体"/>
          <w:kern w:val="0"/>
          <w:sz w:val="32"/>
          <w:szCs w:val="32"/>
        </w:rPr>
        <w:t>、</w:t>
      </w:r>
      <w:r>
        <w:rPr>
          <w:rFonts w:hint="eastAsia" w:ascii="黑体" w:hAnsi="黑体" w:eastAsia="黑体" w:cs="宋体"/>
          <w:kern w:val="0"/>
          <w:sz w:val="32"/>
          <w:szCs w:val="32"/>
        </w:rPr>
        <w:t>当年</w:t>
      </w:r>
      <w:r>
        <w:rPr>
          <w:rFonts w:ascii="黑体" w:hAnsi="黑体" w:eastAsia="黑体" w:cs="宋体"/>
          <w:kern w:val="0"/>
          <w:sz w:val="32"/>
          <w:szCs w:val="32"/>
        </w:rPr>
        <w:t>预算执行情况</w:t>
      </w:r>
      <w:bookmarkEnd w:id="9"/>
      <w:bookmarkEnd w:id="10"/>
      <w:bookmarkEnd w:id="1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rPr>
      </w:pPr>
      <w:r>
        <w:rPr>
          <w:rFonts w:hint="eastAsia" w:ascii="仿宋_GB2312" w:hAnsi="仿宋_GB2312" w:eastAsia="仿宋_GB2312" w:cs="仿宋_GB2312"/>
          <w:sz w:val="32"/>
          <w:szCs w:val="22"/>
        </w:rPr>
        <w:t>2022年，</w:t>
      </w:r>
      <w:r>
        <w:rPr>
          <w:rFonts w:hint="eastAsia" w:ascii="仿宋_GB2312" w:hAnsi="仿宋_GB2312" w:eastAsia="仿宋_GB2312" w:cs="仿宋_GB2312"/>
          <w:sz w:val="32"/>
          <w:szCs w:val="22"/>
          <w:lang w:val="en-US" w:eastAsia="zh-CN"/>
        </w:rPr>
        <w:t>北京市财政局批复市粮食和储备局全年预算</w:t>
      </w:r>
      <w:r>
        <w:rPr>
          <w:rFonts w:hint="eastAsia" w:ascii="仿宋_GB2312" w:hAnsi="仿宋_GB2312" w:eastAsia="仿宋_GB2312" w:cs="仿宋_GB2312"/>
          <w:sz w:val="32"/>
          <w:szCs w:val="22"/>
        </w:rPr>
        <w:t>91,051.23万元，其中，基本支出预算13,694.79万元，项目支出预算77,356.44万元。</w:t>
      </w:r>
      <w:r>
        <w:rPr>
          <w:rFonts w:hint="eastAsia" w:ascii="仿宋_GB2312" w:hAnsi="仿宋_GB2312" w:eastAsia="仿宋_GB2312" w:cs="仿宋_GB2312"/>
          <w:sz w:val="32"/>
          <w:szCs w:val="22"/>
          <w:lang w:val="en-US" w:eastAsia="zh-CN"/>
        </w:rPr>
        <w:t>实际预算</w:t>
      </w:r>
      <w:r>
        <w:rPr>
          <w:rFonts w:hint="eastAsia" w:ascii="仿宋_GB2312" w:hAnsi="仿宋_GB2312" w:eastAsia="仿宋_GB2312" w:cs="仿宋_GB2312"/>
          <w:sz w:val="32"/>
          <w:szCs w:val="22"/>
        </w:rPr>
        <w:t>支出86,404.94万元，其中，基本支出12,722.67万元，项目支出73,682.26万元。预算执行率</w:t>
      </w:r>
      <w:r>
        <w:rPr>
          <w:rFonts w:hint="eastAsia" w:ascii="仿宋_GB2312" w:hAnsi="仿宋_GB2312" w:eastAsia="仿宋_GB2312" w:cs="仿宋_GB2312"/>
          <w:sz w:val="32"/>
          <w:szCs w:val="22"/>
          <w:lang w:val="en-US" w:eastAsia="zh-CN"/>
        </w:rPr>
        <w:t>为</w:t>
      </w:r>
      <w:r>
        <w:rPr>
          <w:rFonts w:hint="eastAsia" w:ascii="仿宋_GB2312" w:hAnsi="仿宋_GB2312" w:eastAsia="仿宋_GB2312" w:cs="仿宋_GB2312"/>
          <w:sz w:val="32"/>
          <w:szCs w:val="22"/>
        </w:rPr>
        <w:t>94.90%。</w:t>
      </w:r>
    </w:p>
    <w:p>
      <w:pPr>
        <w:spacing w:line="600" w:lineRule="exact"/>
        <w:ind w:firstLine="640" w:firstLineChars="200"/>
        <w:outlineLvl w:val="0"/>
        <w:rPr>
          <w:rFonts w:ascii="黑体" w:hAnsi="黑体" w:eastAsia="黑体" w:cs="宋体"/>
          <w:color w:val="auto"/>
          <w:kern w:val="0"/>
          <w:sz w:val="32"/>
          <w:szCs w:val="32"/>
        </w:rPr>
      </w:pPr>
      <w:bookmarkStart w:id="12" w:name="_Toc19388"/>
      <w:bookmarkStart w:id="13" w:name="_Toc12483"/>
      <w:bookmarkStart w:id="14" w:name="_Toc13146"/>
      <w:r>
        <w:rPr>
          <w:rFonts w:hint="eastAsia" w:ascii="黑体" w:hAnsi="黑体" w:eastAsia="黑体" w:cs="宋体"/>
          <w:color w:val="auto"/>
          <w:kern w:val="0"/>
          <w:sz w:val="32"/>
          <w:szCs w:val="32"/>
        </w:rPr>
        <w:t>三</w:t>
      </w:r>
      <w:r>
        <w:rPr>
          <w:rFonts w:ascii="黑体" w:hAnsi="黑体" w:eastAsia="黑体" w:cs="宋体"/>
          <w:color w:val="auto"/>
          <w:kern w:val="0"/>
          <w:sz w:val="32"/>
          <w:szCs w:val="32"/>
        </w:rPr>
        <w:t>、整体绩效目标实现情况</w:t>
      </w:r>
      <w:bookmarkEnd w:id="12"/>
      <w:bookmarkEnd w:id="13"/>
      <w:bookmarkEnd w:id="14"/>
    </w:p>
    <w:p>
      <w:pPr>
        <w:spacing w:line="600" w:lineRule="exact"/>
        <w:ind w:firstLine="640" w:firstLineChars="200"/>
        <w:outlineLvl w:val="1"/>
        <w:rPr>
          <w:rFonts w:ascii="楷体" w:hAnsi="楷体" w:eastAsia="楷体"/>
          <w:color w:val="auto"/>
          <w:sz w:val="32"/>
          <w:szCs w:val="32"/>
        </w:rPr>
      </w:pPr>
      <w:bookmarkStart w:id="15" w:name="_Toc25494"/>
      <w:bookmarkStart w:id="16" w:name="_Toc3094"/>
      <w:bookmarkStart w:id="17" w:name="_Toc28013"/>
      <w:r>
        <w:rPr>
          <w:rFonts w:hint="eastAsia" w:ascii="楷体" w:hAnsi="楷体" w:eastAsia="楷体"/>
          <w:color w:val="auto"/>
          <w:sz w:val="32"/>
          <w:szCs w:val="32"/>
        </w:rPr>
        <w:t>（一）产出完成情况分析</w:t>
      </w:r>
      <w:bookmarkEnd w:id="15"/>
      <w:bookmarkEnd w:id="16"/>
      <w:bookmarkEnd w:id="1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rPr>
      </w:pPr>
      <w:r>
        <w:rPr>
          <w:rFonts w:hint="eastAsia" w:ascii="仿宋_GB2312" w:hAnsi="仿宋_GB2312" w:eastAsia="仿宋_GB2312" w:cs="仿宋_GB2312"/>
          <w:sz w:val="32"/>
          <w:szCs w:val="22"/>
        </w:rPr>
        <w:t>202</w:t>
      </w:r>
      <w:r>
        <w:rPr>
          <w:rFonts w:hint="eastAsia" w:ascii="仿宋_GB2312" w:hAnsi="仿宋_GB2312" w:eastAsia="仿宋_GB2312" w:cs="仿宋_GB2312"/>
          <w:sz w:val="32"/>
          <w:szCs w:val="22"/>
          <w:lang w:val="en-US" w:eastAsia="zh-CN"/>
        </w:rPr>
        <w:t>2</w:t>
      </w:r>
      <w:r>
        <w:rPr>
          <w:rFonts w:hint="eastAsia" w:ascii="仿宋_GB2312" w:hAnsi="仿宋_GB2312" w:eastAsia="仿宋_GB2312" w:cs="仿宋_GB2312"/>
          <w:sz w:val="32"/>
          <w:szCs w:val="22"/>
        </w:rPr>
        <w:t>年，市粮食和储备局贯彻落实中央经济工作会议及国家粮食和物资储备局工作会议精神，全面完成落实习近平总书记重要讲话和指示批示、市委市政府常态化疫情防控和稳定经济增长各项措施、市政府工作报告重点任务、民生实事协办工作、绩效整改事项和重点职责任务32项。圆满完成党的二十大、北京冬奥会、冬残奥会等重要会议和重大活动的粮油供应保障工作，粮油市场量足价稳，粮食和物资储备安全，依法治理水平和管理效能不断提升，切实发挥了粮食行业保障和改善民生的基础性作用。年度整体支出绩效目标实现情况良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22"/>
        </w:rPr>
      </w:pPr>
      <w:r>
        <w:rPr>
          <w:rFonts w:hint="eastAsia" w:ascii="仿宋_GB2312" w:hAnsi="仿宋_GB2312" w:eastAsia="仿宋_GB2312" w:cs="仿宋_GB2312"/>
          <w:b w:val="0"/>
          <w:bCs w:val="0"/>
          <w:sz w:val="32"/>
          <w:szCs w:val="22"/>
        </w:rPr>
        <w:t>1.产出数量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lang w:eastAsia="zh-CN"/>
        </w:rPr>
      </w:pPr>
      <w:r>
        <w:rPr>
          <w:rFonts w:hint="eastAsia" w:ascii="仿宋_GB2312" w:hAnsi="仿宋_GB2312" w:eastAsia="仿宋_GB2312" w:cs="仿宋_GB2312"/>
          <w:sz w:val="32"/>
          <w:szCs w:val="22"/>
          <w:lang w:val="en-US" w:eastAsia="zh-CN"/>
        </w:rPr>
        <w:t>（1）</w:t>
      </w:r>
      <w:r>
        <w:rPr>
          <w:rFonts w:hint="eastAsia" w:ascii="仿宋_GB2312" w:hAnsi="仿宋_GB2312" w:eastAsia="仿宋_GB2312" w:cs="仿宋_GB2312"/>
          <w:sz w:val="32"/>
          <w:szCs w:val="22"/>
          <w:lang w:eastAsia="zh-CN"/>
        </w:rPr>
        <w:t>供应保障</w:t>
      </w:r>
      <w:r>
        <w:rPr>
          <w:rFonts w:hint="eastAsia" w:ascii="仿宋_GB2312" w:hAnsi="仿宋_GB2312" w:eastAsia="仿宋_GB2312" w:cs="仿宋_GB2312"/>
          <w:sz w:val="32"/>
          <w:szCs w:val="22"/>
          <w:lang w:val="en-US" w:eastAsia="zh-CN"/>
        </w:rPr>
        <w:t>扎实有力</w:t>
      </w:r>
      <w:r>
        <w:rPr>
          <w:rFonts w:hint="eastAsia" w:ascii="仿宋_GB2312" w:hAnsi="仿宋_GB2312" w:eastAsia="仿宋_GB2312" w:cs="仿宋_GB2312"/>
          <w:sz w:val="32"/>
          <w:szCs w:val="22"/>
          <w:lang w:eastAsia="zh-CN"/>
        </w:rPr>
        <w:t>。全力做好冬奥会期间物资保障准备，完善应急保障工作预案，签订物资应急调运、应急采购合作框架协议，确保响应及时、调运高效。积极支持兄弟省份及本市基层一线疫情防控工作，调运市级救灾物资6批次31010件。市区两级储备粮油竞价交易会达到36次，成交数量117.54万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rPr>
      </w:pPr>
      <w:r>
        <w:rPr>
          <w:rFonts w:hint="eastAsia" w:ascii="仿宋_GB2312" w:hAnsi="仿宋_GB2312" w:eastAsia="仿宋_GB2312" w:cs="仿宋_GB2312"/>
          <w:sz w:val="32"/>
          <w:szCs w:val="22"/>
          <w:lang w:val="en-US" w:eastAsia="zh-CN"/>
        </w:rPr>
        <w:t>（2）</w:t>
      </w:r>
      <w:r>
        <w:rPr>
          <w:rFonts w:hint="eastAsia" w:ascii="仿宋_GB2312" w:hAnsi="仿宋_GB2312" w:eastAsia="仿宋_GB2312" w:cs="仿宋_GB2312"/>
          <w:sz w:val="32"/>
          <w:szCs w:val="22"/>
        </w:rPr>
        <w:t>基础设施建设平稳推进。总仓容25万吨的“北京大兴国家粮食储备库楼房仓、成品粮物流仓库建设项目”全面竣工投入使用。纳入年度市级重点项目和城南行动计划的大兴面包生产线项目按期推进。制定推进粮食购销领域监管信息化建设实施方案，完成市级粮食管理平台41个数据接口845个字段改造，近90%地方储备粮实现可视化监管。建成3家粮食质检区域分中心，本市“1+3+N”的整体检验检测能力保障体系加快形成。完成房山南梨园粮库改造，推进救灾物资储备分库建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lang w:eastAsia="zh-CN"/>
        </w:rPr>
      </w:pPr>
      <w:r>
        <w:rPr>
          <w:rFonts w:hint="eastAsia" w:ascii="仿宋_GB2312" w:hAnsi="仿宋_GB2312" w:eastAsia="仿宋_GB2312" w:cs="仿宋_GB2312"/>
          <w:sz w:val="32"/>
          <w:szCs w:val="22"/>
          <w:lang w:val="en-US" w:eastAsia="zh-CN"/>
        </w:rPr>
        <w:t>（3）</w:t>
      </w:r>
      <w:r>
        <w:rPr>
          <w:rFonts w:hint="eastAsia" w:ascii="仿宋_GB2312" w:hAnsi="仿宋_GB2312" w:eastAsia="仿宋_GB2312" w:cs="仿宋_GB2312"/>
          <w:sz w:val="32"/>
          <w:szCs w:val="22"/>
          <w:lang w:eastAsia="zh-CN"/>
        </w:rPr>
        <w:t>粮食和物资储备管理水平有效提升。加强粮食供应保障体系建设，推动落实10项重点任务，出台粮食供应风险隐患排查办法等制度，修订本市粮食供给应急预案，编制粮食安全保障实施方案。制定粮食绿色仓储能力提升指导意见，选定3家库点进行绿色储粮标准化试点，市内市储备粮库总仓容303万吨，配备制冷和内环流控温设备的仓容分别达到159万吨和123万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lang w:eastAsia="zh-CN"/>
        </w:rPr>
      </w:pPr>
      <w:r>
        <w:rPr>
          <w:rFonts w:hint="eastAsia" w:ascii="仿宋_GB2312" w:hAnsi="仿宋_GB2312" w:eastAsia="仿宋_GB2312" w:cs="仿宋_GB2312"/>
          <w:sz w:val="32"/>
          <w:szCs w:val="22"/>
          <w:lang w:val="en-US" w:eastAsia="zh-CN"/>
        </w:rPr>
        <w:t>（4）</w:t>
      </w:r>
      <w:r>
        <w:rPr>
          <w:rFonts w:hint="eastAsia" w:ascii="仿宋_GB2312" w:hAnsi="仿宋_GB2312" w:eastAsia="仿宋_GB2312" w:cs="仿宋_GB2312"/>
          <w:sz w:val="32"/>
          <w:szCs w:val="22"/>
        </w:rPr>
        <w:t>监管执法多措并举。大力维护粮食流通市场秩序，开展粮食收购、市储备粮出入库、政策性粮油库存等专项检查，启动定期巡查工作</w:t>
      </w:r>
      <w:r>
        <w:rPr>
          <w:rFonts w:hint="eastAsia" w:ascii="仿宋_GB2312" w:hAnsi="仿宋_GB2312" w:eastAsia="仿宋_GB2312" w:cs="仿宋_GB2312"/>
          <w:sz w:val="32"/>
          <w:szCs w:val="22"/>
          <w:lang w:eastAsia="zh-CN"/>
        </w:rPr>
        <w:t>，</w:t>
      </w:r>
      <w:r>
        <w:rPr>
          <w:rFonts w:hint="eastAsia" w:ascii="仿宋_GB2312" w:hAnsi="仿宋_GB2312" w:eastAsia="仿宋_GB2312" w:cs="仿宋_GB2312"/>
          <w:sz w:val="32"/>
          <w:szCs w:val="22"/>
        </w:rPr>
        <w:t>对36个库点市储备原粮油开展全覆盖式首轮巡查，对40家单位开展安全生产和疫情防控专项巡查。全市开展粮食行政执法检查工作602次，出动检查人员1660人次，检查企业547家次。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rPr>
      </w:pPr>
      <w:r>
        <w:rPr>
          <w:rFonts w:hint="eastAsia" w:ascii="仿宋_GB2312" w:hAnsi="仿宋_GB2312" w:eastAsia="仿宋_GB2312" w:cs="仿宋_GB2312"/>
          <w:sz w:val="32"/>
          <w:szCs w:val="22"/>
        </w:rPr>
        <w:t>2.产出质量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rPr>
      </w:pPr>
      <w:r>
        <w:rPr>
          <w:rFonts w:hint="eastAsia" w:ascii="仿宋_GB2312" w:hAnsi="仿宋_GB2312" w:eastAsia="仿宋_GB2312" w:cs="仿宋_GB2312"/>
          <w:sz w:val="32"/>
          <w:szCs w:val="22"/>
          <w:lang w:eastAsia="zh-CN"/>
        </w:rPr>
        <w:t>（</w:t>
      </w:r>
      <w:r>
        <w:rPr>
          <w:rFonts w:hint="eastAsia" w:ascii="仿宋_GB2312" w:hAnsi="仿宋_GB2312" w:eastAsia="仿宋_GB2312" w:cs="仿宋_GB2312"/>
          <w:sz w:val="32"/>
          <w:szCs w:val="22"/>
          <w:lang w:val="en-US" w:eastAsia="zh-CN"/>
        </w:rPr>
        <w:t>1</w:t>
      </w:r>
      <w:r>
        <w:rPr>
          <w:rFonts w:hint="eastAsia" w:ascii="仿宋_GB2312" w:hAnsi="仿宋_GB2312" w:eastAsia="仿宋_GB2312" w:cs="仿宋_GB2312"/>
          <w:sz w:val="32"/>
          <w:szCs w:val="22"/>
          <w:lang w:eastAsia="zh-CN"/>
        </w:rPr>
        <w:t>）</w:t>
      </w:r>
      <w:r>
        <w:rPr>
          <w:rFonts w:hint="eastAsia" w:ascii="仿宋_GB2312" w:hAnsi="仿宋_GB2312" w:eastAsia="仿宋_GB2312" w:cs="仿宋_GB2312"/>
          <w:sz w:val="32"/>
          <w:szCs w:val="22"/>
        </w:rPr>
        <w:t>“三项考核”稳步推进。全面落实粮食安全责任制“国考”要求，出台本市粮食安全责任制实施方案，进一步明确各区、各部门责任。优化粮食安全责任制“市考”，将粮食安全工作纳入推进乡村振兴考核、全市性督查检查考核，首次将亦庄纳入考核体系，进一步填补考核工作空白。压实市储备粮管理和政策执行情况“企业考核”</w:t>
      </w:r>
      <w:r>
        <w:rPr>
          <w:rFonts w:hint="eastAsia" w:ascii="仿宋_GB2312" w:hAnsi="仿宋_GB2312" w:eastAsia="仿宋_GB2312" w:cs="仿宋_GB2312"/>
          <w:sz w:val="32"/>
          <w:szCs w:val="22"/>
          <w:lang w:eastAsia="zh-CN"/>
        </w:rPr>
        <w:t>，</w:t>
      </w:r>
      <w:r>
        <w:rPr>
          <w:rFonts w:hint="eastAsia" w:ascii="仿宋_GB2312" w:hAnsi="仿宋_GB2312" w:eastAsia="仿宋_GB2312" w:cs="仿宋_GB2312"/>
          <w:sz w:val="32"/>
          <w:szCs w:val="22"/>
        </w:rPr>
        <w:t>认真组织开展年度考核，将考核结果纳入市国资委经营业绩考核，不断提高储备管理和政策执行水平。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lang w:eastAsia="zh-CN"/>
        </w:rPr>
      </w:pPr>
      <w:r>
        <w:rPr>
          <w:rFonts w:hint="eastAsia" w:ascii="仿宋_GB2312" w:hAnsi="仿宋_GB2312" w:eastAsia="仿宋_GB2312" w:cs="仿宋_GB2312"/>
          <w:sz w:val="32"/>
          <w:szCs w:val="22"/>
          <w:lang w:val="en-US" w:eastAsia="zh-CN"/>
        </w:rPr>
        <w:t>（2）强化协同监管，与市市场监管局联合印发本市粮食流通领域协同监管方案。开展安全生产标准化建设，市级储备粮承储库点安全生产标准化（二级）达标率达到85%，中央在京储备企业达标率达到83%。</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rPr>
      </w:pPr>
      <w:r>
        <w:rPr>
          <w:rFonts w:hint="eastAsia" w:ascii="仿宋_GB2312" w:hAnsi="仿宋_GB2312" w:eastAsia="仿宋_GB2312" w:cs="仿宋_GB2312"/>
          <w:sz w:val="32"/>
          <w:szCs w:val="22"/>
          <w:lang w:val="en-US" w:eastAsia="zh-CN"/>
        </w:rPr>
        <w:t>（3）</w:t>
      </w:r>
      <w:r>
        <w:rPr>
          <w:rFonts w:hint="eastAsia" w:ascii="仿宋_GB2312" w:hAnsi="仿宋_GB2312" w:eastAsia="仿宋_GB2312" w:cs="仿宋_GB2312"/>
          <w:sz w:val="32"/>
          <w:szCs w:val="22"/>
        </w:rPr>
        <w:t>为民服务水平不断提高。修订“北京好粮油”产品遴选及管理办法，实现好粮油产品动态监管。发布“北京好粮油”团体标准管理办法。开展好粮油进社区活动，农粮携手，共同提升北京优质农产品供应能力，丰富首都市民“米袋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rPr>
      </w:pPr>
      <w:r>
        <w:rPr>
          <w:rFonts w:hint="eastAsia" w:ascii="仿宋_GB2312" w:hAnsi="仿宋_GB2312" w:eastAsia="仿宋_GB2312" w:cs="仿宋_GB2312"/>
          <w:sz w:val="32"/>
          <w:szCs w:val="22"/>
          <w:lang w:val="en-US" w:eastAsia="zh-CN"/>
        </w:rPr>
        <w:t>（4）粮食和物资储备管理水平有效提升，</w:t>
      </w:r>
      <w:r>
        <w:rPr>
          <w:rFonts w:hint="eastAsia" w:ascii="仿宋_GB2312" w:hAnsi="仿宋_GB2312" w:eastAsia="仿宋_GB2312" w:cs="仿宋_GB2312"/>
          <w:sz w:val="32"/>
          <w:szCs w:val="22"/>
        </w:rPr>
        <w:t>粮食产业高质量发展。制定《成品粮储藏技术规范》《救灾物资储备管理规范》等地方标准，市储备粮油宜存率达到100％。出台本市深入推进优质粮食工程实施方案，打造符合北京市粮食流通发展特点的优质粮食工程升级版，助力首都粮食产业高质量发展。成功举办第四届“服贸会粮食现代供应链发展及投资国际论坛”，搭建企业交流合作、行业资源共享的推广平台，有力推动粮食供应链深度融合、高效协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rPr>
      </w:pPr>
      <w:r>
        <w:rPr>
          <w:rFonts w:hint="eastAsia" w:ascii="仿宋_GB2312" w:hAnsi="仿宋_GB2312" w:eastAsia="仿宋_GB2312" w:cs="仿宋_GB2312"/>
          <w:sz w:val="32"/>
          <w:szCs w:val="22"/>
        </w:rPr>
        <w:t>3.产出进度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rPr>
      </w:pPr>
      <w:r>
        <w:rPr>
          <w:rFonts w:hint="eastAsia" w:ascii="仿宋_GB2312" w:hAnsi="仿宋_GB2312" w:eastAsia="仿宋_GB2312" w:cs="仿宋_GB2312"/>
          <w:sz w:val="32"/>
          <w:szCs w:val="22"/>
        </w:rPr>
        <w:t>市粮食和储备局工作贯穿全年，</w:t>
      </w:r>
      <w:r>
        <w:rPr>
          <w:rFonts w:hint="eastAsia" w:ascii="仿宋_GB2312" w:hAnsi="仿宋_GB2312" w:eastAsia="仿宋_GB2312" w:cs="仿宋_GB2312"/>
          <w:sz w:val="32"/>
          <w:szCs w:val="22"/>
          <w:lang w:eastAsia="zh-CN"/>
        </w:rPr>
        <w:t>稳步推进</w:t>
      </w:r>
      <w:r>
        <w:rPr>
          <w:rFonts w:hint="eastAsia" w:ascii="仿宋_GB2312" w:hAnsi="仿宋_GB2312" w:eastAsia="仿宋_GB2312" w:cs="仿宋_GB2312"/>
          <w:sz w:val="32"/>
          <w:szCs w:val="22"/>
        </w:rPr>
        <w:t>，202</w:t>
      </w:r>
      <w:r>
        <w:rPr>
          <w:rFonts w:hint="eastAsia" w:ascii="仿宋_GB2312" w:hAnsi="仿宋_GB2312" w:eastAsia="仿宋_GB2312" w:cs="仿宋_GB2312"/>
          <w:sz w:val="32"/>
          <w:szCs w:val="22"/>
          <w:lang w:val="en-US" w:eastAsia="zh-CN"/>
        </w:rPr>
        <w:t>2</w:t>
      </w:r>
      <w:r>
        <w:rPr>
          <w:rFonts w:hint="eastAsia" w:ascii="仿宋_GB2312" w:hAnsi="仿宋_GB2312" w:eastAsia="仿宋_GB2312" w:cs="仿宋_GB2312"/>
          <w:sz w:val="32"/>
          <w:szCs w:val="22"/>
        </w:rPr>
        <w:t>年完成了各项工作。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rPr>
      </w:pPr>
      <w:r>
        <w:rPr>
          <w:rFonts w:hint="eastAsia" w:ascii="仿宋_GB2312" w:hAnsi="仿宋_GB2312" w:eastAsia="仿宋_GB2312" w:cs="仿宋_GB2312"/>
          <w:sz w:val="32"/>
          <w:szCs w:val="22"/>
        </w:rPr>
        <w:t>4.产出成本</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lang w:eastAsia="zh-CN"/>
        </w:rPr>
      </w:pPr>
      <w:r>
        <w:rPr>
          <w:rFonts w:hint="eastAsia" w:ascii="仿宋_GB2312" w:hAnsi="仿宋_GB2312" w:eastAsia="仿宋_GB2312" w:cs="仿宋_GB2312"/>
          <w:sz w:val="32"/>
          <w:szCs w:val="22"/>
        </w:rPr>
        <w:t>市粮食和储备局202</w:t>
      </w:r>
      <w:r>
        <w:rPr>
          <w:rFonts w:hint="eastAsia" w:ascii="仿宋_GB2312" w:hAnsi="仿宋_GB2312" w:eastAsia="仿宋_GB2312" w:cs="仿宋_GB2312"/>
          <w:sz w:val="32"/>
          <w:szCs w:val="22"/>
          <w:lang w:val="en-US" w:eastAsia="zh-CN"/>
        </w:rPr>
        <w:t>2</w:t>
      </w:r>
      <w:r>
        <w:rPr>
          <w:rFonts w:hint="eastAsia" w:ascii="仿宋_GB2312" w:hAnsi="仿宋_GB2312" w:eastAsia="仿宋_GB2312" w:cs="仿宋_GB2312"/>
          <w:sz w:val="32"/>
          <w:szCs w:val="22"/>
        </w:rPr>
        <w:t>年全年预算批复数</w:t>
      </w:r>
      <w:r>
        <w:rPr>
          <w:rFonts w:hint="eastAsia" w:ascii="仿宋_GB2312" w:hAnsi="仿宋_GB2312" w:eastAsia="仿宋_GB2312" w:cs="仿宋_GB2312"/>
          <w:sz w:val="32"/>
          <w:szCs w:val="22"/>
          <w:lang w:val="en-US" w:eastAsia="zh-CN"/>
        </w:rPr>
        <w:t>9</w:t>
      </w:r>
      <w:r>
        <w:rPr>
          <w:rFonts w:hint="eastAsia" w:ascii="仿宋_GB2312" w:hAnsi="仿宋_GB2312" w:eastAsia="仿宋_GB2312" w:cs="仿宋_GB2312"/>
          <w:sz w:val="32"/>
          <w:szCs w:val="22"/>
        </w:rPr>
        <w:t>1,</w:t>
      </w:r>
      <w:r>
        <w:rPr>
          <w:rFonts w:hint="eastAsia" w:ascii="仿宋_GB2312" w:hAnsi="仿宋_GB2312" w:eastAsia="仿宋_GB2312" w:cs="仿宋_GB2312"/>
          <w:sz w:val="32"/>
          <w:szCs w:val="22"/>
          <w:lang w:val="en-US" w:eastAsia="zh-CN"/>
        </w:rPr>
        <w:t>051</w:t>
      </w:r>
      <w:r>
        <w:rPr>
          <w:rFonts w:hint="eastAsia" w:ascii="仿宋_GB2312" w:hAnsi="仿宋_GB2312" w:eastAsia="仿宋_GB2312" w:cs="仿宋_GB2312"/>
          <w:sz w:val="32"/>
          <w:szCs w:val="22"/>
        </w:rPr>
        <w:t>.</w:t>
      </w:r>
      <w:r>
        <w:rPr>
          <w:rFonts w:hint="eastAsia" w:ascii="仿宋_GB2312" w:hAnsi="仿宋_GB2312" w:eastAsia="仿宋_GB2312" w:cs="仿宋_GB2312"/>
          <w:sz w:val="32"/>
          <w:szCs w:val="22"/>
          <w:lang w:val="en-US" w:eastAsia="zh-CN"/>
        </w:rPr>
        <w:t>23</w:t>
      </w:r>
      <w:r>
        <w:rPr>
          <w:rFonts w:hint="eastAsia" w:ascii="仿宋_GB2312" w:hAnsi="仿宋_GB2312" w:eastAsia="仿宋_GB2312" w:cs="仿宋_GB2312"/>
          <w:sz w:val="32"/>
          <w:szCs w:val="22"/>
        </w:rPr>
        <w:t>万元，实际预算支出86,404.94万元，其中，基本支出12,722.67万元，项目支出73,682.26万元。预算执行率94.90%</w:t>
      </w:r>
      <w:r>
        <w:rPr>
          <w:rFonts w:hint="eastAsia" w:ascii="仿宋_GB2312" w:hAnsi="仿宋_GB2312" w:eastAsia="仿宋_GB2312" w:cs="仿宋_GB2312"/>
          <w:sz w:val="32"/>
          <w:szCs w:val="22"/>
          <w:lang w:eastAsia="zh-CN"/>
        </w:rPr>
        <w:t>。</w:t>
      </w:r>
      <w:r>
        <w:rPr>
          <w:rFonts w:hint="eastAsia" w:ascii="仿宋_GB2312" w:hAnsi="仿宋_GB2312" w:eastAsia="仿宋_GB2312" w:cs="仿宋_GB2312"/>
          <w:sz w:val="32"/>
          <w:szCs w:val="22"/>
        </w:rPr>
        <w:t>部门整体支出控制在预算批复</w:t>
      </w:r>
      <w:r>
        <w:rPr>
          <w:rFonts w:hint="eastAsia" w:ascii="仿宋_GB2312" w:hAnsi="仿宋_GB2312" w:eastAsia="仿宋_GB2312" w:cs="仿宋_GB2312"/>
          <w:sz w:val="32"/>
          <w:szCs w:val="22"/>
          <w:lang w:val="en-US" w:eastAsia="zh-CN"/>
        </w:rPr>
        <w:t>范围</w:t>
      </w:r>
      <w:r>
        <w:rPr>
          <w:rFonts w:hint="eastAsia" w:ascii="仿宋_GB2312" w:hAnsi="仿宋_GB2312" w:eastAsia="仿宋_GB2312" w:cs="仿宋_GB2312"/>
          <w:sz w:val="32"/>
          <w:szCs w:val="22"/>
        </w:rPr>
        <w:t>内。</w:t>
      </w:r>
    </w:p>
    <w:p>
      <w:pPr>
        <w:spacing w:line="600" w:lineRule="exact"/>
        <w:ind w:firstLine="640" w:firstLineChars="200"/>
        <w:outlineLvl w:val="1"/>
        <w:rPr>
          <w:rFonts w:hint="eastAsia" w:ascii="楷体" w:hAnsi="楷体" w:eastAsia="楷体"/>
          <w:color w:val="auto"/>
          <w:sz w:val="32"/>
          <w:szCs w:val="32"/>
        </w:rPr>
      </w:pPr>
      <w:bookmarkStart w:id="18" w:name="_Toc30789"/>
      <w:bookmarkStart w:id="19" w:name="_Toc30231"/>
      <w:bookmarkStart w:id="20" w:name="_Toc20954"/>
      <w:r>
        <w:rPr>
          <w:rFonts w:hint="eastAsia" w:ascii="楷体" w:hAnsi="楷体" w:eastAsia="楷体"/>
          <w:color w:val="auto"/>
          <w:sz w:val="32"/>
          <w:szCs w:val="32"/>
          <w:lang w:eastAsia="zh-CN"/>
        </w:rPr>
        <w:t>（</w:t>
      </w:r>
      <w:r>
        <w:rPr>
          <w:rFonts w:hint="eastAsia" w:ascii="楷体" w:hAnsi="楷体" w:eastAsia="楷体"/>
          <w:color w:val="auto"/>
          <w:sz w:val="32"/>
          <w:szCs w:val="32"/>
          <w:lang w:val="en-US" w:eastAsia="zh-CN"/>
        </w:rPr>
        <w:t>二</w:t>
      </w:r>
      <w:r>
        <w:rPr>
          <w:rFonts w:hint="eastAsia" w:ascii="楷体" w:hAnsi="楷体" w:eastAsia="楷体"/>
          <w:color w:val="auto"/>
          <w:sz w:val="32"/>
          <w:szCs w:val="32"/>
          <w:lang w:eastAsia="zh-CN"/>
        </w:rPr>
        <w:t>）</w:t>
      </w:r>
      <w:r>
        <w:rPr>
          <w:rFonts w:hint="eastAsia" w:ascii="楷体" w:hAnsi="楷体" w:eastAsia="楷体"/>
          <w:color w:val="auto"/>
          <w:sz w:val="32"/>
          <w:szCs w:val="32"/>
        </w:rPr>
        <w:t>效果实现情况分析</w:t>
      </w:r>
      <w:bookmarkEnd w:id="18"/>
      <w:bookmarkEnd w:id="19"/>
      <w:bookmarkEnd w:id="2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rPr>
      </w:pPr>
      <w:r>
        <w:rPr>
          <w:rFonts w:hint="eastAsia" w:ascii="仿宋_GB2312" w:hAnsi="仿宋_GB2312" w:eastAsia="仿宋_GB2312" w:cs="仿宋_GB2312"/>
          <w:sz w:val="32"/>
          <w:szCs w:val="22"/>
        </w:rPr>
        <w:t>1.经济效益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rPr>
      </w:pPr>
      <w:r>
        <w:rPr>
          <w:rFonts w:hint="eastAsia" w:ascii="仿宋_GB2312" w:hAnsi="仿宋_GB2312" w:eastAsia="仿宋_GB2312" w:cs="仿宋_GB2312"/>
          <w:sz w:val="32"/>
          <w:szCs w:val="22"/>
        </w:rPr>
        <w:t>充分发挥政府储备在平衡供需、稳定预期、引导市场方面的积极作用，市区两级储备粮油竞价交易会达到36次，成交数量117.54万吨，成交金额39.52亿元。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rPr>
      </w:pPr>
      <w:r>
        <w:rPr>
          <w:rFonts w:hint="eastAsia" w:ascii="仿宋_GB2312" w:hAnsi="仿宋_GB2312" w:eastAsia="仿宋_GB2312" w:cs="仿宋_GB2312"/>
          <w:sz w:val="32"/>
          <w:szCs w:val="22"/>
        </w:rPr>
        <w:t>2.社会效益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lang w:val="en-US" w:eastAsia="zh-CN"/>
        </w:rPr>
      </w:pPr>
      <w:r>
        <w:rPr>
          <w:rFonts w:hint="eastAsia" w:ascii="仿宋_GB2312" w:hAnsi="仿宋_GB2312" w:eastAsia="仿宋_GB2312" w:cs="仿宋_GB2312"/>
          <w:sz w:val="32"/>
          <w:szCs w:val="22"/>
          <w:lang w:eastAsia="zh-CN"/>
        </w:rPr>
        <w:t>（</w:t>
      </w:r>
      <w:r>
        <w:rPr>
          <w:rFonts w:hint="eastAsia" w:ascii="仿宋_GB2312" w:hAnsi="仿宋_GB2312" w:eastAsia="仿宋_GB2312" w:cs="仿宋_GB2312"/>
          <w:sz w:val="32"/>
          <w:szCs w:val="22"/>
          <w:lang w:val="en-US" w:eastAsia="zh-CN"/>
        </w:rPr>
        <w:t>1</w:t>
      </w:r>
      <w:r>
        <w:rPr>
          <w:rFonts w:hint="eastAsia" w:ascii="仿宋_GB2312" w:hAnsi="仿宋_GB2312" w:eastAsia="仿宋_GB2312" w:cs="仿宋_GB2312"/>
          <w:sz w:val="32"/>
          <w:szCs w:val="22"/>
          <w:lang w:eastAsia="zh-CN"/>
        </w:rPr>
        <w:t>）</w:t>
      </w:r>
      <w:r>
        <w:rPr>
          <w:rFonts w:hint="eastAsia" w:ascii="仿宋_GB2312" w:hAnsi="仿宋_GB2312" w:eastAsia="仿宋_GB2312" w:cs="仿宋_GB2312"/>
          <w:sz w:val="32"/>
          <w:szCs w:val="22"/>
          <w:lang w:val="en-US" w:eastAsia="zh-CN"/>
        </w:rPr>
        <w:t>粮食应急保障工作成效显著。在因疫情变化引发的采购热潮中，及时监测研判市场形势，督促零售端加大备货量，市政府召开新闻发布会，宣布保供稳价措施，引导市民理性消费，有效化解了短期销量激增态势。提高市内成品粮储备库存比例。全力保障粮油产品运输畅通，审核制发重点物资运输车辆通行证11829张，加强与国铁集团的合作，稳步提高铁路发运数量，缓解公路运输的压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rPr>
      </w:pPr>
      <w:r>
        <w:rPr>
          <w:rFonts w:hint="eastAsia" w:ascii="仿宋_GB2312" w:hAnsi="仿宋_GB2312" w:eastAsia="仿宋_GB2312" w:cs="仿宋_GB2312"/>
          <w:sz w:val="32"/>
          <w:szCs w:val="22"/>
          <w:lang w:val="en-US" w:eastAsia="zh-CN"/>
        </w:rPr>
        <w:t>（2）</w:t>
      </w:r>
      <w:r>
        <w:rPr>
          <w:rFonts w:hint="eastAsia" w:ascii="仿宋_GB2312" w:hAnsi="仿宋_GB2312" w:eastAsia="仿宋_GB2312" w:cs="仿宋_GB2312"/>
          <w:sz w:val="32"/>
          <w:szCs w:val="22"/>
        </w:rPr>
        <w:t>切实做好新增储备管理，延长口罩、消毒液临时储备期限，建立成品油政府储备。推进军供站调整改革，有效解决军供站无</w:t>
      </w:r>
      <w:r>
        <w:rPr>
          <w:rFonts w:hint="eastAsia" w:ascii="仿宋_GB2312" w:hAnsi="仿宋_GB2312" w:eastAsia="仿宋_GB2312" w:cs="仿宋_GB2312"/>
          <w:sz w:val="32"/>
          <w:szCs w:val="22"/>
          <w:lang w:eastAsia="zh-CN"/>
        </w:rPr>
        <w:t>仓储设施</w:t>
      </w:r>
      <w:r>
        <w:rPr>
          <w:rFonts w:hint="eastAsia" w:ascii="仿宋_GB2312" w:hAnsi="仿宋_GB2312" w:eastAsia="仿宋_GB2312" w:cs="仿宋_GB2312"/>
          <w:sz w:val="32"/>
          <w:szCs w:val="22"/>
        </w:rPr>
        <w:t>资产问题，积极推动前运粮供应改革。不断完善补贴政策机制，调整市内成品粮储备费用补贴标准，落实军粮供应费用补贴标准。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rPr>
      </w:pPr>
      <w:r>
        <w:rPr>
          <w:rFonts w:hint="eastAsia" w:ascii="仿宋_GB2312" w:hAnsi="仿宋_GB2312" w:eastAsia="仿宋_GB2312" w:cs="仿宋_GB2312"/>
          <w:sz w:val="32"/>
          <w:szCs w:val="22"/>
          <w:lang w:val="en-US" w:eastAsia="zh-CN"/>
        </w:rPr>
        <w:t>（3）</w:t>
      </w:r>
      <w:r>
        <w:rPr>
          <w:rFonts w:hint="eastAsia" w:ascii="仿宋_GB2312" w:hAnsi="仿宋_GB2312" w:eastAsia="仿宋_GB2312" w:cs="仿宋_GB2312"/>
          <w:sz w:val="32"/>
          <w:szCs w:val="22"/>
        </w:rPr>
        <w:t>围绕“四个服务”职责，坚持重点工作和日常工作齐推进，保障党的二十大、冬奥会、冬残奥会等重要会议、重大活动期间粮油市场的正常供应和平稳运行。充分发挥政府储备在平衡供需、稳定预期、引导市场方面的积极作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rPr>
      </w:pPr>
      <w:r>
        <w:rPr>
          <w:rFonts w:hint="eastAsia" w:ascii="仿宋_GB2312" w:hAnsi="仿宋_GB2312" w:eastAsia="仿宋_GB2312" w:cs="仿宋_GB2312"/>
          <w:sz w:val="32"/>
          <w:szCs w:val="22"/>
        </w:rPr>
        <w:t>3.可持续性影响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highlight w:val="none"/>
          <w:lang w:eastAsia="zh-CN"/>
        </w:rPr>
      </w:pPr>
      <w:r>
        <w:rPr>
          <w:rFonts w:hint="eastAsia" w:ascii="仿宋_GB2312" w:hAnsi="仿宋_GB2312" w:eastAsia="仿宋_GB2312" w:cs="仿宋_GB2312"/>
          <w:sz w:val="32"/>
          <w:szCs w:val="22"/>
        </w:rPr>
        <w:t>（</w:t>
      </w:r>
      <w:r>
        <w:rPr>
          <w:rFonts w:hint="eastAsia" w:ascii="仿宋_GB2312" w:hAnsi="仿宋_GB2312" w:eastAsia="仿宋_GB2312" w:cs="仿宋_GB2312"/>
          <w:sz w:val="32"/>
          <w:szCs w:val="22"/>
          <w:highlight w:val="none"/>
        </w:rPr>
        <w:t>1）</w:t>
      </w:r>
      <w:r>
        <w:rPr>
          <w:rFonts w:hint="eastAsia" w:ascii="仿宋_GB2312" w:hAnsi="仿宋_GB2312" w:eastAsia="仿宋_GB2312" w:cs="仿宋_GB2312"/>
          <w:color w:val="000000"/>
          <w:kern w:val="0"/>
          <w:sz w:val="32"/>
          <w:szCs w:val="32"/>
          <w:highlight w:val="none"/>
        </w:rPr>
        <w:t>全面、及时掌握国内外主要粮油品种市场行情，为开展本市粮食调控提供决策参考和数据支持</w:t>
      </w:r>
      <w:r>
        <w:rPr>
          <w:rFonts w:hint="eastAsia" w:ascii="仿宋_GB2312" w:hAnsi="仿宋_GB2312" w:eastAsia="仿宋_GB2312" w:cs="仿宋_GB2312"/>
          <w:color w:val="000000"/>
          <w:kern w:val="0"/>
          <w:sz w:val="32"/>
          <w:szCs w:val="32"/>
          <w:highlight w:val="none"/>
          <w:lang w:eastAsia="zh-CN"/>
        </w:rPr>
        <w:t>，</w:t>
      </w:r>
      <w:r>
        <w:rPr>
          <w:rFonts w:hint="eastAsia" w:ascii="仿宋_GB2312" w:hAnsi="仿宋_GB2312" w:eastAsia="仿宋_GB2312" w:cs="仿宋_GB2312"/>
          <w:sz w:val="32"/>
          <w:szCs w:val="22"/>
          <w:highlight w:val="none"/>
          <w:lang w:eastAsia="zh-CN"/>
        </w:rPr>
        <w:t>有效发挥政府对市场调控的长效机制。发挥</w:t>
      </w:r>
      <w:r>
        <w:rPr>
          <w:rFonts w:hint="eastAsia" w:ascii="仿宋_GB2312" w:hAnsi="仿宋_GB2312" w:eastAsia="仿宋_GB2312" w:cs="仿宋_GB2312"/>
          <w:color w:val="000000"/>
          <w:kern w:val="0"/>
          <w:sz w:val="32"/>
          <w:szCs w:val="32"/>
          <w:highlight w:val="none"/>
        </w:rPr>
        <w:t>新时代储备的战略定位和功能作用</w:t>
      </w:r>
      <w:r>
        <w:rPr>
          <w:rFonts w:hint="eastAsia" w:ascii="仿宋_GB2312" w:hAnsi="仿宋_GB2312" w:eastAsia="仿宋_GB2312" w:cs="仿宋_GB2312"/>
          <w:color w:val="000000"/>
          <w:kern w:val="0"/>
          <w:sz w:val="32"/>
          <w:szCs w:val="32"/>
          <w:highlight w:val="none"/>
          <w:lang w:eastAsia="zh-CN"/>
        </w:rPr>
        <w:t>，落实</w:t>
      </w:r>
      <w:r>
        <w:rPr>
          <w:rFonts w:hint="eastAsia" w:ascii="仿宋_GB2312" w:hAnsi="仿宋_GB2312" w:eastAsia="仿宋_GB2312" w:cs="仿宋_GB2312"/>
          <w:color w:val="000000"/>
          <w:kern w:val="0"/>
          <w:sz w:val="32"/>
          <w:szCs w:val="32"/>
          <w:highlight w:val="none"/>
        </w:rPr>
        <w:t>“更好统筹疫情防控和经济社会发展”的要求，多措并举、做细做实，</w:t>
      </w:r>
      <w:r>
        <w:rPr>
          <w:rFonts w:hint="eastAsia" w:ascii="仿宋_GB2312" w:hAnsi="仿宋_GB2312" w:eastAsia="仿宋_GB2312" w:cs="仿宋_GB2312"/>
          <w:color w:val="000000"/>
          <w:kern w:val="0"/>
          <w:sz w:val="32"/>
          <w:szCs w:val="32"/>
          <w:highlight w:val="none"/>
          <w:lang w:eastAsia="zh-CN"/>
        </w:rPr>
        <w:t>充分掌握</w:t>
      </w:r>
      <w:r>
        <w:rPr>
          <w:rFonts w:hint="eastAsia" w:ascii="仿宋_GB2312" w:hAnsi="仿宋_GB2312" w:eastAsia="仿宋_GB2312" w:cs="仿宋_GB2312"/>
          <w:color w:val="000000"/>
          <w:kern w:val="0"/>
          <w:sz w:val="32"/>
          <w:szCs w:val="32"/>
          <w:highlight w:val="none"/>
        </w:rPr>
        <w:t>国内外主要粮油品种市场行情，市、区储备协同运作、同向发力，把握储备粮轮换购销节奏和力度，有效调节市场供求和价格</w:t>
      </w:r>
      <w:r>
        <w:rPr>
          <w:rFonts w:hint="eastAsia" w:ascii="仿宋_GB2312" w:hAnsi="仿宋_GB2312" w:eastAsia="仿宋_GB2312" w:cs="仿宋_GB2312"/>
          <w:color w:val="000000"/>
          <w:kern w:val="0"/>
          <w:sz w:val="32"/>
          <w:szCs w:val="32"/>
          <w:highlight w:val="none"/>
          <w:lang w:eastAsia="zh-CN"/>
        </w:rPr>
        <w:t>，</w:t>
      </w:r>
      <w:r>
        <w:rPr>
          <w:rFonts w:hint="eastAsia" w:ascii="仿宋_GB2312" w:hAnsi="仿宋_GB2312" w:eastAsia="仿宋_GB2312" w:cs="仿宋_GB2312"/>
          <w:color w:val="000000"/>
          <w:kern w:val="0"/>
          <w:sz w:val="32"/>
          <w:szCs w:val="32"/>
          <w:highlight w:val="none"/>
        </w:rPr>
        <w:t>防范</w:t>
      </w:r>
      <w:r>
        <w:rPr>
          <w:rFonts w:hint="eastAsia" w:ascii="仿宋_GB2312" w:hAnsi="仿宋_GB2312" w:eastAsia="仿宋_GB2312" w:cs="仿宋_GB2312"/>
          <w:color w:val="000000"/>
          <w:kern w:val="0"/>
          <w:sz w:val="32"/>
          <w:szCs w:val="32"/>
          <w:highlight w:val="none"/>
          <w:lang w:eastAsia="zh-CN"/>
        </w:rPr>
        <w:t>化解</w:t>
      </w:r>
      <w:r>
        <w:rPr>
          <w:rFonts w:hint="eastAsia" w:ascii="仿宋_GB2312" w:hAnsi="仿宋_GB2312" w:eastAsia="仿宋_GB2312" w:cs="仿宋_GB2312"/>
          <w:color w:val="000000"/>
          <w:kern w:val="0"/>
          <w:sz w:val="32"/>
          <w:szCs w:val="32"/>
          <w:highlight w:val="none"/>
        </w:rPr>
        <w:t>各种风险挑战，切实做好保供稳市工作，为</w:t>
      </w:r>
      <w:bookmarkStart w:id="21" w:name="_Hlk122703799"/>
      <w:r>
        <w:rPr>
          <w:rFonts w:hint="eastAsia" w:ascii="仿宋_GB2312" w:hAnsi="仿宋_GB2312" w:eastAsia="仿宋_GB2312" w:cs="仿宋_GB2312"/>
          <w:color w:val="000000"/>
          <w:kern w:val="0"/>
          <w:sz w:val="32"/>
          <w:szCs w:val="32"/>
          <w:highlight w:val="none"/>
        </w:rPr>
        <w:t>维护首都安全稳定</w:t>
      </w:r>
      <w:bookmarkEnd w:id="21"/>
      <w:r>
        <w:rPr>
          <w:rFonts w:hint="eastAsia" w:ascii="仿宋_GB2312" w:hAnsi="仿宋_GB2312" w:eastAsia="仿宋_GB2312" w:cs="仿宋_GB2312"/>
          <w:color w:val="000000"/>
          <w:kern w:val="0"/>
          <w:sz w:val="32"/>
          <w:szCs w:val="32"/>
          <w:highlight w:val="none"/>
          <w:lang w:eastAsia="zh-CN"/>
        </w:rPr>
        <w:t>、</w:t>
      </w:r>
      <w:r>
        <w:rPr>
          <w:rFonts w:hint="eastAsia" w:ascii="仿宋_GB2312" w:hAnsi="仿宋_GB2312" w:eastAsia="仿宋_GB2312" w:cs="仿宋_GB2312"/>
          <w:color w:val="000000"/>
          <w:kern w:val="0"/>
          <w:sz w:val="32"/>
          <w:szCs w:val="32"/>
          <w:highlight w:val="none"/>
        </w:rPr>
        <w:t>保障民生需求提供坚强有力的储备安全保障。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rPr>
      </w:pPr>
      <w:r>
        <w:rPr>
          <w:rFonts w:hint="eastAsia" w:ascii="仿宋_GB2312" w:hAnsi="仿宋_GB2312" w:eastAsia="仿宋_GB2312" w:cs="仿宋_GB2312"/>
          <w:sz w:val="32"/>
          <w:szCs w:val="22"/>
          <w:highlight w:val="none"/>
          <w:lang w:eastAsia="zh-CN"/>
        </w:rPr>
        <w:t>（</w:t>
      </w:r>
      <w:r>
        <w:rPr>
          <w:rFonts w:hint="eastAsia" w:ascii="仿宋_GB2312" w:hAnsi="仿宋_GB2312" w:eastAsia="仿宋_GB2312" w:cs="仿宋_GB2312"/>
          <w:sz w:val="32"/>
          <w:szCs w:val="22"/>
          <w:highlight w:val="none"/>
          <w:lang w:val="en-US" w:eastAsia="zh-CN"/>
        </w:rPr>
        <w:t>2</w:t>
      </w:r>
      <w:r>
        <w:rPr>
          <w:rFonts w:hint="eastAsia" w:ascii="仿宋_GB2312" w:hAnsi="仿宋_GB2312" w:eastAsia="仿宋_GB2312" w:cs="仿宋_GB2312"/>
          <w:sz w:val="32"/>
          <w:szCs w:val="22"/>
          <w:highlight w:val="none"/>
          <w:lang w:eastAsia="zh-CN"/>
        </w:rPr>
        <w:t>）</w:t>
      </w:r>
      <w:r>
        <w:rPr>
          <w:rFonts w:hint="eastAsia" w:ascii="仿宋_GB2312" w:hAnsi="仿宋_GB2312" w:eastAsia="仿宋_GB2312" w:cs="仿宋_GB2312"/>
          <w:sz w:val="32"/>
          <w:szCs w:val="22"/>
          <w:highlight w:val="none"/>
        </w:rPr>
        <w:t>持续开展“粮食储备安全管理改革</w:t>
      </w:r>
      <w:r>
        <w:rPr>
          <w:rFonts w:hint="eastAsia" w:ascii="仿宋_GB2312" w:hAnsi="仿宋_GB2312" w:eastAsia="仿宋_GB2312" w:cs="仿宋_GB2312"/>
          <w:sz w:val="32"/>
          <w:szCs w:val="22"/>
        </w:rPr>
        <w:t>”，不断完善管理机制，在市储备粮竞价交易、监督管理等方面形成一系列制度，并顺利完成改革专项督察工作。加快推进“战略和应急物资储备安全管理改革”，经市政府常务会和市委深改委会议审议，本市改革实施方案已正式印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rPr>
      </w:pPr>
      <w:r>
        <w:rPr>
          <w:rFonts w:hint="eastAsia" w:ascii="仿宋_GB2312" w:hAnsi="仿宋_GB2312" w:eastAsia="仿宋_GB2312" w:cs="仿宋_GB2312"/>
          <w:sz w:val="32"/>
          <w:szCs w:val="22"/>
        </w:rPr>
        <w:t>4.服务对象满意度</w:t>
      </w:r>
    </w:p>
    <w:p>
      <w:pPr>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黑体" w:eastAsia="仿宋_GB2312" w:cs="Times New Roman"/>
          <w:sz w:val="32"/>
          <w:szCs w:val="32"/>
          <w:highlight w:val="none"/>
        </w:rPr>
      </w:pPr>
      <w:r>
        <w:rPr>
          <w:rFonts w:hint="eastAsia" w:ascii="仿宋_GB2312" w:hAnsi="仿宋_GB2312" w:eastAsia="仿宋_GB2312" w:cs="仿宋_GB2312"/>
          <w:sz w:val="32"/>
          <w:szCs w:val="22"/>
        </w:rPr>
        <w:t>在202</w:t>
      </w:r>
      <w:r>
        <w:rPr>
          <w:rFonts w:hint="eastAsia" w:ascii="仿宋_GB2312" w:hAnsi="仿宋_GB2312" w:eastAsia="仿宋_GB2312" w:cs="仿宋_GB2312"/>
          <w:sz w:val="32"/>
          <w:szCs w:val="22"/>
          <w:lang w:val="en-US" w:eastAsia="zh-CN"/>
        </w:rPr>
        <w:t>2</w:t>
      </w:r>
      <w:r>
        <w:rPr>
          <w:rFonts w:hint="eastAsia" w:ascii="仿宋_GB2312" w:hAnsi="仿宋_GB2312" w:eastAsia="仿宋_GB2312" w:cs="仿宋_GB2312"/>
          <w:sz w:val="32"/>
          <w:szCs w:val="22"/>
        </w:rPr>
        <w:t>年政府绩效考</w:t>
      </w:r>
      <w:r>
        <w:rPr>
          <w:rFonts w:hint="eastAsia" w:ascii="仿宋_GB2312" w:hAnsi="仿宋_GB2312" w:eastAsia="仿宋_GB2312" w:cs="仿宋_GB2312"/>
          <w:sz w:val="32"/>
          <w:szCs w:val="22"/>
          <w:lang w:val="en-US" w:eastAsia="zh-CN"/>
        </w:rPr>
        <w:t>评</w:t>
      </w:r>
      <w:r>
        <w:rPr>
          <w:rFonts w:hint="eastAsia" w:ascii="仿宋_GB2312" w:hAnsi="仿宋_GB2312" w:eastAsia="仿宋_GB2312" w:cs="仿宋_GB2312"/>
          <w:sz w:val="32"/>
          <w:szCs w:val="22"/>
        </w:rPr>
        <w:t>中，经过综合日常履职考核与综合评价情况，</w:t>
      </w:r>
      <w:r>
        <w:rPr>
          <w:rFonts w:hint="eastAsia" w:ascii="仿宋_GB2312" w:hAnsi="仿宋_GB2312" w:eastAsia="仿宋_GB2312" w:cs="仿宋_GB2312"/>
          <w:sz w:val="32"/>
          <w:szCs w:val="22"/>
          <w:highlight w:val="none"/>
        </w:rPr>
        <w:t>市粮食和储备局年度绩效考评得分为96.14分</w:t>
      </w:r>
      <w:r>
        <w:rPr>
          <w:rFonts w:hint="eastAsia" w:ascii="仿宋_GB2312" w:hAnsi="仿宋_GB2312" w:eastAsia="仿宋_GB2312" w:cs="仿宋_GB2312"/>
          <w:sz w:val="32"/>
          <w:szCs w:val="22"/>
          <w:highlight w:val="none"/>
          <w:lang w:eastAsia="zh-CN"/>
        </w:rPr>
        <w:t>，考评等次为“优秀”</w:t>
      </w:r>
      <w:r>
        <w:rPr>
          <w:rFonts w:hint="eastAsia" w:ascii="仿宋_GB2312" w:hAnsi="仿宋_GB2312" w:eastAsia="仿宋_GB2312" w:cs="仿宋_GB2312"/>
          <w:sz w:val="32"/>
          <w:szCs w:val="22"/>
          <w:highlight w:val="none"/>
        </w:rPr>
        <w:t>。</w:t>
      </w:r>
      <w:r>
        <w:rPr>
          <w:rFonts w:hint="eastAsia" w:ascii="仿宋_GB2312" w:hAnsi="仿宋_GB2312" w:eastAsia="仿宋_GB2312" w:cs="仿宋_GB2312"/>
          <w:sz w:val="32"/>
          <w:szCs w:val="28"/>
          <w:highlight w:val="none"/>
          <w:lang w:val="en-US" w:eastAsia="zh-CN"/>
        </w:rPr>
        <w:t>2022年</w:t>
      </w:r>
      <w:r>
        <w:rPr>
          <w:rFonts w:hint="eastAsia" w:ascii="仿宋_GB2312" w:hAnsi="Calibri" w:eastAsia="仿宋_GB2312" w:cs="Times New Roman"/>
          <w:sz w:val="32"/>
          <w:szCs w:val="32"/>
          <w:highlight w:val="none"/>
          <w:lang w:val="en-US" w:eastAsia="zh-CN"/>
        </w:rPr>
        <w:t>北京</w:t>
      </w:r>
      <w:r>
        <w:rPr>
          <w:rFonts w:hint="eastAsia" w:ascii="仿宋_GB2312" w:hAnsi="Calibri" w:eastAsia="仿宋_GB2312" w:cs="Times New Roman"/>
          <w:sz w:val="32"/>
          <w:szCs w:val="32"/>
          <w:highlight w:val="none"/>
        </w:rPr>
        <w:t>市级行政机关综合满意度</w:t>
      </w:r>
      <w:r>
        <w:rPr>
          <w:rFonts w:hint="eastAsia" w:ascii="仿宋_GB2312" w:hAnsi="Calibri" w:eastAsia="仿宋_GB2312" w:cs="Times New Roman"/>
          <w:sz w:val="32"/>
          <w:szCs w:val="32"/>
          <w:highlight w:val="none"/>
          <w:lang w:eastAsia="zh-CN"/>
        </w:rPr>
        <w:t>调查中</w:t>
      </w:r>
      <w:r>
        <w:rPr>
          <w:rFonts w:hint="eastAsia" w:ascii="仿宋_GB2312" w:hAnsi="Calibri" w:eastAsia="仿宋_GB2312" w:cs="Times New Roman"/>
          <w:sz w:val="32"/>
          <w:szCs w:val="32"/>
          <w:highlight w:val="none"/>
        </w:rPr>
        <w:t>，</w:t>
      </w:r>
      <w:r>
        <w:rPr>
          <w:rFonts w:hint="eastAsia" w:ascii="仿宋_GB2312" w:hAnsi="Calibri" w:eastAsia="仿宋_GB2312" w:cs="Times New Roman"/>
          <w:sz w:val="32"/>
          <w:szCs w:val="32"/>
          <w:highlight w:val="none"/>
          <w:lang w:val="en-US" w:eastAsia="zh-CN"/>
        </w:rPr>
        <w:t>市粮食和储备局</w:t>
      </w:r>
      <w:r>
        <w:rPr>
          <w:rFonts w:hint="eastAsia" w:ascii="仿宋_GB2312" w:hAnsi="黑体" w:eastAsia="仿宋_GB2312" w:cs="Times New Roman"/>
          <w:sz w:val="32"/>
          <w:szCs w:val="32"/>
          <w:highlight w:val="none"/>
        </w:rPr>
        <w:t>的综合满意度为</w:t>
      </w:r>
      <w:r>
        <w:rPr>
          <w:rFonts w:hint="eastAsia" w:ascii="仿宋_GB2312" w:hAnsi="黑体" w:eastAsia="仿宋_GB2312" w:cs="Times New Roman"/>
          <w:sz w:val="32"/>
          <w:szCs w:val="32"/>
          <w:highlight w:val="none"/>
          <w:lang w:val="en-US" w:eastAsia="zh-CN"/>
        </w:rPr>
        <w:t>93.58</w:t>
      </w:r>
      <w:r>
        <w:rPr>
          <w:rFonts w:hint="eastAsia" w:ascii="仿宋_GB2312" w:hAnsi="黑体" w:eastAsia="仿宋_GB2312" w:cs="Times New Roman"/>
          <w:sz w:val="32"/>
          <w:szCs w:val="32"/>
          <w:highlight w:val="none"/>
        </w:rPr>
        <w:t>分。</w:t>
      </w:r>
    </w:p>
    <w:p>
      <w:pPr>
        <w:spacing w:line="600" w:lineRule="exact"/>
        <w:ind w:firstLine="640" w:firstLineChars="200"/>
        <w:outlineLvl w:val="0"/>
        <w:rPr>
          <w:rFonts w:ascii="黑体" w:hAnsi="黑体" w:eastAsia="黑体" w:cs="宋体"/>
          <w:color w:val="auto"/>
          <w:kern w:val="0"/>
          <w:sz w:val="32"/>
          <w:szCs w:val="32"/>
        </w:rPr>
      </w:pPr>
      <w:bookmarkStart w:id="22" w:name="_Toc647"/>
      <w:bookmarkStart w:id="23" w:name="_Toc21538"/>
      <w:bookmarkStart w:id="24" w:name="_Toc31978"/>
      <w:r>
        <w:rPr>
          <w:rFonts w:hint="eastAsia" w:ascii="黑体" w:hAnsi="黑体" w:eastAsia="黑体" w:cs="宋体"/>
          <w:color w:val="auto"/>
          <w:kern w:val="0"/>
          <w:sz w:val="32"/>
          <w:szCs w:val="32"/>
        </w:rPr>
        <w:t>四</w:t>
      </w:r>
      <w:r>
        <w:rPr>
          <w:rFonts w:ascii="黑体" w:hAnsi="黑体" w:eastAsia="黑体" w:cs="宋体"/>
          <w:color w:val="auto"/>
          <w:kern w:val="0"/>
          <w:sz w:val="32"/>
          <w:szCs w:val="32"/>
        </w:rPr>
        <w:t>、预算管理</w:t>
      </w:r>
      <w:r>
        <w:rPr>
          <w:rFonts w:hint="eastAsia" w:ascii="黑体" w:hAnsi="黑体" w:eastAsia="黑体" w:cs="宋体"/>
          <w:color w:val="auto"/>
          <w:kern w:val="0"/>
          <w:sz w:val="32"/>
          <w:szCs w:val="32"/>
        </w:rPr>
        <w:t>情况分</w:t>
      </w:r>
      <w:r>
        <w:rPr>
          <w:rFonts w:ascii="黑体" w:hAnsi="黑体" w:eastAsia="黑体" w:cs="宋体"/>
          <w:color w:val="auto"/>
          <w:kern w:val="0"/>
          <w:sz w:val="32"/>
          <w:szCs w:val="32"/>
        </w:rPr>
        <w:t>析</w:t>
      </w:r>
      <w:bookmarkEnd w:id="22"/>
      <w:bookmarkEnd w:id="23"/>
      <w:bookmarkEnd w:id="24"/>
    </w:p>
    <w:p>
      <w:pPr>
        <w:spacing w:line="600" w:lineRule="exact"/>
        <w:ind w:firstLine="640" w:firstLineChars="200"/>
        <w:outlineLvl w:val="1"/>
        <w:rPr>
          <w:rFonts w:ascii="楷体" w:hAnsi="楷体" w:eastAsia="楷体"/>
          <w:color w:val="auto"/>
          <w:sz w:val="32"/>
          <w:szCs w:val="32"/>
        </w:rPr>
      </w:pPr>
      <w:bookmarkStart w:id="25" w:name="_Toc2146"/>
      <w:bookmarkStart w:id="26" w:name="_Toc15304"/>
      <w:bookmarkStart w:id="27" w:name="_Toc26441"/>
      <w:r>
        <w:rPr>
          <w:rFonts w:hint="eastAsia" w:ascii="楷体" w:hAnsi="楷体" w:eastAsia="楷体"/>
          <w:color w:val="auto"/>
          <w:sz w:val="32"/>
          <w:szCs w:val="32"/>
        </w:rPr>
        <w:t>（一）财务管理</w:t>
      </w:r>
      <w:bookmarkEnd w:id="25"/>
      <w:bookmarkEnd w:id="26"/>
      <w:bookmarkEnd w:id="2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rPr>
      </w:pPr>
      <w:r>
        <w:rPr>
          <w:rFonts w:hint="eastAsia" w:ascii="仿宋_GB2312" w:hAnsi="仿宋_GB2312" w:eastAsia="仿宋_GB2312" w:cs="仿宋_GB2312"/>
          <w:sz w:val="32"/>
          <w:szCs w:val="22"/>
        </w:rPr>
        <w:t>1.财务管理制度健全性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rPr>
      </w:pPr>
      <w:r>
        <w:rPr>
          <w:rFonts w:hint="eastAsia" w:ascii="仿宋_GB2312" w:hAnsi="仿宋_GB2312" w:eastAsia="仿宋_GB2312" w:cs="仿宋_GB2312"/>
          <w:sz w:val="32"/>
          <w:szCs w:val="22"/>
        </w:rPr>
        <w:t>市粮食和储备局</w:t>
      </w:r>
      <w:r>
        <w:rPr>
          <w:rFonts w:hint="eastAsia" w:ascii="仿宋_GB2312" w:hAnsi="仿宋_GB2312" w:eastAsia="仿宋_GB2312" w:cs="仿宋_GB2312"/>
          <w:sz w:val="32"/>
          <w:szCs w:val="22"/>
          <w:lang w:eastAsia="zh-CN"/>
        </w:rPr>
        <w:t>加强内部控制管理，制定、完善了财务、采购等系列制度</w:t>
      </w:r>
      <w:r>
        <w:rPr>
          <w:rFonts w:hint="eastAsia" w:ascii="仿宋_GB2312" w:hAnsi="仿宋_GB2312" w:eastAsia="仿宋_GB2312" w:cs="仿宋_GB2312"/>
          <w:sz w:val="32"/>
          <w:szCs w:val="22"/>
          <w:lang w:val="en-US" w:eastAsia="zh-CN"/>
        </w:rPr>
        <w:t>，</w:t>
      </w:r>
      <w:r>
        <w:rPr>
          <w:rFonts w:hint="eastAsia" w:ascii="仿宋_GB2312" w:hAnsi="仿宋_GB2312" w:eastAsia="仿宋_GB2312" w:cs="仿宋_GB2312"/>
          <w:sz w:val="32"/>
          <w:szCs w:val="22"/>
        </w:rPr>
        <w:t>对预算业务、收支业务、政府采购业务、固定资产管理业务、合同业务等均进行了规定，部门财务管理制度较健全。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rPr>
      </w:pPr>
      <w:r>
        <w:rPr>
          <w:rFonts w:hint="eastAsia" w:ascii="仿宋_GB2312" w:hAnsi="仿宋_GB2312" w:eastAsia="仿宋_GB2312" w:cs="仿宋_GB2312"/>
          <w:sz w:val="32"/>
          <w:szCs w:val="22"/>
        </w:rPr>
        <w:t>2.资金使用合规性和安全性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22"/>
          <w:lang w:val="en-US" w:eastAsia="zh-CN"/>
        </w:rPr>
      </w:pPr>
      <w:r>
        <w:rPr>
          <w:rFonts w:hint="eastAsia" w:ascii="仿宋_GB2312" w:hAnsi="仿宋_GB2312" w:eastAsia="仿宋_GB2312" w:cs="仿宋_GB2312"/>
          <w:sz w:val="32"/>
          <w:szCs w:val="22"/>
        </w:rPr>
        <w:t>202</w:t>
      </w:r>
      <w:r>
        <w:rPr>
          <w:rFonts w:hint="eastAsia" w:ascii="仿宋_GB2312" w:hAnsi="仿宋_GB2312" w:eastAsia="仿宋_GB2312" w:cs="仿宋_GB2312"/>
          <w:sz w:val="32"/>
          <w:szCs w:val="22"/>
          <w:lang w:val="en-US" w:eastAsia="zh-CN"/>
        </w:rPr>
        <w:t>2</w:t>
      </w:r>
      <w:r>
        <w:rPr>
          <w:rFonts w:hint="eastAsia" w:ascii="仿宋_GB2312" w:hAnsi="仿宋_GB2312" w:eastAsia="仿宋_GB2312" w:cs="仿宋_GB2312"/>
          <w:sz w:val="32"/>
          <w:szCs w:val="22"/>
        </w:rPr>
        <w:t>年，市粮食和储备局严格执行政府会计准则制度</w:t>
      </w:r>
      <w:r>
        <w:rPr>
          <w:rFonts w:hint="eastAsia" w:ascii="仿宋_GB2312" w:hAnsi="仿宋_GB2312" w:eastAsia="仿宋_GB2312" w:cs="仿宋_GB2312"/>
          <w:sz w:val="32"/>
          <w:szCs w:val="22"/>
          <w:lang w:eastAsia="zh-CN"/>
        </w:rPr>
        <w:t>，</w:t>
      </w:r>
      <w:r>
        <w:rPr>
          <w:rFonts w:hint="eastAsia" w:ascii="仿宋_GB2312" w:hAnsi="仿宋_GB2312" w:eastAsia="仿宋_GB2312" w:cs="仿宋_GB2312"/>
          <w:sz w:val="32"/>
          <w:szCs w:val="22"/>
          <w:lang w:val="en-US" w:eastAsia="zh-CN"/>
        </w:rPr>
        <w:t>按照</w:t>
      </w:r>
      <w:r>
        <w:rPr>
          <w:rFonts w:hint="eastAsia" w:ascii="仿宋_GB2312" w:hAnsi="仿宋_GB2312" w:eastAsia="仿宋_GB2312" w:cs="仿宋_GB2312"/>
          <w:sz w:val="32"/>
          <w:szCs w:val="22"/>
        </w:rPr>
        <w:t>市级财政政策和部门预算管理相关工作要求，建立健全部门</w:t>
      </w:r>
      <w:r>
        <w:rPr>
          <w:rFonts w:hint="eastAsia" w:ascii="仿宋_GB2312" w:hAnsi="仿宋_GB2312" w:eastAsia="仿宋_GB2312" w:cs="仿宋_GB2312"/>
          <w:sz w:val="32"/>
          <w:szCs w:val="22"/>
          <w:lang w:val="en-US" w:eastAsia="zh-CN"/>
        </w:rPr>
        <w:t>财务管理</w:t>
      </w:r>
      <w:r>
        <w:rPr>
          <w:rFonts w:hint="eastAsia" w:ascii="仿宋_GB2312" w:hAnsi="仿宋_GB2312" w:eastAsia="仿宋_GB2312" w:cs="仿宋_GB2312"/>
          <w:sz w:val="32"/>
          <w:szCs w:val="22"/>
        </w:rPr>
        <w:t>制度，强化部门财务管理，夯实会计核算，严格预算执行</w:t>
      </w:r>
      <w:r>
        <w:rPr>
          <w:rFonts w:hint="eastAsia" w:ascii="仿宋_GB2312" w:hAnsi="仿宋_GB2312" w:eastAsia="仿宋_GB2312" w:cs="仿宋_GB2312"/>
          <w:sz w:val="32"/>
          <w:szCs w:val="22"/>
          <w:lang w:val="en-US" w:eastAsia="zh-CN"/>
        </w:rPr>
        <w:t>和</w:t>
      </w:r>
      <w:r>
        <w:rPr>
          <w:rFonts w:hint="eastAsia" w:ascii="仿宋_GB2312" w:hAnsi="仿宋_GB2312" w:eastAsia="仿宋_GB2312" w:cs="仿宋_GB2312"/>
          <w:sz w:val="32"/>
          <w:szCs w:val="22"/>
        </w:rPr>
        <w:t>资金使用。一是开展预算编报培训，组织做好部门预算编报工作</w:t>
      </w:r>
      <w:r>
        <w:rPr>
          <w:rFonts w:hint="eastAsia" w:ascii="仿宋_GB2312" w:hAnsi="仿宋_GB2312" w:eastAsia="仿宋_GB2312" w:cs="仿宋_GB2312"/>
          <w:sz w:val="32"/>
          <w:szCs w:val="22"/>
          <w:lang w:eastAsia="zh-CN"/>
        </w:rPr>
        <w:t>，及时</w:t>
      </w:r>
      <w:r>
        <w:rPr>
          <w:rFonts w:hint="eastAsia" w:ascii="仿宋_GB2312" w:hAnsi="仿宋_GB2312" w:eastAsia="仿宋_GB2312" w:cs="仿宋_GB2312"/>
          <w:sz w:val="32"/>
          <w:szCs w:val="22"/>
        </w:rPr>
        <w:t>批复下达直属单位202</w:t>
      </w:r>
      <w:r>
        <w:rPr>
          <w:rFonts w:hint="eastAsia" w:ascii="仿宋_GB2312" w:hAnsi="仿宋_GB2312" w:eastAsia="仿宋_GB2312" w:cs="仿宋_GB2312"/>
          <w:sz w:val="32"/>
          <w:szCs w:val="22"/>
          <w:lang w:val="en-US" w:eastAsia="zh-CN"/>
        </w:rPr>
        <w:t>2</w:t>
      </w:r>
      <w:r>
        <w:rPr>
          <w:rFonts w:hint="eastAsia" w:ascii="仿宋_GB2312" w:hAnsi="仿宋_GB2312" w:eastAsia="仿宋_GB2312" w:cs="仿宋_GB2312"/>
          <w:sz w:val="32"/>
          <w:szCs w:val="22"/>
        </w:rPr>
        <w:t>年度预算</w:t>
      </w:r>
      <w:r>
        <w:rPr>
          <w:rFonts w:hint="eastAsia" w:ascii="仿宋_GB2312" w:hAnsi="仿宋_GB2312" w:eastAsia="仿宋_GB2312" w:cs="仿宋_GB2312"/>
          <w:sz w:val="32"/>
          <w:szCs w:val="22"/>
          <w:lang w:eastAsia="zh-CN"/>
        </w:rPr>
        <w:t>；</w:t>
      </w:r>
      <w:r>
        <w:rPr>
          <w:rFonts w:hint="eastAsia" w:ascii="仿宋_GB2312" w:hAnsi="仿宋_GB2312" w:eastAsia="仿宋_GB2312" w:cs="仿宋_GB2312"/>
          <w:sz w:val="32"/>
          <w:szCs w:val="22"/>
          <w:lang w:val="en-US" w:eastAsia="zh-CN"/>
        </w:rPr>
        <w:t>二是</w:t>
      </w:r>
      <w:r>
        <w:rPr>
          <w:rFonts w:hint="eastAsia" w:ascii="仿宋_GB2312" w:hAnsi="仿宋_GB2312" w:eastAsia="仿宋_GB2312" w:cs="仿宋_GB2312"/>
          <w:sz w:val="32"/>
          <w:szCs w:val="22"/>
        </w:rPr>
        <w:t>落实</w:t>
      </w:r>
      <w:r>
        <w:rPr>
          <w:rFonts w:hint="eastAsia" w:ascii="仿宋_GB2312" w:hAnsi="仿宋_GB2312" w:eastAsia="仿宋_GB2312" w:cs="仿宋_GB2312"/>
          <w:sz w:val="32"/>
          <w:szCs w:val="22"/>
          <w:lang w:eastAsia="zh-CN"/>
        </w:rPr>
        <w:t>预算</w:t>
      </w:r>
      <w:r>
        <w:rPr>
          <w:rFonts w:hint="eastAsia" w:ascii="仿宋_GB2312" w:hAnsi="仿宋_GB2312" w:eastAsia="仿宋_GB2312" w:cs="仿宋_GB2312"/>
          <w:sz w:val="32"/>
          <w:szCs w:val="22"/>
        </w:rPr>
        <w:t>主体责任，</w:t>
      </w:r>
      <w:r>
        <w:rPr>
          <w:rFonts w:hint="eastAsia" w:ascii="仿宋_GB2312" w:hAnsi="仿宋_GB2312" w:eastAsia="仿宋_GB2312" w:cs="仿宋_GB2312"/>
          <w:sz w:val="32"/>
          <w:szCs w:val="22"/>
          <w:lang w:eastAsia="zh-CN"/>
        </w:rPr>
        <w:t>确保预算执行进度；</w:t>
      </w:r>
      <w:r>
        <w:rPr>
          <w:rFonts w:hint="eastAsia" w:ascii="仿宋_GB2312" w:hAnsi="仿宋_GB2312" w:eastAsia="仿宋_GB2312" w:cs="仿宋_GB2312"/>
          <w:b w:val="0"/>
          <w:bCs w:val="0"/>
          <w:sz w:val="32"/>
          <w:szCs w:val="22"/>
          <w:lang w:val="en-US" w:eastAsia="zh-CN"/>
        </w:rPr>
        <w:t>三是</w:t>
      </w:r>
      <w:r>
        <w:rPr>
          <w:rFonts w:hint="eastAsia" w:ascii="仿宋_GB2312" w:hAnsi="仿宋_GB2312" w:eastAsia="仿宋_GB2312" w:cs="仿宋_GB2312"/>
          <w:b w:val="0"/>
          <w:bCs w:val="0"/>
          <w:kern w:val="2"/>
          <w:sz w:val="32"/>
          <w:szCs w:val="22"/>
        </w:rPr>
        <w:t>严格履行内部审批程序</w:t>
      </w:r>
      <w:r>
        <w:rPr>
          <w:rFonts w:hint="eastAsia" w:ascii="仿宋_GB2312" w:hAnsi="仿宋_GB2312" w:eastAsia="仿宋_GB2312" w:cs="仿宋_GB2312"/>
          <w:b w:val="0"/>
          <w:bCs w:val="0"/>
          <w:kern w:val="2"/>
          <w:sz w:val="32"/>
          <w:szCs w:val="22"/>
          <w:lang w:eastAsia="zh-CN"/>
        </w:rPr>
        <w:t>，</w:t>
      </w:r>
      <w:r>
        <w:rPr>
          <w:rFonts w:hint="eastAsia" w:ascii="仿宋_GB2312" w:hAnsi="仿宋_GB2312" w:eastAsia="仿宋_GB2312" w:cs="仿宋_GB2312"/>
          <w:b w:val="0"/>
          <w:bCs w:val="0"/>
          <w:kern w:val="2"/>
          <w:sz w:val="32"/>
          <w:szCs w:val="22"/>
          <w:lang w:val="en-US" w:eastAsia="zh-CN"/>
        </w:rPr>
        <w:t>有效保证资金支付的安全性、合规性。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rPr>
      </w:pPr>
      <w:r>
        <w:rPr>
          <w:rFonts w:hint="eastAsia" w:ascii="仿宋_GB2312" w:hAnsi="仿宋_GB2312" w:eastAsia="仿宋_GB2312" w:cs="仿宋_GB2312"/>
          <w:sz w:val="32"/>
          <w:szCs w:val="22"/>
        </w:rPr>
        <w:t>3.会计基础信息完善性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rPr>
      </w:pPr>
      <w:r>
        <w:rPr>
          <w:rFonts w:hint="eastAsia" w:ascii="仿宋_GB2312" w:hAnsi="仿宋_GB2312" w:eastAsia="仿宋_GB2312" w:cs="仿宋_GB2312"/>
          <w:sz w:val="32"/>
          <w:szCs w:val="22"/>
        </w:rPr>
        <w:t>根据政府会计改革要求，实施新政府会计准则制度。严格</w:t>
      </w:r>
      <w:r>
        <w:rPr>
          <w:rFonts w:hint="eastAsia" w:ascii="仿宋_GB2312" w:hAnsi="仿宋_GB2312" w:eastAsia="仿宋_GB2312" w:cs="仿宋_GB2312"/>
          <w:sz w:val="32"/>
          <w:szCs w:val="22"/>
          <w:lang w:eastAsia="zh-CN"/>
        </w:rPr>
        <w:t>落实</w:t>
      </w:r>
      <w:r>
        <w:rPr>
          <w:rFonts w:hint="eastAsia" w:ascii="仿宋_GB2312" w:hAnsi="仿宋_GB2312" w:eastAsia="仿宋_GB2312" w:cs="仿宋_GB2312"/>
          <w:sz w:val="32"/>
          <w:szCs w:val="22"/>
        </w:rPr>
        <w:t>财政</w:t>
      </w:r>
      <w:r>
        <w:rPr>
          <w:rFonts w:hint="eastAsia" w:ascii="仿宋_GB2312" w:hAnsi="仿宋_GB2312" w:eastAsia="仿宋_GB2312" w:cs="仿宋_GB2312"/>
          <w:sz w:val="32"/>
          <w:szCs w:val="22"/>
          <w:lang w:val="en-US" w:eastAsia="zh-CN"/>
        </w:rPr>
        <w:t>财务管理</w:t>
      </w:r>
      <w:r>
        <w:rPr>
          <w:rFonts w:hint="eastAsia" w:ascii="仿宋_GB2312" w:hAnsi="仿宋_GB2312" w:eastAsia="仿宋_GB2312" w:cs="仿宋_GB2312"/>
          <w:sz w:val="32"/>
          <w:szCs w:val="22"/>
        </w:rPr>
        <w:t>工作要求，通过</w:t>
      </w:r>
      <w:r>
        <w:rPr>
          <w:rFonts w:hint="eastAsia" w:ascii="仿宋_GB2312" w:hAnsi="仿宋_GB2312" w:eastAsia="仿宋_GB2312" w:cs="仿宋_GB2312"/>
          <w:sz w:val="32"/>
          <w:szCs w:val="22"/>
          <w:lang w:val="en-US" w:eastAsia="zh-CN"/>
        </w:rPr>
        <w:t>登记</w:t>
      </w:r>
      <w:r>
        <w:rPr>
          <w:rFonts w:hint="eastAsia" w:ascii="仿宋_GB2312" w:hAnsi="仿宋_GB2312" w:eastAsia="仿宋_GB2312" w:cs="仿宋_GB2312"/>
          <w:sz w:val="32"/>
          <w:szCs w:val="22"/>
        </w:rPr>
        <w:t>固定资产台账、</w:t>
      </w:r>
      <w:r>
        <w:rPr>
          <w:rFonts w:hint="eastAsia" w:ascii="仿宋_GB2312" w:hAnsi="仿宋_GB2312" w:eastAsia="仿宋_GB2312" w:cs="仿宋_GB2312"/>
          <w:sz w:val="32"/>
          <w:szCs w:val="22"/>
          <w:lang w:val="en-US" w:eastAsia="zh-CN"/>
        </w:rPr>
        <w:t>编制</w:t>
      </w:r>
      <w:r>
        <w:rPr>
          <w:rFonts w:hint="eastAsia" w:ascii="仿宋_GB2312" w:hAnsi="仿宋_GB2312" w:eastAsia="仿宋_GB2312" w:cs="仿宋_GB2312"/>
          <w:sz w:val="32"/>
          <w:szCs w:val="22"/>
        </w:rPr>
        <w:t>会计凭证</w:t>
      </w:r>
      <w:r>
        <w:rPr>
          <w:rFonts w:hint="eastAsia" w:ascii="仿宋_GB2312" w:hAnsi="仿宋_GB2312" w:eastAsia="仿宋_GB2312" w:cs="仿宋_GB2312"/>
          <w:sz w:val="32"/>
          <w:szCs w:val="22"/>
          <w:lang w:eastAsia="zh-CN"/>
        </w:rPr>
        <w:t>、</w:t>
      </w:r>
      <w:r>
        <w:rPr>
          <w:rFonts w:hint="eastAsia" w:ascii="仿宋_GB2312" w:hAnsi="仿宋_GB2312" w:eastAsia="仿宋_GB2312" w:cs="仿宋_GB2312"/>
          <w:sz w:val="32"/>
          <w:szCs w:val="22"/>
          <w:lang w:val="en-US" w:eastAsia="zh-CN"/>
        </w:rPr>
        <w:t>登记</w:t>
      </w:r>
      <w:r>
        <w:rPr>
          <w:rFonts w:hint="eastAsia" w:ascii="仿宋_GB2312" w:hAnsi="仿宋_GB2312" w:eastAsia="仿宋_GB2312" w:cs="仿宋_GB2312"/>
          <w:sz w:val="32"/>
          <w:szCs w:val="22"/>
        </w:rPr>
        <w:t>会计账簿、</w:t>
      </w:r>
      <w:r>
        <w:rPr>
          <w:rFonts w:hint="eastAsia" w:ascii="仿宋_GB2312" w:hAnsi="仿宋_GB2312" w:eastAsia="仿宋_GB2312" w:cs="仿宋_GB2312"/>
          <w:sz w:val="32"/>
          <w:szCs w:val="22"/>
          <w:lang w:val="en-US" w:eastAsia="zh-CN"/>
        </w:rPr>
        <w:t>编报</w:t>
      </w:r>
      <w:r>
        <w:rPr>
          <w:rFonts w:hint="eastAsia" w:ascii="仿宋_GB2312" w:hAnsi="仿宋_GB2312" w:eastAsia="仿宋_GB2312" w:cs="仿宋_GB2312"/>
          <w:sz w:val="32"/>
          <w:szCs w:val="22"/>
        </w:rPr>
        <w:t>财务报告等，</w:t>
      </w:r>
      <w:r>
        <w:rPr>
          <w:rFonts w:hint="eastAsia" w:ascii="仿宋_GB2312" w:hAnsi="仿宋_GB2312" w:eastAsia="仿宋_GB2312" w:cs="仿宋_GB2312"/>
          <w:sz w:val="32"/>
          <w:szCs w:val="22"/>
          <w:lang w:val="en-US" w:eastAsia="zh-CN"/>
        </w:rPr>
        <w:t>保障了</w:t>
      </w:r>
      <w:r>
        <w:rPr>
          <w:rFonts w:hint="eastAsia" w:ascii="仿宋_GB2312" w:hAnsi="仿宋_GB2312" w:eastAsia="仿宋_GB2312" w:cs="仿宋_GB2312"/>
          <w:sz w:val="32"/>
          <w:szCs w:val="22"/>
        </w:rPr>
        <w:t>会计基础数据信息和会计信息资料真实、完整。</w:t>
      </w:r>
    </w:p>
    <w:p>
      <w:pPr>
        <w:spacing w:line="600" w:lineRule="exact"/>
        <w:ind w:firstLine="640" w:firstLineChars="200"/>
        <w:outlineLvl w:val="1"/>
        <w:rPr>
          <w:rFonts w:ascii="楷体" w:hAnsi="楷体" w:eastAsia="楷体"/>
          <w:color w:val="auto"/>
          <w:sz w:val="32"/>
          <w:szCs w:val="32"/>
        </w:rPr>
      </w:pPr>
      <w:bookmarkStart w:id="28" w:name="_Toc16116"/>
      <w:bookmarkStart w:id="29" w:name="_Toc30772"/>
      <w:bookmarkStart w:id="30" w:name="_Toc7830"/>
      <w:r>
        <w:rPr>
          <w:rFonts w:hint="eastAsia" w:ascii="楷体" w:hAnsi="楷体" w:eastAsia="楷体"/>
          <w:color w:val="auto"/>
          <w:sz w:val="32"/>
          <w:szCs w:val="32"/>
        </w:rPr>
        <w:t>（二）资产管理</w:t>
      </w:r>
      <w:bookmarkEnd w:id="28"/>
      <w:bookmarkEnd w:id="29"/>
      <w:bookmarkEnd w:id="3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rPr>
      </w:pPr>
      <w:r>
        <w:rPr>
          <w:rFonts w:hint="eastAsia" w:ascii="仿宋_GB2312" w:hAnsi="仿宋_GB2312" w:eastAsia="仿宋_GB2312" w:cs="仿宋_GB2312"/>
          <w:sz w:val="32"/>
          <w:szCs w:val="22"/>
        </w:rPr>
        <w:t>1.资产总体情况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rPr>
      </w:pPr>
      <w:r>
        <w:rPr>
          <w:rFonts w:hint="eastAsia" w:ascii="仿宋_GB2312" w:hAnsi="仿宋_GB2312" w:eastAsia="仿宋_GB2312" w:cs="仿宋_GB2312"/>
          <w:sz w:val="32"/>
          <w:szCs w:val="22"/>
        </w:rPr>
        <w:t>截至2022年12月31日，市粮食和储备局资产总额113,515.96万元，其中固定资产净值5,944.24万元，</w:t>
      </w:r>
      <w:r>
        <w:rPr>
          <w:rFonts w:hint="eastAsia" w:ascii="仿宋_GB2312" w:hAnsi="仿宋_GB2312" w:eastAsia="仿宋_GB2312" w:cs="仿宋_GB2312"/>
          <w:sz w:val="32"/>
          <w:szCs w:val="22"/>
          <w:lang w:eastAsia="zh-CN"/>
        </w:rPr>
        <w:t>包括：</w:t>
      </w:r>
      <w:r>
        <w:rPr>
          <w:rFonts w:hint="eastAsia" w:ascii="仿宋_GB2312" w:hAnsi="仿宋_GB2312" w:eastAsia="仿宋_GB2312" w:cs="仿宋_GB2312"/>
          <w:sz w:val="32"/>
          <w:szCs w:val="22"/>
        </w:rPr>
        <w:t>房屋</w:t>
      </w:r>
      <w:r>
        <w:rPr>
          <w:rFonts w:hint="eastAsia" w:ascii="仿宋_GB2312" w:hAnsi="仿宋_GB2312" w:eastAsia="仿宋_GB2312" w:cs="仿宋_GB2312"/>
          <w:sz w:val="32"/>
          <w:szCs w:val="22"/>
          <w:lang w:val="en-US" w:eastAsia="zh-CN"/>
        </w:rPr>
        <w:t>和</w:t>
      </w:r>
      <w:r>
        <w:rPr>
          <w:rFonts w:hint="eastAsia" w:ascii="仿宋_GB2312" w:hAnsi="仿宋_GB2312" w:eastAsia="仿宋_GB2312" w:cs="仿宋_GB2312"/>
          <w:sz w:val="32"/>
          <w:szCs w:val="22"/>
        </w:rPr>
        <w:t>构筑物2</w:t>
      </w:r>
      <w:r>
        <w:rPr>
          <w:rFonts w:hint="eastAsia" w:ascii="仿宋_GB2312" w:hAnsi="仿宋_GB2312" w:eastAsia="仿宋_GB2312" w:cs="仿宋_GB2312"/>
          <w:sz w:val="32"/>
          <w:szCs w:val="22"/>
          <w:lang w:val="en-US" w:eastAsia="zh-CN"/>
        </w:rPr>
        <w:t>,</w:t>
      </w:r>
      <w:r>
        <w:rPr>
          <w:rFonts w:hint="eastAsia" w:ascii="仿宋_GB2312" w:hAnsi="仿宋_GB2312" w:eastAsia="仿宋_GB2312" w:cs="仿宋_GB2312"/>
          <w:sz w:val="32"/>
          <w:szCs w:val="22"/>
        </w:rPr>
        <w:t>294</w:t>
      </w:r>
      <w:r>
        <w:rPr>
          <w:rFonts w:hint="eastAsia" w:ascii="仿宋_GB2312" w:hAnsi="仿宋_GB2312" w:eastAsia="仿宋_GB2312" w:cs="仿宋_GB2312"/>
          <w:sz w:val="32"/>
          <w:szCs w:val="22"/>
          <w:lang w:val="en-US" w:eastAsia="zh-CN"/>
        </w:rPr>
        <w:t>.</w:t>
      </w:r>
      <w:r>
        <w:rPr>
          <w:rFonts w:hint="eastAsia" w:ascii="仿宋_GB2312" w:hAnsi="仿宋_GB2312" w:eastAsia="仿宋_GB2312" w:cs="仿宋_GB2312"/>
          <w:sz w:val="32"/>
          <w:szCs w:val="22"/>
        </w:rPr>
        <w:t>27万元，设备3,178.29万元，图书档案103.72万元，家具</w:t>
      </w:r>
      <w:r>
        <w:rPr>
          <w:rFonts w:hint="eastAsia" w:ascii="仿宋_GB2312" w:hAnsi="仿宋_GB2312" w:eastAsia="仿宋_GB2312" w:cs="仿宋_GB2312"/>
          <w:sz w:val="32"/>
          <w:szCs w:val="22"/>
          <w:lang w:val="en-US" w:eastAsia="zh-CN"/>
        </w:rPr>
        <w:t>和</w:t>
      </w:r>
      <w:r>
        <w:rPr>
          <w:rFonts w:hint="eastAsia" w:ascii="仿宋_GB2312" w:hAnsi="仿宋_GB2312" w:eastAsia="仿宋_GB2312" w:cs="仿宋_GB2312"/>
          <w:sz w:val="32"/>
          <w:szCs w:val="22"/>
        </w:rPr>
        <w:t>用具367.96万元，无文物和陈列品</w:t>
      </w:r>
      <w:r>
        <w:rPr>
          <w:rFonts w:hint="eastAsia" w:ascii="仿宋_GB2312" w:hAnsi="仿宋_GB2312" w:eastAsia="仿宋_GB2312" w:cs="仿宋_GB2312"/>
          <w:sz w:val="32"/>
          <w:szCs w:val="22"/>
          <w:lang w:eastAsia="zh-CN"/>
        </w:rPr>
        <w:t>、</w:t>
      </w:r>
      <w:r>
        <w:rPr>
          <w:rFonts w:hint="eastAsia" w:ascii="仿宋_GB2312" w:hAnsi="仿宋_GB2312" w:eastAsia="仿宋_GB2312" w:cs="仿宋_GB2312"/>
          <w:sz w:val="32"/>
          <w:szCs w:val="22"/>
          <w:lang w:val="en-US" w:eastAsia="zh-CN"/>
        </w:rPr>
        <w:t>特种动植物</w:t>
      </w:r>
      <w:r>
        <w:rPr>
          <w:rFonts w:hint="eastAsia" w:ascii="仿宋_GB2312" w:hAnsi="仿宋_GB2312" w:eastAsia="仿宋_GB2312" w:cs="仿宋_GB2312"/>
          <w:sz w:val="32"/>
          <w:szCs w:val="2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lang w:eastAsia="zh-CN"/>
        </w:rPr>
      </w:pPr>
      <w:r>
        <w:rPr>
          <w:rFonts w:hint="eastAsia" w:ascii="仿宋_GB2312" w:hAnsi="仿宋_GB2312" w:eastAsia="仿宋_GB2312" w:cs="仿宋_GB2312"/>
          <w:sz w:val="32"/>
          <w:szCs w:val="22"/>
        </w:rPr>
        <w:t>市粮食和储备局自用固定资产20,332.01万元，占账面固定资产总额的93.65%，其中</w:t>
      </w:r>
      <w:r>
        <w:rPr>
          <w:rFonts w:hint="eastAsia" w:ascii="仿宋_GB2312" w:hAnsi="仿宋_GB2312" w:eastAsia="仿宋_GB2312" w:cs="仿宋_GB2312"/>
          <w:sz w:val="32"/>
          <w:szCs w:val="22"/>
          <w:lang w:eastAsia="zh-CN"/>
        </w:rPr>
        <w:t>：</w:t>
      </w:r>
      <w:r>
        <w:rPr>
          <w:rFonts w:hint="eastAsia" w:ascii="仿宋_GB2312" w:hAnsi="仿宋_GB2312" w:eastAsia="仿宋_GB2312" w:cs="仿宋_GB2312"/>
          <w:sz w:val="32"/>
          <w:szCs w:val="22"/>
        </w:rPr>
        <w:t>在用20,310.65万元，占账面固定资产总额的93.55%；闲置21.34万元，占账面固定资产总额的0.10%。出租出借资产</w:t>
      </w:r>
      <w:r>
        <w:rPr>
          <w:rFonts w:hint="eastAsia" w:ascii="仿宋_GB2312" w:hAnsi="仿宋_GB2312" w:eastAsia="仿宋_GB2312" w:cs="仿宋_GB2312"/>
          <w:sz w:val="32"/>
          <w:szCs w:val="22"/>
          <w:lang w:val="en-US" w:eastAsia="zh-CN"/>
        </w:rPr>
        <w:t>1,379</w:t>
      </w:r>
      <w:r>
        <w:rPr>
          <w:rFonts w:hint="eastAsia" w:ascii="仿宋_GB2312" w:hAnsi="仿宋_GB2312" w:eastAsia="仿宋_GB2312" w:cs="仿宋_GB2312"/>
          <w:sz w:val="32"/>
          <w:szCs w:val="22"/>
        </w:rPr>
        <w:t>.</w:t>
      </w:r>
      <w:r>
        <w:rPr>
          <w:rFonts w:hint="eastAsia" w:ascii="仿宋_GB2312" w:hAnsi="仿宋_GB2312" w:eastAsia="仿宋_GB2312" w:cs="仿宋_GB2312"/>
          <w:sz w:val="32"/>
          <w:szCs w:val="22"/>
          <w:lang w:val="en-US" w:eastAsia="zh-CN"/>
        </w:rPr>
        <w:t>00</w:t>
      </w:r>
      <w:r>
        <w:rPr>
          <w:rFonts w:hint="eastAsia" w:ascii="仿宋_GB2312" w:hAnsi="仿宋_GB2312" w:eastAsia="仿宋_GB2312" w:cs="仿宋_GB2312"/>
          <w:sz w:val="32"/>
          <w:szCs w:val="22"/>
        </w:rPr>
        <w:t>万元，占账面固定资产总额的</w:t>
      </w:r>
      <w:r>
        <w:rPr>
          <w:rFonts w:hint="eastAsia" w:ascii="仿宋_GB2312" w:hAnsi="仿宋_GB2312" w:eastAsia="仿宋_GB2312" w:cs="仿宋_GB2312"/>
          <w:sz w:val="32"/>
          <w:szCs w:val="22"/>
          <w:lang w:val="en-US" w:eastAsia="zh-CN"/>
        </w:rPr>
        <w:t>1</w:t>
      </w:r>
      <w:r>
        <w:rPr>
          <w:rFonts w:hint="eastAsia" w:ascii="仿宋_GB2312" w:hAnsi="仿宋_GB2312" w:eastAsia="仿宋_GB2312" w:cs="仿宋_GB2312"/>
          <w:sz w:val="32"/>
          <w:szCs w:val="22"/>
        </w:rPr>
        <w:t>.</w:t>
      </w:r>
      <w:r>
        <w:rPr>
          <w:rFonts w:hint="eastAsia" w:ascii="仿宋_GB2312" w:hAnsi="仿宋_GB2312" w:eastAsia="仿宋_GB2312" w:cs="仿宋_GB2312"/>
          <w:sz w:val="32"/>
          <w:szCs w:val="22"/>
          <w:lang w:val="en-US" w:eastAsia="zh-CN"/>
        </w:rPr>
        <w:t>05</w:t>
      </w:r>
      <w:r>
        <w:rPr>
          <w:rFonts w:hint="eastAsia" w:ascii="仿宋_GB2312" w:hAnsi="仿宋_GB2312" w:eastAsia="仿宋_GB2312" w:cs="仿宋_GB2312"/>
          <w:sz w:val="32"/>
          <w:szCs w:val="22"/>
        </w:rPr>
        <w:t>%</w:t>
      </w:r>
      <w:r>
        <w:rPr>
          <w:rFonts w:hint="eastAsia" w:ascii="仿宋_GB2312" w:hAnsi="仿宋_GB2312" w:eastAsia="仿宋_GB2312" w:cs="仿宋_GB2312"/>
          <w:sz w:val="32"/>
          <w:szCs w:val="2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rPr>
      </w:pPr>
      <w:r>
        <w:rPr>
          <w:rFonts w:hint="eastAsia" w:ascii="仿宋_GB2312" w:hAnsi="仿宋_GB2312" w:eastAsia="仿宋_GB2312" w:cs="仿宋_GB2312"/>
          <w:sz w:val="32"/>
          <w:szCs w:val="22"/>
        </w:rPr>
        <w:t>市粮食和储备局自用无形资产</w:t>
      </w:r>
      <w:r>
        <w:rPr>
          <w:rFonts w:hint="eastAsia" w:ascii="仿宋_GB2312" w:hAnsi="仿宋_GB2312" w:eastAsia="仿宋_GB2312" w:cs="仿宋_GB2312"/>
          <w:sz w:val="32"/>
          <w:szCs w:val="22"/>
          <w:lang w:val="en-US" w:eastAsia="zh-CN"/>
        </w:rPr>
        <w:t>5</w:t>
      </w:r>
      <w:r>
        <w:rPr>
          <w:rFonts w:hint="eastAsia" w:ascii="仿宋_GB2312" w:hAnsi="仿宋_GB2312" w:eastAsia="仿宋_GB2312" w:cs="仿宋_GB2312"/>
          <w:sz w:val="32"/>
          <w:szCs w:val="22"/>
        </w:rPr>
        <w:t>,</w:t>
      </w:r>
      <w:r>
        <w:rPr>
          <w:rFonts w:hint="eastAsia" w:ascii="仿宋_GB2312" w:hAnsi="仿宋_GB2312" w:eastAsia="仿宋_GB2312" w:cs="仿宋_GB2312"/>
          <w:sz w:val="32"/>
          <w:szCs w:val="22"/>
          <w:lang w:val="en-US" w:eastAsia="zh-CN"/>
        </w:rPr>
        <w:t>194</w:t>
      </w:r>
      <w:r>
        <w:rPr>
          <w:rFonts w:hint="eastAsia" w:ascii="仿宋_GB2312" w:hAnsi="仿宋_GB2312" w:eastAsia="仿宋_GB2312" w:cs="仿宋_GB2312"/>
          <w:sz w:val="32"/>
          <w:szCs w:val="22"/>
        </w:rPr>
        <w:t>.</w:t>
      </w:r>
      <w:r>
        <w:rPr>
          <w:rFonts w:hint="eastAsia" w:ascii="仿宋_GB2312" w:hAnsi="仿宋_GB2312" w:eastAsia="仿宋_GB2312" w:cs="仿宋_GB2312"/>
          <w:sz w:val="32"/>
          <w:szCs w:val="22"/>
          <w:lang w:val="en-US" w:eastAsia="zh-CN"/>
        </w:rPr>
        <w:t>10</w:t>
      </w:r>
      <w:r>
        <w:rPr>
          <w:rFonts w:hint="eastAsia" w:ascii="仿宋_GB2312" w:hAnsi="仿宋_GB2312" w:eastAsia="仿宋_GB2312" w:cs="仿宋_GB2312"/>
          <w:sz w:val="32"/>
          <w:szCs w:val="22"/>
        </w:rPr>
        <w:t>万元，</w:t>
      </w:r>
      <w:r>
        <w:rPr>
          <w:rFonts w:hint="eastAsia" w:ascii="仿宋_GB2312" w:hAnsi="楷体" w:eastAsia="仿宋_GB2312"/>
          <w:bCs/>
          <w:kern w:val="0"/>
          <w:sz w:val="32"/>
          <w:szCs w:val="28"/>
        </w:rPr>
        <w:t>均属于在用状态</w:t>
      </w:r>
      <w:r>
        <w:rPr>
          <w:rFonts w:hint="eastAsia" w:ascii="仿宋_GB2312" w:hAnsi="楷体" w:eastAsia="仿宋_GB2312"/>
          <w:bCs/>
          <w:kern w:val="0"/>
          <w:sz w:val="32"/>
          <w:szCs w:val="28"/>
          <w:lang w:eastAsia="zh-CN"/>
        </w:rPr>
        <w:t>，</w:t>
      </w:r>
      <w:r>
        <w:rPr>
          <w:rFonts w:hint="eastAsia" w:ascii="仿宋_GB2312" w:hAnsi="仿宋_GB2312" w:eastAsia="仿宋_GB2312" w:cs="仿宋_GB2312"/>
          <w:sz w:val="32"/>
          <w:szCs w:val="22"/>
        </w:rPr>
        <w:t>无闲置或待处置资产。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rPr>
      </w:pPr>
      <w:r>
        <w:rPr>
          <w:rFonts w:hint="eastAsia" w:ascii="仿宋_GB2312" w:hAnsi="仿宋_GB2312" w:eastAsia="仿宋_GB2312" w:cs="仿宋_GB2312"/>
          <w:sz w:val="32"/>
          <w:szCs w:val="22"/>
        </w:rPr>
        <w:t>2.资产管理制度及过程管理情况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rPr>
      </w:pPr>
      <w:bookmarkStart w:id="53" w:name="_GoBack"/>
      <w:r>
        <w:rPr>
          <w:rFonts w:hint="eastAsia" w:ascii="仿宋_GB2312" w:hAnsi="仿宋_GB2312" w:eastAsia="仿宋_GB2312" w:cs="仿宋_GB2312"/>
          <w:sz w:val="32"/>
          <w:szCs w:val="22"/>
        </w:rPr>
        <w:t>在制度建立方面，市粮食和储备局制定《北京市粮食局机关固定资产管理办法（试行）》，明确固定资产购置、领用、日常维护、清查、报废等工作内容，严格规范固定资产管理。</w:t>
      </w:r>
    </w:p>
    <w:bookmarkEnd w:id="53"/>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rPr>
      </w:pPr>
      <w:r>
        <w:rPr>
          <w:rFonts w:hint="eastAsia" w:ascii="仿宋_GB2312" w:hAnsi="仿宋_GB2312" w:eastAsia="仿宋_GB2312" w:cs="仿宋_GB2312"/>
          <w:sz w:val="32"/>
          <w:szCs w:val="22"/>
        </w:rPr>
        <w:t>市粮食和储备局严格执行资产管理规定与工作要求，一是严格按照国有资产配置、处置及资金收益等相关文件、办法要求，严控日常办公设备配置数量、标准和使用年限，按职责权限履行资产处置报批手续，按规定上缴国有资产收益及处置资金；部门所属各单位均建立单位资产使用管理办法与资产动态管理台账，遵循并严格执行“分级管理、专项使用、规范审批、厉行节约”的管理原则，加强公务用车配备使用管理的规范化、制度化水平，切实提高公车使用绩效水平。二是认真贯彻落实相关部门有关要求，及时开展固定资产核实清查工作，对固定资产使用留存状况进行登记清查，做到摸清家底，全面掌握底数，进一步确保账实相符。</w:t>
      </w:r>
      <w:r>
        <w:rPr>
          <w:rFonts w:hint="eastAsia" w:ascii="仿宋_GB2312" w:hAnsi="仿宋_GB2312" w:eastAsia="仿宋_GB2312" w:cs="仿宋_GB2312"/>
          <w:sz w:val="32"/>
          <w:szCs w:val="22"/>
          <w:lang w:eastAsia="zh-CN"/>
        </w:rPr>
        <w:t>依据审批程序和权限做好资产处置、出借等管理工作</w:t>
      </w:r>
      <w:r>
        <w:rPr>
          <w:rFonts w:hint="eastAsia" w:ascii="仿宋_GB2312" w:hAnsi="仿宋_GB2312" w:eastAsia="仿宋_GB2312" w:cs="仿宋_GB2312"/>
          <w:sz w:val="32"/>
          <w:szCs w:val="22"/>
        </w:rPr>
        <w:t>。三是对审计、巡视等提出的资产管理问题及建议，做到增强管理意识、加强日常管理、及时登记账卡、落实管理责任，不断健全管理体制，明确部门职责并总结整改措施和整改进展情况。</w:t>
      </w:r>
    </w:p>
    <w:p>
      <w:pPr>
        <w:spacing w:line="600" w:lineRule="exact"/>
        <w:ind w:firstLine="640" w:firstLineChars="200"/>
        <w:outlineLvl w:val="1"/>
        <w:rPr>
          <w:rFonts w:ascii="楷体" w:hAnsi="楷体" w:eastAsia="楷体"/>
          <w:color w:val="auto"/>
          <w:sz w:val="32"/>
          <w:szCs w:val="32"/>
        </w:rPr>
      </w:pPr>
      <w:bookmarkStart w:id="31" w:name="_Toc10789"/>
      <w:bookmarkStart w:id="32" w:name="_Toc24770"/>
      <w:bookmarkStart w:id="33" w:name="_Toc16072"/>
      <w:r>
        <w:rPr>
          <w:rFonts w:hint="eastAsia" w:ascii="楷体" w:hAnsi="楷体" w:eastAsia="楷体"/>
          <w:color w:val="auto"/>
          <w:sz w:val="32"/>
          <w:szCs w:val="32"/>
        </w:rPr>
        <w:t>（三）绩效</w:t>
      </w:r>
      <w:r>
        <w:rPr>
          <w:rFonts w:ascii="楷体" w:hAnsi="楷体" w:eastAsia="楷体"/>
          <w:color w:val="auto"/>
          <w:sz w:val="32"/>
          <w:szCs w:val="32"/>
        </w:rPr>
        <w:t>管理</w:t>
      </w:r>
      <w:bookmarkEnd w:id="31"/>
      <w:bookmarkEnd w:id="32"/>
      <w:bookmarkEnd w:id="3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rPr>
      </w:pPr>
      <w:r>
        <w:rPr>
          <w:rFonts w:hint="eastAsia" w:ascii="仿宋_GB2312" w:hAnsi="仿宋_GB2312" w:eastAsia="仿宋_GB2312" w:cs="仿宋_GB2312"/>
          <w:sz w:val="32"/>
          <w:szCs w:val="22"/>
        </w:rPr>
        <w:t>市粮食和储备局</w:t>
      </w:r>
      <w:r>
        <w:rPr>
          <w:rFonts w:hint="eastAsia" w:ascii="仿宋_GB2312" w:hAnsi="仿宋_GB2312" w:eastAsia="仿宋_GB2312" w:cs="仿宋_GB2312"/>
          <w:sz w:val="32"/>
          <w:szCs w:val="22"/>
          <w:lang w:val="en-US" w:eastAsia="zh-CN"/>
        </w:rPr>
        <w:t>认真</w:t>
      </w:r>
      <w:r>
        <w:rPr>
          <w:rFonts w:hint="eastAsia" w:ascii="仿宋_GB2312" w:hAnsi="仿宋_GB2312" w:eastAsia="仿宋_GB2312" w:cs="仿宋_GB2312"/>
          <w:sz w:val="32"/>
          <w:szCs w:val="22"/>
        </w:rPr>
        <w:t>组织实施全过程绩效管理，强化绩效监控，推进预算与绩效管理一体化。一是研究编制部门共性绩效指标标准，初步建立本部门本领域绩效指标标准体系，压实绩效管理主体责任。二是对本行业的“市储备成品粮油监管”工作开展成本绩效分析，强化成本管理理念，深化成本管控意识，推进绩效管理科学化。三是扎实开展年度预算绩效管理各项工作，</w:t>
      </w:r>
      <w:r>
        <w:rPr>
          <w:rFonts w:hint="eastAsia" w:ascii="仿宋_GB2312" w:hAnsi="仿宋_GB2312" w:eastAsia="仿宋_GB2312" w:cs="仿宋_GB2312"/>
          <w:sz w:val="32"/>
          <w:szCs w:val="22"/>
          <w:lang w:val="en-US" w:eastAsia="zh-CN"/>
        </w:rPr>
        <w:t>组织</w:t>
      </w:r>
      <w:r>
        <w:rPr>
          <w:rFonts w:hint="eastAsia" w:ascii="仿宋_GB2312" w:hAnsi="仿宋_GB2312" w:eastAsia="仿宋_GB2312" w:cs="仿宋_GB2312"/>
          <w:sz w:val="32"/>
          <w:szCs w:val="22"/>
        </w:rPr>
        <w:t>实施2021年度部门绩效评价</w:t>
      </w:r>
      <w:r>
        <w:rPr>
          <w:rFonts w:hint="eastAsia" w:ascii="仿宋_GB2312" w:hAnsi="仿宋_GB2312" w:eastAsia="仿宋_GB2312" w:cs="仿宋_GB2312"/>
          <w:sz w:val="32"/>
          <w:szCs w:val="22"/>
          <w:lang w:eastAsia="zh-CN"/>
        </w:rPr>
        <w:t>；</w:t>
      </w:r>
      <w:r>
        <w:rPr>
          <w:rFonts w:hint="eastAsia" w:ascii="仿宋_GB2312" w:hAnsi="仿宋_GB2312" w:eastAsia="仿宋_GB2312" w:cs="仿宋_GB2312"/>
          <w:sz w:val="32"/>
          <w:szCs w:val="22"/>
        </w:rPr>
        <w:t>开展2022年部门预算项目全过程绩效监控，并对重点项目绩效目标阶段性完成情况与预算执行情况进行“双监控”，加大绩效督导，及时纠正偏差；对2023年预算项目开展绩效目标审核、事前绩效评估，深化成本管控意识，强化评价分析结果应用，充分发挥财政资金的使用效益，提升预算绩效管理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rPr>
      </w:pPr>
      <w:r>
        <w:rPr>
          <w:rFonts w:hint="eastAsia" w:ascii="仿宋_GB2312" w:hAnsi="仿宋_GB2312" w:eastAsia="仿宋_GB2312" w:cs="仿宋_GB2312"/>
          <w:sz w:val="32"/>
          <w:szCs w:val="22"/>
        </w:rPr>
        <w:t>本次绩效评价工作，市粮食和储备局按照《</w:t>
      </w:r>
      <w:r>
        <w:rPr>
          <w:rFonts w:hint="eastAsia" w:ascii="仿宋_GB2312" w:hAnsi="仿宋_GB2312" w:eastAsia="仿宋_GB2312" w:cs="仿宋_GB2312"/>
          <w:sz w:val="32"/>
          <w:szCs w:val="22"/>
          <w:lang w:val="en-US" w:eastAsia="zh-CN"/>
        </w:rPr>
        <w:t>北京市财政局关于</w:t>
      </w:r>
      <w:r>
        <w:rPr>
          <w:rFonts w:hint="eastAsia" w:ascii="仿宋_GB2312" w:hAnsi="仿宋_GB2312" w:eastAsia="仿宋_GB2312" w:cs="仿宋_GB2312"/>
          <w:sz w:val="32"/>
          <w:szCs w:val="22"/>
        </w:rPr>
        <w:t>2023年推进全面实施预算绩效管理工作的预通知》，对</w:t>
      </w:r>
      <w:r>
        <w:rPr>
          <w:rFonts w:hint="eastAsia" w:ascii="仿宋_GB2312" w:hAnsi="仿宋_GB2312" w:eastAsia="仿宋_GB2312" w:cs="仿宋_GB2312"/>
          <w:sz w:val="32"/>
          <w:szCs w:val="22"/>
          <w:lang w:val="en-US" w:eastAsia="zh-CN"/>
        </w:rPr>
        <w:t>75</w:t>
      </w:r>
      <w:r>
        <w:rPr>
          <w:rFonts w:hint="eastAsia" w:ascii="仿宋_GB2312" w:hAnsi="仿宋_GB2312" w:eastAsia="仿宋_GB2312" w:cs="仿宋_GB2312"/>
          <w:sz w:val="32"/>
          <w:szCs w:val="22"/>
        </w:rPr>
        <w:t>个部门预算项目采取单位自评方式开展绩效评价，</w:t>
      </w:r>
      <w:r>
        <w:rPr>
          <w:rFonts w:hint="eastAsia" w:ascii="仿宋_GB2312" w:hAnsi="仿宋_GB2312" w:eastAsia="仿宋_GB2312" w:cs="仿宋_GB2312"/>
          <w:sz w:val="32"/>
          <w:szCs w:val="22"/>
          <w:lang w:eastAsia="zh-CN"/>
        </w:rPr>
        <w:t>形成</w:t>
      </w:r>
      <w:r>
        <w:rPr>
          <w:rFonts w:hint="eastAsia" w:ascii="仿宋_GB2312" w:hAnsi="仿宋_GB2312" w:eastAsia="仿宋_GB2312" w:cs="仿宋_GB2312"/>
          <w:sz w:val="32"/>
          <w:szCs w:val="22"/>
        </w:rPr>
        <w:t>项目支出绩效自评表</w:t>
      </w:r>
      <w:r>
        <w:rPr>
          <w:rFonts w:hint="eastAsia" w:ascii="仿宋_GB2312" w:hAnsi="仿宋_GB2312" w:eastAsia="仿宋_GB2312" w:cs="仿宋_GB2312"/>
          <w:sz w:val="32"/>
          <w:szCs w:val="22"/>
          <w:lang w:val="en-US" w:eastAsia="zh-CN"/>
        </w:rPr>
        <w:t>66份（涉密项目与未执行项目除外）</w:t>
      </w:r>
      <w:r>
        <w:rPr>
          <w:rFonts w:hint="eastAsia" w:ascii="仿宋_GB2312" w:hAnsi="仿宋_GB2312" w:eastAsia="仿宋_GB2312" w:cs="仿宋_GB2312"/>
          <w:sz w:val="32"/>
          <w:szCs w:val="22"/>
        </w:rPr>
        <w:t>；对“市储备粮监管”项目开展部门评价，</w:t>
      </w:r>
      <w:r>
        <w:rPr>
          <w:rFonts w:hint="eastAsia" w:ascii="仿宋_GB2312" w:hAnsi="仿宋_GB2312" w:eastAsia="仿宋_GB2312" w:cs="仿宋_GB2312"/>
          <w:sz w:val="32"/>
          <w:szCs w:val="22"/>
          <w:lang w:eastAsia="zh-CN"/>
        </w:rPr>
        <w:t>形成</w:t>
      </w:r>
      <w:r>
        <w:rPr>
          <w:rFonts w:hint="eastAsia" w:ascii="仿宋_GB2312" w:hAnsi="仿宋_GB2312" w:eastAsia="仿宋_GB2312" w:cs="仿宋_GB2312"/>
          <w:sz w:val="32"/>
          <w:szCs w:val="22"/>
        </w:rPr>
        <w:t>绩效评价报告。从总体评价结果看，各项目能够较好地按照预算申报的情况完成，绩效目标设定较为合理，各项目标及指标的完成情况较好，项目执行过程比较规范，项目效果基本达到预定目标。</w:t>
      </w:r>
    </w:p>
    <w:p>
      <w:pPr>
        <w:spacing w:line="600" w:lineRule="exact"/>
        <w:ind w:firstLine="640" w:firstLineChars="200"/>
        <w:outlineLvl w:val="1"/>
        <w:rPr>
          <w:rFonts w:ascii="楷体" w:hAnsi="楷体" w:eastAsia="楷体"/>
          <w:color w:val="auto"/>
          <w:sz w:val="32"/>
          <w:szCs w:val="32"/>
        </w:rPr>
      </w:pPr>
      <w:bookmarkStart w:id="34" w:name="_Toc31099"/>
      <w:bookmarkStart w:id="35" w:name="_Toc3200"/>
      <w:bookmarkStart w:id="36" w:name="_Toc13744"/>
      <w:r>
        <w:rPr>
          <w:rFonts w:hint="eastAsia" w:ascii="楷体" w:hAnsi="楷体" w:eastAsia="楷体"/>
          <w:color w:val="auto"/>
          <w:sz w:val="32"/>
          <w:szCs w:val="32"/>
        </w:rPr>
        <w:t>（四）结转结余率</w:t>
      </w:r>
      <w:bookmarkEnd w:id="34"/>
      <w:bookmarkEnd w:id="35"/>
      <w:bookmarkEnd w:id="36"/>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rPr>
      </w:pPr>
      <w:r>
        <w:rPr>
          <w:rFonts w:hint="eastAsia" w:ascii="仿宋_GB2312" w:hAnsi="仿宋_GB2312" w:eastAsia="仿宋_GB2312" w:cs="仿宋_GB2312"/>
          <w:sz w:val="32"/>
          <w:szCs w:val="22"/>
        </w:rPr>
        <w:t>市粮食和储备局202</w:t>
      </w:r>
      <w:r>
        <w:rPr>
          <w:rFonts w:hint="eastAsia" w:ascii="仿宋_GB2312" w:hAnsi="仿宋_GB2312" w:eastAsia="仿宋_GB2312" w:cs="仿宋_GB2312"/>
          <w:sz w:val="32"/>
          <w:szCs w:val="22"/>
          <w:lang w:val="en-US" w:eastAsia="zh-CN"/>
        </w:rPr>
        <w:t>2</w:t>
      </w:r>
      <w:r>
        <w:rPr>
          <w:rFonts w:hint="eastAsia" w:ascii="仿宋_GB2312" w:hAnsi="仿宋_GB2312" w:eastAsia="仿宋_GB2312" w:cs="仿宋_GB2312"/>
          <w:sz w:val="32"/>
          <w:szCs w:val="22"/>
        </w:rPr>
        <w:t>年全年预算批复数</w:t>
      </w:r>
      <w:r>
        <w:rPr>
          <w:rFonts w:hint="eastAsia" w:ascii="仿宋_GB2312" w:hAnsi="仿宋_GB2312" w:eastAsia="仿宋_GB2312" w:cs="仿宋_GB2312"/>
          <w:sz w:val="32"/>
          <w:szCs w:val="22"/>
          <w:lang w:val="en-US" w:eastAsia="zh-CN"/>
        </w:rPr>
        <w:t>9</w:t>
      </w:r>
      <w:r>
        <w:rPr>
          <w:rFonts w:hint="eastAsia" w:ascii="仿宋_GB2312" w:hAnsi="仿宋_GB2312" w:eastAsia="仿宋_GB2312" w:cs="仿宋_GB2312"/>
          <w:sz w:val="32"/>
          <w:szCs w:val="22"/>
        </w:rPr>
        <w:t>1,</w:t>
      </w:r>
      <w:r>
        <w:rPr>
          <w:rFonts w:hint="eastAsia" w:ascii="仿宋_GB2312" w:hAnsi="仿宋_GB2312" w:eastAsia="仿宋_GB2312" w:cs="仿宋_GB2312"/>
          <w:sz w:val="32"/>
          <w:szCs w:val="22"/>
          <w:lang w:val="en-US" w:eastAsia="zh-CN"/>
        </w:rPr>
        <w:t>051</w:t>
      </w:r>
      <w:r>
        <w:rPr>
          <w:rFonts w:hint="eastAsia" w:ascii="仿宋_GB2312" w:hAnsi="仿宋_GB2312" w:eastAsia="仿宋_GB2312" w:cs="仿宋_GB2312"/>
          <w:sz w:val="32"/>
          <w:szCs w:val="22"/>
        </w:rPr>
        <w:t>.</w:t>
      </w:r>
      <w:r>
        <w:rPr>
          <w:rFonts w:hint="eastAsia" w:ascii="仿宋_GB2312" w:hAnsi="仿宋_GB2312" w:eastAsia="仿宋_GB2312" w:cs="仿宋_GB2312"/>
          <w:sz w:val="32"/>
          <w:szCs w:val="22"/>
          <w:lang w:val="en-US" w:eastAsia="zh-CN"/>
        </w:rPr>
        <w:t>23</w:t>
      </w:r>
      <w:r>
        <w:rPr>
          <w:rFonts w:hint="eastAsia" w:ascii="仿宋_GB2312" w:hAnsi="仿宋_GB2312" w:eastAsia="仿宋_GB2312" w:cs="仿宋_GB2312"/>
          <w:sz w:val="32"/>
          <w:szCs w:val="22"/>
        </w:rPr>
        <w:t>万元，结转结余4</w:t>
      </w:r>
      <w:r>
        <w:rPr>
          <w:rFonts w:hint="eastAsia" w:ascii="仿宋_GB2312" w:hAnsi="仿宋_GB2312" w:eastAsia="仿宋_GB2312" w:cs="仿宋_GB2312"/>
          <w:sz w:val="32"/>
          <w:szCs w:val="22"/>
          <w:lang w:val="en-US" w:eastAsia="zh-CN"/>
        </w:rPr>
        <w:t>,</w:t>
      </w:r>
      <w:r>
        <w:rPr>
          <w:rFonts w:hint="eastAsia" w:ascii="仿宋_GB2312" w:hAnsi="仿宋_GB2312" w:eastAsia="仿宋_GB2312" w:cs="仿宋_GB2312"/>
          <w:sz w:val="32"/>
          <w:szCs w:val="22"/>
        </w:rPr>
        <w:t>646.29万元，结转结余率为</w:t>
      </w:r>
      <w:r>
        <w:rPr>
          <w:rFonts w:hint="eastAsia" w:ascii="仿宋_GB2312" w:hAnsi="仿宋_GB2312" w:eastAsia="仿宋_GB2312" w:cs="仿宋_GB2312"/>
          <w:sz w:val="32"/>
          <w:szCs w:val="22"/>
          <w:lang w:val="en-US" w:eastAsia="zh-CN"/>
        </w:rPr>
        <w:t>5.10</w:t>
      </w:r>
      <w:r>
        <w:rPr>
          <w:rFonts w:hint="eastAsia" w:ascii="仿宋_GB2312" w:hAnsi="仿宋_GB2312" w:eastAsia="仿宋_GB2312" w:cs="仿宋_GB2312"/>
          <w:sz w:val="32"/>
          <w:szCs w:val="22"/>
        </w:rPr>
        <w:t>%，较上年结转结余率（6.87%）</w:t>
      </w:r>
      <w:r>
        <w:rPr>
          <w:rFonts w:hint="eastAsia" w:ascii="仿宋_GB2312" w:hAnsi="仿宋_GB2312" w:eastAsia="仿宋_GB2312" w:cs="仿宋_GB2312"/>
          <w:sz w:val="32"/>
          <w:szCs w:val="22"/>
          <w:lang w:val="en-US" w:eastAsia="zh-CN"/>
        </w:rPr>
        <w:t>低1.77</w:t>
      </w:r>
      <w:r>
        <w:rPr>
          <w:rFonts w:hint="eastAsia" w:ascii="仿宋_GB2312" w:hAnsi="仿宋_GB2312" w:eastAsia="仿宋_GB2312" w:cs="仿宋_GB2312"/>
          <w:sz w:val="32"/>
          <w:szCs w:val="22"/>
        </w:rPr>
        <w:t>%。</w:t>
      </w:r>
    </w:p>
    <w:p>
      <w:pPr>
        <w:spacing w:line="600" w:lineRule="exact"/>
        <w:ind w:firstLine="640" w:firstLineChars="200"/>
        <w:outlineLvl w:val="1"/>
        <w:rPr>
          <w:rFonts w:ascii="楷体" w:hAnsi="楷体" w:eastAsia="楷体"/>
          <w:color w:val="auto"/>
          <w:sz w:val="32"/>
          <w:szCs w:val="32"/>
        </w:rPr>
      </w:pPr>
      <w:bookmarkStart w:id="37" w:name="_Toc18948"/>
      <w:bookmarkStart w:id="38" w:name="_Toc2259"/>
      <w:bookmarkStart w:id="39" w:name="_Toc30337"/>
      <w:r>
        <w:rPr>
          <w:rFonts w:hint="eastAsia" w:ascii="楷体" w:hAnsi="楷体" w:eastAsia="楷体"/>
          <w:color w:val="auto"/>
          <w:sz w:val="32"/>
          <w:szCs w:val="32"/>
        </w:rPr>
        <w:t>（五）部门</w:t>
      </w:r>
      <w:r>
        <w:rPr>
          <w:rFonts w:ascii="楷体" w:hAnsi="楷体" w:eastAsia="楷体"/>
          <w:color w:val="auto"/>
          <w:sz w:val="32"/>
          <w:szCs w:val="32"/>
        </w:rPr>
        <w:t>预决算差异率</w:t>
      </w:r>
      <w:bookmarkEnd w:id="37"/>
      <w:bookmarkEnd w:id="38"/>
      <w:bookmarkEnd w:id="3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22"/>
          <w:lang w:val="en-US" w:eastAsia="zh-CN"/>
        </w:rPr>
      </w:pPr>
      <w:r>
        <w:rPr>
          <w:rFonts w:hint="eastAsia" w:ascii="仿宋_GB2312" w:hAnsi="仿宋_GB2312" w:eastAsia="仿宋_GB2312" w:cs="仿宋_GB2312"/>
          <w:sz w:val="32"/>
          <w:szCs w:val="22"/>
        </w:rPr>
        <w:t>202</w:t>
      </w:r>
      <w:r>
        <w:rPr>
          <w:rFonts w:hint="eastAsia" w:ascii="仿宋_GB2312" w:hAnsi="仿宋_GB2312" w:eastAsia="仿宋_GB2312" w:cs="仿宋_GB2312"/>
          <w:sz w:val="32"/>
          <w:szCs w:val="22"/>
          <w:lang w:val="en-US" w:eastAsia="zh-CN"/>
        </w:rPr>
        <w:t>2</w:t>
      </w:r>
      <w:r>
        <w:rPr>
          <w:rFonts w:hint="eastAsia" w:ascii="仿宋_GB2312" w:hAnsi="仿宋_GB2312" w:eastAsia="仿宋_GB2312" w:cs="仿宋_GB2312"/>
          <w:sz w:val="32"/>
          <w:szCs w:val="22"/>
        </w:rPr>
        <w:t>年部门全年预算收入</w:t>
      </w:r>
      <w:r>
        <w:rPr>
          <w:rFonts w:hint="eastAsia" w:ascii="仿宋_GB2312" w:hAnsi="仿宋_GB2312" w:eastAsia="仿宋_GB2312" w:cs="仿宋_GB2312"/>
          <w:sz w:val="32"/>
          <w:szCs w:val="22"/>
          <w:lang w:val="en-US" w:eastAsia="zh-CN"/>
        </w:rPr>
        <w:t>91</w:t>
      </w:r>
      <w:r>
        <w:rPr>
          <w:rFonts w:hint="eastAsia" w:ascii="仿宋_GB2312" w:hAnsi="仿宋_GB2312" w:eastAsia="仿宋_GB2312" w:cs="仿宋_GB2312"/>
          <w:sz w:val="32"/>
          <w:szCs w:val="22"/>
        </w:rPr>
        <w:t>,</w:t>
      </w:r>
      <w:r>
        <w:rPr>
          <w:rFonts w:hint="eastAsia" w:ascii="仿宋_GB2312" w:hAnsi="仿宋_GB2312" w:eastAsia="仿宋_GB2312" w:cs="仿宋_GB2312"/>
          <w:sz w:val="32"/>
          <w:szCs w:val="22"/>
          <w:lang w:val="en-US" w:eastAsia="zh-CN"/>
        </w:rPr>
        <w:t>051</w:t>
      </w:r>
      <w:r>
        <w:rPr>
          <w:rFonts w:hint="eastAsia" w:ascii="仿宋_GB2312" w:hAnsi="仿宋_GB2312" w:eastAsia="仿宋_GB2312" w:cs="仿宋_GB2312"/>
          <w:sz w:val="32"/>
          <w:szCs w:val="22"/>
        </w:rPr>
        <w:t>.</w:t>
      </w:r>
      <w:r>
        <w:rPr>
          <w:rFonts w:hint="eastAsia" w:ascii="仿宋_GB2312" w:hAnsi="仿宋_GB2312" w:eastAsia="仿宋_GB2312" w:cs="仿宋_GB2312"/>
          <w:sz w:val="32"/>
          <w:szCs w:val="22"/>
          <w:lang w:val="en-US" w:eastAsia="zh-CN"/>
        </w:rPr>
        <w:t>23</w:t>
      </w:r>
      <w:r>
        <w:rPr>
          <w:rFonts w:hint="eastAsia" w:ascii="仿宋_GB2312" w:hAnsi="仿宋_GB2312" w:eastAsia="仿宋_GB2312" w:cs="仿宋_GB2312"/>
          <w:sz w:val="32"/>
          <w:szCs w:val="22"/>
        </w:rPr>
        <w:t>万元，较年初预算</w:t>
      </w:r>
      <w:r>
        <w:rPr>
          <w:rFonts w:hint="eastAsia" w:ascii="仿宋_GB2312" w:hAnsi="仿宋_GB2312" w:eastAsia="仿宋_GB2312" w:cs="仿宋_GB2312"/>
          <w:sz w:val="32"/>
          <w:szCs w:val="22"/>
          <w:lang w:val="en-US" w:eastAsia="zh-CN"/>
        </w:rPr>
        <w:t>21</w:t>
      </w:r>
      <w:r>
        <w:rPr>
          <w:rFonts w:hint="eastAsia" w:ascii="仿宋_GB2312" w:hAnsi="仿宋_GB2312" w:eastAsia="仿宋_GB2312" w:cs="仿宋_GB2312"/>
          <w:sz w:val="32"/>
          <w:szCs w:val="22"/>
        </w:rPr>
        <w:t>,2</w:t>
      </w:r>
      <w:r>
        <w:rPr>
          <w:rFonts w:hint="eastAsia" w:ascii="仿宋_GB2312" w:hAnsi="仿宋_GB2312" w:eastAsia="仿宋_GB2312" w:cs="仿宋_GB2312"/>
          <w:sz w:val="32"/>
          <w:szCs w:val="22"/>
          <w:lang w:val="en-US" w:eastAsia="zh-CN"/>
        </w:rPr>
        <w:t>20</w:t>
      </w:r>
      <w:r>
        <w:rPr>
          <w:rFonts w:hint="eastAsia" w:ascii="仿宋_GB2312" w:hAnsi="仿宋_GB2312" w:eastAsia="仿宋_GB2312" w:cs="仿宋_GB2312"/>
          <w:sz w:val="32"/>
          <w:szCs w:val="22"/>
        </w:rPr>
        <w:t>.</w:t>
      </w:r>
      <w:r>
        <w:rPr>
          <w:rFonts w:hint="eastAsia" w:ascii="仿宋_GB2312" w:hAnsi="仿宋_GB2312" w:eastAsia="仿宋_GB2312" w:cs="仿宋_GB2312"/>
          <w:sz w:val="32"/>
          <w:szCs w:val="22"/>
          <w:lang w:val="en-US" w:eastAsia="zh-CN"/>
        </w:rPr>
        <w:t>42</w:t>
      </w:r>
      <w:r>
        <w:rPr>
          <w:rFonts w:hint="eastAsia" w:ascii="仿宋_GB2312" w:hAnsi="仿宋_GB2312" w:eastAsia="仿宋_GB2312" w:cs="仿宋_GB2312"/>
          <w:sz w:val="32"/>
          <w:szCs w:val="22"/>
        </w:rPr>
        <w:t>万元增加</w:t>
      </w:r>
      <w:r>
        <w:rPr>
          <w:rFonts w:hint="eastAsia" w:ascii="仿宋_GB2312" w:hAnsi="仿宋_GB2312" w:eastAsia="仿宋_GB2312" w:cs="仿宋_GB2312"/>
          <w:sz w:val="32"/>
          <w:szCs w:val="22"/>
          <w:lang w:val="en-US" w:eastAsia="zh-CN"/>
        </w:rPr>
        <w:t>69</w:t>
      </w:r>
      <w:r>
        <w:rPr>
          <w:rFonts w:hint="eastAsia" w:ascii="仿宋_GB2312" w:hAnsi="仿宋_GB2312" w:eastAsia="仿宋_GB2312" w:cs="仿宋_GB2312"/>
          <w:sz w:val="32"/>
          <w:szCs w:val="22"/>
        </w:rPr>
        <w:t>,</w:t>
      </w:r>
      <w:r>
        <w:rPr>
          <w:rFonts w:hint="eastAsia" w:ascii="仿宋_GB2312" w:hAnsi="仿宋_GB2312" w:eastAsia="仿宋_GB2312" w:cs="仿宋_GB2312"/>
          <w:sz w:val="32"/>
          <w:szCs w:val="22"/>
          <w:lang w:val="en-US" w:eastAsia="zh-CN"/>
        </w:rPr>
        <w:t>830</w:t>
      </w:r>
      <w:r>
        <w:rPr>
          <w:rFonts w:hint="eastAsia" w:ascii="仿宋_GB2312" w:hAnsi="仿宋_GB2312" w:eastAsia="仿宋_GB2312" w:cs="仿宋_GB2312"/>
          <w:sz w:val="32"/>
          <w:szCs w:val="22"/>
        </w:rPr>
        <w:t>.</w:t>
      </w:r>
      <w:r>
        <w:rPr>
          <w:rFonts w:hint="eastAsia" w:ascii="仿宋_GB2312" w:hAnsi="仿宋_GB2312" w:eastAsia="仿宋_GB2312" w:cs="仿宋_GB2312"/>
          <w:sz w:val="32"/>
          <w:szCs w:val="22"/>
          <w:lang w:val="en-US" w:eastAsia="zh-CN"/>
        </w:rPr>
        <w:t>81</w:t>
      </w:r>
      <w:r>
        <w:rPr>
          <w:rFonts w:hint="eastAsia" w:ascii="仿宋_GB2312" w:hAnsi="仿宋_GB2312" w:eastAsia="仿宋_GB2312" w:cs="仿宋_GB2312"/>
          <w:sz w:val="32"/>
          <w:szCs w:val="22"/>
        </w:rPr>
        <w:t>万元，预决算差异率为</w:t>
      </w:r>
      <w:r>
        <w:rPr>
          <w:rFonts w:hint="eastAsia" w:ascii="仿宋_GB2312" w:hAnsi="仿宋_GB2312" w:eastAsia="仿宋_GB2312" w:cs="仿宋_GB2312"/>
          <w:sz w:val="32"/>
          <w:szCs w:val="22"/>
          <w:lang w:val="en-US" w:eastAsia="zh-CN"/>
        </w:rPr>
        <w:t>329</w:t>
      </w:r>
      <w:r>
        <w:rPr>
          <w:rFonts w:hint="eastAsia" w:ascii="仿宋_GB2312" w:hAnsi="仿宋_GB2312" w:eastAsia="仿宋_GB2312" w:cs="仿宋_GB2312"/>
          <w:sz w:val="32"/>
          <w:szCs w:val="22"/>
        </w:rPr>
        <w:t>.</w:t>
      </w:r>
      <w:r>
        <w:rPr>
          <w:rFonts w:hint="eastAsia" w:ascii="仿宋_GB2312" w:hAnsi="仿宋_GB2312" w:eastAsia="仿宋_GB2312" w:cs="仿宋_GB2312"/>
          <w:sz w:val="32"/>
          <w:szCs w:val="22"/>
          <w:lang w:val="en-US" w:eastAsia="zh-CN"/>
        </w:rPr>
        <w:t>07</w:t>
      </w:r>
      <w:r>
        <w:rPr>
          <w:rFonts w:hint="eastAsia" w:ascii="仿宋_GB2312" w:hAnsi="仿宋_GB2312" w:eastAsia="仿宋_GB2312" w:cs="仿宋_GB2312"/>
          <w:sz w:val="32"/>
          <w:szCs w:val="22"/>
        </w:rPr>
        <w:t>%，</w:t>
      </w:r>
      <w:r>
        <w:rPr>
          <w:rFonts w:hint="eastAsia" w:ascii="仿宋_GB2312" w:hAnsi="仿宋_GB2312" w:eastAsia="仿宋_GB2312" w:cs="仿宋_GB2312"/>
          <w:sz w:val="32"/>
          <w:szCs w:val="22"/>
          <w:lang w:val="en-US" w:eastAsia="zh-CN"/>
        </w:rPr>
        <w:t>高</w:t>
      </w:r>
      <w:r>
        <w:rPr>
          <w:rFonts w:hint="eastAsia" w:ascii="仿宋_GB2312" w:hAnsi="仿宋_GB2312" w:eastAsia="仿宋_GB2312" w:cs="仿宋_GB2312"/>
          <w:sz w:val="32"/>
          <w:szCs w:val="22"/>
        </w:rPr>
        <w:t>于市级平均差异率（28.30%）。主要原因：一是落实中央及市委市政府要求，建立本市成品油政府储备，</w:t>
      </w:r>
      <w:r>
        <w:rPr>
          <w:rFonts w:hint="eastAsia" w:ascii="仿宋_GB2312" w:hAnsi="仿宋_GB2312" w:eastAsia="仿宋_GB2312" w:cs="仿宋_GB2312"/>
          <w:sz w:val="32"/>
          <w:szCs w:val="22"/>
          <w:lang w:val="en-US" w:eastAsia="zh-CN"/>
        </w:rPr>
        <w:t>财政</w:t>
      </w:r>
      <w:r>
        <w:rPr>
          <w:rFonts w:hint="eastAsia" w:ascii="仿宋_GB2312" w:hAnsi="仿宋_GB2312" w:eastAsia="仿宋_GB2312" w:cs="仿宋_GB2312"/>
          <w:sz w:val="32"/>
          <w:szCs w:val="22"/>
        </w:rPr>
        <w:t>安排预算资金大幅度增加；二是所属单位北京国家粮食交易中心事业收入较预期有所增加</w:t>
      </w:r>
      <w:r>
        <w:rPr>
          <w:rFonts w:hint="eastAsia" w:ascii="仿宋_GB2312" w:hAnsi="仿宋_GB2312" w:eastAsia="仿宋_GB2312" w:cs="仿宋_GB2312"/>
          <w:sz w:val="32"/>
          <w:szCs w:val="22"/>
          <w:lang w:val="en-US" w:eastAsia="zh-CN"/>
        </w:rPr>
        <w:t>。</w:t>
      </w:r>
    </w:p>
    <w:p>
      <w:pPr>
        <w:spacing w:line="600" w:lineRule="exact"/>
        <w:ind w:firstLine="640" w:firstLineChars="200"/>
        <w:outlineLvl w:val="0"/>
        <w:rPr>
          <w:rFonts w:ascii="黑体" w:hAnsi="黑体" w:eastAsia="黑体" w:cs="宋体"/>
          <w:color w:val="auto"/>
          <w:kern w:val="0"/>
          <w:sz w:val="32"/>
          <w:szCs w:val="32"/>
        </w:rPr>
      </w:pPr>
      <w:bookmarkStart w:id="40" w:name="_Toc29476"/>
      <w:bookmarkStart w:id="41" w:name="_Toc18602"/>
      <w:bookmarkStart w:id="42" w:name="_Toc4721"/>
      <w:r>
        <w:rPr>
          <w:rFonts w:hint="eastAsia" w:ascii="黑体" w:hAnsi="黑体" w:eastAsia="黑体" w:cs="宋体"/>
          <w:color w:val="auto"/>
          <w:kern w:val="0"/>
          <w:sz w:val="32"/>
          <w:szCs w:val="32"/>
        </w:rPr>
        <w:t>五、总体</w:t>
      </w:r>
      <w:r>
        <w:rPr>
          <w:rFonts w:ascii="黑体" w:hAnsi="黑体" w:eastAsia="黑体" w:cs="宋体"/>
          <w:color w:val="auto"/>
          <w:kern w:val="0"/>
          <w:sz w:val="32"/>
          <w:szCs w:val="32"/>
        </w:rPr>
        <w:t>评价结论</w:t>
      </w:r>
      <w:bookmarkEnd w:id="40"/>
      <w:bookmarkEnd w:id="41"/>
      <w:bookmarkEnd w:id="42"/>
    </w:p>
    <w:p>
      <w:pPr>
        <w:spacing w:line="600" w:lineRule="exact"/>
        <w:ind w:firstLine="640" w:firstLineChars="200"/>
        <w:outlineLvl w:val="1"/>
        <w:rPr>
          <w:rFonts w:ascii="楷体" w:hAnsi="楷体" w:eastAsia="楷体"/>
          <w:color w:val="auto"/>
          <w:sz w:val="32"/>
          <w:szCs w:val="32"/>
        </w:rPr>
      </w:pPr>
      <w:bookmarkStart w:id="43" w:name="_Toc16917"/>
      <w:bookmarkStart w:id="44" w:name="_Toc14417"/>
      <w:bookmarkStart w:id="45" w:name="_Toc28901"/>
      <w:r>
        <w:rPr>
          <w:rFonts w:hint="eastAsia" w:ascii="楷体" w:hAnsi="楷体" w:eastAsia="楷体"/>
          <w:color w:val="auto"/>
          <w:sz w:val="32"/>
          <w:szCs w:val="32"/>
        </w:rPr>
        <w:t>（一）评价</w:t>
      </w:r>
      <w:r>
        <w:rPr>
          <w:rFonts w:ascii="楷体" w:hAnsi="楷体" w:eastAsia="楷体"/>
          <w:color w:val="auto"/>
          <w:sz w:val="32"/>
          <w:szCs w:val="32"/>
        </w:rPr>
        <w:t>得分</w:t>
      </w:r>
      <w:r>
        <w:rPr>
          <w:rFonts w:hint="eastAsia" w:ascii="楷体" w:hAnsi="楷体" w:eastAsia="楷体"/>
          <w:color w:val="auto"/>
          <w:sz w:val="32"/>
          <w:szCs w:val="32"/>
        </w:rPr>
        <w:t>情况</w:t>
      </w:r>
      <w:bookmarkEnd w:id="43"/>
      <w:bookmarkEnd w:id="44"/>
      <w:bookmarkEnd w:id="4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rPr>
      </w:pPr>
      <w:r>
        <w:rPr>
          <w:rFonts w:hint="eastAsia" w:ascii="仿宋_GB2312" w:hAnsi="仿宋_GB2312" w:eastAsia="仿宋_GB2312" w:cs="仿宋_GB2312"/>
          <w:sz w:val="32"/>
          <w:szCs w:val="22"/>
          <w:lang w:eastAsia="zh-CN"/>
        </w:rPr>
        <w:t>根据《</w:t>
      </w:r>
      <w:r>
        <w:rPr>
          <w:rFonts w:hint="eastAsia" w:ascii="仿宋_GB2312" w:hAnsi="仿宋_GB2312" w:eastAsia="仿宋_GB2312" w:cs="仿宋_GB2312"/>
          <w:sz w:val="32"/>
          <w:szCs w:val="22"/>
        </w:rPr>
        <w:t>部门整体绩效评价指标体系评分表</w:t>
      </w:r>
      <w:r>
        <w:rPr>
          <w:rFonts w:hint="eastAsia" w:ascii="仿宋_GB2312" w:hAnsi="仿宋_GB2312" w:eastAsia="仿宋_GB2312" w:cs="仿宋_GB2312"/>
          <w:sz w:val="32"/>
          <w:szCs w:val="22"/>
          <w:lang w:eastAsia="zh-CN"/>
        </w:rPr>
        <w:t>》（见附件）进行逐项</w:t>
      </w:r>
      <w:r>
        <w:rPr>
          <w:rFonts w:hint="eastAsia" w:ascii="仿宋_GB2312" w:hAnsi="仿宋_GB2312" w:eastAsia="仿宋_GB2312" w:cs="仿宋_GB2312"/>
          <w:sz w:val="32"/>
          <w:szCs w:val="22"/>
        </w:rPr>
        <w:t>评价，市粮食和储备局202</w:t>
      </w:r>
      <w:r>
        <w:rPr>
          <w:rFonts w:hint="eastAsia" w:ascii="仿宋_GB2312" w:hAnsi="仿宋_GB2312" w:eastAsia="仿宋_GB2312" w:cs="仿宋_GB2312"/>
          <w:sz w:val="32"/>
          <w:szCs w:val="22"/>
          <w:lang w:val="en-US" w:eastAsia="zh-CN"/>
        </w:rPr>
        <w:t>2</w:t>
      </w:r>
      <w:r>
        <w:rPr>
          <w:rFonts w:hint="eastAsia" w:ascii="仿宋_GB2312" w:hAnsi="仿宋_GB2312" w:eastAsia="仿宋_GB2312" w:cs="仿宋_GB2312"/>
          <w:sz w:val="32"/>
          <w:szCs w:val="22"/>
        </w:rPr>
        <w:t>年度部门整体支出绩效评价总得分9</w:t>
      </w:r>
      <w:r>
        <w:rPr>
          <w:rFonts w:hint="eastAsia" w:ascii="仿宋_GB2312" w:hAnsi="仿宋_GB2312" w:eastAsia="仿宋_GB2312" w:cs="仿宋_GB2312"/>
          <w:sz w:val="32"/>
          <w:szCs w:val="22"/>
          <w:lang w:val="en-US" w:eastAsia="zh-CN"/>
        </w:rPr>
        <w:t>0</w:t>
      </w:r>
      <w:r>
        <w:rPr>
          <w:rFonts w:hint="eastAsia" w:ascii="仿宋_GB2312" w:hAnsi="仿宋_GB2312" w:eastAsia="仿宋_GB2312" w:cs="仿宋_GB2312"/>
          <w:sz w:val="32"/>
          <w:szCs w:val="22"/>
        </w:rPr>
        <w:t>.</w:t>
      </w:r>
      <w:r>
        <w:rPr>
          <w:rFonts w:hint="eastAsia" w:ascii="仿宋_GB2312" w:hAnsi="仿宋_GB2312" w:eastAsia="仿宋_GB2312" w:cs="仿宋_GB2312"/>
          <w:sz w:val="32"/>
          <w:szCs w:val="22"/>
          <w:lang w:val="en-US" w:eastAsia="zh-CN"/>
        </w:rPr>
        <w:t>9</w:t>
      </w:r>
      <w:r>
        <w:rPr>
          <w:rFonts w:hint="eastAsia" w:ascii="仿宋_GB2312" w:hAnsi="仿宋_GB2312" w:eastAsia="仿宋_GB2312" w:cs="仿宋_GB2312"/>
          <w:sz w:val="32"/>
          <w:szCs w:val="22"/>
        </w:rPr>
        <w:t>8分，评价结果为“优秀”。其中当年预算执行情况得分18.</w:t>
      </w:r>
      <w:r>
        <w:rPr>
          <w:rFonts w:hint="eastAsia" w:ascii="仿宋_GB2312" w:hAnsi="仿宋_GB2312" w:eastAsia="仿宋_GB2312" w:cs="仿宋_GB2312"/>
          <w:sz w:val="32"/>
          <w:szCs w:val="22"/>
          <w:lang w:val="en-US" w:eastAsia="zh-CN"/>
        </w:rPr>
        <w:t>98</w:t>
      </w:r>
      <w:r>
        <w:rPr>
          <w:rFonts w:hint="eastAsia" w:ascii="仿宋_GB2312" w:hAnsi="仿宋_GB2312" w:eastAsia="仿宋_GB2312" w:cs="仿宋_GB2312"/>
          <w:sz w:val="32"/>
          <w:szCs w:val="22"/>
        </w:rPr>
        <w:t>分；整体绩效目标实现情况得分5</w:t>
      </w:r>
      <w:r>
        <w:rPr>
          <w:rFonts w:hint="eastAsia" w:ascii="仿宋_GB2312" w:hAnsi="仿宋_GB2312" w:eastAsia="仿宋_GB2312" w:cs="仿宋_GB2312"/>
          <w:sz w:val="32"/>
          <w:szCs w:val="22"/>
          <w:lang w:val="en-US" w:eastAsia="zh-CN"/>
        </w:rPr>
        <w:t>6</w:t>
      </w:r>
      <w:r>
        <w:rPr>
          <w:rFonts w:hint="eastAsia" w:ascii="仿宋_GB2312" w:hAnsi="仿宋_GB2312" w:eastAsia="仿宋_GB2312" w:cs="仿宋_GB2312"/>
          <w:sz w:val="32"/>
          <w:szCs w:val="22"/>
        </w:rPr>
        <w:t>.00分；预算管理情况得分1</w:t>
      </w:r>
      <w:r>
        <w:rPr>
          <w:rFonts w:hint="eastAsia" w:ascii="仿宋_GB2312" w:hAnsi="仿宋_GB2312" w:eastAsia="仿宋_GB2312" w:cs="仿宋_GB2312"/>
          <w:sz w:val="32"/>
          <w:szCs w:val="22"/>
          <w:lang w:val="en-US" w:eastAsia="zh-CN"/>
        </w:rPr>
        <w:t>6</w:t>
      </w:r>
      <w:r>
        <w:rPr>
          <w:rFonts w:hint="eastAsia" w:ascii="仿宋_GB2312" w:hAnsi="仿宋_GB2312" w:eastAsia="仿宋_GB2312" w:cs="仿宋_GB2312"/>
          <w:sz w:val="32"/>
          <w:szCs w:val="22"/>
        </w:rPr>
        <w:t>.</w:t>
      </w:r>
      <w:r>
        <w:rPr>
          <w:rFonts w:hint="eastAsia" w:ascii="仿宋_GB2312" w:hAnsi="仿宋_GB2312" w:eastAsia="仿宋_GB2312" w:cs="仿宋_GB2312"/>
          <w:sz w:val="32"/>
          <w:szCs w:val="22"/>
          <w:lang w:val="en-US" w:eastAsia="zh-CN"/>
        </w:rPr>
        <w:t>00</w:t>
      </w:r>
      <w:r>
        <w:rPr>
          <w:rFonts w:hint="eastAsia" w:ascii="仿宋_GB2312" w:hAnsi="仿宋_GB2312" w:eastAsia="仿宋_GB2312" w:cs="仿宋_GB2312"/>
          <w:sz w:val="32"/>
          <w:szCs w:val="22"/>
        </w:rPr>
        <w:t>分。</w:t>
      </w:r>
    </w:p>
    <w:p>
      <w:pPr>
        <w:spacing w:line="600" w:lineRule="exact"/>
        <w:ind w:firstLine="640" w:firstLineChars="200"/>
        <w:outlineLvl w:val="1"/>
        <w:rPr>
          <w:rFonts w:hint="default" w:ascii="楷体" w:hAnsi="楷体" w:eastAsia="楷体"/>
          <w:color w:val="auto"/>
          <w:sz w:val="32"/>
          <w:szCs w:val="32"/>
          <w:lang w:val="en-US" w:eastAsia="zh-CN"/>
        </w:rPr>
      </w:pPr>
      <w:bookmarkStart w:id="46" w:name="_Toc13060"/>
      <w:bookmarkStart w:id="47" w:name="_Toc13151"/>
      <w:bookmarkStart w:id="48" w:name="_Toc18902"/>
      <w:r>
        <w:rPr>
          <w:rFonts w:hint="eastAsia" w:ascii="楷体" w:hAnsi="楷体" w:eastAsia="楷体"/>
          <w:color w:val="auto"/>
          <w:sz w:val="32"/>
          <w:szCs w:val="32"/>
        </w:rPr>
        <w:t>（二）存在的问题</w:t>
      </w:r>
      <w:r>
        <w:rPr>
          <w:rFonts w:hint="eastAsia" w:ascii="楷体" w:hAnsi="楷体" w:eastAsia="楷体"/>
          <w:color w:val="auto"/>
          <w:sz w:val="32"/>
          <w:szCs w:val="32"/>
          <w:lang w:val="en-US" w:eastAsia="zh-CN"/>
        </w:rPr>
        <w:t>及原因分析</w:t>
      </w:r>
      <w:bookmarkEnd w:id="46"/>
      <w:bookmarkEnd w:id="47"/>
      <w:bookmarkEnd w:id="48"/>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rPr>
      </w:pPr>
      <w:r>
        <w:rPr>
          <w:rFonts w:hint="eastAsia" w:ascii="仿宋_GB2312" w:hAnsi="仿宋_GB2312" w:eastAsia="仿宋_GB2312" w:cs="仿宋_GB2312"/>
          <w:sz w:val="32"/>
          <w:szCs w:val="22"/>
        </w:rPr>
        <w:t>1.项目绩效目标设置规范性和科学性有待提高。</w:t>
      </w:r>
      <w:r>
        <w:rPr>
          <w:rFonts w:hint="eastAsia" w:ascii="仿宋_GB2312" w:hAnsi="仿宋_GB2312" w:eastAsia="仿宋_GB2312" w:cs="仿宋_GB2312"/>
          <w:sz w:val="32"/>
          <w:szCs w:val="22"/>
          <w:lang w:val="en-US" w:eastAsia="zh-CN"/>
        </w:rPr>
        <w:t>部分</w:t>
      </w:r>
      <w:r>
        <w:rPr>
          <w:rFonts w:hint="eastAsia" w:ascii="仿宋_GB2312" w:hAnsi="仿宋_GB2312" w:eastAsia="仿宋_GB2312" w:cs="仿宋_GB2312"/>
          <w:sz w:val="32"/>
          <w:szCs w:val="22"/>
        </w:rPr>
        <w:t>项目绩效目标与实际业务、预算内容等结合不够紧密，存在设定绩效目标涵盖的项目内容不全面、绩效指标之间不够对应、产出和效益指标设置细化</w:t>
      </w:r>
      <w:r>
        <w:rPr>
          <w:rFonts w:hint="eastAsia" w:ascii="仿宋_GB2312" w:hAnsi="仿宋_GB2312" w:eastAsia="仿宋_GB2312" w:cs="仿宋_GB2312"/>
          <w:sz w:val="32"/>
          <w:szCs w:val="22"/>
          <w:lang w:eastAsia="zh-CN"/>
        </w:rPr>
        <w:t>、</w:t>
      </w:r>
      <w:r>
        <w:rPr>
          <w:rFonts w:hint="eastAsia" w:ascii="仿宋_GB2312" w:hAnsi="仿宋_GB2312" w:eastAsia="仿宋_GB2312" w:cs="仿宋_GB2312"/>
          <w:sz w:val="32"/>
          <w:szCs w:val="22"/>
        </w:rPr>
        <w:t>量化</w:t>
      </w:r>
      <w:r>
        <w:rPr>
          <w:rFonts w:hint="eastAsia" w:ascii="仿宋_GB2312" w:hAnsi="仿宋_GB2312" w:eastAsia="仿宋_GB2312" w:cs="仿宋_GB2312"/>
          <w:sz w:val="32"/>
          <w:szCs w:val="22"/>
          <w:lang w:val="en-US" w:eastAsia="zh-CN"/>
        </w:rPr>
        <w:t>程度不足，</w:t>
      </w:r>
      <w:r>
        <w:rPr>
          <w:rFonts w:hint="eastAsia" w:ascii="仿宋_GB2312" w:hAnsi="仿宋_GB2312" w:eastAsia="仿宋_GB2312" w:cs="仿宋_GB2312"/>
          <w:sz w:val="32"/>
          <w:szCs w:val="22"/>
        </w:rPr>
        <w:t>服务对象范围考虑不全面等问题。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rPr>
      </w:pPr>
      <w:r>
        <w:rPr>
          <w:rFonts w:hint="eastAsia" w:ascii="仿宋_GB2312" w:hAnsi="仿宋_GB2312" w:eastAsia="仿宋_GB2312" w:cs="仿宋_GB2312"/>
          <w:sz w:val="32"/>
          <w:szCs w:val="22"/>
        </w:rPr>
        <w:t>2.部分项目实施方案不够完善，缺少项目人员分工、执行进度安排、质量控制措施、验收标准</w:t>
      </w:r>
      <w:r>
        <w:rPr>
          <w:rFonts w:hint="eastAsia" w:ascii="仿宋_GB2312" w:hAnsi="仿宋_GB2312" w:eastAsia="仿宋_GB2312" w:cs="仿宋_GB2312"/>
          <w:sz w:val="32"/>
          <w:szCs w:val="22"/>
          <w:lang w:eastAsia="zh-CN"/>
        </w:rPr>
        <w:t>、</w:t>
      </w:r>
      <w:r>
        <w:rPr>
          <w:rFonts w:hint="eastAsia" w:ascii="仿宋_GB2312" w:hAnsi="仿宋_GB2312" w:eastAsia="仿宋_GB2312" w:cs="仿宋_GB2312"/>
          <w:sz w:val="32"/>
          <w:szCs w:val="22"/>
          <w:lang w:val="en-US" w:eastAsia="zh-CN"/>
        </w:rPr>
        <w:t>风险防控措施</w:t>
      </w:r>
      <w:r>
        <w:rPr>
          <w:rFonts w:hint="eastAsia" w:ascii="仿宋_GB2312" w:hAnsi="仿宋_GB2312" w:eastAsia="仿宋_GB2312" w:cs="仿宋_GB2312"/>
          <w:sz w:val="32"/>
          <w:szCs w:val="22"/>
        </w:rPr>
        <w:t>等内容；个别项目实施过程不够严谨，项目执行</w:t>
      </w:r>
      <w:r>
        <w:rPr>
          <w:rFonts w:hint="eastAsia" w:ascii="仿宋_GB2312" w:hAnsi="仿宋_GB2312" w:eastAsia="仿宋_GB2312" w:cs="仿宋_GB2312"/>
          <w:sz w:val="32"/>
          <w:szCs w:val="22"/>
          <w:lang w:val="en-US" w:eastAsia="zh-CN"/>
        </w:rPr>
        <w:t>过程</w:t>
      </w:r>
      <w:r>
        <w:rPr>
          <w:rFonts w:hint="eastAsia" w:ascii="仿宋_GB2312" w:hAnsi="仿宋_GB2312" w:eastAsia="仿宋_GB2312" w:cs="仿宋_GB2312"/>
          <w:sz w:val="32"/>
          <w:szCs w:val="22"/>
        </w:rPr>
        <w:t>材料留存不够完整。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rPr>
      </w:pPr>
      <w:r>
        <w:rPr>
          <w:rFonts w:hint="eastAsia" w:ascii="仿宋_GB2312" w:hAnsi="仿宋_GB2312" w:eastAsia="仿宋_GB2312" w:cs="仿宋_GB2312"/>
          <w:sz w:val="32"/>
          <w:szCs w:val="22"/>
        </w:rPr>
        <w:t>3.</w:t>
      </w:r>
      <w:r>
        <w:rPr>
          <w:rFonts w:hint="eastAsia" w:ascii="仿宋_GB2312" w:hAnsi="仿宋_GB2312" w:eastAsia="仿宋_GB2312" w:cs="仿宋_GB2312"/>
          <w:sz w:val="32"/>
          <w:szCs w:val="22"/>
          <w:lang w:val="en-US" w:eastAsia="zh-CN"/>
        </w:rPr>
        <w:t>部分</w:t>
      </w:r>
      <w:r>
        <w:rPr>
          <w:rFonts w:hint="eastAsia" w:ascii="仿宋_GB2312" w:hAnsi="仿宋_GB2312" w:eastAsia="仿宋_GB2312" w:cs="仿宋_GB2312"/>
          <w:sz w:val="32"/>
          <w:szCs w:val="22"/>
        </w:rPr>
        <w:t>项目绩效体现不够充分，资料收集不够深入。项目效益效果资料未能充分、完整地呈现。部分项目满意度调查覆盖不够全面</w:t>
      </w:r>
      <w:r>
        <w:rPr>
          <w:rFonts w:hint="eastAsia" w:ascii="仿宋_GB2312" w:hAnsi="仿宋_GB2312" w:eastAsia="仿宋_GB2312" w:cs="仿宋_GB2312"/>
          <w:sz w:val="32"/>
          <w:szCs w:val="22"/>
          <w:lang w:eastAsia="zh-CN"/>
        </w:rPr>
        <w:t>、</w:t>
      </w:r>
      <w:r>
        <w:rPr>
          <w:rFonts w:hint="eastAsia" w:ascii="仿宋_GB2312" w:hAnsi="仿宋_GB2312" w:eastAsia="仿宋_GB2312" w:cs="仿宋_GB2312"/>
          <w:sz w:val="32"/>
          <w:szCs w:val="22"/>
          <w:lang w:val="en-US" w:eastAsia="zh-CN"/>
        </w:rPr>
        <w:t>服务对象满意度</w:t>
      </w:r>
      <w:r>
        <w:rPr>
          <w:rFonts w:hint="eastAsia" w:ascii="仿宋_GB2312" w:hAnsi="仿宋_GB2312" w:eastAsia="仿宋_GB2312" w:cs="仿宋_GB2312"/>
          <w:sz w:val="32"/>
          <w:szCs w:val="22"/>
        </w:rPr>
        <w:t>调查样本量</w:t>
      </w:r>
      <w:r>
        <w:rPr>
          <w:rFonts w:hint="eastAsia" w:ascii="仿宋_GB2312" w:hAnsi="仿宋_GB2312" w:eastAsia="仿宋_GB2312" w:cs="仿宋_GB2312"/>
          <w:sz w:val="32"/>
          <w:szCs w:val="22"/>
          <w:lang w:val="en-US" w:eastAsia="zh-CN"/>
        </w:rPr>
        <w:t>不足</w:t>
      </w:r>
      <w:r>
        <w:rPr>
          <w:rFonts w:hint="eastAsia" w:ascii="仿宋_GB2312" w:hAnsi="仿宋_GB2312" w:eastAsia="仿宋_GB2312" w:cs="仿宋_GB2312"/>
          <w:sz w:val="32"/>
          <w:szCs w:val="22"/>
        </w:rPr>
        <w:t>。</w:t>
      </w:r>
    </w:p>
    <w:p>
      <w:pPr>
        <w:spacing w:line="600" w:lineRule="exact"/>
        <w:ind w:firstLine="640" w:firstLineChars="200"/>
        <w:outlineLvl w:val="0"/>
        <w:rPr>
          <w:rFonts w:hint="eastAsia" w:ascii="黑体" w:hAnsi="黑体" w:eastAsia="黑体" w:cs="宋体"/>
          <w:color w:val="auto"/>
          <w:kern w:val="0"/>
          <w:sz w:val="32"/>
          <w:szCs w:val="32"/>
          <w:lang w:eastAsia="zh-CN"/>
        </w:rPr>
      </w:pPr>
      <w:bookmarkStart w:id="49" w:name="_Toc217"/>
      <w:bookmarkStart w:id="50" w:name="_Toc28108"/>
      <w:bookmarkStart w:id="51" w:name="_Toc165"/>
      <w:r>
        <w:rPr>
          <w:rFonts w:hint="eastAsia" w:ascii="黑体" w:hAnsi="黑体" w:eastAsia="黑体" w:cs="宋体"/>
          <w:color w:val="auto"/>
          <w:kern w:val="0"/>
          <w:sz w:val="32"/>
          <w:szCs w:val="32"/>
        </w:rPr>
        <w:t>六、</w:t>
      </w:r>
      <w:bookmarkEnd w:id="49"/>
      <w:bookmarkEnd w:id="50"/>
      <w:bookmarkEnd w:id="51"/>
      <w:r>
        <w:rPr>
          <w:rFonts w:hint="eastAsia" w:ascii="黑体" w:hAnsi="黑体" w:eastAsia="黑体" w:cs="宋体"/>
          <w:color w:val="auto"/>
          <w:kern w:val="0"/>
          <w:sz w:val="32"/>
          <w:szCs w:val="32"/>
          <w:lang w:eastAsia="zh-CN"/>
        </w:rPr>
        <w:t>措施建议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rPr>
      </w:pPr>
      <w:bookmarkStart w:id="52" w:name="_Toc72401385"/>
      <w:r>
        <w:rPr>
          <w:rFonts w:hint="eastAsia" w:ascii="仿宋_GB2312" w:hAnsi="仿宋_GB2312" w:eastAsia="仿宋_GB2312" w:cs="仿宋_GB2312"/>
          <w:sz w:val="32"/>
          <w:szCs w:val="22"/>
        </w:rPr>
        <w:t>1.</w:t>
      </w:r>
      <w:r>
        <w:rPr>
          <w:rFonts w:hint="eastAsia" w:ascii="仿宋_GB2312" w:hAnsi="仿宋_GB2312" w:eastAsia="仿宋_GB2312" w:cs="仿宋_GB2312"/>
          <w:sz w:val="32"/>
          <w:szCs w:val="22"/>
          <w:lang w:val="en-US" w:eastAsia="zh-CN"/>
        </w:rPr>
        <w:t>进一步</w:t>
      </w:r>
      <w:r>
        <w:rPr>
          <w:rFonts w:hint="eastAsia" w:ascii="仿宋_GB2312" w:hAnsi="楷体" w:eastAsia="仿宋_GB2312"/>
          <w:bCs/>
          <w:kern w:val="0"/>
          <w:sz w:val="32"/>
          <w:szCs w:val="28"/>
          <w:lang w:val="en-US" w:eastAsia="zh-CN"/>
        </w:rPr>
        <w:t>增强</w:t>
      </w:r>
      <w:r>
        <w:rPr>
          <w:rFonts w:hint="eastAsia" w:ascii="仿宋_GB2312" w:hAnsi="仿宋_GB2312" w:eastAsia="仿宋_GB2312" w:cs="仿宋_GB2312"/>
          <w:sz w:val="32"/>
          <w:szCs w:val="22"/>
        </w:rPr>
        <w:t>全面绩效管理意识，加强绩效目标设定合理性、规范性。充分结合实际业务、预算内容，科学、完整</w:t>
      </w:r>
      <w:r>
        <w:rPr>
          <w:rFonts w:hint="eastAsia" w:ascii="仿宋_GB2312" w:hAnsi="仿宋_GB2312" w:eastAsia="仿宋_GB2312" w:cs="仿宋_GB2312"/>
          <w:sz w:val="32"/>
          <w:szCs w:val="22"/>
          <w:lang w:eastAsia="zh-CN"/>
        </w:rPr>
        <w:t>、</w:t>
      </w:r>
      <w:r>
        <w:rPr>
          <w:rFonts w:hint="eastAsia" w:ascii="仿宋_GB2312" w:hAnsi="仿宋_GB2312" w:eastAsia="仿宋_GB2312" w:cs="仿宋_GB2312"/>
          <w:sz w:val="32"/>
          <w:szCs w:val="22"/>
          <w:lang w:val="en-US" w:eastAsia="zh-CN"/>
        </w:rPr>
        <w:t>全面</w:t>
      </w:r>
      <w:r>
        <w:rPr>
          <w:rFonts w:hint="eastAsia" w:ascii="仿宋_GB2312" w:hAnsi="仿宋_GB2312" w:eastAsia="仿宋_GB2312" w:cs="仿宋_GB2312"/>
          <w:sz w:val="32"/>
          <w:szCs w:val="22"/>
        </w:rPr>
        <w:t>地设置绩效目标与指标，并保障绩效目标与指标的对应关系，指标设置做到细化、量化、可衡量。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rPr>
      </w:pPr>
      <w:r>
        <w:rPr>
          <w:rFonts w:hint="eastAsia" w:ascii="仿宋_GB2312" w:hAnsi="仿宋_GB2312" w:eastAsia="仿宋_GB2312" w:cs="仿宋_GB2312"/>
          <w:sz w:val="32"/>
          <w:szCs w:val="22"/>
        </w:rPr>
        <w:t>2.健全完善项目实施方案。根据项目以前年度实施情况或预期计划，制定切实可行的实施方案，明确</w:t>
      </w:r>
      <w:r>
        <w:rPr>
          <w:rFonts w:hint="eastAsia" w:ascii="仿宋_GB2312" w:hAnsi="仿宋_GB2312" w:eastAsia="仿宋_GB2312" w:cs="仿宋_GB2312"/>
          <w:sz w:val="32"/>
          <w:szCs w:val="22"/>
          <w:lang w:val="en-US" w:eastAsia="zh-CN"/>
        </w:rPr>
        <w:t>项目分工、进度安排、质量控制、风险防范等关键</w:t>
      </w:r>
      <w:r>
        <w:rPr>
          <w:rFonts w:hint="eastAsia" w:ascii="仿宋_GB2312" w:hAnsi="仿宋_GB2312" w:eastAsia="仿宋_GB2312" w:cs="仿宋_GB2312"/>
          <w:sz w:val="32"/>
          <w:szCs w:val="22"/>
        </w:rPr>
        <w:t>要素，</w:t>
      </w:r>
      <w:r>
        <w:rPr>
          <w:rFonts w:hint="eastAsia" w:ascii="仿宋_GB2312" w:hAnsi="仿宋_GB2312" w:eastAsia="仿宋_GB2312" w:cs="仿宋_GB2312"/>
          <w:sz w:val="32"/>
          <w:szCs w:val="22"/>
          <w:lang w:val="en-US" w:eastAsia="zh-CN"/>
        </w:rPr>
        <w:t>加强</w:t>
      </w:r>
      <w:r>
        <w:rPr>
          <w:rFonts w:hint="eastAsia" w:ascii="仿宋_GB2312" w:hAnsi="仿宋_GB2312" w:eastAsia="仿宋_GB2312" w:cs="仿宋_GB2312"/>
          <w:sz w:val="32"/>
          <w:szCs w:val="22"/>
        </w:rPr>
        <w:t>对项目实施</w:t>
      </w:r>
      <w:r>
        <w:rPr>
          <w:rFonts w:hint="eastAsia" w:ascii="仿宋_GB2312" w:hAnsi="仿宋_GB2312" w:eastAsia="仿宋_GB2312" w:cs="仿宋_GB2312"/>
          <w:sz w:val="32"/>
          <w:szCs w:val="22"/>
          <w:lang w:val="en-US" w:eastAsia="zh-CN"/>
        </w:rPr>
        <w:t>的</w:t>
      </w:r>
      <w:r>
        <w:rPr>
          <w:rFonts w:hint="eastAsia" w:ascii="仿宋_GB2312" w:hAnsi="仿宋_GB2312" w:eastAsia="仿宋_GB2312" w:cs="仿宋_GB2312"/>
          <w:sz w:val="32"/>
          <w:szCs w:val="22"/>
        </w:rPr>
        <w:t>指导和约束作用，</w:t>
      </w:r>
      <w:r>
        <w:rPr>
          <w:rFonts w:hint="eastAsia" w:ascii="仿宋_GB2312" w:hAnsi="仿宋_GB2312" w:eastAsia="仿宋_GB2312" w:cs="仿宋_GB2312"/>
          <w:sz w:val="32"/>
          <w:szCs w:val="22"/>
          <w:lang w:val="en-US" w:eastAsia="zh-CN"/>
        </w:rPr>
        <w:t>提高</w:t>
      </w:r>
      <w:r>
        <w:rPr>
          <w:rFonts w:hint="eastAsia" w:ascii="仿宋_GB2312" w:hAnsi="仿宋_GB2312" w:eastAsia="仿宋_GB2312" w:cs="仿宋_GB2312"/>
          <w:sz w:val="32"/>
          <w:szCs w:val="22"/>
        </w:rPr>
        <w:t>项目实施过程管理控制</w:t>
      </w:r>
      <w:r>
        <w:rPr>
          <w:rFonts w:hint="eastAsia" w:ascii="仿宋_GB2312" w:hAnsi="仿宋_GB2312" w:eastAsia="仿宋_GB2312" w:cs="仿宋_GB2312"/>
          <w:sz w:val="32"/>
          <w:szCs w:val="22"/>
          <w:lang w:val="en-US" w:eastAsia="zh-CN"/>
        </w:rPr>
        <w:t>水平</w:t>
      </w:r>
      <w:r>
        <w:rPr>
          <w:rFonts w:hint="eastAsia" w:ascii="仿宋_GB2312" w:hAnsi="仿宋_GB2312" w:eastAsia="仿宋_GB2312" w:cs="仿宋_GB2312"/>
          <w:sz w:val="32"/>
          <w:szCs w:val="2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2"/>
        </w:rPr>
        <w:sectPr>
          <w:footerReference r:id="rId3" w:type="default"/>
          <w:pgSz w:w="11906" w:h="16838"/>
          <w:pgMar w:top="1440" w:right="1800" w:bottom="1440" w:left="1800" w:header="851" w:footer="992" w:gutter="0"/>
          <w:pgNumType w:fmt="decimal"/>
          <w:cols w:space="425" w:num="1"/>
          <w:docGrid w:type="lines" w:linePitch="312" w:charSpace="0"/>
        </w:sectPr>
      </w:pPr>
      <w:r>
        <w:rPr>
          <w:rFonts w:hint="eastAsia" w:ascii="仿宋_GB2312" w:hAnsi="仿宋_GB2312" w:eastAsia="仿宋_GB2312" w:cs="仿宋_GB2312"/>
          <w:sz w:val="32"/>
          <w:szCs w:val="22"/>
        </w:rPr>
        <w:t>3.注重</w:t>
      </w:r>
      <w:bookmarkEnd w:id="52"/>
      <w:r>
        <w:rPr>
          <w:rFonts w:hint="eastAsia" w:ascii="仿宋_GB2312" w:hAnsi="仿宋_GB2312" w:eastAsia="仿宋_GB2312" w:cs="仿宋_GB2312"/>
          <w:sz w:val="32"/>
          <w:szCs w:val="22"/>
          <w:lang w:val="en-US" w:eastAsia="zh-CN"/>
        </w:rPr>
        <w:t>延续性项目历年完成情况的统计分析，体现项目执行的创新、提升亮点。关注</w:t>
      </w:r>
      <w:r>
        <w:rPr>
          <w:rFonts w:hint="eastAsia" w:ascii="仿宋_GB2312" w:hAnsi="仿宋_GB2312" w:eastAsia="仿宋_GB2312" w:cs="仿宋_GB2312"/>
          <w:sz w:val="32"/>
          <w:szCs w:val="22"/>
        </w:rPr>
        <w:t>项目效益资料</w:t>
      </w:r>
      <w:r>
        <w:rPr>
          <w:rFonts w:hint="eastAsia" w:ascii="仿宋_GB2312" w:hAnsi="仿宋_GB2312" w:eastAsia="仿宋_GB2312" w:cs="仿宋_GB2312"/>
          <w:sz w:val="32"/>
          <w:szCs w:val="22"/>
          <w:lang w:val="en-US" w:eastAsia="zh-CN"/>
        </w:rPr>
        <w:t>归纳</w:t>
      </w:r>
      <w:r>
        <w:rPr>
          <w:rFonts w:hint="eastAsia" w:ascii="仿宋_GB2312" w:hAnsi="仿宋_GB2312" w:eastAsia="仿宋_GB2312" w:cs="仿宋_GB2312"/>
          <w:sz w:val="32"/>
          <w:szCs w:val="22"/>
        </w:rPr>
        <w:t>收集</w:t>
      </w:r>
      <w:r>
        <w:rPr>
          <w:rFonts w:hint="eastAsia" w:ascii="仿宋_GB2312" w:hAnsi="仿宋_GB2312" w:eastAsia="仿宋_GB2312" w:cs="仿宋_GB2312"/>
          <w:sz w:val="32"/>
          <w:szCs w:val="22"/>
          <w:lang w:val="en-US" w:eastAsia="zh-CN"/>
        </w:rPr>
        <w:t>整理</w:t>
      </w:r>
      <w:r>
        <w:rPr>
          <w:rFonts w:hint="eastAsia" w:ascii="仿宋_GB2312" w:hAnsi="仿宋_GB2312" w:eastAsia="仿宋_GB2312" w:cs="仿宋_GB2312"/>
          <w:sz w:val="32"/>
          <w:szCs w:val="22"/>
        </w:rPr>
        <w:t>，</w:t>
      </w:r>
      <w:r>
        <w:rPr>
          <w:rFonts w:hint="eastAsia" w:ascii="仿宋_GB2312" w:hAnsi="仿宋_GB2312" w:eastAsia="仿宋_GB2312" w:cs="仿宋_GB2312"/>
          <w:sz w:val="32"/>
          <w:szCs w:val="22"/>
          <w:lang w:val="en-US" w:eastAsia="zh-CN"/>
        </w:rPr>
        <w:t>提高项目效益效果的呈现</w:t>
      </w:r>
      <w:r>
        <w:rPr>
          <w:rFonts w:hint="eastAsia" w:ascii="仿宋_GB2312" w:hAnsi="仿宋_GB2312" w:eastAsia="仿宋_GB2312" w:cs="仿宋_GB2312"/>
          <w:sz w:val="32"/>
          <w:szCs w:val="22"/>
        </w:rPr>
        <w:t>。精准定位项目服务对象，选择适当的方式、方法开展服务对象满意度调查</w:t>
      </w:r>
      <w:r>
        <w:rPr>
          <w:rFonts w:hint="eastAsia" w:ascii="仿宋_GB2312" w:hAnsi="仿宋_GB2312" w:eastAsia="仿宋_GB2312" w:cs="仿宋_GB2312"/>
          <w:sz w:val="32"/>
          <w:szCs w:val="22"/>
          <w:lang w:val="en-US" w:eastAsia="zh-CN"/>
        </w:rPr>
        <w:t>并对调查结果进行分析</w:t>
      </w:r>
      <w:r>
        <w:rPr>
          <w:rFonts w:hint="eastAsia" w:ascii="仿宋_GB2312" w:hAnsi="仿宋_GB2312" w:eastAsia="仿宋_GB2312" w:cs="仿宋_GB2312"/>
          <w:sz w:val="32"/>
          <w:szCs w:val="22"/>
        </w:rPr>
        <w:t>，充分反映项目服务对象满意度效果。</w:t>
      </w:r>
    </w:p>
    <w:p>
      <w:pPr>
        <w:pStyle w:val="2"/>
        <w:rPr>
          <w:rFonts w:hint="eastAsia"/>
        </w:rPr>
      </w:pPr>
    </w:p>
    <w:p>
      <w:pPr>
        <w:spacing w:line="20" w:lineRule="exact"/>
        <w:ind w:left="-21" w:leftChars="-10" w:right="42" w:rightChars="20"/>
        <w:rPr>
          <w:color w:val="FF0000"/>
        </w:rPr>
      </w:pPr>
    </w:p>
    <w:p>
      <w:pPr>
        <w:spacing w:line="600" w:lineRule="exact"/>
        <w:jc w:val="center"/>
        <w:rPr>
          <w:rFonts w:ascii="仿宋_GB2312" w:hAnsi="宋体" w:eastAsia="仿宋_GB2312" w:cs="宋体"/>
          <w:color w:val="auto"/>
          <w:kern w:val="0"/>
          <w:sz w:val="32"/>
          <w:szCs w:val="32"/>
        </w:rPr>
      </w:pPr>
      <w:r>
        <w:rPr>
          <w:rFonts w:hint="eastAsia" w:ascii="方正小标宋简体" w:hAnsi="黑体" w:eastAsia="方正小标宋简体" w:cs="宋体"/>
          <w:color w:val="auto"/>
          <w:kern w:val="0"/>
          <w:sz w:val="44"/>
          <w:szCs w:val="44"/>
        </w:rPr>
        <w:t>202</w:t>
      </w:r>
      <w:r>
        <w:rPr>
          <w:rFonts w:hint="eastAsia" w:ascii="方正小标宋简体" w:hAnsi="黑体" w:eastAsia="方正小标宋简体" w:cs="宋体"/>
          <w:color w:val="auto"/>
          <w:kern w:val="0"/>
          <w:sz w:val="44"/>
          <w:szCs w:val="44"/>
          <w:lang w:val="en-US" w:eastAsia="zh-CN"/>
        </w:rPr>
        <w:t>2</w:t>
      </w:r>
      <w:r>
        <w:rPr>
          <w:rFonts w:hint="eastAsia" w:ascii="方正小标宋简体" w:hAnsi="黑体" w:eastAsia="方正小标宋简体" w:cs="宋体"/>
          <w:color w:val="auto"/>
          <w:kern w:val="0"/>
          <w:sz w:val="44"/>
          <w:szCs w:val="44"/>
        </w:rPr>
        <w:t>年部门整体绩效评价指标体系评分表</w:t>
      </w:r>
    </w:p>
    <w:tbl>
      <w:tblPr>
        <w:tblStyle w:val="17"/>
        <w:tblW w:w="5025" w:type="pct"/>
        <w:tblInd w:w="0" w:type="dxa"/>
        <w:tblLayout w:type="fixed"/>
        <w:tblCellMar>
          <w:top w:w="0" w:type="dxa"/>
          <w:left w:w="108" w:type="dxa"/>
          <w:bottom w:w="0" w:type="dxa"/>
          <w:right w:w="108" w:type="dxa"/>
        </w:tblCellMar>
      </w:tblPr>
      <w:tblGrid>
        <w:gridCol w:w="815"/>
        <w:gridCol w:w="141"/>
        <w:gridCol w:w="100"/>
        <w:gridCol w:w="747"/>
        <w:gridCol w:w="484"/>
        <w:gridCol w:w="368"/>
        <w:gridCol w:w="1021"/>
        <w:gridCol w:w="153"/>
        <w:gridCol w:w="284"/>
        <w:gridCol w:w="589"/>
        <w:gridCol w:w="685"/>
        <w:gridCol w:w="176"/>
        <w:gridCol w:w="988"/>
        <w:gridCol w:w="200"/>
        <w:gridCol w:w="770"/>
        <w:gridCol w:w="155"/>
        <w:gridCol w:w="146"/>
        <w:gridCol w:w="750"/>
        <w:gridCol w:w="304"/>
        <w:gridCol w:w="1000"/>
        <w:gridCol w:w="413"/>
        <w:gridCol w:w="961"/>
        <w:gridCol w:w="1863"/>
        <w:gridCol w:w="1131"/>
      </w:tblGrid>
      <w:tr>
        <w:tblPrEx>
          <w:tblCellMar>
            <w:top w:w="0" w:type="dxa"/>
            <w:left w:w="108" w:type="dxa"/>
            <w:bottom w:w="0" w:type="dxa"/>
            <w:right w:w="108" w:type="dxa"/>
          </w:tblCellMar>
        </w:tblPrEx>
        <w:trPr>
          <w:trHeight w:val="624" w:hRule="atLeast"/>
        </w:trPr>
        <w:tc>
          <w:tcPr>
            <w:tcW w:w="14245" w:type="dxa"/>
            <w:gridSpan w:val="24"/>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b/>
                <w:bCs/>
                <w:color w:val="auto"/>
                <w:kern w:val="0"/>
                <w:sz w:val="18"/>
                <w:szCs w:val="18"/>
              </w:rPr>
            </w:pPr>
            <w:r>
              <w:rPr>
                <w:rFonts w:hint="eastAsia" w:ascii="宋体" w:hAnsi="宋体" w:cs="宋体"/>
                <w:b/>
                <w:bCs/>
                <w:color w:val="auto"/>
                <w:kern w:val="0"/>
                <w:sz w:val="18"/>
                <w:szCs w:val="18"/>
              </w:rPr>
              <w:t>一、</w:t>
            </w:r>
            <w:r>
              <w:rPr>
                <w:rFonts w:hint="eastAsia" w:ascii="宋体" w:hAnsi="宋体" w:cs="宋体"/>
                <w:b/>
                <w:bCs/>
                <w:color w:val="auto"/>
                <w:kern w:val="0"/>
                <w:sz w:val="20"/>
                <w:szCs w:val="20"/>
              </w:rPr>
              <w:t>当年预算执行情况（20分）</w:t>
            </w:r>
          </w:p>
        </w:tc>
      </w:tr>
      <w:tr>
        <w:tblPrEx>
          <w:tblCellMar>
            <w:top w:w="0" w:type="dxa"/>
            <w:left w:w="108" w:type="dxa"/>
            <w:bottom w:w="0" w:type="dxa"/>
            <w:right w:w="108" w:type="dxa"/>
          </w:tblCellMar>
        </w:tblPrEx>
        <w:trPr>
          <w:trHeight w:val="624" w:hRule="atLeast"/>
        </w:trPr>
        <w:tc>
          <w:tcPr>
            <w:tcW w:w="1057"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一</w:t>
            </w:r>
            <w:r>
              <w:rPr>
                <w:rFonts w:ascii="宋体" w:hAnsi="宋体" w:cs="宋体"/>
                <w:b/>
                <w:bCs/>
                <w:color w:val="auto"/>
                <w:kern w:val="0"/>
                <w:sz w:val="20"/>
                <w:szCs w:val="20"/>
              </w:rPr>
              <w:t>级指标</w:t>
            </w:r>
            <w:r>
              <w:rPr>
                <w:rFonts w:hint="eastAsia" w:ascii="宋体" w:hAnsi="宋体" w:cs="宋体"/>
                <w:b/>
                <w:bCs/>
                <w:color w:val="auto"/>
                <w:kern w:val="0"/>
                <w:sz w:val="20"/>
                <w:szCs w:val="20"/>
              </w:rPr>
              <w:t>　</w:t>
            </w:r>
          </w:p>
        </w:tc>
        <w:tc>
          <w:tcPr>
            <w:tcW w:w="1231"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二</w:t>
            </w:r>
            <w:r>
              <w:rPr>
                <w:rFonts w:ascii="宋体" w:hAnsi="宋体" w:cs="宋体"/>
                <w:b/>
                <w:bCs/>
                <w:color w:val="auto"/>
                <w:kern w:val="0"/>
                <w:sz w:val="20"/>
                <w:szCs w:val="20"/>
              </w:rPr>
              <w:t>级指标</w:t>
            </w:r>
            <w:r>
              <w:rPr>
                <w:rFonts w:hint="eastAsia" w:ascii="宋体" w:hAnsi="宋体" w:cs="宋体"/>
                <w:b/>
                <w:bCs/>
                <w:color w:val="auto"/>
                <w:kern w:val="0"/>
                <w:sz w:val="20"/>
                <w:szCs w:val="20"/>
              </w:rPr>
              <w:t>　</w:t>
            </w:r>
          </w:p>
        </w:tc>
        <w:tc>
          <w:tcPr>
            <w:tcW w:w="1542"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预算数（万元）</w:t>
            </w:r>
          </w:p>
        </w:tc>
        <w:tc>
          <w:tcPr>
            <w:tcW w:w="1558"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执行数（万元）</w:t>
            </w:r>
          </w:p>
        </w:tc>
        <w:tc>
          <w:tcPr>
            <w:tcW w:w="1164"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预算执行率</w:t>
            </w:r>
          </w:p>
        </w:tc>
        <w:tc>
          <w:tcPr>
            <w:tcW w:w="97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分值</w:t>
            </w:r>
          </w:p>
        </w:tc>
        <w:tc>
          <w:tcPr>
            <w:tcW w:w="1051"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得分</w:t>
            </w:r>
          </w:p>
        </w:tc>
        <w:tc>
          <w:tcPr>
            <w:tcW w:w="2678"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指标解释</w:t>
            </w:r>
          </w:p>
        </w:tc>
        <w:tc>
          <w:tcPr>
            <w:tcW w:w="2994"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评分标准</w:t>
            </w:r>
          </w:p>
        </w:tc>
      </w:tr>
      <w:tr>
        <w:tblPrEx>
          <w:tblCellMar>
            <w:top w:w="0" w:type="dxa"/>
            <w:left w:w="108" w:type="dxa"/>
            <w:bottom w:w="0" w:type="dxa"/>
            <w:right w:w="108" w:type="dxa"/>
          </w:tblCellMar>
        </w:tblPrEx>
        <w:trPr>
          <w:trHeight w:val="1361" w:hRule="atLeast"/>
        </w:trPr>
        <w:tc>
          <w:tcPr>
            <w:tcW w:w="1057" w:type="dxa"/>
            <w:gridSpan w:val="3"/>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当年预算执行情况（20）</w:t>
            </w:r>
          </w:p>
        </w:tc>
        <w:tc>
          <w:tcPr>
            <w:tcW w:w="1231"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资金总体</w:t>
            </w:r>
          </w:p>
        </w:tc>
        <w:tc>
          <w:tcPr>
            <w:tcW w:w="1542"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9</w:t>
            </w:r>
            <w:r>
              <w:rPr>
                <w:rFonts w:hint="eastAsia" w:ascii="宋体" w:hAnsi="宋体" w:cs="宋体"/>
                <w:color w:val="auto"/>
                <w:kern w:val="0"/>
                <w:sz w:val="20"/>
                <w:szCs w:val="20"/>
              </w:rPr>
              <w:t>1,</w:t>
            </w:r>
            <w:r>
              <w:rPr>
                <w:rFonts w:hint="eastAsia" w:ascii="宋体" w:hAnsi="宋体" w:cs="宋体"/>
                <w:color w:val="auto"/>
                <w:kern w:val="0"/>
                <w:sz w:val="20"/>
                <w:szCs w:val="20"/>
                <w:lang w:val="en-US" w:eastAsia="zh-CN"/>
              </w:rPr>
              <w:t>051</w:t>
            </w:r>
            <w:r>
              <w:rPr>
                <w:rFonts w:hint="eastAsia" w:ascii="宋体" w:hAnsi="宋体" w:cs="宋体"/>
                <w:color w:val="auto"/>
                <w:kern w:val="0"/>
                <w:sz w:val="20"/>
                <w:szCs w:val="20"/>
              </w:rPr>
              <w:t>.</w:t>
            </w:r>
            <w:r>
              <w:rPr>
                <w:rFonts w:hint="eastAsia" w:ascii="宋体" w:hAnsi="宋体" w:cs="宋体"/>
                <w:color w:val="auto"/>
                <w:kern w:val="0"/>
                <w:sz w:val="20"/>
                <w:szCs w:val="20"/>
                <w:lang w:val="en-US" w:eastAsia="zh-CN"/>
              </w:rPr>
              <w:t>23</w:t>
            </w:r>
          </w:p>
        </w:tc>
        <w:tc>
          <w:tcPr>
            <w:tcW w:w="1558"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86,404.94</w:t>
            </w:r>
          </w:p>
        </w:tc>
        <w:tc>
          <w:tcPr>
            <w:tcW w:w="1164"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9</w:t>
            </w:r>
            <w:r>
              <w:rPr>
                <w:rFonts w:hint="eastAsia" w:ascii="宋体" w:hAnsi="宋体" w:cs="宋体"/>
                <w:color w:val="auto"/>
                <w:kern w:val="0"/>
                <w:sz w:val="20"/>
                <w:szCs w:val="20"/>
                <w:lang w:val="en-US" w:eastAsia="zh-CN"/>
              </w:rPr>
              <w:t>4</w:t>
            </w:r>
            <w:r>
              <w:rPr>
                <w:rFonts w:hint="eastAsia" w:ascii="宋体" w:hAnsi="宋体" w:cs="宋体"/>
                <w:color w:val="auto"/>
                <w:kern w:val="0"/>
                <w:sz w:val="20"/>
                <w:szCs w:val="20"/>
              </w:rPr>
              <w:t>.</w:t>
            </w:r>
            <w:r>
              <w:rPr>
                <w:rFonts w:hint="eastAsia" w:ascii="宋体" w:hAnsi="宋体" w:cs="宋体"/>
                <w:color w:val="auto"/>
                <w:kern w:val="0"/>
                <w:sz w:val="20"/>
                <w:szCs w:val="20"/>
                <w:lang w:val="en-US" w:eastAsia="zh-CN"/>
              </w:rPr>
              <w:t>9</w:t>
            </w:r>
            <w:r>
              <w:rPr>
                <w:rFonts w:hint="eastAsia" w:ascii="宋体" w:hAnsi="宋体" w:cs="宋体"/>
                <w:color w:val="auto"/>
                <w:kern w:val="0"/>
                <w:sz w:val="20"/>
                <w:szCs w:val="20"/>
              </w:rPr>
              <w:t>0%</w:t>
            </w:r>
          </w:p>
        </w:tc>
        <w:tc>
          <w:tcPr>
            <w:tcW w:w="97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20</w:t>
            </w:r>
          </w:p>
        </w:tc>
        <w:tc>
          <w:tcPr>
            <w:tcW w:w="1051" w:type="dxa"/>
            <w:gridSpan w:val="3"/>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18.</w:t>
            </w:r>
            <w:r>
              <w:rPr>
                <w:rFonts w:hint="eastAsia" w:ascii="宋体" w:hAnsi="宋体" w:cs="宋体"/>
                <w:color w:val="auto"/>
                <w:kern w:val="0"/>
                <w:sz w:val="20"/>
                <w:szCs w:val="20"/>
                <w:lang w:val="en-US" w:eastAsia="zh-CN"/>
              </w:rPr>
              <w:t>98</w:t>
            </w:r>
            <w:r>
              <w:rPr>
                <w:rFonts w:hint="eastAsia" w:ascii="宋体" w:hAnsi="宋体" w:cs="宋体"/>
                <w:color w:val="auto"/>
                <w:kern w:val="0"/>
                <w:sz w:val="20"/>
                <w:szCs w:val="20"/>
              </w:rPr>
              <w:t>　</w:t>
            </w:r>
          </w:p>
        </w:tc>
        <w:tc>
          <w:tcPr>
            <w:tcW w:w="2678" w:type="dxa"/>
            <w:gridSpan w:val="4"/>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部门全年执行数与全年预算数的比率。资金总体=基本支出+项目支出+其他</w:t>
            </w:r>
          </w:p>
        </w:tc>
        <w:tc>
          <w:tcPr>
            <w:tcW w:w="2994" w:type="dxa"/>
            <w:gridSpan w:val="2"/>
            <w:vMerge w:val="restart"/>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①得分一档最高不能超过该指标分值上限（20分）。</w:t>
            </w:r>
          </w:p>
          <w:p>
            <w:pPr>
              <w:widowControl/>
              <w:jc w:val="left"/>
              <w:rPr>
                <w:rFonts w:ascii="宋体" w:hAnsi="宋体" w:cs="宋体"/>
                <w:color w:val="auto"/>
                <w:kern w:val="0"/>
                <w:sz w:val="18"/>
                <w:szCs w:val="18"/>
              </w:rPr>
            </w:pPr>
            <w:r>
              <w:rPr>
                <w:rFonts w:hint="eastAsia" w:ascii="宋体" w:hAnsi="宋体" w:cs="宋体"/>
                <w:color w:val="auto"/>
                <w:kern w:val="0"/>
                <w:sz w:val="18"/>
                <w:szCs w:val="18"/>
              </w:rPr>
              <w:t>②该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tc>
      </w:tr>
      <w:tr>
        <w:trPr>
          <w:trHeight w:val="1361" w:hRule="atLeast"/>
        </w:trPr>
        <w:tc>
          <w:tcPr>
            <w:tcW w:w="1057" w:type="dxa"/>
            <w:gridSpan w:val="3"/>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20"/>
                <w:szCs w:val="20"/>
              </w:rPr>
            </w:pPr>
          </w:p>
        </w:tc>
        <w:tc>
          <w:tcPr>
            <w:tcW w:w="1231" w:type="dxa"/>
            <w:gridSpan w:val="2"/>
            <w:tcBorders>
              <w:top w:val="single" w:color="auto" w:sz="4" w:space="0"/>
              <w:left w:val="single" w:color="auto" w:sz="4" w:space="0"/>
              <w:bottom w:val="single" w:color="auto" w:sz="4" w:space="0"/>
              <w:right w:val="nil"/>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基本支出</w:t>
            </w:r>
          </w:p>
        </w:tc>
        <w:tc>
          <w:tcPr>
            <w:tcW w:w="1542"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13,694.79</w:t>
            </w:r>
          </w:p>
        </w:tc>
        <w:tc>
          <w:tcPr>
            <w:tcW w:w="1558"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12,722.67</w:t>
            </w:r>
          </w:p>
        </w:tc>
        <w:tc>
          <w:tcPr>
            <w:tcW w:w="1164"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w:t>
            </w:r>
          </w:p>
        </w:tc>
        <w:tc>
          <w:tcPr>
            <w:tcW w:w="97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rPr>
            </w:pPr>
          </w:p>
        </w:tc>
        <w:tc>
          <w:tcPr>
            <w:tcW w:w="1051" w:type="dxa"/>
            <w:gridSpan w:val="3"/>
            <w:vMerge w:val="continue"/>
            <w:tcBorders>
              <w:top w:val="single" w:color="auto" w:sz="4" w:space="0"/>
              <w:left w:val="nil"/>
              <w:bottom w:val="single" w:color="auto" w:sz="4" w:space="0"/>
              <w:right w:val="nil"/>
            </w:tcBorders>
            <w:vAlign w:val="center"/>
          </w:tcPr>
          <w:p>
            <w:pPr>
              <w:widowControl/>
              <w:jc w:val="left"/>
              <w:rPr>
                <w:rFonts w:ascii="宋体" w:hAnsi="宋体" w:cs="宋体"/>
                <w:color w:val="auto"/>
                <w:kern w:val="0"/>
                <w:sz w:val="20"/>
                <w:szCs w:val="20"/>
              </w:rPr>
            </w:pPr>
          </w:p>
        </w:tc>
        <w:tc>
          <w:tcPr>
            <w:tcW w:w="2678" w:type="dxa"/>
            <w:gridSpan w:val="4"/>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2994"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r>
      <w:tr>
        <w:tblPrEx>
          <w:tblCellMar>
            <w:top w:w="0" w:type="dxa"/>
            <w:left w:w="108" w:type="dxa"/>
            <w:bottom w:w="0" w:type="dxa"/>
            <w:right w:w="108" w:type="dxa"/>
          </w:tblCellMar>
        </w:tblPrEx>
        <w:trPr>
          <w:trHeight w:val="1361" w:hRule="atLeast"/>
        </w:trPr>
        <w:tc>
          <w:tcPr>
            <w:tcW w:w="1057" w:type="dxa"/>
            <w:gridSpan w:val="3"/>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20"/>
                <w:szCs w:val="20"/>
              </w:rPr>
            </w:pPr>
          </w:p>
        </w:tc>
        <w:tc>
          <w:tcPr>
            <w:tcW w:w="1231" w:type="dxa"/>
            <w:gridSpan w:val="2"/>
            <w:tcBorders>
              <w:top w:val="single" w:color="auto" w:sz="4" w:space="0"/>
              <w:left w:val="single" w:color="auto" w:sz="4" w:space="0"/>
              <w:bottom w:val="single" w:color="auto" w:sz="4" w:space="0"/>
              <w:right w:val="nil"/>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项目支出</w:t>
            </w:r>
          </w:p>
        </w:tc>
        <w:tc>
          <w:tcPr>
            <w:tcW w:w="1542"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77,356.44</w:t>
            </w:r>
          </w:p>
        </w:tc>
        <w:tc>
          <w:tcPr>
            <w:tcW w:w="1558"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73,682.26</w:t>
            </w:r>
          </w:p>
        </w:tc>
        <w:tc>
          <w:tcPr>
            <w:tcW w:w="116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FF0000"/>
                <w:kern w:val="0"/>
                <w:sz w:val="20"/>
                <w:szCs w:val="20"/>
              </w:rPr>
            </w:pPr>
          </w:p>
        </w:tc>
        <w:tc>
          <w:tcPr>
            <w:tcW w:w="97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FF0000"/>
                <w:kern w:val="0"/>
                <w:sz w:val="20"/>
                <w:szCs w:val="20"/>
              </w:rPr>
            </w:pPr>
          </w:p>
        </w:tc>
        <w:tc>
          <w:tcPr>
            <w:tcW w:w="1051" w:type="dxa"/>
            <w:gridSpan w:val="3"/>
            <w:vMerge w:val="continue"/>
            <w:tcBorders>
              <w:top w:val="single" w:color="auto" w:sz="4" w:space="0"/>
              <w:left w:val="nil"/>
              <w:bottom w:val="single" w:color="auto" w:sz="4" w:space="0"/>
              <w:right w:val="nil"/>
            </w:tcBorders>
            <w:vAlign w:val="center"/>
          </w:tcPr>
          <w:p>
            <w:pPr>
              <w:widowControl/>
              <w:jc w:val="left"/>
              <w:rPr>
                <w:rFonts w:ascii="宋体" w:hAnsi="宋体" w:cs="宋体"/>
                <w:color w:val="FF0000"/>
                <w:kern w:val="0"/>
                <w:sz w:val="20"/>
                <w:szCs w:val="20"/>
              </w:rPr>
            </w:pPr>
          </w:p>
        </w:tc>
        <w:tc>
          <w:tcPr>
            <w:tcW w:w="2678" w:type="dxa"/>
            <w:gridSpan w:val="4"/>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FF0000"/>
                <w:kern w:val="0"/>
                <w:sz w:val="18"/>
                <w:szCs w:val="18"/>
              </w:rPr>
            </w:pPr>
          </w:p>
        </w:tc>
        <w:tc>
          <w:tcPr>
            <w:tcW w:w="2994"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FF0000"/>
                <w:kern w:val="0"/>
                <w:sz w:val="18"/>
                <w:szCs w:val="18"/>
              </w:rPr>
            </w:pPr>
          </w:p>
        </w:tc>
      </w:tr>
      <w:tr>
        <w:tblPrEx>
          <w:tblCellMar>
            <w:top w:w="0" w:type="dxa"/>
            <w:left w:w="108" w:type="dxa"/>
            <w:bottom w:w="0" w:type="dxa"/>
            <w:right w:w="108" w:type="dxa"/>
          </w:tblCellMar>
        </w:tblPrEx>
        <w:trPr>
          <w:trHeight w:val="1361" w:hRule="atLeast"/>
        </w:trPr>
        <w:tc>
          <w:tcPr>
            <w:tcW w:w="1057"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rPr>
            </w:pPr>
          </w:p>
        </w:tc>
        <w:tc>
          <w:tcPr>
            <w:tcW w:w="1231"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其他</w:t>
            </w:r>
          </w:p>
        </w:tc>
        <w:tc>
          <w:tcPr>
            <w:tcW w:w="1542" w:type="dxa"/>
            <w:gridSpan w:val="3"/>
            <w:tcBorders>
              <w:top w:val="single" w:color="auto" w:sz="4" w:space="0"/>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0.00</w:t>
            </w:r>
          </w:p>
        </w:tc>
        <w:tc>
          <w:tcPr>
            <w:tcW w:w="1558" w:type="dxa"/>
            <w:gridSpan w:val="3"/>
            <w:tcBorders>
              <w:top w:val="single" w:color="auto" w:sz="4" w:space="0"/>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0.00</w:t>
            </w:r>
          </w:p>
        </w:tc>
        <w:tc>
          <w:tcPr>
            <w:tcW w:w="116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FF0000"/>
                <w:kern w:val="0"/>
                <w:sz w:val="20"/>
                <w:szCs w:val="20"/>
              </w:rPr>
            </w:pPr>
          </w:p>
        </w:tc>
        <w:tc>
          <w:tcPr>
            <w:tcW w:w="97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FF0000"/>
                <w:kern w:val="0"/>
                <w:sz w:val="20"/>
                <w:szCs w:val="20"/>
              </w:rPr>
            </w:pPr>
          </w:p>
        </w:tc>
        <w:tc>
          <w:tcPr>
            <w:tcW w:w="1051" w:type="dxa"/>
            <w:gridSpan w:val="3"/>
            <w:vMerge w:val="continue"/>
            <w:tcBorders>
              <w:top w:val="single" w:color="auto" w:sz="4" w:space="0"/>
              <w:left w:val="nil"/>
              <w:bottom w:val="single" w:color="auto" w:sz="4" w:space="0"/>
              <w:right w:val="nil"/>
            </w:tcBorders>
            <w:vAlign w:val="center"/>
          </w:tcPr>
          <w:p>
            <w:pPr>
              <w:widowControl/>
              <w:jc w:val="left"/>
              <w:rPr>
                <w:rFonts w:ascii="宋体" w:hAnsi="宋体" w:cs="宋体"/>
                <w:color w:val="FF0000"/>
                <w:kern w:val="0"/>
                <w:sz w:val="20"/>
                <w:szCs w:val="20"/>
              </w:rPr>
            </w:pPr>
          </w:p>
        </w:tc>
        <w:tc>
          <w:tcPr>
            <w:tcW w:w="2678" w:type="dxa"/>
            <w:gridSpan w:val="4"/>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FF0000"/>
                <w:kern w:val="0"/>
                <w:sz w:val="18"/>
                <w:szCs w:val="18"/>
              </w:rPr>
            </w:pPr>
          </w:p>
        </w:tc>
        <w:tc>
          <w:tcPr>
            <w:tcW w:w="2994"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FF0000"/>
                <w:kern w:val="0"/>
                <w:sz w:val="18"/>
                <w:szCs w:val="18"/>
              </w:rPr>
            </w:pPr>
          </w:p>
        </w:tc>
      </w:tr>
      <w:tr>
        <w:tblPrEx>
          <w:tblCellMar>
            <w:top w:w="0" w:type="dxa"/>
            <w:left w:w="108" w:type="dxa"/>
            <w:bottom w:w="0" w:type="dxa"/>
            <w:right w:w="108" w:type="dxa"/>
          </w:tblCellMar>
        </w:tblPrEx>
        <w:trPr>
          <w:trHeight w:val="680" w:hRule="atLeast"/>
        </w:trPr>
        <w:tc>
          <w:tcPr>
            <w:tcW w:w="14245" w:type="dxa"/>
            <w:gridSpan w:val="24"/>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auto"/>
                <w:kern w:val="0"/>
                <w:sz w:val="18"/>
                <w:szCs w:val="18"/>
              </w:rPr>
            </w:pPr>
            <w:r>
              <w:rPr>
                <w:rFonts w:hint="eastAsia" w:ascii="宋体" w:hAnsi="宋体" w:cs="宋体"/>
                <w:b/>
                <w:bCs/>
                <w:color w:val="auto"/>
                <w:kern w:val="0"/>
                <w:sz w:val="18"/>
                <w:szCs w:val="18"/>
              </w:rPr>
              <w:t>二</w:t>
            </w:r>
            <w:r>
              <w:rPr>
                <w:rFonts w:ascii="宋体" w:hAnsi="宋体" w:cs="宋体"/>
                <w:b/>
                <w:bCs/>
                <w:color w:val="auto"/>
                <w:kern w:val="0"/>
                <w:sz w:val="18"/>
                <w:szCs w:val="18"/>
              </w:rPr>
              <w:t>、</w:t>
            </w:r>
            <w:r>
              <w:rPr>
                <w:rFonts w:hint="eastAsia" w:ascii="宋体" w:hAnsi="宋体" w:cs="宋体"/>
                <w:b/>
                <w:bCs/>
                <w:color w:val="auto"/>
                <w:kern w:val="0"/>
                <w:sz w:val="20"/>
                <w:szCs w:val="20"/>
              </w:rPr>
              <w:t>整体绩效目标实现情况（60分）</w:t>
            </w:r>
          </w:p>
        </w:tc>
      </w:tr>
      <w:tr>
        <w:trPr>
          <w:trHeight w:val="680" w:hRule="atLeast"/>
        </w:trPr>
        <w:tc>
          <w:tcPr>
            <w:tcW w:w="957"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一</w:t>
            </w:r>
            <w:r>
              <w:rPr>
                <w:rFonts w:ascii="宋体" w:hAnsi="宋体" w:cs="宋体"/>
                <w:b/>
                <w:bCs/>
                <w:color w:val="auto"/>
                <w:kern w:val="0"/>
                <w:sz w:val="20"/>
                <w:szCs w:val="20"/>
              </w:rPr>
              <w:t>级</w:t>
            </w:r>
          </w:p>
          <w:p>
            <w:pPr>
              <w:widowControl/>
              <w:jc w:val="center"/>
              <w:rPr>
                <w:rFonts w:ascii="宋体" w:hAnsi="宋体" w:cs="宋体"/>
                <w:b/>
                <w:bCs/>
                <w:color w:val="auto"/>
                <w:kern w:val="0"/>
                <w:sz w:val="20"/>
                <w:szCs w:val="20"/>
              </w:rPr>
            </w:pPr>
            <w:r>
              <w:rPr>
                <w:rFonts w:ascii="宋体" w:hAnsi="宋体" w:cs="宋体"/>
                <w:b/>
                <w:bCs/>
                <w:color w:val="auto"/>
                <w:kern w:val="0"/>
                <w:sz w:val="20"/>
                <w:szCs w:val="20"/>
              </w:rPr>
              <w:t>指标</w:t>
            </w:r>
          </w:p>
        </w:tc>
        <w:tc>
          <w:tcPr>
            <w:tcW w:w="847"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二</w:t>
            </w:r>
            <w:r>
              <w:rPr>
                <w:rFonts w:ascii="宋体" w:hAnsi="宋体" w:cs="宋体"/>
                <w:b/>
                <w:bCs/>
                <w:color w:val="auto"/>
                <w:kern w:val="0"/>
                <w:sz w:val="20"/>
                <w:szCs w:val="20"/>
              </w:rPr>
              <w:t>级</w:t>
            </w:r>
          </w:p>
          <w:p>
            <w:pPr>
              <w:widowControl/>
              <w:jc w:val="center"/>
              <w:rPr>
                <w:rFonts w:ascii="宋体" w:hAnsi="宋体" w:cs="宋体"/>
                <w:b/>
                <w:bCs/>
                <w:color w:val="auto"/>
                <w:kern w:val="0"/>
                <w:sz w:val="20"/>
                <w:szCs w:val="20"/>
              </w:rPr>
            </w:pPr>
            <w:r>
              <w:rPr>
                <w:rFonts w:ascii="宋体" w:hAnsi="宋体" w:cs="宋体"/>
                <w:b/>
                <w:bCs/>
                <w:color w:val="auto"/>
                <w:kern w:val="0"/>
                <w:sz w:val="20"/>
                <w:szCs w:val="20"/>
              </w:rPr>
              <w:t>指标</w:t>
            </w:r>
            <w:r>
              <w:rPr>
                <w:rFonts w:hint="eastAsia" w:ascii="宋体" w:hAnsi="宋体" w:cs="宋体"/>
                <w:b/>
                <w:bCs/>
                <w:color w:val="auto"/>
                <w:kern w:val="0"/>
                <w:sz w:val="20"/>
                <w:szCs w:val="20"/>
              </w:rPr>
              <w:t>　</w:t>
            </w:r>
          </w:p>
        </w:tc>
        <w:tc>
          <w:tcPr>
            <w:tcW w:w="852"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三</w:t>
            </w:r>
            <w:r>
              <w:rPr>
                <w:rFonts w:ascii="宋体" w:hAnsi="宋体" w:cs="宋体"/>
                <w:b/>
                <w:bCs/>
                <w:color w:val="auto"/>
                <w:kern w:val="0"/>
                <w:sz w:val="20"/>
                <w:szCs w:val="20"/>
              </w:rPr>
              <w:t>级</w:t>
            </w:r>
          </w:p>
          <w:p>
            <w:pPr>
              <w:widowControl/>
              <w:jc w:val="center"/>
              <w:rPr>
                <w:rFonts w:ascii="宋体" w:hAnsi="宋体" w:cs="宋体"/>
                <w:b/>
                <w:bCs/>
                <w:color w:val="auto"/>
                <w:kern w:val="0"/>
                <w:sz w:val="20"/>
                <w:szCs w:val="20"/>
              </w:rPr>
            </w:pPr>
            <w:r>
              <w:rPr>
                <w:rFonts w:ascii="宋体" w:hAnsi="宋体" w:cs="宋体"/>
                <w:b/>
                <w:bCs/>
                <w:color w:val="auto"/>
                <w:kern w:val="0"/>
                <w:sz w:val="20"/>
                <w:szCs w:val="20"/>
              </w:rPr>
              <w:t>指标</w:t>
            </w:r>
            <w:r>
              <w:rPr>
                <w:rFonts w:hint="eastAsia" w:ascii="宋体" w:hAnsi="宋体" w:cs="宋体"/>
                <w:b/>
                <w:bCs/>
                <w:color w:val="auto"/>
                <w:kern w:val="0"/>
                <w:sz w:val="20"/>
                <w:szCs w:val="20"/>
              </w:rPr>
              <w:t>　</w:t>
            </w:r>
          </w:p>
        </w:tc>
        <w:tc>
          <w:tcPr>
            <w:tcW w:w="2046" w:type="dxa"/>
            <w:gridSpan w:val="4"/>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指标值</w:t>
            </w:r>
          </w:p>
        </w:tc>
        <w:tc>
          <w:tcPr>
            <w:tcW w:w="3121" w:type="dxa"/>
            <w:gridSpan w:val="7"/>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完成值</w:t>
            </w:r>
          </w:p>
        </w:tc>
        <w:tc>
          <w:tcPr>
            <w:tcW w:w="1054"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分值</w:t>
            </w:r>
          </w:p>
        </w:tc>
        <w:tc>
          <w:tcPr>
            <w:tcW w:w="1000" w:type="dxa"/>
            <w:tcBorders>
              <w:top w:val="single" w:color="auto" w:sz="4" w:space="0"/>
              <w:left w:val="nil"/>
              <w:bottom w:val="single" w:color="auto" w:sz="4" w:space="0"/>
              <w:right w:val="nil"/>
            </w:tcBorders>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得分</w:t>
            </w:r>
          </w:p>
        </w:tc>
        <w:tc>
          <w:tcPr>
            <w:tcW w:w="3237"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w:t>
            </w:r>
            <w:r>
              <w:rPr>
                <w:rFonts w:ascii="宋体" w:hAnsi="宋体" w:cs="宋体"/>
                <w:b/>
                <w:bCs/>
                <w:color w:val="auto"/>
                <w:kern w:val="0"/>
                <w:sz w:val="18"/>
                <w:szCs w:val="18"/>
              </w:rPr>
              <w:t>解释</w:t>
            </w:r>
          </w:p>
        </w:tc>
        <w:tc>
          <w:tcPr>
            <w:tcW w:w="113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评</w:t>
            </w:r>
            <w:r>
              <w:rPr>
                <w:rFonts w:ascii="宋体" w:hAnsi="宋体" w:cs="宋体"/>
                <w:b/>
                <w:bCs/>
                <w:color w:val="auto"/>
                <w:kern w:val="0"/>
                <w:sz w:val="18"/>
                <w:szCs w:val="18"/>
              </w:rPr>
              <w:t>分标准</w:t>
            </w:r>
          </w:p>
        </w:tc>
      </w:tr>
      <w:tr>
        <w:tblPrEx>
          <w:tblCellMar>
            <w:top w:w="0" w:type="dxa"/>
            <w:left w:w="108" w:type="dxa"/>
            <w:bottom w:w="0" w:type="dxa"/>
            <w:right w:w="108" w:type="dxa"/>
          </w:tblCellMar>
        </w:tblPrEx>
        <w:trPr>
          <w:trHeight w:val="624" w:hRule="atLeast"/>
        </w:trPr>
        <w:tc>
          <w:tcPr>
            <w:tcW w:w="957"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整体绩效目标实现情况</w:t>
            </w:r>
          </w:p>
          <w:p>
            <w:pPr>
              <w:widowControl/>
              <w:jc w:val="center"/>
              <w:rPr>
                <w:rFonts w:ascii="宋体" w:hAnsi="宋体" w:cs="宋体"/>
                <w:color w:val="auto"/>
                <w:kern w:val="0"/>
                <w:sz w:val="20"/>
                <w:szCs w:val="20"/>
              </w:rPr>
            </w:pPr>
            <w:r>
              <w:rPr>
                <w:rFonts w:hint="eastAsia" w:ascii="宋体" w:hAnsi="宋体" w:cs="宋体"/>
                <w:color w:val="auto"/>
                <w:kern w:val="0"/>
                <w:sz w:val="20"/>
                <w:szCs w:val="20"/>
              </w:rPr>
              <w:t>（60）</w:t>
            </w:r>
          </w:p>
        </w:tc>
        <w:tc>
          <w:tcPr>
            <w:tcW w:w="847" w:type="dxa"/>
            <w:gridSpan w:val="2"/>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20"/>
                <w:szCs w:val="20"/>
              </w:rPr>
            </w:pPr>
            <w:r>
              <w:rPr>
                <w:rFonts w:hint="eastAsia" w:ascii="宋体" w:hAnsi="宋体" w:cs="宋体"/>
                <w:color w:val="auto"/>
                <w:kern w:val="0"/>
                <w:sz w:val="20"/>
                <w:szCs w:val="20"/>
              </w:rPr>
              <w:t>产出</w:t>
            </w:r>
          </w:p>
          <w:p>
            <w:pPr>
              <w:jc w:val="center"/>
              <w:rPr>
                <w:rFonts w:ascii="宋体" w:hAnsi="宋体" w:cs="宋体"/>
                <w:color w:val="auto"/>
                <w:kern w:val="0"/>
                <w:sz w:val="20"/>
                <w:szCs w:val="20"/>
              </w:rPr>
            </w:pPr>
            <w:r>
              <w:rPr>
                <w:rFonts w:hint="eastAsia" w:ascii="宋体" w:hAnsi="宋体" w:cs="宋体"/>
                <w:color w:val="auto"/>
                <w:kern w:val="0"/>
                <w:sz w:val="20"/>
                <w:szCs w:val="20"/>
              </w:rPr>
              <w:t>（30）</w:t>
            </w:r>
          </w:p>
        </w:tc>
        <w:tc>
          <w:tcPr>
            <w:tcW w:w="852" w:type="dxa"/>
            <w:gridSpan w:val="2"/>
            <w:vMerge w:val="restart"/>
            <w:tcBorders>
              <w:top w:val="single" w:color="auto" w:sz="4" w:space="0"/>
              <w:left w:val="single" w:color="auto" w:sz="4" w:space="0"/>
              <w:right w:val="single" w:color="auto" w:sz="4" w:space="0"/>
            </w:tcBorders>
            <w:vAlign w:val="center"/>
          </w:tcPr>
          <w:p>
            <w:pPr>
              <w:jc w:val="center"/>
              <w:rPr>
                <w:rFonts w:cs="宋体" w:asciiTheme="majorEastAsia" w:hAnsiTheme="majorEastAsia" w:eastAsiaTheme="majorEastAsia"/>
                <w:color w:val="auto"/>
                <w:kern w:val="0"/>
                <w:sz w:val="20"/>
                <w:szCs w:val="20"/>
              </w:rPr>
            </w:pPr>
            <w:r>
              <w:rPr>
                <w:rFonts w:hint="eastAsia" w:cs="宋体" w:asciiTheme="majorEastAsia" w:hAnsiTheme="majorEastAsia" w:eastAsiaTheme="majorEastAsia"/>
                <w:color w:val="auto"/>
                <w:kern w:val="0"/>
                <w:sz w:val="20"/>
                <w:szCs w:val="20"/>
              </w:rPr>
              <w:t>数量</w:t>
            </w:r>
          </w:p>
          <w:p>
            <w:pPr>
              <w:jc w:val="center"/>
              <w:rPr>
                <w:rFonts w:cs="宋体" w:asciiTheme="majorEastAsia" w:hAnsiTheme="majorEastAsia" w:eastAsiaTheme="majorEastAsia"/>
                <w:color w:val="auto"/>
                <w:kern w:val="0"/>
                <w:sz w:val="20"/>
                <w:szCs w:val="20"/>
              </w:rPr>
            </w:pPr>
            <w:r>
              <w:rPr>
                <w:rFonts w:hint="eastAsia" w:cs="宋体" w:asciiTheme="majorEastAsia" w:hAnsiTheme="majorEastAsia" w:eastAsiaTheme="majorEastAsia"/>
                <w:color w:val="auto"/>
                <w:kern w:val="0"/>
                <w:sz w:val="20"/>
                <w:szCs w:val="20"/>
              </w:rPr>
              <w:t>指标</w:t>
            </w:r>
          </w:p>
        </w:tc>
        <w:tc>
          <w:tcPr>
            <w:tcW w:w="2046"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ajorEastAsia" w:hAnsiTheme="majorEastAsia" w:eastAsiaTheme="majorEastAsia"/>
                <w:color w:val="auto"/>
                <w:kern w:val="0"/>
                <w:sz w:val="20"/>
                <w:szCs w:val="20"/>
              </w:rPr>
            </w:pPr>
            <w:r>
              <w:rPr>
                <w:rFonts w:cs="宋体" w:asciiTheme="majorEastAsia" w:hAnsiTheme="majorEastAsia" w:eastAsiaTheme="majorEastAsia"/>
                <w:color w:val="auto"/>
                <w:kern w:val="0"/>
                <w:sz w:val="20"/>
                <w:szCs w:val="20"/>
              </w:rPr>
              <w:t>完成</w:t>
            </w:r>
            <w:r>
              <w:rPr>
                <w:rFonts w:hint="eastAsia" w:cs="宋体" w:asciiTheme="majorEastAsia" w:hAnsiTheme="majorEastAsia" w:eastAsiaTheme="majorEastAsia"/>
                <w:color w:val="auto"/>
                <w:kern w:val="0"/>
                <w:sz w:val="20"/>
                <w:szCs w:val="20"/>
                <w:lang w:val="en-US" w:eastAsia="zh-CN"/>
              </w:rPr>
              <w:t>安全生产管理工作</w:t>
            </w:r>
            <w:r>
              <w:rPr>
                <w:rFonts w:hint="eastAsia" w:cs="宋体" w:asciiTheme="majorEastAsia" w:hAnsiTheme="majorEastAsia" w:eastAsiaTheme="majorEastAsia"/>
                <w:color w:val="auto"/>
                <w:kern w:val="0"/>
                <w:sz w:val="20"/>
                <w:szCs w:val="20"/>
              </w:rPr>
              <w:t>的数量情况</w:t>
            </w:r>
          </w:p>
        </w:tc>
        <w:tc>
          <w:tcPr>
            <w:tcW w:w="3121" w:type="dxa"/>
            <w:gridSpan w:val="7"/>
            <w:vMerge w:val="restart"/>
            <w:tcBorders>
              <w:top w:val="single" w:color="auto" w:sz="4" w:space="0"/>
              <w:left w:val="single" w:color="auto" w:sz="4" w:space="0"/>
              <w:right w:val="single" w:color="auto" w:sz="4" w:space="0"/>
            </w:tcBorders>
            <w:vAlign w:val="center"/>
          </w:tcPr>
          <w:p>
            <w:pPr>
              <w:widowControl/>
              <w:jc w:val="center"/>
              <w:rPr>
                <w:rFonts w:cs="宋体" w:asciiTheme="majorEastAsia" w:hAnsiTheme="majorEastAsia" w:eastAsiaTheme="majorEastAsia"/>
                <w:color w:val="auto"/>
                <w:kern w:val="0"/>
                <w:sz w:val="20"/>
                <w:szCs w:val="20"/>
              </w:rPr>
            </w:pPr>
            <w:r>
              <w:rPr>
                <w:rFonts w:hint="eastAsia" w:asciiTheme="majorEastAsia" w:hAnsiTheme="majorEastAsia" w:eastAsiaTheme="majorEastAsia"/>
                <w:color w:val="auto"/>
                <w:sz w:val="20"/>
                <w:szCs w:val="20"/>
              </w:rPr>
              <w:t>部门产出数量与绩效目标相符</w:t>
            </w:r>
          </w:p>
        </w:tc>
        <w:tc>
          <w:tcPr>
            <w:tcW w:w="1054" w:type="dxa"/>
            <w:gridSpan w:val="2"/>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FF0000"/>
                <w:kern w:val="0"/>
                <w:sz w:val="20"/>
                <w:szCs w:val="20"/>
              </w:rPr>
            </w:pPr>
            <w:r>
              <w:rPr>
                <w:rFonts w:hint="eastAsia" w:ascii="宋体" w:hAnsi="宋体" w:cs="宋体"/>
                <w:color w:val="auto"/>
                <w:kern w:val="0"/>
                <w:sz w:val="20"/>
                <w:szCs w:val="20"/>
              </w:rPr>
              <w:t>30</w:t>
            </w:r>
          </w:p>
        </w:tc>
        <w:tc>
          <w:tcPr>
            <w:tcW w:w="1000" w:type="dxa"/>
            <w:vMerge w:val="restart"/>
            <w:tcBorders>
              <w:top w:val="single" w:color="auto" w:sz="4" w:space="0"/>
              <w:left w:val="single" w:color="auto" w:sz="4" w:space="0"/>
              <w:right w:val="single" w:color="auto" w:sz="4" w:space="0"/>
            </w:tcBorders>
            <w:vAlign w:val="center"/>
          </w:tcPr>
          <w:p>
            <w:pPr>
              <w:widowControl/>
              <w:jc w:val="center"/>
              <w:rPr>
                <w:rFonts w:hint="default" w:cs="宋体" w:asciiTheme="majorEastAsia" w:hAnsiTheme="majorEastAsia" w:eastAsiaTheme="majorEastAsia"/>
                <w:color w:val="auto"/>
                <w:kern w:val="0"/>
                <w:sz w:val="20"/>
                <w:szCs w:val="20"/>
                <w:lang w:val="en-US" w:eastAsia="zh-CN"/>
              </w:rPr>
            </w:pPr>
            <w:r>
              <w:rPr>
                <w:rFonts w:hint="eastAsia" w:cs="宋体" w:asciiTheme="majorEastAsia" w:hAnsiTheme="majorEastAsia" w:eastAsiaTheme="majorEastAsia"/>
                <w:color w:val="auto"/>
                <w:kern w:val="0"/>
                <w:sz w:val="20"/>
                <w:szCs w:val="20"/>
                <w:lang w:val="en-US" w:eastAsia="zh-CN"/>
              </w:rPr>
              <w:t>12</w:t>
            </w:r>
          </w:p>
        </w:tc>
        <w:tc>
          <w:tcPr>
            <w:tcW w:w="3237" w:type="dxa"/>
            <w:gridSpan w:val="3"/>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r>
              <w:rPr>
                <w:rFonts w:hint="eastAsia" w:ascii="宋体" w:hAnsi="宋体" w:cs="宋体"/>
                <w:b w:val="0"/>
                <w:bCs w:val="0"/>
                <w:color w:val="auto"/>
                <w:kern w:val="0"/>
                <w:sz w:val="18"/>
                <w:szCs w:val="18"/>
              </w:rPr>
              <w:t>产出数量：计划完成率=（实际完成工作数/计划工作数）×100%。实际完成工作数：一定时期（年度或规划期）内部门（单位）实际完成工作任务的数量。计划工作数：部门（单位）整体绩效目标确定的一定时期（年度或规划期）内预计完成工作任务的数量。产出质量：质量达标率=质量达标工作数/实际完成工作数×100%。质量达标工作数：一定时期（年度或规划期）内部门（单位）实际完成工作数中达到部门绩效目标要求（绩效标准值）的工作任务数量。产出进度：按时完成率=（按时完成工作数/实际完成工作数）×100%。按时完成工作数：部门（单位）按照整体绩效目标确定的时限实际完成的工作任务数量。产出成本：单位产出相对于上一年度的节约额；②单位产出相对于市场同类产出的节约额；③部门公用经费的控制情况。</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部门根据本单位情况自行确定并选择产出指标，合理确定各项指标权重。可量化的指标按照比率*单项指标分值即为该指标得分。如果不能定量评价，则以定性的方式进行自评。</w:t>
            </w:r>
          </w:p>
        </w:tc>
      </w:tr>
      <w:tr>
        <w:tblPrEx>
          <w:tblCellMar>
            <w:top w:w="0" w:type="dxa"/>
            <w:left w:w="108" w:type="dxa"/>
            <w:bottom w:w="0" w:type="dxa"/>
            <w:right w:w="108" w:type="dxa"/>
          </w:tblCellMar>
        </w:tblPrEx>
        <w:trPr>
          <w:trHeight w:val="624" w:hRule="atLeast"/>
        </w:trPr>
        <w:tc>
          <w:tcPr>
            <w:tcW w:w="957" w:type="dxa"/>
            <w:gridSpan w:val="2"/>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20"/>
                <w:szCs w:val="20"/>
              </w:rPr>
            </w:pPr>
          </w:p>
        </w:tc>
        <w:tc>
          <w:tcPr>
            <w:tcW w:w="847" w:type="dxa"/>
            <w:gridSpan w:val="2"/>
            <w:vMerge w:val="continue"/>
            <w:tcBorders>
              <w:top w:val="single" w:color="auto" w:sz="4" w:space="0"/>
              <w:left w:val="single" w:color="auto" w:sz="4" w:space="0"/>
              <w:right w:val="single" w:color="auto" w:sz="4" w:space="0"/>
            </w:tcBorders>
            <w:vAlign w:val="center"/>
          </w:tcPr>
          <w:p>
            <w:pPr>
              <w:widowControl/>
              <w:jc w:val="left"/>
              <w:rPr>
                <w:rFonts w:ascii="宋体" w:hAnsi="宋体" w:cs="宋体"/>
                <w:color w:val="auto"/>
                <w:kern w:val="0"/>
                <w:sz w:val="20"/>
                <w:szCs w:val="20"/>
              </w:rPr>
            </w:pPr>
          </w:p>
        </w:tc>
        <w:tc>
          <w:tcPr>
            <w:tcW w:w="852" w:type="dxa"/>
            <w:gridSpan w:val="2"/>
            <w:vMerge w:val="continue"/>
            <w:tcBorders>
              <w:left w:val="single" w:color="auto" w:sz="4" w:space="0"/>
              <w:right w:val="single" w:color="auto" w:sz="4" w:space="0"/>
            </w:tcBorders>
            <w:vAlign w:val="center"/>
          </w:tcPr>
          <w:p>
            <w:pPr>
              <w:widowControl/>
              <w:jc w:val="center"/>
              <w:rPr>
                <w:rFonts w:cs="宋体" w:asciiTheme="majorEastAsia" w:hAnsiTheme="majorEastAsia" w:eastAsiaTheme="majorEastAsia"/>
                <w:color w:val="auto"/>
                <w:kern w:val="0"/>
                <w:sz w:val="20"/>
                <w:szCs w:val="20"/>
              </w:rPr>
            </w:pPr>
          </w:p>
        </w:tc>
        <w:tc>
          <w:tcPr>
            <w:tcW w:w="2046" w:type="dxa"/>
            <w:gridSpan w:val="4"/>
            <w:tcBorders>
              <w:top w:val="single" w:color="auto" w:sz="4" w:space="0"/>
              <w:left w:val="nil"/>
              <w:bottom w:val="single" w:color="auto" w:sz="4" w:space="0"/>
              <w:right w:val="single" w:color="auto" w:sz="4" w:space="0"/>
            </w:tcBorders>
            <w:vAlign w:val="center"/>
          </w:tcPr>
          <w:p>
            <w:pPr>
              <w:widowControl/>
              <w:jc w:val="center"/>
              <w:rPr>
                <w:rFonts w:cs="宋体" w:asciiTheme="majorEastAsia" w:hAnsiTheme="majorEastAsia" w:eastAsiaTheme="majorEastAsia"/>
                <w:color w:val="auto"/>
                <w:kern w:val="0"/>
                <w:sz w:val="20"/>
                <w:szCs w:val="20"/>
              </w:rPr>
            </w:pPr>
            <w:r>
              <w:rPr>
                <w:rFonts w:cs="宋体" w:asciiTheme="majorEastAsia" w:hAnsiTheme="majorEastAsia" w:eastAsiaTheme="majorEastAsia"/>
                <w:color w:val="auto"/>
                <w:kern w:val="0"/>
                <w:sz w:val="20"/>
                <w:szCs w:val="20"/>
              </w:rPr>
              <w:t>完成</w:t>
            </w:r>
            <w:r>
              <w:rPr>
                <w:rFonts w:hint="eastAsia" w:cs="宋体" w:asciiTheme="majorEastAsia" w:hAnsiTheme="majorEastAsia" w:eastAsiaTheme="majorEastAsia"/>
                <w:color w:val="auto"/>
                <w:kern w:val="0"/>
                <w:sz w:val="20"/>
                <w:szCs w:val="20"/>
                <w:lang w:val="en-US" w:eastAsia="zh-CN"/>
              </w:rPr>
              <w:t>储备粮储存管理工作</w:t>
            </w:r>
            <w:r>
              <w:rPr>
                <w:rFonts w:hint="eastAsia" w:cs="宋体" w:asciiTheme="majorEastAsia" w:hAnsiTheme="majorEastAsia" w:eastAsiaTheme="majorEastAsia"/>
                <w:color w:val="auto"/>
                <w:kern w:val="0"/>
                <w:sz w:val="20"/>
                <w:szCs w:val="20"/>
              </w:rPr>
              <w:t>的数量情况</w:t>
            </w:r>
          </w:p>
        </w:tc>
        <w:tc>
          <w:tcPr>
            <w:tcW w:w="3121" w:type="dxa"/>
            <w:gridSpan w:val="7"/>
            <w:vMerge w:val="continue"/>
            <w:tcBorders>
              <w:left w:val="single" w:color="auto" w:sz="4" w:space="0"/>
              <w:right w:val="single" w:color="auto" w:sz="4" w:space="0"/>
            </w:tcBorders>
            <w:vAlign w:val="center"/>
          </w:tcPr>
          <w:p>
            <w:pPr>
              <w:widowControl/>
              <w:jc w:val="center"/>
              <w:rPr>
                <w:rFonts w:cs="宋体" w:asciiTheme="majorEastAsia" w:hAnsiTheme="majorEastAsia" w:eastAsiaTheme="majorEastAsia"/>
                <w:color w:val="auto"/>
                <w:kern w:val="0"/>
                <w:sz w:val="20"/>
                <w:szCs w:val="20"/>
              </w:rPr>
            </w:pPr>
          </w:p>
        </w:tc>
        <w:tc>
          <w:tcPr>
            <w:tcW w:w="1054" w:type="dxa"/>
            <w:gridSpan w:val="2"/>
            <w:vMerge w:val="continue"/>
            <w:tcBorders>
              <w:top w:val="single" w:color="auto" w:sz="4" w:space="0"/>
              <w:left w:val="single" w:color="auto" w:sz="4" w:space="0"/>
              <w:right w:val="single" w:color="auto" w:sz="4" w:space="0"/>
            </w:tcBorders>
            <w:vAlign w:val="center"/>
          </w:tcPr>
          <w:p>
            <w:pPr>
              <w:widowControl/>
              <w:jc w:val="left"/>
              <w:rPr>
                <w:rFonts w:ascii="宋体" w:hAnsi="宋体" w:cs="宋体"/>
                <w:color w:val="FF0000"/>
                <w:kern w:val="0"/>
                <w:sz w:val="20"/>
                <w:szCs w:val="20"/>
              </w:rPr>
            </w:pPr>
          </w:p>
        </w:tc>
        <w:tc>
          <w:tcPr>
            <w:tcW w:w="1000" w:type="dxa"/>
            <w:vMerge w:val="continue"/>
            <w:tcBorders>
              <w:left w:val="single" w:color="auto" w:sz="4" w:space="0"/>
              <w:right w:val="single" w:color="auto" w:sz="4" w:space="0"/>
            </w:tcBorders>
            <w:vAlign w:val="center"/>
          </w:tcPr>
          <w:p>
            <w:pPr>
              <w:widowControl/>
              <w:jc w:val="center"/>
              <w:rPr>
                <w:rFonts w:cs="宋体" w:asciiTheme="majorEastAsia" w:hAnsiTheme="majorEastAsia" w:eastAsiaTheme="majorEastAsia"/>
                <w:color w:val="auto"/>
                <w:kern w:val="0"/>
                <w:sz w:val="20"/>
                <w:szCs w:val="20"/>
              </w:rPr>
            </w:pPr>
          </w:p>
        </w:tc>
        <w:tc>
          <w:tcPr>
            <w:tcW w:w="3237"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FF0000"/>
                <w:kern w:val="0"/>
                <w:sz w:val="18"/>
                <w:szCs w:val="18"/>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FF0000"/>
                <w:kern w:val="0"/>
                <w:sz w:val="18"/>
                <w:szCs w:val="18"/>
              </w:rPr>
            </w:pPr>
          </w:p>
        </w:tc>
      </w:tr>
      <w:tr>
        <w:tblPrEx>
          <w:tblCellMar>
            <w:top w:w="0" w:type="dxa"/>
            <w:left w:w="108" w:type="dxa"/>
            <w:bottom w:w="0" w:type="dxa"/>
            <w:right w:w="108" w:type="dxa"/>
          </w:tblCellMar>
        </w:tblPrEx>
        <w:trPr>
          <w:trHeight w:val="624" w:hRule="atLeast"/>
        </w:trPr>
        <w:tc>
          <w:tcPr>
            <w:tcW w:w="957" w:type="dxa"/>
            <w:gridSpan w:val="2"/>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20"/>
                <w:szCs w:val="20"/>
              </w:rPr>
            </w:pPr>
          </w:p>
        </w:tc>
        <w:tc>
          <w:tcPr>
            <w:tcW w:w="847" w:type="dxa"/>
            <w:gridSpan w:val="2"/>
            <w:vMerge w:val="continue"/>
            <w:tcBorders>
              <w:top w:val="single" w:color="auto" w:sz="4" w:space="0"/>
              <w:left w:val="single" w:color="auto" w:sz="4" w:space="0"/>
              <w:right w:val="single" w:color="auto" w:sz="4" w:space="0"/>
            </w:tcBorders>
            <w:vAlign w:val="center"/>
          </w:tcPr>
          <w:p>
            <w:pPr>
              <w:widowControl/>
              <w:jc w:val="left"/>
              <w:rPr>
                <w:rFonts w:ascii="宋体" w:hAnsi="宋体" w:cs="宋体"/>
                <w:color w:val="auto"/>
                <w:kern w:val="0"/>
                <w:sz w:val="20"/>
                <w:szCs w:val="20"/>
              </w:rPr>
            </w:pPr>
          </w:p>
        </w:tc>
        <w:tc>
          <w:tcPr>
            <w:tcW w:w="852" w:type="dxa"/>
            <w:gridSpan w:val="2"/>
            <w:vMerge w:val="continue"/>
            <w:tcBorders>
              <w:left w:val="single" w:color="auto" w:sz="4" w:space="0"/>
              <w:right w:val="single" w:color="auto" w:sz="4" w:space="0"/>
            </w:tcBorders>
            <w:vAlign w:val="center"/>
          </w:tcPr>
          <w:p>
            <w:pPr>
              <w:widowControl/>
              <w:jc w:val="center"/>
              <w:rPr>
                <w:rFonts w:cs="宋体" w:asciiTheme="majorEastAsia" w:hAnsiTheme="majorEastAsia" w:eastAsiaTheme="majorEastAsia"/>
                <w:color w:val="auto"/>
                <w:kern w:val="0"/>
                <w:sz w:val="20"/>
                <w:szCs w:val="20"/>
              </w:rPr>
            </w:pPr>
          </w:p>
        </w:tc>
        <w:tc>
          <w:tcPr>
            <w:tcW w:w="2046" w:type="dxa"/>
            <w:gridSpan w:val="4"/>
            <w:tcBorders>
              <w:top w:val="single" w:color="auto" w:sz="4" w:space="0"/>
              <w:left w:val="nil"/>
              <w:bottom w:val="single" w:color="auto" w:sz="4" w:space="0"/>
              <w:right w:val="single" w:color="auto" w:sz="4" w:space="0"/>
            </w:tcBorders>
            <w:vAlign w:val="center"/>
          </w:tcPr>
          <w:p>
            <w:pPr>
              <w:widowControl/>
              <w:jc w:val="center"/>
              <w:rPr>
                <w:rFonts w:cs="宋体" w:asciiTheme="majorEastAsia" w:hAnsiTheme="majorEastAsia" w:eastAsiaTheme="majorEastAsia"/>
                <w:color w:val="auto"/>
                <w:kern w:val="0"/>
                <w:sz w:val="20"/>
                <w:szCs w:val="20"/>
                <w:lang w:val="en-US" w:eastAsia="zh-CN" w:bidi="ar-SA"/>
              </w:rPr>
            </w:pPr>
            <w:r>
              <w:rPr>
                <w:rFonts w:cs="宋体" w:asciiTheme="majorEastAsia" w:hAnsiTheme="majorEastAsia" w:eastAsiaTheme="majorEastAsia"/>
                <w:color w:val="auto"/>
                <w:kern w:val="0"/>
                <w:sz w:val="20"/>
                <w:szCs w:val="20"/>
              </w:rPr>
              <w:t>完成</w:t>
            </w:r>
            <w:r>
              <w:rPr>
                <w:rFonts w:hint="eastAsia" w:cs="宋体" w:asciiTheme="majorEastAsia" w:hAnsiTheme="majorEastAsia" w:eastAsiaTheme="majorEastAsia"/>
                <w:color w:val="auto"/>
                <w:kern w:val="0"/>
                <w:sz w:val="20"/>
                <w:szCs w:val="20"/>
                <w:lang w:val="en-US" w:eastAsia="zh-CN"/>
              </w:rPr>
              <w:t>粮食储备行政执法工作</w:t>
            </w:r>
            <w:r>
              <w:rPr>
                <w:rFonts w:hint="eastAsia" w:cs="宋体" w:asciiTheme="majorEastAsia" w:hAnsiTheme="majorEastAsia" w:eastAsiaTheme="majorEastAsia"/>
                <w:color w:val="auto"/>
                <w:kern w:val="0"/>
                <w:sz w:val="20"/>
                <w:szCs w:val="20"/>
              </w:rPr>
              <w:t>的数量情况</w:t>
            </w:r>
          </w:p>
        </w:tc>
        <w:tc>
          <w:tcPr>
            <w:tcW w:w="3121" w:type="dxa"/>
            <w:gridSpan w:val="7"/>
            <w:vMerge w:val="continue"/>
            <w:tcBorders>
              <w:left w:val="single" w:color="auto" w:sz="4" w:space="0"/>
              <w:right w:val="single" w:color="auto" w:sz="4" w:space="0"/>
            </w:tcBorders>
            <w:vAlign w:val="center"/>
          </w:tcPr>
          <w:p>
            <w:pPr>
              <w:widowControl/>
              <w:jc w:val="center"/>
              <w:rPr>
                <w:rFonts w:hint="eastAsia" w:cs="宋体" w:asciiTheme="majorEastAsia" w:hAnsiTheme="majorEastAsia" w:eastAsiaTheme="majorEastAsia"/>
                <w:color w:val="auto"/>
                <w:kern w:val="0"/>
                <w:sz w:val="20"/>
                <w:szCs w:val="20"/>
                <w:lang w:val="en-US" w:eastAsia="zh-CN" w:bidi="ar-SA"/>
              </w:rPr>
            </w:pPr>
          </w:p>
        </w:tc>
        <w:tc>
          <w:tcPr>
            <w:tcW w:w="1054" w:type="dxa"/>
            <w:gridSpan w:val="2"/>
            <w:vMerge w:val="continue"/>
            <w:tcBorders>
              <w:top w:val="single" w:color="auto" w:sz="4" w:space="0"/>
              <w:left w:val="single" w:color="auto" w:sz="4" w:space="0"/>
              <w:right w:val="single" w:color="auto" w:sz="4" w:space="0"/>
            </w:tcBorders>
            <w:vAlign w:val="center"/>
          </w:tcPr>
          <w:p>
            <w:pPr>
              <w:widowControl/>
              <w:jc w:val="left"/>
              <w:rPr>
                <w:rFonts w:ascii="宋体" w:hAnsi="宋体" w:cs="宋体"/>
                <w:color w:val="FF0000"/>
                <w:kern w:val="0"/>
                <w:sz w:val="20"/>
                <w:szCs w:val="20"/>
              </w:rPr>
            </w:pPr>
          </w:p>
        </w:tc>
        <w:tc>
          <w:tcPr>
            <w:tcW w:w="1000" w:type="dxa"/>
            <w:vMerge w:val="continue"/>
            <w:tcBorders>
              <w:left w:val="single" w:color="auto" w:sz="4" w:space="0"/>
              <w:right w:val="single" w:color="auto" w:sz="4" w:space="0"/>
            </w:tcBorders>
            <w:vAlign w:val="center"/>
          </w:tcPr>
          <w:p>
            <w:pPr>
              <w:widowControl/>
              <w:jc w:val="center"/>
              <w:rPr>
                <w:rFonts w:hint="eastAsia" w:cs="宋体" w:asciiTheme="majorEastAsia" w:hAnsiTheme="majorEastAsia" w:eastAsiaTheme="majorEastAsia"/>
                <w:color w:val="auto"/>
                <w:kern w:val="0"/>
                <w:sz w:val="20"/>
                <w:szCs w:val="20"/>
              </w:rPr>
            </w:pPr>
          </w:p>
        </w:tc>
        <w:tc>
          <w:tcPr>
            <w:tcW w:w="3237"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FF0000"/>
                <w:kern w:val="0"/>
                <w:sz w:val="18"/>
                <w:szCs w:val="18"/>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FF0000"/>
                <w:kern w:val="0"/>
                <w:sz w:val="18"/>
                <w:szCs w:val="18"/>
              </w:rPr>
            </w:pPr>
          </w:p>
        </w:tc>
      </w:tr>
      <w:tr>
        <w:trPr>
          <w:trHeight w:val="624" w:hRule="atLeast"/>
        </w:trPr>
        <w:tc>
          <w:tcPr>
            <w:tcW w:w="957" w:type="dxa"/>
            <w:gridSpan w:val="2"/>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20"/>
                <w:szCs w:val="20"/>
              </w:rPr>
            </w:pPr>
          </w:p>
        </w:tc>
        <w:tc>
          <w:tcPr>
            <w:tcW w:w="847" w:type="dxa"/>
            <w:gridSpan w:val="2"/>
            <w:vMerge w:val="continue"/>
            <w:tcBorders>
              <w:top w:val="single" w:color="auto" w:sz="4" w:space="0"/>
              <w:left w:val="single" w:color="auto" w:sz="4" w:space="0"/>
              <w:right w:val="single" w:color="auto" w:sz="4" w:space="0"/>
            </w:tcBorders>
            <w:vAlign w:val="center"/>
          </w:tcPr>
          <w:p>
            <w:pPr>
              <w:widowControl/>
              <w:jc w:val="left"/>
              <w:rPr>
                <w:rFonts w:ascii="宋体" w:hAnsi="宋体" w:cs="宋体"/>
                <w:color w:val="auto"/>
                <w:kern w:val="0"/>
                <w:sz w:val="20"/>
                <w:szCs w:val="20"/>
              </w:rPr>
            </w:pPr>
          </w:p>
        </w:tc>
        <w:tc>
          <w:tcPr>
            <w:tcW w:w="852" w:type="dxa"/>
            <w:gridSpan w:val="2"/>
            <w:vMerge w:val="continue"/>
            <w:tcBorders>
              <w:left w:val="single" w:color="auto" w:sz="4" w:space="0"/>
              <w:right w:val="single" w:color="auto" w:sz="4" w:space="0"/>
            </w:tcBorders>
            <w:vAlign w:val="center"/>
          </w:tcPr>
          <w:p>
            <w:pPr>
              <w:widowControl/>
              <w:jc w:val="center"/>
              <w:rPr>
                <w:rFonts w:cs="宋体" w:asciiTheme="majorEastAsia" w:hAnsiTheme="majorEastAsia" w:eastAsiaTheme="majorEastAsia"/>
                <w:color w:val="auto"/>
                <w:kern w:val="0"/>
                <w:sz w:val="20"/>
                <w:szCs w:val="20"/>
              </w:rPr>
            </w:pPr>
          </w:p>
        </w:tc>
        <w:tc>
          <w:tcPr>
            <w:tcW w:w="2046" w:type="dxa"/>
            <w:gridSpan w:val="4"/>
            <w:tcBorders>
              <w:top w:val="single" w:color="auto" w:sz="4" w:space="0"/>
              <w:left w:val="nil"/>
              <w:bottom w:val="single" w:color="auto" w:sz="4" w:space="0"/>
              <w:right w:val="single" w:color="auto" w:sz="4" w:space="0"/>
            </w:tcBorders>
            <w:vAlign w:val="center"/>
          </w:tcPr>
          <w:p>
            <w:pPr>
              <w:widowControl/>
              <w:jc w:val="center"/>
              <w:rPr>
                <w:rFonts w:cs="宋体" w:asciiTheme="majorEastAsia" w:hAnsiTheme="majorEastAsia" w:eastAsiaTheme="majorEastAsia"/>
                <w:color w:val="auto"/>
                <w:kern w:val="0"/>
                <w:sz w:val="20"/>
                <w:szCs w:val="20"/>
                <w:lang w:val="en-US" w:eastAsia="zh-CN" w:bidi="ar-SA"/>
              </w:rPr>
            </w:pPr>
            <w:r>
              <w:rPr>
                <w:rFonts w:cs="宋体" w:asciiTheme="majorEastAsia" w:hAnsiTheme="majorEastAsia" w:eastAsiaTheme="majorEastAsia"/>
                <w:color w:val="auto"/>
                <w:kern w:val="0"/>
                <w:sz w:val="20"/>
                <w:szCs w:val="20"/>
              </w:rPr>
              <w:t>完成</w:t>
            </w:r>
            <w:r>
              <w:rPr>
                <w:rFonts w:hint="eastAsia" w:cs="宋体" w:asciiTheme="majorEastAsia" w:hAnsiTheme="majorEastAsia" w:eastAsiaTheme="majorEastAsia"/>
                <w:color w:val="auto"/>
                <w:kern w:val="0"/>
                <w:sz w:val="20"/>
                <w:szCs w:val="20"/>
                <w:lang w:val="en-US" w:eastAsia="zh-CN"/>
              </w:rPr>
              <w:t>粮食流通统计工作</w:t>
            </w:r>
            <w:r>
              <w:rPr>
                <w:rFonts w:hint="eastAsia" w:cs="宋体" w:asciiTheme="majorEastAsia" w:hAnsiTheme="majorEastAsia" w:eastAsiaTheme="majorEastAsia"/>
                <w:color w:val="auto"/>
                <w:kern w:val="0"/>
                <w:sz w:val="20"/>
                <w:szCs w:val="20"/>
              </w:rPr>
              <w:t>的数量情况</w:t>
            </w:r>
          </w:p>
        </w:tc>
        <w:tc>
          <w:tcPr>
            <w:tcW w:w="3121" w:type="dxa"/>
            <w:gridSpan w:val="7"/>
            <w:vMerge w:val="continue"/>
            <w:tcBorders>
              <w:left w:val="single" w:color="auto" w:sz="4" w:space="0"/>
              <w:right w:val="single" w:color="auto" w:sz="4" w:space="0"/>
            </w:tcBorders>
            <w:vAlign w:val="center"/>
          </w:tcPr>
          <w:p>
            <w:pPr>
              <w:widowControl/>
              <w:jc w:val="center"/>
              <w:rPr>
                <w:rFonts w:hint="eastAsia" w:cs="宋体" w:asciiTheme="majorEastAsia" w:hAnsiTheme="majorEastAsia" w:eastAsiaTheme="majorEastAsia"/>
                <w:color w:val="auto"/>
                <w:kern w:val="0"/>
                <w:sz w:val="20"/>
                <w:szCs w:val="20"/>
                <w:lang w:val="en-US" w:eastAsia="zh-CN" w:bidi="ar-SA"/>
              </w:rPr>
            </w:pPr>
          </w:p>
        </w:tc>
        <w:tc>
          <w:tcPr>
            <w:tcW w:w="1054" w:type="dxa"/>
            <w:gridSpan w:val="2"/>
            <w:vMerge w:val="continue"/>
            <w:tcBorders>
              <w:top w:val="single" w:color="auto" w:sz="4" w:space="0"/>
              <w:left w:val="single" w:color="auto" w:sz="4" w:space="0"/>
              <w:right w:val="single" w:color="auto" w:sz="4" w:space="0"/>
            </w:tcBorders>
            <w:vAlign w:val="center"/>
          </w:tcPr>
          <w:p>
            <w:pPr>
              <w:widowControl/>
              <w:jc w:val="left"/>
              <w:rPr>
                <w:rFonts w:ascii="宋体" w:hAnsi="宋体" w:cs="宋体"/>
                <w:color w:val="FF0000"/>
                <w:kern w:val="0"/>
                <w:sz w:val="20"/>
                <w:szCs w:val="20"/>
              </w:rPr>
            </w:pPr>
          </w:p>
        </w:tc>
        <w:tc>
          <w:tcPr>
            <w:tcW w:w="1000" w:type="dxa"/>
            <w:vMerge w:val="continue"/>
            <w:tcBorders>
              <w:left w:val="single" w:color="auto" w:sz="4" w:space="0"/>
              <w:right w:val="single" w:color="auto" w:sz="4" w:space="0"/>
            </w:tcBorders>
            <w:vAlign w:val="center"/>
          </w:tcPr>
          <w:p>
            <w:pPr>
              <w:widowControl/>
              <w:jc w:val="center"/>
              <w:rPr>
                <w:rFonts w:hint="eastAsia" w:cs="宋体" w:asciiTheme="majorEastAsia" w:hAnsiTheme="majorEastAsia" w:eastAsiaTheme="majorEastAsia"/>
                <w:color w:val="auto"/>
                <w:kern w:val="0"/>
                <w:sz w:val="20"/>
                <w:szCs w:val="20"/>
              </w:rPr>
            </w:pPr>
          </w:p>
        </w:tc>
        <w:tc>
          <w:tcPr>
            <w:tcW w:w="3237"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FF0000"/>
                <w:kern w:val="0"/>
                <w:sz w:val="18"/>
                <w:szCs w:val="18"/>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FF0000"/>
                <w:kern w:val="0"/>
                <w:sz w:val="18"/>
                <w:szCs w:val="18"/>
              </w:rPr>
            </w:pPr>
          </w:p>
        </w:tc>
      </w:tr>
      <w:tr>
        <w:tblPrEx>
          <w:tblCellMar>
            <w:top w:w="0" w:type="dxa"/>
            <w:left w:w="108" w:type="dxa"/>
            <w:bottom w:w="0" w:type="dxa"/>
            <w:right w:w="108" w:type="dxa"/>
          </w:tblCellMar>
        </w:tblPrEx>
        <w:trPr>
          <w:trHeight w:val="624" w:hRule="atLeast"/>
        </w:trPr>
        <w:tc>
          <w:tcPr>
            <w:tcW w:w="957" w:type="dxa"/>
            <w:gridSpan w:val="2"/>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20"/>
                <w:szCs w:val="20"/>
              </w:rPr>
            </w:pPr>
          </w:p>
        </w:tc>
        <w:tc>
          <w:tcPr>
            <w:tcW w:w="847" w:type="dxa"/>
            <w:gridSpan w:val="2"/>
            <w:vMerge w:val="continue"/>
            <w:tcBorders>
              <w:top w:val="single" w:color="auto" w:sz="4" w:space="0"/>
              <w:left w:val="single" w:color="auto" w:sz="4" w:space="0"/>
              <w:right w:val="single" w:color="auto" w:sz="4" w:space="0"/>
            </w:tcBorders>
            <w:vAlign w:val="center"/>
          </w:tcPr>
          <w:p>
            <w:pPr>
              <w:widowControl/>
              <w:jc w:val="left"/>
              <w:rPr>
                <w:rFonts w:ascii="宋体" w:hAnsi="宋体" w:cs="宋体"/>
                <w:color w:val="auto"/>
                <w:kern w:val="0"/>
                <w:sz w:val="20"/>
                <w:szCs w:val="20"/>
              </w:rPr>
            </w:pPr>
          </w:p>
        </w:tc>
        <w:tc>
          <w:tcPr>
            <w:tcW w:w="852" w:type="dxa"/>
            <w:gridSpan w:val="2"/>
            <w:vMerge w:val="continue"/>
            <w:tcBorders>
              <w:left w:val="single" w:color="auto" w:sz="4" w:space="0"/>
              <w:right w:val="single" w:color="auto" w:sz="4" w:space="0"/>
            </w:tcBorders>
            <w:vAlign w:val="center"/>
          </w:tcPr>
          <w:p>
            <w:pPr>
              <w:widowControl/>
              <w:jc w:val="center"/>
              <w:rPr>
                <w:rFonts w:cs="宋体" w:asciiTheme="majorEastAsia" w:hAnsiTheme="majorEastAsia" w:eastAsiaTheme="majorEastAsia"/>
                <w:color w:val="auto"/>
                <w:kern w:val="0"/>
                <w:sz w:val="20"/>
                <w:szCs w:val="20"/>
              </w:rPr>
            </w:pPr>
          </w:p>
        </w:tc>
        <w:tc>
          <w:tcPr>
            <w:tcW w:w="2046" w:type="dxa"/>
            <w:gridSpan w:val="4"/>
            <w:tcBorders>
              <w:top w:val="single" w:color="auto" w:sz="4" w:space="0"/>
              <w:left w:val="nil"/>
              <w:bottom w:val="single" w:color="auto" w:sz="4" w:space="0"/>
              <w:right w:val="single" w:color="auto" w:sz="4" w:space="0"/>
            </w:tcBorders>
            <w:vAlign w:val="center"/>
          </w:tcPr>
          <w:p>
            <w:pPr>
              <w:widowControl/>
              <w:jc w:val="center"/>
              <w:rPr>
                <w:rFonts w:cs="宋体" w:asciiTheme="majorEastAsia" w:hAnsiTheme="majorEastAsia" w:eastAsiaTheme="majorEastAsia"/>
                <w:color w:val="auto"/>
                <w:kern w:val="0"/>
                <w:sz w:val="20"/>
                <w:szCs w:val="20"/>
              </w:rPr>
            </w:pPr>
            <w:r>
              <w:rPr>
                <w:rFonts w:cs="宋体" w:asciiTheme="majorEastAsia" w:hAnsiTheme="majorEastAsia" w:eastAsiaTheme="majorEastAsia"/>
                <w:color w:val="auto"/>
                <w:kern w:val="0"/>
                <w:sz w:val="20"/>
                <w:szCs w:val="20"/>
              </w:rPr>
              <w:t>完成</w:t>
            </w:r>
            <w:r>
              <w:rPr>
                <w:rFonts w:hint="eastAsia" w:cs="宋体" w:asciiTheme="majorEastAsia" w:hAnsiTheme="majorEastAsia" w:eastAsiaTheme="majorEastAsia"/>
                <w:color w:val="auto"/>
                <w:kern w:val="0"/>
                <w:sz w:val="20"/>
                <w:szCs w:val="20"/>
                <w:lang w:val="en-US" w:eastAsia="zh-CN"/>
              </w:rPr>
              <w:t>粮食质量安全监测工作</w:t>
            </w:r>
            <w:r>
              <w:rPr>
                <w:rFonts w:hint="eastAsia" w:cs="宋体" w:asciiTheme="majorEastAsia" w:hAnsiTheme="majorEastAsia" w:eastAsiaTheme="majorEastAsia"/>
                <w:color w:val="auto"/>
                <w:kern w:val="0"/>
                <w:sz w:val="20"/>
                <w:szCs w:val="20"/>
              </w:rPr>
              <w:t>的数量情况</w:t>
            </w:r>
          </w:p>
        </w:tc>
        <w:tc>
          <w:tcPr>
            <w:tcW w:w="3121" w:type="dxa"/>
            <w:gridSpan w:val="7"/>
            <w:vMerge w:val="continue"/>
            <w:tcBorders>
              <w:left w:val="single" w:color="auto" w:sz="4" w:space="0"/>
              <w:right w:val="single" w:color="auto" w:sz="4" w:space="0"/>
            </w:tcBorders>
            <w:vAlign w:val="center"/>
          </w:tcPr>
          <w:p>
            <w:pPr>
              <w:widowControl/>
              <w:jc w:val="center"/>
              <w:rPr>
                <w:rFonts w:hint="eastAsia" w:asciiTheme="majorEastAsia" w:hAnsiTheme="majorEastAsia" w:eastAsiaTheme="majorEastAsia"/>
                <w:color w:val="auto"/>
                <w:sz w:val="20"/>
                <w:szCs w:val="20"/>
              </w:rPr>
            </w:pPr>
          </w:p>
        </w:tc>
        <w:tc>
          <w:tcPr>
            <w:tcW w:w="1054" w:type="dxa"/>
            <w:gridSpan w:val="2"/>
            <w:vMerge w:val="continue"/>
            <w:tcBorders>
              <w:top w:val="single" w:color="auto" w:sz="4" w:space="0"/>
              <w:left w:val="single" w:color="auto" w:sz="4" w:space="0"/>
              <w:right w:val="single" w:color="auto" w:sz="4" w:space="0"/>
            </w:tcBorders>
            <w:vAlign w:val="center"/>
          </w:tcPr>
          <w:p>
            <w:pPr>
              <w:widowControl/>
              <w:jc w:val="left"/>
              <w:rPr>
                <w:rFonts w:ascii="宋体" w:hAnsi="宋体" w:cs="宋体"/>
                <w:color w:val="FF0000"/>
                <w:kern w:val="0"/>
                <w:sz w:val="20"/>
                <w:szCs w:val="20"/>
              </w:rPr>
            </w:pPr>
          </w:p>
        </w:tc>
        <w:tc>
          <w:tcPr>
            <w:tcW w:w="1000" w:type="dxa"/>
            <w:vMerge w:val="continue"/>
            <w:tcBorders>
              <w:left w:val="single" w:color="auto" w:sz="4" w:space="0"/>
              <w:right w:val="single" w:color="auto" w:sz="4" w:space="0"/>
            </w:tcBorders>
            <w:vAlign w:val="center"/>
          </w:tcPr>
          <w:p>
            <w:pPr>
              <w:widowControl/>
              <w:jc w:val="center"/>
              <w:rPr>
                <w:rFonts w:hint="eastAsia" w:cs="宋体" w:asciiTheme="majorEastAsia" w:hAnsiTheme="majorEastAsia" w:eastAsiaTheme="majorEastAsia"/>
                <w:color w:val="auto"/>
                <w:kern w:val="0"/>
                <w:sz w:val="20"/>
                <w:szCs w:val="20"/>
              </w:rPr>
            </w:pPr>
          </w:p>
        </w:tc>
        <w:tc>
          <w:tcPr>
            <w:tcW w:w="3237"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FF0000"/>
                <w:kern w:val="0"/>
                <w:sz w:val="18"/>
                <w:szCs w:val="18"/>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FF0000"/>
                <w:kern w:val="0"/>
                <w:sz w:val="18"/>
                <w:szCs w:val="18"/>
              </w:rPr>
            </w:pPr>
          </w:p>
        </w:tc>
      </w:tr>
      <w:tr>
        <w:tblPrEx>
          <w:tblCellMar>
            <w:top w:w="0" w:type="dxa"/>
            <w:left w:w="108" w:type="dxa"/>
            <w:bottom w:w="0" w:type="dxa"/>
            <w:right w:w="108" w:type="dxa"/>
          </w:tblCellMar>
        </w:tblPrEx>
        <w:trPr>
          <w:trHeight w:val="624" w:hRule="atLeast"/>
        </w:trPr>
        <w:tc>
          <w:tcPr>
            <w:tcW w:w="957" w:type="dxa"/>
            <w:gridSpan w:val="2"/>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20"/>
                <w:szCs w:val="20"/>
              </w:rPr>
            </w:pPr>
          </w:p>
        </w:tc>
        <w:tc>
          <w:tcPr>
            <w:tcW w:w="847" w:type="dxa"/>
            <w:gridSpan w:val="2"/>
            <w:vMerge w:val="continue"/>
            <w:tcBorders>
              <w:top w:val="single" w:color="auto" w:sz="4" w:space="0"/>
              <w:left w:val="single" w:color="auto" w:sz="4" w:space="0"/>
              <w:right w:val="single" w:color="auto" w:sz="4" w:space="0"/>
            </w:tcBorders>
            <w:vAlign w:val="center"/>
          </w:tcPr>
          <w:p>
            <w:pPr>
              <w:widowControl/>
              <w:jc w:val="left"/>
              <w:rPr>
                <w:rFonts w:ascii="宋体" w:hAnsi="宋体" w:cs="宋体"/>
                <w:color w:val="auto"/>
                <w:kern w:val="0"/>
                <w:sz w:val="20"/>
                <w:szCs w:val="20"/>
              </w:rPr>
            </w:pPr>
          </w:p>
        </w:tc>
        <w:tc>
          <w:tcPr>
            <w:tcW w:w="852" w:type="dxa"/>
            <w:gridSpan w:val="2"/>
            <w:vMerge w:val="continue"/>
            <w:tcBorders>
              <w:left w:val="single" w:color="auto" w:sz="4" w:space="0"/>
              <w:right w:val="single" w:color="auto" w:sz="4" w:space="0"/>
            </w:tcBorders>
            <w:vAlign w:val="center"/>
          </w:tcPr>
          <w:p>
            <w:pPr>
              <w:widowControl/>
              <w:jc w:val="center"/>
              <w:rPr>
                <w:rFonts w:cs="宋体" w:asciiTheme="majorEastAsia" w:hAnsiTheme="majorEastAsia" w:eastAsiaTheme="majorEastAsia"/>
                <w:color w:val="auto"/>
                <w:kern w:val="0"/>
                <w:sz w:val="20"/>
                <w:szCs w:val="20"/>
              </w:rPr>
            </w:pPr>
          </w:p>
        </w:tc>
        <w:tc>
          <w:tcPr>
            <w:tcW w:w="2046" w:type="dxa"/>
            <w:gridSpan w:val="4"/>
            <w:tcBorders>
              <w:top w:val="single" w:color="auto" w:sz="4" w:space="0"/>
              <w:left w:val="nil"/>
              <w:bottom w:val="single" w:color="auto" w:sz="4" w:space="0"/>
              <w:right w:val="single" w:color="auto" w:sz="4" w:space="0"/>
            </w:tcBorders>
            <w:vAlign w:val="center"/>
          </w:tcPr>
          <w:p>
            <w:pPr>
              <w:widowControl/>
              <w:jc w:val="center"/>
              <w:rPr>
                <w:rFonts w:cs="宋体" w:asciiTheme="majorEastAsia" w:hAnsiTheme="majorEastAsia" w:eastAsiaTheme="majorEastAsia"/>
                <w:color w:val="auto"/>
                <w:kern w:val="0"/>
                <w:sz w:val="20"/>
                <w:szCs w:val="20"/>
                <w:lang w:val="en-US" w:eastAsia="zh-CN" w:bidi="ar-SA"/>
              </w:rPr>
            </w:pPr>
            <w:r>
              <w:rPr>
                <w:rFonts w:cs="宋体" w:asciiTheme="majorEastAsia" w:hAnsiTheme="majorEastAsia" w:eastAsiaTheme="majorEastAsia"/>
                <w:color w:val="auto"/>
                <w:kern w:val="0"/>
                <w:sz w:val="20"/>
                <w:szCs w:val="20"/>
              </w:rPr>
              <w:t>完成</w:t>
            </w:r>
            <w:r>
              <w:rPr>
                <w:rFonts w:hint="eastAsia" w:cs="宋体" w:asciiTheme="majorEastAsia" w:hAnsiTheme="majorEastAsia" w:eastAsiaTheme="majorEastAsia"/>
                <w:color w:val="auto"/>
                <w:kern w:val="0"/>
                <w:sz w:val="20"/>
                <w:szCs w:val="20"/>
                <w:lang w:val="en-US" w:eastAsia="zh-CN"/>
              </w:rPr>
              <w:t>粮油信息监测工作</w:t>
            </w:r>
            <w:r>
              <w:rPr>
                <w:rFonts w:hint="eastAsia" w:cs="宋体" w:asciiTheme="majorEastAsia" w:hAnsiTheme="majorEastAsia" w:eastAsiaTheme="majorEastAsia"/>
                <w:color w:val="auto"/>
                <w:kern w:val="0"/>
                <w:sz w:val="20"/>
                <w:szCs w:val="20"/>
              </w:rPr>
              <w:t>的数量情况</w:t>
            </w:r>
          </w:p>
        </w:tc>
        <w:tc>
          <w:tcPr>
            <w:tcW w:w="3121" w:type="dxa"/>
            <w:gridSpan w:val="7"/>
            <w:vMerge w:val="continue"/>
            <w:tcBorders>
              <w:left w:val="single" w:color="auto" w:sz="4" w:space="0"/>
              <w:right w:val="single" w:color="auto" w:sz="4" w:space="0"/>
            </w:tcBorders>
            <w:vAlign w:val="center"/>
          </w:tcPr>
          <w:p>
            <w:pPr>
              <w:widowControl/>
              <w:jc w:val="center"/>
              <w:rPr>
                <w:rFonts w:hint="eastAsia" w:cs="Times New Roman" w:asciiTheme="majorEastAsia" w:hAnsiTheme="majorEastAsia" w:eastAsiaTheme="majorEastAsia"/>
                <w:color w:val="auto"/>
                <w:kern w:val="2"/>
                <w:sz w:val="20"/>
                <w:szCs w:val="20"/>
                <w:lang w:val="en-US" w:eastAsia="zh-CN" w:bidi="ar-SA"/>
              </w:rPr>
            </w:pPr>
          </w:p>
        </w:tc>
        <w:tc>
          <w:tcPr>
            <w:tcW w:w="1054" w:type="dxa"/>
            <w:gridSpan w:val="2"/>
            <w:vMerge w:val="continue"/>
            <w:tcBorders>
              <w:top w:val="single" w:color="auto" w:sz="4" w:space="0"/>
              <w:left w:val="single" w:color="auto" w:sz="4" w:space="0"/>
              <w:right w:val="single" w:color="auto" w:sz="4" w:space="0"/>
            </w:tcBorders>
            <w:vAlign w:val="center"/>
          </w:tcPr>
          <w:p>
            <w:pPr>
              <w:widowControl/>
              <w:jc w:val="left"/>
              <w:rPr>
                <w:rFonts w:ascii="宋体" w:hAnsi="宋体" w:cs="宋体"/>
                <w:color w:val="FF0000"/>
                <w:kern w:val="0"/>
                <w:sz w:val="20"/>
                <w:szCs w:val="20"/>
              </w:rPr>
            </w:pPr>
          </w:p>
        </w:tc>
        <w:tc>
          <w:tcPr>
            <w:tcW w:w="1000" w:type="dxa"/>
            <w:vMerge w:val="continue"/>
            <w:tcBorders>
              <w:left w:val="single" w:color="auto" w:sz="4" w:space="0"/>
              <w:right w:val="single" w:color="auto" w:sz="4" w:space="0"/>
            </w:tcBorders>
            <w:vAlign w:val="center"/>
          </w:tcPr>
          <w:p>
            <w:pPr>
              <w:widowControl/>
              <w:jc w:val="center"/>
              <w:rPr>
                <w:rFonts w:hint="eastAsia" w:cs="宋体" w:asciiTheme="majorEastAsia" w:hAnsiTheme="majorEastAsia" w:eastAsiaTheme="majorEastAsia"/>
                <w:color w:val="auto"/>
                <w:kern w:val="0"/>
                <w:sz w:val="20"/>
                <w:szCs w:val="20"/>
              </w:rPr>
            </w:pPr>
          </w:p>
        </w:tc>
        <w:tc>
          <w:tcPr>
            <w:tcW w:w="3237"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FF0000"/>
                <w:kern w:val="0"/>
                <w:sz w:val="18"/>
                <w:szCs w:val="18"/>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FF0000"/>
                <w:kern w:val="0"/>
                <w:sz w:val="18"/>
                <w:szCs w:val="18"/>
              </w:rPr>
            </w:pPr>
          </w:p>
        </w:tc>
      </w:tr>
      <w:tr>
        <w:tblPrEx>
          <w:tblCellMar>
            <w:top w:w="0" w:type="dxa"/>
            <w:left w:w="108" w:type="dxa"/>
            <w:bottom w:w="0" w:type="dxa"/>
            <w:right w:w="108" w:type="dxa"/>
          </w:tblCellMar>
        </w:tblPrEx>
        <w:trPr>
          <w:trHeight w:val="624" w:hRule="atLeast"/>
        </w:trPr>
        <w:tc>
          <w:tcPr>
            <w:tcW w:w="957" w:type="dxa"/>
            <w:gridSpan w:val="2"/>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20"/>
                <w:szCs w:val="20"/>
              </w:rPr>
            </w:pPr>
          </w:p>
        </w:tc>
        <w:tc>
          <w:tcPr>
            <w:tcW w:w="847" w:type="dxa"/>
            <w:gridSpan w:val="2"/>
            <w:vMerge w:val="continue"/>
            <w:tcBorders>
              <w:top w:val="single" w:color="auto" w:sz="4" w:space="0"/>
              <w:left w:val="single" w:color="auto" w:sz="4" w:space="0"/>
              <w:right w:val="single" w:color="auto" w:sz="4" w:space="0"/>
            </w:tcBorders>
            <w:vAlign w:val="center"/>
          </w:tcPr>
          <w:p>
            <w:pPr>
              <w:widowControl/>
              <w:jc w:val="left"/>
              <w:rPr>
                <w:rFonts w:ascii="宋体" w:hAnsi="宋体" w:cs="宋体"/>
                <w:color w:val="auto"/>
                <w:kern w:val="0"/>
                <w:sz w:val="20"/>
                <w:szCs w:val="20"/>
              </w:rPr>
            </w:pPr>
          </w:p>
        </w:tc>
        <w:tc>
          <w:tcPr>
            <w:tcW w:w="852" w:type="dxa"/>
            <w:gridSpan w:val="2"/>
            <w:vMerge w:val="continue"/>
            <w:tcBorders>
              <w:left w:val="single" w:color="auto" w:sz="4" w:space="0"/>
              <w:right w:val="single" w:color="auto" w:sz="4" w:space="0"/>
            </w:tcBorders>
            <w:vAlign w:val="center"/>
          </w:tcPr>
          <w:p>
            <w:pPr>
              <w:widowControl/>
              <w:jc w:val="center"/>
              <w:rPr>
                <w:rFonts w:cs="宋体" w:asciiTheme="majorEastAsia" w:hAnsiTheme="majorEastAsia" w:eastAsiaTheme="majorEastAsia"/>
                <w:color w:val="auto"/>
                <w:kern w:val="0"/>
                <w:sz w:val="20"/>
                <w:szCs w:val="20"/>
              </w:rPr>
            </w:pPr>
          </w:p>
        </w:tc>
        <w:tc>
          <w:tcPr>
            <w:tcW w:w="2046" w:type="dxa"/>
            <w:gridSpan w:val="4"/>
            <w:tcBorders>
              <w:top w:val="single" w:color="auto" w:sz="4" w:space="0"/>
              <w:left w:val="nil"/>
              <w:bottom w:val="single" w:color="auto" w:sz="4" w:space="0"/>
              <w:right w:val="single" w:color="auto" w:sz="4" w:space="0"/>
            </w:tcBorders>
            <w:vAlign w:val="center"/>
          </w:tcPr>
          <w:p>
            <w:pPr>
              <w:widowControl/>
              <w:jc w:val="center"/>
              <w:rPr>
                <w:rFonts w:cs="宋体" w:asciiTheme="majorEastAsia" w:hAnsiTheme="majorEastAsia" w:eastAsiaTheme="majorEastAsia"/>
                <w:color w:val="auto"/>
                <w:kern w:val="0"/>
                <w:sz w:val="20"/>
                <w:szCs w:val="20"/>
                <w:lang w:val="en-US" w:eastAsia="zh-CN" w:bidi="ar-SA"/>
              </w:rPr>
            </w:pPr>
            <w:r>
              <w:rPr>
                <w:rFonts w:cs="宋体" w:asciiTheme="majorEastAsia" w:hAnsiTheme="majorEastAsia" w:eastAsiaTheme="majorEastAsia"/>
                <w:color w:val="auto"/>
                <w:kern w:val="0"/>
                <w:sz w:val="20"/>
                <w:szCs w:val="20"/>
              </w:rPr>
              <w:t>完成</w:t>
            </w:r>
            <w:r>
              <w:rPr>
                <w:rFonts w:hint="eastAsia" w:cs="宋体" w:asciiTheme="majorEastAsia" w:hAnsiTheme="majorEastAsia" w:eastAsiaTheme="majorEastAsia"/>
                <w:color w:val="auto"/>
                <w:kern w:val="0"/>
                <w:sz w:val="20"/>
                <w:szCs w:val="20"/>
                <w:lang w:val="en-US" w:eastAsia="zh-CN"/>
              </w:rPr>
              <w:t>行业信息化建设工作</w:t>
            </w:r>
            <w:r>
              <w:rPr>
                <w:rFonts w:hint="eastAsia" w:cs="宋体" w:asciiTheme="majorEastAsia" w:hAnsiTheme="majorEastAsia" w:eastAsiaTheme="majorEastAsia"/>
                <w:color w:val="auto"/>
                <w:kern w:val="0"/>
                <w:sz w:val="20"/>
                <w:szCs w:val="20"/>
              </w:rPr>
              <w:t>的数量情况</w:t>
            </w:r>
          </w:p>
        </w:tc>
        <w:tc>
          <w:tcPr>
            <w:tcW w:w="3121" w:type="dxa"/>
            <w:gridSpan w:val="7"/>
            <w:vMerge w:val="continue"/>
            <w:tcBorders>
              <w:left w:val="single" w:color="auto" w:sz="4" w:space="0"/>
              <w:right w:val="single" w:color="auto" w:sz="4" w:space="0"/>
            </w:tcBorders>
            <w:vAlign w:val="center"/>
          </w:tcPr>
          <w:p>
            <w:pPr>
              <w:widowControl/>
              <w:jc w:val="center"/>
              <w:rPr>
                <w:rFonts w:hint="eastAsia" w:cs="Times New Roman" w:asciiTheme="majorEastAsia" w:hAnsiTheme="majorEastAsia" w:eastAsiaTheme="majorEastAsia"/>
                <w:color w:val="auto"/>
                <w:kern w:val="2"/>
                <w:sz w:val="20"/>
                <w:szCs w:val="20"/>
                <w:lang w:val="en-US" w:eastAsia="zh-CN" w:bidi="ar-SA"/>
              </w:rPr>
            </w:pPr>
          </w:p>
        </w:tc>
        <w:tc>
          <w:tcPr>
            <w:tcW w:w="1054" w:type="dxa"/>
            <w:gridSpan w:val="2"/>
            <w:vMerge w:val="continue"/>
            <w:tcBorders>
              <w:top w:val="single" w:color="auto" w:sz="4" w:space="0"/>
              <w:left w:val="single" w:color="auto" w:sz="4" w:space="0"/>
              <w:right w:val="single" w:color="auto" w:sz="4" w:space="0"/>
            </w:tcBorders>
            <w:vAlign w:val="center"/>
          </w:tcPr>
          <w:p>
            <w:pPr>
              <w:widowControl/>
              <w:jc w:val="left"/>
              <w:rPr>
                <w:rFonts w:ascii="宋体" w:hAnsi="宋体" w:cs="宋体"/>
                <w:color w:val="FF0000"/>
                <w:kern w:val="0"/>
                <w:sz w:val="20"/>
                <w:szCs w:val="20"/>
              </w:rPr>
            </w:pPr>
          </w:p>
        </w:tc>
        <w:tc>
          <w:tcPr>
            <w:tcW w:w="1000" w:type="dxa"/>
            <w:vMerge w:val="continue"/>
            <w:tcBorders>
              <w:left w:val="single" w:color="auto" w:sz="4" w:space="0"/>
              <w:right w:val="single" w:color="auto" w:sz="4" w:space="0"/>
            </w:tcBorders>
            <w:vAlign w:val="center"/>
          </w:tcPr>
          <w:p>
            <w:pPr>
              <w:widowControl/>
              <w:jc w:val="center"/>
              <w:rPr>
                <w:rFonts w:hint="eastAsia" w:cs="宋体" w:asciiTheme="majorEastAsia" w:hAnsiTheme="majorEastAsia" w:eastAsiaTheme="majorEastAsia"/>
                <w:color w:val="auto"/>
                <w:kern w:val="0"/>
                <w:sz w:val="20"/>
                <w:szCs w:val="20"/>
              </w:rPr>
            </w:pPr>
          </w:p>
        </w:tc>
        <w:tc>
          <w:tcPr>
            <w:tcW w:w="3237"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FF0000"/>
                <w:kern w:val="0"/>
                <w:sz w:val="18"/>
                <w:szCs w:val="18"/>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FF0000"/>
                <w:kern w:val="0"/>
                <w:sz w:val="18"/>
                <w:szCs w:val="18"/>
              </w:rPr>
            </w:pPr>
          </w:p>
        </w:tc>
      </w:tr>
      <w:tr>
        <w:trPr>
          <w:trHeight w:val="624" w:hRule="atLeast"/>
        </w:trPr>
        <w:tc>
          <w:tcPr>
            <w:tcW w:w="957" w:type="dxa"/>
            <w:gridSpan w:val="2"/>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20"/>
                <w:szCs w:val="20"/>
              </w:rPr>
            </w:pPr>
          </w:p>
        </w:tc>
        <w:tc>
          <w:tcPr>
            <w:tcW w:w="847" w:type="dxa"/>
            <w:gridSpan w:val="2"/>
            <w:vMerge w:val="continue"/>
            <w:tcBorders>
              <w:top w:val="single" w:color="auto" w:sz="4" w:space="0"/>
              <w:left w:val="single" w:color="auto" w:sz="4" w:space="0"/>
              <w:right w:val="single" w:color="auto" w:sz="4" w:space="0"/>
            </w:tcBorders>
            <w:vAlign w:val="center"/>
          </w:tcPr>
          <w:p>
            <w:pPr>
              <w:widowControl/>
              <w:jc w:val="left"/>
              <w:rPr>
                <w:rFonts w:ascii="宋体" w:hAnsi="宋体" w:cs="宋体"/>
                <w:color w:val="auto"/>
                <w:kern w:val="0"/>
                <w:sz w:val="20"/>
                <w:szCs w:val="20"/>
              </w:rPr>
            </w:pPr>
          </w:p>
        </w:tc>
        <w:tc>
          <w:tcPr>
            <w:tcW w:w="852" w:type="dxa"/>
            <w:gridSpan w:val="2"/>
            <w:vMerge w:val="continue"/>
            <w:tcBorders>
              <w:left w:val="single" w:color="auto" w:sz="4" w:space="0"/>
              <w:right w:val="single" w:color="auto" w:sz="4" w:space="0"/>
            </w:tcBorders>
            <w:vAlign w:val="center"/>
          </w:tcPr>
          <w:p>
            <w:pPr>
              <w:widowControl/>
              <w:jc w:val="center"/>
              <w:rPr>
                <w:rFonts w:cs="宋体" w:asciiTheme="majorEastAsia" w:hAnsiTheme="majorEastAsia" w:eastAsiaTheme="majorEastAsia"/>
                <w:color w:val="auto"/>
                <w:kern w:val="0"/>
                <w:sz w:val="20"/>
                <w:szCs w:val="20"/>
              </w:rPr>
            </w:pPr>
          </w:p>
        </w:tc>
        <w:tc>
          <w:tcPr>
            <w:tcW w:w="2046" w:type="dxa"/>
            <w:gridSpan w:val="4"/>
            <w:tcBorders>
              <w:top w:val="single" w:color="auto" w:sz="4" w:space="0"/>
              <w:left w:val="nil"/>
              <w:bottom w:val="single" w:color="auto" w:sz="4" w:space="0"/>
              <w:right w:val="single" w:color="auto" w:sz="4" w:space="0"/>
            </w:tcBorders>
            <w:vAlign w:val="center"/>
          </w:tcPr>
          <w:p>
            <w:pPr>
              <w:widowControl/>
              <w:jc w:val="center"/>
              <w:rPr>
                <w:rFonts w:cs="宋体" w:asciiTheme="majorEastAsia" w:hAnsiTheme="majorEastAsia" w:eastAsiaTheme="majorEastAsia"/>
                <w:color w:val="auto"/>
                <w:kern w:val="0"/>
                <w:sz w:val="20"/>
                <w:szCs w:val="20"/>
              </w:rPr>
            </w:pPr>
            <w:r>
              <w:rPr>
                <w:rFonts w:cs="宋体" w:asciiTheme="majorEastAsia" w:hAnsiTheme="majorEastAsia" w:eastAsiaTheme="majorEastAsia"/>
                <w:color w:val="auto"/>
                <w:kern w:val="0"/>
                <w:sz w:val="20"/>
                <w:szCs w:val="20"/>
              </w:rPr>
              <w:t>完成</w:t>
            </w:r>
            <w:r>
              <w:rPr>
                <w:rFonts w:hint="eastAsia" w:cs="宋体" w:asciiTheme="majorEastAsia" w:hAnsiTheme="majorEastAsia" w:eastAsiaTheme="majorEastAsia"/>
                <w:color w:val="auto"/>
                <w:kern w:val="0"/>
                <w:sz w:val="20"/>
                <w:szCs w:val="20"/>
                <w:lang w:val="en-US" w:eastAsia="zh-CN"/>
              </w:rPr>
              <w:t>组织粮食论坛</w:t>
            </w:r>
            <w:r>
              <w:rPr>
                <w:rFonts w:hint="eastAsia" w:cs="宋体" w:asciiTheme="majorEastAsia" w:hAnsiTheme="majorEastAsia" w:eastAsiaTheme="majorEastAsia"/>
                <w:color w:val="auto"/>
                <w:kern w:val="0"/>
                <w:sz w:val="20"/>
                <w:szCs w:val="20"/>
              </w:rPr>
              <w:t>的数量情况</w:t>
            </w:r>
          </w:p>
        </w:tc>
        <w:tc>
          <w:tcPr>
            <w:tcW w:w="3121" w:type="dxa"/>
            <w:gridSpan w:val="7"/>
            <w:vMerge w:val="continue"/>
            <w:tcBorders>
              <w:left w:val="single" w:color="auto" w:sz="4" w:space="0"/>
              <w:right w:val="single" w:color="auto" w:sz="4" w:space="0"/>
            </w:tcBorders>
            <w:vAlign w:val="center"/>
          </w:tcPr>
          <w:p>
            <w:pPr>
              <w:widowControl/>
              <w:jc w:val="center"/>
              <w:rPr>
                <w:rFonts w:hint="eastAsia" w:asciiTheme="majorEastAsia" w:hAnsiTheme="majorEastAsia" w:eastAsiaTheme="majorEastAsia"/>
                <w:color w:val="auto"/>
                <w:sz w:val="20"/>
                <w:szCs w:val="20"/>
              </w:rPr>
            </w:pPr>
          </w:p>
        </w:tc>
        <w:tc>
          <w:tcPr>
            <w:tcW w:w="1054" w:type="dxa"/>
            <w:gridSpan w:val="2"/>
            <w:vMerge w:val="continue"/>
            <w:tcBorders>
              <w:top w:val="single" w:color="auto" w:sz="4" w:space="0"/>
              <w:left w:val="single" w:color="auto" w:sz="4" w:space="0"/>
              <w:right w:val="single" w:color="auto" w:sz="4" w:space="0"/>
            </w:tcBorders>
            <w:vAlign w:val="center"/>
          </w:tcPr>
          <w:p>
            <w:pPr>
              <w:widowControl/>
              <w:jc w:val="left"/>
              <w:rPr>
                <w:rFonts w:ascii="宋体" w:hAnsi="宋体" w:cs="宋体"/>
                <w:color w:val="FF0000"/>
                <w:kern w:val="0"/>
                <w:sz w:val="20"/>
                <w:szCs w:val="20"/>
              </w:rPr>
            </w:pPr>
          </w:p>
        </w:tc>
        <w:tc>
          <w:tcPr>
            <w:tcW w:w="1000" w:type="dxa"/>
            <w:vMerge w:val="continue"/>
            <w:tcBorders>
              <w:left w:val="single" w:color="auto" w:sz="4" w:space="0"/>
              <w:right w:val="single" w:color="auto" w:sz="4" w:space="0"/>
            </w:tcBorders>
            <w:vAlign w:val="center"/>
          </w:tcPr>
          <w:p>
            <w:pPr>
              <w:widowControl/>
              <w:jc w:val="center"/>
              <w:rPr>
                <w:rFonts w:hint="eastAsia" w:cs="宋体" w:asciiTheme="majorEastAsia" w:hAnsiTheme="majorEastAsia" w:eastAsiaTheme="majorEastAsia"/>
                <w:color w:val="auto"/>
                <w:kern w:val="0"/>
                <w:sz w:val="20"/>
                <w:szCs w:val="20"/>
              </w:rPr>
            </w:pPr>
          </w:p>
        </w:tc>
        <w:tc>
          <w:tcPr>
            <w:tcW w:w="3237"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FF0000"/>
                <w:kern w:val="0"/>
                <w:sz w:val="18"/>
                <w:szCs w:val="18"/>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FF0000"/>
                <w:kern w:val="0"/>
                <w:sz w:val="18"/>
                <w:szCs w:val="18"/>
              </w:rPr>
            </w:pPr>
          </w:p>
        </w:tc>
      </w:tr>
      <w:tr>
        <w:tblPrEx>
          <w:tblCellMar>
            <w:top w:w="0" w:type="dxa"/>
            <w:left w:w="108" w:type="dxa"/>
            <w:bottom w:w="0" w:type="dxa"/>
            <w:right w:w="108" w:type="dxa"/>
          </w:tblCellMar>
        </w:tblPrEx>
        <w:trPr>
          <w:trHeight w:val="624" w:hRule="atLeast"/>
        </w:trPr>
        <w:tc>
          <w:tcPr>
            <w:tcW w:w="957" w:type="dxa"/>
            <w:gridSpan w:val="2"/>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20"/>
                <w:szCs w:val="20"/>
              </w:rPr>
            </w:pPr>
          </w:p>
        </w:tc>
        <w:tc>
          <w:tcPr>
            <w:tcW w:w="847" w:type="dxa"/>
            <w:gridSpan w:val="2"/>
            <w:vMerge w:val="continue"/>
            <w:tcBorders>
              <w:top w:val="single" w:color="auto" w:sz="4" w:space="0"/>
              <w:left w:val="single" w:color="auto" w:sz="4" w:space="0"/>
              <w:right w:val="single" w:color="auto" w:sz="4" w:space="0"/>
            </w:tcBorders>
            <w:vAlign w:val="center"/>
          </w:tcPr>
          <w:p>
            <w:pPr>
              <w:widowControl/>
              <w:jc w:val="left"/>
              <w:rPr>
                <w:rFonts w:ascii="宋体" w:hAnsi="宋体" w:cs="宋体"/>
                <w:color w:val="auto"/>
                <w:kern w:val="0"/>
                <w:sz w:val="20"/>
                <w:szCs w:val="20"/>
              </w:rPr>
            </w:pPr>
          </w:p>
        </w:tc>
        <w:tc>
          <w:tcPr>
            <w:tcW w:w="852" w:type="dxa"/>
            <w:gridSpan w:val="2"/>
            <w:vMerge w:val="continue"/>
            <w:tcBorders>
              <w:left w:val="single" w:color="auto" w:sz="4" w:space="0"/>
              <w:right w:val="single" w:color="auto" w:sz="4" w:space="0"/>
            </w:tcBorders>
            <w:vAlign w:val="center"/>
          </w:tcPr>
          <w:p>
            <w:pPr>
              <w:widowControl/>
              <w:jc w:val="center"/>
              <w:rPr>
                <w:rFonts w:cs="宋体" w:asciiTheme="majorEastAsia" w:hAnsiTheme="majorEastAsia" w:eastAsiaTheme="majorEastAsia"/>
                <w:color w:val="auto"/>
                <w:kern w:val="0"/>
                <w:sz w:val="20"/>
                <w:szCs w:val="20"/>
              </w:rPr>
            </w:pPr>
          </w:p>
        </w:tc>
        <w:tc>
          <w:tcPr>
            <w:tcW w:w="2046" w:type="dxa"/>
            <w:gridSpan w:val="4"/>
            <w:tcBorders>
              <w:top w:val="single" w:color="auto" w:sz="4" w:space="0"/>
              <w:left w:val="nil"/>
              <w:bottom w:val="single" w:color="auto" w:sz="4" w:space="0"/>
              <w:right w:val="single" w:color="auto" w:sz="4" w:space="0"/>
            </w:tcBorders>
            <w:vAlign w:val="center"/>
          </w:tcPr>
          <w:p>
            <w:pPr>
              <w:widowControl/>
              <w:jc w:val="center"/>
              <w:rPr>
                <w:rFonts w:cs="宋体" w:asciiTheme="majorEastAsia" w:hAnsiTheme="majorEastAsia" w:eastAsiaTheme="majorEastAsia"/>
                <w:color w:val="auto"/>
                <w:kern w:val="0"/>
                <w:sz w:val="20"/>
                <w:szCs w:val="20"/>
              </w:rPr>
            </w:pPr>
            <w:r>
              <w:rPr>
                <w:rFonts w:cs="宋体" w:asciiTheme="majorEastAsia" w:hAnsiTheme="majorEastAsia" w:eastAsiaTheme="majorEastAsia"/>
                <w:color w:val="auto"/>
                <w:kern w:val="0"/>
                <w:sz w:val="20"/>
                <w:szCs w:val="20"/>
              </w:rPr>
              <w:t>完成</w:t>
            </w:r>
            <w:r>
              <w:rPr>
                <w:rFonts w:hint="eastAsia" w:cs="宋体" w:asciiTheme="majorEastAsia" w:hAnsiTheme="majorEastAsia" w:eastAsiaTheme="majorEastAsia"/>
                <w:color w:val="auto"/>
                <w:kern w:val="0"/>
                <w:sz w:val="20"/>
                <w:szCs w:val="20"/>
                <w:lang w:val="en-US" w:eastAsia="zh-CN"/>
              </w:rPr>
              <w:t>行业信息化建设工作</w:t>
            </w:r>
            <w:r>
              <w:rPr>
                <w:rFonts w:hint="eastAsia" w:cs="宋体" w:asciiTheme="majorEastAsia" w:hAnsiTheme="majorEastAsia" w:eastAsiaTheme="majorEastAsia"/>
                <w:color w:val="auto"/>
                <w:kern w:val="0"/>
                <w:sz w:val="20"/>
                <w:szCs w:val="20"/>
              </w:rPr>
              <w:t>的数量情况</w:t>
            </w:r>
          </w:p>
        </w:tc>
        <w:tc>
          <w:tcPr>
            <w:tcW w:w="3121" w:type="dxa"/>
            <w:gridSpan w:val="7"/>
            <w:vMerge w:val="continue"/>
            <w:tcBorders>
              <w:left w:val="single" w:color="auto" w:sz="4" w:space="0"/>
              <w:right w:val="single" w:color="auto" w:sz="4" w:space="0"/>
            </w:tcBorders>
            <w:vAlign w:val="center"/>
          </w:tcPr>
          <w:p>
            <w:pPr>
              <w:widowControl/>
              <w:jc w:val="center"/>
              <w:rPr>
                <w:rFonts w:hint="eastAsia" w:asciiTheme="majorEastAsia" w:hAnsiTheme="majorEastAsia" w:eastAsiaTheme="majorEastAsia"/>
                <w:color w:val="auto"/>
                <w:sz w:val="20"/>
                <w:szCs w:val="20"/>
              </w:rPr>
            </w:pPr>
          </w:p>
        </w:tc>
        <w:tc>
          <w:tcPr>
            <w:tcW w:w="1054" w:type="dxa"/>
            <w:gridSpan w:val="2"/>
            <w:vMerge w:val="continue"/>
            <w:tcBorders>
              <w:top w:val="single" w:color="auto" w:sz="4" w:space="0"/>
              <w:left w:val="single" w:color="auto" w:sz="4" w:space="0"/>
              <w:right w:val="single" w:color="auto" w:sz="4" w:space="0"/>
            </w:tcBorders>
            <w:vAlign w:val="center"/>
          </w:tcPr>
          <w:p>
            <w:pPr>
              <w:widowControl/>
              <w:jc w:val="left"/>
              <w:rPr>
                <w:rFonts w:ascii="宋体" w:hAnsi="宋体" w:cs="宋体"/>
                <w:color w:val="FF0000"/>
                <w:kern w:val="0"/>
                <w:sz w:val="20"/>
                <w:szCs w:val="20"/>
              </w:rPr>
            </w:pPr>
          </w:p>
        </w:tc>
        <w:tc>
          <w:tcPr>
            <w:tcW w:w="1000" w:type="dxa"/>
            <w:vMerge w:val="continue"/>
            <w:tcBorders>
              <w:left w:val="single" w:color="auto" w:sz="4" w:space="0"/>
              <w:right w:val="single" w:color="auto" w:sz="4" w:space="0"/>
            </w:tcBorders>
            <w:vAlign w:val="center"/>
          </w:tcPr>
          <w:p>
            <w:pPr>
              <w:widowControl/>
              <w:jc w:val="center"/>
              <w:rPr>
                <w:rFonts w:hint="eastAsia" w:cs="宋体" w:asciiTheme="majorEastAsia" w:hAnsiTheme="majorEastAsia" w:eastAsiaTheme="majorEastAsia"/>
                <w:color w:val="auto"/>
                <w:kern w:val="0"/>
                <w:sz w:val="20"/>
                <w:szCs w:val="20"/>
              </w:rPr>
            </w:pPr>
          </w:p>
        </w:tc>
        <w:tc>
          <w:tcPr>
            <w:tcW w:w="3237"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FF0000"/>
                <w:kern w:val="0"/>
                <w:sz w:val="18"/>
                <w:szCs w:val="18"/>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FF0000"/>
                <w:kern w:val="0"/>
                <w:sz w:val="18"/>
                <w:szCs w:val="18"/>
              </w:rPr>
            </w:pPr>
          </w:p>
        </w:tc>
      </w:tr>
      <w:tr>
        <w:tblPrEx>
          <w:tblCellMar>
            <w:top w:w="0" w:type="dxa"/>
            <w:left w:w="108" w:type="dxa"/>
            <w:bottom w:w="0" w:type="dxa"/>
            <w:right w:w="108" w:type="dxa"/>
          </w:tblCellMar>
        </w:tblPrEx>
        <w:trPr>
          <w:trHeight w:val="624" w:hRule="atLeast"/>
        </w:trPr>
        <w:tc>
          <w:tcPr>
            <w:tcW w:w="95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rPr>
            </w:pPr>
          </w:p>
        </w:tc>
        <w:tc>
          <w:tcPr>
            <w:tcW w:w="84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rPr>
            </w:pPr>
          </w:p>
        </w:tc>
        <w:tc>
          <w:tcPr>
            <w:tcW w:w="852" w:type="dxa"/>
            <w:gridSpan w:val="2"/>
            <w:vMerge w:val="continue"/>
            <w:tcBorders>
              <w:left w:val="single" w:color="auto" w:sz="4" w:space="0"/>
              <w:bottom w:val="single" w:color="auto" w:sz="4" w:space="0"/>
              <w:right w:val="single" w:color="auto" w:sz="4" w:space="0"/>
            </w:tcBorders>
            <w:vAlign w:val="center"/>
          </w:tcPr>
          <w:p>
            <w:pPr>
              <w:widowControl/>
              <w:jc w:val="center"/>
              <w:rPr>
                <w:rFonts w:cs="宋体" w:asciiTheme="majorEastAsia" w:hAnsiTheme="majorEastAsia" w:eastAsiaTheme="majorEastAsia"/>
                <w:color w:val="auto"/>
                <w:kern w:val="0"/>
                <w:sz w:val="20"/>
                <w:szCs w:val="20"/>
              </w:rPr>
            </w:pPr>
          </w:p>
        </w:tc>
        <w:tc>
          <w:tcPr>
            <w:tcW w:w="2046" w:type="dxa"/>
            <w:gridSpan w:val="4"/>
            <w:tcBorders>
              <w:top w:val="single" w:color="auto" w:sz="4" w:space="0"/>
              <w:left w:val="nil"/>
              <w:bottom w:val="single" w:color="auto" w:sz="4" w:space="0"/>
              <w:right w:val="single" w:color="auto" w:sz="4" w:space="0"/>
            </w:tcBorders>
            <w:vAlign w:val="center"/>
          </w:tcPr>
          <w:p>
            <w:pPr>
              <w:widowControl/>
              <w:jc w:val="center"/>
              <w:rPr>
                <w:rFonts w:cs="宋体" w:asciiTheme="majorEastAsia" w:hAnsiTheme="majorEastAsia" w:eastAsiaTheme="majorEastAsia"/>
                <w:color w:val="auto"/>
                <w:kern w:val="0"/>
                <w:sz w:val="20"/>
                <w:szCs w:val="20"/>
              </w:rPr>
            </w:pPr>
            <w:r>
              <w:rPr>
                <w:rFonts w:cs="宋体" w:asciiTheme="majorEastAsia" w:hAnsiTheme="majorEastAsia" w:eastAsiaTheme="majorEastAsia"/>
                <w:color w:val="auto"/>
                <w:kern w:val="0"/>
                <w:sz w:val="20"/>
                <w:szCs w:val="20"/>
              </w:rPr>
              <w:t>完成</w:t>
            </w:r>
            <w:r>
              <w:rPr>
                <w:rFonts w:hint="eastAsia" w:cs="宋体" w:asciiTheme="majorEastAsia" w:hAnsiTheme="majorEastAsia" w:eastAsiaTheme="majorEastAsia"/>
                <w:color w:val="auto"/>
                <w:kern w:val="0"/>
                <w:sz w:val="20"/>
                <w:szCs w:val="20"/>
                <w:lang w:val="en-US" w:eastAsia="zh-CN"/>
              </w:rPr>
              <w:t>职业教育工作</w:t>
            </w:r>
            <w:r>
              <w:rPr>
                <w:rFonts w:hint="eastAsia" w:cs="宋体" w:asciiTheme="majorEastAsia" w:hAnsiTheme="majorEastAsia" w:eastAsiaTheme="majorEastAsia"/>
                <w:color w:val="auto"/>
                <w:kern w:val="0"/>
                <w:sz w:val="20"/>
                <w:szCs w:val="20"/>
              </w:rPr>
              <w:t>的数量情况</w:t>
            </w:r>
          </w:p>
        </w:tc>
        <w:tc>
          <w:tcPr>
            <w:tcW w:w="3121" w:type="dxa"/>
            <w:gridSpan w:val="7"/>
            <w:vMerge w:val="continue"/>
            <w:tcBorders>
              <w:left w:val="single" w:color="auto" w:sz="4" w:space="0"/>
              <w:bottom w:val="single" w:color="auto" w:sz="4" w:space="0"/>
              <w:right w:val="single" w:color="auto" w:sz="4" w:space="0"/>
            </w:tcBorders>
            <w:vAlign w:val="center"/>
          </w:tcPr>
          <w:p>
            <w:pPr>
              <w:widowControl/>
              <w:jc w:val="center"/>
              <w:rPr>
                <w:rFonts w:hint="eastAsia" w:asciiTheme="majorEastAsia" w:hAnsiTheme="majorEastAsia" w:eastAsiaTheme="majorEastAsia"/>
                <w:color w:val="auto"/>
                <w:sz w:val="20"/>
                <w:szCs w:val="20"/>
              </w:rPr>
            </w:pPr>
          </w:p>
        </w:tc>
        <w:tc>
          <w:tcPr>
            <w:tcW w:w="10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FF0000"/>
                <w:kern w:val="0"/>
                <w:sz w:val="20"/>
                <w:szCs w:val="20"/>
              </w:rPr>
            </w:pPr>
          </w:p>
        </w:tc>
        <w:tc>
          <w:tcPr>
            <w:tcW w:w="1000" w:type="dxa"/>
            <w:vMerge w:val="continue"/>
            <w:tcBorders>
              <w:left w:val="single" w:color="auto" w:sz="4" w:space="0"/>
              <w:bottom w:val="single" w:color="auto" w:sz="4" w:space="0"/>
              <w:right w:val="single" w:color="auto" w:sz="4" w:space="0"/>
            </w:tcBorders>
            <w:vAlign w:val="center"/>
          </w:tcPr>
          <w:p>
            <w:pPr>
              <w:widowControl/>
              <w:jc w:val="center"/>
              <w:rPr>
                <w:rFonts w:hint="eastAsia" w:cs="宋体" w:asciiTheme="majorEastAsia" w:hAnsiTheme="majorEastAsia" w:eastAsiaTheme="majorEastAsia"/>
                <w:color w:val="auto"/>
                <w:kern w:val="0"/>
                <w:sz w:val="20"/>
                <w:szCs w:val="20"/>
              </w:rPr>
            </w:pPr>
          </w:p>
        </w:tc>
        <w:tc>
          <w:tcPr>
            <w:tcW w:w="3237"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FF0000"/>
                <w:kern w:val="0"/>
                <w:sz w:val="18"/>
                <w:szCs w:val="18"/>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FF0000"/>
                <w:kern w:val="0"/>
                <w:sz w:val="18"/>
                <w:szCs w:val="18"/>
              </w:rPr>
            </w:pPr>
          </w:p>
        </w:tc>
      </w:tr>
      <w:tr>
        <w:tblPrEx>
          <w:tblCellMar>
            <w:top w:w="0" w:type="dxa"/>
            <w:left w:w="108" w:type="dxa"/>
            <w:bottom w:w="0" w:type="dxa"/>
            <w:right w:w="108" w:type="dxa"/>
          </w:tblCellMar>
        </w:tblPrEx>
        <w:trPr>
          <w:trHeight w:val="567" w:hRule="atLeast"/>
        </w:trPr>
        <w:tc>
          <w:tcPr>
            <w:tcW w:w="95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rPr>
            </w:pPr>
          </w:p>
        </w:tc>
        <w:tc>
          <w:tcPr>
            <w:tcW w:w="84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rPr>
            </w:pPr>
          </w:p>
        </w:tc>
        <w:tc>
          <w:tcPr>
            <w:tcW w:w="852"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ajorEastAsia" w:hAnsiTheme="majorEastAsia" w:eastAsiaTheme="majorEastAsia"/>
                <w:color w:val="auto"/>
                <w:kern w:val="0"/>
                <w:sz w:val="20"/>
                <w:szCs w:val="20"/>
              </w:rPr>
            </w:pPr>
            <w:r>
              <w:rPr>
                <w:rFonts w:hint="eastAsia" w:cs="宋体" w:asciiTheme="majorEastAsia" w:hAnsiTheme="majorEastAsia" w:eastAsiaTheme="majorEastAsia"/>
                <w:color w:val="auto"/>
                <w:kern w:val="0"/>
                <w:sz w:val="20"/>
                <w:szCs w:val="20"/>
              </w:rPr>
              <w:t>质量</w:t>
            </w:r>
          </w:p>
          <w:p>
            <w:pPr>
              <w:widowControl/>
              <w:jc w:val="center"/>
              <w:rPr>
                <w:rFonts w:cs="宋体" w:asciiTheme="majorEastAsia" w:hAnsiTheme="majorEastAsia" w:eastAsiaTheme="majorEastAsia"/>
                <w:color w:val="auto"/>
                <w:kern w:val="0"/>
                <w:sz w:val="20"/>
                <w:szCs w:val="20"/>
              </w:rPr>
            </w:pPr>
            <w:r>
              <w:rPr>
                <w:rFonts w:hint="eastAsia" w:cs="宋体" w:asciiTheme="majorEastAsia" w:hAnsiTheme="majorEastAsia" w:eastAsiaTheme="majorEastAsia"/>
                <w:color w:val="auto"/>
                <w:kern w:val="0"/>
                <w:sz w:val="20"/>
                <w:szCs w:val="20"/>
              </w:rPr>
              <w:t>指标</w:t>
            </w:r>
          </w:p>
        </w:tc>
        <w:tc>
          <w:tcPr>
            <w:tcW w:w="2046"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ajorEastAsia" w:hAnsiTheme="majorEastAsia" w:eastAsiaTheme="majorEastAsia"/>
                <w:color w:val="FF0000"/>
                <w:kern w:val="0"/>
                <w:sz w:val="20"/>
                <w:szCs w:val="20"/>
              </w:rPr>
            </w:pPr>
            <w:r>
              <w:rPr>
                <w:rFonts w:hint="eastAsia" w:cs="宋体" w:asciiTheme="majorEastAsia" w:hAnsiTheme="majorEastAsia" w:eastAsiaTheme="majorEastAsia"/>
                <w:color w:val="auto"/>
                <w:kern w:val="0"/>
                <w:sz w:val="20"/>
                <w:szCs w:val="20"/>
              </w:rPr>
              <w:t>保障粮食质量安全程度</w:t>
            </w:r>
          </w:p>
        </w:tc>
        <w:tc>
          <w:tcPr>
            <w:tcW w:w="3121" w:type="dxa"/>
            <w:gridSpan w:val="7"/>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ajorEastAsia" w:hAnsiTheme="majorEastAsia" w:eastAsiaTheme="majorEastAsia"/>
                <w:color w:val="auto"/>
                <w:kern w:val="0"/>
                <w:sz w:val="20"/>
                <w:szCs w:val="20"/>
              </w:rPr>
            </w:pPr>
            <w:r>
              <w:rPr>
                <w:rFonts w:hint="eastAsia" w:asciiTheme="majorEastAsia" w:hAnsiTheme="majorEastAsia" w:eastAsiaTheme="majorEastAsia"/>
                <w:color w:val="auto"/>
                <w:sz w:val="20"/>
                <w:szCs w:val="20"/>
              </w:rPr>
              <w:t>部门产出质量提升及达到标准</w:t>
            </w:r>
          </w:p>
        </w:tc>
        <w:tc>
          <w:tcPr>
            <w:tcW w:w="1054" w:type="dxa"/>
            <w:gridSpan w:val="2"/>
            <w:vMerge w:val="restart"/>
            <w:tcBorders>
              <w:top w:val="single" w:color="auto" w:sz="4" w:space="0"/>
              <w:left w:val="single" w:color="auto" w:sz="4" w:space="0"/>
              <w:right w:val="single" w:color="auto" w:sz="4" w:space="0"/>
            </w:tcBorders>
            <w:vAlign w:val="center"/>
          </w:tcPr>
          <w:p>
            <w:pPr>
              <w:widowControl/>
              <w:jc w:val="left"/>
              <w:rPr>
                <w:rFonts w:ascii="宋体" w:hAnsi="宋体" w:cs="宋体"/>
                <w:color w:val="FF0000"/>
                <w:kern w:val="0"/>
                <w:sz w:val="20"/>
                <w:szCs w:val="20"/>
              </w:rPr>
            </w:pPr>
          </w:p>
        </w:tc>
        <w:tc>
          <w:tcPr>
            <w:tcW w:w="1000" w:type="dxa"/>
            <w:vMerge w:val="restart"/>
            <w:tcBorders>
              <w:top w:val="single" w:color="auto" w:sz="4" w:space="0"/>
              <w:left w:val="single" w:color="auto" w:sz="4" w:space="0"/>
              <w:right w:val="single" w:color="auto" w:sz="4" w:space="0"/>
            </w:tcBorders>
            <w:vAlign w:val="center"/>
          </w:tcPr>
          <w:p>
            <w:pPr>
              <w:widowControl/>
              <w:jc w:val="center"/>
              <w:rPr>
                <w:rFonts w:hint="default" w:cs="宋体" w:asciiTheme="majorEastAsia" w:hAnsiTheme="majorEastAsia" w:eastAsiaTheme="majorEastAsia"/>
                <w:color w:val="auto"/>
                <w:kern w:val="0"/>
                <w:sz w:val="20"/>
                <w:szCs w:val="20"/>
                <w:lang w:val="en-US" w:eastAsia="zh-CN"/>
              </w:rPr>
            </w:pPr>
            <w:r>
              <w:rPr>
                <w:rFonts w:hint="eastAsia" w:cs="宋体" w:asciiTheme="majorEastAsia" w:hAnsiTheme="majorEastAsia" w:eastAsiaTheme="majorEastAsia"/>
                <w:color w:val="auto"/>
                <w:kern w:val="0"/>
                <w:sz w:val="20"/>
                <w:szCs w:val="20"/>
                <w:lang w:val="en-US" w:eastAsia="zh-CN"/>
              </w:rPr>
              <w:t>7</w:t>
            </w:r>
          </w:p>
        </w:tc>
        <w:tc>
          <w:tcPr>
            <w:tcW w:w="3237"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FF0000"/>
                <w:kern w:val="0"/>
                <w:sz w:val="18"/>
                <w:szCs w:val="18"/>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FF0000"/>
                <w:kern w:val="0"/>
                <w:sz w:val="18"/>
                <w:szCs w:val="18"/>
              </w:rPr>
            </w:pPr>
          </w:p>
        </w:tc>
      </w:tr>
      <w:tr>
        <w:trPr>
          <w:trHeight w:val="567" w:hRule="atLeast"/>
        </w:trPr>
        <w:tc>
          <w:tcPr>
            <w:tcW w:w="95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FF0000"/>
                <w:kern w:val="0"/>
                <w:sz w:val="20"/>
                <w:szCs w:val="20"/>
              </w:rPr>
            </w:pPr>
          </w:p>
        </w:tc>
        <w:tc>
          <w:tcPr>
            <w:tcW w:w="84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FF0000"/>
                <w:kern w:val="0"/>
                <w:sz w:val="20"/>
                <w:szCs w:val="20"/>
              </w:rPr>
            </w:pPr>
          </w:p>
        </w:tc>
        <w:tc>
          <w:tcPr>
            <w:tcW w:w="85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FF0000"/>
                <w:kern w:val="0"/>
                <w:sz w:val="20"/>
                <w:szCs w:val="20"/>
              </w:rPr>
            </w:pPr>
          </w:p>
        </w:tc>
        <w:tc>
          <w:tcPr>
            <w:tcW w:w="2046"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ajorEastAsia" w:hAnsiTheme="majorEastAsia" w:eastAsiaTheme="majorEastAsia"/>
                <w:color w:val="FF0000"/>
                <w:kern w:val="0"/>
                <w:sz w:val="20"/>
                <w:szCs w:val="20"/>
              </w:rPr>
            </w:pPr>
            <w:r>
              <w:rPr>
                <w:rFonts w:hint="eastAsia" w:cs="宋体" w:asciiTheme="majorEastAsia" w:hAnsiTheme="majorEastAsia" w:eastAsiaTheme="majorEastAsia"/>
                <w:color w:val="auto"/>
                <w:kern w:val="0"/>
                <w:sz w:val="20"/>
                <w:szCs w:val="20"/>
              </w:rPr>
              <w:t>落实好粮食安全市长责任制考核工作</w:t>
            </w:r>
          </w:p>
        </w:tc>
        <w:tc>
          <w:tcPr>
            <w:tcW w:w="3121" w:type="dxa"/>
            <w:gridSpan w:val="7"/>
            <w:vMerge w:val="continue"/>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olor w:val="auto"/>
                <w:sz w:val="20"/>
                <w:szCs w:val="20"/>
              </w:rPr>
            </w:pPr>
          </w:p>
        </w:tc>
        <w:tc>
          <w:tcPr>
            <w:tcW w:w="10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FF0000"/>
                <w:kern w:val="0"/>
                <w:sz w:val="20"/>
                <w:szCs w:val="20"/>
              </w:rPr>
            </w:pPr>
          </w:p>
        </w:tc>
        <w:tc>
          <w:tcPr>
            <w:tcW w:w="1000" w:type="dxa"/>
            <w:vMerge w:val="continue"/>
            <w:tcBorders>
              <w:left w:val="single" w:color="auto" w:sz="4" w:space="0"/>
              <w:right w:val="single" w:color="auto" w:sz="4" w:space="0"/>
            </w:tcBorders>
            <w:vAlign w:val="center"/>
          </w:tcPr>
          <w:p>
            <w:pPr>
              <w:widowControl/>
              <w:jc w:val="center"/>
              <w:rPr>
                <w:rFonts w:cs="宋体" w:asciiTheme="majorEastAsia" w:hAnsiTheme="majorEastAsia" w:eastAsiaTheme="majorEastAsia"/>
                <w:color w:val="auto"/>
                <w:kern w:val="0"/>
                <w:sz w:val="20"/>
                <w:szCs w:val="20"/>
              </w:rPr>
            </w:pPr>
          </w:p>
        </w:tc>
        <w:tc>
          <w:tcPr>
            <w:tcW w:w="3237"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FF0000"/>
                <w:kern w:val="0"/>
                <w:sz w:val="18"/>
                <w:szCs w:val="18"/>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FF0000"/>
                <w:kern w:val="0"/>
                <w:sz w:val="18"/>
                <w:szCs w:val="18"/>
              </w:rPr>
            </w:pPr>
          </w:p>
        </w:tc>
      </w:tr>
      <w:tr>
        <w:tblPrEx>
          <w:tblCellMar>
            <w:top w:w="0" w:type="dxa"/>
            <w:left w:w="108" w:type="dxa"/>
            <w:bottom w:w="0" w:type="dxa"/>
            <w:right w:w="108" w:type="dxa"/>
          </w:tblCellMar>
        </w:tblPrEx>
        <w:trPr>
          <w:trHeight w:val="567" w:hRule="atLeast"/>
        </w:trPr>
        <w:tc>
          <w:tcPr>
            <w:tcW w:w="957" w:type="dxa"/>
            <w:gridSpan w:val="2"/>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color w:val="FF0000"/>
                <w:kern w:val="0"/>
                <w:sz w:val="20"/>
                <w:szCs w:val="20"/>
              </w:rPr>
            </w:pPr>
          </w:p>
        </w:tc>
        <w:tc>
          <w:tcPr>
            <w:tcW w:w="847" w:type="dxa"/>
            <w:gridSpan w:val="2"/>
            <w:vMerge w:val="continue"/>
            <w:tcBorders>
              <w:top w:val="single" w:color="auto" w:sz="4" w:space="0"/>
              <w:left w:val="single" w:color="auto" w:sz="4" w:space="0"/>
              <w:right w:val="single" w:color="auto" w:sz="4" w:space="0"/>
            </w:tcBorders>
            <w:vAlign w:val="center"/>
          </w:tcPr>
          <w:p>
            <w:pPr>
              <w:widowControl/>
              <w:jc w:val="left"/>
              <w:rPr>
                <w:rFonts w:ascii="宋体" w:hAnsi="宋体" w:cs="宋体"/>
                <w:color w:val="FF0000"/>
                <w:kern w:val="0"/>
                <w:sz w:val="20"/>
                <w:szCs w:val="20"/>
              </w:rPr>
            </w:pPr>
          </w:p>
        </w:tc>
        <w:tc>
          <w:tcPr>
            <w:tcW w:w="852" w:type="dxa"/>
            <w:gridSpan w:val="2"/>
            <w:vMerge w:val="continue"/>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FF0000"/>
                <w:kern w:val="0"/>
                <w:sz w:val="20"/>
                <w:szCs w:val="20"/>
              </w:rPr>
            </w:pPr>
          </w:p>
        </w:tc>
        <w:tc>
          <w:tcPr>
            <w:tcW w:w="2046" w:type="dxa"/>
            <w:gridSpan w:val="4"/>
            <w:tcBorders>
              <w:top w:val="single" w:color="auto" w:sz="4" w:space="0"/>
              <w:left w:val="nil"/>
              <w:bottom w:val="single" w:color="auto" w:sz="4" w:space="0"/>
              <w:right w:val="single" w:color="auto" w:sz="4" w:space="0"/>
            </w:tcBorders>
            <w:vAlign w:val="center"/>
          </w:tcPr>
          <w:p>
            <w:pPr>
              <w:widowControl/>
              <w:jc w:val="center"/>
              <w:rPr>
                <w:rFonts w:cs="宋体" w:asciiTheme="majorEastAsia" w:hAnsiTheme="majorEastAsia" w:eastAsiaTheme="majorEastAsia"/>
                <w:color w:val="FF0000"/>
                <w:kern w:val="0"/>
                <w:sz w:val="20"/>
                <w:szCs w:val="20"/>
              </w:rPr>
            </w:pPr>
            <w:r>
              <w:rPr>
                <w:rFonts w:hint="eastAsia" w:cs="宋体" w:asciiTheme="majorEastAsia" w:hAnsiTheme="majorEastAsia" w:eastAsiaTheme="majorEastAsia"/>
                <w:color w:val="auto"/>
                <w:kern w:val="0"/>
                <w:sz w:val="20"/>
                <w:szCs w:val="20"/>
              </w:rPr>
              <w:t>工作</w:t>
            </w:r>
            <w:r>
              <w:rPr>
                <w:rFonts w:hint="eastAsia" w:cs="宋体" w:asciiTheme="majorEastAsia" w:hAnsiTheme="majorEastAsia" w:eastAsiaTheme="majorEastAsia"/>
                <w:color w:val="auto"/>
                <w:kern w:val="0"/>
                <w:sz w:val="20"/>
                <w:szCs w:val="20"/>
                <w:lang w:val="en-US" w:eastAsia="zh-CN"/>
              </w:rPr>
              <w:t>的</w:t>
            </w:r>
            <w:r>
              <w:rPr>
                <w:rFonts w:hint="eastAsia" w:cs="宋体" w:asciiTheme="majorEastAsia" w:hAnsiTheme="majorEastAsia" w:eastAsiaTheme="majorEastAsia"/>
                <w:color w:val="auto"/>
                <w:kern w:val="0"/>
                <w:sz w:val="20"/>
                <w:szCs w:val="20"/>
              </w:rPr>
              <w:t>专业性、严谨性情况</w:t>
            </w:r>
          </w:p>
        </w:tc>
        <w:tc>
          <w:tcPr>
            <w:tcW w:w="3121" w:type="dxa"/>
            <w:gridSpan w:val="7"/>
            <w:vMerge w:val="continue"/>
            <w:tcBorders>
              <w:top w:val="single" w:color="auto" w:sz="4" w:space="0"/>
              <w:left w:val="nil"/>
              <w:bottom w:val="single" w:color="auto" w:sz="4" w:space="0"/>
              <w:right w:val="single" w:color="auto" w:sz="4" w:space="0"/>
            </w:tcBorders>
            <w:vAlign w:val="center"/>
          </w:tcPr>
          <w:p>
            <w:pPr>
              <w:jc w:val="center"/>
              <w:rPr>
                <w:rFonts w:asciiTheme="majorEastAsia" w:hAnsiTheme="majorEastAsia" w:eastAsiaTheme="majorEastAsia"/>
                <w:color w:val="auto"/>
                <w:sz w:val="20"/>
                <w:szCs w:val="20"/>
              </w:rPr>
            </w:pPr>
          </w:p>
        </w:tc>
        <w:tc>
          <w:tcPr>
            <w:tcW w:w="1054" w:type="dxa"/>
            <w:gridSpan w:val="2"/>
            <w:vMerge w:val="continue"/>
            <w:tcBorders>
              <w:top w:val="single" w:color="auto" w:sz="4" w:space="0"/>
              <w:left w:val="single" w:color="auto" w:sz="4" w:space="0"/>
              <w:right w:val="single" w:color="auto" w:sz="4" w:space="0"/>
            </w:tcBorders>
            <w:vAlign w:val="center"/>
          </w:tcPr>
          <w:p>
            <w:pPr>
              <w:widowControl/>
              <w:jc w:val="left"/>
              <w:rPr>
                <w:rFonts w:ascii="宋体" w:hAnsi="宋体" w:cs="宋体"/>
                <w:color w:val="FF0000"/>
                <w:kern w:val="0"/>
                <w:sz w:val="20"/>
                <w:szCs w:val="20"/>
              </w:rPr>
            </w:pPr>
          </w:p>
        </w:tc>
        <w:tc>
          <w:tcPr>
            <w:tcW w:w="1000" w:type="dxa"/>
            <w:vMerge w:val="continue"/>
            <w:tcBorders>
              <w:left w:val="single" w:color="auto" w:sz="4" w:space="0"/>
              <w:bottom w:val="single" w:color="auto" w:sz="4" w:space="0"/>
              <w:right w:val="single" w:color="auto" w:sz="4" w:space="0"/>
            </w:tcBorders>
            <w:vAlign w:val="center"/>
          </w:tcPr>
          <w:p>
            <w:pPr>
              <w:widowControl/>
              <w:jc w:val="center"/>
              <w:rPr>
                <w:rFonts w:hint="eastAsia" w:cs="宋体" w:asciiTheme="majorEastAsia" w:hAnsiTheme="majorEastAsia" w:eastAsiaTheme="majorEastAsia"/>
                <w:color w:val="auto"/>
                <w:kern w:val="0"/>
                <w:sz w:val="20"/>
                <w:szCs w:val="20"/>
                <w:lang w:eastAsia="zh-CN"/>
              </w:rPr>
            </w:pPr>
          </w:p>
        </w:tc>
        <w:tc>
          <w:tcPr>
            <w:tcW w:w="3237"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FF0000"/>
                <w:kern w:val="0"/>
                <w:sz w:val="18"/>
                <w:szCs w:val="18"/>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FF0000"/>
                <w:kern w:val="0"/>
                <w:sz w:val="18"/>
                <w:szCs w:val="18"/>
              </w:rPr>
            </w:pPr>
          </w:p>
        </w:tc>
      </w:tr>
      <w:tr>
        <w:tblPrEx>
          <w:tblCellMar>
            <w:top w:w="0" w:type="dxa"/>
            <w:left w:w="108" w:type="dxa"/>
            <w:bottom w:w="0" w:type="dxa"/>
            <w:right w:w="108" w:type="dxa"/>
          </w:tblCellMar>
        </w:tblPrEx>
        <w:trPr>
          <w:trHeight w:val="567" w:hRule="atLeast"/>
        </w:trPr>
        <w:tc>
          <w:tcPr>
            <w:tcW w:w="957"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FF0000"/>
                <w:kern w:val="0"/>
                <w:sz w:val="20"/>
                <w:szCs w:val="20"/>
              </w:rPr>
            </w:pPr>
          </w:p>
        </w:tc>
        <w:tc>
          <w:tcPr>
            <w:tcW w:w="847" w:type="dxa"/>
            <w:gridSpan w:val="2"/>
            <w:vMerge w:val="continue"/>
            <w:tcBorders>
              <w:left w:val="single" w:color="auto" w:sz="4" w:space="0"/>
              <w:right w:val="single" w:color="auto" w:sz="4" w:space="0"/>
            </w:tcBorders>
            <w:vAlign w:val="center"/>
          </w:tcPr>
          <w:p>
            <w:pPr>
              <w:widowControl/>
              <w:jc w:val="left"/>
              <w:rPr>
                <w:rFonts w:ascii="宋体" w:hAnsi="宋体" w:cs="宋体"/>
                <w:color w:val="FF0000"/>
                <w:kern w:val="0"/>
                <w:sz w:val="20"/>
                <w:szCs w:val="20"/>
              </w:rPr>
            </w:pPr>
          </w:p>
        </w:tc>
        <w:tc>
          <w:tcPr>
            <w:tcW w:w="852" w:type="dxa"/>
            <w:gridSpan w:val="2"/>
            <w:tcBorders>
              <w:top w:val="nil"/>
              <w:left w:val="nil"/>
              <w:bottom w:val="single" w:color="auto" w:sz="4" w:space="0"/>
              <w:right w:val="single" w:color="auto" w:sz="4" w:space="0"/>
            </w:tcBorders>
            <w:vAlign w:val="center"/>
          </w:tcPr>
          <w:p>
            <w:pPr>
              <w:widowControl/>
              <w:jc w:val="center"/>
              <w:rPr>
                <w:rFonts w:cs="宋体" w:asciiTheme="majorEastAsia" w:hAnsiTheme="majorEastAsia" w:eastAsiaTheme="majorEastAsia"/>
                <w:color w:val="auto"/>
                <w:kern w:val="0"/>
                <w:sz w:val="20"/>
                <w:szCs w:val="20"/>
              </w:rPr>
            </w:pPr>
            <w:r>
              <w:rPr>
                <w:rFonts w:hint="eastAsia" w:cs="宋体" w:asciiTheme="majorEastAsia" w:hAnsiTheme="majorEastAsia" w:eastAsiaTheme="majorEastAsia"/>
                <w:color w:val="auto"/>
                <w:kern w:val="0"/>
                <w:sz w:val="20"/>
                <w:szCs w:val="20"/>
              </w:rPr>
              <w:t>进度</w:t>
            </w:r>
          </w:p>
          <w:p>
            <w:pPr>
              <w:widowControl/>
              <w:jc w:val="center"/>
              <w:rPr>
                <w:rFonts w:cs="宋体" w:asciiTheme="majorEastAsia" w:hAnsiTheme="majorEastAsia" w:eastAsiaTheme="majorEastAsia"/>
                <w:color w:val="auto"/>
                <w:kern w:val="0"/>
                <w:sz w:val="20"/>
                <w:szCs w:val="20"/>
              </w:rPr>
            </w:pPr>
            <w:r>
              <w:rPr>
                <w:rFonts w:hint="eastAsia" w:cs="宋体" w:asciiTheme="majorEastAsia" w:hAnsiTheme="majorEastAsia" w:eastAsiaTheme="majorEastAsia"/>
                <w:color w:val="auto"/>
                <w:kern w:val="0"/>
                <w:sz w:val="20"/>
                <w:szCs w:val="20"/>
              </w:rPr>
              <w:t>指标</w:t>
            </w:r>
          </w:p>
        </w:tc>
        <w:tc>
          <w:tcPr>
            <w:tcW w:w="2046" w:type="dxa"/>
            <w:gridSpan w:val="4"/>
            <w:tcBorders>
              <w:top w:val="nil"/>
              <w:left w:val="nil"/>
              <w:bottom w:val="single" w:color="auto" w:sz="4" w:space="0"/>
              <w:right w:val="single" w:color="auto" w:sz="4" w:space="0"/>
            </w:tcBorders>
            <w:vAlign w:val="center"/>
          </w:tcPr>
          <w:p>
            <w:pPr>
              <w:jc w:val="center"/>
              <w:rPr>
                <w:rFonts w:cs="宋体" w:asciiTheme="majorEastAsia" w:hAnsiTheme="majorEastAsia" w:eastAsiaTheme="majorEastAsia"/>
                <w:color w:val="auto"/>
                <w:sz w:val="20"/>
                <w:szCs w:val="20"/>
              </w:rPr>
            </w:pPr>
            <w:r>
              <w:rPr>
                <w:rFonts w:hint="eastAsia" w:asciiTheme="majorEastAsia" w:hAnsiTheme="majorEastAsia" w:eastAsiaTheme="majorEastAsia"/>
                <w:color w:val="auto"/>
                <w:sz w:val="20"/>
                <w:szCs w:val="20"/>
              </w:rPr>
              <w:t>按时完成全年项目</w:t>
            </w:r>
          </w:p>
        </w:tc>
        <w:tc>
          <w:tcPr>
            <w:tcW w:w="3121" w:type="dxa"/>
            <w:gridSpan w:val="7"/>
            <w:tcBorders>
              <w:top w:val="nil"/>
              <w:left w:val="nil"/>
              <w:bottom w:val="single" w:color="auto" w:sz="4" w:space="0"/>
              <w:right w:val="single" w:color="auto" w:sz="4" w:space="0"/>
            </w:tcBorders>
            <w:vAlign w:val="center"/>
          </w:tcPr>
          <w:p>
            <w:pPr>
              <w:widowControl/>
              <w:jc w:val="center"/>
              <w:rPr>
                <w:rFonts w:cs="宋体" w:asciiTheme="majorEastAsia" w:hAnsiTheme="majorEastAsia" w:eastAsiaTheme="majorEastAsia"/>
                <w:color w:val="auto"/>
                <w:kern w:val="0"/>
                <w:sz w:val="20"/>
                <w:szCs w:val="20"/>
              </w:rPr>
            </w:pPr>
            <w:r>
              <w:rPr>
                <w:rFonts w:hint="eastAsia" w:cs="宋体" w:asciiTheme="majorEastAsia" w:hAnsiTheme="majorEastAsia" w:eastAsiaTheme="majorEastAsia"/>
                <w:color w:val="auto"/>
                <w:kern w:val="0"/>
                <w:sz w:val="20"/>
                <w:szCs w:val="20"/>
              </w:rPr>
              <w:t>202</w:t>
            </w:r>
            <w:r>
              <w:rPr>
                <w:rFonts w:hint="eastAsia" w:cs="宋体" w:asciiTheme="majorEastAsia" w:hAnsiTheme="majorEastAsia" w:eastAsiaTheme="majorEastAsia"/>
                <w:color w:val="auto"/>
                <w:kern w:val="0"/>
                <w:sz w:val="20"/>
                <w:szCs w:val="20"/>
                <w:lang w:val="en-US" w:eastAsia="zh-CN"/>
              </w:rPr>
              <w:t>2</w:t>
            </w:r>
            <w:r>
              <w:rPr>
                <w:rFonts w:hint="eastAsia" w:cs="宋体" w:asciiTheme="majorEastAsia" w:hAnsiTheme="majorEastAsia" w:eastAsiaTheme="majorEastAsia"/>
                <w:color w:val="auto"/>
                <w:kern w:val="0"/>
                <w:sz w:val="20"/>
                <w:szCs w:val="20"/>
              </w:rPr>
              <w:t>年全年执行，个别项目结转</w:t>
            </w:r>
          </w:p>
        </w:tc>
        <w:tc>
          <w:tcPr>
            <w:tcW w:w="1054" w:type="dxa"/>
            <w:gridSpan w:val="2"/>
            <w:vMerge w:val="continue"/>
            <w:tcBorders>
              <w:left w:val="single" w:color="auto" w:sz="4" w:space="0"/>
              <w:right w:val="single" w:color="auto" w:sz="4" w:space="0"/>
            </w:tcBorders>
            <w:vAlign w:val="center"/>
          </w:tcPr>
          <w:p>
            <w:pPr>
              <w:widowControl/>
              <w:jc w:val="left"/>
              <w:rPr>
                <w:rFonts w:ascii="宋体" w:hAnsi="宋体" w:cs="宋体"/>
                <w:color w:val="FF0000"/>
                <w:kern w:val="0"/>
                <w:sz w:val="20"/>
                <w:szCs w:val="20"/>
              </w:rPr>
            </w:pPr>
          </w:p>
        </w:tc>
        <w:tc>
          <w:tcPr>
            <w:tcW w:w="1000" w:type="dxa"/>
            <w:tcBorders>
              <w:top w:val="nil"/>
              <w:left w:val="nil"/>
              <w:bottom w:val="single" w:color="auto" w:sz="4" w:space="0"/>
              <w:right w:val="nil"/>
            </w:tcBorders>
            <w:vAlign w:val="center"/>
          </w:tcPr>
          <w:p>
            <w:pPr>
              <w:widowControl/>
              <w:jc w:val="center"/>
              <w:rPr>
                <w:rFonts w:hint="eastAsia" w:ascii="宋体" w:hAnsi="宋体" w:eastAsia="宋体" w:cs="宋体"/>
                <w:color w:val="auto"/>
                <w:kern w:val="0"/>
                <w:sz w:val="20"/>
                <w:szCs w:val="20"/>
                <w:lang w:eastAsia="zh-CN"/>
              </w:rPr>
            </w:pPr>
            <w:r>
              <w:rPr>
                <w:rFonts w:hint="eastAsia" w:ascii="宋体" w:hAnsi="宋体" w:cs="宋体"/>
                <w:color w:val="auto"/>
                <w:kern w:val="0"/>
                <w:sz w:val="20"/>
                <w:szCs w:val="20"/>
                <w:lang w:val="en-US" w:eastAsia="zh-CN"/>
              </w:rPr>
              <w:t>4</w:t>
            </w:r>
          </w:p>
        </w:tc>
        <w:tc>
          <w:tcPr>
            <w:tcW w:w="3237"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FF0000"/>
                <w:kern w:val="0"/>
                <w:sz w:val="18"/>
                <w:szCs w:val="18"/>
              </w:rPr>
            </w:pPr>
          </w:p>
        </w:tc>
        <w:tc>
          <w:tcPr>
            <w:tcW w:w="113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FF0000"/>
                <w:kern w:val="0"/>
                <w:sz w:val="18"/>
                <w:szCs w:val="18"/>
              </w:rPr>
            </w:pPr>
          </w:p>
        </w:tc>
      </w:tr>
      <w:tr>
        <w:tblPrEx>
          <w:tblCellMar>
            <w:top w:w="0" w:type="dxa"/>
            <w:left w:w="108" w:type="dxa"/>
            <w:bottom w:w="0" w:type="dxa"/>
            <w:right w:w="108" w:type="dxa"/>
          </w:tblCellMar>
        </w:tblPrEx>
        <w:trPr>
          <w:trHeight w:val="567" w:hRule="atLeast"/>
        </w:trPr>
        <w:tc>
          <w:tcPr>
            <w:tcW w:w="957"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FF0000"/>
                <w:kern w:val="0"/>
                <w:sz w:val="20"/>
                <w:szCs w:val="20"/>
              </w:rPr>
            </w:pPr>
          </w:p>
        </w:tc>
        <w:tc>
          <w:tcPr>
            <w:tcW w:w="847" w:type="dxa"/>
            <w:gridSpan w:val="2"/>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FF0000"/>
                <w:kern w:val="0"/>
                <w:sz w:val="20"/>
                <w:szCs w:val="20"/>
              </w:rPr>
            </w:pPr>
          </w:p>
        </w:tc>
        <w:tc>
          <w:tcPr>
            <w:tcW w:w="852" w:type="dxa"/>
            <w:gridSpan w:val="2"/>
            <w:tcBorders>
              <w:top w:val="nil"/>
              <w:left w:val="nil"/>
              <w:bottom w:val="single" w:color="auto" w:sz="4" w:space="0"/>
              <w:right w:val="single" w:color="auto" w:sz="4" w:space="0"/>
            </w:tcBorders>
            <w:vAlign w:val="center"/>
          </w:tcPr>
          <w:p>
            <w:pPr>
              <w:widowControl/>
              <w:jc w:val="center"/>
              <w:rPr>
                <w:rFonts w:cs="宋体" w:asciiTheme="majorEastAsia" w:hAnsiTheme="majorEastAsia" w:eastAsiaTheme="majorEastAsia"/>
                <w:color w:val="auto"/>
                <w:kern w:val="0"/>
                <w:sz w:val="20"/>
                <w:szCs w:val="20"/>
              </w:rPr>
            </w:pPr>
            <w:r>
              <w:rPr>
                <w:rFonts w:hint="eastAsia" w:cs="宋体" w:asciiTheme="majorEastAsia" w:hAnsiTheme="majorEastAsia" w:eastAsiaTheme="majorEastAsia"/>
                <w:color w:val="auto"/>
                <w:kern w:val="0"/>
                <w:sz w:val="20"/>
                <w:szCs w:val="20"/>
              </w:rPr>
              <w:t>成本</w:t>
            </w:r>
          </w:p>
          <w:p>
            <w:pPr>
              <w:widowControl/>
              <w:jc w:val="center"/>
              <w:rPr>
                <w:rFonts w:cs="宋体" w:asciiTheme="majorEastAsia" w:hAnsiTheme="majorEastAsia" w:eastAsiaTheme="majorEastAsia"/>
                <w:color w:val="auto"/>
                <w:kern w:val="0"/>
                <w:sz w:val="20"/>
                <w:szCs w:val="20"/>
              </w:rPr>
            </w:pPr>
            <w:r>
              <w:rPr>
                <w:rFonts w:hint="eastAsia" w:cs="宋体" w:asciiTheme="majorEastAsia" w:hAnsiTheme="majorEastAsia" w:eastAsiaTheme="majorEastAsia"/>
                <w:color w:val="auto"/>
                <w:kern w:val="0"/>
                <w:sz w:val="20"/>
                <w:szCs w:val="20"/>
              </w:rPr>
              <w:t>指标</w:t>
            </w:r>
          </w:p>
        </w:tc>
        <w:tc>
          <w:tcPr>
            <w:tcW w:w="2046" w:type="dxa"/>
            <w:gridSpan w:val="4"/>
            <w:tcBorders>
              <w:top w:val="nil"/>
              <w:left w:val="nil"/>
              <w:bottom w:val="single" w:color="auto" w:sz="4" w:space="0"/>
              <w:right w:val="single" w:color="auto" w:sz="4" w:space="0"/>
            </w:tcBorders>
            <w:vAlign w:val="center"/>
          </w:tcPr>
          <w:p>
            <w:pPr>
              <w:jc w:val="center"/>
              <w:rPr>
                <w:rFonts w:cs="宋体" w:asciiTheme="majorEastAsia" w:hAnsiTheme="majorEastAsia" w:eastAsiaTheme="majorEastAsia"/>
                <w:color w:val="auto"/>
                <w:sz w:val="20"/>
                <w:szCs w:val="20"/>
              </w:rPr>
            </w:pPr>
            <w:r>
              <w:rPr>
                <w:rFonts w:hint="eastAsia" w:asciiTheme="majorEastAsia" w:hAnsiTheme="majorEastAsia" w:eastAsiaTheme="majorEastAsia"/>
                <w:color w:val="auto"/>
                <w:sz w:val="20"/>
                <w:szCs w:val="20"/>
              </w:rPr>
              <w:t>部门整体预算控制在91,051.23万元以内</w:t>
            </w:r>
          </w:p>
        </w:tc>
        <w:tc>
          <w:tcPr>
            <w:tcW w:w="3121" w:type="dxa"/>
            <w:gridSpan w:val="7"/>
            <w:tcBorders>
              <w:top w:val="nil"/>
              <w:left w:val="nil"/>
              <w:bottom w:val="single" w:color="auto" w:sz="4" w:space="0"/>
              <w:right w:val="single" w:color="auto" w:sz="4" w:space="0"/>
            </w:tcBorders>
            <w:vAlign w:val="center"/>
          </w:tcPr>
          <w:p>
            <w:pPr>
              <w:widowControl/>
              <w:jc w:val="center"/>
              <w:rPr>
                <w:rFonts w:cs="宋体" w:asciiTheme="majorEastAsia" w:hAnsiTheme="majorEastAsia" w:eastAsiaTheme="majorEastAsia"/>
                <w:color w:val="auto"/>
                <w:kern w:val="0"/>
                <w:sz w:val="20"/>
                <w:szCs w:val="20"/>
              </w:rPr>
            </w:pPr>
            <w:r>
              <w:rPr>
                <w:rFonts w:hint="eastAsia" w:cs="宋体" w:asciiTheme="majorEastAsia" w:hAnsiTheme="majorEastAsia" w:eastAsiaTheme="majorEastAsia"/>
                <w:color w:val="auto"/>
                <w:kern w:val="0"/>
                <w:sz w:val="20"/>
                <w:szCs w:val="20"/>
              </w:rPr>
              <w:t>实际预算支出</w:t>
            </w:r>
            <w:r>
              <w:rPr>
                <w:rFonts w:hint="eastAsia" w:cs="宋体" w:asciiTheme="majorEastAsia" w:hAnsiTheme="majorEastAsia" w:eastAsiaTheme="majorEastAsia"/>
                <w:color w:val="auto"/>
                <w:kern w:val="0"/>
                <w:sz w:val="20"/>
                <w:szCs w:val="20"/>
                <w:lang w:val="en-US" w:eastAsia="zh-CN"/>
              </w:rPr>
              <w:t>8</w:t>
            </w:r>
            <w:r>
              <w:rPr>
                <w:rFonts w:hint="eastAsia" w:cs="宋体" w:asciiTheme="majorEastAsia" w:hAnsiTheme="majorEastAsia" w:eastAsiaTheme="majorEastAsia"/>
                <w:color w:val="auto"/>
                <w:kern w:val="0"/>
                <w:sz w:val="20"/>
                <w:szCs w:val="20"/>
              </w:rPr>
              <w:t>6,404.94万元</w:t>
            </w:r>
          </w:p>
        </w:tc>
        <w:tc>
          <w:tcPr>
            <w:tcW w:w="1054" w:type="dxa"/>
            <w:gridSpan w:val="2"/>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FF0000"/>
                <w:kern w:val="0"/>
                <w:sz w:val="20"/>
                <w:szCs w:val="20"/>
              </w:rPr>
            </w:pPr>
          </w:p>
        </w:tc>
        <w:tc>
          <w:tcPr>
            <w:tcW w:w="1000" w:type="dxa"/>
            <w:tcBorders>
              <w:top w:val="nil"/>
              <w:left w:val="nil"/>
              <w:bottom w:val="single" w:color="auto" w:sz="4" w:space="0"/>
              <w:right w:val="nil"/>
            </w:tcBorders>
            <w:vAlign w:val="center"/>
          </w:tcPr>
          <w:p>
            <w:pPr>
              <w:widowControl/>
              <w:jc w:val="center"/>
              <w:rPr>
                <w:rFonts w:hint="eastAsia" w:ascii="宋体" w:hAnsi="宋体" w:eastAsia="宋体" w:cs="宋体"/>
                <w:color w:val="auto"/>
                <w:kern w:val="0"/>
                <w:sz w:val="20"/>
                <w:szCs w:val="20"/>
                <w:lang w:eastAsia="zh-CN"/>
              </w:rPr>
            </w:pPr>
            <w:r>
              <w:rPr>
                <w:rFonts w:hint="eastAsia" w:ascii="宋体" w:hAnsi="宋体" w:cs="宋体"/>
                <w:color w:val="auto"/>
                <w:kern w:val="0"/>
                <w:sz w:val="20"/>
                <w:szCs w:val="20"/>
                <w:lang w:val="en-US" w:eastAsia="zh-CN"/>
              </w:rPr>
              <w:t>5</w:t>
            </w:r>
          </w:p>
        </w:tc>
        <w:tc>
          <w:tcPr>
            <w:tcW w:w="3237"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FF0000"/>
                <w:kern w:val="0"/>
                <w:sz w:val="18"/>
                <w:szCs w:val="18"/>
              </w:rPr>
            </w:pPr>
          </w:p>
        </w:tc>
        <w:tc>
          <w:tcPr>
            <w:tcW w:w="113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FF0000"/>
                <w:kern w:val="0"/>
                <w:sz w:val="18"/>
                <w:szCs w:val="18"/>
              </w:rPr>
            </w:pPr>
          </w:p>
        </w:tc>
      </w:tr>
      <w:tr>
        <w:trPr>
          <w:trHeight w:val="675" w:hRule="atLeast"/>
        </w:trPr>
        <w:tc>
          <w:tcPr>
            <w:tcW w:w="95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FF0000"/>
                <w:kern w:val="0"/>
                <w:sz w:val="20"/>
                <w:szCs w:val="20"/>
              </w:rPr>
            </w:pPr>
          </w:p>
        </w:tc>
        <w:tc>
          <w:tcPr>
            <w:tcW w:w="847"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效果（30）</w:t>
            </w:r>
          </w:p>
        </w:tc>
        <w:tc>
          <w:tcPr>
            <w:tcW w:w="852"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ajorEastAsia" w:hAnsiTheme="majorEastAsia" w:eastAsiaTheme="majorEastAsia"/>
                <w:color w:val="auto"/>
                <w:kern w:val="0"/>
                <w:sz w:val="20"/>
                <w:szCs w:val="20"/>
              </w:rPr>
            </w:pPr>
            <w:r>
              <w:rPr>
                <w:rFonts w:hint="eastAsia" w:cs="宋体" w:asciiTheme="majorEastAsia" w:hAnsiTheme="majorEastAsia" w:eastAsiaTheme="majorEastAsia"/>
                <w:color w:val="auto"/>
                <w:kern w:val="0"/>
                <w:sz w:val="20"/>
                <w:szCs w:val="20"/>
              </w:rPr>
              <w:t>社会</w:t>
            </w:r>
          </w:p>
          <w:p>
            <w:pPr>
              <w:widowControl/>
              <w:jc w:val="center"/>
              <w:rPr>
                <w:rFonts w:cs="宋体" w:asciiTheme="majorEastAsia" w:hAnsiTheme="majorEastAsia" w:eastAsiaTheme="majorEastAsia"/>
                <w:color w:val="auto"/>
                <w:kern w:val="0"/>
                <w:sz w:val="20"/>
                <w:szCs w:val="20"/>
              </w:rPr>
            </w:pPr>
            <w:r>
              <w:rPr>
                <w:rFonts w:hint="eastAsia" w:cs="宋体" w:asciiTheme="majorEastAsia" w:hAnsiTheme="majorEastAsia" w:eastAsiaTheme="majorEastAsia"/>
                <w:color w:val="auto"/>
                <w:kern w:val="0"/>
                <w:sz w:val="20"/>
                <w:szCs w:val="20"/>
              </w:rPr>
              <w:t>效益</w:t>
            </w:r>
          </w:p>
        </w:tc>
        <w:tc>
          <w:tcPr>
            <w:tcW w:w="2046"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ajorEastAsia" w:hAnsiTheme="majorEastAsia" w:eastAsiaTheme="majorEastAsia"/>
                <w:color w:val="FF0000"/>
                <w:kern w:val="0"/>
                <w:sz w:val="20"/>
                <w:szCs w:val="20"/>
                <w:highlight w:val="none"/>
              </w:rPr>
            </w:pPr>
            <w:r>
              <w:rPr>
                <w:rFonts w:hint="eastAsia" w:cs="宋体" w:asciiTheme="majorEastAsia" w:hAnsiTheme="majorEastAsia" w:eastAsiaTheme="majorEastAsia"/>
                <w:color w:val="auto"/>
                <w:kern w:val="0"/>
                <w:sz w:val="20"/>
                <w:szCs w:val="20"/>
              </w:rPr>
              <w:t>保证</w:t>
            </w:r>
            <w:r>
              <w:rPr>
                <w:rFonts w:hint="eastAsia" w:cs="宋体" w:asciiTheme="majorEastAsia" w:hAnsiTheme="majorEastAsia" w:eastAsiaTheme="majorEastAsia"/>
                <w:color w:val="auto"/>
                <w:kern w:val="0"/>
                <w:sz w:val="20"/>
                <w:szCs w:val="20"/>
                <w:lang w:eastAsia="zh-CN"/>
              </w:rPr>
              <w:t>粮食与</w:t>
            </w:r>
            <w:r>
              <w:rPr>
                <w:rFonts w:hint="eastAsia" w:cs="宋体" w:asciiTheme="majorEastAsia" w:hAnsiTheme="majorEastAsia" w:eastAsiaTheme="majorEastAsia"/>
                <w:color w:val="auto"/>
                <w:kern w:val="0"/>
                <w:sz w:val="20"/>
                <w:szCs w:val="20"/>
              </w:rPr>
              <w:t>物资储备安全，</w:t>
            </w:r>
            <w:r>
              <w:rPr>
                <w:rFonts w:hint="eastAsia" w:cs="宋体" w:asciiTheme="majorEastAsia" w:hAnsiTheme="majorEastAsia" w:eastAsiaTheme="majorEastAsia"/>
                <w:color w:val="auto"/>
                <w:kern w:val="0"/>
                <w:sz w:val="20"/>
                <w:szCs w:val="20"/>
                <w:lang w:eastAsia="zh-CN"/>
              </w:rPr>
              <w:t>提升粮食市场保供稳价能力，</w:t>
            </w:r>
            <w:r>
              <w:rPr>
                <w:rFonts w:hint="eastAsia" w:cs="宋体" w:asciiTheme="majorEastAsia" w:hAnsiTheme="majorEastAsia" w:eastAsiaTheme="majorEastAsia"/>
                <w:color w:val="auto"/>
                <w:kern w:val="0"/>
                <w:sz w:val="20"/>
                <w:szCs w:val="20"/>
              </w:rPr>
              <w:t>促进应急保障能力的提高</w:t>
            </w:r>
          </w:p>
        </w:tc>
        <w:tc>
          <w:tcPr>
            <w:tcW w:w="3121"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ajorEastAsia" w:hAnsiTheme="majorEastAsia" w:eastAsiaTheme="majorEastAsia"/>
                <w:color w:val="FF0000"/>
                <w:kern w:val="0"/>
                <w:sz w:val="20"/>
                <w:szCs w:val="20"/>
                <w:highlight w:val="none"/>
              </w:rPr>
            </w:pPr>
            <w:r>
              <w:rPr>
                <w:rFonts w:hint="eastAsia" w:cs="宋体" w:asciiTheme="majorEastAsia" w:hAnsiTheme="majorEastAsia" w:eastAsiaTheme="majorEastAsia"/>
                <w:color w:val="auto"/>
                <w:kern w:val="0"/>
                <w:sz w:val="20"/>
                <w:szCs w:val="20"/>
              </w:rPr>
              <w:t>达到预期目标</w:t>
            </w:r>
          </w:p>
        </w:tc>
        <w:tc>
          <w:tcPr>
            <w:tcW w:w="1054"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30</w:t>
            </w:r>
          </w:p>
        </w:tc>
        <w:tc>
          <w:tcPr>
            <w:tcW w:w="1000" w:type="dxa"/>
            <w:vMerge w:val="restart"/>
            <w:tcBorders>
              <w:top w:val="single" w:color="auto" w:sz="4" w:space="0"/>
              <w:left w:val="single" w:color="auto" w:sz="4" w:space="0"/>
              <w:right w:val="single" w:color="auto" w:sz="4" w:space="0"/>
            </w:tcBorders>
            <w:vAlign w:val="center"/>
          </w:tcPr>
          <w:p>
            <w:pPr>
              <w:jc w:val="center"/>
              <w:rPr>
                <w:rFonts w:hint="default" w:cs="宋体" w:asciiTheme="minorEastAsia" w:hAnsiTheme="minorEastAsia" w:eastAsiaTheme="minorEastAsia"/>
                <w:color w:val="auto"/>
                <w:sz w:val="18"/>
                <w:szCs w:val="18"/>
                <w:lang w:val="en-US" w:eastAsia="zh-CN"/>
              </w:rPr>
            </w:pPr>
            <w:r>
              <w:rPr>
                <w:rFonts w:hint="eastAsia" w:cs="宋体" w:asciiTheme="minorEastAsia" w:hAnsiTheme="minorEastAsia" w:eastAsiaTheme="minorEastAsia"/>
                <w:color w:val="auto"/>
                <w:sz w:val="18"/>
                <w:szCs w:val="18"/>
                <w:lang w:val="en-US" w:eastAsia="zh-CN"/>
              </w:rPr>
              <w:t>12</w:t>
            </w:r>
          </w:p>
        </w:tc>
        <w:tc>
          <w:tcPr>
            <w:tcW w:w="3237" w:type="dxa"/>
            <w:gridSpan w:val="3"/>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r>
              <w:rPr>
                <w:rFonts w:hint="eastAsia" w:ascii="宋体" w:hAnsi="宋体" w:cs="宋体"/>
                <w:b/>
                <w:bCs/>
                <w:color w:val="auto"/>
                <w:kern w:val="0"/>
                <w:sz w:val="18"/>
                <w:szCs w:val="18"/>
              </w:rPr>
              <w:t>经济效益：</w:t>
            </w:r>
            <w:r>
              <w:rPr>
                <w:rFonts w:hint="eastAsia" w:ascii="宋体" w:hAnsi="宋体" w:cs="宋体"/>
                <w:b w:val="0"/>
                <w:bCs w:val="0"/>
                <w:color w:val="auto"/>
                <w:kern w:val="0"/>
                <w:sz w:val="18"/>
                <w:szCs w:val="18"/>
              </w:rPr>
              <w:t>部门（单位）履行职责对经济发展所带来的直接或间接影响。</w:t>
            </w:r>
            <w:r>
              <w:rPr>
                <w:rFonts w:hint="eastAsia" w:ascii="宋体" w:hAnsi="宋体" w:cs="宋体"/>
                <w:b/>
                <w:bCs/>
                <w:color w:val="auto"/>
                <w:kern w:val="0"/>
                <w:sz w:val="18"/>
                <w:szCs w:val="18"/>
              </w:rPr>
              <w:t>社会效益：</w:t>
            </w:r>
            <w:r>
              <w:rPr>
                <w:rFonts w:hint="eastAsia" w:ascii="宋体" w:hAnsi="宋体" w:cs="宋体"/>
                <w:b w:val="0"/>
                <w:bCs w:val="0"/>
                <w:color w:val="auto"/>
                <w:kern w:val="0"/>
                <w:sz w:val="18"/>
                <w:szCs w:val="18"/>
              </w:rPr>
              <w:t>部门（单位）履行职责对社会发展所带来的直接或间接影响。</w:t>
            </w:r>
            <w:r>
              <w:rPr>
                <w:rFonts w:hint="eastAsia" w:ascii="宋体" w:hAnsi="宋体" w:cs="宋体"/>
                <w:b/>
                <w:bCs/>
                <w:color w:val="auto"/>
                <w:kern w:val="0"/>
                <w:sz w:val="18"/>
                <w:szCs w:val="18"/>
              </w:rPr>
              <w:t>环境效益：</w:t>
            </w:r>
            <w:r>
              <w:rPr>
                <w:rFonts w:hint="eastAsia" w:ascii="宋体" w:hAnsi="宋体" w:cs="宋体"/>
                <w:b w:val="0"/>
                <w:bCs w:val="0"/>
                <w:color w:val="auto"/>
                <w:kern w:val="0"/>
                <w:sz w:val="18"/>
                <w:szCs w:val="18"/>
              </w:rPr>
              <w:t>部门（单位）履行职责对环境所带来的直接或间接影响。</w:t>
            </w:r>
            <w:r>
              <w:rPr>
                <w:rFonts w:hint="eastAsia" w:ascii="宋体" w:hAnsi="宋体" w:cs="宋体"/>
                <w:b/>
                <w:bCs/>
                <w:color w:val="auto"/>
                <w:kern w:val="0"/>
                <w:sz w:val="18"/>
                <w:szCs w:val="18"/>
              </w:rPr>
              <w:t>可持续性影响：</w:t>
            </w:r>
            <w:r>
              <w:rPr>
                <w:rFonts w:hint="eastAsia" w:ascii="宋体" w:hAnsi="宋体" w:cs="宋体"/>
                <w:b w:val="0"/>
                <w:bCs w:val="0"/>
                <w:color w:val="auto"/>
                <w:kern w:val="0"/>
                <w:sz w:val="18"/>
                <w:szCs w:val="18"/>
              </w:rPr>
              <w:t>部门绩效目标实现的长效机制建设情况，部门工作效率提升措施的创新。</w:t>
            </w:r>
            <w:r>
              <w:rPr>
                <w:rFonts w:hint="eastAsia" w:ascii="宋体" w:hAnsi="宋体" w:cs="宋体"/>
                <w:b/>
                <w:bCs/>
                <w:color w:val="auto"/>
                <w:kern w:val="0"/>
                <w:sz w:val="18"/>
                <w:szCs w:val="18"/>
              </w:rPr>
              <w:t>服务对象满意度：</w:t>
            </w:r>
            <w:r>
              <w:rPr>
                <w:rFonts w:hint="eastAsia" w:ascii="宋体" w:hAnsi="宋体" w:cs="宋体"/>
                <w:b w:val="0"/>
                <w:bCs w:val="0"/>
                <w:color w:val="auto"/>
                <w:kern w:val="0"/>
                <w:sz w:val="18"/>
                <w:szCs w:val="18"/>
              </w:rPr>
              <w:t>部门（单位）的服务对象对部门履职效果的满意程度。</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部门根据实际情况选择指标进行填写，并将其细化为相应的个性化指标。对于效益类指标可从受益对象瞄准度、受益广度和受益深度上进行设计分析。</w:t>
            </w:r>
          </w:p>
        </w:tc>
      </w:tr>
      <w:tr>
        <w:tblPrEx>
          <w:tblCellMar>
            <w:top w:w="0" w:type="dxa"/>
            <w:left w:w="108" w:type="dxa"/>
            <w:bottom w:w="0" w:type="dxa"/>
            <w:right w:w="108" w:type="dxa"/>
          </w:tblCellMar>
        </w:tblPrEx>
        <w:trPr>
          <w:trHeight w:val="630" w:hRule="atLeast"/>
        </w:trPr>
        <w:tc>
          <w:tcPr>
            <w:tcW w:w="957" w:type="dxa"/>
            <w:gridSpan w:val="2"/>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color w:val="FF0000"/>
                <w:kern w:val="0"/>
                <w:sz w:val="20"/>
                <w:szCs w:val="20"/>
              </w:rPr>
            </w:pPr>
          </w:p>
        </w:tc>
        <w:tc>
          <w:tcPr>
            <w:tcW w:w="84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rPr>
            </w:pPr>
          </w:p>
        </w:tc>
        <w:tc>
          <w:tcPr>
            <w:tcW w:w="85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ajorEastAsia" w:hAnsiTheme="majorEastAsia" w:eastAsiaTheme="majorEastAsia"/>
                <w:color w:val="auto"/>
                <w:kern w:val="0"/>
                <w:sz w:val="20"/>
                <w:szCs w:val="20"/>
              </w:rPr>
            </w:pPr>
          </w:p>
        </w:tc>
        <w:tc>
          <w:tcPr>
            <w:tcW w:w="2046"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ajorEastAsia" w:hAnsiTheme="majorEastAsia" w:eastAsiaTheme="majorEastAsia"/>
                <w:color w:val="FF0000"/>
                <w:kern w:val="0"/>
                <w:sz w:val="20"/>
                <w:szCs w:val="20"/>
                <w:highlight w:val="none"/>
              </w:rPr>
            </w:pPr>
            <w:r>
              <w:rPr>
                <w:rFonts w:hint="eastAsia" w:cs="宋体" w:asciiTheme="majorEastAsia" w:hAnsiTheme="majorEastAsia" w:eastAsiaTheme="majorEastAsia"/>
                <w:color w:val="auto"/>
                <w:kern w:val="0"/>
                <w:sz w:val="20"/>
                <w:szCs w:val="20"/>
              </w:rPr>
              <w:t>做好为中央及驻京部队服务工作，丰富部队官兵的节日餐桌，改善官兵的节日生活</w:t>
            </w:r>
          </w:p>
        </w:tc>
        <w:tc>
          <w:tcPr>
            <w:tcW w:w="3121" w:type="dxa"/>
            <w:gridSpan w:val="7"/>
            <w:tcBorders>
              <w:top w:val="single" w:color="auto" w:sz="4" w:space="0"/>
              <w:left w:val="nil"/>
              <w:bottom w:val="single" w:color="auto" w:sz="4" w:space="0"/>
              <w:right w:val="single" w:color="auto" w:sz="4" w:space="0"/>
            </w:tcBorders>
            <w:vAlign w:val="center"/>
          </w:tcPr>
          <w:p>
            <w:pPr>
              <w:jc w:val="center"/>
              <w:rPr>
                <w:rFonts w:hint="eastAsia" w:cs="宋体" w:asciiTheme="majorEastAsia" w:hAnsiTheme="majorEastAsia" w:eastAsiaTheme="majorEastAsia"/>
                <w:color w:val="FF0000"/>
                <w:kern w:val="0"/>
                <w:sz w:val="20"/>
                <w:szCs w:val="20"/>
                <w:highlight w:val="none"/>
              </w:rPr>
            </w:pPr>
            <w:r>
              <w:rPr>
                <w:rFonts w:hint="eastAsia" w:cs="宋体" w:asciiTheme="majorEastAsia" w:hAnsiTheme="majorEastAsia" w:eastAsiaTheme="majorEastAsia"/>
                <w:color w:val="auto"/>
                <w:kern w:val="0"/>
                <w:sz w:val="20"/>
                <w:szCs w:val="20"/>
              </w:rPr>
              <w:t>达到预期目标</w:t>
            </w:r>
          </w:p>
        </w:tc>
        <w:tc>
          <w:tcPr>
            <w:tcW w:w="10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rPr>
            </w:pPr>
          </w:p>
        </w:tc>
        <w:tc>
          <w:tcPr>
            <w:tcW w:w="1000" w:type="dxa"/>
            <w:vMerge w:val="continue"/>
            <w:tcBorders>
              <w:left w:val="single" w:color="auto" w:sz="4" w:space="0"/>
              <w:right w:val="single" w:color="auto" w:sz="4" w:space="0"/>
            </w:tcBorders>
            <w:vAlign w:val="center"/>
          </w:tcPr>
          <w:p>
            <w:pPr>
              <w:jc w:val="center"/>
              <w:rPr>
                <w:rFonts w:hint="default" w:asciiTheme="minorEastAsia" w:hAnsiTheme="minorEastAsia" w:eastAsiaTheme="minorEastAsia"/>
                <w:color w:val="auto"/>
                <w:sz w:val="18"/>
                <w:szCs w:val="18"/>
                <w:lang w:val="en-US" w:eastAsia="zh-CN"/>
              </w:rPr>
            </w:pPr>
          </w:p>
        </w:tc>
        <w:tc>
          <w:tcPr>
            <w:tcW w:w="3237"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FF0000"/>
                <w:kern w:val="0"/>
                <w:sz w:val="18"/>
                <w:szCs w:val="18"/>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FF0000"/>
                <w:kern w:val="0"/>
                <w:sz w:val="18"/>
                <w:szCs w:val="18"/>
              </w:rPr>
            </w:pPr>
          </w:p>
        </w:tc>
      </w:tr>
      <w:tr>
        <w:tblPrEx>
          <w:tblCellMar>
            <w:top w:w="0" w:type="dxa"/>
            <w:left w:w="108" w:type="dxa"/>
            <w:bottom w:w="0" w:type="dxa"/>
            <w:right w:w="108" w:type="dxa"/>
          </w:tblCellMar>
        </w:tblPrEx>
        <w:trPr>
          <w:trHeight w:val="630" w:hRule="atLeast"/>
        </w:trPr>
        <w:tc>
          <w:tcPr>
            <w:tcW w:w="957" w:type="dxa"/>
            <w:gridSpan w:val="2"/>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color w:val="FF0000"/>
                <w:kern w:val="0"/>
                <w:sz w:val="20"/>
                <w:szCs w:val="20"/>
              </w:rPr>
            </w:pPr>
          </w:p>
        </w:tc>
        <w:tc>
          <w:tcPr>
            <w:tcW w:w="84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rPr>
            </w:pPr>
          </w:p>
        </w:tc>
        <w:tc>
          <w:tcPr>
            <w:tcW w:w="85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ajorEastAsia" w:hAnsiTheme="majorEastAsia" w:eastAsiaTheme="majorEastAsia"/>
                <w:color w:val="auto"/>
                <w:kern w:val="0"/>
                <w:sz w:val="20"/>
                <w:szCs w:val="20"/>
              </w:rPr>
            </w:pPr>
          </w:p>
        </w:tc>
        <w:tc>
          <w:tcPr>
            <w:tcW w:w="2046"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ajorEastAsia" w:hAnsiTheme="majorEastAsia" w:eastAsiaTheme="majorEastAsia"/>
                <w:color w:val="FF0000"/>
                <w:kern w:val="0"/>
                <w:sz w:val="20"/>
                <w:szCs w:val="20"/>
                <w:highlight w:val="none"/>
              </w:rPr>
            </w:pPr>
            <w:r>
              <w:rPr>
                <w:rFonts w:hint="eastAsia" w:cs="宋体" w:asciiTheme="majorEastAsia" w:hAnsiTheme="majorEastAsia" w:eastAsiaTheme="majorEastAsia"/>
                <w:color w:val="auto"/>
                <w:kern w:val="0"/>
                <w:sz w:val="20"/>
                <w:szCs w:val="20"/>
              </w:rPr>
              <w:t>与行业内众多知名企业加强联系与合作，扩大学校在行业内的影响力；提高学生综合素质，增强学生社会竞争力；进一步加快学校产教融合、社会服务的步伐。</w:t>
            </w:r>
          </w:p>
        </w:tc>
        <w:tc>
          <w:tcPr>
            <w:tcW w:w="3121" w:type="dxa"/>
            <w:gridSpan w:val="7"/>
            <w:tcBorders>
              <w:top w:val="single" w:color="auto" w:sz="4" w:space="0"/>
              <w:left w:val="nil"/>
              <w:bottom w:val="single" w:color="auto" w:sz="4" w:space="0"/>
              <w:right w:val="single" w:color="auto" w:sz="4" w:space="0"/>
            </w:tcBorders>
            <w:vAlign w:val="center"/>
          </w:tcPr>
          <w:p>
            <w:pPr>
              <w:widowControl/>
              <w:jc w:val="center"/>
              <w:rPr>
                <w:rFonts w:hint="eastAsia" w:cs="宋体" w:asciiTheme="majorEastAsia" w:hAnsiTheme="majorEastAsia" w:eastAsiaTheme="majorEastAsia"/>
                <w:color w:val="FF0000"/>
                <w:kern w:val="0"/>
                <w:sz w:val="20"/>
                <w:szCs w:val="20"/>
                <w:highlight w:val="none"/>
              </w:rPr>
            </w:pPr>
            <w:r>
              <w:rPr>
                <w:rFonts w:hint="eastAsia" w:cs="宋体" w:asciiTheme="majorEastAsia" w:hAnsiTheme="majorEastAsia" w:eastAsiaTheme="majorEastAsia"/>
                <w:color w:val="auto"/>
                <w:kern w:val="0"/>
                <w:sz w:val="20"/>
                <w:szCs w:val="20"/>
              </w:rPr>
              <w:t>基本达到预期目标</w:t>
            </w:r>
          </w:p>
        </w:tc>
        <w:tc>
          <w:tcPr>
            <w:tcW w:w="10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rPr>
            </w:pPr>
          </w:p>
        </w:tc>
        <w:tc>
          <w:tcPr>
            <w:tcW w:w="1000" w:type="dxa"/>
            <w:vMerge w:val="continue"/>
            <w:tcBorders>
              <w:left w:val="single" w:color="auto" w:sz="4" w:space="0"/>
              <w:bottom w:val="single" w:color="auto" w:sz="4" w:space="0"/>
              <w:right w:val="single" w:color="auto" w:sz="4" w:space="0"/>
            </w:tcBorders>
            <w:vAlign w:val="center"/>
          </w:tcPr>
          <w:p>
            <w:pPr>
              <w:jc w:val="center"/>
              <w:rPr>
                <w:rFonts w:hint="default" w:asciiTheme="minorEastAsia" w:hAnsiTheme="minorEastAsia" w:eastAsiaTheme="minorEastAsia"/>
                <w:color w:val="auto"/>
                <w:sz w:val="18"/>
                <w:szCs w:val="18"/>
                <w:lang w:val="en-US" w:eastAsia="zh-CN"/>
              </w:rPr>
            </w:pPr>
          </w:p>
        </w:tc>
        <w:tc>
          <w:tcPr>
            <w:tcW w:w="3237"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FF0000"/>
                <w:kern w:val="0"/>
                <w:sz w:val="18"/>
                <w:szCs w:val="18"/>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FF0000"/>
                <w:kern w:val="0"/>
                <w:sz w:val="18"/>
                <w:szCs w:val="18"/>
              </w:rPr>
            </w:pPr>
          </w:p>
        </w:tc>
      </w:tr>
      <w:tr>
        <w:tblPrEx>
          <w:tblCellMar>
            <w:top w:w="0" w:type="dxa"/>
            <w:left w:w="108" w:type="dxa"/>
            <w:bottom w:w="0" w:type="dxa"/>
            <w:right w:w="108" w:type="dxa"/>
          </w:tblCellMar>
        </w:tblPrEx>
        <w:trPr>
          <w:trHeight w:val="630" w:hRule="atLeast"/>
        </w:trPr>
        <w:tc>
          <w:tcPr>
            <w:tcW w:w="957" w:type="dxa"/>
            <w:gridSpan w:val="2"/>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color w:val="FF0000"/>
                <w:kern w:val="0"/>
                <w:sz w:val="20"/>
                <w:szCs w:val="20"/>
              </w:rPr>
            </w:pPr>
          </w:p>
        </w:tc>
        <w:tc>
          <w:tcPr>
            <w:tcW w:w="84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rPr>
            </w:pPr>
          </w:p>
        </w:tc>
        <w:tc>
          <w:tcPr>
            <w:tcW w:w="852" w:type="dxa"/>
            <w:gridSpan w:val="2"/>
            <w:vMerge w:val="restart"/>
            <w:tcBorders>
              <w:top w:val="single" w:color="auto" w:sz="4" w:space="0"/>
              <w:left w:val="single" w:color="auto" w:sz="4" w:space="0"/>
              <w:right w:val="single" w:color="auto" w:sz="4" w:space="0"/>
            </w:tcBorders>
            <w:vAlign w:val="center"/>
          </w:tcPr>
          <w:p>
            <w:pPr>
              <w:widowControl/>
              <w:jc w:val="center"/>
              <w:rPr>
                <w:rFonts w:cs="宋体" w:asciiTheme="majorEastAsia" w:hAnsiTheme="majorEastAsia" w:eastAsiaTheme="majorEastAsia"/>
                <w:color w:val="auto"/>
                <w:kern w:val="0"/>
                <w:sz w:val="20"/>
                <w:szCs w:val="20"/>
              </w:rPr>
            </w:pPr>
            <w:r>
              <w:rPr>
                <w:rFonts w:cs="宋体" w:asciiTheme="majorEastAsia" w:hAnsiTheme="majorEastAsia" w:eastAsiaTheme="majorEastAsia"/>
                <w:color w:val="000000"/>
                <w:kern w:val="0"/>
                <w:sz w:val="20"/>
                <w:szCs w:val="20"/>
              </w:rPr>
              <w:t>可持续影响</w:t>
            </w:r>
          </w:p>
        </w:tc>
        <w:tc>
          <w:tcPr>
            <w:tcW w:w="2046"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ajorEastAsia" w:hAnsiTheme="majorEastAsia" w:eastAsiaTheme="majorEastAsia"/>
                <w:color w:val="auto"/>
                <w:kern w:val="0"/>
                <w:sz w:val="20"/>
                <w:szCs w:val="20"/>
              </w:rPr>
            </w:pPr>
            <w:r>
              <w:rPr>
                <w:rFonts w:hint="eastAsia" w:cs="宋体" w:asciiTheme="majorEastAsia" w:hAnsiTheme="majorEastAsia" w:eastAsiaTheme="majorEastAsia"/>
                <w:color w:val="auto"/>
                <w:kern w:val="0"/>
                <w:sz w:val="20"/>
                <w:szCs w:val="20"/>
              </w:rPr>
              <w:t>全面、及时掌握国内外主要粮油品种市场行情，为开展本市粮食调控提供决策参考和数据支持</w:t>
            </w:r>
          </w:p>
        </w:tc>
        <w:tc>
          <w:tcPr>
            <w:tcW w:w="3121" w:type="dxa"/>
            <w:gridSpan w:val="7"/>
            <w:tcBorders>
              <w:top w:val="single" w:color="auto" w:sz="4" w:space="0"/>
              <w:left w:val="nil"/>
              <w:bottom w:val="single" w:color="auto" w:sz="4" w:space="0"/>
              <w:right w:val="single" w:color="auto" w:sz="4" w:space="0"/>
            </w:tcBorders>
            <w:vAlign w:val="center"/>
          </w:tcPr>
          <w:p>
            <w:pPr>
              <w:widowControl/>
              <w:jc w:val="center"/>
              <w:rPr>
                <w:rFonts w:hint="eastAsia" w:cs="宋体" w:asciiTheme="majorEastAsia" w:hAnsiTheme="majorEastAsia" w:eastAsiaTheme="majorEastAsia"/>
                <w:color w:val="auto"/>
                <w:kern w:val="0"/>
                <w:sz w:val="20"/>
                <w:szCs w:val="20"/>
              </w:rPr>
            </w:pPr>
            <w:r>
              <w:rPr>
                <w:rFonts w:hint="eastAsia" w:cs="宋体" w:asciiTheme="majorEastAsia" w:hAnsiTheme="majorEastAsia" w:eastAsiaTheme="majorEastAsia"/>
                <w:color w:val="auto"/>
                <w:kern w:val="0"/>
                <w:sz w:val="20"/>
                <w:szCs w:val="20"/>
              </w:rPr>
              <w:t>达到预期目标</w:t>
            </w:r>
          </w:p>
        </w:tc>
        <w:tc>
          <w:tcPr>
            <w:tcW w:w="10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rPr>
            </w:pPr>
          </w:p>
        </w:tc>
        <w:tc>
          <w:tcPr>
            <w:tcW w:w="1000" w:type="dxa"/>
            <w:vMerge w:val="restart"/>
            <w:tcBorders>
              <w:top w:val="single" w:color="auto" w:sz="4" w:space="0"/>
              <w:left w:val="nil"/>
              <w:right w:val="nil"/>
            </w:tcBorders>
            <w:vAlign w:val="center"/>
          </w:tcPr>
          <w:p>
            <w:pPr>
              <w:jc w:val="center"/>
              <w:rPr>
                <w:rFonts w:hint="default" w:asciiTheme="minorEastAsia" w:hAnsiTheme="minorEastAsia" w:eastAsiaTheme="minorEastAsia"/>
                <w:color w:val="auto"/>
                <w:sz w:val="18"/>
                <w:szCs w:val="18"/>
                <w:lang w:val="en-US" w:eastAsia="zh-CN"/>
              </w:rPr>
            </w:pPr>
            <w:r>
              <w:rPr>
                <w:rFonts w:hint="eastAsia" w:asciiTheme="minorEastAsia" w:hAnsiTheme="minorEastAsia" w:eastAsiaTheme="minorEastAsia"/>
                <w:color w:val="auto"/>
                <w:sz w:val="18"/>
                <w:szCs w:val="18"/>
                <w:lang w:val="en-US" w:eastAsia="zh-CN"/>
              </w:rPr>
              <w:t>12</w:t>
            </w:r>
          </w:p>
        </w:tc>
        <w:tc>
          <w:tcPr>
            <w:tcW w:w="3237" w:type="dxa"/>
            <w:gridSpan w:val="3"/>
            <w:vMerge w:val="restart"/>
            <w:tcBorders>
              <w:top w:val="single" w:color="auto" w:sz="4" w:space="0"/>
              <w:left w:val="single" w:color="auto" w:sz="4" w:space="0"/>
              <w:right w:val="single" w:color="auto" w:sz="4" w:space="0"/>
            </w:tcBorders>
            <w:vAlign w:val="center"/>
          </w:tcPr>
          <w:p>
            <w:pPr>
              <w:widowControl/>
              <w:jc w:val="left"/>
              <w:rPr>
                <w:rFonts w:ascii="宋体" w:hAnsi="宋体" w:cs="宋体"/>
                <w:color w:val="FF0000"/>
                <w:kern w:val="0"/>
                <w:sz w:val="18"/>
                <w:szCs w:val="18"/>
              </w:rPr>
            </w:pPr>
          </w:p>
        </w:tc>
        <w:tc>
          <w:tcPr>
            <w:tcW w:w="1131" w:type="dxa"/>
            <w:vMerge w:val="restart"/>
            <w:tcBorders>
              <w:top w:val="single" w:color="auto" w:sz="4" w:space="0"/>
              <w:left w:val="single" w:color="auto" w:sz="4" w:space="0"/>
              <w:right w:val="single" w:color="auto" w:sz="4" w:space="0"/>
            </w:tcBorders>
            <w:vAlign w:val="center"/>
          </w:tcPr>
          <w:p>
            <w:pPr>
              <w:widowControl/>
              <w:jc w:val="left"/>
              <w:rPr>
                <w:rFonts w:ascii="宋体" w:hAnsi="宋体" w:cs="宋体"/>
                <w:color w:val="FF0000"/>
                <w:kern w:val="0"/>
                <w:sz w:val="18"/>
                <w:szCs w:val="18"/>
              </w:rPr>
            </w:pPr>
          </w:p>
        </w:tc>
      </w:tr>
      <w:tr>
        <w:trPr>
          <w:trHeight w:val="630" w:hRule="atLeast"/>
        </w:trPr>
        <w:tc>
          <w:tcPr>
            <w:tcW w:w="957" w:type="dxa"/>
            <w:gridSpan w:val="2"/>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color w:val="FF0000"/>
                <w:kern w:val="0"/>
                <w:sz w:val="20"/>
                <w:szCs w:val="20"/>
              </w:rPr>
            </w:pPr>
          </w:p>
        </w:tc>
        <w:tc>
          <w:tcPr>
            <w:tcW w:w="84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rPr>
            </w:pPr>
          </w:p>
        </w:tc>
        <w:tc>
          <w:tcPr>
            <w:tcW w:w="852" w:type="dxa"/>
            <w:gridSpan w:val="2"/>
            <w:vMerge w:val="continue"/>
            <w:tcBorders>
              <w:left w:val="single" w:color="auto" w:sz="4" w:space="0"/>
              <w:bottom w:val="single" w:color="auto" w:sz="4" w:space="0"/>
              <w:right w:val="single" w:color="auto" w:sz="4" w:space="0"/>
            </w:tcBorders>
            <w:vAlign w:val="center"/>
          </w:tcPr>
          <w:p>
            <w:pPr>
              <w:widowControl/>
              <w:jc w:val="center"/>
              <w:rPr>
                <w:rFonts w:cs="宋体" w:asciiTheme="majorEastAsia" w:hAnsiTheme="majorEastAsia" w:eastAsiaTheme="majorEastAsia"/>
                <w:color w:val="FF0000"/>
                <w:kern w:val="0"/>
                <w:sz w:val="20"/>
                <w:szCs w:val="20"/>
              </w:rPr>
            </w:pPr>
          </w:p>
        </w:tc>
        <w:tc>
          <w:tcPr>
            <w:tcW w:w="2046" w:type="dxa"/>
            <w:gridSpan w:val="4"/>
            <w:tcBorders>
              <w:top w:val="single" w:color="auto" w:sz="4" w:space="0"/>
              <w:left w:val="nil"/>
              <w:bottom w:val="single" w:color="auto" w:sz="4" w:space="0"/>
              <w:right w:val="single" w:color="auto" w:sz="4" w:space="0"/>
            </w:tcBorders>
            <w:vAlign w:val="center"/>
          </w:tcPr>
          <w:p>
            <w:pPr>
              <w:widowControl/>
              <w:jc w:val="center"/>
              <w:rPr>
                <w:rFonts w:hint="eastAsia" w:cs="宋体" w:asciiTheme="majorEastAsia" w:hAnsiTheme="majorEastAsia" w:eastAsiaTheme="majorEastAsia"/>
                <w:color w:val="auto"/>
                <w:kern w:val="0"/>
                <w:sz w:val="20"/>
                <w:szCs w:val="20"/>
              </w:rPr>
            </w:pPr>
            <w:r>
              <w:rPr>
                <w:rFonts w:hint="eastAsia" w:cs="宋体" w:asciiTheme="majorEastAsia" w:hAnsiTheme="majorEastAsia" w:eastAsiaTheme="majorEastAsia"/>
                <w:color w:val="auto"/>
                <w:kern w:val="0"/>
                <w:sz w:val="20"/>
                <w:szCs w:val="20"/>
              </w:rPr>
              <w:t>推动政策文件</w:t>
            </w:r>
            <w:r>
              <w:rPr>
                <w:rFonts w:hint="eastAsia" w:cs="宋体" w:asciiTheme="majorEastAsia" w:hAnsiTheme="majorEastAsia" w:eastAsiaTheme="majorEastAsia"/>
                <w:color w:val="auto"/>
                <w:kern w:val="0"/>
                <w:sz w:val="20"/>
                <w:szCs w:val="20"/>
                <w:lang w:eastAsia="zh-CN"/>
              </w:rPr>
              <w:t>制定落实</w:t>
            </w:r>
            <w:r>
              <w:rPr>
                <w:rFonts w:hint="eastAsia" w:cs="宋体" w:asciiTheme="majorEastAsia" w:hAnsiTheme="majorEastAsia" w:eastAsiaTheme="majorEastAsia"/>
                <w:color w:val="auto"/>
                <w:kern w:val="0"/>
                <w:sz w:val="20"/>
                <w:szCs w:val="20"/>
              </w:rPr>
              <w:t>，完善粮食购销轮换机制</w:t>
            </w:r>
          </w:p>
        </w:tc>
        <w:tc>
          <w:tcPr>
            <w:tcW w:w="3121" w:type="dxa"/>
            <w:gridSpan w:val="7"/>
            <w:tcBorders>
              <w:top w:val="single" w:color="auto" w:sz="4" w:space="0"/>
              <w:left w:val="nil"/>
              <w:bottom w:val="single" w:color="auto" w:sz="4" w:space="0"/>
              <w:right w:val="single" w:color="auto" w:sz="4" w:space="0"/>
            </w:tcBorders>
            <w:vAlign w:val="center"/>
          </w:tcPr>
          <w:p>
            <w:pPr>
              <w:widowControl/>
              <w:jc w:val="center"/>
              <w:rPr>
                <w:rFonts w:hint="eastAsia" w:cs="宋体" w:asciiTheme="majorEastAsia" w:hAnsiTheme="majorEastAsia" w:eastAsiaTheme="majorEastAsia"/>
                <w:color w:val="auto"/>
                <w:kern w:val="0"/>
                <w:sz w:val="20"/>
                <w:szCs w:val="20"/>
              </w:rPr>
            </w:pPr>
            <w:r>
              <w:rPr>
                <w:rFonts w:hint="eastAsia" w:asciiTheme="majorEastAsia" w:hAnsiTheme="majorEastAsia" w:eastAsiaTheme="majorEastAsia"/>
                <w:color w:val="auto"/>
                <w:sz w:val="20"/>
                <w:szCs w:val="20"/>
              </w:rPr>
              <w:t>达到预期目标</w:t>
            </w:r>
          </w:p>
        </w:tc>
        <w:tc>
          <w:tcPr>
            <w:tcW w:w="10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FF0000"/>
                <w:kern w:val="0"/>
                <w:sz w:val="20"/>
                <w:szCs w:val="20"/>
              </w:rPr>
            </w:pPr>
          </w:p>
        </w:tc>
        <w:tc>
          <w:tcPr>
            <w:tcW w:w="1000" w:type="dxa"/>
            <w:vMerge w:val="continue"/>
            <w:tcBorders>
              <w:left w:val="nil"/>
              <w:bottom w:val="single" w:color="auto" w:sz="4" w:space="0"/>
              <w:right w:val="nil"/>
            </w:tcBorders>
            <w:vAlign w:val="center"/>
          </w:tcPr>
          <w:p>
            <w:pPr>
              <w:jc w:val="center"/>
              <w:rPr>
                <w:rFonts w:hint="eastAsia" w:eastAsia="宋体" w:asciiTheme="minorEastAsia" w:hAnsiTheme="minorEastAsia"/>
                <w:color w:val="FF0000"/>
                <w:sz w:val="18"/>
                <w:szCs w:val="18"/>
                <w:lang w:val="en-US" w:eastAsia="zh-CN"/>
              </w:rPr>
            </w:pPr>
          </w:p>
        </w:tc>
        <w:tc>
          <w:tcPr>
            <w:tcW w:w="3237"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FF0000"/>
                <w:kern w:val="0"/>
                <w:sz w:val="18"/>
                <w:szCs w:val="18"/>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FF0000"/>
                <w:kern w:val="0"/>
                <w:sz w:val="18"/>
                <w:szCs w:val="18"/>
              </w:rPr>
            </w:pPr>
          </w:p>
        </w:tc>
      </w:tr>
      <w:tr>
        <w:tblPrEx>
          <w:tblCellMar>
            <w:top w:w="0" w:type="dxa"/>
            <w:left w:w="108" w:type="dxa"/>
            <w:bottom w:w="0" w:type="dxa"/>
            <w:right w:w="108" w:type="dxa"/>
          </w:tblCellMar>
        </w:tblPrEx>
        <w:trPr>
          <w:trHeight w:val="630" w:hRule="atLeast"/>
        </w:trPr>
        <w:tc>
          <w:tcPr>
            <w:tcW w:w="957" w:type="dxa"/>
            <w:gridSpan w:val="2"/>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color w:val="FF0000"/>
                <w:kern w:val="0"/>
                <w:sz w:val="20"/>
                <w:szCs w:val="20"/>
              </w:rPr>
            </w:pPr>
          </w:p>
        </w:tc>
        <w:tc>
          <w:tcPr>
            <w:tcW w:w="84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rPr>
            </w:pPr>
          </w:p>
        </w:tc>
        <w:tc>
          <w:tcPr>
            <w:tcW w:w="852" w:type="dxa"/>
            <w:gridSpan w:val="2"/>
            <w:tcBorders>
              <w:left w:val="single" w:color="auto" w:sz="4" w:space="0"/>
              <w:bottom w:val="single" w:color="auto" w:sz="4" w:space="0"/>
              <w:right w:val="single" w:color="auto" w:sz="4" w:space="0"/>
            </w:tcBorders>
            <w:vAlign w:val="center"/>
          </w:tcPr>
          <w:p>
            <w:pPr>
              <w:widowControl/>
              <w:jc w:val="center"/>
              <w:rPr>
                <w:rFonts w:cs="宋体" w:asciiTheme="majorEastAsia" w:hAnsiTheme="majorEastAsia" w:eastAsiaTheme="majorEastAsia"/>
                <w:color w:val="auto"/>
                <w:kern w:val="0"/>
                <w:sz w:val="20"/>
                <w:szCs w:val="20"/>
              </w:rPr>
            </w:pPr>
            <w:r>
              <w:rPr>
                <w:rFonts w:hint="eastAsia" w:cs="宋体" w:asciiTheme="majorEastAsia" w:hAnsiTheme="majorEastAsia" w:eastAsiaTheme="majorEastAsia"/>
                <w:color w:val="000000"/>
                <w:kern w:val="0"/>
                <w:sz w:val="20"/>
                <w:szCs w:val="20"/>
              </w:rPr>
              <w:t>服务对象满意度</w:t>
            </w:r>
          </w:p>
        </w:tc>
        <w:tc>
          <w:tcPr>
            <w:tcW w:w="2046" w:type="dxa"/>
            <w:gridSpan w:val="4"/>
            <w:tcBorders>
              <w:top w:val="single" w:color="auto" w:sz="4" w:space="0"/>
              <w:left w:val="nil"/>
              <w:bottom w:val="single" w:color="auto" w:sz="4" w:space="0"/>
              <w:right w:val="single" w:color="auto" w:sz="4" w:space="0"/>
            </w:tcBorders>
            <w:vAlign w:val="center"/>
          </w:tcPr>
          <w:p>
            <w:pPr>
              <w:jc w:val="center"/>
              <w:rPr>
                <w:rFonts w:cs="宋体" w:asciiTheme="majorEastAsia" w:hAnsiTheme="majorEastAsia" w:eastAsiaTheme="majorEastAsia"/>
                <w:color w:val="FF0000"/>
                <w:kern w:val="0"/>
                <w:sz w:val="20"/>
                <w:szCs w:val="20"/>
              </w:rPr>
            </w:pPr>
            <w:r>
              <w:rPr>
                <w:rFonts w:hint="eastAsia" w:asciiTheme="majorEastAsia" w:hAnsiTheme="majorEastAsia" w:eastAsiaTheme="majorEastAsia"/>
                <w:color w:val="000000"/>
                <w:sz w:val="20"/>
                <w:szCs w:val="20"/>
              </w:rPr>
              <w:t>服务对象满意度达到优秀</w:t>
            </w:r>
          </w:p>
        </w:tc>
        <w:tc>
          <w:tcPr>
            <w:tcW w:w="3121" w:type="dxa"/>
            <w:gridSpan w:val="7"/>
            <w:tcBorders>
              <w:top w:val="single" w:color="auto" w:sz="4" w:space="0"/>
              <w:left w:val="nil"/>
              <w:bottom w:val="single" w:color="auto" w:sz="4" w:space="0"/>
              <w:right w:val="single" w:color="auto" w:sz="4" w:space="0"/>
            </w:tcBorders>
            <w:vAlign w:val="center"/>
          </w:tcPr>
          <w:p>
            <w:pPr>
              <w:jc w:val="center"/>
              <w:rPr>
                <w:rFonts w:cs="宋体" w:asciiTheme="majorEastAsia" w:hAnsiTheme="majorEastAsia" w:eastAsiaTheme="majorEastAsia"/>
                <w:color w:val="auto"/>
                <w:kern w:val="0"/>
                <w:sz w:val="20"/>
                <w:szCs w:val="20"/>
              </w:rPr>
            </w:pPr>
            <w:r>
              <w:rPr>
                <w:rFonts w:hint="eastAsia" w:asciiTheme="majorEastAsia" w:hAnsiTheme="majorEastAsia" w:eastAsiaTheme="majorEastAsia"/>
                <w:color w:val="000000"/>
                <w:sz w:val="20"/>
                <w:szCs w:val="20"/>
              </w:rPr>
              <w:t>年度政府绩效</w:t>
            </w:r>
            <w:r>
              <w:rPr>
                <w:rFonts w:hint="eastAsia" w:asciiTheme="majorEastAsia" w:hAnsiTheme="majorEastAsia" w:eastAsiaTheme="majorEastAsia"/>
                <w:color w:val="000000"/>
                <w:sz w:val="20"/>
                <w:szCs w:val="20"/>
                <w:highlight w:val="none"/>
              </w:rPr>
              <w:t>考核结果为“优秀</w:t>
            </w:r>
            <w:r>
              <w:rPr>
                <w:rFonts w:hint="eastAsia" w:asciiTheme="majorEastAsia" w:hAnsiTheme="majorEastAsia" w:eastAsiaTheme="majorEastAsia"/>
                <w:color w:val="000000"/>
                <w:sz w:val="20"/>
                <w:szCs w:val="20"/>
                <w:highlight w:val="none"/>
                <w:lang w:eastAsia="zh-CN"/>
              </w:rPr>
              <w:t>”</w:t>
            </w:r>
            <w:r>
              <w:rPr>
                <w:rFonts w:hint="eastAsia" w:asciiTheme="majorEastAsia" w:hAnsiTheme="majorEastAsia" w:eastAsiaTheme="majorEastAsia"/>
                <w:color w:val="000000"/>
                <w:sz w:val="20"/>
                <w:szCs w:val="20"/>
                <w:highlight w:val="none"/>
              </w:rPr>
              <w:t>等</w:t>
            </w:r>
            <w:r>
              <w:rPr>
                <w:rFonts w:hint="eastAsia" w:asciiTheme="majorEastAsia" w:hAnsiTheme="majorEastAsia" w:eastAsiaTheme="majorEastAsia"/>
                <w:color w:val="000000"/>
                <w:sz w:val="20"/>
                <w:szCs w:val="20"/>
                <w:highlight w:val="none"/>
                <w:lang w:val="en-US" w:eastAsia="zh-CN"/>
              </w:rPr>
              <w:t>级</w:t>
            </w:r>
            <w:r>
              <w:rPr>
                <w:rFonts w:hint="eastAsia" w:asciiTheme="majorEastAsia" w:hAnsiTheme="majorEastAsia" w:eastAsiaTheme="majorEastAsia"/>
                <w:color w:val="000000"/>
                <w:sz w:val="20"/>
                <w:szCs w:val="20"/>
                <w:highlight w:val="none"/>
              </w:rPr>
              <w:t>。</w:t>
            </w:r>
          </w:p>
        </w:tc>
        <w:tc>
          <w:tcPr>
            <w:tcW w:w="10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rPr>
            </w:pPr>
          </w:p>
        </w:tc>
        <w:tc>
          <w:tcPr>
            <w:tcW w:w="1000" w:type="dxa"/>
            <w:tcBorders>
              <w:top w:val="single" w:color="auto" w:sz="4" w:space="0"/>
              <w:left w:val="nil"/>
              <w:bottom w:val="single" w:color="auto" w:sz="4" w:space="0"/>
              <w:right w:val="nil"/>
            </w:tcBorders>
            <w:vAlign w:val="center"/>
          </w:tcPr>
          <w:p>
            <w:pPr>
              <w:jc w:val="center"/>
              <w:rPr>
                <w:rFonts w:hint="default" w:asciiTheme="minorEastAsia" w:hAnsiTheme="minorEastAsia" w:eastAsiaTheme="minorEastAsia"/>
                <w:color w:val="auto"/>
                <w:sz w:val="18"/>
                <w:szCs w:val="18"/>
                <w:lang w:val="en-US" w:eastAsia="zh-CN"/>
              </w:rPr>
            </w:pPr>
            <w:r>
              <w:rPr>
                <w:rFonts w:hint="eastAsia" w:asciiTheme="minorEastAsia" w:hAnsiTheme="minorEastAsia" w:eastAsiaTheme="minorEastAsia"/>
                <w:color w:val="auto"/>
                <w:sz w:val="18"/>
                <w:szCs w:val="18"/>
                <w:lang w:val="en-US" w:eastAsia="zh-CN"/>
              </w:rPr>
              <w:t>4</w:t>
            </w:r>
          </w:p>
        </w:tc>
        <w:tc>
          <w:tcPr>
            <w:tcW w:w="3237"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FF0000"/>
                <w:kern w:val="0"/>
                <w:sz w:val="18"/>
                <w:szCs w:val="18"/>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FF0000"/>
                <w:kern w:val="0"/>
                <w:sz w:val="18"/>
                <w:szCs w:val="18"/>
              </w:rPr>
            </w:pPr>
          </w:p>
        </w:tc>
      </w:tr>
      <w:tr>
        <w:tblPrEx>
          <w:tblCellMar>
            <w:top w:w="0" w:type="dxa"/>
            <w:left w:w="108" w:type="dxa"/>
            <w:bottom w:w="0" w:type="dxa"/>
            <w:right w:w="108" w:type="dxa"/>
          </w:tblCellMar>
        </w:tblPrEx>
        <w:trPr>
          <w:trHeight w:val="699" w:hRule="atLeast"/>
        </w:trPr>
        <w:tc>
          <w:tcPr>
            <w:tcW w:w="14245" w:type="dxa"/>
            <w:gridSpan w:val="24"/>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FF0000"/>
                <w:kern w:val="0"/>
                <w:sz w:val="18"/>
                <w:szCs w:val="18"/>
              </w:rPr>
            </w:pPr>
            <w:r>
              <w:rPr>
                <w:rFonts w:hint="eastAsia" w:ascii="宋体" w:hAnsi="宋体" w:cs="宋体"/>
                <w:b/>
                <w:bCs/>
                <w:color w:val="auto"/>
                <w:kern w:val="0"/>
                <w:sz w:val="18"/>
                <w:szCs w:val="18"/>
              </w:rPr>
              <w:t>三</w:t>
            </w:r>
            <w:r>
              <w:rPr>
                <w:rFonts w:ascii="宋体" w:hAnsi="宋体" w:cs="宋体"/>
                <w:b/>
                <w:bCs/>
                <w:color w:val="auto"/>
                <w:kern w:val="0"/>
                <w:sz w:val="18"/>
                <w:szCs w:val="18"/>
              </w:rPr>
              <w:t>、</w:t>
            </w:r>
            <w:r>
              <w:rPr>
                <w:rFonts w:hint="eastAsia" w:ascii="宋体" w:hAnsi="宋体" w:cs="宋体"/>
                <w:b/>
                <w:bCs/>
                <w:color w:val="auto"/>
                <w:kern w:val="0"/>
                <w:sz w:val="20"/>
                <w:szCs w:val="20"/>
              </w:rPr>
              <w:t>预算管理情况（20分）</w:t>
            </w:r>
          </w:p>
        </w:tc>
      </w:tr>
      <w:tr>
        <w:tblPrEx>
          <w:tblCellMar>
            <w:top w:w="0" w:type="dxa"/>
            <w:left w:w="108" w:type="dxa"/>
            <w:bottom w:w="0" w:type="dxa"/>
            <w:right w:w="108" w:type="dxa"/>
          </w:tblCellMar>
        </w:tblPrEx>
        <w:trPr>
          <w:trHeight w:val="702" w:hRule="atLeast"/>
        </w:trPr>
        <w:tc>
          <w:tcPr>
            <w:tcW w:w="81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一</w:t>
            </w:r>
            <w:r>
              <w:rPr>
                <w:rFonts w:ascii="宋体" w:hAnsi="宋体" w:cs="宋体"/>
                <w:b/>
                <w:bCs/>
                <w:color w:val="auto"/>
                <w:kern w:val="0"/>
                <w:sz w:val="20"/>
                <w:szCs w:val="20"/>
              </w:rPr>
              <w:t>级</w:t>
            </w:r>
          </w:p>
          <w:p>
            <w:pPr>
              <w:widowControl/>
              <w:jc w:val="center"/>
              <w:rPr>
                <w:rFonts w:ascii="宋体" w:hAnsi="宋体" w:cs="宋体"/>
                <w:b/>
                <w:bCs/>
                <w:color w:val="auto"/>
                <w:kern w:val="0"/>
                <w:sz w:val="20"/>
                <w:szCs w:val="20"/>
              </w:rPr>
            </w:pPr>
            <w:r>
              <w:rPr>
                <w:rFonts w:ascii="宋体" w:hAnsi="宋体" w:cs="宋体"/>
                <w:b/>
                <w:bCs/>
                <w:color w:val="auto"/>
                <w:kern w:val="0"/>
                <w:sz w:val="20"/>
                <w:szCs w:val="20"/>
              </w:rPr>
              <w:t>指标</w:t>
            </w:r>
          </w:p>
        </w:tc>
        <w:tc>
          <w:tcPr>
            <w:tcW w:w="989"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二</w:t>
            </w:r>
            <w:r>
              <w:rPr>
                <w:rFonts w:ascii="宋体" w:hAnsi="宋体" w:cs="宋体"/>
                <w:b/>
                <w:bCs/>
                <w:color w:val="auto"/>
                <w:kern w:val="0"/>
                <w:sz w:val="20"/>
                <w:szCs w:val="20"/>
              </w:rPr>
              <w:t>级</w:t>
            </w:r>
          </w:p>
          <w:p>
            <w:pPr>
              <w:widowControl/>
              <w:jc w:val="center"/>
              <w:rPr>
                <w:rFonts w:ascii="宋体" w:hAnsi="宋体" w:cs="宋体"/>
                <w:b/>
                <w:bCs/>
                <w:color w:val="auto"/>
                <w:kern w:val="0"/>
                <w:sz w:val="20"/>
                <w:szCs w:val="20"/>
              </w:rPr>
            </w:pPr>
            <w:r>
              <w:rPr>
                <w:rFonts w:ascii="宋体" w:hAnsi="宋体" w:cs="宋体"/>
                <w:b/>
                <w:bCs/>
                <w:color w:val="auto"/>
                <w:kern w:val="0"/>
                <w:sz w:val="20"/>
                <w:szCs w:val="20"/>
              </w:rPr>
              <w:t>指标</w:t>
            </w:r>
          </w:p>
        </w:tc>
        <w:tc>
          <w:tcPr>
            <w:tcW w:w="852"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三</w:t>
            </w:r>
            <w:r>
              <w:rPr>
                <w:rFonts w:ascii="宋体" w:hAnsi="宋体" w:cs="宋体"/>
                <w:b/>
                <w:bCs/>
                <w:color w:val="auto"/>
                <w:kern w:val="0"/>
                <w:sz w:val="20"/>
                <w:szCs w:val="20"/>
              </w:rPr>
              <w:t>级</w:t>
            </w:r>
          </w:p>
          <w:p>
            <w:pPr>
              <w:widowControl/>
              <w:jc w:val="center"/>
              <w:rPr>
                <w:rFonts w:ascii="宋体" w:hAnsi="宋体" w:cs="宋体"/>
                <w:b/>
                <w:bCs/>
                <w:color w:val="auto"/>
                <w:kern w:val="0"/>
                <w:sz w:val="20"/>
                <w:szCs w:val="20"/>
              </w:rPr>
            </w:pPr>
            <w:r>
              <w:rPr>
                <w:rFonts w:ascii="宋体" w:hAnsi="宋体" w:cs="宋体"/>
                <w:b/>
                <w:bCs/>
                <w:color w:val="auto"/>
                <w:kern w:val="0"/>
                <w:sz w:val="20"/>
                <w:szCs w:val="20"/>
              </w:rPr>
              <w:t>指标</w:t>
            </w:r>
          </w:p>
        </w:tc>
        <w:tc>
          <w:tcPr>
            <w:tcW w:w="1458"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指标</w:t>
            </w:r>
            <w:r>
              <w:rPr>
                <w:rFonts w:ascii="宋体" w:hAnsi="宋体" w:cs="宋体"/>
                <w:b/>
                <w:bCs/>
                <w:color w:val="auto"/>
                <w:kern w:val="0"/>
                <w:sz w:val="20"/>
                <w:szCs w:val="20"/>
              </w:rPr>
              <w:t>值</w:t>
            </w:r>
          </w:p>
        </w:tc>
        <w:tc>
          <w:tcPr>
            <w:tcW w:w="1450"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完成</w:t>
            </w:r>
            <w:r>
              <w:rPr>
                <w:rFonts w:ascii="宋体" w:hAnsi="宋体" w:cs="宋体"/>
                <w:b/>
                <w:bCs/>
                <w:color w:val="auto"/>
                <w:kern w:val="0"/>
                <w:sz w:val="20"/>
                <w:szCs w:val="20"/>
              </w:rPr>
              <w:t>值</w:t>
            </w:r>
          </w:p>
        </w:tc>
        <w:tc>
          <w:tcPr>
            <w:tcW w:w="1188"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分</w:t>
            </w:r>
            <w:r>
              <w:rPr>
                <w:rFonts w:ascii="宋体" w:hAnsi="宋体" w:cs="宋体"/>
                <w:b/>
                <w:bCs/>
                <w:color w:val="auto"/>
                <w:kern w:val="0"/>
                <w:sz w:val="20"/>
                <w:szCs w:val="20"/>
              </w:rPr>
              <w:t>值</w:t>
            </w:r>
          </w:p>
        </w:tc>
        <w:tc>
          <w:tcPr>
            <w:tcW w:w="925" w:type="dxa"/>
            <w:gridSpan w:val="2"/>
            <w:tcBorders>
              <w:top w:val="single" w:color="auto" w:sz="4" w:space="0"/>
              <w:left w:val="nil"/>
              <w:bottom w:val="single" w:color="auto" w:sz="4" w:space="0"/>
              <w:right w:val="nil"/>
            </w:tcBorders>
            <w:vAlign w:val="center"/>
          </w:tcPr>
          <w:p>
            <w:pPr>
              <w:widowControl/>
              <w:tabs>
                <w:tab w:val="left" w:pos="297"/>
              </w:tabs>
              <w:jc w:val="center"/>
              <w:rPr>
                <w:rFonts w:ascii="宋体" w:hAnsi="宋体" w:cs="宋体"/>
                <w:b/>
                <w:bCs/>
                <w:color w:val="auto"/>
                <w:kern w:val="0"/>
                <w:sz w:val="20"/>
                <w:szCs w:val="20"/>
              </w:rPr>
            </w:pPr>
            <w:r>
              <w:rPr>
                <w:rFonts w:hint="eastAsia" w:ascii="宋体" w:hAnsi="宋体" w:cs="宋体"/>
                <w:b/>
                <w:bCs/>
                <w:color w:val="auto"/>
                <w:kern w:val="0"/>
                <w:sz w:val="20"/>
                <w:szCs w:val="20"/>
              </w:rPr>
              <w:t>得</w:t>
            </w:r>
            <w:r>
              <w:rPr>
                <w:rFonts w:ascii="宋体" w:hAnsi="宋体" w:cs="宋体"/>
                <w:b/>
                <w:bCs/>
                <w:color w:val="auto"/>
                <w:kern w:val="0"/>
                <w:sz w:val="20"/>
                <w:szCs w:val="20"/>
              </w:rPr>
              <w:t>分</w:t>
            </w:r>
          </w:p>
        </w:tc>
        <w:tc>
          <w:tcPr>
            <w:tcW w:w="2612" w:type="dxa"/>
            <w:gridSpan w:val="5"/>
            <w:tcBorders>
              <w:top w:val="single" w:color="auto" w:sz="4" w:space="0"/>
              <w:left w:val="single" w:color="auto" w:sz="4" w:space="0"/>
              <w:bottom w:val="single" w:color="auto" w:sz="4" w:space="0"/>
              <w:right w:val="single" w:color="auto" w:sz="4" w:space="0"/>
            </w:tcBorders>
            <w:vAlign w:val="center"/>
          </w:tcPr>
          <w:p>
            <w:pPr>
              <w:widowControl/>
              <w:tabs>
                <w:tab w:val="left" w:pos="297"/>
              </w:tabs>
              <w:jc w:val="center"/>
              <w:rPr>
                <w:rFonts w:ascii="宋体" w:hAnsi="宋体" w:cs="宋体"/>
                <w:b/>
                <w:bCs/>
                <w:color w:val="auto"/>
                <w:kern w:val="0"/>
                <w:sz w:val="18"/>
                <w:szCs w:val="18"/>
              </w:rPr>
            </w:pPr>
            <w:r>
              <w:rPr>
                <w:rFonts w:hint="eastAsia" w:ascii="宋体" w:hAnsi="宋体" w:cs="宋体"/>
                <w:b/>
                <w:bCs/>
                <w:color w:val="auto"/>
                <w:kern w:val="0"/>
                <w:sz w:val="18"/>
                <w:szCs w:val="18"/>
              </w:rPr>
              <w:t>指标</w:t>
            </w:r>
            <w:r>
              <w:rPr>
                <w:rFonts w:ascii="宋体" w:hAnsi="宋体" w:cs="宋体"/>
                <w:b/>
                <w:bCs/>
                <w:color w:val="auto"/>
                <w:kern w:val="0"/>
                <w:sz w:val="18"/>
                <w:szCs w:val="18"/>
              </w:rPr>
              <w:t>解释</w:t>
            </w:r>
          </w:p>
        </w:tc>
        <w:tc>
          <w:tcPr>
            <w:tcW w:w="3956"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评</w:t>
            </w:r>
            <w:r>
              <w:rPr>
                <w:rFonts w:ascii="宋体" w:hAnsi="宋体" w:cs="宋体"/>
                <w:b/>
                <w:bCs/>
                <w:color w:val="auto"/>
                <w:kern w:val="0"/>
                <w:sz w:val="18"/>
                <w:szCs w:val="18"/>
              </w:rPr>
              <w:t>分标准</w:t>
            </w:r>
          </w:p>
        </w:tc>
      </w:tr>
      <w:tr>
        <w:trPr>
          <w:trHeight w:val="1230" w:hRule="atLeast"/>
        </w:trPr>
        <w:tc>
          <w:tcPr>
            <w:tcW w:w="815"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预算管理情况（20）</w:t>
            </w:r>
          </w:p>
        </w:tc>
        <w:tc>
          <w:tcPr>
            <w:tcW w:w="989" w:type="dxa"/>
            <w:gridSpan w:val="3"/>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财务</w:t>
            </w:r>
          </w:p>
          <w:p>
            <w:pPr>
              <w:widowControl/>
              <w:jc w:val="center"/>
              <w:rPr>
                <w:rFonts w:ascii="宋体" w:hAnsi="宋体" w:cs="宋体"/>
                <w:color w:val="auto"/>
                <w:kern w:val="0"/>
                <w:sz w:val="20"/>
                <w:szCs w:val="20"/>
              </w:rPr>
            </w:pPr>
            <w:r>
              <w:rPr>
                <w:rFonts w:hint="eastAsia" w:ascii="宋体" w:hAnsi="宋体" w:cs="宋体"/>
                <w:color w:val="auto"/>
                <w:kern w:val="0"/>
                <w:sz w:val="20"/>
                <w:szCs w:val="20"/>
              </w:rPr>
              <w:t>管理</w:t>
            </w:r>
          </w:p>
          <w:p>
            <w:pPr>
              <w:widowControl/>
              <w:jc w:val="center"/>
              <w:rPr>
                <w:rFonts w:ascii="宋体" w:hAnsi="宋体" w:cs="宋体"/>
                <w:color w:val="auto"/>
                <w:kern w:val="0"/>
                <w:sz w:val="20"/>
                <w:szCs w:val="20"/>
              </w:rPr>
            </w:pPr>
            <w:r>
              <w:rPr>
                <w:rFonts w:hint="eastAsia" w:ascii="宋体" w:hAnsi="宋体" w:cs="宋体"/>
                <w:color w:val="auto"/>
                <w:kern w:val="0"/>
                <w:sz w:val="20"/>
                <w:szCs w:val="20"/>
              </w:rPr>
              <w:t>（4）</w:t>
            </w:r>
          </w:p>
        </w:tc>
        <w:tc>
          <w:tcPr>
            <w:tcW w:w="852" w:type="dxa"/>
            <w:gridSpan w:val="2"/>
            <w:tcBorders>
              <w:top w:val="single" w:color="auto" w:sz="4" w:space="0"/>
              <w:left w:val="nil"/>
              <w:bottom w:val="single" w:color="auto" w:sz="4" w:space="0"/>
              <w:right w:val="single" w:color="auto" w:sz="4" w:space="0"/>
            </w:tcBorders>
            <w:vAlign w:val="center"/>
          </w:tcPr>
          <w:p>
            <w:pPr>
              <w:widowControl/>
              <w:jc w:val="center"/>
              <w:rPr>
                <w:rFonts w:cs="宋体" w:asciiTheme="minorEastAsia" w:hAnsiTheme="minorEastAsia" w:eastAsiaTheme="minorEastAsia"/>
                <w:color w:val="auto"/>
                <w:kern w:val="0"/>
                <w:sz w:val="20"/>
                <w:szCs w:val="20"/>
              </w:rPr>
            </w:pPr>
            <w:r>
              <w:rPr>
                <w:rFonts w:hint="eastAsia" w:cs="宋体" w:asciiTheme="minorEastAsia" w:hAnsiTheme="minorEastAsia" w:eastAsiaTheme="minorEastAsia"/>
                <w:color w:val="auto"/>
                <w:kern w:val="0"/>
                <w:sz w:val="20"/>
                <w:szCs w:val="20"/>
              </w:rPr>
              <w:t>财务管理制度健全性</w:t>
            </w:r>
          </w:p>
        </w:tc>
        <w:tc>
          <w:tcPr>
            <w:tcW w:w="1458" w:type="dxa"/>
            <w:gridSpan w:val="3"/>
            <w:tcBorders>
              <w:top w:val="single" w:color="auto" w:sz="4" w:space="0"/>
              <w:left w:val="nil"/>
              <w:bottom w:val="single" w:color="auto" w:sz="4" w:space="0"/>
              <w:right w:val="single" w:color="auto" w:sz="4" w:space="0"/>
            </w:tcBorders>
            <w:vAlign w:val="center"/>
          </w:tcPr>
          <w:p>
            <w:pPr>
              <w:jc w:val="center"/>
              <w:rPr>
                <w:rFonts w:cs="宋体" w:asciiTheme="minorEastAsia" w:hAnsiTheme="minorEastAsia" w:eastAsiaTheme="minorEastAsia"/>
                <w:color w:val="auto"/>
                <w:sz w:val="20"/>
                <w:szCs w:val="20"/>
              </w:rPr>
            </w:pPr>
            <w:r>
              <w:rPr>
                <w:rFonts w:hint="eastAsia" w:asciiTheme="minorEastAsia" w:hAnsiTheme="minorEastAsia" w:eastAsiaTheme="minorEastAsia"/>
                <w:color w:val="auto"/>
                <w:sz w:val="20"/>
                <w:szCs w:val="20"/>
              </w:rPr>
              <w:t>建立相关财务管理制度，且完整、合规</w:t>
            </w:r>
          </w:p>
        </w:tc>
        <w:tc>
          <w:tcPr>
            <w:tcW w:w="1450" w:type="dxa"/>
            <w:gridSpan w:val="3"/>
            <w:tcBorders>
              <w:top w:val="single" w:color="auto" w:sz="4" w:space="0"/>
              <w:left w:val="nil"/>
              <w:bottom w:val="single" w:color="auto" w:sz="4" w:space="0"/>
              <w:right w:val="single" w:color="auto" w:sz="4" w:space="0"/>
            </w:tcBorders>
            <w:vAlign w:val="center"/>
          </w:tcPr>
          <w:p>
            <w:pPr>
              <w:jc w:val="center"/>
              <w:rPr>
                <w:rFonts w:cs="宋体" w:asciiTheme="minorEastAsia" w:hAnsiTheme="minorEastAsia" w:eastAsiaTheme="minorEastAsia"/>
                <w:color w:val="auto"/>
                <w:sz w:val="20"/>
                <w:szCs w:val="20"/>
              </w:rPr>
            </w:pPr>
            <w:r>
              <w:rPr>
                <w:rFonts w:hint="eastAsia" w:asciiTheme="minorEastAsia" w:hAnsiTheme="minorEastAsia" w:eastAsiaTheme="minorEastAsia"/>
                <w:color w:val="auto"/>
                <w:sz w:val="20"/>
                <w:szCs w:val="20"/>
              </w:rPr>
              <w:t>相关财务管理制度完整、规范</w:t>
            </w:r>
          </w:p>
        </w:tc>
        <w:tc>
          <w:tcPr>
            <w:tcW w:w="1188" w:type="dxa"/>
            <w:gridSpan w:val="2"/>
            <w:tcBorders>
              <w:top w:val="single" w:color="auto" w:sz="4" w:space="0"/>
              <w:left w:val="nil"/>
              <w:bottom w:val="single" w:color="auto" w:sz="4" w:space="0"/>
              <w:right w:val="single" w:color="auto" w:sz="4" w:space="0"/>
            </w:tcBorders>
            <w:vAlign w:val="center"/>
          </w:tcPr>
          <w:p>
            <w:pPr>
              <w:jc w:val="center"/>
              <w:rPr>
                <w:rFonts w:cs="宋体" w:asciiTheme="minorEastAsia" w:hAnsiTheme="minorEastAsia" w:eastAsiaTheme="minorEastAsia"/>
                <w:color w:val="auto"/>
                <w:sz w:val="20"/>
                <w:szCs w:val="20"/>
              </w:rPr>
            </w:pPr>
            <w:r>
              <w:rPr>
                <w:rFonts w:hint="eastAsia" w:asciiTheme="minorEastAsia" w:hAnsiTheme="minorEastAsia" w:eastAsiaTheme="minorEastAsia"/>
                <w:color w:val="auto"/>
                <w:sz w:val="20"/>
                <w:szCs w:val="20"/>
              </w:rPr>
              <w:t>1</w:t>
            </w:r>
          </w:p>
        </w:tc>
        <w:tc>
          <w:tcPr>
            <w:tcW w:w="925" w:type="dxa"/>
            <w:gridSpan w:val="2"/>
            <w:tcBorders>
              <w:top w:val="single" w:color="auto" w:sz="4" w:space="0"/>
              <w:left w:val="nil"/>
              <w:bottom w:val="single" w:color="auto" w:sz="4" w:space="0"/>
              <w:right w:val="nil"/>
            </w:tcBorders>
            <w:vAlign w:val="center"/>
          </w:tcPr>
          <w:p>
            <w:pPr>
              <w:jc w:val="center"/>
              <w:rPr>
                <w:rFonts w:cs="宋体" w:asciiTheme="minorEastAsia" w:hAnsiTheme="minorEastAsia" w:eastAsiaTheme="minorEastAsia"/>
                <w:color w:val="auto"/>
                <w:sz w:val="20"/>
                <w:szCs w:val="20"/>
              </w:rPr>
            </w:pPr>
            <w:r>
              <w:rPr>
                <w:rFonts w:hint="eastAsia" w:asciiTheme="minorEastAsia" w:hAnsiTheme="minorEastAsia" w:eastAsiaTheme="minorEastAsia"/>
                <w:color w:val="auto"/>
                <w:sz w:val="20"/>
                <w:szCs w:val="20"/>
              </w:rPr>
              <w:t>1</w:t>
            </w:r>
          </w:p>
        </w:tc>
        <w:tc>
          <w:tcPr>
            <w:tcW w:w="2612" w:type="dxa"/>
            <w:gridSpan w:val="5"/>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r>
              <w:rPr>
                <w:rFonts w:hint="eastAsia" w:ascii="宋体" w:hAnsi="宋体" w:cs="宋体"/>
                <w:b/>
                <w:bCs/>
                <w:color w:val="auto"/>
                <w:kern w:val="0"/>
                <w:sz w:val="18"/>
                <w:szCs w:val="18"/>
              </w:rPr>
              <w:t>财务管理制度健全性:</w:t>
            </w:r>
            <w:r>
              <w:rPr>
                <w:rFonts w:hint="eastAsia" w:ascii="宋体" w:hAnsi="宋体" w:cs="宋体"/>
                <w:color w:val="auto"/>
                <w:kern w:val="0"/>
                <w:sz w:val="18"/>
                <w:szCs w:val="18"/>
              </w:rPr>
              <w:t>部门（单位）为加强财务管理、规范财务行为而制定的管理制度。</w:t>
            </w:r>
          </w:p>
        </w:tc>
        <w:tc>
          <w:tcPr>
            <w:tcW w:w="3956" w:type="dxa"/>
            <w:gridSpan w:val="3"/>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①预算资金管理办法、绩效跟踪管理办法、资产管理办法等各项制度是否健全；②部门内部财务管理制度是否完整、合规；③会计核算制度是否完整、合规。每有一项不合格扣0.5分，扣完为止。</w:t>
            </w:r>
          </w:p>
        </w:tc>
      </w:tr>
      <w:tr>
        <w:tblPrEx>
          <w:tblCellMar>
            <w:top w:w="0" w:type="dxa"/>
            <w:left w:w="108" w:type="dxa"/>
            <w:bottom w:w="0" w:type="dxa"/>
            <w:right w:w="108" w:type="dxa"/>
          </w:tblCellMar>
        </w:tblPrEx>
        <w:trPr>
          <w:trHeight w:val="2220" w:hRule="atLeast"/>
        </w:trPr>
        <w:tc>
          <w:tcPr>
            <w:tcW w:w="815"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20"/>
                <w:szCs w:val="20"/>
              </w:rPr>
            </w:pPr>
          </w:p>
        </w:tc>
        <w:tc>
          <w:tcPr>
            <w:tcW w:w="989"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rPr>
            </w:pPr>
          </w:p>
        </w:tc>
        <w:tc>
          <w:tcPr>
            <w:tcW w:w="852"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资金使用合规性和安全性</w:t>
            </w:r>
          </w:p>
        </w:tc>
        <w:tc>
          <w:tcPr>
            <w:tcW w:w="1458" w:type="dxa"/>
            <w:gridSpan w:val="3"/>
            <w:tcBorders>
              <w:top w:val="single" w:color="auto" w:sz="4" w:space="0"/>
              <w:left w:val="nil"/>
              <w:bottom w:val="single" w:color="auto" w:sz="4" w:space="0"/>
              <w:right w:val="single" w:color="auto" w:sz="4" w:space="0"/>
            </w:tcBorders>
            <w:vAlign w:val="center"/>
          </w:tcPr>
          <w:p>
            <w:pPr>
              <w:jc w:val="center"/>
              <w:rPr>
                <w:rFonts w:cs="宋体" w:asciiTheme="minorEastAsia" w:hAnsiTheme="minorEastAsia" w:eastAsiaTheme="minorEastAsia"/>
                <w:color w:val="auto"/>
                <w:sz w:val="20"/>
                <w:szCs w:val="20"/>
              </w:rPr>
            </w:pPr>
            <w:r>
              <w:rPr>
                <w:rFonts w:hint="eastAsia" w:asciiTheme="minorEastAsia" w:hAnsiTheme="minorEastAsia" w:eastAsiaTheme="minorEastAsia"/>
                <w:color w:val="auto"/>
                <w:sz w:val="20"/>
                <w:szCs w:val="20"/>
              </w:rPr>
              <w:t>资金使用符合相关管理要求，使用合规、安全</w:t>
            </w:r>
          </w:p>
        </w:tc>
        <w:tc>
          <w:tcPr>
            <w:tcW w:w="1450" w:type="dxa"/>
            <w:gridSpan w:val="3"/>
            <w:tcBorders>
              <w:top w:val="single" w:color="auto" w:sz="4" w:space="0"/>
              <w:left w:val="nil"/>
              <w:bottom w:val="single" w:color="auto" w:sz="4" w:space="0"/>
              <w:right w:val="single" w:color="auto" w:sz="4" w:space="0"/>
            </w:tcBorders>
            <w:vAlign w:val="center"/>
          </w:tcPr>
          <w:p>
            <w:pPr>
              <w:jc w:val="center"/>
              <w:rPr>
                <w:rFonts w:cs="宋体" w:asciiTheme="minorEastAsia" w:hAnsiTheme="minorEastAsia" w:eastAsiaTheme="minorEastAsia"/>
                <w:color w:val="auto"/>
                <w:sz w:val="20"/>
                <w:szCs w:val="20"/>
              </w:rPr>
            </w:pPr>
            <w:r>
              <w:rPr>
                <w:rFonts w:hint="eastAsia" w:asciiTheme="minorEastAsia" w:hAnsiTheme="minorEastAsia" w:eastAsiaTheme="minorEastAsia"/>
                <w:color w:val="auto"/>
                <w:sz w:val="20"/>
                <w:szCs w:val="20"/>
              </w:rPr>
              <w:t>资金使用符合要求、规范执行</w:t>
            </w:r>
          </w:p>
        </w:tc>
        <w:tc>
          <w:tcPr>
            <w:tcW w:w="1188" w:type="dxa"/>
            <w:gridSpan w:val="2"/>
            <w:tcBorders>
              <w:top w:val="single" w:color="auto" w:sz="4" w:space="0"/>
              <w:left w:val="nil"/>
              <w:bottom w:val="single" w:color="auto" w:sz="4" w:space="0"/>
              <w:right w:val="single" w:color="auto" w:sz="4" w:space="0"/>
            </w:tcBorders>
            <w:vAlign w:val="center"/>
          </w:tcPr>
          <w:p>
            <w:pPr>
              <w:jc w:val="center"/>
              <w:rPr>
                <w:rFonts w:cs="宋体" w:asciiTheme="minorEastAsia" w:hAnsiTheme="minorEastAsia" w:eastAsiaTheme="minorEastAsia"/>
                <w:color w:val="auto"/>
                <w:sz w:val="20"/>
                <w:szCs w:val="20"/>
              </w:rPr>
            </w:pPr>
            <w:r>
              <w:rPr>
                <w:rFonts w:hint="eastAsia" w:asciiTheme="minorEastAsia" w:hAnsiTheme="minorEastAsia" w:eastAsiaTheme="minorEastAsia"/>
                <w:color w:val="auto"/>
                <w:sz w:val="20"/>
                <w:szCs w:val="20"/>
              </w:rPr>
              <w:t>2</w:t>
            </w:r>
          </w:p>
        </w:tc>
        <w:tc>
          <w:tcPr>
            <w:tcW w:w="925" w:type="dxa"/>
            <w:gridSpan w:val="2"/>
            <w:tcBorders>
              <w:top w:val="single" w:color="auto" w:sz="4" w:space="0"/>
              <w:left w:val="nil"/>
              <w:bottom w:val="single" w:color="auto" w:sz="4" w:space="0"/>
              <w:right w:val="nil"/>
            </w:tcBorders>
            <w:vAlign w:val="center"/>
          </w:tcPr>
          <w:p>
            <w:pPr>
              <w:jc w:val="center"/>
              <w:rPr>
                <w:rFonts w:cs="宋体" w:asciiTheme="minorEastAsia" w:hAnsiTheme="minorEastAsia" w:eastAsiaTheme="minorEastAsia"/>
                <w:color w:val="auto"/>
                <w:sz w:val="20"/>
                <w:szCs w:val="20"/>
              </w:rPr>
            </w:pPr>
            <w:r>
              <w:rPr>
                <w:rFonts w:hint="eastAsia" w:asciiTheme="minorEastAsia" w:hAnsiTheme="minorEastAsia" w:eastAsiaTheme="minorEastAsia"/>
                <w:color w:val="auto"/>
                <w:sz w:val="20"/>
                <w:szCs w:val="20"/>
              </w:rPr>
              <w:t>2</w:t>
            </w:r>
          </w:p>
        </w:tc>
        <w:tc>
          <w:tcPr>
            <w:tcW w:w="2612" w:type="dxa"/>
            <w:gridSpan w:val="5"/>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r>
              <w:rPr>
                <w:rFonts w:hint="eastAsia" w:ascii="宋体" w:hAnsi="宋体" w:cs="宋体"/>
                <w:b/>
                <w:bCs/>
                <w:color w:val="auto"/>
                <w:kern w:val="0"/>
                <w:sz w:val="18"/>
                <w:szCs w:val="18"/>
              </w:rPr>
              <w:t>资金使用合规性和安全性:</w:t>
            </w:r>
            <w:r>
              <w:rPr>
                <w:rFonts w:hint="eastAsia" w:ascii="宋体" w:hAnsi="宋体" w:cs="宋体"/>
                <w:color w:val="auto"/>
                <w:kern w:val="0"/>
                <w:sz w:val="18"/>
                <w:szCs w:val="18"/>
              </w:rPr>
              <w:t>部门（单位）使用预算资金是否符合相关的预算财务管理制度的规定，是否符合相关规定的开支范围，用以反映考核部门（单位）预算资金的规范运行和安全运行情况。</w:t>
            </w:r>
          </w:p>
        </w:tc>
        <w:tc>
          <w:tcPr>
            <w:tcW w:w="3956" w:type="dxa"/>
            <w:gridSpan w:val="3"/>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0.5分，扣完为止。</w:t>
            </w:r>
          </w:p>
        </w:tc>
      </w:tr>
      <w:tr>
        <w:tblPrEx>
          <w:tblCellMar>
            <w:top w:w="0" w:type="dxa"/>
            <w:left w:w="108" w:type="dxa"/>
            <w:bottom w:w="0" w:type="dxa"/>
            <w:right w:w="108" w:type="dxa"/>
          </w:tblCellMar>
        </w:tblPrEx>
        <w:trPr>
          <w:trHeight w:val="1035" w:hRule="atLeast"/>
        </w:trPr>
        <w:tc>
          <w:tcPr>
            <w:tcW w:w="81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rPr>
            </w:pPr>
          </w:p>
        </w:tc>
        <w:tc>
          <w:tcPr>
            <w:tcW w:w="989"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rPr>
            </w:pPr>
          </w:p>
        </w:tc>
        <w:tc>
          <w:tcPr>
            <w:tcW w:w="852"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会计基础信息完善性</w:t>
            </w:r>
          </w:p>
        </w:tc>
        <w:tc>
          <w:tcPr>
            <w:tcW w:w="1458" w:type="dxa"/>
            <w:gridSpan w:val="3"/>
            <w:tcBorders>
              <w:top w:val="nil"/>
              <w:left w:val="nil"/>
              <w:bottom w:val="single" w:color="auto" w:sz="4" w:space="0"/>
              <w:right w:val="single" w:color="auto" w:sz="4" w:space="0"/>
            </w:tcBorders>
            <w:vAlign w:val="center"/>
          </w:tcPr>
          <w:p>
            <w:pPr>
              <w:widowControl/>
              <w:jc w:val="center"/>
              <w:rPr>
                <w:rFonts w:cs="宋体" w:asciiTheme="minorEastAsia" w:hAnsiTheme="minorEastAsia" w:eastAsiaTheme="minorEastAsia"/>
                <w:color w:val="auto"/>
                <w:kern w:val="0"/>
                <w:sz w:val="20"/>
                <w:szCs w:val="20"/>
              </w:rPr>
            </w:pPr>
            <w:r>
              <w:rPr>
                <w:rFonts w:hint="eastAsia" w:cs="宋体" w:asciiTheme="minorEastAsia" w:hAnsiTheme="minorEastAsia" w:eastAsiaTheme="minorEastAsia"/>
                <w:color w:val="auto"/>
                <w:kern w:val="0"/>
                <w:sz w:val="20"/>
                <w:szCs w:val="20"/>
              </w:rPr>
              <w:t>基础数据信息和会计信息资料、完整、准确</w:t>
            </w:r>
          </w:p>
        </w:tc>
        <w:tc>
          <w:tcPr>
            <w:tcW w:w="1450" w:type="dxa"/>
            <w:gridSpan w:val="3"/>
            <w:tcBorders>
              <w:top w:val="nil"/>
              <w:left w:val="nil"/>
              <w:bottom w:val="single" w:color="auto" w:sz="4" w:space="0"/>
              <w:right w:val="single" w:color="auto" w:sz="4" w:space="0"/>
            </w:tcBorders>
            <w:vAlign w:val="center"/>
          </w:tcPr>
          <w:p>
            <w:pPr>
              <w:widowControl/>
              <w:jc w:val="center"/>
              <w:rPr>
                <w:rFonts w:cs="宋体" w:asciiTheme="minorEastAsia" w:hAnsiTheme="minorEastAsia" w:eastAsiaTheme="minorEastAsia"/>
                <w:color w:val="auto"/>
                <w:kern w:val="0"/>
                <w:sz w:val="20"/>
                <w:szCs w:val="20"/>
              </w:rPr>
            </w:pPr>
            <w:r>
              <w:rPr>
                <w:rFonts w:hint="eastAsia" w:cs="宋体" w:asciiTheme="minorEastAsia" w:hAnsiTheme="minorEastAsia" w:eastAsiaTheme="minorEastAsia"/>
                <w:color w:val="auto"/>
                <w:kern w:val="0"/>
                <w:sz w:val="20"/>
                <w:szCs w:val="20"/>
              </w:rPr>
              <w:t>单位基础数据信息和会计信息资料、完整、准确　</w:t>
            </w:r>
          </w:p>
        </w:tc>
        <w:tc>
          <w:tcPr>
            <w:tcW w:w="1188" w:type="dxa"/>
            <w:gridSpan w:val="2"/>
            <w:tcBorders>
              <w:top w:val="nil"/>
              <w:left w:val="nil"/>
              <w:bottom w:val="single" w:color="auto" w:sz="4" w:space="0"/>
              <w:right w:val="single" w:color="auto" w:sz="4" w:space="0"/>
            </w:tcBorders>
            <w:vAlign w:val="center"/>
          </w:tcPr>
          <w:p>
            <w:pPr>
              <w:widowControl/>
              <w:jc w:val="center"/>
              <w:rPr>
                <w:rFonts w:cs="宋体" w:asciiTheme="minorEastAsia" w:hAnsiTheme="minorEastAsia" w:eastAsiaTheme="minorEastAsia"/>
                <w:color w:val="auto"/>
                <w:kern w:val="0"/>
                <w:sz w:val="20"/>
                <w:szCs w:val="20"/>
              </w:rPr>
            </w:pPr>
            <w:r>
              <w:rPr>
                <w:rFonts w:hint="eastAsia" w:cs="宋体" w:asciiTheme="minorEastAsia" w:hAnsiTheme="minorEastAsia" w:eastAsiaTheme="minorEastAsia"/>
                <w:color w:val="auto"/>
                <w:kern w:val="0"/>
                <w:sz w:val="20"/>
                <w:szCs w:val="20"/>
              </w:rPr>
              <w:t>1</w:t>
            </w:r>
          </w:p>
        </w:tc>
        <w:tc>
          <w:tcPr>
            <w:tcW w:w="925" w:type="dxa"/>
            <w:gridSpan w:val="2"/>
            <w:tcBorders>
              <w:top w:val="nil"/>
              <w:left w:val="nil"/>
              <w:bottom w:val="single" w:color="auto" w:sz="4" w:space="0"/>
              <w:right w:val="nil"/>
            </w:tcBorders>
            <w:vAlign w:val="center"/>
          </w:tcPr>
          <w:p>
            <w:pPr>
              <w:widowControl/>
              <w:jc w:val="center"/>
              <w:rPr>
                <w:rFonts w:cs="宋体" w:asciiTheme="minorEastAsia" w:hAnsiTheme="minorEastAsia" w:eastAsiaTheme="minorEastAsia"/>
                <w:color w:val="auto"/>
                <w:kern w:val="0"/>
                <w:sz w:val="20"/>
                <w:szCs w:val="20"/>
              </w:rPr>
            </w:pPr>
            <w:r>
              <w:rPr>
                <w:rFonts w:hint="eastAsia" w:cs="宋体" w:asciiTheme="minorEastAsia" w:hAnsiTheme="minorEastAsia" w:eastAsiaTheme="minorEastAsia"/>
                <w:color w:val="auto"/>
                <w:kern w:val="0"/>
                <w:sz w:val="20"/>
                <w:szCs w:val="20"/>
              </w:rPr>
              <w:t>1</w:t>
            </w:r>
          </w:p>
        </w:tc>
        <w:tc>
          <w:tcPr>
            <w:tcW w:w="2612" w:type="dxa"/>
            <w:gridSpan w:val="5"/>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r>
              <w:rPr>
                <w:rFonts w:hint="eastAsia" w:ascii="宋体" w:hAnsi="宋体" w:cs="宋体"/>
                <w:b/>
                <w:bCs/>
                <w:color w:val="auto"/>
                <w:kern w:val="0"/>
                <w:sz w:val="18"/>
                <w:szCs w:val="18"/>
              </w:rPr>
              <w:t>会计基础信息完善性:</w:t>
            </w:r>
            <w:r>
              <w:rPr>
                <w:rFonts w:hint="eastAsia" w:ascii="宋体" w:hAnsi="宋体" w:cs="宋体"/>
                <w:color w:val="auto"/>
                <w:kern w:val="0"/>
                <w:sz w:val="18"/>
                <w:szCs w:val="18"/>
              </w:rPr>
              <w:t>部门（单位）会计基础信息情况。</w:t>
            </w:r>
          </w:p>
        </w:tc>
        <w:tc>
          <w:tcPr>
            <w:tcW w:w="3956"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①基础数据信息和会计信息资料是否真实；②基础数据信息和会计信息资料是否完整；③基础数据信息和会计信息资料是否准确。每有一项不合格扣0.5分，扣完为止。</w:t>
            </w:r>
          </w:p>
        </w:tc>
      </w:tr>
      <w:tr>
        <w:tblPrEx>
          <w:tblCellMar>
            <w:top w:w="0" w:type="dxa"/>
            <w:left w:w="108" w:type="dxa"/>
            <w:bottom w:w="0" w:type="dxa"/>
            <w:right w:w="108" w:type="dxa"/>
          </w:tblCellMar>
        </w:tblPrEx>
        <w:trPr>
          <w:trHeight w:val="986" w:hRule="atLeast"/>
        </w:trPr>
        <w:tc>
          <w:tcPr>
            <w:tcW w:w="8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FF0000"/>
                <w:kern w:val="0"/>
                <w:sz w:val="20"/>
                <w:szCs w:val="20"/>
              </w:rPr>
            </w:pPr>
          </w:p>
        </w:tc>
        <w:tc>
          <w:tcPr>
            <w:tcW w:w="989"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资产</w:t>
            </w:r>
          </w:p>
          <w:p>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管理</w:t>
            </w:r>
          </w:p>
          <w:p>
            <w:pPr>
              <w:widowControl/>
              <w:jc w:val="center"/>
              <w:rPr>
                <w:rFonts w:ascii="宋体" w:hAnsi="宋体" w:cs="宋体"/>
                <w:color w:val="auto"/>
                <w:kern w:val="0"/>
                <w:sz w:val="20"/>
                <w:szCs w:val="20"/>
              </w:rPr>
            </w:pPr>
            <w:r>
              <w:rPr>
                <w:rFonts w:hint="eastAsia" w:ascii="宋体" w:hAnsi="宋体" w:cs="宋体"/>
                <w:color w:val="auto"/>
                <w:kern w:val="0"/>
                <w:sz w:val="20"/>
                <w:szCs w:val="20"/>
              </w:rPr>
              <w:t>（4）</w:t>
            </w:r>
          </w:p>
        </w:tc>
        <w:tc>
          <w:tcPr>
            <w:tcW w:w="852"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资产管理规范性</w:t>
            </w:r>
          </w:p>
        </w:tc>
        <w:tc>
          <w:tcPr>
            <w:tcW w:w="1458"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color w:val="auto"/>
                <w:kern w:val="0"/>
                <w:sz w:val="20"/>
                <w:szCs w:val="20"/>
              </w:rPr>
            </w:pPr>
            <w:r>
              <w:rPr>
                <w:rFonts w:hint="eastAsia" w:cs="宋体" w:asciiTheme="minorEastAsia" w:hAnsiTheme="minorEastAsia" w:eastAsiaTheme="minorEastAsia"/>
                <w:color w:val="auto"/>
                <w:kern w:val="0"/>
                <w:sz w:val="20"/>
                <w:szCs w:val="20"/>
              </w:rPr>
              <w:t>资产管理制度健全，执行规范</w:t>
            </w:r>
          </w:p>
        </w:tc>
        <w:tc>
          <w:tcPr>
            <w:tcW w:w="1450"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color w:val="auto"/>
                <w:kern w:val="0"/>
                <w:sz w:val="20"/>
                <w:szCs w:val="20"/>
              </w:rPr>
            </w:pPr>
            <w:r>
              <w:rPr>
                <w:rFonts w:hint="eastAsia" w:cs="宋体" w:asciiTheme="minorEastAsia" w:hAnsiTheme="minorEastAsia" w:eastAsiaTheme="minorEastAsia"/>
                <w:color w:val="auto"/>
                <w:kern w:val="0"/>
                <w:sz w:val="20"/>
                <w:szCs w:val="20"/>
              </w:rPr>
              <w:t>资产管理制度健全，且规范执行</w:t>
            </w:r>
          </w:p>
        </w:tc>
        <w:tc>
          <w:tcPr>
            <w:tcW w:w="118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color w:val="auto"/>
                <w:kern w:val="0"/>
                <w:sz w:val="20"/>
                <w:szCs w:val="20"/>
              </w:rPr>
            </w:pPr>
            <w:r>
              <w:rPr>
                <w:rFonts w:hint="eastAsia" w:cs="宋体" w:asciiTheme="minorEastAsia" w:hAnsiTheme="minorEastAsia" w:eastAsiaTheme="minorEastAsia"/>
                <w:color w:val="auto"/>
                <w:kern w:val="0"/>
                <w:sz w:val="20"/>
                <w:szCs w:val="20"/>
              </w:rPr>
              <w:t>4</w:t>
            </w:r>
          </w:p>
        </w:tc>
        <w:tc>
          <w:tcPr>
            <w:tcW w:w="925"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color w:val="auto"/>
                <w:kern w:val="0"/>
                <w:sz w:val="20"/>
                <w:szCs w:val="20"/>
              </w:rPr>
            </w:pPr>
            <w:r>
              <w:rPr>
                <w:rFonts w:hint="eastAsia" w:cs="宋体" w:asciiTheme="minorEastAsia" w:hAnsiTheme="minorEastAsia" w:eastAsiaTheme="minorEastAsia"/>
                <w:color w:val="auto"/>
                <w:kern w:val="0"/>
                <w:sz w:val="20"/>
                <w:szCs w:val="20"/>
              </w:rPr>
              <w:t>4</w:t>
            </w:r>
          </w:p>
        </w:tc>
        <w:tc>
          <w:tcPr>
            <w:tcW w:w="2612" w:type="dxa"/>
            <w:gridSpan w:val="5"/>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r>
              <w:rPr>
                <w:rFonts w:hint="eastAsia" w:ascii="宋体" w:hAnsi="宋体" w:cs="宋体"/>
                <w:b/>
                <w:bCs/>
                <w:color w:val="auto"/>
                <w:kern w:val="0"/>
                <w:sz w:val="18"/>
                <w:szCs w:val="18"/>
              </w:rPr>
              <w:t>资产管理规范性:</w:t>
            </w:r>
            <w:r>
              <w:rPr>
                <w:rFonts w:hint="eastAsia" w:ascii="宋体" w:hAnsi="宋体" w:cs="宋体"/>
                <w:color w:val="auto"/>
                <w:kern w:val="0"/>
                <w:sz w:val="18"/>
                <w:szCs w:val="18"/>
              </w:rPr>
              <w:t>部门（单位）的资产是否保持安全完整，资产配置是否合理，资产使用和资产处理是否规范，用以反映和考核部门（单位）资产管理的整体水平。</w:t>
            </w:r>
          </w:p>
        </w:tc>
        <w:tc>
          <w:tcPr>
            <w:tcW w:w="3956"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它资产管理制度办法执行情况。每有一项不合格扣0.8分，扣完为止。</w:t>
            </w:r>
          </w:p>
        </w:tc>
      </w:tr>
      <w:tr>
        <w:trPr>
          <w:trHeight w:val="1750" w:hRule="atLeast"/>
        </w:trPr>
        <w:tc>
          <w:tcPr>
            <w:tcW w:w="8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FF0000"/>
                <w:kern w:val="0"/>
                <w:sz w:val="20"/>
                <w:szCs w:val="20"/>
              </w:rPr>
            </w:pPr>
          </w:p>
        </w:tc>
        <w:tc>
          <w:tcPr>
            <w:tcW w:w="989" w:type="dxa"/>
            <w:gridSpan w:val="3"/>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绩效</w:t>
            </w:r>
          </w:p>
          <w:p>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管理</w:t>
            </w:r>
          </w:p>
          <w:p>
            <w:pPr>
              <w:widowControl/>
              <w:jc w:val="center"/>
              <w:rPr>
                <w:rFonts w:ascii="宋体" w:hAnsi="宋体" w:cs="宋体"/>
                <w:color w:val="auto"/>
                <w:kern w:val="0"/>
                <w:sz w:val="20"/>
                <w:szCs w:val="20"/>
              </w:rPr>
            </w:pPr>
            <w:r>
              <w:rPr>
                <w:rFonts w:hint="eastAsia" w:ascii="宋体" w:hAnsi="宋体" w:cs="宋体"/>
                <w:color w:val="auto"/>
                <w:kern w:val="0"/>
                <w:sz w:val="20"/>
                <w:szCs w:val="20"/>
              </w:rPr>
              <w:t>（4）</w:t>
            </w:r>
          </w:p>
        </w:tc>
        <w:tc>
          <w:tcPr>
            <w:tcW w:w="852"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绩效管理情况</w:t>
            </w:r>
          </w:p>
        </w:tc>
        <w:tc>
          <w:tcPr>
            <w:tcW w:w="1458" w:type="dxa"/>
            <w:gridSpan w:val="3"/>
            <w:tcBorders>
              <w:top w:val="single" w:color="auto" w:sz="4" w:space="0"/>
              <w:left w:val="nil"/>
              <w:bottom w:val="single" w:color="auto" w:sz="4" w:space="0"/>
              <w:right w:val="single" w:color="auto" w:sz="4" w:space="0"/>
            </w:tcBorders>
            <w:vAlign w:val="center"/>
          </w:tcPr>
          <w:p>
            <w:pPr>
              <w:widowControl/>
              <w:jc w:val="center"/>
              <w:rPr>
                <w:rFonts w:cs="宋体" w:asciiTheme="minorEastAsia" w:hAnsiTheme="minorEastAsia" w:eastAsiaTheme="minorEastAsia"/>
                <w:color w:val="auto"/>
                <w:kern w:val="0"/>
                <w:sz w:val="20"/>
                <w:szCs w:val="20"/>
              </w:rPr>
            </w:pPr>
            <w:r>
              <w:rPr>
                <w:rFonts w:hint="eastAsia" w:cs="宋体" w:asciiTheme="minorEastAsia" w:hAnsiTheme="minorEastAsia" w:eastAsiaTheme="minorEastAsia"/>
                <w:color w:val="auto"/>
                <w:kern w:val="0"/>
                <w:sz w:val="20"/>
                <w:szCs w:val="20"/>
              </w:rPr>
              <w:t>对绩效信息进行汇总分析整理；对绩效目标偏离情况及时进行矫正。</w:t>
            </w:r>
          </w:p>
        </w:tc>
        <w:tc>
          <w:tcPr>
            <w:tcW w:w="1450" w:type="dxa"/>
            <w:gridSpan w:val="3"/>
            <w:tcBorders>
              <w:top w:val="single" w:color="auto" w:sz="4" w:space="0"/>
              <w:left w:val="nil"/>
              <w:bottom w:val="single" w:color="auto" w:sz="4" w:space="0"/>
              <w:right w:val="single" w:color="auto" w:sz="4" w:space="0"/>
            </w:tcBorders>
            <w:vAlign w:val="center"/>
          </w:tcPr>
          <w:p>
            <w:pPr>
              <w:widowControl/>
              <w:jc w:val="center"/>
              <w:rPr>
                <w:rFonts w:cs="宋体" w:asciiTheme="minorEastAsia" w:hAnsiTheme="minorEastAsia" w:eastAsiaTheme="minorEastAsia"/>
                <w:color w:val="auto"/>
                <w:kern w:val="0"/>
                <w:sz w:val="20"/>
                <w:szCs w:val="20"/>
              </w:rPr>
            </w:pPr>
            <w:r>
              <w:rPr>
                <w:rFonts w:hint="eastAsia" w:cs="宋体" w:asciiTheme="minorEastAsia" w:hAnsiTheme="minorEastAsia" w:eastAsiaTheme="minorEastAsia"/>
                <w:color w:val="auto"/>
                <w:kern w:val="0"/>
                <w:sz w:val="20"/>
                <w:szCs w:val="20"/>
              </w:rPr>
              <w:t>及时对绩效信息进行汇总分析整理；对绩效目标偏离情况及时进行矫正。</w:t>
            </w:r>
          </w:p>
        </w:tc>
        <w:tc>
          <w:tcPr>
            <w:tcW w:w="1188"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4</w:t>
            </w:r>
          </w:p>
        </w:tc>
        <w:tc>
          <w:tcPr>
            <w:tcW w:w="925" w:type="dxa"/>
            <w:gridSpan w:val="2"/>
            <w:tcBorders>
              <w:top w:val="single" w:color="auto" w:sz="4" w:space="0"/>
              <w:left w:val="nil"/>
              <w:bottom w:val="single" w:color="auto" w:sz="4" w:space="0"/>
              <w:right w:val="nil"/>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4</w:t>
            </w:r>
          </w:p>
        </w:tc>
        <w:tc>
          <w:tcPr>
            <w:tcW w:w="2612" w:type="dxa"/>
            <w:gridSpan w:val="5"/>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r>
              <w:rPr>
                <w:rFonts w:hint="eastAsia" w:ascii="宋体" w:hAnsi="宋体" w:cs="宋体"/>
                <w:b/>
                <w:bCs/>
                <w:color w:val="auto"/>
                <w:kern w:val="0"/>
                <w:sz w:val="18"/>
                <w:szCs w:val="18"/>
              </w:rPr>
              <w:t>绩效管理情况:</w:t>
            </w:r>
            <w:r>
              <w:rPr>
                <w:rFonts w:hint="eastAsia" w:ascii="宋体" w:hAnsi="宋体" w:cs="宋体"/>
                <w:color w:val="auto"/>
                <w:kern w:val="0"/>
                <w:sz w:val="18"/>
                <w:szCs w:val="18"/>
              </w:rPr>
              <w:t>考核部门（单位）在绩效管理信息的汇总和应用情况。</w:t>
            </w:r>
          </w:p>
        </w:tc>
        <w:tc>
          <w:tcPr>
            <w:tcW w:w="3956" w:type="dxa"/>
            <w:gridSpan w:val="3"/>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①部门（单位）是否及时对绩效信息进行汇总分析整理；②部门（单位）是否对绩效目标偏离情况及时进行矫正。每有一项不合格扣2分。</w:t>
            </w:r>
          </w:p>
        </w:tc>
      </w:tr>
      <w:tr>
        <w:tblPrEx>
          <w:tblCellMar>
            <w:top w:w="0" w:type="dxa"/>
            <w:left w:w="108" w:type="dxa"/>
            <w:bottom w:w="0" w:type="dxa"/>
            <w:right w:w="108" w:type="dxa"/>
          </w:tblCellMar>
        </w:tblPrEx>
        <w:trPr>
          <w:trHeight w:val="392" w:hRule="atLeast"/>
        </w:trPr>
        <w:tc>
          <w:tcPr>
            <w:tcW w:w="815"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color w:val="FF0000"/>
                <w:kern w:val="0"/>
                <w:sz w:val="20"/>
                <w:szCs w:val="20"/>
              </w:rPr>
            </w:pPr>
          </w:p>
        </w:tc>
        <w:tc>
          <w:tcPr>
            <w:tcW w:w="989"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指标</w:t>
            </w:r>
          </w:p>
        </w:tc>
        <w:tc>
          <w:tcPr>
            <w:tcW w:w="1873" w:type="dxa"/>
            <w:gridSpan w:val="3"/>
            <w:tcBorders>
              <w:top w:val="single" w:color="auto" w:sz="4" w:space="0"/>
              <w:left w:val="nil"/>
              <w:bottom w:val="single" w:color="auto" w:sz="4" w:space="0"/>
              <w:right w:val="single" w:color="000000"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2021年</w:t>
            </w:r>
          </w:p>
        </w:tc>
        <w:tc>
          <w:tcPr>
            <w:tcW w:w="1887" w:type="dxa"/>
            <w:gridSpan w:val="5"/>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202</w:t>
            </w:r>
            <w:r>
              <w:rPr>
                <w:rFonts w:hint="eastAsia" w:ascii="宋体" w:hAnsi="宋体" w:cs="宋体"/>
                <w:color w:val="auto"/>
                <w:kern w:val="0"/>
                <w:sz w:val="20"/>
                <w:szCs w:val="20"/>
                <w:lang w:val="en-US" w:eastAsia="zh-CN"/>
              </w:rPr>
              <w:t>2</w:t>
            </w:r>
            <w:r>
              <w:rPr>
                <w:rFonts w:hint="eastAsia" w:ascii="宋体" w:hAnsi="宋体" w:cs="宋体"/>
                <w:color w:val="auto"/>
                <w:kern w:val="0"/>
                <w:sz w:val="20"/>
                <w:szCs w:val="20"/>
              </w:rPr>
              <w:t>年</w:t>
            </w:r>
          </w:p>
        </w:tc>
        <w:tc>
          <w:tcPr>
            <w:tcW w:w="1188"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分值</w:t>
            </w:r>
          </w:p>
        </w:tc>
        <w:tc>
          <w:tcPr>
            <w:tcW w:w="1071"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得分</w:t>
            </w:r>
          </w:p>
        </w:tc>
        <w:tc>
          <w:tcPr>
            <w:tcW w:w="2466"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bCs/>
                <w:color w:val="auto"/>
                <w:kern w:val="0"/>
                <w:sz w:val="18"/>
                <w:szCs w:val="18"/>
              </w:rPr>
              <w:t>指标</w:t>
            </w:r>
            <w:r>
              <w:rPr>
                <w:rFonts w:ascii="宋体" w:hAnsi="宋体" w:cs="宋体"/>
                <w:bCs/>
                <w:color w:val="auto"/>
                <w:kern w:val="0"/>
                <w:sz w:val="18"/>
                <w:szCs w:val="18"/>
              </w:rPr>
              <w:t>解释</w:t>
            </w:r>
          </w:p>
        </w:tc>
        <w:tc>
          <w:tcPr>
            <w:tcW w:w="3956" w:type="dxa"/>
            <w:gridSpan w:val="3"/>
            <w:tcBorders>
              <w:top w:val="single" w:color="auto" w:sz="4" w:space="0"/>
              <w:left w:val="nil"/>
              <w:bottom w:val="single" w:color="auto" w:sz="4" w:space="0"/>
              <w:right w:val="single" w:color="auto" w:sz="4" w:space="0"/>
            </w:tcBorders>
            <w:vAlign w:val="center"/>
          </w:tcPr>
          <w:p>
            <w:pPr>
              <w:widowControl/>
              <w:jc w:val="center"/>
              <w:rPr>
                <w:rFonts w:eastAsia="Times New Roman"/>
                <w:color w:val="auto"/>
                <w:kern w:val="0"/>
                <w:sz w:val="20"/>
                <w:szCs w:val="20"/>
              </w:rPr>
            </w:pPr>
            <w:r>
              <w:rPr>
                <w:rFonts w:hint="eastAsia" w:ascii="宋体" w:hAnsi="宋体" w:cs="宋体"/>
                <w:color w:val="auto"/>
                <w:kern w:val="0"/>
                <w:sz w:val="18"/>
                <w:szCs w:val="18"/>
              </w:rPr>
              <w:t>评</w:t>
            </w:r>
            <w:r>
              <w:rPr>
                <w:rFonts w:ascii="宋体" w:hAnsi="宋体" w:cs="宋体"/>
                <w:color w:val="auto"/>
                <w:kern w:val="0"/>
                <w:sz w:val="18"/>
                <w:szCs w:val="18"/>
              </w:rPr>
              <w:t>分标准</w:t>
            </w:r>
          </w:p>
        </w:tc>
      </w:tr>
      <w:tr>
        <w:tblPrEx>
          <w:tblCellMar>
            <w:top w:w="0" w:type="dxa"/>
            <w:left w:w="108" w:type="dxa"/>
            <w:bottom w:w="0" w:type="dxa"/>
            <w:right w:w="108" w:type="dxa"/>
          </w:tblCellMar>
        </w:tblPrEx>
        <w:trPr>
          <w:trHeight w:val="1365" w:hRule="atLeast"/>
        </w:trPr>
        <w:tc>
          <w:tcPr>
            <w:tcW w:w="81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FF0000"/>
                <w:kern w:val="0"/>
                <w:sz w:val="20"/>
                <w:szCs w:val="20"/>
              </w:rPr>
            </w:pPr>
          </w:p>
        </w:tc>
        <w:tc>
          <w:tcPr>
            <w:tcW w:w="989" w:type="dxa"/>
            <w:gridSpan w:val="3"/>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结转</w:t>
            </w:r>
          </w:p>
          <w:p>
            <w:pPr>
              <w:widowControl/>
              <w:jc w:val="center"/>
              <w:rPr>
                <w:rFonts w:ascii="宋体" w:hAnsi="宋体" w:cs="宋体"/>
                <w:color w:val="auto"/>
                <w:kern w:val="0"/>
                <w:sz w:val="20"/>
                <w:szCs w:val="20"/>
              </w:rPr>
            </w:pPr>
            <w:r>
              <w:rPr>
                <w:rFonts w:hint="eastAsia" w:ascii="宋体" w:hAnsi="宋体" w:cs="宋体"/>
                <w:color w:val="auto"/>
                <w:kern w:val="0"/>
                <w:sz w:val="20"/>
                <w:szCs w:val="20"/>
              </w:rPr>
              <w:t>结余</w:t>
            </w:r>
          </w:p>
          <w:p>
            <w:pPr>
              <w:widowControl/>
              <w:jc w:val="center"/>
              <w:rPr>
                <w:rFonts w:ascii="宋体" w:hAnsi="宋体" w:cs="宋体"/>
                <w:color w:val="auto"/>
                <w:kern w:val="0"/>
                <w:sz w:val="20"/>
                <w:szCs w:val="20"/>
              </w:rPr>
            </w:pPr>
            <w:r>
              <w:rPr>
                <w:rFonts w:hint="eastAsia" w:ascii="宋体" w:hAnsi="宋体" w:cs="宋体"/>
                <w:color w:val="auto"/>
                <w:kern w:val="0"/>
                <w:sz w:val="20"/>
                <w:szCs w:val="20"/>
              </w:rPr>
              <w:t>率</w:t>
            </w:r>
          </w:p>
          <w:p>
            <w:pPr>
              <w:widowControl/>
              <w:jc w:val="center"/>
              <w:rPr>
                <w:rFonts w:ascii="宋体" w:hAnsi="宋体" w:cs="宋体"/>
                <w:color w:val="auto"/>
                <w:kern w:val="0"/>
                <w:sz w:val="20"/>
                <w:szCs w:val="20"/>
              </w:rPr>
            </w:pPr>
            <w:r>
              <w:rPr>
                <w:rFonts w:hint="eastAsia" w:ascii="宋体" w:hAnsi="宋体" w:cs="宋体"/>
                <w:color w:val="auto"/>
                <w:kern w:val="0"/>
                <w:sz w:val="20"/>
                <w:szCs w:val="20"/>
              </w:rPr>
              <w:t>（4）</w:t>
            </w:r>
          </w:p>
        </w:tc>
        <w:tc>
          <w:tcPr>
            <w:tcW w:w="1873" w:type="dxa"/>
            <w:gridSpan w:val="3"/>
            <w:tcBorders>
              <w:top w:val="single" w:color="auto" w:sz="4" w:space="0"/>
              <w:left w:val="nil"/>
              <w:bottom w:val="single" w:color="auto" w:sz="4" w:space="0"/>
              <w:right w:val="single" w:color="000000"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6.87%</w:t>
            </w:r>
          </w:p>
        </w:tc>
        <w:tc>
          <w:tcPr>
            <w:tcW w:w="1887" w:type="dxa"/>
            <w:gridSpan w:val="5"/>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lang w:val="en-US" w:eastAsia="zh-CN"/>
              </w:rPr>
              <w:t>5.10</w:t>
            </w:r>
            <w:r>
              <w:rPr>
                <w:rFonts w:hint="eastAsia" w:ascii="宋体" w:hAnsi="宋体" w:cs="宋体"/>
                <w:color w:val="auto"/>
                <w:kern w:val="0"/>
                <w:sz w:val="20"/>
                <w:szCs w:val="20"/>
              </w:rPr>
              <w:t>%</w:t>
            </w:r>
          </w:p>
        </w:tc>
        <w:tc>
          <w:tcPr>
            <w:tcW w:w="1188"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4</w:t>
            </w:r>
          </w:p>
        </w:tc>
        <w:tc>
          <w:tcPr>
            <w:tcW w:w="1071" w:type="dxa"/>
            <w:gridSpan w:val="3"/>
            <w:tcBorders>
              <w:top w:val="nil"/>
              <w:left w:val="nil"/>
              <w:bottom w:val="single" w:color="auto" w:sz="4" w:space="0"/>
              <w:right w:val="nil"/>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lang w:val="en-US" w:eastAsia="zh-CN"/>
              </w:rPr>
              <w:t>4</w:t>
            </w:r>
          </w:p>
        </w:tc>
        <w:tc>
          <w:tcPr>
            <w:tcW w:w="2466" w:type="dxa"/>
            <w:gridSpan w:val="4"/>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结转结余率=结转结余总额/支出预算数×100%。</w:t>
            </w:r>
          </w:p>
          <w:p>
            <w:pPr>
              <w:widowControl/>
              <w:jc w:val="left"/>
              <w:rPr>
                <w:rFonts w:ascii="宋体" w:hAnsi="宋体" w:cs="宋体"/>
                <w:color w:val="auto"/>
                <w:kern w:val="0"/>
                <w:sz w:val="18"/>
                <w:szCs w:val="18"/>
              </w:rPr>
            </w:pPr>
            <w:r>
              <w:rPr>
                <w:rFonts w:hint="eastAsia" w:ascii="宋体" w:hAnsi="宋体" w:cs="宋体"/>
                <w:color w:val="auto"/>
                <w:kern w:val="0"/>
                <w:sz w:val="18"/>
                <w:szCs w:val="18"/>
              </w:rPr>
              <w:t>结转结余总额：部门（单位）本年度的结转资金与结余资金之和。</w:t>
            </w:r>
          </w:p>
        </w:tc>
        <w:tc>
          <w:tcPr>
            <w:tcW w:w="3956" w:type="dxa"/>
            <w:gridSpan w:val="3"/>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部门结转结余率低于上年的不扣分；高于上年结余率，每高出1个百分点扣0.4分，扣完为止。（说明：预算调整和结转结余指标，如非预算部门主观因素导致扣分的，在评分结果征求意见环节，经与相关部门预算主管处室共同研究，可作为例外情况酌情考虑。）</w:t>
            </w:r>
          </w:p>
        </w:tc>
      </w:tr>
      <w:tr>
        <w:tblPrEx>
          <w:tblCellMar>
            <w:top w:w="0" w:type="dxa"/>
            <w:left w:w="108" w:type="dxa"/>
            <w:bottom w:w="0" w:type="dxa"/>
            <w:right w:w="108" w:type="dxa"/>
          </w:tblCellMar>
        </w:tblPrEx>
        <w:trPr>
          <w:trHeight w:val="90" w:hRule="atLeast"/>
        </w:trPr>
        <w:tc>
          <w:tcPr>
            <w:tcW w:w="81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FF0000"/>
                <w:kern w:val="0"/>
                <w:sz w:val="20"/>
                <w:szCs w:val="20"/>
              </w:rPr>
            </w:pPr>
          </w:p>
        </w:tc>
        <w:tc>
          <w:tcPr>
            <w:tcW w:w="989" w:type="dxa"/>
            <w:gridSpan w:val="3"/>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部门</w:t>
            </w:r>
          </w:p>
          <w:p>
            <w:pPr>
              <w:widowControl/>
              <w:jc w:val="center"/>
              <w:rPr>
                <w:rFonts w:ascii="宋体" w:hAnsi="宋体" w:cs="宋体"/>
                <w:color w:val="auto"/>
                <w:kern w:val="0"/>
                <w:sz w:val="20"/>
                <w:szCs w:val="20"/>
              </w:rPr>
            </w:pPr>
            <w:r>
              <w:rPr>
                <w:rFonts w:hint="eastAsia" w:ascii="宋体" w:hAnsi="宋体" w:cs="宋体"/>
                <w:color w:val="auto"/>
                <w:kern w:val="0"/>
                <w:sz w:val="20"/>
                <w:szCs w:val="20"/>
              </w:rPr>
              <w:t>预决</w:t>
            </w:r>
          </w:p>
          <w:p>
            <w:pPr>
              <w:widowControl/>
              <w:jc w:val="center"/>
              <w:rPr>
                <w:rFonts w:ascii="宋体" w:hAnsi="宋体" w:cs="宋体"/>
                <w:color w:val="auto"/>
                <w:kern w:val="0"/>
                <w:sz w:val="20"/>
                <w:szCs w:val="20"/>
              </w:rPr>
            </w:pPr>
            <w:r>
              <w:rPr>
                <w:rFonts w:hint="eastAsia" w:ascii="宋体" w:hAnsi="宋体" w:cs="宋体"/>
                <w:color w:val="auto"/>
                <w:kern w:val="0"/>
                <w:sz w:val="20"/>
                <w:szCs w:val="20"/>
              </w:rPr>
              <w:t>算差</w:t>
            </w:r>
          </w:p>
          <w:p>
            <w:pPr>
              <w:widowControl/>
              <w:jc w:val="center"/>
              <w:rPr>
                <w:rFonts w:ascii="宋体" w:hAnsi="宋体" w:cs="宋体"/>
                <w:color w:val="auto"/>
                <w:kern w:val="0"/>
                <w:sz w:val="20"/>
                <w:szCs w:val="20"/>
              </w:rPr>
            </w:pPr>
            <w:r>
              <w:rPr>
                <w:rFonts w:hint="eastAsia" w:ascii="宋体" w:hAnsi="宋体" w:cs="宋体"/>
                <w:color w:val="auto"/>
                <w:kern w:val="0"/>
                <w:sz w:val="20"/>
                <w:szCs w:val="20"/>
              </w:rPr>
              <w:t>异率</w:t>
            </w:r>
          </w:p>
          <w:p>
            <w:pPr>
              <w:widowControl/>
              <w:jc w:val="center"/>
              <w:rPr>
                <w:rFonts w:ascii="宋体" w:hAnsi="宋体" w:cs="宋体"/>
                <w:color w:val="auto"/>
                <w:kern w:val="0"/>
                <w:sz w:val="20"/>
                <w:szCs w:val="20"/>
              </w:rPr>
            </w:pPr>
            <w:r>
              <w:rPr>
                <w:rFonts w:hint="eastAsia" w:ascii="宋体" w:hAnsi="宋体" w:cs="宋体"/>
                <w:color w:val="auto"/>
                <w:kern w:val="0"/>
                <w:sz w:val="20"/>
                <w:szCs w:val="20"/>
              </w:rPr>
              <w:t>（4）</w:t>
            </w:r>
          </w:p>
        </w:tc>
        <w:tc>
          <w:tcPr>
            <w:tcW w:w="1873" w:type="dxa"/>
            <w:gridSpan w:val="3"/>
            <w:tcBorders>
              <w:top w:val="single" w:color="auto" w:sz="4" w:space="0"/>
              <w:left w:val="nil"/>
              <w:bottom w:val="single" w:color="auto" w:sz="4" w:space="0"/>
              <w:right w:val="nil"/>
            </w:tcBorders>
            <w:vAlign w:val="center"/>
          </w:tcPr>
          <w:p>
            <w:pPr>
              <w:widowControl/>
              <w:jc w:val="center"/>
              <w:rPr>
                <w:rFonts w:hint="eastAsia" w:ascii="宋体" w:hAnsi="宋体" w:eastAsia="宋体" w:cs="宋体"/>
                <w:color w:val="auto"/>
                <w:kern w:val="0"/>
                <w:sz w:val="20"/>
                <w:szCs w:val="20"/>
                <w:lang w:eastAsia="zh-CN"/>
              </w:rPr>
            </w:pPr>
            <w:r>
              <w:rPr>
                <w:rFonts w:hint="eastAsia" w:ascii="宋体" w:hAnsi="宋体" w:cs="宋体"/>
                <w:color w:val="auto"/>
                <w:kern w:val="0"/>
                <w:sz w:val="20"/>
                <w:szCs w:val="20"/>
                <w:lang w:val="en-US" w:eastAsia="zh-CN"/>
              </w:rPr>
              <w:t>——</w:t>
            </w:r>
          </w:p>
        </w:tc>
        <w:tc>
          <w:tcPr>
            <w:tcW w:w="1887" w:type="dxa"/>
            <w:gridSpan w:val="5"/>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lang w:val="en-US" w:eastAsia="zh-CN"/>
              </w:rPr>
              <w:t>329.07</w:t>
            </w:r>
            <w:r>
              <w:rPr>
                <w:rFonts w:hint="eastAsia" w:ascii="宋体" w:hAnsi="宋体" w:cs="宋体"/>
                <w:color w:val="auto"/>
                <w:kern w:val="0"/>
                <w:sz w:val="20"/>
                <w:szCs w:val="20"/>
              </w:rPr>
              <w:t>%</w:t>
            </w:r>
          </w:p>
        </w:tc>
        <w:tc>
          <w:tcPr>
            <w:tcW w:w="1188"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4</w:t>
            </w:r>
          </w:p>
        </w:tc>
        <w:tc>
          <w:tcPr>
            <w:tcW w:w="1071" w:type="dxa"/>
            <w:gridSpan w:val="3"/>
            <w:tcBorders>
              <w:top w:val="nil"/>
              <w:left w:val="nil"/>
              <w:bottom w:val="single" w:color="auto" w:sz="4" w:space="0"/>
              <w:right w:val="nil"/>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lang w:val="en-US" w:eastAsia="zh-CN"/>
              </w:rPr>
              <w:t>0</w:t>
            </w:r>
          </w:p>
        </w:tc>
        <w:tc>
          <w:tcPr>
            <w:tcW w:w="2466" w:type="dxa"/>
            <w:gridSpan w:val="4"/>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通过年度部门决算与年初部门预算对比，对部门的年度支出情况进行考核，衡量部门预算的约束力。</w:t>
            </w:r>
          </w:p>
        </w:tc>
        <w:tc>
          <w:tcPr>
            <w:tcW w:w="3956"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部门预决算差异率高于市级平均差异率（28.3%）的，每高出10%（含），扣0.4分，扣完为止。</w:t>
            </w:r>
          </w:p>
        </w:tc>
      </w:tr>
      <w:tr>
        <w:trPr>
          <w:trHeight w:val="404" w:hRule="atLeast"/>
        </w:trPr>
        <w:tc>
          <w:tcPr>
            <w:tcW w:w="5564" w:type="dxa"/>
            <w:gridSpan w:val="1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color w:val="auto"/>
                <w:kern w:val="0"/>
                <w:sz w:val="20"/>
                <w:szCs w:val="20"/>
              </w:rPr>
            </w:pPr>
            <w:r>
              <w:rPr>
                <w:rFonts w:hint="eastAsia" w:ascii="宋体" w:hAnsi="宋体" w:cs="宋体"/>
                <w:b/>
                <w:color w:val="auto"/>
                <w:kern w:val="0"/>
                <w:sz w:val="20"/>
                <w:szCs w:val="20"/>
              </w:rPr>
              <w:t>合计</w:t>
            </w:r>
          </w:p>
        </w:tc>
        <w:tc>
          <w:tcPr>
            <w:tcW w:w="1188" w:type="dxa"/>
            <w:gridSpan w:val="2"/>
            <w:tcBorders>
              <w:top w:val="nil"/>
              <w:left w:val="nil"/>
              <w:bottom w:val="single" w:color="auto" w:sz="4" w:space="0"/>
              <w:right w:val="single" w:color="auto" w:sz="4" w:space="0"/>
            </w:tcBorders>
            <w:vAlign w:val="center"/>
          </w:tcPr>
          <w:p>
            <w:pPr>
              <w:widowControl/>
              <w:jc w:val="center"/>
              <w:rPr>
                <w:rFonts w:ascii="宋体" w:hAnsi="宋体" w:cs="宋体"/>
                <w:b/>
                <w:color w:val="auto"/>
                <w:kern w:val="0"/>
                <w:sz w:val="20"/>
                <w:szCs w:val="20"/>
              </w:rPr>
            </w:pPr>
            <w:r>
              <w:rPr>
                <w:rFonts w:hint="eastAsia" w:ascii="宋体" w:hAnsi="宋体" w:cs="宋体"/>
                <w:b/>
                <w:color w:val="auto"/>
                <w:kern w:val="0"/>
                <w:sz w:val="20"/>
                <w:szCs w:val="20"/>
              </w:rPr>
              <w:t>100.00</w:t>
            </w:r>
          </w:p>
        </w:tc>
        <w:tc>
          <w:tcPr>
            <w:tcW w:w="1071" w:type="dxa"/>
            <w:gridSpan w:val="3"/>
            <w:tcBorders>
              <w:top w:val="nil"/>
              <w:left w:val="nil"/>
              <w:bottom w:val="single" w:color="auto" w:sz="4" w:space="0"/>
              <w:right w:val="nil"/>
            </w:tcBorders>
            <w:vAlign w:val="center"/>
          </w:tcPr>
          <w:p>
            <w:pPr>
              <w:widowControl/>
              <w:jc w:val="center"/>
              <w:rPr>
                <w:rFonts w:ascii="宋体" w:hAnsi="宋体" w:cs="宋体"/>
                <w:b/>
                <w:color w:val="auto"/>
                <w:kern w:val="0"/>
                <w:sz w:val="20"/>
                <w:szCs w:val="20"/>
              </w:rPr>
            </w:pPr>
            <w:r>
              <w:rPr>
                <w:rFonts w:ascii="宋体" w:hAnsi="宋体" w:cs="宋体"/>
                <w:b/>
                <w:color w:val="auto"/>
                <w:kern w:val="0"/>
                <w:sz w:val="20"/>
                <w:szCs w:val="20"/>
              </w:rPr>
              <w:t>9</w:t>
            </w:r>
            <w:r>
              <w:rPr>
                <w:rFonts w:hint="eastAsia" w:ascii="宋体" w:hAnsi="宋体" w:cs="宋体"/>
                <w:b/>
                <w:color w:val="auto"/>
                <w:kern w:val="0"/>
                <w:sz w:val="20"/>
                <w:szCs w:val="20"/>
                <w:lang w:val="en-US" w:eastAsia="zh-CN"/>
              </w:rPr>
              <w:t>0</w:t>
            </w:r>
            <w:r>
              <w:rPr>
                <w:rFonts w:ascii="宋体" w:hAnsi="宋体" w:cs="宋体"/>
                <w:b/>
                <w:color w:val="auto"/>
                <w:kern w:val="0"/>
                <w:sz w:val="20"/>
                <w:szCs w:val="20"/>
              </w:rPr>
              <w:t>.</w:t>
            </w:r>
            <w:r>
              <w:rPr>
                <w:rFonts w:hint="eastAsia" w:ascii="宋体" w:hAnsi="宋体" w:cs="宋体"/>
                <w:b/>
                <w:color w:val="auto"/>
                <w:kern w:val="0"/>
                <w:sz w:val="20"/>
                <w:szCs w:val="20"/>
                <w:lang w:val="en-US" w:eastAsia="zh-CN"/>
              </w:rPr>
              <w:t>9</w:t>
            </w:r>
            <w:r>
              <w:rPr>
                <w:rFonts w:hint="eastAsia" w:ascii="宋体" w:hAnsi="宋体" w:cs="宋体"/>
                <w:b/>
                <w:color w:val="auto"/>
                <w:kern w:val="0"/>
                <w:sz w:val="20"/>
                <w:szCs w:val="20"/>
              </w:rPr>
              <w:t>8</w:t>
            </w:r>
          </w:p>
        </w:tc>
        <w:tc>
          <w:tcPr>
            <w:tcW w:w="6422" w:type="dxa"/>
            <w:gridSpan w:val="7"/>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宋体"/>
                <w:b/>
                <w:color w:val="auto"/>
                <w:kern w:val="0"/>
                <w:sz w:val="18"/>
                <w:szCs w:val="18"/>
              </w:rPr>
            </w:pPr>
            <w:r>
              <w:rPr>
                <w:rFonts w:hint="eastAsia" w:ascii="宋体" w:hAnsi="宋体" w:cs="宋体"/>
                <w:b/>
                <w:color w:val="auto"/>
                <w:kern w:val="0"/>
                <w:sz w:val="18"/>
                <w:szCs w:val="18"/>
              </w:rPr>
              <w:t>　</w:t>
            </w:r>
          </w:p>
        </w:tc>
      </w:tr>
    </w:tbl>
    <w:p>
      <w:pPr>
        <w:rPr>
          <w:color w:val="FF0000"/>
        </w:rPr>
        <w:sectPr>
          <w:pgSz w:w="16838" w:h="11906" w:orient="landscape"/>
          <w:pgMar w:top="1800" w:right="1440" w:bottom="1800" w:left="1440" w:header="851" w:footer="992" w:gutter="0"/>
          <w:pgNumType w:fmt="decimal"/>
          <w:cols w:space="425" w:num="1"/>
          <w:docGrid w:type="lines" w:linePitch="312" w:charSpace="0"/>
        </w:sectPr>
      </w:pPr>
    </w:p>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等线">
    <w:altName w:val="宋体"/>
    <w:panose1 w:val="02010600030101010101"/>
    <w:charset w:val="86"/>
    <w:family w:val="auto"/>
    <w:pitch w:val="default"/>
    <w:sig w:usb0="00000000" w:usb1="00000000" w:usb2="00000016" w:usb3="00000000" w:csb0="0004000F" w:csb1="00000000"/>
  </w:font>
  <w:font w:name="楷体">
    <w:altName w:val="方正楷体_GBK"/>
    <w:panose1 w:val="02010609060101010101"/>
    <w:charset w:val="86"/>
    <w:family w:val="modern"/>
    <w:pitch w:val="default"/>
    <w:sig w:usb0="00000000" w:usb1="00000000" w:usb2="00000016" w:usb3="00000000" w:csb0="00040001" w:csb1="00000000"/>
  </w:font>
  <w:font w:name="DejaVu Sans">
    <w:panose1 w:val="020B0603030804020204"/>
    <w:charset w:val="00"/>
    <w:family w:val="auto"/>
    <w:pitch w:val="default"/>
    <w:sig w:usb0="E7006EFF" w:usb1="D200FDFF" w:usb2="0A246029" w:usb3="0400200C" w:csb0="600001FF" w:csb1="DFFF0000"/>
  </w:font>
  <w:font w:name="DFST-M8">
    <w:panose1 w:val="02010609000101010101"/>
    <w:charset w:val="00"/>
    <w:family w:val="auto"/>
    <w:pitch w:val="default"/>
    <w:sig w:usb0="00000000" w:usb1="00000000" w:usb2="00000000" w:usb3="00000000" w:csb0="00000000" w:csb1="00000000"/>
  </w:font>
  <w:font w:name="方正楷体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rPr>
        <w:rFonts w:asciiTheme="minorEastAsia" w:hAnsiTheme="minorEastAsia" w:eastAsiaTheme="minorEastAsia"/>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2101291595"/>
                          </w:sdtPr>
                          <w:sdtEndPr>
                            <w:rPr>
                              <w:rFonts w:asciiTheme="minorEastAsia" w:hAnsiTheme="minorEastAsia" w:eastAsiaTheme="minorEastAsia"/>
                              <w:sz w:val="24"/>
                              <w:szCs w:val="24"/>
                            </w:rPr>
                          </w:sdtEndPr>
                          <w:sdtContent>
                            <w:p>
                              <w:pPr>
                                <w:pStyle w:val="10"/>
                                <w:jc w:val="center"/>
                                <w:rPr>
                                  <w:rFonts w:asciiTheme="minorEastAsia" w:hAnsiTheme="minorEastAsia" w:eastAsiaTheme="minorEastAsia"/>
                                  <w:sz w:val="24"/>
                                  <w:szCs w:val="24"/>
                                </w:rPr>
                              </w:pPr>
                              <w:r>
                                <w:rPr>
                                  <w:rFonts w:asciiTheme="minorEastAsia" w:hAnsiTheme="minorEastAsia" w:eastAsiaTheme="minorEastAsia"/>
                                  <w:sz w:val="24"/>
                                  <w:szCs w:val="24"/>
                                </w:rPr>
                                <w:fldChar w:fldCharType="begin"/>
                              </w:r>
                              <w:r>
                                <w:rPr>
                                  <w:rFonts w:asciiTheme="minorEastAsia" w:hAnsiTheme="minorEastAsia" w:eastAsiaTheme="minorEastAsia"/>
                                  <w:sz w:val="24"/>
                                  <w:szCs w:val="24"/>
                                </w:rPr>
                                <w:instrText xml:space="preserve">PAGE   \* MERGEFORMAT</w:instrText>
                              </w:r>
                              <w:r>
                                <w:rPr>
                                  <w:rFonts w:asciiTheme="minorEastAsia" w:hAnsiTheme="minorEastAsia" w:eastAsiaTheme="minorEastAsia"/>
                                  <w:sz w:val="24"/>
                                  <w:szCs w:val="24"/>
                                </w:rPr>
                                <w:fldChar w:fldCharType="separate"/>
                              </w:r>
                              <w:r>
                                <w:rPr>
                                  <w:rFonts w:asciiTheme="minorEastAsia" w:hAnsiTheme="minorEastAsia" w:eastAsiaTheme="minorEastAsia"/>
                                  <w:sz w:val="24"/>
                                  <w:szCs w:val="24"/>
                                  <w:lang w:val="zh-CN"/>
                                </w:rPr>
                                <w:t>-</w:t>
                              </w:r>
                              <w:r>
                                <w:rPr>
                                  <w:rFonts w:asciiTheme="minorEastAsia" w:hAnsiTheme="minorEastAsia" w:eastAsiaTheme="minorEastAsia"/>
                                  <w:sz w:val="24"/>
                                  <w:szCs w:val="24"/>
                                </w:rPr>
                                <w:t xml:space="preserve"> 18 -</w:t>
                              </w:r>
                              <w:r>
                                <w:rPr>
                                  <w:rFonts w:asciiTheme="minorEastAsia" w:hAnsiTheme="minorEastAsia" w:eastAsiaTheme="minorEastAsia"/>
                                  <w:sz w:val="24"/>
                                  <w:szCs w:val="24"/>
                                </w:rPr>
                                <w:fldChar w:fldCharType="end"/>
                              </w:r>
                            </w:p>
                          </w:sdtContent>
                        </w:sdt>
                        <w:p>
                          <w:pPr>
                            <w:pStyle w:val="7"/>
                          </w:pP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v:fill on="f" focussize="0,0"/>
              <v:stroke on="f" weight="0.5pt"/>
              <v:imagedata o:title=""/>
              <o:lock v:ext="edit" aspectratio="f"/>
              <v:textbox inset="0mm,0mm,0mm,0mm" style="mso-fit-shape-to-text:t;">
                <w:txbxContent>
                  <w:sdt>
                    <w:sdtPr>
                      <w:id w:val="2101291595"/>
                    </w:sdtPr>
                    <w:sdtEndPr>
                      <w:rPr>
                        <w:rFonts w:asciiTheme="minorEastAsia" w:hAnsiTheme="minorEastAsia" w:eastAsiaTheme="minorEastAsia"/>
                        <w:sz w:val="24"/>
                        <w:szCs w:val="24"/>
                      </w:rPr>
                    </w:sdtEndPr>
                    <w:sdtContent>
                      <w:p>
                        <w:pPr>
                          <w:pStyle w:val="10"/>
                          <w:jc w:val="center"/>
                          <w:rPr>
                            <w:rFonts w:asciiTheme="minorEastAsia" w:hAnsiTheme="minorEastAsia" w:eastAsiaTheme="minorEastAsia"/>
                            <w:sz w:val="24"/>
                            <w:szCs w:val="24"/>
                          </w:rPr>
                        </w:pPr>
                        <w:r>
                          <w:rPr>
                            <w:rFonts w:asciiTheme="minorEastAsia" w:hAnsiTheme="minorEastAsia" w:eastAsiaTheme="minorEastAsia"/>
                            <w:sz w:val="24"/>
                            <w:szCs w:val="24"/>
                          </w:rPr>
                          <w:fldChar w:fldCharType="begin"/>
                        </w:r>
                        <w:r>
                          <w:rPr>
                            <w:rFonts w:asciiTheme="minorEastAsia" w:hAnsiTheme="minorEastAsia" w:eastAsiaTheme="minorEastAsia"/>
                            <w:sz w:val="24"/>
                            <w:szCs w:val="24"/>
                          </w:rPr>
                          <w:instrText xml:space="preserve">PAGE   \* MERGEFORMAT</w:instrText>
                        </w:r>
                        <w:r>
                          <w:rPr>
                            <w:rFonts w:asciiTheme="minorEastAsia" w:hAnsiTheme="minorEastAsia" w:eastAsiaTheme="minorEastAsia"/>
                            <w:sz w:val="24"/>
                            <w:szCs w:val="24"/>
                          </w:rPr>
                          <w:fldChar w:fldCharType="separate"/>
                        </w:r>
                        <w:r>
                          <w:rPr>
                            <w:rFonts w:asciiTheme="minorEastAsia" w:hAnsiTheme="minorEastAsia" w:eastAsiaTheme="minorEastAsia"/>
                            <w:sz w:val="24"/>
                            <w:szCs w:val="24"/>
                            <w:lang w:val="zh-CN"/>
                          </w:rPr>
                          <w:t>-</w:t>
                        </w:r>
                        <w:r>
                          <w:rPr>
                            <w:rFonts w:asciiTheme="minorEastAsia" w:hAnsiTheme="minorEastAsia" w:eastAsiaTheme="minorEastAsia"/>
                            <w:sz w:val="24"/>
                            <w:szCs w:val="24"/>
                          </w:rPr>
                          <w:t xml:space="preserve"> 18 -</w:t>
                        </w:r>
                        <w:r>
                          <w:rPr>
                            <w:rFonts w:asciiTheme="minorEastAsia" w:hAnsiTheme="minorEastAsia" w:eastAsiaTheme="minorEastAsia"/>
                            <w:sz w:val="24"/>
                            <w:szCs w:val="24"/>
                          </w:rPr>
                          <w:fldChar w:fldCharType="end"/>
                        </w:r>
                      </w:p>
                    </w:sdtContent>
                  </w:sdt>
                  <w:p>
                    <w:pPr>
                      <w:pStyle w:val="7"/>
                    </w:pPr>
                  </w:p>
                </w:txbxContent>
              </v:textbox>
            </v:shape>
          </w:pict>
        </mc:Fallback>
      </mc:AlternateContent>
    </w:r>
  </w:p>
  <w:p>
    <w:pPr>
      <w:pStyle w:val="1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true"/>
  <w:embedSystemFonts/>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ZhYjVjYjM2MmNmNTI5Y2E5ZTlkMmEzZDY5NDUxZGQifQ=="/>
  </w:docVars>
  <w:rsids>
    <w:rsidRoot w:val="00E67491"/>
    <w:rsid w:val="00042E66"/>
    <w:rsid w:val="00071E9F"/>
    <w:rsid w:val="000E784F"/>
    <w:rsid w:val="0014556A"/>
    <w:rsid w:val="001A4F60"/>
    <w:rsid w:val="001B4161"/>
    <w:rsid w:val="002E4454"/>
    <w:rsid w:val="0032355A"/>
    <w:rsid w:val="003628A8"/>
    <w:rsid w:val="0036298E"/>
    <w:rsid w:val="003A629A"/>
    <w:rsid w:val="00413008"/>
    <w:rsid w:val="004A100C"/>
    <w:rsid w:val="004B7E9A"/>
    <w:rsid w:val="004D373D"/>
    <w:rsid w:val="004D6360"/>
    <w:rsid w:val="00523159"/>
    <w:rsid w:val="00581191"/>
    <w:rsid w:val="005B6702"/>
    <w:rsid w:val="005D3F8F"/>
    <w:rsid w:val="00634CB1"/>
    <w:rsid w:val="006A118A"/>
    <w:rsid w:val="006D481A"/>
    <w:rsid w:val="007513B9"/>
    <w:rsid w:val="007A3B9F"/>
    <w:rsid w:val="00803078"/>
    <w:rsid w:val="00952D67"/>
    <w:rsid w:val="00980455"/>
    <w:rsid w:val="00A10BA9"/>
    <w:rsid w:val="00A41BC3"/>
    <w:rsid w:val="00BF7DD1"/>
    <w:rsid w:val="00C30776"/>
    <w:rsid w:val="00C33D78"/>
    <w:rsid w:val="00C71B49"/>
    <w:rsid w:val="00CE7385"/>
    <w:rsid w:val="00CF4099"/>
    <w:rsid w:val="00E67491"/>
    <w:rsid w:val="00E97009"/>
    <w:rsid w:val="00F90887"/>
    <w:rsid w:val="00F91DEB"/>
    <w:rsid w:val="00FA4691"/>
    <w:rsid w:val="00FB1B76"/>
    <w:rsid w:val="06F9C141"/>
    <w:rsid w:val="07792E18"/>
    <w:rsid w:val="094F396B"/>
    <w:rsid w:val="099E3CC2"/>
    <w:rsid w:val="09D6791B"/>
    <w:rsid w:val="0A1A65D2"/>
    <w:rsid w:val="0A746F14"/>
    <w:rsid w:val="0B6326A7"/>
    <w:rsid w:val="0E160DBC"/>
    <w:rsid w:val="0EF550BF"/>
    <w:rsid w:val="0F8907AE"/>
    <w:rsid w:val="11624440"/>
    <w:rsid w:val="11D439F6"/>
    <w:rsid w:val="123553DF"/>
    <w:rsid w:val="12E162D1"/>
    <w:rsid w:val="147427D9"/>
    <w:rsid w:val="16C06C74"/>
    <w:rsid w:val="180751A0"/>
    <w:rsid w:val="1D595F9F"/>
    <w:rsid w:val="1E0839A8"/>
    <w:rsid w:val="1FF91C64"/>
    <w:rsid w:val="210E6441"/>
    <w:rsid w:val="21EA53DC"/>
    <w:rsid w:val="22F8048F"/>
    <w:rsid w:val="23773F5B"/>
    <w:rsid w:val="23895199"/>
    <w:rsid w:val="24723A18"/>
    <w:rsid w:val="26C925E5"/>
    <w:rsid w:val="2D4744ED"/>
    <w:rsid w:val="2DBA2E66"/>
    <w:rsid w:val="2DFBB718"/>
    <w:rsid w:val="2FFBBB65"/>
    <w:rsid w:val="3102083D"/>
    <w:rsid w:val="35D92CDD"/>
    <w:rsid w:val="36FBA52F"/>
    <w:rsid w:val="373A6BCE"/>
    <w:rsid w:val="39416688"/>
    <w:rsid w:val="397523E2"/>
    <w:rsid w:val="3A5781B9"/>
    <w:rsid w:val="3AE13C16"/>
    <w:rsid w:val="3AEE84AE"/>
    <w:rsid w:val="3C37397E"/>
    <w:rsid w:val="3D3F5F42"/>
    <w:rsid w:val="3E5220EA"/>
    <w:rsid w:val="3EB530FF"/>
    <w:rsid w:val="3FB12A39"/>
    <w:rsid w:val="3FDFA859"/>
    <w:rsid w:val="3FED2F75"/>
    <w:rsid w:val="3FF7F385"/>
    <w:rsid w:val="40522D81"/>
    <w:rsid w:val="41CF2474"/>
    <w:rsid w:val="46405B25"/>
    <w:rsid w:val="479C9F46"/>
    <w:rsid w:val="482F08C2"/>
    <w:rsid w:val="487E4AE0"/>
    <w:rsid w:val="49FBFB06"/>
    <w:rsid w:val="4AEB42B2"/>
    <w:rsid w:val="4B5C1408"/>
    <w:rsid w:val="4DF7368F"/>
    <w:rsid w:val="4FFD64C7"/>
    <w:rsid w:val="55F006FF"/>
    <w:rsid w:val="58412151"/>
    <w:rsid w:val="59700E2A"/>
    <w:rsid w:val="5A3B6F88"/>
    <w:rsid w:val="5ABF2FEE"/>
    <w:rsid w:val="5CBA0E2E"/>
    <w:rsid w:val="5CCF4F8D"/>
    <w:rsid w:val="60B965D0"/>
    <w:rsid w:val="61542FF6"/>
    <w:rsid w:val="62691AE8"/>
    <w:rsid w:val="63920501"/>
    <w:rsid w:val="63A2C85E"/>
    <w:rsid w:val="63B05C0A"/>
    <w:rsid w:val="64E12EFA"/>
    <w:rsid w:val="64E60927"/>
    <w:rsid w:val="65A674BD"/>
    <w:rsid w:val="667F6685"/>
    <w:rsid w:val="69686B3F"/>
    <w:rsid w:val="6A97F2AF"/>
    <w:rsid w:val="6DA85BDA"/>
    <w:rsid w:val="6DDAC29B"/>
    <w:rsid w:val="6F985288"/>
    <w:rsid w:val="6FCE73C6"/>
    <w:rsid w:val="6FFFC6AF"/>
    <w:rsid w:val="71C0572E"/>
    <w:rsid w:val="720E1221"/>
    <w:rsid w:val="724D5EFC"/>
    <w:rsid w:val="72F13ABB"/>
    <w:rsid w:val="73FF69AD"/>
    <w:rsid w:val="7656ADEB"/>
    <w:rsid w:val="76CE33B8"/>
    <w:rsid w:val="76CF12AA"/>
    <w:rsid w:val="7A3FD639"/>
    <w:rsid w:val="7B353109"/>
    <w:rsid w:val="7B3BB7DA"/>
    <w:rsid w:val="7B9D22C6"/>
    <w:rsid w:val="7BEEF8F2"/>
    <w:rsid w:val="7BFF6DC9"/>
    <w:rsid w:val="7C7ABCDF"/>
    <w:rsid w:val="7CF926A9"/>
    <w:rsid w:val="7CFFD677"/>
    <w:rsid w:val="7DBEAE89"/>
    <w:rsid w:val="7ED4A0EE"/>
    <w:rsid w:val="7EFDA3B3"/>
    <w:rsid w:val="7F7DA7A2"/>
    <w:rsid w:val="7FAED779"/>
    <w:rsid w:val="7FBFD452"/>
    <w:rsid w:val="7FFB5FBC"/>
    <w:rsid w:val="7FFF2017"/>
    <w:rsid w:val="7FFF5889"/>
    <w:rsid w:val="7FFFDD9F"/>
    <w:rsid w:val="A897C733"/>
    <w:rsid w:val="B17ED153"/>
    <w:rsid w:val="BBB9DB92"/>
    <w:rsid w:val="BBF33994"/>
    <w:rsid w:val="BEF94869"/>
    <w:rsid w:val="BEFA7443"/>
    <w:rsid w:val="BFA32CEC"/>
    <w:rsid w:val="CEFFFC8A"/>
    <w:rsid w:val="D5CAB4FA"/>
    <w:rsid w:val="D5CFA8A9"/>
    <w:rsid w:val="DF3C79BA"/>
    <w:rsid w:val="E59958B1"/>
    <w:rsid w:val="E68D3268"/>
    <w:rsid w:val="E8FF7D46"/>
    <w:rsid w:val="EC39560A"/>
    <w:rsid w:val="ED7F4F28"/>
    <w:rsid w:val="EE7F38B3"/>
    <w:rsid w:val="EF3A9B1E"/>
    <w:rsid w:val="EF7D60B5"/>
    <w:rsid w:val="EF9B01D3"/>
    <w:rsid w:val="EFAFA9CA"/>
    <w:rsid w:val="EFBF8D4B"/>
    <w:rsid w:val="EFFD2FF9"/>
    <w:rsid w:val="F5BB29B6"/>
    <w:rsid w:val="F6F552D5"/>
    <w:rsid w:val="F7F60778"/>
    <w:rsid w:val="FADF8B0B"/>
    <w:rsid w:val="FAF5F68D"/>
    <w:rsid w:val="FBD34DF6"/>
    <w:rsid w:val="FDDF996A"/>
    <w:rsid w:val="FDFAD698"/>
    <w:rsid w:val="FDFDEFE0"/>
    <w:rsid w:val="FE9568CD"/>
    <w:rsid w:val="FEE9C1CC"/>
    <w:rsid w:val="FEFF67B7"/>
    <w:rsid w:val="FF4F4B5E"/>
    <w:rsid w:val="FF770295"/>
    <w:rsid w:val="FF7F920F"/>
    <w:rsid w:val="FFAF29B9"/>
    <w:rsid w:val="FFF1840A"/>
    <w:rsid w:val="FFF54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iPriority="99"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iPriority="0" w:name="Date"/>
    <w:lsdException w:uiPriority="0" w:name="Body Text First Indent"/>
    <w:lsdException w:qFormat="1" w:unhideWhenUsed="0"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qFormat="1" w:unhideWhenUsed="0" w:uiPriority="0" w:semiHidden="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5">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3"/>
    <w:qFormat/>
    <w:uiPriority w:val="0"/>
    <w:pPr>
      <w:spacing w:before="240" w:after="60"/>
      <w:jc w:val="center"/>
      <w:outlineLvl w:val="0"/>
    </w:pPr>
    <w:rPr>
      <w:rFonts w:ascii="Cambria" w:hAnsi="Cambria"/>
      <w:b/>
      <w:bCs/>
      <w:sz w:val="32"/>
      <w:szCs w:val="32"/>
    </w:rPr>
  </w:style>
  <w:style w:type="paragraph" w:styleId="3">
    <w:name w:val="Body Text Indent"/>
    <w:basedOn w:val="1"/>
    <w:next w:val="1"/>
    <w:semiHidden/>
    <w:unhideWhenUsed/>
    <w:qFormat/>
    <w:uiPriority w:val="99"/>
    <w:pPr>
      <w:spacing w:after="120"/>
      <w:ind w:left="420" w:leftChars="200"/>
    </w:pPr>
  </w:style>
  <w:style w:type="paragraph" w:styleId="6">
    <w:name w:val="annotation text"/>
    <w:basedOn w:val="1"/>
    <w:link w:val="23"/>
    <w:qFormat/>
    <w:uiPriority w:val="0"/>
    <w:pPr>
      <w:jc w:val="left"/>
    </w:pPr>
  </w:style>
  <w:style w:type="paragraph" w:styleId="7">
    <w:name w:val="Block Text"/>
    <w:basedOn w:val="1"/>
    <w:qFormat/>
    <w:uiPriority w:val="0"/>
    <w:pPr>
      <w:ind w:firstLine="200" w:firstLineChars="200"/>
    </w:pPr>
    <w:rPr>
      <w:rFonts w:ascii="Calibri" w:hAnsi="Calibri" w:eastAsia="仿宋_GB2312"/>
      <w:sz w:val="32"/>
      <w:szCs w:val="22"/>
    </w:rPr>
  </w:style>
  <w:style w:type="paragraph" w:styleId="8">
    <w:name w:val="Date"/>
    <w:basedOn w:val="1"/>
    <w:next w:val="1"/>
    <w:link w:val="30"/>
    <w:semiHidden/>
    <w:unhideWhenUsed/>
    <w:qFormat/>
    <w:uiPriority w:val="0"/>
    <w:pPr>
      <w:ind w:left="100" w:leftChars="2500"/>
    </w:pPr>
  </w:style>
  <w:style w:type="paragraph" w:styleId="9">
    <w:name w:val="Balloon Text"/>
    <w:basedOn w:val="1"/>
    <w:link w:val="25"/>
    <w:qFormat/>
    <w:uiPriority w:val="0"/>
    <w:rPr>
      <w:sz w:val="18"/>
      <w:szCs w:val="18"/>
    </w:rPr>
  </w:style>
  <w:style w:type="paragraph" w:styleId="10">
    <w:name w:val="footer"/>
    <w:basedOn w:val="1"/>
    <w:link w:val="27"/>
    <w:qFormat/>
    <w:uiPriority w:val="99"/>
    <w:pPr>
      <w:tabs>
        <w:tab w:val="center" w:pos="4153"/>
        <w:tab w:val="right" w:pos="8306"/>
      </w:tabs>
      <w:snapToGrid w:val="0"/>
      <w:jc w:val="left"/>
    </w:pPr>
    <w:rPr>
      <w:sz w:val="18"/>
      <w:szCs w:val="20"/>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toc 1"/>
    <w:basedOn w:val="1"/>
    <w:next w:val="1"/>
    <w:qFormat/>
    <w:uiPriority w:val="0"/>
  </w:style>
  <w:style w:type="paragraph" w:styleId="13">
    <w:name w:val="toc 2"/>
    <w:basedOn w:val="1"/>
    <w:next w:val="1"/>
    <w:qFormat/>
    <w:uiPriority w:val="0"/>
    <w:pPr>
      <w:ind w:left="420" w:leftChars="200"/>
    </w:pPr>
  </w:style>
  <w:style w:type="paragraph" w:styleId="14">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5">
    <w:name w:val="annotation subject"/>
    <w:basedOn w:val="6"/>
    <w:next w:val="6"/>
    <w:link w:val="24"/>
    <w:qFormat/>
    <w:uiPriority w:val="0"/>
    <w:rPr>
      <w:b/>
      <w:bCs/>
    </w:rPr>
  </w:style>
  <w:style w:type="paragraph" w:styleId="16">
    <w:name w:val="Body Text First Indent 2"/>
    <w:basedOn w:val="3"/>
    <w:qFormat/>
    <w:uiPriority w:val="0"/>
    <w:pPr>
      <w:ind w:firstLine="200" w:firstLineChars="200"/>
    </w:pPr>
  </w:style>
  <w:style w:type="character" w:styleId="19">
    <w:name w:val="page number"/>
    <w:basedOn w:val="18"/>
    <w:qFormat/>
    <w:uiPriority w:val="0"/>
  </w:style>
  <w:style w:type="character" w:styleId="20">
    <w:name w:val="Hyperlink"/>
    <w:unhideWhenUsed/>
    <w:qFormat/>
    <w:uiPriority w:val="99"/>
    <w:rPr>
      <w:color w:val="0000FF"/>
      <w:u w:val="single"/>
    </w:rPr>
  </w:style>
  <w:style w:type="character" w:styleId="21">
    <w:name w:val="annotation reference"/>
    <w:basedOn w:val="18"/>
    <w:qFormat/>
    <w:uiPriority w:val="0"/>
    <w:rPr>
      <w:sz w:val="21"/>
      <w:szCs w:val="21"/>
    </w:rPr>
  </w:style>
  <w:style w:type="paragraph" w:customStyle="1" w:styleId="22">
    <w:name w:val="列出段落1"/>
    <w:basedOn w:val="1"/>
    <w:qFormat/>
    <w:uiPriority w:val="34"/>
    <w:pPr>
      <w:ind w:firstLine="420" w:firstLineChars="200"/>
    </w:pPr>
    <w:rPr>
      <w:rFonts w:ascii="Calibri" w:hAnsi="Calibri" w:cs="黑体"/>
      <w:szCs w:val="22"/>
    </w:rPr>
  </w:style>
  <w:style w:type="character" w:customStyle="1" w:styleId="23">
    <w:name w:val="批注文字 字符"/>
    <w:basedOn w:val="18"/>
    <w:link w:val="6"/>
    <w:qFormat/>
    <w:uiPriority w:val="0"/>
    <w:rPr>
      <w:rFonts w:ascii="Times New Roman" w:hAnsi="Times New Roman" w:eastAsia="宋体" w:cs="Times New Roman"/>
      <w:kern w:val="2"/>
      <w:sz w:val="21"/>
      <w:szCs w:val="24"/>
    </w:rPr>
  </w:style>
  <w:style w:type="character" w:customStyle="1" w:styleId="24">
    <w:name w:val="批注主题 字符"/>
    <w:basedOn w:val="23"/>
    <w:link w:val="15"/>
    <w:qFormat/>
    <w:uiPriority w:val="0"/>
    <w:rPr>
      <w:rFonts w:ascii="Times New Roman" w:hAnsi="Times New Roman" w:eastAsia="宋体" w:cs="Times New Roman"/>
      <w:b/>
      <w:bCs/>
      <w:kern w:val="2"/>
      <w:sz w:val="21"/>
      <w:szCs w:val="24"/>
    </w:rPr>
  </w:style>
  <w:style w:type="character" w:customStyle="1" w:styleId="25">
    <w:name w:val="批注框文本 字符"/>
    <w:basedOn w:val="18"/>
    <w:link w:val="9"/>
    <w:qFormat/>
    <w:uiPriority w:val="0"/>
    <w:rPr>
      <w:rFonts w:ascii="Times New Roman" w:hAnsi="Times New Roman" w:eastAsia="宋体" w:cs="Times New Roman"/>
      <w:kern w:val="2"/>
      <w:sz w:val="18"/>
      <w:szCs w:val="18"/>
    </w:rPr>
  </w:style>
  <w:style w:type="paragraph" w:customStyle="1" w:styleId="26">
    <w:name w:val="列出段落2"/>
    <w:basedOn w:val="1"/>
    <w:unhideWhenUsed/>
    <w:qFormat/>
    <w:uiPriority w:val="99"/>
    <w:pPr>
      <w:ind w:firstLine="420" w:firstLineChars="200"/>
    </w:pPr>
  </w:style>
  <w:style w:type="character" w:customStyle="1" w:styleId="27">
    <w:name w:val="页脚 字符"/>
    <w:basedOn w:val="18"/>
    <w:link w:val="10"/>
    <w:qFormat/>
    <w:uiPriority w:val="99"/>
    <w:rPr>
      <w:rFonts w:ascii="Times New Roman" w:hAnsi="Times New Roman" w:eastAsia="宋体" w:cs="Times New Roman"/>
      <w:kern w:val="2"/>
      <w:sz w:val="18"/>
    </w:rPr>
  </w:style>
  <w:style w:type="paragraph" w:customStyle="1" w:styleId="28">
    <w:name w:val="修订1"/>
    <w:hidden/>
    <w:unhideWhenUsed/>
    <w:qFormat/>
    <w:uiPriority w:val="99"/>
    <w:rPr>
      <w:rFonts w:ascii="Times New Roman" w:hAnsi="Times New Roman" w:eastAsia="宋体" w:cs="Times New Roman"/>
      <w:kern w:val="2"/>
      <w:sz w:val="21"/>
      <w:szCs w:val="24"/>
      <w:lang w:val="en-US" w:eastAsia="zh-CN" w:bidi="ar-SA"/>
    </w:rPr>
  </w:style>
  <w:style w:type="paragraph" w:customStyle="1" w:styleId="29">
    <w:name w:val="修订2"/>
    <w:hidden/>
    <w:semiHidden/>
    <w:qFormat/>
    <w:uiPriority w:val="99"/>
    <w:rPr>
      <w:rFonts w:ascii="Times New Roman" w:hAnsi="Times New Roman" w:eastAsia="宋体" w:cs="Times New Roman"/>
      <w:kern w:val="2"/>
      <w:sz w:val="21"/>
      <w:szCs w:val="24"/>
      <w:lang w:val="en-US" w:eastAsia="zh-CN" w:bidi="ar-SA"/>
    </w:rPr>
  </w:style>
  <w:style w:type="character" w:customStyle="1" w:styleId="30">
    <w:name w:val="日期 字符"/>
    <w:basedOn w:val="18"/>
    <w:link w:val="8"/>
    <w:semiHidden/>
    <w:qFormat/>
    <w:uiPriority w:val="0"/>
    <w:rPr>
      <w:kern w:val="2"/>
      <w:sz w:val="21"/>
      <w:szCs w:val="24"/>
    </w:rPr>
  </w:style>
  <w:style w:type="character" w:customStyle="1" w:styleId="31">
    <w:name w:val="font11"/>
    <w:basedOn w:val="18"/>
    <w:qFormat/>
    <w:uiPriority w:val="0"/>
    <w:rPr>
      <w:rFonts w:hint="eastAsia" w:ascii="宋体" w:hAnsi="宋体" w:eastAsia="宋体" w:cs="宋体"/>
      <w:color w:val="000000"/>
      <w:sz w:val="18"/>
      <w:szCs w:val="18"/>
      <w:u w:val="none"/>
    </w:rPr>
  </w:style>
  <w:style w:type="character" w:customStyle="1" w:styleId="32">
    <w:name w:val="font21"/>
    <w:basedOn w:val="18"/>
    <w:qFormat/>
    <w:uiPriority w:val="0"/>
    <w:rPr>
      <w:rFonts w:hint="eastAsia" w:ascii="宋体" w:hAnsi="宋体" w:eastAsia="宋体" w:cs="宋体"/>
      <w:b/>
      <w:bCs/>
      <w:color w:val="000000"/>
      <w:sz w:val="20"/>
      <w:szCs w:val="20"/>
      <w:u w:val="none"/>
    </w:rPr>
  </w:style>
  <w:style w:type="character" w:customStyle="1" w:styleId="33">
    <w:name w:val="font31"/>
    <w:basedOn w:val="18"/>
    <w:qFormat/>
    <w:uiPriority w:val="0"/>
    <w:rPr>
      <w:rFonts w:hint="eastAsia" w:ascii="宋体" w:hAnsi="宋体" w:eastAsia="宋体" w:cs="宋体"/>
      <w:color w:val="000000"/>
      <w:sz w:val="20"/>
      <w:szCs w:val="20"/>
      <w:u w:val="none"/>
    </w:rPr>
  </w:style>
  <w:style w:type="paragraph" w:customStyle="1" w:styleId="34">
    <w:name w:val="WPSOffice手动目录 1"/>
    <w:qFormat/>
    <w:uiPriority w:val="0"/>
    <w:pPr>
      <w:ind w:leftChars="0"/>
    </w:pPr>
    <w:rPr>
      <w:rFonts w:ascii="Times New Roman" w:hAnsi="Times New Roman" w:eastAsia="宋体" w:cs="Times New Roman"/>
      <w:sz w:val="20"/>
      <w:szCs w:val="20"/>
    </w:rPr>
  </w:style>
  <w:style w:type="paragraph" w:customStyle="1" w:styleId="35">
    <w:name w:val="WPSOffice手动目录 2"/>
    <w:qFormat/>
    <w:uiPriority w:val="0"/>
    <w:pPr>
      <w:ind w:leftChars="200"/>
    </w:pPr>
    <w:rPr>
      <w:rFonts w:ascii="Times New Roman" w:hAnsi="Times New Roman" w:eastAsia="宋体" w:cs="Times New Roman"/>
      <w:sz w:val="20"/>
      <w:szCs w:val="20"/>
    </w:rPr>
  </w:style>
  <w:style w:type="character" w:customStyle="1" w:styleId="36">
    <w:name w:val="font61"/>
    <w:basedOn w:val="18"/>
    <w:qFormat/>
    <w:uiPriority w:val="0"/>
    <w:rPr>
      <w:rFonts w:hint="eastAsia" w:ascii="宋体" w:hAnsi="宋体" w:eastAsia="宋体" w:cs="宋体"/>
      <w:color w:val="000000"/>
      <w:sz w:val="20"/>
      <w:szCs w:val="20"/>
      <w:u w:val="none"/>
    </w:rPr>
  </w:style>
  <w:style w:type="character" w:customStyle="1" w:styleId="37">
    <w:name w:val="font51"/>
    <w:basedOn w:val="18"/>
    <w:qFormat/>
    <w:uiPriority w:val="0"/>
    <w:rPr>
      <w:rFonts w:hint="eastAsia" w:ascii="宋体" w:hAnsi="宋体" w:eastAsia="宋体" w:cs="宋体"/>
      <w:b/>
      <w:bCs/>
      <w:color w:val="000000"/>
      <w:sz w:val="20"/>
      <w:szCs w:val="20"/>
      <w:u w:val="none"/>
    </w:rPr>
  </w:style>
  <w:style w:type="character" w:customStyle="1" w:styleId="38">
    <w:name w:val="font41"/>
    <w:basedOn w:val="18"/>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13361</Words>
  <Characters>14428</Characters>
  <Lines>85</Lines>
  <Paragraphs>24</Paragraphs>
  <TotalTime>10</TotalTime>
  <ScaleCrop>false</ScaleCrop>
  <LinksUpToDate>false</LinksUpToDate>
  <CharactersWithSpaces>14534</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2022-03-15T11:16:00Z</dcterms:created>
  <dc:creator>user</dc:creator>
  <cp:lastModifiedBy> </cp:lastModifiedBy>
  <cp:lastPrinted>2023-05-24T14:37:00Z</cp:lastPrinted>
  <dcterms:modified xsi:type="dcterms:W3CDTF">2023-08-15T16:23:45Z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ICV">
    <vt:lpwstr>F8E59ED94F4942838D3BBEB2502C4B5C_13</vt:lpwstr>
  </property>
</Properties>
</file>