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w:t>
      </w:r>
      <w:r>
        <w:rPr>
          <w:rFonts w:ascii="仿宋_GB2312" w:hAnsi="宋体" w:eastAsia="仿宋_GB2312"/>
          <w:sz w:val="28"/>
          <w:szCs w:val="28"/>
        </w:rPr>
        <w:t>2022</w:t>
      </w:r>
      <w:r>
        <w:rPr>
          <w:rFonts w:hint="eastAsia" w:ascii="仿宋_GB2312" w:hAnsi="宋体" w:eastAsia="仿宋_GB2312"/>
          <w:sz w:val="28"/>
          <w:szCs w:val="28"/>
        </w:rPr>
        <w:t>年度）</w:t>
      </w:r>
    </w:p>
    <w:p>
      <w:pPr>
        <w:spacing w:line="240" w:lineRule="exact"/>
        <w:rPr>
          <w:rFonts w:ascii="仿宋_GB2312" w:hAnsi="宋体" w:eastAsia="仿宋_GB2312"/>
          <w:sz w:val="30"/>
          <w:szCs w:val="30"/>
        </w:rPr>
      </w:pPr>
    </w:p>
    <w:tbl>
      <w:tblPr>
        <w:tblStyle w:val="7"/>
        <w:tblW w:w="5209" w:type="pct"/>
        <w:jc w:val="center"/>
        <w:tblLayout w:type="fixed"/>
        <w:tblCellMar>
          <w:top w:w="0" w:type="dxa"/>
          <w:left w:w="108" w:type="dxa"/>
          <w:bottom w:w="0" w:type="dxa"/>
          <w:right w:w="108" w:type="dxa"/>
        </w:tblCellMar>
      </w:tblPr>
      <w:tblGrid>
        <w:gridCol w:w="489"/>
        <w:gridCol w:w="822"/>
        <w:gridCol w:w="605"/>
        <w:gridCol w:w="1141"/>
        <w:gridCol w:w="900"/>
        <w:gridCol w:w="327"/>
        <w:gridCol w:w="624"/>
        <w:gridCol w:w="1355"/>
        <w:gridCol w:w="872"/>
        <w:gridCol w:w="872"/>
        <w:gridCol w:w="872"/>
      </w:tblGrid>
      <w:tr>
        <w:tblPrEx>
          <w:tblCellMar>
            <w:top w:w="0" w:type="dxa"/>
            <w:left w:w="108" w:type="dxa"/>
            <w:bottom w:w="0" w:type="dxa"/>
            <w:right w:w="108" w:type="dxa"/>
          </w:tblCellMar>
        </w:tblPrEx>
        <w:trPr>
          <w:trHeight w:val="439" w:hRule="atLeast"/>
          <w:jc w:val="center"/>
        </w:trPr>
        <w:tc>
          <w:tcPr>
            <w:tcW w:w="738"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4262" w:type="pct"/>
            <w:gridSpan w:val="9"/>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知识产权推动中关村创新企业高质量发展专项</w:t>
            </w:r>
          </w:p>
        </w:tc>
      </w:tr>
      <w:tr>
        <w:tblPrEx>
          <w:tblCellMar>
            <w:top w:w="0" w:type="dxa"/>
            <w:left w:w="108" w:type="dxa"/>
            <w:bottom w:w="0" w:type="dxa"/>
            <w:right w:w="108" w:type="dxa"/>
          </w:tblCellMar>
        </w:tblPrEx>
        <w:trPr>
          <w:trHeight w:val="417" w:hRule="atLeast"/>
          <w:jc w:val="center"/>
        </w:trPr>
        <w:tc>
          <w:tcPr>
            <w:tcW w:w="738"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2025"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w:t>
            </w:r>
            <w:r>
              <w:rPr>
                <w:rFonts w:ascii="仿宋_GB2312" w:hAnsi="宋体" w:eastAsia="仿宋_GB2312" w:cs="宋体"/>
                <w:kern w:val="0"/>
                <w:szCs w:val="21"/>
              </w:rPr>
              <w:t>知识产权局</w:t>
            </w:r>
          </w:p>
        </w:tc>
        <w:tc>
          <w:tcPr>
            <w:tcW w:w="763"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1473"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中关村</w:t>
            </w:r>
            <w:r>
              <w:rPr>
                <w:rFonts w:ascii="仿宋_GB2312" w:hAnsi="宋体" w:eastAsia="仿宋_GB2312" w:cs="宋体"/>
                <w:kern w:val="0"/>
                <w:szCs w:val="21"/>
              </w:rPr>
              <w:t>知识产权促进</w:t>
            </w:r>
            <w:r>
              <w:rPr>
                <w:rFonts w:hint="eastAsia" w:ascii="仿宋_GB2312" w:hAnsi="宋体" w:eastAsia="仿宋_GB2312" w:cs="宋体"/>
                <w:kern w:val="0"/>
                <w:szCs w:val="21"/>
              </w:rPr>
              <w:t>中心</w:t>
            </w:r>
          </w:p>
        </w:tc>
      </w:tr>
      <w:tr>
        <w:tblPrEx>
          <w:tblCellMar>
            <w:top w:w="0" w:type="dxa"/>
            <w:left w:w="108" w:type="dxa"/>
            <w:bottom w:w="0" w:type="dxa"/>
            <w:right w:w="108" w:type="dxa"/>
          </w:tblCellMar>
        </w:tblPrEx>
        <w:trPr>
          <w:trHeight w:val="422" w:hRule="atLeast"/>
          <w:jc w:val="center"/>
        </w:trPr>
        <w:tc>
          <w:tcPr>
            <w:tcW w:w="738"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2025"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熊瑛</w:t>
            </w:r>
          </w:p>
        </w:tc>
        <w:tc>
          <w:tcPr>
            <w:tcW w:w="763"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1473"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82359</w:t>
            </w:r>
            <w:r>
              <w:rPr>
                <w:rFonts w:ascii="仿宋_GB2312" w:hAnsi="宋体" w:eastAsia="仿宋_GB2312" w:cs="宋体"/>
                <w:kern w:val="0"/>
                <w:szCs w:val="21"/>
              </w:rPr>
              <w:t>528</w:t>
            </w:r>
          </w:p>
        </w:tc>
      </w:tr>
      <w:tr>
        <w:tblPrEx>
          <w:tblCellMar>
            <w:top w:w="0" w:type="dxa"/>
            <w:left w:w="108" w:type="dxa"/>
            <w:bottom w:w="0" w:type="dxa"/>
            <w:right w:w="108" w:type="dxa"/>
          </w:tblCellMar>
        </w:tblPrEx>
        <w:trPr>
          <w:jc w:val="center"/>
        </w:trPr>
        <w:tc>
          <w:tcPr>
            <w:tcW w:w="738"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98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535"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763"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491"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49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49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479" w:hRule="atLeast"/>
          <w:jc w:val="center"/>
        </w:trPr>
        <w:tc>
          <w:tcPr>
            <w:tcW w:w="73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83"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50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185.52</w:t>
            </w:r>
          </w:p>
        </w:tc>
        <w:tc>
          <w:tcPr>
            <w:tcW w:w="535"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80.72</w:t>
            </w:r>
          </w:p>
        </w:tc>
        <w:tc>
          <w:tcPr>
            <w:tcW w:w="763"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159.84</w:t>
            </w:r>
          </w:p>
        </w:tc>
        <w:tc>
          <w:tcPr>
            <w:tcW w:w="491"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9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88</w:t>
            </w:r>
            <w:r>
              <w:rPr>
                <w:rFonts w:ascii="仿宋_GB2312" w:hAnsi="宋体" w:eastAsia="仿宋_GB2312" w:cs="宋体"/>
                <w:kern w:val="0"/>
                <w:szCs w:val="21"/>
              </w:rPr>
              <w:t>.45%</w:t>
            </w:r>
          </w:p>
        </w:tc>
        <w:tc>
          <w:tcPr>
            <w:tcW w:w="49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8.8</w:t>
            </w:r>
            <w:r>
              <w:rPr>
                <w:rFonts w:ascii="仿宋_GB2312" w:hAnsi="宋体" w:eastAsia="仿宋_GB2312" w:cs="宋体"/>
                <w:kern w:val="0"/>
                <w:szCs w:val="21"/>
              </w:rPr>
              <w:t>5</w:t>
            </w:r>
          </w:p>
        </w:tc>
      </w:tr>
      <w:tr>
        <w:tblPrEx>
          <w:tblCellMar>
            <w:top w:w="0" w:type="dxa"/>
            <w:left w:w="108" w:type="dxa"/>
            <w:bottom w:w="0" w:type="dxa"/>
            <w:right w:w="108" w:type="dxa"/>
          </w:tblCellMar>
        </w:tblPrEx>
        <w:trPr>
          <w:jc w:val="center"/>
        </w:trPr>
        <w:tc>
          <w:tcPr>
            <w:tcW w:w="73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8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50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185.52</w:t>
            </w:r>
          </w:p>
        </w:tc>
        <w:tc>
          <w:tcPr>
            <w:tcW w:w="535"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80.72</w:t>
            </w:r>
          </w:p>
        </w:tc>
        <w:tc>
          <w:tcPr>
            <w:tcW w:w="763"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159.84</w:t>
            </w:r>
          </w:p>
        </w:tc>
        <w:tc>
          <w:tcPr>
            <w:tcW w:w="491"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9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88.45%</w:t>
            </w:r>
          </w:p>
        </w:tc>
        <w:tc>
          <w:tcPr>
            <w:tcW w:w="49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jc w:val="center"/>
        </w:trPr>
        <w:tc>
          <w:tcPr>
            <w:tcW w:w="73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8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50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5"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63"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1"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9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9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jc w:val="center"/>
        </w:trPr>
        <w:tc>
          <w:tcPr>
            <w:tcW w:w="73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8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50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5"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63"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1"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9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9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atLeast"/>
          <w:jc w:val="center"/>
        </w:trPr>
        <w:tc>
          <w:tcPr>
            <w:tcW w:w="275" w:type="pct"/>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1953" w:type="pct"/>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2772" w:type="pct"/>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jc w:val="center"/>
        </w:trPr>
        <w:tc>
          <w:tcPr>
            <w:tcW w:w="275"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53" w:type="pct"/>
            <w:gridSpan w:val="4"/>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通过开展商业秘密管理体系建设、上市企业知识产权培育、知识产权国际化服务、高端知识产权沙龙学习交流等工作，着力增强中关村重点创新企业的商业秘密系统化管理能力，为企业在上市过程中提供知识产权辅导与培育服务，通过专业咨询、案例汇编等形式大力提升知识产权国际化服务水平，组织形式多样的知识产权创新沙龙活动加强企业知识产权管理人员专业化培养，从而引导和带动提升中关村示范区企业的知识产权创造、运用、保护、管理水平，为北京高质量发展提供有力支撑。</w:t>
            </w:r>
          </w:p>
        </w:tc>
        <w:tc>
          <w:tcPr>
            <w:tcW w:w="2772" w:type="pct"/>
            <w:gridSpan w:val="6"/>
            <w:tcBorders>
              <w:top w:val="single" w:color="auto" w:sz="4" w:space="0"/>
              <w:left w:val="nil"/>
              <w:bottom w:val="single" w:color="auto" w:sz="4" w:space="0"/>
              <w:right w:val="single" w:color="auto" w:sz="4" w:space="0"/>
            </w:tcBorders>
            <w:vAlign w:val="center"/>
          </w:tcPr>
          <w:p>
            <w:pPr>
              <w:spacing w:line="240" w:lineRule="exact"/>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开展商业秘密管理体系建设项目，为北汽福田、同方威视等8家企业开展一对一专项化服务，助力提升企业商业秘密管理能力。开展中关村上市企业知识产权培育项目，为1</w:t>
            </w:r>
            <w:r>
              <w:rPr>
                <w:rFonts w:ascii="仿宋_GB2312" w:hAnsi="宋体" w:eastAsia="仿宋_GB2312" w:cs="宋体"/>
                <w:kern w:val="0"/>
                <w:szCs w:val="21"/>
              </w:rPr>
              <w:t>04</w:t>
            </w:r>
            <w:r>
              <w:rPr>
                <w:rFonts w:hint="eastAsia" w:ascii="仿宋_GB2312" w:hAnsi="宋体" w:eastAsia="仿宋_GB2312" w:cs="宋体"/>
                <w:kern w:val="0"/>
                <w:szCs w:val="21"/>
              </w:rPr>
              <w:t>家企业进行创新实力测评，挖掘15家优质企业以“一对一”方式精准开展上市前的知识产权辅导与培育。开展中关村知识产权国际化咨询</w:t>
            </w:r>
            <w:r>
              <w:rPr>
                <w:rFonts w:ascii="仿宋_GB2312" w:hAnsi="宋体" w:eastAsia="仿宋_GB2312" w:cs="宋体"/>
                <w:kern w:val="0"/>
                <w:szCs w:val="21"/>
              </w:rPr>
              <w:t>服务</w:t>
            </w:r>
            <w:r>
              <w:rPr>
                <w:rFonts w:hint="eastAsia" w:ascii="仿宋_GB2312" w:hAnsi="宋体" w:eastAsia="仿宋_GB2312" w:cs="宋体"/>
                <w:kern w:val="0"/>
                <w:szCs w:val="21"/>
              </w:rPr>
              <w:t>和《企业</w:t>
            </w:r>
            <w:r>
              <w:rPr>
                <w:rFonts w:ascii="仿宋_GB2312" w:hAnsi="宋体" w:eastAsia="仿宋_GB2312" w:cs="宋体"/>
                <w:kern w:val="0"/>
                <w:szCs w:val="21"/>
              </w:rPr>
              <w:t>海外知识产权案例汇编</w:t>
            </w:r>
            <w:r>
              <w:rPr>
                <w:rFonts w:hint="eastAsia" w:ascii="仿宋_GB2312" w:hAnsi="宋体" w:eastAsia="仿宋_GB2312" w:cs="宋体"/>
                <w:kern w:val="0"/>
                <w:szCs w:val="21"/>
              </w:rPr>
              <w:t>》项目，及时发布海外知识产权资讯，开展问卷调查，对中关村涉外知识产权优势企业和潜力企业进行“一对一问诊”服务。开展5期企业海外知识产权专题研讨会，编制《企业国际化知识产权服务手册》，整理汇总创新主体海外知识产权布局案例，服务企业知识产权“走出去”。开展8期中关村知识产权创新沙龙活动，帮助中关村企业提升知识产权创造、运用、保护、管理的综合实力。</w:t>
            </w:r>
          </w:p>
        </w:tc>
      </w:tr>
      <w:tr>
        <w:tblPrEx>
          <w:tblCellMar>
            <w:top w:w="0" w:type="dxa"/>
            <w:left w:w="108" w:type="dxa"/>
            <w:bottom w:w="0" w:type="dxa"/>
            <w:right w:w="108" w:type="dxa"/>
          </w:tblCellMar>
        </w:tblPrEx>
        <w:trPr>
          <w:jc w:val="center"/>
        </w:trPr>
        <w:tc>
          <w:tcPr>
            <w:tcW w:w="275"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46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34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64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69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114"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49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49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49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CellMar>
            <w:top w:w="0" w:type="dxa"/>
            <w:left w:w="108" w:type="dxa"/>
            <w:bottom w:w="0" w:type="dxa"/>
            <w:right w:w="108" w:type="dxa"/>
          </w:tblCellMar>
        </w:tblPrEx>
        <w:trPr>
          <w:jc w:val="center"/>
        </w:trPr>
        <w:tc>
          <w:tcPr>
            <w:tcW w:w="27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3"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341"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643"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指标1：举办约8场中关村知识产权创新沙龙</w:t>
            </w:r>
          </w:p>
        </w:tc>
        <w:tc>
          <w:tcPr>
            <w:tcW w:w="69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rPr>
              <w:t>=</w:t>
            </w:r>
            <w:r>
              <w:rPr>
                <w:rFonts w:ascii="仿宋_GB2312" w:hAnsi="宋体" w:eastAsia="仿宋_GB2312" w:cs="宋体"/>
                <w:kern w:val="0"/>
                <w:szCs w:val="21"/>
              </w:rPr>
              <w:t>8</w:t>
            </w:r>
            <w:r>
              <w:rPr>
                <w:rFonts w:hint="eastAsia" w:ascii="仿宋_GB2312" w:hAnsi="宋体" w:eastAsia="仿宋_GB2312" w:cs="宋体"/>
                <w:kern w:val="0"/>
                <w:szCs w:val="21"/>
              </w:rPr>
              <w:t>场</w:t>
            </w:r>
          </w:p>
        </w:tc>
        <w:tc>
          <w:tcPr>
            <w:tcW w:w="1114"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8</w:t>
            </w:r>
            <w:r>
              <w:rPr>
                <w:rFonts w:hint="eastAsia" w:ascii="仿宋_GB2312" w:hAnsi="宋体" w:eastAsia="仿宋_GB2312" w:cs="宋体"/>
                <w:kern w:val="0"/>
                <w:szCs w:val="21"/>
              </w:rPr>
              <w:t>场</w:t>
            </w:r>
          </w:p>
        </w:tc>
        <w:tc>
          <w:tcPr>
            <w:tcW w:w="49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49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49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jc w:val="center"/>
        </w:trPr>
        <w:tc>
          <w:tcPr>
            <w:tcW w:w="27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3"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41"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43"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指标2：帮助8家企业开展商业秘密知识产权管理体系建设</w:t>
            </w:r>
          </w:p>
        </w:tc>
        <w:tc>
          <w:tcPr>
            <w:tcW w:w="69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rPr>
              <w:t>=</w:t>
            </w:r>
            <w:r>
              <w:rPr>
                <w:rFonts w:ascii="仿宋_GB2312" w:hAnsi="宋体" w:eastAsia="仿宋_GB2312" w:cs="宋体"/>
                <w:kern w:val="0"/>
                <w:szCs w:val="21"/>
              </w:rPr>
              <w:t>8</w:t>
            </w:r>
            <w:r>
              <w:rPr>
                <w:rFonts w:hint="eastAsia" w:ascii="仿宋_GB2312" w:hAnsi="宋体" w:eastAsia="仿宋_GB2312" w:cs="宋体"/>
                <w:kern w:val="0"/>
                <w:szCs w:val="21"/>
              </w:rPr>
              <w:t>家</w:t>
            </w:r>
          </w:p>
        </w:tc>
        <w:tc>
          <w:tcPr>
            <w:tcW w:w="1114"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8</w:t>
            </w:r>
            <w:r>
              <w:rPr>
                <w:rFonts w:hint="eastAsia" w:ascii="仿宋_GB2312" w:hAnsi="宋体" w:eastAsia="仿宋_GB2312" w:cs="宋体"/>
                <w:kern w:val="0"/>
                <w:szCs w:val="21"/>
              </w:rPr>
              <w:t>家</w:t>
            </w:r>
          </w:p>
        </w:tc>
        <w:tc>
          <w:tcPr>
            <w:tcW w:w="49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49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49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jc w:val="center"/>
        </w:trPr>
        <w:tc>
          <w:tcPr>
            <w:tcW w:w="27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3"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4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643"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加强中关村企业商业秘密管理体系建设；通过培训，提升企业知识产权水平。</w:t>
            </w:r>
          </w:p>
        </w:tc>
        <w:tc>
          <w:tcPr>
            <w:tcW w:w="691"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 xml:space="preserve">  定性</w:t>
            </w:r>
          </w:p>
        </w:tc>
        <w:tc>
          <w:tcPr>
            <w:tcW w:w="1114"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高。开展商业秘密专项服务，全面梳理企业商业秘密管理存在的薄弱点和风险点，帮助企业进行商业秘密全流程体检。结合每家企业实际情况，通过开展定密、完善商业秘密管理制度与措施、制定应急预案，组织专题培训等方式，帮助企业完善个性化的商业秘密管理体系，打造中关村商业秘密管理体系建设标杆企业。组织8期创新沙龙活动，提升了企业知识产权综合实力。</w:t>
            </w:r>
          </w:p>
        </w:tc>
        <w:tc>
          <w:tcPr>
            <w:tcW w:w="49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49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49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rPr>
          <w:jc w:val="center"/>
        </w:trPr>
        <w:tc>
          <w:tcPr>
            <w:tcW w:w="27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3"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4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643"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2022年12月15日前完成</w:t>
            </w:r>
          </w:p>
        </w:tc>
        <w:tc>
          <w:tcPr>
            <w:tcW w:w="69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rPr>
              <w:t>≤</w:t>
            </w:r>
            <w:r>
              <w:rPr>
                <w:rFonts w:hint="eastAsia" w:ascii="仿宋_GB2312" w:hAnsi="宋体" w:eastAsia="仿宋_GB2312" w:cs="宋体"/>
                <w:kern w:val="0"/>
                <w:szCs w:val="21"/>
              </w:rPr>
              <w:t>1</w:t>
            </w:r>
            <w:r>
              <w:rPr>
                <w:rFonts w:ascii="仿宋_GB2312" w:hAnsi="宋体" w:eastAsia="仿宋_GB2312" w:cs="宋体"/>
                <w:kern w:val="0"/>
                <w:szCs w:val="21"/>
              </w:rPr>
              <w:t>2</w:t>
            </w:r>
            <w:r>
              <w:rPr>
                <w:rFonts w:hint="eastAsia" w:ascii="仿宋_GB2312" w:hAnsi="宋体" w:eastAsia="仿宋_GB2312" w:cs="宋体"/>
                <w:kern w:val="0"/>
                <w:szCs w:val="21"/>
              </w:rPr>
              <w:t>月</w:t>
            </w:r>
          </w:p>
        </w:tc>
        <w:tc>
          <w:tcPr>
            <w:tcW w:w="1114"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w:t>
            </w:r>
            <w:r>
              <w:rPr>
                <w:rFonts w:ascii="仿宋_GB2312" w:hAnsi="宋体" w:eastAsia="仿宋_GB2312" w:cs="宋体"/>
                <w:kern w:val="0"/>
                <w:szCs w:val="21"/>
              </w:rPr>
              <w:t>2</w:t>
            </w:r>
            <w:r>
              <w:rPr>
                <w:rFonts w:hint="eastAsia" w:ascii="仿宋_GB2312" w:hAnsi="宋体" w:eastAsia="仿宋_GB2312" w:cs="宋体"/>
                <w:kern w:val="0"/>
                <w:szCs w:val="21"/>
              </w:rPr>
              <w:t>年</w:t>
            </w:r>
            <w:r>
              <w:rPr>
                <w:rFonts w:ascii="仿宋_GB2312" w:hAnsi="宋体" w:eastAsia="仿宋_GB2312" w:cs="宋体"/>
                <w:kern w:val="0"/>
                <w:szCs w:val="21"/>
              </w:rPr>
              <w:t>12</w:t>
            </w:r>
            <w:r>
              <w:rPr>
                <w:rFonts w:hint="eastAsia" w:ascii="仿宋_GB2312" w:hAnsi="宋体" w:eastAsia="仿宋_GB2312" w:cs="宋体"/>
                <w:kern w:val="0"/>
                <w:szCs w:val="21"/>
              </w:rPr>
              <w:t>月1</w:t>
            </w:r>
            <w:r>
              <w:rPr>
                <w:rFonts w:ascii="仿宋_GB2312" w:hAnsi="宋体" w:eastAsia="仿宋_GB2312" w:cs="宋体"/>
                <w:kern w:val="0"/>
                <w:szCs w:val="21"/>
              </w:rPr>
              <w:t>5前完成</w:t>
            </w:r>
            <w:r>
              <w:rPr>
                <w:rFonts w:hint="eastAsia" w:ascii="仿宋_GB2312" w:hAnsi="宋体" w:eastAsia="仿宋_GB2312" w:cs="宋体"/>
                <w:kern w:val="0"/>
                <w:szCs w:val="21"/>
              </w:rPr>
              <w:t>项目验收、决算评审</w:t>
            </w:r>
          </w:p>
        </w:tc>
        <w:tc>
          <w:tcPr>
            <w:tcW w:w="49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49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49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jc w:val="center"/>
        </w:trPr>
        <w:tc>
          <w:tcPr>
            <w:tcW w:w="27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3"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4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643"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各项工作总费用控制在185.52万元</w:t>
            </w:r>
          </w:p>
        </w:tc>
        <w:tc>
          <w:tcPr>
            <w:tcW w:w="69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rPr>
              <w:t>≤</w:t>
            </w:r>
            <w:r>
              <w:rPr>
                <w:rFonts w:ascii="仿宋_GB2312" w:hAnsi="宋体" w:eastAsia="仿宋_GB2312" w:cs="宋体"/>
                <w:kern w:val="0"/>
                <w:szCs w:val="21"/>
              </w:rPr>
              <w:t>1</w:t>
            </w:r>
            <w:r>
              <w:rPr>
                <w:rFonts w:hint="eastAsia" w:ascii="仿宋_GB2312" w:hAnsi="宋体" w:eastAsia="仿宋_GB2312" w:cs="宋体"/>
                <w:kern w:val="0"/>
                <w:szCs w:val="21"/>
              </w:rPr>
              <w:t>8</w:t>
            </w:r>
            <w:r>
              <w:rPr>
                <w:rFonts w:ascii="仿宋_GB2312" w:hAnsi="宋体" w:eastAsia="仿宋_GB2312" w:cs="宋体"/>
                <w:kern w:val="0"/>
                <w:szCs w:val="21"/>
              </w:rPr>
              <w:t>5</w:t>
            </w:r>
            <w:r>
              <w:rPr>
                <w:rFonts w:hint="eastAsia" w:ascii="仿宋_GB2312" w:hAnsi="宋体" w:eastAsia="仿宋_GB2312" w:cs="宋体"/>
                <w:kern w:val="0"/>
                <w:szCs w:val="21"/>
              </w:rPr>
              <w:t>.</w:t>
            </w:r>
            <w:r>
              <w:rPr>
                <w:rFonts w:ascii="仿宋_GB2312" w:hAnsi="宋体" w:eastAsia="仿宋_GB2312" w:cs="宋体"/>
                <w:kern w:val="0"/>
                <w:szCs w:val="21"/>
              </w:rPr>
              <w:t>5</w:t>
            </w:r>
            <w:r>
              <w:rPr>
                <w:rFonts w:hint="eastAsia" w:ascii="仿宋_GB2312" w:hAnsi="宋体" w:eastAsia="仿宋_GB2312" w:cs="宋体"/>
                <w:kern w:val="0"/>
                <w:szCs w:val="21"/>
              </w:rPr>
              <w:t>2万</w:t>
            </w:r>
          </w:p>
        </w:tc>
        <w:tc>
          <w:tcPr>
            <w:tcW w:w="1114"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实际使用159.</w:t>
            </w:r>
            <w:r>
              <w:rPr>
                <w:rFonts w:ascii="仿宋_GB2312" w:hAnsi="宋体" w:eastAsia="仿宋_GB2312" w:cs="宋体"/>
                <w:kern w:val="0"/>
                <w:szCs w:val="21"/>
              </w:rPr>
              <w:t>8</w:t>
            </w:r>
            <w:r>
              <w:rPr>
                <w:rFonts w:hint="eastAsia" w:ascii="仿宋_GB2312" w:hAnsi="宋体" w:eastAsia="仿宋_GB2312" w:cs="宋体"/>
                <w:kern w:val="0"/>
                <w:szCs w:val="21"/>
              </w:rPr>
              <w:t>4万元。</w:t>
            </w:r>
          </w:p>
        </w:tc>
        <w:tc>
          <w:tcPr>
            <w:tcW w:w="49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49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49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jc w:val="center"/>
        </w:trPr>
        <w:tc>
          <w:tcPr>
            <w:tcW w:w="27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3"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34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643"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提升企业知识产权与创新实力，推动实现创新发展与资本助力的良性循环</w:t>
            </w:r>
          </w:p>
        </w:tc>
        <w:tc>
          <w:tcPr>
            <w:tcW w:w="691"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 xml:space="preserve"> 定性</w:t>
            </w:r>
          </w:p>
        </w:tc>
        <w:tc>
          <w:tcPr>
            <w:tcW w:w="1114"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高。开展企业上市知识产权培育项目，为104家企业提供创新实力测评报告，帮助企业发现在融资尽调和上市审核中常见的知识产权、研发、国内国际竞争、商业秘密等6个维度22个单项的量化短板，并给出相应提升建议。挖掘15家优质企业以“一对一”方式精准开展上市前的知识产权辅导与培育，为企业登陆资本市场提供有力支撑。</w:t>
            </w:r>
          </w:p>
        </w:tc>
        <w:tc>
          <w:tcPr>
            <w:tcW w:w="49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49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49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jc w:val="center"/>
        </w:trPr>
        <w:tc>
          <w:tcPr>
            <w:tcW w:w="27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3"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4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643"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加强中关村企业商业秘密管理体系建设；助力企业”走出去“及国际化发展。中关村一区十六园和“三城一区”企业知识产权创造、保护、运用能力得到增强，知识产权促进技术创新和高质量发展。</w:t>
            </w:r>
          </w:p>
        </w:tc>
        <w:tc>
          <w:tcPr>
            <w:tcW w:w="691"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 xml:space="preserve">  定性</w:t>
            </w:r>
          </w:p>
        </w:tc>
        <w:tc>
          <w:tcPr>
            <w:tcW w:w="1114"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高。企业商业秘密管理能力、知识产权国际化能力和知识产权综合实力得到有效提升，知识产权促进企业高质量创新发展。</w:t>
            </w:r>
          </w:p>
        </w:tc>
        <w:tc>
          <w:tcPr>
            <w:tcW w:w="49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49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49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rPr>
          <w:jc w:val="center"/>
        </w:trPr>
        <w:tc>
          <w:tcPr>
            <w:tcW w:w="27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3"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4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643"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引导和带动提升中关村示范区企业的知识产权创造、运用、保护、管理水平，充分发挥知识产权在经济社会中的重要价值，助力北京国际科技创新中心建设和“两区”建设，为北京高质量发展提供有力支撑。</w:t>
            </w:r>
          </w:p>
        </w:tc>
        <w:tc>
          <w:tcPr>
            <w:tcW w:w="691"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定性</w:t>
            </w:r>
          </w:p>
        </w:tc>
        <w:tc>
          <w:tcPr>
            <w:tcW w:w="1114"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高。助力提升企业知识产权创造、运用、保护、管理等综合实力，为首都高质量发展提供有力支撑。</w:t>
            </w:r>
          </w:p>
        </w:tc>
        <w:tc>
          <w:tcPr>
            <w:tcW w:w="49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49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49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2341" w:hRule="atLeast"/>
          <w:jc w:val="center"/>
        </w:trPr>
        <w:tc>
          <w:tcPr>
            <w:tcW w:w="27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3"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34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643"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相关企业满意度达到95%，对知识产权工作的认可度进一步提升。</w:t>
            </w:r>
          </w:p>
        </w:tc>
        <w:tc>
          <w:tcPr>
            <w:tcW w:w="691"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受益企业满意度达到95%</w:t>
            </w:r>
          </w:p>
        </w:tc>
        <w:tc>
          <w:tcPr>
            <w:tcW w:w="1114"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企业满意度达到95%</w:t>
            </w:r>
          </w:p>
        </w:tc>
        <w:tc>
          <w:tcPr>
            <w:tcW w:w="49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9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9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85" w:hRule="atLeast"/>
          <w:jc w:val="center"/>
        </w:trPr>
        <w:tc>
          <w:tcPr>
            <w:tcW w:w="3527" w:type="pct"/>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49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49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98.8</w:t>
            </w:r>
            <w:r>
              <w:rPr>
                <w:rFonts w:ascii="仿宋_GB2312" w:hAnsi="宋体" w:eastAsia="仿宋_GB2312" w:cs="宋体"/>
                <w:color w:val="000000"/>
                <w:kern w:val="0"/>
                <w:szCs w:val="21"/>
              </w:rPr>
              <w:t>5</w:t>
            </w:r>
          </w:p>
        </w:tc>
        <w:tc>
          <w:tcPr>
            <w:tcW w:w="49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spacing w:line="520" w:lineRule="exact"/>
        <w:ind w:firstLine="640" w:firstLineChars="200"/>
        <w:rPr>
          <w:rFonts w:ascii="仿宋_GB2312" w:hAnsi="宋体" w:eastAsia="仿宋_GB2312" w:cs="宋体"/>
          <w:color w:val="000000"/>
          <w:kern w:val="0"/>
          <w:sz w:val="32"/>
          <w:szCs w:val="32"/>
        </w:rPr>
      </w:pPr>
      <w:bookmarkStart w:id="0" w:name="_GoBack"/>
      <w:bookmarkEnd w:id="0"/>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4 -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4 -</w:t>
                    </w:r>
                    <w:r>
                      <w:rPr>
                        <w:rFonts w:ascii="宋体" w:hAnsi="宋体"/>
                        <w:sz w:val="28"/>
                        <w:szCs w:val="28"/>
                      </w:rPr>
                      <w:fldChar w:fldCharType="end"/>
                    </w:r>
                  </w:p>
                </w:txbxContent>
              </v:textbox>
            </v:shape>
          </w:pict>
        </mc:Fallback>
      </mc:AlternateConten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QxZGZmZTMyMWI5M2JjYmM5MzhiZDA4MmNjZTIyZmEifQ=="/>
  </w:docVars>
  <w:rsids>
    <w:rsidRoot w:val="F77F09F4"/>
    <w:rsid w:val="00015987"/>
    <w:rsid w:val="00021A11"/>
    <w:rsid w:val="0004730B"/>
    <w:rsid w:val="00053AE4"/>
    <w:rsid w:val="00066F7E"/>
    <w:rsid w:val="0007109B"/>
    <w:rsid w:val="0009115F"/>
    <w:rsid w:val="00126A44"/>
    <w:rsid w:val="001A31CB"/>
    <w:rsid w:val="001A517C"/>
    <w:rsid w:val="001C216C"/>
    <w:rsid w:val="002B31BA"/>
    <w:rsid w:val="002D5A32"/>
    <w:rsid w:val="00370585"/>
    <w:rsid w:val="00381CC2"/>
    <w:rsid w:val="00397222"/>
    <w:rsid w:val="003A4815"/>
    <w:rsid w:val="003B71CC"/>
    <w:rsid w:val="003E0353"/>
    <w:rsid w:val="003F17E1"/>
    <w:rsid w:val="004B5851"/>
    <w:rsid w:val="004D6341"/>
    <w:rsid w:val="004F2575"/>
    <w:rsid w:val="004F4683"/>
    <w:rsid w:val="0050185A"/>
    <w:rsid w:val="00536982"/>
    <w:rsid w:val="00606AD7"/>
    <w:rsid w:val="006357FE"/>
    <w:rsid w:val="00686768"/>
    <w:rsid w:val="006B7567"/>
    <w:rsid w:val="007073E0"/>
    <w:rsid w:val="007349C4"/>
    <w:rsid w:val="00772BB9"/>
    <w:rsid w:val="00772DF3"/>
    <w:rsid w:val="00782E52"/>
    <w:rsid w:val="008104D7"/>
    <w:rsid w:val="00851AE1"/>
    <w:rsid w:val="008825AC"/>
    <w:rsid w:val="008A0ECA"/>
    <w:rsid w:val="008A6120"/>
    <w:rsid w:val="008F6E96"/>
    <w:rsid w:val="0090324D"/>
    <w:rsid w:val="009A1FEB"/>
    <w:rsid w:val="009A5DBE"/>
    <w:rsid w:val="00AA7990"/>
    <w:rsid w:val="00AE0F02"/>
    <w:rsid w:val="00AF6A09"/>
    <w:rsid w:val="00B45392"/>
    <w:rsid w:val="00B8248B"/>
    <w:rsid w:val="00BA740F"/>
    <w:rsid w:val="00BB7303"/>
    <w:rsid w:val="00BD4D3F"/>
    <w:rsid w:val="00C85700"/>
    <w:rsid w:val="00CD7C45"/>
    <w:rsid w:val="00DA0EC0"/>
    <w:rsid w:val="00DB6014"/>
    <w:rsid w:val="00E034BF"/>
    <w:rsid w:val="00E562ED"/>
    <w:rsid w:val="00EB1BAF"/>
    <w:rsid w:val="00EE3555"/>
    <w:rsid w:val="00F21C97"/>
    <w:rsid w:val="00F223DF"/>
    <w:rsid w:val="00F3548B"/>
    <w:rsid w:val="00F54556"/>
    <w:rsid w:val="00FA40D5"/>
    <w:rsid w:val="00FB2A5A"/>
    <w:rsid w:val="00FE2C59"/>
    <w:rsid w:val="37173543"/>
    <w:rsid w:val="3FF76880"/>
    <w:rsid w:val="5AD1227F"/>
    <w:rsid w:val="6BCFA110"/>
    <w:rsid w:val="777D8F66"/>
    <w:rsid w:val="7AB7FF50"/>
    <w:rsid w:val="7BBA4E35"/>
    <w:rsid w:val="7BFEB0DB"/>
    <w:rsid w:val="7F9B608E"/>
    <w:rsid w:val="CEFD3F3D"/>
    <w:rsid w:val="E76F2340"/>
    <w:rsid w:val="EA3F77F2"/>
    <w:rsid w:val="EEBF4ED9"/>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alloon Text"/>
    <w:basedOn w:val="1"/>
    <w:link w:val="11"/>
    <w:semiHidden/>
    <w:unhideWhenUsed/>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9">
    <w:name w:val="annotation reference"/>
    <w:basedOn w:val="8"/>
    <w:qFormat/>
    <w:uiPriority w:val="0"/>
    <w:rPr>
      <w:sz w:val="21"/>
      <w:szCs w:val="21"/>
    </w:rPr>
  </w:style>
  <w:style w:type="paragraph" w:customStyle="1" w:styleId="10">
    <w:name w:val="列出段落1"/>
    <w:basedOn w:val="1"/>
    <w:qFormat/>
    <w:uiPriority w:val="34"/>
    <w:pPr>
      <w:ind w:firstLine="420" w:firstLineChars="200"/>
    </w:pPr>
    <w:rPr>
      <w:rFonts w:ascii="Calibri" w:hAnsi="Calibri" w:cs="黑体"/>
      <w:szCs w:val="22"/>
    </w:rPr>
  </w:style>
  <w:style w:type="character" w:customStyle="1" w:styleId="11">
    <w:name w:val="批注框文本 字符"/>
    <w:basedOn w:val="8"/>
    <w:link w:val="4"/>
    <w:semiHidden/>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358</Words>
  <Characters>2045</Characters>
  <Lines>17</Lines>
  <Paragraphs>4</Paragraphs>
  <TotalTime>9</TotalTime>
  <ScaleCrop>false</ScaleCrop>
  <LinksUpToDate>false</LinksUpToDate>
  <CharactersWithSpaces>2399</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2023-06-08T10:14:00Z</dcterms:created>
  <dc:creator>user</dc:creator>
  <cp:lastModifiedBy>user</cp:lastModifiedBy>
  <cp:lastPrinted>2023-06-05T16:27:00Z</cp:lastPrinted>
  <dcterms:modified xsi:type="dcterms:W3CDTF">2023-06-28T16:39:38Z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035C155A301142FDB4881EFB32513C91</vt:lpwstr>
  </property>
</Properties>
</file>