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ascii="仿宋_GB2312" w:hAnsi="宋体" w:eastAsia="仿宋_GB2312"/>
          <w:sz w:val="30"/>
          <w:szCs w:val="30"/>
        </w:rPr>
      </w:pPr>
    </w:p>
    <w:tbl>
      <w:tblPr>
        <w:tblStyle w:val="9"/>
        <w:tblW w:w="4998" w:type="pct"/>
        <w:jc w:val="center"/>
        <w:tblLayout w:type="autofit"/>
        <w:tblCellMar>
          <w:top w:w="0" w:type="dxa"/>
          <w:left w:w="108" w:type="dxa"/>
          <w:bottom w:w="0" w:type="dxa"/>
          <w:right w:w="108" w:type="dxa"/>
        </w:tblCellMar>
      </w:tblPr>
      <w:tblGrid>
        <w:gridCol w:w="524"/>
        <w:gridCol w:w="907"/>
        <w:gridCol w:w="1026"/>
        <w:gridCol w:w="683"/>
        <w:gridCol w:w="1055"/>
        <w:gridCol w:w="63"/>
        <w:gridCol w:w="1010"/>
        <w:gridCol w:w="864"/>
        <w:gridCol w:w="277"/>
        <w:gridCol w:w="254"/>
        <w:gridCol w:w="404"/>
        <w:gridCol w:w="390"/>
        <w:gridCol w:w="394"/>
        <w:gridCol w:w="668"/>
      </w:tblGrid>
      <w:tr>
        <w:tblPrEx>
          <w:tblCellMar>
            <w:top w:w="0" w:type="dxa"/>
            <w:left w:w="108" w:type="dxa"/>
            <w:bottom w:w="0" w:type="dxa"/>
            <w:right w:w="108" w:type="dxa"/>
          </w:tblCellMar>
        </w:tblPrEx>
        <w:trPr>
          <w:trHeight w:val="306" w:hRule="exact"/>
          <w:jc w:val="center"/>
        </w:trPr>
        <w:tc>
          <w:tcPr>
            <w:tcW w:w="841"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4158" w:type="pct"/>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知识产权保护</w:t>
            </w:r>
          </w:p>
        </w:tc>
      </w:tr>
      <w:tr>
        <w:trPr>
          <w:trHeight w:val="421" w:hRule="exact"/>
          <w:jc w:val="center"/>
        </w:trPr>
        <w:tc>
          <w:tcPr>
            <w:tcW w:w="841"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2252"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北京市知识产权局</w:t>
            </w:r>
          </w:p>
        </w:tc>
        <w:tc>
          <w:tcPr>
            <w:tcW w:w="667"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1238"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北京市知识产权局本级</w:t>
            </w:r>
          </w:p>
        </w:tc>
      </w:tr>
      <w:tr>
        <w:tblPrEx>
          <w:tblCellMar>
            <w:top w:w="0" w:type="dxa"/>
            <w:left w:w="108" w:type="dxa"/>
            <w:bottom w:w="0" w:type="dxa"/>
            <w:right w:w="108" w:type="dxa"/>
          </w:tblCellMar>
        </w:tblPrEx>
        <w:trPr>
          <w:trHeight w:val="306" w:hRule="exact"/>
          <w:jc w:val="center"/>
        </w:trPr>
        <w:tc>
          <w:tcPr>
            <w:tcW w:w="841"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2252"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关月</w:t>
            </w:r>
          </w:p>
        </w:tc>
        <w:tc>
          <w:tcPr>
            <w:tcW w:w="667"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1238"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567" w:hRule="exact"/>
          <w:jc w:val="center"/>
        </w:trPr>
        <w:tc>
          <w:tcPr>
            <w:tcW w:w="841"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00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1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63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667"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386"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4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39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841"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03"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61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180.87</w:t>
            </w:r>
          </w:p>
        </w:tc>
        <w:tc>
          <w:tcPr>
            <w:tcW w:w="63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125.065</w:t>
            </w:r>
          </w:p>
        </w:tc>
        <w:tc>
          <w:tcPr>
            <w:tcW w:w="667"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81.3461</w:t>
            </w:r>
          </w:p>
        </w:tc>
        <w:tc>
          <w:tcPr>
            <w:tcW w:w="386"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65.</w:t>
            </w:r>
            <w:r>
              <w:rPr>
                <w:rFonts w:hint="eastAsia" w:ascii="仿宋_GB2312" w:hAnsi="宋体" w:eastAsia="仿宋_GB2312" w:cs="宋体"/>
                <w:kern w:val="0"/>
                <w:szCs w:val="21"/>
                <w:lang w:val="en-US" w:eastAsia="zh-CN"/>
              </w:rPr>
              <w:t>0</w:t>
            </w:r>
            <w:r>
              <w:rPr>
                <w:rFonts w:hint="eastAsia" w:ascii="仿宋_GB2312" w:hAnsi="宋体" w:eastAsia="仿宋_GB2312" w:cs="宋体"/>
                <w:kern w:val="0"/>
                <w:szCs w:val="21"/>
              </w:rPr>
              <w:t>%</w:t>
            </w:r>
          </w:p>
        </w:tc>
        <w:tc>
          <w:tcPr>
            <w:tcW w:w="392" w:type="pct"/>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6.5</w:t>
            </w:r>
          </w:p>
        </w:tc>
      </w:tr>
      <w:tr>
        <w:trPr>
          <w:trHeight w:val="601" w:hRule="exact"/>
          <w:jc w:val="center"/>
        </w:trPr>
        <w:tc>
          <w:tcPr>
            <w:tcW w:w="841"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0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61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180.87</w:t>
            </w:r>
          </w:p>
        </w:tc>
        <w:tc>
          <w:tcPr>
            <w:tcW w:w="63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125.065</w:t>
            </w:r>
          </w:p>
        </w:tc>
        <w:tc>
          <w:tcPr>
            <w:tcW w:w="667"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81.3461</w:t>
            </w:r>
          </w:p>
        </w:tc>
        <w:tc>
          <w:tcPr>
            <w:tcW w:w="386"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65.</w:t>
            </w:r>
            <w:r>
              <w:rPr>
                <w:rFonts w:hint="eastAsia" w:ascii="仿宋_GB2312" w:hAnsi="宋体" w:eastAsia="仿宋_GB2312" w:cs="宋体"/>
                <w:kern w:val="0"/>
                <w:szCs w:val="21"/>
                <w:lang w:val="en-US" w:eastAsia="zh-CN"/>
              </w:rPr>
              <w:t>0</w:t>
            </w:r>
            <w:r>
              <w:rPr>
                <w:rFonts w:hint="eastAsia" w:ascii="仿宋_GB2312" w:hAnsi="宋体" w:eastAsia="仿宋_GB2312" w:cs="宋体"/>
                <w:kern w:val="0"/>
                <w:szCs w:val="21"/>
              </w:rPr>
              <w:t>%</w:t>
            </w:r>
          </w:p>
        </w:tc>
        <w:tc>
          <w:tcPr>
            <w:tcW w:w="392" w:type="pct"/>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6.5</w:t>
            </w:r>
          </w:p>
        </w:tc>
      </w:tr>
      <w:tr>
        <w:tblPrEx>
          <w:tblCellMar>
            <w:top w:w="0" w:type="dxa"/>
            <w:left w:w="108" w:type="dxa"/>
            <w:bottom w:w="0" w:type="dxa"/>
            <w:right w:w="108" w:type="dxa"/>
          </w:tblCellMar>
        </w:tblPrEx>
        <w:trPr>
          <w:trHeight w:val="567" w:hRule="exact"/>
          <w:jc w:val="center"/>
        </w:trPr>
        <w:tc>
          <w:tcPr>
            <w:tcW w:w="841"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0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61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3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67"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86"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9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rPr>
          <w:trHeight w:val="306" w:hRule="exact"/>
          <w:jc w:val="center"/>
        </w:trPr>
        <w:tc>
          <w:tcPr>
            <w:tcW w:w="841"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0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61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3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67"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86"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9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308"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2785"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1905" w:type="pct"/>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rPr>
          <w:trHeight w:val="7570" w:hRule="exact"/>
          <w:jc w:val="center"/>
        </w:trPr>
        <w:tc>
          <w:tcPr>
            <w:tcW w:w="308"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785" w:type="pct"/>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00" w:lineRule="exact"/>
              <w:ind w:firstLine="360" w:firstLineChars="200"/>
              <w:textAlignment w:val="auto"/>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依照《展会知识产权保护办法》《北京市展会知识产权保护办法》有关规定，进驻、巡查展会，开展知识产权保护工作，处理纠纷投诉等，制作展会宣传片，进行展会知识产权保护宣传；根据《专利法》《专利法实施细则》《专利行政执法办法》有关规定，加强专利行政保护，优化营商环境，建设知识产权首善之区。随着电子商务领域案件数量不断增加，跨地区知识产权保护要求不断提高，加强电商领域和跨地区知识产权保护是优化营商环境发展和加强协作工作的要求。</w:t>
            </w:r>
          </w:p>
          <w:p>
            <w:pPr>
              <w:keepNext w:val="0"/>
              <w:keepLines w:val="0"/>
              <w:pageBreakBefore w:val="0"/>
              <w:widowControl w:val="0"/>
              <w:kinsoku/>
              <w:wordWrap/>
              <w:overflowPunct/>
              <w:topLinePunct w:val="0"/>
              <w:autoSpaceDE/>
              <w:autoSpaceDN/>
              <w:bidi w:val="0"/>
              <w:adjustRightInd w:val="0"/>
              <w:snapToGrid w:val="0"/>
              <w:spacing w:line="200" w:lineRule="exact"/>
              <w:ind w:firstLine="360" w:firstLineChars="200"/>
              <w:textAlignment w:val="auto"/>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国家知识产权局办公室关于确定第一批专利侵权纠纷行政裁决示范建设工作试点地方的通知》（国知办函保字〔2020〕141号）发布，确定北京作为开展专利侵权纠纷行政裁决示范建设工作的第一批试点地方。《关于强化知识产权保护的行动方案》（京办发〔2020〕19号），第（十五）项 积极开展专利侵权纠纷行政裁决示范，也对专利侵权纠纷行政裁决示范区建设进行了明确规定。为贯彻落实市委办公厅、市政府办公厅文件精神，做好专利侵权纠纷行政裁决示范建设，申请项目工作预算。</w:t>
            </w:r>
          </w:p>
          <w:p>
            <w:pPr>
              <w:keepNext w:val="0"/>
              <w:keepLines w:val="0"/>
              <w:pageBreakBefore w:val="0"/>
              <w:widowControl w:val="0"/>
              <w:kinsoku/>
              <w:wordWrap/>
              <w:overflowPunct/>
              <w:topLinePunct w:val="0"/>
              <w:autoSpaceDE/>
              <w:autoSpaceDN/>
              <w:bidi w:val="0"/>
              <w:adjustRightInd w:val="0"/>
              <w:snapToGrid w:val="0"/>
              <w:spacing w:line="200" w:lineRule="exact"/>
              <w:ind w:firstLine="360" w:firstLineChars="200"/>
              <w:textAlignment w:val="auto"/>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国家知识产权局《关于组织参加第二十八届中国杨凌农业高薪技术成果博览会的通知》（国知发运函字【2021】140号）、国家知识产权局 国家市场监督管理总局《关于进一步加强地理标志保护的指导意见》（国知发保字〔2021〕11号）。旨在北京市地理标志产品已有的独特品牌、商标基础上，通过商标、地理标志展示推广项目开展，从技术、品牌宣传和营销等几个方面，构建符合北京市地理标志产业发展实际、具有北京特色的地理标志运用体系，促进北京特色产业转型升级和高质量发展。</w:t>
            </w:r>
          </w:p>
          <w:p>
            <w:pPr>
              <w:keepNext w:val="0"/>
              <w:keepLines w:val="0"/>
              <w:pageBreakBefore w:val="0"/>
              <w:widowControl w:val="0"/>
              <w:kinsoku/>
              <w:wordWrap/>
              <w:overflowPunct/>
              <w:topLinePunct w:val="0"/>
              <w:autoSpaceDE/>
              <w:autoSpaceDN/>
              <w:bidi w:val="0"/>
              <w:adjustRightInd w:val="0"/>
              <w:snapToGrid w:val="0"/>
              <w:spacing w:line="200" w:lineRule="exact"/>
              <w:ind w:firstLine="360" w:firstLineChars="200"/>
              <w:textAlignment w:val="auto"/>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《地理标志产品保护规定》、国家知识产权局、 国家市场监督管理总局《关于进一步加强地理标志保护的指导意见》（国知发保字〔2021〕11号）。</w:t>
            </w:r>
          </w:p>
          <w:p>
            <w:pPr>
              <w:keepNext w:val="0"/>
              <w:keepLines w:val="0"/>
              <w:pageBreakBefore w:val="0"/>
              <w:widowControl w:val="0"/>
              <w:kinsoku/>
              <w:wordWrap/>
              <w:overflowPunct/>
              <w:topLinePunct w:val="0"/>
              <w:autoSpaceDE/>
              <w:autoSpaceDN/>
              <w:bidi w:val="0"/>
              <w:adjustRightInd w:val="0"/>
              <w:snapToGrid w:val="0"/>
              <w:spacing w:line="200" w:lineRule="exact"/>
              <w:ind w:firstLine="360" w:firstLineChars="200"/>
              <w:textAlignment w:val="auto"/>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为进一步贯彻落实《知识产权强国建设纲要（2021-2035年）》，根据国家关于知识产权保护要求，强化北京市重点商标保护，提升知识产权保护力度，启动“北京市重点商标保护项目”，前期组织行业专家进行研讨，征求专家意见并进行整改，根据专家意见对重点商标保护内容进行初步的搜集梳理，最终形成相对稳定的保护名录管理办法。</w:t>
            </w:r>
          </w:p>
          <w:p>
            <w:pPr>
              <w:widowControl/>
              <w:spacing w:line="240" w:lineRule="exact"/>
              <w:jc w:val="both"/>
              <w:rPr>
                <w:rFonts w:ascii="仿宋_GB2312" w:hAnsi="宋体" w:eastAsia="仿宋_GB2312" w:cs="宋体"/>
                <w:kern w:val="0"/>
                <w:szCs w:val="21"/>
              </w:rPr>
            </w:pPr>
          </w:p>
        </w:tc>
        <w:tc>
          <w:tcPr>
            <w:tcW w:w="1905" w:type="pct"/>
            <w:gridSpan w:val="7"/>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ind w:firstLine="360" w:firstLineChars="200"/>
              <w:jc w:val="both"/>
              <w:textAlignment w:val="auto"/>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完成北京冬奥会知识产权保护工作</w:t>
            </w:r>
            <w:r>
              <w:rPr>
                <w:rFonts w:hint="eastAsia" w:ascii="仿宋_GB2312" w:hAnsi="宋体" w:eastAsia="仿宋_GB2312" w:cs="宋体"/>
                <w:kern w:val="0"/>
                <w:sz w:val="18"/>
                <w:szCs w:val="18"/>
                <w:lang w:eastAsia="zh-CN"/>
              </w:rPr>
              <w:t>。制定《北京2022年冬奥会和冬残奥会奥林匹克标志知识产权保护实施方案》，牵头建立北京冬奥会和冬残奥会奥林匹克标志知识产权保护专班。完成中国国际服务贸易交易会的展会知识产权保护工作。设立服贸会知识产权保护办公室。</w:t>
            </w:r>
          </w:p>
          <w:p>
            <w:pPr>
              <w:keepNext w:val="0"/>
              <w:keepLines w:val="0"/>
              <w:pageBreakBefore w:val="0"/>
              <w:widowControl/>
              <w:kinsoku/>
              <w:wordWrap/>
              <w:overflowPunct/>
              <w:topLinePunct w:val="0"/>
              <w:autoSpaceDE/>
              <w:autoSpaceDN/>
              <w:bidi w:val="0"/>
              <w:adjustRightInd w:val="0"/>
              <w:snapToGrid w:val="0"/>
              <w:spacing w:line="220" w:lineRule="exact"/>
              <w:ind w:firstLine="360" w:firstLineChars="200"/>
              <w:jc w:val="both"/>
              <w:textAlignment w:val="auto"/>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lang w:eastAsia="zh-CN"/>
              </w:rPr>
              <w:t>加强专利侵权纠纷行政裁决规范化建设。出台了《专利行政裁决工作管理办法》。制定了《北京市知识产权局关于专利侵权纠纷行政裁决工作若干问题的规定（试行）》《北京市知识产权局医药领域专利侵权纠纷行政裁决案件快速处理指南（试行）》。审结专利侵权纠纷案件49件。制定《技术调查官选聘和管理办法》。</w:t>
            </w:r>
          </w:p>
          <w:p>
            <w:pPr>
              <w:keepNext w:val="0"/>
              <w:keepLines w:val="0"/>
              <w:pageBreakBefore w:val="0"/>
              <w:widowControl w:val="0"/>
              <w:kinsoku/>
              <w:wordWrap/>
              <w:overflowPunct/>
              <w:topLinePunct w:val="0"/>
              <w:autoSpaceDE/>
              <w:autoSpaceDN/>
              <w:bidi w:val="0"/>
              <w:adjustRightInd w:val="0"/>
              <w:snapToGrid w:val="0"/>
              <w:spacing w:line="220" w:lineRule="exact"/>
              <w:ind w:right="0" w:firstLine="360" w:firstLineChars="200"/>
              <w:textAlignment w:val="auto"/>
              <w:rPr>
                <w:rFonts w:hint="eastAsia" w:ascii="仿宋_GB2312" w:hAnsi="宋体" w:eastAsia="仿宋_GB2312" w:cs="宋体"/>
                <w:color w:val="000000"/>
                <w:kern w:val="0"/>
                <w:sz w:val="18"/>
                <w:szCs w:val="18"/>
                <w:highlight w:val="none"/>
                <w:lang w:eastAsia="zh-CN"/>
              </w:rPr>
            </w:pPr>
            <w:r>
              <w:rPr>
                <w:rFonts w:hint="eastAsia" w:ascii="仿宋_GB2312" w:hAnsi="仿宋_GB2312" w:eastAsia="仿宋_GB2312" w:cs="仿宋_GB2312"/>
                <w:sz w:val="18"/>
                <w:szCs w:val="18"/>
                <w:lang w:val="en-US" w:eastAsia="zh-CN"/>
              </w:rPr>
              <w:t>延续开展第二批地理标志专用标志使用核准改革试点工作，</w:t>
            </w:r>
            <w:r>
              <w:rPr>
                <w:rFonts w:hint="eastAsia" w:ascii="仿宋_GB2312" w:hAnsi="宋体" w:eastAsia="仿宋_GB2312" w:cs="宋体"/>
                <w:color w:val="000000"/>
                <w:sz w:val="18"/>
                <w:szCs w:val="18"/>
                <w:lang w:eastAsia="zh-CN"/>
              </w:rPr>
              <w:t>对</w:t>
            </w:r>
            <w:r>
              <w:rPr>
                <w:rFonts w:hint="eastAsia" w:ascii="仿宋_GB2312" w:hAnsi="宋体" w:eastAsia="仿宋_GB2312" w:cs="宋体"/>
                <w:color w:val="000000"/>
                <w:sz w:val="18"/>
                <w:szCs w:val="18"/>
              </w:rPr>
              <w:t>“北京景泰蓝”</w:t>
            </w:r>
            <w:r>
              <w:rPr>
                <w:rFonts w:hint="eastAsia" w:ascii="仿宋_GB2312" w:hAnsi="宋体" w:eastAsia="仿宋_GB2312" w:cs="宋体"/>
                <w:color w:val="000000"/>
                <w:sz w:val="18"/>
                <w:szCs w:val="18"/>
                <w:lang w:eastAsia="zh-CN"/>
              </w:rPr>
              <w:t>“</w:t>
            </w:r>
            <w:r>
              <w:rPr>
                <w:rFonts w:hint="eastAsia" w:ascii="仿宋_GB2312" w:hAnsi="宋体" w:eastAsia="仿宋_GB2312" w:cs="宋体"/>
                <w:color w:val="000000"/>
                <w:sz w:val="18"/>
                <w:szCs w:val="18"/>
                <w:lang w:val="en-US" w:eastAsia="zh-CN"/>
              </w:rPr>
              <w:t>房山葡萄酒</w:t>
            </w:r>
            <w:r>
              <w:rPr>
                <w:rFonts w:hint="eastAsia" w:ascii="仿宋_GB2312" w:hAnsi="宋体" w:eastAsia="仿宋_GB2312" w:cs="宋体"/>
                <w:color w:val="000000"/>
                <w:sz w:val="18"/>
                <w:szCs w:val="18"/>
                <w:lang w:eastAsia="zh-CN"/>
              </w:rPr>
              <w:t>”</w:t>
            </w:r>
            <w:r>
              <w:rPr>
                <w:rFonts w:hint="eastAsia" w:ascii="仿宋_GB2312" w:hAnsi="宋体" w:eastAsia="仿宋_GB2312" w:cs="宋体"/>
                <w:color w:val="000000"/>
                <w:kern w:val="0"/>
                <w:sz w:val="18"/>
                <w:szCs w:val="18"/>
                <w:highlight w:val="none"/>
              </w:rPr>
              <w:t>等</w:t>
            </w:r>
            <w:r>
              <w:rPr>
                <w:rFonts w:hint="eastAsia" w:ascii="仿宋_GB2312" w:hAnsi="宋体" w:eastAsia="仿宋_GB2312" w:cs="宋体"/>
                <w:color w:val="000000"/>
                <w:kern w:val="0"/>
                <w:sz w:val="18"/>
                <w:szCs w:val="18"/>
                <w:highlight w:val="none"/>
                <w:lang w:eastAsia="zh-CN"/>
              </w:rPr>
              <w:t>拟申报</w:t>
            </w:r>
            <w:r>
              <w:rPr>
                <w:rFonts w:hint="eastAsia" w:ascii="仿宋_GB2312" w:hAnsi="宋体" w:eastAsia="仿宋_GB2312" w:cs="宋体"/>
                <w:color w:val="000000"/>
                <w:kern w:val="0"/>
                <w:sz w:val="18"/>
                <w:szCs w:val="18"/>
                <w:highlight w:val="none"/>
              </w:rPr>
              <w:t>地理标志产品</w:t>
            </w:r>
            <w:r>
              <w:rPr>
                <w:rFonts w:hint="eastAsia" w:ascii="仿宋_GB2312" w:hAnsi="宋体" w:eastAsia="仿宋_GB2312" w:cs="宋体"/>
                <w:color w:val="000000"/>
                <w:kern w:val="0"/>
                <w:sz w:val="18"/>
                <w:szCs w:val="18"/>
                <w:highlight w:val="none"/>
                <w:lang w:eastAsia="zh-CN"/>
              </w:rPr>
              <w:t>的区进行现场指导。</w:t>
            </w:r>
            <w:r>
              <w:rPr>
                <w:rFonts w:hint="eastAsia" w:ascii="仿宋_GB2312" w:hAnsi="宋体" w:eastAsia="仿宋_GB2312" w:cs="宋体"/>
                <w:color w:val="000000"/>
                <w:sz w:val="18"/>
                <w:szCs w:val="18"/>
                <w:lang w:eastAsia="zh-CN"/>
              </w:rPr>
              <w:t>完成对平谷大桃企业认证的审核申报。</w:t>
            </w:r>
            <w:r>
              <w:rPr>
                <w:rFonts w:hint="eastAsia" w:ascii="仿宋_GB2312" w:hAnsi="宋体" w:eastAsia="仿宋_GB2312" w:cs="宋体"/>
                <w:color w:val="000000"/>
                <w:kern w:val="0"/>
                <w:sz w:val="18"/>
                <w:szCs w:val="18"/>
                <w:highlight w:val="none"/>
                <w:lang w:val="en-US" w:eastAsia="zh-CN"/>
              </w:rPr>
              <w:t>“牛栏山二锅头”“北京鸭”已进入中欧地理标志协定名单第二批清单</w:t>
            </w:r>
            <w:r>
              <w:rPr>
                <w:rFonts w:hint="eastAsia" w:ascii="仿宋_GB2312" w:hAnsi="宋体" w:eastAsia="仿宋_GB2312" w:cs="宋体"/>
                <w:b w:val="0"/>
                <w:bCs w:val="0"/>
                <w:color w:val="000000"/>
                <w:kern w:val="0"/>
                <w:sz w:val="18"/>
                <w:szCs w:val="18"/>
                <w:highlight w:val="none"/>
              </w:rPr>
              <w:t>。</w:t>
            </w:r>
            <w:r>
              <w:rPr>
                <w:rFonts w:hint="eastAsia" w:ascii="仿宋_GB2312" w:hAnsi="宋体" w:eastAsia="仿宋_GB2312" w:cs="宋体"/>
                <w:color w:val="000000"/>
                <w:kern w:val="0"/>
                <w:sz w:val="18"/>
                <w:szCs w:val="18"/>
                <w:highlight w:val="none"/>
              </w:rPr>
              <w:t>“房山磨盘柿”“平谷大桃”两个地理标志成功入选国家知识产权局首批160件地理标志被列入运用促进重点联系指导名录。完成《北京市地理标志产品手册2022版》</w:t>
            </w:r>
            <w:r>
              <w:rPr>
                <w:rFonts w:hint="eastAsia" w:ascii="仿宋_GB2312" w:hAnsi="宋体" w:eastAsia="仿宋_GB2312" w:cs="宋体"/>
                <w:color w:val="000000"/>
                <w:kern w:val="0"/>
                <w:sz w:val="18"/>
                <w:szCs w:val="18"/>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220" w:lineRule="exact"/>
              <w:ind w:right="0" w:firstLine="360" w:firstLineChars="200"/>
              <w:textAlignment w:val="auto"/>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加强商标案件指导与典型案例宣传，与市市场监管局联合开展全市商标知识产权保护工作培训。开展商标保护状况调研。对跨境电商知识产权前沿问题开展研究，指导北京市跨境电商企业建立知识产权保护管理标准。</w:t>
            </w:r>
          </w:p>
          <w:p>
            <w:pPr>
              <w:pStyle w:val="2"/>
              <w:rPr>
                <w:rFonts w:hint="eastAsia"/>
                <w:lang w:val="en-US" w:eastAsia="zh-CN"/>
              </w:rPr>
            </w:pPr>
          </w:p>
          <w:p/>
          <w:p>
            <w:pPr>
              <w:widowControl/>
              <w:spacing w:line="240" w:lineRule="exact"/>
              <w:jc w:val="both"/>
              <w:rPr>
                <w:rFonts w:hint="eastAsia" w:ascii="仿宋_GB2312" w:hAnsi="宋体" w:eastAsia="仿宋_GB2312" w:cs="宋体"/>
                <w:kern w:val="0"/>
                <w:szCs w:val="21"/>
                <w:lang w:eastAsia="zh-CN"/>
              </w:rPr>
            </w:pPr>
          </w:p>
        </w:tc>
      </w:tr>
      <w:tr>
        <w:tblPrEx>
          <w:tblCellMar>
            <w:top w:w="0" w:type="dxa"/>
            <w:left w:w="108" w:type="dxa"/>
            <w:bottom w:w="0" w:type="dxa"/>
            <w:right w:w="108" w:type="dxa"/>
          </w:tblCellMar>
        </w:tblPrEx>
        <w:trPr>
          <w:trHeight w:val="830" w:hRule="exact"/>
          <w:jc w:val="center"/>
        </w:trPr>
        <w:tc>
          <w:tcPr>
            <w:tcW w:w="308" w:type="pct"/>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53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60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057"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highlight w:val="none"/>
              </w:rPr>
              <w:t>三级指标</w:t>
            </w:r>
          </w:p>
        </w:tc>
        <w:tc>
          <w:tcPr>
            <w:tcW w:w="59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5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31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46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rPr>
          <w:trHeight w:val="618"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质量指标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专利行业领域保护机制研究</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rPr>
                <w:rFonts w:hint="eastAsia" w:ascii="仿宋_GB2312" w:hAnsi="仿宋_GB2312" w:eastAsia="仿宋_GB2312" w:cs="仿宋_GB2312"/>
                <w:kern w:val="0"/>
                <w:sz w:val="18"/>
                <w:szCs w:val="18"/>
                <w:lang w:eastAsia="zh-CN"/>
              </w:rPr>
            </w:pPr>
            <w:r>
              <w:rPr>
                <w:rFonts w:hint="eastAsia" w:ascii="仿宋_GB2312" w:hAnsi="仿宋_GB2312" w:eastAsia="仿宋_GB2312" w:cs="仿宋_GB2312"/>
                <w:kern w:val="0"/>
                <w:sz w:val="18"/>
                <w:szCs w:val="18"/>
                <w:lang w:eastAsia="zh-CN"/>
              </w:rPr>
              <w:t>定性：优良中低差</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定性：优</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25"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质量指标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重大案件研讨</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定性：优良中低差</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定性：优</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675"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质量指标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公平、公正审理专利侵权纠纷案件</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定性：优良中低差</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定性：优</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968"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质量指标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对服贸会及各个展会提供法律咨询、处理知识产权纠纷率达到100%；</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定性：优良中低差</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定性：优</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588"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质量指标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进行两个地理标志产品申报</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定性：优良中低差</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定性：优</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63"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质量指标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编写重点商标保护名录</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定性：优良中低差</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定性：优</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488"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质量指标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形成地理标志申报指引</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定性：优良中低差</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定性：优</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88"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质量指标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行政裁决权下放培训</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定性：优良中低差</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定性：优</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588"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质量指标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进行商标、地理标志展示推广</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定性：优良中低差</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定性：优</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46"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数量指标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重大案件研讨</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lang w:val="en-US" w:eastAsia="zh-CN"/>
              </w:rPr>
              <w:t>=10个（套）</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=10个（套）</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5</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5</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409"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数量指标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行政裁决权下放培训</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lang w:val="en-US" w:eastAsia="zh-CN"/>
              </w:rPr>
              <w:t>=2期/年</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=2期/年</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41"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数量指标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重点商标保护名录</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lang w:val="en-US" w:eastAsia="zh-CN"/>
              </w:rPr>
              <w:t>=1元/个</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=1元/个</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421"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数量指标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专利行业领域保护机制研究</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lang w:val="en-US" w:eastAsia="zh-CN"/>
              </w:rPr>
              <w:t>=1项</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=1项</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800"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数量指标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20场次展会的知识产权保护</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lang w:val="en-US" w:eastAsia="zh-CN"/>
              </w:rPr>
              <w:t>=20场次</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=1场次</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lang w:val="en-US" w:eastAsia="zh-CN"/>
              </w:rPr>
              <w:t>5</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lang w:val="en-US" w:eastAsia="zh-CN"/>
              </w:rPr>
              <w:t>0.25</w:t>
            </w:r>
          </w:p>
        </w:tc>
        <w:tc>
          <w:tcPr>
            <w:tcW w:w="622"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both"/>
              <w:textAlignment w:val="auto"/>
              <w:rPr>
                <w:rFonts w:hint="eastAsia" w:ascii="仿宋_GB2312" w:hAnsi="宋体" w:eastAsia="仿宋_GB2312" w:cs="宋体"/>
                <w:kern w:val="0"/>
                <w:szCs w:val="21"/>
                <w:lang w:val="en-US" w:eastAsia="zh-CN"/>
              </w:rPr>
            </w:pPr>
            <w:r>
              <w:rPr>
                <w:rFonts w:hint="eastAsia" w:ascii="仿宋_GB2312" w:hAnsi="宋体" w:eastAsia="仿宋_GB2312" w:cs="宋体"/>
                <w:kern w:val="0"/>
                <w:sz w:val="18"/>
                <w:szCs w:val="18"/>
                <w:lang w:val="en-US" w:eastAsia="zh-CN"/>
              </w:rPr>
              <w:t>多数展会因疫情原因未能正常开展，故仅开展了服贸会知识产权保护</w:t>
            </w:r>
          </w:p>
        </w:tc>
      </w:tr>
      <w:tr>
        <w:trPr>
          <w:trHeight w:val="521"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数量指标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地理标志申报</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lang w:val="en-US" w:eastAsia="zh-CN"/>
              </w:rPr>
              <w:t>=2个（套）</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=2个（套）</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41"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数量指标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地理标志申报指引</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lang w:val="en-US" w:eastAsia="zh-CN"/>
              </w:rPr>
              <w:t>=1项</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=1项</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558"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数量指标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商标、地理标志展示推广</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lang w:val="en-US" w:eastAsia="zh-CN"/>
              </w:rPr>
              <w:t>=1万元/场</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=1万元/场</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08"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数量指标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审理专利侵权纠纷案件</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w:t>
            </w:r>
            <w:r>
              <w:rPr>
                <w:rFonts w:hint="eastAsia" w:ascii="仿宋_GB2312" w:hAnsi="仿宋_GB2312" w:eastAsia="仿宋_GB2312" w:cs="仿宋_GB2312"/>
                <w:kern w:val="0"/>
                <w:sz w:val="18"/>
                <w:szCs w:val="18"/>
              </w:rPr>
              <w:t>40个（套）</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rPr>
              <w:t>4</w:t>
            </w:r>
            <w:r>
              <w:rPr>
                <w:rFonts w:hint="eastAsia" w:ascii="仿宋_GB2312" w:hAnsi="仿宋_GB2312" w:eastAsia="仿宋_GB2312" w:cs="仿宋_GB2312"/>
                <w:kern w:val="0"/>
                <w:sz w:val="18"/>
                <w:szCs w:val="18"/>
                <w:lang w:val="en-US" w:eastAsia="zh-CN"/>
              </w:rPr>
              <w:t>9</w:t>
            </w:r>
            <w:r>
              <w:rPr>
                <w:rFonts w:hint="eastAsia" w:ascii="仿宋_GB2312" w:hAnsi="仿宋_GB2312" w:eastAsia="仿宋_GB2312" w:cs="仿宋_GB2312"/>
                <w:kern w:val="0"/>
                <w:sz w:val="18"/>
                <w:szCs w:val="18"/>
              </w:rPr>
              <w:t>个（套）</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5</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5</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341"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时效指标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重点商标保护名录</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lang w:val="en-US" w:eastAsia="zh-CN"/>
              </w:rPr>
              <w:t>=12月</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=12月</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rPr>
                <w:rFonts w:hint="eastAsia"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lang w:val="en-US" w:eastAsia="zh-CN"/>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34"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时效指标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 20场次展会的知识产权保护；</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=12月</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=12月</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341"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时效指标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地理标志申报指引</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=12月</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=12月</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46"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时效指标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商标、地理标志展示推广</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=12月</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=12月</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341"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时效指标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地理标志申报</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=12月</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=12月</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val="en-US" w:eastAsia="zh-CN"/>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96"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时效指标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审理40个专利侵权纠纷案件；</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=12月</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=12月</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341"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时效指标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重大案件研讨</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=12月</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=12月</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58"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时效指标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行政裁决权下放培训</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=12月</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=12月</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496"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时效指标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专利行业领域保护机制研究</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=12月</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=12月</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rPr>
                <w:rFonts w:hint="eastAsia"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661"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效益指标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eastAsia="宋体" w:cs="宋体"/>
                <w:i w:val="0"/>
                <w:color w:val="000000"/>
                <w:kern w:val="0"/>
                <w:sz w:val="18"/>
                <w:szCs w:val="18"/>
                <w:u w:val="none"/>
                <w:lang w:val="en-US" w:eastAsia="zh-CN" w:bidi="ar"/>
              </w:rPr>
              <w:t>社会效益指标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color w:val="000000"/>
                <w:kern w:val="0"/>
                <w:sz w:val="18"/>
                <w:szCs w:val="18"/>
              </w:rPr>
            </w:pPr>
            <w:r>
              <w:rPr>
                <w:rFonts w:hint="eastAsia" w:ascii="宋体" w:hAnsi="宋体" w:eastAsia="宋体" w:cs="宋体"/>
                <w:i w:val="0"/>
                <w:color w:val="000000"/>
                <w:kern w:val="0"/>
                <w:sz w:val="18"/>
                <w:szCs w:val="18"/>
                <w:u w:val="none"/>
                <w:lang w:val="en-US" w:eastAsia="zh-CN" w:bidi="ar"/>
              </w:rPr>
              <w:t>对服贸会及其它大型展会进行知识产权保护，维护展会秩序；建设专利侵权纠纷行政裁决远程审理系统，保障专利侵权纠纷行政裁决工作顺利进行；完善商标、地标知识产权保护体系；进行《电子商务平台知识产权保护管理》标准宣贯；开展电子商务平台侵权快速处理工作</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cs="宋体"/>
                <w:i w:val="0"/>
                <w:color w:val="000000"/>
                <w:kern w:val="0"/>
                <w:sz w:val="18"/>
                <w:szCs w:val="18"/>
                <w:u w:val="none"/>
                <w:lang w:val="en-US" w:eastAsia="zh-CN" w:bidi="ar"/>
              </w:rPr>
              <w:t>定性：</w:t>
            </w:r>
            <w:r>
              <w:rPr>
                <w:rFonts w:hint="eastAsia" w:ascii="宋体" w:hAnsi="宋体" w:eastAsia="宋体" w:cs="宋体"/>
                <w:i w:val="0"/>
                <w:color w:val="000000"/>
                <w:kern w:val="0"/>
                <w:sz w:val="18"/>
                <w:szCs w:val="18"/>
                <w:u w:val="none"/>
                <w:lang w:val="en-US" w:eastAsia="zh-CN" w:bidi="ar"/>
              </w:rPr>
              <w:t>好坏</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lang w:val="en-US" w:eastAsia="zh-CN" w:bidi="ar-SA"/>
              </w:rPr>
            </w:pPr>
            <w:r>
              <w:rPr>
                <w:rFonts w:hint="eastAsia" w:ascii="宋体" w:hAnsi="宋体" w:cs="宋体"/>
                <w:i w:val="0"/>
                <w:color w:val="000000"/>
                <w:kern w:val="0"/>
                <w:sz w:val="18"/>
                <w:szCs w:val="18"/>
                <w:u w:val="none"/>
                <w:lang w:val="en-US" w:eastAsia="zh-CN" w:bidi="ar"/>
              </w:rPr>
              <w:t>定性：</w:t>
            </w:r>
            <w:r>
              <w:rPr>
                <w:rFonts w:hint="eastAsia" w:ascii="宋体" w:hAnsi="宋体" w:eastAsia="宋体" w:cs="宋体"/>
                <w:i w:val="0"/>
                <w:color w:val="000000"/>
                <w:kern w:val="0"/>
                <w:sz w:val="18"/>
                <w:szCs w:val="18"/>
                <w:u w:val="none"/>
                <w:lang w:val="en-US" w:eastAsia="zh-CN" w:bidi="ar"/>
              </w:rPr>
              <w:t>好</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eastAsia="宋体" w:cs="宋体"/>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725"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效益指标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eastAsia="宋体" w:cs="宋体"/>
                <w:i w:val="0"/>
                <w:color w:val="000000"/>
                <w:kern w:val="0"/>
                <w:sz w:val="18"/>
                <w:szCs w:val="18"/>
                <w:u w:val="none"/>
                <w:lang w:val="en-US" w:eastAsia="zh-CN" w:bidi="ar"/>
              </w:rPr>
              <w:t>社会效益指标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color w:val="000000"/>
                <w:kern w:val="0"/>
                <w:sz w:val="18"/>
                <w:szCs w:val="18"/>
              </w:rPr>
            </w:pPr>
            <w:r>
              <w:rPr>
                <w:rFonts w:hint="eastAsia" w:ascii="宋体" w:hAnsi="宋体" w:eastAsia="宋体" w:cs="宋体"/>
                <w:i w:val="0"/>
                <w:color w:val="000000"/>
                <w:kern w:val="0"/>
                <w:sz w:val="18"/>
                <w:szCs w:val="18"/>
                <w:u w:val="none"/>
                <w:lang w:val="en-US" w:eastAsia="zh-CN" w:bidi="ar"/>
              </w:rPr>
              <w:t>申报2个地理标志，促进农业增长，促进农民增加收益，</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cs="宋体"/>
                <w:i w:val="0"/>
                <w:color w:val="000000"/>
                <w:kern w:val="0"/>
                <w:sz w:val="18"/>
                <w:szCs w:val="18"/>
                <w:u w:val="none"/>
                <w:lang w:val="en-US" w:eastAsia="zh-CN" w:bidi="ar"/>
              </w:rPr>
              <w:t>定性：</w:t>
            </w:r>
            <w:r>
              <w:rPr>
                <w:rFonts w:hint="eastAsia" w:ascii="宋体" w:hAnsi="宋体" w:eastAsia="宋体" w:cs="宋体"/>
                <w:i w:val="0"/>
                <w:color w:val="000000"/>
                <w:kern w:val="0"/>
                <w:sz w:val="18"/>
                <w:szCs w:val="18"/>
                <w:u w:val="none"/>
                <w:lang w:val="en-US" w:eastAsia="zh-CN" w:bidi="ar"/>
              </w:rPr>
              <w:t>高中低</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lang w:val="en-US" w:eastAsia="zh-CN" w:bidi="ar-SA"/>
              </w:rPr>
            </w:pPr>
            <w:r>
              <w:rPr>
                <w:rFonts w:hint="eastAsia" w:ascii="宋体" w:hAnsi="宋体" w:cs="宋体"/>
                <w:i w:val="0"/>
                <w:color w:val="000000"/>
                <w:kern w:val="0"/>
                <w:sz w:val="18"/>
                <w:szCs w:val="18"/>
                <w:u w:val="none"/>
                <w:lang w:val="en-US" w:eastAsia="zh-CN" w:bidi="ar"/>
              </w:rPr>
              <w:t>定性：</w:t>
            </w:r>
            <w:r>
              <w:rPr>
                <w:rFonts w:hint="eastAsia" w:ascii="宋体" w:hAnsi="宋体" w:eastAsia="宋体" w:cs="宋体"/>
                <w:i w:val="0"/>
                <w:color w:val="000000"/>
                <w:kern w:val="0"/>
                <w:sz w:val="18"/>
                <w:szCs w:val="18"/>
                <w:u w:val="none"/>
                <w:lang w:val="en-US" w:eastAsia="zh-CN" w:bidi="ar"/>
              </w:rPr>
              <w:t>高</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eastAsia="宋体" w:cs="宋体"/>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96"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效益指标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eastAsia="宋体" w:cs="宋体"/>
                <w:i w:val="0"/>
                <w:color w:val="000000"/>
                <w:kern w:val="0"/>
                <w:sz w:val="18"/>
                <w:szCs w:val="18"/>
                <w:u w:val="none"/>
                <w:lang w:val="en-US" w:eastAsia="zh-CN" w:bidi="ar"/>
              </w:rPr>
              <w:t>社会效益指标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color w:val="000000"/>
                <w:kern w:val="0"/>
                <w:sz w:val="18"/>
                <w:szCs w:val="18"/>
              </w:rPr>
            </w:pPr>
            <w:r>
              <w:rPr>
                <w:rFonts w:hint="eastAsia" w:ascii="宋体" w:hAnsi="宋体" w:eastAsia="宋体" w:cs="宋体"/>
                <w:i w:val="0"/>
                <w:color w:val="000000"/>
                <w:kern w:val="0"/>
                <w:sz w:val="18"/>
                <w:szCs w:val="18"/>
                <w:u w:val="none"/>
                <w:lang w:val="en-US" w:eastAsia="zh-CN" w:bidi="ar"/>
              </w:rPr>
              <w:t>形成重点商标保护名录，</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cs="宋体"/>
                <w:i w:val="0"/>
                <w:color w:val="000000"/>
                <w:kern w:val="0"/>
                <w:sz w:val="18"/>
                <w:szCs w:val="18"/>
                <w:u w:val="none"/>
                <w:lang w:val="en-US" w:eastAsia="zh-CN" w:bidi="ar"/>
              </w:rPr>
              <w:t>定性：</w:t>
            </w:r>
            <w:r>
              <w:rPr>
                <w:rFonts w:hint="eastAsia" w:ascii="宋体" w:hAnsi="宋体" w:eastAsia="宋体" w:cs="宋体"/>
                <w:i w:val="0"/>
                <w:color w:val="000000"/>
                <w:kern w:val="0"/>
                <w:sz w:val="18"/>
                <w:szCs w:val="18"/>
                <w:u w:val="none"/>
                <w:lang w:val="en-US" w:eastAsia="zh-CN" w:bidi="ar"/>
              </w:rPr>
              <w:t>好坏</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lang w:val="en-US" w:eastAsia="zh-CN" w:bidi="ar-SA"/>
              </w:rPr>
            </w:pPr>
            <w:r>
              <w:rPr>
                <w:rFonts w:hint="eastAsia" w:ascii="宋体" w:hAnsi="宋体" w:cs="宋体"/>
                <w:i w:val="0"/>
                <w:color w:val="000000"/>
                <w:kern w:val="0"/>
                <w:sz w:val="18"/>
                <w:szCs w:val="18"/>
                <w:u w:val="none"/>
                <w:lang w:val="en-US" w:eastAsia="zh-CN" w:bidi="ar"/>
              </w:rPr>
              <w:t>定性：</w:t>
            </w:r>
            <w:r>
              <w:rPr>
                <w:rFonts w:hint="eastAsia" w:ascii="宋体" w:hAnsi="宋体" w:eastAsia="宋体" w:cs="宋体"/>
                <w:i w:val="0"/>
                <w:color w:val="000000"/>
                <w:kern w:val="0"/>
                <w:sz w:val="18"/>
                <w:szCs w:val="18"/>
                <w:u w:val="none"/>
                <w:lang w:val="en-US" w:eastAsia="zh-CN" w:bidi="ar"/>
              </w:rPr>
              <w:t>好</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eastAsia="宋体" w:cs="宋体"/>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1192"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效益指标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eastAsia="宋体" w:cs="宋体"/>
                <w:i w:val="0"/>
                <w:color w:val="000000"/>
                <w:kern w:val="0"/>
                <w:sz w:val="18"/>
                <w:szCs w:val="18"/>
                <w:u w:val="none"/>
                <w:lang w:val="en-US" w:eastAsia="zh-CN" w:bidi="ar"/>
              </w:rPr>
              <w:t>社会效益指标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color w:val="000000"/>
                <w:kern w:val="0"/>
                <w:sz w:val="18"/>
                <w:szCs w:val="18"/>
              </w:rPr>
            </w:pPr>
            <w:r>
              <w:rPr>
                <w:rFonts w:hint="eastAsia" w:ascii="宋体" w:hAnsi="宋体" w:eastAsia="宋体" w:cs="宋体"/>
                <w:i w:val="0"/>
                <w:color w:val="000000"/>
                <w:kern w:val="0"/>
                <w:sz w:val="18"/>
                <w:szCs w:val="18"/>
                <w:u w:val="none"/>
                <w:lang w:val="en-US" w:eastAsia="zh-CN" w:bidi="ar"/>
              </w:rPr>
              <w:t>形成地理标志申报指引，加强地理标志保护工作，促进农业增长，促进农民增加收益</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cs="宋体"/>
                <w:i w:val="0"/>
                <w:color w:val="000000"/>
                <w:kern w:val="0"/>
                <w:sz w:val="18"/>
                <w:szCs w:val="18"/>
                <w:u w:val="none"/>
                <w:lang w:val="en-US" w:eastAsia="zh-CN" w:bidi="ar"/>
              </w:rPr>
              <w:t>定性：</w:t>
            </w:r>
            <w:r>
              <w:rPr>
                <w:rFonts w:hint="eastAsia" w:ascii="宋体" w:hAnsi="宋体" w:eastAsia="宋体" w:cs="宋体"/>
                <w:i w:val="0"/>
                <w:color w:val="000000"/>
                <w:kern w:val="0"/>
                <w:sz w:val="18"/>
                <w:szCs w:val="18"/>
                <w:u w:val="none"/>
                <w:lang w:val="en-US" w:eastAsia="zh-CN" w:bidi="ar"/>
              </w:rPr>
              <w:t>高中低</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lang w:val="en-US" w:eastAsia="zh-CN" w:bidi="ar-SA"/>
              </w:rPr>
            </w:pPr>
            <w:r>
              <w:rPr>
                <w:rFonts w:hint="eastAsia" w:ascii="宋体" w:hAnsi="宋体" w:cs="宋体"/>
                <w:i w:val="0"/>
                <w:color w:val="000000"/>
                <w:kern w:val="0"/>
                <w:sz w:val="18"/>
                <w:szCs w:val="18"/>
                <w:u w:val="none"/>
                <w:lang w:val="en-US" w:eastAsia="zh-CN" w:bidi="ar"/>
              </w:rPr>
              <w:t>定性：</w:t>
            </w:r>
            <w:r>
              <w:rPr>
                <w:rFonts w:hint="eastAsia" w:ascii="宋体" w:hAnsi="宋体" w:eastAsia="宋体" w:cs="宋体"/>
                <w:i w:val="0"/>
                <w:color w:val="000000"/>
                <w:kern w:val="0"/>
                <w:sz w:val="18"/>
                <w:szCs w:val="18"/>
                <w:u w:val="none"/>
                <w:lang w:val="en-US" w:eastAsia="zh-CN" w:bidi="ar"/>
              </w:rPr>
              <w:t>高</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eastAsia="宋体" w:cs="宋体"/>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046"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效益指标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eastAsia="宋体" w:cs="宋体"/>
                <w:i w:val="0"/>
                <w:color w:val="000000"/>
                <w:kern w:val="0"/>
                <w:sz w:val="18"/>
                <w:szCs w:val="18"/>
                <w:u w:val="none"/>
                <w:lang w:val="en-US" w:eastAsia="zh-CN" w:bidi="ar"/>
              </w:rPr>
              <w:t>社会效益指标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color w:val="000000"/>
                <w:kern w:val="0"/>
                <w:sz w:val="18"/>
                <w:szCs w:val="18"/>
              </w:rPr>
            </w:pPr>
            <w:r>
              <w:rPr>
                <w:rFonts w:hint="eastAsia" w:ascii="宋体" w:hAnsi="宋体" w:eastAsia="宋体" w:cs="宋体"/>
                <w:i w:val="0"/>
                <w:color w:val="000000"/>
                <w:kern w:val="0"/>
                <w:sz w:val="18"/>
                <w:szCs w:val="18"/>
                <w:u w:val="none"/>
                <w:lang w:val="en-US" w:eastAsia="zh-CN" w:bidi="ar"/>
              </w:rPr>
              <w:t>提升品牌商标影响力，通过保护地理标志促进农业增长，促进农民增加收益</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cs="宋体"/>
                <w:i w:val="0"/>
                <w:color w:val="000000"/>
                <w:kern w:val="0"/>
                <w:sz w:val="18"/>
                <w:szCs w:val="18"/>
                <w:u w:val="none"/>
                <w:lang w:val="en-US" w:eastAsia="zh-CN" w:bidi="ar"/>
              </w:rPr>
              <w:t>定性：</w:t>
            </w:r>
            <w:r>
              <w:rPr>
                <w:rFonts w:hint="eastAsia" w:ascii="宋体" w:hAnsi="宋体" w:eastAsia="宋体" w:cs="宋体"/>
                <w:i w:val="0"/>
                <w:color w:val="000000"/>
                <w:kern w:val="0"/>
                <w:sz w:val="18"/>
                <w:szCs w:val="18"/>
                <w:u w:val="none"/>
                <w:lang w:val="en-US" w:eastAsia="zh-CN" w:bidi="ar"/>
              </w:rPr>
              <w:t>高中低</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lang w:val="en-US" w:eastAsia="zh-CN" w:bidi="ar-SA"/>
              </w:rPr>
            </w:pPr>
            <w:r>
              <w:rPr>
                <w:rFonts w:hint="eastAsia" w:ascii="宋体" w:hAnsi="宋体" w:cs="宋体"/>
                <w:i w:val="0"/>
                <w:color w:val="000000"/>
                <w:kern w:val="0"/>
                <w:sz w:val="18"/>
                <w:szCs w:val="18"/>
                <w:u w:val="none"/>
                <w:lang w:val="en-US" w:eastAsia="zh-CN" w:bidi="ar"/>
              </w:rPr>
              <w:t>定性：</w:t>
            </w:r>
            <w:r>
              <w:rPr>
                <w:rFonts w:hint="eastAsia" w:ascii="宋体" w:hAnsi="宋体" w:eastAsia="宋体" w:cs="宋体"/>
                <w:i w:val="0"/>
                <w:color w:val="000000"/>
                <w:kern w:val="0"/>
                <w:sz w:val="18"/>
                <w:szCs w:val="18"/>
                <w:u w:val="none"/>
                <w:lang w:val="en-US" w:eastAsia="zh-CN" w:bidi="ar"/>
              </w:rPr>
              <w:t>高</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eastAsia="宋体" w:cs="宋体"/>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1239"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效益指标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eastAsia="宋体" w:cs="宋体"/>
                <w:i w:val="0"/>
                <w:color w:val="000000"/>
                <w:kern w:val="0"/>
                <w:sz w:val="18"/>
                <w:szCs w:val="18"/>
                <w:u w:val="none"/>
                <w:lang w:val="en-US" w:eastAsia="zh-CN" w:bidi="ar"/>
              </w:rPr>
              <w:t>社会效益指标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color w:val="000000"/>
                <w:kern w:val="0"/>
                <w:sz w:val="18"/>
                <w:szCs w:val="18"/>
              </w:rPr>
            </w:pPr>
            <w:r>
              <w:rPr>
                <w:rFonts w:hint="eastAsia" w:ascii="宋体" w:hAnsi="宋体" w:eastAsia="宋体" w:cs="宋体"/>
                <w:i w:val="0"/>
                <w:color w:val="000000"/>
                <w:kern w:val="0"/>
                <w:sz w:val="18"/>
                <w:szCs w:val="18"/>
                <w:u w:val="none"/>
                <w:lang w:val="en-US" w:eastAsia="zh-CN" w:bidi="ar"/>
              </w:rPr>
              <w:t>处理专利侵权纠纷，形成良好的社会知识产权保护秩序，促过社会经济增长</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cs="宋体"/>
                <w:i w:val="0"/>
                <w:color w:val="000000"/>
                <w:kern w:val="0"/>
                <w:sz w:val="18"/>
                <w:szCs w:val="18"/>
                <w:u w:val="none"/>
                <w:lang w:val="en-US" w:eastAsia="zh-CN" w:bidi="ar"/>
              </w:rPr>
              <w:t>定性：</w:t>
            </w:r>
            <w:r>
              <w:rPr>
                <w:rFonts w:hint="eastAsia" w:ascii="宋体" w:hAnsi="宋体" w:eastAsia="宋体" w:cs="宋体"/>
                <w:i w:val="0"/>
                <w:color w:val="000000"/>
                <w:kern w:val="0"/>
                <w:sz w:val="18"/>
                <w:szCs w:val="18"/>
                <w:u w:val="none"/>
                <w:lang w:val="en-US" w:eastAsia="zh-CN" w:bidi="ar"/>
              </w:rPr>
              <w:t>高中低</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lang w:val="en-US" w:eastAsia="zh-CN" w:bidi="ar-SA"/>
              </w:rPr>
            </w:pPr>
            <w:r>
              <w:rPr>
                <w:rFonts w:hint="eastAsia" w:ascii="宋体" w:hAnsi="宋体" w:cs="宋体"/>
                <w:i w:val="0"/>
                <w:color w:val="000000"/>
                <w:kern w:val="0"/>
                <w:sz w:val="18"/>
                <w:szCs w:val="18"/>
                <w:u w:val="none"/>
                <w:lang w:val="en-US" w:eastAsia="zh-CN" w:bidi="ar"/>
              </w:rPr>
              <w:t>定性：</w:t>
            </w:r>
            <w:r>
              <w:rPr>
                <w:rFonts w:hint="eastAsia" w:ascii="宋体" w:hAnsi="宋体" w:eastAsia="宋体" w:cs="宋体"/>
                <w:i w:val="0"/>
                <w:color w:val="000000"/>
                <w:kern w:val="0"/>
                <w:sz w:val="18"/>
                <w:szCs w:val="18"/>
                <w:u w:val="none"/>
                <w:lang w:val="en-US" w:eastAsia="zh-CN" w:bidi="ar"/>
              </w:rPr>
              <w:t>高</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eastAsia="宋体" w:cs="宋体"/>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021"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效益指标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eastAsia="宋体" w:cs="宋体"/>
                <w:i w:val="0"/>
                <w:color w:val="000000"/>
                <w:kern w:val="0"/>
                <w:sz w:val="18"/>
                <w:szCs w:val="18"/>
                <w:u w:val="none"/>
                <w:lang w:val="en-US" w:eastAsia="zh-CN" w:bidi="ar"/>
              </w:rPr>
              <w:t>社会效益指标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color w:val="000000"/>
                <w:kern w:val="0"/>
                <w:sz w:val="18"/>
                <w:szCs w:val="18"/>
              </w:rPr>
            </w:pPr>
            <w:r>
              <w:rPr>
                <w:rFonts w:hint="eastAsia" w:ascii="宋体" w:hAnsi="宋体" w:eastAsia="宋体" w:cs="宋体"/>
                <w:i w:val="0"/>
                <w:color w:val="000000"/>
                <w:kern w:val="0"/>
                <w:sz w:val="18"/>
                <w:szCs w:val="18"/>
                <w:u w:val="none"/>
                <w:lang w:val="en-US" w:eastAsia="zh-CN" w:bidi="ar"/>
              </w:rPr>
              <w:t>行政裁决权下放北京市各区，各区知识产权局对专利侵权纠纷进行审理</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cs="宋体"/>
                <w:i w:val="0"/>
                <w:color w:val="000000"/>
                <w:kern w:val="0"/>
                <w:sz w:val="18"/>
                <w:szCs w:val="18"/>
                <w:u w:val="none"/>
                <w:lang w:val="en-US" w:eastAsia="zh-CN" w:bidi="ar"/>
              </w:rPr>
              <w:t>定性：</w:t>
            </w:r>
            <w:r>
              <w:rPr>
                <w:rFonts w:hint="eastAsia" w:ascii="宋体" w:hAnsi="宋体" w:eastAsia="宋体" w:cs="宋体"/>
                <w:i w:val="0"/>
                <w:color w:val="000000"/>
                <w:kern w:val="0"/>
                <w:sz w:val="18"/>
                <w:szCs w:val="18"/>
                <w:u w:val="none"/>
                <w:lang w:val="en-US" w:eastAsia="zh-CN" w:bidi="ar"/>
              </w:rPr>
              <w:t>高中低</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lang w:val="en-US" w:eastAsia="zh-CN" w:bidi="ar-SA"/>
              </w:rPr>
            </w:pPr>
            <w:r>
              <w:rPr>
                <w:rFonts w:hint="eastAsia" w:ascii="宋体" w:hAnsi="宋体" w:cs="宋体"/>
                <w:i w:val="0"/>
                <w:color w:val="000000"/>
                <w:kern w:val="0"/>
                <w:sz w:val="18"/>
                <w:szCs w:val="18"/>
                <w:u w:val="none"/>
                <w:lang w:val="en-US" w:eastAsia="zh-CN" w:bidi="ar"/>
              </w:rPr>
              <w:t>定性：</w:t>
            </w:r>
            <w:r>
              <w:rPr>
                <w:rFonts w:hint="eastAsia" w:ascii="宋体" w:hAnsi="宋体" w:eastAsia="宋体" w:cs="宋体"/>
                <w:i w:val="0"/>
                <w:color w:val="000000"/>
                <w:kern w:val="0"/>
                <w:sz w:val="18"/>
                <w:szCs w:val="18"/>
                <w:u w:val="none"/>
                <w:lang w:val="en-US" w:eastAsia="zh-CN" w:bidi="ar"/>
              </w:rPr>
              <w:t>高中低</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eastAsia="宋体" w:cs="宋体"/>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621"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效益指标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eastAsia="宋体" w:cs="宋体"/>
                <w:i w:val="0"/>
                <w:color w:val="000000"/>
                <w:kern w:val="0"/>
                <w:sz w:val="18"/>
                <w:szCs w:val="18"/>
                <w:u w:val="none"/>
                <w:lang w:val="en-US" w:eastAsia="zh-CN" w:bidi="ar"/>
              </w:rPr>
              <w:t>社会效益指标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color w:val="000000"/>
                <w:kern w:val="0"/>
                <w:sz w:val="18"/>
                <w:szCs w:val="18"/>
              </w:rPr>
            </w:pPr>
            <w:r>
              <w:rPr>
                <w:rFonts w:hint="eastAsia" w:ascii="宋体" w:hAnsi="宋体" w:eastAsia="宋体" w:cs="宋体"/>
                <w:i w:val="0"/>
                <w:color w:val="000000"/>
                <w:kern w:val="0"/>
                <w:sz w:val="18"/>
                <w:szCs w:val="18"/>
                <w:u w:val="none"/>
                <w:lang w:val="en-US" w:eastAsia="zh-CN" w:bidi="ar"/>
              </w:rPr>
              <w:t>对重大案件进行研讨</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cs="宋体"/>
                <w:i w:val="0"/>
                <w:color w:val="000000"/>
                <w:kern w:val="0"/>
                <w:sz w:val="18"/>
                <w:szCs w:val="18"/>
                <w:u w:val="none"/>
                <w:lang w:val="en-US" w:eastAsia="zh-CN" w:bidi="ar"/>
              </w:rPr>
              <w:t>定性：</w:t>
            </w:r>
            <w:r>
              <w:rPr>
                <w:rFonts w:hint="eastAsia" w:ascii="宋体" w:hAnsi="宋体" w:eastAsia="宋体" w:cs="宋体"/>
                <w:i w:val="0"/>
                <w:color w:val="000000"/>
                <w:kern w:val="0"/>
                <w:sz w:val="18"/>
                <w:szCs w:val="18"/>
                <w:u w:val="none"/>
                <w:lang w:val="en-US" w:eastAsia="zh-CN" w:bidi="ar"/>
              </w:rPr>
              <w:t>高中低</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lang w:val="en-US" w:eastAsia="zh-CN" w:bidi="ar-SA"/>
              </w:rPr>
            </w:pPr>
            <w:r>
              <w:rPr>
                <w:rFonts w:hint="eastAsia" w:ascii="宋体" w:hAnsi="宋体" w:cs="宋体"/>
                <w:i w:val="0"/>
                <w:color w:val="000000"/>
                <w:kern w:val="0"/>
                <w:sz w:val="18"/>
                <w:szCs w:val="18"/>
                <w:u w:val="none"/>
                <w:lang w:val="en-US" w:eastAsia="zh-CN" w:bidi="ar"/>
              </w:rPr>
              <w:t>定性：</w:t>
            </w:r>
            <w:r>
              <w:rPr>
                <w:rFonts w:hint="eastAsia" w:ascii="宋体" w:hAnsi="宋体" w:eastAsia="宋体" w:cs="宋体"/>
                <w:i w:val="0"/>
                <w:color w:val="000000"/>
                <w:kern w:val="0"/>
                <w:sz w:val="18"/>
                <w:szCs w:val="18"/>
                <w:u w:val="none"/>
                <w:lang w:val="en-US" w:eastAsia="zh-CN" w:bidi="ar"/>
              </w:rPr>
              <w:t>高</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eastAsia="宋体" w:cs="宋体"/>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289"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效益指标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eastAsia="宋体" w:cs="宋体"/>
                <w:i w:val="0"/>
                <w:color w:val="000000"/>
                <w:kern w:val="0"/>
                <w:sz w:val="18"/>
                <w:szCs w:val="18"/>
                <w:u w:val="none"/>
                <w:lang w:val="en-US" w:eastAsia="zh-CN" w:bidi="ar"/>
              </w:rPr>
              <w:t>社会效益指标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color w:val="000000"/>
                <w:kern w:val="0"/>
                <w:sz w:val="18"/>
                <w:szCs w:val="18"/>
              </w:rPr>
            </w:pPr>
            <w:r>
              <w:rPr>
                <w:rFonts w:hint="eastAsia" w:ascii="宋体" w:hAnsi="宋体" w:eastAsia="宋体" w:cs="宋体"/>
                <w:i w:val="0"/>
                <w:color w:val="000000"/>
                <w:kern w:val="0"/>
                <w:sz w:val="18"/>
                <w:szCs w:val="18"/>
                <w:u w:val="none"/>
                <w:lang w:val="en-US" w:eastAsia="zh-CN" w:bidi="ar"/>
              </w:rPr>
              <w:t>形成专利行业领域保护机制研究报告，对专利行业领域保护机制形成有效指引。</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cs="宋体"/>
                <w:i w:val="0"/>
                <w:color w:val="000000"/>
                <w:kern w:val="0"/>
                <w:sz w:val="18"/>
                <w:szCs w:val="18"/>
                <w:u w:val="none"/>
                <w:lang w:val="en-US" w:eastAsia="zh-CN" w:bidi="ar"/>
              </w:rPr>
              <w:t>定性：</w:t>
            </w:r>
            <w:r>
              <w:rPr>
                <w:rFonts w:hint="eastAsia" w:ascii="宋体" w:hAnsi="宋体" w:eastAsia="宋体" w:cs="宋体"/>
                <w:i w:val="0"/>
                <w:color w:val="000000"/>
                <w:kern w:val="0"/>
                <w:sz w:val="18"/>
                <w:szCs w:val="18"/>
                <w:u w:val="none"/>
                <w:lang w:val="en-US" w:eastAsia="zh-CN" w:bidi="ar"/>
              </w:rPr>
              <w:t>高中低</w:t>
            </w:r>
          </w:p>
        </w:tc>
        <w:tc>
          <w:tcPr>
            <w:tcW w:w="505"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lang w:val="en-US" w:eastAsia="zh-CN" w:bidi="ar-SA"/>
              </w:rPr>
            </w:pPr>
            <w:r>
              <w:rPr>
                <w:rFonts w:hint="eastAsia" w:ascii="宋体" w:hAnsi="宋体" w:cs="宋体"/>
                <w:i w:val="0"/>
                <w:color w:val="000000"/>
                <w:kern w:val="0"/>
                <w:sz w:val="18"/>
                <w:szCs w:val="18"/>
                <w:u w:val="none"/>
                <w:lang w:val="en-US" w:eastAsia="zh-CN" w:bidi="ar"/>
              </w:rPr>
              <w:t>定性：</w:t>
            </w:r>
            <w:r>
              <w:rPr>
                <w:rFonts w:hint="eastAsia" w:ascii="宋体" w:hAnsi="宋体" w:eastAsia="宋体" w:cs="宋体"/>
                <w:i w:val="0"/>
                <w:color w:val="000000"/>
                <w:kern w:val="0"/>
                <w:sz w:val="18"/>
                <w:szCs w:val="18"/>
                <w:u w:val="none"/>
                <w:lang w:val="en-US" w:eastAsia="zh-CN" w:bidi="ar"/>
              </w:rPr>
              <w:t>高</w:t>
            </w:r>
          </w:p>
        </w:tc>
        <w:tc>
          <w:tcPr>
            <w:tcW w:w="311"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rPr>
            </w:pPr>
            <w:r>
              <w:rPr>
                <w:rFonts w:hint="eastAsia" w:ascii="宋体" w:hAnsi="宋体" w:eastAsia="宋体" w:cs="宋体"/>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ascii="仿宋_GB2312" w:hAnsi="宋体" w:eastAsia="仿宋_GB2312"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471"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18"/>
                <w:szCs w:val="18"/>
              </w:rPr>
              <w:t>效益指标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jc w:val="center"/>
              <w:textAlignment w:val="auto"/>
              <w:rPr>
                <w:rFonts w:ascii="仿宋_GB2312" w:hAnsi="宋体" w:eastAsia="仿宋_GB2312" w:cs="宋体"/>
                <w:kern w:val="0"/>
                <w:szCs w:val="21"/>
              </w:rPr>
            </w:pPr>
            <w:r>
              <w:rPr>
                <w:rFonts w:hint="eastAsia" w:ascii="仿宋_GB2312" w:hAnsi="宋体" w:eastAsia="仿宋_GB2312" w:cs="宋体"/>
                <w:kern w:val="0"/>
                <w:sz w:val="18"/>
                <w:szCs w:val="18"/>
              </w:rPr>
              <w:t>可持续影响指标</w:t>
            </w:r>
          </w:p>
        </w:tc>
        <w:tc>
          <w:tcPr>
            <w:tcW w:w="1057"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 w:val="18"/>
                <w:szCs w:val="18"/>
              </w:rPr>
              <w:t>可持续影响指标</w:t>
            </w:r>
          </w:p>
        </w:tc>
        <w:tc>
          <w:tcPr>
            <w:tcW w:w="59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i w:val="0"/>
                <w:color w:val="000000"/>
                <w:kern w:val="0"/>
                <w:sz w:val="18"/>
                <w:szCs w:val="18"/>
                <w:u w:val="none"/>
                <w:lang w:val="en-US" w:eastAsia="zh-CN" w:bidi="ar"/>
              </w:rPr>
              <w:t>定性：好坏</w:t>
            </w:r>
          </w:p>
        </w:tc>
        <w:tc>
          <w:tcPr>
            <w:tcW w:w="5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i w:val="0"/>
                <w:color w:val="000000"/>
                <w:kern w:val="0"/>
                <w:sz w:val="18"/>
                <w:szCs w:val="18"/>
                <w:u w:val="none"/>
                <w:lang w:val="en-US" w:eastAsia="zh-CN" w:bidi="ar"/>
              </w:rPr>
              <w:t>定性：好</w:t>
            </w:r>
          </w:p>
        </w:tc>
        <w:tc>
          <w:tcPr>
            <w:tcW w:w="311"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lang w:val="en-US" w:eastAsia="zh-CN"/>
              </w:rPr>
            </w:pPr>
            <w:r>
              <w:rPr>
                <w:rFonts w:hint="eastAsia" w:ascii="宋体" w:hAnsi="宋体" w:eastAsia="宋体" w:cs="宋体"/>
                <w:i w:val="0"/>
                <w:color w:val="000000"/>
                <w:kern w:val="0"/>
                <w:sz w:val="18"/>
                <w:szCs w:val="18"/>
                <w:u w:val="none"/>
                <w:lang w:val="en-US" w:eastAsia="zh-CN" w:bidi="ar"/>
              </w:rPr>
              <w:t>2</w:t>
            </w:r>
          </w:p>
        </w:tc>
        <w:tc>
          <w:tcPr>
            <w:tcW w:w="466"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18"/>
                <w:szCs w:val="18"/>
                <w:u w:val="none"/>
                <w:lang w:val="en-US" w:eastAsia="zh-CN" w:bidi="ar"/>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14" w:hRule="exact"/>
          <w:jc w:val="center"/>
        </w:trPr>
        <w:tc>
          <w:tcPr>
            <w:tcW w:w="308"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成本指标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185.91万元</w:t>
            </w:r>
          </w:p>
        </w:tc>
        <w:tc>
          <w:tcPr>
            <w:tcW w:w="593" w:type="pct"/>
            <w:tcBorders>
              <w:top w:val="single" w:color="auto" w:sz="4" w:space="0"/>
              <w:left w:val="nil"/>
              <w:bottom w:val="single" w:color="auto" w:sz="4" w:space="0"/>
              <w:right w:val="single" w:color="auto" w:sz="4" w:space="0"/>
            </w:tcBorders>
            <w:vAlign w:val="center"/>
          </w:tcPr>
          <w:p>
            <w:pPr>
              <w:keepNext w:val="0"/>
              <w:keepLines w:val="0"/>
              <w:pageBreakBefore w:val="0"/>
              <w:widowControl/>
              <w:tabs>
                <w:tab w:val="left" w:pos="380"/>
              </w:tabs>
              <w:kinsoku/>
              <w:wordWrap/>
              <w:overflowPunct/>
              <w:topLinePunct w:val="0"/>
              <w:autoSpaceDE/>
              <w:autoSpaceDN/>
              <w:bidi w:val="0"/>
              <w:adjustRightInd w:val="0"/>
              <w:snapToGrid w:val="0"/>
              <w:spacing w:line="220" w:lineRule="exact"/>
              <w:jc w:val="both"/>
              <w:textAlignment w:val="auto"/>
              <w:rPr>
                <w:rFonts w:hint="eastAsia" w:ascii="仿宋_GB2312" w:hAnsi="宋体" w:eastAsia="仿宋_GB2312" w:cs="宋体"/>
                <w:kern w:val="0"/>
                <w:szCs w:val="21"/>
                <w:lang w:eastAsia="zh-CN"/>
              </w:rPr>
            </w:pPr>
            <w:r>
              <w:rPr>
                <w:rFonts w:hint="eastAsia" w:ascii="仿宋_GB2312" w:hAnsi="仿宋_GB2312" w:eastAsia="仿宋_GB2312" w:cs="仿宋_GB2312"/>
                <w:i w:val="0"/>
                <w:color w:val="000000"/>
                <w:kern w:val="0"/>
                <w:sz w:val="18"/>
                <w:szCs w:val="18"/>
                <w:u w:val="none"/>
                <w:lang w:val="en-US" w:eastAsia="zh-CN" w:bidi="ar"/>
              </w:rPr>
              <w:t>≤185.91万元/每项目</w:t>
            </w:r>
          </w:p>
        </w:tc>
        <w:tc>
          <w:tcPr>
            <w:tcW w:w="505" w:type="pct"/>
            <w:tcBorders>
              <w:top w:val="single" w:color="auto" w:sz="4" w:space="0"/>
              <w:left w:val="nil"/>
              <w:bottom w:val="single" w:color="auto" w:sz="4" w:space="0"/>
              <w:right w:val="single" w:color="auto" w:sz="4" w:space="0"/>
            </w:tcBorders>
            <w:vAlign w:val="center"/>
          </w:tcPr>
          <w:p>
            <w:pPr>
              <w:widowControl/>
              <w:spacing w:line="240" w:lineRule="exact"/>
              <w:jc w:val="both"/>
              <w:rPr>
                <w:rFonts w:ascii="仿宋_GB2312" w:hAnsi="宋体" w:eastAsia="仿宋_GB2312" w:cs="宋体"/>
                <w:kern w:val="0"/>
                <w:szCs w:val="21"/>
              </w:rPr>
            </w:pPr>
            <w:r>
              <w:rPr>
                <w:rFonts w:hint="eastAsia" w:ascii="仿宋_GB2312" w:hAnsi="仿宋_GB2312" w:eastAsia="仿宋_GB2312" w:cs="仿宋_GB2312"/>
                <w:i w:val="0"/>
                <w:color w:val="000000"/>
                <w:kern w:val="0"/>
                <w:sz w:val="18"/>
                <w:szCs w:val="18"/>
                <w:u w:val="none"/>
                <w:lang w:val="en-US" w:eastAsia="zh-CN" w:bidi="ar"/>
              </w:rPr>
              <w:t>81.3461万元/每项目</w:t>
            </w:r>
          </w:p>
        </w:tc>
        <w:tc>
          <w:tcPr>
            <w:tcW w:w="311"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466"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5</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826" w:hRule="exact"/>
          <w:jc w:val="center"/>
        </w:trPr>
        <w:tc>
          <w:tcPr>
            <w:tcW w:w="308"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产出指标</w:t>
            </w:r>
          </w:p>
        </w:tc>
        <w:tc>
          <w:tcPr>
            <w:tcW w:w="60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kern w:val="0"/>
                <w:sz w:val="18"/>
                <w:szCs w:val="18"/>
              </w:rPr>
            </w:pPr>
            <w:r>
              <w:rPr>
                <w:rFonts w:hint="eastAsia" w:ascii="仿宋_GB2312" w:hAnsi="仿宋_GB2312" w:eastAsia="仿宋_GB2312" w:cs="仿宋_GB2312"/>
                <w:i w:val="0"/>
                <w:color w:val="000000"/>
                <w:kern w:val="0"/>
                <w:sz w:val="18"/>
                <w:szCs w:val="18"/>
                <w:u w:val="none"/>
                <w:lang w:val="en-US" w:eastAsia="zh-CN" w:bidi="ar"/>
              </w:rPr>
              <w:t>成本指标</w:t>
            </w:r>
          </w:p>
        </w:tc>
        <w:tc>
          <w:tcPr>
            <w:tcW w:w="1057" w:type="pct"/>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jc w:val="left"/>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i w:val="0"/>
                <w:color w:val="000000"/>
                <w:kern w:val="0"/>
                <w:sz w:val="18"/>
                <w:szCs w:val="18"/>
                <w:u w:val="none"/>
                <w:lang w:val="en-US" w:eastAsia="zh-CN" w:bidi="ar"/>
              </w:rPr>
              <w:t>将知识产权保护项目金额控制在185.91万元以内</w:t>
            </w:r>
          </w:p>
        </w:tc>
        <w:tc>
          <w:tcPr>
            <w:tcW w:w="59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rPr>
            </w:pPr>
            <w:r>
              <w:rPr>
                <w:rFonts w:hint="eastAsia" w:ascii="仿宋_GB2312" w:hAnsi="仿宋_GB2312" w:eastAsia="仿宋_GB2312" w:cs="仿宋_GB2312"/>
                <w:i w:val="0"/>
                <w:color w:val="000000"/>
                <w:kern w:val="0"/>
                <w:sz w:val="18"/>
                <w:szCs w:val="18"/>
                <w:u w:val="none"/>
                <w:lang w:val="en-US" w:eastAsia="zh-CN" w:bidi="ar"/>
              </w:rPr>
              <w:t>=185.91万元/场</w:t>
            </w:r>
          </w:p>
        </w:tc>
        <w:tc>
          <w:tcPr>
            <w:tcW w:w="5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仿宋_GB2312" w:eastAsia="仿宋_GB2312" w:cs="仿宋_GB2312"/>
                <w:i w:val="0"/>
                <w:color w:val="000000"/>
                <w:kern w:val="0"/>
                <w:sz w:val="18"/>
                <w:szCs w:val="18"/>
                <w:u w:val="none"/>
                <w:lang w:val="en-US" w:eastAsia="zh-CN" w:bidi="ar"/>
              </w:rPr>
              <w:t>81.3461万元/场</w:t>
            </w:r>
          </w:p>
        </w:tc>
        <w:tc>
          <w:tcPr>
            <w:tcW w:w="311"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466"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2</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3600" w:type="pct"/>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31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46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91.75</w:t>
            </w:r>
          </w:p>
        </w:tc>
        <w:tc>
          <w:tcPr>
            <w:tcW w:w="62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520" w:lineRule="exact"/>
        <w:ind w:firstLine="640" w:firstLineChars="200"/>
        <w:rPr>
          <w:rFonts w:ascii="仿宋_GB2312" w:hAnsi="宋体" w:eastAsia="仿宋_GB2312" w:cs="宋体"/>
          <w:color w:val="000000"/>
          <w:kern w:val="0"/>
          <w:sz w:val="32"/>
          <w:szCs w:val="32"/>
        </w:rPr>
      </w:pP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420FAB"/>
    <w:rsid w:val="004C3E67"/>
    <w:rsid w:val="009E6967"/>
    <w:rsid w:val="00E12DCF"/>
    <w:rsid w:val="00FB2116"/>
    <w:rsid w:val="05432806"/>
    <w:rsid w:val="069E3104"/>
    <w:rsid w:val="079B50AB"/>
    <w:rsid w:val="10020BAB"/>
    <w:rsid w:val="12B8636E"/>
    <w:rsid w:val="132C705F"/>
    <w:rsid w:val="16B00220"/>
    <w:rsid w:val="18BE9ACA"/>
    <w:rsid w:val="1F6B5EEE"/>
    <w:rsid w:val="1FEA1DBE"/>
    <w:rsid w:val="1FFF5608"/>
    <w:rsid w:val="20666213"/>
    <w:rsid w:val="21F202E7"/>
    <w:rsid w:val="22320BFA"/>
    <w:rsid w:val="25140EF8"/>
    <w:rsid w:val="25BE498B"/>
    <w:rsid w:val="26390A95"/>
    <w:rsid w:val="2AAE2ACB"/>
    <w:rsid w:val="302B39DE"/>
    <w:rsid w:val="31566E96"/>
    <w:rsid w:val="31586E54"/>
    <w:rsid w:val="316F7597"/>
    <w:rsid w:val="321E41A6"/>
    <w:rsid w:val="33FD86AC"/>
    <w:rsid w:val="34E063FB"/>
    <w:rsid w:val="37173543"/>
    <w:rsid w:val="3B2E4859"/>
    <w:rsid w:val="3B751C89"/>
    <w:rsid w:val="3B8002A2"/>
    <w:rsid w:val="3C6A7211"/>
    <w:rsid w:val="3E2B237B"/>
    <w:rsid w:val="3F48572E"/>
    <w:rsid w:val="3F6BD9BF"/>
    <w:rsid w:val="3FF76880"/>
    <w:rsid w:val="41D93A1E"/>
    <w:rsid w:val="444D1945"/>
    <w:rsid w:val="45D829B5"/>
    <w:rsid w:val="464D6317"/>
    <w:rsid w:val="468B6C68"/>
    <w:rsid w:val="46E7655C"/>
    <w:rsid w:val="496242BE"/>
    <w:rsid w:val="496D2CAD"/>
    <w:rsid w:val="502B122A"/>
    <w:rsid w:val="505A6BDF"/>
    <w:rsid w:val="50EE5CE5"/>
    <w:rsid w:val="51B5526C"/>
    <w:rsid w:val="53D3F65B"/>
    <w:rsid w:val="55A17532"/>
    <w:rsid w:val="571655FB"/>
    <w:rsid w:val="5B4F456B"/>
    <w:rsid w:val="5F5577E2"/>
    <w:rsid w:val="5FC777E1"/>
    <w:rsid w:val="60692696"/>
    <w:rsid w:val="62CA4F73"/>
    <w:rsid w:val="64792530"/>
    <w:rsid w:val="64AE7C63"/>
    <w:rsid w:val="680656C1"/>
    <w:rsid w:val="69730ED8"/>
    <w:rsid w:val="6A4905A2"/>
    <w:rsid w:val="6AE7AE06"/>
    <w:rsid w:val="6B8948D2"/>
    <w:rsid w:val="6BBD0311"/>
    <w:rsid w:val="6F930A49"/>
    <w:rsid w:val="6FFD9984"/>
    <w:rsid w:val="70962E9E"/>
    <w:rsid w:val="71872E8D"/>
    <w:rsid w:val="73A96BDE"/>
    <w:rsid w:val="76106CA8"/>
    <w:rsid w:val="777D8F66"/>
    <w:rsid w:val="77CE865F"/>
    <w:rsid w:val="7AB7FF50"/>
    <w:rsid w:val="7BBA4E35"/>
    <w:rsid w:val="7BF8521D"/>
    <w:rsid w:val="7BFEB0DB"/>
    <w:rsid w:val="7D9A15D4"/>
    <w:rsid w:val="7DD3644C"/>
    <w:rsid w:val="7DFFC8E8"/>
    <w:rsid w:val="7E2F1FF2"/>
    <w:rsid w:val="7E860475"/>
    <w:rsid w:val="7EBE2A2E"/>
    <w:rsid w:val="7F9B608E"/>
    <w:rsid w:val="7FFC9613"/>
    <w:rsid w:val="9FDFE92E"/>
    <w:rsid w:val="ADFBAFF6"/>
    <w:rsid w:val="CEFD3F3D"/>
    <w:rsid w:val="D6CD8E78"/>
    <w:rsid w:val="DB719BF7"/>
    <w:rsid w:val="DD624DFC"/>
    <w:rsid w:val="E76F2340"/>
    <w:rsid w:val="EA3F77F2"/>
    <w:rsid w:val="EEBF4ED9"/>
    <w:rsid w:val="EEFE5989"/>
    <w:rsid w:val="EF7FEC90"/>
    <w:rsid w:val="EFCF3EAE"/>
    <w:rsid w:val="F5B764A2"/>
    <w:rsid w:val="F6B35F9F"/>
    <w:rsid w:val="F77F09F4"/>
    <w:rsid w:val="F7EF0C98"/>
    <w:rsid w:val="F9DF8CF9"/>
    <w:rsid w:val="FACFFED3"/>
    <w:rsid w:val="FB33E55A"/>
    <w:rsid w:val="FFB7C77B"/>
    <w:rsid w:val="FFCF4B1B"/>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index heading"/>
    <w:basedOn w:val="1"/>
    <w:next w:val="3"/>
    <w:qFormat/>
    <w:uiPriority w:val="99"/>
    <w:rPr>
      <w:rFonts w:ascii="Arial" w:hAnsi="Arial" w:eastAsia="等线" w:cs="Times New Roman"/>
      <w:b/>
    </w:rPr>
  </w:style>
  <w:style w:type="paragraph" w:styleId="3">
    <w:name w:val="index 1"/>
    <w:basedOn w:val="1"/>
    <w:next w:val="1"/>
    <w:unhideWhenUsed/>
    <w:qFormat/>
    <w:uiPriority w:val="99"/>
    <w:pPr>
      <w:jc w:val="left"/>
    </w:pPr>
    <w:rPr>
      <w:rFonts w:ascii="仿宋" w:hAnsi="仿宋" w:eastAsia="仿宋"/>
      <w:sz w:val="32"/>
      <w:szCs w:val="32"/>
    </w:rPr>
  </w:style>
  <w:style w:type="paragraph" w:styleId="5">
    <w:name w:val="annotation text"/>
    <w:basedOn w:val="1"/>
    <w:link w:val="13"/>
    <w:qFormat/>
    <w:uiPriority w:val="0"/>
    <w:pPr>
      <w:jc w:val="left"/>
    </w:p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annotation subject"/>
    <w:basedOn w:val="5"/>
    <w:next w:val="5"/>
    <w:link w:val="14"/>
    <w:qFormat/>
    <w:uiPriority w:val="0"/>
    <w:rPr>
      <w:b/>
      <w:bCs/>
    </w:rPr>
  </w:style>
  <w:style w:type="character" w:styleId="11">
    <w:name w:val="annotation reference"/>
    <w:basedOn w:val="10"/>
    <w:qFormat/>
    <w:uiPriority w:val="0"/>
    <w:rPr>
      <w:sz w:val="21"/>
      <w:szCs w:val="21"/>
    </w:rPr>
  </w:style>
  <w:style w:type="paragraph" w:customStyle="1" w:styleId="12">
    <w:name w:val="列出段落1"/>
    <w:basedOn w:val="1"/>
    <w:qFormat/>
    <w:uiPriority w:val="34"/>
    <w:pPr>
      <w:ind w:firstLine="420" w:firstLineChars="200"/>
    </w:pPr>
    <w:rPr>
      <w:rFonts w:ascii="Calibri" w:hAnsi="Calibri" w:cs="黑体"/>
      <w:szCs w:val="22"/>
    </w:rPr>
  </w:style>
  <w:style w:type="character" w:customStyle="1" w:styleId="13">
    <w:name w:val="批注文字 字符"/>
    <w:basedOn w:val="10"/>
    <w:link w:val="5"/>
    <w:qFormat/>
    <w:uiPriority w:val="0"/>
    <w:rPr>
      <w:rFonts w:ascii="Times New Roman" w:hAnsi="Times New Roman" w:eastAsia="宋体" w:cs="Times New Roman"/>
      <w:kern w:val="2"/>
      <w:sz w:val="21"/>
      <w:szCs w:val="24"/>
    </w:rPr>
  </w:style>
  <w:style w:type="character" w:customStyle="1" w:styleId="14">
    <w:name w:val="批注主题 字符"/>
    <w:basedOn w:val="13"/>
    <w:link w:val="8"/>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204</Words>
  <Characters>1169</Characters>
  <Lines>9</Lines>
  <Paragraphs>2</Paragraphs>
  <TotalTime>17</TotalTime>
  <ScaleCrop>false</ScaleCrop>
  <LinksUpToDate>false</LinksUpToDate>
  <CharactersWithSpaces>1371</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2022-03-13T19:16:00Z</dcterms:created>
  <dc:creator>user</dc:creator>
  <cp:lastModifiedBy>user</cp:lastModifiedBy>
  <cp:lastPrinted>2022-03-28T02:01:00Z</cp:lastPrinted>
  <dcterms:modified xsi:type="dcterms:W3CDTF">2023-06-27T11:21:27Z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554F12AC091F4E488FF990FBB1694EC3</vt:lpwstr>
  </property>
</Properties>
</file>