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rPr>
          <w:rFonts w:ascii="黑体" w:hAnsi="黑体" w:eastAsia="黑体"/>
          <w:sz w:val="32"/>
          <w:szCs w:val="32"/>
        </w:rPr>
      </w:pPr>
      <w:bookmarkStart w:id="0" w:name="_GoBack"/>
      <w:bookmarkEnd w:id="0"/>
      <w:r>
        <w:rPr>
          <w:rFonts w:hint="eastAsia" w:ascii="黑体" w:hAnsi="黑体" w:eastAsia="黑体"/>
          <w:sz w:val="32"/>
          <w:szCs w:val="32"/>
        </w:rPr>
        <w:t>附件1</w:t>
      </w:r>
    </w:p>
    <w:p>
      <w:pPr>
        <w:spacing w:line="480" w:lineRule="exact"/>
        <w:jc w:val="center"/>
        <w:rPr>
          <w:rFonts w:ascii="方正小标宋简体" w:hAnsi="黑体" w:eastAsia="方正小标宋简体"/>
          <w:sz w:val="36"/>
          <w:szCs w:val="36"/>
        </w:rPr>
      </w:pPr>
      <w:r>
        <w:rPr>
          <w:rFonts w:hint="eastAsia" w:ascii="方正小标宋简体" w:hAnsi="黑体" w:eastAsia="方正小标宋简体"/>
          <w:sz w:val="36"/>
          <w:szCs w:val="36"/>
        </w:rPr>
        <w:t>项目支出绩效自评表</w:t>
      </w:r>
    </w:p>
    <w:p>
      <w:pPr>
        <w:spacing w:line="480" w:lineRule="exact"/>
        <w:rPr>
          <w:rFonts w:ascii="仿宋_GB2312" w:hAnsi="宋体" w:eastAsia="仿宋_GB2312"/>
          <w:sz w:val="28"/>
          <w:szCs w:val="28"/>
        </w:rPr>
      </w:pPr>
      <w:r>
        <w:rPr>
          <w:rFonts w:hint="eastAsia" w:ascii="仿宋_GB2312" w:eastAsia="仿宋_GB2312"/>
          <w:sz w:val="28"/>
          <w:szCs w:val="28"/>
        </w:rPr>
        <w:t xml:space="preserve">                   </w:t>
      </w:r>
      <w:r>
        <w:rPr>
          <w:rFonts w:ascii="仿宋_GB2312" w:eastAsia="仿宋_GB2312"/>
          <w:sz w:val="28"/>
          <w:szCs w:val="28"/>
        </w:rPr>
        <w:t xml:space="preserve">  </w:t>
      </w:r>
      <w:r>
        <w:rPr>
          <w:rFonts w:hint="eastAsia" w:ascii="仿宋_GB2312" w:hAnsi="宋体" w:eastAsia="仿宋_GB2312"/>
          <w:sz w:val="28"/>
          <w:szCs w:val="28"/>
        </w:rPr>
        <w:t xml:space="preserve"> </w:t>
      </w:r>
      <w:r>
        <w:rPr>
          <w:rFonts w:ascii="仿宋_GB2312" w:hAnsi="宋体" w:eastAsia="仿宋_GB2312"/>
          <w:sz w:val="28"/>
          <w:szCs w:val="28"/>
        </w:rPr>
        <w:t xml:space="preserve"> </w:t>
      </w:r>
      <w:r>
        <w:rPr>
          <w:rFonts w:hint="eastAsia" w:ascii="仿宋_GB2312" w:hAnsi="宋体" w:eastAsia="仿宋_GB2312"/>
          <w:sz w:val="28"/>
          <w:szCs w:val="28"/>
        </w:rPr>
        <w:t xml:space="preserve">  （2022年度）</w:t>
      </w:r>
    </w:p>
    <w:p>
      <w:pPr>
        <w:spacing w:line="240" w:lineRule="exact"/>
        <w:rPr>
          <w:rFonts w:ascii="仿宋_GB2312" w:hAnsi="宋体" w:eastAsia="仿宋_GB2312"/>
          <w:sz w:val="30"/>
          <w:szCs w:val="30"/>
        </w:rPr>
      </w:pPr>
    </w:p>
    <w:tbl>
      <w:tblPr>
        <w:tblStyle w:val="8"/>
        <w:tblW w:w="9645" w:type="dxa"/>
        <w:jc w:val="center"/>
        <w:tblLayout w:type="fixed"/>
        <w:tblCellMar>
          <w:top w:w="0" w:type="dxa"/>
          <w:left w:w="108" w:type="dxa"/>
          <w:bottom w:w="0" w:type="dxa"/>
          <w:right w:w="108" w:type="dxa"/>
        </w:tblCellMar>
      </w:tblPr>
      <w:tblGrid>
        <w:gridCol w:w="580"/>
        <w:gridCol w:w="972"/>
        <w:gridCol w:w="1104"/>
        <w:gridCol w:w="463"/>
        <w:gridCol w:w="992"/>
        <w:gridCol w:w="224"/>
        <w:gridCol w:w="768"/>
        <w:gridCol w:w="1701"/>
        <w:gridCol w:w="531"/>
        <w:gridCol w:w="138"/>
        <w:gridCol w:w="645"/>
        <w:gridCol w:w="201"/>
        <w:gridCol w:w="1326"/>
      </w:tblGrid>
      <w:tr>
        <w:tblPrEx>
          <w:tblCellMar>
            <w:top w:w="0" w:type="dxa"/>
            <w:left w:w="108" w:type="dxa"/>
            <w:bottom w:w="0" w:type="dxa"/>
            <w:right w:w="108" w:type="dxa"/>
          </w:tblCellMar>
        </w:tblPrEx>
        <w:trPr>
          <w:trHeight w:val="306" w:hRule="exact"/>
          <w:jc w:val="center"/>
        </w:trPr>
        <w:tc>
          <w:tcPr>
            <w:tcW w:w="1552"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项目名称</w:t>
            </w:r>
          </w:p>
        </w:tc>
        <w:tc>
          <w:tcPr>
            <w:tcW w:w="8093" w:type="dxa"/>
            <w:gridSpan w:val="11"/>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知识产权纠纷多元调解及机制建设</w:t>
            </w:r>
          </w:p>
        </w:tc>
      </w:tr>
      <w:tr>
        <w:tblPrEx>
          <w:tblCellMar>
            <w:top w:w="0" w:type="dxa"/>
            <w:left w:w="108" w:type="dxa"/>
            <w:bottom w:w="0" w:type="dxa"/>
            <w:right w:w="108" w:type="dxa"/>
          </w:tblCellMar>
        </w:tblPrEx>
        <w:trPr>
          <w:trHeight w:val="576" w:hRule="exact"/>
          <w:jc w:val="center"/>
        </w:trPr>
        <w:tc>
          <w:tcPr>
            <w:tcW w:w="1552"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主管部门</w:t>
            </w:r>
          </w:p>
        </w:tc>
        <w:tc>
          <w:tcPr>
            <w:tcW w:w="355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北京市知识产权局</w:t>
            </w:r>
          </w:p>
        </w:tc>
        <w:tc>
          <w:tcPr>
            <w:tcW w:w="1701"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实施单位</w:t>
            </w:r>
          </w:p>
        </w:tc>
        <w:tc>
          <w:tcPr>
            <w:tcW w:w="284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北京市知识产权保护中心</w:t>
            </w:r>
          </w:p>
        </w:tc>
      </w:tr>
      <w:tr>
        <w:tblPrEx>
          <w:tblCellMar>
            <w:top w:w="0" w:type="dxa"/>
            <w:left w:w="108" w:type="dxa"/>
            <w:bottom w:w="0" w:type="dxa"/>
            <w:right w:w="108" w:type="dxa"/>
          </w:tblCellMar>
        </w:tblPrEx>
        <w:trPr>
          <w:trHeight w:val="306" w:hRule="exact"/>
          <w:jc w:val="center"/>
        </w:trPr>
        <w:tc>
          <w:tcPr>
            <w:tcW w:w="1552"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项目负责人</w:t>
            </w:r>
          </w:p>
        </w:tc>
        <w:tc>
          <w:tcPr>
            <w:tcW w:w="355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黄显智</w:t>
            </w:r>
          </w:p>
        </w:tc>
        <w:tc>
          <w:tcPr>
            <w:tcW w:w="1701"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联系电话</w:t>
            </w:r>
          </w:p>
        </w:tc>
        <w:tc>
          <w:tcPr>
            <w:tcW w:w="284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62544288</w:t>
            </w:r>
          </w:p>
        </w:tc>
      </w:tr>
      <w:tr>
        <w:tblPrEx>
          <w:tblCellMar>
            <w:top w:w="0" w:type="dxa"/>
            <w:left w:w="108" w:type="dxa"/>
            <w:bottom w:w="0" w:type="dxa"/>
            <w:right w:w="108" w:type="dxa"/>
          </w:tblCellMar>
        </w:tblPrEx>
        <w:trPr>
          <w:trHeight w:val="830" w:hRule="exact"/>
          <w:jc w:val="center"/>
        </w:trPr>
        <w:tc>
          <w:tcPr>
            <w:tcW w:w="1552"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项目资金</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（万元）</w:t>
            </w:r>
          </w:p>
        </w:tc>
        <w:tc>
          <w:tcPr>
            <w:tcW w:w="1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92"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年初预</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99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全年预</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1701"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执行数</w:t>
            </w:r>
          </w:p>
        </w:tc>
        <w:tc>
          <w:tcPr>
            <w:tcW w:w="669"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执行率</w:t>
            </w:r>
          </w:p>
        </w:tc>
        <w:tc>
          <w:tcPr>
            <w:tcW w:w="1326"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r>
      <w:tr>
        <w:tblPrEx>
          <w:tblCellMar>
            <w:top w:w="0" w:type="dxa"/>
            <w:left w:w="108" w:type="dxa"/>
            <w:bottom w:w="0" w:type="dxa"/>
            <w:right w:w="108" w:type="dxa"/>
          </w:tblCellMar>
        </w:tblPrEx>
        <w:trPr>
          <w:trHeight w:val="306" w:hRule="exact"/>
          <w:jc w:val="center"/>
        </w:trPr>
        <w:tc>
          <w:tcPr>
            <w:tcW w:w="155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567"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年度资金总额</w:t>
            </w:r>
          </w:p>
        </w:tc>
        <w:tc>
          <w:tcPr>
            <w:tcW w:w="992"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212</w:t>
            </w:r>
          </w:p>
        </w:tc>
        <w:tc>
          <w:tcPr>
            <w:tcW w:w="99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190</w:t>
            </w:r>
          </w:p>
        </w:tc>
        <w:tc>
          <w:tcPr>
            <w:tcW w:w="1701"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highlight w:val="yellow"/>
              </w:rPr>
            </w:pPr>
            <w:r>
              <w:rPr>
                <w:rFonts w:hint="eastAsia" w:ascii="仿宋_GB2312" w:hAnsi="宋体" w:eastAsia="仿宋_GB2312" w:cs="宋体"/>
                <w:kern w:val="0"/>
                <w:szCs w:val="21"/>
              </w:rPr>
              <w:t>181.35</w:t>
            </w:r>
          </w:p>
        </w:tc>
        <w:tc>
          <w:tcPr>
            <w:tcW w:w="669"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highlight w:val="yellow"/>
              </w:rPr>
            </w:pPr>
            <w:r>
              <w:rPr>
                <w:rFonts w:hint="eastAsia" w:ascii="仿宋_GB2312" w:hAnsi="宋体" w:eastAsia="仿宋_GB2312" w:cs="宋体"/>
                <w:kern w:val="0"/>
                <w:szCs w:val="21"/>
              </w:rPr>
              <w:t>10</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95.45</w:t>
            </w:r>
          </w:p>
        </w:tc>
        <w:tc>
          <w:tcPr>
            <w:tcW w:w="1326"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9.54</w:t>
            </w:r>
          </w:p>
        </w:tc>
      </w:tr>
      <w:tr>
        <w:tblPrEx>
          <w:tblCellMar>
            <w:top w:w="0" w:type="dxa"/>
            <w:left w:w="108" w:type="dxa"/>
            <w:bottom w:w="0" w:type="dxa"/>
            <w:right w:w="108" w:type="dxa"/>
          </w:tblCellMar>
        </w:tblPrEx>
        <w:trPr>
          <w:trHeight w:val="601" w:hRule="exact"/>
          <w:jc w:val="center"/>
        </w:trPr>
        <w:tc>
          <w:tcPr>
            <w:tcW w:w="155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其中：当年财政拨款</w:t>
            </w:r>
          </w:p>
        </w:tc>
        <w:tc>
          <w:tcPr>
            <w:tcW w:w="992"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212</w:t>
            </w:r>
          </w:p>
        </w:tc>
        <w:tc>
          <w:tcPr>
            <w:tcW w:w="99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190</w:t>
            </w:r>
          </w:p>
        </w:tc>
        <w:tc>
          <w:tcPr>
            <w:tcW w:w="1701"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highlight w:val="yellow"/>
              </w:rPr>
            </w:pPr>
            <w:r>
              <w:rPr>
                <w:rFonts w:hint="eastAsia" w:ascii="仿宋_GB2312" w:hAnsi="宋体" w:eastAsia="仿宋_GB2312" w:cs="宋体"/>
                <w:kern w:val="0"/>
                <w:szCs w:val="21"/>
              </w:rPr>
              <w:t>181.35</w:t>
            </w:r>
          </w:p>
        </w:tc>
        <w:tc>
          <w:tcPr>
            <w:tcW w:w="669"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326"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567" w:hRule="exact"/>
          <w:jc w:val="center"/>
        </w:trPr>
        <w:tc>
          <w:tcPr>
            <w:tcW w:w="155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 xml:space="preserve">      上年结转资金</w:t>
            </w:r>
          </w:p>
        </w:tc>
        <w:tc>
          <w:tcPr>
            <w:tcW w:w="992"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9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701"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669"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326"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306" w:hRule="exact"/>
          <w:jc w:val="center"/>
        </w:trPr>
        <w:tc>
          <w:tcPr>
            <w:tcW w:w="155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 xml:space="preserve">  其他资金</w:t>
            </w:r>
          </w:p>
        </w:tc>
        <w:tc>
          <w:tcPr>
            <w:tcW w:w="992"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9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701"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669"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326"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548" w:hRule="exact"/>
          <w:jc w:val="center"/>
        </w:trPr>
        <w:tc>
          <w:tcPr>
            <w:tcW w:w="5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年度总体目标</w:t>
            </w:r>
          </w:p>
        </w:tc>
        <w:tc>
          <w:tcPr>
            <w:tcW w:w="4523"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预期目标</w:t>
            </w:r>
          </w:p>
        </w:tc>
        <w:tc>
          <w:tcPr>
            <w:tcW w:w="4542"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实际完成情况</w:t>
            </w:r>
          </w:p>
        </w:tc>
      </w:tr>
      <w:tr>
        <w:tblPrEx>
          <w:tblCellMar>
            <w:top w:w="0" w:type="dxa"/>
            <w:left w:w="108" w:type="dxa"/>
            <w:bottom w:w="0" w:type="dxa"/>
            <w:right w:w="108" w:type="dxa"/>
          </w:tblCellMar>
        </w:tblPrEx>
        <w:trPr>
          <w:trHeight w:val="3877" w:hRule="exact"/>
          <w:jc w:val="center"/>
        </w:trPr>
        <w:tc>
          <w:tcPr>
            <w:tcW w:w="5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523"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落实中央和北京市关于新形势下构建多元化纠纷解决机制的相关要求，完善人民调解、行政调解、司法调解联动工作体系，推动构建大调解工作格局，发挥行业性、专业性知识产权纠纷人民调解组织的作用，为各类创新主体提供便捷、高效、低成本的维权途径。</w:t>
            </w:r>
          </w:p>
        </w:tc>
        <w:tc>
          <w:tcPr>
            <w:tcW w:w="4542" w:type="dxa"/>
            <w:gridSpan w:val="6"/>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共与15家调委会及7家调解工作室所依托的社会组织或企业签订书面协议，根据资金管理办法分别对调委会及调解工作室进行扶持。各调委会及调解工作室均按照扶持项目完成绩效目标。全年，各调委会共受理纠纷12565件，调解结案4719件，调解成功2828件，调解成功率60%。举办调解员纠纷调解能力提升系列培训4次；编制发布2022年知识产权纠纷调解十大典型案例及2022年度北京市知识产权纠纷行专人民调解工作年报。</w:t>
            </w:r>
          </w:p>
        </w:tc>
      </w:tr>
      <w:tr>
        <w:tblPrEx>
          <w:tblCellMar>
            <w:top w:w="0" w:type="dxa"/>
            <w:left w:w="108" w:type="dxa"/>
            <w:bottom w:w="0" w:type="dxa"/>
            <w:right w:w="108" w:type="dxa"/>
          </w:tblCellMar>
        </w:tblPrEx>
        <w:trPr>
          <w:trHeight w:val="984" w:hRule="exact"/>
          <w:jc w:val="center"/>
        </w:trPr>
        <w:tc>
          <w:tcPr>
            <w:tcW w:w="580"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绩</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效</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指</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标</w:t>
            </w:r>
          </w:p>
        </w:tc>
        <w:tc>
          <w:tcPr>
            <w:tcW w:w="97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一级指标</w:t>
            </w:r>
          </w:p>
        </w:tc>
        <w:tc>
          <w:tcPr>
            <w:tcW w:w="110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二级指标</w:t>
            </w:r>
          </w:p>
        </w:tc>
        <w:tc>
          <w:tcPr>
            <w:tcW w:w="1679"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三级指标</w:t>
            </w:r>
          </w:p>
        </w:tc>
        <w:tc>
          <w:tcPr>
            <w:tcW w:w="76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指标值</w:t>
            </w:r>
          </w:p>
        </w:tc>
        <w:tc>
          <w:tcPr>
            <w:tcW w:w="170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完成值</w:t>
            </w:r>
          </w:p>
        </w:tc>
        <w:tc>
          <w:tcPr>
            <w:tcW w:w="53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7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c>
          <w:tcPr>
            <w:tcW w:w="152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偏差原因分析及改进</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措施</w:t>
            </w:r>
          </w:p>
        </w:tc>
      </w:tr>
      <w:tr>
        <w:tblPrEx>
          <w:tblCellMar>
            <w:top w:w="0" w:type="dxa"/>
            <w:left w:w="108" w:type="dxa"/>
            <w:bottom w:w="0" w:type="dxa"/>
            <w:right w:w="108" w:type="dxa"/>
          </w:tblCellMar>
        </w:tblPrEx>
        <w:trPr>
          <w:trHeight w:val="584" w:hRule="exact"/>
          <w:jc w:val="center"/>
        </w:trPr>
        <w:tc>
          <w:tcPr>
            <w:tcW w:w="58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2"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产出指标</w:t>
            </w:r>
          </w:p>
        </w:tc>
        <w:tc>
          <w:tcPr>
            <w:tcW w:w="1104"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cs="宋体"/>
                <w:kern w:val="0"/>
                <w:szCs w:val="21"/>
              </w:rPr>
            </w:pPr>
            <w:r>
              <w:rPr>
                <w:rFonts w:hint="eastAsia" w:ascii="仿宋_GB2312" w:hAnsi="宋体" w:eastAsia="仿宋_GB2312" w:cs="宋体"/>
                <w:kern w:val="0"/>
                <w:szCs w:val="21"/>
              </w:rPr>
              <w:t>数量指标</w:t>
            </w:r>
          </w:p>
        </w:tc>
        <w:tc>
          <w:tcPr>
            <w:tcW w:w="1679" w:type="dxa"/>
            <w:gridSpan w:val="3"/>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调解员能力提升：培训数量</w:t>
            </w:r>
          </w:p>
        </w:tc>
        <w:tc>
          <w:tcPr>
            <w:tcW w:w="76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rPr>
              <w:t>≥</w:t>
            </w:r>
            <w:r>
              <w:rPr>
                <w:rFonts w:hint="eastAsia" w:ascii="仿宋_GB2312" w:hAnsi="宋体" w:eastAsia="仿宋_GB2312" w:cs="宋体"/>
                <w:kern w:val="0"/>
                <w:szCs w:val="21"/>
              </w:rPr>
              <w:t>3期</w:t>
            </w:r>
          </w:p>
        </w:tc>
        <w:tc>
          <w:tcPr>
            <w:tcW w:w="1701"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4期</w:t>
            </w:r>
          </w:p>
        </w:tc>
        <w:tc>
          <w:tcPr>
            <w:tcW w:w="531"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783"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152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1276" w:hRule="exact"/>
          <w:jc w:val="center"/>
        </w:trPr>
        <w:tc>
          <w:tcPr>
            <w:tcW w:w="58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4" w:type="dxa"/>
            <w:vMerge w:val="continue"/>
            <w:tcBorders>
              <w:top w:val="single" w:color="auto" w:sz="4" w:space="0"/>
              <w:left w:val="single" w:color="auto" w:sz="4" w:space="0"/>
              <w:bottom w:val="single" w:color="auto" w:sz="4" w:space="0"/>
              <w:right w:val="single" w:color="auto" w:sz="4" w:space="0"/>
            </w:tcBorders>
            <w:vAlign w:val="center"/>
          </w:tcPr>
          <w:p>
            <w:pPr>
              <w:rPr>
                <w:rFonts w:ascii="仿宋_GB2312" w:hAnsi="宋体" w:eastAsia="仿宋_GB2312" w:cs="宋体"/>
                <w:kern w:val="0"/>
                <w:szCs w:val="21"/>
              </w:rPr>
            </w:pPr>
          </w:p>
        </w:tc>
        <w:tc>
          <w:tcPr>
            <w:tcW w:w="1679" w:type="dxa"/>
            <w:gridSpan w:val="3"/>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扶持知识产权纠纷人民调解委员会：案件数量</w:t>
            </w:r>
          </w:p>
        </w:tc>
        <w:tc>
          <w:tcPr>
            <w:tcW w:w="76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rPr>
              <w:t>≥</w:t>
            </w:r>
            <w:r>
              <w:rPr>
                <w:rFonts w:hint="eastAsia" w:ascii="仿宋_GB2312" w:hAnsi="宋体" w:eastAsia="仿宋_GB2312" w:cs="宋体"/>
                <w:kern w:val="0"/>
                <w:szCs w:val="21"/>
              </w:rPr>
              <w:t>6000件</w:t>
            </w:r>
          </w:p>
        </w:tc>
        <w:tc>
          <w:tcPr>
            <w:tcW w:w="1701"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12565件</w:t>
            </w:r>
          </w:p>
        </w:tc>
        <w:tc>
          <w:tcPr>
            <w:tcW w:w="531"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783"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152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562" w:hRule="exact"/>
          <w:jc w:val="center"/>
        </w:trPr>
        <w:tc>
          <w:tcPr>
            <w:tcW w:w="58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4" w:type="dxa"/>
            <w:vMerge w:val="continue"/>
            <w:tcBorders>
              <w:top w:val="single" w:color="auto" w:sz="4" w:space="0"/>
              <w:left w:val="single" w:color="auto" w:sz="4" w:space="0"/>
              <w:bottom w:val="single" w:color="auto" w:sz="4" w:space="0"/>
              <w:right w:val="single" w:color="auto" w:sz="4" w:space="0"/>
            </w:tcBorders>
            <w:vAlign w:val="center"/>
          </w:tcPr>
          <w:p>
            <w:pPr>
              <w:rPr>
                <w:rFonts w:ascii="仿宋_GB2312" w:hAnsi="宋体" w:eastAsia="仿宋_GB2312" w:cs="宋体"/>
                <w:kern w:val="0"/>
                <w:szCs w:val="21"/>
              </w:rPr>
            </w:pPr>
          </w:p>
        </w:tc>
        <w:tc>
          <w:tcPr>
            <w:tcW w:w="1679" w:type="dxa"/>
            <w:gridSpan w:val="3"/>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调解员能力提升：案例数量</w:t>
            </w:r>
          </w:p>
        </w:tc>
        <w:tc>
          <w:tcPr>
            <w:tcW w:w="7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Cs w:val="21"/>
              </w:rPr>
            </w:pPr>
            <w:r>
              <w:rPr>
                <w:rFonts w:hint="eastAsia"/>
              </w:rPr>
              <w:t>≥</w:t>
            </w:r>
            <w:r>
              <w:rPr>
                <w:rFonts w:hint="eastAsia" w:ascii="仿宋_GB2312" w:hAnsi="宋体" w:eastAsia="仿宋_GB2312" w:cs="宋体"/>
                <w:kern w:val="0"/>
                <w:szCs w:val="21"/>
              </w:rPr>
              <w:t>10个</w:t>
            </w:r>
          </w:p>
        </w:tc>
        <w:tc>
          <w:tcPr>
            <w:tcW w:w="1701"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10个</w:t>
            </w:r>
          </w:p>
        </w:tc>
        <w:tc>
          <w:tcPr>
            <w:tcW w:w="531"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783"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152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1003" w:hRule="exact"/>
          <w:jc w:val="center"/>
        </w:trPr>
        <w:tc>
          <w:tcPr>
            <w:tcW w:w="58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4" w:type="dxa"/>
            <w:vMerge w:val="continue"/>
            <w:tcBorders>
              <w:top w:val="single" w:color="auto" w:sz="4" w:space="0"/>
              <w:left w:val="single" w:color="auto" w:sz="4" w:space="0"/>
              <w:bottom w:val="single" w:color="auto" w:sz="4" w:space="0"/>
              <w:right w:val="single" w:color="auto" w:sz="4" w:space="0"/>
            </w:tcBorders>
            <w:vAlign w:val="center"/>
          </w:tcPr>
          <w:p>
            <w:pPr>
              <w:rPr>
                <w:rFonts w:ascii="仿宋_GB2312" w:hAnsi="宋体" w:eastAsia="仿宋_GB2312" w:cs="宋体"/>
                <w:kern w:val="0"/>
                <w:szCs w:val="21"/>
              </w:rPr>
            </w:pPr>
          </w:p>
        </w:tc>
        <w:tc>
          <w:tcPr>
            <w:tcW w:w="1679" w:type="dxa"/>
            <w:gridSpan w:val="3"/>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扶持知识产权纠纷人民调解委员会：活动数量</w:t>
            </w:r>
          </w:p>
        </w:tc>
        <w:tc>
          <w:tcPr>
            <w:tcW w:w="7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Cs w:val="21"/>
              </w:rPr>
            </w:pPr>
            <w:r>
              <w:rPr>
                <w:rFonts w:hint="eastAsia"/>
              </w:rPr>
              <w:t>≥</w:t>
            </w:r>
            <w:r>
              <w:rPr>
                <w:rFonts w:hint="eastAsia" w:ascii="仿宋_GB2312" w:hAnsi="宋体" w:eastAsia="仿宋_GB2312" w:cs="宋体"/>
                <w:kern w:val="0"/>
                <w:szCs w:val="21"/>
              </w:rPr>
              <w:t>20场</w:t>
            </w:r>
          </w:p>
        </w:tc>
        <w:tc>
          <w:tcPr>
            <w:tcW w:w="1701"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32场</w:t>
            </w:r>
          </w:p>
        </w:tc>
        <w:tc>
          <w:tcPr>
            <w:tcW w:w="531"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783"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152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1003" w:hRule="exact"/>
          <w:jc w:val="center"/>
        </w:trPr>
        <w:tc>
          <w:tcPr>
            <w:tcW w:w="58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2" w:type="dxa"/>
            <w:vMerge w:val="continue"/>
            <w:tcBorders>
              <w:top w:val="single" w:color="auto" w:sz="4" w:space="0"/>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4" w:type="dxa"/>
            <w:vMerge w:val="continue"/>
            <w:tcBorders>
              <w:top w:val="single" w:color="auto" w:sz="4" w:space="0"/>
              <w:left w:val="single" w:color="auto" w:sz="4" w:space="0"/>
              <w:right w:val="single" w:color="auto" w:sz="4" w:space="0"/>
            </w:tcBorders>
            <w:vAlign w:val="center"/>
          </w:tcPr>
          <w:p>
            <w:pPr>
              <w:rPr>
                <w:rFonts w:ascii="仿宋_GB2312" w:hAnsi="宋体" w:eastAsia="仿宋_GB2312" w:cs="宋体"/>
                <w:kern w:val="0"/>
                <w:szCs w:val="21"/>
              </w:rPr>
            </w:pPr>
          </w:p>
        </w:tc>
        <w:tc>
          <w:tcPr>
            <w:tcW w:w="1679" w:type="dxa"/>
            <w:gridSpan w:val="3"/>
            <w:tcBorders>
              <w:top w:val="single" w:color="auto" w:sz="4" w:space="0"/>
              <w:left w:val="nil"/>
              <w:bottom w:val="single" w:color="auto" w:sz="4" w:space="0"/>
              <w:right w:val="single" w:color="auto" w:sz="4" w:space="0"/>
            </w:tcBorders>
            <w:vAlign w:val="center"/>
          </w:tcPr>
          <w:p>
            <w:pPr>
              <w:jc w:val="center"/>
              <w:rPr>
                <w:rFonts w:ascii="仿宋_GB2312" w:hAnsi="宋体" w:eastAsia="仿宋_GB2312" w:cs="宋体"/>
                <w:kern w:val="0"/>
                <w:szCs w:val="21"/>
              </w:rPr>
            </w:pPr>
            <w:r>
              <w:rPr>
                <w:rFonts w:hint="eastAsia" w:ascii="仿宋_GB2312" w:hAnsi="宋体" w:eastAsia="仿宋_GB2312" w:cs="宋体"/>
                <w:kern w:val="0"/>
                <w:szCs w:val="21"/>
              </w:rPr>
              <w:t>扶持知识产权纠纷人民调解委员会</w:t>
            </w:r>
          </w:p>
        </w:tc>
        <w:tc>
          <w:tcPr>
            <w:tcW w:w="768" w:type="dxa"/>
            <w:tcBorders>
              <w:top w:val="single" w:color="auto" w:sz="4" w:space="0"/>
              <w:left w:val="nil"/>
              <w:bottom w:val="single" w:color="auto" w:sz="4" w:space="0"/>
              <w:right w:val="single" w:color="auto" w:sz="4" w:space="0"/>
            </w:tcBorders>
            <w:shd w:val="clear" w:color="auto" w:fill="auto"/>
            <w:vAlign w:val="center"/>
          </w:tcPr>
          <w:p>
            <w:pPr>
              <w:jc w:val="center"/>
              <w:rPr>
                <w:rFonts w:ascii="仿宋_GB2312" w:hAnsi="宋体" w:eastAsia="仿宋_GB2312" w:cs="宋体"/>
                <w:kern w:val="0"/>
                <w:szCs w:val="21"/>
              </w:rPr>
            </w:pPr>
            <w:r>
              <w:rPr>
                <w:rFonts w:hint="eastAsia"/>
              </w:rPr>
              <w:t>≥</w:t>
            </w:r>
            <w:r>
              <w:rPr>
                <w:rFonts w:hint="eastAsia" w:ascii="仿宋_GB2312" w:hAnsi="宋体" w:eastAsia="仿宋_GB2312" w:cs="宋体"/>
                <w:kern w:val="0"/>
                <w:szCs w:val="21"/>
              </w:rPr>
              <w:t>14个</w:t>
            </w:r>
          </w:p>
        </w:tc>
        <w:tc>
          <w:tcPr>
            <w:tcW w:w="1701" w:type="dxa"/>
            <w:tcBorders>
              <w:top w:val="single" w:color="auto" w:sz="4" w:space="0"/>
              <w:left w:val="nil"/>
              <w:bottom w:val="single" w:color="auto" w:sz="4" w:space="0"/>
              <w:right w:val="single" w:color="auto" w:sz="4" w:space="0"/>
            </w:tcBorders>
            <w:vAlign w:val="center"/>
          </w:tcPr>
          <w:p>
            <w:pPr>
              <w:jc w:val="center"/>
              <w:rPr>
                <w:rFonts w:ascii="仿宋_GB2312" w:hAnsi="宋体" w:eastAsia="仿宋_GB2312" w:cs="宋体"/>
                <w:kern w:val="0"/>
                <w:szCs w:val="21"/>
              </w:rPr>
            </w:pPr>
            <w:r>
              <w:rPr>
                <w:rFonts w:hint="eastAsia" w:ascii="仿宋_GB2312" w:hAnsi="宋体" w:eastAsia="仿宋_GB2312" w:cs="宋体"/>
                <w:kern w:val="0"/>
                <w:szCs w:val="21"/>
              </w:rPr>
              <w:t>15个</w:t>
            </w:r>
          </w:p>
        </w:tc>
        <w:tc>
          <w:tcPr>
            <w:tcW w:w="531" w:type="dxa"/>
            <w:tcBorders>
              <w:top w:val="single" w:color="auto" w:sz="4" w:space="0"/>
              <w:left w:val="nil"/>
              <w:bottom w:val="single" w:color="auto" w:sz="4" w:space="0"/>
              <w:right w:val="single" w:color="auto" w:sz="4" w:space="0"/>
            </w:tcBorders>
            <w:vAlign w:val="center"/>
          </w:tcPr>
          <w:p>
            <w:pPr>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783" w:type="dxa"/>
            <w:gridSpan w:val="2"/>
            <w:tcBorders>
              <w:top w:val="single" w:color="auto" w:sz="4" w:space="0"/>
              <w:left w:val="nil"/>
              <w:bottom w:val="single" w:color="auto" w:sz="4" w:space="0"/>
              <w:right w:val="single" w:color="auto" w:sz="4" w:space="0"/>
            </w:tcBorders>
            <w:vAlign w:val="center"/>
          </w:tcPr>
          <w:p>
            <w:pPr>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1527" w:type="dxa"/>
            <w:gridSpan w:val="2"/>
            <w:tcBorders>
              <w:top w:val="single" w:color="auto" w:sz="4" w:space="0"/>
              <w:left w:val="nil"/>
              <w:bottom w:val="single" w:color="auto" w:sz="4" w:space="0"/>
              <w:right w:val="single" w:color="auto" w:sz="4" w:space="0"/>
            </w:tcBorders>
            <w:vAlign w:val="center"/>
          </w:tcPr>
          <w:p>
            <w:pPr>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1272" w:hRule="exact"/>
          <w:jc w:val="center"/>
        </w:trPr>
        <w:tc>
          <w:tcPr>
            <w:tcW w:w="58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2" w:type="dxa"/>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4" w:type="dxa"/>
            <w:vMerge w:val="continue"/>
            <w:tcBorders>
              <w:left w:val="single" w:color="auto" w:sz="4" w:space="0"/>
              <w:right w:val="single" w:color="auto" w:sz="4" w:space="0"/>
            </w:tcBorders>
            <w:vAlign w:val="center"/>
          </w:tcPr>
          <w:p>
            <w:pPr>
              <w:rPr>
                <w:rFonts w:ascii="仿宋_GB2312" w:hAnsi="宋体" w:eastAsia="仿宋_GB2312" w:cs="宋体"/>
                <w:kern w:val="0"/>
                <w:szCs w:val="21"/>
              </w:rPr>
            </w:pPr>
          </w:p>
        </w:tc>
        <w:tc>
          <w:tcPr>
            <w:tcW w:w="1679" w:type="dxa"/>
            <w:gridSpan w:val="3"/>
            <w:tcBorders>
              <w:top w:val="single" w:color="auto" w:sz="4" w:space="0"/>
              <w:left w:val="nil"/>
              <w:bottom w:val="single" w:color="auto" w:sz="4" w:space="0"/>
              <w:right w:val="single" w:color="auto" w:sz="4" w:space="0"/>
            </w:tcBorders>
            <w:vAlign w:val="center"/>
          </w:tcPr>
          <w:p>
            <w:pPr>
              <w:jc w:val="center"/>
              <w:rPr>
                <w:rFonts w:ascii="仿宋_GB2312" w:hAnsi="宋体" w:eastAsia="仿宋_GB2312" w:cs="宋体"/>
                <w:kern w:val="0"/>
                <w:szCs w:val="21"/>
              </w:rPr>
            </w:pPr>
            <w:r>
              <w:rPr>
                <w:rFonts w:hint="eastAsia" w:ascii="仿宋_GB2312" w:hAnsi="宋体" w:eastAsia="仿宋_GB2312" w:cs="宋体"/>
                <w:kern w:val="0"/>
                <w:szCs w:val="21"/>
              </w:rPr>
              <w:t>扶持知识产权纠纷人民调解工作室：活动数量</w:t>
            </w:r>
          </w:p>
        </w:tc>
        <w:tc>
          <w:tcPr>
            <w:tcW w:w="768" w:type="dxa"/>
            <w:tcBorders>
              <w:top w:val="single" w:color="auto" w:sz="4" w:space="0"/>
              <w:left w:val="nil"/>
              <w:bottom w:val="single" w:color="auto" w:sz="4" w:space="0"/>
              <w:right w:val="single" w:color="auto" w:sz="4" w:space="0"/>
            </w:tcBorders>
            <w:shd w:val="clear" w:color="auto" w:fill="auto"/>
            <w:vAlign w:val="center"/>
          </w:tcPr>
          <w:p>
            <w:pPr>
              <w:jc w:val="center"/>
              <w:rPr>
                <w:rFonts w:ascii="仿宋_GB2312" w:hAnsi="宋体" w:eastAsia="仿宋_GB2312" w:cs="宋体"/>
                <w:kern w:val="0"/>
                <w:szCs w:val="21"/>
              </w:rPr>
            </w:pPr>
            <w:r>
              <w:rPr>
                <w:rFonts w:hint="eastAsia"/>
              </w:rPr>
              <w:t>≥</w:t>
            </w:r>
            <w:r>
              <w:rPr>
                <w:rFonts w:hint="eastAsia" w:ascii="仿宋_GB2312" w:hAnsi="宋体" w:eastAsia="仿宋_GB2312" w:cs="宋体"/>
                <w:kern w:val="0"/>
                <w:szCs w:val="21"/>
              </w:rPr>
              <w:t>20场</w:t>
            </w:r>
          </w:p>
        </w:tc>
        <w:tc>
          <w:tcPr>
            <w:tcW w:w="1701" w:type="dxa"/>
            <w:tcBorders>
              <w:top w:val="single" w:color="auto" w:sz="4" w:space="0"/>
              <w:left w:val="nil"/>
              <w:bottom w:val="single" w:color="auto" w:sz="4" w:space="0"/>
              <w:right w:val="single" w:color="auto" w:sz="4" w:space="0"/>
            </w:tcBorders>
            <w:vAlign w:val="center"/>
          </w:tcPr>
          <w:p>
            <w:pPr>
              <w:jc w:val="center"/>
              <w:rPr>
                <w:rFonts w:ascii="仿宋_GB2312" w:hAnsi="宋体" w:eastAsia="仿宋_GB2312" w:cs="宋体"/>
                <w:kern w:val="0"/>
                <w:szCs w:val="21"/>
              </w:rPr>
            </w:pPr>
            <w:r>
              <w:rPr>
                <w:rFonts w:hint="eastAsia" w:ascii="仿宋_GB2312" w:hAnsi="宋体" w:eastAsia="仿宋_GB2312" w:cs="宋体"/>
                <w:kern w:val="0"/>
                <w:szCs w:val="21"/>
              </w:rPr>
              <w:t>35场</w:t>
            </w:r>
          </w:p>
        </w:tc>
        <w:tc>
          <w:tcPr>
            <w:tcW w:w="531" w:type="dxa"/>
            <w:tcBorders>
              <w:top w:val="single" w:color="auto" w:sz="4" w:space="0"/>
              <w:left w:val="nil"/>
              <w:bottom w:val="single" w:color="auto" w:sz="4" w:space="0"/>
              <w:right w:val="single" w:color="auto" w:sz="4" w:space="0"/>
            </w:tcBorders>
            <w:vAlign w:val="center"/>
          </w:tcPr>
          <w:p>
            <w:pPr>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783" w:type="dxa"/>
            <w:gridSpan w:val="2"/>
            <w:tcBorders>
              <w:top w:val="single" w:color="auto" w:sz="4" w:space="0"/>
              <w:left w:val="nil"/>
              <w:bottom w:val="single" w:color="auto" w:sz="4" w:space="0"/>
              <w:right w:val="single" w:color="auto" w:sz="4" w:space="0"/>
            </w:tcBorders>
            <w:vAlign w:val="center"/>
          </w:tcPr>
          <w:p>
            <w:pPr>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1527" w:type="dxa"/>
            <w:gridSpan w:val="2"/>
            <w:tcBorders>
              <w:top w:val="single" w:color="auto" w:sz="4" w:space="0"/>
              <w:left w:val="nil"/>
              <w:bottom w:val="single" w:color="auto" w:sz="4" w:space="0"/>
              <w:right w:val="single" w:color="auto" w:sz="4" w:space="0"/>
            </w:tcBorders>
            <w:vAlign w:val="center"/>
          </w:tcPr>
          <w:p>
            <w:pPr>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850" w:hRule="exact"/>
          <w:jc w:val="center"/>
        </w:trPr>
        <w:tc>
          <w:tcPr>
            <w:tcW w:w="58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2" w:type="dxa"/>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4" w:type="dxa"/>
            <w:vMerge w:val="continue"/>
            <w:tcBorders>
              <w:left w:val="single" w:color="auto" w:sz="4" w:space="0"/>
              <w:right w:val="single" w:color="auto" w:sz="4" w:space="0"/>
            </w:tcBorders>
            <w:vAlign w:val="center"/>
          </w:tcPr>
          <w:p>
            <w:pPr>
              <w:rPr>
                <w:rFonts w:ascii="等线" w:hAnsi="宋体" w:eastAsia="等线" w:cs="宋体"/>
                <w:sz w:val="18"/>
                <w:szCs w:val="18"/>
              </w:rPr>
            </w:pPr>
          </w:p>
        </w:tc>
        <w:tc>
          <w:tcPr>
            <w:tcW w:w="1679" w:type="dxa"/>
            <w:gridSpan w:val="3"/>
            <w:tcBorders>
              <w:top w:val="single" w:color="auto" w:sz="4" w:space="0"/>
              <w:left w:val="nil"/>
              <w:bottom w:val="single" w:color="auto" w:sz="4" w:space="0"/>
              <w:right w:val="single" w:color="auto" w:sz="4" w:space="0"/>
            </w:tcBorders>
            <w:vAlign w:val="center"/>
          </w:tcPr>
          <w:p>
            <w:pPr>
              <w:jc w:val="center"/>
              <w:rPr>
                <w:rFonts w:ascii="仿宋_GB2312" w:hAnsi="宋体" w:eastAsia="仿宋_GB2312" w:cs="宋体"/>
                <w:kern w:val="0"/>
                <w:szCs w:val="21"/>
              </w:rPr>
            </w:pPr>
            <w:r>
              <w:rPr>
                <w:rFonts w:hint="eastAsia" w:ascii="仿宋_GB2312" w:hAnsi="宋体" w:eastAsia="仿宋_GB2312" w:cs="宋体"/>
                <w:kern w:val="0"/>
                <w:szCs w:val="21"/>
              </w:rPr>
              <w:t>数据核查分析：报告数量</w:t>
            </w:r>
          </w:p>
        </w:tc>
        <w:tc>
          <w:tcPr>
            <w:tcW w:w="768" w:type="dxa"/>
            <w:tcBorders>
              <w:top w:val="single" w:color="auto" w:sz="4" w:space="0"/>
              <w:left w:val="nil"/>
              <w:bottom w:val="single" w:color="auto" w:sz="4" w:space="0"/>
              <w:right w:val="single" w:color="auto" w:sz="4" w:space="0"/>
            </w:tcBorders>
            <w:shd w:val="clear" w:color="auto" w:fill="auto"/>
            <w:vAlign w:val="center"/>
          </w:tcPr>
          <w:p>
            <w:pPr>
              <w:jc w:val="center"/>
              <w:rPr>
                <w:rFonts w:ascii="仿宋_GB2312" w:hAnsi="宋体" w:eastAsia="仿宋_GB2312" w:cs="宋体"/>
                <w:kern w:val="0"/>
                <w:szCs w:val="21"/>
              </w:rPr>
            </w:pPr>
            <w:r>
              <w:rPr>
                <w:rFonts w:hint="eastAsia"/>
              </w:rPr>
              <w:t>≥</w:t>
            </w:r>
            <w:r>
              <w:rPr>
                <w:rFonts w:hint="eastAsia" w:ascii="仿宋_GB2312" w:hAnsi="宋体" w:eastAsia="仿宋_GB2312" w:cs="宋体"/>
                <w:kern w:val="0"/>
                <w:szCs w:val="21"/>
              </w:rPr>
              <w:t>5份</w:t>
            </w:r>
          </w:p>
        </w:tc>
        <w:tc>
          <w:tcPr>
            <w:tcW w:w="1701" w:type="dxa"/>
            <w:tcBorders>
              <w:top w:val="single" w:color="auto" w:sz="4" w:space="0"/>
              <w:left w:val="nil"/>
              <w:bottom w:val="single" w:color="auto" w:sz="4" w:space="0"/>
              <w:right w:val="single" w:color="auto" w:sz="4" w:space="0"/>
            </w:tcBorders>
            <w:vAlign w:val="center"/>
          </w:tcPr>
          <w:p>
            <w:pPr>
              <w:jc w:val="center"/>
              <w:rPr>
                <w:rFonts w:ascii="仿宋_GB2312" w:hAnsi="宋体" w:eastAsia="仿宋_GB2312" w:cs="宋体"/>
                <w:kern w:val="0"/>
                <w:szCs w:val="21"/>
              </w:rPr>
            </w:pPr>
            <w:r>
              <w:rPr>
                <w:rFonts w:hint="eastAsia" w:ascii="仿宋_GB2312" w:hAnsi="宋体" w:eastAsia="仿宋_GB2312" w:cs="宋体"/>
                <w:kern w:val="0"/>
                <w:szCs w:val="21"/>
              </w:rPr>
              <w:t>5份</w:t>
            </w:r>
          </w:p>
        </w:tc>
        <w:tc>
          <w:tcPr>
            <w:tcW w:w="531" w:type="dxa"/>
            <w:tcBorders>
              <w:top w:val="single" w:color="auto" w:sz="4" w:space="0"/>
              <w:left w:val="nil"/>
              <w:bottom w:val="single" w:color="auto" w:sz="4" w:space="0"/>
              <w:right w:val="single" w:color="auto" w:sz="4" w:space="0"/>
            </w:tcBorders>
            <w:vAlign w:val="center"/>
          </w:tcPr>
          <w:p>
            <w:pPr>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783" w:type="dxa"/>
            <w:gridSpan w:val="2"/>
            <w:tcBorders>
              <w:top w:val="single" w:color="auto" w:sz="4" w:space="0"/>
              <w:left w:val="nil"/>
              <w:bottom w:val="single" w:color="auto" w:sz="4" w:space="0"/>
              <w:right w:val="single" w:color="auto" w:sz="4" w:space="0"/>
            </w:tcBorders>
            <w:vAlign w:val="center"/>
          </w:tcPr>
          <w:p>
            <w:pPr>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1527" w:type="dxa"/>
            <w:gridSpan w:val="2"/>
            <w:tcBorders>
              <w:top w:val="single" w:color="auto" w:sz="4" w:space="0"/>
              <w:left w:val="nil"/>
              <w:bottom w:val="single" w:color="auto" w:sz="4" w:space="0"/>
              <w:right w:val="single" w:color="auto" w:sz="4" w:space="0"/>
            </w:tcBorders>
            <w:vAlign w:val="center"/>
          </w:tcPr>
          <w:p>
            <w:pPr>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1003" w:hRule="exact"/>
          <w:jc w:val="center"/>
        </w:trPr>
        <w:tc>
          <w:tcPr>
            <w:tcW w:w="58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2" w:type="dxa"/>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4"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679" w:type="dxa"/>
            <w:gridSpan w:val="3"/>
            <w:tcBorders>
              <w:top w:val="single" w:color="auto" w:sz="4" w:space="0"/>
              <w:left w:val="nil"/>
              <w:bottom w:val="single" w:color="auto" w:sz="4" w:space="0"/>
              <w:right w:val="single" w:color="auto" w:sz="4" w:space="0"/>
            </w:tcBorders>
            <w:vAlign w:val="center"/>
          </w:tcPr>
          <w:p>
            <w:pPr>
              <w:jc w:val="center"/>
              <w:rPr>
                <w:rFonts w:ascii="仿宋_GB2312" w:hAnsi="宋体" w:eastAsia="仿宋_GB2312" w:cs="宋体"/>
                <w:kern w:val="0"/>
                <w:szCs w:val="21"/>
              </w:rPr>
            </w:pPr>
            <w:r>
              <w:rPr>
                <w:rFonts w:hint="eastAsia" w:ascii="仿宋_GB2312" w:hAnsi="宋体" w:eastAsia="仿宋_GB2312" w:cs="宋体"/>
                <w:kern w:val="0"/>
                <w:szCs w:val="21"/>
              </w:rPr>
              <w:t>扶持知识产权纠纷人民调解工作室</w:t>
            </w:r>
          </w:p>
        </w:tc>
        <w:tc>
          <w:tcPr>
            <w:tcW w:w="768" w:type="dxa"/>
            <w:tcBorders>
              <w:top w:val="single" w:color="auto" w:sz="4" w:space="0"/>
              <w:left w:val="nil"/>
              <w:bottom w:val="single" w:color="auto" w:sz="4" w:space="0"/>
              <w:right w:val="single" w:color="auto" w:sz="4" w:space="0"/>
            </w:tcBorders>
            <w:shd w:val="clear" w:color="auto" w:fill="auto"/>
            <w:vAlign w:val="center"/>
          </w:tcPr>
          <w:p>
            <w:pPr>
              <w:jc w:val="center"/>
              <w:rPr>
                <w:rFonts w:ascii="仿宋_GB2312" w:hAnsi="宋体" w:eastAsia="仿宋_GB2312" w:cs="宋体"/>
                <w:kern w:val="0"/>
                <w:szCs w:val="21"/>
              </w:rPr>
            </w:pPr>
            <w:r>
              <w:rPr>
                <w:rFonts w:hint="eastAsia"/>
              </w:rPr>
              <w:t>≥</w:t>
            </w:r>
            <w:r>
              <w:rPr>
                <w:rFonts w:hint="eastAsia" w:ascii="仿宋_GB2312" w:hAnsi="宋体" w:eastAsia="仿宋_GB2312" w:cs="宋体"/>
                <w:kern w:val="0"/>
                <w:szCs w:val="21"/>
              </w:rPr>
              <w:t>6个</w:t>
            </w:r>
          </w:p>
        </w:tc>
        <w:tc>
          <w:tcPr>
            <w:tcW w:w="1701" w:type="dxa"/>
            <w:tcBorders>
              <w:top w:val="single" w:color="auto" w:sz="4" w:space="0"/>
              <w:left w:val="nil"/>
              <w:bottom w:val="single" w:color="auto" w:sz="4" w:space="0"/>
              <w:right w:val="single" w:color="auto" w:sz="4" w:space="0"/>
            </w:tcBorders>
            <w:vAlign w:val="center"/>
          </w:tcPr>
          <w:p>
            <w:pPr>
              <w:jc w:val="center"/>
              <w:rPr>
                <w:rFonts w:ascii="仿宋_GB2312" w:hAnsi="宋体" w:eastAsia="仿宋_GB2312" w:cs="宋体"/>
                <w:kern w:val="0"/>
                <w:szCs w:val="21"/>
              </w:rPr>
            </w:pPr>
            <w:r>
              <w:rPr>
                <w:rFonts w:hint="eastAsia" w:ascii="仿宋_GB2312" w:hAnsi="宋体" w:eastAsia="仿宋_GB2312" w:cs="宋体"/>
                <w:kern w:val="0"/>
                <w:szCs w:val="21"/>
              </w:rPr>
              <w:t>6个</w:t>
            </w:r>
          </w:p>
        </w:tc>
        <w:tc>
          <w:tcPr>
            <w:tcW w:w="531" w:type="dxa"/>
            <w:tcBorders>
              <w:top w:val="single" w:color="auto" w:sz="4" w:space="0"/>
              <w:left w:val="nil"/>
              <w:bottom w:val="single" w:color="auto" w:sz="4" w:space="0"/>
              <w:right w:val="single" w:color="auto" w:sz="4" w:space="0"/>
            </w:tcBorders>
            <w:vAlign w:val="center"/>
          </w:tcPr>
          <w:p>
            <w:pPr>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783" w:type="dxa"/>
            <w:gridSpan w:val="2"/>
            <w:tcBorders>
              <w:top w:val="single" w:color="auto" w:sz="4" w:space="0"/>
              <w:left w:val="nil"/>
              <w:bottom w:val="single" w:color="auto" w:sz="4" w:space="0"/>
              <w:right w:val="single" w:color="auto" w:sz="4" w:space="0"/>
            </w:tcBorders>
            <w:vAlign w:val="center"/>
          </w:tcPr>
          <w:p>
            <w:pPr>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1527" w:type="dxa"/>
            <w:gridSpan w:val="2"/>
            <w:tcBorders>
              <w:top w:val="single" w:color="auto" w:sz="4" w:space="0"/>
              <w:left w:val="nil"/>
              <w:bottom w:val="single" w:color="auto" w:sz="4" w:space="0"/>
              <w:right w:val="single" w:color="auto" w:sz="4" w:space="0"/>
            </w:tcBorders>
            <w:vAlign w:val="center"/>
          </w:tcPr>
          <w:p>
            <w:pPr>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990" w:hRule="exact"/>
          <w:jc w:val="center"/>
        </w:trPr>
        <w:tc>
          <w:tcPr>
            <w:tcW w:w="58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2" w:type="dxa"/>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4" w:type="dxa"/>
            <w:vMerge w:val="restart"/>
            <w:tcBorders>
              <w:top w:val="single" w:color="auto" w:sz="4" w:space="0"/>
              <w:left w:val="single" w:color="auto" w:sz="4" w:space="0"/>
              <w:right w:val="single" w:color="auto" w:sz="4" w:space="0"/>
            </w:tcBorders>
            <w:vAlign w:val="center"/>
          </w:tcPr>
          <w:p>
            <w:pPr>
              <w:jc w:val="center"/>
              <w:rPr>
                <w:rFonts w:ascii="仿宋_GB2312" w:hAnsi="宋体" w:eastAsia="仿宋_GB2312" w:cs="宋体"/>
                <w:kern w:val="0"/>
                <w:szCs w:val="21"/>
              </w:rPr>
            </w:pPr>
            <w:r>
              <w:rPr>
                <w:rFonts w:hint="eastAsia" w:ascii="仿宋_GB2312" w:hAnsi="宋体" w:eastAsia="仿宋_GB2312" w:cs="宋体"/>
                <w:kern w:val="0"/>
                <w:szCs w:val="21"/>
              </w:rPr>
              <w:t>质量指标</w:t>
            </w:r>
          </w:p>
        </w:tc>
        <w:tc>
          <w:tcPr>
            <w:tcW w:w="1679" w:type="dxa"/>
            <w:gridSpan w:val="3"/>
            <w:tcBorders>
              <w:top w:val="single" w:color="auto" w:sz="4" w:space="0"/>
              <w:left w:val="nil"/>
              <w:bottom w:val="single" w:color="auto" w:sz="4" w:space="0"/>
              <w:right w:val="single" w:color="auto" w:sz="4" w:space="0"/>
            </w:tcBorders>
            <w:vAlign w:val="center"/>
          </w:tcPr>
          <w:p>
            <w:pPr>
              <w:jc w:val="center"/>
              <w:rPr>
                <w:rFonts w:ascii="仿宋_GB2312" w:hAnsi="宋体" w:eastAsia="仿宋_GB2312" w:cs="宋体"/>
                <w:kern w:val="0"/>
                <w:szCs w:val="21"/>
              </w:rPr>
            </w:pPr>
            <w:r>
              <w:rPr>
                <w:rFonts w:hint="eastAsia" w:ascii="仿宋_GB2312" w:hAnsi="宋体" w:eastAsia="仿宋_GB2312" w:cs="宋体"/>
                <w:kern w:val="0"/>
                <w:szCs w:val="21"/>
              </w:rPr>
              <w:t>调解员能力提升：典型案例合格率</w:t>
            </w:r>
          </w:p>
        </w:tc>
        <w:tc>
          <w:tcPr>
            <w:tcW w:w="768"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1701"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531"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783" w:type="dxa"/>
            <w:gridSpan w:val="2"/>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1527" w:type="dxa"/>
            <w:gridSpan w:val="2"/>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1259" w:hRule="exact"/>
          <w:jc w:val="center"/>
        </w:trPr>
        <w:tc>
          <w:tcPr>
            <w:tcW w:w="58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2" w:type="dxa"/>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4" w:type="dxa"/>
            <w:vMerge w:val="continue"/>
            <w:tcBorders>
              <w:left w:val="single" w:color="auto" w:sz="4" w:space="0"/>
              <w:right w:val="single" w:color="auto" w:sz="4" w:space="0"/>
            </w:tcBorders>
            <w:vAlign w:val="center"/>
          </w:tcPr>
          <w:p>
            <w:pPr>
              <w:jc w:val="center"/>
              <w:rPr>
                <w:rFonts w:ascii="仿宋_GB2312" w:hAnsi="宋体" w:eastAsia="仿宋_GB2312" w:cs="宋体"/>
                <w:kern w:val="0"/>
                <w:szCs w:val="21"/>
              </w:rPr>
            </w:pPr>
          </w:p>
        </w:tc>
        <w:tc>
          <w:tcPr>
            <w:tcW w:w="1679" w:type="dxa"/>
            <w:gridSpan w:val="3"/>
            <w:tcBorders>
              <w:top w:val="single" w:color="auto" w:sz="4" w:space="0"/>
              <w:left w:val="nil"/>
              <w:bottom w:val="single" w:color="auto" w:sz="4" w:space="0"/>
              <w:right w:val="single" w:color="auto" w:sz="4" w:space="0"/>
            </w:tcBorders>
            <w:vAlign w:val="center"/>
          </w:tcPr>
          <w:p>
            <w:pPr>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知识产权纠纷人民调解委员会案件调解成功率</w:t>
            </w:r>
          </w:p>
        </w:tc>
        <w:tc>
          <w:tcPr>
            <w:tcW w:w="768"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Cs w:val="21"/>
              </w:rPr>
            </w:pPr>
            <w:r>
              <w:rPr>
                <w:rFonts w:hint="eastAsia"/>
              </w:rPr>
              <w:t>≥</w:t>
            </w:r>
            <w:r>
              <w:rPr>
                <w:rFonts w:hint="eastAsia" w:ascii="仿宋_GB2312" w:hAnsi="宋体" w:eastAsia="仿宋_GB2312" w:cs="宋体"/>
                <w:kern w:val="0"/>
                <w:szCs w:val="21"/>
              </w:rPr>
              <w:t>25%</w:t>
            </w:r>
          </w:p>
        </w:tc>
        <w:tc>
          <w:tcPr>
            <w:tcW w:w="170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60%</w:t>
            </w:r>
          </w:p>
        </w:tc>
        <w:tc>
          <w:tcPr>
            <w:tcW w:w="53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7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152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5539" w:hRule="exact"/>
          <w:jc w:val="center"/>
        </w:trPr>
        <w:tc>
          <w:tcPr>
            <w:tcW w:w="58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2" w:type="dxa"/>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4" w:type="dxa"/>
            <w:vMerge w:val="continue"/>
            <w:tcBorders>
              <w:left w:val="single" w:color="auto" w:sz="4" w:space="0"/>
              <w:right w:val="single" w:color="auto" w:sz="4" w:space="0"/>
            </w:tcBorders>
            <w:vAlign w:val="center"/>
          </w:tcPr>
          <w:p>
            <w:pPr>
              <w:jc w:val="center"/>
              <w:rPr>
                <w:rFonts w:ascii="仿宋_GB2312" w:hAnsi="宋体" w:eastAsia="仿宋_GB2312" w:cs="宋体"/>
                <w:kern w:val="0"/>
                <w:szCs w:val="21"/>
              </w:rPr>
            </w:pPr>
          </w:p>
        </w:tc>
        <w:tc>
          <w:tcPr>
            <w:tcW w:w="1679" w:type="dxa"/>
            <w:gridSpan w:val="3"/>
            <w:tcBorders>
              <w:top w:val="single" w:color="auto" w:sz="4" w:space="0"/>
              <w:left w:val="nil"/>
              <w:bottom w:val="single" w:color="auto" w:sz="4" w:space="0"/>
              <w:right w:val="single" w:color="auto" w:sz="4" w:space="0"/>
            </w:tcBorders>
            <w:vAlign w:val="center"/>
          </w:tcPr>
          <w:p>
            <w:pPr>
              <w:jc w:val="center"/>
              <w:rPr>
                <w:rFonts w:ascii="仿宋_GB2312" w:hAnsi="宋体" w:eastAsia="仿宋_GB2312" w:cs="宋体"/>
                <w:kern w:val="0"/>
                <w:szCs w:val="21"/>
              </w:rPr>
            </w:pPr>
            <w:r>
              <w:rPr>
                <w:rFonts w:hint="eastAsia" w:ascii="仿宋_GB2312" w:hAnsi="宋体" w:eastAsia="仿宋_GB2312" w:cs="宋体"/>
                <w:kern w:val="0"/>
                <w:szCs w:val="21"/>
              </w:rPr>
              <w:t>知识产权纠纷人民调解委员会自行委托案件数量占比</w:t>
            </w:r>
          </w:p>
        </w:tc>
        <w:tc>
          <w:tcPr>
            <w:tcW w:w="768" w:type="dxa"/>
            <w:tcBorders>
              <w:top w:val="single" w:color="auto" w:sz="4" w:space="0"/>
              <w:left w:val="nil"/>
              <w:bottom w:val="single" w:color="auto" w:sz="4" w:space="0"/>
              <w:right w:val="single" w:color="auto" w:sz="4" w:space="0"/>
            </w:tcBorders>
            <w:shd w:val="clear" w:color="auto" w:fill="auto"/>
            <w:vAlign w:val="center"/>
          </w:tcPr>
          <w:p>
            <w:pPr>
              <w:jc w:val="center"/>
              <w:rPr>
                <w:rFonts w:ascii="仿宋_GB2312" w:hAnsi="宋体" w:eastAsia="仿宋_GB2312" w:cs="宋体"/>
                <w:kern w:val="0"/>
                <w:szCs w:val="21"/>
              </w:rPr>
            </w:pPr>
            <w:r>
              <w:rPr>
                <w:rFonts w:hint="eastAsia"/>
              </w:rPr>
              <w:t>≥</w:t>
            </w:r>
            <w:r>
              <w:rPr>
                <w:rFonts w:hint="eastAsia" w:ascii="仿宋_GB2312" w:hAnsi="宋体" w:eastAsia="仿宋_GB2312" w:cs="宋体"/>
                <w:kern w:val="0"/>
                <w:szCs w:val="21"/>
              </w:rPr>
              <w:t>5%</w:t>
            </w:r>
          </w:p>
        </w:tc>
        <w:tc>
          <w:tcPr>
            <w:tcW w:w="1701" w:type="dxa"/>
            <w:tcBorders>
              <w:top w:val="single" w:color="auto" w:sz="4" w:space="0"/>
              <w:left w:val="nil"/>
              <w:bottom w:val="single" w:color="auto" w:sz="4" w:space="0"/>
              <w:right w:val="single" w:color="auto" w:sz="4" w:space="0"/>
            </w:tcBorders>
            <w:vAlign w:val="center"/>
          </w:tcPr>
          <w:p>
            <w:pPr>
              <w:jc w:val="center"/>
              <w:rPr>
                <w:rFonts w:ascii="仿宋_GB2312" w:hAnsi="宋体" w:eastAsia="仿宋_GB2312" w:cs="宋体"/>
                <w:kern w:val="0"/>
                <w:szCs w:val="21"/>
              </w:rPr>
            </w:pPr>
            <w:r>
              <w:rPr>
                <w:rFonts w:hint="eastAsia" w:ascii="仿宋_GB2312" w:hAnsi="宋体" w:eastAsia="仿宋_GB2312" w:cs="宋体"/>
                <w:kern w:val="0"/>
                <w:szCs w:val="21"/>
              </w:rPr>
              <w:t>54.7%</w:t>
            </w:r>
          </w:p>
        </w:tc>
        <w:tc>
          <w:tcPr>
            <w:tcW w:w="531" w:type="dxa"/>
            <w:tcBorders>
              <w:top w:val="single" w:color="auto" w:sz="4" w:space="0"/>
              <w:left w:val="nil"/>
              <w:bottom w:val="single" w:color="auto" w:sz="4" w:space="0"/>
              <w:right w:val="single" w:color="auto" w:sz="4" w:space="0"/>
            </w:tcBorders>
            <w:vAlign w:val="center"/>
          </w:tcPr>
          <w:p>
            <w:pPr>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783" w:type="dxa"/>
            <w:gridSpan w:val="2"/>
            <w:tcBorders>
              <w:top w:val="single" w:color="auto" w:sz="4" w:space="0"/>
              <w:left w:val="nil"/>
              <w:bottom w:val="single" w:color="auto" w:sz="4" w:space="0"/>
              <w:right w:val="single" w:color="auto" w:sz="4" w:space="0"/>
            </w:tcBorders>
            <w:vAlign w:val="center"/>
          </w:tcPr>
          <w:p>
            <w:pPr>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1527"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ascii="仿宋_GB2312" w:hAnsi="宋体" w:eastAsia="仿宋_GB2312" w:cs="宋体"/>
                <w:kern w:val="0"/>
                <w:szCs w:val="21"/>
              </w:rPr>
            </w:pPr>
            <w:r>
              <w:rPr>
                <w:rFonts w:hint="eastAsia" w:ascii="仿宋_GB2312" w:hAnsi="宋体" w:eastAsia="仿宋_GB2312" w:cs="宋体"/>
                <w:kern w:val="0"/>
                <w:szCs w:val="21"/>
              </w:rPr>
              <w:t>2022年3月，保护中心指导调解组织对接北京互联网法院的非诉调解平台，将未在法院立案的纠纷导入调解程序。同时，2022年各调解组织接受会员单位及其他主体委托案件数量也有所增加，导致自行委托案件数量占比增加。</w:t>
            </w:r>
          </w:p>
        </w:tc>
      </w:tr>
      <w:tr>
        <w:tblPrEx>
          <w:tblCellMar>
            <w:top w:w="0" w:type="dxa"/>
            <w:left w:w="108" w:type="dxa"/>
            <w:bottom w:w="0" w:type="dxa"/>
            <w:right w:w="108" w:type="dxa"/>
          </w:tblCellMar>
        </w:tblPrEx>
        <w:trPr>
          <w:trHeight w:val="728" w:hRule="exact"/>
          <w:jc w:val="center"/>
        </w:trPr>
        <w:tc>
          <w:tcPr>
            <w:tcW w:w="58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2" w:type="dxa"/>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4" w:type="dxa"/>
            <w:vMerge w:val="continue"/>
            <w:tcBorders>
              <w:left w:val="single" w:color="auto" w:sz="4" w:space="0"/>
              <w:bottom w:val="single" w:color="auto" w:sz="4" w:space="0"/>
              <w:right w:val="single" w:color="auto" w:sz="4" w:space="0"/>
            </w:tcBorders>
            <w:vAlign w:val="center"/>
          </w:tcPr>
          <w:p>
            <w:pPr>
              <w:jc w:val="center"/>
              <w:rPr>
                <w:rFonts w:ascii="仿宋_GB2312" w:hAnsi="宋体" w:eastAsia="仿宋_GB2312" w:cs="宋体"/>
                <w:kern w:val="0"/>
                <w:szCs w:val="21"/>
              </w:rPr>
            </w:pPr>
          </w:p>
        </w:tc>
        <w:tc>
          <w:tcPr>
            <w:tcW w:w="1679" w:type="dxa"/>
            <w:gridSpan w:val="3"/>
            <w:tcBorders>
              <w:top w:val="single" w:color="auto" w:sz="4" w:space="0"/>
              <w:left w:val="nil"/>
              <w:bottom w:val="single" w:color="auto" w:sz="4" w:space="0"/>
              <w:right w:val="single" w:color="auto" w:sz="4" w:space="0"/>
            </w:tcBorders>
            <w:vAlign w:val="center"/>
          </w:tcPr>
          <w:p>
            <w:pPr>
              <w:jc w:val="center"/>
              <w:rPr>
                <w:rFonts w:ascii="仿宋_GB2312" w:hAnsi="宋体" w:eastAsia="仿宋_GB2312" w:cs="宋体"/>
                <w:kern w:val="0"/>
                <w:szCs w:val="21"/>
              </w:rPr>
            </w:pPr>
            <w:r>
              <w:rPr>
                <w:rFonts w:hint="eastAsia" w:ascii="仿宋_GB2312" w:hAnsi="宋体" w:eastAsia="仿宋_GB2312" w:cs="宋体"/>
                <w:kern w:val="0"/>
                <w:szCs w:val="21"/>
              </w:rPr>
              <w:t>数据核查分析报告合格率</w:t>
            </w:r>
          </w:p>
        </w:tc>
        <w:tc>
          <w:tcPr>
            <w:tcW w:w="768" w:type="dxa"/>
            <w:tcBorders>
              <w:top w:val="single" w:color="auto" w:sz="4" w:space="0"/>
              <w:left w:val="nil"/>
              <w:bottom w:val="single" w:color="auto" w:sz="4" w:space="0"/>
              <w:right w:val="single" w:color="auto" w:sz="4" w:space="0"/>
            </w:tcBorders>
            <w:vAlign w:val="center"/>
          </w:tcPr>
          <w:p>
            <w:pPr>
              <w:jc w:val="center"/>
              <w:rPr>
                <w:rFonts w:ascii="仿宋_GB2312" w:hAnsi="宋体" w:eastAsia="仿宋_GB2312" w:cs="宋体"/>
                <w:kern w:val="0"/>
                <w:szCs w:val="21"/>
              </w:rPr>
            </w:pPr>
            <w:r>
              <w:rPr>
                <w:rFonts w:hint="eastAsia"/>
              </w:rPr>
              <w:t>=</w:t>
            </w:r>
            <w:r>
              <w:rPr>
                <w:rFonts w:hint="eastAsia" w:ascii="仿宋_GB2312" w:hAnsi="宋体" w:eastAsia="仿宋_GB2312" w:cs="宋体"/>
                <w:kern w:val="0"/>
                <w:szCs w:val="21"/>
              </w:rPr>
              <w:t>100%</w:t>
            </w:r>
          </w:p>
        </w:tc>
        <w:tc>
          <w:tcPr>
            <w:tcW w:w="1701" w:type="dxa"/>
            <w:tcBorders>
              <w:top w:val="single" w:color="auto" w:sz="4" w:space="0"/>
              <w:left w:val="nil"/>
              <w:bottom w:val="single" w:color="auto" w:sz="4" w:space="0"/>
              <w:right w:val="single" w:color="auto" w:sz="4" w:space="0"/>
            </w:tcBorders>
            <w:vAlign w:val="center"/>
          </w:tcPr>
          <w:p>
            <w:pPr>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531" w:type="dxa"/>
            <w:tcBorders>
              <w:top w:val="single" w:color="auto" w:sz="4" w:space="0"/>
              <w:left w:val="nil"/>
              <w:bottom w:val="single" w:color="auto" w:sz="4" w:space="0"/>
              <w:right w:val="single" w:color="auto" w:sz="4" w:space="0"/>
            </w:tcBorders>
            <w:vAlign w:val="center"/>
          </w:tcPr>
          <w:p>
            <w:pPr>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783" w:type="dxa"/>
            <w:gridSpan w:val="2"/>
            <w:tcBorders>
              <w:top w:val="single" w:color="auto" w:sz="4" w:space="0"/>
              <w:left w:val="nil"/>
              <w:bottom w:val="single" w:color="auto" w:sz="4" w:space="0"/>
              <w:right w:val="single" w:color="auto" w:sz="4" w:space="0"/>
            </w:tcBorders>
            <w:vAlign w:val="center"/>
          </w:tcPr>
          <w:p>
            <w:pPr>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1527" w:type="dxa"/>
            <w:gridSpan w:val="2"/>
            <w:tcBorders>
              <w:top w:val="single" w:color="auto" w:sz="4" w:space="0"/>
              <w:left w:val="nil"/>
              <w:bottom w:val="single" w:color="auto" w:sz="4" w:space="0"/>
              <w:right w:val="single" w:color="auto" w:sz="4" w:space="0"/>
            </w:tcBorders>
            <w:vAlign w:val="center"/>
          </w:tcPr>
          <w:p>
            <w:pPr>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2" w:type="dxa"/>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4" w:type="dxa"/>
            <w:vMerge w:val="restart"/>
            <w:tcBorders>
              <w:top w:val="single" w:color="auto" w:sz="4" w:space="0"/>
              <w:left w:val="single" w:color="auto" w:sz="4" w:space="0"/>
              <w:right w:val="single" w:color="auto" w:sz="4" w:space="0"/>
            </w:tcBorders>
            <w:vAlign w:val="center"/>
          </w:tcPr>
          <w:p>
            <w:pPr>
              <w:jc w:val="center"/>
              <w:rPr>
                <w:rFonts w:ascii="仿宋_GB2312" w:hAnsi="宋体" w:eastAsia="仿宋_GB2312" w:cs="宋体"/>
                <w:kern w:val="0"/>
                <w:szCs w:val="21"/>
              </w:rPr>
            </w:pPr>
            <w:r>
              <w:rPr>
                <w:rFonts w:hint="eastAsia" w:ascii="仿宋_GB2312" w:hAnsi="宋体" w:eastAsia="仿宋_GB2312" w:cs="宋体"/>
                <w:kern w:val="0"/>
                <w:szCs w:val="21"/>
              </w:rPr>
              <w:t>时效指标</w:t>
            </w:r>
          </w:p>
        </w:tc>
        <w:tc>
          <w:tcPr>
            <w:tcW w:w="1679" w:type="dxa"/>
            <w:gridSpan w:val="3"/>
            <w:tcBorders>
              <w:top w:val="single" w:color="auto" w:sz="4" w:space="0"/>
              <w:left w:val="nil"/>
              <w:bottom w:val="single" w:color="auto" w:sz="4" w:space="0"/>
              <w:right w:val="single" w:color="auto" w:sz="4" w:space="0"/>
            </w:tcBorders>
            <w:vAlign w:val="center"/>
          </w:tcPr>
          <w:p>
            <w:pPr>
              <w:spacing w:line="240" w:lineRule="exact"/>
              <w:rPr>
                <w:rFonts w:ascii="仿宋_GB2312" w:hAnsi="宋体" w:eastAsia="仿宋_GB2312" w:cs="宋体"/>
                <w:kern w:val="0"/>
                <w:szCs w:val="21"/>
              </w:rPr>
            </w:pPr>
            <w:r>
              <w:rPr>
                <w:rFonts w:hint="eastAsia" w:ascii="仿宋_GB2312" w:hAnsi="宋体" w:eastAsia="仿宋_GB2312" w:cs="宋体"/>
                <w:kern w:val="0"/>
                <w:szCs w:val="21"/>
              </w:rPr>
              <w:t>1-7月支出进度</w:t>
            </w:r>
          </w:p>
        </w:tc>
        <w:tc>
          <w:tcPr>
            <w:tcW w:w="76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≥30%</w:t>
            </w:r>
          </w:p>
        </w:tc>
        <w:tc>
          <w:tcPr>
            <w:tcW w:w="170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72.17%</w:t>
            </w:r>
          </w:p>
        </w:tc>
        <w:tc>
          <w:tcPr>
            <w:tcW w:w="53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7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152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544" w:hRule="exact"/>
          <w:jc w:val="center"/>
        </w:trPr>
        <w:tc>
          <w:tcPr>
            <w:tcW w:w="58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2" w:type="dxa"/>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4" w:type="dxa"/>
            <w:vMerge w:val="continue"/>
            <w:tcBorders>
              <w:left w:val="single" w:color="auto" w:sz="4" w:space="0"/>
              <w:bottom w:val="single" w:color="auto" w:sz="4" w:space="0"/>
              <w:right w:val="single" w:color="auto" w:sz="4" w:space="0"/>
            </w:tcBorders>
            <w:vAlign w:val="center"/>
          </w:tcPr>
          <w:p>
            <w:pPr>
              <w:jc w:val="center"/>
              <w:rPr>
                <w:rFonts w:ascii="仿宋_GB2312" w:hAnsi="宋体" w:eastAsia="仿宋_GB2312" w:cs="宋体"/>
                <w:kern w:val="0"/>
                <w:szCs w:val="21"/>
              </w:rPr>
            </w:pPr>
          </w:p>
        </w:tc>
        <w:tc>
          <w:tcPr>
            <w:tcW w:w="1679" w:type="dxa"/>
            <w:gridSpan w:val="3"/>
            <w:tcBorders>
              <w:top w:val="single" w:color="auto" w:sz="4" w:space="0"/>
              <w:left w:val="nil"/>
              <w:bottom w:val="single" w:color="auto" w:sz="4" w:space="0"/>
              <w:right w:val="single" w:color="auto" w:sz="4" w:space="0"/>
            </w:tcBorders>
            <w:vAlign w:val="center"/>
          </w:tcPr>
          <w:p>
            <w:pPr>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8-12月支出进度</w:t>
            </w:r>
          </w:p>
        </w:tc>
        <w:tc>
          <w:tcPr>
            <w:tcW w:w="76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170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95.45%</w:t>
            </w:r>
          </w:p>
        </w:tc>
        <w:tc>
          <w:tcPr>
            <w:tcW w:w="53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7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152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1000" w:hRule="exact"/>
          <w:jc w:val="center"/>
        </w:trPr>
        <w:tc>
          <w:tcPr>
            <w:tcW w:w="58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2"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4"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cs="宋体"/>
                <w:kern w:val="0"/>
                <w:szCs w:val="21"/>
              </w:rPr>
            </w:pPr>
            <w:r>
              <w:rPr>
                <w:rFonts w:hint="eastAsia" w:ascii="仿宋_GB2312" w:hAnsi="宋体" w:eastAsia="仿宋_GB2312" w:cs="宋体"/>
                <w:kern w:val="0"/>
                <w:szCs w:val="21"/>
              </w:rPr>
              <w:t>成本指标</w:t>
            </w:r>
          </w:p>
        </w:tc>
        <w:tc>
          <w:tcPr>
            <w:tcW w:w="1679" w:type="dxa"/>
            <w:gridSpan w:val="3"/>
            <w:tcBorders>
              <w:top w:val="single" w:color="auto" w:sz="4" w:space="0"/>
              <w:left w:val="nil"/>
              <w:bottom w:val="single" w:color="auto" w:sz="4" w:space="0"/>
              <w:right w:val="single" w:color="auto" w:sz="4" w:space="0"/>
            </w:tcBorders>
            <w:vAlign w:val="center"/>
          </w:tcPr>
          <w:p>
            <w:pPr>
              <w:spacing w:line="240" w:lineRule="exact"/>
              <w:rPr>
                <w:rFonts w:ascii="仿宋_GB2312" w:hAnsi="宋体" w:eastAsia="仿宋_GB2312" w:cs="宋体"/>
                <w:kern w:val="0"/>
                <w:szCs w:val="21"/>
              </w:rPr>
            </w:pPr>
            <w:r>
              <w:rPr>
                <w:rFonts w:hint="eastAsia" w:ascii="仿宋_GB2312" w:hAnsi="宋体" w:eastAsia="仿宋_GB2312" w:cs="宋体"/>
                <w:kern w:val="0"/>
                <w:szCs w:val="21"/>
              </w:rPr>
              <w:t>项目预算控制数</w:t>
            </w:r>
          </w:p>
        </w:tc>
        <w:tc>
          <w:tcPr>
            <w:tcW w:w="76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≤212万元</w:t>
            </w:r>
          </w:p>
        </w:tc>
        <w:tc>
          <w:tcPr>
            <w:tcW w:w="170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181.35万元</w:t>
            </w:r>
          </w:p>
        </w:tc>
        <w:tc>
          <w:tcPr>
            <w:tcW w:w="531" w:type="dxa"/>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10</w:t>
            </w:r>
          </w:p>
        </w:tc>
        <w:tc>
          <w:tcPr>
            <w:tcW w:w="7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152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7091" w:hRule="exact"/>
          <w:jc w:val="center"/>
        </w:trPr>
        <w:tc>
          <w:tcPr>
            <w:tcW w:w="58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2"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效益指标</w:t>
            </w:r>
          </w:p>
        </w:tc>
        <w:tc>
          <w:tcPr>
            <w:tcW w:w="1104"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cs="宋体"/>
                <w:kern w:val="0"/>
                <w:szCs w:val="21"/>
              </w:rPr>
            </w:pPr>
            <w:r>
              <w:rPr>
                <w:rFonts w:hint="eastAsia" w:ascii="仿宋_GB2312" w:hAnsi="宋体" w:eastAsia="仿宋_GB2312" w:cs="宋体"/>
                <w:kern w:val="0"/>
                <w:szCs w:val="21"/>
              </w:rPr>
              <w:t>经济效益</w:t>
            </w:r>
          </w:p>
          <w:p>
            <w:pPr>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1679" w:type="dxa"/>
            <w:gridSpan w:val="3"/>
            <w:tcBorders>
              <w:top w:val="single" w:color="auto" w:sz="4" w:space="0"/>
              <w:left w:val="nil"/>
              <w:bottom w:val="single" w:color="auto" w:sz="4" w:space="0"/>
              <w:right w:val="single" w:color="auto" w:sz="4" w:space="0"/>
            </w:tcBorders>
            <w:vAlign w:val="center"/>
          </w:tcPr>
          <w:p>
            <w:pPr>
              <w:jc w:val="center"/>
              <w:rPr>
                <w:rFonts w:ascii="仿宋_GB2312" w:hAnsi="宋体" w:eastAsia="仿宋_GB2312" w:cs="宋体"/>
                <w:kern w:val="0"/>
                <w:szCs w:val="21"/>
              </w:rPr>
            </w:pPr>
            <w:r>
              <w:rPr>
                <w:rFonts w:hint="eastAsia" w:ascii="仿宋_GB2312" w:hAnsi="宋体" w:eastAsia="仿宋_GB2312" w:cs="宋体"/>
                <w:kern w:val="0"/>
                <w:szCs w:val="21"/>
              </w:rPr>
              <w:t>经济效益</w:t>
            </w:r>
          </w:p>
        </w:tc>
        <w:tc>
          <w:tcPr>
            <w:tcW w:w="768" w:type="dxa"/>
            <w:tcBorders>
              <w:top w:val="single" w:color="auto" w:sz="4" w:space="0"/>
              <w:left w:val="nil"/>
              <w:bottom w:val="single" w:color="auto" w:sz="4" w:space="0"/>
              <w:right w:val="single" w:color="auto" w:sz="4" w:space="0"/>
            </w:tcBorders>
            <w:vAlign w:val="center"/>
          </w:tcPr>
          <w:p>
            <w:pPr>
              <w:jc w:val="center"/>
              <w:rPr>
                <w:rFonts w:ascii="仿宋_GB2312" w:hAnsi="宋体" w:eastAsia="仿宋_GB2312" w:cs="宋体"/>
                <w:kern w:val="0"/>
                <w:szCs w:val="21"/>
              </w:rPr>
            </w:pPr>
            <w:r>
              <w:rPr>
                <w:rFonts w:hint="eastAsia" w:ascii="仿宋_GB2312" w:hAnsi="宋体" w:eastAsia="仿宋_GB2312" w:cs="宋体"/>
                <w:kern w:val="0"/>
                <w:szCs w:val="21"/>
              </w:rPr>
              <w:t>有效降低权利人的维权成本；缩短权利人维权所花费的时间；提高权利人维权的便利度。</w:t>
            </w:r>
          </w:p>
        </w:tc>
        <w:tc>
          <w:tcPr>
            <w:tcW w:w="1701" w:type="dxa"/>
            <w:tcBorders>
              <w:top w:val="single" w:color="auto" w:sz="4" w:space="0"/>
              <w:left w:val="nil"/>
              <w:bottom w:val="single" w:color="auto" w:sz="4" w:space="0"/>
              <w:right w:val="single" w:color="auto" w:sz="4" w:space="0"/>
            </w:tcBorders>
            <w:vAlign w:val="center"/>
          </w:tcPr>
          <w:p>
            <w:pPr>
              <w:jc w:val="center"/>
              <w:rPr>
                <w:rFonts w:ascii="仿宋_GB2312" w:hAnsi="宋体" w:eastAsia="仿宋_GB2312" w:cs="宋体"/>
                <w:kern w:val="0"/>
                <w:szCs w:val="21"/>
              </w:rPr>
            </w:pPr>
            <w:r>
              <w:rPr>
                <w:rFonts w:hint="eastAsia" w:ascii="仿宋_GB2312" w:hAnsi="宋体" w:eastAsia="仿宋_GB2312" w:cs="宋体"/>
                <w:kern w:val="0"/>
                <w:szCs w:val="21"/>
              </w:rPr>
              <w:t>积极推动诉调对接，与7家法院建立合作机制；紧密围绕知识产权矛盾纠纷情况和专业性特点，充分发挥行业自律机制作用，在软件、电子信息、医疗器械等知识产权纠纷高发频发领域建立了16家行业性、专业性知识产权纠纷人民调解委员会，通过培训和日常管理，不断提升调委会知识产权纠纷综合服务能力和水平。</w:t>
            </w:r>
          </w:p>
        </w:tc>
        <w:tc>
          <w:tcPr>
            <w:tcW w:w="531"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783" w:type="dxa"/>
            <w:gridSpan w:val="2"/>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1527" w:type="dxa"/>
            <w:gridSpan w:val="2"/>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5019" w:hRule="exact"/>
          <w:jc w:val="center"/>
        </w:trPr>
        <w:tc>
          <w:tcPr>
            <w:tcW w:w="58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4"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cs="宋体"/>
                <w:kern w:val="0"/>
                <w:szCs w:val="21"/>
              </w:rPr>
            </w:pPr>
            <w:r>
              <w:rPr>
                <w:rFonts w:hint="eastAsia" w:ascii="仿宋_GB2312" w:hAnsi="宋体" w:eastAsia="仿宋_GB2312" w:cs="宋体"/>
                <w:kern w:val="0"/>
                <w:szCs w:val="21"/>
              </w:rPr>
              <w:t>社会效益</w:t>
            </w:r>
          </w:p>
          <w:p>
            <w:pPr>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1679" w:type="dxa"/>
            <w:gridSpan w:val="3"/>
            <w:tcBorders>
              <w:top w:val="single" w:color="auto" w:sz="4" w:space="0"/>
              <w:left w:val="nil"/>
              <w:bottom w:val="single" w:color="auto" w:sz="4" w:space="0"/>
              <w:right w:val="single" w:color="auto" w:sz="4" w:space="0"/>
            </w:tcBorders>
            <w:vAlign w:val="center"/>
          </w:tcPr>
          <w:p>
            <w:pPr>
              <w:jc w:val="center"/>
              <w:rPr>
                <w:rFonts w:ascii="仿宋_GB2312" w:hAnsi="宋体" w:eastAsia="仿宋_GB2312" w:cs="宋体"/>
                <w:kern w:val="0"/>
                <w:szCs w:val="21"/>
              </w:rPr>
            </w:pPr>
            <w:r>
              <w:rPr>
                <w:rFonts w:hint="eastAsia" w:ascii="仿宋_GB2312" w:hAnsi="宋体" w:eastAsia="仿宋_GB2312" w:cs="宋体"/>
                <w:kern w:val="0"/>
                <w:szCs w:val="21"/>
              </w:rPr>
              <w:t>社会效益</w:t>
            </w:r>
          </w:p>
        </w:tc>
        <w:tc>
          <w:tcPr>
            <w:tcW w:w="768" w:type="dxa"/>
            <w:tcBorders>
              <w:top w:val="single" w:color="auto" w:sz="4" w:space="0"/>
              <w:left w:val="nil"/>
              <w:bottom w:val="single" w:color="auto" w:sz="4" w:space="0"/>
              <w:right w:val="single" w:color="auto" w:sz="4" w:space="0"/>
            </w:tcBorders>
            <w:vAlign w:val="center"/>
          </w:tcPr>
          <w:p>
            <w:pPr>
              <w:jc w:val="center"/>
              <w:rPr>
                <w:rFonts w:ascii="仿宋_GB2312" w:hAnsi="宋体" w:eastAsia="仿宋_GB2312" w:cs="宋体"/>
                <w:kern w:val="0"/>
                <w:szCs w:val="21"/>
              </w:rPr>
            </w:pPr>
            <w:r>
              <w:rPr>
                <w:rFonts w:hint="eastAsia" w:ascii="仿宋_GB2312" w:hAnsi="宋体" w:eastAsia="仿宋_GB2312" w:cs="宋体"/>
                <w:kern w:val="0"/>
                <w:szCs w:val="21"/>
              </w:rPr>
              <w:t>缓解司法、行政部门的压力，分流部分案件；降低整体经济运行成本，为首都进一步优化营商和创新环境，实现高质量发展提供重要支撑。</w:t>
            </w:r>
          </w:p>
        </w:tc>
        <w:tc>
          <w:tcPr>
            <w:tcW w:w="1701" w:type="dxa"/>
            <w:tcBorders>
              <w:top w:val="single" w:color="auto" w:sz="4" w:space="0"/>
              <w:left w:val="nil"/>
              <w:bottom w:val="single" w:color="auto" w:sz="4" w:space="0"/>
              <w:right w:val="single" w:color="auto" w:sz="4" w:space="0"/>
            </w:tcBorders>
            <w:vAlign w:val="center"/>
          </w:tcPr>
          <w:p>
            <w:pPr>
              <w:jc w:val="center"/>
              <w:rPr>
                <w:rFonts w:ascii="仿宋_GB2312" w:hAnsi="宋体" w:eastAsia="仿宋_GB2312" w:cs="宋体"/>
                <w:kern w:val="0"/>
                <w:szCs w:val="21"/>
              </w:rPr>
            </w:pPr>
            <w:r>
              <w:rPr>
                <w:rFonts w:hint="eastAsia" w:ascii="仿宋_GB2312" w:hAnsi="宋体" w:eastAsia="仿宋_GB2312" w:cs="宋体"/>
                <w:kern w:val="0"/>
                <w:szCs w:val="21"/>
              </w:rPr>
              <w:t>优化知识产权保护综合服务，构建知识产权矛盾纠纷“排查+预防+宣传+调解”工作模式，推动矛盾纠纷在源头在基层化解；2022年，调解组织接受各级法院委托案件5686件，占受理总量的近50%，有效推动诉调结合、调判结合。</w:t>
            </w:r>
          </w:p>
        </w:tc>
        <w:tc>
          <w:tcPr>
            <w:tcW w:w="531"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783" w:type="dxa"/>
            <w:gridSpan w:val="2"/>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1527" w:type="dxa"/>
            <w:gridSpan w:val="2"/>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1074" w:hRule="exact"/>
          <w:jc w:val="center"/>
        </w:trPr>
        <w:tc>
          <w:tcPr>
            <w:tcW w:w="6804" w:type="dxa"/>
            <w:gridSpan w:val="8"/>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cs="宋体"/>
                <w:kern w:val="0"/>
                <w:szCs w:val="21"/>
              </w:rPr>
            </w:pPr>
            <w:r>
              <w:rPr>
                <w:rFonts w:hint="eastAsia" w:ascii="仿宋_GB2312" w:hAnsi="宋体" w:eastAsia="仿宋_GB2312" w:cs="宋体"/>
                <w:kern w:val="0"/>
                <w:szCs w:val="21"/>
              </w:rPr>
              <w:t>总分</w:t>
            </w:r>
          </w:p>
        </w:tc>
        <w:tc>
          <w:tcPr>
            <w:tcW w:w="531" w:type="dxa"/>
            <w:tcBorders>
              <w:top w:val="single" w:color="auto" w:sz="4" w:space="0"/>
              <w:left w:val="nil"/>
              <w:bottom w:val="single" w:color="auto" w:sz="4" w:space="0"/>
              <w:right w:val="single" w:color="auto" w:sz="4" w:space="0"/>
            </w:tcBorders>
            <w:vAlign w:val="center"/>
          </w:tcPr>
          <w:p>
            <w:pPr>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783" w:type="dxa"/>
            <w:gridSpan w:val="2"/>
            <w:tcBorders>
              <w:top w:val="single" w:color="auto" w:sz="4" w:space="0"/>
              <w:left w:val="nil"/>
              <w:bottom w:val="single" w:color="auto" w:sz="4" w:space="0"/>
              <w:right w:val="single" w:color="auto" w:sz="4" w:space="0"/>
            </w:tcBorders>
            <w:vAlign w:val="center"/>
          </w:tcPr>
          <w:p>
            <w:pPr>
              <w:jc w:val="center"/>
              <w:rPr>
                <w:rFonts w:ascii="仿宋_GB2312" w:hAnsi="宋体" w:eastAsia="仿宋_GB2312" w:cs="宋体"/>
                <w:kern w:val="0"/>
                <w:szCs w:val="21"/>
              </w:rPr>
            </w:pPr>
            <w:r>
              <w:rPr>
                <w:rFonts w:hint="eastAsia" w:ascii="仿宋_GB2312" w:hAnsi="宋体" w:eastAsia="仿宋_GB2312" w:cs="宋体"/>
                <w:kern w:val="0"/>
                <w:szCs w:val="21"/>
              </w:rPr>
              <w:t>99.54</w:t>
            </w:r>
          </w:p>
        </w:tc>
        <w:tc>
          <w:tcPr>
            <w:tcW w:w="1527" w:type="dxa"/>
            <w:gridSpan w:val="2"/>
            <w:tcBorders>
              <w:top w:val="single" w:color="auto" w:sz="4" w:space="0"/>
              <w:left w:val="nil"/>
              <w:bottom w:val="single" w:color="auto" w:sz="4" w:space="0"/>
              <w:right w:val="single" w:color="auto" w:sz="4" w:space="0"/>
            </w:tcBorders>
            <w:vAlign w:val="center"/>
          </w:tcPr>
          <w:p>
            <w:pPr>
              <w:jc w:val="center"/>
              <w:rPr>
                <w:rFonts w:ascii="仿宋_GB2312" w:hAnsi="宋体" w:eastAsia="仿宋_GB2312" w:cs="宋体"/>
                <w:kern w:val="0"/>
                <w:szCs w:val="21"/>
              </w:rPr>
            </w:pPr>
          </w:p>
        </w:tc>
      </w:tr>
    </w:tbl>
    <w:p>
      <w:pPr>
        <w:spacing w:line="520" w:lineRule="exact"/>
        <w:ind w:firstLine="640" w:firstLineChars="200"/>
        <w:rPr>
          <w:rFonts w:ascii="仿宋_GB2312" w:hAnsi="宋体" w:eastAsia="仿宋_GB2312" w:cs="宋体"/>
          <w:color w:val="000000"/>
          <w:kern w:val="0"/>
          <w:sz w:val="32"/>
          <w:szCs w:val="32"/>
        </w:rPr>
      </w:pP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00000001" w:usb1="080E0000" w:usb2="00000000" w:usb3="00000000" w:csb0="00040000"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script"/>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等线">
    <w:altName w:val="宋体"/>
    <w:panose1 w:val="02010600030101010101"/>
    <w:charset w:val="86"/>
    <w:family w:val="auto"/>
    <w:pitch w:val="default"/>
    <w:sig w:usb0="00000000" w:usb1="00000000" w:usb2="00000016" w:usb3="00000000" w:csb0="0004000F"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rPr>
        <w:rFonts w:ascii="宋体" w:hAnsi="宋体"/>
        <w:sz w:val="28"/>
        <w:szCs w:val="28"/>
      </w:rPr>
    </w:pPr>
    <w:r>
      <w:rPr>
        <w:sz w:val="28"/>
      </w:rPr>
      <w:pict>
        <v:shape id="_x0000_s3073" o:spid="_x0000_s3073" o:spt="202" type="#_x0000_t202" style="position:absolute;left:0pt;margin-top:0pt;height:144pt;width:144pt;mso-position-horizontal:right;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BYAAABkcnMvUEsBAhQAFAAAAAgA&#10;h07iQLNJWO7QAAAABQEAAA8AAAAAAAAAAQAgAAAAOAAAAGRycy9kb3ducmV2LnhtbFBLAQIUABQA&#10;AAAIAIdO4kA8FiLyGwIAACkEAAAOAAAAAAAAAAEAIAAAADUBAABkcnMvZTJvRG9jLnhtbFBLBQYA&#10;AAAABgAGAFkBAADCBQAAAAA=&#10;">
          <v:path/>
          <v:fill on="f" focussize="0,0"/>
          <v:stroke on="f" weight="0.5pt" joinstyle="miter"/>
          <v:imagedata o:title=""/>
          <o:lock v:ext="edit"/>
          <v:textbox inset="0mm,0mm,0mm,0mm" style="mso-fit-shape-to-text:t;">
            <w:txbxContent>
              <w:p>
                <w:pPr>
                  <w:pStyle w:val="5"/>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4 -</w:t>
                </w:r>
                <w:r>
                  <w:rPr>
                    <w:rFonts w:ascii="宋体" w:hAnsi="宋体"/>
                    <w:sz w:val="28"/>
                    <w:szCs w:val="28"/>
                  </w:rPr>
                  <w:fldChar w:fldCharType="end"/>
                </w:r>
              </w:p>
            </w:txbxContent>
          </v:textbox>
        </v:shape>
      </w:pict>
    </w:r>
  </w:p>
  <w:p>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true"/>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3"/>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GQxZGZmZTMyMWI5M2JjYmM5MzhiZDA4MmNjZTIyZmEifQ=="/>
  </w:docVars>
  <w:rsids>
    <w:rsidRoot w:val="F77F09F4"/>
    <w:rsid w:val="00024114"/>
    <w:rsid w:val="000941AB"/>
    <w:rsid w:val="000F1C97"/>
    <w:rsid w:val="00153172"/>
    <w:rsid w:val="00192A33"/>
    <w:rsid w:val="001B5736"/>
    <w:rsid w:val="00232957"/>
    <w:rsid w:val="002B0647"/>
    <w:rsid w:val="002E6F29"/>
    <w:rsid w:val="002F23CC"/>
    <w:rsid w:val="003165BA"/>
    <w:rsid w:val="003165F4"/>
    <w:rsid w:val="00332ED5"/>
    <w:rsid w:val="00370B9A"/>
    <w:rsid w:val="003D4633"/>
    <w:rsid w:val="003F64C7"/>
    <w:rsid w:val="00461F88"/>
    <w:rsid w:val="004C2710"/>
    <w:rsid w:val="004D5579"/>
    <w:rsid w:val="004E5CD5"/>
    <w:rsid w:val="005009BF"/>
    <w:rsid w:val="00510338"/>
    <w:rsid w:val="005648CF"/>
    <w:rsid w:val="00575814"/>
    <w:rsid w:val="00596780"/>
    <w:rsid w:val="005A2EE3"/>
    <w:rsid w:val="005D2709"/>
    <w:rsid w:val="00620971"/>
    <w:rsid w:val="006762F4"/>
    <w:rsid w:val="00692E00"/>
    <w:rsid w:val="0069482D"/>
    <w:rsid w:val="006A3C46"/>
    <w:rsid w:val="006C00DE"/>
    <w:rsid w:val="007473CD"/>
    <w:rsid w:val="00774031"/>
    <w:rsid w:val="007E4FE8"/>
    <w:rsid w:val="008104CB"/>
    <w:rsid w:val="008474BE"/>
    <w:rsid w:val="00862F48"/>
    <w:rsid w:val="00863B91"/>
    <w:rsid w:val="00865D7E"/>
    <w:rsid w:val="008909F7"/>
    <w:rsid w:val="008B080B"/>
    <w:rsid w:val="008C3FA8"/>
    <w:rsid w:val="008D483A"/>
    <w:rsid w:val="009A3A42"/>
    <w:rsid w:val="009B1547"/>
    <w:rsid w:val="009F446F"/>
    <w:rsid w:val="00A027B6"/>
    <w:rsid w:val="00A028D7"/>
    <w:rsid w:val="00A14B6E"/>
    <w:rsid w:val="00A209CB"/>
    <w:rsid w:val="00A24C6B"/>
    <w:rsid w:val="00A52227"/>
    <w:rsid w:val="00A77907"/>
    <w:rsid w:val="00AB3B18"/>
    <w:rsid w:val="00B35949"/>
    <w:rsid w:val="00B37177"/>
    <w:rsid w:val="00B532B7"/>
    <w:rsid w:val="00BF2DE8"/>
    <w:rsid w:val="00C33828"/>
    <w:rsid w:val="00C70CCD"/>
    <w:rsid w:val="00C86A36"/>
    <w:rsid w:val="00CA5766"/>
    <w:rsid w:val="00CC1E30"/>
    <w:rsid w:val="00CC2AAF"/>
    <w:rsid w:val="00CE49BB"/>
    <w:rsid w:val="00CE5F05"/>
    <w:rsid w:val="00D12240"/>
    <w:rsid w:val="00D36C0A"/>
    <w:rsid w:val="00D635D8"/>
    <w:rsid w:val="00D9142E"/>
    <w:rsid w:val="00D9170C"/>
    <w:rsid w:val="00D939C6"/>
    <w:rsid w:val="00DC41AA"/>
    <w:rsid w:val="00DF2AA2"/>
    <w:rsid w:val="00E43905"/>
    <w:rsid w:val="00E94ED9"/>
    <w:rsid w:val="00EB54FA"/>
    <w:rsid w:val="00F42912"/>
    <w:rsid w:val="00FC7D99"/>
    <w:rsid w:val="1F7555F2"/>
    <w:rsid w:val="1F9A4B91"/>
    <w:rsid w:val="37173543"/>
    <w:rsid w:val="3B154F9A"/>
    <w:rsid w:val="3E5FD572"/>
    <w:rsid w:val="3FF76880"/>
    <w:rsid w:val="68514901"/>
    <w:rsid w:val="7235409F"/>
    <w:rsid w:val="777D8F66"/>
    <w:rsid w:val="7AB7FF50"/>
    <w:rsid w:val="7BBA4E35"/>
    <w:rsid w:val="7BFEB0DB"/>
    <w:rsid w:val="7F9B608E"/>
    <w:rsid w:val="CEFD3F3D"/>
    <w:rsid w:val="E76F2340"/>
    <w:rsid w:val="EA3F77F2"/>
    <w:rsid w:val="EEBF4ED9"/>
    <w:rsid w:val="EEFE5989"/>
    <w:rsid w:val="EFCF3EAE"/>
    <w:rsid w:val="F5B764A2"/>
    <w:rsid w:val="F77F09F4"/>
    <w:rsid w:val="FFD7BFFC"/>
    <w:rsid w:val="FFFA6B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iPriority="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13"/>
    <w:semiHidden/>
    <w:unhideWhenUsed/>
    <w:qFormat/>
    <w:uiPriority w:val="0"/>
    <w:pPr>
      <w:jc w:val="left"/>
    </w:pPr>
  </w:style>
  <w:style w:type="paragraph" w:styleId="4">
    <w:name w:val="Balloon Text"/>
    <w:basedOn w:val="1"/>
    <w:link w:val="12"/>
    <w:semiHidden/>
    <w:unhideWhenUsed/>
    <w:qFormat/>
    <w:uiPriority w:val="0"/>
    <w:rPr>
      <w:sz w:val="18"/>
      <w:szCs w:val="18"/>
    </w:rPr>
  </w:style>
  <w:style w:type="paragraph" w:styleId="5">
    <w:name w:val="footer"/>
    <w:basedOn w:val="1"/>
    <w:qFormat/>
    <w:uiPriority w:val="99"/>
    <w:pPr>
      <w:tabs>
        <w:tab w:val="center" w:pos="4153"/>
        <w:tab w:val="right" w:pos="8306"/>
      </w:tabs>
      <w:snapToGrid w:val="0"/>
      <w:jc w:val="left"/>
    </w:pPr>
    <w:rPr>
      <w:sz w:val="18"/>
      <w:szCs w:val="20"/>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annotation subject"/>
    <w:basedOn w:val="3"/>
    <w:next w:val="3"/>
    <w:link w:val="14"/>
    <w:semiHidden/>
    <w:unhideWhenUsed/>
    <w:qFormat/>
    <w:uiPriority w:val="0"/>
    <w:rPr>
      <w:b/>
      <w:bCs/>
    </w:rPr>
  </w:style>
  <w:style w:type="character" w:styleId="10">
    <w:name w:val="annotation reference"/>
    <w:basedOn w:val="9"/>
    <w:semiHidden/>
    <w:unhideWhenUsed/>
    <w:qFormat/>
    <w:uiPriority w:val="0"/>
    <w:rPr>
      <w:sz w:val="21"/>
      <w:szCs w:val="21"/>
    </w:rPr>
  </w:style>
  <w:style w:type="paragraph" w:customStyle="1" w:styleId="11">
    <w:name w:val="列出段落1"/>
    <w:basedOn w:val="1"/>
    <w:qFormat/>
    <w:uiPriority w:val="34"/>
    <w:pPr>
      <w:ind w:firstLine="420" w:firstLineChars="200"/>
    </w:pPr>
    <w:rPr>
      <w:rFonts w:ascii="Calibri" w:hAnsi="Calibri" w:cs="黑体"/>
      <w:szCs w:val="22"/>
    </w:rPr>
  </w:style>
  <w:style w:type="character" w:customStyle="1" w:styleId="12">
    <w:name w:val="批注框文本 字符"/>
    <w:basedOn w:val="9"/>
    <w:link w:val="4"/>
    <w:semiHidden/>
    <w:qFormat/>
    <w:uiPriority w:val="0"/>
    <w:rPr>
      <w:rFonts w:ascii="Times New Roman" w:hAnsi="Times New Roman" w:eastAsia="宋体" w:cs="Times New Roman"/>
      <w:kern w:val="2"/>
      <w:sz w:val="18"/>
      <w:szCs w:val="18"/>
    </w:rPr>
  </w:style>
  <w:style w:type="character" w:customStyle="1" w:styleId="13">
    <w:name w:val="批注文字 字符"/>
    <w:basedOn w:val="9"/>
    <w:link w:val="3"/>
    <w:semiHidden/>
    <w:qFormat/>
    <w:uiPriority w:val="0"/>
    <w:rPr>
      <w:rFonts w:ascii="Times New Roman" w:hAnsi="Times New Roman" w:eastAsia="宋体" w:cs="Times New Roman"/>
      <w:kern w:val="2"/>
      <w:sz w:val="21"/>
      <w:szCs w:val="24"/>
    </w:rPr>
  </w:style>
  <w:style w:type="character" w:customStyle="1" w:styleId="14">
    <w:name w:val="批注主题 字符"/>
    <w:basedOn w:val="13"/>
    <w:link w:val="7"/>
    <w:semiHidden/>
    <w:qFormat/>
    <w:uiPriority w:val="0"/>
    <w:rPr>
      <w:rFonts w:ascii="Times New Roman" w:hAnsi="Times New Roman" w:eastAsia="宋体" w:cs="Times New Roman"/>
      <w:b/>
      <w:bCs/>
      <w:kern w:val="2"/>
      <w:sz w:val="21"/>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307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ICOS</Company>
  <Pages>5</Pages>
  <Words>322</Words>
  <Characters>1836</Characters>
  <Lines>15</Lines>
  <Paragraphs>4</Paragraphs>
  <TotalTime>26</TotalTime>
  <ScaleCrop>false</ScaleCrop>
  <LinksUpToDate>false</LinksUpToDate>
  <CharactersWithSpaces>2154</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2023-06-05T23:03:00Z</dcterms:created>
  <dc:creator>user</dc:creator>
  <cp:lastModifiedBy>user</cp:lastModifiedBy>
  <cp:lastPrinted>2022-03-26T10:01:00Z</cp:lastPrinted>
  <dcterms:modified xsi:type="dcterms:W3CDTF">2023-07-19T15:13:18Z</dcterms:modified>
  <cp:revision>41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y fmtid="{D5CDD505-2E9C-101B-9397-08002B2CF9AE}" pid="3" name="ICV">
    <vt:lpwstr>5A08E7E559B44ABF8E9FBCA0731DB5BD</vt:lpwstr>
  </property>
</Properties>
</file>