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w:t>
      </w:r>
      <w:r>
        <w:rPr>
          <w:rFonts w:ascii="仿宋_GB2312" w:hAnsi="宋体" w:eastAsia="仿宋_GB2312"/>
          <w:sz w:val="28"/>
          <w:szCs w:val="28"/>
        </w:rPr>
        <w:t>202</w:t>
      </w:r>
      <w:r>
        <w:rPr>
          <w:rFonts w:hint="eastAsia" w:ascii="仿宋_GB2312" w:hAnsi="宋体" w:eastAsia="仿宋_GB2312"/>
          <w:sz w:val="28"/>
          <w:szCs w:val="28"/>
        </w:rPr>
        <w:t>2年度）</w:t>
      </w:r>
    </w:p>
    <w:p>
      <w:pPr>
        <w:spacing w:line="240" w:lineRule="exact"/>
        <w:rPr>
          <w:rFonts w:ascii="仿宋_GB2312" w:hAnsi="宋体" w:eastAsia="仿宋_GB2312"/>
          <w:sz w:val="30"/>
          <w:szCs w:val="30"/>
        </w:rPr>
      </w:pPr>
    </w:p>
    <w:tbl>
      <w:tblPr>
        <w:tblStyle w:val="7"/>
        <w:tblW w:w="9340" w:type="dxa"/>
        <w:jc w:val="center"/>
        <w:tblLayout w:type="fixed"/>
        <w:tblCellMar>
          <w:top w:w="0" w:type="dxa"/>
          <w:left w:w="108" w:type="dxa"/>
          <w:bottom w:w="0" w:type="dxa"/>
          <w:right w:w="108" w:type="dxa"/>
        </w:tblCellMar>
      </w:tblPr>
      <w:tblGrid>
        <w:gridCol w:w="587"/>
        <w:gridCol w:w="658"/>
        <w:gridCol w:w="992"/>
        <w:gridCol w:w="569"/>
        <w:gridCol w:w="376"/>
        <w:gridCol w:w="1446"/>
        <w:gridCol w:w="992"/>
        <w:gridCol w:w="567"/>
        <w:gridCol w:w="460"/>
        <w:gridCol w:w="816"/>
        <w:gridCol w:w="709"/>
        <w:gridCol w:w="318"/>
        <w:gridCol w:w="837"/>
        <w:gridCol w:w="13"/>
      </w:tblGrid>
      <w:tr>
        <w:tblPrEx>
          <w:tblCellMar>
            <w:top w:w="0" w:type="dxa"/>
            <w:left w:w="108" w:type="dxa"/>
            <w:bottom w:w="0" w:type="dxa"/>
            <w:right w:w="108" w:type="dxa"/>
          </w:tblCellMar>
        </w:tblPrEx>
        <w:trPr>
          <w:trHeight w:val="459" w:hRule="exact"/>
          <w:jc w:val="center"/>
        </w:trPr>
        <w:tc>
          <w:tcPr>
            <w:tcW w:w="124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8095"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机房调整</w:t>
            </w:r>
          </w:p>
        </w:tc>
      </w:tr>
      <w:tr>
        <w:tblPrEx>
          <w:tblCellMar>
            <w:top w:w="0" w:type="dxa"/>
            <w:left w:w="108" w:type="dxa"/>
            <w:bottom w:w="0" w:type="dxa"/>
            <w:right w:w="108" w:type="dxa"/>
          </w:tblCellMar>
        </w:tblPrEx>
        <w:trPr>
          <w:trHeight w:val="371" w:hRule="exact"/>
          <w:jc w:val="center"/>
        </w:trPr>
        <w:tc>
          <w:tcPr>
            <w:tcW w:w="124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3383"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w:t>
            </w:r>
            <w:r>
              <w:rPr>
                <w:rFonts w:ascii="仿宋_GB2312" w:hAnsi="宋体" w:eastAsia="仿宋_GB2312" w:cs="宋体"/>
                <w:kern w:val="0"/>
                <w:szCs w:val="21"/>
              </w:rPr>
              <w:t>知识产权局</w:t>
            </w:r>
          </w:p>
        </w:tc>
        <w:tc>
          <w:tcPr>
            <w:tcW w:w="1559"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3153"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中关村知识产权促进中心</w:t>
            </w:r>
          </w:p>
        </w:tc>
      </w:tr>
      <w:tr>
        <w:tblPrEx>
          <w:tblCellMar>
            <w:top w:w="0" w:type="dxa"/>
            <w:left w:w="108" w:type="dxa"/>
            <w:bottom w:w="0" w:type="dxa"/>
            <w:right w:w="108" w:type="dxa"/>
          </w:tblCellMar>
        </w:tblPrEx>
        <w:trPr>
          <w:trHeight w:val="568" w:hRule="exact"/>
          <w:jc w:val="center"/>
        </w:trPr>
        <w:tc>
          <w:tcPr>
            <w:tcW w:w="124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3383"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王禹涵</w:t>
            </w:r>
          </w:p>
        </w:tc>
        <w:tc>
          <w:tcPr>
            <w:tcW w:w="1559"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3153"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60222866</w:t>
            </w:r>
          </w:p>
        </w:tc>
      </w:tr>
      <w:tr>
        <w:tblPrEx>
          <w:tblCellMar>
            <w:top w:w="0" w:type="dxa"/>
            <w:left w:w="108" w:type="dxa"/>
            <w:bottom w:w="0" w:type="dxa"/>
            <w:right w:w="108" w:type="dxa"/>
          </w:tblCellMar>
        </w:tblPrEx>
        <w:trPr>
          <w:trHeight w:val="688" w:hRule="exact"/>
          <w:jc w:val="center"/>
        </w:trPr>
        <w:tc>
          <w:tcPr>
            <w:tcW w:w="124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5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2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99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0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10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85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71" w:hRule="exact"/>
          <w:jc w:val="center"/>
        </w:trPr>
        <w:tc>
          <w:tcPr>
            <w:tcW w:w="124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1"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82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61.08</w:t>
            </w:r>
          </w:p>
        </w:tc>
        <w:tc>
          <w:tcPr>
            <w:tcW w:w="99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61.08</w:t>
            </w:r>
          </w:p>
        </w:tc>
        <w:tc>
          <w:tcPr>
            <w:tcW w:w="10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3.05</w:t>
            </w: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0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4.99</w:t>
            </w:r>
            <w:r>
              <w:rPr>
                <w:rFonts w:ascii="仿宋_GB2312" w:hAnsi="宋体" w:eastAsia="仿宋_GB2312" w:cs="宋体"/>
                <w:kern w:val="0"/>
                <w:szCs w:val="21"/>
              </w:rPr>
              <w:t>%</w:t>
            </w:r>
          </w:p>
        </w:tc>
        <w:tc>
          <w:tcPr>
            <w:tcW w:w="85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宋体" w:cs="宋体"/>
                <w:kern w:val="0"/>
                <w:szCs w:val="21"/>
                <w:lang w:val="en-US" w:eastAsia="zh-CN"/>
              </w:rPr>
            </w:pPr>
            <w:r>
              <w:rPr>
                <w:rFonts w:hint="eastAsia"/>
              </w:rPr>
              <w:t>0.5</w:t>
            </w:r>
            <w:r>
              <w:rPr>
                <w:rFonts w:hint="eastAsia"/>
                <w:lang w:val="en-US" w:eastAsia="zh-CN"/>
              </w:rPr>
              <w:t>0</w:t>
            </w:r>
          </w:p>
        </w:tc>
      </w:tr>
      <w:tr>
        <w:tblPrEx>
          <w:tblCellMar>
            <w:top w:w="0" w:type="dxa"/>
            <w:left w:w="108" w:type="dxa"/>
            <w:bottom w:w="0" w:type="dxa"/>
            <w:right w:w="108" w:type="dxa"/>
          </w:tblCellMar>
        </w:tblPrEx>
        <w:trPr>
          <w:trHeight w:val="729" w:hRule="exact"/>
          <w:jc w:val="center"/>
        </w:trPr>
        <w:tc>
          <w:tcPr>
            <w:tcW w:w="124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其中：当年财政拨款</w:t>
            </w:r>
          </w:p>
        </w:tc>
        <w:tc>
          <w:tcPr>
            <w:tcW w:w="182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61.08</w:t>
            </w:r>
          </w:p>
        </w:tc>
        <w:tc>
          <w:tcPr>
            <w:tcW w:w="99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kern w:val="0"/>
                <w:szCs w:val="21"/>
              </w:rPr>
            </w:pPr>
            <w:r>
              <w:rPr>
                <w:rFonts w:hint="eastAsia" w:ascii="仿宋_GB2312" w:hAnsi="宋体" w:eastAsia="仿宋_GB2312" w:cs="宋体"/>
                <w:kern w:val="0"/>
                <w:szCs w:val="21"/>
              </w:rPr>
              <w:t>61.08</w:t>
            </w:r>
          </w:p>
        </w:tc>
        <w:tc>
          <w:tcPr>
            <w:tcW w:w="10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3.05</w:t>
            </w: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0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4.99%</w:t>
            </w:r>
          </w:p>
        </w:tc>
        <w:tc>
          <w:tcPr>
            <w:tcW w:w="85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688" w:hRule="exact"/>
          <w:jc w:val="center"/>
        </w:trPr>
        <w:tc>
          <w:tcPr>
            <w:tcW w:w="124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82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9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0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5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71" w:hRule="exact"/>
          <w:jc w:val="center"/>
        </w:trPr>
        <w:tc>
          <w:tcPr>
            <w:tcW w:w="124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82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9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0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5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473" w:hRule="exact"/>
          <w:jc w:val="center"/>
        </w:trPr>
        <w:tc>
          <w:tcPr>
            <w:tcW w:w="5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404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4712" w:type="dxa"/>
            <w:gridSpan w:val="8"/>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1939" w:hRule="exact"/>
          <w:jc w:val="center"/>
        </w:trPr>
        <w:tc>
          <w:tcPr>
            <w:tcW w:w="5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04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按照市编办批复，原中关村知识产权促进局和原北京市知识产权信息中心整合成立中关村知识产权促进中心，空间不变人员增加。机房相关设备于2021年底前全部上云完毕,机房占地面积约200平米,需将现有机房进行调整，空间布局需要重新确认。</w:t>
            </w:r>
          </w:p>
        </w:tc>
        <w:tc>
          <w:tcPr>
            <w:tcW w:w="4712" w:type="dxa"/>
            <w:gridSpan w:val="8"/>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按照机房调整工作计划，完成图纸设计环节与工程造价环节。促进中心整体搬迁，原有机房调整项目无法执行，剩余资金上缴财政。</w:t>
            </w:r>
          </w:p>
        </w:tc>
      </w:tr>
      <w:tr>
        <w:tblPrEx>
          <w:tblCellMar>
            <w:top w:w="0" w:type="dxa"/>
            <w:left w:w="108" w:type="dxa"/>
            <w:bottom w:w="0" w:type="dxa"/>
            <w:right w:w="108" w:type="dxa"/>
          </w:tblCellMar>
        </w:tblPrEx>
        <w:trPr>
          <w:gridAfter w:val="1"/>
          <w:wAfter w:w="13" w:type="dxa"/>
          <w:trHeight w:val="1008" w:hRule="exact"/>
          <w:jc w:val="center"/>
        </w:trPr>
        <w:tc>
          <w:tcPr>
            <w:tcW w:w="587"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65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9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94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44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127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7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1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tblPrEx>
          <w:tblCellMar>
            <w:top w:w="0" w:type="dxa"/>
            <w:left w:w="108" w:type="dxa"/>
            <w:bottom w:w="0" w:type="dxa"/>
            <w:right w:w="108" w:type="dxa"/>
          </w:tblCellMar>
        </w:tblPrEx>
        <w:trPr>
          <w:gridAfter w:val="1"/>
          <w:wAfter w:w="13" w:type="dxa"/>
          <w:trHeight w:val="576" w:hRule="atLeas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5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94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机房调整面积</w:t>
            </w:r>
          </w:p>
        </w:tc>
        <w:tc>
          <w:tcPr>
            <w:tcW w:w="144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=180平米</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27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7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促进中心整体搬迁，原有机房调整项目无法执行，剩余资金上缴财政</w:t>
            </w:r>
          </w:p>
        </w:tc>
      </w:tr>
      <w:tr>
        <w:tblPrEx>
          <w:tblCellMar>
            <w:top w:w="0" w:type="dxa"/>
            <w:left w:w="108" w:type="dxa"/>
            <w:bottom w:w="0" w:type="dxa"/>
            <w:right w:w="108" w:type="dxa"/>
          </w:tblCellMar>
        </w:tblPrEx>
        <w:trPr>
          <w:gridAfter w:val="1"/>
          <w:wAfter w:w="13" w:type="dxa"/>
          <w:trHeight w:val="3271"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5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992" w:type="dxa"/>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94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按要求改造完成验收合格后，进行资金支付</w:t>
            </w:r>
          </w:p>
        </w:tc>
        <w:tc>
          <w:tcPr>
            <w:tcW w:w="1446" w:type="dxa"/>
            <w:tcBorders>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rPr>
              <w:t>≤</w:t>
            </w:r>
            <w:r>
              <w:rPr>
                <w:rFonts w:hint="eastAsia" w:ascii="仿宋_GB2312" w:hAnsi="宋体" w:eastAsia="仿宋_GB2312" w:cs="宋体"/>
                <w:kern w:val="0"/>
                <w:szCs w:val="21"/>
              </w:rPr>
              <w:t>12月</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27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7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促进中心整体搬迁，原有机房调整项目无法执行，剩余资金上缴财政</w:t>
            </w:r>
          </w:p>
        </w:tc>
      </w:tr>
      <w:tr>
        <w:tblPrEx>
          <w:tblCellMar>
            <w:top w:w="0" w:type="dxa"/>
            <w:left w:w="108" w:type="dxa"/>
            <w:bottom w:w="0" w:type="dxa"/>
            <w:right w:w="108" w:type="dxa"/>
          </w:tblCellMar>
        </w:tblPrEx>
        <w:trPr>
          <w:gridAfter w:val="1"/>
          <w:wAfter w:w="13" w:type="dxa"/>
          <w:trHeight w:val="3118"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5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94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费用控制</w:t>
            </w:r>
          </w:p>
        </w:tc>
        <w:tc>
          <w:tcPr>
            <w:tcW w:w="144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rPr>
              <w:t>≤</w:t>
            </w:r>
            <w:r>
              <w:rPr>
                <w:rFonts w:hint="eastAsia" w:ascii="仿宋_GB2312" w:hAnsi="宋体" w:eastAsia="仿宋_GB2312" w:cs="宋体"/>
                <w:kern w:val="0"/>
                <w:szCs w:val="21"/>
              </w:rPr>
              <w:t>61.08万元</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3.05万元</w:t>
            </w:r>
          </w:p>
        </w:tc>
        <w:tc>
          <w:tcPr>
            <w:tcW w:w="127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7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促进中心整体搬迁，原有机房调整项目无法执行，剩余资金上缴财政</w:t>
            </w:r>
          </w:p>
        </w:tc>
      </w:tr>
      <w:tr>
        <w:tblPrEx>
          <w:tblCellMar>
            <w:top w:w="0" w:type="dxa"/>
            <w:left w:w="108" w:type="dxa"/>
            <w:bottom w:w="0" w:type="dxa"/>
            <w:right w:w="108" w:type="dxa"/>
          </w:tblCellMar>
        </w:tblPrEx>
        <w:trPr>
          <w:gridAfter w:val="1"/>
          <w:wAfter w:w="13" w:type="dxa"/>
          <w:trHeight w:val="3120"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5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992" w:type="dxa"/>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94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可持续使用时间</w:t>
            </w:r>
          </w:p>
        </w:tc>
        <w:tc>
          <w:tcPr>
            <w:tcW w:w="1446" w:type="dxa"/>
            <w:tcBorders>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宋体" w:hAnsi="宋体"/>
              </w:rPr>
              <w:t>≥</w:t>
            </w:r>
            <w:r>
              <w:rPr>
                <w:rFonts w:hint="eastAsia" w:ascii="仿宋_GB2312" w:hAnsi="宋体" w:eastAsia="仿宋_GB2312" w:cs="宋体"/>
                <w:kern w:val="0"/>
                <w:szCs w:val="21"/>
              </w:rPr>
              <w:t>3年</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27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7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促进中心整体搬迁，原有机房调整项目无法执行，剩余资金上缴财政</w:t>
            </w:r>
          </w:p>
        </w:tc>
      </w:tr>
      <w:tr>
        <w:tblPrEx>
          <w:tblCellMar>
            <w:top w:w="0" w:type="dxa"/>
            <w:left w:w="108" w:type="dxa"/>
            <w:bottom w:w="0" w:type="dxa"/>
            <w:right w:w="108" w:type="dxa"/>
          </w:tblCellMar>
        </w:tblPrEx>
        <w:trPr>
          <w:gridAfter w:val="1"/>
          <w:wAfter w:w="13" w:type="dxa"/>
          <w:trHeight w:val="3406" w:hRule="exact"/>
          <w:jc w:val="center"/>
        </w:trPr>
        <w:tc>
          <w:tcPr>
            <w:tcW w:w="587"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5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满意度指标</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94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员工对办公环境满意度</w:t>
            </w:r>
          </w:p>
        </w:tc>
        <w:tc>
          <w:tcPr>
            <w:tcW w:w="144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宋体" w:hAnsi="宋体"/>
              </w:rPr>
              <w:t>≥</w:t>
            </w:r>
            <w:r>
              <w:rPr>
                <w:rFonts w:hint="eastAsia" w:ascii="仿宋_GB2312" w:hAnsi="宋体" w:eastAsia="仿宋_GB2312" w:cs="宋体"/>
                <w:kern w:val="0"/>
                <w:szCs w:val="21"/>
              </w:rPr>
              <w:t>85%</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27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7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促进中心整体搬迁，原有机房调整项目无法执行，剩余资金上缴财政</w:t>
            </w:r>
          </w:p>
        </w:tc>
      </w:tr>
      <w:tr>
        <w:tblPrEx>
          <w:tblCellMar>
            <w:top w:w="0" w:type="dxa"/>
            <w:left w:w="108" w:type="dxa"/>
            <w:bottom w:w="0" w:type="dxa"/>
            <w:right w:w="108" w:type="dxa"/>
          </w:tblCellMar>
        </w:tblPrEx>
        <w:trPr>
          <w:trHeight w:val="579" w:hRule="exact"/>
          <w:jc w:val="center"/>
        </w:trPr>
        <w:tc>
          <w:tcPr>
            <w:tcW w:w="6187"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127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7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宋体" w:cs="宋体"/>
                <w:color w:val="000000"/>
                <w:kern w:val="0"/>
                <w:szCs w:val="21"/>
                <w:lang w:val="en-US" w:eastAsia="zh-CN"/>
              </w:rPr>
            </w:pPr>
            <w:r>
              <w:rPr>
                <w:rFonts w:hint="eastAsia"/>
              </w:rPr>
              <w:t>0.5</w:t>
            </w:r>
            <w:r>
              <w:rPr>
                <w:rFonts w:hint="eastAsia"/>
                <w:lang w:val="en-US" w:eastAsia="zh-CN"/>
              </w:rPr>
              <w:t>0</w:t>
            </w:r>
          </w:p>
        </w:tc>
        <w:tc>
          <w:tcPr>
            <w:tcW w:w="116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spacing w:line="520" w:lineRule="exact"/>
        <w:ind w:firstLine="640" w:firstLineChars="200"/>
        <w:rPr>
          <w:rFonts w:ascii="仿宋_GB2312" w:hAnsi="宋体" w:eastAsia="仿宋_GB2312" w:cs="宋体"/>
          <w:color w:val="000000"/>
          <w:kern w:val="0"/>
          <w:sz w:val="32"/>
          <w:szCs w:val="32"/>
        </w:rPr>
      </w:pPr>
      <w:bookmarkStart w:id="0" w:name="_GoBack"/>
      <w:bookmarkEnd w:id="0"/>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sz w:val="28"/>
      </w:rPr>
      <w:pict>
        <v:shape id="文本框 2" o:spid="_x0000_s4097" o:spt="202" type="#_x0000_t202" style="position:absolute;left:0pt;margin-top:0pt;height:144pt;width:144pt;mso-position-horizontal:right;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v:path/>
          <v:fill on="f" focussize="0,0"/>
          <v:stroke on="f" weight="0.5pt" joinstyle="miter"/>
          <v:imagedata o:title=""/>
          <o:lock v:ext="edit"/>
          <v:textbox inset="0mm,0mm,0mm,0mm" style="mso-fit-shape-to-text:t;">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3 -</w:t>
                </w:r>
                <w:r>
                  <w:rPr>
                    <w:rFonts w:ascii="宋体" w:hAnsi="宋体"/>
                    <w:sz w:val="28"/>
                    <w:szCs w:val="28"/>
                  </w:rPr>
                  <w:fldChar w:fldCharType="end"/>
                </w:r>
              </w:p>
            </w:txbxContent>
          </v:textbox>
        </v:shape>
      </w:pict>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true"/>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GQxZGZmZTMyMWI5M2JjYmM5MzhiZDA4MmNjZTIyZmEifQ=="/>
  </w:docVars>
  <w:rsids>
    <w:rsidRoot w:val="F77F09F4"/>
    <w:rsid w:val="00007670"/>
    <w:rsid w:val="0003744E"/>
    <w:rsid w:val="00062CFF"/>
    <w:rsid w:val="00087A23"/>
    <w:rsid w:val="000D6401"/>
    <w:rsid w:val="0018146A"/>
    <w:rsid w:val="00182698"/>
    <w:rsid w:val="00194C25"/>
    <w:rsid w:val="001B657D"/>
    <w:rsid w:val="001F1672"/>
    <w:rsid w:val="00212632"/>
    <w:rsid w:val="002157AC"/>
    <w:rsid w:val="002970BA"/>
    <w:rsid w:val="002B62DE"/>
    <w:rsid w:val="002D074D"/>
    <w:rsid w:val="002F0390"/>
    <w:rsid w:val="00323C11"/>
    <w:rsid w:val="003642B1"/>
    <w:rsid w:val="003A32AD"/>
    <w:rsid w:val="003C0B03"/>
    <w:rsid w:val="003C6F87"/>
    <w:rsid w:val="003D24FD"/>
    <w:rsid w:val="003F1626"/>
    <w:rsid w:val="004E343B"/>
    <w:rsid w:val="004F39F8"/>
    <w:rsid w:val="00511742"/>
    <w:rsid w:val="00516F87"/>
    <w:rsid w:val="00543580"/>
    <w:rsid w:val="005E2B21"/>
    <w:rsid w:val="005F5853"/>
    <w:rsid w:val="00647D5D"/>
    <w:rsid w:val="006604A5"/>
    <w:rsid w:val="006B638C"/>
    <w:rsid w:val="006B65C5"/>
    <w:rsid w:val="006D463D"/>
    <w:rsid w:val="006E0232"/>
    <w:rsid w:val="006E1693"/>
    <w:rsid w:val="00715E33"/>
    <w:rsid w:val="007C03C8"/>
    <w:rsid w:val="007F1DD0"/>
    <w:rsid w:val="008707F9"/>
    <w:rsid w:val="008C426D"/>
    <w:rsid w:val="008D4F81"/>
    <w:rsid w:val="00910850"/>
    <w:rsid w:val="009221CD"/>
    <w:rsid w:val="009462EF"/>
    <w:rsid w:val="009A70A4"/>
    <w:rsid w:val="009D3EE3"/>
    <w:rsid w:val="00A125C3"/>
    <w:rsid w:val="00A97CEE"/>
    <w:rsid w:val="00B60F54"/>
    <w:rsid w:val="00B645CF"/>
    <w:rsid w:val="00B73C2D"/>
    <w:rsid w:val="00B84E14"/>
    <w:rsid w:val="00B93945"/>
    <w:rsid w:val="00BA42BE"/>
    <w:rsid w:val="00BA4F7A"/>
    <w:rsid w:val="00BC2A23"/>
    <w:rsid w:val="00BD2F7B"/>
    <w:rsid w:val="00C66F9D"/>
    <w:rsid w:val="00C8452D"/>
    <w:rsid w:val="00CC2B23"/>
    <w:rsid w:val="00CE6318"/>
    <w:rsid w:val="00D01DA5"/>
    <w:rsid w:val="00D20B72"/>
    <w:rsid w:val="00D21175"/>
    <w:rsid w:val="00DA4544"/>
    <w:rsid w:val="00DC5D9A"/>
    <w:rsid w:val="00E044CF"/>
    <w:rsid w:val="00E04D65"/>
    <w:rsid w:val="00E473EF"/>
    <w:rsid w:val="00E6055C"/>
    <w:rsid w:val="00E84403"/>
    <w:rsid w:val="00E8586F"/>
    <w:rsid w:val="00E91C73"/>
    <w:rsid w:val="00EF6D3A"/>
    <w:rsid w:val="00F704C1"/>
    <w:rsid w:val="00F82FB9"/>
    <w:rsid w:val="00FA1D2E"/>
    <w:rsid w:val="208B2B62"/>
    <w:rsid w:val="37173543"/>
    <w:rsid w:val="3FF76880"/>
    <w:rsid w:val="740A3BD3"/>
    <w:rsid w:val="777D8F66"/>
    <w:rsid w:val="7AB7FF50"/>
    <w:rsid w:val="7BBA4E35"/>
    <w:rsid w:val="7BFEB0DB"/>
    <w:rsid w:val="7F9B608E"/>
    <w:rsid w:val="CEFD3F3D"/>
    <w:rsid w:val="E76F2340"/>
    <w:rsid w:val="EA3F77F2"/>
    <w:rsid w:val="EEBF4ED9"/>
    <w:rsid w:val="EEFE5989"/>
    <w:rsid w:val="EFCF3EAE"/>
    <w:rsid w:val="F5B764A2"/>
    <w:rsid w:val="F77F09F4"/>
    <w:rsid w:val="FFD7BFFC"/>
    <w:rsid w:val="FFFA6B0F"/>
    <w:rsid w:val="FFFB6A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0"/>
    <w:pPr>
      <w:jc w:val="left"/>
    </w:pPr>
  </w:style>
  <w:style w:type="paragraph" w:styleId="4">
    <w:name w:val="Balloon Text"/>
    <w:basedOn w:val="1"/>
    <w:link w:val="11"/>
    <w:semiHidden/>
    <w:unhideWhenUsed/>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20"/>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9">
    <w:name w:val="annotation reference"/>
    <w:basedOn w:val="8"/>
    <w:semiHidden/>
    <w:unhideWhenUsed/>
    <w:qFormat/>
    <w:uiPriority w:val="0"/>
    <w:rPr>
      <w:sz w:val="21"/>
      <w:szCs w:val="21"/>
    </w:rPr>
  </w:style>
  <w:style w:type="paragraph" w:customStyle="1" w:styleId="10">
    <w:name w:val="列出段落1"/>
    <w:basedOn w:val="1"/>
    <w:qFormat/>
    <w:uiPriority w:val="34"/>
    <w:pPr>
      <w:ind w:firstLine="420" w:firstLineChars="200"/>
    </w:pPr>
    <w:rPr>
      <w:rFonts w:ascii="Calibri" w:hAnsi="Calibri" w:cs="黑体"/>
      <w:szCs w:val="22"/>
    </w:rPr>
  </w:style>
  <w:style w:type="character" w:customStyle="1" w:styleId="11">
    <w:name w:val="批注框文本 字符"/>
    <w:basedOn w:val="8"/>
    <w:link w:val="4"/>
    <w:semiHidden/>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195</Words>
  <Characters>1113</Characters>
  <Lines>9</Lines>
  <Paragraphs>2</Paragraphs>
  <TotalTime>75</TotalTime>
  <ScaleCrop>false</ScaleCrop>
  <LinksUpToDate>false</LinksUpToDate>
  <CharactersWithSpaces>1306</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2022-03-11T19:16:00Z</dcterms:created>
  <dc:creator>user</dc:creator>
  <cp:lastModifiedBy>user</cp:lastModifiedBy>
  <cp:lastPrinted>2022-03-26T02:01:00Z</cp:lastPrinted>
  <dcterms:modified xsi:type="dcterms:W3CDTF">2023-06-28T16:21:47Z</dcterms:modified>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6CF75100375F42EB8996724CFE1C0C3A</vt:lpwstr>
  </property>
</Properties>
</file>