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90" w:after="190" w:line="740" w:lineRule="exact"/>
        <w:ind w:firstLine="0" w:firstLineChars="0"/>
        <w:rPr>
          <w:rFonts w:ascii="黑体" w:hAnsi="黑体" w:eastAsia="黑体" w:cs="黑体"/>
          <w:sz w:val="32"/>
          <w:szCs w:val="32"/>
        </w:rPr>
      </w:pPr>
    </w:p>
    <w:p>
      <w:pPr>
        <w:spacing w:before="190" w:after="190" w:line="740" w:lineRule="exact"/>
        <w:ind w:firstLine="0" w:firstLineChars="0"/>
        <w:rPr>
          <w:rFonts w:ascii="黑体" w:hAnsi="黑体" w:eastAsia="黑体" w:cs="黑体"/>
          <w:sz w:val="32"/>
          <w:szCs w:val="32"/>
        </w:rPr>
      </w:pPr>
    </w:p>
    <w:p>
      <w:pPr>
        <w:spacing w:before="190" w:after="190" w:line="740" w:lineRule="exact"/>
        <w:ind w:firstLine="0" w:firstLineChars="0"/>
        <w:jc w:val="center"/>
        <w:rPr>
          <w:rFonts w:ascii="方正小标宋简体" w:eastAsia="方正小标宋简体"/>
          <w:color w:val="0B0B0B"/>
          <w:spacing w:val="-5"/>
          <w:sz w:val="44"/>
          <w:szCs w:val="44"/>
        </w:rPr>
      </w:pPr>
      <w:r>
        <w:rPr>
          <w:rFonts w:hint="eastAsia" w:ascii="方正小标宋简体" w:eastAsia="方正小标宋简体"/>
          <w:color w:val="0B0B0B"/>
          <w:sz w:val="44"/>
          <w:szCs w:val="44"/>
        </w:rPr>
        <w:t>2022</w:t>
      </w:r>
      <w:r>
        <w:rPr>
          <w:rFonts w:hint="eastAsia" w:ascii="方正小标宋简体" w:eastAsia="方正小标宋简体"/>
          <w:color w:val="0B0B0B"/>
          <w:spacing w:val="-14"/>
          <w:sz w:val="44"/>
          <w:szCs w:val="44"/>
        </w:rPr>
        <w:t>年北京市知识产权资助金</w:t>
      </w:r>
      <w:r>
        <w:rPr>
          <w:rFonts w:hint="eastAsia" w:ascii="方正小标宋简体" w:eastAsia="方正小标宋简体"/>
          <w:color w:val="0B0B0B"/>
          <w:spacing w:val="-5"/>
          <w:sz w:val="44"/>
          <w:szCs w:val="44"/>
        </w:rPr>
        <w:t>项目</w:t>
      </w:r>
    </w:p>
    <w:p>
      <w:pPr>
        <w:spacing w:before="190" w:after="190" w:line="740" w:lineRule="exact"/>
        <w:ind w:firstLine="0" w:firstLineChars="0"/>
        <w:jc w:val="center"/>
        <w:rPr>
          <w:rFonts w:ascii="方正小标宋简体" w:eastAsia="方正小标宋简体"/>
          <w:sz w:val="44"/>
          <w:szCs w:val="44"/>
        </w:rPr>
      </w:pPr>
      <w:r>
        <w:rPr>
          <w:rFonts w:hint="eastAsia" w:ascii="方正小标宋简体" w:eastAsia="方正小标宋简体"/>
          <w:color w:val="0B0B0B"/>
          <w:spacing w:val="-5"/>
          <w:sz w:val="44"/>
          <w:szCs w:val="44"/>
        </w:rPr>
        <w:t>支出绩效评价报告</w:t>
      </w:r>
    </w:p>
    <w:p>
      <w:pPr>
        <w:pStyle w:val="2"/>
        <w:adjustRightInd w:val="0"/>
        <w:snapToGrid w:val="0"/>
        <w:spacing w:before="190" w:after="190"/>
        <w:ind w:firstLine="0" w:firstLineChars="0"/>
        <w:jc w:val="center"/>
        <w:rPr>
          <w:rFonts w:ascii="黑体"/>
          <w:sz w:val="52"/>
        </w:rPr>
      </w:pPr>
    </w:p>
    <w:p>
      <w:pPr>
        <w:pStyle w:val="2"/>
        <w:adjustRightInd w:val="0"/>
        <w:snapToGrid w:val="0"/>
        <w:spacing w:before="190" w:after="190"/>
        <w:ind w:firstLine="0" w:firstLineChars="0"/>
        <w:jc w:val="center"/>
        <w:rPr>
          <w:rFonts w:ascii="黑体"/>
          <w:sz w:val="52"/>
        </w:rPr>
      </w:pPr>
    </w:p>
    <w:p>
      <w:pPr>
        <w:pStyle w:val="2"/>
        <w:adjustRightInd w:val="0"/>
        <w:snapToGrid w:val="0"/>
        <w:spacing w:before="190" w:after="190"/>
        <w:ind w:firstLine="0" w:firstLineChars="0"/>
        <w:jc w:val="center"/>
        <w:rPr>
          <w:rFonts w:ascii="仿宋_GB2312" w:hAnsi="仿宋_GB2312" w:eastAsia="仿宋_GB2312" w:cs="仿宋_GB2312"/>
          <w:b/>
          <w:color w:val="000000" w:themeColor="text1"/>
          <w:sz w:val="30"/>
          <w:szCs w:val="22"/>
          <w14:textFill>
            <w14:solidFill>
              <w14:schemeClr w14:val="tx1"/>
            </w14:solidFill>
          </w14:textFill>
        </w:rPr>
      </w:pPr>
    </w:p>
    <w:p>
      <w:pPr>
        <w:spacing w:before="190" w:after="190"/>
        <w:ind w:firstLine="0" w:firstLineChars="0"/>
        <w:jc w:val="center"/>
        <w:rPr>
          <w:rFonts w:eastAsia="黑体"/>
          <w:b/>
          <w:color w:val="000000" w:themeColor="text1"/>
          <w:sz w:val="48"/>
          <w14:textFill>
            <w14:solidFill>
              <w14:schemeClr w14:val="tx1"/>
            </w14:solidFill>
          </w14:textFill>
        </w:rPr>
      </w:pPr>
    </w:p>
    <w:p>
      <w:pPr>
        <w:spacing w:before="190" w:after="190"/>
        <w:ind w:firstLine="0" w:firstLineChars="0"/>
        <w:jc w:val="center"/>
        <w:rPr>
          <w:rFonts w:eastAsia="黑体"/>
          <w:b/>
          <w:color w:val="000000" w:themeColor="text1"/>
          <w:sz w:val="48"/>
          <w14:textFill>
            <w14:solidFill>
              <w14:schemeClr w14:val="tx1"/>
            </w14:solidFill>
          </w14:textFill>
        </w:rPr>
      </w:pPr>
    </w:p>
    <w:p>
      <w:pPr>
        <w:spacing w:before="190" w:after="190"/>
        <w:ind w:firstLine="960" w:firstLineChars="400"/>
        <w:rPr>
          <w:b/>
          <w:color w:val="000000" w:themeColor="text1"/>
          <w:sz w:val="30"/>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1308100</wp:posOffset>
                </wp:positionH>
                <wp:positionV relativeFrom="paragraph">
                  <wp:posOffset>278765</wp:posOffset>
                </wp:positionV>
                <wp:extent cx="3599815" cy="0"/>
                <wp:effectExtent l="0" t="4445" r="7620" b="7620"/>
                <wp:wrapNone/>
                <wp:docPr id="14" name="直接连接符 14"/>
                <wp:cNvGraphicFramePr/>
                <a:graphic xmlns:a="http://schemas.openxmlformats.org/drawingml/2006/main">
                  <a:graphicData uri="http://schemas.microsoft.com/office/word/2010/wordprocessingShape">
                    <wps:wsp>
                      <wps:cNvCnPr>
                        <a:cxnSpLocks noChangeShapeType="true"/>
                      </wps:cNvCnPr>
                      <wps:spPr bwMode="auto">
                        <a:xfrm>
                          <a:off x="0" y="0"/>
                          <a:ext cx="360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03pt;margin-top:21.95pt;height:0pt;width:283.45pt;z-index:251661312;mso-width-relative:page;mso-height-relative:page;" filled="f" stroked="t" coordsize="21600,21600" o:gfxdata="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25l4iNcAAAAJ&#10;AQAADwAAAAAAAAABACAAAAA4AAAAZHJzL2Rvd25yZXYueG1sUEsBAhQAFAAAAAgAh07iQJrNIynO&#10;AQAAbwMAAA4AAAAAAAAAAQAgAAAAPAEAAGRycy9lMm9Eb2MueG1sUEsFBgAAAAAGAAYAWQEAAHwF&#10;AAAAAA==&#10;">
                <v:fill on="f" focussize="0,0"/>
                <v:stroke color="#000000" joinstyle="round"/>
                <v:imagedata o:title=""/>
                <o:lock v:ext="edit" aspectratio="f"/>
              </v:line>
            </w:pict>
          </mc:Fallback>
        </mc:AlternateContent>
      </w:r>
      <w:r>
        <w:rPr>
          <w:rFonts w:hint="eastAsia"/>
          <w:b/>
          <w:color w:val="000000" w:themeColor="text1"/>
          <w:sz w:val="30"/>
          <w14:textFill>
            <w14:solidFill>
              <w14:schemeClr w14:val="tx1"/>
            </w14:solidFill>
          </w14:textFill>
        </w:rPr>
        <w:t>项目名称：   北京市知识产权资助金项目</w:t>
      </w:r>
    </w:p>
    <w:p>
      <w:pPr>
        <w:spacing w:before="190" w:after="190"/>
        <w:ind w:firstLine="960" w:firstLineChars="400"/>
        <w:rPr>
          <w:b/>
          <w:color w:val="000000" w:themeColor="text1"/>
          <w:sz w:val="30"/>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1310640</wp:posOffset>
                </wp:positionH>
                <wp:positionV relativeFrom="paragraph">
                  <wp:posOffset>269875</wp:posOffset>
                </wp:positionV>
                <wp:extent cx="3599815" cy="0"/>
                <wp:effectExtent l="0" t="4445" r="7620" b="7620"/>
                <wp:wrapNone/>
                <wp:docPr id="15" name="直接连接符 15"/>
                <wp:cNvGraphicFramePr/>
                <a:graphic xmlns:a="http://schemas.openxmlformats.org/drawingml/2006/main">
                  <a:graphicData uri="http://schemas.microsoft.com/office/word/2010/wordprocessingShape">
                    <wps:wsp>
                      <wps:cNvCnPr>
                        <a:cxnSpLocks noChangeShapeType="true"/>
                      </wps:cNvCnPr>
                      <wps:spPr bwMode="auto">
                        <a:xfrm>
                          <a:off x="0" y="0"/>
                          <a:ext cx="360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03.2pt;margin-top:21.25pt;height:0pt;width:283.45pt;z-index:251660288;mso-width-relative:page;mso-height-relative:page;" filled="f" stroked="t" coordsize="21600,21600" o:gfxdata="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wbBZc9cAAAAJ&#10;AQAADwAAAAAAAAABACAAAAA4AAAAZHJzL2Rvd25yZXYueG1sUEsBAhQAFAAAAAgAh07iQJqtVyXO&#10;AQAAbwMAAA4AAAAAAAAAAQAgAAAAPAEAAGRycy9lMm9Eb2MueG1sUEsFBgAAAAAGAAYAWQEAAHwF&#10;AAAAAA==&#10;">
                <v:fill on="f" focussize="0,0"/>
                <v:stroke color="#000000" joinstyle="round"/>
                <v:imagedata o:title=""/>
                <o:lock v:ext="edit" aspectratio="f"/>
              </v:line>
            </w:pict>
          </mc:Fallback>
        </mc:AlternateContent>
      </w:r>
      <w:r>
        <w:rPr>
          <w:rFonts w:hint="eastAsia"/>
          <w:b/>
          <w:color w:val="000000" w:themeColor="text1"/>
          <w:sz w:val="30"/>
          <w14:textFill>
            <w14:solidFill>
              <w14:schemeClr w14:val="tx1"/>
            </w14:solidFill>
          </w14:textFill>
        </w:rPr>
        <w:t>项目单位：   北京市知识产权局</w:t>
      </w:r>
    </w:p>
    <w:p>
      <w:pPr>
        <w:spacing w:before="190" w:after="190"/>
        <w:ind w:firstLine="960" w:firstLineChars="320"/>
        <w:rPr>
          <w:b/>
          <w:color w:val="000000" w:themeColor="text1"/>
          <w:sz w:val="30"/>
          <w14:textFill>
            <w14:solidFill>
              <w14:schemeClr w14:val="tx1"/>
            </w14:solidFill>
          </w14:textFill>
        </w:rPr>
      </w:pPr>
      <w:r>
        <w:rPr>
          <w:b/>
          <w:color w:val="000000" w:themeColor="text1"/>
          <w:sz w:val="30"/>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1294765</wp:posOffset>
                </wp:positionH>
                <wp:positionV relativeFrom="paragraph">
                  <wp:posOffset>273050</wp:posOffset>
                </wp:positionV>
                <wp:extent cx="3599815" cy="0"/>
                <wp:effectExtent l="0" t="4445" r="7620" b="7620"/>
                <wp:wrapNone/>
                <wp:docPr id="16" name="直接连接符 16"/>
                <wp:cNvGraphicFramePr/>
                <a:graphic xmlns:a="http://schemas.openxmlformats.org/drawingml/2006/main">
                  <a:graphicData uri="http://schemas.microsoft.com/office/word/2010/wordprocessingShape">
                    <wps:wsp>
                      <wps:cNvCnPr>
                        <a:cxnSpLocks noChangeShapeType="true"/>
                      </wps:cNvCnPr>
                      <wps:spPr bwMode="auto">
                        <a:xfrm>
                          <a:off x="0" y="0"/>
                          <a:ext cx="360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01.95pt;margin-top:21.5pt;height:0pt;width:283.45pt;z-index:251659264;mso-width-relative:page;mso-height-relative:page;" filled="f" stroked="t" coordsize="21600,21600" o:gfxdata="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Er+ST7VAAAACQEA&#10;AA8AAAAAAAAAAQAgAAAAOAAAAGRycy9kb3ducmV2LnhtbFBLAQIUABQAAAAIAIdO4kCaDcsxzgEA&#10;AG8DAAAOAAAAAAAAAAEAIAAAADoBAABkcnMvZTJvRG9jLnhtbFBLBQYAAAAABgAGAFkBAAB6BQAA&#10;AAA=&#10;">
                <v:fill on="f" focussize="0,0"/>
                <v:stroke color="#000000" joinstyle="round"/>
                <v:imagedata o:title=""/>
                <o:lock v:ext="edit" aspectratio="f"/>
              </v:line>
            </w:pict>
          </mc:Fallback>
        </mc:AlternateContent>
      </w:r>
      <w:r>
        <w:rPr>
          <w:rFonts w:hint="eastAsia"/>
          <w:b/>
          <w:color w:val="000000" w:themeColor="text1"/>
          <w:sz w:val="30"/>
          <w14:textFill>
            <w14:solidFill>
              <w14:schemeClr w14:val="tx1"/>
            </w14:solidFill>
          </w14:textFill>
        </w:rPr>
        <w:t>实施单位：   北京市知识产权保护中心</w:t>
      </w:r>
    </w:p>
    <w:p>
      <w:pPr>
        <w:spacing w:before="190" w:after="190"/>
        <w:ind w:firstLine="960" w:firstLineChars="400"/>
        <w:rPr>
          <w:b/>
          <w:color w:val="000000" w:themeColor="text1"/>
          <w:sz w:val="30"/>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1287780</wp:posOffset>
                </wp:positionH>
                <wp:positionV relativeFrom="paragraph">
                  <wp:posOffset>274320</wp:posOffset>
                </wp:positionV>
                <wp:extent cx="3599815" cy="0"/>
                <wp:effectExtent l="0" t="4445" r="7620" b="7620"/>
                <wp:wrapNone/>
                <wp:docPr id="17" name="直接连接符 17"/>
                <wp:cNvGraphicFramePr/>
                <a:graphic xmlns:a="http://schemas.openxmlformats.org/drawingml/2006/main">
                  <a:graphicData uri="http://schemas.microsoft.com/office/word/2010/wordprocessingShape">
                    <wps:wsp>
                      <wps:cNvCnPr>
                        <a:cxnSpLocks noChangeShapeType="true"/>
                      </wps:cNvCnPr>
                      <wps:spPr bwMode="auto">
                        <a:xfrm>
                          <a:off x="0" y="0"/>
                          <a:ext cx="360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01.4pt;margin-top:21.6pt;height:0pt;width:283.45pt;z-index:251663360;mso-width-relative:page;mso-height-relative:page;" filled="f" stroked="t" coordsize="21600,21600" o:gfxdata="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IxuZTdcAAAAJ&#10;AQAADwAAAAAAAAABACAAAAA4AAAAZHJzL2Rvd25yZXYueG1sUEsBAhQAFAAAAAgAh07iQJptvz3O&#10;AQAAbwMAAA4AAAAAAAAAAQAgAAAAPAEAAGRycy9lMm9Eb2MueG1sUEsFBgAAAAAGAAYAWQEAAHwF&#10;AAAAAA==&#10;">
                <v:fill on="f" focussize="0,0"/>
                <v:stroke color="#000000" joinstyle="round"/>
                <v:imagedata o:title=""/>
                <o:lock v:ext="edit" aspectratio="f"/>
              </v:line>
            </w:pict>
          </mc:Fallback>
        </mc:AlternateContent>
      </w:r>
      <w:r>
        <w:rPr>
          <w:rFonts w:hint="eastAsia"/>
          <w:b/>
          <w:color w:val="000000" w:themeColor="text1"/>
          <w:sz w:val="30"/>
          <w14:textFill>
            <w14:solidFill>
              <w14:schemeClr w14:val="tx1"/>
            </w14:solidFill>
          </w14:textFill>
        </w:rPr>
        <w:t>评估机构：   北京民生智库科技信息咨询有限公司</w:t>
      </w:r>
    </w:p>
    <w:p>
      <w:pPr>
        <w:spacing w:before="190" w:after="190"/>
        <w:ind w:firstLine="960" w:firstLineChars="400"/>
        <w:rPr>
          <w:b/>
          <w:color w:val="000000" w:themeColor="text1"/>
          <w:sz w:val="30"/>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1285875</wp:posOffset>
                </wp:positionH>
                <wp:positionV relativeFrom="paragraph">
                  <wp:posOffset>280035</wp:posOffset>
                </wp:positionV>
                <wp:extent cx="3599815" cy="0"/>
                <wp:effectExtent l="0" t="4445" r="7620" b="7620"/>
                <wp:wrapNone/>
                <wp:docPr id="18" name="直接连接符 18"/>
                <wp:cNvGraphicFramePr/>
                <a:graphic xmlns:a="http://schemas.openxmlformats.org/drawingml/2006/main">
                  <a:graphicData uri="http://schemas.microsoft.com/office/word/2010/wordprocessingShape">
                    <wps:wsp>
                      <wps:cNvCnPr>
                        <a:cxnSpLocks noChangeShapeType="true"/>
                      </wps:cNvCnPr>
                      <wps:spPr bwMode="auto">
                        <a:xfrm>
                          <a:off x="0" y="0"/>
                          <a:ext cx="360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01.25pt;margin-top:22.05pt;height:0pt;width:283.45pt;z-index:251662336;mso-width-relative:page;mso-height-relative:page;" filled="f" stroked="t" coordsize="21600,21600" o:gfxdata="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QBh15NcAAAAJ&#10;AQAADwAAAAAAAAABACAAAAA4AAAAZHJzL2Rvd25yZXYueG1sUEsBAhQAFAAAAAgAh07iQJpNUXvO&#10;AQAAbwMAAA4AAAAAAAAAAQAgAAAAPAEAAGRycy9lMm9Eb2MueG1sUEsFBgAAAAAGAAYAWQEAAHwF&#10;AAAAAA==&#10;">
                <v:fill on="f" focussize="0,0"/>
                <v:stroke color="#000000" joinstyle="round"/>
                <v:imagedata o:title=""/>
                <o:lock v:ext="edit" aspectratio="f"/>
              </v:line>
            </w:pict>
          </mc:Fallback>
        </mc:AlternateContent>
      </w:r>
      <w:r>
        <w:rPr>
          <w:rFonts w:hint="eastAsia"/>
          <w:b/>
          <w:color w:val="000000" w:themeColor="text1"/>
          <w:sz w:val="30"/>
          <w14:textFill>
            <w14:solidFill>
              <w14:schemeClr w14:val="tx1"/>
            </w14:solidFill>
          </w14:textFill>
        </w:rPr>
        <w:t>评估时间：   2023年6月</w:t>
      </w:r>
    </w:p>
    <w:p>
      <w:pPr>
        <w:pStyle w:val="2"/>
        <w:spacing w:before="190" w:after="190"/>
        <w:ind w:firstLine="602"/>
        <w:rPr>
          <w:rFonts w:ascii="仿宋_GB2312" w:hAnsi="仿宋_GB2312" w:eastAsia="仿宋_GB2312" w:cs="仿宋_GB2312"/>
          <w:b/>
          <w:color w:val="000000" w:themeColor="text1"/>
          <w:sz w:val="30"/>
          <w:szCs w:val="22"/>
          <w14:textFill>
            <w14:solidFill>
              <w14:schemeClr w14:val="tx1"/>
            </w14:solidFill>
          </w14:textFill>
        </w:rPr>
      </w:pPr>
    </w:p>
    <w:p>
      <w:pPr>
        <w:spacing w:before="190" w:after="190"/>
        <w:ind w:firstLine="0" w:firstLineChars="0"/>
        <w:jc w:val="center"/>
        <w:rPr>
          <w:sz w:val="32"/>
          <w:szCs w:val="24"/>
        </w:rPr>
        <w:sectPr>
          <w:headerReference r:id="rId7" w:type="first"/>
          <w:footerReference r:id="rId10" w:type="first"/>
          <w:headerReference r:id="rId5" w:type="default"/>
          <w:footerReference r:id="rId8" w:type="default"/>
          <w:headerReference r:id="rId6" w:type="even"/>
          <w:footerReference r:id="rId9" w:type="even"/>
          <w:pgSz w:w="11906" w:h="16838"/>
          <w:pgMar w:top="1440" w:right="1418" w:bottom="1440" w:left="1418" w:header="567" w:footer="567" w:gutter="0"/>
          <w:cols w:space="425" w:num="1"/>
          <w:docGrid w:type="linesAndChars" w:linePitch="381" w:charSpace="0"/>
        </w:sectPr>
      </w:pPr>
    </w:p>
    <w:p>
      <w:pPr>
        <w:pStyle w:val="3"/>
        <w:spacing w:before="0" w:beforeLines="0" w:after="0" w:afterLines="0" w:line="520" w:lineRule="exact"/>
        <w:ind w:firstLine="640"/>
      </w:pPr>
      <w:r>
        <w:rPr>
          <w:rFonts w:hint="eastAsia"/>
        </w:rPr>
        <w:t>一、基本情况</w:t>
      </w:r>
    </w:p>
    <w:p>
      <w:pPr>
        <w:pStyle w:val="4"/>
        <w:spacing w:before="0" w:beforeLines="0" w:after="0" w:afterLines="0" w:line="520" w:lineRule="exact"/>
        <w:ind w:firstLine="643"/>
      </w:pPr>
      <w:r>
        <w:rPr>
          <w:rFonts w:hint="eastAsia"/>
        </w:rPr>
        <w:t>（一）项目概况</w:t>
      </w:r>
    </w:p>
    <w:p>
      <w:pPr>
        <w:pStyle w:val="5"/>
        <w:spacing w:before="0" w:beforeLines="0" w:after="0" w:afterLines="0" w:line="520" w:lineRule="exact"/>
        <w:ind w:firstLine="643"/>
        <w:rPr>
          <w:rFonts w:ascii="仿宋_GB2312" w:hAnsi="仿宋_GB2312" w:cs="仿宋_GB2312"/>
        </w:rPr>
      </w:pPr>
      <w:r>
        <w:rPr>
          <w:rFonts w:hint="eastAsia" w:ascii="仿宋_GB2312" w:hAnsi="仿宋_GB2312" w:cs="仿宋_GB2312"/>
        </w:rPr>
        <w:t>1.项目背景</w:t>
      </w:r>
    </w:p>
    <w:p>
      <w:pPr>
        <w:spacing w:before="0" w:beforeLines="0" w:after="0" w:afterLines="0"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北京市知识产权局(以下简称“市知识产权局”) 为贯彻落实《知识产权强国建设纲要（2021－2035年）》《国家知识产权局关于持续严格规范专利申请行为的通知》（国知发保字〔2022〕7号）等相关规划要求，为更好的落实北京市委、市政府关于“增强首都自主创新能力，建设创新型城市”的指示精神，自2000年起设立了北京市专利申请资助金开展专利资助工作。</w:t>
      </w:r>
    </w:p>
    <w:p>
      <w:pPr>
        <w:pStyle w:val="5"/>
        <w:spacing w:beforeLines="0" w:afterLines="0" w:line="520" w:lineRule="exact"/>
        <w:ind w:firstLine="643"/>
        <w:rPr>
          <w:rFonts w:ascii="仿宋_GB2312" w:hAnsi="仿宋_GB2312" w:cs="仿宋_GB2312"/>
        </w:rPr>
      </w:pPr>
      <w:r>
        <w:rPr>
          <w:rFonts w:hint="eastAsia" w:ascii="仿宋_GB2312" w:hAnsi="仿宋_GB2312" w:cs="仿宋_GB2312"/>
        </w:rPr>
        <w:t>2.项目主要内容</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“2022年北京市知识产权资助金”项目主要包括2022年知识产权资助金发放以及资助金管理工作（资助金协助审查和资助链区块链数据处理服务）两部分。</w:t>
      </w:r>
    </w:p>
    <w:p>
      <w:pPr>
        <w:pStyle w:val="5"/>
        <w:spacing w:beforeLines="0" w:afterLines="0" w:line="520" w:lineRule="exact"/>
        <w:ind w:firstLine="643"/>
        <w:rPr>
          <w:rFonts w:ascii="仿宋_GB2312" w:hAnsi="仿宋_GB2312" w:cs="仿宋_GB2312"/>
        </w:rPr>
      </w:pPr>
      <w:r>
        <w:rPr>
          <w:rFonts w:hint="eastAsia" w:ascii="仿宋_GB2312" w:hAnsi="仿宋_GB2312" w:cs="仿宋_GB2312"/>
        </w:rPr>
        <w:t>3.项目实施情况</w:t>
      </w:r>
    </w:p>
    <w:p>
      <w:pPr>
        <w:spacing w:beforeLines="0" w:afterLines="0"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资助金发放工作于2022年2月启动实施，3月底和6月底前分别发放第一批资助金和第二批资助金，资助金发放工作于6月底前全部完成；申报审核和数据处理服务工作于7月份开始竞争性磋商，7月18日发放中标公告，整体工作于11月底前完成验收。</w:t>
      </w:r>
    </w:p>
    <w:p>
      <w:pPr>
        <w:pStyle w:val="5"/>
        <w:spacing w:beforeLines="0" w:afterLines="0" w:line="520" w:lineRule="exact"/>
        <w:ind w:firstLine="643"/>
        <w:rPr>
          <w:rFonts w:ascii="仿宋_GB2312" w:hAnsi="仿宋_GB2312" w:cs="仿宋_GB2312"/>
        </w:rPr>
      </w:pPr>
      <w:r>
        <w:rPr>
          <w:rFonts w:hint="eastAsia" w:ascii="仿宋_GB2312" w:hAnsi="仿宋_GB2312" w:cs="仿宋_GB2312"/>
        </w:rPr>
        <w:t>4.项目资金投入和使用情况</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eastAsia="仿宋_GB2312"/>
          <w:sz w:val="32"/>
        </w:rPr>
        <w:t>2022年北京市知识产权资助金项目年初批复预算18750.095万元，根据《北京市财政局关于核减收回2022年度一般性支出相关资金的函》核减资金520.113万元，最终项目全年预算资金为18229.982万元。截止2022年11月底前实际支出18229.282万元，其中，</w:t>
      </w:r>
      <w:r>
        <w:rPr>
          <w:rFonts w:hint="eastAsia" w:ascii="仿宋_GB2312" w:hAnsi="仿宋_GB2312" w:eastAsia="仿宋_GB2312" w:cs="仿宋_GB2312"/>
          <w:sz w:val="32"/>
          <w:szCs w:val="32"/>
        </w:rPr>
        <w:t>资助金发放支出18033.782万元，管理工作</w:t>
      </w:r>
      <w:r>
        <w:rPr>
          <w:rFonts w:hint="eastAsia" w:ascii="仿宋_GB2312" w:hAnsi="仿宋_GB2312" w:eastAsia="仿宋_GB2312" w:cs="仿宋_GB2312"/>
          <w:color w:val="000000"/>
          <w:kern w:val="0"/>
          <w:sz w:val="32"/>
          <w:szCs w:val="32"/>
          <w:lang w:bidi="ar"/>
        </w:rPr>
        <w:t>支出195.50万元。</w:t>
      </w:r>
    </w:p>
    <w:p>
      <w:pPr>
        <w:spacing w:before="0" w:beforeLines="0" w:after="0" w:afterLines="0" w:line="520" w:lineRule="exact"/>
        <w:ind w:firstLine="643"/>
        <w:rPr>
          <w:rFonts w:eastAsia="楷体_GB2312" w:cstheme="majorBidi"/>
          <w:b/>
          <w:bCs/>
          <w:sz w:val="32"/>
          <w:szCs w:val="32"/>
        </w:rPr>
      </w:pPr>
      <w:r>
        <w:rPr>
          <w:rFonts w:hint="eastAsia" w:eastAsia="楷体_GB2312" w:cstheme="majorBidi"/>
          <w:b/>
          <w:bCs/>
          <w:sz w:val="32"/>
          <w:szCs w:val="32"/>
        </w:rPr>
        <w:t>（二）项目绩效目标</w:t>
      </w:r>
    </w:p>
    <w:p>
      <w:pPr>
        <w:spacing w:before="0" w:beforeLines="0" w:after="0" w:afterLines="0" w:line="52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1.总体目标</w:t>
      </w:r>
    </w:p>
    <w:p>
      <w:pPr>
        <w:spacing w:before="0" w:beforeLines="0" w:after="0" w:afterLines="0"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对2021年10月完成申报的2022年北京市知识产权资助金（专利、商标资助部分）的国内授权发明专利、港澳台授权（注册）发明专利、国外授权发明专利、国外注册商标进行资助，降低北京市各类单位主体获得、维持知识产权的资金压力，支持企业开展海外知识产权布局，支撑疫情常态化防控和中小微企业健康发展，持续优化首都营商环境和科技创新环境。同时，为了支撑项目开展，需要委托第三方开展专利商标协助审查以及资助区块链数据处理服务。</w:t>
      </w:r>
    </w:p>
    <w:p>
      <w:pPr>
        <w:pStyle w:val="5"/>
        <w:spacing w:before="0" w:beforeLines="0" w:after="0" w:afterLines="0" w:line="520" w:lineRule="exact"/>
        <w:ind w:firstLine="643"/>
        <w:rPr>
          <w:rFonts w:ascii="仿宋_GB2312" w:hAnsi="仿宋_GB2312" w:cs="仿宋_GB2312"/>
        </w:rPr>
      </w:pPr>
      <w:r>
        <w:rPr>
          <w:rFonts w:hint="eastAsia" w:ascii="仿宋_GB2312" w:hAnsi="仿宋_GB2312" w:cs="仿宋_GB2312"/>
        </w:rPr>
        <w:t>2.阶段性目标</w:t>
      </w:r>
    </w:p>
    <w:p>
      <w:pPr>
        <w:spacing w:before="0" w:beforeLines="0" w:after="0" w:afterLines="0" w:line="520" w:lineRule="exact"/>
        <w:ind w:firstLine="640"/>
        <w:rPr>
          <w:rFonts w:ascii="仿宋_GB2312" w:hAnsi="宋体" w:eastAsia="仿宋_GB2312" w:cs="宋体"/>
          <w:color w:val="000000"/>
          <w:kern w:val="0"/>
          <w:sz w:val="32"/>
          <w:szCs w:val="32"/>
        </w:rPr>
      </w:pPr>
      <w:r>
        <w:rPr>
          <w:rFonts w:hint="eastAsia" w:ascii="仿宋_GB2312" w:hAnsi="仿宋_GB2312" w:eastAsia="仿宋_GB2312" w:cs="仿宋_GB2312"/>
          <w:sz w:val="32"/>
          <w:szCs w:val="32"/>
        </w:rPr>
        <w:t>北京市知识产权保护中心（以下简称“保护中心”）根据总体目标对其进行细化，形成阶段性目标：资助国内专利（含港澳台）达到5.1万件以上、资助国外发明专利达到4200件以上、资助国外注册商标达到5200件以上、国外发明专利额外资助单位达到50家以上、委托第三方开展专利及商标协助审查服务和区块链数据处理服务。</w:t>
      </w:r>
    </w:p>
    <w:p>
      <w:pPr>
        <w:pStyle w:val="3"/>
        <w:spacing w:before="0" w:beforeLines="0" w:after="0" w:afterLines="0" w:line="520" w:lineRule="exact"/>
        <w:ind w:firstLine="640"/>
      </w:pPr>
      <w:r>
        <w:rPr>
          <w:rFonts w:hint="eastAsia"/>
        </w:rPr>
        <w:t>二、绩效评价工作开展情况</w:t>
      </w:r>
    </w:p>
    <w:p>
      <w:pPr>
        <w:pStyle w:val="4"/>
        <w:spacing w:before="0" w:beforeLines="0" w:after="0" w:afterLines="0" w:line="520" w:lineRule="exact"/>
        <w:ind w:firstLine="643"/>
      </w:pPr>
      <w:r>
        <w:rPr>
          <w:rFonts w:hint="eastAsia"/>
        </w:rPr>
        <w:t>（一）绩效评价目的、对象和范围</w:t>
      </w:r>
    </w:p>
    <w:p>
      <w:pPr>
        <w:spacing w:before="0" w:beforeLines="0" w:after="0" w:afterLines="0" w:line="520" w:lineRule="exact"/>
        <w:ind w:firstLine="643"/>
        <w:rPr>
          <w:rFonts w:ascii="仿宋_GB2312" w:hAnsi="仿宋_GB2312" w:eastAsia="仿宋_GB2312" w:cs="仿宋_GB2312"/>
          <w:sz w:val="32"/>
          <w:szCs w:val="32"/>
        </w:rPr>
      </w:pPr>
      <w:r>
        <w:rPr>
          <w:rFonts w:hint="eastAsia" w:ascii="仿宋_GB2312" w:hAnsi="仿宋_GB2312" w:eastAsia="仿宋_GB2312" w:cs="仿宋_GB2312"/>
          <w:b/>
          <w:bCs/>
          <w:sz w:val="32"/>
          <w:szCs w:val="32"/>
        </w:rPr>
        <w:t>绩效评价目的：</w:t>
      </w:r>
      <w:r>
        <w:rPr>
          <w:rFonts w:hint="eastAsia" w:ascii="仿宋_GB2312" w:hAnsi="仿宋_GB2312" w:eastAsia="仿宋_GB2312" w:cs="仿宋_GB2312"/>
          <w:sz w:val="32"/>
          <w:szCs w:val="32"/>
        </w:rPr>
        <w:t>通过完善预算部门的财政支出管理体系，增强部门支出责任和效率意识，提高财政资金使用效益</w:t>
      </w:r>
      <w:bookmarkStart w:id="0" w:name="_Toc13661"/>
      <w:bookmarkStart w:id="1" w:name="_Toc72853486"/>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绩效评价对象及范围</w:t>
      </w:r>
      <w:bookmarkEnd w:id="0"/>
      <w:bookmarkEnd w:id="1"/>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本次绩效评价对象为2022年北京市知识产权资助金项目，评价内容为项目决策情况、项目过程情况、项目产出情况、项目效益情况以及项目绩效目标达成情况。</w:t>
      </w:r>
    </w:p>
    <w:p>
      <w:pPr>
        <w:pStyle w:val="4"/>
        <w:spacing w:before="0" w:beforeLines="0" w:after="0" w:afterLines="0" w:line="520" w:lineRule="exact"/>
        <w:ind w:firstLine="643"/>
      </w:pPr>
      <w:r>
        <w:rPr>
          <w:rFonts w:hint="eastAsia"/>
        </w:rPr>
        <w:t>（二）绩效评价原则、评价指标体系、评价方法、评价标准</w:t>
      </w:r>
    </w:p>
    <w:p>
      <w:pPr>
        <w:spacing w:before="0" w:beforeLines="0" w:after="0" w:afterLines="0" w:line="520" w:lineRule="exact"/>
        <w:ind w:firstLine="643"/>
        <w:rPr>
          <w:rFonts w:ascii="仿宋_GB2312" w:hAnsi="仿宋_GB2312" w:eastAsia="仿宋_GB2312" w:cs="仿宋_GB2312"/>
          <w:sz w:val="32"/>
          <w:szCs w:val="32"/>
        </w:rPr>
      </w:pPr>
      <w:bookmarkStart w:id="2" w:name="_Toc72853488"/>
      <w:bookmarkStart w:id="3" w:name="_Toc28108"/>
      <w:r>
        <w:rPr>
          <w:rFonts w:hint="eastAsia" w:ascii="仿宋_GB2312" w:hAnsi="仿宋_GB2312" w:eastAsia="仿宋_GB2312" w:cs="仿宋_GB2312"/>
          <w:b/>
          <w:bCs/>
          <w:sz w:val="32"/>
          <w:szCs w:val="32"/>
        </w:rPr>
        <w:t>绩效评价原则</w:t>
      </w:r>
      <w:bookmarkEnd w:id="2"/>
      <w:bookmarkEnd w:id="3"/>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本次绩效评价按照科学规范原则、公正公开原则、绩效相关原则开展工作</w:t>
      </w:r>
      <w:bookmarkStart w:id="4" w:name="_Toc1809"/>
      <w:bookmarkStart w:id="5" w:name="_Toc72853489"/>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评价指标体系</w:t>
      </w:r>
      <w:bookmarkEnd w:id="4"/>
      <w:bookmarkEnd w:id="5"/>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本次绩效评价指标体系共设置4个一级指标、10个二级指标、17个三级指标</w:t>
      </w:r>
      <w:bookmarkStart w:id="6" w:name="_Toc28650"/>
      <w:bookmarkStart w:id="7" w:name="_Toc72853490"/>
      <w:r>
        <w:rPr>
          <w:rFonts w:hint="eastAsia" w:ascii="仿宋_GB2312" w:hAnsi="仿宋_GB2312" w:eastAsia="仿宋_GB2312" w:cs="仿宋_GB2312"/>
          <w:sz w:val="32"/>
          <w:szCs w:val="32"/>
        </w:rPr>
        <w:t>和16个四级指标；</w:t>
      </w:r>
      <w:r>
        <w:rPr>
          <w:rFonts w:hint="eastAsia" w:ascii="仿宋_GB2312" w:hAnsi="仿宋_GB2312" w:eastAsia="仿宋_GB2312" w:cs="仿宋_GB2312"/>
          <w:b/>
          <w:bCs/>
          <w:sz w:val="32"/>
          <w:szCs w:val="32"/>
        </w:rPr>
        <w:t>评价方法</w:t>
      </w:r>
      <w:bookmarkEnd w:id="6"/>
      <w:bookmarkEnd w:id="7"/>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在绩效评价方式上，本次采用项目单位自评和第三方评价相结合的方式</w:t>
      </w:r>
      <w:bookmarkStart w:id="8" w:name="_Toc25557"/>
      <w:bookmarkStart w:id="9" w:name="_Toc72853491"/>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评价标准</w:t>
      </w:r>
      <w:bookmarkEnd w:id="8"/>
      <w:bookmarkEnd w:id="9"/>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绩效评价标准通常包括计划标准、行业标准、历史标准等,用于对绩效指标完成情况进行比较。</w:t>
      </w:r>
    </w:p>
    <w:p>
      <w:pPr>
        <w:pStyle w:val="4"/>
        <w:spacing w:before="0" w:beforeLines="0" w:after="0" w:afterLines="0" w:line="520" w:lineRule="exact"/>
        <w:ind w:firstLine="643"/>
      </w:pPr>
      <w:r>
        <w:rPr>
          <w:rFonts w:hint="eastAsia"/>
        </w:rPr>
        <w:t>（三）绩效评价工作过程</w:t>
      </w:r>
    </w:p>
    <w:p>
      <w:pPr>
        <w:tabs>
          <w:tab w:val="left" w:pos="1227"/>
        </w:tabs>
        <w:spacing w:before="0" w:beforeLines="0" w:after="0" w:afterLines="0" w:line="520" w:lineRule="exact"/>
        <w:ind w:firstLine="643"/>
        <w:rPr>
          <w:rFonts w:ascii="仿宋_GB2312" w:hAnsi="仿宋_GB2312" w:eastAsia="仿宋_GB2312" w:cs="仿宋_GB2312"/>
          <w:sz w:val="32"/>
          <w:szCs w:val="32"/>
        </w:rPr>
      </w:pPr>
      <w:r>
        <w:rPr>
          <w:rFonts w:hint="eastAsia" w:ascii="仿宋_GB2312" w:hAnsi="仿宋_GB2312" w:eastAsia="仿宋_GB2312" w:cs="仿宋_GB2312"/>
          <w:b/>
          <w:bCs/>
          <w:sz w:val="32"/>
          <w:szCs w:val="32"/>
        </w:rPr>
        <w:t>准备阶段：</w:t>
      </w:r>
      <w:r>
        <w:rPr>
          <w:rFonts w:hint="eastAsia" w:ascii="仿宋_GB2312" w:hAnsi="仿宋_GB2312" w:eastAsia="仿宋_GB2312" w:cs="仿宋_GB2312"/>
          <w:sz w:val="32"/>
          <w:szCs w:val="32"/>
        </w:rPr>
        <w:t>根据绩效评价要求，结合评价对象实际情况收集资料；遴选财务、管理、业务专家组成专家评价工作组；制定绩效评价工作方案，明确绩效评价对象、评价目的、评价内容、评价方法、指标体系框架、组织形式等内容。</w:t>
      </w:r>
      <w:r>
        <w:rPr>
          <w:rFonts w:hint="eastAsia" w:ascii="仿宋_GB2312" w:hAnsi="仿宋_GB2312" w:eastAsia="仿宋_GB2312" w:cs="仿宋_GB2312"/>
          <w:b/>
          <w:bCs/>
          <w:sz w:val="32"/>
          <w:szCs w:val="32"/>
        </w:rPr>
        <w:t>实施阶段：</w:t>
      </w:r>
      <w:r>
        <w:rPr>
          <w:rFonts w:hint="eastAsia" w:ascii="仿宋_GB2312" w:hAnsi="仿宋_GB2312" w:eastAsia="仿宋_GB2312" w:cs="仿宋_GB2312"/>
          <w:sz w:val="32"/>
          <w:szCs w:val="32"/>
        </w:rPr>
        <w:t>对项目申报资料进行审核；将绩效评价方案、绩效评价指标体系、供专家评审查阅的项目资料进行整理，形成资料汇编；组织召开专家评审会，专家听取项目单位汇报、查阅补充资料，在对项目单位进行提问的基础上，填写专家评分表和意见书。</w:t>
      </w:r>
      <w:r>
        <w:rPr>
          <w:rFonts w:hint="eastAsia" w:ascii="仿宋_GB2312" w:hAnsi="仿宋_GB2312" w:eastAsia="仿宋_GB2312" w:cs="仿宋_GB2312"/>
          <w:b/>
          <w:bCs/>
          <w:sz w:val="32"/>
          <w:szCs w:val="32"/>
        </w:rPr>
        <w:t>总结阶段</w:t>
      </w:r>
      <w:bookmarkStart w:id="10" w:name="6.出具报告"/>
      <w:bookmarkEnd w:id="10"/>
      <w:bookmarkStart w:id="11" w:name="5.沟通反馈"/>
      <w:bookmarkEnd w:id="11"/>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专家评审会结束后，绩效评价工作组在汇总专家打分和评价意见的基础上，根据北京市财政绩效评价要求撰写绩效评价报告，并根据总结经验及发现的问题，提出改进意见和建议。</w:t>
      </w:r>
    </w:p>
    <w:p>
      <w:pPr>
        <w:pStyle w:val="3"/>
        <w:spacing w:before="0" w:beforeLines="0" w:after="0" w:afterLines="0" w:line="520" w:lineRule="exact"/>
        <w:ind w:firstLine="640"/>
      </w:pPr>
      <w:r>
        <w:rPr>
          <w:rFonts w:hint="eastAsia"/>
        </w:rPr>
        <w:t>三、综合评价情况及评价结论</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项目综合评价分数为93.44分，评级为“优”。其中：决策方面评价得分13.60分，过程方面评价得分23.40分，产出方面评价得分29.14分，效益方面评价得分27.30分。</w:t>
      </w:r>
    </w:p>
    <w:p>
      <w:pPr>
        <w:pStyle w:val="3"/>
        <w:spacing w:before="0" w:beforeLines="0" w:after="0" w:afterLines="0" w:line="520" w:lineRule="exact"/>
        <w:ind w:firstLine="640"/>
        <w:rPr>
          <w:rFonts w:ascii="黑体" w:hAnsi="黑体" w:cs="黑体"/>
          <w:szCs w:val="32"/>
        </w:rPr>
      </w:pPr>
      <w:r>
        <w:rPr>
          <w:rFonts w:hint="eastAsia"/>
        </w:rPr>
        <w:t>四、绩效评价指标分析</w:t>
      </w:r>
    </w:p>
    <w:p>
      <w:pPr>
        <w:pStyle w:val="4"/>
        <w:spacing w:before="0" w:beforeLines="0" w:after="0" w:afterLines="0" w:line="520" w:lineRule="exact"/>
        <w:ind w:firstLine="643"/>
      </w:pPr>
      <w:r>
        <w:rPr>
          <w:rFonts w:hint="eastAsia"/>
        </w:rPr>
        <w:t>（一）项目决策情况</w:t>
      </w:r>
    </w:p>
    <w:p>
      <w:pPr>
        <w:pStyle w:val="5"/>
        <w:spacing w:before="0" w:beforeLines="0" w:after="0" w:afterLines="0" w:line="520" w:lineRule="exact"/>
        <w:ind w:firstLine="643"/>
        <w:rPr>
          <w:rFonts w:ascii="仿宋_GB2312" w:hAnsi="仿宋_GB2312" w:cs="仿宋_GB2312"/>
        </w:rPr>
      </w:pPr>
      <w:bookmarkStart w:id="12" w:name="_Toc72853504"/>
      <w:r>
        <w:rPr>
          <w:rFonts w:hint="eastAsia" w:ascii="仿宋_GB2312" w:hAnsi="仿宋_GB2312" w:cs="仿宋_GB2312"/>
        </w:rPr>
        <w:t>1.项目立项情况分析</w:t>
      </w:r>
      <w:bookmarkEnd w:id="12"/>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（1）立项依据充分性</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项目的设立和资助方向符合《推动知识产权高质量发展工作指引（2022年）》《北京市知识产权资助金管理办法》，符合市知识产权局及保护中心的职责范围。</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（2）立项程序规范性</w:t>
      </w:r>
    </w:p>
    <w:p>
      <w:pPr>
        <w:spacing w:beforeLines="0" w:afterLines="0"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该项目申报严格按照市财政局的要求和部门内部决策流程提交了项目申报书、项目预算测算说明等，立项程序较规范，但立项资料不全面，资料的留存及归档不够及时全面。</w:t>
      </w:r>
    </w:p>
    <w:p>
      <w:pPr>
        <w:pStyle w:val="5"/>
        <w:spacing w:before="0" w:beforeLines="0" w:after="0" w:afterLines="0" w:line="520" w:lineRule="exact"/>
        <w:ind w:firstLine="643"/>
      </w:pPr>
      <w:r>
        <w:rPr>
          <w:rFonts w:hint="eastAsia" w:ascii="仿宋_GB2312" w:hAnsi="仿宋_GB2312" w:cs="仿宋_GB2312"/>
        </w:rPr>
        <w:t>2.绩效目标</w:t>
      </w:r>
      <w:r>
        <w:rPr>
          <w:rFonts w:hint="eastAsia"/>
        </w:rPr>
        <w:t>情况分析</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（1）绩效目标合理性</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本项目的绩效目标设置整体较合理，但有关委托业务费部分的预期目标说明还不够充分、明确。</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（2）绩效指标明确性</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项目</w:t>
      </w:r>
      <w:r>
        <w:rPr>
          <w:rFonts w:ascii="仿宋_GB2312" w:hAnsi="仿宋_GB2312" w:eastAsia="仿宋_GB2312" w:cs="仿宋_GB2312"/>
          <w:color w:val="000000"/>
          <w:kern w:val="0"/>
          <w:sz w:val="32"/>
          <w:szCs w:val="32"/>
          <w:lang w:bidi="ar"/>
        </w:rPr>
        <w:t>绩效指标与项目内容相匹配。</w:t>
      </w:r>
      <w:r>
        <w:rPr>
          <w:rFonts w:hint="eastAsia" w:ascii="仿宋_GB2312" w:hAnsi="仿宋_GB2312" w:eastAsia="仿宋_GB2312" w:cs="仿宋_GB2312"/>
          <w:color w:val="000000"/>
          <w:kern w:val="0"/>
          <w:sz w:val="32"/>
          <w:szCs w:val="32"/>
          <w:lang w:bidi="ar"/>
        </w:rPr>
        <w:t>但部分数量指标的可考核性不足、难以体现项目实施预期达到的质量要求、未能充分体现预期达到的社会影响。</w:t>
      </w:r>
    </w:p>
    <w:p>
      <w:pPr>
        <w:pStyle w:val="5"/>
        <w:spacing w:before="0" w:beforeLines="0" w:after="0" w:afterLines="0" w:line="520" w:lineRule="exact"/>
        <w:ind w:firstLine="643"/>
        <w:rPr>
          <w:rFonts w:ascii="仿宋_GB2312" w:hAnsi="仿宋_GB2312" w:cs="仿宋_GB2312"/>
        </w:rPr>
      </w:pPr>
      <w:bookmarkStart w:id="13" w:name="_Toc72853506"/>
      <w:r>
        <w:rPr>
          <w:rFonts w:hint="eastAsia" w:ascii="仿宋_GB2312" w:hAnsi="仿宋_GB2312" w:cs="仿宋_GB2312"/>
        </w:rPr>
        <w:t>3.资金投入情况分析</w:t>
      </w:r>
      <w:bookmarkEnd w:id="13"/>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（1）预算编制科学性</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保护中心根据修订后的《北京市知识产权资助金管理办法》对预算金额进行测算，预算编制的依据合理。但根据相关通知要求，2022年市知识产权局针对涉及非正常专利申请行为的单位在知识产权资助金发放上进行了“一票否决”，导致实际资助的资金量和申报预算之间存在一定的偏差，预算编制整体较科学合理。</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（2）资金分配合理性</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为保障本项目资金安排的合理性，保护中心在编制预算的基础上</w:t>
      </w:r>
      <w:r>
        <w:rPr>
          <w:rFonts w:ascii="仿宋_GB2312" w:hAnsi="仿宋_GB2312" w:eastAsia="仿宋_GB2312" w:cs="仿宋_GB2312"/>
          <w:color w:val="000000"/>
          <w:kern w:val="0"/>
          <w:sz w:val="32"/>
          <w:szCs w:val="32"/>
          <w:lang w:bidi="ar"/>
        </w:rPr>
        <w:t>按照市财政局规定的资助标准制定年度资助金分配方案</w:t>
      </w:r>
      <w:r>
        <w:rPr>
          <w:rFonts w:hint="eastAsia" w:ascii="仿宋_GB2312" w:hAnsi="仿宋_GB2312" w:eastAsia="仿宋_GB2312" w:cs="仿宋_GB2312"/>
          <w:color w:val="000000"/>
          <w:kern w:val="0"/>
          <w:sz w:val="32"/>
          <w:szCs w:val="32"/>
          <w:lang w:bidi="ar"/>
        </w:rPr>
        <w:t>，资金分配较为合理。但根据实际资料情况，无法有效判断资金分配的依据和方式。</w:t>
      </w:r>
    </w:p>
    <w:p>
      <w:pPr>
        <w:tabs>
          <w:tab w:val="left" w:pos="1174"/>
        </w:tabs>
        <w:spacing w:beforeLines="0" w:afterLines="0" w:line="520" w:lineRule="exact"/>
        <w:ind w:firstLine="643"/>
      </w:pPr>
      <w:r>
        <w:rPr>
          <w:rFonts w:hint="eastAsia" w:eastAsia="楷体_GB2312" w:cstheme="majorBidi"/>
          <w:b/>
          <w:bCs/>
          <w:sz w:val="32"/>
          <w:szCs w:val="32"/>
        </w:rPr>
        <w:t>（二）项目过程情况</w:t>
      </w:r>
    </w:p>
    <w:p>
      <w:pPr>
        <w:pStyle w:val="5"/>
        <w:spacing w:before="0" w:beforeLines="0" w:after="0" w:afterLines="0" w:line="520" w:lineRule="exact"/>
        <w:ind w:firstLine="643"/>
        <w:rPr>
          <w:rFonts w:ascii="仿宋_GB2312" w:hAnsi="仿宋_GB2312" w:cs="仿宋_GB2312"/>
        </w:rPr>
      </w:pPr>
      <w:bookmarkStart w:id="14" w:name="_Toc72853508"/>
      <w:r>
        <w:rPr>
          <w:rFonts w:hint="eastAsia" w:ascii="仿宋_GB2312" w:hAnsi="仿宋_GB2312" w:cs="仿宋_GB2312"/>
        </w:rPr>
        <w:t>1.资金管理情况分析</w:t>
      </w:r>
      <w:bookmarkEnd w:id="14"/>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（1）资金到位率</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该项目预算年初批复金额18750.095万元，已足额及时到账。</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（2）预算执行率</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该项目按规定核减项目资金后全年预算18229.982万元，实际支出资金18229.282万元，预算执行率接近100%。</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（3）资金使用合规性</w:t>
      </w:r>
    </w:p>
    <w:p>
      <w:pPr>
        <w:spacing w:before="0" w:beforeLines="0" w:after="0" w:afterLines="0" w:line="520" w:lineRule="exact"/>
        <w:ind w:firstLine="640"/>
        <w:rPr>
          <w:rFonts w:ascii="仿宋_GB2312" w:hAnsi="仿宋_GB2312" w:eastAsia="仿宋_GB2312" w:cs="仿宋_GB2312"/>
          <w:sz w:val="32"/>
          <w:szCs w:val="32"/>
          <w:lang w:bidi="ar"/>
        </w:rPr>
      </w:pPr>
      <w:r>
        <w:rPr>
          <w:rFonts w:hint="eastAsia" w:ascii="仿宋_GB2312" w:hAnsi="仿宋_GB2312" w:eastAsia="仿宋_GB2312" w:cs="仿宋_GB2312"/>
          <w:color w:val="000000"/>
          <w:kern w:val="0"/>
          <w:sz w:val="32"/>
          <w:szCs w:val="32"/>
          <w:lang w:bidi="ar"/>
        </w:rPr>
        <w:t>本项目经审核资金拨付明细，项目资助拨付符合资金管理办法的要求。此外，资金使用符合项目申报用途，不存在截留、挤占、挪用和虚列支出的情况。</w:t>
      </w:r>
    </w:p>
    <w:p>
      <w:pPr>
        <w:pStyle w:val="5"/>
        <w:spacing w:before="0" w:beforeLines="0" w:after="0" w:afterLines="0" w:line="520" w:lineRule="exact"/>
        <w:ind w:firstLine="643"/>
        <w:rPr>
          <w:rFonts w:ascii="仿宋_GB2312" w:hAnsi="仿宋_GB2312" w:cs="仿宋_GB2312"/>
        </w:rPr>
      </w:pPr>
      <w:r>
        <w:rPr>
          <w:rFonts w:hint="eastAsia" w:ascii="仿宋_GB2312" w:hAnsi="仿宋_GB2312" w:cs="仿宋_GB2312"/>
        </w:rPr>
        <w:t>2.组织实施情况分析</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（1）管理制度健全性</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项目单位参考并制定了《北京市知识产权资助金管理办法》《北京市知识产权资助工作岗位操作规程》《北京市知识产权资助文档归档方案》等制度文件。但关于项目开展所需要的政府采购、固定资产管理等方面的制度还需进一步补充完善。</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（2）制度执行有效性</w:t>
      </w:r>
    </w:p>
    <w:p>
      <w:pPr>
        <w:spacing w:before="0" w:beforeLines="0" w:after="0" w:afterLines="0" w:line="520" w:lineRule="exact"/>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项目单位均按照《北京市知识产权资助金管理办法》《北京市知识产权资助工作岗位操作规程》《北京市知识产权资助文档归档方案》等管理办法中的规定开展项目申报、项目评审、评审结果公示等工作。但监督工作情况报告时效性不足（2021年），且有关具体执行材料归档不全面。</w:t>
      </w:r>
    </w:p>
    <w:p>
      <w:pPr>
        <w:pStyle w:val="4"/>
        <w:spacing w:before="0" w:beforeLines="0" w:after="0" w:afterLines="0" w:line="520" w:lineRule="exact"/>
        <w:ind w:firstLine="643"/>
      </w:pPr>
      <w:r>
        <w:rPr>
          <w:rFonts w:hint="eastAsia"/>
        </w:rPr>
        <w:t>（三）项目产出情况</w:t>
      </w:r>
    </w:p>
    <w:p>
      <w:pPr>
        <w:pStyle w:val="5"/>
        <w:spacing w:before="0" w:beforeLines="0" w:after="0" w:afterLines="0" w:line="520" w:lineRule="exact"/>
        <w:ind w:firstLine="643"/>
        <w:rPr>
          <w:rFonts w:ascii="仿宋_GB2312" w:hAnsi="仿宋_GB2312" w:cs="仿宋_GB2312"/>
        </w:rPr>
      </w:pPr>
      <w:r>
        <w:rPr>
          <w:rFonts w:hint="eastAsia" w:ascii="仿宋_GB2312" w:hAnsi="仿宋_GB2312" w:cs="仿宋_GB2312"/>
        </w:rPr>
        <w:t>1.产出数量情况分析</w:t>
      </w:r>
    </w:p>
    <w:p>
      <w:pPr>
        <w:spacing w:before="0" w:beforeLines="0" w:after="0" w:afterLines="0" w:line="520" w:lineRule="exact"/>
        <w:ind w:firstLine="643"/>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b/>
          <w:bCs/>
          <w:color w:val="000000"/>
          <w:kern w:val="0"/>
          <w:sz w:val="32"/>
          <w:szCs w:val="32"/>
          <w:lang w:bidi="ar"/>
        </w:rPr>
        <w:t>受资助国内专利（含港澳台）数量：</w:t>
      </w:r>
      <w:r>
        <w:rPr>
          <w:rFonts w:hint="eastAsia" w:ascii="仿宋_GB2312" w:hAnsi="仿宋_GB2312" w:eastAsia="仿宋_GB2312" w:cs="仿宋_GB2312"/>
          <w:sz w:val="32"/>
          <w:szCs w:val="32"/>
        </w:rPr>
        <w:t>2022年计划受资助国内专利（含港澳台）数量为≧51000件，实际共资助国内专利（含港澳台）数量为54335件，已超额完成年度指标，且未超出目标值的2倍；</w:t>
      </w:r>
      <w:r>
        <w:rPr>
          <w:rFonts w:hint="eastAsia" w:ascii="仿宋_GB2312" w:hAnsi="仿宋_GB2312" w:eastAsia="仿宋_GB2312" w:cs="仿宋_GB2312"/>
          <w:b/>
          <w:bCs/>
          <w:color w:val="000000"/>
          <w:kern w:val="0"/>
          <w:sz w:val="32"/>
          <w:szCs w:val="32"/>
          <w:lang w:bidi="ar"/>
        </w:rPr>
        <w:t>受资助国外发明专利数量：</w:t>
      </w:r>
      <w:bookmarkStart w:id="15" w:name="_Hlk103007436"/>
      <w:r>
        <w:rPr>
          <w:rFonts w:hint="eastAsia" w:ascii="仿宋_GB2312" w:hAnsi="仿宋_GB2312" w:eastAsia="仿宋_GB2312" w:cs="仿宋_GB2312"/>
          <w:color w:val="000000"/>
          <w:kern w:val="0"/>
          <w:sz w:val="32"/>
          <w:szCs w:val="32"/>
          <w:lang w:bidi="ar"/>
        </w:rPr>
        <w:t>2022年计划受资助国外发明专利为≧4200件，实际共资助国外发明专利4221件，已超额完成年度指标，且未超出目标值的2倍</w:t>
      </w:r>
      <w:bookmarkEnd w:id="15"/>
      <w:r>
        <w:rPr>
          <w:rFonts w:hint="eastAsia" w:ascii="仿宋_GB2312" w:hAnsi="仿宋_GB2312" w:eastAsia="仿宋_GB2312" w:cs="仿宋_GB2312"/>
          <w:color w:val="000000"/>
          <w:kern w:val="0"/>
          <w:sz w:val="32"/>
          <w:szCs w:val="32"/>
          <w:lang w:bidi="ar"/>
        </w:rPr>
        <w:t>；</w:t>
      </w:r>
      <w:r>
        <w:rPr>
          <w:rFonts w:hint="eastAsia" w:ascii="仿宋_GB2312" w:hAnsi="仿宋_GB2312" w:eastAsia="仿宋_GB2312" w:cs="仿宋_GB2312"/>
          <w:b/>
          <w:bCs/>
          <w:color w:val="000000"/>
          <w:kern w:val="0"/>
          <w:sz w:val="32"/>
          <w:szCs w:val="32"/>
          <w:lang w:bidi="ar"/>
        </w:rPr>
        <w:t>受资助国外注册商标数量：</w:t>
      </w:r>
      <w:r>
        <w:rPr>
          <w:rFonts w:hint="eastAsia" w:ascii="仿宋_GB2312" w:hAnsi="仿宋_GB2312" w:eastAsia="仿宋_GB2312" w:cs="仿宋_GB2312"/>
          <w:color w:val="000000"/>
          <w:kern w:val="0"/>
          <w:sz w:val="32"/>
          <w:szCs w:val="32"/>
          <w:lang w:bidi="ar"/>
        </w:rPr>
        <w:t>2022年计划受资助国外注册商标数量为≧5200件，实际共资助国外注册商标5574件，已超额完成年度指标，且未超出目标值的2倍；</w:t>
      </w:r>
      <w:r>
        <w:rPr>
          <w:rFonts w:hint="eastAsia" w:ascii="仿宋_GB2312" w:hAnsi="仿宋_GB2312" w:eastAsia="仿宋_GB2312" w:cs="仿宋_GB2312"/>
          <w:b/>
          <w:bCs/>
          <w:color w:val="000000"/>
          <w:kern w:val="0"/>
          <w:sz w:val="32"/>
          <w:szCs w:val="32"/>
          <w:lang w:bidi="ar"/>
        </w:rPr>
        <w:t>国外发明专利额外资助单位数量：</w:t>
      </w:r>
      <w:r>
        <w:rPr>
          <w:rFonts w:hint="eastAsia" w:ascii="仿宋_GB2312" w:hAnsi="仿宋_GB2312" w:eastAsia="仿宋_GB2312" w:cs="仿宋_GB2312"/>
          <w:color w:val="000000"/>
          <w:kern w:val="0"/>
          <w:sz w:val="32"/>
          <w:szCs w:val="32"/>
          <w:lang w:bidi="ar"/>
        </w:rPr>
        <w:t>2022年计划国外发明专利额外资助单位数量为≧50家，实际共资助国外发明专利额外资助单位数量61家，已超额完成年度指标，且未超出目标值的2倍。</w:t>
      </w:r>
      <w:bookmarkStart w:id="16" w:name="_Toc103381412"/>
    </w:p>
    <w:p>
      <w:pPr>
        <w:pStyle w:val="5"/>
        <w:spacing w:before="0" w:beforeLines="0" w:after="0" w:afterLines="0" w:line="520" w:lineRule="exact"/>
        <w:ind w:firstLine="643"/>
        <w:rPr>
          <w:rFonts w:ascii="仿宋_GB2312" w:hAnsi="仿宋_GB2312" w:cs="仿宋_GB2312"/>
        </w:rPr>
      </w:pPr>
      <w:r>
        <w:rPr>
          <w:rFonts w:hint="eastAsia" w:ascii="仿宋_GB2312" w:hAnsi="仿宋_GB2312" w:cs="仿宋_GB2312"/>
        </w:rPr>
        <w:t>2.产出质量</w:t>
      </w:r>
      <w:bookmarkEnd w:id="16"/>
      <w:r>
        <w:rPr>
          <w:rFonts w:hint="eastAsia" w:ascii="仿宋_GB2312" w:hAnsi="仿宋_GB2312" w:cs="仿宋_GB2312"/>
        </w:rPr>
        <w:t>情况分析</w:t>
      </w:r>
    </w:p>
    <w:p>
      <w:pPr>
        <w:spacing w:before="0" w:beforeLines="0" w:after="0" w:afterLines="0" w:line="520" w:lineRule="exact"/>
        <w:ind w:firstLine="643"/>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bidi="ar"/>
        </w:rPr>
        <w:t>资助国外发明专利金额占比：</w:t>
      </w:r>
      <w:r>
        <w:rPr>
          <w:rFonts w:hint="eastAsia" w:ascii="仿宋_GB2312" w:hAnsi="仿宋_GB2312" w:eastAsia="仿宋_GB2312" w:cs="仿宋_GB2312"/>
          <w:sz w:val="32"/>
          <w:szCs w:val="32"/>
        </w:rPr>
        <w:t>2022年受资助国外发明专利金额占比达到67.59％，完成年度指标；</w:t>
      </w:r>
      <w:r>
        <w:rPr>
          <w:rFonts w:hint="eastAsia" w:ascii="仿宋_GB2312" w:hAnsi="仿宋_GB2312" w:eastAsia="仿宋_GB2312" w:cs="仿宋_GB2312"/>
          <w:b/>
          <w:bCs/>
          <w:color w:val="000000"/>
          <w:kern w:val="0"/>
          <w:sz w:val="32"/>
          <w:szCs w:val="32"/>
          <w:lang w:bidi="ar"/>
        </w:rPr>
        <w:t>国外专利额外资助单位年授权国外发明专利总数：</w:t>
      </w:r>
      <w:r>
        <w:rPr>
          <w:rFonts w:hint="eastAsia" w:ascii="仿宋_GB2312" w:hAnsi="仿宋_GB2312" w:eastAsia="仿宋_GB2312" w:cs="仿宋_GB2312"/>
          <w:color w:val="000000"/>
          <w:kern w:val="0"/>
          <w:sz w:val="32"/>
          <w:szCs w:val="32"/>
          <w:lang w:bidi="ar"/>
        </w:rPr>
        <w:t>2022年国外专利额外资助（强极单位）单位年授权国外发明专利总数2778件，未达到年初制定的资助≧3000件的绩效目标。原因是：由于疫情因素，部分单位国外专利授权速度放缓，获权授权信息滞后，从而导致申报量出现一定程度的下降</w:t>
      </w:r>
      <w:bookmarkStart w:id="17" w:name="_Toc103381413"/>
      <w:r>
        <w:rPr>
          <w:rFonts w:hint="eastAsia" w:ascii="仿宋_GB2312" w:hAnsi="仿宋_GB2312" w:eastAsia="仿宋_GB2312" w:cs="仿宋_GB2312"/>
          <w:color w:val="000000"/>
          <w:kern w:val="0"/>
          <w:sz w:val="32"/>
          <w:szCs w:val="32"/>
          <w:lang w:bidi="ar"/>
        </w:rPr>
        <w:t>；</w:t>
      </w:r>
      <w:r>
        <w:rPr>
          <w:rFonts w:hint="eastAsia" w:ascii="仿宋_GB2312" w:hAnsi="仿宋_GB2312" w:eastAsia="仿宋_GB2312" w:cs="仿宋_GB2312"/>
          <w:b/>
          <w:bCs/>
          <w:color w:val="000000"/>
          <w:kern w:val="0"/>
          <w:sz w:val="32"/>
          <w:szCs w:val="32"/>
          <w:lang w:bidi="ar"/>
        </w:rPr>
        <w:t>PCT资助金申请单位数量：</w:t>
      </w:r>
      <w:r>
        <w:rPr>
          <w:rFonts w:hint="eastAsia" w:ascii="仿宋_GB2312" w:hAnsi="仿宋_GB2312" w:eastAsia="仿宋_GB2312" w:cs="仿宋_GB2312"/>
          <w:sz w:val="32"/>
          <w:szCs w:val="32"/>
        </w:rPr>
        <w:t>2022年PCT资助金申请单位实际数量为195家，完成年初制定目标；</w:t>
      </w:r>
      <w:r>
        <w:rPr>
          <w:rFonts w:hint="eastAsia" w:ascii="仿宋_GB2312" w:hAnsi="仿宋_GB2312" w:eastAsia="仿宋_GB2312" w:cs="仿宋_GB2312"/>
          <w:b/>
          <w:bCs/>
          <w:color w:val="000000"/>
          <w:kern w:val="0"/>
          <w:sz w:val="32"/>
          <w:szCs w:val="32"/>
          <w:lang w:bidi="ar"/>
        </w:rPr>
        <w:t>区块链数据处理完成率：</w:t>
      </w:r>
      <w:r>
        <w:rPr>
          <w:rFonts w:hint="eastAsia" w:ascii="仿宋_GB2312" w:hAnsi="仿宋_GB2312" w:eastAsia="仿宋_GB2312" w:cs="仿宋_GB2312"/>
          <w:sz w:val="32"/>
          <w:szCs w:val="32"/>
        </w:rPr>
        <w:t>2022年区块链数据处理完成率实际为100%，完成年初制定目标；</w:t>
      </w:r>
      <w:r>
        <w:rPr>
          <w:rFonts w:hint="eastAsia" w:ascii="仿宋_GB2312" w:hAnsi="仿宋_GB2312" w:eastAsia="仿宋_GB2312" w:cs="仿宋_GB2312"/>
          <w:b/>
          <w:bCs/>
          <w:sz w:val="32"/>
          <w:szCs w:val="32"/>
        </w:rPr>
        <w:t>国内外专利、商标协助审查准确率：</w:t>
      </w:r>
      <w:r>
        <w:rPr>
          <w:rFonts w:hint="eastAsia" w:ascii="仿宋_GB2312" w:hAnsi="仿宋_GB2312" w:eastAsia="仿宋_GB2312" w:cs="仿宋_GB2312"/>
          <w:sz w:val="32"/>
          <w:szCs w:val="32"/>
        </w:rPr>
        <w:t>2022年实际国内专利协助审查准确率、国外发明专利协助审查准确率、国外注册商标协助审查准确率均为100%，完成年初制定目标。</w:t>
      </w:r>
    </w:p>
    <w:p>
      <w:pPr>
        <w:pStyle w:val="5"/>
        <w:spacing w:before="0" w:beforeLines="0" w:after="0" w:afterLines="0" w:line="520" w:lineRule="exact"/>
        <w:ind w:firstLine="643"/>
        <w:rPr>
          <w:rFonts w:ascii="仿宋_GB2312" w:hAnsi="仿宋_GB2312" w:cs="仿宋_GB2312"/>
        </w:rPr>
      </w:pPr>
      <w:r>
        <w:rPr>
          <w:rFonts w:hint="eastAsia" w:ascii="仿宋_GB2312" w:hAnsi="仿宋_GB2312" w:cs="仿宋_GB2312"/>
        </w:rPr>
        <w:t>3.产出时效</w:t>
      </w:r>
      <w:bookmarkEnd w:id="17"/>
      <w:r>
        <w:rPr>
          <w:rFonts w:hint="eastAsia" w:ascii="仿宋_GB2312" w:hAnsi="仿宋_GB2312" w:cs="仿宋_GB2312"/>
        </w:rPr>
        <w:t>情况分析</w:t>
      </w:r>
    </w:p>
    <w:p>
      <w:pPr>
        <w:spacing w:before="0" w:beforeLines="0" w:after="0" w:afterLines="0" w:line="520" w:lineRule="exact"/>
        <w:ind w:firstLine="640"/>
        <w:rPr>
          <w:rFonts w:ascii="仿宋_GB2312" w:hAnsi="仿宋_GB2312" w:eastAsia="仿宋_GB2312" w:cs="仿宋_GB2312"/>
          <w:sz w:val="32"/>
          <w:szCs w:val="32"/>
        </w:rPr>
      </w:pPr>
      <w:bookmarkStart w:id="18" w:name="_Toc103381414"/>
      <w:r>
        <w:rPr>
          <w:rFonts w:hint="eastAsia" w:ascii="仿宋_GB2312" w:hAnsi="仿宋_GB2312" w:eastAsia="仿宋_GB2312" w:cs="仿宋_GB2312"/>
          <w:sz w:val="32"/>
          <w:szCs w:val="32"/>
        </w:rPr>
        <w:t>保护中心于3月底前和6月底前分两个批次发布了资助单位名单，并完成资助金发放工作；于7月份开启竞争性磋商工作，7月18日公布中标公告，11月底完成审核验收工作。北京市知识产权资助金发放工作与审核工作均按照时间进度及时完成。</w:t>
      </w:r>
    </w:p>
    <w:p>
      <w:pPr>
        <w:pStyle w:val="5"/>
        <w:spacing w:before="0" w:beforeLines="0" w:after="0" w:afterLines="0" w:line="520" w:lineRule="exact"/>
        <w:ind w:firstLine="643"/>
        <w:rPr>
          <w:rFonts w:ascii="仿宋_GB2312" w:hAnsi="仿宋_GB2312" w:cs="仿宋_GB2312"/>
        </w:rPr>
      </w:pPr>
      <w:r>
        <w:rPr>
          <w:rFonts w:hint="eastAsia" w:ascii="仿宋_GB2312" w:hAnsi="仿宋_GB2312" w:cs="仿宋_GB2312"/>
        </w:rPr>
        <w:t>4.产出成本</w:t>
      </w:r>
      <w:bookmarkEnd w:id="18"/>
      <w:r>
        <w:rPr>
          <w:rFonts w:hint="eastAsia" w:ascii="仿宋_GB2312" w:hAnsi="仿宋_GB2312" w:cs="仿宋_GB2312"/>
        </w:rPr>
        <w:t>情况分析</w:t>
      </w:r>
    </w:p>
    <w:p>
      <w:pPr>
        <w:spacing w:beforeLines="0" w:afterLines="0"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2022年度用于知识产权资助金项目全年预算资金18229.982万元，实际支出18229.282万元,实际资金使用未超出项目预算，成本总体控制情况好。</w:t>
      </w:r>
    </w:p>
    <w:p>
      <w:pPr>
        <w:pStyle w:val="4"/>
        <w:spacing w:before="0" w:beforeLines="0" w:after="0" w:afterLines="0" w:line="520" w:lineRule="exact"/>
        <w:ind w:firstLine="643"/>
        <w:rPr>
          <w:rFonts w:ascii="楷体_GB2312" w:hAnsi="楷体_GB2312" w:cs="楷体_GB2312"/>
        </w:rPr>
      </w:pPr>
      <w:r>
        <w:rPr>
          <w:rFonts w:hint="eastAsia"/>
        </w:rPr>
        <w:t>（四）项目效益情况</w:t>
      </w:r>
    </w:p>
    <w:p>
      <w:pPr>
        <w:pStyle w:val="5"/>
        <w:spacing w:before="0" w:beforeLines="0" w:after="0" w:afterLines="0" w:line="520" w:lineRule="exact"/>
        <w:ind w:firstLine="643"/>
        <w:rPr>
          <w:rFonts w:ascii="仿宋_GB2312" w:hAnsi="仿宋_GB2312" w:cs="仿宋_GB2312"/>
        </w:rPr>
      </w:pPr>
      <w:bookmarkStart w:id="19" w:name="_Toc103381416"/>
      <w:r>
        <w:rPr>
          <w:rFonts w:hint="eastAsia" w:ascii="仿宋_GB2312" w:hAnsi="仿宋_GB2312" w:cs="仿宋_GB2312"/>
        </w:rPr>
        <w:t>1.实施效益</w:t>
      </w:r>
      <w:bookmarkEnd w:id="19"/>
      <w:r>
        <w:rPr>
          <w:rFonts w:hint="eastAsia" w:ascii="仿宋_GB2312" w:hAnsi="仿宋_GB2312" w:cs="仿宋_GB2312"/>
        </w:rPr>
        <w:t>情况分析</w:t>
      </w:r>
    </w:p>
    <w:p>
      <w:pPr>
        <w:spacing w:before="0" w:beforeLines="0" w:after="0" w:afterLines="0" w:line="520" w:lineRule="exact"/>
        <w:ind w:firstLine="643"/>
        <w:rPr>
          <w:rFonts w:ascii="仿宋_GB2312" w:eastAsia="仿宋_GB2312"/>
          <w:sz w:val="32"/>
          <w:szCs w:val="32"/>
          <w:lang w:val="zh-CN" w:bidi="zh-CN"/>
        </w:rPr>
      </w:pPr>
      <w:r>
        <w:rPr>
          <w:rFonts w:hint="eastAsia" w:ascii="仿宋_GB2312" w:eastAsia="仿宋_GB2312"/>
          <w:b/>
          <w:bCs/>
          <w:sz w:val="32"/>
          <w:szCs w:val="32"/>
          <w:lang w:val="zh-CN" w:bidi="zh-CN"/>
        </w:rPr>
        <w:t>国内专利申请维持成本平均降低比例：</w:t>
      </w:r>
      <w:r>
        <w:rPr>
          <w:rFonts w:hint="eastAsia" w:ascii="仿宋_GB2312" w:eastAsia="仿宋_GB2312"/>
          <w:sz w:val="32"/>
          <w:szCs w:val="32"/>
          <w:lang w:val="zh-CN" w:bidi="zh-CN"/>
        </w:rPr>
        <w:t>2022年国内专利申请维持成本平均降低比例为54.33％，完成年初制定的绩效目标；</w:t>
      </w:r>
      <w:r>
        <w:rPr>
          <w:rFonts w:hint="eastAsia" w:ascii="仿宋_GB2312" w:eastAsia="仿宋_GB2312"/>
          <w:b/>
          <w:bCs/>
          <w:sz w:val="32"/>
          <w:szCs w:val="32"/>
          <w:lang w:val="zh-CN" w:bidi="zh-CN"/>
        </w:rPr>
        <w:t>国外专利申请维持成本平均降低比例：</w:t>
      </w:r>
      <w:r>
        <w:rPr>
          <w:rFonts w:hint="eastAsia" w:ascii="仿宋_GB2312" w:hAnsi="仿宋_GB2312" w:eastAsia="仿宋_GB2312" w:cs="仿宋_GB2312"/>
          <w:sz w:val="32"/>
          <w:szCs w:val="32"/>
          <w:lang w:bidi="ar"/>
        </w:rPr>
        <w:t>2022年</w:t>
      </w:r>
      <w:r>
        <w:rPr>
          <w:rFonts w:hint="eastAsia" w:ascii="仿宋_GB2312" w:hAnsi="仿宋_GB2312" w:eastAsia="仿宋_GB2312" w:cs="仿宋_GB2312"/>
          <w:sz w:val="32"/>
          <w:szCs w:val="32"/>
        </w:rPr>
        <w:t>受资助国外专利最低成本为21263.8万元，</w:t>
      </w:r>
      <w:r>
        <w:rPr>
          <w:rFonts w:hint="eastAsia" w:ascii="仿宋_GB2312" w:eastAsia="仿宋_GB2312"/>
          <w:sz w:val="32"/>
          <w:szCs w:val="32"/>
          <w:lang w:val="zh-CN" w:bidi="zh-CN"/>
        </w:rPr>
        <w:t>完成年初制定的绩效目标；</w:t>
      </w:r>
      <w:r>
        <w:rPr>
          <w:rFonts w:hint="eastAsia" w:ascii="仿宋_GB2312" w:eastAsia="仿宋_GB2312"/>
          <w:b/>
          <w:bCs/>
          <w:sz w:val="32"/>
          <w:szCs w:val="32"/>
          <w:lang w:val="zh-CN" w:bidi="zh-CN"/>
        </w:rPr>
        <w:t>国外商标注册成本平均降低比例：</w:t>
      </w:r>
      <w:r>
        <w:rPr>
          <w:rFonts w:hint="eastAsia" w:ascii="仿宋_GB2312" w:hAnsi="仿宋_GB2312" w:eastAsia="仿宋_GB2312" w:cs="仿宋_GB2312"/>
          <w:sz w:val="32"/>
          <w:szCs w:val="32"/>
        </w:rPr>
        <w:t>2022年国外注册商标申请维持成本平均降低比例为26.88%，</w:t>
      </w:r>
      <w:r>
        <w:rPr>
          <w:rFonts w:hint="eastAsia" w:ascii="仿宋_GB2312" w:eastAsia="仿宋_GB2312"/>
          <w:sz w:val="32"/>
          <w:szCs w:val="32"/>
          <w:lang w:val="zh-CN" w:bidi="zh-CN"/>
        </w:rPr>
        <w:t>完成年初制定的绩效目标；</w:t>
      </w:r>
      <w:r>
        <w:rPr>
          <w:rFonts w:hint="eastAsia" w:ascii="仿宋_GB2312" w:eastAsia="仿宋_GB2312"/>
          <w:b/>
          <w:bCs/>
          <w:sz w:val="32"/>
          <w:szCs w:val="32"/>
          <w:lang w:val="zh-CN" w:bidi="zh-CN"/>
        </w:rPr>
        <w:t>PCT专利年申请量增长率：</w:t>
      </w:r>
      <w:r>
        <w:rPr>
          <w:rFonts w:hint="eastAsia" w:ascii="仿宋_GB2312" w:eastAsia="仿宋_GB2312"/>
          <w:sz w:val="32"/>
          <w:szCs w:val="32"/>
          <w:lang w:val="zh-CN" w:bidi="zh-CN"/>
        </w:rPr>
        <w:t>2022年北京市PCT申请受理量为11463件，同比增长10.67%，完成年初制定的绩效目标。</w:t>
      </w:r>
    </w:p>
    <w:p>
      <w:pPr>
        <w:pStyle w:val="5"/>
        <w:spacing w:before="0" w:beforeLines="0" w:after="0" w:afterLines="0" w:line="520" w:lineRule="exact"/>
        <w:ind w:firstLine="643"/>
        <w:rPr>
          <w:rFonts w:ascii="仿宋_GB2312" w:hAnsi="仿宋_GB2312" w:cs="仿宋_GB2312"/>
        </w:rPr>
      </w:pPr>
      <w:bookmarkStart w:id="20" w:name="_Toc103381417"/>
      <w:r>
        <w:rPr>
          <w:rFonts w:hint="eastAsia" w:ascii="仿宋_GB2312" w:hAnsi="仿宋_GB2312" w:cs="仿宋_GB2312"/>
        </w:rPr>
        <w:t>2.满意度</w:t>
      </w:r>
      <w:bookmarkEnd w:id="20"/>
      <w:r>
        <w:rPr>
          <w:rFonts w:hint="eastAsia" w:ascii="仿宋_GB2312" w:hAnsi="仿宋_GB2312" w:cs="仿宋_GB2312"/>
        </w:rPr>
        <w:t>情况分析</w:t>
      </w:r>
    </w:p>
    <w:p>
      <w:pPr>
        <w:spacing w:before="0" w:beforeLines="0" w:after="0" w:afterLines="0" w:line="520" w:lineRule="exact"/>
        <w:ind w:firstLine="640"/>
        <w:rPr>
          <w:rFonts w:ascii="仿宋_GB2312" w:eastAsia="仿宋_GB2312"/>
          <w:sz w:val="32"/>
          <w:szCs w:val="32"/>
          <w:lang w:val="zh-CN" w:bidi="zh-CN"/>
        </w:rPr>
      </w:pPr>
      <w:r>
        <w:rPr>
          <w:rFonts w:hint="eastAsia" w:ascii="仿宋_GB2312" w:eastAsia="仿宋_GB2312"/>
          <w:sz w:val="32"/>
          <w:szCs w:val="32"/>
          <w:lang w:val="zh-CN" w:bidi="zh-CN"/>
        </w:rPr>
        <w:t>根据2022年北京市政务服务事项好差评，办件评价为4.8分，满意度达到96%，达到了年初制定的绩效目标。但本次满意度调查</w:t>
      </w:r>
      <w:r>
        <w:rPr>
          <w:rFonts w:hint="eastAsia" w:ascii="仿宋_GB2312" w:eastAsia="仿宋_GB2312"/>
          <w:sz w:val="32"/>
          <w:szCs w:val="32"/>
          <w:lang w:bidi="zh-CN"/>
        </w:rPr>
        <w:t>选取的</w:t>
      </w:r>
      <w:r>
        <w:rPr>
          <w:rFonts w:hint="eastAsia" w:ascii="仿宋_GB2312" w:eastAsia="仿宋_GB2312"/>
          <w:sz w:val="32"/>
          <w:szCs w:val="32"/>
          <w:lang w:val="zh-CN" w:bidi="zh-CN"/>
        </w:rPr>
        <w:t>评价对象不准确，不是针对资助金补贴这项工作而制定的满意度调查，同时，有关满意度调查的调查内容、调查样本量、调查范围等内容不够明确，满意度</w:t>
      </w:r>
      <w:r>
        <w:rPr>
          <w:rFonts w:hint="eastAsia" w:ascii="仿宋_GB2312" w:eastAsia="仿宋_GB2312"/>
          <w:sz w:val="32"/>
          <w:szCs w:val="32"/>
          <w:lang w:bidi="zh-CN"/>
        </w:rPr>
        <w:t>调查</w:t>
      </w:r>
      <w:r>
        <w:rPr>
          <w:rFonts w:hint="eastAsia" w:ascii="仿宋_GB2312" w:eastAsia="仿宋_GB2312"/>
          <w:sz w:val="32"/>
          <w:szCs w:val="32"/>
          <w:lang w:val="zh-CN" w:bidi="zh-CN"/>
        </w:rPr>
        <w:t>数据的可靠性</w:t>
      </w:r>
      <w:r>
        <w:rPr>
          <w:rFonts w:hint="eastAsia" w:ascii="仿宋_GB2312" w:eastAsia="仿宋_GB2312"/>
          <w:sz w:val="32"/>
          <w:szCs w:val="32"/>
          <w:lang w:bidi="zh-CN"/>
        </w:rPr>
        <w:t>不足</w:t>
      </w:r>
      <w:r>
        <w:rPr>
          <w:rFonts w:hint="eastAsia" w:ascii="仿宋_GB2312" w:eastAsia="仿宋_GB2312"/>
          <w:sz w:val="32"/>
          <w:szCs w:val="32"/>
          <w:lang w:val="zh-CN" w:bidi="zh-CN"/>
        </w:rPr>
        <w:t>。</w:t>
      </w:r>
    </w:p>
    <w:p>
      <w:pPr>
        <w:pStyle w:val="3"/>
        <w:spacing w:before="0" w:beforeLines="0" w:after="0" w:afterLines="0" w:line="520" w:lineRule="exact"/>
        <w:ind w:firstLine="640"/>
      </w:pPr>
      <w:r>
        <w:rPr>
          <w:rFonts w:hint="eastAsia"/>
        </w:rPr>
        <w:t>五、主要经验及做法、存在的问题及原因分析</w:t>
      </w:r>
    </w:p>
    <w:p>
      <w:pPr>
        <w:pStyle w:val="4"/>
        <w:spacing w:before="0" w:beforeLines="0" w:after="0" w:afterLines="0" w:line="520" w:lineRule="exact"/>
        <w:ind w:firstLine="643"/>
      </w:pPr>
      <w:r>
        <w:rPr>
          <w:rFonts w:hint="eastAsia"/>
        </w:rPr>
        <w:t>（一）主要经验及做法</w:t>
      </w:r>
    </w:p>
    <w:p>
      <w:pPr>
        <w:spacing w:before="0" w:beforeLines="0" w:after="0" w:afterLines="0" w:line="520" w:lineRule="exact"/>
        <w:ind w:firstLine="643"/>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取消线下办理环节大幅简化办理流程；</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强化知识产权资助政策线上宣传和咨询服务，举办多场线下+线上培训活动；</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主动服务，积极与军事医学研究院等单位沟通联系，加强跨部门政务信息利用；</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加强失信联合惩戒，充分利用信用中国网站、北京市企业信息网和公共信用信息服务平台；</w:t>
      </w:r>
      <w:r>
        <w:rPr>
          <w:rFonts w:hint="eastAsia" w:ascii="仿宋_GB2312" w:hAnsi="仿宋_GB2312" w:eastAsia="仿宋_GB2312" w:cs="仿宋_GB2312"/>
          <w:b/>
          <w:bCs/>
          <w:sz w:val="32"/>
          <w:szCs w:val="32"/>
        </w:rPr>
        <w:t>五是</w:t>
      </w:r>
      <w:r>
        <w:rPr>
          <w:rFonts w:hint="eastAsia" w:ascii="仿宋_GB2312" w:hAnsi="仿宋_GB2312" w:eastAsia="仿宋_GB2312" w:cs="仿宋_GB2312"/>
          <w:sz w:val="32"/>
          <w:szCs w:val="32"/>
        </w:rPr>
        <w:t>主动对接市知识产权局机关纪委、市纪委驻市监局纪检组开展专项监督，深入第三方协助审核单位进行监督检查，作为专项监督典型上报市纪委。</w:t>
      </w:r>
    </w:p>
    <w:p>
      <w:pPr>
        <w:pStyle w:val="4"/>
        <w:spacing w:before="0" w:beforeLines="0" w:after="0" w:afterLines="0" w:line="520" w:lineRule="exact"/>
        <w:ind w:firstLine="643"/>
      </w:pPr>
      <w:r>
        <w:rPr>
          <w:rFonts w:hint="eastAsia"/>
        </w:rPr>
        <w:t>（二）存在的问题</w:t>
      </w:r>
    </w:p>
    <w:p>
      <w:pPr>
        <w:spacing w:before="0" w:beforeLines="0" w:after="0" w:afterLines="0" w:line="520" w:lineRule="exact"/>
        <w:ind w:firstLine="643"/>
        <w:rPr>
          <w:rFonts w:ascii="仿宋_GB2312" w:eastAsia="仿宋_GB2312"/>
          <w:sz w:val="32"/>
          <w:szCs w:val="32"/>
          <w:lang w:bidi="zh-CN"/>
        </w:rPr>
      </w:pPr>
      <w:r>
        <w:rPr>
          <w:rFonts w:hint="eastAsia" w:ascii="仿宋_GB2312" w:eastAsia="仿宋_GB2312"/>
          <w:b/>
          <w:bCs/>
          <w:sz w:val="32"/>
          <w:szCs w:val="32"/>
          <w:lang w:bidi="zh-CN"/>
        </w:rPr>
        <w:t>一是</w:t>
      </w:r>
      <w:r>
        <w:rPr>
          <w:rFonts w:hint="eastAsia" w:ascii="仿宋_GB2312" w:hAnsi="仿宋_GB2312" w:eastAsia="仿宋_GB2312" w:cs="仿宋_GB2312"/>
          <w:sz w:val="32"/>
          <w:szCs w:val="32"/>
        </w:rPr>
        <w:t>资助金引导的效果分析需持续深入</w:t>
      </w:r>
      <w:r>
        <w:rPr>
          <w:rFonts w:hint="eastAsia" w:ascii="仿宋_GB2312" w:hAnsi="仿宋_GB2312" w:eastAsia="仿宋_GB2312" w:cs="仿宋_GB2312"/>
          <w:color w:val="000000"/>
          <w:sz w:val="32"/>
          <w:szCs w:val="32"/>
          <w:lang w:bidi="ar"/>
        </w:rPr>
        <w:t>；</w:t>
      </w:r>
      <w:r>
        <w:rPr>
          <w:rFonts w:hint="eastAsia" w:ascii="仿宋_GB2312" w:eastAsia="仿宋_GB2312"/>
          <w:b/>
          <w:bCs/>
          <w:sz w:val="32"/>
          <w:szCs w:val="32"/>
          <w:lang w:bidi="zh-CN"/>
        </w:rPr>
        <w:t>二是</w:t>
      </w:r>
      <w:r>
        <w:rPr>
          <w:rFonts w:hint="eastAsia" w:ascii="仿宋_GB2312" w:hAnsi="仿宋_GB2312" w:eastAsia="仿宋_GB2312" w:cs="仿宋_GB2312"/>
          <w:sz w:val="32"/>
          <w:szCs w:val="32"/>
        </w:rPr>
        <w:t>服务对象满意度调查有待完善。调查评价对象的选取不够准确、调查对象的覆盖范围不足、调查内容的设置不完善；</w:t>
      </w:r>
      <w:r>
        <w:rPr>
          <w:rFonts w:hint="eastAsia" w:ascii="仿宋_GB2312" w:eastAsia="仿宋_GB2312"/>
          <w:b/>
          <w:bCs/>
          <w:sz w:val="32"/>
          <w:szCs w:val="32"/>
          <w:lang w:bidi="zh-CN"/>
        </w:rPr>
        <w:t>三是</w:t>
      </w:r>
      <w:r>
        <w:rPr>
          <w:rFonts w:hint="eastAsia" w:ascii="仿宋_GB2312" w:eastAsia="仿宋_GB2312"/>
          <w:sz w:val="32"/>
          <w:szCs w:val="32"/>
          <w:lang w:bidi="zh-CN"/>
        </w:rPr>
        <w:t>绩效指标设置的准确性需进一步提高。</w:t>
      </w:r>
      <w:r>
        <w:rPr>
          <w:rFonts w:hint="eastAsia" w:ascii="仿宋_GB2312" w:hAnsi="仿宋_GB2312" w:eastAsia="仿宋_GB2312" w:cs="仿宋_GB2312"/>
          <w:sz w:val="32"/>
          <w:szCs w:val="32"/>
          <w:lang w:bidi="zh-CN"/>
        </w:rPr>
        <w:t>部分数量指标设置的准确性不足、质量指标的设置不能全面体现项目开展的质量情况、效益指标未能充分说明本项目的开展所能带来的社会成效；</w:t>
      </w:r>
      <w:r>
        <w:rPr>
          <w:rFonts w:hint="eastAsia" w:ascii="仿宋_GB2312" w:eastAsia="仿宋_GB2312"/>
          <w:b/>
          <w:bCs/>
          <w:sz w:val="32"/>
          <w:szCs w:val="32"/>
          <w:lang w:bidi="zh-CN"/>
        </w:rPr>
        <w:t>四是</w:t>
      </w:r>
      <w:r>
        <w:rPr>
          <w:rFonts w:hint="eastAsia" w:ascii="仿宋_GB2312" w:eastAsia="仿宋_GB2312"/>
          <w:sz w:val="32"/>
          <w:szCs w:val="32"/>
          <w:lang w:bidi="zh-CN"/>
        </w:rPr>
        <w:t>过程资料管理需进一步加强。在项目审查过程中，对于各阶段项目实施资料的调取所需时间较长，资料的整理分类不够规范，资料的全面性不够充分。</w:t>
      </w:r>
    </w:p>
    <w:p>
      <w:pPr>
        <w:pStyle w:val="3"/>
        <w:spacing w:before="0" w:beforeLines="0" w:after="0" w:afterLines="0" w:line="520" w:lineRule="exact"/>
        <w:ind w:firstLine="640"/>
      </w:pPr>
      <w:r>
        <w:rPr>
          <w:rFonts w:hint="eastAsia"/>
        </w:rPr>
        <w:t>六、有关建议</w:t>
      </w:r>
    </w:p>
    <w:p>
      <w:pPr>
        <w:spacing w:before="0" w:beforeLines="0" w:after="0" w:afterLines="0" w:line="520" w:lineRule="exact"/>
        <w:ind w:firstLine="643"/>
        <w:rPr>
          <w:rFonts w:ascii="仿宋_GB2312" w:hAnsi="仿宋_GB2312" w:eastAsia="仿宋_GB2312" w:cs="仿宋_GB2312"/>
          <w:sz w:val="32"/>
          <w:szCs w:val="32"/>
          <w:lang w:bidi="zh-CN"/>
        </w:rPr>
      </w:pPr>
      <w:r>
        <w:rPr>
          <w:rFonts w:hint="eastAsia" w:ascii="仿宋_GB2312" w:hAnsi="仿宋_GB2312" w:eastAsia="仿宋_GB2312" w:cs="仿宋_GB2312"/>
          <w:b/>
          <w:bCs/>
          <w:sz w:val="32"/>
          <w:szCs w:val="32"/>
          <w:lang w:bidi="zh-CN"/>
        </w:rPr>
        <w:t>1.注重资助金引导的实际效果。</w:t>
      </w:r>
      <w:bookmarkStart w:id="21" w:name="_Toc4503"/>
      <w:r>
        <w:rPr>
          <w:rFonts w:hint="eastAsia" w:ascii="仿宋_GB2312" w:hAnsi="仿宋_GB2312" w:eastAsia="仿宋_GB2312" w:cs="仿宋_GB2312"/>
          <w:sz w:val="32"/>
          <w:szCs w:val="32"/>
          <w:lang w:bidi="zh-CN"/>
        </w:rPr>
        <w:t>加强对资助金发放结构、资助金发放方向等方面数据的追踪对比分析，深入总结资助金发放对整个行业和产业的帮助效果，对国家政策落实的响应效果等内容，为项目优化和决策提供依据，为国家知识产权保护的进一步发展提供政策及数据的支撑作用。</w:t>
      </w:r>
      <w:bookmarkEnd w:id="21"/>
    </w:p>
    <w:p>
      <w:pPr>
        <w:spacing w:before="0" w:beforeLines="0" w:after="0" w:afterLines="0" w:line="520" w:lineRule="exact"/>
        <w:ind w:firstLine="643"/>
        <w:rPr>
          <w:rFonts w:ascii="仿宋_GB2312" w:hAnsi="仿宋_GB2312" w:eastAsia="仿宋_GB2312" w:cs="仿宋_GB2312"/>
          <w:sz w:val="32"/>
          <w:lang w:bidi="zh-CN"/>
        </w:rPr>
      </w:pPr>
      <w:r>
        <w:rPr>
          <w:rFonts w:hint="eastAsia" w:ascii="仿宋_GB2312" w:hAnsi="仿宋_GB2312" w:eastAsia="仿宋_GB2312" w:cs="仿宋_GB2312"/>
          <w:b/>
          <w:bCs/>
          <w:sz w:val="32"/>
          <w:szCs w:val="32"/>
          <w:lang w:bidi="zh-CN"/>
        </w:rPr>
        <w:t>2.提高满意度调查和绩效指标设置的专业性。</w:t>
      </w:r>
      <w:r>
        <w:rPr>
          <w:rFonts w:hint="eastAsia" w:ascii="仿宋_GB2312" w:hAnsi="仿宋_GB2312" w:eastAsia="仿宋_GB2312" w:cs="仿宋_GB2312"/>
          <w:sz w:val="32"/>
          <w:szCs w:val="32"/>
          <w:lang w:bidi="zh-CN"/>
        </w:rPr>
        <w:t>建议项目实施单位针对本项目设置相关的满意度调查指标体系，扩宽满意度调查对象，对满意度评价结果进行专业的数据分析和处理，整理形成专业的满意度调查分析报告；</w:t>
      </w:r>
      <w:r>
        <w:rPr>
          <w:rFonts w:hint="eastAsia" w:ascii="仿宋_GB2312" w:hAnsi="仿宋_GB2312" w:eastAsia="仿宋_GB2312" w:cs="仿宋_GB2312"/>
          <w:sz w:val="32"/>
          <w:lang w:bidi="zh-CN"/>
        </w:rPr>
        <w:t>建议项目实施单位进一步提高绩效指标设置的规范性，对绩效指标予以细化、规范描述。</w:t>
      </w:r>
    </w:p>
    <w:p>
      <w:pPr>
        <w:pStyle w:val="2"/>
        <w:adjustRightInd w:val="0"/>
        <w:snapToGrid w:val="0"/>
        <w:spacing w:line="520" w:lineRule="exact"/>
        <w:ind w:firstLine="643"/>
        <w:jc w:val="both"/>
        <w:rPr>
          <w:rFonts w:ascii="仿宋_GB2312" w:hAnsi="仿宋_GB2312" w:eastAsia="仿宋_GB2312" w:cs="仿宋_GB2312"/>
          <w:sz w:val="32"/>
          <w:szCs w:val="32"/>
          <w:lang w:val="en-US"/>
        </w:rPr>
      </w:pPr>
      <w:bookmarkStart w:id="22" w:name="_Toc72853528"/>
      <w:bookmarkStart w:id="23" w:name="_Toc2627"/>
      <w:r>
        <w:rPr>
          <w:rFonts w:hint="eastAsia" w:ascii="仿宋_GB2312" w:hAnsi="仿宋_GB2312" w:eastAsia="仿宋_GB2312" w:cs="仿宋_GB2312"/>
          <w:b/>
          <w:bCs/>
          <w:sz w:val="32"/>
          <w:szCs w:val="32"/>
          <w:lang w:val="en-US"/>
        </w:rPr>
        <w:t>3</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rPr>
        <w:t>完善项目过程管理资料</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lang w:val="en-US"/>
        </w:rPr>
        <w:t>建议项目单位重视对有关工作过程及成果的归档处理，积极落实归档管理制度，按照项目流程、资料类型对佐证材料进行有效归档，确保过程性资料的规范性和完整性，进一步提高绩效考核工作的客观真实性。</w:t>
      </w:r>
    </w:p>
    <w:p>
      <w:pPr>
        <w:pStyle w:val="2"/>
        <w:adjustRightInd w:val="0"/>
        <w:snapToGrid w:val="0"/>
        <w:spacing w:line="520" w:lineRule="exact"/>
        <w:ind w:firstLine="643"/>
        <w:jc w:val="both"/>
        <w:rPr>
          <w:rFonts w:ascii="仿宋_GB2312" w:hAnsi="仿宋_GB2312" w:eastAsia="仿宋_GB2312" w:cs="仿宋_GB2312"/>
          <w:sz w:val="32"/>
          <w:szCs w:val="32"/>
          <w:lang w:val="en-US"/>
        </w:rPr>
      </w:pPr>
      <w:r>
        <w:rPr>
          <w:rFonts w:hint="eastAsia" w:ascii="仿宋_GB2312" w:hAnsi="仿宋_GB2312" w:eastAsia="仿宋_GB2312" w:cs="仿宋_GB2312"/>
          <w:b/>
          <w:bCs/>
          <w:sz w:val="32"/>
          <w:szCs w:val="32"/>
          <w:lang w:val="en-US"/>
        </w:rPr>
        <w:t>4.提高资助对象的</w:t>
      </w:r>
      <w:bookmarkEnd w:id="22"/>
      <w:r>
        <w:rPr>
          <w:rFonts w:hint="eastAsia" w:ascii="仿宋_GB2312" w:hAnsi="仿宋_GB2312" w:eastAsia="仿宋_GB2312" w:cs="仿宋_GB2312"/>
          <w:b/>
          <w:bCs/>
          <w:sz w:val="32"/>
          <w:szCs w:val="32"/>
          <w:lang w:val="en-US"/>
        </w:rPr>
        <w:t>针对性</w:t>
      </w:r>
      <w:bookmarkEnd w:id="23"/>
      <w:r>
        <w:rPr>
          <w:rFonts w:hint="eastAsia" w:ascii="仿宋_GB2312" w:hAnsi="仿宋_GB2312" w:eastAsia="仿宋_GB2312" w:cs="仿宋_GB2312"/>
          <w:b/>
          <w:bCs/>
          <w:sz w:val="32"/>
          <w:szCs w:val="32"/>
          <w:lang w:val="en-US"/>
        </w:rPr>
        <w:t>。</w:t>
      </w:r>
      <w:r>
        <w:rPr>
          <w:rFonts w:hint="eastAsia" w:ascii="仿宋_GB2312" w:hAnsi="仿宋_GB2312" w:eastAsia="仿宋_GB2312" w:cs="仿宋_GB2312"/>
          <w:sz w:val="32"/>
          <w:szCs w:val="32"/>
          <w:lang w:val="en-US"/>
        </w:rPr>
        <w:t>建议项目单位对资助对象进行类型划分和系统分析，补充提高有关地理标志、植物新品种、集成电路布图等方面的补贴，进一步提高资助</w:t>
      </w:r>
      <w:bookmarkStart w:id="24" w:name="_GoBack"/>
      <w:bookmarkEnd w:id="24"/>
      <w:r>
        <w:rPr>
          <w:rFonts w:hint="eastAsia" w:ascii="仿宋_GB2312" w:hAnsi="仿宋_GB2312" w:eastAsia="仿宋_GB2312" w:cs="仿宋_GB2312"/>
          <w:sz w:val="32"/>
          <w:szCs w:val="32"/>
          <w:lang w:val="en-US"/>
        </w:rPr>
        <w:t>的针对性。</w:t>
      </w:r>
    </w:p>
    <w:sectPr>
      <w:headerReference r:id="rId11" w:type="default"/>
      <w:footerReference r:id="rId12" w:type="default"/>
      <w:pgSz w:w="11906" w:h="16838"/>
      <w:pgMar w:top="1100" w:right="1418" w:bottom="1100" w:left="1418" w:header="851" w:footer="57" w:gutter="0"/>
      <w:pgNumType w:start="1"/>
      <w:cols w:space="425" w:num="1"/>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120" w:after="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6752639"/>
    </w:sdtPr>
    <w:sdtContent>
      <w:p>
        <w:pPr>
          <w:pStyle w:val="10"/>
          <w:spacing w:before="120" w:after="120"/>
          <w:ind w:firstLine="0" w:firstLineChars="0"/>
          <w:jc w:val="center"/>
        </w:pPr>
        <w:r>
          <mc:AlternateContent>
            <mc:Choice Requires="wps">
              <w:drawing>
                <wp:anchor distT="0" distB="0" distL="114300" distR="114300" simplePos="0" relativeHeight="251663360" behindDoc="0" locked="0" layoutInCell="1" allowOverlap="1">
                  <wp:simplePos x="0" y="0"/>
                  <wp:positionH relativeFrom="margin">
                    <wp:posOffset>2687320</wp:posOffset>
                  </wp:positionH>
                  <wp:positionV relativeFrom="paragraph">
                    <wp:posOffset>148590</wp:posOffset>
                  </wp:positionV>
                  <wp:extent cx="546735" cy="271145"/>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546735" cy="271145"/>
                          </a:xfrm>
                          <a:custGeom>
                            <a:avLst/>
                            <a:gdLst>
                              <a:gd name="connsiteX0" fmla="*/ 0 w 618"/>
                              <a:gd name="connsiteY0" fmla="*/ 0 h 390"/>
                              <a:gd name="connsiteX1" fmla="*/ 618 w 618"/>
                              <a:gd name="connsiteY1" fmla="*/ 0 h 390"/>
                              <a:gd name="connsiteX2" fmla="*/ 499 w 618"/>
                              <a:gd name="connsiteY2" fmla="*/ 340 h 390"/>
                              <a:gd name="connsiteX3" fmla="*/ 0 w 618"/>
                              <a:gd name="connsiteY3" fmla="*/ 390 h 390"/>
                              <a:gd name="connsiteX4" fmla="*/ 0 w 618"/>
                              <a:gd name="connsiteY4" fmla="*/ 0 h 3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18" h="390">
                                <a:moveTo>
                                  <a:pt x="0" y="0"/>
                                </a:moveTo>
                                <a:lnTo>
                                  <a:pt x="618" y="0"/>
                                </a:lnTo>
                                <a:lnTo>
                                  <a:pt x="499" y="340"/>
                                </a:lnTo>
                                <a:lnTo>
                                  <a:pt x="0" y="390"/>
                                </a:lnTo>
                                <a:lnTo>
                                  <a:pt x="0" y="0"/>
                                </a:lnTo>
                                <a:close/>
                              </a:path>
                            </a:pathLst>
                          </a:cu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spacing w:before="120" w:after="120"/>
                                <w:ind w:firstLine="0" w:firstLineChars="0"/>
                                <w:jc w:val="center"/>
                              </w:pPr>
                              <w:r>
                                <w:fldChar w:fldCharType="begin"/>
                              </w:r>
                              <w:r>
                                <w:instrText xml:space="preserve">PAGE   \* MERGEFORMAT</w:instrText>
                              </w:r>
                              <w:r>
                                <w:fldChar w:fldCharType="separate"/>
                              </w:r>
                              <w:r>
                                <w:rPr>
                                  <w:lang w:val="zh-CN"/>
                                </w:rPr>
                                <w:t>8</w:t>
                              </w:r>
                              <w:r>
                                <w:fldChar w:fldCharType="end"/>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100" style="position:absolute;left:0pt;margin-left:211.6pt;margin-top:11.7pt;height:21.35pt;width:43.05pt;mso-position-horizontal-relative:margin;z-index:251663360;mso-width-relative:page;mso-height-relative:page;" filled="f" stroked="f" coordsize="618,390" o:gfxdata="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" path="m0,0l618,0,499,340,0,390,0,0xe">
                  <v:path textboxrect="0,0,618,390" o:connectlocs="0,0;546735,0;441457,236382;0,271145;0,0" o:connectangles="0,0,0,0,0"/>
                  <v:fill on="f" focussize="0,0"/>
                  <v:stroke on="f" weight="0.5pt"/>
                  <v:imagedata o:title=""/>
                  <o:lock v:ext="edit" aspectratio="f"/>
                  <v:textbox inset="0mm,0mm,0mm,0mm">
                    <w:txbxContent>
                      <w:p>
                        <w:pPr>
                          <w:pStyle w:val="10"/>
                          <w:spacing w:before="120" w:after="120"/>
                          <w:ind w:firstLine="0" w:firstLineChars="0"/>
                          <w:jc w:val="center"/>
                        </w:pPr>
                        <w:r>
                          <w:fldChar w:fldCharType="begin"/>
                        </w:r>
                        <w:r>
                          <w:instrText xml:space="preserve">PAGE   \* MERGEFORMAT</w:instrText>
                        </w:r>
                        <w:r>
                          <w:fldChar w:fldCharType="separate"/>
                        </w:r>
                        <w:r>
                          <w:rPr>
                            <w:lang w:val="zh-CN"/>
                          </w:rPr>
                          <w:t>8</w:t>
                        </w:r>
                        <w:r>
                          <w:fldChar w:fldCharType="end"/>
                        </w:r>
                      </w:p>
                    </w:txbxContent>
                  </v:textbox>
                </v:shape>
              </w:pict>
            </mc:Fallback>
          </mc:AlternateContent>
        </w:r>
      </w:p>
    </w:sdtContent>
  </w:sdt>
  <w:p>
    <w:pPr>
      <w:pStyle w:val="10"/>
      <w:spacing w:before="120" w:after="120"/>
      <w:ind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before="120" w:after="12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HorizontalSpacing w:val="140"/>
  <w:drawingGridVerticalSpacing w:val="38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NGNlYjg4NzNiZGRhMTE2ZTM3YjZmZDgyYTE1MjkifQ=="/>
  </w:docVars>
  <w:rsids>
    <w:rsidRoot w:val="00D375B5"/>
    <w:rsid w:val="000118A6"/>
    <w:rsid w:val="000257AA"/>
    <w:rsid w:val="000358DA"/>
    <w:rsid w:val="00045BBC"/>
    <w:rsid w:val="000501FC"/>
    <w:rsid w:val="00052725"/>
    <w:rsid w:val="00057794"/>
    <w:rsid w:val="000640FB"/>
    <w:rsid w:val="00075A6B"/>
    <w:rsid w:val="00077753"/>
    <w:rsid w:val="00085776"/>
    <w:rsid w:val="000A014E"/>
    <w:rsid w:val="000B1C74"/>
    <w:rsid w:val="000B76D4"/>
    <w:rsid w:val="000C09B1"/>
    <w:rsid w:val="000D3C67"/>
    <w:rsid w:val="00107995"/>
    <w:rsid w:val="00124236"/>
    <w:rsid w:val="00125388"/>
    <w:rsid w:val="00127A3C"/>
    <w:rsid w:val="00132B71"/>
    <w:rsid w:val="001708C7"/>
    <w:rsid w:val="00170C13"/>
    <w:rsid w:val="00171956"/>
    <w:rsid w:val="00181B49"/>
    <w:rsid w:val="00194033"/>
    <w:rsid w:val="00195B6F"/>
    <w:rsid w:val="001C535F"/>
    <w:rsid w:val="001E29FA"/>
    <w:rsid w:val="001F4F9D"/>
    <w:rsid w:val="00222C69"/>
    <w:rsid w:val="002236A2"/>
    <w:rsid w:val="002268C4"/>
    <w:rsid w:val="0024512B"/>
    <w:rsid w:val="00251FB8"/>
    <w:rsid w:val="00266844"/>
    <w:rsid w:val="00274865"/>
    <w:rsid w:val="00276716"/>
    <w:rsid w:val="00293400"/>
    <w:rsid w:val="002941BE"/>
    <w:rsid w:val="00296006"/>
    <w:rsid w:val="002A27F3"/>
    <w:rsid w:val="002A7899"/>
    <w:rsid w:val="002C09EB"/>
    <w:rsid w:val="002C134F"/>
    <w:rsid w:val="002C170E"/>
    <w:rsid w:val="002E1BAA"/>
    <w:rsid w:val="002F3359"/>
    <w:rsid w:val="003017A0"/>
    <w:rsid w:val="00305215"/>
    <w:rsid w:val="003166E9"/>
    <w:rsid w:val="00330AA4"/>
    <w:rsid w:val="00372714"/>
    <w:rsid w:val="00374EDF"/>
    <w:rsid w:val="00377AFD"/>
    <w:rsid w:val="0038026A"/>
    <w:rsid w:val="00383F8A"/>
    <w:rsid w:val="00385257"/>
    <w:rsid w:val="003A24BC"/>
    <w:rsid w:val="003A7B23"/>
    <w:rsid w:val="003D1B1E"/>
    <w:rsid w:val="003D42A5"/>
    <w:rsid w:val="00403DEA"/>
    <w:rsid w:val="00406BCF"/>
    <w:rsid w:val="00422AB8"/>
    <w:rsid w:val="0043023D"/>
    <w:rsid w:val="00433B7B"/>
    <w:rsid w:val="004439B1"/>
    <w:rsid w:val="0045095D"/>
    <w:rsid w:val="0045350C"/>
    <w:rsid w:val="00460BFE"/>
    <w:rsid w:val="00486B8B"/>
    <w:rsid w:val="004906F3"/>
    <w:rsid w:val="00490A75"/>
    <w:rsid w:val="00494D23"/>
    <w:rsid w:val="004953BE"/>
    <w:rsid w:val="00496A28"/>
    <w:rsid w:val="00496CE7"/>
    <w:rsid w:val="00497777"/>
    <w:rsid w:val="004A67EB"/>
    <w:rsid w:val="004B713C"/>
    <w:rsid w:val="004D081A"/>
    <w:rsid w:val="004D58DF"/>
    <w:rsid w:val="004F2403"/>
    <w:rsid w:val="005478C6"/>
    <w:rsid w:val="00553EAD"/>
    <w:rsid w:val="00562AEE"/>
    <w:rsid w:val="00565887"/>
    <w:rsid w:val="005759D7"/>
    <w:rsid w:val="005F3A50"/>
    <w:rsid w:val="00602049"/>
    <w:rsid w:val="0060703C"/>
    <w:rsid w:val="00613C73"/>
    <w:rsid w:val="00620EE5"/>
    <w:rsid w:val="00662B1B"/>
    <w:rsid w:val="00666D4D"/>
    <w:rsid w:val="00670185"/>
    <w:rsid w:val="006751CF"/>
    <w:rsid w:val="006A321E"/>
    <w:rsid w:val="006A5407"/>
    <w:rsid w:val="006B2216"/>
    <w:rsid w:val="006D15D9"/>
    <w:rsid w:val="006D16EB"/>
    <w:rsid w:val="006D4DA0"/>
    <w:rsid w:val="006F115E"/>
    <w:rsid w:val="006F16E5"/>
    <w:rsid w:val="006F51DF"/>
    <w:rsid w:val="00700EB9"/>
    <w:rsid w:val="0070254A"/>
    <w:rsid w:val="00711CA6"/>
    <w:rsid w:val="007211D0"/>
    <w:rsid w:val="0074213A"/>
    <w:rsid w:val="00742392"/>
    <w:rsid w:val="00743692"/>
    <w:rsid w:val="00743CE5"/>
    <w:rsid w:val="0074534C"/>
    <w:rsid w:val="00753B3C"/>
    <w:rsid w:val="00760F4E"/>
    <w:rsid w:val="007757DC"/>
    <w:rsid w:val="00784B51"/>
    <w:rsid w:val="007859A1"/>
    <w:rsid w:val="0079078C"/>
    <w:rsid w:val="0079258E"/>
    <w:rsid w:val="00793E58"/>
    <w:rsid w:val="007A301A"/>
    <w:rsid w:val="007B0DF6"/>
    <w:rsid w:val="007C46D3"/>
    <w:rsid w:val="007F78BC"/>
    <w:rsid w:val="008136C3"/>
    <w:rsid w:val="00823A05"/>
    <w:rsid w:val="008249F4"/>
    <w:rsid w:val="0082661E"/>
    <w:rsid w:val="0084023F"/>
    <w:rsid w:val="00857271"/>
    <w:rsid w:val="008904AF"/>
    <w:rsid w:val="008977C9"/>
    <w:rsid w:val="00897D1F"/>
    <w:rsid w:val="008A7F7C"/>
    <w:rsid w:val="008B071D"/>
    <w:rsid w:val="008B3A4C"/>
    <w:rsid w:val="008D0797"/>
    <w:rsid w:val="008D5E11"/>
    <w:rsid w:val="008D7B42"/>
    <w:rsid w:val="008E07C1"/>
    <w:rsid w:val="00902B46"/>
    <w:rsid w:val="00904CED"/>
    <w:rsid w:val="00911FDE"/>
    <w:rsid w:val="00941CFC"/>
    <w:rsid w:val="00943A58"/>
    <w:rsid w:val="0095655C"/>
    <w:rsid w:val="009668C0"/>
    <w:rsid w:val="00973728"/>
    <w:rsid w:val="00981A11"/>
    <w:rsid w:val="009B0D12"/>
    <w:rsid w:val="009C61FA"/>
    <w:rsid w:val="009D0475"/>
    <w:rsid w:val="009D5764"/>
    <w:rsid w:val="009F7418"/>
    <w:rsid w:val="00A01AA9"/>
    <w:rsid w:val="00A15B90"/>
    <w:rsid w:val="00A15DF5"/>
    <w:rsid w:val="00A17757"/>
    <w:rsid w:val="00A26E9E"/>
    <w:rsid w:val="00A350C3"/>
    <w:rsid w:val="00A36702"/>
    <w:rsid w:val="00A51410"/>
    <w:rsid w:val="00A74EDF"/>
    <w:rsid w:val="00A94B93"/>
    <w:rsid w:val="00AB2674"/>
    <w:rsid w:val="00AD0BFA"/>
    <w:rsid w:val="00AD1307"/>
    <w:rsid w:val="00AE22F8"/>
    <w:rsid w:val="00AE407C"/>
    <w:rsid w:val="00AF3010"/>
    <w:rsid w:val="00B23C22"/>
    <w:rsid w:val="00B32D43"/>
    <w:rsid w:val="00B402F7"/>
    <w:rsid w:val="00B501FF"/>
    <w:rsid w:val="00B6086A"/>
    <w:rsid w:val="00B60E4F"/>
    <w:rsid w:val="00B66BEC"/>
    <w:rsid w:val="00B66C59"/>
    <w:rsid w:val="00B721ED"/>
    <w:rsid w:val="00B86694"/>
    <w:rsid w:val="00BB1613"/>
    <w:rsid w:val="00BB549E"/>
    <w:rsid w:val="00BC3770"/>
    <w:rsid w:val="00BC5286"/>
    <w:rsid w:val="00BD7105"/>
    <w:rsid w:val="00BE0D0F"/>
    <w:rsid w:val="00C06067"/>
    <w:rsid w:val="00C22A46"/>
    <w:rsid w:val="00C50DDD"/>
    <w:rsid w:val="00C52574"/>
    <w:rsid w:val="00C715EC"/>
    <w:rsid w:val="00CA0B1E"/>
    <w:rsid w:val="00CB0F7A"/>
    <w:rsid w:val="00CB6500"/>
    <w:rsid w:val="00CC03DA"/>
    <w:rsid w:val="00CC6768"/>
    <w:rsid w:val="00CD466A"/>
    <w:rsid w:val="00CE6E9D"/>
    <w:rsid w:val="00CF5358"/>
    <w:rsid w:val="00CF6409"/>
    <w:rsid w:val="00D004CE"/>
    <w:rsid w:val="00D006C8"/>
    <w:rsid w:val="00D26558"/>
    <w:rsid w:val="00D375B5"/>
    <w:rsid w:val="00D5361D"/>
    <w:rsid w:val="00D61756"/>
    <w:rsid w:val="00D721EF"/>
    <w:rsid w:val="00D741A0"/>
    <w:rsid w:val="00DC4D41"/>
    <w:rsid w:val="00DD288A"/>
    <w:rsid w:val="00DE2F2A"/>
    <w:rsid w:val="00DF7B8D"/>
    <w:rsid w:val="00E06C75"/>
    <w:rsid w:val="00E318CD"/>
    <w:rsid w:val="00E33397"/>
    <w:rsid w:val="00E33AB1"/>
    <w:rsid w:val="00E46975"/>
    <w:rsid w:val="00E47E7E"/>
    <w:rsid w:val="00E63FD3"/>
    <w:rsid w:val="00E74FE9"/>
    <w:rsid w:val="00E77131"/>
    <w:rsid w:val="00E937EF"/>
    <w:rsid w:val="00E95492"/>
    <w:rsid w:val="00EA6891"/>
    <w:rsid w:val="00EB1C0F"/>
    <w:rsid w:val="00EB6BEF"/>
    <w:rsid w:val="00F2321E"/>
    <w:rsid w:val="00F736C0"/>
    <w:rsid w:val="00F73C53"/>
    <w:rsid w:val="00F81E5E"/>
    <w:rsid w:val="00F85190"/>
    <w:rsid w:val="00FA6812"/>
    <w:rsid w:val="00FB2765"/>
    <w:rsid w:val="00FC18F9"/>
    <w:rsid w:val="00FC2070"/>
    <w:rsid w:val="00FC4368"/>
    <w:rsid w:val="00FC75BC"/>
    <w:rsid w:val="00FC7627"/>
    <w:rsid w:val="00FF5E6A"/>
    <w:rsid w:val="00FF600A"/>
    <w:rsid w:val="019C23B2"/>
    <w:rsid w:val="021567F9"/>
    <w:rsid w:val="034D70AF"/>
    <w:rsid w:val="04195D55"/>
    <w:rsid w:val="04EC5FA1"/>
    <w:rsid w:val="05DB7E28"/>
    <w:rsid w:val="05EC0902"/>
    <w:rsid w:val="05FE61C4"/>
    <w:rsid w:val="06253A98"/>
    <w:rsid w:val="06DC2725"/>
    <w:rsid w:val="06F32609"/>
    <w:rsid w:val="0789466C"/>
    <w:rsid w:val="080F2346"/>
    <w:rsid w:val="0824490A"/>
    <w:rsid w:val="08FB3249"/>
    <w:rsid w:val="09213488"/>
    <w:rsid w:val="0A2E5BC4"/>
    <w:rsid w:val="0AAC240E"/>
    <w:rsid w:val="0ABA1F25"/>
    <w:rsid w:val="0AD656DD"/>
    <w:rsid w:val="0B7216D3"/>
    <w:rsid w:val="0BB81E48"/>
    <w:rsid w:val="0D55096F"/>
    <w:rsid w:val="0DBA2892"/>
    <w:rsid w:val="0DC36A25"/>
    <w:rsid w:val="0E8C2C83"/>
    <w:rsid w:val="0F2C4CF2"/>
    <w:rsid w:val="0F847DFE"/>
    <w:rsid w:val="10A3069A"/>
    <w:rsid w:val="10FB4C3D"/>
    <w:rsid w:val="11E6296C"/>
    <w:rsid w:val="121656BA"/>
    <w:rsid w:val="13B10CDE"/>
    <w:rsid w:val="14E47DD6"/>
    <w:rsid w:val="15297246"/>
    <w:rsid w:val="1555358D"/>
    <w:rsid w:val="1606156C"/>
    <w:rsid w:val="160D52BA"/>
    <w:rsid w:val="16B5089D"/>
    <w:rsid w:val="16CB4564"/>
    <w:rsid w:val="16EB2510"/>
    <w:rsid w:val="17263809"/>
    <w:rsid w:val="1743234C"/>
    <w:rsid w:val="18735B13"/>
    <w:rsid w:val="18B07A8C"/>
    <w:rsid w:val="1968723B"/>
    <w:rsid w:val="1A1B2562"/>
    <w:rsid w:val="1A287679"/>
    <w:rsid w:val="1A7673F8"/>
    <w:rsid w:val="1ABC669E"/>
    <w:rsid w:val="1B1B0467"/>
    <w:rsid w:val="1C481872"/>
    <w:rsid w:val="1C8E406A"/>
    <w:rsid w:val="1D7757E7"/>
    <w:rsid w:val="1DA83DB7"/>
    <w:rsid w:val="1DCA3F6C"/>
    <w:rsid w:val="1EFC62F3"/>
    <w:rsid w:val="203B66A0"/>
    <w:rsid w:val="21B34857"/>
    <w:rsid w:val="21B6105F"/>
    <w:rsid w:val="22477195"/>
    <w:rsid w:val="23436267"/>
    <w:rsid w:val="23FC7B0B"/>
    <w:rsid w:val="24187544"/>
    <w:rsid w:val="253F062B"/>
    <w:rsid w:val="26077A23"/>
    <w:rsid w:val="260C7E74"/>
    <w:rsid w:val="265B2586"/>
    <w:rsid w:val="2A226BAF"/>
    <w:rsid w:val="2A40615F"/>
    <w:rsid w:val="2AC718BC"/>
    <w:rsid w:val="2D776454"/>
    <w:rsid w:val="2DDF78D0"/>
    <w:rsid w:val="2DFE26D1"/>
    <w:rsid w:val="2F5A7DDB"/>
    <w:rsid w:val="2F833B68"/>
    <w:rsid w:val="306C3781"/>
    <w:rsid w:val="30E9226C"/>
    <w:rsid w:val="32223D4C"/>
    <w:rsid w:val="32412581"/>
    <w:rsid w:val="32990513"/>
    <w:rsid w:val="33423060"/>
    <w:rsid w:val="33CD760B"/>
    <w:rsid w:val="342A4220"/>
    <w:rsid w:val="347A3BA4"/>
    <w:rsid w:val="349166D9"/>
    <w:rsid w:val="36306DF5"/>
    <w:rsid w:val="3635547B"/>
    <w:rsid w:val="36BC445A"/>
    <w:rsid w:val="36CC24F7"/>
    <w:rsid w:val="36CE5337"/>
    <w:rsid w:val="36E25286"/>
    <w:rsid w:val="371D1E1A"/>
    <w:rsid w:val="37BC1633"/>
    <w:rsid w:val="39DB1DF9"/>
    <w:rsid w:val="3AC84000"/>
    <w:rsid w:val="3B056063"/>
    <w:rsid w:val="3B9F72A2"/>
    <w:rsid w:val="3BDD601C"/>
    <w:rsid w:val="3CB90837"/>
    <w:rsid w:val="3CC040C5"/>
    <w:rsid w:val="3CC94A4B"/>
    <w:rsid w:val="3D0221DE"/>
    <w:rsid w:val="3DD05E38"/>
    <w:rsid w:val="3EC30088"/>
    <w:rsid w:val="3F2548AA"/>
    <w:rsid w:val="3F397027"/>
    <w:rsid w:val="40157DB7"/>
    <w:rsid w:val="41120516"/>
    <w:rsid w:val="41E221A4"/>
    <w:rsid w:val="4255690C"/>
    <w:rsid w:val="43100E25"/>
    <w:rsid w:val="44D04DF5"/>
    <w:rsid w:val="45344B1A"/>
    <w:rsid w:val="45ED3814"/>
    <w:rsid w:val="45F31AA8"/>
    <w:rsid w:val="46BD331C"/>
    <w:rsid w:val="46D16089"/>
    <w:rsid w:val="47752ACA"/>
    <w:rsid w:val="47FC782A"/>
    <w:rsid w:val="4AA20B5D"/>
    <w:rsid w:val="4B621DBB"/>
    <w:rsid w:val="4B9E7576"/>
    <w:rsid w:val="4D1A6F0E"/>
    <w:rsid w:val="4D383F40"/>
    <w:rsid w:val="4E423293"/>
    <w:rsid w:val="4E962786"/>
    <w:rsid w:val="4E9945E7"/>
    <w:rsid w:val="4EB237AC"/>
    <w:rsid w:val="4F3E3390"/>
    <w:rsid w:val="50240350"/>
    <w:rsid w:val="502A1D14"/>
    <w:rsid w:val="50365B27"/>
    <w:rsid w:val="50D77086"/>
    <w:rsid w:val="51F62284"/>
    <w:rsid w:val="51FB4607"/>
    <w:rsid w:val="52932D4B"/>
    <w:rsid w:val="52F1442F"/>
    <w:rsid w:val="53780202"/>
    <w:rsid w:val="548337AD"/>
    <w:rsid w:val="54A324F4"/>
    <w:rsid w:val="54B42188"/>
    <w:rsid w:val="54ED6E78"/>
    <w:rsid w:val="55012924"/>
    <w:rsid w:val="559C0E01"/>
    <w:rsid w:val="560E70A6"/>
    <w:rsid w:val="56E46B9A"/>
    <w:rsid w:val="56E74A4E"/>
    <w:rsid w:val="57463807"/>
    <w:rsid w:val="574D3BFE"/>
    <w:rsid w:val="5785783C"/>
    <w:rsid w:val="5A5D05FC"/>
    <w:rsid w:val="5AED57BB"/>
    <w:rsid w:val="5B2C65A4"/>
    <w:rsid w:val="5BB054F9"/>
    <w:rsid w:val="5C3744D8"/>
    <w:rsid w:val="5C6914DA"/>
    <w:rsid w:val="5CA81314"/>
    <w:rsid w:val="5EB4486C"/>
    <w:rsid w:val="5EC40C4A"/>
    <w:rsid w:val="5F622211"/>
    <w:rsid w:val="5F75272C"/>
    <w:rsid w:val="601C29C0"/>
    <w:rsid w:val="605204D7"/>
    <w:rsid w:val="63D55C24"/>
    <w:rsid w:val="63FD5708"/>
    <w:rsid w:val="64267CB1"/>
    <w:rsid w:val="64467711"/>
    <w:rsid w:val="65095250"/>
    <w:rsid w:val="651F2C77"/>
    <w:rsid w:val="662326FA"/>
    <w:rsid w:val="664B10E0"/>
    <w:rsid w:val="66531D6F"/>
    <w:rsid w:val="66A739F8"/>
    <w:rsid w:val="66CD1918"/>
    <w:rsid w:val="671958AB"/>
    <w:rsid w:val="67767541"/>
    <w:rsid w:val="678E44EB"/>
    <w:rsid w:val="67E4235D"/>
    <w:rsid w:val="67F6499F"/>
    <w:rsid w:val="681C2634"/>
    <w:rsid w:val="68483124"/>
    <w:rsid w:val="69056D5A"/>
    <w:rsid w:val="6920437C"/>
    <w:rsid w:val="69B144C0"/>
    <w:rsid w:val="6AEB57B0"/>
    <w:rsid w:val="6AF91C7B"/>
    <w:rsid w:val="6B3709F5"/>
    <w:rsid w:val="6B6668C4"/>
    <w:rsid w:val="6BA3608B"/>
    <w:rsid w:val="6BD126F0"/>
    <w:rsid w:val="6C072BCA"/>
    <w:rsid w:val="6C47110C"/>
    <w:rsid w:val="6C762E7E"/>
    <w:rsid w:val="6CDF3370"/>
    <w:rsid w:val="6CE0185A"/>
    <w:rsid w:val="6DE44E65"/>
    <w:rsid w:val="6DF654B7"/>
    <w:rsid w:val="6E0A23F1"/>
    <w:rsid w:val="6E2E2175"/>
    <w:rsid w:val="6FC6486F"/>
    <w:rsid w:val="6FE2671E"/>
    <w:rsid w:val="709F1517"/>
    <w:rsid w:val="710B53A6"/>
    <w:rsid w:val="71883D59"/>
    <w:rsid w:val="73DE5EB2"/>
    <w:rsid w:val="73ED2599"/>
    <w:rsid w:val="743F6FC7"/>
    <w:rsid w:val="75022074"/>
    <w:rsid w:val="76415493"/>
    <w:rsid w:val="782264B3"/>
    <w:rsid w:val="785E0C86"/>
    <w:rsid w:val="787850B3"/>
    <w:rsid w:val="78B638A1"/>
    <w:rsid w:val="790E68AB"/>
    <w:rsid w:val="79D51B05"/>
    <w:rsid w:val="79DC10E6"/>
    <w:rsid w:val="7A3C1B84"/>
    <w:rsid w:val="7A6A66F1"/>
    <w:rsid w:val="7A795AFD"/>
    <w:rsid w:val="7C88585D"/>
    <w:rsid w:val="7C975798"/>
    <w:rsid w:val="7D8775BA"/>
    <w:rsid w:val="7DC14660"/>
    <w:rsid w:val="7E6D47BA"/>
    <w:rsid w:val="F3FEF0E3"/>
    <w:rsid w:val="FB7A6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before="50" w:beforeLines="50" w:after="50" w:afterLines="50" w:line="360" w:lineRule="auto"/>
      <w:ind w:firstLine="200" w:firstLineChars="200"/>
      <w:jc w:val="both"/>
    </w:pPr>
    <w:rPr>
      <w:rFonts w:ascii="Times New Roman" w:hAnsi="Times New Roman" w:eastAsiaTheme="minorEastAsia" w:cstheme="minorBidi"/>
      <w:kern w:val="2"/>
      <w:sz w:val="24"/>
      <w:szCs w:val="22"/>
      <w:lang w:val="en-US" w:eastAsia="zh-CN" w:bidi="ar-SA"/>
    </w:rPr>
  </w:style>
  <w:style w:type="paragraph" w:styleId="3">
    <w:name w:val="heading 1"/>
    <w:basedOn w:val="1"/>
    <w:next w:val="1"/>
    <w:link w:val="27"/>
    <w:qFormat/>
    <w:uiPriority w:val="9"/>
    <w:pPr>
      <w:keepNext/>
      <w:keepLines/>
      <w:spacing w:line="560" w:lineRule="exact"/>
      <w:outlineLvl w:val="0"/>
    </w:pPr>
    <w:rPr>
      <w:rFonts w:eastAsia="黑体"/>
      <w:bCs/>
      <w:kern w:val="44"/>
      <w:sz w:val="32"/>
      <w:szCs w:val="44"/>
    </w:rPr>
  </w:style>
  <w:style w:type="paragraph" w:styleId="4">
    <w:name w:val="heading 2"/>
    <w:basedOn w:val="1"/>
    <w:next w:val="1"/>
    <w:link w:val="28"/>
    <w:unhideWhenUsed/>
    <w:qFormat/>
    <w:uiPriority w:val="9"/>
    <w:pPr>
      <w:keepNext/>
      <w:keepLines/>
      <w:spacing w:line="560" w:lineRule="exact"/>
      <w:outlineLvl w:val="1"/>
    </w:pPr>
    <w:rPr>
      <w:rFonts w:eastAsia="楷体_GB2312" w:cstheme="majorBidi"/>
      <w:b/>
      <w:bCs/>
      <w:sz w:val="32"/>
      <w:szCs w:val="32"/>
    </w:rPr>
  </w:style>
  <w:style w:type="paragraph" w:styleId="5">
    <w:name w:val="heading 3"/>
    <w:basedOn w:val="1"/>
    <w:next w:val="1"/>
    <w:link w:val="29"/>
    <w:unhideWhenUsed/>
    <w:qFormat/>
    <w:uiPriority w:val="9"/>
    <w:pPr>
      <w:keepNext/>
      <w:keepLines/>
      <w:spacing w:line="560" w:lineRule="exact"/>
      <w:outlineLvl w:val="2"/>
    </w:pPr>
    <w:rPr>
      <w:rFonts w:eastAsia="仿宋_GB2312"/>
      <w:b/>
      <w:bCs/>
      <w:sz w:val="32"/>
      <w:szCs w:val="32"/>
    </w:rPr>
  </w:style>
  <w:style w:type="paragraph" w:styleId="6">
    <w:name w:val="heading 4"/>
    <w:basedOn w:val="1"/>
    <w:next w:val="1"/>
    <w:link w:val="30"/>
    <w:unhideWhenUsed/>
    <w:qFormat/>
    <w:uiPriority w:val="9"/>
    <w:pPr>
      <w:keepNext/>
      <w:keepLines/>
      <w:spacing w:before="120" w:after="120"/>
      <w:outlineLvl w:val="3"/>
    </w:pPr>
    <w:rPr>
      <w:rFonts w:eastAsiaTheme="majorEastAsia" w:cstheme="majorBidi"/>
      <w:bCs/>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41"/>
    <w:qFormat/>
    <w:uiPriority w:val="1"/>
    <w:pPr>
      <w:autoSpaceDE w:val="0"/>
      <w:autoSpaceDN w:val="0"/>
      <w:adjustRightInd/>
      <w:snapToGrid/>
      <w:spacing w:before="0" w:beforeLines="0" w:after="0" w:afterLines="0" w:line="560" w:lineRule="exact"/>
      <w:ind w:firstLine="400"/>
      <w:jc w:val="left"/>
    </w:pPr>
    <w:rPr>
      <w:rFonts w:ascii="宋体" w:hAnsi="宋体" w:eastAsia="宋体" w:cs="宋体"/>
      <w:kern w:val="0"/>
      <w:sz w:val="28"/>
      <w:szCs w:val="28"/>
      <w:lang w:val="zh-CN" w:bidi="zh-CN"/>
    </w:rPr>
  </w:style>
  <w:style w:type="paragraph" w:styleId="7">
    <w:name w:val="annotation text"/>
    <w:basedOn w:val="1"/>
    <w:semiHidden/>
    <w:unhideWhenUsed/>
    <w:qFormat/>
    <w:uiPriority w:val="99"/>
    <w:pPr>
      <w:jc w:val="left"/>
    </w:pPr>
  </w:style>
  <w:style w:type="paragraph" w:styleId="8">
    <w:name w:val="toc 3"/>
    <w:basedOn w:val="1"/>
    <w:next w:val="1"/>
    <w:unhideWhenUsed/>
    <w:qFormat/>
    <w:uiPriority w:val="39"/>
    <w:pPr>
      <w:ind w:left="840" w:leftChars="400"/>
    </w:pPr>
  </w:style>
  <w:style w:type="paragraph" w:styleId="9">
    <w:name w:val="Balloon Text"/>
    <w:basedOn w:val="1"/>
    <w:link w:val="40"/>
    <w:semiHidden/>
    <w:unhideWhenUsed/>
    <w:qFormat/>
    <w:uiPriority w:val="99"/>
    <w:pPr>
      <w:spacing w:before="0" w:after="0" w:line="240" w:lineRule="auto"/>
    </w:pPr>
    <w:rPr>
      <w:sz w:val="18"/>
      <w:szCs w:val="18"/>
    </w:rPr>
  </w:style>
  <w:style w:type="paragraph" w:styleId="10">
    <w:name w:val="footer"/>
    <w:basedOn w:val="1"/>
    <w:link w:val="26"/>
    <w:unhideWhenUsed/>
    <w:qFormat/>
    <w:uiPriority w:val="99"/>
    <w:pPr>
      <w:tabs>
        <w:tab w:val="center" w:pos="4153"/>
        <w:tab w:val="right" w:pos="8306"/>
      </w:tabs>
      <w:jc w:val="left"/>
    </w:pPr>
    <w:rPr>
      <w:sz w:val="18"/>
      <w:szCs w:val="18"/>
    </w:rPr>
  </w:style>
  <w:style w:type="paragraph" w:styleId="11">
    <w:name w:val="header"/>
    <w:basedOn w:val="1"/>
    <w:link w:val="25"/>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jc w:val="center"/>
    </w:pPr>
    <w:rPr>
      <w:sz w:val="18"/>
      <w:szCs w:val="18"/>
    </w:rPr>
  </w:style>
  <w:style w:type="paragraph" w:styleId="12">
    <w:name w:val="toc 1"/>
    <w:basedOn w:val="1"/>
    <w:next w:val="1"/>
    <w:unhideWhenUsed/>
    <w:qFormat/>
    <w:uiPriority w:val="39"/>
  </w:style>
  <w:style w:type="paragraph" w:styleId="13">
    <w:name w:val="Subtitle"/>
    <w:basedOn w:val="1"/>
    <w:next w:val="1"/>
    <w:link w:val="32"/>
    <w:qFormat/>
    <w:uiPriority w:val="11"/>
    <w:pPr>
      <w:spacing w:before="240" w:after="60" w:line="312" w:lineRule="auto"/>
      <w:jc w:val="center"/>
      <w:outlineLvl w:val="1"/>
    </w:pPr>
    <w:rPr>
      <w:rFonts w:asciiTheme="minorHAnsi" w:hAnsiTheme="minorHAnsi"/>
      <w:b/>
      <w:bCs/>
      <w:kern w:val="28"/>
      <w:sz w:val="32"/>
      <w:szCs w:val="32"/>
    </w:rPr>
  </w:style>
  <w:style w:type="paragraph" w:styleId="14">
    <w:name w:val="footnote text"/>
    <w:basedOn w:val="1"/>
    <w:link w:val="42"/>
    <w:semiHidden/>
    <w:unhideWhenUsed/>
    <w:qFormat/>
    <w:uiPriority w:val="99"/>
    <w:pPr>
      <w:jc w:val="left"/>
    </w:pPr>
    <w:rPr>
      <w:sz w:val="18"/>
      <w:szCs w:val="18"/>
    </w:rPr>
  </w:style>
  <w:style w:type="paragraph" w:styleId="15">
    <w:name w:val="toc 2"/>
    <w:basedOn w:val="1"/>
    <w:next w:val="1"/>
    <w:unhideWhenUsed/>
    <w:qFormat/>
    <w:uiPriority w:val="39"/>
    <w:pPr>
      <w:ind w:left="420" w:leftChars="200"/>
    </w:pPr>
  </w:style>
  <w:style w:type="paragraph" w:styleId="16">
    <w:name w:val="Normal (Web)"/>
    <w:basedOn w:val="1"/>
    <w:semiHidden/>
    <w:unhideWhenUsed/>
    <w:qFormat/>
    <w:uiPriority w:val="99"/>
    <w:pPr>
      <w:spacing w:before="0" w:beforeAutospacing="1" w:after="0" w:afterAutospacing="1"/>
      <w:jc w:val="left"/>
    </w:pPr>
    <w:rPr>
      <w:rFonts w:cs="Times New Roman"/>
      <w:kern w:val="0"/>
    </w:rPr>
  </w:style>
  <w:style w:type="paragraph" w:styleId="17">
    <w:name w:val="Title"/>
    <w:basedOn w:val="1"/>
    <w:next w:val="1"/>
    <w:link w:val="31"/>
    <w:qFormat/>
    <w:uiPriority w:val="10"/>
    <w:pPr>
      <w:spacing w:before="240" w:after="60"/>
      <w:jc w:val="center"/>
      <w:outlineLvl w:val="0"/>
    </w:pPr>
    <w:rPr>
      <w:rFonts w:asciiTheme="majorHAnsi" w:hAnsiTheme="majorHAnsi" w:eastAsiaTheme="majorEastAsia" w:cstheme="majorBidi"/>
      <w:b/>
      <w:bCs/>
      <w:sz w:val="32"/>
      <w:szCs w:val="32"/>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22"/>
    <w:rPr>
      <w:b/>
      <w:bCs/>
    </w:rPr>
  </w:style>
  <w:style w:type="character" w:styleId="22">
    <w:name w:val="Emphasis"/>
    <w:basedOn w:val="20"/>
    <w:qFormat/>
    <w:uiPriority w:val="20"/>
    <w:rPr>
      <w:i/>
      <w:iCs/>
    </w:rPr>
  </w:style>
  <w:style w:type="character" w:styleId="23">
    <w:name w:val="Hyperlink"/>
    <w:basedOn w:val="20"/>
    <w:unhideWhenUsed/>
    <w:qFormat/>
    <w:uiPriority w:val="99"/>
    <w:rPr>
      <w:color w:val="0563C1" w:themeColor="hyperlink"/>
      <w:u w:val="single"/>
      <w14:textFill>
        <w14:solidFill>
          <w14:schemeClr w14:val="hlink"/>
        </w14:solidFill>
      </w14:textFill>
    </w:rPr>
  </w:style>
  <w:style w:type="character" w:styleId="24">
    <w:name w:val="footnote reference"/>
    <w:basedOn w:val="20"/>
    <w:semiHidden/>
    <w:unhideWhenUsed/>
    <w:qFormat/>
    <w:uiPriority w:val="99"/>
    <w:rPr>
      <w:vertAlign w:val="superscript"/>
    </w:rPr>
  </w:style>
  <w:style w:type="character" w:customStyle="1" w:styleId="25">
    <w:name w:val="页眉 Char"/>
    <w:basedOn w:val="20"/>
    <w:link w:val="11"/>
    <w:qFormat/>
    <w:uiPriority w:val="99"/>
    <w:rPr>
      <w:rFonts w:eastAsiaTheme="minorEastAsia"/>
      <w:sz w:val="18"/>
      <w:szCs w:val="18"/>
    </w:rPr>
  </w:style>
  <w:style w:type="character" w:customStyle="1" w:styleId="26">
    <w:name w:val="页脚 Char"/>
    <w:basedOn w:val="20"/>
    <w:link w:val="10"/>
    <w:qFormat/>
    <w:uiPriority w:val="99"/>
    <w:rPr>
      <w:sz w:val="18"/>
      <w:szCs w:val="18"/>
    </w:rPr>
  </w:style>
  <w:style w:type="character" w:customStyle="1" w:styleId="27">
    <w:name w:val="标题 1 Char"/>
    <w:basedOn w:val="20"/>
    <w:link w:val="3"/>
    <w:qFormat/>
    <w:uiPriority w:val="9"/>
    <w:rPr>
      <w:rFonts w:ascii="Times New Roman" w:hAnsi="Times New Roman" w:eastAsia="黑体"/>
      <w:bCs/>
      <w:kern w:val="44"/>
      <w:sz w:val="32"/>
      <w:szCs w:val="44"/>
    </w:rPr>
  </w:style>
  <w:style w:type="character" w:customStyle="1" w:styleId="28">
    <w:name w:val="标题 2 Char"/>
    <w:basedOn w:val="20"/>
    <w:link w:val="4"/>
    <w:qFormat/>
    <w:uiPriority w:val="9"/>
    <w:rPr>
      <w:rFonts w:ascii="Times New Roman" w:hAnsi="Times New Roman" w:eastAsia="楷体_GB2312" w:cstheme="majorBidi"/>
      <w:b/>
      <w:bCs/>
      <w:sz w:val="32"/>
      <w:szCs w:val="32"/>
    </w:rPr>
  </w:style>
  <w:style w:type="character" w:customStyle="1" w:styleId="29">
    <w:name w:val="标题 3 Char"/>
    <w:basedOn w:val="20"/>
    <w:link w:val="5"/>
    <w:qFormat/>
    <w:uiPriority w:val="9"/>
    <w:rPr>
      <w:rFonts w:ascii="Times New Roman" w:hAnsi="Times New Roman" w:eastAsia="仿宋_GB2312"/>
      <w:b/>
      <w:bCs/>
      <w:sz w:val="32"/>
      <w:szCs w:val="32"/>
    </w:rPr>
  </w:style>
  <w:style w:type="character" w:customStyle="1" w:styleId="30">
    <w:name w:val="标题 4 Char"/>
    <w:basedOn w:val="20"/>
    <w:link w:val="6"/>
    <w:qFormat/>
    <w:uiPriority w:val="9"/>
    <w:rPr>
      <w:rFonts w:ascii="Times New Roman" w:hAnsi="Times New Roman" w:eastAsiaTheme="majorEastAsia" w:cstheme="majorBidi"/>
      <w:bCs/>
      <w:sz w:val="28"/>
      <w:szCs w:val="28"/>
    </w:rPr>
  </w:style>
  <w:style w:type="character" w:customStyle="1" w:styleId="31">
    <w:name w:val="标题 Char"/>
    <w:basedOn w:val="20"/>
    <w:link w:val="17"/>
    <w:qFormat/>
    <w:uiPriority w:val="10"/>
    <w:rPr>
      <w:rFonts w:asciiTheme="majorHAnsi" w:hAnsiTheme="majorHAnsi" w:eastAsiaTheme="majorEastAsia" w:cstheme="majorBidi"/>
      <w:b/>
      <w:bCs/>
      <w:sz w:val="32"/>
      <w:szCs w:val="32"/>
    </w:rPr>
  </w:style>
  <w:style w:type="character" w:customStyle="1" w:styleId="32">
    <w:name w:val="副标题 Char"/>
    <w:basedOn w:val="20"/>
    <w:link w:val="13"/>
    <w:qFormat/>
    <w:uiPriority w:val="11"/>
    <w:rPr>
      <w:b/>
      <w:bCs/>
      <w:kern w:val="28"/>
      <w:sz w:val="32"/>
      <w:szCs w:val="32"/>
    </w:rPr>
  </w:style>
  <w:style w:type="paragraph" w:customStyle="1" w:styleId="33">
    <w:name w:val="TOC 标题1"/>
    <w:basedOn w:val="3"/>
    <w:next w:val="1"/>
    <w:unhideWhenUsed/>
    <w:qFormat/>
    <w:uiPriority w:val="39"/>
    <w:pPr>
      <w:widowControl/>
      <w:adjustRightInd/>
      <w:snapToGrid/>
      <w:spacing w:before="240" w:beforeLines="0" w:after="0" w:afterLines="0" w:line="259" w:lineRule="auto"/>
      <w:ind w:firstLine="0" w:firstLineChars="0"/>
      <w:jc w:val="left"/>
      <w:outlineLvl w:val="9"/>
    </w:pPr>
    <w:rPr>
      <w:rFonts w:asciiTheme="majorHAnsi" w:hAnsiTheme="majorHAnsi" w:eastAsiaTheme="majorEastAsia" w:cstheme="majorBidi"/>
      <w:bCs w:val="0"/>
      <w:color w:val="2E75B6" w:themeColor="accent1" w:themeShade="BF"/>
      <w:kern w:val="0"/>
      <w:szCs w:val="32"/>
    </w:rPr>
  </w:style>
  <w:style w:type="paragraph" w:customStyle="1" w:styleId="34">
    <w:name w:val="表头 图名"/>
    <w:basedOn w:val="1"/>
    <w:link w:val="36"/>
    <w:qFormat/>
    <w:uiPriority w:val="0"/>
    <w:pPr>
      <w:spacing w:line="240" w:lineRule="auto"/>
      <w:ind w:firstLine="0" w:firstLineChars="0"/>
      <w:jc w:val="center"/>
    </w:pPr>
    <w:rPr>
      <w:rFonts w:eastAsia="黑体"/>
    </w:rPr>
  </w:style>
  <w:style w:type="paragraph" w:customStyle="1" w:styleId="35">
    <w:name w:val="表内容"/>
    <w:basedOn w:val="34"/>
    <w:link w:val="37"/>
    <w:qFormat/>
    <w:uiPriority w:val="0"/>
    <w:pPr>
      <w:spacing w:before="0" w:beforeLines="0" w:after="0" w:afterLines="0"/>
    </w:pPr>
    <w:rPr>
      <w:rFonts w:eastAsiaTheme="minorEastAsia"/>
      <w:sz w:val="21"/>
    </w:rPr>
  </w:style>
  <w:style w:type="character" w:customStyle="1" w:styleId="36">
    <w:name w:val="表头 图名 字符"/>
    <w:basedOn w:val="20"/>
    <w:link w:val="34"/>
    <w:qFormat/>
    <w:uiPriority w:val="0"/>
    <w:rPr>
      <w:rFonts w:ascii="Times New Roman" w:hAnsi="Times New Roman" w:eastAsia="黑体"/>
      <w:sz w:val="24"/>
    </w:rPr>
  </w:style>
  <w:style w:type="character" w:customStyle="1" w:styleId="37">
    <w:name w:val="表内容 字符"/>
    <w:basedOn w:val="36"/>
    <w:link w:val="35"/>
    <w:qFormat/>
    <w:uiPriority w:val="0"/>
    <w:rPr>
      <w:rFonts w:ascii="Times New Roman" w:hAnsi="Times New Roman" w:eastAsia="黑体"/>
      <w:sz w:val="24"/>
    </w:rPr>
  </w:style>
  <w:style w:type="paragraph" w:styleId="38">
    <w:name w:val="List Paragraph"/>
    <w:basedOn w:val="1"/>
    <w:qFormat/>
    <w:uiPriority w:val="1"/>
    <w:pPr>
      <w:ind w:firstLine="420"/>
    </w:pPr>
  </w:style>
  <w:style w:type="character" w:customStyle="1" w:styleId="39">
    <w:name w:val="Unresolved Mention"/>
    <w:basedOn w:val="20"/>
    <w:semiHidden/>
    <w:unhideWhenUsed/>
    <w:qFormat/>
    <w:uiPriority w:val="99"/>
    <w:rPr>
      <w:color w:val="605E5C"/>
      <w:shd w:val="clear" w:color="auto" w:fill="E1DFDD"/>
    </w:rPr>
  </w:style>
  <w:style w:type="character" w:customStyle="1" w:styleId="40">
    <w:name w:val="批注框文本 Char"/>
    <w:basedOn w:val="20"/>
    <w:link w:val="9"/>
    <w:semiHidden/>
    <w:qFormat/>
    <w:uiPriority w:val="99"/>
    <w:rPr>
      <w:rFonts w:ascii="Times New Roman" w:hAnsi="Times New Roman"/>
      <w:sz w:val="18"/>
      <w:szCs w:val="18"/>
    </w:rPr>
  </w:style>
  <w:style w:type="character" w:customStyle="1" w:styleId="41">
    <w:name w:val="正文文本 Char"/>
    <w:basedOn w:val="20"/>
    <w:link w:val="2"/>
    <w:qFormat/>
    <w:uiPriority w:val="1"/>
    <w:rPr>
      <w:rFonts w:ascii="宋体" w:hAnsi="宋体" w:eastAsia="宋体" w:cs="宋体"/>
      <w:kern w:val="0"/>
      <w:sz w:val="28"/>
      <w:szCs w:val="28"/>
      <w:lang w:val="zh-CN" w:bidi="zh-CN"/>
    </w:rPr>
  </w:style>
  <w:style w:type="character" w:customStyle="1" w:styleId="42">
    <w:name w:val="脚注文本 Char"/>
    <w:basedOn w:val="20"/>
    <w:link w:val="14"/>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779</Words>
  <Characters>4446</Characters>
  <Lines>37</Lines>
  <Paragraphs>10</Paragraphs>
  <TotalTime>34</TotalTime>
  <ScaleCrop>false</ScaleCrop>
  <LinksUpToDate>false</LinksUpToDate>
  <CharactersWithSpaces>5215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2022-05-16T14:37:00Z</dcterms:created>
  <dc:creator>K62512</dc:creator>
  <cp:lastModifiedBy>user</cp:lastModifiedBy>
  <cp:lastPrinted>2023-08-10T11:44:00Z</cp:lastPrinted>
  <dcterms:modified xsi:type="dcterms:W3CDTF">2023-08-14T17:32:52Z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CC4A694F840D4E1282DDEB6D1B2963C9_13</vt:lpwstr>
  </property>
</Properties>
</file>