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9"/>
        <w:tblW w:w="9038" w:type="dxa"/>
        <w:jc w:val="center"/>
        <w:tblLayout w:type="fixed"/>
        <w:tblCellMar>
          <w:top w:w="0" w:type="dxa"/>
          <w:left w:w="108" w:type="dxa"/>
          <w:bottom w:w="0" w:type="dxa"/>
          <w:right w:w="108" w:type="dxa"/>
        </w:tblCellMar>
      </w:tblPr>
      <w:tblGrid>
        <w:gridCol w:w="585"/>
        <w:gridCol w:w="975"/>
        <w:gridCol w:w="1105"/>
        <w:gridCol w:w="504"/>
        <w:gridCol w:w="1075"/>
        <w:gridCol w:w="558"/>
        <w:gridCol w:w="1055"/>
        <w:gridCol w:w="1089"/>
        <w:gridCol w:w="23"/>
        <w:gridCol w:w="513"/>
        <w:gridCol w:w="51"/>
        <w:gridCol w:w="624"/>
        <w:gridCol w:w="171"/>
        <w:gridCol w:w="710"/>
      </w:tblGrid>
      <w:tr>
        <w:tblPrEx>
          <w:tblCellMar>
            <w:top w:w="0" w:type="dxa"/>
            <w:left w:w="108" w:type="dxa"/>
            <w:bottom w:w="0" w:type="dxa"/>
            <w:right w:w="108" w:type="dxa"/>
          </w:tblCellMar>
        </w:tblPrEx>
        <w:trPr>
          <w:trHeight w:val="23"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依托办公会议机制提升知识产权保护能力</w:t>
            </w:r>
          </w:p>
        </w:tc>
      </w:tr>
      <w:tr>
        <w:tblPrEx>
          <w:tblCellMar>
            <w:top w:w="0" w:type="dxa"/>
            <w:left w:w="108" w:type="dxa"/>
            <w:bottom w:w="0" w:type="dxa"/>
            <w:right w:w="108" w:type="dxa"/>
          </w:tblCellMar>
        </w:tblPrEx>
        <w:trPr>
          <w:trHeight w:val="23"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29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0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pPr>
            <w:r>
              <w:rPr>
                <w:rFonts w:hint="eastAsia" w:ascii="仿宋_GB2312" w:hAnsi="宋体" w:eastAsia="仿宋_GB2312" w:cs="宋体"/>
                <w:kern w:val="0"/>
                <w:szCs w:val="21"/>
              </w:rPr>
              <w:t>北京市知识产权局本级</w:t>
            </w:r>
          </w:p>
        </w:tc>
      </w:tr>
      <w:tr>
        <w:tblPrEx>
          <w:tblCellMar>
            <w:top w:w="0" w:type="dxa"/>
            <w:left w:w="108" w:type="dxa"/>
            <w:bottom w:w="0" w:type="dxa"/>
            <w:right w:w="108" w:type="dxa"/>
          </w:tblCellMar>
        </w:tblPrEx>
        <w:trPr>
          <w:trHeight w:val="23"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29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李泽</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0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88011505</w:t>
            </w:r>
          </w:p>
        </w:tc>
      </w:tr>
      <w:tr>
        <w:tblPrEx>
          <w:tblCellMar>
            <w:top w:w="0" w:type="dxa"/>
            <w:left w:w="108" w:type="dxa"/>
            <w:bottom w:w="0" w:type="dxa"/>
            <w:right w:w="108" w:type="dxa"/>
          </w:tblCellMar>
        </w:tblPrEx>
        <w:trPr>
          <w:trHeight w:val="23" w:hRule="atLeas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6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7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6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5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23"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09"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07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188.77</w:t>
            </w:r>
          </w:p>
        </w:tc>
        <w:tc>
          <w:tcPr>
            <w:tcW w:w="16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181.07</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164.47</w:t>
            </w:r>
          </w:p>
        </w:tc>
        <w:tc>
          <w:tcPr>
            <w:tcW w:w="5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90.8%</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9.08</w:t>
            </w:r>
          </w:p>
        </w:tc>
      </w:tr>
      <w:tr>
        <w:tblPrEx>
          <w:tblCellMar>
            <w:top w:w="0" w:type="dxa"/>
            <w:left w:w="108" w:type="dxa"/>
            <w:bottom w:w="0" w:type="dxa"/>
            <w:right w:w="108" w:type="dxa"/>
          </w:tblCellMar>
        </w:tblPrEx>
        <w:trPr>
          <w:trHeight w:val="23"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07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188.77</w:t>
            </w:r>
          </w:p>
        </w:tc>
        <w:tc>
          <w:tcPr>
            <w:tcW w:w="16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181.07</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164.47</w:t>
            </w:r>
          </w:p>
        </w:tc>
        <w:tc>
          <w:tcPr>
            <w:tcW w:w="5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23"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107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23"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07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23" w:hRule="atLeas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27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18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3" w:hRule="atLeas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272"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贯彻落实《知识产权强国建设纲要（2021—2035年）》《关于强化知识产权保护的意见》《关于强化知识产权保护的行动方案》,聚焦“五子”联动,发挥知识产权办公会议机制作用，提升知识产权保护能力。通过专项工程开展，引导市、区两级知识产权资源向区域主导产业和特色产业集聚，打造区域知识产权工作品牌，提升区域整体实力，推动区域经济发展。强化知识产权保护工作培训等，促进商品流通领域知识产权保护长效机制的建立，进一步提升知识产权保护规范化市场发展水平。组织开展能力提升培训，提升区域知识产权管理人员和执法人员的工作素质和能力，优化服务水平。研究北京市知识产权对外转让机制、操作指南，对知识产权案件开展分析，规范涉及国家安全的知识产权对外转让行为。指导京津冀知识产权发展联盟工作，健全完善合作会商机制，发挥北京在知识产权信息服务、法律服务、代理服务等方面的优势，实现资源共享、优势互补，帮助企业提升知识产权保护意识和能力，提升三地企业市场竞争力，推动京津冀三地知识产权协同发展。举办商标品牌发展论坛，提升自主品牌影响力和竞争力以及企业自主品牌保护意识，营造良好营商环境，助力国际消费中心城市建设。建立健全我市商标品牌指导和服务体系，指导发展传承好传统品牌和老字号，助力打造特色鲜明、竞争力强、市场信誉好的产业集群品牌和区域品牌，全面提升本市商标注册、运用、保护和管理水平。充分发挥北京市、区知识产权办公会议的议事协调作用，进一步完善知识产权保护体系，加快知识产权首善之区建设。</w:t>
            </w:r>
          </w:p>
        </w:tc>
        <w:tc>
          <w:tcPr>
            <w:tcW w:w="3181"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组织办公会议各成员单位学习2021年全国知识产权局局长会精神和申局长讲话精神，印发《2022年度北京市强化知识产权保护和促进工作计划》。3月25日市委常委、副市长殷勇主持办公会议工作会。编制《2021年北京市知识产权保护状况》，并在新闻发布会发布。完成国家知识产权局开展的2022年全国知识产权保护工作考核任务。与5个区对接，促进创新资源开放共享，引导创新资源向区域主导产业和特色产业集聚，提升区域整体实力，打造区域知识产权工作品牌；通过开展知识产权规范化市场培育、认定等工作，对规范化市场进行知识产权保护培训，加强规范化市场创建、管理，促进商品流通领域知识产权保护长效机制的建立。帮助专业市场创建知识产权保护规范，提高知识产权意识，提升市场整体建设水平。11月21日下午，</w:t>
            </w:r>
            <w:r>
              <w:rPr>
                <w:rFonts w:ascii="仿宋_GB2312" w:hAnsi="宋体" w:eastAsia="仿宋_GB2312" w:cs="宋体"/>
                <w:kern w:val="0"/>
                <w:szCs w:val="21"/>
              </w:rPr>
              <w:t>由北京市知识产权局主办的“区域知识产权能力提升”专题线上培训成功举办</w:t>
            </w:r>
            <w:r>
              <w:rPr>
                <w:rFonts w:hint="eastAsia" w:ascii="仿宋_GB2312" w:hAnsi="宋体" w:eastAsia="仿宋_GB2312" w:cs="宋体"/>
                <w:kern w:val="0"/>
                <w:szCs w:val="21"/>
              </w:rPr>
              <w:t>，</w:t>
            </w:r>
            <w:r>
              <w:rPr>
                <w:rFonts w:ascii="仿宋_GB2312" w:hAnsi="宋体" w:eastAsia="仿宋_GB2312" w:cs="宋体"/>
                <w:kern w:val="0"/>
                <w:szCs w:val="21"/>
              </w:rPr>
              <w:t>培训的主题是“商标恶意申请在注册程序中的规制”和商标监督管理办案实务分享</w:t>
            </w:r>
            <w:r>
              <w:rPr>
                <w:rFonts w:hint="eastAsia" w:ascii="仿宋_GB2312" w:hAnsi="宋体" w:eastAsia="仿宋_GB2312" w:cs="宋体"/>
                <w:kern w:val="0"/>
                <w:szCs w:val="21"/>
              </w:rPr>
              <w:t>，</w:t>
            </w:r>
            <w:r>
              <w:rPr>
                <w:rFonts w:ascii="仿宋_GB2312" w:hAnsi="宋体" w:eastAsia="仿宋_GB2312" w:cs="宋体"/>
                <w:kern w:val="0"/>
                <w:szCs w:val="21"/>
              </w:rPr>
              <w:t>本市部分知识产权办公会议成员单位，各区知识产权局、商标注册受理窗口知识产权工作人员共计100余人参加培训。</w:t>
            </w:r>
            <w:r>
              <w:rPr>
                <w:rFonts w:hint="eastAsia" w:ascii="仿宋_GB2312" w:hAnsi="宋体" w:eastAsia="仿宋_GB2312" w:cs="宋体"/>
                <w:kern w:val="0"/>
                <w:szCs w:val="21"/>
              </w:rPr>
              <w:t>完成1个案例2个专利对外转让审查，结合实例，完成知识产权对外转让机制研究，拟制《知识产权对外转让审查操作指南》。充分调动京津冀三地优质知识产权服务资源，依托京津冀知识产权发展联盟工作机制和联络机制，举办了“京津冀知识产权协同发展高层论坛”，结合京津冀重点领域，重点企业的实际需求，工作中遇到的实际问题，开展</w:t>
            </w:r>
            <w:r>
              <w:rPr>
                <w:rFonts w:hint="eastAsia" w:ascii="仿宋_GB2312" w:hAnsi="宋体" w:eastAsia="仿宋_GB2312" w:cs="宋体"/>
                <w:kern w:val="0"/>
                <w:szCs w:val="21"/>
                <w:lang w:eastAsia="zh-CN"/>
              </w:rPr>
              <w:t>知</w:t>
            </w:r>
            <w:r>
              <w:rPr>
                <w:rFonts w:hint="eastAsia" w:ascii="仿宋_GB2312" w:hAnsi="宋体" w:eastAsia="仿宋_GB2312" w:cs="宋体"/>
                <w:kern w:val="0"/>
                <w:szCs w:val="21"/>
              </w:rPr>
              <w:t>识产权帮扶、专题培训活动，以及为创新主体和知识产权服务机构开展企业知识产权发展难题定向指导等活动10余场。</w:t>
            </w:r>
            <w:r>
              <w:rPr>
                <w:rFonts w:ascii="仿宋_GB2312" w:hAnsi="宋体" w:eastAsia="仿宋_GB2312" w:cs="宋体"/>
                <w:kern w:val="0"/>
                <w:szCs w:val="21"/>
              </w:rPr>
              <w:t>举办以“中国品牌 世界共享 北京发展 品牌先行”为主题的北京商标品牌论坛，组织北京商标协会、北京茶业企业商会等行业协会建立自律机制，维护商标注册秩序，营造良好知识产权保护氛围，加快商标品牌培育，助力中国品牌突破发展。</w:t>
            </w:r>
            <w:r>
              <w:rPr>
                <w:rFonts w:hint="eastAsia" w:ascii="仿宋_GB2312" w:hAnsi="宋体" w:eastAsia="仿宋_GB2312" w:cs="宋体"/>
                <w:kern w:val="0"/>
                <w:szCs w:val="21"/>
              </w:rPr>
              <w:t>持续开展商标监测预警工作，并对</w:t>
            </w:r>
            <w:r>
              <w:rPr>
                <w:rFonts w:ascii="仿宋_GB2312" w:hAnsi="宋体" w:eastAsia="仿宋_GB2312" w:cs="宋体"/>
                <w:kern w:val="0"/>
                <w:szCs w:val="21"/>
              </w:rPr>
              <w:t>本市部分老字号商标监测，</w:t>
            </w:r>
            <w:r>
              <w:rPr>
                <w:rFonts w:hint="eastAsia" w:ascii="仿宋_GB2312" w:hAnsi="宋体" w:eastAsia="仿宋_GB2312" w:cs="宋体"/>
                <w:kern w:val="0"/>
                <w:szCs w:val="21"/>
              </w:rPr>
              <w:t>指导企业加强商标品牌管理，提升商标品牌保护意识，帮助</w:t>
            </w:r>
            <w:r>
              <w:rPr>
                <w:rFonts w:ascii="仿宋_GB2312" w:hAnsi="宋体" w:eastAsia="仿宋_GB2312" w:cs="宋体"/>
                <w:kern w:val="0"/>
                <w:szCs w:val="21"/>
              </w:rPr>
              <w:t>企业强化管理与维权</w:t>
            </w: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23" w:hRule="atLeas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年度</w:t>
            </w:r>
          </w:p>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none"/>
              </w:rPr>
              <w:t>指标值</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值</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指标1：商标品牌发展论坛</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1场</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指标2：知识产权保护实务培训</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1场</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指标3：“一区一特色”支持5个区的5个项目</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5个</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5个</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指标4：全市系统工作和知识产权办公会议、区域知识产权工作会</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1次</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2次</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指标5：北京市知识产权对外操作指南</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1份</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1份</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指标6：京津冀知识产权论坛</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1场</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指标7：重点行业商标监测报告</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1份</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1份</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指标8：培育知识产权规范化市场</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5家</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8家</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指标9：帮扶京津冀企业</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8家</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8家</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指标1：形成北京市商标品牌发展论坛纪实报告、京津冀知识产权协同发展工作报告</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2份</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2份</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指标2：召开全市系统工作和知识产权办公会议，形成会议纪要</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1份</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1份</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指标3：针对部分区商场开展规范化市场培育，形成规范化市场培育报告</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5份</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5份</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指标4：对各区知识产权局、商标业务受理窗口等工作人员开展能力提升培训，形成知识产权实践活动报告</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1份</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1份</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指标5：针对5个区开展特色项目，形成一区一特色项目报告</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5份</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5份</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指标6：购买商标数据系统账号5个左右，形成监测分析重点行业商标注册和运用现状报告</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1份</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1份</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指标7：形成知识产权对外转让审查操作指南，固化审查程序和内容</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1份</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1份</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指标1：一季度确定项目资金支出计划，召开全市系统工作和知识产权办公会议</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4月</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3月</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指标2：二季度确定委托项目的承接单位，完成开题，举办商标品牌发展论坛</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7月</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9月</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因疫情影响，无法按期举办论坛，论坛已在9月延期举行</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指标3：三季度完成相关项目走访调研，了解进展情况并提出意见建议</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10月</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10月</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指标4：四季度形成工作成果，完成项目结项验收</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rPr>
              <w:t>≤</w:t>
            </w:r>
            <w:r>
              <w:rPr>
                <w:rFonts w:hint="eastAsia" w:ascii="仿宋_GB2312" w:hAnsi="宋体" w:eastAsia="仿宋_GB2312" w:cs="宋体"/>
                <w:kern w:val="0"/>
                <w:szCs w:val="21"/>
                <w:highlight w:val="none"/>
              </w:rPr>
              <w:t>12月</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指标1：区域知识产权能力提升成本</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highlight w:val="none"/>
              </w:rPr>
            </w:pPr>
            <w:r>
              <w:rPr>
                <w:rFonts w:hint="eastAsia"/>
              </w:rPr>
              <w:t>≤</w:t>
            </w:r>
            <w:r>
              <w:rPr>
                <w:rFonts w:hint="eastAsia" w:ascii="仿宋_GB2312" w:hAnsi="宋体" w:eastAsia="仿宋_GB2312" w:cs="宋体"/>
                <w:kern w:val="0"/>
                <w:szCs w:val="21"/>
                <w:highlight w:val="none"/>
              </w:rPr>
              <w:t>166</w:t>
            </w:r>
          </w:p>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none"/>
              </w:rPr>
              <w:t>万元</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166万元</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指标2：商标品牌发展支撑国际消费中心城市建设成本</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highlight w:val="none"/>
              </w:rPr>
            </w:pPr>
            <w:r>
              <w:rPr>
                <w:rFonts w:hint="eastAsia"/>
              </w:rPr>
              <w:t>≤</w:t>
            </w:r>
            <w:r>
              <w:rPr>
                <w:rFonts w:hint="eastAsia" w:ascii="仿宋_GB2312" w:hAnsi="宋体" w:eastAsia="仿宋_GB2312" w:cs="宋体"/>
                <w:kern w:val="0"/>
                <w:szCs w:val="21"/>
                <w:highlight w:val="none"/>
              </w:rPr>
              <w:t>24</w:t>
            </w:r>
          </w:p>
          <w:p>
            <w:pPr>
              <w:widowControl/>
              <w:spacing w:line="240" w:lineRule="exact"/>
              <w:jc w:val="center"/>
              <w:rPr>
                <w:rFonts w:hint="eastAsia" w:ascii="仿宋_GB2312" w:hAnsi="宋体" w:eastAsia="仿宋_GB2312" w:cs="宋体"/>
                <w:kern w:val="0"/>
                <w:szCs w:val="21"/>
                <w:highlight w:val="yellow"/>
                <w:lang w:eastAsia="zh-CN"/>
              </w:rPr>
            </w:pPr>
            <w:r>
              <w:rPr>
                <w:rFonts w:hint="eastAsia" w:ascii="仿宋_GB2312" w:hAnsi="宋体" w:eastAsia="仿宋_GB2312" w:cs="宋体"/>
                <w:kern w:val="0"/>
                <w:szCs w:val="21"/>
                <w:highlight w:val="none"/>
              </w:rPr>
              <w:t>万元</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24万元</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指标1：我市商标品牌指导和服务体系更加完善，区域知识产权保护水平进一步提高，持续优化知识产权营商环境</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rPr>
              <w:t>优良中低差</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优</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我市商标品牌指导和服务体系更加完善，区域知识产权保护水平进一步提高，知识产权营商环境持续优化</w:t>
            </w:r>
            <w:r>
              <w:rPr>
                <w:rFonts w:hint="eastAsia" w:ascii="仿宋_GB2312" w:hAnsi="宋体" w:eastAsia="仿宋_GB2312" w:cs="宋体"/>
                <w:kern w:val="0"/>
                <w:sz w:val="21"/>
                <w:szCs w:val="21"/>
                <w:lang w:eastAsia="zh-CN"/>
              </w:rPr>
              <w:t>。</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指标1：相关部门单位满意度</w:t>
            </w:r>
          </w:p>
        </w:tc>
        <w:tc>
          <w:tcPr>
            <w:tcW w:w="10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无偏差</w:t>
            </w:r>
          </w:p>
        </w:tc>
      </w:tr>
      <w:tr>
        <w:tblPrEx>
          <w:tblCellMar>
            <w:top w:w="0" w:type="dxa"/>
            <w:left w:w="108" w:type="dxa"/>
            <w:bottom w:w="0" w:type="dxa"/>
            <w:right w:w="108" w:type="dxa"/>
          </w:tblCellMar>
        </w:tblPrEx>
        <w:trPr>
          <w:trHeight w:val="23" w:hRule="atLeast"/>
          <w:jc w:val="center"/>
        </w:trPr>
        <w:tc>
          <w:tcPr>
            <w:tcW w:w="694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总分</w:t>
            </w:r>
          </w:p>
        </w:tc>
        <w:tc>
          <w:tcPr>
            <w:tcW w:w="5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98.78</w:t>
            </w:r>
          </w:p>
        </w:tc>
        <w:tc>
          <w:tcPr>
            <w:tcW w:w="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ZGZmZTMyMWI5M2JjYmM5MzhiZDA4MmNjZTIyZmEifQ=="/>
  </w:docVars>
  <w:rsids>
    <w:rsidRoot w:val="F77F09F4"/>
    <w:rsid w:val="002222C4"/>
    <w:rsid w:val="00337FD3"/>
    <w:rsid w:val="006E6E76"/>
    <w:rsid w:val="00BC10A5"/>
    <w:rsid w:val="00E213BD"/>
    <w:rsid w:val="2F773916"/>
    <w:rsid w:val="37173543"/>
    <w:rsid w:val="3FF76880"/>
    <w:rsid w:val="4F3FA2D6"/>
    <w:rsid w:val="5FBB8F5F"/>
    <w:rsid w:val="646F62CE"/>
    <w:rsid w:val="67FD4007"/>
    <w:rsid w:val="6B7F4170"/>
    <w:rsid w:val="70AE6964"/>
    <w:rsid w:val="73FDBE17"/>
    <w:rsid w:val="776FFB43"/>
    <w:rsid w:val="777D8F66"/>
    <w:rsid w:val="7AB7FF50"/>
    <w:rsid w:val="7BBA4E35"/>
    <w:rsid w:val="7BFEB0DB"/>
    <w:rsid w:val="7DFE1C18"/>
    <w:rsid w:val="7F9B608E"/>
    <w:rsid w:val="7FDFFAA3"/>
    <w:rsid w:val="9DBB96A8"/>
    <w:rsid w:val="BE3FBA75"/>
    <w:rsid w:val="C6FE1439"/>
    <w:rsid w:val="C8BFEECF"/>
    <w:rsid w:val="CDF93586"/>
    <w:rsid w:val="CEFD3F3D"/>
    <w:rsid w:val="D79C21F4"/>
    <w:rsid w:val="DB7A9093"/>
    <w:rsid w:val="E76F2340"/>
    <w:rsid w:val="E7AA7D9A"/>
    <w:rsid w:val="EA3F77F2"/>
    <w:rsid w:val="EB5E1509"/>
    <w:rsid w:val="EBF6A732"/>
    <w:rsid w:val="EC7F3413"/>
    <w:rsid w:val="EDDFB3A0"/>
    <w:rsid w:val="EEBF4ED9"/>
    <w:rsid w:val="EEFE5989"/>
    <w:rsid w:val="EFCF3EAE"/>
    <w:rsid w:val="EFD93B07"/>
    <w:rsid w:val="F2FE1420"/>
    <w:rsid w:val="F5B764A2"/>
    <w:rsid w:val="F77F09F4"/>
    <w:rsid w:val="F7BD9C7A"/>
    <w:rsid w:val="F7DFDC41"/>
    <w:rsid w:val="FBDB0CDC"/>
    <w:rsid w:val="FBDBB902"/>
    <w:rsid w:val="FBEE4DDB"/>
    <w:rsid w:val="FD7050CE"/>
    <w:rsid w:val="FD7B9005"/>
    <w:rsid w:val="FDC9B586"/>
    <w:rsid w:val="FDE712C8"/>
    <w:rsid w:val="FF8D376F"/>
    <w:rsid w:val="FF8F512C"/>
    <w:rsid w:val="FF9E2F84"/>
    <w:rsid w:val="FFCE9951"/>
    <w:rsid w:val="FFD7BFFC"/>
    <w:rsid w:val="FFE37FF8"/>
    <w:rsid w:val="FFF3C748"/>
    <w:rsid w:val="FFFA6B0F"/>
    <w:rsid w:val="FFFE0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0"/>
    <w:pPr>
      <w:spacing w:line="600" w:lineRule="exact"/>
      <w:ind w:right="-316" w:rightChars="-100" w:firstLine="790" w:firstLineChars="250"/>
    </w:pPr>
  </w:style>
  <w:style w:type="paragraph" w:styleId="4">
    <w:name w:val="annotation text"/>
    <w:basedOn w:val="1"/>
    <w:link w:val="13"/>
    <w:qFormat/>
    <w:uiPriority w:val="0"/>
    <w:pPr>
      <w:jc w:val="left"/>
    </w:p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8">
    <w:name w:val="annotation subject"/>
    <w:basedOn w:val="4"/>
    <w:next w:val="4"/>
    <w:link w:val="14"/>
    <w:qFormat/>
    <w:uiPriority w:val="0"/>
    <w:rPr>
      <w:b/>
      <w:bCs/>
    </w:rPr>
  </w:style>
  <w:style w:type="character" w:styleId="11">
    <w:name w:val="annotation reference"/>
    <w:basedOn w:val="10"/>
    <w:qFormat/>
    <w:uiPriority w:val="0"/>
    <w:rPr>
      <w:sz w:val="21"/>
      <w:szCs w:val="21"/>
    </w:rPr>
  </w:style>
  <w:style w:type="paragraph" w:customStyle="1" w:styleId="12">
    <w:name w:val="列出段落1"/>
    <w:basedOn w:val="1"/>
    <w:qFormat/>
    <w:uiPriority w:val="34"/>
    <w:pPr>
      <w:ind w:firstLine="420" w:firstLineChars="200"/>
    </w:pPr>
    <w:rPr>
      <w:rFonts w:ascii="Calibri" w:hAnsi="Calibri" w:cs="黑体"/>
      <w:szCs w:val="22"/>
    </w:rPr>
  </w:style>
  <w:style w:type="character" w:customStyle="1" w:styleId="13">
    <w:name w:val="批注文字 字符"/>
    <w:basedOn w:val="10"/>
    <w:link w:val="4"/>
    <w:qFormat/>
    <w:uiPriority w:val="0"/>
    <w:rPr>
      <w:kern w:val="2"/>
      <w:sz w:val="21"/>
      <w:szCs w:val="24"/>
    </w:rPr>
  </w:style>
  <w:style w:type="character" w:customStyle="1" w:styleId="14">
    <w:name w:val="批注主题 字符"/>
    <w:basedOn w:val="13"/>
    <w:link w:val="8"/>
    <w:qFormat/>
    <w:uiPriority w:val="0"/>
    <w:rPr>
      <w:b/>
      <w:bCs/>
      <w:kern w:val="2"/>
      <w:sz w:val="21"/>
      <w:szCs w:val="24"/>
    </w:rPr>
  </w:style>
  <w:style w:type="paragraph" w:customStyle="1" w:styleId="15">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518</Words>
  <Characters>2956</Characters>
  <Lines>24</Lines>
  <Paragraphs>6</Paragraphs>
  <TotalTime>7</TotalTime>
  <ScaleCrop>false</ScaleCrop>
  <LinksUpToDate>false</LinksUpToDate>
  <CharactersWithSpaces>3468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2022-03-15T03:16:00Z</dcterms:created>
  <dc:creator>user</dc:creator>
  <cp:lastModifiedBy>user</cp:lastModifiedBy>
  <cp:lastPrinted>2022-03-29T10:01:00Z</cp:lastPrinted>
  <dcterms:modified xsi:type="dcterms:W3CDTF">2023-08-09T14:46:43Z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B8E893719DF9415CAD686FBF16A67792</vt:lpwstr>
  </property>
</Properties>
</file>