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 年度）</w:t>
      </w:r>
    </w:p>
    <w:p>
      <w:pPr>
        <w:spacing w:line="240" w:lineRule="exact"/>
        <w:rPr>
          <w:rFonts w:ascii="仿宋_GB2312" w:hAnsi="宋体" w:eastAsia="仿宋_GB2312"/>
          <w:sz w:val="30"/>
          <w:szCs w:val="30"/>
        </w:rPr>
      </w:pPr>
    </w:p>
    <w:tbl>
      <w:tblPr>
        <w:tblStyle w:val="7"/>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促进知识产权服务业发展和监管</w:t>
            </w:r>
          </w:p>
        </w:tc>
      </w:tr>
      <w:tr>
        <w:tblPrEx>
          <w:tblCellMar>
            <w:top w:w="0" w:type="dxa"/>
            <w:left w:w="108" w:type="dxa"/>
            <w:bottom w:w="0" w:type="dxa"/>
            <w:right w:w="108" w:type="dxa"/>
          </w:tblCellMar>
        </w:tblPrEx>
        <w:trPr>
          <w:trHeight w:val="462"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北京市知识产权局本级</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李春玲</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88012052</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273.86</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273.86</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194.24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70.9%</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7.09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273.86</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273.86</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194.24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用于支持知识产权服务机构提升国际服务质量，资助15家左右；编制专利代理年报，代理机构交流和评价，与高校和代理机构合作培养代理人才，促进我市知识产权服务业发展，提升服务机构国际服务质量。</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支持知识产权服务机构提升国际服务质量；编制专利代理年报，开展代理机构交流和评价，与高校和代理机构合作培养代理人才，促进我市知识产权服务业发展，提升服务机构国际服务质量。</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4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编制专利代理年报</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6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专利代理执法保障项目双随机检查次数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rPr>
              <w:t>≥</w:t>
            </w:r>
            <w:r>
              <w:rPr>
                <w:rFonts w:hint="eastAsia" w:ascii="仿宋_GB2312" w:hAnsi="仿宋_GB2312" w:eastAsia="仿宋_GB2312" w:cs="仿宋_GB2312"/>
                <w:sz w:val="18"/>
                <w:szCs w:val="18"/>
              </w:rPr>
              <w:t>12场次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12场次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48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代理机构交流和评价</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rPr>
              <w:t>≥</w:t>
            </w:r>
            <w:r>
              <w:rPr>
                <w:rFonts w:hint="eastAsia" w:ascii="仿宋_GB2312" w:hAnsi="仿宋_GB2312" w:eastAsia="仿宋_GB2312" w:cs="仿宋_GB2312"/>
                <w:sz w:val="18"/>
                <w:szCs w:val="18"/>
              </w:rPr>
              <w:t>1场次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1场次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5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编制印刷专利代理年报</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=300本</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720本</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10</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7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促进知识产权服务机构提升国际化服务质量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rPr>
              <w:t>≥</w:t>
            </w:r>
            <w:r>
              <w:rPr>
                <w:rFonts w:hint="eastAsia" w:ascii="仿宋_GB2312" w:hAnsi="仿宋_GB2312" w:eastAsia="仿宋_GB2312" w:cs="仿宋_GB2312"/>
                <w:sz w:val="18"/>
                <w:szCs w:val="18"/>
              </w:rPr>
              <w:t>10家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14家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8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与高校合作培养代理人才课时</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rPr>
              <w:t>≥</w:t>
            </w:r>
            <w:r>
              <w:rPr>
                <w:rFonts w:hint="eastAsia" w:ascii="仿宋_GB2312" w:hAnsi="仿宋_GB2312" w:eastAsia="仿宋_GB2312" w:cs="仿宋_GB2312"/>
                <w:sz w:val="18"/>
                <w:szCs w:val="18"/>
              </w:rPr>
              <w:t>150次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164课时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10</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27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按照《北京市支持知识产权服务机构提升国际服务质量资金管理办法》，支持知识产权服务机构开展提升国际服务质量的开展人才国际化培养；雇佣本领域优秀外籍人士；邀请国际知识产权专家；购买价格在20万以上的国际知识产权数据库等活动</w:t>
            </w:r>
          </w:p>
          <w:p>
            <w:pPr>
              <w:widowControl/>
              <w:spacing w:line="240" w:lineRule="exact"/>
              <w:jc w:val="left"/>
              <w:rPr>
                <w:rFonts w:ascii="仿宋_GB2312" w:hAnsi="仿宋_GB2312" w:eastAsia="仿宋_GB2312" w:cs="仿宋_GB2312"/>
                <w:sz w:val="18"/>
                <w:szCs w:val="18"/>
              </w:rPr>
            </w:pP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对14家知识产权服务机构的7类、21个项目给予支持，支持金额共计150万元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20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与高校、代理机构合作培养代理人才，参加课程学习者通过课程考试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与高校、代理机构合作培养代理人才164课时，全员通过考试</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7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第四季度完成与高校、代理机合作培养专利代理人才</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好坏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highlight w:val="yellow"/>
              </w:rPr>
            </w:pPr>
            <w:r>
              <w:rPr>
                <w:rFonts w:hint="eastAsia" w:ascii="仿宋_GB2312" w:hAnsi="仿宋_GB2312" w:eastAsia="仿宋_GB2312" w:cs="仿宋_GB2312"/>
                <w:sz w:val="18"/>
                <w:szCs w:val="18"/>
              </w:rPr>
              <w:t>第四季度完成与高校、代理机合作培养专利代理人才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9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第三季度完成服务机构提升国际服务质量项目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highlight w:val="yellow"/>
              </w:rPr>
            </w:pPr>
            <w:r>
              <w:rPr>
                <w:rFonts w:hint="eastAsia" w:ascii="仿宋_GB2312" w:hAnsi="仿宋_GB2312" w:eastAsia="仿宋_GB2312" w:cs="仿宋_GB2312"/>
                <w:sz w:val="18"/>
                <w:szCs w:val="18"/>
              </w:rPr>
              <w:t>完成服务机构提升国际服务质量项目</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6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第四季度完成知识产权代理领域民事争议调解</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好坏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highlight w:val="yellow"/>
              </w:rPr>
            </w:pPr>
            <w:r>
              <w:rPr>
                <w:rFonts w:hint="eastAsia" w:ascii="仿宋_GB2312" w:hAnsi="仿宋_GB2312" w:eastAsia="仿宋_GB2312" w:cs="仿宋_GB2312"/>
                <w:sz w:val="18"/>
                <w:szCs w:val="18"/>
              </w:rPr>
              <w:t>第四季度完成知识产权代理领域民事争议调解</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7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第四季度完成专利代理执法保障项目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好坏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highlight w:val="yellow"/>
              </w:rPr>
            </w:pPr>
            <w:r>
              <w:rPr>
                <w:rFonts w:hint="eastAsia" w:ascii="仿宋_GB2312" w:hAnsi="仿宋_GB2312" w:eastAsia="仿宋_GB2312" w:cs="仿宋_GB2312"/>
                <w:sz w:val="18"/>
                <w:szCs w:val="18"/>
              </w:rPr>
              <w:t>第四季度完成专利代理执法保障项目</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5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第三季度完成编制2021年专利代理年报</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好坏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第三季度完成编制2021年专利代理年报</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每所高校授课课时费</w:t>
            </w:r>
          </w:p>
          <w:p>
            <w:pPr>
              <w:widowControl/>
              <w:spacing w:line="240" w:lineRule="exact"/>
              <w:jc w:val="left"/>
              <w:rPr>
                <w:rFonts w:ascii="仿宋_GB2312" w:hAnsi="仿宋_GB2312" w:eastAsia="仿宋_GB2312" w:cs="仿宋_GB2312"/>
                <w:sz w:val="18"/>
                <w:szCs w:val="18"/>
              </w:rPr>
            </w:pP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=800元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800元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10</w:t>
            </w:r>
            <w:bookmarkStart w:id="0" w:name="_GoBack"/>
            <w:bookmarkEnd w:id="0"/>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9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营造更加良好的知识产权服务业发展环境</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 xml:space="preserve">优良中差 </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知识产权服务业发展环境得到优化</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413" w:type="dxa"/>
            <w:gridSpan w:val="2"/>
            <w:tcBorders>
              <w:top w:val="single" w:color="auto" w:sz="4" w:space="0"/>
              <w:left w:val="nil"/>
              <w:bottom w:val="single" w:color="auto" w:sz="4" w:space="0"/>
              <w:right w:val="single" w:color="auto" w:sz="4" w:space="0"/>
            </w:tcBorders>
            <w:vAlign w:val="center"/>
          </w:tcPr>
          <w:p>
            <w:pPr>
              <w:jc w:val="center"/>
            </w:pPr>
            <w:r>
              <w:rPr>
                <w:rFonts w:hint="eastAsia" w:ascii="仿宋_GB2312" w:hAnsi="仿宋_GB2312" w:eastAsia="仿宋_GB2312" w:cs="仿宋_GB2312"/>
                <w:sz w:val="18"/>
                <w:szCs w:val="18"/>
              </w:rPr>
              <w:t>无偏差</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97.09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200719"/>
    <w:rsid w:val="003744E6"/>
    <w:rsid w:val="00461DC3"/>
    <w:rsid w:val="006F7E92"/>
    <w:rsid w:val="009019FF"/>
    <w:rsid w:val="009857D4"/>
    <w:rsid w:val="00D25CED"/>
    <w:rsid w:val="00D62E5F"/>
    <w:rsid w:val="00DC62F5"/>
    <w:rsid w:val="2F6F7DC1"/>
    <w:rsid w:val="37173543"/>
    <w:rsid w:val="3FF76880"/>
    <w:rsid w:val="6F7FD359"/>
    <w:rsid w:val="777D8F66"/>
    <w:rsid w:val="7AB7FF50"/>
    <w:rsid w:val="7BBA4E35"/>
    <w:rsid w:val="7BFEB0DB"/>
    <w:rsid w:val="7F9B608E"/>
    <w:rsid w:val="A97B1D0E"/>
    <w:rsid w:val="BE5FF738"/>
    <w:rsid w:val="CEFD3F3D"/>
    <w:rsid w:val="E76F2340"/>
    <w:rsid w:val="E7F3574C"/>
    <w:rsid w:val="EA3F77F2"/>
    <w:rsid w:val="EEBF4ED9"/>
    <w:rsid w:val="EEFE5989"/>
    <w:rsid w:val="EFCF3EAE"/>
    <w:rsid w:val="F5B764A2"/>
    <w:rsid w:val="F77F09F4"/>
    <w:rsid w:val="FA6FD12C"/>
    <w:rsid w:val="FF570A7E"/>
    <w:rsid w:val="FF97E429"/>
    <w:rsid w:val="FFD7BFFC"/>
    <w:rsid w:val="FFF7AB2A"/>
    <w:rsid w:val="FFFA6B0F"/>
    <w:rsid w:val="FFFD5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3"/>
    <w:next w:val="3"/>
    <w:link w:val="13"/>
    <w:qFormat/>
    <w:uiPriority w:val="0"/>
    <w:rPr>
      <w:b/>
      <w:bCs/>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font01"/>
    <w:basedOn w:val="8"/>
    <w:qFormat/>
    <w:uiPriority w:val="0"/>
    <w:rPr>
      <w:rFonts w:hint="eastAsia" w:ascii="宋体" w:hAnsi="宋体" w:eastAsia="宋体" w:cs="宋体"/>
      <w:color w:val="000000"/>
      <w:sz w:val="18"/>
      <w:szCs w:val="18"/>
      <w:u w:val="none"/>
    </w:rPr>
  </w:style>
  <w:style w:type="character" w:customStyle="1" w:styleId="12">
    <w:name w:val="批注文字 字符"/>
    <w:basedOn w:val="8"/>
    <w:link w:val="3"/>
    <w:qFormat/>
    <w:uiPriority w:val="0"/>
    <w:rPr>
      <w:kern w:val="2"/>
      <w:sz w:val="21"/>
      <w:szCs w:val="24"/>
    </w:rPr>
  </w:style>
  <w:style w:type="character" w:customStyle="1" w:styleId="13">
    <w:name w:val="批注主题 字符"/>
    <w:basedOn w:val="12"/>
    <w:link w:val="6"/>
    <w:qFormat/>
    <w:uiPriority w:val="0"/>
    <w:rPr>
      <w:b/>
      <w:bCs/>
      <w:kern w:val="2"/>
      <w:sz w:val="21"/>
      <w:szCs w:val="24"/>
    </w:rPr>
  </w:style>
  <w:style w:type="paragraph" w:customStyle="1" w:styleId="14">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216</Words>
  <Characters>1235</Characters>
  <Lines>10</Lines>
  <Paragraphs>2</Paragraphs>
  <TotalTime>1</TotalTime>
  <ScaleCrop>false</ScaleCrop>
  <LinksUpToDate>false</LinksUpToDate>
  <CharactersWithSpaces>1449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2022-03-13T11:16:00Z</dcterms:created>
  <dc:creator>user</dc:creator>
  <cp:lastModifiedBy>user</cp:lastModifiedBy>
  <cp:lastPrinted>2022-03-27T18:01:00Z</cp:lastPrinted>
  <dcterms:modified xsi:type="dcterms:W3CDTF">2023-07-18T15:21:59Z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