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8"/>
        <w:tblW w:w="10020" w:type="dxa"/>
        <w:jc w:val="center"/>
        <w:tblLayout w:type="fixed"/>
        <w:tblCellMar>
          <w:top w:w="0" w:type="dxa"/>
          <w:left w:w="108" w:type="dxa"/>
          <w:bottom w:w="0" w:type="dxa"/>
          <w:right w:w="108" w:type="dxa"/>
        </w:tblCellMar>
      </w:tblPr>
      <w:tblGrid>
        <w:gridCol w:w="585"/>
        <w:gridCol w:w="975"/>
        <w:gridCol w:w="1105"/>
        <w:gridCol w:w="727"/>
        <w:gridCol w:w="572"/>
        <w:gridCol w:w="555"/>
        <w:gridCol w:w="579"/>
        <w:gridCol w:w="553"/>
        <w:gridCol w:w="848"/>
        <w:gridCol w:w="279"/>
        <w:gridCol w:w="284"/>
        <w:gridCol w:w="420"/>
        <w:gridCol w:w="283"/>
        <w:gridCol w:w="563"/>
        <w:gridCol w:w="1692"/>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460"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w:t>
            </w:r>
            <w:bookmarkStart w:id="0" w:name="_GoBack"/>
            <w:r>
              <w:rPr>
                <w:rFonts w:hint="eastAsia" w:ascii="仿宋_GB2312" w:hAnsi="宋体" w:eastAsia="仿宋_GB2312" w:cs="宋体"/>
                <w:kern w:val="0"/>
                <w:szCs w:val="21"/>
              </w:rPr>
              <w:t xml:space="preserve"> 专利受理等业务工作经费</w:t>
            </w:r>
            <w:bookmarkEnd w:id="0"/>
          </w:p>
        </w:tc>
      </w:tr>
      <w:tr>
        <w:tblPrEx>
          <w:tblCellMar>
            <w:top w:w="0" w:type="dxa"/>
            <w:left w:w="108" w:type="dxa"/>
            <w:bottom w:w="0" w:type="dxa"/>
            <w:right w:w="108" w:type="dxa"/>
          </w:tblCellMar>
        </w:tblPrEx>
        <w:trPr>
          <w:trHeight w:val="57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北京市知识产权局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2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北京市知识产权保护中心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黄显智</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2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62544288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6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4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184</w:t>
            </w:r>
            <w:r>
              <w:rPr>
                <w:rFonts w:hint="eastAsia" w:ascii="仿宋_GB2312" w:hAnsi="宋体" w:eastAsia="仿宋_GB2312" w:cs="宋体"/>
                <w:kern w:val="0"/>
                <w:szCs w:val="21"/>
              </w:rPr>
              <w:t>.</w:t>
            </w:r>
            <w:r>
              <w:rPr>
                <w:rFonts w:ascii="仿宋_GB2312" w:hAnsi="宋体" w:eastAsia="仿宋_GB2312" w:cs="宋体"/>
                <w:kern w:val="0"/>
                <w:szCs w:val="21"/>
              </w:rPr>
              <w:t>304924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170</w:t>
            </w:r>
            <w:r>
              <w:rPr>
                <w:rFonts w:hint="eastAsia" w:ascii="仿宋_GB2312" w:hAnsi="宋体" w:eastAsia="仿宋_GB2312" w:cs="宋体"/>
                <w:kern w:val="0"/>
                <w:szCs w:val="21"/>
              </w:rPr>
              <w:t>.</w:t>
            </w:r>
            <w:r>
              <w:rPr>
                <w:rFonts w:ascii="仿宋_GB2312" w:hAnsi="宋体" w:eastAsia="仿宋_GB2312" w:cs="宋体"/>
                <w:kern w:val="0"/>
                <w:szCs w:val="21"/>
              </w:rPr>
              <w:t>623995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92.58%</w:t>
            </w:r>
          </w:p>
        </w:tc>
        <w:tc>
          <w:tcPr>
            <w:tcW w:w="16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9.26</w:t>
            </w:r>
          </w:p>
        </w:tc>
      </w:tr>
      <w:tr>
        <w:tblPrEx>
          <w:tblCellMar>
            <w:top w:w="0" w:type="dxa"/>
            <w:left w:w="108" w:type="dxa"/>
            <w:bottom w:w="0" w:type="dxa"/>
            <w:right w:w="108" w:type="dxa"/>
          </w:tblCellMar>
        </w:tblPrEx>
        <w:trPr>
          <w:trHeight w:val="57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6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63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56.304924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142</w:t>
            </w:r>
            <w:r>
              <w:rPr>
                <w:rFonts w:hint="eastAsia" w:ascii="仿宋_GB2312" w:hAnsi="宋体" w:eastAsia="仿宋_GB2312" w:cs="宋体"/>
                <w:kern w:val="0"/>
                <w:szCs w:val="21"/>
              </w:rPr>
              <w:t>.</w:t>
            </w:r>
            <w:r>
              <w:rPr>
                <w:rFonts w:ascii="仿宋_GB2312" w:hAnsi="宋体" w:eastAsia="仿宋_GB2312" w:cs="宋体"/>
                <w:kern w:val="0"/>
                <w:szCs w:val="21"/>
              </w:rPr>
              <w:t>623995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91.25%</w:t>
            </w:r>
          </w:p>
        </w:tc>
        <w:tc>
          <w:tcPr>
            <w:tcW w:w="16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33"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36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755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以服务首都知识产权高质量发展为重心，保障国家知识产权局委托各项业务平稳、顺利开展，为优化营商环境，助力全市科创中心建设提供支撑。</w:t>
            </w:r>
          </w:p>
        </w:tc>
        <w:tc>
          <w:tcPr>
            <w:tcW w:w="4369"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2022年所有业务继续保持零差错，向外国申请专利保密审查、优先审查受理业务量稳居全国第一；专利权质押登记及专利实施许可合同备案业务量较2021年同期增长显著，分别增长275.18%及250.75%。全年共受理、扫描纸件专利申请84件，受理专利电子申请10.7万件，收缴专利费用5.68万笔，金额4787.25万元，其中银行汇款2.53万笔，金额2224.39万元，通过对大量银行汇款缴费信息的比对处理以及对缴费业务数据的质量监控，有效提升了信息匹配的速度和质量，避免了缴费信息处理延迟或差错等问题，保持了收费业务零差错。专利缴费信息网上补充及管理系统实现使用率100%。向外国申请专利保密审查6.4万件；受理各类专利申请优先审查1.65万件；出具专利登记簿副本869件，优先权文件副本5件，批量专利法律状态证明44件，专利文档查阅复制19件；办理专利实施许可合同备案235项，涉及专利1505件，金额15.9亿元，专利实施许可合同备案注销7件；办理专利权质押登记514项，涉及专利2162件，金额65.47亿元，专利权质押登记注销289件；费用减缴备案审核3.22万件;受理专利开放许可声明31件。打印并发送通知书1210件，为53家代理机构办理通知书自取服务；专利证书自取14403件。受理商标注册申请110件，变更注册商标名义/地址申请39件，商标续展申请29件，注册商标专用权质权登记2件，商标转让申请2件，商标更正申请1件，变更文件接收人申请1件。</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8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完成缴费预处理信息数量</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≥28万条</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28.172万条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9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完成各类专利受理申请数量</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≥21万件</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21.97</w:t>
            </w:r>
            <w:r>
              <w:rPr>
                <w:rFonts w:hint="eastAsia" w:ascii="仿宋_GB2312" w:hAnsi="宋体" w:eastAsia="仿宋_GB2312" w:cs="宋体"/>
                <w:kern w:val="0"/>
                <w:szCs w:val="21"/>
              </w:rPr>
              <w:t>万件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合格率</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r>
              <w:rPr>
                <w:rFonts w:ascii="仿宋_GB2312" w:hAnsi="宋体" w:eastAsia="仿宋_GB2312" w:cs="宋体"/>
                <w:kern w:val="0"/>
                <w:szCs w:val="21"/>
              </w:rPr>
              <w:t>%</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1-7月支出进度</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r>
              <w:rPr>
                <w:rFonts w:ascii="仿宋_GB2312" w:hAnsi="宋体" w:eastAsia="仿宋_GB2312" w:cs="宋体"/>
                <w:kern w:val="0"/>
                <w:szCs w:val="21"/>
              </w:rPr>
              <w:t>%</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r>
              <w:rPr>
                <w:rFonts w:ascii="仿宋_GB2312" w:hAnsi="宋体" w:eastAsia="仿宋_GB2312" w:cs="宋体"/>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8-12月支出进度</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50</w:t>
            </w:r>
            <w:r>
              <w:rPr>
                <w:rFonts w:ascii="仿宋_GB2312" w:hAnsi="宋体" w:eastAsia="仿宋_GB2312" w:cs="宋体"/>
                <w:kern w:val="0"/>
                <w:szCs w:val="21"/>
              </w:rPr>
              <w:t>%</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r>
              <w:rPr>
                <w:rFonts w:ascii="仿宋_GB2312" w:hAnsi="宋体" w:eastAsia="仿宋_GB2312" w:cs="宋体"/>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7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508万元</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170.623995万元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9.26</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1.财政拨款28万元已全部完成支付。</w:t>
            </w:r>
          </w:p>
          <w:p>
            <w:pPr>
              <w:widowControl/>
              <w:spacing w:line="240" w:lineRule="exac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2.事业收入</w:t>
            </w:r>
            <w:r>
              <w:rPr>
                <w:rFonts w:ascii="仿宋_GB2312" w:hAnsi="宋体" w:eastAsia="仿宋_GB2312" w:cs="宋体"/>
                <w:kern w:val="0"/>
                <w:sz w:val="21"/>
                <w:szCs w:val="21"/>
                <w:highlight w:val="none"/>
              </w:rPr>
              <w:t>480万元是2022年申报的</w:t>
            </w:r>
            <w:r>
              <w:rPr>
                <w:rFonts w:hint="eastAsia" w:ascii="仿宋_GB2312" w:hAnsi="宋体" w:eastAsia="仿宋_GB2312" w:cs="宋体"/>
                <w:kern w:val="0"/>
                <w:sz w:val="21"/>
                <w:szCs w:val="21"/>
                <w:highlight w:val="none"/>
              </w:rPr>
              <w:t>按以前年度</w:t>
            </w:r>
            <w:r>
              <w:rPr>
                <w:rFonts w:ascii="仿宋_GB2312" w:hAnsi="宋体" w:eastAsia="仿宋_GB2312" w:cs="宋体"/>
                <w:kern w:val="0"/>
                <w:sz w:val="21"/>
                <w:szCs w:val="21"/>
                <w:highlight w:val="none"/>
              </w:rPr>
              <w:t>国家知识产权局</w:t>
            </w:r>
            <w:r>
              <w:rPr>
                <w:rFonts w:hint="eastAsia" w:ascii="仿宋_GB2312" w:hAnsi="宋体" w:eastAsia="仿宋_GB2312" w:cs="宋体"/>
                <w:kern w:val="0"/>
                <w:sz w:val="21"/>
                <w:szCs w:val="21"/>
                <w:highlight w:val="none"/>
              </w:rPr>
              <w:t>对</w:t>
            </w:r>
            <w:r>
              <w:rPr>
                <w:rFonts w:ascii="仿宋_GB2312" w:hAnsi="宋体" w:eastAsia="仿宋_GB2312" w:cs="宋体"/>
                <w:kern w:val="0"/>
                <w:sz w:val="21"/>
                <w:szCs w:val="21"/>
                <w:highlight w:val="none"/>
              </w:rPr>
              <w:t>代办处补贴款拨付</w:t>
            </w:r>
            <w:r>
              <w:rPr>
                <w:rFonts w:hint="eastAsia" w:ascii="仿宋_GB2312" w:hAnsi="宋体" w:eastAsia="仿宋_GB2312" w:cs="宋体"/>
                <w:kern w:val="0"/>
                <w:sz w:val="21"/>
                <w:szCs w:val="21"/>
                <w:highlight w:val="none"/>
              </w:rPr>
              <w:t>金额的</w:t>
            </w:r>
            <w:r>
              <w:rPr>
                <w:rFonts w:ascii="仿宋_GB2312" w:hAnsi="宋体" w:eastAsia="仿宋_GB2312" w:cs="宋体"/>
                <w:kern w:val="0"/>
                <w:sz w:val="21"/>
                <w:szCs w:val="21"/>
                <w:highlight w:val="none"/>
              </w:rPr>
              <w:t>预测</w:t>
            </w:r>
            <w:r>
              <w:rPr>
                <w:rFonts w:hint="eastAsia" w:ascii="仿宋_GB2312" w:hAnsi="宋体" w:eastAsia="仿宋_GB2312" w:cs="宋体"/>
                <w:kern w:val="0"/>
                <w:sz w:val="21"/>
                <w:szCs w:val="21"/>
                <w:highlight w:val="none"/>
              </w:rPr>
              <w:t>，</w:t>
            </w:r>
            <w:r>
              <w:rPr>
                <w:rFonts w:ascii="仿宋_GB2312" w:hAnsi="宋体" w:eastAsia="仿宋_GB2312" w:cs="宋体"/>
                <w:kern w:val="0"/>
                <w:sz w:val="21"/>
                <w:szCs w:val="21"/>
                <w:highlight w:val="none"/>
              </w:rPr>
              <w:t>用于支付劳务派遣人员工资及福利、办公费、水电费、差旅费、设备购置费等，最终金额以实际拨付为准。2022年代办处补贴款共计156.304924万元</w:t>
            </w:r>
            <w:r>
              <w:rPr>
                <w:rFonts w:hint="eastAsia" w:ascii="仿宋_GB2312" w:hAnsi="宋体" w:eastAsia="仿宋_GB2312" w:cs="宋体"/>
                <w:kern w:val="0"/>
                <w:sz w:val="21"/>
                <w:szCs w:val="21"/>
                <w:highlight w:val="none"/>
              </w:rPr>
              <w:t>，其中收到拨付补贴款</w:t>
            </w:r>
            <w:r>
              <w:rPr>
                <w:rFonts w:ascii="仿宋_GB2312" w:hAnsi="宋体" w:eastAsia="仿宋_GB2312" w:cs="宋体"/>
                <w:kern w:val="0"/>
                <w:sz w:val="21"/>
                <w:szCs w:val="21"/>
                <w:highlight w:val="none"/>
              </w:rPr>
              <w:t>128.4119万元,以前年度结余27.893024万元。</w:t>
            </w:r>
            <w:r>
              <w:rPr>
                <w:rFonts w:hint="eastAsia" w:ascii="仿宋_GB2312" w:hAnsi="宋体" w:eastAsia="仿宋_GB2312" w:cs="宋体"/>
                <w:kern w:val="0"/>
                <w:sz w:val="21"/>
                <w:szCs w:val="21"/>
                <w:highlight w:val="none"/>
              </w:rPr>
              <w:t>按实际工作完成情况共支付了</w:t>
            </w:r>
            <w:r>
              <w:rPr>
                <w:rFonts w:ascii="仿宋_GB2312" w:hAnsi="宋体" w:eastAsia="仿宋_GB2312" w:cs="宋体"/>
                <w:kern w:val="0"/>
                <w:sz w:val="21"/>
                <w:szCs w:val="21"/>
                <w:highlight w:val="none"/>
              </w:rPr>
              <w:t>142</w:t>
            </w:r>
            <w:r>
              <w:rPr>
                <w:rFonts w:hint="eastAsia" w:ascii="仿宋_GB2312" w:hAnsi="宋体" w:eastAsia="仿宋_GB2312" w:cs="宋体"/>
                <w:kern w:val="0"/>
                <w:sz w:val="21"/>
                <w:szCs w:val="21"/>
                <w:highlight w:val="none"/>
              </w:rPr>
              <w:t>.</w:t>
            </w:r>
            <w:r>
              <w:rPr>
                <w:rFonts w:ascii="仿宋_GB2312" w:hAnsi="宋体" w:eastAsia="仿宋_GB2312" w:cs="宋体"/>
                <w:kern w:val="0"/>
                <w:sz w:val="21"/>
                <w:szCs w:val="21"/>
                <w:highlight w:val="none"/>
              </w:rPr>
              <w:t>623995</w:t>
            </w:r>
            <w:r>
              <w:rPr>
                <w:rFonts w:hint="eastAsia" w:ascii="仿宋_GB2312" w:hAnsi="宋体" w:eastAsia="仿宋_GB2312" w:cs="宋体"/>
                <w:kern w:val="0"/>
                <w:sz w:val="21"/>
                <w:szCs w:val="21"/>
                <w:highlight w:val="none"/>
              </w:rPr>
              <w:t>万元。</w:t>
            </w:r>
            <w:r>
              <w:rPr>
                <w:rFonts w:ascii="仿宋_GB2312" w:hAnsi="宋体" w:eastAsia="仿宋_GB2312" w:cs="宋体"/>
                <w:kern w:val="0"/>
                <w:sz w:val="21"/>
                <w:szCs w:val="21"/>
                <w:highlight w:val="none"/>
              </w:rPr>
              <w:t>由于国家知识产权局拨付的代办处补贴款已连续两年逐年减少，保护中心在申报2023年预算时已降低</w:t>
            </w:r>
            <w:r>
              <w:rPr>
                <w:rFonts w:hint="eastAsia" w:ascii="仿宋_GB2312" w:hAnsi="宋体" w:eastAsia="仿宋_GB2312" w:cs="宋体"/>
                <w:kern w:val="0"/>
                <w:sz w:val="21"/>
                <w:szCs w:val="21"/>
                <w:highlight w:val="none"/>
              </w:rPr>
              <w:t>了</w:t>
            </w:r>
            <w:r>
              <w:rPr>
                <w:rFonts w:ascii="仿宋_GB2312" w:hAnsi="宋体" w:eastAsia="仿宋_GB2312" w:cs="宋体"/>
                <w:kern w:val="0"/>
                <w:sz w:val="21"/>
                <w:szCs w:val="21"/>
                <w:highlight w:val="none"/>
              </w:rPr>
              <w:t>预测拨付的</w:t>
            </w:r>
            <w:r>
              <w:rPr>
                <w:rFonts w:hint="eastAsia" w:ascii="仿宋_GB2312" w:hAnsi="宋体" w:eastAsia="仿宋_GB2312" w:cs="宋体"/>
                <w:kern w:val="0"/>
                <w:sz w:val="21"/>
                <w:szCs w:val="21"/>
                <w:highlight w:val="none"/>
              </w:rPr>
              <w:t>金额</w:t>
            </w:r>
            <w:r>
              <w:rPr>
                <w:rFonts w:ascii="仿宋_GB2312" w:hAnsi="宋体" w:eastAsia="仿宋_GB2312" w:cs="宋体"/>
                <w:kern w:val="0"/>
                <w:sz w:val="21"/>
                <w:szCs w:val="21"/>
                <w:highlight w:val="none"/>
              </w:rPr>
              <w:t>。</w:t>
            </w:r>
          </w:p>
        </w:tc>
      </w:tr>
      <w:tr>
        <w:tblPrEx>
          <w:tblCellMar>
            <w:top w:w="0" w:type="dxa"/>
            <w:left w:w="108" w:type="dxa"/>
            <w:bottom w:w="0" w:type="dxa"/>
            <w:right w:w="108" w:type="dxa"/>
          </w:tblCellMar>
        </w:tblPrEx>
        <w:trPr>
          <w:trHeight w:val="2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积极打造“一站式”服务窗口，竭力服务创新发展，为优化首都营商环境，助力全市科创中心建设提供支撑</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好坏</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20"/>
                <w:szCs w:val="21"/>
              </w:rPr>
            </w:pPr>
            <w:r>
              <w:rPr>
                <w:rFonts w:hint="eastAsia" w:ascii="仿宋_GB2312" w:hAnsi="宋体" w:eastAsia="仿宋_GB2312" w:cs="宋体"/>
                <w:color w:val="000000"/>
                <w:kern w:val="0"/>
                <w:sz w:val="20"/>
                <w:szCs w:val="21"/>
              </w:rPr>
              <w:t>扎实推进“我为群众办实事”实践活动和服务“两区”建设的重要举措。窗口启动后，企业和群众可以“一站式”办理专利申请、缴费、专利权质押登记，商标注册申请、变更、质权登记以及专利侵权纠纷行政裁决立案、知识产权仲裁立案咨询、地理标志保护咨询等业务，实现了由原来的单一专利相关业务到专利、商标、地理标志三种类型20余项相关业务的扩展，知识产权行政保护、纠纷仲裁调解等实现有效衔接。</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对第三方公司满意度</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95%</w:t>
            </w:r>
          </w:p>
        </w:tc>
        <w:tc>
          <w:tcPr>
            <w:tcW w:w="14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rPr>
              <w:t>98.52</w:t>
            </w:r>
          </w:p>
        </w:tc>
        <w:tc>
          <w:tcPr>
            <w:tcW w:w="2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文本框 2" o:spid="_x0000_s4097" o:spt="202" type="#_x0000_t202" style="position:absolute;left:0pt;margin-top:0pt;height:144pt;width:144pt;mso-position-horizontal:right;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xZGZmZTMyMWI5M2JjYmM5MzhiZDA4MmNjZTIyZmEifQ=="/>
  </w:docVars>
  <w:rsids>
    <w:rsidRoot w:val="F77F09F4"/>
    <w:rsid w:val="00016A79"/>
    <w:rsid w:val="00053536"/>
    <w:rsid w:val="000552FE"/>
    <w:rsid w:val="00087527"/>
    <w:rsid w:val="000A0D45"/>
    <w:rsid w:val="000A2B8E"/>
    <w:rsid w:val="000B6408"/>
    <w:rsid w:val="000C1C35"/>
    <w:rsid w:val="000F62FD"/>
    <w:rsid w:val="00112403"/>
    <w:rsid w:val="00146CC5"/>
    <w:rsid w:val="00171B51"/>
    <w:rsid w:val="001A1F92"/>
    <w:rsid w:val="001E1F59"/>
    <w:rsid w:val="00215478"/>
    <w:rsid w:val="00274506"/>
    <w:rsid w:val="002752AE"/>
    <w:rsid w:val="00281157"/>
    <w:rsid w:val="0028794C"/>
    <w:rsid w:val="002A1358"/>
    <w:rsid w:val="002D72CD"/>
    <w:rsid w:val="002F7EF1"/>
    <w:rsid w:val="00302A9B"/>
    <w:rsid w:val="003354B6"/>
    <w:rsid w:val="00364D16"/>
    <w:rsid w:val="00365D4A"/>
    <w:rsid w:val="003A3836"/>
    <w:rsid w:val="00476D4B"/>
    <w:rsid w:val="004A20FC"/>
    <w:rsid w:val="004A7A09"/>
    <w:rsid w:val="004F510C"/>
    <w:rsid w:val="00553A70"/>
    <w:rsid w:val="005B57DA"/>
    <w:rsid w:val="005D4FB7"/>
    <w:rsid w:val="00646F62"/>
    <w:rsid w:val="00666158"/>
    <w:rsid w:val="00683E6C"/>
    <w:rsid w:val="0069033A"/>
    <w:rsid w:val="006955DA"/>
    <w:rsid w:val="006A5E32"/>
    <w:rsid w:val="006F52F3"/>
    <w:rsid w:val="00734CC1"/>
    <w:rsid w:val="00746C4D"/>
    <w:rsid w:val="00777211"/>
    <w:rsid w:val="007B0793"/>
    <w:rsid w:val="007B07FE"/>
    <w:rsid w:val="007C40A1"/>
    <w:rsid w:val="007E1537"/>
    <w:rsid w:val="008075FF"/>
    <w:rsid w:val="00851960"/>
    <w:rsid w:val="0086269E"/>
    <w:rsid w:val="00883A64"/>
    <w:rsid w:val="008A5A56"/>
    <w:rsid w:val="008B7A79"/>
    <w:rsid w:val="008C4C1A"/>
    <w:rsid w:val="008D6502"/>
    <w:rsid w:val="008D6FB1"/>
    <w:rsid w:val="008F3571"/>
    <w:rsid w:val="00902408"/>
    <w:rsid w:val="00923C99"/>
    <w:rsid w:val="00932A82"/>
    <w:rsid w:val="00947E55"/>
    <w:rsid w:val="0096378E"/>
    <w:rsid w:val="009A36A7"/>
    <w:rsid w:val="009B3336"/>
    <w:rsid w:val="009D7D1C"/>
    <w:rsid w:val="009F5B79"/>
    <w:rsid w:val="00A51C51"/>
    <w:rsid w:val="00A65473"/>
    <w:rsid w:val="00A82A38"/>
    <w:rsid w:val="00AC5CF2"/>
    <w:rsid w:val="00AF2F31"/>
    <w:rsid w:val="00B12009"/>
    <w:rsid w:val="00B46036"/>
    <w:rsid w:val="00B509FC"/>
    <w:rsid w:val="00B51EF7"/>
    <w:rsid w:val="00B54FC9"/>
    <w:rsid w:val="00B757C8"/>
    <w:rsid w:val="00BA6A92"/>
    <w:rsid w:val="00BD7454"/>
    <w:rsid w:val="00BE2F9B"/>
    <w:rsid w:val="00C661A8"/>
    <w:rsid w:val="00CA40C2"/>
    <w:rsid w:val="00CC3D43"/>
    <w:rsid w:val="00CD0714"/>
    <w:rsid w:val="00CD3467"/>
    <w:rsid w:val="00CE03AC"/>
    <w:rsid w:val="00D17FAA"/>
    <w:rsid w:val="00D612E8"/>
    <w:rsid w:val="00DE345A"/>
    <w:rsid w:val="00DE35E7"/>
    <w:rsid w:val="00E05A97"/>
    <w:rsid w:val="00E47AC8"/>
    <w:rsid w:val="00E553B5"/>
    <w:rsid w:val="00EA7330"/>
    <w:rsid w:val="00ED46EF"/>
    <w:rsid w:val="00EF38FD"/>
    <w:rsid w:val="00F411F8"/>
    <w:rsid w:val="00F5738B"/>
    <w:rsid w:val="00F62731"/>
    <w:rsid w:val="00F6435D"/>
    <w:rsid w:val="00F860E5"/>
    <w:rsid w:val="00F97AED"/>
    <w:rsid w:val="00FA0F7E"/>
    <w:rsid w:val="00FA4E4D"/>
    <w:rsid w:val="00FD27F7"/>
    <w:rsid w:val="00FE72D7"/>
    <w:rsid w:val="28B81035"/>
    <w:rsid w:val="37173543"/>
    <w:rsid w:val="3FF76880"/>
    <w:rsid w:val="51E3251B"/>
    <w:rsid w:val="64CF28C9"/>
    <w:rsid w:val="777D8F66"/>
    <w:rsid w:val="7AB7FF50"/>
    <w:rsid w:val="7BBA4E35"/>
    <w:rsid w:val="7BFEB0DB"/>
    <w:rsid w:val="7F9B608E"/>
    <w:rsid w:val="97FE59CF"/>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4"/>
    <w:semiHidden/>
    <w:unhideWhenUsed/>
    <w:qFormat/>
    <w:uiPriority w:val="0"/>
    <w:rPr>
      <w:b/>
      <w:bCs/>
    </w:rPr>
  </w:style>
  <w:style w:type="character" w:styleId="10">
    <w:name w:val="annotation reference"/>
    <w:basedOn w:val="9"/>
    <w:qFormat/>
    <w:uiPriority w:val="0"/>
    <w:rPr>
      <w:sz w:val="21"/>
      <w:szCs w:val="21"/>
    </w:rPr>
  </w:style>
  <w:style w:type="paragraph" w:customStyle="1" w:styleId="11">
    <w:name w:val="列出段落1"/>
    <w:basedOn w:val="1"/>
    <w:qFormat/>
    <w:uiPriority w:val="34"/>
    <w:pPr>
      <w:ind w:firstLine="420" w:firstLineChars="200"/>
    </w:pPr>
    <w:rPr>
      <w:rFonts w:ascii="Calibri" w:hAnsi="Calibri" w:cs="黑体"/>
      <w:szCs w:val="22"/>
    </w:rPr>
  </w:style>
  <w:style w:type="character" w:customStyle="1" w:styleId="12">
    <w:name w:val="批注框文本 字符"/>
    <w:basedOn w:val="9"/>
    <w:link w:val="4"/>
    <w:qFormat/>
    <w:uiPriority w:val="0"/>
    <w:rPr>
      <w:rFonts w:ascii="Times New Roman" w:hAnsi="Times New Roman" w:eastAsia="宋体" w:cs="Times New Roman"/>
      <w:kern w:val="2"/>
      <w:sz w:val="18"/>
      <w:szCs w:val="18"/>
    </w:rPr>
  </w:style>
  <w:style w:type="character" w:customStyle="1" w:styleId="13">
    <w:name w:val="批注文字 字符"/>
    <w:basedOn w:val="9"/>
    <w:link w:val="3"/>
    <w:qFormat/>
    <w:uiPriority w:val="0"/>
    <w:rPr>
      <w:rFonts w:ascii="Times New Roman" w:hAnsi="Times New Roman" w:eastAsia="宋体" w:cs="Times New Roman"/>
      <w:kern w:val="2"/>
      <w:sz w:val="21"/>
      <w:szCs w:val="24"/>
    </w:rPr>
  </w:style>
  <w:style w:type="character" w:customStyle="1" w:styleId="14">
    <w:name w:val="批注主题 字符"/>
    <w:basedOn w:val="13"/>
    <w:link w:val="7"/>
    <w:semiHidden/>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Pages>
  <Words>286</Words>
  <Characters>1633</Characters>
  <Lines>13</Lines>
  <Paragraphs>3</Paragraphs>
  <TotalTime>9</TotalTime>
  <ScaleCrop>false</ScaleCrop>
  <LinksUpToDate>false</LinksUpToDate>
  <CharactersWithSpaces>1916</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2023-06-09T15:55:00Z</dcterms:created>
  <dc:creator>user</dc:creator>
  <cp:lastModifiedBy>user</cp:lastModifiedBy>
  <cp:lastPrinted>2022-03-26T02:01:00Z</cp:lastPrinted>
  <dcterms:modified xsi:type="dcterms:W3CDTF">2023-06-28T16:08:31Z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D86707769AB04DCC935F4A71F8BEEF82</vt:lpwstr>
  </property>
</Properties>
</file>