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7"/>
        <w:tblW w:w="5208" w:type="pct"/>
        <w:jc w:val="center"/>
        <w:tblLayout w:type="fixed"/>
        <w:tblCellMar>
          <w:top w:w="0" w:type="dxa"/>
          <w:left w:w="108" w:type="dxa"/>
          <w:bottom w:w="0" w:type="dxa"/>
          <w:right w:w="108" w:type="dxa"/>
        </w:tblCellMar>
      </w:tblPr>
      <w:tblGrid>
        <w:gridCol w:w="548"/>
        <w:gridCol w:w="747"/>
        <w:gridCol w:w="1200"/>
        <w:gridCol w:w="872"/>
        <w:gridCol w:w="888"/>
        <w:gridCol w:w="859"/>
        <w:gridCol w:w="1291"/>
        <w:gridCol w:w="414"/>
        <w:gridCol w:w="240"/>
        <w:gridCol w:w="360"/>
        <w:gridCol w:w="664"/>
        <w:gridCol w:w="794"/>
      </w:tblGrid>
      <w:tr>
        <w:tblPrEx>
          <w:tblCellMar>
            <w:top w:w="0" w:type="dxa"/>
            <w:left w:w="108" w:type="dxa"/>
            <w:bottom w:w="0" w:type="dxa"/>
            <w:right w:w="108" w:type="dxa"/>
          </w:tblCellMar>
        </w:tblPrEx>
        <w:trPr>
          <w:trHeight w:val="306" w:hRule="exact"/>
          <w:jc w:val="center"/>
        </w:trPr>
        <w:tc>
          <w:tcPr>
            <w:tcW w:w="72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271" w:type="pct"/>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北京市知识产权保险试点工作</w:t>
            </w:r>
          </w:p>
        </w:tc>
      </w:tr>
      <w:tr>
        <w:tblPrEx>
          <w:tblCellMar>
            <w:top w:w="0" w:type="dxa"/>
            <w:left w:w="108" w:type="dxa"/>
            <w:bottom w:w="0" w:type="dxa"/>
            <w:right w:w="108" w:type="dxa"/>
          </w:tblCellMar>
        </w:tblPrEx>
        <w:trPr>
          <w:trHeight w:val="306" w:hRule="exact"/>
          <w:jc w:val="center"/>
        </w:trPr>
        <w:tc>
          <w:tcPr>
            <w:tcW w:w="72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2151"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w:t>
            </w:r>
            <w:r>
              <w:rPr>
                <w:rFonts w:ascii="仿宋_GB2312" w:hAnsi="宋体" w:eastAsia="仿宋_GB2312" w:cs="宋体"/>
                <w:kern w:val="0"/>
                <w:szCs w:val="21"/>
              </w:rPr>
              <w:t>知识产权局</w:t>
            </w:r>
          </w:p>
        </w:tc>
        <w:tc>
          <w:tcPr>
            <w:tcW w:w="72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392"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北京市知识产权局本级</w:t>
            </w:r>
          </w:p>
          <w:p>
            <w:pPr>
              <w:widowControl/>
              <w:spacing w:line="24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72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2151"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李春玲、石英</w:t>
            </w:r>
          </w:p>
        </w:tc>
        <w:tc>
          <w:tcPr>
            <w:tcW w:w="72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392"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66127117</w:t>
            </w:r>
          </w:p>
        </w:tc>
      </w:tr>
      <w:tr>
        <w:tblPrEx>
          <w:tblCellMar>
            <w:top w:w="0" w:type="dxa"/>
            <w:left w:w="108" w:type="dxa"/>
            <w:bottom w:w="0" w:type="dxa"/>
            <w:right w:w="108" w:type="dxa"/>
          </w:tblCellMar>
        </w:tblPrEx>
        <w:trPr>
          <w:trHeight w:val="567" w:hRule="exact"/>
          <w:jc w:val="center"/>
        </w:trPr>
        <w:tc>
          <w:tcPr>
            <w:tcW w:w="729"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16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48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72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368"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44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72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7"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50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1511.4</w:t>
            </w:r>
          </w:p>
        </w:tc>
        <w:tc>
          <w:tcPr>
            <w:tcW w:w="48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1511.4</w:t>
            </w:r>
          </w:p>
        </w:tc>
        <w:tc>
          <w:tcPr>
            <w:tcW w:w="72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1500</w:t>
            </w:r>
          </w:p>
        </w:tc>
        <w:tc>
          <w:tcPr>
            <w:tcW w:w="368"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w:t>
            </w:r>
            <w:r>
              <w:rPr>
                <w:rFonts w:ascii="仿宋_GB2312" w:hAnsi="宋体" w:eastAsia="仿宋_GB2312" w:cs="宋体"/>
                <w:kern w:val="0"/>
                <w:szCs w:val="21"/>
              </w:rPr>
              <w:t>%</w:t>
            </w:r>
          </w:p>
        </w:tc>
        <w:tc>
          <w:tcPr>
            <w:tcW w:w="44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w:t>
            </w:r>
          </w:p>
        </w:tc>
      </w:tr>
      <w:tr>
        <w:tblPrEx>
          <w:tblCellMar>
            <w:top w:w="0" w:type="dxa"/>
            <w:left w:w="108" w:type="dxa"/>
            <w:bottom w:w="0" w:type="dxa"/>
            <w:right w:w="108" w:type="dxa"/>
          </w:tblCellMar>
        </w:tblPrEx>
        <w:trPr>
          <w:trHeight w:val="346" w:hRule="exact"/>
          <w:jc w:val="center"/>
        </w:trPr>
        <w:tc>
          <w:tcPr>
            <w:tcW w:w="72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7"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50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1511.4</w:t>
            </w:r>
          </w:p>
        </w:tc>
        <w:tc>
          <w:tcPr>
            <w:tcW w:w="48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1511.4</w:t>
            </w:r>
          </w:p>
        </w:tc>
        <w:tc>
          <w:tcPr>
            <w:tcW w:w="72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1500</w:t>
            </w:r>
          </w:p>
        </w:tc>
        <w:tc>
          <w:tcPr>
            <w:tcW w:w="368"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w:t>
            </w:r>
            <w:r>
              <w:rPr>
                <w:rFonts w:ascii="仿宋_GB2312" w:hAnsi="宋体" w:eastAsia="仿宋_GB2312" w:cs="宋体"/>
                <w:kern w:val="0"/>
                <w:szCs w:val="21"/>
              </w:rPr>
              <w:t>%</w:t>
            </w:r>
          </w:p>
        </w:tc>
        <w:tc>
          <w:tcPr>
            <w:tcW w:w="44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57" w:hRule="exact"/>
          <w:jc w:val="center"/>
        </w:trPr>
        <w:tc>
          <w:tcPr>
            <w:tcW w:w="72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7"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50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8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2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68"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72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7"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50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8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2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68"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309"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2088"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2603"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836" w:hRule="exact"/>
          <w:jc w:val="center"/>
        </w:trPr>
        <w:tc>
          <w:tcPr>
            <w:tcW w:w="30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88" w:type="pct"/>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知识产权保险试点工作，促进知识产权与金融资源深度融合，引入现代金融保险手段促进科技创新和知识产权保护运用。通过创新运用知识产权保险产品，维护公平竞争的市场秩序，优化首都营商环境，增强优质企业在京发展信心，扶持中小微企业发展，激发企业创新活力，促进经济发展动能从要素驱动向创新驱动转变，支撑全国科技创新中心建设。</w:t>
            </w:r>
          </w:p>
        </w:tc>
        <w:tc>
          <w:tcPr>
            <w:tcW w:w="2603" w:type="pct"/>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color w:val="000000"/>
                <w:kern w:val="0"/>
                <w:szCs w:val="21"/>
              </w:rPr>
              <w:t>2022年，通过组织项目实施，一方面，加强对冠军企业和重点领域中小微企业等投保企业的保障支持，有效降低了企业知识产权维权成本和被侵权损失，促进科技创新和知识产权保护运用，另一方面，通过推动保险机构与银行金融机构的合作，有效促进了知识产权与金融资源深度融合。通过广泛的宣传报道，市场主体对首都知识产权保护信心进一步增强，创新动力进一步提升，有效维护了公平竞争的市场秩序，优化首都营商环境，为国际科技创新中心建设提供了有力支撑，得到众多媒体的广泛报道。</w:t>
            </w:r>
          </w:p>
        </w:tc>
      </w:tr>
      <w:tr>
        <w:tblPrEx>
          <w:tblCellMar>
            <w:top w:w="0" w:type="dxa"/>
            <w:left w:w="108" w:type="dxa"/>
            <w:bottom w:w="0" w:type="dxa"/>
            <w:right w:w="108" w:type="dxa"/>
          </w:tblCellMar>
        </w:tblPrEx>
        <w:trPr>
          <w:trHeight w:val="830" w:hRule="exact"/>
          <w:jc w:val="center"/>
        </w:trPr>
        <w:tc>
          <w:tcPr>
            <w:tcW w:w="309"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67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004" w:hRule="exact"/>
          <w:jc w:val="center"/>
        </w:trPr>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6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补贴冠军企业以及重点领域中小微企业的家数</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不少于140家</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158家</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584" w:hRule="exact"/>
          <w:jc w:val="center"/>
        </w:trPr>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年度投保企业数量占当年度拥有专利且符合支持条件企业数量的比例</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不低于30</w:t>
            </w:r>
            <w:r>
              <w:rPr>
                <w:rFonts w:ascii="仿宋_GB2312" w:hAnsi="宋体" w:eastAsia="仿宋_GB2312" w:cs="宋体"/>
                <w:kern w:val="0"/>
                <w:szCs w:val="21"/>
              </w:rPr>
              <w:t>%</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39.5%</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61" w:hRule="exact"/>
          <w:jc w:val="center"/>
        </w:trPr>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完成补贴资金发放最晚时间</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按照时间要求，于10月底前完成</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90" w:hRule="exact"/>
          <w:jc w:val="center"/>
        </w:trPr>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知识产权保险保费补贴预算</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1500万元</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1500万元</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3" w:hRule="exact"/>
          <w:jc w:val="center"/>
        </w:trPr>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6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获保专利风险保障额</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不少于7亿元</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20.649亿元</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554" w:hRule="exact"/>
          <w:jc w:val="center"/>
        </w:trPr>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专利维权案件增长率</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不低于10</w:t>
            </w:r>
            <w:r>
              <w:rPr>
                <w:rFonts w:ascii="仿宋_GB2312" w:hAnsi="宋体" w:eastAsia="仿宋_GB2312" w:cs="宋体"/>
                <w:kern w:val="0"/>
                <w:szCs w:val="21"/>
              </w:rPr>
              <w:t>%</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下降92.4</w:t>
            </w:r>
            <w:r>
              <w:rPr>
                <w:rFonts w:ascii="仿宋_GB2312" w:hAnsi="宋体" w:eastAsia="仿宋_GB2312" w:cs="宋体"/>
                <w:kern w:val="0"/>
                <w:szCs w:val="21"/>
              </w:rPr>
              <w:t>%</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447" w:type="pct"/>
            <w:tcBorders>
              <w:top w:val="single" w:color="auto" w:sz="4" w:space="0"/>
              <w:left w:val="nil"/>
              <w:bottom w:val="single" w:color="auto" w:sz="4" w:space="0"/>
              <w:right w:val="single" w:color="auto" w:sz="4" w:space="0"/>
            </w:tcBorders>
            <w:vAlign w:val="center"/>
          </w:tcPr>
          <w:p>
            <w:pPr>
              <w:widowControl/>
              <w:spacing w:line="200" w:lineRule="exact"/>
              <w:jc w:val="center"/>
              <w:rPr>
                <w:rFonts w:ascii="仿宋_GB2312" w:hAnsi="宋体" w:eastAsia="仿宋_GB2312" w:cs="宋体"/>
                <w:kern w:val="0"/>
                <w:sz w:val="13"/>
                <w:szCs w:val="16"/>
              </w:rPr>
            </w:pPr>
            <w:r>
              <w:rPr>
                <w:rFonts w:hint="eastAsia" w:ascii="仿宋_GB2312" w:hAnsi="宋体" w:eastAsia="仿宋_GB2312" w:cs="宋体"/>
                <w:kern w:val="0"/>
                <w:sz w:val="13"/>
                <w:szCs w:val="11"/>
              </w:rPr>
              <w:t>因2022年</w:t>
            </w:r>
            <w:r>
              <w:rPr>
                <w:rFonts w:ascii="仿宋_GB2312" w:hAnsi="宋体" w:eastAsia="仿宋_GB2312" w:cs="宋体"/>
                <w:kern w:val="0"/>
                <w:sz w:val="13"/>
                <w:szCs w:val="11"/>
              </w:rPr>
              <w:t>疫情等客观因素影响，</w:t>
            </w:r>
            <w:r>
              <w:rPr>
                <w:rFonts w:hint="eastAsia" w:ascii="仿宋_GB2312" w:hAnsi="宋体" w:eastAsia="仿宋_GB2312" w:cs="宋体"/>
                <w:kern w:val="0"/>
                <w:sz w:val="13"/>
                <w:szCs w:val="11"/>
              </w:rPr>
              <w:t>市知识产权局办理专利侵权纠纷行政裁决案件数量较</w:t>
            </w:r>
            <w:r>
              <w:rPr>
                <w:rFonts w:ascii="仿宋_GB2312" w:hAnsi="宋体" w:eastAsia="仿宋_GB2312" w:cs="宋体"/>
                <w:kern w:val="0"/>
                <w:sz w:val="13"/>
                <w:szCs w:val="11"/>
              </w:rPr>
              <w:t>去年有所下降</w:t>
            </w:r>
            <w:r>
              <w:rPr>
                <w:rFonts w:hint="eastAsia" w:ascii="仿宋_GB2312" w:hAnsi="宋体" w:eastAsia="仿宋_GB2312" w:cs="宋体"/>
                <w:kern w:val="0"/>
                <w:sz w:val="13"/>
                <w:szCs w:val="11"/>
              </w:rPr>
              <w:t>，客观因素</w:t>
            </w:r>
            <w:r>
              <w:rPr>
                <w:rFonts w:ascii="仿宋_GB2312" w:hAnsi="宋体" w:eastAsia="仿宋_GB2312" w:cs="宋体"/>
                <w:kern w:val="0"/>
                <w:sz w:val="13"/>
                <w:szCs w:val="11"/>
              </w:rPr>
              <w:t>导致该指标未完成</w:t>
            </w:r>
            <w:r>
              <w:rPr>
                <w:rFonts w:hint="eastAsia" w:ascii="仿宋_GB2312" w:hAnsi="宋体" w:eastAsia="仿宋_GB2312" w:cs="宋体"/>
                <w:kern w:val="0"/>
                <w:sz w:val="13"/>
                <w:szCs w:val="11"/>
              </w:rPr>
              <w:t>，酌情</w:t>
            </w:r>
            <w:r>
              <w:rPr>
                <w:rFonts w:ascii="仿宋_GB2312" w:hAnsi="宋体" w:eastAsia="仿宋_GB2312" w:cs="宋体"/>
                <w:kern w:val="0"/>
                <w:sz w:val="13"/>
                <w:szCs w:val="11"/>
              </w:rPr>
              <w:t>扣3</w:t>
            </w:r>
            <w:r>
              <w:rPr>
                <w:rFonts w:hint="eastAsia" w:ascii="仿宋_GB2312" w:hAnsi="宋体" w:eastAsia="仿宋_GB2312" w:cs="宋体"/>
                <w:kern w:val="0"/>
                <w:sz w:val="13"/>
                <w:szCs w:val="11"/>
              </w:rPr>
              <w:t>分</w:t>
            </w:r>
            <w:r>
              <w:rPr>
                <w:rFonts w:ascii="仿宋_GB2312" w:hAnsi="宋体" w:eastAsia="仿宋_GB2312" w:cs="宋体"/>
                <w:kern w:val="0"/>
                <w:sz w:val="13"/>
                <w:szCs w:val="11"/>
              </w:rPr>
              <w:t>。</w:t>
            </w:r>
          </w:p>
        </w:tc>
      </w:tr>
      <w:tr>
        <w:tblPrEx>
          <w:tblCellMar>
            <w:top w:w="0" w:type="dxa"/>
            <w:left w:w="108" w:type="dxa"/>
            <w:bottom w:w="0" w:type="dxa"/>
            <w:right w:w="108" w:type="dxa"/>
          </w:tblCellMar>
        </w:tblPrEx>
        <w:trPr>
          <w:trHeight w:val="7494" w:hRule="exact"/>
          <w:jc w:val="center"/>
        </w:trPr>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创新运用知识产权保险产品，维护公平竞争的市场秩序，优化首都营商环境，增强优质企业在京发展信心，扶持中小微企业发展，激发企业创新活力，促进经济发展动能从要素驱动向创新驱动转变，支撑全国科技创新中心建设。</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有效促进</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2022年9月1日，在服贸会“两区”建设两周年为主题的“北京主题日”活动上，试点工作获评2022年“两区”建设十大最具影响力政策。知识产权保险试点项目从实用性、创新性、开放性三个维度均获得了社会认可，一方面降低了企业维权成本、提升企业维权能力，对构建北京市知识产权“大保护”格局形成了有力推动；另一方面通过建立知识产权保险试点工作协调机制，形成了知识产权保险“北京样板”，为北京市营造国际一流的知识产权营商环境、形成与国际接轨的制度创新体系，服务“两区”建设迈出了坚实的一步。</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p>
        </w:tc>
      </w:tr>
      <w:tr>
        <w:tblPrEx>
          <w:tblCellMar>
            <w:top w:w="0" w:type="dxa"/>
            <w:left w:w="108" w:type="dxa"/>
            <w:bottom w:w="0" w:type="dxa"/>
            <w:right w:w="108" w:type="dxa"/>
          </w:tblCellMar>
        </w:tblPrEx>
        <w:trPr>
          <w:trHeight w:val="9853" w:hRule="exact"/>
          <w:jc w:val="center"/>
        </w:trPr>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促进知识产权保险事业发展、首都营商环境营造和全国科技创新中心建设</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有效促进</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 w:val="15"/>
                <w:szCs w:val="15"/>
              </w:rPr>
              <w:t>知识产权保险试点工作开展三年来，充分发挥政府组织协调和公共服务职能，市、区两级政策支持体系初步形成；试点保险公司良性竞争机制日渐成熟，保障力度不断加大，保险服务体系进一步完善，首都营商环境进一步优化；保费补贴退坡机制稳步推进，有力推动知识产权保险市场化发展；持续指导试点保险公司积极开展增值服务，组织知识产权代理机构、信息服务机构、律所和金融机构等近20家第三方机构，围绕企业实际需求提供知识产权培训、讲座、法律咨询等服务39次，出具专利体检报告、创新评价报告、侵权分析报告和诉前评价报告等相关报告近千份，为企业创新发展保驾护航的知识产权保险服务业态已初见端倪；运用商业保险的风险分担机制和专业服务资源，有效降低企业知识产权维权成本和被侵权损失，提升了企业维权能力，推动了北京市知识产权“大保护”格局的构建，同时也促进了北京市知识产权领域的制度创新。</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336" w:hRule="exact"/>
          <w:jc w:val="center"/>
        </w:trPr>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6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99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受资助单位满意度（受调查比例不小于10%的情况下）</w:t>
            </w:r>
          </w:p>
        </w:tc>
        <w:tc>
          <w:tcPr>
            <w:tcW w:w="48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不低于97.5</w:t>
            </w:r>
            <w:r>
              <w:rPr>
                <w:rFonts w:ascii="仿宋_GB2312" w:hAnsi="宋体" w:eastAsia="仿宋_GB2312" w:cs="宋体"/>
                <w:kern w:val="0"/>
                <w:szCs w:val="21"/>
              </w:rPr>
              <w:t>%</w:t>
            </w:r>
          </w:p>
        </w:tc>
        <w:tc>
          <w:tcPr>
            <w:tcW w:w="9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99.62</w:t>
            </w:r>
            <w:r>
              <w:rPr>
                <w:rFonts w:ascii="仿宋_GB2312" w:hAnsi="宋体" w:eastAsia="仿宋_GB2312" w:cs="宋体"/>
                <w:kern w:val="0"/>
                <w:szCs w:val="21"/>
              </w:rPr>
              <w:t>%</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3841" w:type="pct"/>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33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3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96.9</w:t>
            </w:r>
          </w:p>
        </w:tc>
        <w:tc>
          <w:tcPr>
            <w:tcW w:w="44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ZGZmZTMyMWI5M2JjYmM5MzhiZDA4MmNjZTIyZmEifQ=="/>
  </w:docVars>
  <w:rsids>
    <w:rsidRoot w:val="F77F09F4"/>
    <w:rsid w:val="0002570F"/>
    <w:rsid w:val="0012591C"/>
    <w:rsid w:val="00243AEB"/>
    <w:rsid w:val="002618C3"/>
    <w:rsid w:val="00284672"/>
    <w:rsid w:val="002F44C1"/>
    <w:rsid w:val="004228C4"/>
    <w:rsid w:val="0049398B"/>
    <w:rsid w:val="004F6E2A"/>
    <w:rsid w:val="00617D33"/>
    <w:rsid w:val="006A4039"/>
    <w:rsid w:val="007A54E3"/>
    <w:rsid w:val="00883C93"/>
    <w:rsid w:val="00985333"/>
    <w:rsid w:val="00AD479E"/>
    <w:rsid w:val="00BF57FA"/>
    <w:rsid w:val="00C16E90"/>
    <w:rsid w:val="00D25E29"/>
    <w:rsid w:val="00D30775"/>
    <w:rsid w:val="27E8285E"/>
    <w:rsid w:val="37173543"/>
    <w:rsid w:val="3FF76880"/>
    <w:rsid w:val="6DD2E989"/>
    <w:rsid w:val="777D8F66"/>
    <w:rsid w:val="7AB7FF50"/>
    <w:rsid w:val="7BBA4E35"/>
    <w:rsid w:val="7BFEB0DB"/>
    <w:rsid w:val="7F994717"/>
    <w:rsid w:val="7F9B608E"/>
    <w:rsid w:val="7FF3B586"/>
    <w:rsid w:val="9FFB615D"/>
    <w:rsid w:val="CEFD3F3D"/>
    <w:rsid w:val="E5D34E94"/>
    <w:rsid w:val="E76F2340"/>
    <w:rsid w:val="EA3F77F2"/>
    <w:rsid w:val="EEBF4ED9"/>
    <w:rsid w:val="EEFE5989"/>
    <w:rsid w:val="EFCF3EAE"/>
    <w:rsid w:val="EFFF3729"/>
    <w:rsid w:val="F5B764A2"/>
    <w:rsid w:val="F77F09F4"/>
    <w:rsid w:val="FF69D3D0"/>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Char"/>
    <w:basedOn w:val="8"/>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297</Words>
  <Characters>1698</Characters>
  <Lines>14</Lines>
  <Paragraphs>3</Paragraphs>
  <TotalTime>2</TotalTime>
  <ScaleCrop>false</ScaleCrop>
  <LinksUpToDate>false</LinksUpToDate>
  <CharactersWithSpaces>1992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2023-08-04T09:48:00Z</dcterms:created>
  <dc:creator>user</dc:creator>
  <cp:lastModifiedBy>user</cp:lastModifiedBy>
  <cp:lastPrinted>2022-03-27T18:01:00Z</cp:lastPrinted>
  <dcterms:modified xsi:type="dcterms:W3CDTF">2023-08-04T10:02:52Z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56B3EC55CE7F4BD0A2CAC9E40FE287E8</vt:lpwstr>
  </property>
</Properties>
</file>