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432"/>
        <w:gridCol w:w="414"/>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技术调查官制度研究</w:t>
            </w:r>
          </w:p>
        </w:tc>
      </w:tr>
      <w:tr>
        <w:tblPrEx>
          <w:tblCellMar>
            <w:top w:w="0" w:type="dxa"/>
            <w:left w:w="108" w:type="dxa"/>
            <w:bottom w:w="0" w:type="dxa"/>
            <w:right w:w="108" w:type="dxa"/>
          </w:tblCellMar>
        </w:tblPrEx>
        <w:trPr>
          <w:trHeight w:val="56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潘伟</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88012235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0.268</w:t>
            </w:r>
          </w:p>
        </w:tc>
        <w:tc>
          <w:tcPr>
            <w:tcW w:w="704" w:type="dxa"/>
            <w:gridSpan w:val="2"/>
            <w:tcBorders>
              <w:top w:val="nil"/>
              <w:left w:val="nil"/>
              <w:bottom w:val="single" w:color="auto" w:sz="4" w:space="0"/>
              <w:right w:val="single" w:color="auto" w:sz="4" w:space="0"/>
            </w:tcBorders>
            <w:vAlign w:val="center"/>
          </w:tcPr>
          <w:p>
            <w:pPr>
              <w:widowControl/>
              <w:spacing w:line="240" w:lineRule="exact"/>
              <w:ind w:firstLine="210" w:firstLineChars="100"/>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0.</w:t>
            </w:r>
            <w:r>
              <w:rPr>
                <w:rFonts w:hint="eastAsia" w:ascii="仿宋_GB2312" w:hAnsi="宋体" w:eastAsia="仿宋_GB2312" w:cs="宋体"/>
                <w:kern w:val="0"/>
                <w:szCs w:val="21"/>
                <w:lang w:val="en-US" w:eastAsia="zh-CN"/>
              </w:rPr>
              <w:t>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13.2</w:t>
            </w:r>
          </w:p>
        </w:tc>
        <w:tc>
          <w:tcPr>
            <w:tcW w:w="1127" w:type="dxa"/>
            <w:gridSpan w:val="2"/>
            <w:tcBorders>
              <w:top w:val="nil"/>
              <w:left w:val="nil"/>
              <w:bottom w:val="single" w:color="auto" w:sz="4" w:space="0"/>
              <w:right w:val="single" w:color="auto" w:sz="4" w:space="0"/>
            </w:tcBorders>
            <w:vAlign w:val="center"/>
          </w:tcPr>
          <w:p>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0.268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0.02</w:t>
            </w:r>
          </w:p>
        </w:tc>
        <w:tc>
          <w:tcPr>
            <w:tcW w:w="710" w:type="dxa"/>
            <w:tcBorders>
              <w:top w:val="nil"/>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0.</w:t>
            </w:r>
            <w:r>
              <w:rPr>
                <w:rFonts w:hint="eastAsia" w:ascii="仿宋_GB2312" w:hAnsi="宋体" w:eastAsia="仿宋_GB2312" w:cs="宋体"/>
                <w:kern w:val="0"/>
                <w:szCs w:val="21"/>
                <w:lang w:val="en-US" w:eastAsia="zh-CN"/>
              </w:rPr>
              <w:t>2</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依据《知识产权强国建设纲要（2021-2035）》，完善北京市知识产权局技术调查官制度提高北京市知识产权局开展行政保护的公正和效率。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已按计划完成相应指标。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时效指标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课题完成时间</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highlight w:val="none"/>
              </w:rPr>
              <w:t>1</w:t>
            </w:r>
            <w:r>
              <w:rPr>
                <w:rFonts w:hint="eastAsia" w:ascii="仿宋_GB2312" w:hAnsi="仿宋_GB2312" w:eastAsia="仿宋_GB2312" w:cs="仿宋_GB2312"/>
                <w:kern w:val="0"/>
                <w:sz w:val="21"/>
                <w:szCs w:val="21"/>
                <w:highlight w:val="none"/>
                <w:lang w:val="en-US" w:eastAsia="zh-CN"/>
              </w:rPr>
              <w:t>2月</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质量指标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完善的技术调查官制度</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定性：优良中低差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优</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质量指标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对技术调查官名录进行整理，增聘符合要求的技术调查官</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定性：优良中低差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数量指标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技术调查官名录</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color w:val="000000"/>
                <w:kern w:val="0"/>
                <w:sz w:val="21"/>
                <w:szCs w:val="21"/>
                <w:u w:val="none"/>
                <w:lang w:val="en-US" w:eastAsia="zh-CN" w:bidi="ar"/>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highlight w:val="none"/>
                <w:lang w:val="en-US" w:eastAsia="zh-CN"/>
              </w:rPr>
              <w:t>1项</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20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成本指标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项目成本控制在17.6万元</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＝17.6万元/场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r>
              <w:rPr>
                <w:rFonts w:hint="eastAsia" w:ascii="仿宋_GB2312" w:hAnsi="仿宋_GB2312" w:eastAsia="仿宋_GB2312" w:cs="仿宋_GB2312"/>
                <w:kern w:val="0"/>
                <w:sz w:val="21"/>
                <w:szCs w:val="21"/>
                <w:lang w:val="en-US" w:eastAsia="zh-CN"/>
              </w:rPr>
              <w:t>0.268万元</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15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数量指标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北京市知权局技术调查官管理办法</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1项</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提高北京市知识产权局的行政保护公正和效率</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定性：优良中低差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社会效益指标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通过完善技术调查官制度，提高北京市知识产权局的行政保护公正和效率</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好</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85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90.2</w:t>
            </w:r>
          </w:p>
        </w:tc>
        <w:tc>
          <w:tcPr>
            <w:tcW w:w="11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000A1925"/>
    <w:rsid w:val="005200C6"/>
    <w:rsid w:val="00976CE6"/>
    <w:rsid w:val="00AF1080"/>
    <w:rsid w:val="00C86DA7"/>
    <w:rsid w:val="01195F10"/>
    <w:rsid w:val="05432806"/>
    <w:rsid w:val="069E3104"/>
    <w:rsid w:val="085E3594"/>
    <w:rsid w:val="0F9F7013"/>
    <w:rsid w:val="12B8636E"/>
    <w:rsid w:val="132C705F"/>
    <w:rsid w:val="17FF3E39"/>
    <w:rsid w:val="1B2D162E"/>
    <w:rsid w:val="1BF7EF30"/>
    <w:rsid w:val="1F6B5EEE"/>
    <w:rsid w:val="20666213"/>
    <w:rsid w:val="213005CE"/>
    <w:rsid w:val="21F202E7"/>
    <w:rsid w:val="22320BFA"/>
    <w:rsid w:val="22E65AA0"/>
    <w:rsid w:val="2419681A"/>
    <w:rsid w:val="25140EF8"/>
    <w:rsid w:val="25BE498B"/>
    <w:rsid w:val="26390A95"/>
    <w:rsid w:val="2AAE2ACB"/>
    <w:rsid w:val="2E949CD3"/>
    <w:rsid w:val="2FFF5772"/>
    <w:rsid w:val="31566E96"/>
    <w:rsid w:val="31586E54"/>
    <w:rsid w:val="316F7597"/>
    <w:rsid w:val="321E41A6"/>
    <w:rsid w:val="34E063FB"/>
    <w:rsid w:val="35FA79AD"/>
    <w:rsid w:val="36B4B1B1"/>
    <w:rsid w:val="37173543"/>
    <w:rsid w:val="37BB05D2"/>
    <w:rsid w:val="387D20C3"/>
    <w:rsid w:val="3B2E4859"/>
    <w:rsid w:val="3B751C89"/>
    <w:rsid w:val="3B8002A2"/>
    <w:rsid w:val="3BFA059E"/>
    <w:rsid w:val="3C6A7211"/>
    <w:rsid w:val="3E2B237B"/>
    <w:rsid w:val="3F48572E"/>
    <w:rsid w:val="3FBD6E66"/>
    <w:rsid w:val="3FF76880"/>
    <w:rsid w:val="41D93A1E"/>
    <w:rsid w:val="444D1945"/>
    <w:rsid w:val="449C3C74"/>
    <w:rsid w:val="453D2F08"/>
    <w:rsid w:val="464D6317"/>
    <w:rsid w:val="468B6C68"/>
    <w:rsid w:val="496D2CAD"/>
    <w:rsid w:val="4BFE1A67"/>
    <w:rsid w:val="4EF50F57"/>
    <w:rsid w:val="4FE4CE03"/>
    <w:rsid w:val="502B122A"/>
    <w:rsid w:val="50EE5CE5"/>
    <w:rsid w:val="554A4D7F"/>
    <w:rsid w:val="55EA48E1"/>
    <w:rsid w:val="56FF159F"/>
    <w:rsid w:val="571655FB"/>
    <w:rsid w:val="57FF4426"/>
    <w:rsid w:val="595E90FF"/>
    <w:rsid w:val="5B4F456B"/>
    <w:rsid w:val="5CFE9F72"/>
    <w:rsid w:val="5DFFFAFC"/>
    <w:rsid w:val="5EE57323"/>
    <w:rsid w:val="5F5577E2"/>
    <w:rsid w:val="5FC777E1"/>
    <w:rsid w:val="62CA4F73"/>
    <w:rsid w:val="64DA12B8"/>
    <w:rsid w:val="67E63311"/>
    <w:rsid w:val="69730ED8"/>
    <w:rsid w:val="69DEB341"/>
    <w:rsid w:val="69EFD01F"/>
    <w:rsid w:val="6ABAE54F"/>
    <w:rsid w:val="6B7F501D"/>
    <w:rsid w:val="6B8948D2"/>
    <w:rsid w:val="6BABBA1A"/>
    <w:rsid w:val="6C9C70DB"/>
    <w:rsid w:val="6DC86518"/>
    <w:rsid w:val="6FFFBEE5"/>
    <w:rsid w:val="70962E9E"/>
    <w:rsid w:val="71872E8D"/>
    <w:rsid w:val="737D32F1"/>
    <w:rsid w:val="73A96BDE"/>
    <w:rsid w:val="755F30B0"/>
    <w:rsid w:val="75FF7C4F"/>
    <w:rsid w:val="76106CA8"/>
    <w:rsid w:val="76F82CA0"/>
    <w:rsid w:val="777D8F66"/>
    <w:rsid w:val="77A58CDC"/>
    <w:rsid w:val="77F76A8E"/>
    <w:rsid w:val="78C965B1"/>
    <w:rsid w:val="79CA1591"/>
    <w:rsid w:val="79DABFA8"/>
    <w:rsid w:val="79F55191"/>
    <w:rsid w:val="7AB7FF50"/>
    <w:rsid w:val="7AC5D079"/>
    <w:rsid w:val="7B71DAA1"/>
    <w:rsid w:val="7B8B52C0"/>
    <w:rsid w:val="7BBA4E35"/>
    <w:rsid w:val="7BFEB0DB"/>
    <w:rsid w:val="7D4D5F78"/>
    <w:rsid w:val="7D725E9C"/>
    <w:rsid w:val="7DFFAC7F"/>
    <w:rsid w:val="7E0A3DAD"/>
    <w:rsid w:val="7E860475"/>
    <w:rsid w:val="7EF592CF"/>
    <w:rsid w:val="7EFE5247"/>
    <w:rsid w:val="7F0EF49E"/>
    <w:rsid w:val="7F3FA9AC"/>
    <w:rsid w:val="7F75B2F7"/>
    <w:rsid w:val="7F9B608E"/>
    <w:rsid w:val="7FB77783"/>
    <w:rsid w:val="7FD5A59F"/>
    <w:rsid w:val="7FD65444"/>
    <w:rsid w:val="7FFE180C"/>
    <w:rsid w:val="7FFFE1F9"/>
    <w:rsid w:val="9D93D11D"/>
    <w:rsid w:val="9FDFE92E"/>
    <w:rsid w:val="A3BF08FA"/>
    <w:rsid w:val="ADFF3176"/>
    <w:rsid w:val="AFDEA854"/>
    <w:rsid w:val="B3EF60E3"/>
    <w:rsid w:val="B47D5638"/>
    <w:rsid w:val="B7EF3356"/>
    <w:rsid w:val="B98DDC24"/>
    <w:rsid w:val="BBFFC662"/>
    <w:rsid w:val="BC7995D8"/>
    <w:rsid w:val="BE5D3F27"/>
    <w:rsid w:val="BE7AFEB4"/>
    <w:rsid w:val="BE7F5545"/>
    <w:rsid w:val="BF574D00"/>
    <w:rsid w:val="BF773EFB"/>
    <w:rsid w:val="C57D7E5D"/>
    <w:rsid w:val="CEFD3F3D"/>
    <w:rsid w:val="CFAF1E71"/>
    <w:rsid w:val="D2FFB1C2"/>
    <w:rsid w:val="D453E5A8"/>
    <w:rsid w:val="D67F5C11"/>
    <w:rsid w:val="DAD1C182"/>
    <w:rsid w:val="DB719BF7"/>
    <w:rsid w:val="DBFFE5AF"/>
    <w:rsid w:val="DDDD6C67"/>
    <w:rsid w:val="DE7CA28F"/>
    <w:rsid w:val="DF776FF5"/>
    <w:rsid w:val="DFBD3A81"/>
    <w:rsid w:val="DFEA5BE3"/>
    <w:rsid w:val="DFFF7F00"/>
    <w:rsid w:val="DFFFC8DA"/>
    <w:rsid w:val="E76F2340"/>
    <w:rsid w:val="E8BB08E2"/>
    <w:rsid w:val="E9711B5C"/>
    <w:rsid w:val="EA3F77F2"/>
    <w:rsid w:val="EBF76B8C"/>
    <w:rsid w:val="EDBA32E4"/>
    <w:rsid w:val="EDFF50F7"/>
    <w:rsid w:val="EEBF4ED9"/>
    <w:rsid w:val="EEFE5989"/>
    <w:rsid w:val="EF7FEC90"/>
    <w:rsid w:val="EFCF3EAE"/>
    <w:rsid w:val="EFDD288C"/>
    <w:rsid w:val="EFF319B4"/>
    <w:rsid w:val="F3FE91B6"/>
    <w:rsid w:val="F5B764A2"/>
    <w:rsid w:val="F5FD9E36"/>
    <w:rsid w:val="F6E3AF89"/>
    <w:rsid w:val="F77F09F4"/>
    <w:rsid w:val="F7F1089D"/>
    <w:rsid w:val="F9DF8CF9"/>
    <w:rsid w:val="F9FAAE75"/>
    <w:rsid w:val="FA9D9A1F"/>
    <w:rsid w:val="FACFFED3"/>
    <w:rsid w:val="FB3F3889"/>
    <w:rsid w:val="FEB37A36"/>
    <w:rsid w:val="FEEB7B57"/>
    <w:rsid w:val="FEEC53E9"/>
    <w:rsid w:val="FEFB2456"/>
    <w:rsid w:val="FF3EDA73"/>
    <w:rsid w:val="FF770B17"/>
    <w:rsid w:val="FF7AB162"/>
    <w:rsid w:val="FF7DD71E"/>
    <w:rsid w:val="FF9E3A54"/>
    <w:rsid w:val="FFD7BFFC"/>
    <w:rsid w:val="FFE5FA0E"/>
    <w:rsid w:val="FFED0C69"/>
    <w:rsid w:val="FFF8CF5E"/>
    <w:rsid w:val="FFFA6B0F"/>
    <w:rsid w:val="FFFA9B9F"/>
    <w:rsid w:val="FFFB86EC"/>
    <w:rsid w:val="FFFF66B8"/>
    <w:rsid w:val="FFFFA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3"/>
    <w:next w:val="3"/>
    <w:link w:val="12"/>
    <w:qFormat/>
    <w:uiPriority w:val="0"/>
    <w:rPr>
      <w:b/>
      <w:bCs/>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文字 字符"/>
    <w:basedOn w:val="8"/>
    <w:link w:val="3"/>
    <w:qFormat/>
    <w:uiPriority w:val="0"/>
    <w:rPr>
      <w:rFonts w:ascii="Times New Roman" w:hAnsi="Times New Roman" w:eastAsia="宋体" w:cs="Times New Roman"/>
      <w:kern w:val="2"/>
      <w:sz w:val="21"/>
      <w:szCs w:val="24"/>
    </w:rPr>
  </w:style>
  <w:style w:type="character" w:customStyle="1" w:styleId="12">
    <w:name w:val="批注主题 字符"/>
    <w:basedOn w:val="11"/>
    <w:link w:val="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180</Words>
  <Characters>1026</Characters>
  <Lines>8</Lines>
  <Paragraphs>2</Paragraphs>
  <TotalTime>8</TotalTime>
  <ScaleCrop>false</ScaleCrop>
  <LinksUpToDate>false</LinksUpToDate>
  <CharactersWithSpaces>1204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2022-03-14T11:16:00Z</dcterms:created>
  <dc:creator>user</dc:creator>
  <cp:lastModifiedBy>user</cp:lastModifiedBy>
  <cp:lastPrinted>2022-03-28T18:01:00Z</cp:lastPrinted>
  <dcterms:modified xsi:type="dcterms:W3CDTF">2023-06-27T11:20:13Z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1C64435F2824414FBED06252724F87A6</vt:lpwstr>
  </property>
</Properties>
</file>