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 </w:t>
      </w:r>
      <w:r>
        <w:rPr>
          <w:rFonts w:ascii="仿宋_GB2312" w:hAnsi="宋体" w:eastAsia="仿宋_GB2312"/>
          <w:sz w:val="28"/>
          <w:szCs w:val="28"/>
        </w:rPr>
        <w:t>2022</w:t>
      </w:r>
      <w:r>
        <w:rPr>
          <w:rFonts w:hint="eastAsia" w:ascii="仿宋_GB2312" w:hAnsi="宋体" w:eastAsia="仿宋_GB2312"/>
          <w:sz w:val="28"/>
          <w:szCs w:val="28"/>
        </w:rPr>
        <w:t>年度）</w:t>
      </w:r>
    </w:p>
    <w:p>
      <w:pPr>
        <w:spacing w:line="240" w:lineRule="exact"/>
        <w:rPr>
          <w:rFonts w:ascii="仿宋_GB2312" w:hAnsi="宋体" w:eastAsia="仿宋_GB2312"/>
          <w:sz w:val="30"/>
          <w:szCs w:val="30"/>
        </w:rPr>
      </w:pPr>
    </w:p>
    <w:tbl>
      <w:tblPr>
        <w:tblStyle w:val="7"/>
        <w:tblW w:w="5208" w:type="pct"/>
        <w:jc w:val="center"/>
        <w:tblLayout w:type="fixed"/>
        <w:tblCellMar>
          <w:top w:w="0" w:type="dxa"/>
          <w:left w:w="108" w:type="dxa"/>
          <w:bottom w:w="0" w:type="dxa"/>
          <w:right w:w="108" w:type="dxa"/>
        </w:tblCellMar>
      </w:tblPr>
      <w:tblGrid>
        <w:gridCol w:w="488"/>
        <w:gridCol w:w="817"/>
        <w:gridCol w:w="604"/>
        <w:gridCol w:w="1141"/>
        <w:gridCol w:w="875"/>
        <w:gridCol w:w="975"/>
        <w:gridCol w:w="1209"/>
        <w:gridCol w:w="728"/>
        <w:gridCol w:w="904"/>
        <w:gridCol w:w="180"/>
        <w:gridCol w:w="955"/>
      </w:tblGrid>
      <w:tr>
        <w:tblPrEx>
          <w:tblCellMar>
            <w:top w:w="0" w:type="dxa"/>
            <w:left w:w="108" w:type="dxa"/>
            <w:bottom w:w="0" w:type="dxa"/>
            <w:right w:w="108" w:type="dxa"/>
          </w:tblCellMar>
        </w:tblPrEx>
        <w:trPr>
          <w:trHeight w:val="439" w:hRule="atLeast"/>
          <w:jc w:val="center"/>
        </w:trPr>
        <w:tc>
          <w:tcPr>
            <w:tcW w:w="735"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4264" w:type="pct"/>
            <w:gridSpan w:val="9"/>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中关村</w:t>
            </w:r>
            <w:r>
              <w:rPr>
                <w:rFonts w:ascii="仿宋_GB2312" w:hAnsi="宋体" w:eastAsia="仿宋_GB2312" w:cs="宋体"/>
                <w:kern w:val="0"/>
                <w:szCs w:val="21"/>
              </w:rPr>
              <w:t>国家知识产权制度示范园区知</w:t>
            </w:r>
            <w:r>
              <w:rPr>
                <w:rFonts w:hint="eastAsia" w:ascii="仿宋_GB2312" w:hAnsi="宋体" w:eastAsia="仿宋_GB2312" w:cs="宋体"/>
                <w:kern w:val="0"/>
                <w:szCs w:val="21"/>
              </w:rPr>
              <w:t>知识产权服务管家</w:t>
            </w:r>
          </w:p>
        </w:tc>
      </w:tr>
      <w:tr>
        <w:tblPrEx>
          <w:tblCellMar>
            <w:top w:w="0" w:type="dxa"/>
            <w:left w:w="108" w:type="dxa"/>
            <w:bottom w:w="0" w:type="dxa"/>
            <w:right w:w="108" w:type="dxa"/>
          </w:tblCellMar>
        </w:tblPrEx>
        <w:trPr>
          <w:trHeight w:val="417" w:hRule="atLeast"/>
          <w:jc w:val="center"/>
        </w:trPr>
        <w:tc>
          <w:tcPr>
            <w:tcW w:w="735"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2025" w:type="pct"/>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w:t>
            </w:r>
            <w:r>
              <w:rPr>
                <w:rFonts w:ascii="仿宋_GB2312" w:hAnsi="宋体" w:eastAsia="仿宋_GB2312" w:cs="宋体"/>
                <w:kern w:val="0"/>
                <w:szCs w:val="21"/>
              </w:rPr>
              <w:t>知识产权局</w:t>
            </w:r>
          </w:p>
        </w:tc>
        <w:tc>
          <w:tcPr>
            <w:tcW w:w="680"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1558" w:type="pct"/>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中关村</w:t>
            </w:r>
            <w:r>
              <w:rPr>
                <w:rFonts w:ascii="仿宋_GB2312" w:hAnsi="宋体" w:eastAsia="仿宋_GB2312" w:cs="宋体"/>
                <w:kern w:val="0"/>
                <w:szCs w:val="21"/>
              </w:rPr>
              <w:t>知识产权促进</w:t>
            </w:r>
            <w:r>
              <w:rPr>
                <w:rFonts w:hint="eastAsia" w:ascii="仿宋_GB2312" w:hAnsi="宋体" w:eastAsia="仿宋_GB2312" w:cs="宋体"/>
                <w:kern w:val="0"/>
                <w:szCs w:val="21"/>
              </w:rPr>
              <w:t>中心</w:t>
            </w:r>
          </w:p>
        </w:tc>
      </w:tr>
      <w:tr>
        <w:tblPrEx>
          <w:tblCellMar>
            <w:top w:w="0" w:type="dxa"/>
            <w:left w:w="108" w:type="dxa"/>
            <w:bottom w:w="0" w:type="dxa"/>
            <w:right w:w="108" w:type="dxa"/>
          </w:tblCellMar>
        </w:tblPrEx>
        <w:trPr>
          <w:trHeight w:val="422" w:hRule="atLeast"/>
          <w:jc w:val="center"/>
        </w:trPr>
        <w:tc>
          <w:tcPr>
            <w:tcW w:w="735"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2025" w:type="pct"/>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熊瑛</w:t>
            </w:r>
          </w:p>
        </w:tc>
        <w:tc>
          <w:tcPr>
            <w:tcW w:w="680"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1558" w:type="pct"/>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010-82359528</w:t>
            </w:r>
          </w:p>
        </w:tc>
      </w:tr>
      <w:tr>
        <w:tblPrEx>
          <w:tblCellMar>
            <w:top w:w="0" w:type="dxa"/>
            <w:left w:w="108" w:type="dxa"/>
            <w:bottom w:w="0" w:type="dxa"/>
            <w:right w:w="108" w:type="dxa"/>
          </w:tblCellMar>
        </w:tblPrEx>
        <w:trPr>
          <w:jc w:val="center"/>
        </w:trPr>
        <w:tc>
          <w:tcPr>
            <w:tcW w:w="735"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983"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92"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549"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680"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410"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610"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537"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37" w:hRule="atLeast"/>
          <w:jc w:val="center"/>
        </w:trPr>
        <w:tc>
          <w:tcPr>
            <w:tcW w:w="735"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83" w:type="pct"/>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492"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103</w:t>
            </w:r>
            <w:r>
              <w:rPr>
                <w:rFonts w:hint="eastAsia" w:ascii="仿宋_GB2312" w:hAnsi="宋体" w:eastAsia="仿宋_GB2312" w:cs="宋体"/>
                <w:kern w:val="0"/>
                <w:szCs w:val="21"/>
              </w:rPr>
              <w:t>.</w:t>
            </w:r>
            <w:r>
              <w:rPr>
                <w:rFonts w:ascii="仿宋_GB2312" w:hAnsi="宋体" w:eastAsia="仿宋_GB2312" w:cs="宋体"/>
                <w:kern w:val="0"/>
                <w:szCs w:val="21"/>
              </w:rPr>
              <w:t>4</w:t>
            </w:r>
          </w:p>
        </w:tc>
        <w:tc>
          <w:tcPr>
            <w:tcW w:w="549"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w:t>
            </w:r>
            <w:r>
              <w:rPr>
                <w:rFonts w:hint="eastAsia" w:ascii="仿宋_GB2312" w:hAnsi="宋体" w:eastAsia="仿宋_GB2312" w:cs="宋体"/>
                <w:kern w:val="0"/>
                <w:szCs w:val="21"/>
              </w:rPr>
              <w:t>02.6</w:t>
            </w:r>
          </w:p>
        </w:tc>
        <w:tc>
          <w:tcPr>
            <w:tcW w:w="680"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9</w:t>
            </w:r>
            <w:r>
              <w:rPr>
                <w:rFonts w:hint="eastAsia" w:ascii="仿宋_GB2312" w:hAnsi="宋体" w:eastAsia="仿宋_GB2312" w:cs="宋体"/>
                <w:kern w:val="0"/>
                <w:szCs w:val="21"/>
              </w:rPr>
              <w:t>7.45</w:t>
            </w:r>
          </w:p>
        </w:tc>
        <w:tc>
          <w:tcPr>
            <w:tcW w:w="410" w:type="pct"/>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610"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r>
              <w:rPr>
                <w:rFonts w:ascii="仿宋_GB2312" w:hAnsi="宋体" w:eastAsia="仿宋_GB2312" w:cs="宋体"/>
                <w:kern w:val="0"/>
                <w:szCs w:val="21"/>
              </w:rPr>
              <w:t>4.98%</w:t>
            </w:r>
          </w:p>
        </w:tc>
        <w:tc>
          <w:tcPr>
            <w:tcW w:w="537" w:type="pct"/>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9.50</w:t>
            </w:r>
          </w:p>
        </w:tc>
      </w:tr>
      <w:tr>
        <w:tblPrEx>
          <w:tblCellMar>
            <w:top w:w="0" w:type="dxa"/>
            <w:left w:w="108" w:type="dxa"/>
            <w:bottom w:w="0" w:type="dxa"/>
            <w:right w:w="108" w:type="dxa"/>
          </w:tblCellMar>
        </w:tblPrEx>
        <w:trPr>
          <w:jc w:val="center"/>
        </w:trPr>
        <w:tc>
          <w:tcPr>
            <w:tcW w:w="735"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83"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492"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103.4</w:t>
            </w:r>
          </w:p>
        </w:tc>
        <w:tc>
          <w:tcPr>
            <w:tcW w:w="549"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w:t>
            </w:r>
            <w:r>
              <w:rPr>
                <w:rFonts w:hint="eastAsia" w:ascii="仿宋_GB2312" w:hAnsi="宋体" w:eastAsia="仿宋_GB2312" w:cs="宋体"/>
                <w:kern w:val="0"/>
                <w:szCs w:val="21"/>
              </w:rPr>
              <w:t>02.6</w:t>
            </w:r>
          </w:p>
        </w:tc>
        <w:tc>
          <w:tcPr>
            <w:tcW w:w="680"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9</w:t>
            </w:r>
            <w:r>
              <w:rPr>
                <w:rFonts w:hint="eastAsia" w:ascii="仿宋_GB2312" w:hAnsi="宋体" w:eastAsia="仿宋_GB2312" w:cs="宋体"/>
                <w:kern w:val="0"/>
                <w:szCs w:val="21"/>
              </w:rPr>
              <w:t>7.45</w:t>
            </w:r>
          </w:p>
        </w:tc>
        <w:tc>
          <w:tcPr>
            <w:tcW w:w="410" w:type="pct"/>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10"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r>
              <w:rPr>
                <w:rFonts w:ascii="仿宋_GB2312" w:hAnsi="宋体" w:eastAsia="仿宋_GB2312" w:cs="宋体"/>
                <w:kern w:val="0"/>
                <w:szCs w:val="21"/>
              </w:rPr>
              <w:t>4.98%</w:t>
            </w:r>
          </w:p>
        </w:tc>
        <w:tc>
          <w:tcPr>
            <w:tcW w:w="537" w:type="pct"/>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jc w:val="center"/>
        </w:trPr>
        <w:tc>
          <w:tcPr>
            <w:tcW w:w="735"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83"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492"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49"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80"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10"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10"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537"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jc w:val="center"/>
        </w:trPr>
        <w:tc>
          <w:tcPr>
            <w:tcW w:w="735"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83"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492"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49"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80"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10"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10"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537"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atLeast"/>
          <w:jc w:val="center"/>
        </w:trPr>
        <w:tc>
          <w:tcPr>
            <w:tcW w:w="275" w:type="pct"/>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1936" w:type="pct"/>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2788" w:type="pct"/>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jc w:val="center"/>
        </w:trPr>
        <w:tc>
          <w:tcPr>
            <w:tcW w:w="275" w:type="pct"/>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936" w:type="pct"/>
            <w:gridSpan w:val="4"/>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通过“知识产权服务管家”的新模式加强中关村一区十六园和“三城一区”知识产权工作，统筹协调各</w:t>
            </w:r>
            <w:bookmarkStart w:id="0" w:name="_GoBack"/>
            <w:bookmarkEnd w:id="0"/>
            <w:r>
              <w:rPr>
                <w:rFonts w:hint="eastAsia" w:ascii="仿宋_GB2312" w:hAnsi="宋体" w:eastAsia="仿宋_GB2312" w:cs="宋体"/>
                <w:kern w:val="0"/>
                <w:szCs w:val="21"/>
              </w:rPr>
              <w:t>方优势服务资源服务中关村发展和推动“两区”建设。委托10家服务机构对10个分园区或“三城一区”重点园区提供知识产权服务。协助园区开展知识产权工作计划制定，总结梳理，为园区开展知识产权工作提供工作咨询，举办企业知识产权培训，开展企业走访调研服务，梳理园区知识产权工作案例等。</w:t>
            </w:r>
          </w:p>
        </w:tc>
        <w:tc>
          <w:tcPr>
            <w:tcW w:w="2788" w:type="pct"/>
            <w:gridSpan w:val="6"/>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highlight w:val="none"/>
              </w:rPr>
              <w:t>遴选10家专业服务机构为未来科学城等10个重点园区提供专项服务。为园区</w:t>
            </w:r>
            <w:r>
              <w:rPr>
                <w:rFonts w:ascii="仿宋_GB2312" w:hAnsi="宋体" w:eastAsia="仿宋_GB2312" w:cs="宋体"/>
                <w:kern w:val="0"/>
                <w:szCs w:val="21"/>
                <w:highlight w:val="none"/>
              </w:rPr>
              <w:t>69</w:t>
            </w:r>
            <w:r>
              <w:rPr>
                <w:rFonts w:hint="eastAsia" w:ascii="仿宋_GB2312" w:hAnsi="宋体" w:eastAsia="仿宋_GB2312" w:cs="宋体"/>
                <w:kern w:val="0"/>
                <w:szCs w:val="21"/>
                <w:highlight w:val="none"/>
              </w:rPr>
              <w:t>家企业提供 “一对一”咨询服务，累计开展培训、沙龙等活动47场，为近千名企业知识产权工作者普及知识产权专业知识，形成具有各园区特色的工作成果报告10份，增强了企业知识产权综合能力，提升了各园区知识产权工作水平，有力推动了园区企业知识产权工作的发展。</w:t>
            </w:r>
          </w:p>
        </w:tc>
      </w:tr>
      <w:tr>
        <w:tblPrEx>
          <w:tblCellMar>
            <w:top w:w="0" w:type="dxa"/>
            <w:left w:w="108" w:type="dxa"/>
            <w:bottom w:w="0" w:type="dxa"/>
            <w:right w:w="108" w:type="dxa"/>
          </w:tblCellMar>
        </w:tblPrEx>
        <w:trPr>
          <w:jc w:val="center"/>
        </w:trPr>
        <w:tc>
          <w:tcPr>
            <w:tcW w:w="275"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460"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340"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64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49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1230"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410"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509"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639"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偏差原因分析及改进措施</w:t>
            </w:r>
          </w:p>
        </w:tc>
      </w:tr>
      <w:tr>
        <w:tblPrEx>
          <w:tblCellMar>
            <w:top w:w="0" w:type="dxa"/>
            <w:left w:w="108" w:type="dxa"/>
            <w:bottom w:w="0" w:type="dxa"/>
            <w:right w:w="108" w:type="dxa"/>
          </w:tblCellMar>
        </w:tblPrEx>
        <w:trPr>
          <w:jc w:val="center"/>
        </w:trPr>
        <w:tc>
          <w:tcPr>
            <w:tcW w:w="275"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60"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34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642" w:type="pct"/>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为10家园区提供知识产权服务管家服务</w:t>
            </w:r>
          </w:p>
        </w:tc>
        <w:tc>
          <w:tcPr>
            <w:tcW w:w="492" w:type="pct"/>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r>
              <w:rPr>
                <w:rFonts w:hint="eastAsia"/>
              </w:rPr>
              <w:t>=</w:t>
            </w:r>
            <w:r>
              <w:rPr>
                <w:rFonts w:hint="eastAsia" w:ascii="仿宋_GB2312" w:hAnsi="宋体" w:eastAsia="仿宋_GB2312" w:cs="宋体"/>
                <w:kern w:val="0"/>
                <w:szCs w:val="21"/>
              </w:rPr>
              <w:t>10家</w:t>
            </w:r>
          </w:p>
        </w:tc>
        <w:tc>
          <w:tcPr>
            <w:tcW w:w="1230"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10家</w:t>
            </w:r>
          </w:p>
        </w:tc>
        <w:tc>
          <w:tcPr>
            <w:tcW w:w="410"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15</w:t>
            </w:r>
          </w:p>
        </w:tc>
        <w:tc>
          <w:tcPr>
            <w:tcW w:w="509"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w:t>
            </w:r>
            <w:r>
              <w:rPr>
                <w:rFonts w:hint="eastAsia" w:ascii="仿宋_GB2312" w:hAnsi="宋体" w:eastAsia="仿宋_GB2312" w:cs="宋体"/>
                <w:kern w:val="0"/>
                <w:szCs w:val="21"/>
              </w:rPr>
              <w:t>5</w:t>
            </w:r>
          </w:p>
        </w:tc>
        <w:tc>
          <w:tcPr>
            <w:tcW w:w="639"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jc w:val="center"/>
        </w:trPr>
        <w:tc>
          <w:tcPr>
            <w:tcW w:w="275"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60"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40"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642"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为园区提供因需定制的“一对一”知识产权全方位服务，全力提升园区知识产权综合实力，为中关村和“三城一区”创新发展提供有力支撑。</w:t>
            </w:r>
          </w:p>
        </w:tc>
        <w:tc>
          <w:tcPr>
            <w:tcW w:w="49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定性</w:t>
            </w:r>
          </w:p>
        </w:tc>
        <w:tc>
          <w:tcPr>
            <w:tcW w:w="1230"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优。依托并调动专业服务机构力量，以一对一方式为1</w:t>
            </w:r>
            <w:r>
              <w:rPr>
                <w:rFonts w:ascii="仿宋_GB2312" w:hAnsi="宋体" w:eastAsia="仿宋_GB2312" w:cs="宋体"/>
                <w:kern w:val="0"/>
                <w:szCs w:val="21"/>
              </w:rPr>
              <w:t>0</w:t>
            </w:r>
            <w:r>
              <w:rPr>
                <w:rFonts w:hint="eastAsia" w:ascii="仿宋_GB2312" w:hAnsi="宋体" w:eastAsia="仿宋_GB2312" w:cs="宋体"/>
                <w:kern w:val="0"/>
                <w:szCs w:val="21"/>
              </w:rPr>
              <w:t>个园区提供园区知识产权现状调查分析、专题培训、政策宣讲、企业走访帮扶等多种形式的知识产权专项服务，有效提升了区域知识产权工作的综合能力。</w:t>
            </w:r>
          </w:p>
        </w:tc>
        <w:tc>
          <w:tcPr>
            <w:tcW w:w="410"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20</w:t>
            </w:r>
          </w:p>
        </w:tc>
        <w:tc>
          <w:tcPr>
            <w:tcW w:w="509"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20</w:t>
            </w:r>
          </w:p>
        </w:tc>
        <w:tc>
          <w:tcPr>
            <w:tcW w:w="639"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jc w:val="center"/>
        </w:trPr>
        <w:tc>
          <w:tcPr>
            <w:tcW w:w="275"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60"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40"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642"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2022年12月31日前完成</w:t>
            </w:r>
          </w:p>
        </w:tc>
        <w:tc>
          <w:tcPr>
            <w:tcW w:w="492" w:type="pct"/>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≤1年</w:t>
            </w:r>
          </w:p>
        </w:tc>
        <w:tc>
          <w:tcPr>
            <w:tcW w:w="1230"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w:t>
            </w:r>
            <w:r>
              <w:rPr>
                <w:rFonts w:ascii="仿宋_GB2312" w:hAnsi="宋体" w:eastAsia="仿宋_GB2312" w:cs="宋体"/>
                <w:kern w:val="0"/>
                <w:szCs w:val="21"/>
              </w:rPr>
              <w:t>2</w:t>
            </w:r>
            <w:r>
              <w:rPr>
                <w:rFonts w:hint="eastAsia" w:ascii="仿宋_GB2312" w:hAnsi="宋体" w:eastAsia="仿宋_GB2312" w:cs="宋体"/>
                <w:kern w:val="0"/>
                <w:szCs w:val="21"/>
              </w:rPr>
              <w:t>年1</w:t>
            </w:r>
            <w:r>
              <w:rPr>
                <w:rFonts w:ascii="仿宋_GB2312" w:hAnsi="宋体" w:eastAsia="仿宋_GB2312" w:cs="宋体"/>
                <w:kern w:val="0"/>
                <w:szCs w:val="21"/>
              </w:rPr>
              <w:t>2</w:t>
            </w:r>
            <w:r>
              <w:rPr>
                <w:rFonts w:hint="eastAsia" w:ascii="仿宋_GB2312" w:hAnsi="宋体" w:eastAsia="仿宋_GB2312" w:cs="宋体"/>
                <w:kern w:val="0"/>
                <w:szCs w:val="21"/>
              </w:rPr>
              <w:t>月15日</w:t>
            </w:r>
            <w:r>
              <w:rPr>
                <w:rFonts w:ascii="仿宋_GB2312" w:hAnsi="宋体" w:eastAsia="仿宋_GB2312" w:cs="宋体"/>
                <w:kern w:val="0"/>
                <w:szCs w:val="21"/>
              </w:rPr>
              <w:t>完成</w:t>
            </w:r>
            <w:r>
              <w:rPr>
                <w:rFonts w:hint="eastAsia" w:ascii="仿宋_GB2312" w:hAnsi="宋体" w:eastAsia="仿宋_GB2312" w:cs="宋体"/>
                <w:kern w:val="0"/>
                <w:szCs w:val="21"/>
              </w:rPr>
              <w:t>项目验收，决算评审。</w:t>
            </w:r>
          </w:p>
        </w:tc>
        <w:tc>
          <w:tcPr>
            <w:tcW w:w="410" w:type="pct"/>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10</w:t>
            </w:r>
          </w:p>
        </w:tc>
        <w:tc>
          <w:tcPr>
            <w:tcW w:w="509"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10</w:t>
            </w:r>
          </w:p>
        </w:tc>
        <w:tc>
          <w:tcPr>
            <w:tcW w:w="639"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jc w:val="center"/>
        </w:trPr>
        <w:tc>
          <w:tcPr>
            <w:tcW w:w="275"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60"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40"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642"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各项工作总费用控制在103.4万元</w:t>
            </w:r>
          </w:p>
        </w:tc>
        <w:tc>
          <w:tcPr>
            <w:tcW w:w="49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rPr>
              <w:t>≤103.4万元</w:t>
            </w:r>
          </w:p>
        </w:tc>
        <w:tc>
          <w:tcPr>
            <w:tcW w:w="1230"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实际使用97.45万</w:t>
            </w:r>
          </w:p>
        </w:tc>
        <w:tc>
          <w:tcPr>
            <w:tcW w:w="410"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10</w:t>
            </w:r>
          </w:p>
        </w:tc>
        <w:tc>
          <w:tcPr>
            <w:tcW w:w="509"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10</w:t>
            </w:r>
          </w:p>
        </w:tc>
        <w:tc>
          <w:tcPr>
            <w:tcW w:w="639"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jc w:val="center"/>
        </w:trPr>
        <w:tc>
          <w:tcPr>
            <w:tcW w:w="275"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60"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340"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642"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通过服务管家项目提高园区知识产权工作水平，从而提高面向园区企业的知识产权服务质量，带动中关村和“三城一区”的整体创新发展。</w:t>
            </w:r>
          </w:p>
        </w:tc>
        <w:tc>
          <w:tcPr>
            <w:tcW w:w="49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定性</w:t>
            </w:r>
          </w:p>
        </w:tc>
        <w:tc>
          <w:tcPr>
            <w:tcW w:w="1230"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高。通过开展服务管家项目，未来科学城等10个重点园区的知识产权管理水平园区企业知识产权工作能力均明显提高。</w:t>
            </w:r>
          </w:p>
        </w:tc>
        <w:tc>
          <w:tcPr>
            <w:tcW w:w="410"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509"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639"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jc w:val="center"/>
        </w:trPr>
        <w:tc>
          <w:tcPr>
            <w:tcW w:w="275"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60"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340"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服务对象满意度指标</w:t>
            </w:r>
          </w:p>
        </w:tc>
        <w:tc>
          <w:tcPr>
            <w:tcW w:w="642"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相关园区、服务机构及企业对服务管家项目工作满意度</w:t>
            </w:r>
          </w:p>
        </w:tc>
        <w:tc>
          <w:tcPr>
            <w:tcW w:w="492" w:type="pct"/>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rPr>
              <w:t>≥9</w:t>
            </w:r>
            <w:r>
              <w:t>0</w:t>
            </w:r>
            <w:r>
              <w:rPr>
                <w:rFonts w:hint="eastAsia"/>
              </w:rPr>
              <w:t>分</w:t>
            </w:r>
          </w:p>
        </w:tc>
        <w:tc>
          <w:tcPr>
            <w:tcW w:w="1230"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受益企业满意度达到9</w:t>
            </w:r>
            <w:r>
              <w:rPr>
                <w:rFonts w:ascii="仿宋_GB2312" w:hAnsi="宋体" w:eastAsia="仿宋_GB2312" w:cs="宋体"/>
                <w:kern w:val="0"/>
                <w:szCs w:val="21"/>
              </w:rPr>
              <w:t>0</w:t>
            </w:r>
            <w:r>
              <w:rPr>
                <w:rFonts w:hint="eastAsia" w:ascii="仿宋_GB2312" w:hAnsi="宋体" w:eastAsia="仿宋_GB2312" w:cs="宋体"/>
                <w:kern w:val="0"/>
                <w:szCs w:val="21"/>
              </w:rPr>
              <w:t>分</w:t>
            </w:r>
          </w:p>
        </w:tc>
        <w:tc>
          <w:tcPr>
            <w:tcW w:w="410"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5</w:t>
            </w:r>
          </w:p>
        </w:tc>
        <w:tc>
          <w:tcPr>
            <w:tcW w:w="509"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5</w:t>
            </w:r>
          </w:p>
        </w:tc>
        <w:tc>
          <w:tcPr>
            <w:tcW w:w="639"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85" w:hRule="atLeast"/>
          <w:jc w:val="center"/>
        </w:trPr>
        <w:tc>
          <w:tcPr>
            <w:tcW w:w="3441" w:type="pct"/>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410" w:type="pct"/>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color w:val="000000"/>
                <w:kern w:val="0"/>
                <w:szCs w:val="21"/>
                <w:highlight w:val="yellow"/>
              </w:rPr>
            </w:pPr>
            <w:r>
              <w:rPr>
                <w:rFonts w:hint="eastAsia" w:ascii="仿宋_GB2312" w:hAnsi="宋体" w:eastAsia="仿宋_GB2312" w:cs="宋体"/>
                <w:color w:val="000000"/>
                <w:kern w:val="0"/>
                <w:szCs w:val="21"/>
              </w:rPr>
              <w:t>100</w:t>
            </w:r>
          </w:p>
        </w:tc>
        <w:tc>
          <w:tcPr>
            <w:tcW w:w="509"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highlight w:val="yellow"/>
              </w:rPr>
            </w:pPr>
            <w:r>
              <w:rPr>
                <w:rFonts w:hint="eastAsia" w:ascii="仿宋_GB2312" w:hAnsi="宋体" w:eastAsia="仿宋_GB2312" w:cs="宋体"/>
                <w:color w:val="000000"/>
                <w:kern w:val="0"/>
                <w:szCs w:val="21"/>
              </w:rPr>
              <w:t>99.</w:t>
            </w:r>
            <w:r>
              <w:rPr>
                <w:rFonts w:ascii="仿宋_GB2312" w:hAnsi="宋体" w:eastAsia="仿宋_GB2312" w:cs="宋体"/>
                <w:color w:val="000000"/>
                <w:kern w:val="0"/>
                <w:szCs w:val="21"/>
              </w:rPr>
              <w:t>50</w:t>
            </w:r>
          </w:p>
        </w:tc>
        <w:tc>
          <w:tcPr>
            <w:tcW w:w="639"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spacing w:line="520" w:lineRule="exact"/>
        <w:ind w:firstLine="640" w:firstLineChars="200"/>
        <w:rPr>
          <w:rFonts w:ascii="仿宋_GB2312" w:hAnsi="宋体" w:eastAsia="仿宋_GB2312" w:cs="宋体"/>
          <w:color w:val="000000"/>
          <w:kern w:val="0"/>
          <w:sz w:val="32"/>
          <w:szCs w:val="32"/>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Arial">
    <w:altName w:val="DejaVu Sans"/>
    <w:panose1 w:val="020B0604020202020204"/>
    <w:charset w:val="00"/>
    <w:family w:val="swiss"/>
    <w:pitch w:val="default"/>
    <w:sig w:usb0="00000000" w:usb1="00000000" w:usb2="00000009" w:usb3="00000000" w:csb0="0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gF26zFQIAABkEAAAOAAAAZHJz&#10;L2Uyb0RvYy54bWytU8uO0zAU3SPxD5b3NGkRo6pqOiozKkKqmJEKYu06dhvJL9luk/IB8Aes2LDn&#10;u/odHLtJBwErxMY51/fmPs49nt92WpGj8KGxpqLjUUmJMNzWjdlV9MP71YspJSEyUzNljajoSQR6&#10;u3j+bN66mZjYvVW18ARJTJi1rqL7GN2sKALfC83CyDph4JTWaxZh+l1Re9Yiu1bFpCxvitb62nnL&#10;RQi4vb846SLnl1Lw+CBlEJGoiqK3mE+fz206i8WczXaeuX3D+zbYP3ShWWNQ9JrqnkVGDr75I5Vu&#10;uLfByjjiVhdWyoaLPAOmGZe/TbPZMyfyLCAnuCtN4f+l5e+Oj540dUUnlBimsaLz1y/nbz/O3z+T&#10;SaKndWGGqI1DXOxe266i0R/E4Aq4T4N30uv0xUgEIeD6dOVXdJFwXI6nk+m0hIvDNxgoUTz97nyI&#10;b4TVJIGKeiww88qO6xAvoUNIqmbsqlEqL1EZ0lb05uWrMv9w9SC5MqiR5rg0m1Dstl0/3NbWJ8zm&#10;7UUcwfFVg+JrFuIj81ADGobC4wMOqSyK2B5Rsrf+09/uUzyWBC8lLdRVUQP5U6LeGiwvCXEAfgDb&#10;AZiDvrOQ6xgvx/EM8YOPaoDSW/0Rsl+mGpKpgMTMcFTDagZ4F2H1TjwfLpbLqw3pORbXZuN4v8zE&#10;ZXDLQwSfmebE0YWYnjroLy+qfytJ4L/aOerpRS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CgF26zFQIAABkEAAAOAAAAAAAAAAEAIAAAADUBAABkcnMvZTJvRG9jLnhtbFBLBQYAAAAABgAG&#10;AFkBAAC8BQAAAAA=&#10;">
              <v:fill on="f" focussize="0,0"/>
              <v:stroke on="f" weight="0.5pt"/>
              <v:imagedata o:title=""/>
              <o:lock v:ext="edit" aspectratio="f"/>
              <v:textbox inset="0mm,0mm,0mm,0mm" style="mso-fit-shape-to-text:t;">
                <w:txbxContent>
                  <w:p>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v:textbox>
            </v:shape>
          </w:pict>
        </mc:Fallback>
      </mc:AlternateContent>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true"/>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QxZGZmZTMyMWI5M2JjYmM5MzhiZDA4MmNjZTIyZmEifQ=="/>
  </w:docVars>
  <w:rsids>
    <w:rsidRoot w:val="F77F09F4"/>
    <w:rsid w:val="000001FC"/>
    <w:rsid w:val="00015987"/>
    <w:rsid w:val="00024634"/>
    <w:rsid w:val="00032D86"/>
    <w:rsid w:val="00045FB6"/>
    <w:rsid w:val="00060235"/>
    <w:rsid w:val="00062BD9"/>
    <w:rsid w:val="00066F7E"/>
    <w:rsid w:val="0009115F"/>
    <w:rsid w:val="000D14FE"/>
    <w:rsid w:val="00101476"/>
    <w:rsid w:val="0010667A"/>
    <w:rsid w:val="00131E01"/>
    <w:rsid w:val="0014392C"/>
    <w:rsid w:val="00154C83"/>
    <w:rsid w:val="00166FD4"/>
    <w:rsid w:val="00167A1B"/>
    <w:rsid w:val="001D5556"/>
    <w:rsid w:val="00212BF4"/>
    <w:rsid w:val="00222CD4"/>
    <w:rsid w:val="002417D6"/>
    <w:rsid w:val="00256BFD"/>
    <w:rsid w:val="002C27C5"/>
    <w:rsid w:val="002F0079"/>
    <w:rsid w:val="003071A5"/>
    <w:rsid w:val="00313CB8"/>
    <w:rsid w:val="00336E9C"/>
    <w:rsid w:val="00370585"/>
    <w:rsid w:val="00380C5A"/>
    <w:rsid w:val="00381CC2"/>
    <w:rsid w:val="003B5BCC"/>
    <w:rsid w:val="003F17E1"/>
    <w:rsid w:val="00426854"/>
    <w:rsid w:val="00446A6A"/>
    <w:rsid w:val="004D6341"/>
    <w:rsid w:val="004F154F"/>
    <w:rsid w:val="004F3AEA"/>
    <w:rsid w:val="004F4683"/>
    <w:rsid w:val="0050038D"/>
    <w:rsid w:val="0050185A"/>
    <w:rsid w:val="005143FB"/>
    <w:rsid w:val="00514B71"/>
    <w:rsid w:val="0054343B"/>
    <w:rsid w:val="00562E9E"/>
    <w:rsid w:val="00567544"/>
    <w:rsid w:val="00577F59"/>
    <w:rsid w:val="00662047"/>
    <w:rsid w:val="00686768"/>
    <w:rsid w:val="006B14D9"/>
    <w:rsid w:val="006E4540"/>
    <w:rsid w:val="006E614D"/>
    <w:rsid w:val="007349C4"/>
    <w:rsid w:val="00772BB9"/>
    <w:rsid w:val="00774F64"/>
    <w:rsid w:val="007756E1"/>
    <w:rsid w:val="007A213E"/>
    <w:rsid w:val="007B72FE"/>
    <w:rsid w:val="007C1EE0"/>
    <w:rsid w:val="007D61CA"/>
    <w:rsid w:val="007F046D"/>
    <w:rsid w:val="00806B13"/>
    <w:rsid w:val="008210A4"/>
    <w:rsid w:val="0083062A"/>
    <w:rsid w:val="00836B13"/>
    <w:rsid w:val="00851AE1"/>
    <w:rsid w:val="008A0ECA"/>
    <w:rsid w:val="008A2EAD"/>
    <w:rsid w:val="008D689E"/>
    <w:rsid w:val="008D7870"/>
    <w:rsid w:val="008F37D4"/>
    <w:rsid w:val="0090187C"/>
    <w:rsid w:val="0090324D"/>
    <w:rsid w:val="00954123"/>
    <w:rsid w:val="0097258D"/>
    <w:rsid w:val="00983B4F"/>
    <w:rsid w:val="0098751A"/>
    <w:rsid w:val="00993C43"/>
    <w:rsid w:val="00995B6A"/>
    <w:rsid w:val="009A1FEB"/>
    <w:rsid w:val="009B340E"/>
    <w:rsid w:val="009B770B"/>
    <w:rsid w:val="009C0D2B"/>
    <w:rsid w:val="009E40B0"/>
    <w:rsid w:val="00A05071"/>
    <w:rsid w:val="00A53A9E"/>
    <w:rsid w:val="00A77183"/>
    <w:rsid w:val="00AD52D2"/>
    <w:rsid w:val="00AE0F02"/>
    <w:rsid w:val="00AF6A09"/>
    <w:rsid w:val="00B8248B"/>
    <w:rsid w:val="00BA6DEC"/>
    <w:rsid w:val="00BB7303"/>
    <w:rsid w:val="00C47D48"/>
    <w:rsid w:val="00CA4F1F"/>
    <w:rsid w:val="00CF3010"/>
    <w:rsid w:val="00D351E5"/>
    <w:rsid w:val="00D35C4A"/>
    <w:rsid w:val="00D63B65"/>
    <w:rsid w:val="00DB6F3B"/>
    <w:rsid w:val="00E24FAB"/>
    <w:rsid w:val="00E562ED"/>
    <w:rsid w:val="00E61D60"/>
    <w:rsid w:val="00EC006E"/>
    <w:rsid w:val="00EC3C41"/>
    <w:rsid w:val="00EE3555"/>
    <w:rsid w:val="00EE3B67"/>
    <w:rsid w:val="00EF4E59"/>
    <w:rsid w:val="00F223DF"/>
    <w:rsid w:val="00F368B3"/>
    <w:rsid w:val="00F54556"/>
    <w:rsid w:val="00FA72E6"/>
    <w:rsid w:val="00FB2A5A"/>
    <w:rsid w:val="00FB6A73"/>
    <w:rsid w:val="00FE2C59"/>
    <w:rsid w:val="31653CDB"/>
    <w:rsid w:val="37173543"/>
    <w:rsid w:val="3FF76880"/>
    <w:rsid w:val="777D8F66"/>
    <w:rsid w:val="7AB7FF50"/>
    <w:rsid w:val="7BBA4E35"/>
    <w:rsid w:val="7BFEB0DB"/>
    <w:rsid w:val="7F9B608E"/>
    <w:rsid w:val="CEFD3F3D"/>
    <w:rsid w:val="DBFE7C0A"/>
    <w:rsid w:val="DFF93670"/>
    <w:rsid w:val="E76F2340"/>
    <w:rsid w:val="EA3F77F2"/>
    <w:rsid w:val="EEBF4ED9"/>
    <w:rsid w:val="EEFE5989"/>
    <w:rsid w:val="EFCF3EAE"/>
    <w:rsid w:val="F5B764A2"/>
    <w:rsid w:val="F75610E3"/>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alloon Text"/>
    <w:basedOn w:val="1"/>
    <w:link w:val="11"/>
    <w:semiHidden/>
    <w:unhideWhenUsed/>
    <w:qFormat/>
    <w:uiPriority w:val="0"/>
    <w:rPr>
      <w:sz w:val="18"/>
      <w:szCs w:val="18"/>
    </w:rPr>
  </w:style>
  <w:style w:type="paragraph" w:styleId="5">
    <w:name w:val="footer"/>
    <w:basedOn w:val="1"/>
    <w:qFormat/>
    <w:uiPriority w:val="99"/>
    <w:pPr>
      <w:tabs>
        <w:tab w:val="center" w:pos="4153"/>
        <w:tab w:val="right" w:pos="8306"/>
      </w:tabs>
      <w:snapToGrid w:val="0"/>
      <w:jc w:val="left"/>
    </w:pPr>
    <w:rPr>
      <w:sz w:val="18"/>
      <w:szCs w:val="20"/>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9">
    <w:name w:val="annotation reference"/>
    <w:basedOn w:val="8"/>
    <w:qFormat/>
    <w:uiPriority w:val="0"/>
    <w:rPr>
      <w:sz w:val="21"/>
      <w:szCs w:val="21"/>
    </w:rPr>
  </w:style>
  <w:style w:type="paragraph" w:customStyle="1" w:styleId="10">
    <w:name w:val="列出段落1"/>
    <w:basedOn w:val="1"/>
    <w:qFormat/>
    <w:uiPriority w:val="34"/>
    <w:pPr>
      <w:ind w:firstLine="420" w:firstLineChars="200"/>
    </w:pPr>
    <w:rPr>
      <w:rFonts w:ascii="Calibri" w:hAnsi="Calibri" w:cs="黑体"/>
      <w:szCs w:val="22"/>
    </w:rPr>
  </w:style>
  <w:style w:type="character" w:customStyle="1" w:styleId="11">
    <w:name w:val="批注框文本 字符"/>
    <w:basedOn w:val="8"/>
    <w:link w:val="4"/>
    <w:semiHidden/>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191</Words>
  <Characters>1094</Characters>
  <Lines>9</Lines>
  <Paragraphs>2</Paragraphs>
  <TotalTime>60</TotalTime>
  <ScaleCrop>false</ScaleCrop>
  <LinksUpToDate>false</LinksUpToDate>
  <CharactersWithSpaces>1283</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2023-06-08T18:48:00Z</dcterms:created>
  <dc:creator>user</dc:creator>
  <cp:lastModifiedBy>user</cp:lastModifiedBy>
  <cp:lastPrinted>2022-03-26T10:01:00Z</cp:lastPrinted>
  <dcterms:modified xsi:type="dcterms:W3CDTF">2023-07-27T15:38:04Z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137E9355B23F47D9BDB3B6FE61F68EC1</vt:lpwstr>
  </property>
</Properties>
</file>