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62E" w:rsidRDefault="005A528A">
      <w:pPr>
        <w:spacing w:line="560" w:lineRule="exact"/>
        <w:jc w:val="center"/>
        <w:rPr>
          <w:rFonts w:ascii="华文中宋" w:eastAsia="华文中宋" w:hAnsi="华文中宋" w:cs="华文中宋"/>
          <w:sz w:val="44"/>
          <w:szCs w:val="44"/>
        </w:rPr>
      </w:pPr>
      <w:r>
        <w:rPr>
          <w:rFonts w:ascii="华文中宋" w:eastAsia="华文中宋" w:hAnsi="华文中宋" w:cs="华文中宋" w:hint="eastAsia"/>
          <w:sz w:val="44"/>
          <w:szCs w:val="44"/>
        </w:rPr>
        <w:t>北京市东城区人民检察院2022年度</w:t>
      </w:r>
    </w:p>
    <w:p w:rsidR="00FC462E" w:rsidRDefault="005A528A">
      <w:pPr>
        <w:spacing w:line="560" w:lineRule="exact"/>
        <w:jc w:val="center"/>
        <w:rPr>
          <w:rFonts w:ascii="华文中宋" w:eastAsia="华文中宋" w:hAnsi="华文中宋" w:cs="华文中宋"/>
          <w:sz w:val="44"/>
          <w:szCs w:val="44"/>
        </w:rPr>
      </w:pPr>
      <w:r>
        <w:rPr>
          <w:rFonts w:ascii="华文中宋" w:eastAsia="华文中宋" w:hAnsi="华文中宋" w:cs="华文中宋" w:hint="eastAsia"/>
          <w:sz w:val="44"/>
          <w:szCs w:val="44"/>
        </w:rPr>
        <w:t>部门整体绩效评价报告</w:t>
      </w:r>
    </w:p>
    <w:p w:rsidR="00FC462E" w:rsidRPr="00FB4662" w:rsidRDefault="00FC462E">
      <w:pPr>
        <w:jc w:val="center"/>
        <w:rPr>
          <w:rFonts w:ascii="仿宋_GB2312"/>
          <w:szCs w:val="30"/>
        </w:rPr>
      </w:pPr>
    </w:p>
    <w:p w:rsidR="00FC462E" w:rsidRDefault="005A528A">
      <w:pPr>
        <w:spacing w:line="600" w:lineRule="exact"/>
        <w:ind w:firstLineChars="200" w:firstLine="640"/>
        <w:outlineLvl w:val="0"/>
        <w:rPr>
          <w:rFonts w:ascii="黑体" w:eastAsia="黑体" w:hAnsi="黑体" w:cs="宋体"/>
          <w:kern w:val="0"/>
          <w:sz w:val="32"/>
          <w:szCs w:val="32"/>
        </w:rPr>
      </w:pPr>
      <w:r>
        <w:rPr>
          <w:rFonts w:ascii="黑体" w:eastAsia="黑体" w:hAnsi="黑体" w:cs="宋体" w:hint="eastAsia"/>
          <w:kern w:val="0"/>
          <w:sz w:val="32"/>
          <w:szCs w:val="32"/>
        </w:rPr>
        <w:t>一、部门概况</w:t>
      </w:r>
    </w:p>
    <w:p w:rsidR="00FC462E" w:rsidRDefault="005A528A">
      <w:pPr>
        <w:spacing w:line="560" w:lineRule="exact"/>
        <w:ind w:firstLineChars="200" w:firstLine="640"/>
        <w:outlineLvl w:val="1"/>
        <w:rPr>
          <w:rFonts w:ascii="楷体_GB2312" w:eastAsia="楷体_GB2312"/>
          <w:sz w:val="32"/>
          <w:szCs w:val="32"/>
        </w:rPr>
      </w:pPr>
      <w:r>
        <w:rPr>
          <w:rFonts w:ascii="楷体_GB2312" w:eastAsia="楷体_GB2312" w:hint="eastAsia"/>
          <w:sz w:val="32"/>
          <w:szCs w:val="32"/>
        </w:rPr>
        <w:t>（一）机构设置及职责工作任务情况</w:t>
      </w:r>
    </w:p>
    <w:p w:rsidR="00A16514" w:rsidRDefault="005A528A">
      <w:pPr>
        <w:pStyle w:val="a8"/>
        <w:widowControl/>
        <w:spacing w:beforeAutospacing="0" w:after="150" w:afterAutospacing="0" w:line="560" w:lineRule="exact"/>
        <w:ind w:firstLineChars="200" w:firstLine="640"/>
        <w:rPr>
          <w:rFonts w:ascii="楷体" w:eastAsia="楷体" w:hAnsi="楷体"/>
          <w:sz w:val="32"/>
          <w:szCs w:val="32"/>
        </w:rPr>
      </w:pPr>
      <w:r>
        <w:rPr>
          <w:rFonts w:ascii="仿宋_GB2312" w:eastAsia="仿宋_GB2312" w:hAnsi="宋体" w:cs="宋体" w:hint="eastAsia"/>
          <w:sz w:val="32"/>
          <w:szCs w:val="32"/>
        </w:rPr>
        <w:t>根据中共北京市委政法委员会、中共北京市委机构编制委员会办公室、北京市人民检察院关于印发《北京市检察机关内设机构改革方案》的通知，北京市东城区人民检察院（以下简称“我院”）内设11个部门，分别为：第一检察部、第二检察部、第三检察部、第四检察部、第五检察部、第六检察部、第七检察部、第八检察部(法律政策研究室)、办公室(行政事务管理部)、政治部(机关党委、机关纪委)、检务督察部。</w:t>
      </w:r>
    </w:p>
    <w:p w:rsidR="00A16514" w:rsidRPr="004B2230" w:rsidRDefault="00A16514">
      <w:pPr>
        <w:pStyle w:val="a8"/>
        <w:widowControl/>
        <w:spacing w:beforeAutospacing="0" w:after="150" w:afterAutospacing="0" w:line="560" w:lineRule="exact"/>
        <w:ind w:firstLineChars="200" w:firstLine="640"/>
        <w:rPr>
          <w:rFonts w:ascii="仿宋" w:eastAsia="仿宋" w:hAnsi="仿宋" w:cs="宋体"/>
          <w:sz w:val="32"/>
          <w:szCs w:val="32"/>
        </w:rPr>
      </w:pPr>
      <w:r w:rsidRPr="004B2230">
        <w:rPr>
          <w:rFonts w:ascii="仿宋" w:eastAsia="仿宋" w:hAnsi="仿宋" w:hint="eastAsia"/>
          <w:sz w:val="32"/>
          <w:szCs w:val="32"/>
        </w:rPr>
        <w:t>检察机关是国家的法律监督机关，通过行使检察权，追诉犯罪，维护国家安全和社会秩序，维护个人和组织的合法权益，维护国家利益和社会公共利益，保障法律正确实施，维护社会公平正义，维护国家法制统一、尊严和权威，保障中国特色社会主义建设的顺利进行。具体行使下列职权：依照法律规定对有关刑事案件行使侦查权；对刑事案件进行审查，批准或者决定是否逮捕犯罪嫌疑人；对刑事案件进行审查，决定是否提起公诉，对决定提起公诉的案件支持公诉；依照法律规定提起公益诉讼；对诉讼活动实行法律监督；对判决、裁定等生效法律文书的执行工作实行法律监督；对监狱、看守所的执法活动实行法律监督；法律规定的其他职权。</w:t>
      </w:r>
    </w:p>
    <w:p w:rsidR="00FC462E" w:rsidRDefault="005A528A">
      <w:pPr>
        <w:spacing w:line="600" w:lineRule="exact"/>
        <w:ind w:firstLineChars="200" w:firstLine="640"/>
        <w:rPr>
          <w:rFonts w:ascii="仿宋_GB2312" w:eastAsia="仿宋_GB2312" w:hAnsi="宋体" w:cs="宋体"/>
          <w:kern w:val="0"/>
          <w:sz w:val="32"/>
          <w:szCs w:val="32"/>
        </w:rPr>
      </w:pPr>
      <w:r>
        <w:rPr>
          <w:rFonts w:ascii="楷体_GB2312" w:eastAsia="楷体_GB2312" w:hint="eastAsia"/>
          <w:sz w:val="32"/>
          <w:szCs w:val="32"/>
        </w:rPr>
        <w:lastRenderedPageBreak/>
        <w:t>（二）部门整体绩效目标设立情况</w:t>
      </w:r>
    </w:p>
    <w:p w:rsidR="00FC462E" w:rsidRDefault="005A528A">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我院作为法律监督机关，在管辖的地区依法独立行使检察权。通过申请部门经费，保证机关正常运转，保障各项检察业务工作有序开展，围绕中心工作履行检察职能，维护首都工作大局，维护社会安全稳定，强化法律监督，维护公平正义。</w:t>
      </w:r>
    </w:p>
    <w:p w:rsidR="00FC462E" w:rsidRDefault="005A528A">
      <w:pPr>
        <w:spacing w:line="60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部门整体绩效目标设置基本合理，与单位职能相匹配。</w:t>
      </w:r>
    </w:p>
    <w:p w:rsidR="00FC462E" w:rsidRDefault="005A528A">
      <w:pPr>
        <w:spacing w:line="60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二</w:t>
      </w:r>
      <w:r>
        <w:rPr>
          <w:rFonts w:ascii="黑体" w:eastAsia="黑体" w:hAnsi="黑体" w:cs="宋体"/>
          <w:kern w:val="0"/>
          <w:sz w:val="32"/>
          <w:szCs w:val="32"/>
        </w:rPr>
        <w:t>、</w:t>
      </w:r>
      <w:r>
        <w:rPr>
          <w:rFonts w:ascii="黑体" w:eastAsia="黑体" w:hAnsi="黑体" w:cs="宋体" w:hint="eastAsia"/>
          <w:kern w:val="0"/>
          <w:sz w:val="32"/>
          <w:szCs w:val="32"/>
        </w:rPr>
        <w:t>当年</w:t>
      </w:r>
      <w:r>
        <w:rPr>
          <w:rFonts w:ascii="黑体" w:eastAsia="黑体" w:hAnsi="黑体" w:cs="宋体"/>
          <w:kern w:val="0"/>
          <w:sz w:val="32"/>
          <w:szCs w:val="32"/>
        </w:rPr>
        <w:t>预算执行情况</w:t>
      </w:r>
    </w:p>
    <w:p w:rsidR="00FC462E" w:rsidRDefault="005A528A">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2022年</w:t>
      </w:r>
      <w:r>
        <w:rPr>
          <w:rFonts w:ascii="仿宋_GB2312" w:eastAsia="仿宋_GB2312" w:hAnsi="宋体" w:cs="宋体"/>
          <w:kern w:val="0"/>
          <w:sz w:val="32"/>
          <w:szCs w:val="32"/>
        </w:rPr>
        <w:t>全年</w:t>
      </w:r>
      <w:r>
        <w:rPr>
          <w:rFonts w:ascii="仿宋_GB2312" w:eastAsia="仿宋_GB2312" w:hAnsi="宋体" w:cs="宋体" w:hint="eastAsia"/>
          <w:kern w:val="0"/>
          <w:sz w:val="32"/>
          <w:szCs w:val="32"/>
        </w:rPr>
        <w:t>预算数11,757.17万元</w:t>
      </w:r>
      <w:r>
        <w:rPr>
          <w:rFonts w:ascii="仿宋_GB2312" w:eastAsia="仿宋_GB2312" w:hAnsi="宋体" w:cs="宋体"/>
          <w:kern w:val="0"/>
          <w:sz w:val="32"/>
          <w:szCs w:val="32"/>
        </w:rPr>
        <w:t>，</w:t>
      </w:r>
      <w:r>
        <w:rPr>
          <w:rFonts w:ascii="仿宋_GB2312" w:eastAsia="仿宋_GB2312" w:hAnsi="宋体" w:cs="宋体" w:hint="eastAsia"/>
          <w:kern w:val="0"/>
          <w:sz w:val="32"/>
          <w:szCs w:val="32"/>
        </w:rPr>
        <w:t>其中</w:t>
      </w:r>
      <w:r>
        <w:rPr>
          <w:rFonts w:ascii="仿宋_GB2312" w:eastAsia="仿宋_GB2312" w:hAnsi="宋体" w:cs="宋体"/>
          <w:kern w:val="0"/>
          <w:sz w:val="32"/>
          <w:szCs w:val="32"/>
        </w:rPr>
        <w:t>，基本</w:t>
      </w:r>
      <w:r>
        <w:rPr>
          <w:rFonts w:ascii="仿宋_GB2312" w:eastAsia="仿宋_GB2312" w:hAnsi="宋体" w:cs="宋体" w:hint="eastAsia"/>
          <w:kern w:val="0"/>
          <w:sz w:val="32"/>
          <w:szCs w:val="32"/>
        </w:rPr>
        <w:t>支出</w:t>
      </w:r>
      <w:r>
        <w:rPr>
          <w:rFonts w:ascii="仿宋_GB2312" w:eastAsia="仿宋_GB2312" w:hAnsi="宋体" w:cs="宋体"/>
          <w:kern w:val="0"/>
          <w:sz w:val="32"/>
          <w:szCs w:val="32"/>
        </w:rPr>
        <w:t>预算数</w:t>
      </w:r>
      <w:r>
        <w:rPr>
          <w:rFonts w:ascii="仿宋_GB2312" w:eastAsia="仿宋_GB2312" w:hAnsi="宋体" w:cs="宋体" w:hint="eastAsia"/>
          <w:kern w:val="0"/>
          <w:sz w:val="32"/>
          <w:szCs w:val="32"/>
        </w:rPr>
        <w:t>10,715.45</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项目支出预算数1,041.72</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w:t>
      </w:r>
      <w:r>
        <w:rPr>
          <w:rFonts w:ascii="仿宋_GB2312" w:eastAsia="仿宋_GB2312" w:hAnsi="宋体" w:cs="宋体"/>
          <w:kern w:val="0"/>
          <w:sz w:val="32"/>
          <w:szCs w:val="32"/>
        </w:rPr>
        <w:t>资金总体</w:t>
      </w:r>
      <w:r>
        <w:rPr>
          <w:rFonts w:ascii="仿宋_GB2312" w:eastAsia="仿宋_GB2312" w:hAnsi="宋体" w:cs="宋体" w:hint="eastAsia"/>
          <w:kern w:val="0"/>
          <w:sz w:val="32"/>
          <w:szCs w:val="32"/>
        </w:rPr>
        <w:t>支出11,404.94</w:t>
      </w:r>
      <w:r>
        <w:rPr>
          <w:rFonts w:ascii="仿宋_GB2312" w:eastAsia="仿宋_GB2312" w:hAnsi="宋体" w:cs="宋体"/>
          <w:kern w:val="0"/>
          <w:sz w:val="32"/>
          <w:szCs w:val="32"/>
        </w:rPr>
        <w:t>万元，其中，基本支出</w:t>
      </w:r>
      <w:r>
        <w:rPr>
          <w:rFonts w:ascii="仿宋_GB2312" w:eastAsia="仿宋_GB2312" w:hAnsi="宋体" w:cs="宋体" w:hint="eastAsia"/>
          <w:kern w:val="0"/>
          <w:sz w:val="32"/>
          <w:szCs w:val="32"/>
        </w:rPr>
        <w:t>10,527.00</w:t>
      </w:r>
      <w:r>
        <w:rPr>
          <w:rFonts w:ascii="仿宋_GB2312" w:eastAsia="仿宋_GB2312" w:hAnsi="宋体" w:cs="宋体"/>
          <w:kern w:val="0"/>
          <w:sz w:val="32"/>
          <w:szCs w:val="32"/>
        </w:rPr>
        <w:t>万元，项目</w:t>
      </w:r>
      <w:r>
        <w:rPr>
          <w:rFonts w:ascii="仿宋_GB2312" w:eastAsia="仿宋_GB2312" w:hAnsi="宋体" w:cs="宋体" w:hint="eastAsia"/>
          <w:kern w:val="0"/>
          <w:sz w:val="32"/>
          <w:szCs w:val="32"/>
        </w:rPr>
        <w:t>支出877.94</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预算</w:t>
      </w:r>
      <w:r>
        <w:rPr>
          <w:rFonts w:ascii="仿宋_GB2312" w:eastAsia="仿宋_GB2312" w:hAnsi="宋体" w:cs="宋体"/>
          <w:kern w:val="0"/>
          <w:sz w:val="32"/>
          <w:szCs w:val="32"/>
        </w:rPr>
        <w:t>执行率为</w:t>
      </w:r>
      <w:r>
        <w:rPr>
          <w:rFonts w:ascii="仿宋_GB2312" w:eastAsia="仿宋_GB2312" w:hAnsi="宋体" w:cs="宋体" w:hint="eastAsia"/>
          <w:kern w:val="0"/>
          <w:sz w:val="32"/>
          <w:szCs w:val="32"/>
        </w:rPr>
        <w:t>97%。</w:t>
      </w:r>
    </w:p>
    <w:p w:rsidR="00FC462E" w:rsidRDefault="005A528A">
      <w:pPr>
        <w:spacing w:line="600" w:lineRule="exact"/>
        <w:ind w:leftChars="50" w:left="105" w:firstLineChars="150" w:firstLine="480"/>
        <w:rPr>
          <w:rFonts w:ascii="黑体" w:eastAsia="黑体" w:hAnsi="黑体" w:cs="宋体"/>
          <w:kern w:val="0"/>
          <w:sz w:val="32"/>
          <w:szCs w:val="32"/>
        </w:rPr>
      </w:pPr>
      <w:r>
        <w:rPr>
          <w:rFonts w:ascii="黑体" w:eastAsia="黑体" w:hAnsi="黑体" w:cs="宋体" w:hint="eastAsia"/>
          <w:kern w:val="0"/>
          <w:sz w:val="32"/>
          <w:szCs w:val="32"/>
        </w:rPr>
        <w:t>三</w:t>
      </w:r>
      <w:r>
        <w:rPr>
          <w:rFonts w:ascii="黑体" w:eastAsia="黑体" w:hAnsi="黑体" w:cs="宋体"/>
          <w:kern w:val="0"/>
          <w:sz w:val="32"/>
          <w:szCs w:val="32"/>
        </w:rPr>
        <w:t>、整体绩效目标实现情况</w:t>
      </w:r>
    </w:p>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FC462E" w:rsidRDefault="005A528A">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1.产出数量</w:t>
      </w:r>
    </w:p>
    <w:p w:rsidR="00FC462E" w:rsidRDefault="005A528A">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2022年，我院项目绩效目标产出数量指标情况如下：</w:t>
      </w:r>
    </w:p>
    <w:p w:rsidR="00FC462E" w:rsidRDefault="005A528A">
      <w:pPr>
        <w:numPr>
          <w:ilvl w:val="0"/>
          <w:numId w:val="1"/>
        </w:numPr>
        <w:spacing w:line="600" w:lineRule="exact"/>
        <w:ind w:leftChars="50" w:left="105"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受理四大检察各类案件</w:t>
      </w:r>
      <w:r>
        <w:rPr>
          <w:rFonts w:eastAsia="仿宋_GB2312" w:cs="仿宋_GB2312" w:hint="eastAsia"/>
          <w:sz w:val="32"/>
          <w:szCs w:val="32"/>
        </w:rPr>
        <w:t>3947</w:t>
      </w:r>
      <w:r>
        <w:rPr>
          <w:rFonts w:ascii="仿宋_GB2312" w:eastAsia="仿宋_GB2312" w:hAnsi="仿宋_GB2312" w:cs="仿宋_GB2312" w:hint="eastAsia"/>
          <w:sz w:val="32"/>
          <w:szCs w:val="32"/>
        </w:rPr>
        <w:t>件，审结</w:t>
      </w:r>
      <w:r>
        <w:rPr>
          <w:rFonts w:eastAsia="仿宋_GB2312" w:cs="仿宋_GB2312" w:hint="eastAsia"/>
          <w:sz w:val="32"/>
          <w:szCs w:val="32"/>
        </w:rPr>
        <w:t>3917</w:t>
      </w:r>
      <w:r>
        <w:rPr>
          <w:rFonts w:ascii="仿宋_GB2312" w:eastAsia="仿宋_GB2312" w:hAnsi="仿宋_GB2312" w:cs="仿宋_GB2312" w:hint="eastAsia"/>
          <w:sz w:val="32"/>
          <w:szCs w:val="32"/>
        </w:rPr>
        <w:t>件，案件结案率达</w:t>
      </w:r>
      <w:r>
        <w:rPr>
          <w:rFonts w:eastAsia="仿宋_GB2312" w:cs="仿宋_GB2312" w:hint="eastAsia"/>
          <w:sz w:val="32"/>
          <w:szCs w:val="32"/>
        </w:rPr>
        <w:t>99</w:t>
      </w:r>
      <w:r>
        <w:rPr>
          <w:rFonts w:ascii="仿宋_GB2312" w:eastAsia="仿宋_GB2312" w:hAnsi="仿宋_GB2312" w:cs="仿宋_GB2312" w:hint="eastAsia"/>
          <w:sz w:val="32"/>
          <w:szCs w:val="32"/>
        </w:rPr>
        <w:t>.</w:t>
      </w:r>
      <w:r>
        <w:rPr>
          <w:rFonts w:eastAsia="仿宋_GB2312" w:cs="仿宋_GB2312" w:hint="eastAsia"/>
          <w:sz w:val="32"/>
          <w:szCs w:val="32"/>
        </w:rPr>
        <w:t>2</w:t>
      </w:r>
      <w:r>
        <w:rPr>
          <w:rFonts w:ascii="仿宋_GB2312" w:eastAsia="仿宋_GB2312" w:hAnsi="仿宋_GB2312" w:cs="仿宋_GB2312" w:hint="eastAsia"/>
          <w:sz w:val="32"/>
          <w:szCs w:val="32"/>
        </w:rPr>
        <w:t>%；</w:t>
      </w:r>
    </w:p>
    <w:p w:rsidR="00FC462E" w:rsidRDefault="005A528A">
      <w:pPr>
        <w:numPr>
          <w:ilvl w:val="0"/>
          <w:numId w:val="1"/>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保证新媒体法制宣传、检务公开、政策理论研究等相关检察工作开展,外聘新媒体宣传人员2人；</w:t>
      </w:r>
    </w:p>
    <w:p w:rsidR="00FC462E" w:rsidRDefault="005A528A">
      <w:pPr>
        <w:numPr>
          <w:ilvl w:val="0"/>
          <w:numId w:val="1"/>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确保本院办案场所、办案人员的安全，保障检察业务工作的顺利开展，外聘安检安保人员23人；</w:t>
      </w:r>
    </w:p>
    <w:p w:rsidR="00FC462E" w:rsidRDefault="005A528A">
      <w:pPr>
        <w:numPr>
          <w:ilvl w:val="0"/>
          <w:numId w:val="1"/>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按照市财政实现全预算绩效管理要求，提高财政资</w:t>
      </w:r>
      <w:r>
        <w:rPr>
          <w:rFonts w:ascii="仿宋_GB2312" w:eastAsia="仿宋_GB2312" w:hAnsi="宋体" w:cs="宋体" w:hint="eastAsia"/>
          <w:kern w:val="0"/>
          <w:sz w:val="32"/>
          <w:szCs w:val="32"/>
        </w:rPr>
        <w:lastRenderedPageBreak/>
        <w:t>金使用效益，通过委托中介机构进行项目预算评审、会计服务、审计服务、内部控制咨询服务、绩效评价咨询服务等工作，完成项目绩效评价6项；</w:t>
      </w:r>
    </w:p>
    <w:p w:rsidR="00FC462E" w:rsidRDefault="005A528A">
      <w:pPr>
        <w:numPr>
          <w:ilvl w:val="0"/>
          <w:numId w:val="1"/>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保障履行检察职能所需检察业务技术装备、综合保障装备，购置了检察工作网国产计算机终端4台、国产打印机设备86台、网络犯罪检察办案电子数据审查装备1套；</w:t>
      </w:r>
    </w:p>
    <w:p w:rsidR="00FC462E" w:rsidRDefault="005A528A">
      <w:pPr>
        <w:numPr>
          <w:ilvl w:val="0"/>
          <w:numId w:val="1"/>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实现我院计算机外网系统、大要案指挥中心、图书馆系统等接入互联网宽带工作，保障我院对信息化不断增长的需求，保障检务公开工作顺利开展，接入60Mbps带宽；</w:t>
      </w:r>
    </w:p>
    <w:p w:rsidR="00FC462E" w:rsidRDefault="005A528A">
      <w:pPr>
        <w:numPr>
          <w:ilvl w:val="0"/>
          <w:numId w:val="1"/>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保障核心业务管理系统、首都检察网东城分主页的应用系统和主机环境稳定运行，全院局域网稳定运行，委托网络运维公司派驻网络信息运维常驻技术人员3人；</w:t>
      </w:r>
    </w:p>
    <w:p w:rsidR="00FC462E" w:rsidRDefault="005A528A">
      <w:pPr>
        <w:numPr>
          <w:ilvl w:val="0"/>
          <w:numId w:val="1"/>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保障检察工作需要，更新了原有公务用车2辆。</w:t>
      </w:r>
    </w:p>
    <w:p w:rsidR="00FC462E" w:rsidRDefault="005A528A">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2.产出</w:t>
      </w:r>
      <w:r>
        <w:rPr>
          <w:rFonts w:ascii="仿宋_GB2312" w:eastAsia="仿宋_GB2312" w:hAnsi="宋体" w:cs="宋体"/>
          <w:kern w:val="0"/>
          <w:sz w:val="32"/>
          <w:szCs w:val="32"/>
        </w:rPr>
        <w:t>质量</w:t>
      </w:r>
    </w:p>
    <w:p w:rsidR="00FC462E" w:rsidRDefault="005A528A">
      <w:pPr>
        <w:numPr>
          <w:ilvl w:val="0"/>
          <w:numId w:val="2"/>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办案业务费项目维护了国家安全和社会安宁，创造和谐稳定的社会环境。树牢了总体国家安全观，依法打击危害国家安全和社会稳定的各类犯罪，维护核心区绝对安全；</w:t>
      </w:r>
    </w:p>
    <w:p w:rsidR="00FC462E" w:rsidRDefault="005A528A">
      <w:pPr>
        <w:numPr>
          <w:ilvl w:val="0"/>
          <w:numId w:val="2"/>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检察工作经费保障了新闻宣传平台搭建、法制宣传片制作、三微一端一平台建设及维护，专题片、微电影、微动漫拍摄制作等业务需求；</w:t>
      </w:r>
    </w:p>
    <w:p w:rsidR="00FC462E" w:rsidRDefault="005A528A">
      <w:pPr>
        <w:numPr>
          <w:ilvl w:val="0"/>
          <w:numId w:val="2"/>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安检安保工作中治安、消防、突发事件处理能力较好；</w:t>
      </w:r>
    </w:p>
    <w:p w:rsidR="00FC462E" w:rsidRDefault="005A528A">
      <w:pPr>
        <w:numPr>
          <w:ilvl w:val="0"/>
          <w:numId w:val="2"/>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绩效评审咨询服务提高财政资金使用效益、保障经</w:t>
      </w:r>
      <w:r>
        <w:rPr>
          <w:rFonts w:ascii="仿宋_GB2312" w:eastAsia="仿宋_GB2312" w:hAnsi="宋体" w:cs="宋体" w:hint="eastAsia"/>
          <w:kern w:val="0"/>
          <w:sz w:val="32"/>
          <w:szCs w:val="32"/>
        </w:rPr>
        <w:lastRenderedPageBreak/>
        <w:t>费运行安全，促进单位内部控制，充分发挥内部审计免疫和防范作用；</w:t>
      </w:r>
    </w:p>
    <w:p w:rsidR="00FC462E" w:rsidRDefault="005A528A">
      <w:pPr>
        <w:numPr>
          <w:ilvl w:val="0"/>
          <w:numId w:val="2"/>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业务装备费项目通过购置履行检察职能所需检察业务技术装备、综合保障装备等，保障我院履行检察职能。</w:t>
      </w:r>
    </w:p>
    <w:p w:rsidR="00FC462E" w:rsidRDefault="005A528A">
      <w:pPr>
        <w:numPr>
          <w:ilvl w:val="0"/>
          <w:numId w:val="2"/>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通过接入互联网，实现了我院计算机外网系统、大要案指挥中心、图书馆系统等接入互联网宽带工作，保障了我院对信息化不断增长的需求，保障检务公开，加强了检察机关与外界沟通交流，为检察工作提供强有力的网络平台，改善干警办公、办案条件，保证了我院信息化建设顺利进行，促进了检察各项工作的高效发展。</w:t>
      </w:r>
    </w:p>
    <w:p w:rsidR="00FC462E" w:rsidRDefault="005A528A">
      <w:pPr>
        <w:numPr>
          <w:ilvl w:val="0"/>
          <w:numId w:val="2"/>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信息化运维项目保障了我院核心业务管理系统、首都检察网东城分主页的应用系统和主机环境稳定运行，全院局域网稳定运行，确保核心数据安全、保障视频会议、大要安全侦查指挥、远程案件研讨等系统稳定运行。保障了大要案指挥中心、审讯系统、视频会议室、办案区等弱电系统安全运行，保障检务工作顺利开展，保障了检察办案安全。</w:t>
      </w:r>
    </w:p>
    <w:p w:rsidR="00FC462E" w:rsidRDefault="005A528A">
      <w:pPr>
        <w:numPr>
          <w:ilvl w:val="0"/>
          <w:numId w:val="2"/>
        </w:num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车辆更新项目，通过更新购置公务用车，以保障检察办案安全。</w:t>
      </w:r>
    </w:p>
    <w:p w:rsidR="00FC462E" w:rsidRDefault="005A528A">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3.产出</w:t>
      </w:r>
      <w:r>
        <w:rPr>
          <w:rFonts w:ascii="仿宋_GB2312" w:eastAsia="仿宋_GB2312" w:hAnsi="宋体" w:cs="宋体"/>
          <w:kern w:val="0"/>
          <w:sz w:val="32"/>
          <w:szCs w:val="32"/>
        </w:rPr>
        <w:t>进度</w:t>
      </w:r>
    </w:p>
    <w:p w:rsidR="00FC462E" w:rsidRDefault="005A528A">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2022年，我院各项目均能够按照计划时间开展。</w:t>
      </w:r>
    </w:p>
    <w:p w:rsidR="00FC462E" w:rsidRDefault="005A528A">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kern w:val="0"/>
          <w:sz w:val="32"/>
          <w:szCs w:val="32"/>
        </w:rPr>
        <w:t>4.</w:t>
      </w:r>
      <w:r>
        <w:rPr>
          <w:rFonts w:ascii="仿宋_GB2312" w:eastAsia="仿宋_GB2312" w:hAnsi="宋体" w:cs="宋体" w:hint="eastAsia"/>
          <w:kern w:val="0"/>
          <w:sz w:val="32"/>
          <w:szCs w:val="32"/>
        </w:rPr>
        <w:t>产出</w:t>
      </w:r>
      <w:r>
        <w:rPr>
          <w:rFonts w:ascii="仿宋_GB2312" w:eastAsia="仿宋_GB2312" w:hAnsi="宋体" w:cs="宋体"/>
          <w:kern w:val="0"/>
          <w:sz w:val="32"/>
          <w:szCs w:val="32"/>
        </w:rPr>
        <w:t>成本</w:t>
      </w:r>
    </w:p>
    <w:p w:rsidR="001E7CC9" w:rsidRDefault="005A528A">
      <w:pPr>
        <w:spacing w:line="600" w:lineRule="exact"/>
        <w:ind w:leftChars="50" w:left="105" w:firstLineChars="150" w:firstLine="48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2022年，我院项目支出预算数1,041.72</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w:t>
      </w:r>
      <w:r>
        <w:rPr>
          <w:rFonts w:ascii="仿宋_GB2312" w:eastAsia="仿宋_GB2312" w:hAnsi="宋体" w:cs="宋体"/>
          <w:kern w:val="0"/>
          <w:sz w:val="32"/>
          <w:szCs w:val="32"/>
        </w:rPr>
        <w:t>项目</w:t>
      </w:r>
      <w:r>
        <w:rPr>
          <w:rFonts w:ascii="仿宋_GB2312" w:eastAsia="仿宋_GB2312" w:hAnsi="宋体" w:cs="宋体" w:hint="eastAsia"/>
          <w:kern w:val="0"/>
          <w:sz w:val="32"/>
          <w:szCs w:val="32"/>
        </w:rPr>
        <w:t>支出决算数877.94</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，项目支出预算执行率为84.28%。</w:t>
      </w:r>
      <w:r w:rsidR="00A16514">
        <w:rPr>
          <w:rFonts w:ascii="仿宋_GB2312" w:eastAsia="仿宋_GB2312" w:hAnsi="宋体" w:cs="宋体" w:hint="eastAsia"/>
          <w:kern w:val="0"/>
          <w:sz w:val="32"/>
          <w:szCs w:val="32"/>
        </w:rPr>
        <w:t>部</w:t>
      </w:r>
    </w:p>
    <w:p w:rsidR="001E7CC9" w:rsidRDefault="001E7CC9" w:rsidP="001E7CC9">
      <w:pPr>
        <w:spacing w:line="600" w:lineRule="exact"/>
        <w:ind w:leftChars="50" w:left="105" w:firstLineChars="150" w:firstLine="480"/>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门整体支出控制在预算批复内。</w:t>
      </w:r>
    </w:p>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A16514" w:rsidRDefault="00A16514" w:rsidP="00A16514">
      <w:pPr>
        <w:pStyle w:val="2"/>
        <w:ind w:firstLine="640"/>
      </w:pPr>
      <w:r>
        <w:rPr>
          <w:rFonts w:hint="eastAsia"/>
        </w:rPr>
        <w:t>1.</w:t>
      </w:r>
      <w:r>
        <w:rPr>
          <w:rFonts w:hint="eastAsia"/>
        </w:rPr>
        <w:t>经济效益：不涉及</w:t>
      </w:r>
    </w:p>
    <w:p w:rsidR="00A16514" w:rsidRDefault="00A16514" w:rsidP="00A16514">
      <w:pPr>
        <w:pStyle w:val="2"/>
        <w:ind w:firstLine="640"/>
      </w:pPr>
      <w:r>
        <w:rPr>
          <w:rFonts w:hint="eastAsia"/>
        </w:rPr>
        <w:t>2.</w:t>
      </w:r>
      <w:r>
        <w:rPr>
          <w:rFonts w:hint="eastAsia"/>
        </w:rPr>
        <w:t>社会效益：</w:t>
      </w:r>
      <w:r>
        <w:rPr>
          <w:rFonts w:hint="eastAsia"/>
        </w:rPr>
        <w:t>2022</w:t>
      </w:r>
      <w:r>
        <w:rPr>
          <w:rFonts w:hint="eastAsia"/>
        </w:rPr>
        <w:t>年我院各项目的执行，保障了检察工作需要，提高办公效率，使检察工作平稳有序开展，满足刑事检察、民事检察、行政检察、公益诉讼检察四大检察业务办案需要，进一步提高检察机关司法公信力，提升群众对检察工作满意度。为维护国家和地区的长治久安，保障人民安居乐业提供强有力的支撑和保障。</w:t>
      </w:r>
    </w:p>
    <w:p w:rsidR="00A16514" w:rsidRDefault="00A16514" w:rsidP="00A16514">
      <w:pPr>
        <w:pStyle w:val="2"/>
        <w:ind w:firstLine="640"/>
      </w:pPr>
      <w:r>
        <w:rPr>
          <w:rFonts w:hint="eastAsia"/>
        </w:rPr>
        <w:t>3</w:t>
      </w:r>
      <w:r>
        <w:rPr>
          <w:rFonts w:hint="eastAsia"/>
        </w:rPr>
        <w:t>．环境效益：不涉及</w:t>
      </w:r>
    </w:p>
    <w:p w:rsidR="00A16514" w:rsidRDefault="00A16514" w:rsidP="00A16514">
      <w:pPr>
        <w:pStyle w:val="2"/>
        <w:ind w:firstLine="640"/>
      </w:pPr>
      <w:r>
        <w:rPr>
          <w:rFonts w:hint="eastAsia"/>
        </w:rPr>
        <w:t>4.</w:t>
      </w:r>
      <w:r>
        <w:rPr>
          <w:rFonts w:hint="eastAsia"/>
        </w:rPr>
        <w:t>可持续影响：我院充分发挥单位职能，保障各项检察业务工作有序开展，围绕中心工作履行检察职能，在维护首都工作大局，维护社会安定，强化法律监督方面具有可持续性。</w:t>
      </w:r>
    </w:p>
    <w:p w:rsidR="00A16514" w:rsidRDefault="00A16514" w:rsidP="00A16514">
      <w:pPr>
        <w:pStyle w:val="2"/>
        <w:ind w:firstLine="640"/>
      </w:pPr>
      <w:r>
        <w:rPr>
          <w:rFonts w:hint="eastAsia"/>
        </w:rPr>
        <w:t>5.</w:t>
      </w:r>
      <w:r>
        <w:rPr>
          <w:rFonts w:hint="eastAsia"/>
        </w:rPr>
        <w:t>服务对象满意度：人大代表对我院工作报告赞成率达</w:t>
      </w:r>
      <w:r>
        <w:rPr>
          <w:rFonts w:hint="eastAsia"/>
        </w:rPr>
        <w:t>100%</w:t>
      </w:r>
      <w:r>
        <w:rPr>
          <w:rFonts w:hint="eastAsia"/>
        </w:rPr>
        <w:t>。</w:t>
      </w:r>
    </w:p>
    <w:p w:rsidR="00FC462E" w:rsidRDefault="005A528A">
      <w:pPr>
        <w:spacing w:line="600" w:lineRule="exact"/>
        <w:ind w:leftChars="50" w:left="105" w:firstLineChars="150" w:firstLine="480"/>
        <w:rPr>
          <w:rFonts w:ascii="黑体" w:eastAsia="黑体" w:hAnsi="黑体" w:cs="宋体"/>
          <w:kern w:val="0"/>
          <w:sz w:val="32"/>
          <w:szCs w:val="32"/>
        </w:rPr>
      </w:pPr>
      <w:r>
        <w:rPr>
          <w:rFonts w:ascii="黑体" w:eastAsia="黑体" w:hAnsi="黑体" w:cs="宋体" w:hint="eastAsia"/>
          <w:kern w:val="0"/>
          <w:sz w:val="32"/>
          <w:szCs w:val="32"/>
        </w:rPr>
        <w:t>四</w:t>
      </w:r>
      <w:r>
        <w:rPr>
          <w:rFonts w:ascii="黑体" w:eastAsia="黑体" w:hAnsi="黑体" w:cs="宋体"/>
          <w:kern w:val="0"/>
          <w:sz w:val="32"/>
          <w:szCs w:val="32"/>
        </w:rPr>
        <w:t>、预算管理</w:t>
      </w:r>
      <w:r>
        <w:rPr>
          <w:rFonts w:ascii="黑体" w:eastAsia="黑体" w:hAnsi="黑体" w:cs="宋体" w:hint="eastAsia"/>
          <w:kern w:val="0"/>
          <w:sz w:val="32"/>
          <w:szCs w:val="32"/>
        </w:rPr>
        <w:t>情况分</w:t>
      </w:r>
      <w:r>
        <w:rPr>
          <w:rFonts w:ascii="黑体" w:eastAsia="黑体" w:hAnsi="黑体" w:cs="宋体"/>
          <w:kern w:val="0"/>
          <w:sz w:val="32"/>
          <w:szCs w:val="32"/>
        </w:rPr>
        <w:t>析</w:t>
      </w:r>
    </w:p>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FC462E" w:rsidRDefault="005A528A">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1.财务管理制度健全性</w:t>
      </w:r>
    </w:p>
    <w:p w:rsidR="000F43D2" w:rsidRDefault="005A528A" w:rsidP="000F43D2">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我院建立了《经费支出管理办法》，《会计档案管理办法》、《预算管理办法》、《预算项目管理办法》、《采购管理办法》等制度，财务</w:t>
      </w:r>
      <w:r>
        <w:rPr>
          <w:rFonts w:ascii="仿宋_GB2312" w:eastAsia="仿宋_GB2312" w:hAnsi="宋体" w:cs="宋体"/>
          <w:kern w:val="0"/>
          <w:sz w:val="32"/>
          <w:szCs w:val="32"/>
        </w:rPr>
        <w:t>管理制度健全</w:t>
      </w:r>
      <w:r>
        <w:rPr>
          <w:rFonts w:ascii="仿宋_GB2312" w:eastAsia="仿宋_GB2312" w:hAnsi="宋体" w:cs="宋体" w:hint="eastAsia"/>
          <w:kern w:val="0"/>
          <w:sz w:val="32"/>
          <w:szCs w:val="32"/>
        </w:rPr>
        <w:t>。实际执行中，严格按照财务制度执行，执行审核审批手续。</w:t>
      </w:r>
    </w:p>
    <w:p w:rsidR="001E7CC9" w:rsidRPr="001E7CC9" w:rsidRDefault="001E7CC9" w:rsidP="001E7CC9">
      <w:pPr>
        <w:pStyle w:val="2"/>
        <w:ind w:firstLine="640"/>
      </w:pPr>
      <w:r>
        <w:rPr>
          <w:rFonts w:hint="eastAsia"/>
        </w:rPr>
        <w:t>2.</w:t>
      </w:r>
      <w:r>
        <w:rPr>
          <w:rFonts w:hint="eastAsia"/>
        </w:rPr>
        <w:t>资金使用合规性和安全性</w:t>
      </w:r>
    </w:p>
    <w:p w:rsidR="00FC462E" w:rsidRDefault="005A528A" w:rsidP="000F43D2">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2022年我院各项资金支出均参照国家、北京市相关制度及本院已制定的财务制度执行，严格落实资金拨付审批程序，以保障资金及时发放到位，资金支出审批程序齐全，资金使用合规、</w:t>
      </w:r>
      <w:r>
        <w:rPr>
          <w:rFonts w:ascii="仿宋_GB2312" w:eastAsia="仿宋_GB2312" w:hAnsi="宋体" w:cs="宋体"/>
          <w:kern w:val="0"/>
          <w:sz w:val="32"/>
          <w:szCs w:val="32"/>
        </w:rPr>
        <w:t>安全</w:t>
      </w:r>
      <w:r>
        <w:rPr>
          <w:rFonts w:ascii="仿宋_GB2312" w:eastAsia="仿宋_GB2312" w:hAnsi="宋体" w:cs="宋体" w:hint="eastAsia"/>
          <w:kern w:val="0"/>
          <w:sz w:val="32"/>
          <w:szCs w:val="32"/>
        </w:rPr>
        <w:t>。会计信息准确、完整。同时，积极配合市财政局开展项目监管检查、绩效评价等相关工作，加强资金使用效果的监督、落实。</w:t>
      </w:r>
    </w:p>
    <w:p w:rsidR="0013642E" w:rsidRDefault="0013642E" w:rsidP="0013642E">
      <w:pPr>
        <w:pStyle w:val="2"/>
        <w:ind w:firstLine="640"/>
        <w:rPr>
          <w:rFonts w:hint="eastAsia"/>
        </w:rPr>
      </w:pPr>
      <w:r>
        <w:rPr>
          <w:rFonts w:hint="eastAsia"/>
        </w:rPr>
        <w:t>3.</w:t>
      </w:r>
      <w:r>
        <w:rPr>
          <w:rFonts w:hint="eastAsia"/>
        </w:rPr>
        <w:t>会计基础信息完善性</w:t>
      </w:r>
    </w:p>
    <w:p w:rsidR="001E7CC9" w:rsidRDefault="001E7CC9" w:rsidP="001E7CC9">
      <w:pPr>
        <w:pStyle w:val="2"/>
        <w:ind w:firstLine="640"/>
      </w:pPr>
      <w:r>
        <w:rPr>
          <w:rFonts w:hint="eastAsia"/>
        </w:rPr>
        <w:t>2022</w:t>
      </w:r>
      <w:r>
        <w:rPr>
          <w:rFonts w:hint="eastAsia"/>
        </w:rPr>
        <w:t>年东城检察院会计基础信息较为完善。</w:t>
      </w:r>
    </w:p>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FC462E" w:rsidRDefault="005A528A">
      <w:pPr>
        <w:spacing w:line="600" w:lineRule="exact"/>
        <w:ind w:leftChars="50" w:left="105" w:firstLineChars="150" w:firstLine="480"/>
        <w:rPr>
          <w:rFonts w:ascii="仿宋_GB2312" w:eastAsia="仿宋_GB2312" w:hAnsi="宋体" w:cs="宋体"/>
          <w:kern w:val="0"/>
          <w:sz w:val="32"/>
          <w:szCs w:val="32"/>
        </w:rPr>
      </w:pPr>
      <w:r>
        <w:rPr>
          <w:rFonts w:ascii="仿宋_GB2312" w:eastAsia="仿宋_GB2312" w:hAnsi="宋体" w:cs="宋体" w:hint="eastAsia"/>
          <w:kern w:val="0"/>
          <w:sz w:val="32"/>
          <w:szCs w:val="32"/>
        </w:rPr>
        <w:t>1.我院建立了《固定资产管理规定》、《办公用品及耗材管理办法》等管理制度，资产管理制度较为健全。</w:t>
      </w:r>
    </w:p>
    <w:p w:rsidR="00FC462E" w:rsidRDefault="005A528A">
      <w:pPr>
        <w:numPr>
          <w:ilvl w:val="255"/>
          <w:numId w:val="0"/>
        </w:num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2.我院在资产管理方面能够按照现有制度执行，科学合理做好资产配置，加强资产的日常管理维护，挖掘资产使用价值，规范和完善资产的处置流程，充分发挥资产在单位履行职能方面的物质基础作用。</w:t>
      </w:r>
    </w:p>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FC462E" w:rsidRDefault="005A528A">
      <w:pPr>
        <w:spacing w:line="560" w:lineRule="exact"/>
        <w:ind w:leftChars="50" w:left="105" w:firstLineChars="167" w:firstLine="534"/>
        <w:rPr>
          <w:rFonts w:ascii="仿宋_GB2312" w:eastAsia="仿宋_GB2312" w:hAnsi="宋体" w:cs="宋体"/>
          <w:kern w:val="0"/>
          <w:sz w:val="32"/>
          <w:szCs w:val="32"/>
        </w:rPr>
      </w:pPr>
      <w:r>
        <w:rPr>
          <w:rFonts w:ascii="仿宋_GB2312" w:eastAsia="仿宋_GB2312" w:hAnsi="宋体" w:cs="宋体" w:hint="eastAsia"/>
          <w:kern w:val="0"/>
          <w:sz w:val="32"/>
          <w:szCs w:val="32"/>
        </w:rPr>
        <w:t>在部门预算绩效管理工作中，我院对具体项目的决策、执行、产出及效益等方面进行综合评价，评价结果经单位主要领导审批，确保评价结果的真实、准确、客观。通过绩效评价进一步强化了对项目资金的绩效管理意识，提高了财政资金的使用效益。建立科学、合理的部门支出绩效评价管理体系，提高财政资金使用效益。我院部门支出绩效评价依据设定的绩效目标，运用科学、合理的绩效评价指标、评价标</w:t>
      </w:r>
      <w:r>
        <w:rPr>
          <w:rFonts w:ascii="仿宋_GB2312" w:eastAsia="仿宋_GB2312" w:hAnsi="宋体" w:cs="宋体" w:hint="eastAsia"/>
          <w:kern w:val="0"/>
          <w:sz w:val="32"/>
          <w:szCs w:val="32"/>
        </w:rPr>
        <w:lastRenderedPageBreak/>
        <w:t>准和评价方法，对部门支出的经济性、效率性、效益性和公平性以及预算资金的投入、使用过程、产出和效果进行客观、公正的测量、分析和评判进一步加强预算绩效管理。</w:t>
      </w:r>
    </w:p>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FC462E" w:rsidRDefault="005A528A">
      <w:pPr>
        <w:spacing w:line="600" w:lineRule="exact"/>
        <w:ind w:leftChars="50" w:left="105" w:firstLineChars="150" w:firstLine="480"/>
        <w:rPr>
          <w:rFonts w:ascii="楷体_GB2312" w:eastAsia="楷体_GB2312"/>
          <w:sz w:val="32"/>
          <w:szCs w:val="32"/>
        </w:rPr>
      </w:pPr>
      <w:r>
        <w:rPr>
          <w:rFonts w:ascii="仿宋_GB2312" w:eastAsia="仿宋_GB2312" w:hAnsi="宋体" w:cs="宋体" w:hint="eastAsia"/>
          <w:kern w:val="0"/>
          <w:sz w:val="32"/>
          <w:szCs w:val="32"/>
        </w:rPr>
        <w:t>2022年结转结余资金总额为352.24万元，支出预算资金为11,757.17万元，结转结余率为3%。</w:t>
      </w:r>
    </w:p>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FC462E" w:rsidRDefault="005A528A">
      <w:pPr>
        <w:spacing w:line="600" w:lineRule="exact"/>
        <w:ind w:firstLineChars="200" w:firstLine="640"/>
        <w:rPr>
          <w:rFonts w:ascii="黑体" w:eastAsia="黑体" w:hAnsi="黑体"/>
          <w:sz w:val="32"/>
          <w:szCs w:val="32"/>
        </w:rPr>
      </w:pPr>
      <w:r>
        <w:rPr>
          <w:rFonts w:ascii="仿宋_GB2312" w:eastAsia="仿宋_GB2312" w:hAnsi="宋体" w:cs="宋体" w:hint="eastAsia"/>
          <w:kern w:val="0"/>
          <w:sz w:val="32"/>
          <w:szCs w:val="32"/>
        </w:rPr>
        <w:t>2022年年初预算数11,231.4万元,资金总体支出11,404.94万元，预决算差异率为1.55%。</w:t>
      </w:r>
    </w:p>
    <w:p w:rsidR="00FC462E" w:rsidRDefault="005A528A">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FC462E" w:rsidRDefault="005A528A">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年度，我院开展绩效评价项目8个，占部门项目总数100%，涉及金额779.41万元。其中部门评价项目1个，涉及金额315.57万元，单位自评项目7个，涉及金额463.84万元。评价得分在90（含）—100分的项目7个，80（含）—90分的项目1个。我院2022年度部门整体绩效评价得分95.61分。</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tblPr>
      <w:tblGrid>
        <w:gridCol w:w="2265"/>
        <w:gridCol w:w="1081"/>
        <w:gridCol w:w="1634"/>
        <w:gridCol w:w="1740"/>
        <w:gridCol w:w="1799"/>
      </w:tblGrid>
      <w:tr w:rsidR="00FC462E">
        <w:trPr>
          <w:trHeight w:val="450"/>
        </w:trPr>
        <w:tc>
          <w:tcPr>
            <w:tcW w:w="1328" w:type="pct"/>
            <w:shd w:val="clear" w:color="000000" w:fill="auto"/>
            <w:vAlign w:val="center"/>
          </w:tcPr>
          <w:p w:rsidR="00FC462E" w:rsidRDefault="005A528A">
            <w:pPr>
              <w:widowControl/>
              <w:spacing w:line="560" w:lineRule="exact"/>
              <w:jc w:val="center"/>
              <w:rPr>
                <w:rFonts w:ascii="仿宋_GB2312" w:hAnsi="仿宋_GB2312" w:cs="仿宋_GB2312"/>
                <w:b/>
                <w:bCs/>
                <w:kern w:val="0"/>
                <w:szCs w:val="21"/>
              </w:rPr>
            </w:pPr>
            <w:r>
              <w:rPr>
                <w:rFonts w:ascii="仿宋_GB2312" w:hAnsi="仿宋_GB2312" w:cs="仿宋_GB2312" w:hint="eastAsia"/>
                <w:b/>
                <w:bCs/>
                <w:kern w:val="0"/>
                <w:szCs w:val="21"/>
              </w:rPr>
              <w:t>评价项目名称</w:t>
            </w:r>
          </w:p>
        </w:tc>
        <w:tc>
          <w:tcPr>
            <w:tcW w:w="634" w:type="pct"/>
            <w:shd w:val="clear" w:color="000000" w:fill="auto"/>
            <w:vAlign w:val="center"/>
          </w:tcPr>
          <w:p w:rsidR="00FC462E" w:rsidRDefault="005A528A">
            <w:pPr>
              <w:widowControl/>
              <w:spacing w:line="560" w:lineRule="exact"/>
              <w:jc w:val="center"/>
              <w:rPr>
                <w:rFonts w:ascii="仿宋_GB2312" w:hAnsi="仿宋_GB2312" w:cs="仿宋_GB2312"/>
                <w:b/>
                <w:bCs/>
                <w:kern w:val="0"/>
                <w:szCs w:val="21"/>
              </w:rPr>
            </w:pPr>
            <w:r>
              <w:rPr>
                <w:rFonts w:ascii="仿宋_GB2312" w:hAnsi="仿宋_GB2312" w:cs="仿宋_GB2312" w:hint="eastAsia"/>
                <w:b/>
                <w:bCs/>
                <w:kern w:val="0"/>
                <w:szCs w:val="21"/>
              </w:rPr>
              <w:t>分值</w:t>
            </w:r>
          </w:p>
        </w:tc>
        <w:tc>
          <w:tcPr>
            <w:tcW w:w="959" w:type="pct"/>
            <w:shd w:val="clear" w:color="000000" w:fill="auto"/>
            <w:vAlign w:val="center"/>
          </w:tcPr>
          <w:p w:rsidR="00FC462E" w:rsidRDefault="005A528A">
            <w:pPr>
              <w:widowControl/>
              <w:spacing w:line="560" w:lineRule="exact"/>
              <w:jc w:val="center"/>
              <w:rPr>
                <w:rFonts w:ascii="仿宋_GB2312" w:hAnsi="仿宋_GB2312" w:cs="仿宋_GB2312"/>
                <w:b/>
                <w:bCs/>
                <w:kern w:val="0"/>
                <w:szCs w:val="21"/>
              </w:rPr>
            </w:pPr>
            <w:r>
              <w:rPr>
                <w:rFonts w:ascii="仿宋_GB2312" w:hAnsi="仿宋_GB2312" w:cs="仿宋_GB2312" w:hint="eastAsia"/>
                <w:b/>
                <w:bCs/>
                <w:kern w:val="0"/>
                <w:szCs w:val="21"/>
              </w:rPr>
              <w:t>绩效评定级别</w:t>
            </w:r>
          </w:p>
        </w:tc>
        <w:tc>
          <w:tcPr>
            <w:tcW w:w="1021" w:type="pct"/>
            <w:shd w:val="clear" w:color="000000" w:fill="auto"/>
            <w:vAlign w:val="center"/>
          </w:tcPr>
          <w:p w:rsidR="00FC462E" w:rsidRDefault="005A528A">
            <w:pPr>
              <w:widowControl/>
              <w:jc w:val="center"/>
              <w:rPr>
                <w:rFonts w:ascii="仿宋_GB2312" w:hAnsi="仿宋_GB2312" w:cs="仿宋_GB2312"/>
                <w:b/>
                <w:bCs/>
                <w:kern w:val="0"/>
                <w:szCs w:val="21"/>
              </w:rPr>
            </w:pPr>
            <w:r>
              <w:rPr>
                <w:rFonts w:ascii="仿宋_GB2312" w:hAnsi="仿宋_GB2312" w:cs="仿宋_GB2312" w:hint="eastAsia"/>
                <w:b/>
                <w:bCs/>
                <w:kern w:val="0"/>
                <w:szCs w:val="21"/>
              </w:rPr>
              <w:t>预算资金（万元）</w:t>
            </w:r>
          </w:p>
        </w:tc>
        <w:tc>
          <w:tcPr>
            <w:tcW w:w="1056" w:type="pct"/>
            <w:shd w:val="clear" w:color="000000" w:fill="auto"/>
            <w:vAlign w:val="center"/>
          </w:tcPr>
          <w:p w:rsidR="00FC462E" w:rsidRDefault="005A528A">
            <w:pPr>
              <w:widowControl/>
              <w:jc w:val="center"/>
              <w:rPr>
                <w:rFonts w:ascii="仿宋_GB2312" w:hAnsi="仿宋_GB2312" w:cs="仿宋_GB2312"/>
                <w:b/>
                <w:bCs/>
                <w:kern w:val="0"/>
                <w:szCs w:val="21"/>
              </w:rPr>
            </w:pPr>
            <w:r>
              <w:rPr>
                <w:rFonts w:ascii="仿宋_GB2312" w:hAnsi="仿宋_GB2312" w:cs="仿宋_GB2312" w:hint="eastAsia"/>
                <w:b/>
                <w:bCs/>
                <w:kern w:val="0"/>
                <w:szCs w:val="21"/>
              </w:rPr>
              <w:t>决算金额（万元）</w:t>
            </w:r>
          </w:p>
        </w:tc>
      </w:tr>
      <w:tr w:rsidR="00FC462E">
        <w:trPr>
          <w:trHeight w:val="400"/>
        </w:trPr>
        <w:tc>
          <w:tcPr>
            <w:tcW w:w="1328" w:type="pct"/>
            <w:shd w:val="clear" w:color="000000" w:fill="auto"/>
            <w:vAlign w:val="center"/>
          </w:tcPr>
          <w:p w:rsidR="00FC462E" w:rsidRDefault="005A528A">
            <w:pPr>
              <w:widowControl/>
              <w:spacing w:line="600" w:lineRule="exact"/>
              <w:jc w:val="left"/>
              <w:rPr>
                <w:rFonts w:ascii="仿宋_GB2312" w:eastAsia="仿宋_GB2312" w:hAnsi="宋体" w:cs="宋体"/>
                <w:kern w:val="0"/>
                <w:szCs w:val="21"/>
              </w:rPr>
            </w:pPr>
            <w:r>
              <w:rPr>
                <w:rFonts w:ascii="仿宋_GB2312" w:eastAsia="仿宋_GB2312" w:hAnsi="宋体" w:cs="宋体" w:hint="eastAsia"/>
                <w:kern w:val="0"/>
                <w:szCs w:val="21"/>
              </w:rPr>
              <w:t>信息化运维项目</w:t>
            </w:r>
          </w:p>
        </w:tc>
        <w:tc>
          <w:tcPr>
            <w:tcW w:w="634"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959"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1740" w:type="dxa"/>
            <w:shd w:val="clear" w:color="000000" w:fill="auto"/>
            <w:vAlign w:val="center"/>
          </w:tcPr>
          <w:p w:rsidR="00FC462E" w:rsidRDefault="005A528A">
            <w:pPr>
              <w:widowControl/>
              <w:jc w:val="center"/>
              <w:textAlignment w:val="center"/>
              <w:rPr>
                <w:rFonts w:ascii="仿宋_GB2312" w:eastAsia="仿宋_GB2312" w:hAnsi="宋体" w:cs="宋体"/>
                <w:kern w:val="0"/>
                <w:szCs w:val="21"/>
              </w:rPr>
            </w:pPr>
            <w:r>
              <w:rPr>
                <w:rFonts w:ascii="仿宋_GB2312" w:eastAsia="仿宋_GB2312" w:hAnsi="宋体" w:cs="仿宋_GB2312"/>
                <w:kern w:val="0"/>
                <w:szCs w:val="21"/>
              </w:rPr>
              <w:t>108.49</w:t>
            </w:r>
          </w:p>
        </w:tc>
        <w:tc>
          <w:tcPr>
            <w:tcW w:w="1799" w:type="dxa"/>
            <w:shd w:val="clear" w:color="000000" w:fill="auto"/>
            <w:vAlign w:val="center"/>
          </w:tcPr>
          <w:p w:rsidR="00FC462E" w:rsidRDefault="005A528A">
            <w:pPr>
              <w:widowControl/>
              <w:jc w:val="center"/>
              <w:textAlignment w:val="center"/>
              <w:rPr>
                <w:rFonts w:ascii="仿宋_GB2312" w:eastAsia="仿宋_GB2312" w:hAnsi="宋体" w:cs="宋体"/>
                <w:kern w:val="0"/>
                <w:szCs w:val="21"/>
              </w:rPr>
            </w:pPr>
            <w:r>
              <w:rPr>
                <w:rFonts w:ascii="仿宋_GB2312" w:eastAsia="仿宋_GB2312" w:hAnsi="宋体" w:cs="仿宋_GB2312"/>
                <w:kern w:val="0"/>
                <w:szCs w:val="21"/>
              </w:rPr>
              <w:t>108.49</w:t>
            </w:r>
          </w:p>
        </w:tc>
      </w:tr>
      <w:tr w:rsidR="00FC462E">
        <w:trPr>
          <w:trHeight w:val="23"/>
        </w:trPr>
        <w:tc>
          <w:tcPr>
            <w:tcW w:w="1328" w:type="pct"/>
            <w:shd w:val="clear" w:color="000000" w:fill="auto"/>
            <w:vAlign w:val="center"/>
          </w:tcPr>
          <w:p w:rsidR="00FC462E" w:rsidRDefault="005A528A">
            <w:pPr>
              <w:widowControl/>
              <w:spacing w:line="600" w:lineRule="exact"/>
              <w:jc w:val="left"/>
              <w:rPr>
                <w:rFonts w:ascii="仿宋_GB2312" w:eastAsia="仿宋_GB2312" w:hAnsi="宋体" w:cs="宋体"/>
                <w:kern w:val="0"/>
                <w:szCs w:val="21"/>
              </w:rPr>
            </w:pPr>
            <w:r>
              <w:rPr>
                <w:rFonts w:ascii="仿宋_GB2312" w:eastAsia="仿宋_GB2312" w:hAnsi="宋体" w:cs="宋体" w:hint="eastAsia"/>
                <w:kern w:val="0"/>
                <w:szCs w:val="21"/>
              </w:rPr>
              <w:t>办案业务费</w:t>
            </w:r>
          </w:p>
        </w:tc>
        <w:tc>
          <w:tcPr>
            <w:tcW w:w="634"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86.5</w:t>
            </w:r>
          </w:p>
        </w:tc>
        <w:tc>
          <w:tcPr>
            <w:tcW w:w="959"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良</w:t>
            </w:r>
          </w:p>
        </w:tc>
        <w:tc>
          <w:tcPr>
            <w:tcW w:w="1740"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361.60</w:t>
            </w:r>
          </w:p>
        </w:tc>
        <w:tc>
          <w:tcPr>
            <w:tcW w:w="1799"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315.57</w:t>
            </w:r>
          </w:p>
        </w:tc>
      </w:tr>
      <w:tr w:rsidR="00FC462E">
        <w:trPr>
          <w:trHeight w:val="23"/>
        </w:trPr>
        <w:tc>
          <w:tcPr>
            <w:tcW w:w="1328" w:type="pct"/>
            <w:shd w:val="clear" w:color="000000" w:fill="auto"/>
            <w:vAlign w:val="center"/>
          </w:tcPr>
          <w:p w:rsidR="00FC462E" w:rsidRDefault="005A528A">
            <w:pPr>
              <w:widowControl/>
              <w:spacing w:line="600" w:lineRule="exact"/>
              <w:jc w:val="left"/>
              <w:rPr>
                <w:rFonts w:ascii="仿宋_GB2312" w:eastAsia="仿宋_GB2312" w:hAnsi="宋体" w:cs="宋体"/>
                <w:kern w:val="0"/>
                <w:szCs w:val="21"/>
              </w:rPr>
            </w:pPr>
            <w:r>
              <w:rPr>
                <w:rFonts w:ascii="仿宋_GB2312" w:eastAsia="仿宋_GB2312" w:hAnsi="宋体" w:cs="宋体" w:hint="eastAsia"/>
                <w:kern w:val="0"/>
                <w:szCs w:val="21"/>
              </w:rPr>
              <w:t>互联网接入费</w:t>
            </w:r>
          </w:p>
        </w:tc>
        <w:tc>
          <w:tcPr>
            <w:tcW w:w="634"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959"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1740"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5.80</w:t>
            </w:r>
          </w:p>
        </w:tc>
        <w:tc>
          <w:tcPr>
            <w:tcW w:w="1799"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5.80</w:t>
            </w:r>
          </w:p>
        </w:tc>
      </w:tr>
      <w:tr w:rsidR="00FC462E">
        <w:trPr>
          <w:trHeight w:val="23"/>
        </w:trPr>
        <w:tc>
          <w:tcPr>
            <w:tcW w:w="1328" w:type="pct"/>
            <w:shd w:val="clear" w:color="000000" w:fill="auto"/>
            <w:vAlign w:val="center"/>
          </w:tcPr>
          <w:p w:rsidR="00FC462E" w:rsidRDefault="005A528A">
            <w:pPr>
              <w:widowControl/>
              <w:spacing w:line="600" w:lineRule="exact"/>
              <w:jc w:val="left"/>
              <w:rPr>
                <w:rFonts w:ascii="仿宋_GB2312" w:eastAsia="仿宋_GB2312" w:hAnsi="宋体" w:cs="宋体"/>
                <w:kern w:val="0"/>
                <w:szCs w:val="21"/>
              </w:rPr>
            </w:pPr>
            <w:r>
              <w:rPr>
                <w:rFonts w:ascii="仿宋_GB2312" w:eastAsia="仿宋_GB2312" w:hAnsi="宋体" w:cs="宋体" w:hint="eastAsia"/>
                <w:kern w:val="0"/>
                <w:szCs w:val="21"/>
              </w:rPr>
              <w:t>业务装备费</w:t>
            </w:r>
          </w:p>
        </w:tc>
        <w:tc>
          <w:tcPr>
            <w:tcW w:w="634"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92.6</w:t>
            </w:r>
          </w:p>
        </w:tc>
        <w:tc>
          <w:tcPr>
            <w:tcW w:w="959"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1740"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226.54</w:t>
            </w:r>
          </w:p>
        </w:tc>
        <w:tc>
          <w:tcPr>
            <w:tcW w:w="1799"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143.57</w:t>
            </w:r>
          </w:p>
        </w:tc>
      </w:tr>
      <w:tr w:rsidR="00FC462E">
        <w:trPr>
          <w:trHeight w:val="23"/>
        </w:trPr>
        <w:tc>
          <w:tcPr>
            <w:tcW w:w="1328" w:type="pct"/>
            <w:shd w:val="clear" w:color="000000" w:fill="auto"/>
            <w:vAlign w:val="center"/>
          </w:tcPr>
          <w:p w:rsidR="00FC462E" w:rsidRDefault="005A528A">
            <w:pPr>
              <w:widowControl/>
              <w:spacing w:line="600" w:lineRule="exact"/>
              <w:jc w:val="left"/>
              <w:rPr>
                <w:rFonts w:ascii="仿宋_GB2312" w:eastAsia="仿宋_GB2312" w:hAnsi="宋体" w:cs="宋体"/>
                <w:kern w:val="0"/>
                <w:szCs w:val="21"/>
              </w:rPr>
            </w:pPr>
            <w:r>
              <w:rPr>
                <w:rFonts w:ascii="仿宋_GB2312" w:eastAsia="仿宋_GB2312" w:hAnsi="宋体" w:cs="宋体" w:hint="eastAsia"/>
                <w:kern w:val="0"/>
                <w:szCs w:val="21"/>
              </w:rPr>
              <w:t>检察工作经费</w:t>
            </w:r>
          </w:p>
        </w:tc>
        <w:tc>
          <w:tcPr>
            <w:tcW w:w="634"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959"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1740"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38.00</w:t>
            </w:r>
          </w:p>
        </w:tc>
        <w:tc>
          <w:tcPr>
            <w:tcW w:w="1799"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38.00</w:t>
            </w:r>
          </w:p>
        </w:tc>
      </w:tr>
      <w:tr w:rsidR="00FC462E">
        <w:trPr>
          <w:trHeight w:val="23"/>
        </w:trPr>
        <w:tc>
          <w:tcPr>
            <w:tcW w:w="1328" w:type="pct"/>
            <w:shd w:val="clear" w:color="000000" w:fill="auto"/>
            <w:vAlign w:val="center"/>
          </w:tcPr>
          <w:p w:rsidR="00FC462E" w:rsidRDefault="005A528A">
            <w:pPr>
              <w:widowControl/>
              <w:spacing w:line="600" w:lineRule="exact"/>
              <w:jc w:val="left"/>
              <w:rPr>
                <w:rFonts w:ascii="仿宋_GB2312" w:eastAsia="仿宋_GB2312" w:hAnsi="宋体" w:cs="宋体"/>
                <w:kern w:val="0"/>
                <w:szCs w:val="21"/>
              </w:rPr>
            </w:pPr>
            <w:r>
              <w:rPr>
                <w:rFonts w:ascii="仿宋_GB2312" w:eastAsia="仿宋_GB2312" w:hAnsi="宋体" w:cs="宋体" w:hint="eastAsia"/>
                <w:kern w:val="0"/>
                <w:szCs w:val="21"/>
              </w:rPr>
              <w:lastRenderedPageBreak/>
              <w:t>安检安保工作经费</w:t>
            </w:r>
          </w:p>
        </w:tc>
        <w:tc>
          <w:tcPr>
            <w:tcW w:w="634"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959"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1740"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118.40</w:t>
            </w:r>
          </w:p>
        </w:tc>
        <w:tc>
          <w:tcPr>
            <w:tcW w:w="1799"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118.40</w:t>
            </w:r>
          </w:p>
        </w:tc>
      </w:tr>
      <w:tr w:rsidR="00FC462E">
        <w:trPr>
          <w:trHeight w:val="23"/>
        </w:trPr>
        <w:tc>
          <w:tcPr>
            <w:tcW w:w="1328" w:type="pct"/>
            <w:shd w:val="clear" w:color="000000" w:fill="auto"/>
            <w:vAlign w:val="center"/>
          </w:tcPr>
          <w:p w:rsidR="00FC462E" w:rsidRDefault="005A528A">
            <w:pPr>
              <w:widowControl/>
              <w:spacing w:line="600" w:lineRule="exact"/>
              <w:jc w:val="left"/>
              <w:rPr>
                <w:rFonts w:ascii="仿宋_GB2312" w:eastAsia="仿宋_GB2312" w:hAnsi="宋体" w:cs="宋体"/>
                <w:kern w:val="0"/>
                <w:szCs w:val="21"/>
              </w:rPr>
            </w:pPr>
            <w:r>
              <w:rPr>
                <w:rFonts w:ascii="仿宋_GB2312" w:eastAsia="仿宋_GB2312" w:hAnsi="宋体" w:cs="宋体" w:hint="eastAsia"/>
                <w:kern w:val="0"/>
                <w:szCs w:val="21"/>
              </w:rPr>
              <w:t>绩效评审咨询服务费</w:t>
            </w:r>
          </w:p>
        </w:tc>
        <w:tc>
          <w:tcPr>
            <w:tcW w:w="634"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959"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1740"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9.50</w:t>
            </w:r>
          </w:p>
        </w:tc>
        <w:tc>
          <w:tcPr>
            <w:tcW w:w="1799"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9.50</w:t>
            </w:r>
          </w:p>
        </w:tc>
      </w:tr>
      <w:tr w:rsidR="00FC462E">
        <w:trPr>
          <w:trHeight w:val="23"/>
        </w:trPr>
        <w:tc>
          <w:tcPr>
            <w:tcW w:w="1328" w:type="pct"/>
            <w:shd w:val="clear" w:color="000000" w:fill="auto"/>
            <w:vAlign w:val="center"/>
          </w:tcPr>
          <w:p w:rsidR="00FC462E" w:rsidRDefault="005A528A">
            <w:pPr>
              <w:widowControl/>
              <w:spacing w:line="600" w:lineRule="exact"/>
              <w:jc w:val="left"/>
              <w:rPr>
                <w:rFonts w:ascii="仿宋_GB2312" w:eastAsia="仿宋_GB2312" w:hAnsi="宋体" w:cs="宋体"/>
                <w:kern w:val="0"/>
                <w:szCs w:val="21"/>
              </w:rPr>
            </w:pPr>
            <w:r>
              <w:rPr>
                <w:rFonts w:ascii="仿宋_GB2312" w:eastAsia="仿宋_GB2312" w:hAnsi="宋体" w:cs="宋体" w:hint="eastAsia"/>
                <w:kern w:val="0"/>
                <w:szCs w:val="21"/>
              </w:rPr>
              <w:t>车辆更新经费</w:t>
            </w:r>
          </w:p>
        </w:tc>
        <w:tc>
          <w:tcPr>
            <w:tcW w:w="634"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99.5</w:t>
            </w:r>
          </w:p>
        </w:tc>
        <w:tc>
          <w:tcPr>
            <w:tcW w:w="959" w:type="pct"/>
            <w:shd w:val="clear" w:color="000000" w:fill="auto"/>
            <w:vAlign w:val="center"/>
          </w:tcPr>
          <w:p w:rsidR="00FC462E" w:rsidRDefault="005A528A">
            <w:pPr>
              <w:widowControl/>
              <w:spacing w:line="60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1740"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42.15</w:t>
            </w:r>
          </w:p>
        </w:tc>
        <w:tc>
          <w:tcPr>
            <w:tcW w:w="1799" w:type="dxa"/>
            <w:shd w:val="clear" w:color="000000" w:fill="auto"/>
            <w:vAlign w:val="center"/>
          </w:tcPr>
          <w:p w:rsidR="00FC462E" w:rsidRDefault="005A528A">
            <w:pPr>
              <w:widowControl/>
              <w:jc w:val="center"/>
              <w:textAlignment w:val="center"/>
              <w:rPr>
                <w:rFonts w:ascii="仿宋_GB2312" w:eastAsia="仿宋_GB2312" w:hAnsi="宋体" w:cs="仿宋_GB2312"/>
                <w:kern w:val="0"/>
                <w:szCs w:val="21"/>
              </w:rPr>
            </w:pPr>
            <w:r>
              <w:rPr>
                <w:rFonts w:ascii="仿宋_GB2312" w:eastAsia="仿宋_GB2312" w:hAnsi="宋体" w:cs="仿宋_GB2312"/>
                <w:kern w:val="0"/>
                <w:szCs w:val="21"/>
              </w:rPr>
              <w:t>40.08</w:t>
            </w:r>
          </w:p>
        </w:tc>
      </w:tr>
      <w:tr w:rsidR="00FC462E">
        <w:trPr>
          <w:trHeight w:val="23"/>
        </w:trPr>
        <w:tc>
          <w:tcPr>
            <w:tcW w:w="1962" w:type="pct"/>
            <w:gridSpan w:val="2"/>
            <w:shd w:val="clear" w:color="000000" w:fill="auto"/>
            <w:vAlign w:val="center"/>
          </w:tcPr>
          <w:p w:rsidR="00FC462E" w:rsidRDefault="005A528A">
            <w:pPr>
              <w:widowControl/>
              <w:spacing w:line="600" w:lineRule="exact"/>
              <w:ind w:firstLineChars="200" w:firstLine="422"/>
              <w:jc w:val="center"/>
              <w:rPr>
                <w:rFonts w:ascii="仿宋_GB2312" w:eastAsia="仿宋_GB2312" w:hAnsi="宋体" w:cs="宋体"/>
                <w:kern w:val="0"/>
                <w:szCs w:val="21"/>
              </w:rPr>
            </w:pPr>
            <w:r>
              <w:rPr>
                <w:rFonts w:ascii="仿宋_GB2312" w:hAnsi="仿宋_GB2312" w:cs="仿宋_GB2312" w:hint="eastAsia"/>
                <w:b/>
                <w:bCs/>
                <w:kern w:val="0"/>
                <w:szCs w:val="21"/>
              </w:rPr>
              <w:t>合计</w:t>
            </w:r>
          </w:p>
        </w:tc>
        <w:tc>
          <w:tcPr>
            <w:tcW w:w="959" w:type="pct"/>
            <w:shd w:val="clear" w:color="000000" w:fill="auto"/>
            <w:vAlign w:val="center"/>
          </w:tcPr>
          <w:p w:rsidR="00FC462E" w:rsidRDefault="00FC462E">
            <w:pPr>
              <w:widowControl/>
              <w:spacing w:line="600" w:lineRule="exact"/>
              <w:ind w:firstLineChars="200" w:firstLine="420"/>
              <w:jc w:val="center"/>
              <w:rPr>
                <w:rFonts w:ascii="仿宋_GB2312" w:eastAsia="仿宋_GB2312" w:hAnsi="宋体" w:cs="宋体"/>
                <w:kern w:val="0"/>
                <w:szCs w:val="21"/>
              </w:rPr>
            </w:pPr>
          </w:p>
        </w:tc>
        <w:tc>
          <w:tcPr>
            <w:tcW w:w="1740" w:type="dxa"/>
            <w:shd w:val="clear" w:color="000000" w:fill="auto"/>
            <w:vAlign w:val="center"/>
          </w:tcPr>
          <w:p w:rsidR="00FC462E" w:rsidRDefault="005A528A">
            <w:pPr>
              <w:widowControl/>
              <w:jc w:val="center"/>
              <w:textAlignment w:val="center"/>
              <w:rPr>
                <w:rFonts w:ascii="仿宋_GB2312" w:eastAsia="仿宋_GB2312" w:hAnsi="宋体" w:cs="宋体"/>
                <w:kern w:val="0"/>
                <w:szCs w:val="21"/>
              </w:rPr>
            </w:pPr>
            <w:r>
              <w:rPr>
                <w:rFonts w:ascii="宋体" w:hAnsi="宋体" w:cs="宋体" w:hint="eastAsia"/>
                <w:kern w:val="0"/>
                <w:sz w:val="22"/>
                <w:szCs w:val="22"/>
              </w:rPr>
              <w:t>910.49</w:t>
            </w:r>
          </w:p>
        </w:tc>
        <w:tc>
          <w:tcPr>
            <w:tcW w:w="1799" w:type="dxa"/>
            <w:shd w:val="clear" w:color="000000" w:fill="auto"/>
            <w:vAlign w:val="center"/>
          </w:tcPr>
          <w:p w:rsidR="00FC462E" w:rsidRDefault="005A528A">
            <w:pPr>
              <w:widowControl/>
              <w:jc w:val="center"/>
              <w:textAlignment w:val="center"/>
              <w:rPr>
                <w:rFonts w:ascii="仿宋_GB2312" w:eastAsia="仿宋_GB2312" w:hAnsi="宋体" w:cs="宋体"/>
                <w:kern w:val="0"/>
                <w:szCs w:val="21"/>
              </w:rPr>
            </w:pPr>
            <w:r>
              <w:rPr>
                <w:rFonts w:ascii="宋体" w:hAnsi="宋体" w:cs="宋体" w:hint="eastAsia"/>
                <w:kern w:val="0"/>
                <w:sz w:val="22"/>
                <w:szCs w:val="22"/>
              </w:rPr>
              <w:t>779.41</w:t>
            </w:r>
          </w:p>
        </w:tc>
      </w:tr>
    </w:tbl>
    <w:p w:rsidR="00FC462E" w:rsidRDefault="005A528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FC462E" w:rsidRDefault="005A528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1.通过本次绩效评价，发现个别项目存在预算绩效指标设置不够细化，个别指标较为笼统；主要原因是对预算绩效评价指标体系设定政策要求掌握不全面、理解不强。</w:t>
      </w:r>
    </w:p>
    <w:p w:rsidR="00FC462E" w:rsidRDefault="005A528A">
      <w:pPr>
        <w:spacing w:line="560" w:lineRule="exact"/>
        <w:ind w:firstLineChars="200" w:firstLine="640"/>
      </w:pPr>
      <w:r>
        <w:rPr>
          <w:rFonts w:ascii="仿宋_GB2312" w:eastAsia="仿宋_GB2312" w:hAnsi="仿宋_GB2312" w:cs="仿宋_GB2312" w:hint="eastAsia"/>
          <w:kern w:val="0"/>
          <w:sz w:val="32"/>
          <w:szCs w:val="32"/>
        </w:rPr>
        <w:t>2.部分项目实施产生效益效果的证明资料不够充分；现有成果资料不能充分的体现该项目的绩效。服务对象满意度调查不够全面，进而导致服务对象满意度体现不足。</w:t>
      </w:r>
    </w:p>
    <w:p w:rsidR="00FC462E" w:rsidRDefault="005A528A">
      <w:pPr>
        <w:spacing w:line="600" w:lineRule="exact"/>
        <w:ind w:firstLineChars="200" w:firstLine="640"/>
        <w:rPr>
          <w:rFonts w:ascii="仿宋_GB2312" w:eastAsia="仿宋_GB2312" w:hAnsi="宋体" w:cs="宋体"/>
          <w:kern w:val="0"/>
          <w:sz w:val="32"/>
          <w:szCs w:val="32"/>
        </w:rPr>
      </w:pPr>
      <w:r>
        <w:rPr>
          <w:rFonts w:ascii="黑体" w:eastAsia="黑体" w:hAnsi="黑体" w:cs="宋体" w:hint="eastAsia"/>
          <w:kern w:val="0"/>
          <w:sz w:val="32"/>
          <w:szCs w:val="32"/>
        </w:rPr>
        <w:t>六、措施建议</w:t>
      </w:r>
    </w:p>
    <w:p w:rsidR="00FC462E" w:rsidRDefault="005A528A">
      <w:pPr>
        <w:spacing w:line="560" w:lineRule="exact"/>
        <w:ind w:firstLineChars="200" w:firstLine="640"/>
        <w:jc w:val="left"/>
        <w:rPr>
          <w:rFonts w:ascii="仿宋_GB2312" w:eastAsia="仿宋_GB2312" w:hAnsi="仿宋_GB2312" w:cs="仿宋_GB2312"/>
          <w:sz w:val="32"/>
          <w:szCs w:val="32"/>
        </w:rPr>
      </w:pPr>
      <w:bookmarkStart w:id="0" w:name="_Toc103006301"/>
      <w:r>
        <w:rPr>
          <w:rFonts w:ascii="仿宋_GB2312" w:eastAsia="仿宋_GB2312" w:hAnsi="仿宋_GB2312" w:cs="仿宋_GB2312" w:hint="eastAsia"/>
          <w:sz w:val="32"/>
          <w:szCs w:val="32"/>
        </w:rPr>
        <w:t>1.进一步提高全预算绩效管理水平，结合历年工作情况及工作计划完善项目绩效目标、准确设置绩效指标内容，提高效果指标量化程度，细化社会效益、服务满意度调查等指标。</w:t>
      </w:r>
    </w:p>
    <w:p w:rsidR="00FC462E" w:rsidRDefault="005A528A">
      <w:pPr>
        <w:spacing w:line="560" w:lineRule="exact"/>
        <w:ind w:firstLineChars="200" w:firstLine="640"/>
        <w:jc w:val="left"/>
        <w:rPr>
          <w:rFonts w:ascii="仿宋_GB2312" w:eastAsia="仿宋_GB2312" w:hAnsi="Cambria"/>
          <w:sz w:val="32"/>
          <w:szCs w:val="32"/>
        </w:rPr>
      </w:pPr>
      <w:r>
        <w:rPr>
          <w:rFonts w:ascii="仿宋_GB2312" w:eastAsia="仿宋_GB2312" w:hAnsi="仿宋_GB2312" w:cs="仿宋_GB2312" w:hint="eastAsia"/>
          <w:sz w:val="32"/>
          <w:szCs w:val="32"/>
        </w:rPr>
        <w:t>2.进一步加强对绩效指标体系的理解，设置产出指标加强指标要素凝练，社会效益指标与项目内容密切相关。可持续影响指标体现对相关业务工作的持续影响，并与项目实施内容对应</w:t>
      </w:r>
      <w:r>
        <w:rPr>
          <w:rFonts w:ascii="仿宋_GB2312" w:hAnsi="Cambria" w:hint="eastAsia"/>
          <w:sz w:val="32"/>
          <w:szCs w:val="32"/>
        </w:rPr>
        <w:t>。</w:t>
      </w:r>
    </w:p>
    <w:p w:rsidR="00FC462E" w:rsidRDefault="005A528A">
      <w:pPr>
        <w:pStyle w:val="1"/>
        <w:rPr>
          <w:color w:val="auto"/>
          <w:sz w:val="32"/>
          <w:szCs w:val="32"/>
        </w:rPr>
      </w:pPr>
      <w:r>
        <w:rPr>
          <w:rFonts w:hint="eastAsia"/>
          <w:color w:val="auto"/>
          <w:sz w:val="32"/>
          <w:szCs w:val="32"/>
        </w:rPr>
        <w:t>七、附件</w:t>
      </w:r>
      <w:bookmarkEnd w:id="0"/>
    </w:p>
    <w:p w:rsidR="00FC462E" w:rsidRDefault="005A528A">
      <w:pPr>
        <w:spacing w:line="600" w:lineRule="exact"/>
        <w:ind w:firstLine="641"/>
        <w:rPr>
          <w:rFonts w:ascii="仿宋_GB2312" w:eastAsia="仿宋_GB2312" w:hAnsi="仿宋_GB2312" w:cs="仿宋_GB2312"/>
          <w:sz w:val="32"/>
          <w:szCs w:val="32"/>
        </w:rPr>
        <w:sectPr w:rsidR="00FC462E">
          <w:footerReference w:type="default" r:id="rId9"/>
          <w:pgSz w:w="11906" w:h="16838"/>
          <w:pgMar w:top="1440" w:right="1800" w:bottom="1440" w:left="1800" w:header="851" w:footer="964" w:gutter="0"/>
          <w:pgNumType w:start="1"/>
          <w:cols w:space="425"/>
          <w:docGrid w:type="lines" w:linePitch="435"/>
        </w:sectPr>
      </w:pPr>
      <w:r>
        <w:rPr>
          <w:rFonts w:ascii="仿宋_GB2312" w:eastAsia="仿宋_GB2312" w:hAnsi="仿宋_GB2312" w:cs="仿宋_GB2312" w:hint="eastAsia"/>
          <w:sz w:val="32"/>
          <w:szCs w:val="32"/>
        </w:rPr>
        <w:t>2022年部门整体绩效评价指标体系评分表</w:t>
      </w:r>
    </w:p>
    <w:p w:rsidR="00FC462E" w:rsidRDefault="005A528A">
      <w:pPr>
        <w:spacing w:line="560" w:lineRule="exact"/>
        <w:jc w:val="left"/>
        <w:rPr>
          <w:rFonts w:ascii="方正黑体_GBK" w:eastAsia="方正黑体_GBK" w:hAnsi="方正黑体_GBK" w:cs="方正黑体_GBK"/>
          <w:sz w:val="32"/>
        </w:rPr>
      </w:pPr>
      <w:r>
        <w:rPr>
          <w:rFonts w:ascii="方正黑体_GBK" w:eastAsia="方正黑体_GBK" w:hAnsi="方正黑体_GBK" w:cs="方正黑体_GBK" w:hint="eastAsia"/>
          <w:sz w:val="32"/>
        </w:rPr>
        <w:lastRenderedPageBreak/>
        <w:t>附件</w:t>
      </w:r>
    </w:p>
    <w:tbl>
      <w:tblPr>
        <w:tblW w:w="5000" w:type="pct"/>
        <w:tblLook w:val="04A0"/>
      </w:tblPr>
      <w:tblGrid>
        <w:gridCol w:w="1090"/>
        <w:gridCol w:w="1093"/>
        <w:gridCol w:w="1117"/>
        <w:gridCol w:w="1117"/>
        <w:gridCol w:w="1969"/>
        <w:gridCol w:w="666"/>
        <w:gridCol w:w="830"/>
        <w:gridCol w:w="2721"/>
        <w:gridCol w:w="3571"/>
      </w:tblGrid>
      <w:tr w:rsidR="00FC462E">
        <w:trPr>
          <w:cantSplit/>
          <w:trHeight w:val="90"/>
        </w:trPr>
        <w:tc>
          <w:tcPr>
            <w:tcW w:w="5000" w:type="pct"/>
            <w:gridSpan w:val="9"/>
            <w:tcBorders>
              <w:top w:val="nil"/>
              <w:left w:val="nil"/>
              <w:bottom w:val="single" w:sz="4" w:space="0" w:color="auto"/>
              <w:right w:val="nil"/>
            </w:tcBorders>
            <w:noWrap/>
            <w:vAlign w:val="bottom"/>
          </w:tcPr>
          <w:p w:rsidR="00FC462E" w:rsidRDefault="005A528A">
            <w:pPr>
              <w:widowControl/>
              <w:jc w:val="center"/>
              <w:rPr>
                <w:rFonts w:ascii="方正小标宋简体" w:eastAsia="方正小标宋简体" w:hAnsi="黑体" w:cs="宋体"/>
                <w:kern w:val="0"/>
                <w:sz w:val="44"/>
                <w:szCs w:val="44"/>
                <w:highlight w:val="yellow"/>
              </w:rPr>
            </w:pPr>
            <w:r>
              <w:rPr>
                <w:rFonts w:ascii="仿宋" w:eastAsia="仿宋" w:hAnsi="仿宋" w:cs="仿宋" w:hint="eastAsia"/>
                <w:b/>
                <w:bCs/>
                <w:kern w:val="0"/>
                <w:sz w:val="44"/>
                <w:szCs w:val="44"/>
              </w:rPr>
              <w:t>2022年部门整体绩效评价指标体系评分表</w:t>
            </w:r>
          </w:p>
        </w:tc>
      </w:tr>
      <w:tr w:rsidR="00FC462E">
        <w:trPr>
          <w:cantSplit/>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一、</w:t>
            </w:r>
            <w:r>
              <w:rPr>
                <w:rFonts w:ascii="宋体" w:hAnsi="宋体" w:cs="宋体" w:hint="eastAsia"/>
                <w:kern w:val="0"/>
                <w:sz w:val="20"/>
                <w:szCs w:val="20"/>
              </w:rPr>
              <w:t>当年预算执行情况（20分）</w:t>
            </w:r>
          </w:p>
        </w:tc>
      </w:tr>
      <w:tr w:rsidR="00FC462E">
        <w:trPr>
          <w:cantSplit/>
          <w:trHeight w:val="660"/>
        </w:trPr>
        <w:tc>
          <w:tcPr>
            <w:tcW w:w="39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级指标</w:t>
            </w:r>
            <w:r>
              <w:rPr>
                <w:rFonts w:ascii="宋体" w:hAnsi="宋体" w:cs="宋体" w:hint="eastAsia"/>
                <w:kern w:val="0"/>
                <w:sz w:val="20"/>
                <w:szCs w:val="20"/>
              </w:rPr>
              <w:t xml:space="preserve">　</w:t>
            </w: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级指标</w:t>
            </w:r>
            <w:r>
              <w:rPr>
                <w:rFonts w:ascii="宋体" w:hAnsi="宋体" w:cs="宋体" w:hint="eastAsia"/>
                <w:kern w:val="0"/>
                <w:sz w:val="20"/>
                <w:szCs w:val="20"/>
              </w:rPr>
              <w:t xml:space="preserve">　</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预算数（万元）</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执行数（万元）</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预算执行率</w:t>
            </w:r>
          </w:p>
        </w:tc>
        <w:tc>
          <w:tcPr>
            <w:tcW w:w="24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分值</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得分</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指标解释</w:t>
            </w:r>
          </w:p>
        </w:tc>
        <w:tc>
          <w:tcPr>
            <w:tcW w:w="1268" w:type="pct"/>
            <w:tcBorders>
              <w:top w:val="single" w:sz="4" w:space="0" w:color="auto"/>
              <w:left w:val="nil"/>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评分标准</w:t>
            </w:r>
          </w:p>
        </w:tc>
      </w:tr>
      <w:tr w:rsidR="00FC462E">
        <w:trPr>
          <w:cantSplit/>
          <w:trHeight w:val="1118"/>
        </w:trPr>
        <w:tc>
          <w:tcPr>
            <w:tcW w:w="395"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当年预算执行情况（20）</w:t>
            </w: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资金总体</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11,751.17　</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11,404.94　</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 xml:space="preserve">97%　</w:t>
            </w:r>
          </w:p>
        </w:tc>
        <w:tc>
          <w:tcPr>
            <w:tcW w:w="245" w:type="pct"/>
            <w:vMerge w:val="restar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20</w:t>
            </w:r>
          </w:p>
        </w:tc>
        <w:tc>
          <w:tcPr>
            <w:tcW w:w="303" w:type="pct"/>
            <w:vMerge w:val="restar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19.4　</w:t>
            </w:r>
          </w:p>
        </w:tc>
        <w:tc>
          <w:tcPr>
            <w:tcW w:w="970"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部门全年执行数与全年预算数的比率。资金总体=基本支出+项目支出+其他</w:t>
            </w:r>
          </w:p>
        </w:tc>
        <w:tc>
          <w:tcPr>
            <w:tcW w:w="1268"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①得分一档最高不能超过该指标分值上限（20分）。</w:t>
            </w:r>
            <w:r>
              <w:rPr>
                <w:rFonts w:ascii="宋体" w:hAnsi="宋体" w:cs="宋体" w:hint="eastAsia"/>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FC462E">
        <w:trPr>
          <w:cantSplit/>
          <w:trHeight w:val="1020"/>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基本支出</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10,715.45　</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10,527.00　</w:t>
            </w:r>
          </w:p>
        </w:tc>
        <w:tc>
          <w:tcPr>
            <w:tcW w:w="703"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w:t>
            </w:r>
          </w:p>
        </w:tc>
        <w:tc>
          <w:tcPr>
            <w:tcW w:w="24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03"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970"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c>
          <w:tcPr>
            <w:tcW w:w="1268"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r>
      <w:tr w:rsidR="00FC462E">
        <w:trPr>
          <w:cantSplit/>
          <w:trHeight w:val="1144"/>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项目支出</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1,041.72　</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877.94　</w:t>
            </w:r>
          </w:p>
        </w:tc>
        <w:tc>
          <w:tcPr>
            <w:tcW w:w="703"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24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03"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970"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c>
          <w:tcPr>
            <w:tcW w:w="1268"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r>
      <w:tr w:rsidR="00FC462E">
        <w:trPr>
          <w:cantSplit/>
          <w:trHeight w:val="1056"/>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其他</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0　</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0　</w:t>
            </w:r>
          </w:p>
        </w:tc>
        <w:tc>
          <w:tcPr>
            <w:tcW w:w="703"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24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03"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970"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c>
          <w:tcPr>
            <w:tcW w:w="1268"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r>
      <w:tr w:rsidR="00FC462E">
        <w:trPr>
          <w:cantSplit/>
          <w:trHeight w:val="479"/>
        </w:trPr>
        <w:tc>
          <w:tcPr>
            <w:tcW w:w="5000" w:type="pct"/>
            <w:gridSpan w:val="9"/>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二</w:t>
            </w:r>
            <w:r>
              <w:rPr>
                <w:rFonts w:ascii="宋体" w:hAnsi="宋体" w:cs="宋体"/>
                <w:kern w:val="0"/>
                <w:sz w:val="18"/>
                <w:szCs w:val="18"/>
              </w:rPr>
              <w:t>、</w:t>
            </w:r>
            <w:r>
              <w:rPr>
                <w:rFonts w:ascii="宋体" w:hAnsi="宋体" w:cs="宋体" w:hint="eastAsia"/>
                <w:kern w:val="0"/>
                <w:sz w:val="20"/>
                <w:szCs w:val="20"/>
              </w:rPr>
              <w:t>整体绩效目标实现情况（60分）</w:t>
            </w:r>
          </w:p>
        </w:tc>
      </w:tr>
      <w:tr w:rsidR="00FC462E">
        <w:trPr>
          <w:cantSplit/>
          <w:trHeight w:val="499"/>
        </w:trPr>
        <w:tc>
          <w:tcPr>
            <w:tcW w:w="39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级指标</w:t>
            </w: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级指标</w:t>
            </w:r>
            <w:r>
              <w:rPr>
                <w:rFonts w:ascii="宋体" w:hAnsi="宋体" w:cs="宋体" w:hint="eastAsia"/>
                <w:kern w:val="0"/>
                <w:sz w:val="20"/>
                <w:szCs w:val="20"/>
              </w:rPr>
              <w:t xml:space="preserve">　</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三</w:t>
            </w:r>
            <w:r>
              <w:rPr>
                <w:rFonts w:ascii="宋体" w:hAnsi="宋体" w:cs="宋体"/>
                <w:kern w:val="0"/>
                <w:sz w:val="20"/>
                <w:szCs w:val="20"/>
              </w:rPr>
              <w:t>级指标</w:t>
            </w:r>
            <w:r>
              <w:rPr>
                <w:rFonts w:ascii="宋体" w:hAnsi="宋体" w:cs="宋体" w:hint="eastAsia"/>
                <w:kern w:val="0"/>
                <w:sz w:val="20"/>
                <w:szCs w:val="20"/>
              </w:rPr>
              <w:t xml:space="preserve">　</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指标值</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完成值</w:t>
            </w:r>
          </w:p>
        </w:tc>
        <w:tc>
          <w:tcPr>
            <w:tcW w:w="24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分值</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得分</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bCs/>
                <w:kern w:val="0"/>
                <w:sz w:val="18"/>
                <w:szCs w:val="18"/>
              </w:rPr>
            </w:pPr>
            <w:r>
              <w:rPr>
                <w:rFonts w:ascii="宋体" w:hAnsi="宋体" w:cs="宋体" w:hint="eastAsia"/>
                <w:bCs/>
                <w:kern w:val="0"/>
                <w:sz w:val="18"/>
                <w:szCs w:val="18"/>
              </w:rPr>
              <w:t>指标</w:t>
            </w:r>
            <w:r>
              <w:rPr>
                <w:rFonts w:ascii="宋体" w:hAnsi="宋体" w:cs="宋体"/>
                <w:bCs/>
                <w:kern w:val="0"/>
                <w:sz w:val="18"/>
                <w:szCs w:val="18"/>
              </w:rPr>
              <w:t>解释</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18"/>
                <w:szCs w:val="18"/>
              </w:rPr>
            </w:pPr>
            <w:r>
              <w:rPr>
                <w:rFonts w:ascii="宋体" w:hAnsi="宋体" w:cs="宋体" w:hint="eastAsia"/>
                <w:kern w:val="0"/>
                <w:sz w:val="18"/>
                <w:szCs w:val="18"/>
              </w:rPr>
              <w:t>评</w:t>
            </w:r>
            <w:r>
              <w:rPr>
                <w:rFonts w:ascii="宋体" w:hAnsi="宋体" w:cs="宋体"/>
                <w:kern w:val="0"/>
                <w:sz w:val="18"/>
                <w:szCs w:val="18"/>
              </w:rPr>
              <w:t>分标准</w:t>
            </w:r>
          </w:p>
        </w:tc>
      </w:tr>
      <w:tr w:rsidR="00FC462E">
        <w:trPr>
          <w:cantSplit/>
          <w:trHeight w:val="1434"/>
        </w:trPr>
        <w:tc>
          <w:tcPr>
            <w:tcW w:w="395"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lastRenderedPageBreak/>
              <w:t>整体绩效目标实现情况（60）</w:t>
            </w:r>
          </w:p>
        </w:tc>
        <w:tc>
          <w:tcPr>
            <w:tcW w:w="396" w:type="pct"/>
            <w:vMerge w:val="restart"/>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rPr>
                <w:rFonts w:ascii="宋体" w:hAnsi="宋体" w:cs="宋体"/>
                <w:kern w:val="0"/>
                <w:sz w:val="20"/>
                <w:szCs w:val="20"/>
              </w:rPr>
            </w:pPr>
          </w:p>
          <w:p w:rsidR="00FC462E" w:rsidRDefault="005A528A">
            <w:pPr>
              <w:jc w:val="center"/>
              <w:rPr>
                <w:rFonts w:ascii="宋体" w:hAnsi="宋体" w:cs="宋体"/>
                <w:kern w:val="0"/>
                <w:sz w:val="20"/>
                <w:szCs w:val="20"/>
              </w:rPr>
            </w:pPr>
            <w:r>
              <w:rPr>
                <w:rFonts w:ascii="宋体" w:hAnsi="宋体" w:cs="宋体" w:hint="eastAsia"/>
                <w:kern w:val="0"/>
                <w:sz w:val="20"/>
                <w:szCs w:val="20"/>
              </w:rPr>
              <w:t>产出（30）</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rPr>
                <w:rFonts w:ascii="宋体" w:hAnsi="宋体" w:cs="宋体"/>
                <w:kern w:val="0"/>
                <w:sz w:val="20"/>
                <w:szCs w:val="20"/>
              </w:rPr>
            </w:pPr>
          </w:p>
          <w:p w:rsidR="00FC462E" w:rsidRDefault="005A528A">
            <w:pPr>
              <w:jc w:val="center"/>
              <w:rPr>
                <w:rFonts w:ascii="宋体" w:hAnsi="宋体" w:cs="宋体"/>
                <w:kern w:val="0"/>
                <w:sz w:val="20"/>
                <w:szCs w:val="20"/>
              </w:rPr>
            </w:pPr>
            <w:r>
              <w:rPr>
                <w:rFonts w:ascii="宋体" w:hAnsi="宋体" w:cs="宋体" w:hint="eastAsia"/>
                <w:kern w:val="0"/>
                <w:sz w:val="20"/>
                <w:szCs w:val="20"/>
              </w:rPr>
              <w:t>指标1</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产出指标数量指标执行率</w:t>
            </w:r>
          </w:p>
          <w:p w:rsidR="00FC462E" w:rsidRDefault="005A528A">
            <w:pPr>
              <w:jc w:val="center"/>
              <w:rPr>
                <w:rFonts w:ascii="宋体" w:hAnsi="宋体" w:cs="宋体"/>
                <w:kern w:val="0"/>
                <w:sz w:val="20"/>
                <w:szCs w:val="20"/>
              </w:rPr>
            </w:pPr>
            <w:r>
              <w:rPr>
                <w:rFonts w:ascii="宋体" w:hAnsi="宋体" w:cs="宋体" w:hint="eastAsia"/>
                <w:kern w:val="0"/>
                <w:sz w:val="20"/>
                <w:szCs w:val="20"/>
              </w:rPr>
              <w:t xml:space="preserve">　</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rPr>
                <w:rFonts w:ascii="宋体" w:hAnsi="宋体" w:cs="宋体"/>
                <w:kern w:val="0"/>
                <w:sz w:val="20"/>
                <w:szCs w:val="20"/>
              </w:rPr>
            </w:pPr>
          </w:p>
          <w:p w:rsidR="00FC462E" w:rsidRDefault="005A528A">
            <w:pPr>
              <w:jc w:val="center"/>
              <w:rPr>
                <w:rFonts w:ascii="宋体" w:hAnsi="宋体" w:cs="宋体"/>
                <w:kern w:val="0"/>
                <w:sz w:val="20"/>
                <w:szCs w:val="20"/>
              </w:rPr>
            </w:pPr>
            <w:r>
              <w:rPr>
                <w:rFonts w:ascii="宋体" w:hAnsi="宋体" w:cs="宋体" w:hint="eastAsia"/>
                <w:kern w:val="0"/>
                <w:sz w:val="18"/>
                <w:szCs w:val="18"/>
              </w:rPr>
              <w:t>98%</w:t>
            </w:r>
          </w:p>
        </w:tc>
        <w:tc>
          <w:tcPr>
            <w:tcW w:w="245" w:type="pct"/>
            <w:vMerge w:val="restart"/>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rPr>
                <w:rFonts w:ascii="宋体" w:hAnsi="宋体" w:cs="宋体"/>
                <w:kern w:val="0"/>
                <w:sz w:val="20"/>
                <w:szCs w:val="20"/>
              </w:rPr>
            </w:pPr>
          </w:p>
          <w:p w:rsidR="00FC462E" w:rsidRDefault="005A528A">
            <w:pPr>
              <w:jc w:val="center"/>
              <w:rPr>
                <w:rFonts w:ascii="宋体" w:hAnsi="宋体" w:cs="宋体"/>
                <w:kern w:val="0"/>
                <w:sz w:val="20"/>
                <w:szCs w:val="20"/>
              </w:rPr>
            </w:pPr>
            <w:r>
              <w:rPr>
                <w:rFonts w:ascii="宋体" w:hAnsi="宋体" w:cs="宋体" w:hint="eastAsia"/>
                <w:kern w:val="0"/>
                <w:sz w:val="20"/>
                <w:szCs w:val="20"/>
              </w:rPr>
              <w:t>30</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rPr>
                <w:rFonts w:ascii="宋体" w:hAnsi="宋体" w:cs="宋体"/>
                <w:kern w:val="0"/>
                <w:sz w:val="20"/>
                <w:szCs w:val="20"/>
              </w:rPr>
            </w:pPr>
          </w:p>
          <w:p w:rsidR="00FC462E" w:rsidRDefault="005A528A">
            <w:pPr>
              <w:jc w:val="center"/>
              <w:rPr>
                <w:rFonts w:ascii="宋体" w:hAnsi="宋体" w:cs="宋体"/>
                <w:kern w:val="0"/>
                <w:sz w:val="20"/>
                <w:szCs w:val="20"/>
              </w:rPr>
            </w:pPr>
            <w:r>
              <w:rPr>
                <w:rFonts w:ascii="宋体" w:hAnsi="宋体" w:cs="宋体" w:hint="eastAsia"/>
                <w:kern w:val="0"/>
                <w:sz w:val="20"/>
                <w:szCs w:val="20"/>
              </w:rPr>
              <w:t>9</w:t>
            </w:r>
          </w:p>
        </w:tc>
        <w:tc>
          <w:tcPr>
            <w:tcW w:w="970"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b/>
                <w:bCs/>
                <w:kern w:val="0"/>
                <w:sz w:val="18"/>
                <w:szCs w:val="18"/>
              </w:rPr>
              <w:t>产出数量</w:t>
            </w:r>
            <w:r>
              <w:rPr>
                <w:rFonts w:ascii="宋体" w:hAnsi="宋体" w:cs="宋体" w:hint="eastAsia"/>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kern w:val="0"/>
                <w:sz w:val="18"/>
                <w:szCs w:val="18"/>
              </w:rPr>
              <w:t>产出质量</w:t>
            </w:r>
            <w:r>
              <w:rPr>
                <w:rFonts w:ascii="宋体" w:hAnsi="宋体" w:cs="宋体" w:hint="eastAsia"/>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kern w:val="0"/>
                <w:sz w:val="18"/>
                <w:szCs w:val="18"/>
              </w:rPr>
              <w:t>产出进度：</w:t>
            </w:r>
            <w:r>
              <w:rPr>
                <w:rFonts w:ascii="宋体" w:hAnsi="宋体" w:cs="宋体" w:hint="eastAsia"/>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kern w:val="0"/>
                <w:sz w:val="18"/>
                <w:szCs w:val="18"/>
              </w:rPr>
              <w:t>产出成本</w:t>
            </w:r>
            <w:r>
              <w:rPr>
                <w:rFonts w:ascii="宋体" w:hAnsi="宋体" w:cs="宋体" w:hint="eastAsia"/>
                <w:kern w:val="0"/>
                <w:sz w:val="18"/>
                <w:szCs w:val="18"/>
              </w:rPr>
              <w:t>：单位产出相对于上一年度的节约额；②单位产出相对于市场同类产出的节约额；③部门公用经费的控制情况。</w:t>
            </w:r>
          </w:p>
        </w:tc>
        <w:tc>
          <w:tcPr>
            <w:tcW w:w="1268"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FC462E">
        <w:trPr>
          <w:cantSplit/>
          <w:trHeight w:val="993"/>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指标2</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产出指标质量指标装备质量　</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好</w:t>
            </w:r>
          </w:p>
        </w:tc>
        <w:tc>
          <w:tcPr>
            <w:tcW w:w="24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10</w:t>
            </w:r>
          </w:p>
        </w:tc>
        <w:tc>
          <w:tcPr>
            <w:tcW w:w="970"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c>
          <w:tcPr>
            <w:tcW w:w="1268"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r>
      <w:tr w:rsidR="00FC462E">
        <w:trPr>
          <w:cantSplit/>
          <w:trHeight w:val="1151"/>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指标3</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产出指标时效指标完成效率　</w:t>
            </w:r>
          </w:p>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 xml:space="preserve">按时完成项目　</w:t>
            </w:r>
          </w:p>
        </w:tc>
        <w:tc>
          <w:tcPr>
            <w:tcW w:w="24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5</w:t>
            </w:r>
          </w:p>
        </w:tc>
        <w:tc>
          <w:tcPr>
            <w:tcW w:w="970"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c>
          <w:tcPr>
            <w:tcW w:w="1268"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r>
      <w:tr w:rsidR="00FC462E">
        <w:trPr>
          <w:cantSplit/>
          <w:trHeight w:val="848"/>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pPr>
          </w:p>
        </w:tc>
        <w:tc>
          <w:tcPr>
            <w:tcW w:w="396"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pP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指标4</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产出指标成本指标</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rPr>
                <w:rFonts w:ascii="宋体" w:hAnsi="宋体" w:cs="宋体"/>
                <w:kern w:val="0"/>
                <w:sz w:val="20"/>
                <w:szCs w:val="20"/>
              </w:rPr>
            </w:pPr>
            <w:r>
              <w:rPr>
                <w:rFonts w:ascii="宋体" w:hAnsi="宋体" w:cs="宋体" w:hint="eastAsia"/>
                <w:kern w:val="0"/>
                <w:sz w:val="18"/>
                <w:szCs w:val="18"/>
              </w:rPr>
              <w:t>项目支出预算数1,041.72万元，项目支出决算数877.94万元。</w:t>
            </w:r>
          </w:p>
        </w:tc>
        <w:tc>
          <w:tcPr>
            <w:tcW w:w="24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rPr>
                <w:rFonts w:ascii="宋体" w:hAnsi="宋体" w:cs="宋体"/>
                <w:kern w:val="0"/>
                <w:sz w:val="20"/>
                <w:szCs w:val="20"/>
              </w:rPr>
            </w:pP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4.21</w:t>
            </w:r>
          </w:p>
        </w:tc>
        <w:tc>
          <w:tcPr>
            <w:tcW w:w="970"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rPr>
                <w:rFonts w:ascii="宋体" w:hAnsi="宋体" w:cs="宋体"/>
                <w:kern w:val="0"/>
                <w:sz w:val="20"/>
                <w:szCs w:val="20"/>
              </w:rPr>
            </w:pPr>
          </w:p>
        </w:tc>
        <w:tc>
          <w:tcPr>
            <w:tcW w:w="1268"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center"/>
              <w:rPr>
                <w:rFonts w:ascii="宋体" w:hAnsi="宋体" w:cs="宋体"/>
                <w:kern w:val="0"/>
                <w:sz w:val="20"/>
                <w:szCs w:val="20"/>
              </w:rPr>
            </w:pPr>
          </w:p>
        </w:tc>
      </w:tr>
      <w:tr w:rsidR="00FC462E">
        <w:trPr>
          <w:cantSplit/>
          <w:trHeight w:val="675"/>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效果（30）</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指标1</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社会效益　</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保障检察工作需要，提高办公效率，满足四大检察业务办案需要，提高检察机关司法公信力。</w:t>
            </w:r>
            <w:r>
              <w:rPr>
                <w:rFonts w:ascii="宋体" w:hAnsi="宋体" w:cs="宋体" w:hint="eastAsia"/>
                <w:kern w:val="0"/>
                <w:sz w:val="20"/>
                <w:szCs w:val="20"/>
              </w:rPr>
              <w:t xml:space="preserve">　</w:t>
            </w:r>
          </w:p>
        </w:tc>
        <w:tc>
          <w:tcPr>
            <w:tcW w:w="245" w:type="pct"/>
            <w:vMerge w:val="restar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30</w:t>
            </w: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18</w:t>
            </w:r>
          </w:p>
        </w:tc>
        <w:tc>
          <w:tcPr>
            <w:tcW w:w="970"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b/>
                <w:bCs/>
                <w:kern w:val="0"/>
                <w:sz w:val="18"/>
                <w:szCs w:val="18"/>
              </w:rPr>
              <w:t>经济效益</w:t>
            </w:r>
            <w:r>
              <w:rPr>
                <w:rFonts w:ascii="宋体" w:hAnsi="宋体" w:cs="宋体" w:hint="eastAsia"/>
                <w:kern w:val="0"/>
                <w:sz w:val="18"/>
                <w:szCs w:val="18"/>
              </w:rPr>
              <w:t>：部门（单位）履行职责对经济发展所带来的直接或间接影响。</w:t>
            </w:r>
            <w:r>
              <w:rPr>
                <w:rFonts w:ascii="宋体" w:hAnsi="宋体" w:cs="宋体" w:hint="eastAsia"/>
                <w:b/>
                <w:bCs/>
                <w:kern w:val="0"/>
                <w:sz w:val="18"/>
                <w:szCs w:val="18"/>
              </w:rPr>
              <w:t>社会效益</w:t>
            </w:r>
            <w:r>
              <w:rPr>
                <w:rFonts w:ascii="宋体" w:hAnsi="宋体" w:cs="宋体" w:hint="eastAsia"/>
                <w:kern w:val="0"/>
                <w:sz w:val="18"/>
                <w:szCs w:val="18"/>
              </w:rPr>
              <w:t>：部门（单位）履行职责对社会发展所带来的直接或间接影响。</w:t>
            </w:r>
            <w:r>
              <w:rPr>
                <w:rFonts w:ascii="宋体" w:hAnsi="宋体" w:cs="宋体" w:hint="eastAsia"/>
                <w:b/>
                <w:bCs/>
                <w:kern w:val="0"/>
                <w:sz w:val="18"/>
                <w:szCs w:val="18"/>
              </w:rPr>
              <w:t>环境效益</w:t>
            </w:r>
            <w:r>
              <w:rPr>
                <w:rFonts w:ascii="宋体" w:hAnsi="宋体" w:cs="宋体" w:hint="eastAsia"/>
                <w:kern w:val="0"/>
                <w:sz w:val="18"/>
                <w:szCs w:val="18"/>
              </w:rPr>
              <w:t>：部门（单位）履行职责对环境所带来的直接或间接影响。</w:t>
            </w:r>
            <w:r>
              <w:rPr>
                <w:rFonts w:ascii="宋体" w:hAnsi="宋体" w:cs="宋体" w:hint="eastAsia"/>
                <w:b/>
                <w:bCs/>
                <w:kern w:val="0"/>
                <w:sz w:val="18"/>
                <w:szCs w:val="18"/>
              </w:rPr>
              <w:t>可持续性影响：</w:t>
            </w:r>
            <w:r>
              <w:rPr>
                <w:rFonts w:ascii="宋体" w:hAnsi="宋体" w:cs="宋体" w:hint="eastAsia"/>
                <w:kern w:val="0"/>
                <w:sz w:val="18"/>
                <w:szCs w:val="18"/>
              </w:rPr>
              <w:t>部门绩效目标实现的长效机制建设情况，部门工作效率提升措施的创新。</w:t>
            </w:r>
            <w:r>
              <w:rPr>
                <w:rFonts w:ascii="宋体" w:hAnsi="宋体" w:cs="宋体" w:hint="eastAsia"/>
                <w:b/>
                <w:bCs/>
                <w:kern w:val="0"/>
                <w:sz w:val="18"/>
                <w:szCs w:val="18"/>
              </w:rPr>
              <w:t>服务对象满意度</w:t>
            </w:r>
            <w:r>
              <w:rPr>
                <w:rFonts w:ascii="宋体" w:hAnsi="宋体" w:cs="宋体" w:hint="eastAsia"/>
                <w:kern w:val="0"/>
                <w:sz w:val="18"/>
                <w:szCs w:val="18"/>
              </w:rPr>
              <w:t>：部门（单位）的服务对象对部门履职效果的满意程度。</w:t>
            </w:r>
          </w:p>
        </w:tc>
        <w:tc>
          <w:tcPr>
            <w:tcW w:w="1268"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部门根据实际情况选择指标进行填写，并将其细化为相应的个性化指标。对于效益类指标可从受益对象瞄准度、受益广度和受益深度上进行设计分析。</w:t>
            </w:r>
          </w:p>
        </w:tc>
      </w:tr>
      <w:tr w:rsidR="00FC462E">
        <w:trPr>
          <w:cantSplit/>
          <w:trHeight w:val="1244"/>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指标2</w:t>
            </w:r>
          </w:p>
        </w:tc>
        <w:tc>
          <w:tcPr>
            <w:tcW w:w="358" w:type="pct"/>
            <w:tcBorders>
              <w:top w:val="single" w:sz="4" w:space="0" w:color="auto"/>
              <w:left w:val="single" w:sz="4" w:space="0" w:color="auto"/>
              <w:bottom w:val="single" w:sz="4" w:space="0" w:color="auto"/>
              <w:right w:val="single" w:sz="4" w:space="0" w:color="auto"/>
            </w:tcBorders>
            <w:vAlign w:val="bottom"/>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满意度指标</w:t>
            </w:r>
          </w:p>
          <w:p w:rsidR="00FC462E" w:rsidRDefault="00FC462E">
            <w:pPr>
              <w:widowControl/>
              <w:jc w:val="center"/>
              <w:rPr>
                <w:rFonts w:ascii="宋体" w:hAnsi="宋体" w:cs="宋体"/>
                <w:kern w:val="0"/>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rPr>
                <w:rFonts w:ascii="宋体" w:hAnsi="宋体" w:cs="宋体"/>
                <w:kern w:val="0"/>
                <w:sz w:val="20"/>
                <w:szCs w:val="20"/>
              </w:rPr>
            </w:pPr>
            <w:r>
              <w:rPr>
                <w:rFonts w:ascii="宋体" w:hAnsi="宋体" w:cs="宋体" w:hint="eastAsia"/>
                <w:kern w:val="0"/>
                <w:sz w:val="18"/>
                <w:szCs w:val="18"/>
              </w:rPr>
              <w:t>提升群众对检察工作满意度；人大代表对本院工作报告赞成率达100%。</w:t>
            </w:r>
          </w:p>
        </w:tc>
        <w:tc>
          <w:tcPr>
            <w:tcW w:w="24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10　</w:t>
            </w:r>
          </w:p>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　</w:t>
            </w:r>
          </w:p>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70"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c>
          <w:tcPr>
            <w:tcW w:w="1268"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18"/>
                <w:szCs w:val="18"/>
              </w:rPr>
            </w:pPr>
          </w:p>
        </w:tc>
      </w:tr>
      <w:tr w:rsidR="00FC462E">
        <w:trPr>
          <w:cantSplit/>
          <w:trHeight w:val="487"/>
        </w:trPr>
        <w:tc>
          <w:tcPr>
            <w:tcW w:w="5000" w:type="pct"/>
            <w:gridSpan w:val="9"/>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三</w:t>
            </w:r>
            <w:r>
              <w:rPr>
                <w:rFonts w:ascii="宋体" w:hAnsi="宋体" w:cs="宋体"/>
                <w:kern w:val="0"/>
                <w:sz w:val="18"/>
                <w:szCs w:val="18"/>
              </w:rPr>
              <w:t>、</w:t>
            </w:r>
            <w:r>
              <w:rPr>
                <w:rFonts w:ascii="宋体" w:hAnsi="宋体" w:cs="宋体" w:hint="eastAsia"/>
                <w:kern w:val="0"/>
                <w:sz w:val="20"/>
                <w:szCs w:val="20"/>
              </w:rPr>
              <w:t>预算管理情况（20分）</w:t>
            </w:r>
          </w:p>
        </w:tc>
      </w:tr>
      <w:tr w:rsidR="00FC462E">
        <w:trPr>
          <w:cantSplit/>
          <w:trHeight w:val="702"/>
        </w:trPr>
        <w:tc>
          <w:tcPr>
            <w:tcW w:w="39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级指标</w:t>
            </w: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级指标</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三</w:t>
            </w:r>
            <w:r>
              <w:rPr>
                <w:rFonts w:ascii="宋体" w:hAnsi="宋体" w:cs="宋体"/>
                <w:kern w:val="0"/>
                <w:sz w:val="20"/>
                <w:szCs w:val="20"/>
              </w:rPr>
              <w:t>级指标</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值</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完成</w:t>
            </w:r>
            <w:r>
              <w:rPr>
                <w:rFonts w:ascii="宋体" w:hAnsi="宋体" w:cs="宋体"/>
                <w:kern w:val="0"/>
                <w:sz w:val="20"/>
                <w:szCs w:val="20"/>
              </w:rPr>
              <w:t>值</w:t>
            </w:r>
          </w:p>
        </w:tc>
        <w:tc>
          <w:tcPr>
            <w:tcW w:w="245"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分</w:t>
            </w:r>
            <w:r>
              <w:rPr>
                <w:rFonts w:ascii="宋体" w:hAnsi="宋体" w:cs="宋体"/>
                <w:kern w:val="0"/>
                <w:sz w:val="20"/>
                <w:szCs w:val="20"/>
              </w:rPr>
              <w:t>值</w:t>
            </w: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得</w:t>
            </w:r>
            <w:r>
              <w:rPr>
                <w:rFonts w:ascii="宋体" w:hAnsi="宋体" w:cs="宋体"/>
                <w:kern w:val="0"/>
                <w:sz w:val="20"/>
                <w:szCs w:val="20"/>
              </w:rPr>
              <w:t>分</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b/>
                <w:bCs/>
                <w:kern w:val="0"/>
                <w:sz w:val="18"/>
                <w:szCs w:val="18"/>
              </w:rPr>
            </w:pPr>
            <w:r>
              <w:rPr>
                <w:rFonts w:ascii="宋体" w:hAnsi="宋体" w:cs="宋体" w:hint="eastAsia"/>
                <w:bCs/>
                <w:kern w:val="0"/>
                <w:sz w:val="18"/>
                <w:szCs w:val="18"/>
              </w:rPr>
              <w:t>指标</w:t>
            </w:r>
            <w:r>
              <w:rPr>
                <w:rFonts w:ascii="宋体" w:hAnsi="宋体" w:cs="宋体"/>
                <w:bCs/>
                <w:kern w:val="0"/>
                <w:sz w:val="18"/>
                <w:szCs w:val="18"/>
              </w:rPr>
              <w:t>解释</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18"/>
                <w:szCs w:val="18"/>
              </w:rPr>
            </w:pPr>
            <w:r>
              <w:rPr>
                <w:rFonts w:ascii="宋体" w:hAnsi="宋体" w:cs="宋体" w:hint="eastAsia"/>
                <w:kern w:val="0"/>
                <w:sz w:val="18"/>
                <w:szCs w:val="18"/>
              </w:rPr>
              <w:t>评</w:t>
            </w:r>
            <w:r>
              <w:rPr>
                <w:rFonts w:ascii="宋体" w:hAnsi="宋体" w:cs="宋体"/>
                <w:kern w:val="0"/>
                <w:sz w:val="18"/>
                <w:szCs w:val="18"/>
              </w:rPr>
              <w:t>分标准</w:t>
            </w:r>
          </w:p>
        </w:tc>
      </w:tr>
      <w:tr w:rsidR="00FC462E">
        <w:trPr>
          <w:cantSplit/>
          <w:trHeight w:val="1230"/>
        </w:trPr>
        <w:tc>
          <w:tcPr>
            <w:tcW w:w="395"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预算管理情况（20）</w:t>
            </w:r>
          </w:p>
        </w:tc>
        <w:tc>
          <w:tcPr>
            <w:tcW w:w="396" w:type="pct"/>
            <w:vMerge w:val="restar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财务管理（4）</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财务管理制度健全性</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各项制度健全、完整、合规；会计核算制度完整、合规</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我院资金管理办法、资产管理办法等各项制度健全；部门内部财务管理制度、会计核算制度完整、合规。</w:t>
            </w:r>
          </w:p>
        </w:tc>
        <w:tc>
          <w:tcPr>
            <w:tcW w:w="245"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1</w:t>
            </w: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　</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b/>
                <w:bCs/>
                <w:kern w:val="0"/>
                <w:sz w:val="18"/>
                <w:szCs w:val="18"/>
              </w:rPr>
              <w:t>财务管理制度健全性:</w:t>
            </w:r>
            <w:r>
              <w:rPr>
                <w:rFonts w:ascii="宋体" w:hAnsi="宋体" w:cs="宋体" w:hint="eastAsia"/>
                <w:kern w:val="0"/>
                <w:sz w:val="18"/>
                <w:szCs w:val="18"/>
              </w:rPr>
              <w:t>部门（单位）为加强财务管理、规范财务行为而制定的管理制度。</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FC462E">
        <w:trPr>
          <w:cantSplit/>
          <w:trHeight w:val="2220"/>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资金使用合规性和安全性</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财政资金支出合规、安全</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我院2022年度资金支出符合国家财经法规和财务管理制度规定以及有关专项资金管理办法的规定；资金的拨付审批程序和手续齐全；各项支出均符合部门预算批复的用途；不存在截留、挤占、挪用情况。</w:t>
            </w:r>
          </w:p>
        </w:tc>
        <w:tc>
          <w:tcPr>
            <w:tcW w:w="245"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2</w:t>
            </w: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2</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b/>
                <w:bCs/>
                <w:kern w:val="0"/>
                <w:sz w:val="18"/>
                <w:szCs w:val="18"/>
              </w:rPr>
              <w:t>资金使用合规性和安全性:</w:t>
            </w:r>
            <w:r>
              <w:rPr>
                <w:rFonts w:ascii="宋体" w:hAnsi="宋体" w:cs="宋体" w:hint="eastAsia"/>
                <w:kern w:val="0"/>
                <w:sz w:val="18"/>
                <w:szCs w:val="18"/>
              </w:rPr>
              <w:t>部门（单位）使用预算资金是否符合相关的预算财务管理制度的规定，是否符合相关规定的开支范围，用以反映考核部门（单位）预算资金的规范运行和安全运行情况。</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FC462E">
        <w:trPr>
          <w:cantSplit/>
          <w:trHeight w:val="410"/>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会计基础信息完善性</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 xml:space="preserve">会计基础信息完善程度　</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18"/>
                <w:szCs w:val="18"/>
              </w:rPr>
              <w:t>基础数据信息和会计信息资料真实、完整、准确</w:t>
            </w:r>
            <w:r>
              <w:rPr>
                <w:rFonts w:ascii="宋体" w:hAnsi="宋体" w:cs="宋体" w:hint="eastAsia"/>
                <w:kern w:val="0"/>
                <w:sz w:val="20"/>
                <w:szCs w:val="20"/>
              </w:rPr>
              <w:t>。</w:t>
            </w:r>
          </w:p>
        </w:tc>
        <w:tc>
          <w:tcPr>
            <w:tcW w:w="245"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1</w:t>
            </w:r>
          </w:p>
        </w:tc>
        <w:tc>
          <w:tcPr>
            <w:tcW w:w="303" w:type="pct"/>
            <w:tcBorders>
              <w:top w:val="single" w:sz="4" w:space="0" w:color="auto"/>
              <w:left w:val="single" w:sz="4" w:space="0" w:color="auto"/>
              <w:bottom w:val="single" w:sz="4" w:space="0" w:color="auto"/>
              <w:right w:val="single" w:sz="4" w:space="0" w:color="auto"/>
            </w:tcBorders>
            <w:noWrap/>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1　</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b/>
                <w:bCs/>
                <w:kern w:val="0"/>
                <w:sz w:val="18"/>
                <w:szCs w:val="18"/>
              </w:rPr>
              <w:t>会计基础信息完善性:</w:t>
            </w:r>
            <w:r>
              <w:rPr>
                <w:rFonts w:ascii="宋体" w:hAnsi="宋体" w:cs="宋体" w:hint="eastAsia"/>
                <w:kern w:val="0"/>
                <w:sz w:val="18"/>
                <w:szCs w:val="18"/>
              </w:rPr>
              <w:t>部门（单位）会计基础信息情况。</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①基础数据信息和会计信息资料是否真实；②基础数据信息和会计信息资料是否完整；③基础数据信息和会计信息资料是否准确。每有一项不合格扣0.5分，扣完为止。</w:t>
            </w:r>
          </w:p>
        </w:tc>
      </w:tr>
      <w:tr w:rsidR="00FC462E">
        <w:trPr>
          <w:cantSplit/>
          <w:trHeight w:val="2220"/>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资产管理（4）</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资产管理规范性</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20"/>
                <w:szCs w:val="20"/>
              </w:rPr>
            </w:pPr>
            <w:r>
              <w:rPr>
                <w:rFonts w:ascii="宋体" w:hAnsi="宋体" w:cs="宋体" w:hint="eastAsia"/>
                <w:kern w:val="0"/>
                <w:sz w:val="18"/>
                <w:szCs w:val="18"/>
              </w:rPr>
              <w:t>国有资产使用、保管、处置程序合规性</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20"/>
                <w:szCs w:val="20"/>
              </w:rPr>
            </w:pPr>
            <w:r>
              <w:rPr>
                <w:rFonts w:ascii="宋体" w:hAnsi="宋体" w:cs="宋体" w:hint="eastAsia"/>
                <w:kern w:val="0"/>
                <w:sz w:val="18"/>
                <w:szCs w:val="18"/>
              </w:rPr>
              <w:t>资产管理制度健全；各项资产使用规范，不存在未经批准擅自出租、出借资产行为；国有资产处置均按照北京市财政相关要求办理，不存在不按要求进行报批或资产不公开处置行为。</w:t>
            </w:r>
          </w:p>
        </w:tc>
        <w:tc>
          <w:tcPr>
            <w:tcW w:w="24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4</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4</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b/>
                <w:bCs/>
                <w:kern w:val="0"/>
                <w:sz w:val="18"/>
                <w:szCs w:val="18"/>
              </w:rPr>
              <w:t>资产管理规范性:</w:t>
            </w:r>
            <w:r>
              <w:rPr>
                <w:rFonts w:ascii="宋体" w:hAnsi="宋体" w:cs="宋体" w:hint="eastAsia"/>
                <w:kern w:val="0"/>
                <w:sz w:val="18"/>
                <w:szCs w:val="18"/>
              </w:rPr>
              <w:t>部门（单位）的资产是否保持安全完整，资产配置是否合理，资产使用和资产处理是否规范，用以反映和考核部门（单位）资产管理的整体水平。</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FC462E">
        <w:trPr>
          <w:cantSplit/>
          <w:trHeight w:val="1210"/>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绩效管理（4）</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绩效管理情况</w:t>
            </w:r>
          </w:p>
        </w:tc>
        <w:tc>
          <w:tcPr>
            <w:tcW w:w="35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绩效管理信息的汇总和应用情况。</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我院对绩效信息及时进行了汇总分析整理，项目执行过程中不存在偏离绩效目标情况。</w:t>
            </w:r>
          </w:p>
        </w:tc>
        <w:tc>
          <w:tcPr>
            <w:tcW w:w="24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4</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4　</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b/>
                <w:bCs/>
                <w:kern w:val="0"/>
                <w:sz w:val="18"/>
                <w:szCs w:val="18"/>
              </w:rPr>
              <w:t>绩效管理情况:</w:t>
            </w:r>
            <w:r>
              <w:rPr>
                <w:rFonts w:ascii="宋体" w:hAnsi="宋体" w:cs="宋体" w:hint="eastAsia"/>
                <w:kern w:val="0"/>
                <w:sz w:val="18"/>
                <w:szCs w:val="18"/>
              </w:rPr>
              <w:t>考核部门（单位）在绩效管理信息的汇总和应用情况。</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①部门（单位）是否及时对绩效信息进行汇总分析整理；②部门（单位）是否对绩效目标偏离情况及时进行矫正。每有一项不合格扣2分。</w:t>
            </w:r>
          </w:p>
        </w:tc>
      </w:tr>
      <w:tr w:rsidR="00FC462E">
        <w:trPr>
          <w:cantSplit/>
          <w:trHeight w:val="394"/>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指标　</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2021年</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2022年</w:t>
            </w:r>
          </w:p>
        </w:tc>
        <w:tc>
          <w:tcPr>
            <w:tcW w:w="24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分值</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得分</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bCs/>
                <w:kern w:val="0"/>
                <w:sz w:val="18"/>
                <w:szCs w:val="18"/>
              </w:rPr>
              <w:t>指标</w:t>
            </w:r>
            <w:r>
              <w:rPr>
                <w:rFonts w:ascii="宋体" w:hAnsi="宋体" w:cs="宋体"/>
                <w:bCs/>
                <w:kern w:val="0"/>
                <w:sz w:val="18"/>
                <w:szCs w:val="18"/>
              </w:rPr>
              <w:t>解释</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eastAsia="Times New Roman"/>
                <w:kern w:val="0"/>
                <w:sz w:val="20"/>
                <w:szCs w:val="20"/>
              </w:rPr>
            </w:pPr>
            <w:r>
              <w:rPr>
                <w:rFonts w:ascii="宋体" w:hAnsi="宋体" w:cs="宋体" w:hint="eastAsia"/>
                <w:kern w:val="0"/>
                <w:sz w:val="18"/>
                <w:szCs w:val="18"/>
              </w:rPr>
              <w:t>评</w:t>
            </w:r>
            <w:r>
              <w:rPr>
                <w:rFonts w:ascii="宋体" w:hAnsi="宋体" w:cs="宋体"/>
                <w:kern w:val="0"/>
                <w:sz w:val="18"/>
                <w:szCs w:val="18"/>
              </w:rPr>
              <w:t>分标准</w:t>
            </w:r>
          </w:p>
        </w:tc>
      </w:tr>
      <w:tr w:rsidR="00FC462E">
        <w:trPr>
          <w:cantSplit/>
          <w:trHeight w:val="1944"/>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rPr>
                <w:rFonts w:ascii="宋体" w:hAnsi="宋体" w:cs="宋体"/>
                <w:kern w:val="0"/>
                <w:sz w:val="20"/>
                <w:szCs w:val="20"/>
              </w:rPr>
            </w:pPr>
            <w:r>
              <w:rPr>
                <w:rFonts w:ascii="宋体" w:hAnsi="宋体" w:cs="宋体" w:hint="eastAsia"/>
                <w:kern w:val="0"/>
                <w:sz w:val="20"/>
                <w:szCs w:val="20"/>
              </w:rPr>
              <w:t>结转结余率（4）</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4.48%　</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3%　</w:t>
            </w:r>
          </w:p>
        </w:tc>
        <w:tc>
          <w:tcPr>
            <w:tcW w:w="24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4</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4　</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结转结余率=结转结余总额/支出预算数×100%。</w:t>
            </w:r>
            <w:r>
              <w:rPr>
                <w:rFonts w:ascii="宋体" w:hAnsi="宋体" w:cs="宋体" w:hint="eastAsia"/>
                <w:kern w:val="0"/>
                <w:sz w:val="18"/>
                <w:szCs w:val="18"/>
              </w:rPr>
              <w:br/>
              <w:t>结转结余总额：部门（单位）本年度的结转资金与结余资金之和。</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FC462E">
        <w:trPr>
          <w:cantSplit/>
          <w:trHeight w:val="1083"/>
        </w:trPr>
        <w:tc>
          <w:tcPr>
            <w:tcW w:w="395" w:type="pct"/>
            <w:vMerge/>
            <w:tcBorders>
              <w:top w:val="single" w:sz="4" w:space="0" w:color="auto"/>
              <w:left w:val="single" w:sz="4" w:space="0" w:color="auto"/>
              <w:bottom w:val="single" w:sz="4" w:space="0" w:color="auto"/>
              <w:right w:val="single" w:sz="4" w:space="0" w:color="auto"/>
            </w:tcBorders>
            <w:vAlign w:val="center"/>
          </w:tcPr>
          <w:p w:rsidR="00FC462E" w:rsidRDefault="00FC462E">
            <w:pPr>
              <w:widowControl/>
              <w:jc w:val="left"/>
              <w:rPr>
                <w:rFonts w:ascii="宋体" w:hAnsi="宋体" w:cs="宋体"/>
                <w:kern w:val="0"/>
                <w:sz w:val="20"/>
                <w:szCs w:val="20"/>
              </w:rPr>
            </w:pPr>
          </w:p>
        </w:tc>
        <w:tc>
          <w:tcPr>
            <w:tcW w:w="396"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rPr>
                <w:rFonts w:ascii="宋体" w:hAnsi="宋体" w:cs="宋体"/>
                <w:kern w:val="0"/>
                <w:sz w:val="20"/>
                <w:szCs w:val="20"/>
              </w:rPr>
            </w:pPr>
            <w:r>
              <w:rPr>
                <w:rFonts w:ascii="宋体" w:hAnsi="宋体" w:cs="宋体" w:hint="eastAsia"/>
                <w:kern w:val="0"/>
                <w:sz w:val="20"/>
                <w:szCs w:val="20"/>
              </w:rPr>
              <w:t>部门预决算差异率（4）</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w:t>
            </w:r>
          </w:p>
        </w:tc>
        <w:tc>
          <w:tcPr>
            <w:tcW w:w="7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1.55%</w:t>
            </w:r>
          </w:p>
        </w:tc>
        <w:tc>
          <w:tcPr>
            <w:tcW w:w="24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4</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4　</w:t>
            </w:r>
          </w:p>
        </w:tc>
        <w:tc>
          <w:tcPr>
            <w:tcW w:w="970"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通过年度部门决算与年初部门预算对比，对部门的年度支出情况进行考核，衡量部门预算的约束力。</w:t>
            </w:r>
          </w:p>
        </w:tc>
        <w:tc>
          <w:tcPr>
            <w:tcW w:w="1268"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left"/>
              <w:rPr>
                <w:rFonts w:ascii="宋体" w:hAnsi="宋体" w:cs="宋体"/>
                <w:kern w:val="0"/>
                <w:sz w:val="18"/>
                <w:szCs w:val="18"/>
              </w:rPr>
            </w:pPr>
            <w:r>
              <w:rPr>
                <w:rFonts w:ascii="宋体" w:hAnsi="宋体" w:cs="宋体" w:hint="eastAsia"/>
                <w:kern w:val="0"/>
                <w:sz w:val="18"/>
                <w:szCs w:val="18"/>
              </w:rPr>
              <w:t>部门预决算差异率高于市级平均差异率（28.3%）的，每高出10%（含），扣0.4分，扣完为止。</w:t>
            </w:r>
          </w:p>
        </w:tc>
      </w:tr>
      <w:tr w:rsidR="00FC462E">
        <w:trPr>
          <w:cantSplit/>
          <w:trHeight w:val="484"/>
        </w:trPr>
        <w:tc>
          <w:tcPr>
            <w:tcW w:w="2212" w:type="pct"/>
            <w:gridSpan w:val="5"/>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合计</w:t>
            </w:r>
          </w:p>
        </w:tc>
        <w:tc>
          <w:tcPr>
            <w:tcW w:w="245"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100</w:t>
            </w:r>
          </w:p>
        </w:tc>
        <w:tc>
          <w:tcPr>
            <w:tcW w:w="303" w:type="pct"/>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20"/>
                <w:szCs w:val="20"/>
              </w:rPr>
            </w:pPr>
            <w:r>
              <w:rPr>
                <w:rFonts w:ascii="宋体" w:hAnsi="宋体" w:cs="宋体" w:hint="eastAsia"/>
                <w:kern w:val="0"/>
                <w:sz w:val="20"/>
                <w:szCs w:val="20"/>
              </w:rPr>
              <w:t xml:space="preserve">95.61　</w:t>
            </w:r>
          </w:p>
        </w:tc>
        <w:tc>
          <w:tcPr>
            <w:tcW w:w="2238" w:type="pct"/>
            <w:gridSpan w:val="2"/>
            <w:tcBorders>
              <w:top w:val="single" w:sz="4" w:space="0" w:color="auto"/>
              <w:left w:val="single" w:sz="4" w:space="0" w:color="auto"/>
              <w:bottom w:val="single" w:sz="4" w:space="0" w:color="auto"/>
              <w:right w:val="single" w:sz="4" w:space="0" w:color="auto"/>
            </w:tcBorders>
            <w:vAlign w:val="center"/>
          </w:tcPr>
          <w:p w:rsidR="00FC462E" w:rsidRDefault="005A528A">
            <w:pPr>
              <w:widowControl/>
              <w:jc w:val="center"/>
              <w:rPr>
                <w:rFonts w:ascii="宋体" w:hAnsi="宋体" w:cs="宋体"/>
                <w:kern w:val="0"/>
                <w:sz w:val="18"/>
                <w:szCs w:val="18"/>
              </w:rPr>
            </w:pPr>
            <w:r>
              <w:rPr>
                <w:rFonts w:ascii="宋体" w:hAnsi="宋体" w:cs="宋体" w:hint="eastAsia"/>
                <w:kern w:val="0"/>
                <w:sz w:val="18"/>
                <w:szCs w:val="18"/>
              </w:rPr>
              <w:t xml:space="preserve">　</w:t>
            </w:r>
          </w:p>
        </w:tc>
      </w:tr>
    </w:tbl>
    <w:p w:rsidR="00FC462E" w:rsidRDefault="00FC462E">
      <w:pPr>
        <w:spacing w:line="20" w:lineRule="exact"/>
        <w:rPr>
          <w:rFonts w:ascii="方正小标宋简体" w:eastAsia="方正小标宋简体"/>
          <w:sz w:val="36"/>
          <w:szCs w:val="36"/>
        </w:rPr>
      </w:pPr>
    </w:p>
    <w:p w:rsidR="00FC462E" w:rsidRDefault="00FC462E"/>
    <w:sectPr w:rsidR="00FC462E" w:rsidSect="00DA523C">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443" w:rsidRDefault="00C67443">
      <w:r>
        <w:separator/>
      </w:r>
    </w:p>
  </w:endnote>
  <w:endnote w:type="continuationSeparator" w:id="1">
    <w:p w:rsidR="00C67443" w:rsidRDefault="00C674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_GBK">
    <w:altName w:val="微软雅黑"/>
    <w:charset w:val="86"/>
    <w:family w:val="auto"/>
    <w:pitch w:val="default"/>
    <w:sig w:usb0="00000000" w:usb1="00000000" w:usb2="00000000" w:usb3="00000000" w:csb0="00040000" w:csb1="00000000"/>
  </w:font>
  <w:font w:name="方正小标宋简体">
    <w:altName w:val="黑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28A" w:rsidRDefault="006C09F7">
    <w:pPr>
      <w:pStyle w:val="a6"/>
      <w:ind w:firstLine="360"/>
      <w:jc w:val="center"/>
      <w:rPr>
        <w:sz w:val="21"/>
        <w:szCs w:val="21"/>
      </w:rPr>
    </w:pPr>
    <w:r w:rsidRPr="006C09F7">
      <w:rPr>
        <w:noProof/>
      </w:rPr>
      <w:pict>
        <v:shapetype id="_x0000_t202" coordsize="21600,21600" o:spt="202" path="m,l,21600r21600,l21600,xe">
          <v:stroke joinstyle="miter"/>
          <v:path gradientshapeok="t" o:connecttype="rect"/>
        </v:shapetype>
        <v:shape id="文本框 1" o:spid="_x0000_s4098" type="#_x0000_t202" style="position:absolute;left:0;text-align:left;margin-left:0;margin-top:0;width:4.55pt;height:10.3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" filled="f" stroked="f" strokeweight=".5pt">
          <v:path arrowok="t"/>
          <v:textbox style="mso-fit-shape-to-text:t" inset="0,0,0,0">
            <w:txbxContent>
              <w:p w:rsidR="005A528A" w:rsidRDefault="006C09F7">
                <w:pPr>
                  <w:pStyle w:val="a6"/>
                </w:pPr>
                <w:r>
                  <w:fldChar w:fldCharType="begin"/>
                </w:r>
                <w:r w:rsidR="005A528A">
                  <w:instrText xml:space="preserve"> PAGE  \* MERGEFORMAT </w:instrText>
                </w:r>
                <w:r>
                  <w:fldChar w:fldCharType="separate"/>
                </w:r>
                <w:r w:rsidR="001E7CC9">
                  <w:rPr>
                    <w:noProof/>
                  </w:rPr>
                  <w:t>8</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28A" w:rsidRDefault="006C09F7">
    <w:pPr>
      <w:pStyle w:val="a6"/>
      <w:jc w:val="right"/>
    </w:pPr>
    <w:r w:rsidRPr="006C09F7">
      <w:rPr>
        <w:noProof/>
        <w:sz w:val="28"/>
      </w:rPr>
      <w:pict>
        <v:shapetype id="_x0000_t202" coordsize="21600,21600" o:spt="202" path="m,l,21600r21600,l21600,xe">
          <v:stroke joinstyle="miter"/>
          <v:path gradientshapeok="t" o:connecttype="rect"/>
        </v:shapetype>
        <v:shape id="文本框 2" o:spid="_x0000_s4097" type="#_x0000_t202" style="position:absolute;left:0;text-align:left;margin-left:0;margin-top:0;width:9.05pt;height:10.35pt;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DLawJcnAgAAJQQAAA4AAAAAAAAAAAAAAAAALgIAAGRycy9lMm9Eb2Mu&#10;eG1sUEsBAi0AFAAGAAgAAAAhAGTcqA7bAAAAAwEAAA8AAAAAAAAAAAAAAAAAgQQAAGRycy9kb3du&#10;cmV2LnhtbFBLBQYAAAAABAAEAPMAAACJBQAAAAA=&#10;" filled="f" stroked="f" strokeweight=".5pt">
          <v:path arrowok="t"/>
          <v:textbox style="mso-fit-shape-to-text:t" inset="0,0,0,0">
            <w:txbxContent>
              <w:p w:rsidR="005A528A" w:rsidRDefault="006C09F7">
                <w:pPr>
                  <w:pStyle w:val="a6"/>
                </w:pPr>
                <w:r>
                  <w:fldChar w:fldCharType="begin"/>
                </w:r>
                <w:r w:rsidR="005A528A">
                  <w:instrText xml:space="preserve"> PAGE  \* MERGEFORMAT </w:instrText>
                </w:r>
                <w:r>
                  <w:fldChar w:fldCharType="separate"/>
                </w:r>
                <w:r w:rsidR="001E7CC9">
                  <w:rPr>
                    <w:noProof/>
                  </w:rPr>
                  <w:t>13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443" w:rsidRDefault="00C67443">
      <w:r>
        <w:separator/>
      </w:r>
    </w:p>
  </w:footnote>
  <w:footnote w:type="continuationSeparator" w:id="1">
    <w:p w:rsidR="00C67443" w:rsidRDefault="00C674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2CF4F2"/>
    <w:multiLevelType w:val="singleLevel"/>
    <w:tmpl w:val="CC2CF4F2"/>
    <w:lvl w:ilvl="0">
      <w:start w:val="1"/>
      <w:numFmt w:val="decimal"/>
      <w:suff w:val="nothing"/>
      <w:lvlText w:val="（%1）"/>
      <w:lvlJc w:val="left"/>
    </w:lvl>
  </w:abstractNum>
  <w:abstractNum w:abstractNumId="1">
    <w:nsid w:val="3DB60FF5"/>
    <w:multiLevelType w:val="singleLevel"/>
    <w:tmpl w:val="3DB60FF5"/>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UxZDQ3MGViM2FjMjkzZTgxYWJmODg1ZGU5Y2RjOTkifQ=="/>
  </w:docVars>
  <w:rsids>
    <w:rsidRoot w:val="F77F09F4"/>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 w:val="00040960"/>
    <w:rsid w:val="000F43D2"/>
    <w:rsid w:val="0013642E"/>
    <w:rsid w:val="00152138"/>
    <w:rsid w:val="00197776"/>
    <w:rsid w:val="001E7CC9"/>
    <w:rsid w:val="003110B5"/>
    <w:rsid w:val="003E733B"/>
    <w:rsid w:val="004B2230"/>
    <w:rsid w:val="005A528A"/>
    <w:rsid w:val="006929B1"/>
    <w:rsid w:val="006C09F7"/>
    <w:rsid w:val="00765F05"/>
    <w:rsid w:val="00816B86"/>
    <w:rsid w:val="00A16514"/>
    <w:rsid w:val="00AB00D2"/>
    <w:rsid w:val="00B165D3"/>
    <w:rsid w:val="00B26845"/>
    <w:rsid w:val="00C121A8"/>
    <w:rsid w:val="00C67443"/>
    <w:rsid w:val="00D528EA"/>
    <w:rsid w:val="00D64AB7"/>
    <w:rsid w:val="00D75B8C"/>
    <w:rsid w:val="00DA523C"/>
    <w:rsid w:val="00DF45F1"/>
    <w:rsid w:val="00F03090"/>
    <w:rsid w:val="00FB4662"/>
    <w:rsid w:val="00FC462E"/>
    <w:rsid w:val="02CD7738"/>
    <w:rsid w:val="034A3429"/>
    <w:rsid w:val="043A125E"/>
    <w:rsid w:val="060D55C3"/>
    <w:rsid w:val="0AF509CC"/>
    <w:rsid w:val="0BAA59B0"/>
    <w:rsid w:val="0C235020"/>
    <w:rsid w:val="0FA6149D"/>
    <w:rsid w:val="0FF407F5"/>
    <w:rsid w:val="105877B8"/>
    <w:rsid w:val="11EF7C34"/>
    <w:rsid w:val="12A7674F"/>
    <w:rsid w:val="12FA3E30"/>
    <w:rsid w:val="15F412DB"/>
    <w:rsid w:val="175F53D8"/>
    <w:rsid w:val="188B7B07"/>
    <w:rsid w:val="1A1F02DF"/>
    <w:rsid w:val="1A990102"/>
    <w:rsid w:val="1B077E50"/>
    <w:rsid w:val="1D011B36"/>
    <w:rsid w:val="1F9542DF"/>
    <w:rsid w:val="20D07D2B"/>
    <w:rsid w:val="22555084"/>
    <w:rsid w:val="23CC3852"/>
    <w:rsid w:val="24C55340"/>
    <w:rsid w:val="2D186051"/>
    <w:rsid w:val="2EC81659"/>
    <w:rsid w:val="302428C3"/>
    <w:rsid w:val="303206A9"/>
    <w:rsid w:val="3173380B"/>
    <w:rsid w:val="32735B9B"/>
    <w:rsid w:val="349F262A"/>
    <w:rsid w:val="3561293C"/>
    <w:rsid w:val="36EB7B4F"/>
    <w:rsid w:val="37173543"/>
    <w:rsid w:val="38EA1AD4"/>
    <w:rsid w:val="3D2B6C46"/>
    <w:rsid w:val="3DDE16B8"/>
    <w:rsid w:val="3E231B27"/>
    <w:rsid w:val="3FDBA076"/>
    <w:rsid w:val="3FDFB3F0"/>
    <w:rsid w:val="3FDFC9A6"/>
    <w:rsid w:val="3FF76880"/>
    <w:rsid w:val="40D1225F"/>
    <w:rsid w:val="40F5481E"/>
    <w:rsid w:val="42090763"/>
    <w:rsid w:val="434B32FD"/>
    <w:rsid w:val="44D52F65"/>
    <w:rsid w:val="4743767B"/>
    <w:rsid w:val="4769010A"/>
    <w:rsid w:val="4950672E"/>
    <w:rsid w:val="4B9E7824"/>
    <w:rsid w:val="4BC158BB"/>
    <w:rsid w:val="4C0E458F"/>
    <w:rsid w:val="4CBB3F51"/>
    <w:rsid w:val="4E9C25A4"/>
    <w:rsid w:val="4EEF00E8"/>
    <w:rsid w:val="516C06F2"/>
    <w:rsid w:val="52B43AAA"/>
    <w:rsid w:val="531563C3"/>
    <w:rsid w:val="539E1908"/>
    <w:rsid w:val="5679550D"/>
    <w:rsid w:val="56CB1F36"/>
    <w:rsid w:val="56E4736A"/>
    <w:rsid w:val="572A2EDB"/>
    <w:rsid w:val="575D6837"/>
    <w:rsid w:val="59203CB3"/>
    <w:rsid w:val="5BFD4AC2"/>
    <w:rsid w:val="5D206FB1"/>
    <w:rsid w:val="640D6BEF"/>
    <w:rsid w:val="641171CF"/>
    <w:rsid w:val="67759716"/>
    <w:rsid w:val="68C47577"/>
    <w:rsid w:val="6F7ED27B"/>
    <w:rsid w:val="749552AC"/>
    <w:rsid w:val="74E8577D"/>
    <w:rsid w:val="75B17A7C"/>
    <w:rsid w:val="779A5141"/>
    <w:rsid w:val="77C3277A"/>
    <w:rsid w:val="78FB7F25"/>
    <w:rsid w:val="7A202DEA"/>
    <w:rsid w:val="7A2B7779"/>
    <w:rsid w:val="7AB7FF50"/>
    <w:rsid w:val="7AC1797A"/>
    <w:rsid w:val="7AEAF641"/>
    <w:rsid w:val="7BAD2729"/>
    <w:rsid w:val="7BFEB0DB"/>
    <w:rsid w:val="7CEA0C8F"/>
    <w:rsid w:val="7FFF4E81"/>
    <w:rsid w:val="7FFFD0D3"/>
    <w:rsid w:val="8716660E"/>
    <w:rsid w:val="A3AA735E"/>
    <w:rsid w:val="A75D48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DA523C"/>
    <w:pPr>
      <w:widowControl w:val="0"/>
      <w:jc w:val="both"/>
    </w:pPr>
    <w:rPr>
      <w:kern w:val="2"/>
      <w:sz w:val="21"/>
      <w:szCs w:val="24"/>
    </w:rPr>
  </w:style>
  <w:style w:type="paragraph" w:styleId="1">
    <w:name w:val="heading 1"/>
    <w:basedOn w:val="a"/>
    <w:next w:val="a"/>
    <w:uiPriority w:val="9"/>
    <w:qFormat/>
    <w:rsid w:val="00DA523C"/>
    <w:pPr>
      <w:spacing w:line="600" w:lineRule="exact"/>
      <w:ind w:firstLine="640"/>
      <w:outlineLvl w:val="0"/>
    </w:pPr>
    <w:rPr>
      <w:rFonts w:ascii="黑体" w:eastAsia="黑体" w:hAnsi="黑体" w:cs="宋体"/>
      <w:color w:val="000000"/>
      <w:kern w:val="0"/>
    </w:rPr>
  </w:style>
  <w:style w:type="paragraph" w:styleId="20">
    <w:name w:val="heading 2"/>
    <w:basedOn w:val="a"/>
    <w:next w:val="a"/>
    <w:qFormat/>
    <w:rsid w:val="00DA523C"/>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DA523C"/>
    <w:pPr>
      <w:ind w:firstLineChars="200" w:firstLine="420"/>
    </w:pPr>
  </w:style>
  <w:style w:type="paragraph" w:styleId="a3">
    <w:name w:val="Body Text Indent"/>
    <w:basedOn w:val="a"/>
    <w:qFormat/>
    <w:rsid w:val="00DA523C"/>
    <w:pPr>
      <w:spacing w:after="360"/>
      <w:ind w:firstLine="840"/>
    </w:pPr>
    <w:rPr>
      <w:rFonts w:eastAsia="仿宋_GB2312"/>
      <w:kern w:val="1"/>
      <w:sz w:val="32"/>
      <w:szCs w:val="20"/>
    </w:rPr>
  </w:style>
  <w:style w:type="paragraph" w:styleId="a4">
    <w:name w:val="annotation text"/>
    <w:basedOn w:val="a"/>
    <w:qFormat/>
    <w:rsid w:val="00DA523C"/>
    <w:pPr>
      <w:jc w:val="left"/>
    </w:pPr>
  </w:style>
  <w:style w:type="paragraph" w:styleId="a5">
    <w:name w:val="Balloon Text"/>
    <w:basedOn w:val="a"/>
    <w:link w:val="Char"/>
    <w:qFormat/>
    <w:rsid w:val="00DA523C"/>
    <w:rPr>
      <w:sz w:val="18"/>
      <w:szCs w:val="18"/>
    </w:rPr>
  </w:style>
  <w:style w:type="paragraph" w:styleId="a6">
    <w:name w:val="footer"/>
    <w:basedOn w:val="a"/>
    <w:uiPriority w:val="99"/>
    <w:qFormat/>
    <w:rsid w:val="00DA523C"/>
    <w:pPr>
      <w:tabs>
        <w:tab w:val="center" w:pos="4153"/>
        <w:tab w:val="right" w:pos="8306"/>
      </w:tabs>
      <w:snapToGrid w:val="0"/>
      <w:jc w:val="left"/>
    </w:pPr>
    <w:rPr>
      <w:sz w:val="18"/>
      <w:szCs w:val="20"/>
    </w:rPr>
  </w:style>
  <w:style w:type="paragraph" w:styleId="a7">
    <w:name w:val="header"/>
    <w:basedOn w:val="a"/>
    <w:qFormat/>
    <w:rsid w:val="00DA523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qFormat/>
    <w:rsid w:val="00DA523C"/>
    <w:pPr>
      <w:spacing w:beforeAutospacing="1" w:afterAutospacing="1"/>
      <w:jc w:val="left"/>
    </w:pPr>
    <w:rPr>
      <w:kern w:val="0"/>
      <w:sz w:val="24"/>
    </w:rPr>
  </w:style>
  <w:style w:type="paragraph" w:customStyle="1" w:styleId="10">
    <w:name w:val="无间隔1"/>
    <w:uiPriority w:val="1"/>
    <w:qFormat/>
    <w:rsid w:val="00DA523C"/>
    <w:pPr>
      <w:widowControl w:val="0"/>
      <w:jc w:val="both"/>
    </w:pPr>
    <w:rPr>
      <w:kern w:val="2"/>
      <w:sz w:val="21"/>
    </w:rPr>
  </w:style>
  <w:style w:type="paragraph" w:customStyle="1" w:styleId="11">
    <w:name w:val="列出段落1"/>
    <w:basedOn w:val="a"/>
    <w:uiPriority w:val="34"/>
    <w:qFormat/>
    <w:rsid w:val="00DA523C"/>
    <w:pPr>
      <w:ind w:firstLineChars="200" w:firstLine="420"/>
    </w:pPr>
    <w:rPr>
      <w:rFonts w:ascii="Calibri" w:hAnsi="Calibri" w:cs="黑体"/>
      <w:szCs w:val="22"/>
    </w:rPr>
  </w:style>
  <w:style w:type="character" w:customStyle="1" w:styleId="Char">
    <w:name w:val="批注框文本 Char"/>
    <w:basedOn w:val="a0"/>
    <w:link w:val="a5"/>
    <w:qFormat/>
    <w:rsid w:val="00DA523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paragraph" w:styleId="20">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pPr>
      <w:ind w:firstLineChars="200" w:firstLine="420"/>
    </w:pPr>
  </w:style>
  <w:style w:type="paragraph" w:styleId="a3">
    <w:name w:val="Body Text Indent"/>
    <w:basedOn w:val="a"/>
    <w:qFormat/>
    <w:pPr>
      <w:spacing w:after="360"/>
      <w:ind w:firstLine="840"/>
    </w:pPr>
    <w:rPr>
      <w:rFonts w:eastAsia="仿宋_GB2312"/>
      <w:kern w:val="1"/>
      <w:sz w:val="32"/>
      <w:szCs w:val="20"/>
    </w:rPr>
  </w:style>
  <w:style w:type="paragraph" w:styleId="a4">
    <w:name w:val="annotation text"/>
    <w:basedOn w:val="a"/>
    <w:qFormat/>
    <w:pPr>
      <w:jc w:val="left"/>
    </w:pPr>
  </w:style>
  <w:style w:type="paragraph" w:styleId="a5">
    <w:name w:val="Balloon Text"/>
    <w:basedOn w:val="a"/>
    <w:link w:val="Char"/>
    <w:qFormat/>
    <w:rPr>
      <w:sz w:val="18"/>
      <w:szCs w:val="18"/>
    </w:rPr>
  </w:style>
  <w:style w:type="paragraph" w:styleId="a6">
    <w:name w:val="footer"/>
    <w:basedOn w:val="a"/>
    <w:uiPriority w:val="99"/>
    <w:qFormat/>
    <w:pPr>
      <w:tabs>
        <w:tab w:val="center" w:pos="4153"/>
        <w:tab w:val="right" w:pos="8306"/>
      </w:tabs>
      <w:snapToGrid w:val="0"/>
      <w:jc w:val="left"/>
    </w:pPr>
    <w:rPr>
      <w:sz w:val="18"/>
      <w:szCs w:val="20"/>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qFormat/>
    <w:pPr>
      <w:spacing w:beforeAutospacing="1" w:afterAutospacing="1"/>
      <w:jc w:val="left"/>
    </w:pPr>
    <w:rPr>
      <w:kern w:val="0"/>
      <w:sz w:val="24"/>
    </w:rPr>
  </w:style>
  <w:style w:type="paragraph" w:customStyle="1" w:styleId="10">
    <w:name w:val="无间隔1"/>
    <w:uiPriority w:val="1"/>
    <w:qFormat/>
    <w:pPr>
      <w:widowControl w:val="0"/>
      <w:jc w:val="both"/>
    </w:pPr>
    <w:rPr>
      <w:kern w:val="2"/>
      <w:sz w:val="21"/>
    </w:rPr>
  </w:style>
  <w:style w:type="paragraph" w:customStyle="1" w:styleId="11">
    <w:name w:val="列出段落1"/>
    <w:basedOn w:val="a"/>
    <w:uiPriority w:val="34"/>
    <w:qFormat/>
    <w:pPr>
      <w:ind w:firstLineChars="200" w:firstLine="420"/>
    </w:pPr>
    <w:rPr>
      <w:rFonts w:ascii="Calibri" w:hAnsi="Calibri" w:cs="黑体"/>
      <w:szCs w:val="22"/>
    </w:rPr>
  </w:style>
  <w:style w:type="character" w:customStyle="1" w:styleId="Char">
    <w:name w:val="批注框文本 Char"/>
    <w:basedOn w:val="a0"/>
    <w:link w:val="a5"/>
    <w:qFormat/>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342727-A12E-4C29-94D6-A939ED14F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Pages>
  <Words>1082</Words>
  <Characters>6173</Characters>
  <Application>Microsoft Office Word</Application>
  <DocSecurity>0</DocSecurity>
  <Lines>51</Lines>
  <Paragraphs>14</Paragraphs>
  <ScaleCrop>false</ScaleCrop>
  <Company/>
  <LinksUpToDate>false</LinksUpToDate>
  <CharactersWithSpaces>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xb21cn</cp:lastModifiedBy>
  <cp:revision>22</cp:revision>
  <cp:lastPrinted>2023-03-06T01:31:00Z</cp:lastPrinted>
  <dcterms:created xsi:type="dcterms:W3CDTF">2023-08-21T07:29:00Z</dcterms:created>
  <dcterms:modified xsi:type="dcterms:W3CDTF">2023-08-22T08:01:00Z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27C459021B8642DC9EED6D02EAE86359_12</vt:lpwstr>
  </property>
</Properties>
</file>