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lang w:eastAsia="zh-CN"/>
        </w:rPr>
        <w:t>北京铁路运输检察院</w:t>
      </w:r>
      <w:r>
        <w:rPr>
          <w:rFonts w:hint="eastAsia" w:ascii="方正小标宋简体" w:eastAsia="方正小标宋简体"/>
          <w:sz w:val="36"/>
          <w:szCs w:val="36"/>
        </w:rPr>
        <w:t>整体绩效</w:t>
      </w:r>
      <w:r>
        <w:rPr>
          <w:rFonts w:hint="eastAsia" w:ascii="方正小标宋简体" w:eastAsia="方正小标宋简体"/>
          <w:sz w:val="36"/>
          <w:szCs w:val="36"/>
          <w:lang w:eastAsia="zh-CN"/>
        </w:rPr>
        <w:t>评价</w:t>
      </w:r>
      <w:r>
        <w:rPr>
          <w:rFonts w:hint="eastAsia" w:ascii="方正小标宋简体" w:eastAsia="方正小标宋简体"/>
          <w:sz w:val="36"/>
          <w:szCs w:val="36"/>
        </w:rPr>
        <w:t>报告</w:t>
      </w:r>
    </w:p>
    <w:p>
      <w:pPr>
        <w:jc w:val="center"/>
        <w:rPr>
          <w:rFonts w:ascii="仿宋_GB2312"/>
          <w:szCs w:val="30"/>
        </w:rPr>
      </w:pP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机构设置：根据北京市政法委、北京市编办、北京市人民检察院印发的《北京市检察机关内设机构改革方案》(京政法发[2019]8号)，北京铁路运输检察院内设8个部室，分别为办公室(行政事务管理部)、政治部(机关党委)、第一检察部、第二检察部、第三检察部、第四检察部、第五检察部和第六检察部(法律政策研究室)。</w:t>
      </w:r>
    </w:p>
    <w:p>
      <w:pPr>
        <w:spacing w:line="600" w:lineRule="exact"/>
        <w:ind w:firstLine="640" w:firstLineChars="200"/>
        <w:rPr>
          <w:rFonts w:hint="eastAsia" w:ascii="楷体_GB2312" w:eastAsia="楷体_GB2312"/>
          <w:sz w:val="32"/>
          <w:szCs w:val="32"/>
        </w:rPr>
      </w:pPr>
      <w:r>
        <w:rPr>
          <w:rFonts w:hint="eastAsia" w:ascii="仿宋_GB2312" w:hAnsi="宋体" w:eastAsia="仿宋_GB2312" w:cs="宋体"/>
          <w:color w:val="000000"/>
          <w:kern w:val="0"/>
          <w:sz w:val="32"/>
          <w:szCs w:val="32"/>
        </w:rPr>
        <w:t>2、机构职责：对北京铁路公安处提请批准逮捕、移送审查起诉的刑事案件进行审查，决定是否批准逮捕、提起公诉；依法对北京铁路公安处的立案活动、侦查活动及看守所</w:t>
      </w:r>
      <w:bookmarkStart w:id="0" w:name="_GoBack"/>
      <w:bookmarkEnd w:id="0"/>
      <w:r>
        <w:rPr>
          <w:rFonts w:hint="eastAsia" w:ascii="仿宋_GB2312" w:hAnsi="宋体" w:eastAsia="仿宋_GB2312" w:cs="宋体"/>
          <w:color w:val="000000"/>
          <w:kern w:val="0"/>
          <w:sz w:val="32"/>
          <w:szCs w:val="32"/>
        </w:rPr>
        <w:t>执法活动进行监督；依法对海淀区人民法院审理铁路专门管辖刑事、民事案件的诉讼活动进行监督；依法对北京互联网法院的审判和执行活动及有关生效判决和裁定进行监督；办理全市范围内应由基层人民法院管辖的互联网民事、行政公益诉讼案件；办理中国铁路北京局集团有限公司北京铁路办事处管辖范围内涉及的民事、行政公益诉讼案件；办理上级人民检察院指定管辖的其他案件。</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（二）部门整体绩效目标设立情况</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1、绩效目标设立依据：以习近平新时代中国特色社会主义思想为指导，全面贯彻习近平法治思想，认真落实市委、</w:t>
      </w:r>
      <w:r>
        <w:rPr>
          <w:rFonts w:hint="eastAsia" w:ascii="仿宋_GB2312" w:hAnsi="宋体" w:eastAsia="仿宋_GB2312" w:cs="宋体"/>
          <w:color w:val="000000"/>
          <w:kern w:val="0"/>
          <w:sz w:val="32"/>
          <w:szCs w:val="32"/>
          <w:lang w:eastAsia="zh-CN"/>
        </w:rPr>
        <w:t>最</w:t>
      </w:r>
      <w:r>
        <w:rPr>
          <w:rFonts w:hint="eastAsia" w:ascii="仿宋_GB2312" w:hAnsi="宋体" w:eastAsia="仿宋_GB2312" w:cs="宋体"/>
          <w:color w:val="000000"/>
          <w:kern w:val="0"/>
          <w:sz w:val="32"/>
          <w:szCs w:val="32"/>
        </w:rPr>
        <w:t>高检、市检院的部署要求，在讲政治、顾大局、谋发展、重自强中强化首都意识、突出首善标准、展现首都特色。一是坚持以党的政治建设为统领，不断提高政治判断力、政治领悟力、政治执行力，在推动具有精神变物质的“思想力量”成为“检察力量”的硬核上下功夫，以做到“两个维护”的自觉坚定拥护“两个确立”</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二是不断提升检察工作与首都发展大局的咬合度，主动融入大局，找准“铁路+互联网”检察工作服务保障首都高质量发展的切入点和着力点，继续深化检察供给侧结构性改革，在打造首都特色检察品牌中提高贡献率。三是持续推动“铁路+互联网”检察自身高质量发展，以推动“四大检察”业务全面协调充分发展为牵引，促进党的建设与检察业务工作深度融合，推动业务工作不断开创新局面。</w:t>
      </w:r>
      <w:r>
        <w:rPr>
          <w:rFonts w:hint="eastAsia" w:ascii="仿宋_GB2312" w:hAnsi="宋体" w:eastAsia="仿宋_GB2312" w:cs="宋体"/>
          <w:color w:val="000000"/>
          <w:kern w:val="0"/>
          <w:sz w:val="32"/>
          <w:szCs w:val="32"/>
          <w:lang w:eastAsia="zh-CN"/>
        </w:rPr>
        <w:t>四是</w:t>
      </w:r>
      <w:r>
        <w:rPr>
          <w:rFonts w:hint="eastAsia" w:ascii="仿宋_GB2312" w:hAnsi="宋体" w:eastAsia="仿宋_GB2312" w:cs="宋体"/>
          <w:color w:val="000000"/>
          <w:kern w:val="0"/>
          <w:sz w:val="32"/>
          <w:szCs w:val="32"/>
        </w:rPr>
        <w:t>压实压紧全面从严</w:t>
      </w:r>
      <w:r>
        <w:rPr>
          <w:rFonts w:hint="eastAsia" w:ascii="仿宋_GB2312" w:hAnsi="宋体" w:eastAsia="仿宋_GB2312" w:cs="宋体"/>
          <w:color w:val="000000"/>
          <w:kern w:val="0"/>
          <w:sz w:val="32"/>
          <w:szCs w:val="32"/>
          <w:lang w:eastAsia="zh-CN"/>
        </w:rPr>
        <w:t>管</w:t>
      </w:r>
      <w:r>
        <w:rPr>
          <w:rFonts w:hint="eastAsia" w:ascii="仿宋_GB2312" w:hAnsi="宋体" w:eastAsia="仿宋_GB2312" w:cs="宋体"/>
          <w:color w:val="000000"/>
          <w:kern w:val="0"/>
          <w:sz w:val="32"/>
          <w:szCs w:val="32"/>
        </w:rPr>
        <w:t>党治检主体责任，提高检察供给主体建设质量，焕发推动高质量发展的内生动力。</w:t>
      </w:r>
    </w:p>
    <w:p>
      <w:pPr>
        <w:spacing w:line="600" w:lineRule="exact"/>
        <w:ind w:firstLine="640" w:firstLineChars="200"/>
        <w:rPr>
          <w:rFonts w:ascii="仿宋_GB2312" w:hAnsi="宋体" w:eastAsia="仿宋_GB2312" w:cs="宋体"/>
          <w:color w:val="000000"/>
          <w:kern w:val="0"/>
          <w:sz w:val="32"/>
          <w:szCs w:val="32"/>
          <w:highlight w:val="yellow"/>
        </w:rPr>
      </w:pPr>
      <w:r>
        <w:rPr>
          <w:rFonts w:hint="eastAsia" w:ascii="仿宋_GB2312" w:hAnsi="宋体" w:eastAsia="仿宋_GB2312" w:cs="宋体"/>
          <w:color w:val="000000"/>
          <w:kern w:val="0"/>
          <w:sz w:val="32"/>
          <w:szCs w:val="32"/>
        </w:rPr>
        <w:t>2、目标与职责任务匹配情况：数量指标：保障全院检察工作正常开展。进度指标：严格按照资金支出进度的要求，提高资金使用效率，确保支出进度不低于时间进度。质量指标：保障我院办公办案场所运行平稳；保障系统网络信息平台交流安全；保障业务部门办案配套设施运转高效；效益指标：依法独立行使检察权，维护社会治安，扩大检察工作影响力。</w:t>
      </w:r>
    </w:p>
    <w:p>
      <w:pPr>
        <w:spacing w:line="600" w:lineRule="exact"/>
        <w:ind w:firstLine="640" w:firstLineChars="200"/>
        <w:rPr>
          <w:rFonts w:hint="eastAsia" w:ascii="楷体_GB2312" w:eastAsia="楷体_GB2312"/>
          <w:sz w:val="32"/>
          <w:szCs w:val="32"/>
        </w:rPr>
      </w:pPr>
      <w:r>
        <w:rPr>
          <w:rFonts w:hint="eastAsia" w:ascii="仿宋_GB2312" w:hAnsi="宋体" w:eastAsia="仿宋_GB2312" w:cs="宋体"/>
          <w:color w:val="000000"/>
          <w:kern w:val="0"/>
          <w:sz w:val="32"/>
          <w:szCs w:val="32"/>
        </w:rPr>
        <w:t>3、目标合理性：根据上述绩效目标设立依据和目标与职责任务匹配情况分析，目标合理。</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2</w:t>
      </w:r>
      <w:r>
        <w:rPr>
          <w:rFonts w:hint="eastAsia" w:ascii="仿宋_GB2312" w:hAnsi="宋体" w:eastAsia="仿宋_GB2312" w:cs="宋体"/>
          <w:color w:val="000000"/>
          <w:kern w:val="0"/>
          <w:sz w:val="32"/>
          <w:szCs w:val="32"/>
          <w:highlight w:val="none"/>
        </w:rPr>
        <w:t>年</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2890.00</w:t>
      </w:r>
      <w:r>
        <w:rPr>
          <w:rFonts w:hint="eastAsia" w:ascii="仿宋_GB2312" w:hAnsi="宋体" w:eastAsia="仿宋_GB2312" w:cs="宋体"/>
          <w:color w:val="000000"/>
          <w:kern w:val="0"/>
          <w:sz w:val="32"/>
          <w:szCs w:val="32"/>
          <w:highlight w:val="none"/>
        </w:rPr>
        <w:t>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2680.92</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w:t>
      </w:r>
      <w:r>
        <w:rPr>
          <w:rFonts w:hint="eastAsia" w:ascii="仿宋_GB2312" w:hAnsi="宋体" w:eastAsia="仿宋_GB2312" w:cs="宋体"/>
          <w:color w:val="000000"/>
          <w:kern w:val="0"/>
          <w:sz w:val="32"/>
          <w:szCs w:val="32"/>
          <w:highlight w:val="none"/>
          <w:lang w:val="en-US" w:eastAsia="zh-CN"/>
        </w:rPr>
        <w:t>209.08</w:t>
      </w:r>
      <w:r>
        <w:rPr>
          <w:rFonts w:ascii="仿宋_GB2312" w:hAnsi="宋体" w:eastAsia="仿宋_GB2312" w:cs="宋体"/>
          <w:color w:val="000000"/>
          <w:kern w:val="0"/>
          <w:sz w:val="32"/>
          <w:szCs w:val="32"/>
          <w:highlight w:val="none"/>
        </w:rPr>
        <w:t>万元，其他支出</w:t>
      </w:r>
      <w:r>
        <w:rPr>
          <w:rFonts w:hint="eastAsia"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0</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资金总体</w:t>
      </w:r>
      <w:r>
        <w:rPr>
          <w:rFonts w:hint="eastAsia"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2852.71</w:t>
      </w:r>
      <w:r>
        <w:rPr>
          <w:rFonts w:ascii="仿宋_GB2312" w:hAnsi="宋体" w:eastAsia="仿宋_GB2312" w:cs="宋体"/>
          <w:color w:val="000000"/>
          <w:kern w:val="0"/>
          <w:sz w:val="32"/>
          <w:szCs w:val="32"/>
          <w:highlight w:val="none"/>
        </w:rPr>
        <w:t>万元，其中，基本支出</w:t>
      </w:r>
      <w:r>
        <w:rPr>
          <w:rFonts w:hint="eastAsia" w:ascii="仿宋_GB2312" w:hAnsi="宋体" w:eastAsia="仿宋_GB2312" w:cs="宋体"/>
          <w:color w:val="000000"/>
          <w:kern w:val="0"/>
          <w:sz w:val="32"/>
          <w:szCs w:val="32"/>
          <w:highlight w:val="none"/>
          <w:lang w:val="en-US" w:eastAsia="zh-CN"/>
        </w:rPr>
        <w:t>2647.88</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204.83</w:t>
      </w:r>
      <w:r>
        <w:rPr>
          <w:rFonts w:ascii="仿宋_GB2312" w:hAnsi="宋体" w:eastAsia="仿宋_GB2312" w:cs="宋体"/>
          <w:color w:val="000000"/>
          <w:kern w:val="0"/>
          <w:sz w:val="32"/>
          <w:szCs w:val="32"/>
          <w:highlight w:val="none"/>
        </w:rPr>
        <w:t>万元，其他支出</w:t>
      </w:r>
      <w:r>
        <w:rPr>
          <w:rFonts w:hint="eastAsia" w:ascii="仿宋_GB2312" w:hAnsi="宋体" w:eastAsia="仿宋_GB2312" w:cs="宋体"/>
          <w:color w:val="000000"/>
          <w:kern w:val="0"/>
          <w:sz w:val="32"/>
          <w:szCs w:val="32"/>
          <w:highlight w:val="none"/>
          <w:lang w:val="en-US" w:eastAsia="zh-CN"/>
        </w:rPr>
        <w:t>0</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lang w:val="en-US" w:eastAsia="zh-CN"/>
        </w:rPr>
        <w:t>98.71%</w:t>
      </w:r>
      <w:r>
        <w:rPr>
          <w:rFonts w:hint="eastAsia" w:ascii="仿宋_GB2312" w:hAnsi="宋体" w:eastAsia="仿宋_GB2312" w:cs="宋体"/>
          <w:color w:val="000000"/>
          <w:kern w:val="0"/>
          <w:sz w:val="32"/>
          <w:szCs w:val="32"/>
          <w:highlight w:val="none"/>
        </w:rPr>
        <w:t>。</w:t>
      </w:r>
    </w:p>
    <w:p>
      <w:pPr>
        <w:spacing w:line="600" w:lineRule="exact"/>
        <w:ind w:left="105" w:leftChars="50" w:firstLine="480" w:firstLineChars="15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三</w:t>
      </w:r>
      <w:r>
        <w:rPr>
          <w:rFonts w:ascii="黑体" w:hAnsi="黑体" w:eastAsia="黑体" w:cs="宋体"/>
          <w:color w:val="000000"/>
          <w:kern w:val="0"/>
          <w:sz w:val="32"/>
          <w:szCs w:val="32"/>
          <w:highlight w:val="none"/>
        </w:rPr>
        <w:t>、整体绩效目标实现情况</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（一）产出完成情况分析</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rPr>
        <w:t>1.产出数量</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rPr>
        <w:t>保障全院检察工作正常开展。</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rPr>
        <w:t>2.产出</w:t>
      </w:r>
      <w:r>
        <w:rPr>
          <w:rFonts w:ascii="仿宋_GB2312" w:hAnsi="宋体" w:eastAsia="仿宋_GB2312" w:cs="宋体"/>
          <w:color w:val="000000"/>
          <w:kern w:val="0"/>
          <w:sz w:val="32"/>
          <w:szCs w:val="32"/>
          <w:highlight w:val="none"/>
        </w:rPr>
        <w:t>质量</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rPr>
        <w:t>保障我院办公办案场所运行平稳；保障系统网络信息平台交流安全；保障业务部门办案配套设施运转高效。</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rPr>
        <w:t>3.产出</w:t>
      </w:r>
      <w:r>
        <w:rPr>
          <w:rFonts w:ascii="仿宋_GB2312" w:hAnsi="宋体" w:eastAsia="仿宋_GB2312" w:cs="宋体"/>
          <w:color w:val="000000"/>
          <w:kern w:val="0"/>
          <w:sz w:val="32"/>
          <w:szCs w:val="32"/>
          <w:highlight w:val="none"/>
        </w:rPr>
        <w:t>进度</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rPr>
        <w:t>严格按照资金支出进度的要求，提高资金使用效率，确保支出进度不低于时间进度。</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ascii="仿宋_GB2312" w:hAnsi="宋体" w:eastAsia="仿宋_GB2312" w:cs="宋体"/>
          <w:color w:val="000000"/>
          <w:kern w:val="0"/>
          <w:sz w:val="32"/>
          <w:szCs w:val="32"/>
          <w:highlight w:val="none"/>
        </w:rPr>
        <w:t>4.</w:t>
      </w:r>
      <w:r>
        <w:rPr>
          <w:rFonts w:hint="eastAsia" w:ascii="仿宋_GB2312" w:hAnsi="宋体" w:eastAsia="仿宋_GB2312" w:cs="宋体"/>
          <w:color w:val="000000"/>
          <w:kern w:val="0"/>
          <w:sz w:val="32"/>
          <w:szCs w:val="32"/>
          <w:highlight w:val="none"/>
        </w:rPr>
        <w:t>产出</w:t>
      </w:r>
      <w:r>
        <w:rPr>
          <w:rFonts w:ascii="仿宋_GB2312" w:hAnsi="宋体" w:eastAsia="仿宋_GB2312" w:cs="宋体"/>
          <w:color w:val="000000"/>
          <w:kern w:val="0"/>
          <w:sz w:val="32"/>
          <w:szCs w:val="32"/>
          <w:highlight w:val="none"/>
        </w:rPr>
        <w:t>成本</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rPr>
        <w:t>上年资金总体决算数2665.60万元，本年资金总体决算数</w:t>
      </w:r>
      <w:r>
        <w:rPr>
          <w:rFonts w:hint="eastAsia" w:ascii="仿宋_GB2312" w:hAnsi="宋体" w:eastAsia="仿宋_GB2312" w:cs="宋体"/>
          <w:color w:val="000000"/>
          <w:kern w:val="0"/>
          <w:sz w:val="32"/>
          <w:szCs w:val="32"/>
          <w:highlight w:val="none"/>
          <w:lang w:val="en-US" w:eastAsia="zh-CN"/>
        </w:rPr>
        <w:t>2852.71</w:t>
      </w:r>
      <w:r>
        <w:rPr>
          <w:rFonts w:hint="eastAsia" w:ascii="仿宋_GB2312" w:hAnsi="宋体" w:eastAsia="仿宋_GB2312" w:cs="宋体"/>
          <w:color w:val="000000"/>
          <w:kern w:val="0"/>
          <w:sz w:val="32"/>
          <w:szCs w:val="32"/>
        </w:rPr>
        <w:t>万元，本年资金总体决算数大于上年。</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（二）效果</w:t>
      </w:r>
      <w:r>
        <w:rPr>
          <w:rFonts w:ascii="楷体_GB2312" w:eastAsia="楷体_GB2312"/>
          <w:sz w:val="32"/>
          <w:szCs w:val="32"/>
          <w:highlight w:val="none"/>
        </w:rPr>
        <w:t>实现情况分析</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rPr>
        <w:t>1.经济</w:t>
      </w:r>
      <w:r>
        <w:rPr>
          <w:rFonts w:ascii="仿宋_GB2312" w:hAnsi="宋体" w:eastAsia="仿宋_GB2312" w:cs="宋体"/>
          <w:color w:val="000000"/>
          <w:kern w:val="0"/>
          <w:sz w:val="32"/>
          <w:szCs w:val="32"/>
          <w:highlight w:val="none"/>
        </w:rPr>
        <w:t>效益</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rPr>
        <w:t>依法独立行使检察权。</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rPr>
        <w:t>2.社会效益</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rPr>
        <w:t>维护社会治安，</w:t>
      </w:r>
      <w:r>
        <w:rPr>
          <w:rFonts w:hint="eastAsia" w:ascii="仿宋_GB2312" w:hAnsi="宋体" w:eastAsia="仿宋_GB2312" w:cs="宋体"/>
          <w:color w:val="000000"/>
          <w:kern w:val="0"/>
          <w:sz w:val="32"/>
          <w:szCs w:val="32"/>
          <w:highlight w:val="none"/>
          <w:lang w:eastAsia="zh-CN"/>
        </w:rPr>
        <w:t>充分发挥法律监督职能。</w:t>
      </w:r>
    </w:p>
    <w:p>
      <w:pPr>
        <w:spacing w:line="600" w:lineRule="exact"/>
        <w:ind w:left="105" w:leftChars="50" w:firstLine="480" w:firstLineChars="15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.服务对象</w:t>
      </w:r>
      <w:r>
        <w:rPr>
          <w:rFonts w:ascii="仿宋_GB2312" w:hAnsi="宋体" w:eastAsia="仿宋_GB2312" w:cs="宋体"/>
          <w:color w:val="000000"/>
          <w:kern w:val="0"/>
          <w:sz w:val="32"/>
          <w:szCs w:val="32"/>
          <w:highlight w:val="none"/>
        </w:rPr>
        <w:t>满意度</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lang w:eastAsia="zh-CN"/>
        </w:rPr>
        <w:t>让人民群众在每一个司法案件中感受公平正义</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（一）财务管理</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1.财务</w:t>
      </w:r>
      <w:r>
        <w:rPr>
          <w:rFonts w:ascii="仿宋_GB2312" w:hAnsi="宋体" w:eastAsia="仿宋_GB2312" w:cs="宋体"/>
          <w:color w:val="000000"/>
          <w:kern w:val="0"/>
          <w:sz w:val="32"/>
          <w:szCs w:val="32"/>
          <w:highlight w:val="none"/>
        </w:rPr>
        <w:t>管理制度健全性</w:t>
      </w:r>
      <w:r>
        <w:rPr>
          <w:rFonts w:hint="eastAsia" w:ascii="仿宋_GB2312" w:hAnsi="宋体" w:eastAsia="仿宋_GB2312" w:cs="宋体"/>
          <w:color w:val="000000"/>
          <w:kern w:val="0"/>
          <w:sz w:val="32"/>
          <w:szCs w:val="32"/>
        </w:rPr>
        <w:t>①预算资金管理办法、绩效跟踪管理办法、资产管理办法等各项制度健全；②部门内部财务管理制度完整、合规；③会计核算制度完整、合规。</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2.资金使用合规性</w:t>
      </w:r>
      <w:r>
        <w:rPr>
          <w:rFonts w:ascii="仿宋_GB2312" w:hAnsi="宋体" w:eastAsia="仿宋_GB2312" w:cs="宋体"/>
          <w:color w:val="000000"/>
          <w:kern w:val="0"/>
          <w:sz w:val="32"/>
          <w:szCs w:val="32"/>
          <w:highlight w:val="none"/>
        </w:rPr>
        <w:t>和安全性</w:t>
      </w:r>
      <w:r>
        <w:rPr>
          <w:rFonts w:hint="eastAsia"/>
        </w:rPr>
        <w:t xml:space="preserve"> </w:t>
      </w:r>
      <w:r>
        <w:rPr>
          <w:rFonts w:hint="eastAsia" w:ascii="仿宋_GB2312" w:hAnsi="宋体" w:eastAsia="仿宋_GB2312" w:cs="宋体"/>
          <w:color w:val="000000"/>
          <w:kern w:val="0"/>
          <w:sz w:val="32"/>
          <w:szCs w:val="32"/>
        </w:rPr>
        <w:t>①符合国家财经法规和财务管理制度规定以及有关专项资金管理办法的规定；②资金的拨付有完整的审批程序和手续；③项目的重大开支经过评估论证；④符合部门预算批复的用途；⑤不存在截留、挤占、挪用情况；⑥资金使用符合政府采购的程序和流程；⑦资金使用符合公务卡结算相关制度和规定。</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ascii="仿宋_GB2312" w:hAnsi="宋体" w:eastAsia="仿宋_GB2312" w:cs="宋体"/>
          <w:color w:val="000000"/>
          <w:kern w:val="0"/>
          <w:sz w:val="32"/>
          <w:szCs w:val="32"/>
          <w:highlight w:val="none"/>
        </w:rPr>
        <w:t>3.</w:t>
      </w:r>
      <w:r>
        <w:rPr>
          <w:rFonts w:hint="eastAsia" w:ascii="仿宋_GB2312" w:hAnsi="宋体" w:eastAsia="仿宋_GB2312" w:cs="宋体"/>
          <w:color w:val="000000"/>
          <w:kern w:val="0"/>
          <w:sz w:val="32"/>
          <w:szCs w:val="32"/>
          <w:highlight w:val="none"/>
        </w:rPr>
        <w:t>会计</w:t>
      </w:r>
      <w:r>
        <w:rPr>
          <w:rFonts w:ascii="仿宋_GB2312" w:hAnsi="宋体" w:eastAsia="仿宋_GB2312" w:cs="宋体"/>
          <w:color w:val="000000"/>
          <w:kern w:val="0"/>
          <w:sz w:val="32"/>
          <w:szCs w:val="32"/>
          <w:highlight w:val="none"/>
        </w:rPr>
        <w:t>基础信息完善性</w:t>
      </w:r>
      <w:r>
        <w:rPr>
          <w:rFonts w:hint="eastAsia"/>
        </w:rPr>
        <w:t xml:space="preserve"> </w:t>
      </w:r>
      <w:r>
        <w:rPr>
          <w:rFonts w:hint="eastAsia" w:ascii="仿宋_GB2312" w:hAnsi="宋体" w:eastAsia="仿宋_GB2312" w:cs="宋体"/>
          <w:color w:val="000000"/>
          <w:kern w:val="0"/>
          <w:sz w:val="32"/>
          <w:szCs w:val="32"/>
        </w:rPr>
        <w:t>①基础数据信息和会计信息资料真实；②基础数据信息和会计信息资料完整；③基础数据信息和会计信息资料准确。</w:t>
      </w:r>
    </w:p>
    <w:p>
      <w:p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（二）资产管理</w:t>
      </w:r>
    </w:p>
    <w:p>
      <w:pPr>
        <w:spacing w:line="600" w:lineRule="exact"/>
        <w:ind w:left="105" w:leftChars="50" w:firstLine="480" w:firstLineChars="150"/>
        <w:rPr>
          <w:rFonts w:ascii="楷体_GB2312" w:eastAsia="楷体_GB2312"/>
          <w:sz w:val="32"/>
          <w:szCs w:val="32"/>
          <w:highlight w:val="none"/>
        </w:rPr>
      </w:pPr>
      <w:r>
        <w:rPr>
          <w:rFonts w:hint="eastAsia" w:ascii="仿宋_GB2312" w:hAnsi="宋体" w:eastAsia="仿宋_GB2312" w:cs="宋体"/>
          <w:color w:val="000000"/>
          <w:kern w:val="0"/>
          <w:sz w:val="32"/>
          <w:szCs w:val="32"/>
        </w:rPr>
        <w:t>资产管理规范性：不存在因管理不当发生严重资产损失和丢失情况；不存在超标准配置资产；资产使用规范，不存在未经批准擅自出租、出借资产行为；资产处置规范，不存在不按要求进行报批或资产不公开处置行为。</w:t>
      </w:r>
    </w:p>
    <w:p>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（三）绩效</w:t>
      </w:r>
      <w:r>
        <w:rPr>
          <w:rFonts w:ascii="楷体_GB2312" w:eastAsia="楷体_GB2312"/>
          <w:sz w:val="32"/>
          <w:szCs w:val="32"/>
          <w:highlight w:val="none"/>
        </w:rPr>
        <w:t>管理</w:t>
      </w:r>
    </w:p>
    <w:p>
      <w:pPr>
        <w:spacing w:line="600" w:lineRule="exact"/>
        <w:ind w:left="105" w:leftChars="50" w:firstLine="480" w:firstLineChars="150"/>
        <w:rPr>
          <w:rFonts w:ascii="楷体_GB2312" w:eastAsia="楷体_GB2312"/>
          <w:sz w:val="32"/>
          <w:szCs w:val="32"/>
          <w:highlight w:val="none"/>
        </w:rPr>
      </w:pPr>
      <w:r>
        <w:rPr>
          <w:rFonts w:hint="eastAsia" w:ascii="仿宋_GB2312" w:hAnsi="宋体" w:eastAsia="仿宋_GB2312" w:cs="宋体"/>
          <w:color w:val="000000"/>
          <w:kern w:val="0"/>
          <w:sz w:val="32"/>
          <w:szCs w:val="32"/>
        </w:rPr>
        <w:t>本院及时对绩效信息进行汇总分析整理；本院对绩效目标偏离情况及时进行矫正。</w:t>
      </w:r>
    </w:p>
    <w:p>
      <w:p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（四）结转结余率</w:t>
      </w:r>
    </w:p>
    <w:p>
      <w:pPr>
        <w:spacing w:line="600" w:lineRule="exact"/>
        <w:ind w:firstLine="640" w:firstLineChars="200"/>
        <w:rPr>
          <w:rFonts w:ascii="楷体_GB2312" w:eastAsia="楷体_GB2312"/>
          <w:sz w:val="32"/>
          <w:szCs w:val="32"/>
          <w:highlight w:val="none"/>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年结转结余率比202</w:t>
      </w: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年结转结余率低。</w:t>
      </w:r>
    </w:p>
    <w:p>
      <w:pPr>
        <w:numPr>
          <w:ilvl w:val="0"/>
          <w:numId w:val="1"/>
        </w:num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部门</w:t>
      </w:r>
      <w:r>
        <w:rPr>
          <w:rFonts w:ascii="楷体_GB2312" w:eastAsia="楷体_GB2312"/>
          <w:sz w:val="32"/>
          <w:szCs w:val="32"/>
          <w:highlight w:val="none"/>
        </w:rPr>
        <w:t>预决算差异率</w:t>
      </w:r>
    </w:p>
    <w:p>
      <w:pPr>
        <w:spacing w:line="600" w:lineRule="exact"/>
        <w:ind w:firstLine="640" w:firstLineChars="200"/>
        <w:rPr>
          <w:rFonts w:hint="eastAsia" w:ascii="楷体_GB2312" w:eastAsia="仿宋_GB2312"/>
          <w:sz w:val="32"/>
          <w:szCs w:val="32"/>
          <w:highlight w:val="none"/>
          <w:lang w:val="en-US" w:eastAsia="zh-CN"/>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年部门预决算差异率</w:t>
      </w:r>
      <w:r>
        <w:rPr>
          <w:rFonts w:hint="eastAsia" w:ascii="仿宋_GB2312" w:hAnsi="宋体" w:eastAsia="仿宋_GB2312" w:cs="宋体"/>
          <w:color w:val="000000"/>
          <w:kern w:val="0"/>
          <w:sz w:val="32"/>
          <w:szCs w:val="32"/>
          <w:lang w:eastAsia="zh-CN"/>
        </w:rPr>
        <w:t>较低，年初预算编制较实。</w:t>
      </w:r>
    </w:p>
    <w:p>
      <w:pPr>
        <w:spacing w:line="600" w:lineRule="exact"/>
        <w:ind w:left="105" w:leftChars="50" w:firstLine="480" w:firstLineChars="150"/>
        <w:rPr>
          <w:rFonts w:ascii="黑体" w:hAnsi="黑体" w:eastAsia="黑体"/>
          <w:sz w:val="32"/>
          <w:szCs w:val="32"/>
          <w:highlight w:val="none"/>
        </w:rPr>
      </w:pPr>
      <w:r>
        <w:rPr>
          <w:rFonts w:hint="eastAsia" w:ascii="黑体" w:hAnsi="黑体" w:eastAsia="黑体"/>
          <w:sz w:val="32"/>
          <w:szCs w:val="32"/>
          <w:highlight w:val="none"/>
        </w:rPr>
        <w:t>五、总体</w:t>
      </w:r>
      <w:r>
        <w:rPr>
          <w:rFonts w:ascii="黑体" w:hAnsi="黑体" w:eastAsia="黑体"/>
          <w:sz w:val="32"/>
          <w:szCs w:val="32"/>
          <w:highlight w:val="none"/>
        </w:rPr>
        <w:t>评价结论</w:t>
      </w:r>
    </w:p>
    <w:p>
      <w:p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tbl>
      <w:tblPr>
        <w:tblStyle w:val="8"/>
        <w:tblW w:w="8417" w:type="dxa"/>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7"/>
        <w:gridCol w:w="2059"/>
        <w:gridCol w:w="2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tcPr>
          <w:p>
            <w:pPr>
              <w:spacing w:line="60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评价内容</w:t>
            </w:r>
          </w:p>
        </w:tc>
        <w:tc>
          <w:tcPr>
            <w:tcW w:w="2059" w:type="dxa"/>
          </w:tcPr>
          <w:p>
            <w:pPr>
              <w:spacing w:line="600" w:lineRule="exact"/>
              <w:jc w:val="center"/>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分值</w:t>
            </w:r>
          </w:p>
        </w:tc>
        <w:tc>
          <w:tcPr>
            <w:tcW w:w="2811" w:type="dxa"/>
          </w:tcPr>
          <w:p>
            <w:pPr>
              <w:spacing w:line="600" w:lineRule="exact"/>
              <w:jc w:val="center"/>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tcPr>
          <w:p>
            <w:pPr>
              <w:spacing w:line="60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当年预算执行情况</w:t>
            </w:r>
          </w:p>
        </w:tc>
        <w:tc>
          <w:tcPr>
            <w:tcW w:w="2059" w:type="dxa"/>
          </w:tcPr>
          <w:p>
            <w:pPr>
              <w:spacing w:line="60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w:t>
            </w:r>
          </w:p>
        </w:tc>
        <w:tc>
          <w:tcPr>
            <w:tcW w:w="2811" w:type="dxa"/>
          </w:tcPr>
          <w:p>
            <w:pPr>
              <w:spacing w:line="600" w:lineRule="exact"/>
              <w:jc w:val="center"/>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tcPr>
          <w:p>
            <w:pPr>
              <w:spacing w:line="60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整体绩效目标实现情况</w:t>
            </w:r>
          </w:p>
        </w:tc>
        <w:tc>
          <w:tcPr>
            <w:tcW w:w="2059" w:type="dxa"/>
          </w:tcPr>
          <w:p>
            <w:pPr>
              <w:spacing w:line="60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60</w:t>
            </w:r>
          </w:p>
        </w:tc>
        <w:tc>
          <w:tcPr>
            <w:tcW w:w="2811" w:type="dxa"/>
          </w:tcPr>
          <w:p>
            <w:pPr>
              <w:spacing w:line="600" w:lineRule="exact"/>
              <w:jc w:val="center"/>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tcPr>
          <w:p>
            <w:pPr>
              <w:spacing w:line="60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预算管理情况</w:t>
            </w:r>
          </w:p>
        </w:tc>
        <w:tc>
          <w:tcPr>
            <w:tcW w:w="2059" w:type="dxa"/>
          </w:tcPr>
          <w:p>
            <w:pPr>
              <w:spacing w:line="60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w:t>
            </w:r>
          </w:p>
        </w:tc>
        <w:tc>
          <w:tcPr>
            <w:tcW w:w="2811" w:type="dxa"/>
          </w:tcPr>
          <w:p>
            <w:pPr>
              <w:spacing w:line="600" w:lineRule="exact"/>
              <w:jc w:val="center"/>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tcPr>
          <w:p>
            <w:pPr>
              <w:spacing w:line="600" w:lineRule="exact"/>
              <w:jc w:val="center"/>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综合得分</w:t>
            </w:r>
          </w:p>
        </w:tc>
        <w:tc>
          <w:tcPr>
            <w:tcW w:w="2059" w:type="dxa"/>
          </w:tcPr>
          <w:p>
            <w:pPr>
              <w:spacing w:line="60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100</w:t>
            </w:r>
          </w:p>
        </w:tc>
        <w:tc>
          <w:tcPr>
            <w:tcW w:w="2811" w:type="dxa"/>
          </w:tcPr>
          <w:p>
            <w:pPr>
              <w:spacing w:line="600" w:lineRule="exact"/>
              <w:jc w:val="center"/>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91.00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7" w:type="dxa"/>
          </w:tcPr>
          <w:p>
            <w:pPr>
              <w:spacing w:line="600" w:lineRule="exact"/>
              <w:jc w:val="center"/>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绩效评定级别</w:t>
            </w:r>
          </w:p>
        </w:tc>
        <w:tc>
          <w:tcPr>
            <w:tcW w:w="4870" w:type="dxa"/>
            <w:gridSpan w:val="2"/>
          </w:tcPr>
          <w:p>
            <w:pPr>
              <w:spacing w:line="60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优</w:t>
            </w:r>
          </w:p>
        </w:tc>
      </w:tr>
    </w:tbl>
    <w:p>
      <w:pPr>
        <w:spacing w:line="600" w:lineRule="exact"/>
        <w:rPr>
          <w:rFonts w:hint="eastAsia" w:ascii="楷体_GB2312" w:eastAsia="楷体_GB2312"/>
          <w:sz w:val="32"/>
          <w:szCs w:val="32"/>
          <w:highlight w:val="none"/>
        </w:rPr>
      </w:pPr>
    </w:p>
    <w:p>
      <w:pPr>
        <w:numPr>
          <w:ilvl w:val="0"/>
          <w:numId w:val="2"/>
        </w:num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存在的问题及原因分析</w:t>
      </w:r>
    </w:p>
    <w:p>
      <w:pPr>
        <w:numPr>
          <w:ilvl w:val="0"/>
          <w:numId w:val="0"/>
        </w:num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部分绩效指标难以量化。</w:t>
      </w:r>
    </w:p>
    <w:p>
      <w:pPr>
        <w:numPr>
          <w:ilvl w:val="0"/>
          <w:numId w:val="0"/>
        </w:numPr>
        <w:spacing w:line="600" w:lineRule="exact"/>
        <w:ind w:firstLine="640" w:firstLineChars="200"/>
        <w:rPr>
          <w:rFonts w:hint="eastAsia" w:ascii="楷体_GB2312" w:eastAsia="楷体_GB2312"/>
          <w:sz w:val="32"/>
          <w:szCs w:val="32"/>
          <w:highlight w:val="none"/>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绩效自评结果应用不广泛。绩效自评结果未与预算安排挂钩，绩效管理约束机制体现不明显。</w:t>
      </w:r>
    </w:p>
    <w:p>
      <w:pPr>
        <w:spacing w:line="600" w:lineRule="exact"/>
        <w:ind w:firstLine="640" w:firstLineChars="200"/>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六、措施建议</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进一步完善项目支出和资金管理办法。</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将预算绩效工作做在平时，贯彻始终，加强事前绩效评估。</w:t>
      </w:r>
    </w:p>
    <w:p>
      <w:pPr>
        <w:spacing w:line="600" w:lineRule="exact"/>
        <w:ind w:left="105" w:leftChars="50" w:firstLine="480" w:firstLineChars="150"/>
        <w:rPr>
          <w:rFonts w:hint="eastAsia" w:ascii="黑体" w:hAnsi="黑体" w:eastAsia="黑体" w:cs="宋体"/>
          <w:color w:val="000000"/>
          <w:kern w:val="0"/>
          <w:sz w:val="32"/>
          <w:szCs w:val="32"/>
          <w:highlight w:val="none"/>
        </w:rPr>
      </w:pPr>
      <w:r>
        <w:rPr>
          <w:rFonts w:hint="eastAsia" w:ascii="仿宋_GB2312" w:hAnsi="宋体" w:eastAsia="仿宋_GB2312" w:cs="宋体"/>
          <w:color w:val="000000"/>
          <w:kern w:val="0"/>
          <w:sz w:val="32"/>
          <w:szCs w:val="32"/>
        </w:rPr>
        <w:t>3</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开展绩效执行监控，同时将项目的绩效评价结果与预算安排挂钩。</w:t>
      </w:r>
    </w:p>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ascii="方正小标宋简体" w:eastAsia="方正小标宋简体"/>
          <w:sz w:val="36"/>
          <w:szCs w:val="36"/>
        </w:rPr>
      </w:pPr>
    </w:p>
    <w:sectPr>
      <w:footerReference r:id="rId3"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B70A9F"/>
    <w:multiLevelType w:val="singleLevel"/>
    <w:tmpl w:val="83B70A9F"/>
    <w:lvl w:ilvl="0" w:tentative="0">
      <w:start w:val="2"/>
      <w:numFmt w:val="chineseCounting"/>
      <w:suff w:val="nothing"/>
      <w:lvlText w:val="（%1）"/>
      <w:lvlJc w:val="left"/>
      <w:rPr>
        <w:rFonts w:hint="eastAsia"/>
      </w:rPr>
    </w:lvl>
  </w:abstractNum>
  <w:abstractNum w:abstractNumId="1">
    <w:nsid w:val="9C51735C"/>
    <w:multiLevelType w:val="singleLevel"/>
    <w:tmpl w:val="9C51735C"/>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B895C4A"/>
    <w:rsid w:val="175F53D8"/>
    <w:rsid w:val="180F38D3"/>
    <w:rsid w:val="21C90110"/>
    <w:rsid w:val="22C46687"/>
    <w:rsid w:val="35BA407E"/>
    <w:rsid w:val="37173543"/>
    <w:rsid w:val="3C5B4B82"/>
    <w:rsid w:val="3FDBA076"/>
    <w:rsid w:val="3FDFB3F0"/>
    <w:rsid w:val="3FDFC9A6"/>
    <w:rsid w:val="3FF76880"/>
    <w:rsid w:val="45C85D03"/>
    <w:rsid w:val="4F2A721B"/>
    <w:rsid w:val="53360FA4"/>
    <w:rsid w:val="5BFD4AC2"/>
    <w:rsid w:val="5D7444D5"/>
    <w:rsid w:val="62AE6CFD"/>
    <w:rsid w:val="67759716"/>
    <w:rsid w:val="6B2F44BE"/>
    <w:rsid w:val="6F7ED27B"/>
    <w:rsid w:val="75B17A7C"/>
    <w:rsid w:val="7AB7FF50"/>
    <w:rsid w:val="7AEAF641"/>
    <w:rsid w:val="7BAD2729"/>
    <w:rsid w:val="7BFEB0DB"/>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146</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Administrator</cp:lastModifiedBy>
  <cp:lastPrinted>2023-03-06T01:31:00Z</cp:lastPrinted>
  <dcterms:modified xsi:type="dcterms:W3CDTF">2023-08-25T06:47:27Z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