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7AEB7" w14:textId="77777777" w:rsidR="003C7D23" w:rsidRPr="004F25D8" w:rsidRDefault="003C7D23" w:rsidP="003C7D23">
      <w:pPr>
        <w:spacing w:line="640" w:lineRule="exact"/>
        <w:jc w:val="center"/>
        <w:rPr>
          <w:rFonts w:ascii="华文中宋" w:eastAsia="华文中宋" w:hAnsi="华文中宋"/>
          <w:sz w:val="44"/>
          <w:szCs w:val="44"/>
        </w:rPr>
      </w:pPr>
      <w:r w:rsidRPr="004F25D8">
        <w:rPr>
          <w:rFonts w:ascii="华文中宋" w:eastAsia="华文中宋" w:hAnsi="华文中宋" w:hint="eastAsia"/>
          <w:sz w:val="44"/>
          <w:szCs w:val="44"/>
        </w:rPr>
        <w:t>北京市公共交通高级技工学校部门整体绩效评价报告</w:t>
      </w:r>
    </w:p>
    <w:p w14:paraId="411D5110" w14:textId="77777777" w:rsidR="00475559" w:rsidRDefault="00475559" w:rsidP="003C7D23">
      <w:pPr>
        <w:spacing w:line="600" w:lineRule="exact"/>
        <w:ind w:firstLineChars="200" w:firstLine="640"/>
        <w:rPr>
          <w:rFonts w:ascii="黑体" w:eastAsia="黑体"/>
          <w:sz w:val="32"/>
          <w:szCs w:val="32"/>
        </w:rPr>
      </w:pPr>
    </w:p>
    <w:p w14:paraId="494664B8" w14:textId="02458C20" w:rsidR="003C7D23" w:rsidRPr="00C10FE9" w:rsidRDefault="003C7D23" w:rsidP="003C7D23">
      <w:pPr>
        <w:spacing w:line="600" w:lineRule="exact"/>
        <w:ind w:firstLineChars="200" w:firstLine="640"/>
        <w:rPr>
          <w:rFonts w:ascii="黑体" w:eastAsia="黑体" w:hAnsi="黑体" w:cs="宋体"/>
          <w:color w:val="000000"/>
          <w:kern w:val="0"/>
          <w:sz w:val="28"/>
          <w:szCs w:val="28"/>
        </w:rPr>
      </w:pPr>
      <w:r w:rsidRPr="00C10FE9">
        <w:rPr>
          <w:rFonts w:ascii="黑体" w:eastAsia="黑体" w:hint="eastAsia"/>
          <w:sz w:val="32"/>
          <w:szCs w:val="32"/>
        </w:rPr>
        <w:t>一、</w:t>
      </w:r>
      <w:r w:rsidRPr="00C10FE9">
        <w:rPr>
          <w:rFonts w:ascii="黑体" w:eastAsia="黑体" w:hAnsi="黑体" w:cs="宋体" w:hint="eastAsia"/>
          <w:color w:val="000000"/>
          <w:kern w:val="0"/>
          <w:sz w:val="28"/>
          <w:szCs w:val="28"/>
        </w:rPr>
        <w:t>部门概况</w:t>
      </w:r>
    </w:p>
    <w:p w14:paraId="2C92B033" w14:textId="77777777" w:rsidR="003C7D23" w:rsidRPr="00C10FE9" w:rsidRDefault="003C7D23" w:rsidP="003C7D23">
      <w:pPr>
        <w:spacing w:line="600" w:lineRule="exact"/>
        <w:ind w:firstLineChars="200" w:firstLine="560"/>
        <w:rPr>
          <w:rFonts w:ascii="楷体_GB2312" w:eastAsia="楷体_GB2312"/>
          <w:sz w:val="28"/>
          <w:szCs w:val="28"/>
        </w:rPr>
      </w:pPr>
      <w:r w:rsidRPr="00C10FE9">
        <w:rPr>
          <w:rFonts w:ascii="楷体_GB2312" w:eastAsia="楷体_GB2312" w:hint="eastAsia"/>
          <w:sz w:val="28"/>
          <w:szCs w:val="28"/>
        </w:rPr>
        <w:t>（一）机构设置及职责工作任务情况</w:t>
      </w:r>
    </w:p>
    <w:p w14:paraId="127E67B3" w14:textId="77777777" w:rsidR="003C7D23" w:rsidRPr="00C10FE9" w:rsidRDefault="003C7D23" w:rsidP="003C7D23">
      <w:pPr>
        <w:spacing w:line="560" w:lineRule="exact"/>
        <w:ind w:firstLineChars="200" w:firstLine="560"/>
        <w:rPr>
          <w:rFonts w:ascii="仿宋_GB2312" w:eastAsia="仿宋_GB2312" w:hAnsi="仿宋_GB2312" w:cs="仿宋_GB2312"/>
          <w:b/>
          <w:bCs/>
          <w:sz w:val="28"/>
          <w:szCs w:val="28"/>
        </w:rPr>
      </w:pPr>
      <w:r w:rsidRPr="00C10FE9">
        <w:rPr>
          <w:rFonts w:ascii="仿宋_GB2312" w:eastAsia="仿宋_GB2312" w:hAnsi="仿宋_GB2312" w:cs="仿宋_GB2312" w:hint="eastAsia"/>
          <w:b/>
          <w:bCs/>
          <w:sz w:val="28"/>
          <w:szCs w:val="28"/>
        </w:rPr>
        <w:t>1.主要职能</w:t>
      </w:r>
    </w:p>
    <w:p w14:paraId="165D0955"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北京市公共交通高级技工学校（简称</w:t>
      </w:r>
      <w:r w:rsidRPr="00C10FE9">
        <w:rPr>
          <w:rFonts w:ascii="仿宋_GB2312" w:eastAsia="仿宋_GB2312" w:hAnsi="仿宋_GB2312" w:cs="仿宋_GB2312" w:hint="eastAsia"/>
          <w:sz w:val="28"/>
          <w:szCs w:val="28"/>
        </w:rPr>
        <w:tab/>
        <w:t xml:space="preserve">公交技校）成立于1979年，隶属于北京公共交通控股（集团）有限公司，由北京市人力资源和社会保障局主管、北京市财政全额拨款的事业单位，独立法人。是集学历教育、职业培训、技能认定（鉴定）为一体的国家重点技工学校。 </w:t>
      </w:r>
    </w:p>
    <w:p w14:paraId="0A3BCA6A"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其主要职责包括：培养中级技术人才，提高社会职业素质。公交初、中、高级技术培训，相关技能培训。</w:t>
      </w:r>
    </w:p>
    <w:p w14:paraId="32D0F164" w14:textId="77777777" w:rsidR="003C7D23" w:rsidRPr="00C10FE9" w:rsidRDefault="003C7D23" w:rsidP="003C7D23">
      <w:pPr>
        <w:spacing w:line="560" w:lineRule="exact"/>
        <w:ind w:firstLineChars="200" w:firstLine="560"/>
        <w:rPr>
          <w:rFonts w:ascii="仿宋_GB2312" w:eastAsia="仿宋_GB2312" w:hAnsi="仿宋_GB2312" w:cs="仿宋_GB2312"/>
          <w:b/>
          <w:bCs/>
          <w:sz w:val="28"/>
          <w:szCs w:val="28"/>
        </w:rPr>
      </w:pPr>
      <w:r w:rsidRPr="00C10FE9">
        <w:rPr>
          <w:rFonts w:ascii="仿宋_GB2312" w:eastAsia="仿宋_GB2312" w:hAnsi="仿宋_GB2312" w:cs="仿宋_GB2312" w:hint="eastAsia"/>
          <w:b/>
          <w:bCs/>
          <w:sz w:val="28"/>
          <w:szCs w:val="28"/>
        </w:rPr>
        <w:t>2.机构情况</w:t>
      </w:r>
    </w:p>
    <w:p w14:paraId="14C95B9A"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 xml:space="preserve">学校设有党群工作部（工会）、办公室、财务处、教务处、培训处、学生处（团委）、招生就业处、职教研究所、行政保卫处、信息中心10个职能部室与汽车技术系、公共交通运输系2个专业系。 </w:t>
      </w:r>
      <w:r w:rsidRPr="00C10FE9">
        <w:rPr>
          <w:rFonts w:ascii="Calibri" w:eastAsia="仿宋_GB2312" w:hAnsi="Calibri" w:cs="Calibri"/>
          <w:sz w:val="28"/>
          <w:szCs w:val="28"/>
        </w:rPr>
        <w:t>  </w:t>
      </w:r>
    </w:p>
    <w:p w14:paraId="0BCBE75C" w14:textId="77777777" w:rsidR="003C7D23" w:rsidRPr="00C10FE9" w:rsidRDefault="003C7D23" w:rsidP="003C7D23">
      <w:pPr>
        <w:spacing w:line="560" w:lineRule="exact"/>
        <w:ind w:firstLineChars="200" w:firstLine="560"/>
        <w:rPr>
          <w:rFonts w:ascii="仿宋_GB2312" w:eastAsia="仿宋_GB2312" w:hAnsi="仿宋_GB2312" w:cs="仿宋_GB2312"/>
          <w:b/>
          <w:bCs/>
          <w:sz w:val="28"/>
          <w:szCs w:val="28"/>
        </w:rPr>
      </w:pPr>
      <w:r w:rsidRPr="00C10FE9">
        <w:rPr>
          <w:rFonts w:ascii="仿宋_GB2312" w:eastAsia="仿宋_GB2312" w:hAnsi="仿宋_GB2312" w:cs="仿宋_GB2312" w:hint="eastAsia"/>
          <w:b/>
          <w:bCs/>
          <w:sz w:val="28"/>
          <w:szCs w:val="28"/>
        </w:rPr>
        <w:t>3.人员构成情况</w:t>
      </w:r>
    </w:p>
    <w:p w14:paraId="287761AE"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2022年度公交技校事业编制188人，实际154人，比上年增加2人。</w:t>
      </w:r>
    </w:p>
    <w:p w14:paraId="06EB1EF7" w14:textId="77777777" w:rsidR="003C7D23" w:rsidRPr="00C10FE9" w:rsidRDefault="003C7D23" w:rsidP="003C7D23">
      <w:pPr>
        <w:numPr>
          <w:ilvl w:val="0"/>
          <w:numId w:val="2"/>
        </w:numPr>
        <w:spacing w:line="600" w:lineRule="exact"/>
        <w:ind w:firstLineChars="200" w:firstLine="560"/>
        <w:rPr>
          <w:rFonts w:ascii="楷体_GB2312" w:eastAsia="楷体_GB2312"/>
          <w:sz w:val="28"/>
          <w:szCs w:val="28"/>
        </w:rPr>
      </w:pPr>
      <w:r w:rsidRPr="00C10FE9">
        <w:rPr>
          <w:rFonts w:ascii="楷体_GB2312" w:eastAsia="楷体_GB2312" w:hint="eastAsia"/>
          <w:sz w:val="28"/>
          <w:szCs w:val="28"/>
        </w:rPr>
        <w:t>部门整体绩效目标设立情况</w:t>
      </w:r>
    </w:p>
    <w:p w14:paraId="050F998A"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坚持以习近平新时代中国特色社会主义思想为指导，全面贯彻落实党的十九大和十九届历次全会以及中央经济工作</w:t>
      </w:r>
      <w:r w:rsidRPr="00C10FE9">
        <w:rPr>
          <w:rFonts w:ascii="仿宋_GB2312" w:eastAsia="仿宋_GB2312" w:hAnsi="仿宋_GB2312" w:cs="仿宋_GB2312" w:hint="eastAsia"/>
          <w:sz w:val="28"/>
          <w:szCs w:val="28"/>
        </w:rPr>
        <w:lastRenderedPageBreak/>
        <w:t>会议精神，在集团公司党委的坚强领导下，立足北京，面向京津冀，辐射全国公交行业，以创新思想为引领，秉持“厚德博技，匠心治学”的校训理念，坚持“以工匠之心培养未来工匠”的学校精神，紧密围绕集团公司企业深化改革的发展需求，以筹建技师学院为首要任务，紧盯一流标准，紧盯公交企业用人需求，不断完善自身建设，准确定位学校发展，积极履行学校使命，主动发挥集团公司高技能人才培训基地职能，为国家和企业的高技能人才培养做出更大贡献，以优异成绩迎接党的二十大胜利召开。</w:t>
      </w:r>
    </w:p>
    <w:p w14:paraId="4281F243"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目标</w:t>
      </w:r>
      <w:proofErr w:type="gramStart"/>
      <w:r w:rsidRPr="00C10FE9">
        <w:rPr>
          <w:rFonts w:ascii="仿宋_GB2312" w:eastAsia="仿宋_GB2312" w:hAnsi="仿宋_GB2312" w:cs="仿宋_GB2312" w:hint="eastAsia"/>
          <w:sz w:val="28"/>
          <w:szCs w:val="28"/>
        </w:rPr>
        <w:t>一</w:t>
      </w:r>
      <w:proofErr w:type="gramEnd"/>
      <w:r w:rsidRPr="00C10FE9">
        <w:rPr>
          <w:rFonts w:ascii="仿宋_GB2312" w:eastAsia="仿宋_GB2312" w:hAnsi="仿宋_GB2312" w:cs="仿宋_GB2312" w:hint="eastAsia"/>
          <w:sz w:val="28"/>
          <w:szCs w:val="28"/>
        </w:rPr>
        <w:t>：持续强化政治建校，深入贯彻落实新时代党的组织路线</w:t>
      </w:r>
    </w:p>
    <w:p w14:paraId="0E37D7D9"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1.着力强化党的创新理论武装</w:t>
      </w:r>
    </w:p>
    <w:p w14:paraId="0F605BB4"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坚持不懈用习近平新时代中国特色社会主义思想凝</w:t>
      </w:r>
      <w:proofErr w:type="gramStart"/>
      <w:r w:rsidRPr="00C10FE9">
        <w:rPr>
          <w:rFonts w:ascii="仿宋_GB2312" w:eastAsia="仿宋_GB2312" w:hAnsi="仿宋_GB2312" w:cs="仿宋_GB2312" w:hint="eastAsia"/>
          <w:sz w:val="28"/>
          <w:szCs w:val="28"/>
        </w:rPr>
        <w:t>心铸魂</w:t>
      </w:r>
      <w:proofErr w:type="gramEnd"/>
      <w:r w:rsidRPr="00C10FE9">
        <w:rPr>
          <w:rFonts w:ascii="仿宋_GB2312" w:eastAsia="仿宋_GB2312" w:hAnsi="仿宋_GB2312" w:cs="仿宋_GB2312" w:hint="eastAsia"/>
          <w:sz w:val="28"/>
          <w:szCs w:val="28"/>
        </w:rPr>
        <w:t>，突出抓好党的二十大、北京市第十三次党代会和集团第四次党代会精神的学习宣贯，引导党员干部职工理解掌握党的创新理论科学体系和精神实质。制定党总支理论学习计划，开展不少于12次的集中学习研讨。完善学校中心组学习实施细则，做好理论学习、问题整改和相互之间交流互动。继续拓展党史学习教育成果，持续把“我为群众办实事”实践活动抓好抓实。用好“学习强国”学习平台、公交在线学习平台、“同声同行”宣讲学习平台，真正做到“理上网来”。</w:t>
      </w:r>
    </w:p>
    <w:p w14:paraId="7EAAC0E2"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2.着力推进从严治党向纵深发展</w:t>
      </w:r>
    </w:p>
    <w:p w14:paraId="77B69CA7"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落实管党治党责任，发挥党建工作检查体检作用，坚持“发现问题、形成震慑、推动改革、促进发展”的方针，进一步加强党务工作专业队伍建设，突出检查重点，盯紧检查结果、反馈、考核环节，强化成果运用。在落实上级巡察要求的基础上，加强日常监督和重点监督要求，特别是对整改不力、重视不够、屡改屡犯的支部、部室（系部）强化考核问责。落实从严治党主体责任，建立季度讲评机制，采取年度考核和季度讲评相结合的方式，有效增强各支部工作积极</w:t>
      </w:r>
      <w:r w:rsidRPr="00C10FE9">
        <w:rPr>
          <w:rFonts w:ascii="仿宋_GB2312" w:eastAsia="仿宋_GB2312" w:hAnsi="仿宋_GB2312" w:cs="仿宋_GB2312" w:hint="eastAsia"/>
          <w:sz w:val="28"/>
          <w:szCs w:val="28"/>
        </w:rPr>
        <w:lastRenderedPageBreak/>
        <w:t>性和实效性，用好党建考核“指挥棒”，全面提升党建工作质量。深化细化“一把手”监督任务落实，确保落实有行动、见成效。</w:t>
      </w:r>
    </w:p>
    <w:p w14:paraId="33A4AAEE"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3.着力抓好党的组织体系建设</w:t>
      </w:r>
    </w:p>
    <w:p w14:paraId="4F3E3477"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做好党总支和党支部换届选举工作。</w:t>
      </w:r>
      <w:proofErr w:type="gramStart"/>
      <w:r w:rsidRPr="00C10FE9">
        <w:rPr>
          <w:rFonts w:ascii="仿宋_GB2312" w:eastAsia="仿宋_GB2312" w:hAnsi="仿宋_GB2312" w:cs="仿宋_GB2312" w:hint="eastAsia"/>
          <w:sz w:val="28"/>
          <w:szCs w:val="28"/>
        </w:rPr>
        <w:t>配强培优</w:t>
      </w:r>
      <w:proofErr w:type="gramEnd"/>
      <w:r w:rsidRPr="00C10FE9">
        <w:rPr>
          <w:rFonts w:ascii="仿宋_GB2312" w:eastAsia="仿宋_GB2312" w:hAnsi="仿宋_GB2312" w:cs="仿宋_GB2312" w:hint="eastAsia"/>
          <w:sz w:val="28"/>
          <w:szCs w:val="28"/>
        </w:rPr>
        <w:t>党支部书记，强化党务干部队伍建设，开展“优秀党小组长”等党内评比活动。以落实国有企业基层组织工作条例、党员教育管理条例为抓手，抓好党务干部党内法规学习贯彻。开展“</w:t>
      </w:r>
      <w:proofErr w:type="gramStart"/>
      <w:r w:rsidRPr="00C10FE9">
        <w:rPr>
          <w:rFonts w:ascii="仿宋_GB2312" w:eastAsia="仿宋_GB2312" w:hAnsi="仿宋_GB2312" w:cs="仿宋_GB2312" w:hint="eastAsia"/>
          <w:sz w:val="28"/>
          <w:szCs w:val="28"/>
        </w:rPr>
        <w:t>一</w:t>
      </w:r>
      <w:proofErr w:type="gramEnd"/>
      <w:r w:rsidRPr="00C10FE9">
        <w:rPr>
          <w:rFonts w:ascii="仿宋_GB2312" w:eastAsia="仿宋_GB2312" w:hAnsi="仿宋_GB2312" w:cs="仿宋_GB2312" w:hint="eastAsia"/>
          <w:sz w:val="28"/>
          <w:szCs w:val="28"/>
        </w:rPr>
        <w:t>支部</w:t>
      </w:r>
      <w:proofErr w:type="gramStart"/>
      <w:r w:rsidRPr="00C10FE9">
        <w:rPr>
          <w:rFonts w:ascii="仿宋_GB2312" w:eastAsia="仿宋_GB2312" w:hAnsi="仿宋_GB2312" w:cs="仿宋_GB2312" w:hint="eastAsia"/>
          <w:sz w:val="28"/>
          <w:szCs w:val="28"/>
        </w:rPr>
        <w:t>一</w:t>
      </w:r>
      <w:proofErr w:type="gramEnd"/>
      <w:r w:rsidRPr="00C10FE9">
        <w:rPr>
          <w:rFonts w:ascii="仿宋_GB2312" w:eastAsia="仿宋_GB2312" w:hAnsi="仿宋_GB2312" w:cs="仿宋_GB2312" w:hint="eastAsia"/>
          <w:sz w:val="28"/>
          <w:szCs w:val="28"/>
        </w:rPr>
        <w:t>堡垒</w:t>
      </w:r>
      <w:proofErr w:type="gramStart"/>
      <w:r w:rsidRPr="00C10FE9">
        <w:rPr>
          <w:rFonts w:ascii="仿宋_GB2312" w:eastAsia="仿宋_GB2312" w:hAnsi="仿宋_GB2312" w:cs="仿宋_GB2312" w:hint="eastAsia"/>
          <w:sz w:val="28"/>
          <w:szCs w:val="28"/>
        </w:rPr>
        <w:t>一</w:t>
      </w:r>
      <w:proofErr w:type="gramEnd"/>
      <w:r w:rsidRPr="00C10FE9">
        <w:rPr>
          <w:rFonts w:ascii="仿宋_GB2312" w:eastAsia="仿宋_GB2312" w:hAnsi="仿宋_GB2312" w:cs="仿宋_GB2312" w:hint="eastAsia"/>
          <w:sz w:val="28"/>
          <w:szCs w:val="28"/>
        </w:rPr>
        <w:t>品牌”创建活动，力促党建与筹建技师学院深度融合，通过日常教育和党内教育实践活动，强化党员先锋模范作用，把党建亮点工作做成优势，把优势转化成品牌。贯彻落实好党务工作者理论学习和业务培训，进一步提高党务工作者政策能力和</w:t>
      </w:r>
      <w:proofErr w:type="gramStart"/>
      <w:r w:rsidRPr="00C10FE9">
        <w:rPr>
          <w:rFonts w:ascii="仿宋_GB2312" w:eastAsia="仿宋_GB2312" w:hAnsi="仿宋_GB2312" w:cs="仿宋_GB2312" w:hint="eastAsia"/>
          <w:sz w:val="28"/>
          <w:szCs w:val="28"/>
        </w:rPr>
        <w:t>履职能</w:t>
      </w:r>
      <w:proofErr w:type="gramEnd"/>
      <w:r w:rsidRPr="00C10FE9">
        <w:rPr>
          <w:rFonts w:ascii="仿宋_GB2312" w:eastAsia="仿宋_GB2312" w:hAnsi="仿宋_GB2312" w:cs="仿宋_GB2312" w:hint="eastAsia"/>
          <w:sz w:val="28"/>
          <w:szCs w:val="28"/>
        </w:rPr>
        <w:t>力，指导基层党支部达标创优。</w:t>
      </w:r>
    </w:p>
    <w:p w14:paraId="206FA86D"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4.着力打造新时代高素质干部队伍</w:t>
      </w:r>
    </w:p>
    <w:p w14:paraId="769D265A"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落实集团公司《关于建设公交新时代高素质专业化干部队伍的实施意见》，按照《公交技校中级管理人员选拔任用工作办法》《中级管理人员队伍建设三年行动计划（2021—2023年）》，围绕全面增强</w:t>
      </w:r>
      <w:proofErr w:type="gramStart"/>
      <w:r w:rsidRPr="00C10FE9">
        <w:rPr>
          <w:rFonts w:ascii="仿宋_GB2312" w:eastAsia="仿宋_GB2312" w:hAnsi="仿宋_GB2312" w:cs="仿宋_GB2312" w:hint="eastAsia"/>
          <w:sz w:val="28"/>
          <w:szCs w:val="28"/>
        </w:rPr>
        <w:t>履</w:t>
      </w:r>
      <w:proofErr w:type="gramEnd"/>
      <w:r w:rsidRPr="00C10FE9">
        <w:rPr>
          <w:rFonts w:ascii="仿宋_GB2312" w:eastAsia="仿宋_GB2312" w:hAnsi="仿宋_GB2312" w:cs="仿宋_GB2312" w:hint="eastAsia"/>
          <w:sz w:val="28"/>
          <w:szCs w:val="28"/>
        </w:rPr>
        <w:t>职能力，遵循干部成长规律，重点实施“优青培养任务”，通过“头雁培养任务”“拔尖培养任务”“骨干培养任务”“基石培养任务”，努力建设一支数量充足、素质优良、结构合理、富有活力、忠诚干净担当的高素质专业化管理人员队伍。</w:t>
      </w:r>
    </w:p>
    <w:p w14:paraId="05D532D9"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5.着力强化教师队伍建设</w:t>
      </w:r>
    </w:p>
    <w:p w14:paraId="5F0C74E3"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制定学校师资队伍建设（2022-2024）三年规划，通过实施年度师资队伍培养计划，促进师资队伍建设工作有目标、有计划、有秩序</w:t>
      </w:r>
      <w:r w:rsidRPr="00D36246">
        <w:rPr>
          <w:rFonts w:ascii="仿宋_GB2312" w:eastAsia="仿宋_GB2312" w:hAnsi="仿宋_GB2312" w:cs="仿宋_GB2312" w:hint="eastAsia"/>
          <w:sz w:val="28"/>
          <w:szCs w:val="28"/>
        </w:rPr>
        <w:t>地开展。在教师队伍中以专业带头人和骨干教师建设为引领，带动全体教师的专业成长。落实专业带头人、骨干教师培养计划，持续加强教师队伍引进和培养，开展教师岗位练兵比武活动，加强教学工作创新，深化“一体</w:t>
      </w:r>
      <w:r w:rsidRPr="00D36246">
        <w:rPr>
          <w:rFonts w:ascii="仿宋_GB2312" w:eastAsia="仿宋_GB2312" w:hAnsi="仿宋_GB2312" w:cs="仿宋_GB2312" w:hint="eastAsia"/>
          <w:sz w:val="28"/>
          <w:szCs w:val="28"/>
        </w:rPr>
        <w:lastRenderedPageBreak/>
        <w:t>化”教学改革，在实践中提升党员队伍素质，以党建成果促进教育教学水平提升。组织教师开展企业实践、邀请专家来校对教师进行专题培训以及深化大师工作室建设，同时发挥企业兼职教师的专业特长，带动学校中青年教师的专业成长，实现教师队伍综合素质的整体提高。</w:t>
      </w:r>
    </w:p>
    <w:p w14:paraId="7BED224B"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目标二：突出党的领导核心地位，推动学校实现高质量发展</w:t>
      </w:r>
    </w:p>
    <w:p w14:paraId="5349A4C9"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1.加强党的全面领导，为学校创新发展举旗定向</w:t>
      </w:r>
    </w:p>
    <w:p w14:paraId="4B439181"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牢牢把握立德树人的根本任务，</w:t>
      </w:r>
      <w:r w:rsidRPr="00D36246">
        <w:rPr>
          <w:rFonts w:ascii="仿宋_GB2312" w:eastAsia="仿宋_GB2312" w:hAnsi="仿宋_GB2312" w:cs="仿宋_GB2312" w:hint="eastAsia"/>
          <w:sz w:val="28"/>
          <w:szCs w:val="28"/>
          <w:lang w:val="zh-TW"/>
        </w:rPr>
        <w:t>坚定政治方向，保持政治定力，</w:t>
      </w:r>
      <w:r w:rsidRPr="00D36246">
        <w:rPr>
          <w:rFonts w:ascii="仿宋_GB2312" w:eastAsia="仿宋_GB2312" w:hAnsi="仿宋_GB2312" w:cs="仿宋_GB2312" w:hint="eastAsia"/>
          <w:sz w:val="28"/>
          <w:szCs w:val="28"/>
        </w:rPr>
        <w:t>牢固树立“四个意识”，坚定“四个自信”，做到“两个维护”， 加强党对学校的政治领导、思想领导、组织领导，牢牢把握党对学校工作的领导权。有效发挥党总支总揽全局、协调领导的作用，积极引导党员干部把智慧和力量凝聚到党建与办学治校目标深度融合上来，</w:t>
      </w:r>
      <w:r w:rsidRPr="00D36246">
        <w:rPr>
          <w:rFonts w:ascii="仿宋_GB2312" w:eastAsia="仿宋_GB2312" w:hAnsi="仿宋_GB2312" w:cs="仿宋_GB2312" w:hint="eastAsia"/>
          <w:sz w:val="28"/>
          <w:szCs w:val="28"/>
          <w:lang w:val="zh-TW"/>
        </w:rPr>
        <w:t>担当尽责、干事创业，</w:t>
      </w:r>
      <w:r w:rsidRPr="00D36246">
        <w:rPr>
          <w:rFonts w:ascii="仿宋_GB2312" w:eastAsia="仿宋_GB2312" w:hAnsi="仿宋_GB2312" w:cs="仿宋_GB2312" w:hint="eastAsia"/>
          <w:sz w:val="28"/>
          <w:szCs w:val="28"/>
        </w:rPr>
        <w:t>确保党中央、市委市政府和集团党委的决策部署贯彻落实到位。不断将全面从严治党引向深入，强化立德树人，凝聚一切力量做好筹建技师学院工作，</w:t>
      </w:r>
      <w:proofErr w:type="gramStart"/>
      <w:r w:rsidRPr="00D36246">
        <w:rPr>
          <w:rFonts w:ascii="仿宋_GB2312" w:eastAsia="仿宋_GB2312" w:hAnsi="仿宋_GB2312" w:cs="仿宋_GB2312" w:hint="eastAsia"/>
          <w:sz w:val="28"/>
          <w:szCs w:val="28"/>
        </w:rPr>
        <w:t>持续抓好</w:t>
      </w:r>
      <w:proofErr w:type="gramEnd"/>
      <w:r w:rsidRPr="00D36246">
        <w:rPr>
          <w:rFonts w:ascii="仿宋_GB2312" w:eastAsia="仿宋_GB2312" w:hAnsi="仿宋_GB2312" w:cs="仿宋_GB2312" w:hint="eastAsia"/>
          <w:sz w:val="28"/>
          <w:szCs w:val="28"/>
        </w:rPr>
        <w:t>疫情常态化防控工作，更加奋发有为地推动学校改革创新发展，以优异成绩迎接党的二十大胜利召开。</w:t>
      </w:r>
    </w:p>
    <w:p w14:paraId="7A31DD93"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2.夯实基础，教学工作实现新转变</w:t>
      </w:r>
    </w:p>
    <w:p w14:paraId="660E36D4"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结合课程特点挖掘</w:t>
      </w:r>
      <w:proofErr w:type="gramStart"/>
      <w:r w:rsidRPr="00D36246">
        <w:rPr>
          <w:rFonts w:ascii="仿宋_GB2312" w:eastAsia="仿宋_GB2312" w:hAnsi="仿宋_GB2312" w:cs="仿宋_GB2312" w:hint="eastAsia"/>
          <w:sz w:val="28"/>
          <w:szCs w:val="28"/>
        </w:rPr>
        <w:t>思政教育</w:t>
      </w:r>
      <w:proofErr w:type="gramEnd"/>
      <w:r w:rsidRPr="00D36246">
        <w:rPr>
          <w:rFonts w:ascii="仿宋_GB2312" w:eastAsia="仿宋_GB2312" w:hAnsi="仿宋_GB2312" w:cs="仿宋_GB2312" w:hint="eastAsia"/>
          <w:sz w:val="28"/>
          <w:szCs w:val="28"/>
        </w:rPr>
        <w:t>内容，将课程</w:t>
      </w:r>
      <w:proofErr w:type="gramStart"/>
      <w:r w:rsidRPr="00D36246">
        <w:rPr>
          <w:rFonts w:ascii="仿宋_GB2312" w:eastAsia="仿宋_GB2312" w:hAnsi="仿宋_GB2312" w:cs="仿宋_GB2312" w:hint="eastAsia"/>
          <w:sz w:val="28"/>
          <w:szCs w:val="28"/>
        </w:rPr>
        <w:t>思政作为</w:t>
      </w:r>
      <w:proofErr w:type="gramEnd"/>
      <w:r w:rsidRPr="00D36246">
        <w:rPr>
          <w:rFonts w:ascii="仿宋_GB2312" w:eastAsia="仿宋_GB2312" w:hAnsi="仿宋_GB2312" w:cs="仿宋_GB2312" w:hint="eastAsia"/>
          <w:sz w:val="28"/>
          <w:szCs w:val="28"/>
        </w:rPr>
        <w:t>课堂评价内容，提升教师课程</w:t>
      </w:r>
      <w:proofErr w:type="gramStart"/>
      <w:r w:rsidRPr="00D36246">
        <w:rPr>
          <w:rFonts w:ascii="仿宋_GB2312" w:eastAsia="仿宋_GB2312" w:hAnsi="仿宋_GB2312" w:cs="仿宋_GB2312" w:hint="eastAsia"/>
          <w:sz w:val="28"/>
          <w:szCs w:val="28"/>
        </w:rPr>
        <w:t>思政实施</w:t>
      </w:r>
      <w:proofErr w:type="gramEnd"/>
      <w:r w:rsidRPr="00D36246">
        <w:rPr>
          <w:rFonts w:ascii="仿宋_GB2312" w:eastAsia="仿宋_GB2312" w:hAnsi="仿宋_GB2312" w:cs="仿宋_GB2312" w:hint="eastAsia"/>
          <w:sz w:val="28"/>
          <w:szCs w:val="28"/>
        </w:rPr>
        <w:t>的能力，实现思想政治教育、知识传授、技能培养融合统一。按照教学内容对接职业标准、教学过程对接工作</w:t>
      </w:r>
      <w:r w:rsidRPr="00C10FE9">
        <w:rPr>
          <w:rFonts w:ascii="仿宋_GB2312" w:eastAsia="仿宋_GB2312" w:hAnsi="仿宋_GB2312" w:cs="仿宋_GB2312" w:hint="eastAsia"/>
          <w:sz w:val="28"/>
          <w:szCs w:val="28"/>
        </w:rPr>
        <w:t>过程的一体化课程教学改革要求，继续做好工学一体化课程教学改革工作。充分发挥好校外实训基地作用，开展让学生进企业、让大师进课堂教学实践活动。开展以学生需求为中心、以职业发展为核心、以职业能力培养为重心的通用职业素质课程教学改革试验，培养学生的自我管理能力。</w:t>
      </w:r>
    </w:p>
    <w:p w14:paraId="4A5A488B"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lastRenderedPageBreak/>
        <w:t>3.提档升级，职业培训实现新标准</w:t>
      </w:r>
    </w:p>
    <w:p w14:paraId="049DDB0F"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强化培训工作的前瞻性和规划性，紧密围绕集团人才建设需求，对培训教材和师资做好审核确认，为学员提供最优质的培训和服务质量。充分调研集团公司专业部室年度培训需求，结合各工种职业能力，开发主要工种职业能力提升年度培训方案，引导学员重视文明礼仪、职业规范，不断提升综合职业素养，造就素质优良交通劳动者大军，助力集团率先实现首都公交现代化建设任务。深耕校企合作，构建完善的学徒制培训制度，对</w:t>
      </w:r>
      <w:proofErr w:type="gramStart"/>
      <w:r w:rsidRPr="00C10FE9">
        <w:rPr>
          <w:rFonts w:ascii="仿宋_GB2312" w:eastAsia="仿宋_GB2312" w:hAnsi="仿宋_GB2312" w:cs="仿宋_GB2312" w:hint="eastAsia"/>
          <w:sz w:val="28"/>
          <w:szCs w:val="28"/>
        </w:rPr>
        <w:t>标企业</w:t>
      </w:r>
      <w:proofErr w:type="gramEnd"/>
      <w:r w:rsidRPr="00C10FE9">
        <w:rPr>
          <w:rFonts w:ascii="仿宋_GB2312" w:eastAsia="仿宋_GB2312" w:hAnsi="仿宋_GB2312" w:cs="仿宋_GB2312" w:hint="eastAsia"/>
          <w:sz w:val="28"/>
          <w:szCs w:val="28"/>
        </w:rPr>
        <w:t>技能等级认定标准，开发企业新型学徒制培训教材。</w:t>
      </w:r>
    </w:p>
    <w:p w14:paraId="36E98AC4"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4.聚焦重点发挥优势，助推乡村振兴</w:t>
      </w:r>
    </w:p>
    <w:p w14:paraId="387D6383"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深入学</w:t>
      </w:r>
      <w:proofErr w:type="gramStart"/>
      <w:r w:rsidRPr="00C10FE9">
        <w:rPr>
          <w:rFonts w:ascii="仿宋_GB2312" w:eastAsia="仿宋_GB2312" w:hAnsi="仿宋_GB2312" w:cs="仿宋_GB2312" w:hint="eastAsia"/>
          <w:sz w:val="28"/>
          <w:szCs w:val="28"/>
        </w:rPr>
        <w:t>习习近</w:t>
      </w:r>
      <w:proofErr w:type="gramEnd"/>
      <w:r w:rsidRPr="00C10FE9">
        <w:rPr>
          <w:rFonts w:ascii="仿宋_GB2312" w:eastAsia="仿宋_GB2312" w:hAnsi="仿宋_GB2312" w:cs="仿宋_GB2312" w:hint="eastAsia"/>
          <w:sz w:val="28"/>
          <w:szCs w:val="28"/>
        </w:rPr>
        <w:t>平总书记关于“三农”工作和乡村振兴的重要指示精神，发挥学校优势，弘扬脱贫攻坚精神，聚焦重点领域，积极稳妥推进乡村振兴工作，突出抓好“四件要事”：一是积极组织教职员工赴北京市消费扶贫双创中心开展消费帮扶；二是在招聘教师和招生就业方面加大帮扶力度；三是持续做好学校自管食堂和工会消费帮扶；四是继续做好优秀骨干教师支教工作。</w:t>
      </w:r>
    </w:p>
    <w:p w14:paraId="3D5F580E"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5.以学生、学员为中心，全方位推动“接诉即办”工作</w:t>
      </w:r>
    </w:p>
    <w:p w14:paraId="0DC1E529"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2022年，将以宣贯落实《北京接诉即办工作条例》为主线，以“提质降诉，善办增分”为指导，以提高工作质量为前提控制好诉求</w:t>
      </w:r>
      <w:r w:rsidRPr="00D36246">
        <w:rPr>
          <w:rFonts w:ascii="仿宋_GB2312" w:eastAsia="仿宋_GB2312" w:hAnsi="仿宋_GB2312" w:cs="仿宋_GB2312" w:hint="eastAsia"/>
          <w:sz w:val="28"/>
          <w:szCs w:val="28"/>
        </w:rPr>
        <w:t>数量。“接诉即办”工作要做到党建引领，坚持民有所呼、我有所应，用真心、用真情、</w:t>
      </w:r>
      <w:proofErr w:type="gramStart"/>
      <w:r w:rsidRPr="00D36246">
        <w:rPr>
          <w:rFonts w:ascii="仿宋_GB2312" w:eastAsia="仿宋_GB2312" w:hAnsi="仿宋_GB2312" w:cs="仿宋_GB2312" w:hint="eastAsia"/>
          <w:sz w:val="28"/>
          <w:szCs w:val="28"/>
        </w:rPr>
        <w:t>发真力解决</w:t>
      </w:r>
      <w:proofErr w:type="gramEnd"/>
      <w:r w:rsidRPr="00D36246">
        <w:rPr>
          <w:rFonts w:ascii="仿宋_GB2312" w:eastAsia="仿宋_GB2312" w:hAnsi="仿宋_GB2312" w:cs="仿宋_GB2312" w:hint="eastAsia"/>
          <w:sz w:val="28"/>
          <w:szCs w:val="28"/>
        </w:rPr>
        <w:t>教职员工、学生、家长、学员关注的操心事、烦心事、揪心事。同时，结合技师学院的申办工作，高标准、严要求、高质量做好各项工作为前提，切实达到未诉先办，提</w:t>
      </w:r>
      <w:proofErr w:type="gramStart"/>
      <w:r w:rsidRPr="00D36246">
        <w:rPr>
          <w:rFonts w:ascii="仿宋_GB2312" w:eastAsia="仿宋_GB2312" w:hAnsi="仿宋_GB2312" w:cs="仿宋_GB2312" w:hint="eastAsia"/>
          <w:sz w:val="28"/>
          <w:szCs w:val="28"/>
        </w:rPr>
        <w:t>质降诉的</w:t>
      </w:r>
      <w:proofErr w:type="gramEnd"/>
      <w:r w:rsidRPr="00D36246">
        <w:rPr>
          <w:rFonts w:ascii="仿宋_GB2312" w:eastAsia="仿宋_GB2312" w:hAnsi="仿宋_GB2312" w:cs="仿宋_GB2312" w:hint="eastAsia"/>
          <w:sz w:val="28"/>
          <w:szCs w:val="28"/>
        </w:rPr>
        <w:t>目的。同时强化考核，压力层层传导，确保接到的诉求回得快、办得好。</w:t>
      </w:r>
    </w:p>
    <w:p w14:paraId="628101BA"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lastRenderedPageBreak/>
        <w:t>目标三：狠抓党风廉政建设，筑牢学校发展底线</w:t>
      </w:r>
    </w:p>
    <w:p w14:paraId="0A2C2061"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lang w:val="zh-TW"/>
        </w:rPr>
      </w:pPr>
      <w:r w:rsidRPr="00D36246">
        <w:rPr>
          <w:rFonts w:ascii="仿宋_GB2312" w:eastAsia="仿宋_GB2312" w:hAnsi="仿宋_GB2312" w:cs="仿宋_GB2312" w:hint="eastAsia"/>
          <w:sz w:val="28"/>
          <w:szCs w:val="28"/>
        </w:rPr>
        <w:t>1.履行监督职责，</w:t>
      </w:r>
      <w:r w:rsidRPr="00D36246">
        <w:rPr>
          <w:rFonts w:ascii="仿宋_GB2312" w:eastAsia="仿宋_GB2312" w:hAnsi="仿宋_GB2312" w:cs="仿宋_GB2312" w:hint="eastAsia"/>
          <w:sz w:val="28"/>
          <w:szCs w:val="28"/>
          <w:lang w:val="zh-TW"/>
        </w:rPr>
        <w:t>推动全面从严治党一贯到底</w:t>
      </w:r>
    </w:p>
    <w:p w14:paraId="59E2DA9D"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强化政治监督，围绕学校“十四五”发展规划实施、筹建技师学院、集团巡视巡察问题整改等重大任务，发挥好监督保障执行、促进完善发展作用，推动党支部和各部室（系部）自觉同集团公司党委、纪委要求对标对表。对照集团“一把手”和领导班子监督清单，研究监督重点，压实监督责任，完善操作细则，明确完成时限，做好领导班子政治生态分析</w:t>
      </w:r>
      <w:proofErr w:type="gramStart"/>
      <w:r w:rsidRPr="00D36246">
        <w:rPr>
          <w:rFonts w:ascii="仿宋_GB2312" w:eastAsia="仿宋_GB2312" w:hAnsi="仿宋_GB2312" w:cs="仿宋_GB2312" w:hint="eastAsia"/>
          <w:sz w:val="28"/>
          <w:szCs w:val="28"/>
        </w:rPr>
        <w:t>研</w:t>
      </w:r>
      <w:proofErr w:type="gramEnd"/>
      <w:r w:rsidRPr="00D36246">
        <w:rPr>
          <w:rFonts w:ascii="仿宋_GB2312" w:eastAsia="仿宋_GB2312" w:hAnsi="仿宋_GB2312" w:cs="仿宋_GB2312" w:hint="eastAsia"/>
          <w:sz w:val="28"/>
          <w:szCs w:val="28"/>
        </w:rPr>
        <w:t>判，推动“一把手”和领导班子提高履职尽责的主动性和自觉性。充分、正确运用“第一种形态”，对苗头性、倾向性问题及时开展谈话函询。抓实党支部纪检委、党风监督员队伍建设，推动监督下沉与落地，真正发挥探头、触角的作用。做好对重点领域的专项监督，聚焦学校筹建技师学院中的重点任务和难点问题，开展巡视</w:t>
      </w:r>
      <w:proofErr w:type="gramStart"/>
      <w:r w:rsidRPr="00D36246">
        <w:rPr>
          <w:rFonts w:ascii="仿宋_GB2312" w:eastAsia="仿宋_GB2312" w:hAnsi="仿宋_GB2312" w:cs="仿宋_GB2312" w:hint="eastAsia"/>
          <w:sz w:val="28"/>
          <w:szCs w:val="28"/>
        </w:rPr>
        <w:t>巡察专项</w:t>
      </w:r>
      <w:proofErr w:type="gramEnd"/>
      <w:r w:rsidRPr="00D36246">
        <w:rPr>
          <w:rFonts w:ascii="仿宋_GB2312" w:eastAsia="仿宋_GB2312" w:hAnsi="仿宋_GB2312" w:cs="仿宋_GB2312" w:hint="eastAsia"/>
          <w:sz w:val="28"/>
          <w:szCs w:val="28"/>
        </w:rPr>
        <w:t>治理问题整改“回头看”。</w:t>
      </w:r>
    </w:p>
    <w:p w14:paraId="6EE9ADC5"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2.强化基础管理，严格执纪问责</w:t>
      </w:r>
    </w:p>
    <w:p w14:paraId="15BC5E9F"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学习贯彻《中国共产党纪律检查委员会工作条例》，加强纪检工作规范化法治化正规化建设，抓好制度落实。强化纪检干部队伍力量，提升纪检干部专业化水平。</w:t>
      </w:r>
      <w:r w:rsidRPr="00D36246">
        <w:rPr>
          <w:rFonts w:ascii="仿宋_GB2312" w:eastAsia="仿宋_GB2312" w:hAnsi="仿宋_GB2312" w:cs="仿宋_GB2312" w:hint="eastAsia"/>
          <w:sz w:val="28"/>
          <w:szCs w:val="28"/>
          <w:lang w:val="zh-TW"/>
        </w:rPr>
        <w:t>深入开展</w:t>
      </w:r>
      <w:r w:rsidRPr="00D36246">
        <w:rPr>
          <w:rFonts w:ascii="仿宋_GB2312" w:eastAsia="仿宋_GB2312" w:hAnsi="仿宋_GB2312" w:cs="仿宋_GB2312" w:hint="eastAsia"/>
          <w:sz w:val="28"/>
          <w:szCs w:val="28"/>
        </w:rPr>
        <w:t>以案为鉴、以案促改</w:t>
      </w:r>
      <w:r w:rsidRPr="00D36246">
        <w:rPr>
          <w:rFonts w:ascii="仿宋_GB2312" w:eastAsia="仿宋_GB2312" w:hAnsi="仿宋_GB2312" w:cs="仿宋_GB2312" w:hint="eastAsia"/>
          <w:sz w:val="28"/>
          <w:szCs w:val="28"/>
          <w:lang w:val="zh-TW"/>
        </w:rPr>
        <w:t>警示教育，以案促改、</w:t>
      </w:r>
      <w:proofErr w:type="gramStart"/>
      <w:r w:rsidRPr="00D36246">
        <w:rPr>
          <w:rFonts w:ascii="仿宋_GB2312" w:eastAsia="仿宋_GB2312" w:hAnsi="仿宋_GB2312" w:cs="仿宋_GB2312" w:hint="eastAsia"/>
          <w:sz w:val="28"/>
          <w:szCs w:val="28"/>
          <w:lang w:val="zh-TW"/>
        </w:rPr>
        <w:t>以案促治</w:t>
      </w:r>
      <w:proofErr w:type="gramEnd"/>
      <w:r w:rsidRPr="00D36246">
        <w:rPr>
          <w:rFonts w:ascii="仿宋_GB2312" w:eastAsia="仿宋_GB2312" w:hAnsi="仿宋_GB2312" w:cs="仿宋_GB2312" w:hint="eastAsia"/>
          <w:sz w:val="28"/>
          <w:szCs w:val="28"/>
          <w:lang w:val="zh-TW"/>
        </w:rPr>
        <w:t>，</w:t>
      </w:r>
      <w:r w:rsidRPr="00D36246">
        <w:rPr>
          <w:rFonts w:ascii="仿宋_GB2312" w:eastAsia="仿宋_GB2312" w:hAnsi="仿宋_GB2312" w:cs="仿宋_GB2312" w:hint="eastAsia"/>
          <w:sz w:val="28"/>
          <w:szCs w:val="28"/>
        </w:rPr>
        <w:t>一体推进不敢腐、不能腐、不想腐，惩治震慑、制度约束、提高觉悟一体发力，锲而不舍落实中央八项规定精神，纠“四风”树新风并举，正风</w:t>
      </w:r>
      <w:proofErr w:type="gramStart"/>
      <w:r w:rsidRPr="00D36246">
        <w:rPr>
          <w:rFonts w:ascii="仿宋_GB2312" w:eastAsia="仿宋_GB2312" w:hAnsi="仿宋_GB2312" w:cs="仿宋_GB2312" w:hint="eastAsia"/>
          <w:sz w:val="28"/>
          <w:szCs w:val="28"/>
        </w:rPr>
        <w:t>肃纪持续</w:t>
      </w:r>
      <w:proofErr w:type="gramEnd"/>
      <w:r w:rsidRPr="00D36246">
        <w:rPr>
          <w:rFonts w:ascii="仿宋_GB2312" w:eastAsia="仿宋_GB2312" w:hAnsi="仿宋_GB2312" w:cs="仿宋_GB2312" w:hint="eastAsia"/>
          <w:sz w:val="28"/>
          <w:szCs w:val="28"/>
        </w:rPr>
        <w:t>整治群众身边腐败和作风问题。加大重点领域、重点岗位、重点人员违纪违法案件的查处力度。坚持无禁区、全覆盖、零容忍，重遏制、强高压、长震慑，严厉查处各类违规违纪违法行为。强化教育管理监督，常态化做好受处分干部跟踪回访工作。</w:t>
      </w:r>
    </w:p>
    <w:p w14:paraId="7686BD92"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目标四：深化思想文化宣传工作，为学校改革发展提供精神动力</w:t>
      </w:r>
    </w:p>
    <w:p w14:paraId="2A2372A4"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lastRenderedPageBreak/>
        <w:t>1.把牢“正确方向”，持续做实意识形态和舆情风险防控工作</w:t>
      </w:r>
    </w:p>
    <w:p w14:paraId="2CF1C6EF"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按照习近平总书记在全国宣传工作会上提出的“举旗帜、聚民心、育新人、兴文化、展形象”的十五字方针，牢牢掌握意识形态工作的领导权和主动权。围绕中心工作，加强思想政治工作，强化主流意识形态的宣传，围绕师生的新期待，加强舆论引导，做好解疑释惑、化解矛盾的工作。发挥校园网、学校公众号、校园宣传橱窗等载体作用，以集团公司、学校改革发展取得的丰硕成果为重点，以涌现的劳模先进的光荣事迹为主线，引导教职工热爱企业、热爱学校、热爱岗位。</w:t>
      </w:r>
    </w:p>
    <w:p w14:paraId="526991FE"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2.瞄准“目标定位”，持续做深精神文明建设工作</w:t>
      </w:r>
    </w:p>
    <w:p w14:paraId="3712AEF1"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以落实立德树人任务、打造优质教育品牌、努力办好人民满意的教育为出发点，与集团推进高质量发展相融合的精神文明建设新格局，紧扣“凝心聚力办教育，喜迎党的二十大”年度工作主题，持续深化“三迎</w:t>
      </w:r>
      <w:proofErr w:type="gramStart"/>
      <w:r w:rsidRPr="00D36246">
        <w:rPr>
          <w:rFonts w:ascii="仿宋_GB2312" w:eastAsia="仿宋_GB2312" w:hAnsi="仿宋_GB2312" w:cs="仿宋_GB2312" w:hint="eastAsia"/>
          <w:sz w:val="28"/>
          <w:szCs w:val="28"/>
        </w:rPr>
        <w:t>一创促</w:t>
      </w:r>
      <w:proofErr w:type="gramEnd"/>
      <w:r w:rsidRPr="00D36246">
        <w:rPr>
          <w:rFonts w:ascii="仿宋_GB2312" w:eastAsia="仿宋_GB2312" w:hAnsi="仿宋_GB2312" w:cs="仿宋_GB2312" w:hint="eastAsia"/>
          <w:sz w:val="28"/>
          <w:szCs w:val="28"/>
        </w:rPr>
        <w:t>提升”工程，弘扬社会主义核心价值观，积极开展校园之星、文明班级、文明班组及文明校区等文明创建评选活动，全面展示学校教职工、学生文明素质和校园文明形象，为建设行业优势突出的卓越技师学院提供坚强的思想保证、强大的精神力量、丰厚的道德滋养和良好的文化条件。</w:t>
      </w:r>
    </w:p>
    <w:p w14:paraId="62CE1C14"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3.秉承“文化赋能”，持续做活校园文化建设工作</w:t>
      </w:r>
    </w:p>
    <w:p w14:paraId="181824E1"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深刻把握“十四五”校园文化建设发展规划的要义和目标，推动规划深入落地。完善提升校园文化理念体系，引导全体教职员工认知认同、自觉</w:t>
      </w:r>
      <w:proofErr w:type="gramStart"/>
      <w:r w:rsidRPr="00D36246">
        <w:rPr>
          <w:rFonts w:ascii="仿宋_GB2312" w:eastAsia="仿宋_GB2312" w:hAnsi="仿宋_GB2312" w:cs="仿宋_GB2312" w:hint="eastAsia"/>
          <w:sz w:val="28"/>
          <w:szCs w:val="28"/>
        </w:rPr>
        <w:t>践行</w:t>
      </w:r>
      <w:proofErr w:type="gramEnd"/>
      <w:r w:rsidRPr="00D36246">
        <w:rPr>
          <w:rFonts w:ascii="仿宋_GB2312" w:eastAsia="仿宋_GB2312" w:hAnsi="仿宋_GB2312" w:cs="仿宋_GB2312" w:hint="eastAsia"/>
          <w:sz w:val="28"/>
          <w:szCs w:val="28"/>
        </w:rPr>
        <w:t>校园文化。开展“企业文化进校园”的文化品牌建设工作，发挥课堂教学的德育功能，以新生军训、开学典礼等为载体，将中华传统文化与德育建设紧密结合，加强师生的法治教育，强化工匠精神培养，推进校园文化建设。完善校园文化考核体系，强化监督检查，促进执行力提高，助力学校发展目标的实现。</w:t>
      </w:r>
    </w:p>
    <w:p w14:paraId="714B77A5"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lastRenderedPageBreak/>
        <w:t>4.聚焦“技师学院”，持续提升内外宣传工作水平</w:t>
      </w:r>
    </w:p>
    <w:p w14:paraId="7739DFB6"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推进公交技校形象建设，重点围绕筹建技师学院等工作等开展宣传报道。组织做好日常报道与定向约稿，对内对外宣传学校教育教学改革、教师队伍建设和校园特色活动、教学教研活动及成果、先进教师典型事迹和师生荣誉的相关情况，为学校塑造良好社会形象。通过举办培训进一步提高学校通讯员队伍宣传水平，用好学校公众号、员工号、内外网平台，准确展现学校办学特色，使</w:t>
      </w:r>
      <w:proofErr w:type="gramStart"/>
      <w:r w:rsidRPr="00D36246">
        <w:rPr>
          <w:rFonts w:ascii="仿宋_GB2312" w:eastAsia="仿宋_GB2312" w:hAnsi="仿宋_GB2312" w:cs="仿宋_GB2312" w:hint="eastAsia"/>
          <w:sz w:val="28"/>
          <w:szCs w:val="28"/>
        </w:rPr>
        <w:t>内外宣</w:t>
      </w:r>
      <w:proofErr w:type="gramEnd"/>
      <w:r w:rsidRPr="00D36246">
        <w:rPr>
          <w:rFonts w:ascii="仿宋_GB2312" w:eastAsia="仿宋_GB2312" w:hAnsi="仿宋_GB2312" w:cs="仿宋_GB2312" w:hint="eastAsia"/>
          <w:sz w:val="28"/>
          <w:szCs w:val="28"/>
        </w:rPr>
        <w:t>工作充分发挥“内聚人心、营造和谐，外树形</w:t>
      </w:r>
      <w:proofErr w:type="gramStart"/>
      <w:r w:rsidRPr="00D36246">
        <w:rPr>
          <w:rFonts w:ascii="仿宋_GB2312" w:eastAsia="仿宋_GB2312" w:hAnsi="仿宋_GB2312" w:cs="仿宋_GB2312" w:hint="eastAsia"/>
          <w:sz w:val="28"/>
          <w:szCs w:val="28"/>
        </w:rPr>
        <w:t>象</w:t>
      </w:r>
      <w:proofErr w:type="gramEnd"/>
      <w:r w:rsidRPr="00D36246">
        <w:rPr>
          <w:rFonts w:ascii="仿宋_GB2312" w:eastAsia="仿宋_GB2312" w:hAnsi="仿宋_GB2312" w:cs="仿宋_GB2312" w:hint="eastAsia"/>
          <w:sz w:val="28"/>
          <w:szCs w:val="28"/>
        </w:rPr>
        <w:t>、扩大影响”的重要作用。</w:t>
      </w:r>
    </w:p>
    <w:p w14:paraId="0248432E"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目标五：凝聚职工与青年强大合力，服务学习改革发展大局</w:t>
      </w:r>
    </w:p>
    <w:p w14:paraId="2945EB24"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1.突出政治引领，铸</w:t>
      </w:r>
      <w:proofErr w:type="gramStart"/>
      <w:r w:rsidRPr="00D36246">
        <w:rPr>
          <w:rFonts w:ascii="仿宋_GB2312" w:eastAsia="仿宋_GB2312" w:hAnsi="仿宋_GB2312" w:cs="仿宋_GB2312" w:hint="eastAsia"/>
          <w:sz w:val="28"/>
          <w:szCs w:val="28"/>
        </w:rPr>
        <w:t>牢职工</w:t>
      </w:r>
      <w:proofErr w:type="gramEnd"/>
      <w:r w:rsidRPr="00D36246">
        <w:rPr>
          <w:rFonts w:ascii="仿宋_GB2312" w:eastAsia="仿宋_GB2312" w:hAnsi="仿宋_GB2312" w:cs="仿宋_GB2312" w:hint="eastAsia"/>
          <w:sz w:val="28"/>
          <w:szCs w:val="28"/>
        </w:rPr>
        <w:t>与青年思想基础</w:t>
      </w:r>
    </w:p>
    <w:p w14:paraId="7A5A9D18"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围绕庆祝建团100周年工作主线，发挥网上职工之家、职工书屋等宣传思想文化阵地作用，做好党的理论学习宣传宣讲。推进“团干部上讲台”活动，实施“青年大学习”行动，推动理想信念教育常态化制度化。开展“我最得意的一件教育故事”的演讲比赛，展示青年教师爱岗敬业风采，锻炼提高青年教师的教学能力和演讲水平。组织学生开展“走进公交、探寻故事、感受文化”的</w:t>
      </w:r>
      <w:proofErr w:type="gramStart"/>
      <w:r w:rsidRPr="00D36246">
        <w:rPr>
          <w:rFonts w:ascii="仿宋_GB2312" w:eastAsia="仿宋_GB2312" w:hAnsi="仿宋_GB2312" w:cs="仿宋_GB2312" w:hint="eastAsia"/>
          <w:sz w:val="28"/>
          <w:szCs w:val="28"/>
        </w:rPr>
        <w:t>研</w:t>
      </w:r>
      <w:proofErr w:type="gramEnd"/>
      <w:r w:rsidRPr="00D36246">
        <w:rPr>
          <w:rFonts w:ascii="仿宋_GB2312" w:eastAsia="仿宋_GB2312" w:hAnsi="仿宋_GB2312" w:cs="仿宋_GB2312" w:hint="eastAsia"/>
          <w:sz w:val="28"/>
          <w:szCs w:val="28"/>
        </w:rPr>
        <w:t>学活动。鼓励激励全校学校学生注册成为志愿者，并积极参加志愿服务活动，做到“学校有需要，团组织有行动，志愿者有贡献”，为技师学院筹建工作助力。</w:t>
      </w:r>
    </w:p>
    <w:p w14:paraId="01498A79"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2.突出依法维权，构建和谐劳动关系</w:t>
      </w:r>
    </w:p>
    <w:p w14:paraId="7D51F508"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落实好职代会职权，坚持厂务公开民主管理制度，落实职工知情权。深入开展职工生产竞赛，抓好职工创新工作室管理、建设与发展。发挥先进、劳模示范引领作用，主动参与集团公司工会</w:t>
      </w:r>
      <w:proofErr w:type="gramStart"/>
      <w:r w:rsidRPr="00D36246">
        <w:rPr>
          <w:rFonts w:ascii="仿宋_GB2312" w:eastAsia="仿宋_GB2312" w:hAnsi="仿宋_GB2312" w:cs="仿宋_GB2312" w:hint="eastAsia"/>
          <w:sz w:val="28"/>
          <w:szCs w:val="28"/>
        </w:rPr>
        <w:t>微信公众号</w:t>
      </w:r>
      <w:proofErr w:type="gramEnd"/>
      <w:r w:rsidRPr="00D36246">
        <w:rPr>
          <w:rFonts w:ascii="仿宋_GB2312" w:eastAsia="仿宋_GB2312" w:hAnsi="仿宋_GB2312" w:cs="仿宋_GB2312" w:hint="eastAsia"/>
          <w:sz w:val="28"/>
          <w:szCs w:val="28"/>
        </w:rPr>
        <w:t>开设《劳模工匠大讲堂》专栏活动，引进劳模工匠来校进行各类宣讲。做好职工关爱普</w:t>
      </w:r>
      <w:proofErr w:type="gramStart"/>
      <w:r w:rsidRPr="00D36246">
        <w:rPr>
          <w:rFonts w:ascii="仿宋_GB2312" w:eastAsia="仿宋_GB2312" w:hAnsi="仿宋_GB2312" w:cs="仿宋_GB2312" w:hint="eastAsia"/>
          <w:sz w:val="28"/>
          <w:szCs w:val="28"/>
        </w:rPr>
        <w:t>惠服务</w:t>
      </w:r>
      <w:proofErr w:type="gramEnd"/>
      <w:r w:rsidRPr="00D36246">
        <w:rPr>
          <w:rFonts w:ascii="仿宋_GB2312" w:eastAsia="仿宋_GB2312" w:hAnsi="仿宋_GB2312" w:cs="仿宋_GB2312" w:hint="eastAsia"/>
          <w:sz w:val="28"/>
          <w:szCs w:val="28"/>
        </w:rPr>
        <w:t>与困难职工补助工作。发挥学校心理健康发展中心作用。丰富职工文体活动，组织职工参加集团第七届职工运动会、第四届职工文化节、职工“嘉年华”。</w:t>
      </w:r>
    </w:p>
    <w:p w14:paraId="4C323323"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lastRenderedPageBreak/>
        <w:t>目标六：推进安全防范现代化建设，巩固安全稳定良好局面</w:t>
      </w:r>
    </w:p>
    <w:p w14:paraId="3CE09510"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1.强化安全防范规范管理，维护学校安全稳定</w:t>
      </w:r>
    </w:p>
    <w:p w14:paraId="0EC36E5E"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加强</w:t>
      </w:r>
      <w:proofErr w:type="gramStart"/>
      <w:r w:rsidRPr="00D36246">
        <w:rPr>
          <w:rFonts w:ascii="仿宋_GB2312" w:eastAsia="仿宋_GB2312" w:hAnsi="仿宋_GB2312" w:cs="仿宋_GB2312" w:hint="eastAsia"/>
          <w:sz w:val="28"/>
          <w:szCs w:val="28"/>
        </w:rPr>
        <w:t>安全维稳基础</w:t>
      </w:r>
      <w:proofErr w:type="gramEnd"/>
      <w:r w:rsidRPr="00D36246">
        <w:rPr>
          <w:rFonts w:ascii="仿宋_GB2312" w:eastAsia="仿宋_GB2312" w:hAnsi="仿宋_GB2312" w:cs="仿宋_GB2312" w:hint="eastAsia"/>
          <w:sz w:val="28"/>
          <w:szCs w:val="28"/>
        </w:rPr>
        <w:t>管理工作，按照筹建技师学院的工作要求，结合学校质量认证体系的运行，修订、完善学校安全管理制度和突发事件应急预案。提升学校安全管理水平和应对突发事件的处置能力。进一步加强和完善校园安全防范措施建设，加大安全工作的“物防”“技防”投入，对校园现有安防设备进行升级、改造。强化保安人员管理，严格落实校门口执勤和外来人员出入登记制度，加强在重点时期和节假日期间的校园安全巡查。</w:t>
      </w:r>
    </w:p>
    <w:p w14:paraId="7A6DC0AC" w14:textId="77777777" w:rsidR="003C7D23" w:rsidRPr="00D36246"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2.开展安全隐患排查治理，有效落实反恐防暴和安全防范措施</w:t>
      </w:r>
    </w:p>
    <w:p w14:paraId="5F856CFC"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D36246">
        <w:rPr>
          <w:rFonts w:ascii="仿宋_GB2312" w:eastAsia="仿宋_GB2312" w:hAnsi="仿宋_GB2312" w:cs="仿宋_GB2312" w:hint="eastAsia"/>
          <w:sz w:val="28"/>
          <w:szCs w:val="28"/>
        </w:rPr>
        <w:t>继续落实《公交技校安全生产专项整治三年行动计划》，协调推动各部室（系部）专项整治工作，抓好组织实施。紧紧围绕行动计划确定的主要任务，坚持开展安全隐患大检查活动，严格落实隐患分级</w:t>
      </w:r>
      <w:r w:rsidRPr="00C10FE9">
        <w:rPr>
          <w:rFonts w:ascii="仿宋_GB2312" w:eastAsia="仿宋_GB2312" w:hAnsi="仿宋_GB2312" w:cs="仿宋_GB2312" w:hint="eastAsia"/>
          <w:sz w:val="28"/>
          <w:szCs w:val="28"/>
        </w:rPr>
        <w:t>分类管理、登记建档等基本工作制度，要建立完善事故隐患整改责任制和责任追究制，强化对隐患整改治理，确保排查出的隐患在规定期限内得到彻底治理。</w:t>
      </w:r>
    </w:p>
    <w:p w14:paraId="1CB2EBF8"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3.提升信访</w:t>
      </w:r>
      <w:proofErr w:type="gramStart"/>
      <w:r w:rsidRPr="00C10FE9">
        <w:rPr>
          <w:rFonts w:ascii="仿宋_GB2312" w:eastAsia="仿宋_GB2312" w:hAnsi="仿宋_GB2312" w:cs="仿宋_GB2312" w:hint="eastAsia"/>
          <w:sz w:val="28"/>
          <w:szCs w:val="28"/>
        </w:rPr>
        <w:t>维稳风险管</w:t>
      </w:r>
      <w:proofErr w:type="gramEnd"/>
      <w:r w:rsidRPr="00C10FE9">
        <w:rPr>
          <w:rFonts w:ascii="仿宋_GB2312" w:eastAsia="仿宋_GB2312" w:hAnsi="仿宋_GB2312" w:cs="仿宋_GB2312" w:hint="eastAsia"/>
          <w:sz w:val="28"/>
          <w:szCs w:val="28"/>
        </w:rPr>
        <w:t>控能力，推进学校内部和谐</w:t>
      </w:r>
    </w:p>
    <w:p w14:paraId="17135C91" w14:textId="77777777" w:rsidR="003C7D23" w:rsidRPr="00C10FE9" w:rsidRDefault="003C7D23" w:rsidP="003C7D23">
      <w:pPr>
        <w:spacing w:line="560" w:lineRule="exact"/>
        <w:ind w:firstLineChars="200" w:firstLine="560"/>
        <w:rPr>
          <w:rFonts w:ascii="仿宋_GB2312" w:eastAsia="仿宋_GB2312" w:hAnsi="仿宋_GB2312" w:cs="仿宋_GB2312"/>
          <w:sz w:val="28"/>
          <w:szCs w:val="28"/>
        </w:rPr>
      </w:pPr>
      <w:r w:rsidRPr="00C10FE9">
        <w:rPr>
          <w:rFonts w:ascii="仿宋_GB2312" w:eastAsia="仿宋_GB2312" w:hAnsi="仿宋_GB2312" w:cs="仿宋_GB2312" w:hint="eastAsia"/>
          <w:sz w:val="28"/>
          <w:szCs w:val="28"/>
        </w:rPr>
        <w:t>强化</w:t>
      </w:r>
      <w:proofErr w:type="gramStart"/>
      <w:r w:rsidRPr="00C10FE9">
        <w:rPr>
          <w:rFonts w:ascii="仿宋_GB2312" w:eastAsia="仿宋_GB2312" w:hAnsi="仿宋_GB2312" w:cs="仿宋_GB2312" w:hint="eastAsia"/>
          <w:sz w:val="28"/>
          <w:szCs w:val="28"/>
        </w:rPr>
        <w:t>信访维稳排查</w:t>
      </w:r>
      <w:proofErr w:type="gramEnd"/>
      <w:r w:rsidRPr="00C10FE9">
        <w:rPr>
          <w:rFonts w:ascii="仿宋_GB2312" w:eastAsia="仿宋_GB2312" w:hAnsi="仿宋_GB2312" w:cs="仿宋_GB2312" w:hint="eastAsia"/>
          <w:sz w:val="28"/>
          <w:szCs w:val="28"/>
        </w:rPr>
        <w:t>调处和矛盾化解工作。围绕重大政治活动及节假日期间，与学校各部室（系部）加强信息沟通，特别是发挥信访信息员的作用，掌握突出矛盾和重点人的动态，做好矛盾化解工作。坚持对重点不稳定因素和重点人的排查不松懈。发挥重点</w:t>
      </w:r>
      <w:proofErr w:type="gramStart"/>
      <w:r w:rsidRPr="00C10FE9">
        <w:rPr>
          <w:rFonts w:ascii="仿宋_GB2312" w:eastAsia="仿宋_GB2312" w:hAnsi="仿宋_GB2312" w:cs="仿宋_GB2312" w:hint="eastAsia"/>
          <w:sz w:val="28"/>
          <w:szCs w:val="28"/>
        </w:rPr>
        <w:t>人稳控小组</w:t>
      </w:r>
      <w:proofErr w:type="gramEnd"/>
      <w:r w:rsidRPr="00C10FE9">
        <w:rPr>
          <w:rFonts w:ascii="仿宋_GB2312" w:eastAsia="仿宋_GB2312" w:hAnsi="仿宋_GB2312" w:cs="仿宋_GB2312" w:hint="eastAsia"/>
          <w:sz w:val="28"/>
          <w:szCs w:val="28"/>
        </w:rPr>
        <w:t>作用，做好与重点人家属的沟通联系，及时掌握其动态，做好稳控工作。</w:t>
      </w:r>
    </w:p>
    <w:p w14:paraId="5CD2E77D" w14:textId="77777777" w:rsidR="003C7D23" w:rsidRPr="00C10FE9" w:rsidRDefault="003C7D23" w:rsidP="003C7D23">
      <w:pPr>
        <w:spacing w:line="600" w:lineRule="exact"/>
        <w:ind w:firstLineChars="200" w:firstLine="560"/>
        <w:rPr>
          <w:rFonts w:ascii="黑体" w:eastAsia="黑体" w:hAnsi="黑体" w:cs="宋体"/>
          <w:color w:val="000000"/>
          <w:kern w:val="0"/>
          <w:sz w:val="28"/>
          <w:szCs w:val="28"/>
        </w:rPr>
      </w:pPr>
      <w:r w:rsidRPr="00C10FE9">
        <w:rPr>
          <w:rFonts w:ascii="黑体" w:eastAsia="黑体" w:hAnsi="黑体" w:cs="宋体" w:hint="eastAsia"/>
          <w:color w:val="000000"/>
          <w:kern w:val="0"/>
          <w:sz w:val="28"/>
          <w:szCs w:val="28"/>
        </w:rPr>
        <w:t>二</w:t>
      </w:r>
      <w:r w:rsidRPr="00C10FE9">
        <w:rPr>
          <w:rFonts w:ascii="黑体" w:eastAsia="黑体" w:hAnsi="黑体" w:cs="宋体"/>
          <w:color w:val="000000"/>
          <w:kern w:val="0"/>
          <w:sz w:val="28"/>
          <w:szCs w:val="28"/>
        </w:rPr>
        <w:t>、</w:t>
      </w:r>
      <w:r w:rsidRPr="00C10FE9">
        <w:rPr>
          <w:rFonts w:ascii="黑体" w:eastAsia="黑体" w:hAnsi="黑体" w:cs="宋体" w:hint="eastAsia"/>
          <w:color w:val="000000"/>
          <w:kern w:val="0"/>
          <w:sz w:val="28"/>
          <w:szCs w:val="28"/>
        </w:rPr>
        <w:t>当年</w:t>
      </w:r>
      <w:r w:rsidRPr="00C10FE9">
        <w:rPr>
          <w:rFonts w:ascii="黑体" w:eastAsia="黑体" w:hAnsi="黑体" w:cs="宋体"/>
          <w:color w:val="000000"/>
          <w:kern w:val="0"/>
          <w:sz w:val="28"/>
          <w:szCs w:val="28"/>
        </w:rPr>
        <w:t>预算执行情况</w:t>
      </w:r>
    </w:p>
    <w:p w14:paraId="220784D2" w14:textId="77777777" w:rsidR="003C7D23" w:rsidRPr="00C10FE9" w:rsidRDefault="003C7D23" w:rsidP="003C7D23">
      <w:pPr>
        <w:spacing w:line="600" w:lineRule="exact"/>
        <w:ind w:firstLineChars="200" w:firstLine="560"/>
        <w:rPr>
          <w:rFonts w:ascii="仿宋_GB2312" w:eastAsia="仿宋_GB2312" w:hAnsi="宋体" w:cs="宋体"/>
          <w:color w:val="000000"/>
          <w:kern w:val="0"/>
          <w:sz w:val="28"/>
          <w:szCs w:val="28"/>
        </w:rPr>
      </w:pPr>
      <w:r w:rsidRPr="00C10FE9">
        <w:rPr>
          <w:rFonts w:ascii="仿宋_GB2312" w:eastAsia="仿宋_GB2312" w:hAnsi="宋体" w:cs="宋体" w:hint="eastAsia"/>
          <w:kern w:val="0"/>
          <w:sz w:val="28"/>
          <w:szCs w:val="28"/>
        </w:rPr>
        <w:lastRenderedPageBreak/>
        <w:t>2022</w:t>
      </w:r>
      <w:r w:rsidRPr="00C10FE9">
        <w:rPr>
          <w:rFonts w:ascii="仿宋_GB2312" w:eastAsia="仿宋_GB2312" w:hAnsi="宋体" w:cs="宋体" w:hint="eastAsia"/>
          <w:color w:val="000000"/>
          <w:kern w:val="0"/>
          <w:sz w:val="28"/>
          <w:szCs w:val="28"/>
        </w:rPr>
        <w:t>年</w:t>
      </w:r>
      <w:r w:rsidRPr="00C10FE9">
        <w:rPr>
          <w:rFonts w:ascii="仿宋_GB2312" w:eastAsia="仿宋_GB2312" w:hAnsi="宋体" w:cs="宋体"/>
          <w:color w:val="000000"/>
          <w:kern w:val="0"/>
          <w:sz w:val="28"/>
          <w:szCs w:val="28"/>
        </w:rPr>
        <w:t>全年</w:t>
      </w:r>
      <w:r w:rsidRPr="00C10FE9">
        <w:rPr>
          <w:rFonts w:ascii="仿宋_GB2312" w:eastAsia="仿宋_GB2312" w:hAnsi="宋体" w:cs="宋体" w:hint="eastAsia"/>
          <w:color w:val="000000"/>
          <w:kern w:val="0"/>
          <w:sz w:val="28"/>
          <w:szCs w:val="28"/>
        </w:rPr>
        <w:t>预算数12088.72万元</w:t>
      </w:r>
      <w:r w:rsidRPr="00C10FE9">
        <w:rPr>
          <w:rFonts w:ascii="仿宋_GB2312" w:eastAsia="仿宋_GB2312" w:hAnsi="宋体" w:cs="宋体"/>
          <w:color w:val="000000"/>
          <w:kern w:val="0"/>
          <w:sz w:val="28"/>
          <w:szCs w:val="28"/>
        </w:rPr>
        <w:t>，</w:t>
      </w:r>
      <w:r w:rsidRPr="00C10FE9">
        <w:rPr>
          <w:rFonts w:ascii="仿宋_GB2312" w:eastAsia="仿宋_GB2312" w:hAnsi="宋体" w:cs="宋体" w:hint="eastAsia"/>
          <w:color w:val="000000"/>
          <w:kern w:val="0"/>
          <w:sz w:val="28"/>
          <w:szCs w:val="28"/>
        </w:rPr>
        <w:t>其中</w:t>
      </w:r>
      <w:r w:rsidRPr="00C10FE9">
        <w:rPr>
          <w:rFonts w:ascii="仿宋_GB2312" w:eastAsia="仿宋_GB2312" w:hAnsi="宋体" w:cs="宋体"/>
          <w:color w:val="000000"/>
          <w:kern w:val="0"/>
          <w:sz w:val="28"/>
          <w:szCs w:val="28"/>
        </w:rPr>
        <w:t>，基本</w:t>
      </w:r>
      <w:r w:rsidRPr="00C10FE9">
        <w:rPr>
          <w:rFonts w:ascii="仿宋_GB2312" w:eastAsia="仿宋_GB2312" w:hAnsi="宋体" w:cs="宋体" w:hint="eastAsia"/>
          <w:color w:val="000000"/>
          <w:kern w:val="0"/>
          <w:sz w:val="28"/>
          <w:szCs w:val="28"/>
        </w:rPr>
        <w:t>支出</w:t>
      </w:r>
      <w:r w:rsidRPr="00C10FE9">
        <w:rPr>
          <w:rFonts w:ascii="仿宋_GB2312" w:eastAsia="仿宋_GB2312" w:hAnsi="宋体" w:cs="宋体"/>
          <w:color w:val="000000"/>
          <w:kern w:val="0"/>
          <w:sz w:val="28"/>
          <w:szCs w:val="28"/>
        </w:rPr>
        <w:t>预算数</w:t>
      </w:r>
      <w:r w:rsidRPr="00C10FE9">
        <w:rPr>
          <w:rFonts w:ascii="仿宋_GB2312" w:eastAsia="仿宋_GB2312" w:hAnsi="宋体" w:cs="宋体" w:hint="eastAsia"/>
          <w:color w:val="000000"/>
          <w:kern w:val="0"/>
          <w:sz w:val="28"/>
          <w:szCs w:val="28"/>
        </w:rPr>
        <w:t>6348.64</w:t>
      </w:r>
      <w:r w:rsidRPr="00C10FE9">
        <w:rPr>
          <w:rFonts w:ascii="仿宋_GB2312" w:eastAsia="仿宋_GB2312" w:hAnsi="宋体" w:cs="宋体"/>
          <w:color w:val="000000"/>
          <w:kern w:val="0"/>
          <w:sz w:val="28"/>
          <w:szCs w:val="28"/>
        </w:rPr>
        <w:t>万元，</w:t>
      </w:r>
      <w:r w:rsidRPr="00C10FE9">
        <w:rPr>
          <w:rFonts w:ascii="仿宋_GB2312" w:eastAsia="仿宋_GB2312" w:hAnsi="宋体" w:cs="宋体" w:hint="eastAsia"/>
          <w:color w:val="000000"/>
          <w:kern w:val="0"/>
          <w:sz w:val="28"/>
          <w:szCs w:val="28"/>
        </w:rPr>
        <w:t>项目支出预算数1685.48</w:t>
      </w:r>
      <w:r w:rsidRPr="00C10FE9">
        <w:rPr>
          <w:rFonts w:ascii="仿宋_GB2312" w:eastAsia="仿宋_GB2312" w:hAnsi="宋体" w:cs="宋体"/>
          <w:color w:val="000000"/>
          <w:kern w:val="0"/>
          <w:sz w:val="28"/>
          <w:szCs w:val="28"/>
        </w:rPr>
        <w:t>万元，</w:t>
      </w:r>
      <w:r w:rsidRPr="00C10FE9">
        <w:rPr>
          <w:rFonts w:ascii="仿宋_GB2312" w:eastAsia="仿宋_GB2312" w:hAnsi="宋体" w:cs="宋体" w:hint="eastAsia"/>
          <w:color w:val="000000"/>
          <w:kern w:val="0"/>
          <w:sz w:val="28"/>
          <w:szCs w:val="28"/>
        </w:rPr>
        <w:t>经营</w:t>
      </w:r>
      <w:r w:rsidRPr="00C10FE9">
        <w:rPr>
          <w:rFonts w:ascii="仿宋_GB2312" w:eastAsia="仿宋_GB2312" w:hAnsi="宋体" w:cs="宋体"/>
          <w:color w:val="000000"/>
          <w:kern w:val="0"/>
          <w:sz w:val="28"/>
          <w:szCs w:val="28"/>
        </w:rPr>
        <w:t>支出</w:t>
      </w:r>
      <w:r w:rsidRPr="00C10FE9">
        <w:rPr>
          <w:rFonts w:ascii="仿宋_GB2312" w:eastAsia="仿宋_GB2312" w:hAnsi="宋体" w:cs="宋体" w:hint="eastAsia"/>
          <w:color w:val="000000"/>
          <w:kern w:val="0"/>
          <w:sz w:val="28"/>
          <w:szCs w:val="28"/>
        </w:rPr>
        <w:t>预算数4054.59</w:t>
      </w:r>
      <w:r w:rsidRPr="00C10FE9">
        <w:rPr>
          <w:rFonts w:ascii="仿宋_GB2312" w:eastAsia="仿宋_GB2312" w:hAnsi="宋体" w:cs="宋体"/>
          <w:color w:val="000000"/>
          <w:kern w:val="0"/>
          <w:sz w:val="28"/>
          <w:szCs w:val="28"/>
        </w:rPr>
        <w:t>万元</w:t>
      </w:r>
      <w:r w:rsidRPr="00C10FE9">
        <w:rPr>
          <w:rFonts w:ascii="仿宋_GB2312" w:eastAsia="仿宋_GB2312" w:hAnsi="宋体" w:cs="宋体" w:hint="eastAsia"/>
          <w:color w:val="000000"/>
          <w:kern w:val="0"/>
          <w:sz w:val="28"/>
          <w:szCs w:val="28"/>
        </w:rPr>
        <w:t>。</w:t>
      </w:r>
      <w:r w:rsidRPr="00C10FE9">
        <w:rPr>
          <w:rFonts w:ascii="仿宋_GB2312" w:eastAsia="仿宋_GB2312" w:hAnsi="宋体" w:cs="宋体"/>
          <w:color w:val="000000"/>
          <w:kern w:val="0"/>
          <w:sz w:val="28"/>
          <w:szCs w:val="28"/>
        </w:rPr>
        <w:t>资金总体</w:t>
      </w:r>
      <w:r w:rsidRPr="00C10FE9">
        <w:rPr>
          <w:rFonts w:ascii="仿宋_GB2312" w:eastAsia="仿宋_GB2312" w:hAnsi="宋体" w:cs="宋体" w:hint="eastAsia"/>
          <w:color w:val="000000"/>
          <w:kern w:val="0"/>
          <w:sz w:val="28"/>
          <w:szCs w:val="28"/>
        </w:rPr>
        <w:t>支出9541.17</w:t>
      </w:r>
      <w:r w:rsidRPr="00C10FE9">
        <w:rPr>
          <w:rFonts w:ascii="仿宋_GB2312" w:eastAsia="仿宋_GB2312" w:hAnsi="宋体" w:cs="宋体"/>
          <w:color w:val="000000"/>
          <w:kern w:val="0"/>
          <w:sz w:val="28"/>
          <w:szCs w:val="28"/>
        </w:rPr>
        <w:t>万元，其中，基本支出</w:t>
      </w:r>
      <w:r w:rsidRPr="00C10FE9">
        <w:rPr>
          <w:rFonts w:ascii="仿宋_GB2312" w:eastAsia="仿宋_GB2312" w:hAnsi="宋体" w:cs="宋体" w:hint="eastAsia"/>
          <w:color w:val="000000"/>
          <w:kern w:val="0"/>
          <w:sz w:val="28"/>
          <w:szCs w:val="28"/>
        </w:rPr>
        <w:t>5083.04</w:t>
      </w:r>
      <w:r w:rsidRPr="00C10FE9">
        <w:rPr>
          <w:rFonts w:ascii="仿宋_GB2312" w:eastAsia="仿宋_GB2312" w:hAnsi="宋体" w:cs="宋体"/>
          <w:color w:val="000000"/>
          <w:kern w:val="0"/>
          <w:sz w:val="28"/>
          <w:szCs w:val="28"/>
        </w:rPr>
        <w:t>万元，项目</w:t>
      </w:r>
      <w:r w:rsidRPr="00C10FE9">
        <w:rPr>
          <w:rFonts w:ascii="仿宋_GB2312" w:eastAsia="仿宋_GB2312" w:hAnsi="宋体" w:cs="宋体" w:hint="eastAsia"/>
          <w:color w:val="000000"/>
          <w:kern w:val="0"/>
          <w:sz w:val="28"/>
          <w:szCs w:val="28"/>
        </w:rPr>
        <w:t>支出1625.82</w:t>
      </w:r>
      <w:r w:rsidRPr="00C10FE9">
        <w:rPr>
          <w:rFonts w:ascii="仿宋_GB2312" w:eastAsia="仿宋_GB2312" w:hAnsi="宋体" w:cs="宋体"/>
          <w:color w:val="000000"/>
          <w:kern w:val="0"/>
          <w:sz w:val="28"/>
          <w:szCs w:val="28"/>
        </w:rPr>
        <w:t>万元，</w:t>
      </w:r>
      <w:r w:rsidRPr="00C10FE9">
        <w:rPr>
          <w:rFonts w:ascii="仿宋_GB2312" w:eastAsia="仿宋_GB2312" w:hAnsi="宋体" w:cs="宋体" w:hint="eastAsia"/>
          <w:color w:val="000000"/>
          <w:kern w:val="0"/>
          <w:sz w:val="28"/>
          <w:szCs w:val="28"/>
        </w:rPr>
        <w:t>经营</w:t>
      </w:r>
      <w:r w:rsidRPr="00C10FE9">
        <w:rPr>
          <w:rFonts w:ascii="仿宋_GB2312" w:eastAsia="仿宋_GB2312" w:hAnsi="宋体" w:cs="宋体"/>
          <w:color w:val="000000"/>
          <w:kern w:val="0"/>
          <w:sz w:val="28"/>
          <w:szCs w:val="28"/>
        </w:rPr>
        <w:t>支出</w:t>
      </w:r>
      <w:r w:rsidRPr="00C10FE9">
        <w:rPr>
          <w:rFonts w:ascii="仿宋_GB2312" w:eastAsia="仿宋_GB2312" w:hAnsi="宋体" w:cs="宋体" w:hint="eastAsia"/>
          <w:color w:val="000000"/>
          <w:kern w:val="0"/>
          <w:sz w:val="28"/>
          <w:szCs w:val="28"/>
        </w:rPr>
        <w:t>2832.31</w:t>
      </w:r>
      <w:r w:rsidRPr="00C10FE9">
        <w:rPr>
          <w:rFonts w:ascii="仿宋_GB2312" w:eastAsia="仿宋_GB2312" w:hAnsi="宋体" w:cs="宋体"/>
          <w:color w:val="000000"/>
          <w:kern w:val="0"/>
          <w:sz w:val="28"/>
          <w:szCs w:val="28"/>
        </w:rPr>
        <w:t>万元。</w:t>
      </w:r>
      <w:r w:rsidRPr="00C10FE9">
        <w:rPr>
          <w:rFonts w:ascii="仿宋_GB2312" w:eastAsia="仿宋_GB2312" w:hAnsi="宋体" w:cs="宋体" w:hint="eastAsia"/>
          <w:color w:val="000000"/>
          <w:kern w:val="0"/>
          <w:sz w:val="28"/>
          <w:szCs w:val="28"/>
        </w:rPr>
        <w:t>预算</w:t>
      </w:r>
      <w:r w:rsidRPr="00C10FE9">
        <w:rPr>
          <w:rFonts w:ascii="仿宋_GB2312" w:eastAsia="仿宋_GB2312" w:hAnsi="宋体" w:cs="宋体"/>
          <w:color w:val="000000"/>
          <w:kern w:val="0"/>
          <w:sz w:val="28"/>
          <w:szCs w:val="28"/>
        </w:rPr>
        <w:t>执行率为</w:t>
      </w:r>
      <w:r w:rsidRPr="00C10FE9">
        <w:rPr>
          <w:rFonts w:ascii="仿宋_GB2312" w:eastAsia="仿宋_GB2312" w:hAnsi="宋体" w:cs="宋体" w:hint="eastAsia"/>
          <w:color w:val="000000"/>
          <w:kern w:val="0"/>
          <w:sz w:val="28"/>
          <w:szCs w:val="28"/>
        </w:rPr>
        <w:t>78.93%。</w:t>
      </w:r>
    </w:p>
    <w:p w14:paraId="157F4109" w14:textId="77777777" w:rsidR="003C7D23" w:rsidRPr="00C10FE9" w:rsidRDefault="003C7D23" w:rsidP="003C7D23">
      <w:pPr>
        <w:spacing w:line="600" w:lineRule="exact"/>
        <w:ind w:leftChars="50" w:left="105" w:firstLineChars="150" w:firstLine="420"/>
        <w:rPr>
          <w:rFonts w:ascii="黑体" w:eastAsia="黑体" w:hAnsi="黑体" w:cs="宋体"/>
          <w:color w:val="000000"/>
          <w:kern w:val="0"/>
          <w:sz w:val="28"/>
          <w:szCs w:val="28"/>
        </w:rPr>
      </w:pPr>
      <w:r w:rsidRPr="00C10FE9">
        <w:rPr>
          <w:rFonts w:ascii="黑体" w:eastAsia="黑体" w:hAnsi="黑体" w:cs="宋体" w:hint="eastAsia"/>
          <w:color w:val="000000"/>
          <w:kern w:val="0"/>
          <w:sz w:val="28"/>
          <w:szCs w:val="28"/>
        </w:rPr>
        <w:t>三</w:t>
      </w:r>
      <w:r w:rsidRPr="00C10FE9">
        <w:rPr>
          <w:rFonts w:ascii="黑体" w:eastAsia="黑体" w:hAnsi="黑体" w:cs="宋体"/>
          <w:color w:val="000000"/>
          <w:kern w:val="0"/>
          <w:sz w:val="28"/>
          <w:szCs w:val="28"/>
        </w:rPr>
        <w:t>、整体绩效目标实现情况</w:t>
      </w:r>
    </w:p>
    <w:p w14:paraId="4DEEBA74"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C10FE9">
        <w:rPr>
          <w:rFonts w:ascii="仿宋_GB2312" w:eastAsia="仿宋_GB2312" w:hAnsi="宋体" w:cs="宋体" w:hint="eastAsia"/>
          <w:kern w:val="0"/>
          <w:sz w:val="28"/>
          <w:szCs w:val="28"/>
        </w:rPr>
        <w:t>2022年是党的二十大召开之年，是北京冬奥之年，也是实施十四五规划承上启下的重要一年。公交技校在市</w:t>
      </w:r>
      <w:proofErr w:type="gramStart"/>
      <w:r w:rsidRPr="00C10FE9">
        <w:rPr>
          <w:rFonts w:ascii="仿宋_GB2312" w:eastAsia="仿宋_GB2312" w:hAnsi="宋体" w:cs="宋体" w:hint="eastAsia"/>
          <w:kern w:val="0"/>
          <w:sz w:val="28"/>
          <w:szCs w:val="28"/>
        </w:rPr>
        <w:t>人社局</w:t>
      </w:r>
      <w:proofErr w:type="gramEnd"/>
      <w:r w:rsidRPr="00C10FE9">
        <w:rPr>
          <w:rFonts w:ascii="仿宋_GB2312" w:eastAsia="仿宋_GB2312" w:hAnsi="宋体" w:cs="宋体" w:hint="eastAsia"/>
          <w:kern w:val="0"/>
          <w:sz w:val="28"/>
          <w:szCs w:val="28"/>
        </w:rPr>
        <w:t>的正确指导下，在集团公司党政的领导下，全面贯彻落实党的十九大、二十大及其历次全会精神，克服新冠疫情的严峻考验，坚持“以教育教学为中心、以升级技师学院为落脚点、以安全稳定为基调”的总要求，围绕职业教育改革战略定位，在全体教职工的共同努力下，出色完成全年各项工作目标，为实现学校转型升级奠定基础，为集团公司职业教育机制</w:t>
      </w:r>
      <w:r w:rsidRPr="00D36246">
        <w:rPr>
          <w:rFonts w:ascii="仿宋_GB2312" w:eastAsia="仿宋_GB2312" w:hAnsi="宋体" w:cs="宋体" w:hint="eastAsia"/>
          <w:kern w:val="0"/>
          <w:sz w:val="28"/>
          <w:szCs w:val="28"/>
        </w:rPr>
        <w:t>体制改革做出了贡献。</w:t>
      </w:r>
    </w:p>
    <w:p w14:paraId="5A73D938"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（一）坚持稳字当头，各项指标圆满完成</w:t>
      </w:r>
    </w:p>
    <w:p w14:paraId="29611475"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1.经营指标完成情况。完成集团公司下达的利润总额收支平的考核指标。</w:t>
      </w:r>
    </w:p>
    <w:p w14:paraId="0C5AA18D"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学制教育指标完成情况。全年学制教育招生共计522人，与去年基本持平。其中京籍学生147人，占28.1%，同比增长7%；高级工和预备技师招生153人，占29.3%，同比增长8%。今年学制教育毕业生184人，顺利就业183人，就业率99.46%。学制教育学生期末总评成绩及格率99.39%，补考后及格率达到100%，毕业生技能等级认定合格取证率100%。</w:t>
      </w:r>
    </w:p>
    <w:p w14:paraId="0BF457EC"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lastRenderedPageBreak/>
        <w:t>3.职工培训指标完成情况。一是集团公司企业新型学徒制培训：全年共开展线下培训25期，培训2436人，线上培训累计1976人，共计336学时。二是集团公司职工培训：全年共开展培训班（期）137个，培训16042人次，同比下降49.19%。全年培训满意度95.26%。</w:t>
      </w:r>
    </w:p>
    <w:p w14:paraId="37DDA6F7"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4.安全指标完成情况。教学责任事故指标、安全生产指标、校内欺凌和伤害等治安事件指标均实现“零”，完成年度任务。学校被评为“北京市房山区2022年度区级交通安全工作成绩突出单位”。</w:t>
      </w:r>
    </w:p>
    <w:p w14:paraId="4D5B2E57"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（二）坚持技工教育，不断提升核心竞争力</w:t>
      </w:r>
    </w:p>
    <w:p w14:paraId="3E0DACED"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学制教育招生工作行业领先。合理制定年度招生工作方案，明确工作进度和目标。抢占市场，打通家长咨询渠道，4月开始设立“招生开放日”。树立全员招生意识，通过宣传彩页、海报、公众号、宣传片等宣传形式开展广泛宣传，学校12个部</w:t>
      </w:r>
      <w:proofErr w:type="gramStart"/>
      <w:r w:rsidRPr="00D36246">
        <w:rPr>
          <w:rFonts w:ascii="仿宋_GB2312" w:eastAsia="仿宋_GB2312" w:hAnsi="宋体" w:cs="宋体" w:hint="eastAsia"/>
          <w:kern w:val="0"/>
          <w:sz w:val="28"/>
          <w:szCs w:val="28"/>
        </w:rPr>
        <w:t>室全面</w:t>
      </w:r>
      <w:proofErr w:type="gramEnd"/>
      <w:r w:rsidRPr="00D36246">
        <w:rPr>
          <w:rFonts w:ascii="仿宋_GB2312" w:eastAsia="仿宋_GB2312" w:hAnsi="宋体" w:cs="宋体" w:hint="eastAsia"/>
          <w:kern w:val="0"/>
          <w:sz w:val="28"/>
          <w:szCs w:val="28"/>
        </w:rPr>
        <w:t>参与招生工作，下到集团公司180余个公交场站张贴海报并发放招生宣传简章，充分发挥集团公司一线员工“口口相传”的宣传优势，为学校吸引更多的公交学子。学校首次参与北京考试报组织的中等职业学校招生宣传直播活动，对先进的教学设备、专业建设发展、学生就业规划进行在线解答，提升学校知名度。</w:t>
      </w:r>
    </w:p>
    <w:p w14:paraId="2DAFDA76"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2.教育教学质量不断提升。一是受新冠疫情影响，采用线上和线下教学相结合的方式，及时调整教学计划，线上以理论教学为主，线下以实</w:t>
      </w:r>
      <w:proofErr w:type="gramStart"/>
      <w:r w:rsidRPr="00D36246">
        <w:rPr>
          <w:rFonts w:ascii="仿宋_GB2312" w:eastAsia="仿宋_GB2312" w:hAnsi="宋体" w:cs="宋体" w:hint="eastAsia"/>
          <w:kern w:val="0"/>
          <w:sz w:val="28"/>
          <w:szCs w:val="28"/>
        </w:rPr>
        <w:t>训教学</w:t>
      </w:r>
      <w:proofErr w:type="gramEnd"/>
      <w:r w:rsidRPr="00D36246">
        <w:rPr>
          <w:rFonts w:ascii="仿宋_GB2312" w:eastAsia="仿宋_GB2312" w:hAnsi="宋体" w:cs="宋体" w:hint="eastAsia"/>
          <w:kern w:val="0"/>
          <w:sz w:val="28"/>
          <w:szCs w:val="28"/>
        </w:rPr>
        <w:t>为主，保证按时完成各学期教学任务。二是根据《关于做好职业院校教材教辅读物排查整改工作的通知》文件精神，以全覆盖、拉网式、逐字逐页的方式对学校66本教材进行排查，召开教材选用评审会3次，评审教材145种。三是制定《教学事故认定及处理办法》，完善《学制教育外聘兼职教师管理办法（试行）》，聘</w:t>
      </w:r>
      <w:r w:rsidRPr="00D36246">
        <w:rPr>
          <w:rFonts w:ascii="仿宋_GB2312" w:eastAsia="仿宋_GB2312" w:hAnsi="宋体" w:cs="宋体" w:hint="eastAsia"/>
          <w:kern w:val="0"/>
          <w:sz w:val="28"/>
          <w:szCs w:val="28"/>
        </w:rPr>
        <w:lastRenderedPageBreak/>
        <w:t>任企业技术人员6人担任学制教育兼职教师，为学校带来丰富的企业经验。四是加强教学巡视检查，形成校级督导、专业部室常规巡视、</w:t>
      </w:r>
      <w:proofErr w:type="gramStart"/>
      <w:r w:rsidRPr="00D36246">
        <w:rPr>
          <w:rFonts w:ascii="仿宋_GB2312" w:eastAsia="仿宋_GB2312" w:hAnsi="宋体" w:cs="宋体" w:hint="eastAsia"/>
          <w:kern w:val="0"/>
          <w:sz w:val="28"/>
          <w:szCs w:val="28"/>
        </w:rPr>
        <w:t>系部日常检查</w:t>
      </w:r>
      <w:proofErr w:type="gramEnd"/>
      <w:r w:rsidRPr="00D36246">
        <w:rPr>
          <w:rFonts w:ascii="仿宋_GB2312" w:eastAsia="仿宋_GB2312" w:hAnsi="宋体" w:cs="宋体" w:hint="eastAsia"/>
          <w:kern w:val="0"/>
          <w:sz w:val="28"/>
          <w:szCs w:val="28"/>
        </w:rPr>
        <w:t>的三级检查模式，进一步规范教学秩序。五是</w:t>
      </w:r>
      <w:proofErr w:type="gramStart"/>
      <w:r w:rsidRPr="00D36246">
        <w:rPr>
          <w:rFonts w:ascii="仿宋_GB2312" w:eastAsia="仿宋_GB2312" w:hAnsi="宋体" w:cs="宋体" w:hint="eastAsia"/>
          <w:kern w:val="0"/>
          <w:sz w:val="28"/>
          <w:szCs w:val="28"/>
        </w:rPr>
        <w:t>组织系部45名</w:t>
      </w:r>
      <w:proofErr w:type="gramEnd"/>
      <w:r w:rsidRPr="00D36246">
        <w:rPr>
          <w:rFonts w:ascii="仿宋_GB2312" w:eastAsia="仿宋_GB2312" w:hAnsi="宋体" w:cs="宋体" w:hint="eastAsia"/>
          <w:kern w:val="0"/>
          <w:sz w:val="28"/>
          <w:szCs w:val="28"/>
        </w:rPr>
        <w:t>教师完成课程标准的修订，共修订四个专业92个课程标准，其中汽车维修和新能源汽车检测与维修专业33个，汽车驾驶专业13个，交通客运服务专业46个。六是全年组织教学公开课12次。学校领导、中层管理人员、教学管理人员和教师共130人参加了听评课活动，累计听课233节。加强了教师间教学经验交流，取长补短，对提高教学质量、探索工学一体化教学改革实践起到很好促进作用。七是</w:t>
      </w:r>
      <w:proofErr w:type="gramStart"/>
      <w:r w:rsidRPr="00D36246">
        <w:rPr>
          <w:rFonts w:ascii="仿宋_GB2312" w:eastAsia="仿宋_GB2312" w:hAnsi="宋体" w:cs="宋体" w:hint="eastAsia"/>
          <w:kern w:val="0"/>
          <w:sz w:val="28"/>
          <w:szCs w:val="28"/>
        </w:rPr>
        <w:t>特邀行业</w:t>
      </w:r>
      <w:proofErr w:type="gramEnd"/>
      <w:r w:rsidRPr="00D36246">
        <w:rPr>
          <w:rFonts w:ascii="仿宋_GB2312" w:eastAsia="仿宋_GB2312" w:hAnsi="宋体" w:cs="宋体" w:hint="eastAsia"/>
          <w:kern w:val="0"/>
          <w:sz w:val="28"/>
          <w:szCs w:val="28"/>
        </w:rPr>
        <w:t>专家参与学校教研组长示范课活动，带来了宝贵的意见建议。通过集体备课、现场授课和专家讲评等环节，交流了教学经验、增长见识，拓宽视野。八是将学生认识实习纳入学期授课进度计划，全年共组织5天142人次的学生企业认识实习。</w:t>
      </w:r>
    </w:p>
    <w:p w14:paraId="4E5CBCF4"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3.师资队伍阶梯化初见成效。一是经过广泛调研，制定《北京市公共交通高级技工学校师资队伍建设三年规划（2022—2024年）》，明确三年发展目标和实施路径。年度组织完成4名专业带头人和10名课程负责人的认定和培训工作，完善专业带头人考核办法，对专业带头人、课程负责人实施月度考核。二是依据一体化教改要求，通过教师申报、条件审核、能力考核等环节，完成学校42名一体化教师认定工作，为一体化教改提供智力支持。三是开展丰富多样的各级各类针对性培训。论文撰写方法培训、城市公共交通行业教师职业能力提升线上培训、课题研究培训2次，并针对市级课题申报和市级课题结题，面向课题负责人开展专项培训4次；开展人才培养方案编写、教学设计范例、工作页的编制、教案编写规范等相关内容的一体化课</w:t>
      </w:r>
      <w:proofErr w:type="gramStart"/>
      <w:r w:rsidRPr="00D36246">
        <w:rPr>
          <w:rFonts w:ascii="仿宋_GB2312" w:eastAsia="仿宋_GB2312" w:hAnsi="宋体" w:cs="宋体" w:hint="eastAsia"/>
          <w:kern w:val="0"/>
          <w:sz w:val="28"/>
          <w:szCs w:val="28"/>
        </w:rPr>
        <w:t>改培训</w:t>
      </w:r>
      <w:proofErr w:type="gramEnd"/>
      <w:r w:rsidRPr="00D36246">
        <w:rPr>
          <w:rFonts w:ascii="仿宋_GB2312" w:eastAsia="仿宋_GB2312" w:hAnsi="宋体" w:cs="宋体" w:hint="eastAsia"/>
          <w:kern w:val="0"/>
          <w:sz w:val="28"/>
          <w:szCs w:val="28"/>
        </w:rPr>
        <w:t>9次；19名教师及教学管理人员参加北京市职业促进中心组织的一</w:t>
      </w:r>
      <w:r w:rsidRPr="00D36246">
        <w:rPr>
          <w:rFonts w:ascii="仿宋_GB2312" w:eastAsia="仿宋_GB2312" w:hAnsi="宋体" w:cs="宋体" w:hint="eastAsia"/>
          <w:kern w:val="0"/>
          <w:sz w:val="28"/>
          <w:szCs w:val="28"/>
        </w:rPr>
        <w:lastRenderedPageBreak/>
        <w:t>体化教师网络研修班线上培训；10人参加公交好讲师大赛专业能力提升培训，于闯老师荣获第八届“我有好课程”大赛微课程全国十强好成绩。四是发挥名师引领作用，落实人才强校战略，聘任郭继孚、柳实等8位行业专家为学校的客座教授，为学校与社会各界的合作交流提供咨询意见、创造合作机会，为学校学科专业建设、精品课程开发和实训基地建设等方面提供支持和帮助。全年组织开展教师与企业骨干人员结对子活动，学校14名教师与企业14名骨干专家形成“一对一”结对子。五是强化企业实践成果转化。制定《2022年度教师企业实践实施方案》，组织召开企业实践对接会，对企业实践任务的完成情况进行中期跟踪检查，全年62名教师参加企业实践，累计企业实践1108.5天，并将实践成果转化为教学内容予以传授。六是大师工作室梯级建设，搭建高技能人才研修平台。进一步发挥技能大师在高技能人才培养、技艺传承培训、技术技能革新、技能推广交流等方面的引领作用。张英红维修工技能大师工作室获得集团公司年度评审优秀称号。推荐张英红维修工技能大师工作室、赵海龙驾驶员技能大师工作室为市级大师工作室，并完成材料提交工作。</w:t>
      </w:r>
    </w:p>
    <w:p w14:paraId="56C9BF8B"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4.教科研水平稳步提升。一是开展校级教师基本功大赛，评选出8篇优秀论文、12份优秀教案和14个优秀板书。组织参加市级2022年教科研成果申报工作，共申报55件作品，其中论文27篇、教案26份、</w:t>
      </w:r>
      <w:proofErr w:type="gramStart"/>
      <w:r w:rsidRPr="00D36246">
        <w:rPr>
          <w:rFonts w:ascii="仿宋_GB2312" w:eastAsia="仿宋_GB2312" w:hAnsi="宋体" w:cs="宋体" w:hint="eastAsia"/>
          <w:kern w:val="0"/>
          <w:sz w:val="28"/>
          <w:szCs w:val="28"/>
        </w:rPr>
        <w:t>课程思政案例</w:t>
      </w:r>
      <w:proofErr w:type="gramEnd"/>
      <w:r w:rsidRPr="00D36246">
        <w:rPr>
          <w:rFonts w:ascii="仿宋_GB2312" w:eastAsia="仿宋_GB2312" w:hAnsi="宋体" w:cs="宋体" w:hint="eastAsia"/>
          <w:kern w:val="0"/>
          <w:sz w:val="28"/>
          <w:szCs w:val="28"/>
        </w:rPr>
        <w:t>2例。获得论文类二等奖1篇、三等奖3篇。申报市级课题7项，课题立项1项。二是开展横向交流，加强与兄弟院校的观摩学习，先后与轻工技师学院和工贸技师学院开展座谈交流活动。</w:t>
      </w:r>
    </w:p>
    <w:p w14:paraId="14C62EB6"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5.专业建设有序推进。一是对标集团公司用工标准，毕业生应具备“A3驾驶证、技工院校毕业证、大专院校毕业证、</w:t>
      </w:r>
      <w:r w:rsidRPr="00D36246">
        <w:rPr>
          <w:rFonts w:ascii="仿宋_GB2312" w:eastAsia="仿宋_GB2312" w:hAnsi="宋体" w:cs="宋体" w:hint="eastAsia"/>
          <w:kern w:val="0"/>
          <w:sz w:val="28"/>
          <w:szCs w:val="28"/>
        </w:rPr>
        <w:lastRenderedPageBreak/>
        <w:t>专业技能等级证、计算机技能等级证”五个证件，以培养复合型人才为目标，组织专业带头人和课程负责人开展人才培养方案修订和一体化课程标准开发工作，制定了一体化课程改革实施方案，完成企业调研、企业实践专家访谈、典型工作任务提炼等各阶段工作，开发完成汽车驾驶、汽车维修等四个专业一体化人才培养方案，开发一体化课程标准43个，编制工作页29个。二是推动专业建设快速发展，使学校专业结构更加合理，积极探索新专业的开发。组织新专业开发团队开展人才需求调研、组织申报计算机信息与管理（高级工），并获市</w:t>
      </w:r>
      <w:proofErr w:type="gramStart"/>
      <w:r w:rsidRPr="00D36246">
        <w:rPr>
          <w:rFonts w:ascii="仿宋_GB2312" w:eastAsia="仿宋_GB2312" w:hAnsi="宋体" w:cs="宋体" w:hint="eastAsia"/>
          <w:kern w:val="0"/>
          <w:sz w:val="28"/>
          <w:szCs w:val="28"/>
        </w:rPr>
        <w:t>人社局</w:t>
      </w:r>
      <w:proofErr w:type="gramEnd"/>
      <w:r w:rsidRPr="00D36246">
        <w:rPr>
          <w:rFonts w:ascii="仿宋_GB2312" w:eastAsia="仿宋_GB2312" w:hAnsi="宋体" w:cs="宋体" w:hint="eastAsia"/>
          <w:kern w:val="0"/>
          <w:sz w:val="28"/>
          <w:szCs w:val="28"/>
        </w:rPr>
        <w:t>批复。三是组织申报优质专业和精品线上课程，申报承接“十四五”规划重点项目6项。</w:t>
      </w:r>
    </w:p>
    <w:p w14:paraId="11FAAF39"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（三）坚持服务社会，服务能力不断提升</w:t>
      </w:r>
    </w:p>
    <w:p w14:paraId="5920CC89"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1.成功举办公交行业教师职业能力提升培训班。为更好地贯彻落</w:t>
      </w:r>
      <w:proofErr w:type="gramStart"/>
      <w:r w:rsidRPr="00D36246">
        <w:rPr>
          <w:rFonts w:ascii="仿宋_GB2312" w:eastAsia="仿宋_GB2312" w:hAnsi="宋体" w:cs="宋体" w:hint="eastAsia"/>
          <w:kern w:val="0"/>
          <w:sz w:val="28"/>
          <w:szCs w:val="28"/>
        </w:rPr>
        <w:t>实习近</w:t>
      </w:r>
      <w:proofErr w:type="gramEnd"/>
      <w:r w:rsidRPr="00D36246">
        <w:rPr>
          <w:rFonts w:ascii="仿宋_GB2312" w:eastAsia="仿宋_GB2312" w:hAnsi="宋体" w:cs="宋体" w:hint="eastAsia"/>
          <w:kern w:val="0"/>
          <w:sz w:val="28"/>
          <w:szCs w:val="28"/>
        </w:rPr>
        <w:t>平总书记在“全国职业教育大会”上的讲话精神，落实立德树人根本任务，进一步提高城市公共交通行业技工院校教师和企业培训教师的职业能力，建立新时代职业教育理念、创新思维，掌握行业发展的前沿形势，学校与中国道路运输协会城市客运分会共同以“云直播”的方式举办城市公共交通行业教师职业能力提升培训班，全国19个省（区），22家公交企业的下属技工院校、职业学校、培训中心的578名教师和教</w:t>
      </w:r>
      <w:proofErr w:type="gramStart"/>
      <w:r w:rsidRPr="00D36246">
        <w:rPr>
          <w:rFonts w:ascii="仿宋_GB2312" w:eastAsia="仿宋_GB2312" w:hAnsi="宋体" w:cs="宋体" w:hint="eastAsia"/>
          <w:kern w:val="0"/>
          <w:sz w:val="28"/>
          <w:szCs w:val="28"/>
        </w:rPr>
        <w:t>培管理</w:t>
      </w:r>
      <w:proofErr w:type="gramEnd"/>
      <w:r w:rsidRPr="00D36246">
        <w:rPr>
          <w:rFonts w:ascii="仿宋_GB2312" w:eastAsia="仿宋_GB2312" w:hAnsi="宋体" w:cs="宋体" w:hint="eastAsia"/>
          <w:kern w:val="0"/>
          <w:sz w:val="28"/>
          <w:szCs w:val="28"/>
        </w:rPr>
        <w:t>人员参加了本次培训，培训满意度达95%。</w:t>
      </w:r>
    </w:p>
    <w:p w14:paraId="5A5391C3"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职工培训形式多样效果显著。受新冠疫情影响和硬件设施限制，线下培训模式不能满足日益增长的职工培训需求。根据企业用工特点，积极策划适应企业的培训模式，开发了区域调度、维修工高技能人才和技师研修3项线上培训，累计培训7000余人次，满足多元化培训需求，得到送培单位认可，服务质量稳步提升。</w:t>
      </w:r>
    </w:p>
    <w:p w14:paraId="530BD88E"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lastRenderedPageBreak/>
        <w:t>3.企业新型学徒制培训顺利结业。一是克服疫情影响，多</w:t>
      </w:r>
      <w:proofErr w:type="gramStart"/>
      <w:r w:rsidRPr="00D36246">
        <w:rPr>
          <w:rFonts w:ascii="仿宋_GB2312" w:eastAsia="仿宋_GB2312" w:hAnsi="宋体" w:cs="宋体" w:hint="eastAsia"/>
          <w:kern w:val="0"/>
          <w:sz w:val="28"/>
          <w:szCs w:val="28"/>
        </w:rPr>
        <w:t>措</w:t>
      </w:r>
      <w:proofErr w:type="gramEnd"/>
      <w:r w:rsidRPr="00D36246">
        <w:rPr>
          <w:rFonts w:ascii="仿宋_GB2312" w:eastAsia="仿宋_GB2312" w:hAnsi="宋体" w:cs="宋体" w:hint="eastAsia"/>
          <w:kern w:val="0"/>
          <w:sz w:val="28"/>
          <w:szCs w:val="28"/>
        </w:rPr>
        <w:t>并举，顺利完成年度培训任务，选聘优秀的管理人员承担学徒制兼职班主任工作，加大日常培训管理力度，为完成培训提供了保障。二是推进学徒制培训课程资源建设，组织教师完成3本教材共19章节的教材编制工作。三是加强与企业的沟通合作，完善学徒制培训工作过程资料的管理，组织多方力量，核对培训过程材料，完善</w:t>
      </w:r>
      <w:proofErr w:type="gramStart"/>
      <w:r w:rsidRPr="00D36246">
        <w:rPr>
          <w:rFonts w:ascii="仿宋_GB2312" w:eastAsia="仿宋_GB2312" w:hAnsi="宋体" w:cs="宋体" w:hint="eastAsia"/>
          <w:kern w:val="0"/>
          <w:sz w:val="28"/>
          <w:szCs w:val="28"/>
        </w:rPr>
        <w:t>培训台</w:t>
      </w:r>
      <w:proofErr w:type="gramEnd"/>
      <w:r w:rsidRPr="00D36246">
        <w:rPr>
          <w:rFonts w:ascii="仿宋_GB2312" w:eastAsia="仿宋_GB2312" w:hAnsi="宋体" w:cs="宋体" w:hint="eastAsia"/>
          <w:kern w:val="0"/>
          <w:sz w:val="28"/>
          <w:szCs w:val="28"/>
        </w:rPr>
        <w:t>账，完成校内集中培训、驾校驾驶训练培训以及企业岗位训练等培训过程资料的审核整理工作，顺利完成学徒制审计，为学员如期毕业做好各项准备。</w:t>
      </w:r>
    </w:p>
    <w:p w14:paraId="087F9CF3"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职工技能等级认定通过率大幅提升。一是针对驾驶员、维修工、乘务员采取线上培训的工种级别，在线上课程结束后增设线下辅导4课时，强化理论知识和实操辅导。二是针对调度员2021年各等级通过率较低的情况，积极到集团调度指挥中心、客运分公司相关部门开展调研，收集培训需求。针对工种特点，改线上培训为线下培训，同时按照认定标准编制培训课程，形成新的调度员培训方案，全面完成认定及格率指标。全年完成技能等级认定培训共54期3877人次，完成年度认定考试2934人，完成2021年度各工种补考1118人次。</w:t>
      </w:r>
    </w:p>
    <w:p w14:paraId="22B4D631"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（四）坚持产教融合，实习实</w:t>
      </w:r>
      <w:proofErr w:type="gramStart"/>
      <w:r w:rsidRPr="00D36246">
        <w:rPr>
          <w:rFonts w:ascii="仿宋_GB2312" w:eastAsia="仿宋_GB2312" w:hAnsi="宋体" w:cs="宋体" w:hint="eastAsia"/>
          <w:kern w:val="0"/>
          <w:sz w:val="28"/>
          <w:szCs w:val="28"/>
        </w:rPr>
        <w:t>训建设</w:t>
      </w:r>
      <w:proofErr w:type="gramEnd"/>
      <w:r w:rsidRPr="00D36246">
        <w:rPr>
          <w:rFonts w:ascii="仿宋_GB2312" w:eastAsia="仿宋_GB2312" w:hAnsi="宋体" w:cs="宋体" w:hint="eastAsia"/>
          <w:kern w:val="0"/>
          <w:sz w:val="28"/>
          <w:szCs w:val="28"/>
        </w:rPr>
        <w:t>再上新台阶</w:t>
      </w:r>
    </w:p>
    <w:p w14:paraId="0E89ED52"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1.依托企业完善实训基地建设。一是与欧辉客车开展深度合作，欧辉新能源实训基地接受10家合作企业捐赠的欧辉新能源</w:t>
      </w:r>
      <w:proofErr w:type="gramStart"/>
      <w:r w:rsidRPr="00D36246">
        <w:rPr>
          <w:rFonts w:ascii="仿宋_GB2312" w:eastAsia="仿宋_GB2312" w:hAnsi="宋体" w:cs="宋体" w:hint="eastAsia"/>
          <w:kern w:val="0"/>
          <w:sz w:val="28"/>
          <w:szCs w:val="28"/>
        </w:rPr>
        <w:t>插电增程式</w:t>
      </w:r>
      <w:proofErr w:type="gramEnd"/>
      <w:r w:rsidRPr="00D36246">
        <w:rPr>
          <w:rFonts w:ascii="仿宋_GB2312" w:eastAsia="仿宋_GB2312" w:hAnsi="宋体" w:cs="宋体" w:hint="eastAsia"/>
          <w:kern w:val="0"/>
          <w:sz w:val="28"/>
          <w:szCs w:val="28"/>
        </w:rPr>
        <w:t>气电混合动力客车及相应总成共计163件，捐赠价值约299万元。二是拓宽学生实习就业渠道，与37家单位签订校企合作协议，其中包括10家集团公司下属二级单位，27家社会知名企业及品牌汽车4S店。实现了共享校外实习实训基地目标，为学生开展校外实习奠定基础。</w:t>
      </w:r>
    </w:p>
    <w:p w14:paraId="5C621C42"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lastRenderedPageBreak/>
        <w:t>2.实</w:t>
      </w:r>
      <w:proofErr w:type="gramStart"/>
      <w:r w:rsidRPr="00D36246">
        <w:rPr>
          <w:rFonts w:ascii="仿宋_GB2312" w:eastAsia="仿宋_GB2312" w:hAnsi="宋体" w:cs="宋体" w:hint="eastAsia"/>
          <w:kern w:val="0"/>
          <w:sz w:val="28"/>
          <w:szCs w:val="28"/>
        </w:rPr>
        <w:t>训文化</w:t>
      </w:r>
      <w:proofErr w:type="gramEnd"/>
      <w:r w:rsidRPr="00D36246">
        <w:rPr>
          <w:rFonts w:ascii="仿宋_GB2312" w:eastAsia="仿宋_GB2312" w:hAnsi="宋体" w:cs="宋体" w:hint="eastAsia"/>
          <w:kern w:val="0"/>
          <w:sz w:val="28"/>
          <w:szCs w:val="28"/>
        </w:rPr>
        <w:t>建设成为新亮点。结合技师学院筹建工作要求，聘请专业实</w:t>
      </w:r>
      <w:proofErr w:type="gramStart"/>
      <w:r w:rsidRPr="00D36246">
        <w:rPr>
          <w:rFonts w:ascii="仿宋_GB2312" w:eastAsia="仿宋_GB2312" w:hAnsi="宋体" w:cs="宋体" w:hint="eastAsia"/>
          <w:kern w:val="0"/>
          <w:sz w:val="28"/>
          <w:szCs w:val="28"/>
        </w:rPr>
        <w:t>训设计</w:t>
      </w:r>
      <w:proofErr w:type="gramEnd"/>
      <w:r w:rsidRPr="00D36246">
        <w:rPr>
          <w:rFonts w:ascii="仿宋_GB2312" w:eastAsia="仿宋_GB2312" w:hAnsi="宋体" w:cs="宋体" w:hint="eastAsia"/>
          <w:kern w:val="0"/>
          <w:sz w:val="28"/>
          <w:szCs w:val="28"/>
        </w:rPr>
        <w:t>公司结合学校特点制定《公交技校实训楼文化建设方案》。按照工学一体化人才培养模式，突出城市公交特色和汽车技术特色，形成“一层</w:t>
      </w:r>
      <w:proofErr w:type="gramStart"/>
      <w:r w:rsidRPr="00D36246">
        <w:rPr>
          <w:rFonts w:ascii="仿宋_GB2312" w:eastAsia="仿宋_GB2312" w:hAnsi="宋体" w:cs="宋体" w:hint="eastAsia"/>
          <w:kern w:val="0"/>
          <w:sz w:val="28"/>
          <w:szCs w:val="28"/>
        </w:rPr>
        <w:t>一</w:t>
      </w:r>
      <w:proofErr w:type="gramEnd"/>
      <w:r w:rsidRPr="00D36246">
        <w:rPr>
          <w:rFonts w:ascii="仿宋_GB2312" w:eastAsia="仿宋_GB2312" w:hAnsi="宋体" w:cs="宋体" w:hint="eastAsia"/>
          <w:kern w:val="0"/>
          <w:sz w:val="28"/>
          <w:szCs w:val="28"/>
        </w:rPr>
        <w:t>主题、一楼</w:t>
      </w:r>
      <w:proofErr w:type="gramStart"/>
      <w:r w:rsidRPr="00D36246">
        <w:rPr>
          <w:rFonts w:ascii="仿宋_GB2312" w:eastAsia="仿宋_GB2312" w:hAnsi="宋体" w:cs="宋体" w:hint="eastAsia"/>
          <w:kern w:val="0"/>
          <w:sz w:val="28"/>
          <w:szCs w:val="28"/>
        </w:rPr>
        <w:t>一</w:t>
      </w:r>
      <w:proofErr w:type="gramEnd"/>
      <w:r w:rsidRPr="00D36246">
        <w:rPr>
          <w:rFonts w:ascii="仿宋_GB2312" w:eastAsia="仿宋_GB2312" w:hAnsi="宋体" w:cs="宋体" w:hint="eastAsia"/>
          <w:kern w:val="0"/>
          <w:sz w:val="28"/>
          <w:szCs w:val="28"/>
        </w:rPr>
        <w:t>特色、处处见文化”的实训氛围。</w:t>
      </w:r>
    </w:p>
    <w:p w14:paraId="3AE2F608"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3.技能大师工作室</w:t>
      </w:r>
      <w:proofErr w:type="gramStart"/>
      <w:r w:rsidRPr="00D36246">
        <w:rPr>
          <w:rFonts w:ascii="仿宋_GB2312" w:eastAsia="仿宋_GB2312" w:hAnsi="宋体" w:cs="宋体" w:hint="eastAsia"/>
          <w:kern w:val="0"/>
          <w:sz w:val="28"/>
          <w:szCs w:val="28"/>
        </w:rPr>
        <w:t>校企双领办</w:t>
      </w:r>
      <w:proofErr w:type="gramEnd"/>
      <w:r w:rsidRPr="00D36246">
        <w:rPr>
          <w:rFonts w:ascii="仿宋_GB2312" w:eastAsia="仿宋_GB2312" w:hAnsi="宋体" w:cs="宋体" w:hint="eastAsia"/>
          <w:kern w:val="0"/>
          <w:sz w:val="28"/>
          <w:szCs w:val="28"/>
        </w:rPr>
        <w:t>人作用发挥显著。加强校企合作、深化产教融合，学校创建双师工作室，实施技能大师工作室“双领办人”管理，聘请孟大鹏、王</w:t>
      </w:r>
      <w:r w:rsidRPr="00D36246">
        <w:rPr>
          <w:rFonts w:ascii="微软雅黑" w:eastAsia="微软雅黑" w:hAnsi="微软雅黑" w:cs="微软雅黑" w:hint="eastAsia"/>
          <w:kern w:val="0"/>
          <w:sz w:val="28"/>
          <w:szCs w:val="28"/>
        </w:rPr>
        <w:t>翀</w:t>
      </w:r>
      <w:r w:rsidRPr="00D36246">
        <w:rPr>
          <w:rFonts w:ascii="仿宋_GB2312" w:eastAsia="仿宋_GB2312" w:hAnsi="仿宋_GB2312" w:cs="仿宋_GB2312" w:hint="eastAsia"/>
          <w:kern w:val="0"/>
          <w:sz w:val="28"/>
          <w:szCs w:val="28"/>
        </w:rPr>
        <w:t>、</w:t>
      </w:r>
      <w:proofErr w:type="gramStart"/>
      <w:r w:rsidRPr="00D36246">
        <w:rPr>
          <w:rFonts w:ascii="仿宋_GB2312" w:eastAsia="仿宋_GB2312" w:hAnsi="仿宋_GB2312" w:cs="仿宋_GB2312" w:hint="eastAsia"/>
          <w:kern w:val="0"/>
          <w:sz w:val="28"/>
          <w:szCs w:val="28"/>
        </w:rPr>
        <w:t>崔</w:t>
      </w:r>
      <w:proofErr w:type="gramEnd"/>
      <w:r w:rsidRPr="00D36246">
        <w:rPr>
          <w:rFonts w:ascii="微软雅黑" w:eastAsia="微软雅黑" w:hAnsi="微软雅黑" w:cs="微软雅黑" w:hint="eastAsia"/>
          <w:kern w:val="0"/>
          <w:sz w:val="28"/>
          <w:szCs w:val="28"/>
        </w:rPr>
        <w:t>嫚</w:t>
      </w:r>
      <w:r w:rsidRPr="00D36246">
        <w:rPr>
          <w:rFonts w:ascii="仿宋_GB2312" w:eastAsia="仿宋_GB2312" w:hAnsi="仿宋_GB2312" w:cs="仿宋_GB2312" w:hint="eastAsia"/>
          <w:kern w:val="0"/>
          <w:sz w:val="28"/>
          <w:szCs w:val="28"/>
        </w:rPr>
        <w:t>三位企业大师作为学校赵海龙驾驶员技能大师工作室、张英红维修工技能大师工作室、王杰调度员技能大师工作室的企业领办人，创建由</w:t>
      </w:r>
      <w:proofErr w:type="gramStart"/>
      <w:r w:rsidRPr="00D36246">
        <w:rPr>
          <w:rFonts w:ascii="仿宋_GB2312" w:eastAsia="仿宋_GB2312" w:hAnsi="仿宋_GB2312" w:cs="仿宋_GB2312" w:hint="eastAsia"/>
          <w:kern w:val="0"/>
          <w:sz w:val="28"/>
          <w:szCs w:val="28"/>
        </w:rPr>
        <w:t>校企双领办</w:t>
      </w:r>
      <w:proofErr w:type="gramEnd"/>
      <w:r w:rsidRPr="00D36246">
        <w:rPr>
          <w:rFonts w:ascii="仿宋_GB2312" w:eastAsia="仿宋_GB2312" w:hAnsi="仿宋_GB2312" w:cs="仿宋_GB2312" w:hint="eastAsia"/>
          <w:kern w:val="0"/>
          <w:sz w:val="28"/>
          <w:szCs w:val="28"/>
        </w:rPr>
        <w:t>人组成的</w:t>
      </w:r>
      <w:r w:rsidRPr="00D36246">
        <w:rPr>
          <w:rFonts w:ascii="仿宋_GB2312" w:eastAsia="仿宋_GB2312" w:hAnsi="宋体" w:cs="宋体" w:hint="eastAsia"/>
          <w:kern w:val="0"/>
          <w:sz w:val="28"/>
          <w:szCs w:val="28"/>
        </w:rPr>
        <w:t>双师工作室。企业领办人将企业经验植入教学及大师工作室工作中，填补学校企业经验空白。</w:t>
      </w:r>
    </w:p>
    <w:p w14:paraId="30055385"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4.对标</w:t>
      </w:r>
      <w:proofErr w:type="gramStart"/>
      <w:r w:rsidRPr="00D36246">
        <w:rPr>
          <w:rFonts w:ascii="仿宋_GB2312" w:eastAsia="仿宋_GB2312" w:hAnsi="宋体" w:cs="宋体" w:hint="eastAsia"/>
          <w:kern w:val="0"/>
          <w:sz w:val="28"/>
          <w:szCs w:val="28"/>
        </w:rPr>
        <w:t>世赛标准</w:t>
      </w:r>
      <w:proofErr w:type="gramEnd"/>
      <w:r w:rsidRPr="00D36246">
        <w:rPr>
          <w:rFonts w:ascii="仿宋_GB2312" w:eastAsia="仿宋_GB2312" w:hAnsi="宋体" w:cs="宋体" w:hint="eastAsia"/>
          <w:kern w:val="0"/>
          <w:sz w:val="28"/>
          <w:szCs w:val="28"/>
        </w:rPr>
        <w:t>完善建设</w:t>
      </w:r>
      <w:proofErr w:type="gramStart"/>
      <w:r w:rsidRPr="00D36246">
        <w:rPr>
          <w:rFonts w:ascii="仿宋_GB2312" w:eastAsia="仿宋_GB2312" w:hAnsi="宋体" w:cs="宋体" w:hint="eastAsia"/>
          <w:kern w:val="0"/>
          <w:sz w:val="28"/>
          <w:szCs w:val="28"/>
        </w:rPr>
        <w:t>世赛实</w:t>
      </w:r>
      <w:proofErr w:type="gramEnd"/>
      <w:r w:rsidRPr="00D36246">
        <w:rPr>
          <w:rFonts w:ascii="仿宋_GB2312" w:eastAsia="仿宋_GB2312" w:hAnsi="宋体" w:cs="宋体" w:hint="eastAsia"/>
          <w:kern w:val="0"/>
          <w:sz w:val="28"/>
          <w:szCs w:val="28"/>
        </w:rPr>
        <w:t>训室。完成教学实</w:t>
      </w:r>
      <w:proofErr w:type="gramStart"/>
      <w:r w:rsidRPr="00D36246">
        <w:rPr>
          <w:rFonts w:ascii="仿宋_GB2312" w:eastAsia="仿宋_GB2312" w:hAnsi="宋体" w:cs="宋体" w:hint="eastAsia"/>
          <w:kern w:val="0"/>
          <w:sz w:val="28"/>
          <w:szCs w:val="28"/>
        </w:rPr>
        <w:t>训设备</w:t>
      </w:r>
      <w:proofErr w:type="gramEnd"/>
      <w:r w:rsidRPr="00D36246">
        <w:rPr>
          <w:rFonts w:ascii="仿宋_GB2312" w:eastAsia="仿宋_GB2312" w:hAnsi="宋体" w:cs="宋体" w:hint="eastAsia"/>
          <w:kern w:val="0"/>
          <w:sz w:val="28"/>
          <w:szCs w:val="28"/>
        </w:rPr>
        <w:t>教学专用仪器采购和汽车维修教学实训设备更新两个项目建设，共新建四个实训室，新增教学实</w:t>
      </w:r>
      <w:proofErr w:type="gramStart"/>
      <w:r w:rsidRPr="00D36246">
        <w:rPr>
          <w:rFonts w:ascii="仿宋_GB2312" w:eastAsia="仿宋_GB2312" w:hAnsi="宋体" w:cs="宋体" w:hint="eastAsia"/>
          <w:kern w:val="0"/>
          <w:sz w:val="28"/>
          <w:szCs w:val="28"/>
        </w:rPr>
        <w:t>训设备</w:t>
      </w:r>
      <w:proofErr w:type="gramEnd"/>
      <w:r w:rsidRPr="00D36246">
        <w:rPr>
          <w:rFonts w:ascii="仿宋_GB2312" w:eastAsia="仿宋_GB2312" w:hAnsi="宋体" w:cs="宋体" w:hint="eastAsia"/>
          <w:kern w:val="0"/>
          <w:sz w:val="28"/>
          <w:szCs w:val="28"/>
        </w:rPr>
        <w:t>178件套，总价值529.81万元。为实施一体化课程教学和</w:t>
      </w:r>
      <w:proofErr w:type="gramStart"/>
      <w:r w:rsidRPr="00D36246">
        <w:rPr>
          <w:rFonts w:ascii="仿宋_GB2312" w:eastAsia="仿宋_GB2312" w:hAnsi="宋体" w:cs="宋体" w:hint="eastAsia"/>
          <w:kern w:val="0"/>
          <w:sz w:val="28"/>
          <w:szCs w:val="28"/>
        </w:rPr>
        <w:t>世赛</w:t>
      </w:r>
      <w:proofErr w:type="gramEnd"/>
      <w:r w:rsidRPr="00D36246">
        <w:rPr>
          <w:rFonts w:ascii="仿宋_GB2312" w:eastAsia="仿宋_GB2312" w:hAnsi="宋体" w:cs="宋体" w:hint="eastAsia"/>
          <w:kern w:val="0"/>
          <w:sz w:val="28"/>
          <w:szCs w:val="28"/>
        </w:rPr>
        <w:t>汽车技术项目转化，提升教学实</w:t>
      </w:r>
      <w:proofErr w:type="gramStart"/>
      <w:r w:rsidRPr="00D36246">
        <w:rPr>
          <w:rFonts w:ascii="仿宋_GB2312" w:eastAsia="仿宋_GB2312" w:hAnsi="宋体" w:cs="宋体" w:hint="eastAsia"/>
          <w:kern w:val="0"/>
          <w:sz w:val="28"/>
          <w:szCs w:val="28"/>
        </w:rPr>
        <w:t>训设备</w:t>
      </w:r>
      <w:proofErr w:type="gramEnd"/>
      <w:r w:rsidRPr="00D36246">
        <w:rPr>
          <w:rFonts w:ascii="仿宋_GB2312" w:eastAsia="仿宋_GB2312" w:hAnsi="宋体" w:cs="宋体" w:hint="eastAsia"/>
          <w:kern w:val="0"/>
          <w:sz w:val="28"/>
          <w:szCs w:val="28"/>
        </w:rPr>
        <w:t>的先进性。</w:t>
      </w:r>
    </w:p>
    <w:p w14:paraId="5761DB26"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（五）坚持全员育人，全面落实立德树人根本任务</w:t>
      </w:r>
    </w:p>
    <w:p w14:paraId="602125BB"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1.增强学生爱国主义情怀。结合纪念建党101周年积极开展爱党、爱国教育。组织376名新生云参观抗日战争纪念馆，组织开展“喜迎二十大 奋进新征程”主题影片观看活动，组织“喜迎二十大”黑板报比赛和劳模进校园讲爱国主义党课，将浓厚的爱国情怀注入师生心中。</w:t>
      </w:r>
    </w:p>
    <w:p w14:paraId="72B16A78"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2.广泛搭建活动育人载体。选拔500名学生组成团体操方队，在集团公司运动会闭幕式上表演了精彩的“公交职工</w:t>
      </w:r>
      <w:r w:rsidRPr="00D36246">
        <w:rPr>
          <w:rFonts w:ascii="仿宋_GB2312" w:eastAsia="仿宋_GB2312" w:hAnsi="宋体" w:cs="宋体" w:hint="eastAsia"/>
          <w:kern w:val="0"/>
          <w:sz w:val="28"/>
          <w:szCs w:val="28"/>
        </w:rPr>
        <w:lastRenderedPageBreak/>
        <w:t>抗阻训练工间操”，充分体现了技校学子青春、朝气、健康、进取的精神风貌，进一步强化了学校师生与集团公司的共融共通，提升公交技校形象建设。成功举办“公交技校第十二届学生运动会”，571名学生运动员完成了16个项目的比赛，进一步加强爱国主义、集体主义教育，展现了学生拼搏进取、团结友爱的精神面貌。</w:t>
      </w:r>
    </w:p>
    <w:p w14:paraId="1B4E813F"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3.强化行为规范提高综合素质。重视行为规范宣传教育，促进学生文明自觉意识的形成。切实从学生日常行为规范抓起，仪表、出勤、纪律、卫生、文明礼仪等，要求学生行为举止做到“穿有样、坐有相、行有</w:t>
      </w:r>
      <w:proofErr w:type="gramStart"/>
      <w:r w:rsidRPr="00D36246">
        <w:rPr>
          <w:rFonts w:ascii="仿宋_GB2312" w:eastAsia="仿宋_GB2312" w:hAnsi="宋体" w:cs="宋体" w:hint="eastAsia"/>
          <w:kern w:val="0"/>
          <w:sz w:val="28"/>
          <w:szCs w:val="28"/>
        </w:rPr>
        <w:t>规</w:t>
      </w:r>
      <w:proofErr w:type="gramEnd"/>
      <w:r w:rsidRPr="00D36246">
        <w:rPr>
          <w:rFonts w:ascii="仿宋_GB2312" w:eastAsia="仿宋_GB2312" w:hAnsi="宋体" w:cs="宋体" w:hint="eastAsia"/>
          <w:kern w:val="0"/>
          <w:sz w:val="28"/>
          <w:szCs w:val="28"/>
        </w:rPr>
        <w:t>、言有</w:t>
      </w:r>
      <w:proofErr w:type="gramStart"/>
      <w:r w:rsidRPr="00D36246">
        <w:rPr>
          <w:rFonts w:ascii="仿宋_GB2312" w:eastAsia="仿宋_GB2312" w:hAnsi="宋体" w:cs="宋体" w:hint="eastAsia"/>
          <w:kern w:val="0"/>
          <w:sz w:val="28"/>
          <w:szCs w:val="28"/>
        </w:rPr>
        <w:t>范</w:t>
      </w:r>
      <w:proofErr w:type="gramEnd"/>
      <w:r w:rsidRPr="00D36246">
        <w:rPr>
          <w:rFonts w:ascii="仿宋_GB2312" w:eastAsia="仿宋_GB2312" w:hAnsi="宋体" w:cs="宋体" w:hint="eastAsia"/>
          <w:kern w:val="0"/>
          <w:sz w:val="28"/>
          <w:szCs w:val="28"/>
        </w:rPr>
        <w:t>”知行统一。</w:t>
      </w:r>
    </w:p>
    <w:p w14:paraId="2DC106E9"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监督检查专项整治活动常态化。对学生抽烟饮酒、乱扔乱弃、打架斗殴等行为开展专项整治。以引导教育为主，通过校园广播、升旗仪式、主题班会等形式进行宣传和教育，辅助专项排查，有效预防学生不良行为和违法乱纪现象的发生。</w:t>
      </w:r>
    </w:p>
    <w:p w14:paraId="6132D4E3"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5.持续开展法制教育</w:t>
      </w:r>
      <w:proofErr w:type="gramStart"/>
      <w:r w:rsidRPr="00D36246">
        <w:rPr>
          <w:rFonts w:ascii="仿宋_GB2312" w:eastAsia="仿宋_GB2312" w:hAnsi="宋体" w:cs="宋体" w:hint="eastAsia"/>
          <w:kern w:val="0"/>
          <w:sz w:val="28"/>
          <w:szCs w:val="28"/>
        </w:rPr>
        <w:t>提升尊法意识</w:t>
      </w:r>
      <w:proofErr w:type="gramEnd"/>
      <w:r w:rsidRPr="00D36246">
        <w:rPr>
          <w:rFonts w:ascii="仿宋_GB2312" w:eastAsia="仿宋_GB2312" w:hAnsi="宋体" w:cs="宋体" w:hint="eastAsia"/>
          <w:kern w:val="0"/>
          <w:sz w:val="28"/>
          <w:szCs w:val="28"/>
        </w:rPr>
        <w:t>。开展以“知法于心，守法于行”“预防校园暴力”等为主题的法制讲座，结合青春期青少年身心特点开展预防青少年吸毒、预防校园欺凌教育。</w:t>
      </w:r>
      <w:proofErr w:type="gramStart"/>
      <w:r w:rsidRPr="00D36246">
        <w:rPr>
          <w:rFonts w:ascii="仿宋_GB2312" w:eastAsia="仿宋_GB2312" w:hAnsi="宋体" w:cs="宋体" w:hint="eastAsia"/>
          <w:kern w:val="0"/>
          <w:sz w:val="28"/>
          <w:szCs w:val="28"/>
        </w:rPr>
        <w:t>灌输尊法守法</w:t>
      </w:r>
      <w:proofErr w:type="gramEnd"/>
      <w:r w:rsidRPr="00D36246">
        <w:rPr>
          <w:rFonts w:ascii="仿宋_GB2312" w:eastAsia="仿宋_GB2312" w:hAnsi="宋体" w:cs="宋体" w:hint="eastAsia"/>
          <w:kern w:val="0"/>
          <w:sz w:val="28"/>
          <w:szCs w:val="28"/>
        </w:rPr>
        <w:t>意识，树牢红线意识，时刻反省自身行为，做遵纪守法公民。</w:t>
      </w:r>
    </w:p>
    <w:p w14:paraId="761DE3CD"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6.关注学生心理健康展现人文关怀。完成心理健康发展中心测评工作。依托心理健康发展中心积极组织376名新生开展心理测评，对部分学生开展心理辅导，组织开展了“心理压力疏导”“心理参观日”“心灵绘画我来描”等为主题的丰富多彩的心理健康讲座、观影等活动，有效推动学生心理健康教育活动的开展。</w:t>
      </w:r>
    </w:p>
    <w:p w14:paraId="73B9196B"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7.家校合力助力德育教育。为学生搭建自主管理平台，实现学生自我教育、自我管理的目标。继续发挥学生干部的</w:t>
      </w:r>
      <w:r w:rsidRPr="00D36246">
        <w:rPr>
          <w:rFonts w:ascii="仿宋_GB2312" w:eastAsia="仿宋_GB2312" w:hAnsi="宋体" w:cs="宋体" w:hint="eastAsia"/>
          <w:kern w:val="0"/>
          <w:sz w:val="28"/>
          <w:szCs w:val="28"/>
        </w:rPr>
        <w:lastRenderedPageBreak/>
        <w:t>主体作用，强化学生自我管理意识。从班干部工作的主动性、积极性、协调性等方面，以及班干部如何处理学习与工作的关系，如何处理同学间的关系等方面进行了培训。提高学生干部参与管理的能力和热情，充分发挥学生在学校管理中的积极作用，自觉地约束自己，自觉的影响、带动周边的同学。通过家长会、家委会，有效</w:t>
      </w:r>
      <w:proofErr w:type="gramStart"/>
      <w:r w:rsidRPr="00D36246">
        <w:rPr>
          <w:rFonts w:ascii="仿宋_GB2312" w:eastAsia="仿宋_GB2312" w:hAnsi="宋体" w:cs="宋体" w:hint="eastAsia"/>
          <w:kern w:val="0"/>
          <w:sz w:val="28"/>
          <w:szCs w:val="28"/>
        </w:rPr>
        <w:t>增进家</w:t>
      </w:r>
      <w:proofErr w:type="gramEnd"/>
      <w:r w:rsidRPr="00D36246">
        <w:rPr>
          <w:rFonts w:ascii="仿宋_GB2312" w:eastAsia="仿宋_GB2312" w:hAnsi="宋体" w:cs="宋体" w:hint="eastAsia"/>
          <w:kern w:val="0"/>
          <w:sz w:val="28"/>
          <w:szCs w:val="28"/>
        </w:rPr>
        <w:t>校的了解和沟通。充分利用</w:t>
      </w:r>
      <w:proofErr w:type="gramStart"/>
      <w:r w:rsidRPr="00D36246">
        <w:rPr>
          <w:rFonts w:ascii="仿宋_GB2312" w:eastAsia="仿宋_GB2312" w:hAnsi="宋体" w:cs="宋体" w:hint="eastAsia"/>
          <w:kern w:val="0"/>
          <w:sz w:val="28"/>
          <w:szCs w:val="28"/>
        </w:rPr>
        <w:t>致家长</w:t>
      </w:r>
      <w:proofErr w:type="gramEnd"/>
      <w:r w:rsidRPr="00D36246">
        <w:rPr>
          <w:rFonts w:ascii="仿宋_GB2312" w:eastAsia="仿宋_GB2312" w:hAnsi="宋体" w:cs="宋体" w:hint="eastAsia"/>
          <w:kern w:val="0"/>
          <w:sz w:val="28"/>
          <w:szCs w:val="28"/>
        </w:rPr>
        <w:t>一封信等途径，</w:t>
      </w:r>
      <w:proofErr w:type="gramStart"/>
      <w:r w:rsidRPr="00D36246">
        <w:rPr>
          <w:rFonts w:ascii="仿宋_GB2312" w:eastAsia="仿宋_GB2312" w:hAnsi="宋体" w:cs="宋体" w:hint="eastAsia"/>
          <w:kern w:val="0"/>
          <w:sz w:val="28"/>
          <w:szCs w:val="28"/>
        </w:rPr>
        <w:t>构建家</w:t>
      </w:r>
      <w:proofErr w:type="gramEnd"/>
      <w:r w:rsidRPr="00D36246">
        <w:rPr>
          <w:rFonts w:ascii="仿宋_GB2312" w:eastAsia="仿宋_GB2312" w:hAnsi="宋体" w:cs="宋体" w:hint="eastAsia"/>
          <w:kern w:val="0"/>
          <w:sz w:val="28"/>
          <w:szCs w:val="28"/>
        </w:rPr>
        <w:t>校协作平台和渠道，引导家长有效参与学校管理。整合教育资源，努力形成家、校、社会三位一体的教育合力。</w:t>
      </w:r>
    </w:p>
    <w:p w14:paraId="1F111815"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（六）坚持治理效能，管理水平实现新突破</w:t>
      </w:r>
    </w:p>
    <w:p w14:paraId="6DD59AFE"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技师学院筹建工作稳扎稳打。对标技师学院筹建工作要求和“千分制”评分细则，全面梳理各项存档资料，确保资料齐全、质量达标、特色突出。全年邀请行业专家来校指导验收工作7次，集团公司专班领导亲临现场检查指导3次，不断细化验收准备，经过一年的努力，自评分数993分，达到验收合格标准。</w:t>
      </w:r>
    </w:p>
    <w:p w14:paraId="36A7F969"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绩效考核激励约束持续发力。修订完善学校绩效考核指标库，进一步发挥绩效考核激励制约机制，为各项工作高质量、高效率、高标准开展保驾护航，促进员工与学校共同成长。全年绩效考核165人次，其中高级管理人员7人次、中级管理人员78人次、一般管理人员80人次，共计扣罚金额155298元；工人绩效考核4人次，共计扣罚金额3300元。</w:t>
      </w:r>
    </w:p>
    <w:p w14:paraId="651803CA"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3.督办督查作用显著。按照《督查工作计划》《督导管理程序》全面开展督查督导工作。全年对学校党总支会和校长办公会议定事项执行落实情况开展督查督办12次；按时间节点对学校《年度党政工作折子工程》和技师学院7期工作</w:t>
      </w:r>
      <w:r w:rsidRPr="00D36246">
        <w:rPr>
          <w:rFonts w:ascii="仿宋_GB2312" w:eastAsia="仿宋_GB2312" w:hAnsi="宋体" w:cs="宋体" w:hint="eastAsia"/>
          <w:kern w:val="0"/>
          <w:sz w:val="28"/>
          <w:szCs w:val="28"/>
        </w:rPr>
        <w:lastRenderedPageBreak/>
        <w:t>任务完成情况开展督查督办；对资金支出进度和管理人员OA流程办理等情况督办督查12次；对教师职称评定、教师课时费发放等9项重要工作开展专项督办；对教研组活动等40余项工作进行临时督办。全年共有职工代表18组，36人次参与校园巡视，发现隐患或提出建议55项，对接专业部室完成整改。</w:t>
      </w:r>
    </w:p>
    <w:p w14:paraId="655643A2"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4.质量管理体系质</w:t>
      </w:r>
      <w:proofErr w:type="gramStart"/>
      <w:r w:rsidRPr="00D36246">
        <w:rPr>
          <w:rFonts w:ascii="仿宋_GB2312" w:eastAsia="仿宋_GB2312" w:hAnsi="宋体" w:cs="宋体" w:hint="eastAsia"/>
          <w:kern w:val="0"/>
          <w:sz w:val="28"/>
          <w:szCs w:val="28"/>
        </w:rPr>
        <w:t>保能力</w:t>
      </w:r>
      <w:proofErr w:type="gramEnd"/>
      <w:r w:rsidRPr="00D36246">
        <w:rPr>
          <w:rFonts w:ascii="仿宋_GB2312" w:eastAsia="仿宋_GB2312" w:hAnsi="宋体" w:cs="宋体" w:hint="eastAsia"/>
          <w:kern w:val="0"/>
          <w:sz w:val="28"/>
          <w:szCs w:val="28"/>
        </w:rPr>
        <w:t>不断提升。牢固树立“预防为主”，并贯穿于质量管理体系中，通过预防不合格现象的发生，有效地保证服务质量。认真梳理各项流程，进一步强化各项工作落实，完成了质量管理体系文件修改的指导工作。完成了质量管理体系的内审、外审及管理评审工作，严格按照外</w:t>
      </w:r>
      <w:proofErr w:type="gramStart"/>
      <w:r w:rsidRPr="00D36246">
        <w:rPr>
          <w:rFonts w:ascii="仿宋_GB2312" w:eastAsia="仿宋_GB2312" w:hAnsi="宋体" w:cs="宋体" w:hint="eastAsia"/>
          <w:kern w:val="0"/>
          <w:sz w:val="28"/>
          <w:szCs w:val="28"/>
        </w:rPr>
        <w:t>审提出</w:t>
      </w:r>
      <w:proofErr w:type="gramEnd"/>
      <w:r w:rsidRPr="00D36246">
        <w:rPr>
          <w:rFonts w:ascii="仿宋_GB2312" w:eastAsia="仿宋_GB2312" w:hAnsi="宋体" w:cs="宋体" w:hint="eastAsia"/>
          <w:kern w:val="0"/>
          <w:sz w:val="28"/>
          <w:szCs w:val="28"/>
        </w:rPr>
        <w:t>的11项意见建议进行整改并开展整改验证，同时对内审发现的9项不合格项加以整改，以确保质量管理体系的有效运行。</w:t>
      </w:r>
    </w:p>
    <w:p w14:paraId="396D833B"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5.内控管理有效监管。完善学校内控制度建设，营造良好的内部控制环境，强化内部控制意识。全年对学校规章制度开展两次梳理排查，共梳理出各项制度242个，废止不适应学校发展制度1个，修改完善制度7个，</w:t>
      </w:r>
      <w:proofErr w:type="gramStart"/>
      <w:r w:rsidRPr="00D36246">
        <w:rPr>
          <w:rFonts w:ascii="仿宋_GB2312" w:eastAsia="仿宋_GB2312" w:hAnsi="宋体" w:cs="宋体" w:hint="eastAsia"/>
          <w:kern w:val="0"/>
          <w:sz w:val="28"/>
          <w:szCs w:val="28"/>
        </w:rPr>
        <w:t>新制定</w:t>
      </w:r>
      <w:proofErr w:type="gramEnd"/>
      <w:r w:rsidRPr="00D36246">
        <w:rPr>
          <w:rFonts w:ascii="仿宋_GB2312" w:eastAsia="仿宋_GB2312" w:hAnsi="宋体" w:cs="宋体" w:hint="eastAsia"/>
          <w:kern w:val="0"/>
          <w:sz w:val="28"/>
          <w:szCs w:val="28"/>
        </w:rPr>
        <w:t>规章制度5个。内控检查发现1项工作存在风险，持续开展追踪整改。</w:t>
      </w:r>
    </w:p>
    <w:p w14:paraId="39503F0F"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6.“接诉即办”理念深入人心。建立“接诉即办”月度讲评制度，严肃工作要求和工作流程，切实提高政治站位，切实做好未诉先办，切实消除存在隐患。全年共接到集团公司“接诉即办”管理中心派单33件，同比下降40%，列入集团诉求考核17件，占诉求承办量目标值50件的34%。</w:t>
      </w:r>
    </w:p>
    <w:p w14:paraId="568FE702"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7.档案管理工作逐步完善。接受集团公司2019-2021年度档案专项检查，取得97分较好成绩。指导各部室完成了2021年档案移交工作。持续加大档案整理归档工作力度，完成了文书、会计、合同等档案归档入库工作。依据国家档案</w:t>
      </w:r>
      <w:r w:rsidRPr="00D36246">
        <w:rPr>
          <w:rFonts w:ascii="仿宋_GB2312" w:eastAsia="仿宋_GB2312" w:hAnsi="宋体" w:cs="宋体" w:hint="eastAsia"/>
          <w:kern w:val="0"/>
          <w:sz w:val="28"/>
          <w:szCs w:val="28"/>
        </w:rPr>
        <w:lastRenderedPageBreak/>
        <w:t>局第十号令及集团公司要求，修订</w:t>
      </w:r>
      <w:proofErr w:type="gramStart"/>
      <w:r w:rsidRPr="00D36246">
        <w:rPr>
          <w:rFonts w:ascii="仿宋_GB2312" w:eastAsia="仿宋_GB2312" w:hAnsi="宋体" w:cs="宋体" w:hint="eastAsia"/>
          <w:kern w:val="0"/>
          <w:sz w:val="28"/>
          <w:szCs w:val="28"/>
        </w:rPr>
        <w:t>完善原</w:t>
      </w:r>
      <w:proofErr w:type="gramEnd"/>
      <w:r w:rsidRPr="00D36246">
        <w:rPr>
          <w:rFonts w:ascii="仿宋_GB2312" w:eastAsia="仿宋_GB2312" w:hAnsi="宋体" w:cs="宋体" w:hint="eastAsia"/>
          <w:kern w:val="0"/>
          <w:sz w:val="28"/>
          <w:szCs w:val="28"/>
        </w:rPr>
        <w:t>《北京市公共交通高级技工学校管理类文件归档范围和保管期限表》。</w:t>
      </w:r>
    </w:p>
    <w:p w14:paraId="699E1948"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8.公务车管理力度持续增强。严格执行《公交技校公务车管理规定》等各项制度，建立公务车管理台账。学校6部公务用车实行“一车一档”，每月登记每辆车的各项费用，车辆技术档案资料由专人负责保管。全面启用公务车管理平台，开展公务车管理平台使用培训，严格公务车审批流程，对公务车检查中发现的问题开展整改。</w:t>
      </w:r>
    </w:p>
    <w:p w14:paraId="713CCC06"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9.预算管理意识逐步提升。科学合理编制学校收支计划，制定公交技校2022年资金预算方案，严格执行预算管理，积极开展财务分析工作，对预算执行过程进行控制和管理，合理配置学校资源，保证资金的合理使用和正常运行，切实提高预算执行能力。积极开发使用</w:t>
      </w:r>
      <w:proofErr w:type="gramStart"/>
      <w:r w:rsidRPr="00D36246">
        <w:rPr>
          <w:rFonts w:ascii="仿宋_GB2312" w:eastAsia="仿宋_GB2312" w:hAnsi="宋体" w:cs="宋体" w:hint="eastAsia"/>
          <w:kern w:val="0"/>
          <w:sz w:val="28"/>
          <w:szCs w:val="28"/>
        </w:rPr>
        <w:t>用</w:t>
      </w:r>
      <w:proofErr w:type="gramEnd"/>
      <w:r w:rsidRPr="00D36246">
        <w:rPr>
          <w:rFonts w:ascii="仿宋_GB2312" w:eastAsia="仿宋_GB2312" w:hAnsi="宋体" w:cs="宋体" w:hint="eastAsia"/>
          <w:kern w:val="0"/>
          <w:sz w:val="28"/>
          <w:szCs w:val="28"/>
        </w:rPr>
        <w:t>友财务软件中的预算模块功能，让学校的决策变得更快速更准确。</w:t>
      </w:r>
    </w:p>
    <w:p w14:paraId="446BFF76"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10.合同管理“放管服”精准有效。深入推进依法治校，全面提升管理水平，严格落实法</w:t>
      </w:r>
      <w:proofErr w:type="gramStart"/>
      <w:r w:rsidRPr="00D36246">
        <w:rPr>
          <w:rFonts w:ascii="仿宋_GB2312" w:eastAsia="仿宋_GB2312" w:hAnsi="宋体" w:cs="宋体" w:hint="eastAsia"/>
          <w:kern w:val="0"/>
          <w:sz w:val="28"/>
          <w:szCs w:val="28"/>
        </w:rPr>
        <w:t>务</w:t>
      </w:r>
      <w:proofErr w:type="gramEnd"/>
      <w:r w:rsidRPr="00D36246">
        <w:rPr>
          <w:rFonts w:ascii="仿宋_GB2312" w:eastAsia="仿宋_GB2312" w:hAnsi="宋体" w:cs="宋体" w:hint="eastAsia"/>
          <w:kern w:val="0"/>
          <w:sz w:val="28"/>
          <w:szCs w:val="28"/>
        </w:rPr>
        <w:t>360°合同审核要求，按照合同管理“放管服”试行办法及学校合同管理实施细则认真落实审核把关，积极发挥外聘律师作用，简化合同审批流程，提高办理效率。坚持依法管理、依法维权、依法监督，全年累计审核合同275份，涉及金额3910.532万元。</w:t>
      </w:r>
    </w:p>
    <w:p w14:paraId="7E342050"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（七）坚持基础建设，办学条件逐步提升</w:t>
      </w:r>
    </w:p>
    <w:p w14:paraId="30C8A416"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积极改善办学条件。全年完成基本建设工程10项，总计投入资金2100余万元。包含学生公寓楼、教学楼和办公楼安装电梯项目；消防改造项目；学校各建筑外立面综合维修项目；北郊职工培训中心装修改造项目；学生公寓、教室及宿舍维修改造项目；电力增容项目；烟感报警系统安装项目等。为学生、学员、教职员工提供温馨舒适安全的学习、工作、生活环境，提升校园整体形象。</w:t>
      </w:r>
    </w:p>
    <w:p w14:paraId="1C4B9FC2"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lastRenderedPageBreak/>
        <w:t>2.加快“数字化校园”建设步伐。不断加大信息化建设投入，进一步优化信息技术环境，扩大信息技术应用范围，以最优质的信息技术资源为教育教学服务。完成了第六机房的建设工作，为教学提供了急需的实操环境场地，满足了学生实操需要；完成了学校办公互联网专线的接入工作，保障了学校互联网的办公需求；完成了一体化教学培训平台服务项目，保障了疫情期间线上教学的需要；完成了学校视频整合、校园文化信息发布、五楼会议室和操场音响设备更新、北郊职工培训中心教室信息化设备、实</w:t>
      </w:r>
      <w:proofErr w:type="gramStart"/>
      <w:r w:rsidRPr="00D36246">
        <w:rPr>
          <w:rFonts w:ascii="仿宋_GB2312" w:eastAsia="仿宋_GB2312" w:hAnsi="宋体" w:cs="宋体" w:hint="eastAsia"/>
          <w:kern w:val="0"/>
          <w:sz w:val="28"/>
          <w:szCs w:val="28"/>
        </w:rPr>
        <w:t>训教室电子</w:t>
      </w:r>
      <w:proofErr w:type="gramEnd"/>
      <w:r w:rsidRPr="00D36246">
        <w:rPr>
          <w:rFonts w:ascii="仿宋_GB2312" w:eastAsia="仿宋_GB2312" w:hAnsi="宋体" w:cs="宋体" w:hint="eastAsia"/>
          <w:kern w:val="0"/>
          <w:sz w:val="28"/>
          <w:szCs w:val="28"/>
        </w:rPr>
        <w:t>黑板安装实施等项目。</w:t>
      </w:r>
    </w:p>
    <w:p w14:paraId="1C3C9F0F"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（八）坚持安全治理，实现校园安全稳定</w:t>
      </w:r>
    </w:p>
    <w:p w14:paraId="5CAEC429"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狠抓疫情防控落实“四方责任”。面对三年来最严峻疫情考验，坚决落实四方责任，坚持以快制快。落实员工和外协人员一体化管理，严格常态化疫情防控措施。做好防疫物资储备发放工作，累计发放口罩99979个、抗原检测试剂2550支。完成人员核酸检测69800人次，环境监测共计1507件次。持续推进疫苗接种，第三针接种率达到99.06%。</w:t>
      </w:r>
    </w:p>
    <w:p w14:paraId="37A83E33"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2.狠抓</w:t>
      </w:r>
      <w:proofErr w:type="gramStart"/>
      <w:r w:rsidRPr="00D36246">
        <w:rPr>
          <w:rFonts w:ascii="仿宋_GB2312" w:eastAsia="仿宋_GB2312" w:hAnsi="宋体" w:cs="宋体" w:hint="eastAsia"/>
          <w:kern w:val="0"/>
          <w:sz w:val="28"/>
          <w:szCs w:val="28"/>
        </w:rPr>
        <w:t>安全维稳责任</w:t>
      </w:r>
      <w:proofErr w:type="gramEnd"/>
      <w:r w:rsidRPr="00D36246">
        <w:rPr>
          <w:rFonts w:ascii="仿宋_GB2312" w:eastAsia="仿宋_GB2312" w:hAnsi="宋体" w:cs="宋体" w:hint="eastAsia"/>
          <w:kern w:val="0"/>
          <w:sz w:val="28"/>
          <w:szCs w:val="28"/>
        </w:rPr>
        <w:t>构建和谐校园。一是完善校园安全体系建设，结合学校实际情况，对学校安委会组织架构进行梳理，成立了校园安全委员会，强化学生的安全管理工作。制定了《校园安全教育制度》《公交技校关于迎保党的二十大安全维稳工作方案》等11项相关安全管理制度及工作方案；与各类人群和部室签订安全生产责任书和承诺书，签订率100%。二是结合实际情况开展有针对性地实战演练。全年共开展应急处突、电动自行车火灾实战、电梯应急等各种演练11次，共计845人次参加。通过开展演练，使教职工、学生和外聘人员的应急能力得到有效地提升。三是对学校全体教职工及专兼职驾驶员进行安全专项教育30次，共教育2977人。四是开展安全生产专项检查12次，出动303人</w:t>
      </w:r>
      <w:r w:rsidRPr="00D36246">
        <w:rPr>
          <w:rFonts w:ascii="仿宋_GB2312" w:eastAsia="仿宋_GB2312" w:hAnsi="宋体" w:cs="宋体" w:hint="eastAsia"/>
          <w:kern w:val="0"/>
          <w:sz w:val="28"/>
          <w:szCs w:val="28"/>
        </w:rPr>
        <w:lastRenderedPageBreak/>
        <w:t>次，检查118项次，共计查出问题63件次，下达安全生产整改通知书12份，问题均已完成整改，日常安全巡查共98次。五是重大政治活动及节假日前对学校全体教职工进行了重点矛盾纠纷和信访重点人员排查，全年进行11次，共计1668人次的摸排，无不稳定因素。六是严格落实领导干部信访接待日制度，全年领导班子成员共24人次在岗接待群众来访。七是为加大安全防控力度，增强火灾早期发现和扑救能力，学校投资111.77万元，在学生公寓、教师公寓加装了烟感报警系统；投资393.58万元，实施了消防改造项目，增强了学校火灾早期发现和应急处置能力。八是投入资金18.96万元完成第三期校园绿化工程，种植象征十年树木百年树人的银杏树、三色堇等植物，改善校园景观，为全体师生创造安心舒适的校园氛围。</w:t>
      </w:r>
    </w:p>
    <w:p w14:paraId="4C66F42E"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3.狠抓信息网络安全。节日及二十大期间等重要时期，按照集团公司信息安全要求，对重要信息系统进行全面检查，关闭了非必要的互联网信息系统，按照集团发布信息进行了IP地址、域名的封禁及防火墙策略优化工作。定期进行网络设备和信息系统的备份工作，确保网络信息系统的安全稳定运行；完成了房山区公安机关网络和数据安全监督检查自查采集工作，并将检查结果提交至公安机关网络安全等级保护综合服务平台；按照市国资委和集团公司要求，改造完成了学校门户网站和教学信息平台IPV6升级改造工作。</w:t>
      </w:r>
    </w:p>
    <w:p w14:paraId="24B277C2"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（九）坚持全面从严治党，思想文化建设凝心聚力</w:t>
      </w:r>
    </w:p>
    <w:p w14:paraId="6DA9084B"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1.思想理论建设达到新高度。全面落实党史学习教育、十九届六中全会和党的二十大精神各项学习任务，始终把学习贯彻习近平新时代中国特色社会主义思想作为首要政治任务，坚持党总支中心组学习“龙头”引领；以“喜迎二十大”</w:t>
      </w:r>
      <w:r w:rsidRPr="00D36246">
        <w:rPr>
          <w:rFonts w:ascii="仿宋_GB2312" w:eastAsia="仿宋_GB2312" w:hAnsi="宋体" w:cs="宋体" w:hint="eastAsia"/>
          <w:kern w:val="0"/>
          <w:sz w:val="28"/>
          <w:szCs w:val="28"/>
        </w:rPr>
        <w:lastRenderedPageBreak/>
        <w:t>为主题开展系列活动，组织学生志愿者和教师代表参加</w:t>
      </w:r>
      <w:proofErr w:type="gramStart"/>
      <w:r w:rsidRPr="00D36246">
        <w:rPr>
          <w:rFonts w:ascii="仿宋_GB2312" w:eastAsia="仿宋_GB2312" w:hAnsi="宋体" w:cs="宋体" w:hint="eastAsia"/>
          <w:kern w:val="0"/>
          <w:sz w:val="28"/>
          <w:szCs w:val="28"/>
        </w:rPr>
        <w:t>迎保党</w:t>
      </w:r>
      <w:proofErr w:type="gramEnd"/>
      <w:r w:rsidRPr="00D36246">
        <w:rPr>
          <w:rFonts w:ascii="仿宋_GB2312" w:eastAsia="仿宋_GB2312" w:hAnsi="宋体" w:cs="宋体" w:hint="eastAsia"/>
          <w:kern w:val="0"/>
          <w:sz w:val="28"/>
          <w:szCs w:val="28"/>
        </w:rPr>
        <w:t>的二十大志愿服务，迅速掀起学习宣传贯彻党的二十大精神热潮。</w:t>
      </w:r>
    </w:p>
    <w:p w14:paraId="08B015A4"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2.意识形态管控守住警戒线。明确2022年度意识形态工作责任清单125项责任内容。针对北京冬奥会冬残奥会、全国“两会”、北京市第十三次党代会等重大敏感时间节点、党的二十大等重大敏感时间节点、重大舆情热点专题分析</w:t>
      </w:r>
      <w:proofErr w:type="gramStart"/>
      <w:r w:rsidRPr="00D36246">
        <w:rPr>
          <w:rFonts w:ascii="仿宋_GB2312" w:eastAsia="仿宋_GB2312" w:hAnsi="宋体" w:cs="宋体" w:hint="eastAsia"/>
          <w:kern w:val="0"/>
          <w:sz w:val="28"/>
          <w:szCs w:val="28"/>
        </w:rPr>
        <w:t>研</w:t>
      </w:r>
      <w:proofErr w:type="gramEnd"/>
      <w:r w:rsidRPr="00D36246">
        <w:rPr>
          <w:rFonts w:ascii="仿宋_GB2312" w:eastAsia="仿宋_GB2312" w:hAnsi="宋体" w:cs="宋体" w:hint="eastAsia"/>
          <w:kern w:val="0"/>
          <w:sz w:val="28"/>
          <w:szCs w:val="28"/>
        </w:rPr>
        <w:t>判4次，重点强化了宣传阵地点位和教案教材的分级分类审核要求，确保学校意识形态领域平稳安全。</w:t>
      </w:r>
    </w:p>
    <w:p w14:paraId="663AF9BC"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3.干部队伍建设提升战斗力。建立教师借用管理工作机制，搭建并打通了培养年轻干部的平台和通道。制定了《公交技校党总支贯彻落实集团公司“十四五”时期人才发展规划重点任务的实施方案》，不断优化人才队伍结构，建设与学校发展相匹配的高素质专业化管理人才和教师队伍，让干部能上能下成为工作常态，让干事创业成为干部员工的主旋律。</w:t>
      </w:r>
    </w:p>
    <w:p w14:paraId="7F8B943C"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4.党风廉政建设发挥威慑力。学校领导班子深入学习贯彻《集团公司党委贯彻落实〈北京市关于加强对“一把手”和领导班子监督的若干措施〉任务安排》，当好学校发展的领头雁。召开了学校2022年全面从严治党工作会，确保全面从严治党工作有部署、有落实、有担当。针对节日、重点时期围绕“中央八项规定”、疫情防控、安全生产等重点领域开展警示教育和监督检查工作60余次。强化党风廉政宣传阵地建设，每季度制作学校《走进勤廉》期刊，树牢红线意识、坚守底线思维。</w:t>
      </w:r>
    </w:p>
    <w:p w14:paraId="28C2B410"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5.精神文明建设展现新风貌。紧扣喜迎党的二十大主线，围绕筹建技师学院重大任务，挖掘学校教育教学改革、教</w:t>
      </w:r>
      <w:r w:rsidRPr="00D36246">
        <w:rPr>
          <w:rFonts w:ascii="仿宋_GB2312" w:eastAsia="仿宋_GB2312" w:hAnsi="宋体" w:cs="宋体" w:hint="eastAsia"/>
          <w:kern w:val="0"/>
          <w:sz w:val="28"/>
          <w:szCs w:val="28"/>
        </w:rPr>
        <w:lastRenderedPageBreak/>
        <w:t>师队伍建设、思政和德育活动、疫情防控工作等特色成果、先进典型事迹和荣誉等亮点，多渠道发力开展宣传报道工作，号召全体教职工学习身边的先进榜样，汲取奋进力量，进一步营造学习先进、争当先进的浓厚氛围。</w:t>
      </w:r>
    </w:p>
    <w:p w14:paraId="5082A3CD" w14:textId="77777777" w:rsidR="003C7D23" w:rsidRPr="00D36246" w:rsidRDefault="003C7D23" w:rsidP="003C7D23">
      <w:pPr>
        <w:spacing w:line="600" w:lineRule="exact"/>
        <w:ind w:firstLineChars="200" w:firstLine="560"/>
        <w:rPr>
          <w:rFonts w:ascii="仿宋_GB2312" w:eastAsia="仿宋_GB2312" w:hAnsi="宋体" w:cs="宋体"/>
          <w:kern w:val="0"/>
          <w:sz w:val="28"/>
          <w:szCs w:val="28"/>
        </w:rPr>
      </w:pPr>
      <w:r w:rsidRPr="00D36246">
        <w:rPr>
          <w:rFonts w:ascii="仿宋_GB2312" w:eastAsia="仿宋_GB2312" w:hAnsi="宋体" w:cs="宋体" w:hint="eastAsia"/>
          <w:kern w:val="0"/>
          <w:sz w:val="28"/>
          <w:szCs w:val="28"/>
        </w:rPr>
        <w:t>6.群团工作提升新温度。一是工会坚持以职工代表大会为基本形式的民主管理制度，大力推进校务公开，落实职工知情权，加强民主管理；组织开展教学基本功竞赛和厨师的岗位练兵活动，提高教学质量和劳动技能水平的同时，凝聚了职工队伍；坚持夏送凉爽、冬送温暖，节日普惠、生日慰问会员等关爱职工办实事工作机制，送凉爽送温暖慰问职工，共投入经费1.92万元，慰问劳模先进、困难职工9户，支出慰问款物1.17万元；落实防控疫情工作，购置消毒洗手液320瓶，酒精消毒湿纸巾320包 ，防护口罩32000个，为疫情期间坚守岗位的教职工做好服务工作；开展职工运动会、职工健步走等系列活动，丰富校园文化生活；组织500名学生在集团公司第七届职工运动会闭幕式上进行了团体操展示，受到了各级领导的关注和好评；2022年12月学校被中国海员建设工会全国委员会命名为首批“交通建设产业工匠学院”。二是共青团工作凝聚青年力量。组织团员代表、班干部代表和学生代表40余人集中收看了中国共产党第二十次全国代表大会开幕式盛况，召开青年学思</w:t>
      </w:r>
      <w:proofErr w:type="gramStart"/>
      <w:r w:rsidRPr="00D36246">
        <w:rPr>
          <w:rFonts w:ascii="仿宋_GB2312" w:eastAsia="仿宋_GB2312" w:hAnsi="宋体" w:cs="宋体" w:hint="eastAsia"/>
          <w:kern w:val="0"/>
          <w:sz w:val="28"/>
          <w:szCs w:val="28"/>
        </w:rPr>
        <w:t>践</w:t>
      </w:r>
      <w:proofErr w:type="gramEnd"/>
      <w:r w:rsidRPr="00D36246">
        <w:rPr>
          <w:rFonts w:ascii="仿宋_GB2312" w:eastAsia="仿宋_GB2312" w:hAnsi="宋体" w:cs="宋体" w:hint="eastAsia"/>
          <w:kern w:val="0"/>
          <w:sz w:val="28"/>
          <w:szCs w:val="28"/>
        </w:rPr>
        <w:t>悟分享会，畅谈心得体会。全年开展“青年大学习”主题团课学习活动25次，组织团员青年6158人进行线上学习，学习参与率115%。开展全国青年岗位能手专题宣讲活动，</w:t>
      </w:r>
      <w:proofErr w:type="gramStart"/>
      <w:r w:rsidRPr="00D36246">
        <w:rPr>
          <w:rFonts w:ascii="仿宋_GB2312" w:eastAsia="仿宋_GB2312" w:hAnsi="宋体" w:cs="宋体" w:hint="eastAsia"/>
          <w:kern w:val="0"/>
          <w:sz w:val="28"/>
          <w:szCs w:val="28"/>
        </w:rPr>
        <w:t>客五分公司</w:t>
      </w:r>
      <w:proofErr w:type="gramEnd"/>
      <w:r w:rsidRPr="00D36246">
        <w:rPr>
          <w:rFonts w:ascii="仿宋_GB2312" w:eastAsia="仿宋_GB2312" w:hAnsi="宋体" w:cs="宋体" w:hint="eastAsia"/>
          <w:kern w:val="0"/>
          <w:sz w:val="28"/>
          <w:szCs w:val="28"/>
        </w:rPr>
        <w:t>调度员</w:t>
      </w:r>
      <w:proofErr w:type="gramStart"/>
      <w:r w:rsidRPr="00D36246">
        <w:rPr>
          <w:rFonts w:ascii="仿宋_GB2312" w:eastAsia="仿宋_GB2312" w:hAnsi="宋体" w:cs="宋体" w:hint="eastAsia"/>
          <w:kern w:val="0"/>
          <w:sz w:val="28"/>
          <w:szCs w:val="28"/>
        </w:rPr>
        <w:t>崔</w:t>
      </w:r>
      <w:proofErr w:type="gramEnd"/>
      <w:r w:rsidRPr="00D36246">
        <w:rPr>
          <w:rFonts w:ascii="微软雅黑" w:eastAsia="微软雅黑" w:hAnsi="微软雅黑" w:cs="微软雅黑" w:hint="eastAsia"/>
          <w:kern w:val="0"/>
          <w:sz w:val="28"/>
          <w:szCs w:val="28"/>
        </w:rPr>
        <w:t>嫚</w:t>
      </w:r>
      <w:r w:rsidRPr="00D36246">
        <w:rPr>
          <w:rFonts w:ascii="仿宋_GB2312" w:eastAsia="仿宋_GB2312" w:hAnsi="仿宋_GB2312" w:cs="仿宋_GB2312" w:hint="eastAsia"/>
          <w:kern w:val="0"/>
          <w:sz w:val="28"/>
          <w:szCs w:val="28"/>
        </w:rPr>
        <w:t>以《守初心</w:t>
      </w:r>
      <w:r w:rsidRPr="00D36246">
        <w:rPr>
          <w:rFonts w:ascii="仿宋_GB2312" w:eastAsia="仿宋_GB2312" w:hAnsi="宋体" w:cs="宋体" w:hint="eastAsia"/>
          <w:kern w:val="0"/>
          <w:sz w:val="28"/>
          <w:szCs w:val="28"/>
        </w:rPr>
        <w:t xml:space="preserve"> 精准调度 发挥青年榜样力量》为题为学校50余名师生进行宣讲。“两会”期间，开展“弘扬雷锋精神、争做文明学生—迎保两会”志愿服务活动，组织学生志愿者和教师代表共100人，开展了</w:t>
      </w:r>
      <w:proofErr w:type="gramStart"/>
      <w:r w:rsidRPr="00D36246">
        <w:rPr>
          <w:rFonts w:ascii="仿宋_GB2312" w:eastAsia="仿宋_GB2312" w:hAnsi="宋体" w:cs="宋体" w:hint="eastAsia"/>
          <w:kern w:val="0"/>
          <w:sz w:val="28"/>
          <w:szCs w:val="28"/>
        </w:rPr>
        <w:t>迎保党</w:t>
      </w:r>
      <w:proofErr w:type="gramEnd"/>
      <w:r w:rsidRPr="00D36246">
        <w:rPr>
          <w:rFonts w:ascii="仿宋_GB2312" w:eastAsia="仿宋_GB2312" w:hAnsi="宋体" w:cs="宋体" w:hint="eastAsia"/>
          <w:kern w:val="0"/>
          <w:sz w:val="28"/>
          <w:szCs w:val="28"/>
        </w:rPr>
        <w:t>的二十大志愿服务活动。持续做好学生社团活动组织，新组建学生社团3个，全年共备案学生社团18个，遵循学生主导的原则，全年开展社团</w:t>
      </w:r>
      <w:r w:rsidRPr="00D36246">
        <w:rPr>
          <w:rFonts w:ascii="仿宋_GB2312" w:eastAsia="仿宋_GB2312" w:hAnsi="宋体" w:cs="宋体" w:hint="eastAsia"/>
          <w:kern w:val="0"/>
          <w:sz w:val="28"/>
          <w:szCs w:val="28"/>
        </w:rPr>
        <w:lastRenderedPageBreak/>
        <w:t>活动34次。通过丰富多彩的学生活动，提升青年素质，打造学校德育工作新亮点。</w:t>
      </w:r>
    </w:p>
    <w:p w14:paraId="3ED2CF15" w14:textId="77777777" w:rsidR="003C7D23" w:rsidRPr="00D36246" w:rsidRDefault="003C7D23" w:rsidP="003C7D23">
      <w:pPr>
        <w:spacing w:line="600" w:lineRule="exact"/>
        <w:ind w:firstLineChars="200" w:firstLine="560"/>
        <w:rPr>
          <w:rFonts w:ascii="黑体" w:eastAsia="黑体" w:hAnsi="黑体" w:cs="宋体"/>
          <w:color w:val="000000"/>
          <w:kern w:val="0"/>
          <w:sz w:val="28"/>
          <w:szCs w:val="28"/>
        </w:rPr>
      </w:pPr>
      <w:r w:rsidRPr="00D36246">
        <w:rPr>
          <w:rFonts w:ascii="黑体" w:eastAsia="黑体" w:hAnsi="黑体" w:cs="宋体" w:hint="eastAsia"/>
          <w:color w:val="000000"/>
          <w:kern w:val="0"/>
          <w:sz w:val="28"/>
          <w:szCs w:val="28"/>
        </w:rPr>
        <w:t>四</w:t>
      </w:r>
      <w:r w:rsidRPr="00D36246">
        <w:rPr>
          <w:rFonts w:ascii="黑体" w:eastAsia="黑体" w:hAnsi="黑体" w:cs="宋体"/>
          <w:color w:val="000000"/>
          <w:kern w:val="0"/>
          <w:sz w:val="28"/>
          <w:szCs w:val="28"/>
        </w:rPr>
        <w:t>、预算管理</w:t>
      </w:r>
      <w:r w:rsidRPr="00D36246">
        <w:rPr>
          <w:rFonts w:ascii="黑体" w:eastAsia="黑体" w:hAnsi="黑体" w:cs="宋体" w:hint="eastAsia"/>
          <w:color w:val="000000"/>
          <w:kern w:val="0"/>
          <w:sz w:val="28"/>
          <w:szCs w:val="28"/>
        </w:rPr>
        <w:t>情况分</w:t>
      </w:r>
      <w:r w:rsidRPr="00D36246">
        <w:rPr>
          <w:rFonts w:ascii="黑体" w:eastAsia="黑体" w:hAnsi="黑体" w:cs="宋体"/>
          <w:color w:val="000000"/>
          <w:kern w:val="0"/>
          <w:sz w:val="28"/>
          <w:szCs w:val="28"/>
        </w:rPr>
        <w:t>析</w:t>
      </w:r>
    </w:p>
    <w:p w14:paraId="385F29C7" w14:textId="77777777" w:rsidR="003C7D23" w:rsidRPr="00D36246" w:rsidRDefault="003C7D23" w:rsidP="003C7D23">
      <w:pPr>
        <w:spacing w:line="600" w:lineRule="exact"/>
        <w:ind w:leftChars="50" w:left="105" w:firstLineChars="150" w:firstLine="420"/>
        <w:rPr>
          <w:rFonts w:ascii="楷体_GB2312" w:eastAsia="楷体_GB2312"/>
          <w:sz w:val="28"/>
          <w:szCs w:val="28"/>
        </w:rPr>
      </w:pPr>
      <w:r w:rsidRPr="00D36246">
        <w:rPr>
          <w:rFonts w:ascii="楷体_GB2312" w:eastAsia="楷体_GB2312" w:hint="eastAsia"/>
          <w:sz w:val="28"/>
          <w:szCs w:val="28"/>
        </w:rPr>
        <w:t>（一）财务管理</w:t>
      </w:r>
    </w:p>
    <w:p w14:paraId="35D28645" w14:textId="77777777" w:rsidR="003C7D23" w:rsidRPr="00D36246" w:rsidRDefault="003C7D23" w:rsidP="003C7D23">
      <w:pPr>
        <w:spacing w:line="60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1.财务管理制度健全性</w:t>
      </w:r>
    </w:p>
    <w:p w14:paraId="6875C9C6" w14:textId="77777777" w:rsidR="003C7D23" w:rsidRPr="00D36246" w:rsidRDefault="003C7D23" w:rsidP="003C7D23">
      <w:pPr>
        <w:spacing w:line="600" w:lineRule="exact"/>
        <w:ind w:leftChars="50" w:left="105"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在财务信息方面，公交技校为加强财政财务管理工作，明确预算管理的权限，维护财经纪律，更好地服务保障教育教学管理工作，保证各项重点任务的顺利完成。根据《中华人民共和国会计法》《中华人民共和国预算法》及市财政的有关规定，结合公交技校实际情况，制定了《公交技校预决算管理办法》《公交技校资金管理办法》《公交技校项目支出预算管理办法》《北京市公共交通高级技工学校全面预算管理实施细则》《公交技校政府采购财务管理制度》《公交技校固定资产无形资产、存货财务管理制度》等，办法中对各会计机构人员以及会计核算、财务的预决算管理、收入支出管理、经费审批权限、票据管理、银行账户管理、政府采购管理、固定资产管理、债权债务管理、财务报告和财务分析、财务内控管理等方面进行了规范。对各项资金适用范围、资金管理归口部门、资金使用的审核批准、资金的报销、资金使用的监督检查等进行了规范。</w:t>
      </w:r>
    </w:p>
    <w:p w14:paraId="09CAA06D" w14:textId="77777777" w:rsidR="003C7D23" w:rsidRPr="00D36246" w:rsidRDefault="003C7D23" w:rsidP="003C7D23">
      <w:pPr>
        <w:spacing w:line="560" w:lineRule="exact"/>
        <w:ind w:leftChars="200" w:left="420" w:firstLineChars="100" w:firstLine="28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2.资金使用合</w:t>
      </w:r>
      <w:proofErr w:type="gramStart"/>
      <w:r w:rsidRPr="00D36246">
        <w:rPr>
          <w:rFonts w:ascii="仿宋_GB2312" w:eastAsia="仿宋_GB2312" w:hAnsi="宋体" w:cs="宋体" w:hint="eastAsia"/>
          <w:color w:val="000000"/>
          <w:kern w:val="0"/>
          <w:sz w:val="28"/>
          <w:szCs w:val="28"/>
        </w:rPr>
        <w:t>规</w:t>
      </w:r>
      <w:proofErr w:type="gramEnd"/>
      <w:r w:rsidRPr="00D36246">
        <w:rPr>
          <w:rFonts w:ascii="仿宋_GB2312" w:eastAsia="仿宋_GB2312" w:hAnsi="宋体" w:cs="宋体" w:hint="eastAsia"/>
          <w:color w:val="000000"/>
          <w:kern w:val="0"/>
          <w:sz w:val="28"/>
          <w:szCs w:val="28"/>
        </w:rPr>
        <w:t>性和安全性</w:t>
      </w:r>
    </w:p>
    <w:p w14:paraId="3D7933DD" w14:textId="77777777" w:rsidR="003C7D23" w:rsidRPr="00D36246" w:rsidRDefault="003C7D23" w:rsidP="003C7D23">
      <w:pPr>
        <w:spacing w:line="560" w:lineRule="exact"/>
        <w:ind w:firstLineChars="250" w:firstLine="70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合理设置了收支业务管理岗位并明确岗位职责；收费业务归口管理、统一核算；对各类票据、印章的保管、申领、启用、销毁等进行了有效控制，避免了收入、资金流失的风险；对支出事项严格审核和审批，确保支出范围和标准符合预算或相关法规的规定；同时对支出进行跟踪分析和绩效评价，以避免资金浪费、使用效率</w:t>
      </w:r>
      <w:proofErr w:type="gramStart"/>
      <w:r w:rsidRPr="00D36246">
        <w:rPr>
          <w:rFonts w:ascii="仿宋_GB2312" w:eastAsia="仿宋_GB2312" w:hAnsi="宋体" w:cs="宋体" w:hint="eastAsia"/>
          <w:color w:val="000000"/>
          <w:kern w:val="0"/>
          <w:sz w:val="28"/>
          <w:szCs w:val="28"/>
        </w:rPr>
        <w:t>不</w:t>
      </w:r>
      <w:proofErr w:type="gramEnd"/>
      <w:r w:rsidRPr="00D36246">
        <w:rPr>
          <w:rFonts w:ascii="仿宋_GB2312" w:eastAsia="仿宋_GB2312" w:hAnsi="宋体" w:cs="宋体" w:hint="eastAsia"/>
          <w:color w:val="000000"/>
          <w:kern w:val="0"/>
          <w:sz w:val="28"/>
          <w:szCs w:val="28"/>
        </w:rPr>
        <w:t>高等风险。</w:t>
      </w:r>
    </w:p>
    <w:p w14:paraId="6DC77CF3"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lastRenderedPageBreak/>
        <w:t>3.会计基础信息完善性</w:t>
      </w:r>
    </w:p>
    <w:p w14:paraId="1911640D"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为更好适应行政事业单位财务发展趋势，公交技校注重会计核算责任落实，依法规范会计核算，提高会计核算人员自身专业理论知识和业务技术水平。结合党史学习教育，督促工作人员恪尽职守，规范会计核算业务行为，切实把会计核算工作做好。注重强化会计监督工作，注重使用内审、年度预算执行审计等外部监督手段，督促提高会计核算信息质量，确保会计工作严格在法律、法规、制度的范围内开展业务工作，保证会计基础信息的完整真实。</w:t>
      </w:r>
    </w:p>
    <w:p w14:paraId="4B37FE3F"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（二）资产管理</w:t>
      </w:r>
    </w:p>
    <w:p w14:paraId="3E218137"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公交技校定期编制银行存款余额调节表。库存现金经盘点账</w:t>
      </w:r>
      <w:proofErr w:type="gramStart"/>
      <w:r w:rsidRPr="00D36246">
        <w:rPr>
          <w:rFonts w:ascii="仿宋_GB2312" w:eastAsia="仿宋_GB2312" w:hAnsi="宋体" w:cs="宋体" w:hint="eastAsia"/>
          <w:color w:val="000000"/>
          <w:kern w:val="0"/>
          <w:sz w:val="28"/>
          <w:szCs w:val="28"/>
        </w:rPr>
        <w:t>账</w:t>
      </w:r>
      <w:proofErr w:type="gramEnd"/>
      <w:r w:rsidRPr="00D36246">
        <w:rPr>
          <w:rFonts w:ascii="仿宋_GB2312" w:eastAsia="仿宋_GB2312" w:hAnsi="宋体" w:cs="宋体" w:hint="eastAsia"/>
          <w:color w:val="000000"/>
          <w:kern w:val="0"/>
          <w:sz w:val="28"/>
          <w:szCs w:val="28"/>
        </w:rPr>
        <w:t>相符、账实相符。公交技校对货币资金相关岗位进行了相互分离，对预留印鉴和银行账户进行严格的管理与监督；对固定资产、存货等实物资产实行归口管理，建立台账，加大日常保管力度并定期盘点，按规定程序处置资产；明确了资产归口管理部门、使用部门及其相关岗位的职责权限，细化了资产配置、验收、使用、管理、核算、盘点、处置、分析、监督和绩效评价等各个环节的工作流程、管理要求和责任追究机制等相关内容。</w:t>
      </w:r>
    </w:p>
    <w:p w14:paraId="2666FC04"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（三）绩效</w:t>
      </w:r>
      <w:r w:rsidRPr="00D36246">
        <w:rPr>
          <w:rFonts w:ascii="楷体_GB2312" w:eastAsia="楷体_GB2312"/>
          <w:sz w:val="28"/>
          <w:szCs w:val="28"/>
        </w:rPr>
        <w:t>管理</w:t>
      </w:r>
    </w:p>
    <w:p w14:paraId="57DEE18B"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积极开展各部门项目自评和部门整体绩效评价，注重优化预算绩效管理链条，实现绩效信息和预算数据互联互通。在绩效信息的收集方面，公交技校制定了绩效评价的主要依据，包括：国家相关法律、法规和规章制度；各级政府制定的国民经济与社会发展规划和方针政策；预算管理制度、专项资金及财务管理办法、财务会计资料；各级财政部门制定的专项资金绩效评价管理制度；学校职能职责、中长期发展规划及年度工作计划；相关行业政策、行业规划、行业标准及专业技术规范；申请预算时提出的绩效目标及其他相关材料，财政部门预算批复，财政部门和局年度预算执</w:t>
      </w:r>
      <w:r w:rsidRPr="00D36246">
        <w:rPr>
          <w:rFonts w:ascii="仿宋_GB2312" w:eastAsia="仿宋_GB2312" w:hAnsi="宋体" w:cs="宋体" w:hint="eastAsia"/>
          <w:color w:val="000000"/>
          <w:kern w:val="0"/>
          <w:sz w:val="28"/>
          <w:szCs w:val="28"/>
        </w:rPr>
        <w:lastRenderedPageBreak/>
        <w:t>行情况，年度决算报告；人大审查结果报告、审计报告及决定、财政监督检查报告；其他相关资料等。</w:t>
      </w:r>
    </w:p>
    <w:p w14:paraId="1C7F8543"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通过制定绩效相关管理办法、制定绩效管理流程图等方式，加强了预算绩效管理，强化了支出责任和效率意识，加强了绩效评价结果的应用，将评价结果作为科学安排预算、年度考评和单位决策的重要依据；同时，公交技校在预算绩效全过程管理方面，基本做到了预算编制有目标、预算执行有监控、执行结果有评价、评价结果有反馈、反馈结果有应用。</w:t>
      </w:r>
    </w:p>
    <w:p w14:paraId="6328272A"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（四）结转结余率</w:t>
      </w:r>
    </w:p>
    <w:p w14:paraId="16736F92"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依据</w:t>
      </w:r>
      <w:r w:rsidRPr="00D36246">
        <w:rPr>
          <w:rFonts w:ascii="仿宋_GB2312" w:eastAsia="仿宋_GB2312" w:hAnsi="宋体" w:cs="宋体" w:hint="eastAsia"/>
          <w:color w:val="000000"/>
          <w:kern w:val="0"/>
          <w:sz w:val="28"/>
          <w:szCs w:val="28"/>
        </w:rPr>
        <w:t>公交技校2022年度决算报表，2022年度全年预算数12088.72万元，其中：基本支出预算6348.64万元，项目支出预算1685.48万元，经营支出预算4054.59万元；全年结转结余总额1117.28万元，其中基本支出结转2956.82万元，项目支出结转和结余59.66万元，经营结余-1899.20</w:t>
      </w:r>
      <w:r>
        <w:rPr>
          <w:rFonts w:ascii="仿宋_GB2312" w:eastAsia="仿宋_GB2312" w:hAnsi="宋体" w:cs="宋体" w:hint="eastAsia"/>
          <w:color w:val="000000"/>
          <w:kern w:val="0"/>
          <w:sz w:val="28"/>
          <w:szCs w:val="28"/>
        </w:rPr>
        <w:t>万元</w:t>
      </w:r>
      <w:r w:rsidRPr="00D36246">
        <w:rPr>
          <w:rFonts w:ascii="仿宋_GB2312" w:eastAsia="仿宋_GB2312" w:hAnsi="宋体" w:cs="宋体" w:hint="eastAsia"/>
          <w:color w:val="000000"/>
          <w:kern w:val="0"/>
          <w:sz w:val="28"/>
          <w:szCs w:val="28"/>
        </w:rPr>
        <w:t>；2022年度结转结余率为9.24%，高于上年度结转结余率。</w:t>
      </w:r>
    </w:p>
    <w:p w14:paraId="658BEA6F"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（五）部门</w:t>
      </w:r>
      <w:r w:rsidRPr="00D36246">
        <w:rPr>
          <w:rFonts w:ascii="楷体_GB2312" w:eastAsia="楷体_GB2312"/>
          <w:sz w:val="28"/>
          <w:szCs w:val="28"/>
        </w:rPr>
        <w:t>预决算差异率</w:t>
      </w:r>
    </w:p>
    <w:p w14:paraId="43AD9F95"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公交技校2022年度年初预算数9051.37万元，年</w:t>
      </w:r>
      <w:proofErr w:type="gramStart"/>
      <w:r w:rsidRPr="00D36246">
        <w:rPr>
          <w:rFonts w:ascii="仿宋_GB2312" w:eastAsia="仿宋_GB2312" w:hAnsi="宋体" w:cs="宋体" w:hint="eastAsia"/>
          <w:color w:val="000000"/>
          <w:kern w:val="0"/>
          <w:sz w:val="28"/>
          <w:szCs w:val="28"/>
        </w:rPr>
        <w:t>末决</w:t>
      </w:r>
      <w:proofErr w:type="gramEnd"/>
      <w:r w:rsidRPr="00D36246">
        <w:rPr>
          <w:rFonts w:ascii="仿宋_GB2312" w:eastAsia="仿宋_GB2312" w:hAnsi="宋体" w:cs="宋体" w:hint="eastAsia"/>
          <w:color w:val="000000"/>
          <w:kern w:val="0"/>
          <w:sz w:val="28"/>
          <w:szCs w:val="28"/>
        </w:rPr>
        <w:t>算数9541.17万元，年度预决算差异率5.41%，低于市级平均差异率。</w:t>
      </w:r>
    </w:p>
    <w:p w14:paraId="76CFE93F" w14:textId="77777777" w:rsidR="003C7D23" w:rsidRPr="00D36246" w:rsidRDefault="003C7D23" w:rsidP="003C7D23">
      <w:pPr>
        <w:spacing w:line="560" w:lineRule="exact"/>
        <w:ind w:firstLineChars="200" w:firstLine="560"/>
        <w:rPr>
          <w:rFonts w:ascii="黑体" w:eastAsia="黑体" w:hAnsi="黑体"/>
          <w:sz w:val="28"/>
          <w:szCs w:val="28"/>
        </w:rPr>
      </w:pPr>
      <w:r w:rsidRPr="00D36246">
        <w:rPr>
          <w:rFonts w:ascii="黑体" w:eastAsia="黑体" w:hAnsi="黑体" w:hint="eastAsia"/>
          <w:sz w:val="28"/>
          <w:szCs w:val="28"/>
        </w:rPr>
        <w:t>五、总体</w:t>
      </w:r>
      <w:r w:rsidRPr="00D36246">
        <w:rPr>
          <w:rFonts w:ascii="黑体" w:eastAsia="黑体" w:hAnsi="黑体"/>
          <w:sz w:val="28"/>
          <w:szCs w:val="28"/>
        </w:rPr>
        <w:t>评价结论</w:t>
      </w:r>
    </w:p>
    <w:p w14:paraId="21341917"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（一）评价</w:t>
      </w:r>
      <w:r w:rsidRPr="00D36246">
        <w:rPr>
          <w:rFonts w:ascii="楷体_GB2312" w:eastAsia="楷体_GB2312"/>
          <w:sz w:val="28"/>
          <w:szCs w:val="28"/>
        </w:rPr>
        <w:t>得分</w:t>
      </w:r>
      <w:r w:rsidRPr="00D36246">
        <w:rPr>
          <w:rFonts w:ascii="楷体_GB2312" w:eastAsia="楷体_GB2312" w:hint="eastAsia"/>
          <w:sz w:val="28"/>
          <w:szCs w:val="28"/>
        </w:rPr>
        <w:t>情况</w:t>
      </w:r>
    </w:p>
    <w:p w14:paraId="66B33CED"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本次部门整体绩效评价通过资料分析、专家咨询等多种方式开展了全面、系统、客观的分析评价，最终得分为90.59分，综合评价等级为“优”。其中：当年预算执行情况15.79分，整体绩效目标实现情况58分，预算管理情况16.80</w:t>
      </w:r>
      <w:r w:rsidRPr="00D36246">
        <w:rPr>
          <w:rFonts w:ascii="仿宋_GB2312" w:eastAsia="仿宋_GB2312" w:hAnsi="宋体" w:cs="宋体" w:hint="eastAsia"/>
          <w:color w:val="000000"/>
          <w:kern w:val="0"/>
          <w:sz w:val="28"/>
          <w:szCs w:val="28"/>
        </w:rPr>
        <w:lastRenderedPageBreak/>
        <w:t>分，具体评分见《2022年部门整体绩效评价指标体系评分表》。</w:t>
      </w:r>
    </w:p>
    <w:p w14:paraId="05354B6F" w14:textId="77777777" w:rsidR="003C7D23" w:rsidRPr="00D36246" w:rsidRDefault="003C7D23" w:rsidP="003C7D23">
      <w:pPr>
        <w:spacing w:line="560" w:lineRule="exact"/>
        <w:ind w:firstLineChars="200" w:firstLine="560"/>
        <w:rPr>
          <w:rFonts w:ascii="楷体_GB2312" w:eastAsia="楷体_GB2312"/>
          <w:sz w:val="28"/>
          <w:szCs w:val="28"/>
        </w:rPr>
      </w:pPr>
      <w:r w:rsidRPr="00D36246">
        <w:rPr>
          <w:rFonts w:ascii="楷体_GB2312" w:eastAsia="楷体_GB2312" w:hint="eastAsia"/>
          <w:sz w:val="28"/>
          <w:szCs w:val="28"/>
        </w:rPr>
        <w:t>（二）存在的问题及原因分析</w:t>
      </w:r>
    </w:p>
    <w:p w14:paraId="689B940C"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存在绩效目标设置不合理的问题。首先是绩效目标的细化量化不足，不能做到对预算及工作内容的全面分解，工作内容及预期成果不以量化数据进行体现，导致指标的可衡量性不足，无法判断指标的完成程度；其次是以工作内容、上级任务等作为绩效目标，出现完成任务就是完成预期目标的情况，此问题的根源在于绩效目标设置不合理；最后是绩效目标设置没有完全按照指标体系具体明确数量指标、进度指标、质量指标及成本指标，导致项目的预期指标与实际产出存在偏差，或项目真实产出没有对应的预期指标。</w:t>
      </w:r>
    </w:p>
    <w:p w14:paraId="338B8F70"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公交技校2022年度没有开展满意度调查工作。首先是各项工作的开展没有明确受益群体；其次是满意度调查工作不开展，失去了一种对项目的监督管控手段；最后是项目的整体绩效情况，除了指标的完成好坏，最终要体现在受益群体的满意度上，产出指标的证明资料，仅仅是自我证明、自我评价，缺少受益群体的满意度。</w:t>
      </w:r>
    </w:p>
    <w:p w14:paraId="0C0A97ED"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黑体" w:eastAsia="黑体" w:hAnsi="黑体" w:cs="宋体" w:hint="eastAsia"/>
          <w:color w:val="000000"/>
          <w:kern w:val="0"/>
          <w:sz w:val="28"/>
          <w:szCs w:val="28"/>
        </w:rPr>
        <w:t>六、措施建议</w:t>
      </w:r>
    </w:p>
    <w:p w14:paraId="0D732994" w14:textId="77777777" w:rsidR="003C7D23" w:rsidRPr="00D36246"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进一步</w:t>
      </w:r>
      <w:proofErr w:type="gramStart"/>
      <w:r w:rsidRPr="00D36246">
        <w:rPr>
          <w:rFonts w:ascii="仿宋_GB2312" w:eastAsia="仿宋_GB2312" w:hAnsi="宋体" w:cs="宋体" w:hint="eastAsia"/>
          <w:color w:val="000000"/>
          <w:kern w:val="0"/>
          <w:sz w:val="28"/>
          <w:szCs w:val="28"/>
        </w:rPr>
        <w:t>明确部门</w:t>
      </w:r>
      <w:proofErr w:type="gramEnd"/>
      <w:r w:rsidRPr="00D36246">
        <w:rPr>
          <w:rFonts w:ascii="仿宋_GB2312" w:eastAsia="仿宋_GB2312" w:hAnsi="宋体" w:cs="宋体" w:hint="eastAsia"/>
          <w:color w:val="000000"/>
          <w:kern w:val="0"/>
          <w:sz w:val="28"/>
          <w:szCs w:val="28"/>
        </w:rPr>
        <w:t>职能，结合年度工作计划与预算编制，合理设置绩效目标，确保绩效目标与部门职能相符合，与工作计划相统一，做到对预算编制的全面覆盖与细化分解，同时在目标明确合理的基础上，进一步细化量化，确保绩效目标的可衡量性。</w:t>
      </w:r>
    </w:p>
    <w:p w14:paraId="160EDB60" w14:textId="77777777" w:rsidR="003C7D23" w:rsidRDefault="003C7D23" w:rsidP="003C7D23">
      <w:pPr>
        <w:spacing w:line="560" w:lineRule="exact"/>
        <w:ind w:firstLineChars="200" w:firstLine="560"/>
        <w:rPr>
          <w:rFonts w:ascii="仿宋_GB2312" w:eastAsia="仿宋_GB2312" w:hAnsi="宋体" w:cs="宋体"/>
          <w:color w:val="000000"/>
          <w:kern w:val="0"/>
          <w:sz w:val="28"/>
          <w:szCs w:val="28"/>
        </w:rPr>
      </w:pPr>
      <w:r w:rsidRPr="00D36246">
        <w:rPr>
          <w:rFonts w:ascii="仿宋_GB2312" w:eastAsia="仿宋_GB2312" w:hAnsi="宋体" w:cs="宋体" w:hint="eastAsia"/>
          <w:color w:val="000000"/>
          <w:kern w:val="0"/>
          <w:sz w:val="28"/>
          <w:szCs w:val="28"/>
        </w:rPr>
        <w:t>项目完成后，明确项目受益群体，按照受益群体的职业、年龄、性别等多角度选择调查对象，确保不同受益人群均被覆盖；合理设计调查问卷，确保调查问卷完整体现项目内容及效果；对调查结果进行了汇总分析，判断是否达到预期满意度指标，并对不满意结果进行总结，使调查结果能够在今后工作中进行运用。</w:t>
      </w:r>
    </w:p>
    <w:p w14:paraId="5302A5B9" w14:textId="77777777" w:rsidR="003C7D23" w:rsidRPr="00E469B5" w:rsidRDefault="003C7D23" w:rsidP="003C7D23">
      <w:pPr>
        <w:pStyle w:val="a0"/>
        <w:ind w:firstLine="560"/>
        <w:rPr>
          <w:rFonts w:ascii="仿宋_GB2312" w:eastAsia="仿宋_GB2312" w:hint="eastAsia"/>
          <w:sz w:val="28"/>
          <w:szCs w:val="28"/>
        </w:rPr>
      </w:pPr>
      <w:r w:rsidRPr="00E469B5">
        <w:rPr>
          <w:rFonts w:ascii="仿宋_GB2312" w:eastAsia="仿宋_GB2312" w:hint="eastAsia"/>
          <w:sz w:val="28"/>
          <w:szCs w:val="28"/>
        </w:rPr>
        <w:lastRenderedPageBreak/>
        <w:t>七、附件</w:t>
      </w:r>
    </w:p>
    <w:p w14:paraId="279C9EB9" w14:textId="77777777" w:rsidR="003C7D23" w:rsidRPr="00EC4AFD" w:rsidRDefault="003C7D23" w:rsidP="003C7D23">
      <w:pPr>
        <w:pStyle w:val="a0"/>
        <w:ind w:firstLine="560"/>
        <w:jc w:val="left"/>
        <w:rPr>
          <w:rFonts w:ascii="仿宋_GB2312" w:eastAsia="仿宋_GB2312"/>
          <w:sz w:val="28"/>
          <w:szCs w:val="28"/>
        </w:rPr>
      </w:pPr>
      <w:r w:rsidRPr="00E469B5">
        <w:rPr>
          <w:rFonts w:ascii="仿宋_GB2312" w:eastAsia="仿宋_GB2312" w:hint="eastAsia"/>
          <w:sz w:val="28"/>
          <w:szCs w:val="28"/>
        </w:rPr>
        <w:t>2022年部门整体绩效评价指标体系评分表</w:t>
      </w:r>
    </w:p>
    <w:tbl>
      <w:tblPr>
        <w:tblpPr w:leftFromText="180" w:rightFromText="180" w:vertAnchor="text" w:horzAnchor="page" w:tblpX="1443" w:tblpY="569"/>
        <w:tblOverlap w:val="never"/>
        <w:tblW w:w="5000" w:type="pct"/>
        <w:tblLook w:val="04A0" w:firstRow="1" w:lastRow="0" w:firstColumn="1" w:lastColumn="0" w:noHBand="0" w:noVBand="1"/>
      </w:tblPr>
      <w:tblGrid>
        <w:gridCol w:w="1204"/>
        <w:gridCol w:w="1215"/>
        <w:gridCol w:w="1043"/>
        <w:gridCol w:w="941"/>
        <w:gridCol w:w="959"/>
        <w:gridCol w:w="924"/>
        <w:gridCol w:w="924"/>
        <w:gridCol w:w="3712"/>
        <w:gridCol w:w="3648"/>
      </w:tblGrid>
      <w:tr w:rsidR="003C7D23" w14:paraId="18145760" w14:textId="77777777" w:rsidTr="00527311">
        <w:trPr>
          <w:cantSplit/>
          <w:trHeight w:val="90"/>
        </w:trPr>
        <w:tc>
          <w:tcPr>
            <w:tcW w:w="5000" w:type="pct"/>
            <w:gridSpan w:val="9"/>
            <w:tcBorders>
              <w:top w:val="nil"/>
              <w:left w:val="nil"/>
              <w:bottom w:val="single" w:sz="4" w:space="0" w:color="auto"/>
              <w:right w:val="nil"/>
            </w:tcBorders>
            <w:noWrap/>
            <w:vAlign w:val="bottom"/>
          </w:tcPr>
          <w:p w14:paraId="3E81E3FE" w14:textId="77777777" w:rsidR="003C7D23" w:rsidRPr="00B407DF" w:rsidRDefault="003C7D23" w:rsidP="00527311">
            <w:pPr>
              <w:widowControl/>
              <w:jc w:val="center"/>
              <w:rPr>
                <w:rFonts w:ascii="方正小标宋简体" w:eastAsia="方正小标宋简体" w:hAnsi="黑体" w:cs="宋体"/>
                <w:color w:val="000000"/>
                <w:kern w:val="0"/>
                <w:sz w:val="28"/>
                <w:szCs w:val="28"/>
                <w:highlight w:val="yellow"/>
              </w:rPr>
            </w:pPr>
            <w:r w:rsidRPr="00B407DF">
              <w:rPr>
                <w:rFonts w:ascii="方正小标宋简体" w:eastAsia="方正小标宋简体" w:hAnsi="黑体" w:cs="宋体" w:hint="eastAsia"/>
                <w:color w:val="000000"/>
                <w:kern w:val="0"/>
                <w:sz w:val="28"/>
                <w:szCs w:val="28"/>
              </w:rPr>
              <w:t>2022年部门整体绩效评价指标体系评分表</w:t>
            </w:r>
          </w:p>
        </w:tc>
      </w:tr>
      <w:tr w:rsidR="003C7D23" w14:paraId="4F686FDB" w14:textId="77777777" w:rsidTr="00527311">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14:paraId="5F68B805"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3C7D23" w14:paraId="445BB585" w14:textId="77777777" w:rsidTr="00527311">
        <w:trPr>
          <w:cantSplit/>
          <w:trHeight w:val="660"/>
        </w:trPr>
        <w:tc>
          <w:tcPr>
            <w:tcW w:w="413" w:type="pct"/>
            <w:tcBorders>
              <w:top w:val="single" w:sz="4" w:space="0" w:color="auto"/>
              <w:left w:val="single" w:sz="4" w:space="0" w:color="auto"/>
              <w:bottom w:val="single" w:sz="4" w:space="0" w:color="auto"/>
              <w:right w:val="single" w:sz="4" w:space="0" w:color="auto"/>
            </w:tcBorders>
            <w:vAlign w:val="center"/>
          </w:tcPr>
          <w:p w14:paraId="74980ECE"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17" w:type="pct"/>
            <w:tcBorders>
              <w:top w:val="single" w:sz="4" w:space="0" w:color="auto"/>
              <w:left w:val="single" w:sz="4" w:space="0" w:color="auto"/>
              <w:bottom w:val="single" w:sz="4" w:space="0" w:color="auto"/>
              <w:right w:val="single" w:sz="4" w:space="0" w:color="auto"/>
            </w:tcBorders>
            <w:vAlign w:val="center"/>
          </w:tcPr>
          <w:p w14:paraId="087CE468"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8" w:type="pct"/>
            <w:tcBorders>
              <w:top w:val="single" w:sz="4" w:space="0" w:color="auto"/>
              <w:left w:val="single" w:sz="4" w:space="0" w:color="auto"/>
              <w:bottom w:val="single" w:sz="4" w:space="0" w:color="auto"/>
              <w:right w:val="single" w:sz="4" w:space="0" w:color="auto"/>
            </w:tcBorders>
            <w:vAlign w:val="center"/>
          </w:tcPr>
          <w:p w14:paraId="3A532F1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323" w:type="pct"/>
            <w:tcBorders>
              <w:top w:val="single" w:sz="4" w:space="0" w:color="auto"/>
              <w:left w:val="single" w:sz="4" w:space="0" w:color="auto"/>
              <w:bottom w:val="single" w:sz="4" w:space="0" w:color="auto"/>
              <w:right w:val="single" w:sz="4" w:space="0" w:color="auto"/>
            </w:tcBorders>
            <w:vAlign w:val="center"/>
          </w:tcPr>
          <w:p w14:paraId="24425FD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27" w:type="pct"/>
            <w:tcBorders>
              <w:top w:val="single" w:sz="4" w:space="0" w:color="auto"/>
              <w:left w:val="single" w:sz="4" w:space="0" w:color="auto"/>
              <w:bottom w:val="single" w:sz="4" w:space="0" w:color="auto"/>
              <w:right w:val="single" w:sz="4" w:space="0" w:color="auto"/>
            </w:tcBorders>
            <w:vAlign w:val="center"/>
          </w:tcPr>
          <w:p w14:paraId="2164B1A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317" w:type="pct"/>
            <w:tcBorders>
              <w:top w:val="single" w:sz="4" w:space="0" w:color="auto"/>
              <w:left w:val="single" w:sz="4" w:space="0" w:color="auto"/>
              <w:bottom w:val="single" w:sz="4" w:space="0" w:color="auto"/>
              <w:right w:val="single" w:sz="4" w:space="0" w:color="auto"/>
            </w:tcBorders>
            <w:vAlign w:val="center"/>
          </w:tcPr>
          <w:p w14:paraId="2F00EE2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17" w:type="pct"/>
            <w:tcBorders>
              <w:top w:val="single" w:sz="4" w:space="0" w:color="auto"/>
              <w:left w:val="single" w:sz="4" w:space="0" w:color="auto"/>
              <w:bottom w:val="single" w:sz="4" w:space="0" w:color="auto"/>
              <w:right w:val="single" w:sz="4" w:space="0" w:color="auto"/>
            </w:tcBorders>
            <w:vAlign w:val="center"/>
          </w:tcPr>
          <w:p w14:paraId="51BCF96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74" w:type="pct"/>
            <w:tcBorders>
              <w:top w:val="single" w:sz="4" w:space="0" w:color="auto"/>
              <w:left w:val="single" w:sz="4" w:space="0" w:color="auto"/>
              <w:bottom w:val="single" w:sz="4" w:space="0" w:color="auto"/>
              <w:right w:val="single" w:sz="4" w:space="0" w:color="auto"/>
            </w:tcBorders>
            <w:vAlign w:val="center"/>
          </w:tcPr>
          <w:p w14:paraId="59B8B6D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250" w:type="pct"/>
            <w:tcBorders>
              <w:top w:val="single" w:sz="4" w:space="0" w:color="auto"/>
              <w:left w:val="nil"/>
              <w:bottom w:val="single" w:sz="4" w:space="0" w:color="auto"/>
              <w:right w:val="single" w:sz="4" w:space="0" w:color="auto"/>
            </w:tcBorders>
            <w:vAlign w:val="center"/>
          </w:tcPr>
          <w:p w14:paraId="1E4B287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3C7D23" w14:paraId="2BE63D7F" w14:textId="77777777" w:rsidTr="00527311">
        <w:trPr>
          <w:cantSplit/>
          <w:trHeight w:val="630"/>
        </w:trPr>
        <w:tc>
          <w:tcPr>
            <w:tcW w:w="413" w:type="pct"/>
            <w:vMerge w:val="restart"/>
            <w:tcBorders>
              <w:top w:val="nil"/>
              <w:left w:val="single" w:sz="4" w:space="0" w:color="auto"/>
              <w:bottom w:val="single" w:sz="4" w:space="0" w:color="000000"/>
              <w:right w:val="single" w:sz="4" w:space="0" w:color="auto"/>
            </w:tcBorders>
            <w:vAlign w:val="center"/>
          </w:tcPr>
          <w:p w14:paraId="0D4F7ED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417" w:type="pct"/>
            <w:tcBorders>
              <w:top w:val="single" w:sz="4" w:space="0" w:color="auto"/>
              <w:left w:val="single" w:sz="4" w:space="0" w:color="auto"/>
              <w:bottom w:val="single" w:sz="4" w:space="0" w:color="auto"/>
              <w:right w:val="single" w:sz="4" w:space="0" w:color="auto"/>
            </w:tcBorders>
            <w:vAlign w:val="center"/>
          </w:tcPr>
          <w:p w14:paraId="3DC0E70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58" w:type="pct"/>
            <w:tcBorders>
              <w:top w:val="single" w:sz="4" w:space="0" w:color="auto"/>
              <w:left w:val="single" w:sz="4" w:space="0" w:color="auto"/>
              <w:bottom w:val="single" w:sz="4" w:space="0" w:color="auto"/>
              <w:right w:val="single" w:sz="4" w:space="0" w:color="auto"/>
            </w:tcBorders>
            <w:vAlign w:val="center"/>
          </w:tcPr>
          <w:p w14:paraId="2C6CB05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12088.72　</w:t>
            </w:r>
          </w:p>
        </w:tc>
        <w:tc>
          <w:tcPr>
            <w:tcW w:w="323" w:type="pct"/>
            <w:tcBorders>
              <w:top w:val="single" w:sz="4" w:space="0" w:color="auto"/>
              <w:left w:val="single" w:sz="4" w:space="0" w:color="auto"/>
              <w:bottom w:val="single" w:sz="4" w:space="0" w:color="auto"/>
              <w:right w:val="single" w:sz="4" w:space="0" w:color="auto"/>
            </w:tcBorders>
            <w:vAlign w:val="center"/>
          </w:tcPr>
          <w:p w14:paraId="60B6ED6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9541.17</w:t>
            </w:r>
          </w:p>
        </w:tc>
        <w:tc>
          <w:tcPr>
            <w:tcW w:w="327" w:type="pct"/>
            <w:tcBorders>
              <w:top w:val="single" w:sz="4" w:space="0" w:color="auto"/>
              <w:left w:val="single" w:sz="4" w:space="0" w:color="auto"/>
              <w:bottom w:val="single" w:sz="4" w:space="0" w:color="auto"/>
              <w:right w:val="single" w:sz="4" w:space="0" w:color="auto"/>
            </w:tcBorders>
            <w:vAlign w:val="center"/>
          </w:tcPr>
          <w:p w14:paraId="64BE476E"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78.93%　</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14:paraId="72C73DF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14:paraId="60A057D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15.79</w:t>
            </w:r>
          </w:p>
        </w:tc>
        <w:tc>
          <w:tcPr>
            <w:tcW w:w="1274" w:type="pct"/>
            <w:vMerge w:val="restart"/>
            <w:tcBorders>
              <w:top w:val="single" w:sz="4" w:space="0" w:color="auto"/>
              <w:left w:val="single" w:sz="4" w:space="0" w:color="auto"/>
              <w:bottom w:val="single" w:sz="4" w:space="0" w:color="auto"/>
              <w:right w:val="single" w:sz="4" w:space="0" w:color="auto"/>
            </w:tcBorders>
            <w:vAlign w:val="center"/>
          </w:tcPr>
          <w:p w14:paraId="02568E61"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250" w:type="pct"/>
            <w:vMerge w:val="restart"/>
            <w:tcBorders>
              <w:top w:val="nil"/>
              <w:left w:val="single" w:sz="4" w:space="0" w:color="auto"/>
              <w:bottom w:val="single" w:sz="4" w:space="0" w:color="auto"/>
              <w:right w:val="single" w:sz="4" w:space="0" w:color="auto"/>
            </w:tcBorders>
            <w:vAlign w:val="center"/>
          </w:tcPr>
          <w:p w14:paraId="4DA0C65A"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3C7D23" w14:paraId="1B7D634B" w14:textId="77777777" w:rsidTr="00527311">
        <w:trPr>
          <w:cantSplit/>
          <w:trHeight w:val="600"/>
        </w:trPr>
        <w:tc>
          <w:tcPr>
            <w:tcW w:w="413" w:type="pct"/>
            <w:vMerge/>
            <w:tcBorders>
              <w:top w:val="nil"/>
              <w:left w:val="single" w:sz="4" w:space="0" w:color="auto"/>
              <w:bottom w:val="single" w:sz="4" w:space="0" w:color="000000"/>
              <w:right w:val="single" w:sz="4" w:space="0" w:color="auto"/>
            </w:tcBorders>
            <w:vAlign w:val="center"/>
          </w:tcPr>
          <w:p w14:paraId="3AD1F09A" w14:textId="77777777" w:rsidR="003C7D23" w:rsidRDefault="003C7D23" w:rsidP="00527311">
            <w:pPr>
              <w:widowControl/>
              <w:jc w:val="left"/>
              <w:rPr>
                <w:rFonts w:ascii="宋体" w:hAnsi="宋体" w:cs="宋体"/>
                <w:color w:val="000000"/>
                <w:kern w:val="0"/>
                <w:sz w:val="20"/>
                <w:szCs w:val="20"/>
              </w:rPr>
            </w:pPr>
          </w:p>
        </w:tc>
        <w:tc>
          <w:tcPr>
            <w:tcW w:w="417" w:type="pct"/>
            <w:tcBorders>
              <w:top w:val="single" w:sz="4" w:space="0" w:color="auto"/>
              <w:left w:val="single" w:sz="4" w:space="0" w:color="auto"/>
              <w:bottom w:val="single" w:sz="4" w:space="0" w:color="auto"/>
              <w:right w:val="nil"/>
            </w:tcBorders>
            <w:vAlign w:val="center"/>
          </w:tcPr>
          <w:p w14:paraId="2308180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358" w:type="pct"/>
            <w:tcBorders>
              <w:top w:val="single" w:sz="4" w:space="0" w:color="auto"/>
              <w:left w:val="single" w:sz="4" w:space="0" w:color="auto"/>
              <w:bottom w:val="single" w:sz="4" w:space="0" w:color="auto"/>
              <w:right w:val="single" w:sz="4" w:space="0" w:color="auto"/>
            </w:tcBorders>
            <w:vAlign w:val="center"/>
          </w:tcPr>
          <w:p w14:paraId="088E23A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6348.64　</w:t>
            </w:r>
          </w:p>
        </w:tc>
        <w:tc>
          <w:tcPr>
            <w:tcW w:w="323" w:type="pct"/>
            <w:tcBorders>
              <w:top w:val="single" w:sz="4" w:space="0" w:color="auto"/>
              <w:left w:val="nil"/>
              <w:bottom w:val="single" w:sz="4" w:space="0" w:color="auto"/>
              <w:right w:val="single" w:sz="4" w:space="0" w:color="auto"/>
            </w:tcBorders>
            <w:vAlign w:val="center"/>
          </w:tcPr>
          <w:p w14:paraId="4FFA7B1C"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5083.04</w:t>
            </w:r>
          </w:p>
        </w:tc>
        <w:tc>
          <w:tcPr>
            <w:tcW w:w="327" w:type="pct"/>
            <w:vMerge w:val="restart"/>
            <w:tcBorders>
              <w:top w:val="single" w:sz="4" w:space="0" w:color="auto"/>
              <w:left w:val="single" w:sz="4" w:space="0" w:color="auto"/>
              <w:bottom w:val="single" w:sz="4" w:space="0" w:color="auto"/>
              <w:right w:val="single" w:sz="4" w:space="0" w:color="auto"/>
            </w:tcBorders>
            <w:vAlign w:val="center"/>
          </w:tcPr>
          <w:p w14:paraId="5751B8E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17" w:type="pct"/>
            <w:vMerge/>
            <w:tcBorders>
              <w:top w:val="single" w:sz="4" w:space="0" w:color="auto"/>
              <w:left w:val="single" w:sz="4" w:space="0" w:color="auto"/>
              <w:bottom w:val="single" w:sz="4" w:space="0" w:color="auto"/>
              <w:right w:val="single" w:sz="4" w:space="0" w:color="auto"/>
            </w:tcBorders>
            <w:vAlign w:val="center"/>
          </w:tcPr>
          <w:p w14:paraId="752FB761" w14:textId="77777777" w:rsidR="003C7D23" w:rsidRDefault="003C7D23" w:rsidP="00527311">
            <w:pPr>
              <w:widowControl/>
              <w:jc w:val="left"/>
              <w:rPr>
                <w:rFonts w:ascii="宋体" w:hAnsi="宋体" w:cs="宋体"/>
                <w:color w:val="000000"/>
                <w:kern w:val="0"/>
                <w:sz w:val="20"/>
                <w:szCs w:val="20"/>
              </w:rPr>
            </w:pPr>
          </w:p>
        </w:tc>
        <w:tc>
          <w:tcPr>
            <w:tcW w:w="317" w:type="pct"/>
            <w:vMerge/>
            <w:tcBorders>
              <w:top w:val="single" w:sz="4" w:space="0" w:color="auto"/>
              <w:left w:val="nil"/>
              <w:bottom w:val="single" w:sz="4" w:space="0" w:color="auto"/>
              <w:right w:val="nil"/>
            </w:tcBorders>
            <w:vAlign w:val="center"/>
          </w:tcPr>
          <w:p w14:paraId="429B044A" w14:textId="77777777" w:rsidR="003C7D23" w:rsidRDefault="003C7D23" w:rsidP="00527311">
            <w:pPr>
              <w:widowControl/>
              <w:jc w:val="left"/>
              <w:rPr>
                <w:rFonts w:ascii="宋体" w:hAnsi="宋体" w:cs="宋体"/>
                <w:color w:val="000000"/>
                <w:kern w:val="0"/>
                <w:sz w:val="20"/>
                <w:szCs w:val="20"/>
              </w:rPr>
            </w:pPr>
          </w:p>
        </w:tc>
        <w:tc>
          <w:tcPr>
            <w:tcW w:w="1274" w:type="pct"/>
            <w:vMerge/>
            <w:tcBorders>
              <w:top w:val="single" w:sz="4" w:space="0" w:color="auto"/>
              <w:left w:val="single" w:sz="4" w:space="0" w:color="auto"/>
              <w:bottom w:val="single" w:sz="4" w:space="0" w:color="auto"/>
              <w:right w:val="single" w:sz="4" w:space="0" w:color="auto"/>
            </w:tcBorders>
            <w:vAlign w:val="center"/>
          </w:tcPr>
          <w:p w14:paraId="5000750E"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3C9782B0" w14:textId="77777777" w:rsidR="003C7D23" w:rsidRDefault="003C7D23" w:rsidP="00527311">
            <w:pPr>
              <w:widowControl/>
              <w:jc w:val="left"/>
              <w:rPr>
                <w:rFonts w:ascii="宋体" w:hAnsi="宋体" w:cs="宋体"/>
                <w:color w:val="000000"/>
                <w:kern w:val="0"/>
                <w:sz w:val="18"/>
                <w:szCs w:val="18"/>
              </w:rPr>
            </w:pPr>
          </w:p>
        </w:tc>
      </w:tr>
      <w:tr w:rsidR="003C7D23" w14:paraId="0A517F63" w14:textId="77777777" w:rsidTr="00527311">
        <w:trPr>
          <w:cantSplit/>
          <w:trHeight w:val="615"/>
        </w:trPr>
        <w:tc>
          <w:tcPr>
            <w:tcW w:w="413" w:type="pct"/>
            <w:vMerge/>
            <w:tcBorders>
              <w:top w:val="nil"/>
              <w:left w:val="single" w:sz="4" w:space="0" w:color="auto"/>
              <w:bottom w:val="single" w:sz="4" w:space="0" w:color="000000"/>
              <w:right w:val="single" w:sz="4" w:space="0" w:color="auto"/>
            </w:tcBorders>
            <w:vAlign w:val="center"/>
          </w:tcPr>
          <w:p w14:paraId="3457076B" w14:textId="77777777" w:rsidR="003C7D23" w:rsidRDefault="003C7D23" w:rsidP="00527311">
            <w:pPr>
              <w:widowControl/>
              <w:jc w:val="left"/>
              <w:rPr>
                <w:rFonts w:ascii="宋体" w:hAnsi="宋体" w:cs="宋体"/>
                <w:color w:val="000000"/>
                <w:kern w:val="0"/>
                <w:sz w:val="20"/>
                <w:szCs w:val="20"/>
              </w:rPr>
            </w:pPr>
          </w:p>
        </w:tc>
        <w:tc>
          <w:tcPr>
            <w:tcW w:w="417" w:type="pct"/>
            <w:tcBorders>
              <w:top w:val="single" w:sz="4" w:space="0" w:color="auto"/>
              <w:left w:val="single" w:sz="4" w:space="0" w:color="auto"/>
              <w:bottom w:val="single" w:sz="4" w:space="0" w:color="auto"/>
              <w:right w:val="nil"/>
            </w:tcBorders>
            <w:vAlign w:val="center"/>
          </w:tcPr>
          <w:p w14:paraId="09C45F2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358" w:type="pct"/>
            <w:tcBorders>
              <w:top w:val="single" w:sz="4" w:space="0" w:color="auto"/>
              <w:left w:val="single" w:sz="4" w:space="0" w:color="auto"/>
              <w:bottom w:val="single" w:sz="4" w:space="0" w:color="auto"/>
              <w:right w:val="single" w:sz="4" w:space="0" w:color="auto"/>
            </w:tcBorders>
            <w:vAlign w:val="center"/>
          </w:tcPr>
          <w:p w14:paraId="4D8409E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1685.48　</w:t>
            </w:r>
          </w:p>
        </w:tc>
        <w:tc>
          <w:tcPr>
            <w:tcW w:w="323" w:type="pct"/>
            <w:tcBorders>
              <w:top w:val="single" w:sz="4" w:space="0" w:color="auto"/>
              <w:left w:val="nil"/>
              <w:bottom w:val="single" w:sz="4" w:space="0" w:color="auto"/>
              <w:right w:val="single" w:sz="4" w:space="0" w:color="auto"/>
            </w:tcBorders>
            <w:vAlign w:val="center"/>
          </w:tcPr>
          <w:p w14:paraId="5D7BCFF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1625.82</w:t>
            </w:r>
          </w:p>
        </w:tc>
        <w:tc>
          <w:tcPr>
            <w:tcW w:w="327" w:type="pct"/>
            <w:vMerge/>
            <w:tcBorders>
              <w:top w:val="single" w:sz="4" w:space="0" w:color="auto"/>
              <w:left w:val="single" w:sz="4" w:space="0" w:color="auto"/>
              <w:bottom w:val="single" w:sz="4" w:space="0" w:color="auto"/>
              <w:right w:val="single" w:sz="4" w:space="0" w:color="auto"/>
            </w:tcBorders>
            <w:vAlign w:val="center"/>
          </w:tcPr>
          <w:p w14:paraId="71E6C8D1" w14:textId="77777777" w:rsidR="003C7D23" w:rsidRDefault="003C7D23" w:rsidP="00527311">
            <w:pPr>
              <w:widowControl/>
              <w:jc w:val="left"/>
              <w:rPr>
                <w:rFonts w:ascii="宋体" w:hAnsi="宋体" w:cs="宋体"/>
                <w:color w:val="000000"/>
                <w:kern w:val="0"/>
                <w:sz w:val="20"/>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14:paraId="3DB2E4B3" w14:textId="77777777" w:rsidR="003C7D23" w:rsidRDefault="003C7D23" w:rsidP="00527311">
            <w:pPr>
              <w:widowControl/>
              <w:jc w:val="left"/>
              <w:rPr>
                <w:rFonts w:ascii="宋体" w:hAnsi="宋体" w:cs="宋体"/>
                <w:color w:val="000000"/>
                <w:kern w:val="0"/>
                <w:sz w:val="20"/>
                <w:szCs w:val="20"/>
              </w:rPr>
            </w:pPr>
          </w:p>
        </w:tc>
        <w:tc>
          <w:tcPr>
            <w:tcW w:w="317" w:type="pct"/>
            <w:vMerge/>
            <w:tcBorders>
              <w:top w:val="single" w:sz="4" w:space="0" w:color="auto"/>
              <w:left w:val="nil"/>
              <w:bottom w:val="single" w:sz="4" w:space="0" w:color="auto"/>
              <w:right w:val="nil"/>
            </w:tcBorders>
            <w:vAlign w:val="center"/>
          </w:tcPr>
          <w:p w14:paraId="12FC7ABA" w14:textId="77777777" w:rsidR="003C7D23" w:rsidRDefault="003C7D23" w:rsidP="00527311">
            <w:pPr>
              <w:widowControl/>
              <w:jc w:val="left"/>
              <w:rPr>
                <w:rFonts w:ascii="宋体" w:hAnsi="宋体" w:cs="宋体"/>
                <w:color w:val="000000"/>
                <w:kern w:val="0"/>
                <w:sz w:val="20"/>
                <w:szCs w:val="20"/>
              </w:rPr>
            </w:pPr>
          </w:p>
        </w:tc>
        <w:tc>
          <w:tcPr>
            <w:tcW w:w="1274" w:type="pct"/>
            <w:vMerge/>
            <w:tcBorders>
              <w:top w:val="single" w:sz="4" w:space="0" w:color="auto"/>
              <w:left w:val="single" w:sz="4" w:space="0" w:color="auto"/>
              <w:bottom w:val="single" w:sz="4" w:space="0" w:color="auto"/>
              <w:right w:val="single" w:sz="4" w:space="0" w:color="auto"/>
            </w:tcBorders>
            <w:vAlign w:val="center"/>
          </w:tcPr>
          <w:p w14:paraId="7AFCE0EC"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524DB625" w14:textId="77777777" w:rsidR="003C7D23" w:rsidRDefault="003C7D23" w:rsidP="00527311">
            <w:pPr>
              <w:widowControl/>
              <w:jc w:val="left"/>
              <w:rPr>
                <w:rFonts w:ascii="宋体" w:hAnsi="宋体" w:cs="宋体"/>
                <w:color w:val="000000"/>
                <w:kern w:val="0"/>
                <w:sz w:val="18"/>
                <w:szCs w:val="18"/>
              </w:rPr>
            </w:pPr>
          </w:p>
        </w:tc>
      </w:tr>
      <w:tr w:rsidR="003C7D23" w14:paraId="25577DDD" w14:textId="77777777" w:rsidTr="00527311">
        <w:trPr>
          <w:cantSplit/>
          <w:trHeight w:val="2136"/>
        </w:trPr>
        <w:tc>
          <w:tcPr>
            <w:tcW w:w="413" w:type="pct"/>
            <w:vMerge/>
            <w:tcBorders>
              <w:top w:val="nil"/>
              <w:left w:val="single" w:sz="4" w:space="0" w:color="auto"/>
              <w:bottom w:val="single" w:sz="4" w:space="0" w:color="000000"/>
              <w:right w:val="single" w:sz="4" w:space="0" w:color="auto"/>
            </w:tcBorders>
            <w:vAlign w:val="center"/>
          </w:tcPr>
          <w:p w14:paraId="7390B98D" w14:textId="77777777" w:rsidR="003C7D23" w:rsidRDefault="003C7D23" w:rsidP="00527311">
            <w:pPr>
              <w:widowControl/>
              <w:jc w:val="left"/>
              <w:rPr>
                <w:rFonts w:ascii="宋体" w:hAnsi="宋体" w:cs="宋体"/>
                <w:color w:val="000000"/>
                <w:kern w:val="0"/>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122B4618"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58" w:type="pct"/>
            <w:tcBorders>
              <w:top w:val="single" w:sz="4" w:space="0" w:color="auto"/>
              <w:left w:val="nil"/>
              <w:bottom w:val="single" w:sz="4" w:space="0" w:color="auto"/>
              <w:right w:val="single" w:sz="4" w:space="0" w:color="auto"/>
            </w:tcBorders>
            <w:vAlign w:val="center"/>
          </w:tcPr>
          <w:p w14:paraId="212CC18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4054.59</w:t>
            </w:r>
          </w:p>
        </w:tc>
        <w:tc>
          <w:tcPr>
            <w:tcW w:w="323" w:type="pct"/>
            <w:tcBorders>
              <w:top w:val="single" w:sz="4" w:space="0" w:color="auto"/>
              <w:left w:val="nil"/>
              <w:bottom w:val="single" w:sz="4" w:space="0" w:color="auto"/>
              <w:right w:val="single" w:sz="4" w:space="0" w:color="auto"/>
            </w:tcBorders>
            <w:vAlign w:val="center"/>
          </w:tcPr>
          <w:p w14:paraId="4D09952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2832.31</w:t>
            </w:r>
          </w:p>
        </w:tc>
        <w:tc>
          <w:tcPr>
            <w:tcW w:w="327" w:type="pct"/>
            <w:vMerge/>
            <w:tcBorders>
              <w:top w:val="single" w:sz="4" w:space="0" w:color="auto"/>
              <w:left w:val="single" w:sz="4" w:space="0" w:color="auto"/>
              <w:bottom w:val="single" w:sz="4" w:space="0" w:color="auto"/>
              <w:right w:val="single" w:sz="4" w:space="0" w:color="auto"/>
            </w:tcBorders>
            <w:vAlign w:val="center"/>
          </w:tcPr>
          <w:p w14:paraId="03AC316C" w14:textId="77777777" w:rsidR="003C7D23" w:rsidRDefault="003C7D23" w:rsidP="00527311">
            <w:pPr>
              <w:widowControl/>
              <w:jc w:val="left"/>
              <w:rPr>
                <w:rFonts w:ascii="宋体" w:hAnsi="宋体" w:cs="宋体"/>
                <w:color w:val="000000"/>
                <w:kern w:val="0"/>
                <w:sz w:val="20"/>
                <w:szCs w:val="20"/>
              </w:rPr>
            </w:pPr>
          </w:p>
        </w:tc>
        <w:tc>
          <w:tcPr>
            <w:tcW w:w="317" w:type="pct"/>
            <w:vMerge/>
            <w:tcBorders>
              <w:top w:val="single" w:sz="4" w:space="0" w:color="auto"/>
              <w:left w:val="single" w:sz="4" w:space="0" w:color="auto"/>
              <w:bottom w:val="single" w:sz="4" w:space="0" w:color="auto"/>
              <w:right w:val="single" w:sz="4" w:space="0" w:color="auto"/>
            </w:tcBorders>
            <w:vAlign w:val="center"/>
          </w:tcPr>
          <w:p w14:paraId="7FF0A272" w14:textId="77777777" w:rsidR="003C7D23" w:rsidRDefault="003C7D23" w:rsidP="00527311">
            <w:pPr>
              <w:widowControl/>
              <w:jc w:val="left"/>
              <w:rPr>
                <w:rFonts w:ascii="宋体" w:hAnsi="宋体" w:cs="宋体"/>
                <w:color w:val="000000"/>
                <w:kern w:val="0"/>
                <w:sz w:val="20"/>
                <w:szCs w:val="20"/>
              </w:rPr>
            </w:pPr>
          </w:p>
        </w:tc>
        <w:tc>
          <w:tcPr>
            <w:tcW w:w="317" w:type="pct"/>
            <w:vMerge/>
            <w:tcBorders>
              <w:top w:val="single" w:sz="4" w:space="0" w:color="auto"/>
              <w:left w:val="nil"/>
              <w:bottom w:val="single" w:sz="4" w:space="0" w:color="auto"/>
              <w:right w:val="nil"/>
            </w:tcBorders>
            <w:vAlign w:val="center"/>
          </w:tcPr>
          <w:p w14:paraId="4D94E1AE" w14:textId="77777777" w:rsidR="003C7D23" w:rsidRDefault="003C7D23" w:rsidP="00527311">
            <w:pPr>
              <w:widowControl/>
              <w:jc w:val="left"/>
              <w:rPr>
                <w:rFonts w:ascii="宋体" w:hAnsi="宋体" w:cs="宋体"/>
                <w:color w:val="000000"/>
                <w:kern w:val="0"/>
                <w:sz w:val="20"/>
                <w:szCs w:val="20"/>
              </w:rPr>
            </w:pPr>
          </w:p>
        </w:tc>
        <w:tc>
          <w:tcPr>
            <w:tcW w:w="1274" w:type="pct"/>
            <w:vMerge/>
            <w:tcBorders>
              <w:top w:val="single" w:sz="4" w:space="0" w:color="auto"/>
              <w:left w:val="single" w:sz="4" w:space="0" w:color="auto"/>
              <w:bottom w:val="single" w:sz="4" w:space="0" w:color="auto"/>
              <w:right w:val="single" w:sz="4" w:space="0" w:color="auto"/>
            </w:tcBorders>
            <w:vAlign w:val="center"/>
          </w:tcPr>
          <w:p w14:paraId="63A2AA33"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72684622" w14:textId="77777777" w:rsidR="003C7D23" w:rsidRDefault="003C7D23" w:rsidP="00527311">
            <w:pPr>
              <w:widowControl/>
              <w:jc w:val="left"/>
              <w:rPr>
                <w:rFonts w:ascii="宋体" w:hAnsi="宋体" w:cs="宋体"/>
                <w:color w:val="000000"/>
                <w:kern w:val="0"/>
                <w:sz w:val="18"/>
                <w:szCs w:val="18"/>
              </w:rPr>
            </w:pPr>
          </w:p>
        </w:tc>
      </w:tr>
      <w:tr w:rsidR="003C7D23" w14:paraId="77F0ECEB" w14:textId="77777777" w:rsidTr="00527311">
        <w:trPr>
          <w:cantSplit/>
          <w:trHeight w:val="479"/>
        </w:trPr>
        <w:tc>
          <w:tcPr>
            <w:tcW w:w="5000" w:type="pct"/>
            <w:gridSpan w:val="9"/>
            <w:tcBorders>
              <w:top w:val="nil"/>
              <w:left w:val="single" w:sz="4" w:space="0" w:color="auto"/>
              <w:bottom w:val="single" w:sz="4" w:space="0" w:color="auto"/>
              <w:right w:val="single" w:sz="4" w:space="0" w:color="auto"/>
            </w:tcBorders>
            <w:vAlign w:val="center"/>
          </w:tcPr>
          <w:p w14:paraId="28845656"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3C7D23" w14:paraId="5D6BE961" w14:textId="77777777" w:rsidTr="00527311">
        <w:trPr>
          <w:cantSplit/>
          <w:trHeight w:val="499"/>
        </w:trPr>
        <w:tc>
          <w:tcPr>
            <w:tcW w:w="413" w:type="pct"/>
            <w:tcBorders>
              <w:top w:val="single" w:sz="4" w:space="0" w:color="auto"/>
              <w:left w:val="single" w:sz="4" w:space="0" w:color="auto"/>
              <w:bottom w:val="single" w:sz="4" w:space="0" w:color="auto"/>
              <w:right w:val="single" w:sz="4" w:space="0" w:color="auto"/>
            </w:tcBorders>
            <w:vAlign w:val="center"/>
          </w:tcPr>
          <w:p w14:paraId="70BDDEBE"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417" w:type="pct"/>
            <w:tcBorders>
              <w:top w:val="single" w:sz="4" w:space="0" w:color="auto"/>
              <w:left w:val="nil"/>
              <w:bottom w:val="single" w:sz="4" w:space="0" w:color="auto"/>
              <w:right w:val="single" w:sz="4" w:space="0" w:color="auto"/>
            </w:tcBorders>
            <w:vAlign w:val="center"/>
          </w:tcPr>
          <w:p w14:paraId="3F17041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58" w:type="pct"/>
            <w:tcBorders>
              <w:top w:val="single" w:sz="4" w:space="0" w:color="auto"/>
              <w:left w:val="nil"/>
              <w:bottom w:val="single" w:sz="4" w:space="0" w:color="auto"/>
              <w:right w:val="single" w:sz="4" w:space="0" w:color="auto"/>
            </w:tcBorders>
            <w:vAlign w:val="center"/>
          </w:tcPr>
          <w:p w14:paraId="710534A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14:paraId="6FC106DC"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27" w:type="pct"/>
            <w:tcBorders>
              <w:top w:val="single" w:sz="4" w:space="0" w:color="auto"/>
              <w:left w:val="nil"/>
              <w:bottom w:val="single" w:sz="4" w:space="0" w:color="auto"/>
              <w:right w:val="single" w:sz="4" w:space="0" w:color="auto"/>
            </w:tcBorders>
            <w:vAlign w:val="center"/>
          </w:tcPr>
          <w:p w14:paraId="5B31283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317" w:type="pct"/>
            <w:tcBorders>
              <w:top w:val="single" w:sz="4" w:space="0" w:color="auto"/>
              <w:left w:val="nil"/>
              <w:bottom w:val="single" w:sz="4" w:space="0" w:color="auto"/>
              <w:right w:val="single" w:sz="4" w:space="0" w:color="auto"/>
            </w:tcBorders>
            <w:vAlign w:val="center"/>
          </w:tcPr>
          <w:p w14:paraId="07E0E7C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17" w:type="pct"/>
            <w:tcBorders>
              <w:top w:val="single" w:sz="4" w:space="0" w:color="auto"/>
              <w:left w:val="nil"/>
              <w:bottom w:val="single" w:sz="4" w:space="0" w:color="auto"/>
              <w:right w:val="nil"/>
            </w:tcBorders>
            <w:vAlign w:val="center"/>
          </w:tcPr>
          <w:p w14:paraId="5A2790C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74" w:type="pct"/>
            <w:tcBorders>
              <w:top w:val="single" w:sz="4" w:space="0" w:color="auto"/>
              <w:left w:val="single" w:sz="4" w:space="0" w:color="auto"/>
              <w:bottom w:val="single" w:sz="4" w:space="0" w:color="auto"/>
              <w:right w:val="single" w:sz="4" w:space="0" w:color="auto"/>
            </w:tcBorders>
            <w:vAlign w:val="center"/>
          </w:tcPr>
          <w:p w14:paraId="3AEB29CB" w14:textId="77777777" w:rsidR="003C7D23" w:rsidRDefault="003C7D23" w:rsidP="00527311">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50" w:type="pct"/>
            <w:tcBorders>
              <w:top w:val="single" w:sz="4" w:space="0" w:color="auto"/>
              <w:left w:val="single" w:sz="4" w:space="0" w:color="auto"/>
              <w:bottom w:val="single" w:sz="4" w:space="0" w:color="auto"/>
              <w:right w:val="single" w:sz="4" w:space="0" w:color="auto"/>
            </w:tcBorders>
            <w:vAlign w:val="center"/>
          </w:tcPr>
          <w:p w14:paraId="6AAF2D5B" w14:textId="77777777" w:rsidR="003C7D23" w:rsidRDefault="003C7D23" w:rsidP="00527311">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C7D23" w14:paraId="30D9CF38" w14:textId="77777777" w:rsidTr="00527311">
        <w:trPr>
          <w:cantSplit/>
          <w:trHeight w:val="1196"/>
        </w:trPr>
        <w:tc>
          <w:tcPr>
            <w:tcW w:w="413" w:type="pct"/>
            <w:vMerge w:val="restart"/>
            <w:tcBorders>
              <w:top w:val="single" w:sz="4" w:space="0" w:color="auto"/>
              <w:left w:val="single" w:sz="4" w:space="0" w:color="auto"/>
              <w:bottom w:val="single" w:sz="4" w:space="0" w:color="auto"/>
              <w:right w:val="single" w:sz="4" w:space="0" w:color="auto"/>
            </w:tcBorders>
            <w:vAlign w:val="center"/>
          </w:tcPr>
          <w:p w14:paraId="0FE5089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整体绩效目标实现情况（60）</w:t>
            </w:r>
          </w:p>
        </w:tc>
        <w:tc>
          <w:tcPr>
            <w:tcW w:w="417" w:type="pct"/>
            <w:vMerge w:val="restart"/>
            <w:tcBorders>
              <w:top w:val="single" w:sz="4" w:space="0" w:color="auto"/>
              <w:left w:val="nil"/>
              <w:right w:val="single" w:sz="4" w:space="0" w:color="auto"/>
            </w:tcBorders>
            <w:vAlign w:val="center"/>
          </w:tcPr>
          <w:p w14:paraId="6087D808" w14:textId="77777777" w:rsidR="003C7D23" w:rsidRDefault="003C7D23" w:rsidP="00527311">
            <w:pPr>
              <w:widowControl/>
              <w:jc w:val="center"/>
              <w:rPr>
                <w:rFonts w:ascii="宋体" w:hAnsi="宋体" w:cs="宋体"/>
                <w:color w:val="000000"/>
                <w:kern w:val="0"/>
                <w:sz w:val="20"/>
                <w:szCs w:val="20"/>
              </w:rPr>
            </w:pPr>
          </w:p>
          <w:p w14:paraId="56778DD0" w14:textId="77777777" w:rsidR="003C7D23" w:rsidRDefault="003C7D23" w:rsidP="00527311">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358" w:type="pct"/>
            <w:tcBorders>
              <w:top w:val="single" w:sz="4" w:space="0" w:color="auto"/>
              <w:left w:val="nil"/>
              <w:bottom w:val="single" w:sz="4" w:space="0" w:color="auto"/>
              <w:right w:val="single" w:sz="4" w:space="0" w:color="auto"/>
            </w:tcBorders>
            <w:vAlign w:val="center"/>
          </w:tcPr>
          <w:p w14:paraId="43883569" w14:textId="77777777" w:rsidR="003C7D23" w:rsidRDefault="003C7D23" w:rsidP="00527311">
            <w:pPr>
              <w:widowControl/>
              <w:jc w:val="center"/>
              <w:rPr>
                <w:rFonts w:ascii="宋体" w:hAnsi="宋体" w:cs="宋体"/>
                <w:color w:val="000000"/>
                <w:kern w:val="0"/>
                <w:sz w:val="20"/>
                <w:szCs w:val="20"/>
              </w:rPr>
            </w:pPr>
          </w:p>
          <w:p w14:paraId="5B75D69C" w14:textId="77777777" w:rsidR="003C7D23" w:rsidRDefault="003C7D23" w:rsidP="00527311">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23" w:type="pct"/>
            <w:tcBorders>
              <w:top w:val="single" w:sz="4" w:space="0" w:color="auto"/>
              <w:left w:val="nil"/>
              <w:bottom w:val="single" w:sz="4" w:space="0" w:color="auto"/>
              <w:right w:val="single" w:sz="4" w:space="0" w:color="auto"/>
            </w:tcBorders>
            <w:vAlign w:val="center"/>
          </w:tcPr>
          <w:p w14:paraId="52B6F3D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持续深化政治建设，全面从严治党取得新成效</w:t>
            </w:r>
          </w:p>
        </w:tc>
        <w:tc>
          <w:tcPr>
            <w:tcW w:w="327" w:type="pct"/>
            <w:tcBorders>
              <w:top w:val="single" w:sz="4" w:space="0" w:color="auto"/>
              <w:left w:val="nil"/>
              <w:bottom w:val="single" w:sz="4" w:space="0" w:color="auto"/>
              <w:right w:val="single" w:sz="4" w:space="0" w:color="auto"/>
            </w:tcBorders>
            <w:vAlign w:val="center"/>
          </w:tcPr>
          <w:p w14:paraId="4FB6534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20A5BD83" w14:textId="77777777" w:rsidR="003C7D23" w:rsidRDefault="003C7D23" w:rsidP="00527311">
            <w:pPr>
              <w:widowControl/>
              <w:jc w:val="center"/>
              <w:rPr>
                <w:rFonts w:ascii="宋体" w:hAnsi="宋体" w:cs="宋体"/>
                <w:color w:val="000000"/>
                <w:kern w:val="0"/>
                <w:sz w:val="20"/>
                <w:szCs w:val="20"/>
              </w:rPr>
            </w:pPr>
          </w:p>
          <w:p w14:paraId="11640197" w14:textId="77777777" w:rsidR="003C7D23" w:rsidRDefault="003C7D23" w:rsidP="00527311">
            <w:pPr>
              <w:jc w:val="center"/>
              <w:rPr>
                <w:rFonts w:ascii="宋体" w:hAnsi="宋体" w:cs="宋体"/>
                <w:color w:val="000000"/>
                <w:kern w:val="0"/>
                <w:sz w:val="20"/>
                <w:szCs w:val="20"/>
              </w:rPr>
            </w:pPr>
            <w:r>
              <w:rPr>
                <w:rFonts w:ascii="宋体" w:hAnsi="宋体" w:cs="宋体" w:hint="eastAsia"/>
                <w:color w:val="000000"/>
                <w:kern w:val="0"/>
                <w:sz w:val="20"/>
                <w:szCs w:val="20"/>
              </w:rPr>
              <w:t xml:space="preserve">5　</w:t>
            </w:r>
          </w:p>
        </w:tc>
        <w:tc>
          <w:tcPr>
            <w:tcW w:w="899" w:type="dxa"/>
            <w:tcBorders>
              <w:top w:val="single" w:sz="4" w:space="0" w:color="auto"/>
              <w:left w:val="nil"/>
              <w:bottom w:val="single" w:sz="4" w:space="0" w:color="auto"/>
              <w:right w:val="nil"/>
            </w:tcBorders>
            <w:vAlign w:val="center"/>
          </w:tcPr>
          <w:p w14:paraId="449DBDC5" w14:textId="77777777" w:rsidR="003C7D23" w:rsidRDefault="003C7D23" w:rsidP="00527311">
            <w:pPr>
              <w:widowControl/>
              <w:jc w:val="center"/>
              <w:rPr>
                <w:rFonts w:ascii="宋体" w:hAnsi="宋体" w:cs="宋体"/>
                <w:color w:val="000000"/>
                <w:kern w:val="0"/>
                <w:sz w:val="20"/>
                <w:szCs w:val="20"/>
              </w:rPr>
            </w:pPr>
          </w:p>
          <w:p w14:paraId="72860614" w14:textId="77777777" w:rsidR="003C7D23" w:rsidRDefault="003C7D23" w:rsidP="00527311">
            <w:pPr>
              <w:jc w:val="center"/>
              <w:rPr>
                <w:rFonts w:ascii="宋体" w:hAnsi="宋体" w:cs="宋体"/>
                <w:color w:val="000000"/>
                <w:kern w:val="0"/>
                <w:sz w:val="20"/>
                <w:szCs w:val="20"/>
              </w:rPr>
            </w:pPr>
            <w:r>
              <w:rPr>
                <w:rFonts w:ascii="宋体" w:hAnsi="宋体" w:cs="宋体" w:hint="eastAsia"/>
                <w:color w:val="000000"/>
                <w:kern w:val="0"/>
                <w:sz w:val="20"/>
                <w:szCs w:val="20"/>
              </w:rPr>
              <w:t xml:space="preserve">5　</w:t>
            </w:r>
          </w:p>
        </w:tc>
        <w:tc>
          <w:tcPr>
            <w:tcW w:w="1274" w:type="pct"/>
            <w:vMerge w:val="restart"/>
            <w:tcBorders>
              <w:top w:val="single" w:sz="4" w:space="0" w:color="auto"/>
              <w:left w:val="single" w:sz="4" w:space="0" w:color="auto"/>
              <w:bottom w:val="single" w:sz="4" w:space="0" w:color="auto"/>
              <w:right w:val="single" w:sz="4" w:space="0" w:color="auto"/>
            </w:tcBorders>
            <w:vAlign w:val="center"/>
          </w:tcPr>
          <w:p w14:paraId="1AA43377"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50" w:type="pct"/>
            <w:vMerge w:val="restart"/>
            <w:tcBorders>
              <w:top w:val="single" w:sz="4" w:space="0" w:color="auto"/>
              <w:left w:val="single" w:sz="4" w:space="0" w:color="auto"/>
              <w:bottom w:val="single" w:sz="4" w:space="0" w:color="auto"/>
              <w:right w:val="single" w:sz="4" w:space="0" w:color="auto"/>
            </w:tcBorders>
            <w:vAlign w:val="center"/>
          </w:tcPr>
          <w:p w14:paraId="28571BFF"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3C7D23" w14:paraId="4F50B96F" w14:textId="77777777" w:rsidTr="00527311">
        <w:trPr>
          <w:cantSplit/>
          <w:trHeight w:val="1130"/>
        </w:trPr>
        <w:tc>
          <w:tcPr>
            <w:tcW w:w="413" w:type="pct"/>
            <w:vMerge/>
            <w:tcBorders>
              <w:top w:val="nil"/>
              <w:left w:val="single" w:sz="4" w:space="0" w:color="auto"/>
              <w:bottom w:val="single" w:sz="4" w:space="0" w:color="000000"/>
              <w:right w:val="single" w:sz="4" w:space="0" w:color="auto"/>
            </w:tcBorders>
            <w:vAlign w:val="center"/>
          </w:tcPr>
          <w:p w14:paraId="2EEF590F" w14:textId="77777777" w:rsidR="003C7D23" w:rsidRDefault="003C7D23" w:rsidP="00527311">
            <w:pPr>
              <w:widowControl/>
              <w:jc w:val="left"/>
              <w:rPr>
                <w:rFonts w:ascii="宋体" w:hAnsi="宋体" w:cs="宋体"/>
                <w:color w:val="000000"/>
                <w:kern w:val="0"/>
                <w:sz w:val="20"/>
                <w:szCs w:val="20"/>
              </w:rPr>
            </w:pPr>
          </w:p>
        </w:tc>
        <w:tc>
          <w:tcPr>
            <w:tcW w:w="417" w:type="pct"/>
            <w:vMerge/>
            <w:tcBorders>
              <w:left w:val="nil"/>
              <w:right w:val="single" w:sz="4" w:space="0" w:color="auto"/>
            </w:tcBorders>
            <w:vAlign w:val="center"/>
          </w:tcPr>
          <w:p w14:paraId="2F385364" w14:textId="77777777" w:rsidR="003C7D23" w:rsidRDefault="003C7D23" w:rsidP="00527311">
            <w:pPr>
              <w:widowControl/>
              <w:jc w:val="left"/>
              <w:rPr>
                <w:rFonts w:ascii="宋体" w:hAnsi="宋体" w:cs="宋体"/>
                <w:color w:val="000000"/>
                <w:kern w:val="0"/>
                <w:sz w:val="20"/>
                <w:szCs w:val="20"/>
              </w:rPr>
            </w:pPr>
          </w:p>
        </w:tc>
        <w:tc>
          <w:tcPr>
            <w:tcW w:w="358" w:type="pct"/>
            <w:tcBorders>
              <w:top w:val="single" w:sz="4" w:space="0" w:color="auto"/>
              <w:left w:val="nil"/>
              <w:bottom w:val="single" w:sz="4" w:space="0" w:color="auto"/>
              <w:right w:val="single" w:sz="4" w:space="0" w:color="auto"/>
            </w:tcBorders>
            <w:vAlign w:val="center"/>
          </w:tcPr>
          <w:p w14:paraId="1EE3ECFC"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23" w:type="pct"/>
            <w:tcBorders>
              <w:top w:val="single" w:sz="4" w:space="0" w:color="auto"/>
              <w:left w:val="nil"/>
              <w:bottom w:val="single" w:sz="4" w:space="0" w:color="auto"/>
              <w:right w:val="single" w:sz="4" w:space="0" w:color="auto"/>
            </w:tcBorders>
            <w:vAlign w:val="center"/>
          </w:tcPr>
          <w:p w14:paraId="2907483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坚持党的全面领导，学校教育教学质量迈出新步伐</w:t>
            </w:r>
          </w:p>
        </w:tc>
        <w:tc>
          <w:tcPr>
            <w:tcW w:w="327" w:type="pct"/>
            <w:tcBorders>
              <w:top w:val="single" w:sz="4" w:space="0" w:color="auto"/>
              <w:left w:val="nil"/>
              <w:bottom w:val="single" w:sz="4" w:space="0" w:color="auto"/>
              <w:right w:val="single" w:sz="4" w:space="0" w:color="auto"/>
            </w:tcBorders>
            <w:vAlign w:val="center"/>
          </w:tcPr>
          <w:p w14:paraId="176ABA4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747819A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5　</w:t>
            </w:r>
          </w:p>
        </w:tc>
        <w:tc>
          <w:tcPr>
            <w:tcW w:w="899" w:type="dxa"/>
            <w:tcBorders>
              <w:top w:val="single" w:sz="4" w:space="0" w:color="auto"/>
              <w:left w:val="single" w:sz="4" w:space="0" w:color="auto"/>
              <w:bottom w:val="single" w:sz="4" w:space="0" w:color="auto"/>
              <w:right w:val="single" w:sz="4" w:space="0" w:color="auto"/>
            </w:tcBorders>
            <w:noWrap/>
            <w:vAlign w:val="center"/>
          </w:tcPr>
          <w:p w14:paraId="3E7C941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74" w:type="pct"/>
            <w:vMerge/>
            <w:tcBorders>
              <w:top w:val="nil"/>
              <w:left w:val="single" w:sz="4" w:space="0" w:color="auto"/>
              <w:bottom w:val="single" w:sz="4" w:space="0" w:color="auto"/>
              <w:right w:val="single" w:sz="4" w:space="0" w:color="auto"/>
            </w:tcBorders>
            <w:vAlign w:val="center"/>
          </w:tcPr>
          <w:p w14:paraId="4C4A7619"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5FA16FF3" w14:textId="77777777" w:rsidR="003C7D23" w:rsidRDefault="003C7D23" w:rsidP="00527311">
            <w:pPr>
              <w:widowControl/>
              <w:jc w:val="left"/>
              <w:rPr>
                <w:rFonts w:ascii="宋体" w:hAnsi="宋体" w:cs="宋体"/>
                <w:color w:val="000000"/>
                <w:kern w:val="0"/>
                <w:sz w:val="18"/>
                <w:szCs w:val="18"/>
              </w:rPr>
            </w:pPr>
          </w:p>
        </w:tc>
      </w:tr>
      <w:tr w:rsidR="003C7D23" w14:paraId="35427541" w14:textId="77777777" w:rsidTr="00527311">
        <w:trPr>
          <w:cantSplit/>
          <w:trHeight w:val="1258"/>
        </w:trPr>
        <w:tc>
          <w:tcPr>
            <w:tcW w:w="413" w:type="pct"/>
            <w:vMerge/>
            <w:tcBorders>
              <w:top w:val="nil"/>
              <w:left w:val="single" w:sz="4" w:space="0" w:color="auto"/>
              <w:bottom w:val="single" w:sz="4" w:space="0" w:color="000000"/>
              <w:right w:val="single" w:sz="4" w:space="0" w:color="auto"/>
            </w:tcBorders>
            <w:vAlign w:val="center"/>
          </w:tcPr>
          <w:p w14:paraId="66E6B056" w14:textId="77777777" w:rsidR="003C7D23" w:rsidRDefault="003C7D23" w:rsidP="00527311">
            <w:pPr>
              <w:widowControl/>
              <w:jc w:val="left"/>
              <w:rPr>
                <w:rFonts w:ascii="宋体" w:hAnsi="宋体" w:cs="宋体"/>
                <w:color w:val="000000"/>
                <w:kern w:val="0"/>
                <w:sz w:val="20"/>
                <w:szCs w:val="20"/>
              </w:rPr>
            </w:pPr>
          </w:p>
        </w:tc>
        <w:tc>
          <w:tcPr>
            <w:tcW w:w="417" w:type="pct"/>
            <w:vMerge/>
            <w:tcBorders>
              <w:left w:val="nil"/>
              <w:right w:val="single" w:sz="4" w:space="0" w:color="auto"/>
            </w:tcBorders>
            <w:vAlign w:val="center"/>
          </w:tcPr>
          <w:p w14:paraId="3B07CB5A"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35111C0E"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23" w:type="pct"/>
            <w:tcBorders>
              <w:top w:val="nil"/>
              <w:left w:val="nil"/>
              <w:bottom w:val="single" w:sz="4" w:space="0" w:color="auto"/>
              <w:right w:val="single" w:sz="4" w:space="0" w:color="auto"/>
            </w:tcBorders>
            <w:vAlign w:val="center"/>
          </w:tcPr>
          <w:p w14:paraId="6C6E0F3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深入贯彻新时代党的组织路线，提升干部人才队伍综合素质</w:t>
            </w:r>
          </w:p>
        </w:tc>
        <w:tc>
          <w:tcPr>
            <w:tcW w:w="327" w:type="pct"/>
            <w:tcBorders>
              <w:top w:val="nil"/>
              <w:left w:val="nil"/>
              <w:bottom w:val="single" w:sz="4" w:space="0" w:color="auto"/>
              <w:right w:val="single" w:sz="4" w:space="0" w:color="auto"/>
            </w:tcBorders>
            <w:vAlign w:val="center"/>
          </w:tcPr>
          <w:p w14:paraId="554996E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032FF0EC"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899" w:type="dxa"/>
            <w:tcBorders>
              <w:top w:val="single" w:sz="4" w:space="0" w:color="auto"/>
              <w:left w:val="single" w:sz="4" w:space="0" w:color="auto"/>
              <w:bottom w:val="single" w:sz="4" w:space="0" w:color="auto"/>
              <w:right w:val="single" w:sz="4" w:space="0" w:color="auto"/>
            </w:tcBorders>
            <w:noWrap/>
            <w:vAlign w:val="center"/>
          </w:tcPr>
          <w:p w14:paraId="613A33A5"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3　</w:t>
            </w:r>
          </w:p>
        </w:tc>
        <w:tc>
          <w:tcPr>
            <w:tcW w:w="1274" w:type="pct"/>
            <w:vMerge/>
            <w:tcBorders>
              <w:top w:val="nil"/>
              <w:left w:val="single" w:sz="4" w:space="0" w:color="auto"/>
              <w:bottom w:val="single" w:sz="4" w:space="0" w:color="auto"/>
              <w:right w:val="single" w:sz="4" w:space="0" w:color="auto"/>
            </w:tcBorders>
            <w:vAlign w:val="center"/>
          </w:tcPr>
          <w:p w14:paraId="10DC3DB4"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6C37D710" w14:textId="77777777" w:rsidR="003C7D23" w:rsidRDefault="003C7D23" w:rsidP="00527311">
            <w:pPr>
              <w:widowControl/>
              <w:jc w:val="left"/>
              <w:rPr>
                <w:rFonts w:ascii="宋体" w:hAnsi="宋体" w:cs="宋体"/>
                <w:color w:val="000000"/>
                <w:kern w:val="0"/>
                <w:sz w:val="18"/>
                <w:szCs w:val="18"/>
              </w:rPr>
            </w:pPr>
          </w:p>
        </w:tc>
      </w:tr>
      <w:tr w:rsidR="003C7D23" w14:paraId="040FC49F" w14:textId="77777777" w:rsidTr="00527311">
        <w:trPr>
          <w:cantSplit/>
          <w:trHeight w:val="975"/>
        </w:trPr>
        <w:tc>
          <w:tcPr>
            <w:tcW w:w="413" w:type="pct"/>
            <w:vMerge/>
            <w:tcBorders>
              <w:top w:val="nil"/>
              <w:left w:val="single" w:sz="4" w:space="0" w:color="auto"/>
              <w:bottom w:val="single" w:sz="4" w:space="0" w:color="000000"/>
              <w:right w:val="single" w:sz="4" w:space="0" w:color="auto"/>
            </w:tcBorders>
            <w:vAlign w:val="center"/>
          </w:tcPr>
          <w:p w14:paraId="5198FC94" w14:textId="77777777" w:rsidR="003C7D23" w:rsidRDefault="003C7D23" w:rsidP="00527311">
            <w:pPr>
              <w:widowControl/>
              <w:jc w:val="left"/>
              <w:rPr>
                <w:rFonts w:ascii="宋体" w:hAnsi="宋体" w:cs="宋体"/>
                <w:color w:val="000000"/>
                <w:kern w:val="0"/>
                <w:sz w:val="20"/>
                <w:szCs w:val="20"/>
              </w:rPr>
            </w:pPr>
          </w:p>
        </w:tc>
        <w:tc>
          <w:tcPr>
            <w:tcW w:w="417" w:type="pct"/>
            <w:vMerge/>
            <w:tcBorders>
              <w:left w:val="nil"/>
              <w:right w:val="single" w:sz="4" w:space="0" w:color="auto"/>
            </w:tcBorders>
            <w:vAlign w:val="center"/>
          </w:tcPr>
          <w:p w14:paraId="751E9BEB"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325084A0"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指标4</w:t>
            </w:r>
          </w:p>
        </w:tc>
        <w:tc>
          <w:tcPr>
            <w:tcW w:w="323" w:type="pct"/>
            <w:tcBorders>
              <w:top w:val="nil"/>
              <w:left w:val="nil"/>
              <w:bottom w:val="single" w:sz="4" w:space="0" w:color="auto"/>
              <w:right w:val="single" w:sz="4" w:space="0" w:color="auto"/>
            </w:tcBorders>
            <w:vAlign w:val="center"/>
          </w:tcPr>
          <w:p w14:paraId="55FCCA83" w14:textId="77777777" w:rsidR="003C7D23" w:rsidRDefault="003C7D23" w:rsidP="00527311">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深化党风</w:t>
            </w:r>
            <w:proofErr w:type="gramEnd"/>
            <w:r>
              <w:rPr>
                <w:rFonts w:ascii="宋体" w:hAnsi="宋体" w:cs="宋体" w:hint="eastAsia"/>
                <w:color w:val="000000"/>
                <w:kern w:val="0"/>
                <w:sz w:val="20"/>
                <w:szCs w:val="20"/>
              </w:rPr>
              <w:t>廉政建设，营造风清气</w:t>
            </w:r>
            <w:proofErr w:type="gramStart"/>
            <w:r>
              <w:rPr>
                <w:rFonts w:ascii="宋体" w:hAnsi="宋体" w:cs="宋体" w:hint="eastAsia"/>
                <w:color w:val="000000"/>
                <w:kern w:val="0"/>
                <w:sz w:val="20"/>
                <w:szCs w:val="20"/>
              </w:rPr>
              <w:t>正</w:t>
            </w:r>
            <w:r>
              <w:rPr>
                <w:rFonts w:ascii="宋体" w:hAnsi="宋体" w:cs="宋体" w:hint="eastAsia"/>
                <w:color w:val="000000"/>
                <w:kern w:val="0"/>
                <w:sz w:val="20"/>
                <w:szCs w:val="20"/>
              </w:rPr>
              <w:lastRenderedPageBreak/>
              <w:t>政治</w:t>
            </w:r>
            <w:proofErr w:type="gramEnd"/>
            <w:r>
              <w:rPr>
                <w:rFonts w:ascii="宋体" w:hAnsi="宋体" w:cs="宋体" w:hint="eastAsia"/>
                <w:color w:val="000000"/>
                <w:kern w:val="0"/>
                <w:sz w:val="20"/>
                <w:szCs w:val="20"/>
              </w:rPr>
              <w:t>生态</w:t>
            </w:r>
          </w:p>
        </w:tc>
        <w:tc>
          <w:tcPr>
            <w:tcW w:w="327" w:type="pct"/>
            <w:tcBorders>
              <w:top w:val="nil"/>
              <w:left w:val="nil"/>
              <w:bottom w:val="single" w:sz="4" w:space="0" w:color="auto"/>
              <w:right w:val="single" w:sz="4" w:space="0" w:color="auto"/>
            </w:tcBorders>
            <w:vAlign w:val="center"/>
          </w:tcPr>
          <w:p w14:paraId="5DF1DC0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完成</w:t>
            </w:r>
          </w:p>
        </w:tc>
        <w:tc>
          <w:tcPr>
            <w:tcW w:w="317" w:type="pct"/>
            <w:tcBorders>
              <w:top w:val="single" w:sz="4" w:space="0" w:color="auto"/>
              <w:left w:val="single" w:sz="4" w:space="0" w:color="auto"/>
              <w:bottom w:val="single" w:sz="4" w:space="0" w:color="auto"/>
              <w:right w:val="single" w:sz="4" w:space="0" w:color="auto"/>
            </w:tcBorders>
            <w:vAlign w:val="center"/>
          </w:tcPr>
          <w:p w14:paraId="2291F918"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899" w:type="dxa"/>
            <w:tcBorders>
              <w:top w:val="single" w:sz="4" w:space="0" w:color="auto"/>
              <w:left w:val="single" w:sz="4" w:space="0" w:color="auto"/>
              <w:bottom w:val="single" w:sz="4" w:space="0" w:color="auto"/>
              <w:right w:val="single" w:sz="4" w:space="0" w:color="auto"/>
            </w:tcBorders>
            <w:noWrap/>
            <w:vAlign w:val="center"/>
          </w:tcPr>
          <w:p w14:paraId="550DC25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74" w:type="pct"/>
            <w:vMerge/>
            <w:tcBorders>
              <w:top w:val="nil"/>
              <w:left w:val="single" w:sz="4" w:space="0" w:color="auto"/>
              <w:bottom w:val="single" w:sz="4" w:space="0" w:color="auto"/>
              <w:right w:val="single" w:sz="4" w:space="0" w:color="auto"/>
            </w:tcBorders>
            <w:vAlign w:val="center"/>
          </w:tcPr>
          <w:p w14:paraId="0BE48AE6"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59B15B7E" w14:textId="77777777" w:rsidR="003C7D23" w:rsidRDefault="003C7D23" w:rsidP="00527311">
            <w:pPr>
              <w:widowControl/>
              <w:jc w:val="left"/>
              <w:rPr>
                <w:rFonts w:ascii="宋体" w:hAnsi="宋体" w:cs="宋体"/>
                <w:color w:val="000000"/>
                <w:kern w:val="0"/>
                <w:sz w:val="18"/>
                <w:szCs w:val="18"/>
              </w:rPr>
            </w:pPr>
          </w:p>
        </w:tc>
      </w:tr>
      <w:tr w:rsidR="003C7D23" w14:paraId="12C108D2" w14:textId="77777777" w:rsidTr="00527311">
        <w:trPr>
          <w:cantSplit/>
          <w:trHeight w:val="975"/>
        </w:trPr>
        <w:tc>
          <w:tcPr>
            <w:tcW w:w="413" w:type="pct"/>
            <w:vMerge/>
            <w:tcBorders>
              <w:top w:val="nil"/>
              <w:left w:val="single" w:sz="4" w:space="0" w:color="auto"/>
              <w:bottom w:val="single" w:sz="4" w:space="0" w:color="000000"/>
              <w:right w:val="single" w:sz="4" w:space="0" w:color="auto"/>
            </w:tcBorders>
            <w:vAlign w:val="center"/>
          </w:tcPr>
          <w:p w14:paraId="6BF6C50D" w14:textId="77777777" w:rsidR="003C7D23" w:rsidRDefault="003C7D23" w:rsidP="00527311">
            <w:pPr>
              <w:widowControl/>
              <w:jc w:val="left"/>
              <w:rPr>
                <w:rFonts w:ascii="宋体" w:hAnsi="宋体" w:cs="宋体"/>
                <w:color w:val="000000"/>
                <w:kern w:val="0"/>
                <w:sz w:val="20"/>
                <w:szCs w:val="20"/>
              </w:rPr>
            </w:pPr>
          </w:p>
        </w:tc>
        <w:tc>
          <w:tcPr>
            <w:tcW w:w="417" w:type="pct"/>
            <w:vMerge/>
            <w:tcBorders>
              <w:left w:val="nil"/>
              <w:right w:val="single" w:sz="4" w:space="0" w:color="auto"/>
            </w:tcBorders>
            <w:vAlign w:val="center"/>
          </w:tcPr>
          <w:p w14:paraId="74F273E3"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1454C886"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指标5</w:t>
            </w:r>
          </w:p>
        </w:tc>
        <w:tc>
          <w:tcPr>
            <w:tcW w:w="323" w:type="pct"/>
            <w:tcBorders>
              <w:top w:val="nil"/>
              <w:left w:val="nil"/>
              <w:bottom w:val="single" w:sz="4" w:space="0" w:color="auto"/>
              <w:right w:val="single" w:sz="4" w:space="0" w:color="auto"/>
            </w:tcBorders>
            <w:vAlign w:val="center"/>
          </w:tcPr>
          <w:p w14:paraId="139D764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思想文化建设凝心聚力，学校快速发展正面和谐</w:t>
            </w:r>
          </w:p>
        </w:tc>
        <w:tc>
          <w:tcPr>
            <w:tcW w:w="327" w:type="pct"/>
            <w:tcBorders>
              <w:top w:val="nil"/>
              <w:left w:val="nil"/>
              <w:bottom w:val="single" w:sz="4" w:space="0" w:color="auto"/>
              <w:right w:val="single" w:sz="4" w:space="0" w:color="auto"/>
            </w:tcBorders>
            <w:vAlign w:val="center"/>
          </w:tcPr>
          <w:p w14:paraId="1AD0359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40A50F5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99" w:type="dxa"/>
            <w:tcBorders>
              <w:top w:val="single" w:sz="4" w:space="0" w:color="auto"/>
              <w:left w:val="single" w:sz="4" w:space="0" w:color="auto"/>
              <w:bottom w:val="single" w:sz="4" w:space="0" w:color="auto"/>
              <w:right w:val="single" w:sz="4" w:space="0" w:color="auto"/>
            </w:tcBorders>
            <w:noWrap/>
            <w:vAlign w:val="center"/>
          </w:tcPr>
          <w:p w14:paraId="17495D0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74" w:type="pct"/>
            <w:tcBorders>
              <w:top w:val="nil"/>
              <w:left w:val="single" w:sz="4" w:space="0" w:color="auto"/>
              <w:bottom w:val="single" w:sz="4" w:space="0" w:color="auto"/>
              <w:right w:val="single" w:sz="4" w:space="0" w:color="auto"/>
            </w:tcBorders>
            <w:vAlign w:val="center"/>
          </w:tcPr>
          <w:p w14:paraId="7481F39C" w14:textId="77777777" w:rsidR="003C7D23" w:rsidRDefault="003C7D23" w:rsidP="00527311">
            <w:pPr>
              <w:widowControl/>
              <w:jc w:val="left"/>
              <w:rPr>
                <w:rFonts w:ascii="宋体" w:hAnsi="宋体" w:cs="宋体"/>
                <w:color w:val="000000"/>
                <w:kern w:val="0"/>
                <w:sz w:val="18"/>
                <w:szCs w:val="18"/>
              </w:rPr>
            </w:pPr>
          </w:p>
        </w:tc>
        <w:tc>
          <w:tcPr>
            <w:tcW w:w="1250" w:type="pct"/>
            <w:tcBorders>
              <w:top w:val="nil"/>
              <w:left w:val="single" w:sz="4" w:space="0" w:color="auto"/>
              <w:bottom w:val="single" w:sz="4" w:space="0" w:color="auto"/>
              <w:right w:val="single" w:sz="4" w:space="0" w:color="auto"/>
            </w:tcBorders>
            <w:vAlign w:val="center"/>
          </w:tcPr>
          <w:p w14:paraId="386B985D" w14:textId="77777777" w:rsidR="003C7D23" w:rsidRDefault="003C7D23" w:rsidP="00527311">
            <w:pPr>
              <w:widowControl/>
              <w:jc w:val="left"/>
              <w:rPr>
                <w:rFonts w:ascii="宋体" w:hAnsi="宋体" w:cs="宋体"/>
                <w:color w:val="000000"/>
                <w:kern w:val="0"/>
                <w:sz w:val="18"/>
                <w:szCs w:val="18"/>
              </w:rPr>
            </w:pPr>
          </w:p>
        </w:tc>
      </w:tr>
      <w:tr w:rsidR="003C7D23" w14:paraId="4C99360D" w14:textId="77777777" w:rsidTr="00527311">
        <w:trPr>
          <w:cantSplit/>
          <w:trHeight w:val="975"/>
        </w:trPr>
        <w:tc>
          <w:tcPr>
            <w:tcW w:w="413" w:type="pct"/>
            <w:vMerge/>
            <w:tcBorders>
              <w:top w:val="nil"/>
              <w:left w:val="single" w:sz="4" w:space="0" w:color="auto"/>
              <w:bottom w:val="single" w:sz="4" w:space="0" w:color="000000"/>
              <w:right w:val="single" w:sz="4" w:space="0" w:color="auto"/>
            </w:tcBorders>
            <w:vAlign w:val="center"/>
          </w:tcPr>
          <w:p w14:paraId="127C1C62" w14:textId="77777777" w:rsidR="003C7D23" w:rsidRDefault="003C7D23" w:rsidP="00527311">
            <w:pPr>
              <w:widowControl/>
              <w:jc w:val="left"/>
              <w:rPr>
                <w:rFonts w:ascii="宋体" w:hAnsi="宋体" w:cs="宋体"/>
                <w:color w:val="000000"/>
                <w:kern w:val="0"/>
                <w:sz w:val="20"/>
                <w:szCs w:val="20"/>
              </w:rPr>
            </w:pPr>
          </w:p>
        </w:tc>
        <w:tc>
          <w:tcPr>
            <w:tcW w:w="417" w:type="pct"/>
            <w:vMerge/>
            <w:tcBorders>
              <w:left w:val="nil"/>
              <w:right w:val="single" w:sz="4" w:space="0" w:color="auto"/>
            </w:tcBorders>
            <w:vAlign w:val="center"/>
          </w:tcPr>
          <w:p w14:paraId="3E59A901"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10B55732"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指标6</w:t>
            </w:r>
          </w:p>
        </w:tc>
        <w:tc>
          <w:tcPr>
            <w:tcW w:w="323" w:type="pct"/>
            <w:tcBorders>
              <w:top w:val="nil"/>
              <w:left w:val="nil"/>
              <w:bottom w:val="single" w:sz="4" w:space="0" w:color="auto"/>
              <w:right w:val="single" w:sz="4" w:space="0" w:color="auto"/>
            </w:tcBorders>
            <w:vAlign w:val="center"/>
          </w:tcPr>
          <w:p w14:paraId="17DEC5C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激发群团组织活力，营造学校和谐稳定发展环境</w:t>
            </w:r>
          </w:p>
        </w:tc>
        <w:tc>
          <w:tcPr>
            <w:tcW w:w="327" w:type="pct"/>
            <w:tcBorders>
              <w:top w:val="nil"/>
              <w:left w:val="nil"/>
              <w:bottom w:val="single" w:sz="4" w:space="0" w:color="auto"/>
              <w:right w:val="single" w:sz="4" w:space="0" w:color="auto"/>
            </w:tcBorders>
            <w:vAlign w:val="center"/>
          </w:tcPr>
          <w:p w14:paraId="58550D2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51E63FB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99" w:type="dxa"/>
            <w:tcBorders>
              <w:top w:val="single" w:sz="4" w:space="0" w:color="auto"/>
              <w:left w:val="single" w:sz="4" w:space="0" w:color="auto"/>
              <w:bottom w:val="single" w:sz="4" w:space="0" w:color="auto"/>
              <w:right w:val="single" w:sz="4" w:space="0" w:color="auto"/>
            </w:tcBorders>
            <w:noWrap/>
            <w:vAlign w:val="center"/>
          </w:tcPr>
          <w:p w14:paraId="0926882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74" w:type="pct"/>
            <w:tcBorders>
              <w:top w:val="nil"/>
              <w:left w:val="single" w:sz="4" w:space="0" w:color="auto"/>
              <w:bottom w:val="single" w:sz="4" w:space="0" w:color="auto"/>
              <w:right w:val="single" w:sz="4" w:space="0" w:color="auto"/>
            </w:tcBorders>
            <w:vAlign w:val="center"/>
          </w:tcPr>
          <w:p w14:paraId="2641F6A5" w14:textId="77777777" w:rsidR="003C7D23" w:rsidRDefault="003C7D23" w:rsidP="00527311">
            <w:pPr>
              <w:widowControl/>
              <w:jc w:val="left"/>
              <w:rPr>
                <w:rFonts w:ascii="宋体" w:hAnsi="宋体" w:cs="宋体"/>
                <w:color w:val="000000"/>
                <w:kern w:val="0"/>
                <w:sz w:val="18"/>
                <w:szCs w:val="18"/>
              </w:rPr>
            </w:pPr>
          </w:p>
        </w:tc>
        <w:tc>
          <w:tcPr>
            <w:tcW w:w="1250" w:type="pct"/>
            <w:tcBorders>
              <w:top w:val="nil"/>
              <w:left w:val="single" w:sz="4" w:space="0" w:color="auto"/>
              <w:bottom w:val="single" w:sz="4" w:space="0" w:color="auto"/>
              <w:right w:val="single" w:sz="4" w:space="0" w:color="auto"/>
            </w:tcBorders>
            <w:vAlign w:val="center"/>
          </w:tcPr>
          <w:p w14:paraId="4B9FCD71" w14:textId="77777777" w:rsidR="003C7D23" w:rsidRDefault="003C7D23" w:rsidP="00527311">
            <w:pPr>
              <w:widowControl/>
              <w:jc w:val="left"/>
              <w:rPr>
                <w:rFonts w:ascii="宋体" w:hAnsi="宋体" w:cs="宋体"/>
                <w:color w:val="000000"/>
                <w:kern w:val="0"/>
                <w:sz w:val="18"/>
                <w:szCs w:val="18"/>
              </w:rPr>
            </w:pPr>
          </w:p>
        </w:tc>
      </w:tr>
      <w:tr w:rsidR="003C7D23" w14:paraId="2AB9CE62" w14:textId="77777777" w:rsidTr="00527311">
        <w:trPr>
          <w:cantSplit/>
          <w:trHeight w:val="975"/>
        </w:trPr>
        <w:tc>
          <w:tcPr>
            <w:tcW w:w="413" w:type="pct"/>
            <w:vMerge/>
            <w:tcBorders>
              <w:top w:val="nil"/>
              <w:left w:val="single" w:sz="4" w:space="0" w:color="auto"/>
              <w:bottom w:val="single" w:sz="4" w:space="0" w:color="000000"/>
              <w:right w:val="single" w:sz="4" w:space="0" w:color="auto"/>
            </w:tcBorders>
            <w:vAlign w:val="center"/>
          </w:tcPr>
          <w:p w14:paraId="2CBB6DEF" w14:textId="77777777" w:rsidR="003C7D23" w:rsidRDefault="003C7D23" w:rsidP="00527311">
            <w:pPr>
              <w:widowControl/>
              <w:jc w:val="left"/>
              <w:rPr>
                <w:rFonts w:ascii="宋体" w:hAnsi="宋体" w:cs="宋体"/>
                <w:color w:val="000000"/>
                <w:kern w:val="0"/>
                <w:sz w:val="20"/>
                <w:szCs w:val="20"/>
              </w:rPr>
            </w:pPr>
          </w:p>
        </w:tc>
        <w:tc>
          <w:tcPr>
            <w:tcW w:w="417" w:type="pct"/>
            <w:vMerge/>
            <w:tcBorders>
              <w:left w:val="nil"/>
              <w:bottom w:val="single" w:sz="4" w:space="0" w:color="auto"/>
              <w:right w:val="single" w:sz="4" w:space="0" w:color="auto"/>
            </w:tcBorders>
            <w:vAlign w:val="center"/>
          </w:tcPr>
          <w:p w14:paraId="2D75422B"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06782505"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指标7</w:t>
            </w:r>
          </w:p>
        </w:tc>
        <w:tc>
          <w:tcPr>
            <w:tcW w:w="323" w:type="pct"/>
            <w:tcBorders>
              <w:top w:val="nil"/>
              <w:left w:val="nil"/>
              <w:bottom w:val="single" w:sz="4" w:space="0" w:color="auto"/>
              <w:right w:val="single" w:sz="4" w:space="0" w:color="auto"/>
            </w:tcBorders>
            <w:vAlign w:val="center"/>
          </w:tcPr>
          <w:p w14:paraId="4A30E989" w14:textId="77777777" w:rsidR="003C7D23" w:rsidRDefault="003C7D23" w:rsidP="00527311">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安全维稳平稳</w:t>
            </w:r>
            <w:proofErr w:type="gramEnd"/>
            <w:r>
              <w:rPr>
                <w:rFonts w:ascii="宋体" w:hAnsi="宋体" w:cs="宋体" w:hint="eastAsia"/>
                <w:color w:val="000000"/>
                <w:kern w:val="0"/>
                <w:sz w:val="20"/>
                <w:szCs w:val="20"/>
              </w:rPr>
              <w:t>可控，职工队伍关系和谐</w:t>
            </w:r>
          </w:p>
        </w:tc>
        <w:tc>
          <w:tcPr>
            <w:tcW w:w="327" w:type="pct"/>
            <w:tcBorders>
              <w:top w:val="nil"/>
              <w:left w:val="nil"/>
              <w:bottom w:val="single" w:sz="4" w:space="0" w:color="auto"/>
              <w:right w:val="single" w:sz="4" w:space="0" w:color="auto"/>
            </w:tcBorders>
            <w:vAlign w:val="center"/>
          </w:tcPr>
          <w:p w14:paraId="517C19D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20F91F1C"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899" w:type="dxa"/>
            <w:tcBorders>
              <w:top w:val="single" w:sz="4" w:space="0" w:color="auto"/>
              <w:left w:val="single" w:sz="4" w:space="0" w:color="auto"/>
              <w:bottom w:val="single" w:sz="4" w:space="0" w:color="auto"/>
              <w:right w:val="single" w:sz="4" w:space="0" w:color="auto"/>
            </w:tcBorders>
            <w:noWrap/>
            <w:vAlign w:val="center"/>
          </w:tcPr>
          <w:p w14:paraId="102B374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274" w:type="pct"/>
            <w:tcBorders>
              <w:top w:val="nil"/>
              <w:left w:val="single" w:sz="4" w:space="0" w:color="auto"/>
              <w:bottom w:val="single" w:sz="4" w:space="0" w:color="auto"/>
              <w:right w:val="single" w:sz="4" w:space="0" w:color="auto"/>
            </w:tcBorders>
            <w:vAlign w:val="center"/>
          </w:tcPr>
          <w:p w14:paraId="64F3C0C2" w14:textId="77777777" w:rsidR="003C7D23" w:rsidRDefault="003C7D23" w:rsidP="00527311">
            <w:pPr>
              <w:widowControl/>
              <w:jc w:val="left"/>
              <w:rPr>
                <w:rFonts w:ascii="宋体" w:hAnsi="宋体" w:cs="宋体"/>
                <w:color w:val="000000"/>
                <w:kern w:val="0"/>
                <w:sz w:val="18"/>
                <w:szCs w:val="18"/>
              </w:rPr>
            </w:pPr>
          </w:p>
        </w:tc>
        <w:tc>
          <w:tcPr>
            <w:tcW w:w="1250" w:type="pct"/>
            <w:tcBorders>
              <w:top w:val="nil"/>
              <w:left w:val="single" w:sz="4" w:space="0" w:color="auto"/>
              <w:bottom w:val="single" w:sz="4" w:space="0" w:color="auto"/>
              <w:right w:val="single" w:sz="4" w:space="0" w:color="auto"/>
            </w:tcBorders>
            <w:vAlign w:val="center"/>
          </w:tcPr>
          <w:p w14:paraId="7636ADE3" w14:textId="77777777" w:rsidR="003C7D23" w:rsidRDefault="003C7D23" w:rsidP="00527311">
            <w:pPr>
              <w:widowControl/>
              <w:jc w:val="left"/>
              <w:rPr>
                <w:rFonts w:ascii="宋体" w:hAnsi="宋体" w:cs="宋体"/>
                <w:color w:val="000000"/>
                <w:kern w:val="0"/>
                <w:sz w:val="18"/>
                <w:szCs w:val="18"/>
              </w:rPr>
            </w:pPr>
          </w:p>
        </w:tc>
      </w:tr>
      <w:tr w:rsidR="003C7D23" w14:paraId="6962FA21" w14:textId="77777777" w:rsidTr="00527311">
        <w:trPr>
          <w:cantSplit/>
          <w:trHeight w:val="675"/>
        </w:trPr>
        <w:tc>
          <w:tcPr>
            <w:tcW w:w="413" w:type="pct"/>
            <w:vMerge/>
            <w:tcBorders>
              <w:top w:val="nil"/>
              <w:left w:val="single" w:sz="4" w:space="0" w:color="auto"/>
              <w:bottom w:val="single" w:sz="4" w:space="0" w:color="000000"/>
              <w:right w:val="single" w:sz="4" w:space="0" w:color="auto"/>
            </w:tcBorders>
            <w:vAlign w:val="center"/>
          </w:tcPr>
          <w:p w14:paraId="352F5540" w14:textId="77777777" w:rsidR="003C7D23" w:rsidRDefault="003C7D23" w:rsidP="00527311">
            <w:pPr>
              <w:widowControl/>
              <w:jc w:val="left"/>
              <w:rPr>
                <w:rFonts w:ascii="宋体" w:hAnsi="宋体" w:cs="宋体"/>
                <w:color w:val="000000"/>
                <w:kern w:val="0"/>
                <w:sz w:val="20"/>
                <w:szCs w:val="20"/>
              </w:rPr>
            </w:pPr>
          </w:p>
        </w:tc>
        <w:tc>
          <w:tcPr>
            <w:tcW w:w="417" w:type="pct"/>
            <w:vMerge w:val="restart"/>
            <w:tcBorders>
              <w:top w:val="single" w:sz="4" w:space="0" w:color="auto"/>
              <w:left w:val="single" w:sz="4" w:space="0" w:color="auto"/>
              <w:bottom w:val="single" w:sz="4" w:space="0" w:color="auto"/>
              <w:right w:val="single" w:sz="4" w:space="0" w:color="auto"/>
            </w:tcBorders>
            <w:vAlign w:val="center"/>
          </w:tcPr>
          <w:p w14:paraId="73E6554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358" w:type="pct"/>
            <w:tcBorders>
              <w:top w:val="single" w:sz="4" w:space="0" w:color="auto"/>
              <w:left w:val="single" w:sz="4" w:space="0" w:color="auto"/>
              <w:bottom w:val="single" w:sz="4" w:space="0" w:color="auto"/>
              <w:right w:val="single" w:sz="4" w:space="0" w:color="auto"/>
            </w:tcBorders>
            <w:vAlign w:val="center"/>
          </w:tcPr>
          <w:p w14:paraId="6663A87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23" w:type="pct"/>
            <w:tcBorders>
              <w:top w:val="single" w:sz="4" w:space="0" w:color="auto"/>
              <w:left w:val="single" w:sz="4" w:space="0" w:color="auto"/>
              <w:bottom w:val="single" w:sz="4" w:space="0" w:color="auto"/>
              <w:right w:val="single" w:sz="4" w:space="0" w:color="auto"/>
            </w:tcBorders>
            <w:vAlign w:val="center"/>
          </w:tcPr>
          <w:p w14:paraId="1842C54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完善后勤服务管理，为学生提供良好的学</w:t>
            </w:r>
            <w:r>
              <w:rPr>
                <w:rFonts w:ascii="宋体" w:hAnsi="宋体" w:cs="宋体" w:hint="eastAsia"/>
                <w:color w:val="000000"/>
                <w:kern w:val="0"/>
                <w:sz w:val="20"/>
                <w:szCs w:val="20"/>
              </w:rPr>
              <w:lastRenderedPageBreak/>
              <w:t>习生活环境</w:t>
            </w:r>
          </w:p>
        </w:tc>
        <w:tc>
          <w:tcPr>
            <w:tcW w:w="327" w:type="pct"/>
            <w:tcBorders>
              <w:top w:val="single" w:sz="4" w:space="0" w:color="auto"/>
              <w:left w:val="single" w:sz="4" w:space="0" w:color="auto"/>
              <w:bottom w:val="single" w:sz="4" w:space="0" w:color="auto"/>
              <w:right w:val="single" w:sz="4" w:space="0" w:color="auto"/>
            </w:tcBorders>
            <w:vAlign w:val="center"/>
          </w:tcPr>
          <w:p w14:paraId="549826A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完成</w:t>
            </w:r>
          </w:p>
        </w:tc>
        <w:tc>
          <w:tcPr>
            <w:tcW w:w="317" w:type="pct"/>
            <w:tcBorders>
              <w:top w:val="single" w:sz="4" w:space="0" w:color="auto"/>
              <w:left w:val="single" w:sz="4" w:space="0" w:color="auto"/>
              <w:bottom w:val="single" w:sz="4" w:space="0" w:color="auto"/>
              <w:right w:val="single" w:sz="4" w:space="0" w:color="auto"/>
            </w:tcBorders>
            <w:noWrap/>
            <w:vAlign w:val="center"/>
          </w:tcPr>
          <w:p w14:paraId="6C0F2B3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17" w:type="pct"/>
            <w:tcBorders>
              <w:top w:val="single" w:sz="4" w:space="0" w:color="auto"/>
              <w:left w:val="nil"/>
              <w:bottom w:val="single" w:sz="4" w:space="0" w:color="auto"/>
              <w:right w:val="nil"/>
            </w:tcBorders>
            <w:noWrap/>
            <w:vAlign w:val="center"/>
          </w:tcPr>
          <w:p w14:paraId="1CFA657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74" w:type="pct"/>
            <w:vMerge w:val="restart"/>
            <w:tcBorders>
              <w:top w:val="nil"/>
              <w:left w:val="single" w:sz="4" w:space="0" w:color="auto"/>
              <w:bottom w:val="single" w:sz="4" w:space="0" w:color="auto"/>
              <w:right w:val="single" w:sz="4" w:space="0" w:color="auto"/>
            </w:tcBorders>
            <w:vAlign w:val="center"/>
          </w:tcPr>
          <w:p w14:paraId="4D13DAA7"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w:t>
            </w:r>
            <w:r>
              <w:rPr>
                <w:rFonts w:ascii="宋体" w:hAnsi="宋体" w:cs="宋体" w:hint="eastAsia"/>
                <w:color w:val="000000"/>
                <w:kern w:val="0"/>
                <w:sz w:val="18"/>
                <w:szCs w:val="18"/>
              </w:rPr>
              <w:lastRenderedPageBreak/>
              <w:t>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50" w:type="pct"/>
            <w:vMerge w:val="restart"/>
            <w:tcBorders>
              <w:top w:val="nil"/>
              <w:left w:val="single" w:sz="4" w:space="0" w:color="auto"/>
              <w:bottom w:val="single" w:sz="4" w:space="0" w:color="auto"/>
              <w:right w:val="single" w:sz="4" w:space="0" w:color="auto"/>
            </w:tcBorders>
            <w:vAlign w:val="center"/>
          </w:tcPr>
          <w:p w14:paraId="0DB810A3"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部门根据实际情况选择指标进行填写，并将其细化为相应的个性化指标。对于效益类指标可从受益对象瞄准度、受益广度和受益深度上进行设计分析。</w:t>
            </w:r>
          </w:p>
        </w:tc>
      </w:tr>
      <w:tr w:rsidR="003C7D23" w14:paraId="7A9D986C" w14:textId="77777777" w:rsidTr="00527311">
        <w:trPr>
          <w:cantSplit/>
          <w:trHeight w:val="630"/>
        </w:trPr>
        <w:tc>
          <w:tcPr>
            <w:tcW w:w="413" w:type="pct"/>
            <w:vMerge/>
            <w:tcBorders>
              <w:top w:val="nil"/>
              <w:left w:val="single" w:sz="4" w:space="0" w:color="auto"/>
              <w:bottom w:val="single" w:sz="4" w:space="0" w:color="000000"/>
              <w:right w:val="single" w:sz="4" w:space="0" w:color="auto"/>
            </w:tcBorders>
            <w:vAlign w:val="center"/>
          </w:tcPr>
          <w:p w14:paraId="1522B7AE" w14:textId="77777777" w:rsidR="003C7D23" w:rsidRDefault="003C7D23" w:rsidP="00527311">
            <w:pPr>
              <w:widowControl/>
              <w:jc w:val="left"/>
              <w:rPr>
                <w:rFonts w:ascii="宋体" w:hAnsi="宋体" w:cs="宋体"/>
                <w:color w:val="000000"/>
                <w:kern w:val="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tcPr>
          <w:p w14:paraId="6FED5311" w14:textId="77777777" w:rsidR="003C7D23" w:rsidRDefault="003C7D23" w:rsidP="00527311">
            <w:pPr>
              <w:widowControl/>
              <w:jc w:val="left"/>
              <w:rPr>
                <w:rFonts w:ascii="宋体" w:hAnsi="宋体" w:cs="宋体"/>
                <w:color w:val="000000"/>
                <w:kern w:val="0"/>
                <w:sz w:val="20"/>
                <w:szCs w:val="20"/>
              </w:rPr>
            </w:pPr>
          </w:p>
        </w:tc>
        <w:tc>
          <w:tcPr>
            <w:tcW w:w="358" w:type="pct"/>
            <w:tcBorders>
              <w:top w:val="single" w:sz="4" w:space="0" w:color="auto"/>
              <w:left w:val="nil"/>
              <w:bottom w:val="single" w:sz="4" w:space="0" w:color="auto"/>
              <w:right w:val="single" w:sz="4" w:space="0" w:color="auto"/>
            </w:tcBorders>
            <w:vAlign w:val="center"/>
          </w:tcPr>
          <w:p w14:paraId="7E98B09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23" w:type="pct"/>
            <w:tcBorders>
              <w:top w:val="single" w:sz="4" w:space="0" w:color="auto"/>
              <w:left w:val="nil"/>
              <w:bottom w:val="single" w:sz="4" w:space="0" w:color="auto"/>
              <w:right w:val="single" w:sz="4" w:space="0" w:color="auto"/>
            </w:tcBorders>
            <w:vAlign w:val="center"/>
          </w:tcPr>
          <w:p w14:paraId="42BC06D8"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成师资队伍建设和人才培养目标</w:t>
            </w:r>
          </w:p>
        </w:tc>
        <w:tc>
          <w:tcPr>
            <w:tcW w:w="327" w:type="pct"/>
            <w:tcBorders>
              <w:top w:val="single" w:sz="4" w:space="0" w:color="auto"/>
              <w:left w:val="nil"/>
              <w:bottom w:val="single" w:sz="4" w:space="0" w:color="auto"/>
              <w:right w:val="single" w:sz="4" w:space="0" w:color="auto"/>
            </w:tcBorders>
            <w:vAlign w:val="center"/>
          </w:tcPr>
          <w:p w14:paraId="425F72E5"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62C7A0A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317" w:type="pct"/>
            <w:tcBorders>
              <w:top w:val="nil"/>
              <w:left w:val="nil"/>
              <w:bottom w:val="single" w:sz="4" w:space="0" w:color="auto"/>
              <w:right w:val="nil"/>
            </w:tcBorders>
            <w:noWrap/>
            <w:vAlign w:val="center"/>
          </w:tcPr>
          <w:p w14:paraId="1F6AB18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74" w:type="pct"/>
            <w:vMerge/>
            <w:tcBorders>
              <w:top w:val="nil"/>
              <w:left w:val="single" w:sz="4" w:space="0" w:color="auto"/>
              <w:bottom w:val="single" w:sz="4" w:space="0" w:color="auto"/>
              <w:right w:val="single" w:sz="4" w:space="0" w:color="auto"/>
            </w:tcBorders>
            <w:vAlign w:val="center"/>
          </w:tcPr>
          <w:p w14:paraId="5B299535"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654DF42F" w14:textId="77777777" w:rsidR="003C7D23" w:rsidRDefault="003C7D23" w:rsidP="00527311">
            <w:pPr>
              <w:widowControl/>
              <w:jc w:val="left"/>
              <w:rPr>
                <w:rFonts w:ascii="宋体" w:hAnsi="宋体" w:cs="宋体"/>
                <w:color w:val="000000"/>
                <w:kern w:val="0"/>
                <w:sz w:val="18"/>
                <w:szCs w:val="18"/>
              </w:rPr>
            </w:pPr>
          </w:p>
        </w:tc>
      </w:tr>
      <w:tr w:rsidR="003C7D23" w14:paraId="0C0B4EC2" w14:textId="77777777" w:rsidTr="00527311">
        <w:trPr>
          <w:cantSplit/>
          <w:trHeight w:val="690"/>
        </w:trPr>
        <w:tc>
          <w:tcPr>
            <w:tcW w:w="413" w:type="pct"/>
            <w:vMerge/>
            <w:tcBorders>
              <w:top w:val="nil"/>
              <w:left w:val="single" w:sz="4" w:space="0" w:color="auto"/>
              <w:bottom w:val="single" w:sz="4" w:space="0" w:color="000000"/>
              <w:right w:val="single" w:sz="4" w:space="0" w:color="auto"/>
            </w:tcBorders>
            <w:vAlign w:val="center"/>
          </w:tcPr>
          <w:p w14:paraId="0AED4FEA" w14:textId="77777777" w:rsidR="003C7D23" w:rsidRDefault="003C7D23" w:rsidP="00527311">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14:paraId="4D1F6E0B"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49CD720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23" w:type="pct"/>
            <w:tcBorders>
              <w:top w:val="nil"/>
              <w:left w:val="nil"/>
              <w:bottom w:val="single" w:sz="4" w:space="0" w:color="auto"/>
              <w:right w:val="single" w:sz="4" w:space="0" w:color="auto"/>
            </w:tcBorders>
            <w:vAlign w:val="center"/>
          </w:tcPr>
          <w:p w14:paraId="699BCB0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完成教学任务</w:t>
            </w:r>
          </w:p>
        </w:tc>
        <w:tc>
          <w:tcPr>
            <w:tcW w:w="327" w:type="pct"/>
            <w:tcBorders>
              <w:top w:val="nil"/>
              <w:left w:val="nil"/>
              <w:bottom w:val="single" w:sz="4" w:space="0" w:color="auto"/>
              <w:right w:val="single" w:sz="4" w:space="0" w:color="auto"/>
            </w:tcBorders>
            <w:vAlign w:val="center"/>
          </w:tcPr>
          <w:p w14:paraId="18C7F77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4A6DBE7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17" w:type="pct"/>
            <w:tcBorders>
              <w:top w:val="nil"/>
              <w:left w:val="nil"/>
              <w:bottom w:val="single" w:sz="4" w:space="0" w:color="auto"/>
              <w:right w:val="nil"/>
            </w:tcBorders>
            <w:noWrap/>
            <w:vAlign w:val="center"/>
          </w:tcPr>
          <w:p w14:paraId="6F2FB49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274" w:type="pct"/>
            <w:vMerge/>
            <w:tcBorders>
              <w:top w:val="nil"/>
              <w:left w:val="single" w:sz="4" w:space="0" w:color="auto"/>
              <w:bottom w:val="single" w:sz="4" w:space="0" w:color="auto"/>
              <w:right w:val="single" w:sz="4" w:space="0" w:color="auto"/>
            </w:tcBorders>
            <w:vAlign w:val="center"/>
          </w:tcPr>
          <w:p w14:paraId="142FDFE5"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0BAD2258" w14:textId="77777777" w:rsidR="003C7D23" w:rsidRDefault="003C7D23" w:rsidP="00527311">
            <w:pPr>
              <w:widowControl/>
              <w:jc w:val="left"/>
              <w:rPr>
                <w:rFonts w:ascii="宋体" w:hAnsi="宋体" w:cs="宋体"/>
                <w:color w:val="000000"/>
                <w:kern w:val="0"/>
                <w:sz w:val="18"/>
                <w:szCs w:val="18"/>
              </w:rPr>
            </w:pPr>
          </w:p>
        </w:tc>
      </w:tr>
      <w:tr w:rsidR="003C7D23" w14:paraId="51980503" w14:textId="77777777" w:rsidTr="00527311">
        <w:trPr>
          <w:cantSplit/>
          <w:trHeight w:val="675"/>
        </w:trPr>
        <w:tc>
          <w:tcPr>
            <w:tcW w:w="413" w:type="pct"/>
            <w:vMerge/>
            <w:tcBorders>
              <w:top w:val="nil"/>
              <w:left w:val="single" w:sz="4" w:space="0" w:color="auto"/>
              <w:bottom w:val="single" w:sz="4" w:space="0" w:color="auto"/>
              <w:right w:val="single" w:sz="4" w:space="0" w:color="auto"/>
            </w:tcBorders>
            <w:vAlign w:val="center"/>
          </w:tcPr>
          <w:p w14:paraId="28D91237" w14:textId="77777777" w:rsidR="003C7D23" w:rsidRDefault="003C7D23" w:rsidP="00527311">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14:paraId="2A9C8220" w14:textId="77777777" w:rsidR="003C7D23" w:rsidRDefault="003C7D23" w:rsidP="00527311">
            <w:pPr>
              <w:widowControl/>
              <w:jc w:val="left"/>
              <w:rPr>
                <w:rFonts w:ascii="宋体" w:hAnsi="宋体" w:cs="宋体"/>
                <w:color w:val="000000"/>
                <w:kern w:val="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14:paraId="5138DDAA"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指标4</w:t>
            </w:r>
          </w:p>
        </w:tc>
        <w:tc>
          <w:tcPr>
            <w:tcW w:w="323" w:type="pct"/>
            <w:tcBorders>
              <w:top w:val="single" w:sz="4" w:space="0" w:color="auto"/>
              <w:left w:val="single" w:sz="4" w:space="0" w:color="auto"/>
              <w:bottom w:val="single" w:sz="4" w:space="0" w:color="auto"/>
              <w:right w:val="single" w:sz="4" w:space="0" w:color="auto"/>
            </w:tcBorders>
            <w:vAlign w:val="center"/>
          </w:tcPr>
          <w:p w14:paraId="0D9CAD0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完成德育教育工作</w:t>
            </w:r>
          </w:p>
        </w:tc>
        <w:tc>
          <w:tcPr>
            <w:tcW w:w="327" w:type="pct"/>
            <w:tcBorders>
              <w:top w:val="single" w:sz="4" w:space="0" w:color="auto"/>
              <w:left w:val="single" w:sz="4" w:space="0" w:color="auto"/>
              <w:bottom w:val="single" w:sz="4" w:space="0" w:color="auto"/>
              <w:right w:val="single" w:sz="4" w:space="0" w:color="auto"/>
            </w:tcBorders>
            <w:vAlign w:val="center"/>
          </w:tcPr>
          <w:p w14:paraId="4EA5EEEE"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p>
        </w:tc>
        <w:tc>
          <w:tcPr>
            <w:tcW w:w="317" w:type="pct"/>
            <w:tcBorders>
              <w:top w:val="single" w:sz="4" w:space="0" w:color="auto"/>
              <w:left w:val="single" w:sz="4" w:space="0" w:color="auto"/>
              <w:bottom w:val="single" w:sz="4" w:space="0" w:color="auto"/>
              <w:right w:val="single" w:sz="4" w:space="0" w:color="auto"/>
            </w:tcBorders>
            <w:vAlign w:val="center"/>
          </w:tcPr>
          <w:p w14:paraId="4ECC0C0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317" w:type="pct"/>
            <w:tcBorders>
              <w:top w:val="single" w:sz="4" w:space="0" w:color="auto"/>
              <w:left w:val="single" w:sz="4" w:space="0" w:color="auto"/>
              <w:bottom w:val="single" w:sz="4" w:space="0" w:color="auto"/>
              <w:right w:val="single" w:sz="4" w:space="0" w:color="auto"/>
            </w:tcBorders>
            <w:noWrap/>
            <w:vAlign w:val="center"/>
          </w:tcPr>
          <w:p w14:paraId="04F76F0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p>
        </w:tc>
        <w:tc>
          <w:tcPr>
            <w:tcW w:w="1274" w:type="pct"/>
            <w:vMerge/>
            <w:tcBorders>
              <w:top w:val="nil"/>
              <w:left w:val="single" w:sz="4" w:space="0" w:color="auto"/>
              <w:bottom w:val="single" w:sz="4" w:space="0" w:color="auto"/>
              <w:right w:val="single" w:sz="4" w:space="0" w:color="auto"/>
            </w:tcBorders>
            <w:vAlign w:val="center"/>
          </w:tcPr>
          <w:p w14:paraId="2369F46C" w14:textId="77777777" w:rsidR="003C7D23" w:rsidRDefault="003C7D23" w:rsidP="00527311">
            <w:pPr>
              <w:widowControl/>
              <w:jc w:val="left"/>
              <w:rPr>
                <w:rFonts w:ascii="宋体" w:hAnsi="宋体" w:cs="宋体"/>
                <w:color w:val="000000"/>
                <w:kern w:val="0"/>
                <w:sz w:val="18"/>
                <w:szCs w:val="18"/>
              </w:rPr>
            </w:pPr>
          </w:p>
        </w:tc>
        <w:tc>
          <w:tcPr>
            <w:tcW w:w="1250" w:type="pct"/>
            <w:vMerge/>
            <w:tcBorders>
              <w:top w:val="nil"/>
              <w:left w:val="single" w:sz="4" w:space="0" w:color="auto"/>
              <w:bottom w:val="single" w:sz="4" w:space="0" w:color="auto"/>
              <w:right w:val="single" w:sz="4" w:space="0" w:color="auto"/>
            </w:tcBorders>
            <w:vAlign w:val="center"/>
          </w:tcPr>
          <w:p w14:paraId="32D28729" w14:textId="77777777" w:rsidR="003C7D23" w:rsidRDefault="003C7D23" w:rsidP="00527311">
            <w:pPr>
              <w:widowControl/>
              <w:jc w:val="left"/>
              <w:rPr>
                <w:rFonts w:ascii="宋体" w:hAnsi="宋体" w:cs="宋体"/>
                <w:color w:val="000000"/>
                <w:kern w:val="0"/>
                <w:sz w:val="18"/>
                <w:szCs w:val="18"/>
              </w:rPr>
            </w:pPr>
          </w:p>
        </w:tc>
      </w:tr>
      <w:tr w:rsidR="003C7D23" w14:paraId="7153EE5E" w14:textId="77777777" w:rsidTr="00527311">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14:paraId="50052B1E"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3C7D23" w14:paraId="370B0E97" w14:textId="77777777" w:rsidTr="00527311">
        <w:trPr>
          <w:cantSplit/>
          <w:trHeight w:val="702"/>
        </w:trPr>
        <w:tc>
          <w:tcPr>
            <w:tcW w:w="413" w:type="pct"/>
            <w:tcBorders>
              <w:top w:val="single" w:sz="4" w:space="0" w:color="auto"/>
              <w:left w:val="single" w:sz="4" w:space="0" w:color="auto"/>
              <w:bottom w:val="single" w:sz="4" w:space="0" w:color="auto"/>
              <w:right w:val="single" w:sz="4" w:space="0" w:color="auto"/>
            </w:tcBorders>
            <w:vAlign w:val="center"/>
          </w:tcPr>
          <w:p w14:paraId="3BEC8F8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417" w:type="pct"/>
            <w:tcBorders>
              <w:top w:val="single" w:sz="4" w:space="0" w:color="auto"/>
              <w:left w:val="single" w:sz="4" w:space="0" w:color="auto"/>
              <w:bottom w:val="single" w:sz="4" w:space="0" w:color="auto"/>
              <w:right w:val="single" w:sz="4" w:space="0" w:color="auto"/>
            </w:tcBorders>
            <w:vAlign w:val="center"/>
          </w:tcPr>
          <w:p w14:paraId="7D49E50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58" w:type="pct"/>
            <w:tcBorders>
              <w:top w:val="single" w:sz="4" w:space="0" w:color="auto"/>
              <w:left w:val="nil"/>
              <w:bottom w:val="single" w:sz="4" w:space="0" w:color="auto"/>
              <w:right w:val="single" w:sz="4" w:space="0" w:color="auto"/>
            </w:tcBorders>
            <w:vAlign w:val="center"/>
          </w:tcPr>
          <w:p w14:paraId="16E370D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323" w:type="pct"/>
            <w:tcBorders>
              <w:top w:val="single" w:sz="4" w:space="0" w:color="auto"/>
              <w:left w:val="nil"/>
              <w:bottom w:val="single" w:sz="4" w:space="0" w:color="auto"/>
              <w:right w:val="single" w:sz="4" w:space="0" w:color="auto"/>
            </w:tcBorders>
            <w:vAlign w:val="center"/>
          </w:tcPr>
          <w:p w14:paraId="2E6BDBC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27" w:type="pct"/>
            <w:tcBorders>
              <w:top w:val="single" w:sz="4" w:space="0" w:color="auto"/>
              <w:left w:val="nil"/>
              <w:bottom w:val="single" w:sz="4" w:space="0" w:color="auto"/>
              <w:right w:val="single" w:sz="4" w:space="0" w:color="auto"/>
            </w:tcBorders>
            <w:vAlign w:val="center"/>
          </w:tcPr>
          <w:p w14:paraId="7ADABFD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317" w:type="pct"/>
            <w:tcBorders>
              <w:top w:val="single" w:sz="4" w:space="0" w:color="auto"/>
              <w:left w:val="nil"/>
              <w:bottom w:val="single" w:sz="4" w:space="0" w:color="auto"/>
              <w:right w:val="single" w:sz="4" w:space="0" w:color="auto"/>
            </w:tcBorders>
            <w:noWrap/>
            <w:vAlign w:val="center"/>
          </w:tcPr>
          <w:p w14:paraId="34FFCDC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317" w:type="pct"/>
            <w:tcBorders>
              <w:top w:val="single" w:sz="4" w:space="0" w:color="auto"/>
              <w:left w:val="nil"/>
              <w:bottom w:val="single" w:sz="4" w:space="0" w:color="auto"/>
              <w:right w:val="nil"/>
            </w:tcBorders>
            <w:noWrap/>
            <w:vAlign w:val="center"/>
          </w:tcPr>
          <w:p w14:paraId="5485A68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274" w:type="pct"/>
            <w:tcBorders>
              <w:top w:val="single" w:sz="4" w:space="0" w:color="auto"/>
              <w:left w:val="single" w:sz="4" w:space="0" w:color="auto"/>
              <w:bottom w:val="single" w:sz="4" w:space="0" w:color="auto"/>
              <w:right w:val="single" w:sz="4" w:space="0" w:color="auto"/>
            </w:tcBorders>
            <w:vAlign w:val="center"/>
          </w:tcPr>
          <w:p w14:paraId="26517596" w14:textId="77777777" w:rsidR="003C7D23" w:rsidRDefault="003C7D23" w:rsidP="00527311">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50" w:type="pct"/>
            <w:tcBorders>
              <w:top w:val="single" w:sz="4" w:space="0" w:color="auto"/>
              <w:left w:val="nil"/>
              <w:bottom w:val="single" w:sz="4" w:space="0" w:color="auto"/>
              <w:right w:val="single" w:sz="4" w:space="0" w:color="auto"/>
            </w:tcBorders>
            <w:vAlign w:val="center"/>
          </w:tcPr>
          <w:p w14:paraId="1E18C35A" w14:textId="77777777" w:rsidR="003C7D23" w:rsidRDefault="003C7D23" w:rsidP="00527311">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C7D23" w14:paraId="46F92B3C" w14:textId="77777777" w:rsidTr="00527311">
        <w:trPr>
          <w:cantSplit/>
          <w:trHeight w:val="1230"/>
        </w:trPr>
        <w:tc>
          <w:tcPr>
            <w:tcW w:w="413" w:type="pct"/>
            <w:vMerge w:val="restart"/>
            <w:tcBorders>
              <w:top w:val="single" w:sz="4" w:space="0" w:color="auto"/>
              <w:left w:val="single" w:sz="4" w:space="0" w:color="auto"/>
              <w:bottom w:val="single" w:sz="4" w:space="0" w:color="auto"/>
              <w:right w:val="single" w:sz="4" w:space="0" w:color="auto"/>
            </w:tcBorders>
            <w:vAlign w:val="center"/>
          </w:tcPr>
          <w:p w14:paraId="3E3B87D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417" w:type="pct"/>
            <w:vMerge w:val="restart"/>
            <w:tcBorders>
              <w:top w:val="single" w:sz="4" w:space="0" w:color="auto"/>
              <w:left w:val="single" w:sz="4" w:space="0" w:color="auto"/>
              <w:bottom w:val="single" w:sz="4" w:space="0" w:color="auto"/>
              <w:right w:val="single" w:sz="4" w:space="0" w:color="auto"/>
            </w:tcBorders>
            <w:vAlign w:val="center"/>
          </w:tcPr>
          <w:p w14:paraId="0CD79D9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58" w:type="pct"/>
            <w:tcBorders>
              <w:top w:val="single" w:sz="4" w:space="0" w:color="auto"/>
              <w:left w:val="nil"/>
              <w:bottom w:val="single" w:sz="4" w:space="0" w:color="auto"/>
              <w:right w:val="single" w:sz="4" w:space="0" w:color="auto"/>
            </w:tcBorders>
            <w:vAlign w:val="center"/>
          </w:tcPr>
          <w:p w14:paraId="46C5C38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323" w:type="pct"/>
            <w:tcBorders>
              <w:top w:val="single" w:sz="4" w:space="0" w:color="auto"/>
              <w:left w:val="nil"/>
              <w:bottom w:val="single" w:sz="4" w:space="0" w:color="auto"/>
              <w:right w:val="single" w:sz="4" w:space="0" w:color="auto"/>
            </w:tcBorders>
            <w:vAlign w:val="center"/>
          </w:tcPr>
          <w:p w14:paraId="2BEB272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财务管理制度健全，执行有效　</w:t>
            </w:r>
          </w:p>
        </w:tc>
        <w:tc>
          <w:tcPr>
            <w:tcW w:w="327" w:type="pct"/>
            <w:tcBorders>
              <w:top w:val="single" w:sz="4" w:space="0" w:color="auto"/>
              <w:left w:val="nil"/>
              <w:bottom w:val="single" w:sz="4" w:space="0" w:color="auto"/>
              <w:right w:val="single" w:sz="4" w:space="0" w:color="auto"/>
            </w:tcBorders>
            <w:vAlign w:val="center"/>
          </w:tcPr>
          <w:p w14:paraId="7749C87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财务管理制度健全，执行有效</w:t>
            </w:r>
          </w:p>
        </w:tc>
        <w:tc>
          <w:tcPr>
            <w:tcW w:w="317" w:type="pct"/>
            <w:tcBorders>
              <w:top w:val="single" w:sz="4" w:space="0" w:color="auto"/>
              <w:left w:val="nil"/>
              <w:bottom w:val="single" w:sz="4" w:space="0" w:color="auto"/>
              <w:right w:val="single" w:sz="4" w:space="0" w:color="auto"/>
            </w:tcBorders>
            <w:noWrap/>
            <w:vAlign w:val="center"/>
          </w:tcPr>
          <w:p w14:paraId="649CCAD5"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17" w:type="pct"/>
            <w:tcBorders>
              <w:top w:val="single" w:sz="4" w:space="0" w:color="auto"/>
              <w:left w:val="nil"/>
              <w:bottom w:val="single" w:sz="4" w:space="0" w:color="auto"/>
              <w:right w:val="nil"/>
            </w:tcBorders>
            <w:noWrap/>
            <w:vAlign w:val="center"/>
          </w:tcPr>
          <w:p w14:paraId="6E1E376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74" w:type="pct"/>
            <w:tcBorders>
              <w:top w:val="single" w:sz="4" w:space="0" w:color="auto"/>
              <w:left w:val="single" w:sz="4" w:space="0" w:color="auto"/>
              <w:bottom w:val="single" w:sz="4" w:space="0" w:color="auto"/>
              <w:right w:val="single" w:sz="4" w:space="0" w:color="auto"/>
            </w:tcBorders>
            <w:vAlign w:val="center"/>
          </w:tcPr>
          <w:p w14:paraId="18404515"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250" w:type="pct"/>
            <w:tcBorders>
              <w:top w:val="single" w:sz="4" w:space="0" w:color="auto"/>
              <w:left w:val="nil"/>
              <w:bottom w:val="single" w:sz="4" w:space="0" w:color="auto"/>
              <w:right w:val="single" w:sz="4" w:space="0" w:color="auto"/>
            </w:tcBorders>
            <w:vAlign w:val="center"/>
          </w:tcPr>
          <w:p w14:paraId="74A7085F"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3C7D23" w14:paraId="2994A789" w14:textId="77777777" w:rsidTr="00527311">
        <w:trPr>
          <w:cantSplit/>
          <w:trHeight w:val="2220"/>
        </w:trPr>
        <w:tc>
          <w:tcPr>
            <w:tcW w:w="413" w:type="pct"/>
            <w:vMerge/>
            <w:tcBorders>
              <w:top w:val="single" w:sz="4" w:space="0" w:color="auto"/>
              <w:left w:val="single" w:sz="4" w:space="0" w:color="auto"/>
              <w:bottom w:val="single" w:sz="4" w:space="0" w:color="000000"/>
              <w:right w:val="single" w:sz="4" w:space="0" w:color="auto"/>
            </w:tcBorders>
            <w:vAlign w:val="center"/>
          </w:tcPr>
          <w:p w14:paraId="5FFC670D" w14:textId="77777777" w:rsidR="003C7D23" w:rsidRDefault="003C7D23" w:rsidP="00527311">
            <w:pPr>
              <w:widowControl/>
              <w:jc w:val="left"/>
              <w:rPr>
                <w:rFonts w:ascii="宋体" w:hAnsi="宋体" w:cs="宋体"/>
                <w:color w:val="000000"/>
                <w:kern w:val="0"/>
                <w:sz w:val="20"/>
                <w:szCs w:val="20"/>
              </w:rPr>
            </w:pPr>
          </w:p>
        </w:tc>
        <w:tc>
          <w:tcPr>
            <w:tcW w:w="417" w:type="pct"/>
            <w:vMerge/>
            <w:tcBorders>
              <w:top w:val="single" w:sz="4" w:space="0" w:color="auto"/>
              <w:left w:val="single" w:sz="4" w:space="0" w:color="auto"/>
              <w:bottom w:val="single" w:sz="4" w:space="0" w:color="auto"/>
              <w:right w:val="single" w:sz="4" w:space="0" w:color="auto"/>
            </w:tcBorders>
            <w:vAlign w:val="center"/>
          </w:tcPr>
          <w:p w14:paraId="710A37C9" w14:textId="77777777" w:rsidR="003C7D23" w:rsidRDefault="003C7D23" w:rsidP="00527311">
            <w:pPr>
              <w:widowControl/>
              <w:jc w:val="left"/>
              <w:rPr>
                <w:rFonts w:ascii="宋体" w:hAnsi="宋体" w:cs="宋体"/>
                <w:color w:val="000000"/>
                <w:kern w:val="0"/>
                <w:sz w:val="20"/>
                <w:szCs w:val="20"/>
              </w:rPr>
            </w:pPr>
          </w:p>
        </w:tc>
        <w:tc>
          <w:tcPr>
            <w:tcW w:w="358" w:type="pct"/>
            <w:tcBorders>
              <w:top w:val="single" w:sz="4" w:space="0" w:color="auto"/>
              <w:left w:val="nil"/>
              <w:bottom w:val="single" w:sz="4" w:space="0" w:color="auto"/>
              <w:right w:val="single" w:sz="4" w:space="0" w:color="auto"/>
            </w:tcBorders>
            <w:vAlign w:val="center"/>
          </w:tcPr>
          <w:p w14:paraId="300B009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323" w:type="pct"/>
            <w:tcBorders>
              <w:top w:val="single" w:sz="4" w:space="0" w:color="auto"/>
              <w:left w:val="nil"/>
              <w:bottom w:val="single" w:sz="4" w:space="0" w:color="auto"/>
              <w:right w:val="single" w:sz="4" w:space="0" w:color="auto"/>
            </w:tcBorders>
            <w:vAlign w:val="center"/>
          </w:tcPr>
          <w:p w14:paraId="3122BAA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合</w:t>
            </w:r>
            <w:proofErr w:type="gramStart"/>
            <w:r>
              <w:rPr>
                <w:rFonts w:ascii="宋体" w:hAnsi="宋体" w:cs="宋体" w:hint="eastAsia"/>
                <w:color w:val="000000"/>
                <w:kern w:val="0"/>
                <w:sz w:val="20"/>
                <w:szCs w:val="20"/>
              </w:rPr>
              <w:t>规</w:t>
            </w:r>
            <w:proofErr w:type="gramEnd"/>
          </w:p>
        </w:tc>
        <w:tc>
          <w:tcPr>
            <w:tcW w:w="327" w:type="pct"/>
            <w:tcBorders>
              <w:top w:val="single" w:sz="4" w:space="0" w:color="auto"/>
              <w:left w:val="nil"/>
              <w:bottom w:val="single" w:sz="4" w:space="0" w:color="auto"/>
              <w:right w:val="single" w:sz="4" w:space="0" w:color="auto"/>
            </w:tcBorders>
            <w:vAlign w:val="center"/>
          </w:tcPr>
          <w:p w14:paraId="1C60A1E5"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合</w:t>
            </w:r>
            <w:proofErr w:type="gramStart"/>
            <w:r>
              <w:rPr>
                <w:rFonts w:ascii="宋体" w:hAnsi="宋体" w:cs="宋体" w:hint="eastAsia"/>
                <w:color w:val="000000"/>
                <w:kern w:val="0"/>
                <w:sz w:val="20"/>
                <w:szCs w:val="20"/>
              </w:rPr>
              <w:t>规</w:t>
            </w:r>
            <w:proofErr w:type="gramEnd"/>
          </w:p>
        </w:tc>
        <w:tc>
          <w:tcPr>
            <w:tcW w:w="317" w:type="pct"/>
            <w:tcBorders>
              <w:top w:val="single" w:sz="4" w:space="0" w:color="auto"/>
              <w:left w:val="nil"/>
              <w:bottom w:val="single" w:sz="4" w:space="0" w:color="auto"/>
              <w:right w:val="single" w:sz="4" w:space="0" w:color="auto"/>
            </w:tcBorders>
            <w:noWrap/>
            <w:vAlign w:val="center"/>
          </w:tcPr>
          <w:p w14:paraId="422F8B4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17" w:type="pct"/>
            <w:tcBorders>
              <w:top w:val="single" w:sz="4" w:space="0" w:color="auto"/>
              <w:left w:val="nil"/>
              <w:bottom w:val="single" w:sz="4" w:space="0" w:color="auto"/>
              <w:right w:val="nil"/>
            </w:tcBorders>
            <w:noWrap/>
            <w:vAlign w:val="center"/>
          </w:tcPr>
          <w:p w14:paraId="34FE3E3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2　</w:t>
            </w:r>
          </w:p>
        </w:tc>
        <w:tc>
          <w:tcPr>
            <w:tcW w:w="1274" w:type="pct"/>
            <w:tcBorders>
              <w:top w:val="single" w:sz="4" w:space="0" w:color="auto"/>
              <w:left w:val="single" w:sz="4" w:space="0" w:color="auto"/>
              <w:bottom w:val="single" w:sz="4" w:space="0" w:color="auto"/>
              <w:right w:val="single" w:sz="4" w:space="0" w:color="auto"/>
            </w:tcBorders>
            <w:vAlign w:val="center"/>
          </w:tcPr>
          <w:p w14:paraId="18A68D25"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50" w:type="pct"/>
            <w:tcBorders>
              <w:top w:val="single" w:sz="4" w:space="0" w:color="auto"/>
              <w:left w:val="nil"/>
              <w:bottom w:val="single" w:sz="4" w:space="0" w:color="auto"/>
              <w:right w:val="single" w:sz="4" w:space="0" w:color="auto"/>
            </w:tcBorders>
            <w:vAlign w:val="center"/>
          </w:tcPr>
          <w:p w14:paraId="488175E5"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3C7D23" w14:paraId="36A095C0" w14:textId="77777777" w:rsidTr="00527311">
        <w:trPr>
          <w:cantSplit/>
          <w:trHeight w:val="410"/>
        </w:trPr>
        <w:tc>
          <w:tcPr>
            <w:tcW w:w="413" w:type="pct"/>
            <w:vMerge/>
            <w:tcBorders>
              <w:top w:val="nil"/>
              <w:left w:val="single" w:sz="4" w:space="0" w:color="auto"/>
              <w:bottom w:val="single" w:sz="4" w:space="0" w:color="000000"/>
              <w:right w:val="single" w:sz="4" w:space="0" w:color="auto"/>
            </w:tcBorders>
            <w:vAlign w:val="center"/>
          </w:tcPr>
          <w:p w14:paraId="46EC0856" w14:textId="77777777" w:rsidR="003C7D23" w:rsidRDefault="003C7D23" w:rsidP="00527311">
            <w:pPr>
              <w:widowControl/>
              <w:jc w:val="left"/>
              <w:rPr>
                <w:rFonts w:ascii="宋体" w:hAnsi="宋体" w:cs="宋体"/>
                <w:color w:val="000000"/>
                <w:kern w:val="0"/>
                <w:sz w:val="20"/>
                <w:szCs w:val="20"/>
              </w:rPr>
            </w:pPr>
          </w:p>
        </w:tc>
        <w:tc>
          <w:tcPr>
            <w:tcW w:w="417" w:type="pct"/>
            <w:vMerge/>
            <w:tcBorders>
              <w:top w:val="nil"/>
              <w:left w:val="single" w:sz="4" w:space="0" w:color="auto"/>
              <w:bottom w:val="single" w:sz="4" w:space="0" w:color="auto"/>
              <w:right w:val="single" w:sz="4" w:space="0" w:color="auto"/>
            </w:tcBorders>
            <w:vAlign w:val="center"/>
          </w:tcPr>
          <w:p w14:paraId="6808B5B7" w14:textId="77777777" w:rsidR="003C7D23" w:rsidRDefault="003C7D23" w:rsidP="00527311">
            <w:pPr>
              <w:widowControl/>
              <w:jc w:val="left"/>
              <w:rPr>
                <w:rFonts w:ascii="宋体" w:hAnsi="宋体" w:cs="宋体"/>
                <w:color w:val="000000"/>
                <w:kern w:val="0"/>
                <w:sz w:val="20"/>
                <w:szCs w:val="20"/>
              </w:rPr>
            </w:pPr>
          </w:p>
        </w:tc>
        <w:tc>
          <w:tcPr>
            <w:tcW w:w="358" w:type="pct"/>
            <w:tcBorders>
              <w:top w:val="nil"/>
              <w:left w:val="nil"/>
              <w:bottom w:val="single" w:sz="4" w:space="0" w:color="auto"/>
              <w:right w:val="single" w:sz="4" w:space="0" w:color="auto"/>
            </w:tcBorders>
            <w:vAlign w:val="center"/>
          </w:tcPr>
          <w:p w14:paraId="31300B9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323" w:type="pct"/>
            <w:tcBorders>
              <w:top w:val="nil"/>
              <w:left w:val="nil"/>
              <w:bottom w:val="single" w:sz="4" w:space="0" w:color="auto"/>
              <w:right w:val="single" w:sz="4" w:space="0" w:color="auto"/>
            </w:tcBorders>
            <w:vAlign w:val="center"/>
          </w:tcPr>
          <w:p w14:paraId="1B397F18" w14:textId="77777777" w:rsidR="003C7D23" w:rsidRDefault="003C7D23" w:rsidP="00527311">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 xml:space="preserve">完善　</w:t>
            </w:r>
            <w:proofErr w:type="gramEnd"/>
          </w:p>
        </w:tc>
        <w:tc>
          <w:tcPr>
            <w:tcW w:w="327" w:type="pct"/>
            <w:tcBorders>
              <w:top w:val="nil"/>
              <w:left w:val="nil"/>
              <w:bottom w:val="single" w:sz="4" w:space="0" w:color="auto"/>
              <w:right w:val="single" w:sz="4" w:space="0" w:color="auto"/>
            </w:tcBorders>
            <w:vAlign w:val="center"/>
          </w:tcPr>
          <w:p w14:paraId="07CD6A07" w14:textId="77777777" w:rsidR="003C7D23" w:rsidRDefault="003C7D23" w:rsidP="00527311">
            <w:pPr>
              <w:widowControl/>
              <w:jc w:val="center"/>
              <w:rPr>
                <w:rFonts w:ascii="宋体" w:hAnsi="宋体" w:cs="宋体"/>
                <w:color w:val="000000"/>
                <w:kern w:val="0"/>
                <w:sz w:val="20"/>
                <w:szCs w:val="20"/>
              </w:rPr>
            </w:pPr>
            <w:proofErr w:type="gramStart"/>
            <w:r>
              <w:rPr>
                <w:rFonts w:ascii="宋体" w:hAnsi="宋体" w:cs="宋体" w:hint="eastAsia"/>
                <w:color w:val="000000"/>
                <w:kern w:val="0"/>
                <w:sz w:val="20"/>
                <w:szCs w:val="20"/>
              </w:rPr>
              <w:t xml:space="preserve">完善　</w:t>
            </w:r>
            <w:proofErr w:type="gramEnd"/>
          </w:p>
        </w:tc>
        <w:tc>
          <w:tcPr>
            <w:tcW w:w="317" w:type="pct"/>
            <w:tcBorders>
              <w:top w:val="nil"/>
              <w:left w:val="nil"/>
              <w:bottom w:val="single" w:sz="4" w:space="0" w:color="auto"/>
              <w:right w:val="single" w:sz="4" w:space="0" w:color="auto"/>
            </w:tcBorders>
            <w:noWrap/>
            <w:vAlign w:val="center"/>
          </w:tcPr>
          <w:p w14:paraId="6E694BC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17" w:type="pct"/>
            <w:tcBorders>
              <w:top w:val="nil"/>
              <w:left w:val="nil"/>
              <w:bottom w:val="single" w:sz="4" w:space="0" w:color="auto"/>
              <w:right w:val="nil"/>
            </w:tcBorders>
            <w:noWrap/>
            <w:vAlign w:val="center"/>
          </w:tcPr>
          <w:p w14:paraId="588C3AAD"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1</w:t>
            </w:r>
          </w:p>
        </w:tc>
        <w:tc>
          <w:tcPr>
            <w:tcW w:w="1274" w:type="pct"/>
            <w:tcBorders>
              <w:top w:val="nil"/>
              <w:left w:val="single" w:sz="4" w:space="0" w:color="auto"/>
              <w:bottom w:val="single" w:sz="4" w:space="0" w:color="auto"/>
              <w:right w:val="single" w:sz="4" w:space="0" w:color="auto"/>
            </w:tcBorders>
            <w:vAlign w:val="center"/>
          </w:tcPr>
          <w:p w14:paraId="16B3D997"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250" w:type="pct"/>
            <w:tcBorders>
              <w:top w:val="nil"/>
              <w:left w:val="nil"/>
              <w:bottom w:val="single" w:sz="4" w:space="0" w:color="auto"/>
              <w:right w:val="single" w:sz="4" w:space="0" w:color="auto"/>
            </w:tcBorders>
            <w:vAlign w:val="center"/>
          </w:tcPr>
          <w:p w14:paraId="0CAF2810"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3C7D23" w14:paraId="52AB253E" w14:textId="77777777" w:rsidTr="00527311">
        <w:trPr>
          <w:cantSplit/>
          <w:trHeight w:val="2220"/>
        </w:trPr>
        <w:tc>
          <w:tcPr>
            <w:tcW w:w="413" w:type="pct"/>
            <w:vMerge/>
            <w:tcBorders>
              <w:top w:val="nil"/>
              <w:left w:val="single" w:sz="4" w:space="0" w:color="auto"/>
              <w:bottom w:val="single" w:sz="4" w:space="0" w:color="000000"/>
              <w:right w:val="single" w:sz="4" w:space="0" w:color="auto"/>
            </w:tcBorders>
            <w:vAlign w:val="center"/>
          </w:tcPr>
          <w:p w14:paraId="499DB978" w14:textId="77777777" w:rsidR="003C7D23" w:rsidRDefault="003C7D23" w:rsidP="00527311">
            <w:pPr>
              <w:widowControl/>
              <w:jc w:val="left"/>
              <w:rPr>
                <w:rFonts w:ascii="宋体" w:hAnsi="宋体" w:cs="宋体"/>
                <w:color w:val="000000"/>
                <w:kern w:val="0"/>
                <w:sz w:val="20"/>
                <w:szCs w:val="20"/>
              </w:rPr>
            </w:pPr>
          </w:p>
        </w:tc>
        <w:tc>
          <w:tcPr>
            <w:tcW w:w="417" w:type="pct"/>
            <w:tcBorders>
              <w:top w:val="single" w:sz="4" w:space="0" w:color="auto"/>
              <w:left w:val="single" w:sz="4" w:space="0" w:color="auto"/>
              <w:bottom w:val="single" w:sz="4" w:space="0" w:color="auto"/>
              <w:right w:val="single" w:sz="4" w:space="0" w:color="auto"/>
            </w:tcBorders>
            <w:vAlign w:val="center"/>
          </w:tcPr>
          <w:p w14:paraId="42E11ED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58" w:type="pct"/>
            <w:tcBorders>
              <w:top w:val="single" w:sz="4" w:space="0" w:color="auto"/>
              <w:left w:val="single" w:sz="4" w:space="0" w:color="auto"/>
              <w:bottom w:val="single" w:sz="4" w:space="0" w:color="auto"/>
              <w:right w:val="single" w:sz="4" w:space="0" w:color="auto"/>
            </w:tcBorders>
            <w:vAlign w:val="center"/>
          </w:tcPr>
          <w:p w14:paraId="5167F2D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323" w:type="pct"/>
            <w:tcBorders>
              <w:top w:val="single" w:sz="4" w:space="0" w:color="auto"/>
              <w:left w:val="single" w:sz="4" w:space="0" w:color="auto"/>
              <w:bottom w:val="single" w:sz="4" w:space="0" w:color="auto"/>
              <w:right w:val="single" w:sz="4" w:space="0" w:color="auto"/>
            </w:tcBorders>
            <w:vAlign w:val="center"/>
          </w:tcPr>
          <w:p w14:paraId="1BDB334A" w14:textId="77777777" w:rsidR="003C7D23" w:rsidRDefault="003C7D23" w:rsidP="00527311">
            <w:pPr>
              <w:widowControl/>
              <w:jc w:val="left"/>
              <w:rPr>
                <w:rFonts w:ascii="宋体" w:hAnsi="宋体" w:cs="宋体"/>
                <w:color w:val="000000"/>
                <w:kern w:val="0"/>
                <w:sz w:val="20"/>
                <w:szCs w:val="20"/>
              </w:rPr>
            </w:pPr>
            <w:r>
              <w:rPr>
                <w:rFonts w:ascii="宋体" w:hAnsi="宋体" w:cs="宋体" w:hint="eastAsia"/>
                <w:color w:val="000000"/>
                <w:kern w:val="0"/>
                <w:sz w:val="20"/>
                <w:szCs w:val="20"/>
              </w:rPr>
              <w:t>严格按照资产管理制度规定执行</w:t>
            </w:r>
          </w:p>
        </w:tc>
        <w:tc>
          <w:tcPr>
            <w:tcW w:w="327" w:type="pct"/>
            <w:tcBorders>
              <w:top w:val="single" w:sz="4" w:space="0" w:color="auto"/>
              <w:left w:val="single" w:sz="4" w:space="0" w:color="auto"/>
              <w:bottom w:val="single" w:sz="4" w:space="0" w:color="auto"/>
              <w:right w:val="single" w:sz="4" w:space="0" w:color="auto"/>
            </w:tcBorders>
            <w:vAlign w:val="center"/>
          </w:tcPr>
          <w:p w14:paraId="434B5EEC" w14:textId="77777777" w:rsidR="003C7D23" w:rsidRDefault="003C7D23" w:rsidP="00527311">
            <w:pPr>
              <w:widowControl/>
              <w:jc w:val="left"/>
              <w:rPr>
                <w:rFonts w:ascii="宋体" w:hAnsi="宋体" w:cs="宋体"/>
                <w:color w:val="000000"/>
                <w:kern w:val="0"/>
                <w:sz w:val="20"/>
                <w:szCs w:val="20"/>
              </w:rPr>
            </w:pPr>
            <w:r>
              <w:rPr>
                <w:rFonts w:ascii="宋体" w:hAnsi="宋体" w:cs="宋体" w:hint="eastAsia"/>
                <w:color w:val="000000"/>
                <w:kern w:val="0"/>
                <w:sz w:val="20"/>
                <w:szCs w:val="20"/>
              </w:rPr>
              <w:t>严格按照资产管理制度规定执行</w:t>
            </w:r>
          </w:p>
        </w:tc>
        <w:tc>
          <w:tcPr>
            <w:tcW w:w="317" w:type="pct"/>
            <w:tcBorders>
              <w:top w:val="single" w:sz="4" w:space="0" w:color="auto"/>
              <w:left w:val="single" w:sz="4" w:space="0" w:color="auto"/>
              <w:bottom w:val="single" w:sz="4" w:space="0" w:color="auto"/>
              <w:right w:val="single" w:sz="4" w:space="0" w:color="auto"/>
            </w:tcBorders>
            <w:vAlign w:val="center"/>
          </w:tcPr>
          <w:p w14:paraId="3D8550B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7" w:type="pct"/>
            <w:tcBorders>
              <w:top w:val="single" w:sz="4" w:space="0" w:color="auto"/>
              <w:left w:val="single" w:sz="4" w:space="0" w:color="auto"/>
              <w:bottom w:val="single" w:sz="4" w:space="0" w:color="auto"/>
              <w:right w:val="single" w:sz="4" w:space="0" w:color="auto"/>
            </w:tcBorders>
            <w:vAlign w:val="center"/>
          </w:tcPr>
          <w:p w14:paraId="3E75385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4</w:t>
            </w:r>
          </w:p>
        </w:tc>
        <w:tc>
          <w:tcPr>
            <w:tcW w:w="1274" w:type="pct"/>
            <w:tcBorders>
              <w:top w:val="single" w:sz="4" w:space="0" w:color="auto"/>
              <w:left w:val="single" w:sz="4" w:space="0" w:color="auto"/>
              <w:bottom w:val="single" w:sz="4" w:space="0" w:color="auto"/>
              <w:right w:val="single" w:sz="4" w:space="0" w:color="auto"/>
            </w:tcBorders>
            <w:vAlign w:val="center"/>
          </w:tcPr>
          <w:p w14:paraId="31FE6719"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250" w:type="pct"/>
            <w:tcBorders>
              <w:top w:val="single" w:sz="4" w:space="0" w:color="auto"/>
              <w:left w:val="single" w:sz="4" w:space="0" w:color="auto"/>
              <w:bottom w:val="single" w:sz="4" w:space="0" w:color="auto"/>
              <w:right w:val="single" w:sz="4" w:space="0" w:color="auto"/>
            </w:tcBorders>
            <w:vAlign w:val="center"/>
          </w:tcPr>
          <w:p w14:paraId="07C60499"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他资产管理制度办法执行情况。每有一项不合格扣0.8分，扣完为止。</w:t>
            </w:r>
          </w:p>
        </w:tc>
      </w:tr>
      <w:tr w:rsidR="003C7D23" w14:paraId="2DB3F11D" w14:textId="77777777" w:rsidTr="00527311">
        <w:trPr>
          <w:cantSplit/>
          <w:trHeight w:val="1210"/>
        </w:trPr>
        <w:tc>
          <w:tcPr>
            <w:tcW w:w="413" w:type="pct"/>
            <w:vMerge/>
            <w:tcBorders>
              <w:top w:val="nil"/>
              <w:left w:val="single" w:sz="4" w:space="0" w:color="auto"/>
              <w:bottom w:val="single" w:sz="4" w:space="0" w:color="000000"/>
              <w:right w:val="single" w:sz="4" w:space="0" w:color="auto"/>
            </w:tcBorders>
            <w:vAlign w:val="center"/>
          </w:tcPr>
          <w:p w14:paraId="0AC09631" w14:textId="77777777" w:rsidR="003C7D23" w:rsidRDefault="003C7D23" w:rsidP="00527311">
            <w:pPr>
              <w:widowControl/>
              <w:jc w:val="left"/>
              <w:rPr>
                <w:rFonts w:ascii="宋体" w:hAnsi="宋体" w:cs="宋体"/>
                <w:color w:val="000000"/>
                <w:kern w:val="0"/>
                <w:sz w:val="20"/>
                <w:szCs w:val="20"/>
              </w:rPr>
            </w:pPr>
          </w:p>
        </w:tc>
        <w:tc>
          <w:tcPr>
            <w:tcW w:w="417" w:type="pct"/>
            <w:tcBorders>
              <w:top w:val="single" w:sz="4" w:space="0" w:color="auto"/>
              <w:left w:val="nil"/>
              <w:bottom w:val="single" w:sz="4" w:space="0" w:color="auto"/>
              <w:right w:val="single" w:sz="4" w:space="0" w:color="auto"/>
            </w:tcBorders>
            <w:vAlign w:val="center"/>
          </w:tcPr>
          <w:p w14:paraId="194E810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58" w:type="pct"/>
            <w:tcBorders>
              <w:top w:val="single" w:sz="4" w:space="0" w:color="auto"/>
              <w:left w:val="nil"/>
              <w:bottom w:val="single" w:sz="4" w:space="0" w:color="auto"/>
              <w:right w:val="single" w:sz="4" w:space="0" w:color="auto"/>
            </w:tcBorders>
            <w:vAlign w:val="center"/>
          </w:tcPr>
          <w:p w14:paraId="73B908B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323" w:type="pct"/>
            <w:tcBorders>
              <w:top w:val="single" w:sz="4" w:space="0" w:color="auto"/>
              <w:left w:val="nil"/>
              <w:bottom w:val="single" w:sz="4" w:space="0" w:color="auto"/>
              <w:right w:val="single" w:sz="4" w:space="0" w:color="auto"/>
            </w:tcBorders>
            <w:vAlign w:val="center"/>
          </w:tcPr>
          <w:p w14:paraId="1C8F40A6" w14:textId="77777777" w:rsidR="003C7D23" w:rsidRDefault="003C7D23" w:rsidP="00527311">
            <w:pPr>
              <w:widowControl/>
              <w:jc w:val="left"/>
              <w:rPr>
                <w:rFonts w:ascii="宋体" w:hAnsi="宋体" w:cs="宋体"/>
                <w:color w:val="000000"/>
                <w:kern w:val="0"/>
                <w:sz w:val="20"/>
                <w:szCs w:val="20"/>
              </w:rPr>
            </w:pPr>
            <w:r>
              <w:rPr>
                <w:rFonts w:ascii="宋体" w:hAnsi="宋体" w:cs="宋体" w:hint="eastAsia"/>
                <w:color w:val="000000"/>
                <w:kern w:val="0"/>
                <w:sz w:val="20"/>
                <w:szCs w:val="20"/>
              </w:rPr>
              <w:t>全年按时完成绩效监控及绩效评价工作</w:t>
            </w:r>
          </w:p>
        </w:tc>
        <w:tc>
          <w:tcPr>
            <w:tcW w:w="327" w:type="pct"/>
            <w:tcBorders>
              <w:top w:val="single" w:sz="4" w:space="0" w:color="auto"/>
              <w:left w:val="nil"/>
              <w:bottom w:val="single" w:sz="4" w:space="0" w:color="auto"/>
              <w:right w:val="single" w:sz="4" w:space="0" w:color="auto"/>
            </w:tcBorders>
            <w:vAlign w:val="center"/>
          </w:tcPr>
          <w:p w14:paraId="3EAFEBC2" w14:textId="77777777" w:rsidR="003C7D23" w:rsidRDefault="003C7D23" w:rsidP="00527311">
            <w:pPr>
              <w:widowControl/>
              <w:jc w:val="left"/>
              <w:rPr>
                <w:rFonts w:ascii="宋体" w:hAnsi="宋体" w:cs="宋体"/>
                <w:color w:val="000000"/>
                <w:kern w:val="0"/>
                <w:sz w:val="20"/>
                <w:szCs w:val="20"/>
              </w:rPr>
            </w:pPr>
            <w:r>
              <w:rPr>
                <w:rFonts w:ascii="宋体" w:hAnsi="宋体" w:cs="宋体" w:hint="eastAsia"/>
                <w:color w:val="000000"/>
                <w:kern w:val="0"/>
                <w:sz w:val="20"/>
                <w:szCs w:val="20"/>
              </w:rPr>
              <w:t>全年基本按时完成绩效监控及绩效评价工作</w:t>
            </w:r>
          </w:p>
        </w:tc>
        <w:tc>
          <w:tcPr>
            <w:tcW w:w="317" w:type="pct"/>
            <w:tcBorders>
              <w:top w:val="single" w:sz="4" w:space="0" w:color="auto"/>
              <w:left w:val="nil"/>
              <w:bottom w:val="single" w:sz="4" w:space="0" w:color="auto"/>
              <w:right w:val="single" w:sz="4" w:space="0" w:color="auto"/>
            </w:tcBorders>
            <w:vAlign w:val="center"/>
          </w:tcPr>
          <w:p w14:paraId="7DF447F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7" w:type="pct"/>
            <w:tcBorders>
              <w:top w:val="single" w:sz="4" w:space="0" w:color="auto"/>
              <w:left w:val="nil"/>
              <w:bottom w:val="single" w:sz="4" w:space="0" w:color="auto"/>
              <w:right w:val="nil"/>
            </w:tcBorders>
            <w:vAlign w:val="center"/>
          </w:tcPr>
          <w:p w14:paraId="1F78D9E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74" w:type="pct"/>
            <w:tcBorders>
              <w:top w:val="single" w:sz="4" w:space="0" w:color="auto"/>
              <w:left w:val="single" w:sz="4" w:space="0" w:color="auto"/>
              <w:bottom w:val="single" w:sz="4" w:space="0" w:color="auto"/>
              <w:right w:val="single" w:sz="4" w:space="0" w:color="auto"/>
            </w:tcBorders>
            <w:vAlign w:val="center"/>
          </w:tcPr>
          <w:p w14:paraId="7A4CDF77"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250" w:type="pct"/>
            <w:tcBorders>
              <w:top w:val="single" w:sz="4" w:space="0" w:color="auto"/>
              <w:left w:val="nil"/>
              <w:bottom w:val="single" w:sz="4" w:space="0" w:color="auto"/>
              <w:right w:val="single" w:sz="4" w:space="0" w:color="auto"/>
            </w:tcBorders>
            <w:vAlign w:val="center"/>
          </w:tcPr>
          <w:p w14:paraId="7225C2ED"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3C7D23" w14:paraId="14C45AEA" w14:textId="77777777" w:rsidTr="00527311">
        <w:trPr>
          <w:cantSplit/>
          <w:trHeight w:val="394"/>
        </w:trPr>
        <w:tc>
          <w:tcPr>
            <w:tcW w:w="413" w:type="pct"/>
            <w:vMerge/>
            <w:tcBorders>
              <w:top w:val="nil"/>
              <w:left w:val="single" w:sz="4" w:space="0" w:color="auto"/>
              <w:bottom w:val="single" w:sz="4" w:space="0" w:color="000000"/>
              <w:right w:val="single" w:sz="4" w:space="0" w:color="auto"/>
            </w:tcBorders>
            <w:vAlign w:val="center"/>
          </w:tcPr>
          <w:p w14:paraId="6B35B87A" w14:textId="77777777" w:rsidR="003C7D23" w:rsidRDefault="003C7D23" w:rsidP="00527311">
            <w:pPr>
              <w:widowControl/>
              <w:jc w:val="left"/>
              <w:rPr>
                <w:rFonts w:ascii="宋体" w:hAnsi="宋体" w:cs="宋体"/>
                <w:color w:val="000000"/>
                <w:kern w:val="0"/>
                <w:sz w:val="20"/>
                <w:szCs w:val="20"/>
              </w:rPr>
            </w:pPr>
          </w:p>
        </w:tc>
        <w:tc>
          <w:tcPr>
            <w:tcW w:w="417" w:type="pct"/>
            <w:tcBorders>
              <w:top w:val="single" w:sz="4" w:space="0" w:color="auto"/>
              <w:left w:val="nil"/>
              <w:bottom w:val="single" w:sz="4" w:space="0" w:color="auto"/>
              <w:right w:val="single" w:sz="4" w:space="0" w:color="auto"/>
            </w:tcBorders>
            <w:vAlign w:val="center"/>
          </w:tcPr>
          <w:p w14:paraId="06F3237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681" w:type="pct"/>
            <w:gridSpan w:val="2"/>
            <w:tcBorders>
              <w:top w:val="single" w:sz="4" w:space="0" w:color="auto"/>
              <w:left w:val="nil"/>
              <w:bottom w:val="single" w:sz="4" w:space="0" w:color="auto"/>
              <w:right w:val="single" w:sz="4" w:space="0" w:color="000000"/>
            </w:tcBorders>
            <w:vAlign w:val="center"/>
          </w:tcPr>
          <w:p w14:paraId="38A3A175"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2021年</w:t>
            </w:r>
          </w:p>
        </w:tc>
        <w:tc>
          <w:tcPr>
            <w:tcW w:w="327" w:type="pct"/>
            <w:tcBorders>
              <w:top w:val="single" w:sz="4" w:space="0" w:color="auto"/>
              <w:left w:val="nil"/>
              <w:bottom w:val="single" w:sz="4" w:space="0" w:color="auto"/>
              <w:right w:val="single" w:sz="4" w:space="0" w:color="auto"/>
            </w:tcBorders>
            <w:vAlign w:val="center"/>
          </w:tcPr>
          <w:p w14:paraId="7875E58F"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2022年</w:t>
            </w:r>
          </w:p>
        </w:tc>
        <w:tc>
          <w:tcPr>
            <w:tcW w:w="317" w:type="pct"/>
            <w:tcBorders>
              <w:top w:val="single" w:sz="4" w:space="0" w:color="auto"/>
              <w:left w:val="nil"/>
              <w:bottom w:val="single" w:sz="4" w:space="0" w:color="auto"/>
              <w:right w:val="single" w:sz="4" w:space="0" w:color="auto"/>
            </w:tcBorders>
            <w:vAlign w:val="center"/>
          </w:tcPr>
          <w:p w14:paraId="5DF499E8"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17" w:type="pct"/>
            <w:tcBorders>
              <w:top w:val="single" w:sz="4" w:space="0" w:color="auto"/>
              <w:left w:val="nil"/>
              <w:bottom w:val="single" w:sz="4" w:space="0" w:color="auto"/>
              <w:right w:val="single" w:sz="4" w:space="0" w:color="auto"/>
            </w:tcBorders>
            <w:vAlign w:val="center"/>
          </w:tcPr>
          <w:p w14:paraId="0BC135F9"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74" w:type="pct"/>
            <w:tcBorders>
              <w:top w:val="single" w:sz="4" w:space="0" w:color="auto"/>
              <w:left w:val="single" w:sz="4" w:space="0" w:color="auto"/>
              <w:bottom w:val="single" w:sz="4" w:space="0" w:color="auto"/>
              <w:right w:val="single" w:sz="4" w:space="0" w:color="auto"/>
            </w:tcBorders>
            <w:vAlign w:val="center"/>
          </w:tcPr>
          <w:p w14:paraId="0E403906"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50" w:type="pct"/>
            <w:tcBorders>
              <w:top w:val="single" w:sz="4" w:space="0" w:color="auto"/>
              <w:left w:val="nil"/>
              <w:bottom w:val="single" w:sz="4" w:space="0" w:color="auto"/>
              <w:right w:val="single" w:sz="4" w:space="0" w:color="auto"/>
            </w:tcBorders>
            <w:vAlign w:val="center"/>
          </w:tcPr>
          <w:p w14:paraId="50D84B0F" w14:textId="77777777" w:rsidR="003C7D23" w:rsidRDefault="003C7D23" w:rsidP="00527311">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3C7D23" w14:paraId="00D10240" w14:textId="77777777" w:rsidTr="00527311">
        <w:trPr>
          <w:cantSplit/>
          <w:trHeight w:val="2229"/>
        </w:trPr>
        <w:tc>
          <w:tcPr>
            <w:tcW w:w="413" w:type="pct"/>
            <w:vMerge/>
            <w:tcBorders>
              <w:top w:val="nil"/>
              <w:left w:val="single" w:sz="4" w:space="0" w:color="auto"/>
              <w:bottom w:val="single" w:sz="4" w:space="0" w:color="000000"/>
              <w:right w:val="single" w:sz="4" w:space="0" w:color="auto"/>
            </w:tcBorders>
            <w:vAlign w:val="center"/>
          </w:tcPr>
          <w:p w14:paraId="4BE07C07" w14:textId="77777777" w:rsidR="003C7D23" w:rsidRDefault="003C7D23" w:rsidP="00527311">
            <w:pPr>
              <w:widowControl/>
              <w:jc w:val="left"/>
              <w:rPr>
                <w:rFonts w:ascii="宋体" w:hAnsi="宋体" w:cs="宋体"/>
                <w:color w:val="000000"/>
                <w:kern w:val="0"/>
                <w:sz w:val="20"/>
                <w:szCs w:val="20"/>
              </w:rPr>
            </w:pPr>
          </w:p>
        </w:tc>
        <w:tc>
          <w:tcPr>
            <w:tcW w:w="417" w:type="pct"/>
            <w:tcBorders>
              <w:top w:val="nil"/>
              <w:left w:val="nil"/>
              <w:bottom w:val="single" w:sz="4" w:space="0" w:color="auto"/>
              <w:right w:val="single" w:sz="4" w:space="0" w:color="auto"/>
            </w:tcBorders>
            <w:vAlign w:val="center"/>
          </w:tcPr>
          <w:p w14:paraId="7E02FB25"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681" w:type="pct"/>
            <w:gridSpan w:val="2"/>
            <w:tcBorders>
              <w:top w:val="single" w:sz="4" w:space="0" w:color="auto"/>
              <w:left w:val="nil"/>
              <w:bottom w:val="single" w:sz="4" w:space="0" w:color="auto"/>
              <w:right w:val="single" w:sz="4" w:space="0" w:color="000000"/>
            </w:tcBorders>
            <w:vAlign w:val="center"/>
          </w:tcPr>
          <w:p w14:paraId="5369BC24"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0.88%　</w:t>
            </w:r>
          </w:p>
        </w:tc>
        <w:tc>
          <w:tcPr>
            <w:tcW w:w="327" w:type="pct"/>
            <w:tcBorders>
              <w:top w:val="nil"/>
              <w:left w:val="nil"/>
              <w:bottom w:val="single" w:sz="4" w:space="0" w:color="auto"/>
              <w:right w:val="single" w:sz="4" w:space="0" w:color="auto"/>
            </w:tcBorders>
            <w:vAlign w:val="center"/>
          </w:tcPr>
          <w:p w14:paraId="1A639B1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9.24%　</w:t>
            </w:r>
          </w:p>
        </w:tc>
        <w:tc>
          <w:tcPr>
            <w:tcW w:w="317" w:type="pct"/>
            <w:tcBorders>
              <w:top w:val="nil"/>
              <w:left w:val="nil"/>
              <w:bottom w:val="single" w:sz="4" w:space="0" w:color="auto"/>
              <w:right w:val="single" w:sz="4" w:space="0" w:color="auto"/>
            </w:tcBorders>
            <w:vAlign w:val="center"/>
          </w:tcPr>
          <w:p w14:paraId="7A420F1B"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7" w:type="pct"/>
            <w:tcBorders>
              <w:top w:val="nil"/>
              <w:left w:val="nil"/>
              <w:bottom w:val="single" w:sz="4" w:space="0" w:color="auto"/>
              <w:right w:val="nil"/>
            </w:tcBorders>
            <w:vAlign w:val="center"/>
          </w:tcPr>
          <w:p w14:paraId="534A76C5"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0.8</w:t>
            </w:r>
          </w:p>
        </w:tc>
        <w:tc>
          <w:tcPr>
            <w:tcW w:w="1274" w:type="pct"/>
            <w:tcBorders>
              <w:top w:val="single" w:sz="4" w:space="0" w:color="auto"/>
              <w:left w:val="single" w:sz="4" w:space="0" w:color="auto"/>
              <w:bottom w:val="single" w:sz="4" w:space="0" w:color="auto"/>
              <w:right w:val="single" w:sz="4" w:space="0" w:color="auto"/>
            </w:tcBorders>
            <w:vAlign w:val="center"/>
          </w:tcPr>
          <w:p w14:paraId="6ABB360F"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250" w:type="pct"/>
            <w:tcBorders>
              <w:top w:val="single" w:sz="4" w:space="0" w:color="auto"/>
              <w:left w:val="nil"/>
              <w:bottom w:val="single" w:sz="4" w:space="0" w:color="auto"/>
              <w:right w:val="single" w:sz="4" w:space="0" w:color="auto"/>
            </w:tcBorders>
            <w:vAlign w:val="center"/>
          </w:tcPr>
          <w:p w14:paraId="2B15DD21"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3C7D23" w14:paraId="3951A23B" w14:textId="77777777" w:rsidTr="00527311">
        <w:trPr>
          <w:cantSplit/>
          <w:trHeight w:val="981"/>
        </w:trPr>
        <w:tc>
          <w:tcPr>
            <w:tcW w:w="413" w:type="pct"/>
            <w:vMerge/>
            <w:tcBorders>
              <w:top w:val="nil"/>
              <w:left w:val="single" w:sz="4" w:space="0" w:color="auto"/>
              <w:bottom w:val="single" w:sz="4" w:space="0" w:color="000000"/>
              <w:right w:val="single" w:sz="4" w:space="0" w:color="auto"/>
            </w:tcBorders>
            <w:vAlign w:val="center"/>
          </w:tcPr>
          <w:p w14:paraId="6D4FFAC2" w14:textId="77777777" w:rsidR="003C7D23" w:rsidRDefault="003C7D23" w:rsidP="00527311">
            <w:pPr>
              <w:widowControl/>
              <w:jc w:val="left"/>
              <w:rPr>
                <w:rFonts w:ascii="宋体" w:hAnsi="宋体" w:cs="宋体"/>
                <w:color w:val="000000"/>
                <w:kern w:val="0"/>
                <w:sz w:val="20"/>
                <w:szCs w:val="20"/>
              </w:rPr>
            </w:pPr>
          </w:p>
        </w:tc>
        <w:tc>
          <w:tcPr>
            <w:tcW w:w="417" w:type="pct"/>
            <w:tcBorders>
              <w:top w:val="nil"/>
              <w:left w:val="nil"/>
              <w:bottom w:val="single" w:sz="4" w:space="0" w:color="auto"/>
              <w:right w:val="single" w:sz="4" w:space="0" w:color="auto"/>
            </w:tcBorders>
            <w:vAlign w:val="center"/>
          </w:tcPr>
          <w:p w14:paraId="3053D672" w14:textId="77777777" w:rsidR="003C7D23" w:rsidRDefault="003C7D23" w:rsidP="00527311">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681" w:type="pct"/>
            <w:gridSpan w:val="2"/>
            <w:tcBorders>
              <w:top w:val="single" w:sz="4" w:space="0" w:color="auto"/>
              <w:left w:val="nil"/>
              <w:bottom w:val="single" w:sz="4" w:space="0" w:color="auto"/>
              <w:right w:val="nil"/>
            </w:tcBorders>
            <w:vAlign w:val="center"/>
          </w:tcPr>
          <w:p w14:paraId="1B569D12"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7" w:type="pct"/>
            <w:tcBorders>
              <w:top w:val="nil"/>
              <w:left w:val="single" w:sz="4" w:space="0" w:color="auto"/>
              <w:bottom w:val="single" w:sz="4" w:space="0" w:color="auto"/>
              <w:right w:val="single" w:sz="4" w:space="0" w:color="auto"/>
            </w:tcBorders>
            <w:vAlign w:val="center"/>
          </w:tcPr>
          <w:p w14:paraId="64D48438" w14:textId="77777777" w:rsidR="003C7D23" w:rsidRDefault="003C7D23" w:rsidP="00527311">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5.41%</w:t>
            </w:r>
          </w:p>
        </w:tc>
        <w:tc>
          <w:tcPr>
            <w:tcW w:w="317" w:type="pct"/>
            <w:tcBorders>
              <w:top w:val="nil"/>
              <w:left w:val="nil"/>
              <w:bottom w:val="single" w:sz="4" w:space="0" w:color="auto"/>
              <w:right w:val="single" w:sz="4" w:space="0" w:color="auto"/>
            </w:tcBorders>
            <w:vAlign w:val="center"/>
          </w:tcPr>
          <w:p w14:paraId="47E13987"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17" w:type="pct"/>
            <w:tcBorders>
              <w:top w:val="nil"/>
              <w:left w:val="nil"/>
              <w:bottom w:val="single" w:sz="4" w:space="0" w:color="auto"/>
              <w:right w:val="nil"/>
            </w:tcBorders>
            <w:vAlign w:val="center"/>
          </w:tcPr>
          <w:p w14:paraId="2668BA13"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4　</w:t>
            </w:r>
          </w:p>
        </w:tc>
        <w:tc>
          <w:tcPr>
            <w:tcW w:w="1274" w:type="pct"/>
            <w:tcBorders>
              <w:top w:val="nil"/>
              <w:left w:val="single" w:sz="4" w:space="0" w:color="auto"/>
              <w:bottom w:val="single" w:sz="4" w:space="0" w:color="auto"/>
              <w:right w:val="single" w:sz="4" w:space="0" w:color="auto"/>
            </w:tcBorders>
            <w:vAlign w:val="center"/>
          </w:tcPr>
          <w:p w14:paraId="1AB73010"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250" w:type="pct"/>
            <w:tcBorders>
              <w:top w:val="nil"/>
              <w:left w:val="nil"/>
              <w:bottom w:val="single" w:sz="4" w:space="0" w:color="auto"/>
              <w:right w:val="single" w:sz="4" w:space="0" w:color="auto"/>
            </w:tcBorders>
            <w:vAlign w:val="center"/>
          </w:tcPr>
          <w:p w14:paraId="00BBA265" w14:textId="77777777" w:rsidR="003C7D23" w:rsidRDefault="003C7D23" w:rsidP="00527311">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3C7D23" w14:paraId="71E4F33C" w14:textId="77777777" w:rsidTr="00527311">
        <w:trPr>
          <w:cantSplit/>
          <w:trHeight w:val="484"/>
        </w:trPr>
        <w:tc>
          <w:tcPr>
            <w:tcW w:w="1840" w:type="pct"/>
            <w:gridSpan w:val="5"/>
            <w:tcBorders>
              <w:top w:val="single" w:sz="4" w:space="0" w:color="auto"/>
              <w:left w:val="single" w:sz="4" w:space="0" w:color="auto"/>
              <w:bottom w:val="single" w:sz="4" w:space="0" w:color="auto"/>
              <w:right w:val="single" w:sz="4" w:space="0" w:color="auto"/>
            </w:tcBorders>
            <w:vAlign w:val="center"/>
          </w:tcPr>
          <w:p w14:paraId="0BC98B5A"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317" w:type="pct"/>
            <w:tcBorders>
              <w:top w:val="nil"/>
              <w:left w:val="nil"/>
              <w:bottom w:val="single" w:sz="4" w:space="0" w:color="auto"/>
              <w:right w:val="single" w:sz="4" w:space="0" w:color="auto"/>
            </w:tcBorders>
            <w:vAlign w:val="center"/>
          </w:tcPr>
          <w:p w14:paraId="4DF3B970"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17" w:type="pct"/>
            <w:tcBorders>
              <w:top w:val="nil"/>
              <w:left w:val="nil"/>
              <w:bottom w:val="single" w:sz="4" w:space="0" w:color="auto"/>
              <w:right w:val="nil"/>
            </w:tcBorders>
            <w:vAlign w:val="center"/>
          </w:tcPr>
          <w:p w14:paraId="1A1DCAF1" w14:textId="77777777" w:rsidR="003C7D23" w:rsidRDefault="003C7D23" w:rsidP="00527311">
            <w:pPr>
              <w:widowControl/>
              <w:jc w:val="center"/>
              <w:rPr>
                <w:rFonts w:ascii="宋体" w:hAnsi="宋体" w:cs="宋体"/>
                <w:color w:val="000000"/>
                <w:kern w:val="0"/>
                <w:sz w:val="20"/>
                <w:szCs w:val="20"/>
              </w:rPr>
            </w:pPr>
            <w:r>
              <w:rPr>
                <w:rFonts w:ascii="宋体" w:hAnsi="宋体" w:cs="宋体" w:hint="eastAsia"/>
                <w:color w:val="000000"/>
                <w:kern w:val="0"/>
                <w:sz w:val="20"/>
                <w:szCs w:val="20"/>
              </w:rPr>
              <w:t>90.59</w:t>
            </w:r>
          </w:p>
        </w:tc>
        <w:tc>
          <w:tcPr>
            <w:tcW w:w="2525" w:type="pct"/>
            <w:gridSpan w:val="2"/>
            <w:tcBorders>
              <w:top w:val="single" w:sz="4" w:space="0" w:color="auto"/>
              <w:left w:val="single" w:sz="4" w:space="0" w:color="auto"/>
              <w:bottom w:val="single" w:sz="4" w:space="0" w:color="auto"/>
              <w:right w:val="single" w:sz="4" w:space="0" w:color="000000"/>
            </w:tcBorders>
            <w:vAlign w:val="center"/>
          </w:tcPr>
          <w:p w14:paraId="03FF3D72" w14:textId="77777777" w:rsidR="003C7D23" w:rsidRDefault="003C7D23" w:rsidP="00527311">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7754472B" w14:textId="77777777" w:rsidR="003C7D23" w:rsidRPr="00C10FE9" w:rsidRDefault="003C7D23" w:rsidP="003C7D23">
      <w:pPr>
        <w:pStyle w:val="a0"/>
        <w:ind w:firstLine="420"/>
      </w:pPr>
    </w:p>
    <w:p w14:paraId="773B3EEB" w14:textId="77777777" w:rsidR="003C7D23" w:rsidRDefault="003C7D23" w:rsidP="003C7D23">
      <w:pPr>
        <w:pStyle w:val="a0"/>
        <w:ind w:firstLine="420"/>
      </w:pPr>
    </w:p>
    <w:p w14:paraId="36E9B8C7" w14:textId="77777777" w:rsidR="003C7D23" w:rsidRDefault="003C7D23" w:rsidP="003C7D23">
      <w:pPr>
        <w:pStyle w:val="a0"/>
        <w:ind w:firstLine="420"/>
      </w:pPr>
    </w:p>
    <w:p w14:paraId="3F628A6D" w14:textId="77777777" w:rsidR="003C7D23" w:rsidRDefault="003C7D23" w:rsidP="003C7D23">
      <w:pPr>
        <w:pStyle w:val="a0"/>
        <w:ind w:firstLine="420"/>
      </w:pPr>
    </w:p>
    <w:p w14:paraId="42655329" w14:textId="77777777" w:rsidR="003C7D23" w:rsidRDefault="003C7D23" w:rsidP="003C7D23">
      <w:pPr>
        <w:pStyle w:val="a0"/>
        <w:ind w:firstLine="420"/>
      </w:pPr>
    </w:p>
    <w:p w14:paraId="44342463" w14:textId="77777777" w:rsidR="003C7D23" w:rsidRDefault="003C7D23" w:rsidP="003C7D23">
      <w:pPr>
        <w:pStyle w:val="a0"/>
        <w:ind w:firstLine="420"/>
      </w:pPr>
    </w:p>
    <w:p w14:paraId="1F64B14D" w14:textId="77777777" w:rsidR="003C7D23" w:rsidRDefault="003C7D23" w:rsidP="003C7D23">
      <w:pPr>
        <w:pStyle w:val="a0"/>
        <w:ind w:firstLine="420"/>
      </w:pPr>
    </w:p>
    <w:p w14:paraId="74F28773" w14:textId="77777777" w:rsidR="003C7D23" w:rsidRDefault="003C7D23" w:rsidP="003C7D23">
      <w:pPr>
        <w:pStyle w:val="a0"/>
        <w:ind w:firstLine="420"/>
      </w:pPr>
    </w:p>
    <w:p w14:paraId="174334A0" w14:textId="77777777" w:rsidR="003C7D23" w:rsidRDefault="003C7D23" w:rsidP="003C7D23">
      <w:pPr>
        <w:pStyle w:val="a0"/>
        <w:ind w:firstLine="420"/>
      </w:pPr>
    </w:p>
    <w:p w14:paraId="08469CB2" w14:textId="77777777" w:rsidR="003C7D23" w:rsidRDefault="003C7D23" w:rsidP="003C7D23">
      <w:pPr>
        <w:pStyle w:val="a0"/>
        <w:ind w:firstLine="420"/>
      </w:pPr>
    </w:p>
    <w:p w14:paraId="17F5FF7B" w14:textId="77777777" w:rsidR="003C7D23" w:rsidRDefault="003C7D23" w:rsidP="003C7D23">
      <w:pPr>
        <w:pStyle w:val="a0"/>
        <w:ind w:firstLine="420"/>
      </w:pPr>
    </w:p>
    <w:p w14:paraId="5356C89B" w14:textId="77777777" w:rsidR="003C7D23" w:rsidRDefault="003C7D23" w:rsidP="003C7D23">
      <w:pPr>
        <w:pStyle w:val="a0"/>
        <w:ind w:firstLine="420"/>
      </w:pPr>
    </w:p>
    <w:p w14:paraId="435AC19E" w14:textId="77777777" w:rsidR="003C7D23" w:rsidRDefault="003C7D23" w:rsidP="003C7D23">
      <w:pPr>
        <w:pStyle w:val="a0"/>
        <w:ind w:firstLine="420"/>
      </w:pPr>
    </w:p>
    <w:p w14:paraId="0BC2A60A" w14:textId="77777777" w:rsidR="003C7D23" w:rsidRDefault="003C7D23" w:rsidP="003C7D23">
      <w:pPr>
        <w:pStyle w:val="a0"/>
        <w:ind w:firstLine="420"/>
      </w:pPr>
    </w:p>
    <w:p w14:paraId="456886BA" w14:textId="77777777" w:rsidR="003C7D23" w:rsidRDefault="003C7D23" w:rsidP="003C7D23">
      <w:pPr>
        <w:pStyle w:val="a0"/>
        <w:ind w:firstLine="420"/>
      </w:pPr>
    </w:p>
    <w:p w14:paraId="56057725" w14:textId="77777777" w:rsidR="003C7D23" w:rsidRDefault="003C7D23" w:rsidP="003C7D23">
      <w:pPr>
        <w:pStyle w:val="a0"/>
        <w:ind w:firstLine="420"/>
      </w:pPr>
    </w:p>
    <w:p w14:paraId="2AB89DA9" w14:textId="77777777" w:rsidR="003C7D23" w:rsidRDefault="003C7D23" w:rsidP="003C7D23">
      <w:pPr>
        <w:pStyle w:val="a0"/>
        <w:ind w:firstLine="420"/>
      </w:pPr>
    </w:p>
    <w:p w14:paraId="0785205C" w14:textId="77777777" w:rsidR="003C7D23" w:rsidRDefault="003C7D23" w:rsidP="003C7D23">
      <w:pPr>
        <w:pStyle w:val="a0"/>
        <w:ind w:firstLine="420"/>
      </w:pPr>
    </w:p>
    <w:p w14:paraId="1937133C" w14:textId="77777777" w:rsidR="003C7D23" w:rsidRDefault="003C7D23" w:rsidP="003C7D23">
      <w:pPr>
        <w:pStyle w:val="a0"/>
        <w:ind w:firstLine="420"/>
      </w:pPr>
    </w:p>
    <w:p w14:paraId="70E9A5E8" w14:textId="77777777" w:rsidR="003C7D23" w:rsidRDefault="003C7D23" w:rsidP="003C7D23">
      <w:pPr>
        <w:pStyle w:val="a0"/>
        <w:ind w:firstLine="420"/>
      </w:pPr>
    </w:p>
    <w:p w14:paraId="4E8EAF90" w14:textId="77777777" w:rsidR="003C7D23" w:rsidRDefault="003C7D23" w:rsidP="003C7D23">
      <w:pPr>
        <w:pStyle w:val="a0"/>
        <w:ind w:firstLine="420"/>
      </w:pPr>
    </w:p>
    <w:p w14:paraId="52F211EF" w14:textId="77777777" w:rsidR="003C7D23" w:rsidRDefault="003C7D23" w:rsidP="003C7D23">
      <w:pPr>
        <w:pStyle w:val="a0"/>
        <w:ind w:firstLine="420"/>
      </w:pPr>
    </w:p>
    <w:p w14:paraId="2BA6E9DF" w14:textId="77777777" w:rsidR="003C7D23" w:rsidRDefault="003C7D23" w:rsidP="003C7D23">
      <w:pPr>
        <w:pStyle w:val="a0"/>
        <w:ind w:firstLine="420"/>
      </w:pPr>
    </w:p>
    <w:p w14:paraId="3D66E701" w14:textId="77777777" w:rsidR="003C7D23" w:rsidRDefault="003C7D23" w:rsidP="003C7D23">
      <w:pPr>
        <w:pStyle w:val="a0"/>
        <w:ind w:firstLine="420"/>
      </w:pPr>
    </w:p>
    <w:p w14:paraId="2FB8E6C8" w14:textId="77777777" w:rsidR="003C7D23" w:rsidRDefault="003C7D23" w:rsidP="003C7D23">
      <w:pPr>
        <w:pStyle w:val="a0"/>
        <w:ind w:firstLine="420"/>
        <w:rPr>
          <w:rFonts w:hint="eastAsia"/>
        </w:rPr>
      </w:pPr>
    </w:p>
    <w:sectPr w:rsidR="003C7D23">
      <w:footerReference w:type="even" r:id="rId7"/>
      <w:footerReference w:type="default" r:id="rId8"/>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215B0" w14:textId="77777777" w:rsidR="00EB3D67" w:rsidRDefault="00EB3D67" w:rsidP="003C7D23">
      <w:r>
        <w:separator/>
      </w:r>
    </w:p>
  </w:endnote>
  <w:endnote w:type="continuationSeparator" w:id="0">
    <w:p w14:paraId="04A15185" w14:textId="77777777" w:rsidR="00EB3D67" w:rsidRDefault="00EB3D67" w:rsidP="003C7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楷体_GB2312">
    <w:altName w:val="微软雅黑"/>
    <w:charset w:val="86"/>
    <w:family w:val="moder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59A62" w14:textId="77777777" w:rsidR="00000000" w:rsidRDefault="00000000">
    <w:pPr>
      <w:pStyle w:val="a6"/>
      <w:framePr w:wrap="around" w:vAnchor="text" w:hAnchor="margin" w:xAlign="center" w:y="1"/>
      <w:rPr>
        <w:rStyle w:val="af0"/>
      </w:rPr>
    </w:pPr>
    <w:r>
      <w:fldChar w:fldCharType="begin"/>
    </w:r>
    <w:r>
      <w:rPr>
        <w:rStyle w:val="af0"/>
      </w:rPr>
      <w:instrText xml:space="preserve">PAGE  </w:instrText>
    </w:r>
    <w:r>
      <w:fldChar w:fldCharType="separate"/>
    </w:r>
    <w:r>
      <w:rPr>
        <w:rStyle w:val="af0"/>
        <w:lang w:val="en-US" w:eastAsia="zh-CN"/>
      </w:rPr>
      <w:t>15</w:t>
    </w:r>
    <w:r>
      <w:fldChar w:fldCharType="end"/>
    </w:r>
  </w:p>
  <w:p w14:paraId="2A406C75" w14:textId="77777777" w:rsidR="00000000" w:rsidRDefault="0000000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42B77" w14:textId="14CB5602" w:rsidR="00000000" w:rsidRDefault="003C7D23">
    <w:pPr>
      <w:pStyle w:val="a6"/>
    </w:pPr>
    <w:r>
      <w:rPr>
        <w:noProof/>
      </w:rPr>
      <mc:AlternateContent>
        <mc:Choice Requires="wps">
          <w:drawing>
            <wp:anchor distT="0" distB="0" distL="114300" distR="114300" simplePos="0" relativeHeight="251659264" behindDoc="0" locked="0" layoutInCell="1" allowOverlap="1" wp14:anchorId="3CD739C6" wp14:editId="18767DF8">
              <wp:simplePos x="0" y="0"/>
              <wp:positionH relativeFrom="margin">
                <wp:align>center</wp:align>
              </wp:positionH>
              <wp:positionV relativeFrom="paragraph">
                <wp:posOffset>0</wp:posOffset>
              </wp:positionV>
              <wp:extent cx="57785" cy="131445"/>
              <wp:effectExtent l="0" t="0" r="0" b="0"/>
              <wp:wrapNone/>
              <wp:docPr id="53180860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041BD" w14:textId="77777777" w:rsidR="00000000" w:rsidRDefault="00000000">
                          <w:pPr>
                            <w:pStyle w:val="a6"/>
                            <w:rPr>
                              <w:rStyle w:val="af0"/>
                            </w:rPr>
                          </w:pPr>
                          <w:r>
                            <w:fldChar w:fldCharType="begin"/>
                          </w:r>
                          <w:r>
                            <w:rPr>
                              <w:rStyle w:val="af0"/>
                            </w:rPr>
                            <w:instrText xml:space="preserve">PAGE  </w:instrText>
                          </w:r>
                          <w:r>
                            <w:fldChar w:fldCharType="separate"/>
                          </w:r>
                          <w:r>
                            <w:rPr>
                              <w:rStyle w:val="af0"/>
                              <w:noProof/>
                            </w:rPr>
                            <w:t>68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D739C6"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27D041BD" w14:textId="77777777" w:rsidR="00000000" w:rsidRDefault="00000000">
                    <w:pPr>
                      <w:pStyle w:val="a6"/>
                      <w:rPr>
                        <w:rStyle w:val="af0"/>
                      </w:rPr>
                    </w:pPr>
                    <w:r>
                      <w:fldChar w:fldCharType="begin"/>
                    </w:r>
                    <w:r>
                      <w:rPr>
                        <w:rStyle w:val="af0"/>
                      </w:rPr>
                      <w:instrText xml:space="preserve">PAGE  </w:instrText>
                    </w:r>
                    <w:r>
                      <w:fldChar w:fldCharType="separate"/>
                    </w:r>
                    <w:r>
                      <w:rPr>
                        <w:rStyle w:val="af0"/>
                        <w:noProof/>
                      </w:rPr>
                      <w:t>68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D2BA3" w14:textId="77777777" w:rsidR="00EB3D67" w:rsidRDefault="00EB3D67" w:rsidP="003C7D23">
      <w:r>
        <w:separator/>
      </w:r>
    </w:p>
  </w:footnote>
  <w:footnote w:type="continuationSeparator" w:id="0">
    <w:p w14:paraId="3E89729B" w14:textId="77777777" w:rsidR="00EB3D67" w:rsidRDefault="00EB3D67" w:rsidP="003C7D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7E84BE"/>
    <w:multiLevelType w:val="singleLevel"/>
    <w:tmpl w:val="8D7E84BE"/>
    <w:lvl w:ilvl="0">
      <w:start w:val="1"/>
      <w:numFmt w:val="chineseCounting"/>
      <w:suff w:val="nothing"/>
      <w:lvlText w:val="%1、"/>
      <w:lvlJc w:val="left"/>
      <w:rPr>
        <w:rFonts w:hint="eastAsia"/>
      </w:rPr>
    </w:lvl>
  </w:abstractNum>
  <w:abstractNum w:abstractNumId="1" w15:restartNumberingAfterBreak="0">
    <w:nsid w:val="6BB44288"/>
    <w:multiLevelType w:val="singleLevel"/>
    <w:tmpl w:val="6BB44288"/>
    <w:lvl w:ilvl="0">
      <w:start w:val="2"/>
      <w:numFmt w:val="chineseCounting"/>
      <w:suff w:val="nothing"/>
      <w:lvlText w:val="（%1）"/>
      <w:lvlJc w:val="left"/>
      <w:rPr>
        <w:rFonts w:hint="eastAsia"/>
      </w:rPr>
    </w:lvl>
  </w:abstractNum>
  <w:num w:numId="1" w16cid:durableId="563830174">
    <w:abstractNumId w:val="0"/>
  </w:num>
  <w:num w:numId="2" w16cid:durableId="9044886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C20"/>
    <w:rsid w:val="0002345E"/>
    <w:rsid w:val="001675AD"/>
    <w:rsid w:val="002D4C20"/>
    <w:rsid w:val="003C7D23"/>
    <w:rsid w:val="00475559"/>
    <w:rsid w:val="00EB3D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E1E08D"/>
  <w15:chartTrackingRefBased/>
  <w15:docId w15:val="{DBE8C166-5F5B-42F4-9A3B-5C07F26BE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3C7D23"/>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3C7D23"/>
    <w:pPr>
      <w:keepNext/>
      <w:keepLines/>
      <w:spacing w:before="340" w:after="330" w:line="578" w:lineRule="auto"/>
      <w:outlineLvl w:val="0"/>
    </w:pPr>
    <w:rPr>
      <w:b/>
      <w:bCs/>
      <w:kern w:val="44"/>
      <w:sz w:val="44"/>
      <w:szCs w:val="44"/>
    </w:rPr>
  </w:style>
  <w:style w:type="paragraph" w:styleId="2">
    <w:name w:val="heading 2"/>
    <w:basedOn w:val="a"/>
    <w:next w:val="a"/>
    <w:link w:val="20"/>
    <w:qFormat/>
    <w:rsid w:val="003C7D23"/>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nhideWhenUsed/>
    <w:rsid w:val="003C7D23"/>
    <w:pPr>
      <w:tabs>
        <w:tab w:val="center" w:pos="4153"/>
        <w:tab w:val="right" w:pos="8306"/>
      </w:tabs>
      <w:snapToGrid w:val="0"/>
      <w:jc w:val="center"/>
    </w:pPr>
    <w:rPr>
      <w:sz w:val="18"/>
      <w:szCs w:val="18"/>
    </w:rPr>
  </w:style>
  <w:style w:type="character" w:customStyle="1" w:styleId="a5">
    <w:name w:val="页眉 字符"/>
    <w:basedOn w:val="a1"/>
    <w:link w:val="a4"/>
    <w:rsid w:val="003C7D23"/>
    <w:rPr>
      <w:sz w:val="18"/>
      <w:szCs w:val="18"/>
    </w:rPr>
  </w:style>
  <w:style w:type="paragraph" w:styleId="a6">
    <w:name w:val="footer"/>
    <w:basedOn w:val="a"/>
    <w:link w:val="a7"/>
    <w:unhideWhenUsed/>
    <w:rsid w:val="003C7D23"/>
    <w:pPr>
      <w:tabs>
        <w:tab w:val="center" w:pos="4153"/>
        <w:tab w:val="right" w:pos="8306"/>
      </w:tabs>
      <w:snapToGrid w:val="0"/>
      <w:jc w:val="left"/>
    </w:pPr>
    <w:rPr>
      <w:sz w:val="18"/>
      <w:szCs w:val="18"/>
    </w:rPr>
  </w:style>
  <w:style w:type="character" w:customStyle="1" w:styleId="a7">
    <w:name w:val="页脚 字符"/>
    <w:basedOn w:val="a1"/>
    <w:link w:val="a6"/>
    <w:rsid w:val="003C7D23"/>
    <w:rPr>
      <w:sz w:val="18"/>
      <w:szCs w:val="18"/>
    </w:rPr>
  </w:style>
  <w:style w:type="character" w:customStyle="1" w:styleId="10">
    <w:name w:val="标题 1 字符"/>
    <w:basedOn w:val="a1"/>
    <w:link w:val="1"/>
    <w:uiPriority w:val="9"/>
    <w:rsid w:val="003C7D23"/>
    <w:rPr>
      <w:rFonts w:ascii="Times New Roman" w:eastAsia="宋体" w:hAnsi="Times New Roman" w:cs="Times New Roman"/>
      <w:b/>
      <w:bCs/>
      <w:kern w:val="44"/>
      <w:sz w:val="44"/>
      <w:szCs w:val="44"/>
    </w:rPr>
  </w:style>
  <w:style w:type="character" w:customStyle="1" w:styleId="20">
    <w:name w:val="标题 2 字符"/>
    <w:basedOn w:val="a1"/>
    <w:link w:val="2"/>
    <w:rsid w:val="003C7D23"/>
    <w:rPr>
      <w:rFonts w:ascii="Cambria" w:eastAsia="黑体" w:hAnsi="Cambria" w:cs="Times New Roman"/>
      <w:b/>
      <w:bCs/>
      <w:kern w:val="0"/>
      <w:sz w:val="36"/>
      <w:szCs w:val="32"/>
    </w:rPr>
  </w:style>
  <w:style w:type="paragraph" w:styleId="a0">
    <w:name w:val="Normal Indent"/>
    <w:basedOn w:val="a"/>
    <w:qFormat/>
    <w:rsid w:val="003C7D23"/>
    <w:pPr>
      <w:ind w:firstLineChars="200" w:firstLine="200"/>
    </w:pPr>
  </w:style>
  <w:style w:type="paragraph" w:styleId="a8">
    <w:name w:val="Body Text Indent"/>
    <w:basedOn w:val="a"/>
    <w:link w:val="a9"/>
    <w:rsid w:val="003C7D23"/>
    <w:pPr>
      <w:ind w:firstLine="645"/>
    </w:pPr>
    <w:rPr>
      <w:rFonts w:ascii="仿宋_GB2312" w:eastAsia="仿宋_GB2312" w:hAnsi="Calibri"/>
      <w:sz w:val="32"/>
      <w:szCs w:val="32"/>
    </w:rPr>
  </w:style>
  <w:style w:type="character" w:customStyle="1" w:styleId="a9">
    <w:name w:val="正文文本缩进 字符"/>
    <w:basedOn w:val="a1"/>
    <w:link w:val="a8"/>
    <w:rsid w:val="003C7D23"/>
    <w:rPr>
      <w:rFonts w:ascii="仿宋_GB2312" w:eastAsia="仿宋_GB2312" w:hAnsi="Calibri" w:cs="Times New Roman"/>
      <w:sz w:val="32"/>
      <w:szCs w:val="32"/>
    </w:rPr>
  </w:style>
  <w:style w:type="paragraph" w:styleId="aa">
    <w:name w:val="Date"/>
    <w:basedOn w:val="a"/>
    <w:next w:val="a"/>
    <w:link w:val="ab"/>
    <w:rsid w:val="003C7D23"/>
    <w:pPr>
      <w:ind w:leftChars="2500" w:left="100"/>
    </w:pPr>
  </w:style>
  <w:style w:type="character" w:customStyle="1" w:styleId="ab">
    <w:name w:val="日期 字符"/>
    <w:basedOn w:val="a1"/>
    <w:link w:val="aa"/>
    <w:rsid w:val="003C7D23"/>
    <w:rPr>
      <w:rFonts w:ascii="Times New Roman" w:eastAsia="宋体" w:hAnsi="Times New Roman" w:cs="Times New Roman"/>
      <w:szCs w:val="24"/>
    </w:rPr>
  </w:style>
  <w:style w:type="paragraph" w:styleId="ac">
    <w:name w:val="Balloon Text"/>
    <w:basedOn w:val="a"/>
    <w:link w:val="ad"/>
    <w:semiHidden/>
    <w:rsid w:val="003C7D23"/>
    <w:rPr>
      <w:sz w:val="18"/>
      <w:szCs w:val="18"/>
    </w:rPr>
  </w:style>
  <w:style w:type="character" w:customStyle="1" w:styleId="ad">
    <w:name w:val="批注框文本 字符"/>
    <w:basedOn w:val="a1"/>
    <w:link w:val="ac"/>
    <w:semiHidden/>
    <w:rsid w:val="003C7D23"/>
    <w:rPr>
      <w:rFonts w:ascii="Times New Roman" w:eastAsia="宋体" w:hAnsi="Times New Roman" w:cs="Times New Roman"/>
      <w:sz w:val="18"/>
      <w:szCs w:val="18"/>
    </w:rPr>
  </w:style>
  <w:style w:type="paragraph" w:styleId="ae">
    <w:name w:val="Normal (Web)"/>
    <w:basedOn w:val="a"/>
    <w:unhideWhenUsed/>
    <w:rsid w:val="003C7D23"/>
    <w:pPr>
      <w:spacing w:before="100" w:beforeAutospacing="1" w:after="100" w:afterAutospacing="1"/>
      <w:ind w:right="238"/>
      <w:jc w:val="left"/>
    </w:pPr>
    <w:rPr>
      <w:b/>
      <w:kern w:val="0"/>
      <w:sz w:val="24"/>
      <w:szCs w:val="20"/>
    </w:rPr>
  </w:style>
  <w:style w:type="character" w:styleId="af">
    <w:name w:val="Strong"/>
    <w:qFormat/>
    <w:rsid w:val="003C7D23"/>
    <w:rPr>
      <w:b/>
    </w:rPr>
  </w:style>
  <w:style w:type="character" w:styleId="af0">
    <w:name w:val="page number"/>
    <w:rsid w:val="003C7D23"/>
  </w:style>
  <w:style w:type="paragraph" w:customStyle="1" w:styleId="CharCharCharCharCharCharChar">
    <w:name w:val=" Char Char Char Char Char Char Char"/>
    <w:basedOn w:val="a"/>
    <w:rsid w:val="003C7D23"/>
    <w:rPr>
      <w:rFonts w:ascii="Tahoma" w:hAnsi="Tahoma"/>
      <w:sz w:val="24"/>
      <w:szCs w:val="20"/>
    </w:rPr>
  </w:style>
  <w:style w:type="paragraph" w:customStyle="1" w:styleId="Char1CharCharChar">
    <w:name w:val="Char1 Char Char Char"/>
    <w:basedOn w:val="a"/>
    <w:rsid w:val="003C7D23"/>
    <w:pPr>
      <w:widowControl/>
      <w:spacing w:after="160" w:line="240" w:lineRule="exact"/>
      <w:jc w:val="left"/>
    </w:pPr>
    <w:rPr>
      <w:szCs w:val="20"/>
    </w:rPr>
  </w:style>
  <w:style w:type="paragraph" w:customStyle="1" w:styleId="Char">
    <w:name w:val="Char"/>
    <w:basedOn w:val="a"/>
    <w:rsid w:val="003C7D23"/>
    <w:rPr>
      <w:rFonts w:ascii="Tahoma" w:hAnsi="Tahoma"/>
      <w:sz w:val="24"/>
      <w:szCs w:val="20"/>
    </w:rPr>
  </w:style>
  <w:style w:type="paragraph" w:customStyle="1" w:styleId="CharChar3CharChar">
    <w:name w:val="Char Char3 Char Char"/>
    <w:basedOn w:val="a"/>
    <w:rsid w:val="003C7D23"/>
    <w:rPr>
      <w:szCs w:val="21"/>
    </w:rPr>
  </w:style>
  <w:style w:type="paragraph" w:styleId="af1">
    <w:name w:val="Body Text"/>
    <w:basedOn w:val="a"/>
    <w:link w:val="af2"/>
    <w:rsid w:val="003C7D23"/>
    <w:pPr>
      <w:spacing w:after="120"/>
    </w:pPr>
  </w:style>
  <w:style w:type="character" w:customStyle="1" w:styleId="af2">
    <w:name w:val="正文文本 字符"/>
    <w:basedOn w:val="a1"/>
    <w:link w:val="af1"/>
    <w:rsid w:val="003C7D23"/>
    <w:rPr>
      <w:rFonts w:ascii="Times New Roman" w:eastAsia="宋体" w:hAnsi="Times New Roman" w:cs="Times New Roman"/>
      <w:szCs w:val="24"/>
    </w:rPr>
  </w:style>
  <w:style w:type="paragraph" w:styleId="af3">
    <w:basedOn w:val="af1"/>
    <w:next w:val="af4"/>
    <w:link w:val="af5"/>
    <w:uiPriority w:val="99"/>
    <w:unhideWhenUsed/>
    <w:rsid w:val="003C7D23"/>
    <w:pPr>
      <w:ind w:firstLineChars="100" w:firstLine="420"/>
    </w:pPr>
  </w:style>
  <w:style w:type="character" w:customStyle="1" w:styleId="af5">
    <w:name w:val="正文首行缩进 字符"/>
    <w:basedOn w:val="af2"/>
    <w:link w:val="af3"/>
    <w:uiPriority w:val="99"/>
    <w:rsid w:val="003C7D23"/>
    <w:rPr>
      <w:rFonts w:ascii="Times New Roman" w:eastAsia="宋体" w:hAnsi="Times New Roman" w:cs="Times New Roman"/>
      <w:kern w:val="2"/>
      <w:sz w:val="21"/>
      <w:szCs w:val="24"/>
    </w:rPr>
  </w:style>
  <w:style w:type="paragraph" w:styleId="af4">
    <w:name w:val="Body Text First Indent"/>
    <w:basedOn w:val="af1"/>
    <w:link w:val="af6"/>
    <w:uiPriority w:val="99"/>
    <w:semiHidden/>
    <w:unhideWhenUsed/>
    <w:rsid w:val="003C7D23"/>
    <w:pPr>
      <w:ind w:firstLineChars="100" w:firstLine="420"/>
    </w:pPr>
  </w:style>
  <w:style w:type="character" w:customStyle="1" w:styleId="af6">
    <w:name w:val="正文文本首行缩进 字符"/>
    <w:basedOn w:val="af2"/>
    <w:link w:val="af4"/>
    <w:uiPriority w:val="99"/>
    <w:semiHidden/>
    <w:rsid w:val="003C7D23"/>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34</Pages>
  <Words>3301</Words>
  <Characters>18816</Characters>
  <Application>Microsoft Office Word</Application>
  <DocSecurity>0</DocSecurity>
  <Lines>156</Lines>
  <Paragraphs>44</Paragraphs>
  <ScaleCrop>false</ScaleCrop>
  <Company/>
  <LinksUpToDate>false</LinksUpToDate>
  <CharactersWithSpaces>22073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GJ</dc:creator>
  <cp:keywords/>
  <dc:description/>
  <cp:lastModifiedBy>Y GJ</cp:lastModifiedBy>
  <cp:revision>3</cp:revision>
  <dcterms:created xsi:type="dcterms:W3CDTF">2023-08-22T02:20:00Z</dcterms:created>
  <dcterms:modified xsi:type="dcterms:W3CDTF">2023-08-22T02:36:00Z</dcterms:modified>
</cp:coreProperties>
</file>