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hint="eastAsia" w:eastAsia="宋体"/>
        </w:rPr>
      </w:pPr>
    </w:p>
    <w:p>
      <w:pPr>
        <w:ind w:firstLine="480"/>
      </w:pPr>
    </w:p>
    <w:p>
      <w:pPr>
        <w:ind w:firstLine="480"/>
      </w:pPr>
    </w:p>
    <w:p>
      <w:pPr>
        <w:ind w:firstLine="480"/>
      </w:pPr>
    </w:p>
    <w:p>
      <w:pPr>
        <w:jc w:val="center"/>
        <w:outlineLvl w:val="0"/>
        <w:rPr>
          <w:b/>
          <w:bCs/>
          <w:sz w:val="52"/>
          <w:szCs w:val="52"/>
          <w:u w:val="single"/>
        </w:rPr>
      </w:pPr>
      <w:bookmarkStart w:id="0" w:name="_Toc24379"/>
      <w:bookmarkStart w:id="1" w:name="_Toc29838"/>
      <w:bookmarkStart w:id="2" w:name="_Toc1136"/>
      <w:bookmarkStart w:id="3" w:name="_Toc410210434"/>
      <w:r>
        <w:rPr>
          <w:rFonts w:hint="eastAsia"/>
          <w:b/>
          <w:bCs/>
          <w:sz w:val="52"/>
          <w:szCs w:val="52"/>
        </w:rPr>
        <w:t>北京市市级</w:t>
      </w:r>
      <w:bookmarkEnd w:id="0"/>
      <w:r>
        <w:rPr>
          <w:rFonts w:hint="eastAsia"/>
          <w:b/>
          <w:bCs/>
          <w:sz w:val="52"/>
          <w:szCs w:val="52"/>
        </w:rPr>
        <w:t>项目支出</w:t>
      </w:r>
      <w:bookmarkEnd w:id="1"/>
      <w:bookmarkEnd w:id="2"/>
    </w:p>
    <w:p>
      <w:pPr>
        <w:jc w:val="center"/>
        <w:rPr>
          <w:b/>
          <w:bCs/>
          <w:sz w:val="52"/>
          <w:szCs w:val="52"/>
        </w:rPr>
      </w:pPr>
      <w:r>
        <w:rPr>
          <w:rFonts w:hint="eastAsia"/>
          <w:b/>
          <w:bCs/>
          <w:sz w:val="52"/>
          <w:szCs w:val="52"/>
        </w:rPr>
        <w:t>绩效评价报告</w:t>
      </w:r>
      <w:bookmarkEnd w:id="3"/>
    </w:p>
    <w:p>
      <w:pPr>
        <w:rPr>
          <w:rFonts w:eastAsia="黑体"/>
          <w:sz w:val="30"/>
        </w:rPr>
      </w:pPr>
      <w:r>
        <w:rPr>
          <w:rFonts w:hint="eastAsia" w:eastAsia="黑体"/>
          <w:sz w:val="30"/>
        </w:rPr>
        <w:t xml:space="preserve">  </w:t>
      </w:r>
    </w:p>
    <w:p>
      <w:pPr>
        <w:ind w:firstLine="600"/>
        <w:rPr>
          <w:rFonts w:eastAsia="黑体"/>
          <w:sz w:val="30"/>
        </w:rPr>
      </w:pPr>
    </w:p>
    <w:p>
      <w:pPr>
        <w:ind w:firstLine="600"/>
        <w:rPr>
          <w:rFonts w:eastAsia="黑体"/>
          <w:sz w:val="30"/>
        </w:rPr>
      </w:pPr>
    </w:p>
    <w:p>
      <w:pPr>
        <w:ind w:firstLine="600"/>
        <w:rPr>
          <w:rFonts w:eastAsia="黑体"/>
          <w:sz w:val="30"/>
        </w:rPr>
      </w:pPr>
    </w:p>
    <w:p>
      <w:pPr>
        <w:ind w:firstLine="600"/>
        <w:rPr>
          <w:rFonts w:eastAsia="黑体"/>
          <w:sz w:val="30"/>
        </w:rPr>
      </w:pPr>
    </w:p>
    <w:p>
      <w:pPr>
        <w:kinsoku w:val="0"/>
        <w:overflowPunct w:val="0"/>
        <w:adjustRightInd w:val="0"/>
        <w:snapToGrid w:val="0"/>
        <w:spacing w:line="480" w:lineRule="auto"/>
        <w:ind w:left="1918" w:leftChars="304" w:right="-197" w:rightChars="-94" w:hanging="1280" w:hangingChars="400"/>
        <w:rPr>
          <w:rFonts w:ascii="宋体" w:hAnsi="宋体"/>
          <w:sz w:val="32"/>
          <w:szCs w:val="32"/>
          <w:u w:val="single"/>
        </w:rPr>
      </w:pPr>
      <w:r>
        <w:rPr>
          <w:rFonts w:hint="eastAsia" w:ascii="宋体" w:hAnsi="宋体"/>
          <w:sz w:val="32"/>
          <w:szCs w:val="32"/>
        </w:rPr>
        <w:t xml:space="preserve">项目名称  </w:t>
      </w:r>
      <w:r>
        <w:rPr>
          <w:rFonts w:hint="eastAsia" w:ascii="宋体" w:hAnsi="宋体"/>
          <w:sz w:val="32"/>
          <w:szCs w:val="32"/>
          <w:u w:val="single"/>
        </w:rPr>
        <w:t xml:space="preserve">   北京艺术博物馆（万寿寺）中路东路    </w:t>
      </w:r>
    </w:p>
    <w:p>
      <w:pPr>
        <w:kinsoku w:val="0"/>
        <w:overflowPunct w:val="0"/>
        <w:adjustRightInd w:val="0"/>
        <w:snapToGrid w:val="0"/>
        <w:spacing w:line="480" w:lineRule="auto"/>
        <w:ind w:right="-197" w:rightChars="-94" w:firstLine="2240" w:firstLineChars="700"/>
        <w:rPr>
          <w:rFonts w:ascii="宋体" w:hAnsi="宋体"/>
          <w:sz w:val="32"/>
          <w:szCs w:val="32"/>
        </w:rPr>
      </w:pPr>
      <w:r>
        <w:rPr>
          <w:rFonts w:hint="eastAsia" w:ascii="宋体" w:hAnsi="宋体"/>
          <w:sz w:val="32"/>
          <w:szCs w:val="32"/>
          <w:u w:val="single"/>
        </w:rPr>
        <w:t xml:space="preserve">             部分基本陈列项目           </w:t>
      </w:r>
      <w:r>
        <w:rPr>
          <w:rFonts w:hint="eastAsia" w:ascii="宋体" w:hAnsi="宋体"/>
          <w:sz w:val="32"/>
          <w:szCs w:val="32"/>
        </w:rPr>
        <w:t xml:space="preserve"> </w:t>
      </w:r>
    </w:p>
    <w:p>
      <w:pPr>
        <w:kinsoku w:val="0"/>
        <w:overflowPunct w:val="0"/>
        <w:adjustRightInd w:val="0"/>
        <w:snapToGrid w:val="0"/>
        <w:spacing w:line="480" w:lineRule="auto"/>
        <w:ind w:left="1918" w:leftChars="304" w:right="-197" w:rightChars="-94" w:hanging="1280" w:hangingChars="400"/>
        <w:rPr>
          <w:rFonts w:ascii="宋体" w:hAnsi="宋体"/>
          <w:sz w:val="32"/>
          <w:szCs w:val="32"/>
          <w:u w:val="single"/>
        </w:rPr>
      </w:pPr>
      <w:r>
        <w:rPr>
          <w:rFonts w:hint="eastAsia" w:ascii="宋体" w:hAnsi="宋体"/>
          <w:sz w:val="32"/>
          <w:szCs w:val="32"/>
        </w:rPr>
        <w:t xml:space="preserve">主管部门  </w:t>
      </w:r>
      <w:r>
        <w:rPr>
          <w:rFonts w:hint="eastAsia" w:ascii="宋体" w:hAnsi="宋体"/>
          <w:sz w:val="32"/>
          <w:szCs w:val="32"/>
          <w:u w:val="single"/>
        </w:rPr>
        <w:t xml:space="preserve">             北京市文物局                 </w:t>
      </w:r>
    </w:p>
    <w:p>
      <w:pPr>
        <w:kinsoku w:val="0"/>
        <w:overflowPunct w:val="0"/>
        <w:adjustRightInd w:val="0"/>
        <w:snapToGrid w:val="0"/>
        <w:spacing w:line="480" w:lineRule="auto"/>
        <w:ind w:left="1918" w:leftChars="304" w:right="-197" w:rightChars="-94" w:hanging="1280" w:hangingChars="400"/>
        <w:rPr>
          <w:rFonts w:ascii="宋体" w:hAnsi="宋体"/>
          <w:sz w:val="32"/>
          <w:szCs w:val="32"/>
          <w:u w:val="single"/>
        </w:rPr>
      </w:pPr>
      <w:r>
        <w:rPr>
          <w:rFonts w:hint="eastAsia" w:ascii="宋体" w:hAnsi="宋体"/>
          <w:sz w:val="32"/>
          <w:szCs w:val="32"/>
        </w:rPr>
        <w:t xml:space="preserve">项目单位  </w:t>
      </w:r>
      <w:r>
        <w:rPr>
          <w:rFonts w:hint="eastAsia" w:ascii="宋体" w:hAnsi="宋体"/>
          <w:sz w:val="32"/>
          <w:szCs w:val="32"/>
          <w:u w:val="single"/>
        </w:rPr>
        <w:t xml:space="preserve">             北京艺术博物馆             </w:t>
      </w:r>
    </w:p>
    <w:p>
      <w:pPr>
        <w:kinsoku w:val="0"/>
        <w:overflowPunct w:val="0"/>
        <w:adjustRightInd w:val="0"/>
        <w:snapToGrid w:val="0"/>
        <w:ind w:firstLine="640" w:firstLineChars="200"/>
        <w:jc w:val="left"/>
        <w:rPr>
          <w:rFonts w:eastAsia="黑体"/>
          <w:sz w:val="30"/>
          <w:u w:val="single"/>
        </w:rPr>
      </w:pPr>
      <w:r>
        <w:rPr>
          <w:rFonts w:hint="eastAsia" w:ascii="宋体" w:hAnsi="宋体"/>
          <w:sz w:val="32"/>
          <w:szCs w:val="32"/>
        </w:rPr>
        <w:t xml:space="preserve">中介机构  </w:t>
      </w:r>
      <w:r>
        <w:rPr>
          <w:rFonts w:hint="eastAsia" w:ascii="宋体" w:hAnsi="宋体"/>
          <w:sz w:val="32"/>
          <w:szCs w:val="32"/>
          <w:u w:val="single"/>
        </w:rPr>
        <w:t xml:space="preserve">        </w:t>
      </w:r>
      <w:r>
        <w:rPr>
          <w:rFonts w:hint="eastAsia" w:ascii="宋体" w:hAnsi="宋体"/>
          <w:sz w:val="32"/>
          <w:szCs w:val="32"/>
          <w:u w:val="single"/>
          <w:lang w:eastAsia="zh-Hans"/>
        </w:rPr>
        <w:t>北京智联恒通咨询有限公司</w:t>
      </w:r>
      <w:r>
        <w:rPr>
          <w:rFonts w:hint="eastAsia" w:ascii="宋体" w:hAnsi="宋体"/>
          <w:sz w:val="32"/>
          <w:szCs w:val="32"/>
          <w:u w:val="single"/>
        </w:rPr>
        <w:t xml:space="preserve">  </w:t>
      </w:r>
      <w:r>
        <w:rPr>
          <w:rFonts w:hint="eastAsia" w:ascii="宋体"/>
          <w:sz w:val="32"/>
          <w:szCs w:val="20"/>
          <w:u w:val="single"/>
        </w:rPr>
        <w:t xml:space="preserve">          </w:t>
      </w:r>
    </w:p>
    <w:p>
      <w:pPr>
        <w:rPr>
          <w:rFonts w:eastAsia="黑体"/>
          <w:sz w:val="30"/>
          <w:u w:val="single"/>
        </w:rPr>
      </w:pPr>
    </w:p>
    <w:p>
      <w:pPr>
        <w:rPr>
          <w:rFonts w:eastAsia="黑体"/>
          <w:sz w:val="30"/>
          <w:u w:val="single"/>
        </w:rPr>
      </w:pPr>
    </w:p>
    <w:p>
      <w:pPr>
        <w:jc w:val="center"/>
        <w:outlineLvl w:val="0"/>
        <w:rPr>
          <w:rFonts w:ascii="宋体" w:hAnsi="宋体" w:cs="Arial"/>
          <w:b/>
          <w:bCs/>
          <w:sz w:val="32"/>
          <w:szCs w:val="32"/>
        </w:rPr>
      </w:pPr>
      <w:bookmarkStart w:id="4" w:name="_Toc10700"/>
      <w:bookmarkStart w:id="5" w:name="_Toc18287"/>
      <w:r>
        <w:rPr>
          <w:rFonts w:hint="eastAsia" w:ascii="宋体" w:hAnsi="宋体" w:cs="Arial"/>
          <w:b/>
          <w:bCs/>
          <w:sz w:val="32"/>
          <w:szCs w:val="32"/>
        </w:rPr>
        <w:t>北京市文物局</w:t>
      </w:r>
      <w:bookmarkEnd w:id="4"/>
      <w:bookmarkEnd w:id="5"/>
    </w:p>
    <w:p>
      <w:pPr>
        <w:jc w:val="center"/>
        <w:rPr>
          <w:rFonts w:ascii="宋体" w:hAnsi="宋体" w:cs="Arial"/>
          <w:b/>
          <w:bCs/>
          <w:sz w:val="32"/>
          <w:szCs w:val="32"/>
        </w:rPr>
      </w:pPr>
      <w:r>
        <w:rPr>
          <w:rFonts w:hint="eastAsia" w:ascii="宋体" w:hAnsi="宋体" w:cs="Arial"/>
          <w:b/>
          <w:bCs/>
          <w:sz w:val="32"/>
          <w:szCs w:val="32"/>
        </w:rPr>
        <w:t>二○二三年六月</w:t>
      </w:r>
    </w:p>
    <w:p>
      <w:pPr>
        <w:jc w:val="center"/>
        <w:rPr>
          <w:rFonts w:ascii="宋体" w:hAnsi="宋体" w:cs="Arial"/>
          <w:b/>
          <w:bCs/>
          <w:sz w:val="32"/>
          <w:szCs w:val="32"/>
        </w:rPr>
      </w:pPr>
    </w:p>
    <w:p>
      <w:pPr>
        <w:jc w:val="center"/>
        <w:rPr>
          <w:rFonts w:ascii="宋体" w:hAnsi="宋体" w:cs="Arial"/>
          <w:b/>
          <w:bCs/>
          <w:sz w:val="32"/>
          <w:szCs w:val="32"/>
        </w:rPr>
        <w:sectPr>
          <w:pgSz w:w="11906" w:h="16838"/>
          <w:pgMar w:top="1440" w:right="1800" w:bottom="1440" w:left="1800" w:header="851" w:footer="992" w:gutter="0"/>
          <w:cols w:space="425" w:num="1"/>
          <w:docGrid w:type="lines" w:linePitch="312" w:charSpace="0"/>
        </w:sectPr>
      </w:pPr>
    </w:p>
    <w:sdt>
      <w:sdtPr>
        <w:rPr>
          <w:rFonts w:ascii="宋体" w:hAnsi="宋体" w:eastAsia="宋体"/>
        </w:rPr>
        <w:id w:val="147451467"/>
        <w:docPartObj>
          <w:docPartGallery w:val="Table of Contents"/>
          <w:docPartUnique/>
        </w:docPartObj>
      </w:sdtPr>
      <w:sdtEndPr>
        <w:rPr>
          <w:rFonts w:hint="eastAsia" w:ascii="宋体" w:hAnsi="宋体" w:cs="Arial" w:eastAsiaTheme="minorEastAsia"/>
          <w:b/>
          <w:bCs/>
          <w:szCs w:val="36"/>
        </w:rPr>
      </w:sdtEndPr>
      <w:sdtContent>
        <w:p>
          <w:pPr>
            <w:jc w:val="center"/>
            <w:rPr>
              <w:rFonts w:ascii="黑体" w:hAnsi="黑体" w:eastAsia="黑体" w:cs="黑体"/>
              <w:sz w:val="32"/>
              <w:szCs w:val="32"/>
            </w:rPr>
          </w:pPr>
          <w:r>
            <w:rPr>
              <w:rFonts w:hint="eastAsia" w:ascii="黑体" w:hAnsi="黑体" w:eastAsia="黑体" w:cs="黑体"/>
              <w:sz w:val="32"/>
              <w:szCs w:val="32"/>
            </w:rPr>
            <w:t>目  录</w:t>
          </w:r>
        </w:p>
        <w:p>
          <w:pPr>
            <w:pStyle w:val="12"/>
            <w:tabs>
              <w:tab w:val="right" w:leader="dot" w:pos="8306"/>
            </w:tabs>
          </w:pPr>
          <w:r>
            <w:rPr>
              <w:rFonts w:hint="eastAsia" w:ascii="宋体" w:hAnsi="宋体" w:cs="Arial"/>
              <w:b/>
              <w:bCs/>
              <w:sz w:val="36"/>
              <w:szCs w:val="36"/>
            </w:rPr>
            <w:fldChar w:fldCharType="begin"/>
          </w:r>
          <w:r>
            <w:rPr>
              <w:rFonts w:hint="eastAsia" w:ascii="宋体" w:hAnsi="宋体" w:cs="Arial"/>
              <w:b/>
              <w:bCs/>
              <w:sz w:val="36"/>
              <w:szCs w:val="36"/>
            </w:rPr>
            <w:instrText xml:space="preserve">TOC \o "1-2" \h \u </w:instrText>
          </w:r>
          <w:r>
            <w:rPr>
              <w:rFonts w:hint="eastAsia" w:ascii="宋体" w:hAnsi="宋体" w:cs="Arial"/>
              <w:b/>
              <w:bCs/>
              <w:sz w:val="36"/>
              <w:szCs w:val="36"/>
            </w:rPr>
            <w:fldChar w:fldCharType="separate"/>
          </w:r>
        </w:p>
        <w:p>
          <w:pPr>
            <w:pStyle w:val="12"/>
            <w:tabs>
              <w:tab w:val="right" w:leader="dot" w:pos="8306"/>
            </w:tabs>
            <w:adjustRightInd w:val="0"/>
            <w:snapToGrid w:val="0"/>
            <w:spacing w:line="480" w:lineRule="auto"/>
            <w:rPr>
              <w:sz w:val="28"/>
              <w:szCs w:val="28"/>
            </w:rPr>
          </w:pPr>
          <w:r>
            <w:fldChar w:fldCharType="begin"/>
          </w:r>
          <w:r>
            <w:instrText xml:space="preserve"> HYPERLINK \l "_Toc32702" </w:instrText>
          </w:r>
          <w:r>
            <w:fldChar w:fldCharType="separate"/>
          </w:r>
          <w:r>
            <w:rPr>
              <w:rFonts w:hint="eastAsia" w:ascii="Times New Roman" w:hAnsi="Times New Roman" w:eastAsia="黑体" w:cs="Times New Roman"/>
              <w:sz w:val="28"/>
              <w:szCs w:val="28"/>
            </w:rPr>
            <w:t>一、基本情况</w:t>
          </w:r>
          <w:r>
            <w:rPr>
              <w:sz w:val="28"/>
              <w:szCs w:val="28"/>
            </w:rPr>
            <w:tab/>
          </w:r>
          <w:r>
            <w:rPr>
              <w:sz w:val="28"/>
              <w:szCs w:val="28"/>
            </w:rPr>
            <w:fldChar w:fldCharType="begin"/>
          </w:r>
          <w:r>
            <w:rPr>
              <w:sz w:val="28"/>
              <w:szCs w:val="28"/>
            </w:rPr>
            <w:instrText xml:space="preserve"> PAGEREF _Toc32702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"_Toc9953" </w:instrText>
          </w:r>
          <w:r>
            <w:fldChar w:fldCharType="separate"/>
          </w:r>
          <w:r>
            <w:rPr>
              <w:rFonts w:hint="eastAsia" w:ascii="仿宋_GB2312" w:hAnsi="仿宋_GB2312" w:eastAsia="仿宋_GB2312" w:cs="仿宋_GB2312"/>
              <w:bCs/>
              <w:kern w:val="0"/>
              <w:sz w:val="28"/>
              <w:szCs w:val="28"/>
            </w:rPr>
            <w:t>（一）项目概况</w:t>
          </w:r>
          <w:r>
            <w:rPr>
              <w:sz w:val="28"/>
              <w:szCs w:val="28"/>
            </w:rPr>
            <w:tab/>
          </w:r>
          <w:r>
            <w:rPr>
              <w:sz w:val="28"/>
              <w:szCs w:val="28"/>
            </w:rPr>
            <w:fldChar w:fldCharType="begin"/>
          </w:r>
          <w:r>
            <w:rPr>
              <w:sz w:val="28"/>
              <w:szCs w:val="28"/>
            </w:rPr>
            <w:instrText xml:space="preserve"> PAGEREF _Toc9953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"_Toc30236" </w:instrText>
          </w:r>
          <w:r>
            <w:fldChar w:fldCharType="separate"/>
          </w:r>
          <w:r>
            <w:rPr>
              <w:rFonts w:hint="eastAsia" w:ascii="仿宋_GB2312" w:hAnsi="仿宋_GB2312" w:eastAsia="仿宋_GB2312" w:cs="仿宋_GB2312"/>
              <w:bCs/>
              <w:kern w:val="0"/>
              <w:sz w:val="28"/>
              <w:szCs w:val="28"/>
            </w:rPr>
            <w:t>（二）项目绩效目标</w:t>
          </w:r>
          <w:r>
            <w:rPr>
              <w:sz w:val="28"/>
              <w:szCs w:val="28"/>
            </w:rPr>
            <w:tab/>
          </w:r>
          <w:r>
            <w:rPr>
              <w:sz w:val="28"/>
              <w:szCs w:val="28"/>
            </w:rPr>
            <w:fldChar w:fldCharType="begin"/>
          </w:r>
          <w:r>
            <w:rPr>
              <w:sz w:val="28"/>
              <w:szCs w:val="28"/>
            </w:rPr>
            <w:instrText xml:space="preserve"> PAGEREF _Toc30236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"_Toc27761" </w:instrText>
          </w:r>
          <w:r>
            <w:fldChar w:fldCharType="separate"/>
          </w:r>
          <w:r>
            <w:rPr>
              <w:rFonts w:hint="eastAsia" w:ascii="Times New Roman" w:hAnsi="Times New Roman" w:eastAsia="黑体" w:cs="Times New Roman"/>
              <w:sz w:val="28"/>
              <w:szCs w:val="28"/>
            </w:rPr>
            <w:t>二、绩效评价工作开展情况</w:t>
          </w:r>
          <w:r>
            <w:rPr>
              <w:sz w:val="28"/>
              <w:szCs w:val="28"/>
            </w:rPr>
            <w:tab/>
          </w:r>
          <w:r>
            <w:rPr>
              <w:sz w:val="28"/>
              <w:szCs w:val="28"/>
            </w:rPr>
            <w:fldChar w:fldCharType="begin"/>
          </w:r>
          <w:r>
            <w:rPr>
              <w:sz w:val="28"/>
              <w:szCs w:val="28"/>
            </w:rPr>
            <w:instrText xml:space="preserve"> PAGEREF _Toc27761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"_Toc1941" </w:instrText>
          </w:r>
          <w:r>
            <w:fldChar w:fldCharType="separate"/>
          </w:r>
          <w:r>
            <w:rPr>
              <w:rFonts w:hint="eastAsia" w:ascii="仿宋_GB2312" w:hAnsi="仿宋_GB2312" w:eastAsia="仿宋_GB2312" w:cs="仿宋_GB2312"/>
              <w:bCs/>
              <w:kern w:val="0"/>
              <w:sz w:val="28"/>
              <w:szCs w:val="28"/>
            </w:rPr>
            <w:t>（一）绩效评价目的、对象和范围</w:t>
          </w:r>
          <w:r>
            <w:rPr>
              <w:sz w:val="28"/>
              <w:szCs w:val="28"/>
            </w:rPr>
            <w:tab/>
          </w:r>
          <w:r>
            <w:rPr>
              <w:sz w:val="28"/>
              <w:szCs w:val="28"/>
            </w:rPr>
            <w:fldChar w:fldCharType="begin"/>
          </w:r>
          <w:r>
            <w:rPr>
              <w:sz w:val="28"/>
              <w:szCs w:val="28"/>
            </w:rPr>
            <w:instrText xml:space="preserve"> PAGEREF _Toc1941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"_Toc32052" </w:instrText>
          </w:r>
          <w:r>
            <w:fldChar w:fldCharType="separate"/>
          </w:r>
          <w:r>
            <w:rPr>
              <w:rFonts w:hint="eastAsia" w:ascii="仿宋_GB2312" w:hAnsi="仿宋_GB2312" w:eastAsia="仿宋_GB2312" w:cs="仿宋_GB2312"/>
              <w:bCs/>
              <w:kern w:val="0"/>
              <w:sz w:val="28"/>
              <w:szCs w:val="28"/>
            </w:rPr>
            <w:t>（二）绩效评价原则、评价指标体系、评价方法、评价标准</w:t>
          </w:r>
          <w:r>
            <w:rPr>
              <w:sz w:val="28"/>
              <w:szCs w:val="28"/>
            </w:rPr>
            <w:tab/>
          </w:r>
          <w:r>
            <w:rPr>
              <w:sz w:val="28"/>
              <w:szCs w:val="28"/>
            </w:rPr>
            <w:fldChar w:fldCharType="begin"/>
          </w:r>
          <w:r>
            <w:rPr>
              <w:sz w:val="28"/>
              <w:szCs w:val="28"/>
            </w:rPr>
            <w:instrText xml:space="preserve"> PAGEREF _Toc32052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"_Toc17125" </w:instrText>
          </w:r>
          <w:r>
            <w:fldChar w:fldCharType="separate"/>
          </w:r>
          <w:r>
            <w:rPr>
              <w:rFonts w:hint="eastAsia" w:ascii="仿宋_GB2312" w:hAnsi="仿宋_GB2312" w:eastAsia="仿宋_GB2312" w:cs="仿宋_GB2312"/>
              <w:bCs/>
              <w:kern w:val="0"/>
              <w:sz w:val="28"/>
              <w:szCs w:val="28"/>
            </w:rPr>
            <w:t>（三）绩效评价工作过程</w:t>
          </w:r>
          <w:r>
            <w:rPr>
              <w:sz w:val="28"/>
              <w:szCs w:val="28"/>
            </w:rPr>
            <w:tab/>
          </w:r>
          <w:r>
            <w:rPr>
              <w:sz w:val="28"/>
              <w:szCs w:val="28"/>
            </w:rPr>
            <w:fldChar w:fldCharType="begin"/>
          </w:r>
          <w:r>
            <w:rPr>
              <w:sz w:val="28"/>
              <w:szCs w:val="28"/>
            </w:rPr>
            <w:instrText xml:space="preserve"> PAGEREF _Toc17125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"_Toc19221" </w:instrText>
          </w:r>
          <w:r>
            <w:fldChar w:fldCharType="separate"/>
          </w:r>
          <w:r>
            <w:rPr>
              <w:rFonts w:hint="eastAsia" w:ascii="Times New Roman" w:hAnsi="Times New Roman" w:eastAsia="黑体" w:cs="Times New Roman"/>
              <w:sz w:val="28"/>
              <w:szCs w:val="28"/>
            </w:rPr>
            <w:t>三、综合评价情况及评价结论</w:t>
          </w:r>
          <w:r>
            <w:rPr>
              <w:sz w:val="28"/>
              <w:szCs w:val="28"/>
            </w:rPr>
            <w:tab/>
          </w:r>
          <w:r>
            <w:rPr>
              <w:sz w:val="28"/>
              <w:szCs w:val="28"/>
            </w:rPr>
            <w:fldChar w:fldCharType="begin"/>
          </w:r>
          <w:r>
            <w:rPr>
              <w:sz w:val="28"/>
              <w:szCs w:val="28"/>
            </w:rPr>
            <w:instrText xml:space="preserve"> PAGEREF _Toc19221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"_Toc32744" </w:instrText>
          </w:r>
          <w:r>
            <w:fldChar w:fldCharType="separate"/>
          </w:r>
          <w:r>
            <w:rPr>
              <w:rFonts w:hint="eastAsia" w:ascii="Times New Roman" w:hAnsi="Times New Roman" w:eastAsia="黑体" w:cs="Times New Roman"/>
              <w:sz w:val="28"/>
              <w:szCs w:val="28"/>
            </w:rPr>
            <w:t>四、绩效评价指标分析</w:t>
          </w:r>
          <w:r>
            <w:rPr>
              <w:sz w:val="28"/>
              <w:szCs w:val="28"/>
            </w:rPr>
            <w:tab/>
          </w:r>
          <w:r>
            <w:rPr>
              <w:sz w:val="28"/>
              <w:szCs w:val="28"/>
            </w:rPr>
            <w:fldChar w:fldCharType="begin"/>
          </w:r>
          <w:r>
            <w:rPr>
              <w:sz w:val="28"/>
              <w:szCs w:val="28"/>
            </w:rPr>
            <w:instrText xml:space="preserve"> PAGEREF _Toc32744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"_Toc11705" </w:instrText>
          </w:r>
          <w:r>
            <w:fldChar w:fldCharType="separate"/>
          </w:r>
          <w:r>
            <w:rPr>
              <w:rFonts w:hint="eastAsia" w:ascii="仿宋_GB2312" w:hAnsi="仿宋_GB2312" w:eastAsia="仿宋_GB2312" w:cs="仿宋_GB2312"/>
              <w:bCs/>
              <w:kern w:val="0"/>
              <w:sz w:val="28"/>
              <w:szCs w:val="28"/>
            </w:rPr>
            <w:t>（一）项目决策情况</w:t>
          </w:r>
          <w:r>
            <w:rPr>
              <w:sz w:val="28"/>
              <w:szCs w:val="28"/>
            </w:rPr>
            <w:tab/>
          </w:r>
          <w:r>
            <w:rPr>
              <w:sz w:val="28"/>
              <w:szCs w:val="28"/>
            </w:rPr>
            <w:fldChar w:fldCharType="begin"/>
          </w:r>
          <w:r>
            <w:rPr>
              <w:sz w:val="28"/>
              <w:szCs w:val="28"/>
            </w:rPr>
            <w:instrText xml:space="preserve"> PAGEREF _Toc11705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"_Toc25116" </w:instrText>
          </w:r>
          <w:r>
            <w:fldChar w:fldCharType="separate"/>
          </w:r>
          <w:r>
            <w:rPr>
              <w:rFonts w:hint="eastAsia" w:ascii="仿宋_GB2312" w:hAnsi="仿宋_GB2312" w:eastAsia="仿宋_GB2312" w:cs="仿宋_GB2312"/>
              <w:bCs/>
              <w:kern w:val="0"/>
              <w:sz w:val="28"/>
              <w:szCs w:val="28"/>
            </w:rPr>
            <w:t>（二）项目过程情况</w:t>
          </w:r>
          <w:r>
            <w:rPr>
              <w:sz w:val="28"/>
              <w:szCs w:val="28"/>
            </w:rPr>
            <w:tab/>
          </w:r>
          <w:r>
            <w:rPr>
              <w:sz w:val="28"/>
              <w:szCs w:val="28"/>
            </w:rPr>
            <w:fldChar w:fldCharType="begin"/>
          </w:r>
          <w:r>
            <w:rPr>
              <w:sz w:val="28"/>
              <w:szCs w:val="28"/>
            </w:rPr>
            <w:instrText xml:space="preserve"> PAGEREF _Toc25116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"_Toc25442" </w:instrText>
          </w:r>
          <w:r>
            <w:fldChar w:fldCharType="separate"/>
          </w:r>
          <w:r>
            <w:rPr>
              <w:rFonts w:hint="eastAsia" w:ascii="仿宋_GB2312" w:hAnsi="仿宋_GB2312" w:eastAsia="仿宋_GB2312" w:cs="仿宋_GB2312"/>
              <w:bCs/>
              <w:kern w:val="0"/>
              <w:sz w:val="28"/>
              <w:szCs w:val="28"/>
            </w:rPr>
            <w:t>（三）项目产出情况</w:t>
          </w:r>
          <w:r>
            <w:rPr>
              <w:sz w:val="28"/>
              <w:szCs w:val="28"/>
            </w:rPr>
            <w:tab/>
          </w:r>
          <w:r>
            <w:rPr>
              <w:sz w:val="28"/>
              <w:szCs w:val="28"/>
            </w:rPr>
            <w:fldChar w:fldCharType="begin"/>
          </w:r>
          <w:r>
            <w:rPr>
              <w:sz w:val="28"/>
              <w:szCs w:val="28"/>
            </w:rPr>
            <w:instrText xml:space="preserve"> PAGEREF _Toc25442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"_Toc15471" </w:instrText>
          </w:r>
          <w:r>
            <w:fldChar w:fldCharType="separate"/>
          </w:r>
          <w:r>
            <w:rPr>
              <w:rFonts w:hint="eastAsia" w:ascii="仿宋_GB2312" w:hAnsi="仿宋_GB2312" w:eastAsia="仿宋_GB2312" w:cs="仿宋_GB2312"/>
              <w:bCs/>
              <w:kern w:val="0"/>
              <w:sz w:val="28"/>
              <w:szCs w:val="28"/>
            </w:rPr>
            <w:t>（四）项目效益情况</w:t>
          </w:r>
          <w:r>
            <w:rPr>
              <w:sz w:val="28"/>
              <w:szCs w:val="28"/>
            </w:rPr>
            <w:tab/>
          </w:r>
          <w:r>
            <w:rPr>
              <w:sz w:val="28"/>
              <w:szCs w:val="28"/>
            </w:rPr>
            <w:fldChar w:fldCharType="begin"/>
          </w:r>
          <w:r>
            <w:rPr>
              <w:sz w:val="28"/>
              <w:szCs w:val="28"/>
            </w:rPr>
            <w:instrText xml:space="preserve"> PAGEREF _Toc15471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"_Toc12827" </w:instrText>
          </w:r>
          <w:r>
            <w:fldChar w:fldCharType="separate"/>
          </w:r>
          <w:r>
            <w:rPr>
              <w:rFonts w:hint="eastAsia" w:ascii="Times New Roman" w:hAnsi="Times New Roman" w:eastAsia="黑体" w:cs="Times New Roman"/>
              <w:sz w:val="28"/>
              <w:szCs w:val="28"/>
            </w:rPr>
            <w:t>五、主要经验及做法、存在的问题及原因分析</w:t>
          </w:r>
          <w:r>
            <w:rPr>
              <w:sz w:val="28"/>
              <w:szCs w:val="28"/>
            </w:rPr>
            <w:tab/>
          </w:r>
          <w:r>
            <w:rPr>
              <w:sz w:val="28"/>
              <w:szCs w:val="28"/>
            </w:rPr>
            <w:fldChar w:fldCharType="begin"/>
          </w:r>
          <w:r>
            <w:rPr>
              <w:sz w:val="28"/>
              <w:szCs w:val="28"/>
            </w:rPr>
            <w:instrText xml:space="preserve"> PAGEREF _Toc12827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"_Toc18511" </w:instrText>
          </w:r>
          <w:r>
            <w:fldChar w:fldCharType="separate"/>
          </w:r>
          <w:r>
            <w:rPr>
              <w:rFonts w:hint="eastAsia" w:ascii="仿宋_GB2312" w:hAnsi="仿宋_GB2312" w:eastAsia="仿宋_GB2312" w:cs="仿宋_GB2312"/>
              <w:bCs/>
              <w:kern w:val="0"/>
              <w:sz w:val="28"/>
              <w:szCs w:val="28"/>
            </w:rPr>
            <w:t>（一）主要经验及做法</w:t>
          </w:r>
          <w:r>
            <w:rPr>
              <w:sz w:val="28"/>
              <w:szCs w:val="28"/>
            </w:rPr>
            <w:tab/>
          </w:r>
          <w:r>
            <w:rPr>
              <w:sz w:val="28"/>
              <w:szCs w:val="28"/>
            </w:rPr>
            <w:fldChar w:fldCharType="begin"/>
          </w:r>
          <w:r>
            <w:rPr>
              <w:sz w:val="28"/>
              <w:szCs w:val="28"/>
            </w:rPr>
            <w:instrText xml:space="preserve"> PAGEREF _Toc18511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3"/>
            <w:tabs>
              <w:tab w:val="right" w:leader="dot" w:pos="8306"/>
            </w:tabs>
            <w:adjustRightInd w:val="0"/>
            <w:snapToGrid w:val="0"/>
            <w:spacing w:line="480" w:lineRule="auto"/>
            <w:ind w:left="0" w:leftChars="0"/>
            <w:rPr>
              <w:sz w:val="28"/>
              <w:szCs w:val="28"/>
            </w:rPr>
          </w:pPr>
          <w:r>
            <w:fldChar w:fldCharType="begin"/>
          </w:r>
          <w:r>
            <w:instrText xml:space="preserve"> HYPERLINK \l "_Toc29436" </w:instrText>
          </w:r>
          <w:r>
            <w:fldChar w:fldCharType="separate"/>
          </w:r>
          <w:r>
            <w:rPr>
              <w:rFonts w:hint="eastAsia" w:ascii="仿宋_GB2312" w:hAnsi="仿宋_GB2312" w:eastAsia="仿宋_GB2312" w:cs="仿宋_GB2312"/>
              <w:bCs/>
              <w:kern w:val="0"/>
              <w:sz w:val="28"/>
              <w:szCs w:val="28"/>
            </w:rPr>
            <w:t>（二） 存在的问题及原因分析</w:t>
          </w:r>
          <w:r>
            <w:rPr>
              <w:sz w:val="28"/>
              <w:szCs w:val="28"/>
            </w:rPr>
            <w:tab/>
          </w:r>
          <w:r>
            <w:rPr>
              <w:sz w:val="28"/>
              <w:szCs w:val="28"/>
            </w:rPr>
            <w:fldChar w:fldCharType="begin"/>
          </w:r>
          <w:r>
            <w:rPr>
              <w:sz w:val="28"/>
              <w:szCs w:val="28"/>
            </w:rPr>
            <w:instrText xml:space="preserve"> PAGEREF _Toc29436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sz w:val="28"/>
              <w:szCs w:val="28"/>
            </w:rPr>
          </w:pPr>
          <w:r>
            <w:fldChar w:fldCharType="begin"/>
          </w:r>
          <w:r>
            <w:instrText xml:space="preserve"> HYPERLINK \l "_Toc29261" </w:instrText>
          </w:r>
          <w:r>
            <w:fldChar w:fldCharType="separate"/>
          </w:r>
          <w:r>
            <w:rPr>
              <w:rFonts w:hint="eastAsia" w:ascii="Times New Roman" w:hAnsi="Times New Roman" w:eastAsia="黑体" w:cs="Times New Roman"/>
              <w:sz w:val="28"/>
              <w:szCs w:val="28"/>
            </w:rPr>
            <w:t>六、有关建议</w:t>
          </w:r>
          <w:r>
            <w:rPr>
              <w:sz w:val="28"/>
              <w:szCs w:val="28"/>
            </w:rPr>
            <w:tab/>
          </w:r>
          <w:r>
            <w:rPr>
              <w:sz w:val="28"/>
              <w:szCs w:val="28"/>
            </w:rPr>
            <w:fldChar w:fldCharType="begin"/>
          </w:r>
          <w:r>
            <w:rPr>
              <w:sz w:val="28"/>
              <w:szCs w:val="28"/>
            </w:rPr>
            <w:instrText xml:space="preserve"> PAGEREF _Toc29261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2"/>
            <w:tabs>
              <w:tab w:val="right" w:leader="dot" w:pos="8306"/>
            </w:tabs>
            <w:adjustRightInd w:val="0"/>
            <w:snapToGrid w:val="0"/>
            <w:spacing w:line="480" w:lineRule="auto"/>
            <w:rPr>
              <w:rFonts w:ascii="宋体" w:hAnsi="宋体" w:cs="Arial"/>
              <w:b/>
              <w:bCs/>
              <w:sz w:val="36"/>
              <w:szCs w:val="36"/>
            </w:rPr>
            <w:sectPr>
              <w:footerReference r:id="rId3" w:type="default"/>
              <w:pgSz w:w="11906" w:h="16838"/>
              <w:pgMar w:top="1440" w:right="1800" w:bottom="1440" w:left="1800" w:header="851" w:footer="992" w:gutter="0"/>
              <w:pgNumType w:start="1"/>
              <w:cols w:space="425" w:num="1"/>
              <w:docGrid w:type="lines" w:linePitch="312" w:charSpace="0"/>
            </w:sectPr>
          </w:pPr>
          <w:r>
            <w:fldChar w:fldCharType="begin"/>
          </w:r>
          <w:r>
            <w:instrText xml:space="preserve"> HYPERLINK \l "_Toc24769" </w:instrText>
          </w:r>
          <w:r>
            <w:fldChar w:fldCharType="separate"/>
          </w:r>
          <w:r>
            <w:rPr>
              <w:rFonts w:hint="eastAsia" w:ascii="Times New Roman" w:hAnsi="Times New Roman" w:eastAsia="黑体" w:cs="Times New Roman"/>
              <w:sz w:val="28"/>
              <w:szCs w:val="28"/>
            </w:rPr>
            <w:t>七、其他需要说明的问题</w:t>
          </w:r>
          <w:r>
            <w:rPr>
              <w:sz w:val="28"/>
              <w:szCs w:val="28"/>
            </w:rPr>
            <w:tab/>
          </w:r>
          <w:r>
            <w:rPr>
              <w:sz w:val="28"/>
              <w:szCs w:val="28"/>
            </w:rPr>
            <w:fldChar w:fldCharType="begin"/>
          </w:r>
          <w:r>
            <w:rPr>
              <w:sz w:val="28"/>
              <w:szCs w:val="28"/>
            </w:rPr>
            <w:instrText xml:space="preserve"> PAGEREF _Toc24769 \h </w:instrText>
          </w:r>
          <w:r>
            <w:rPr>
              <w:sz w:val="28"/>
              <w:szCs w:val="28"/>
            </w:rPr>
            <w:fldChar w:fldCharType="separate"/>
          </w:r>
          <w:r>
            <w:rPr>
              <w:sz w:val="28"/>
              <w:szCs w:val="28"/>
            </w:rPr>
            <w:t>19</w:t>
          </w:r>
          <w:r>
            <w:rPr>
              <w:sz w:val="28"/>
              <w:szCs w:val="28"/>
            </w:rPr>
            <w:fldChar w:fldCharType="end"/>
          </w:r>
          <w:r>
            <w:rPr>
              <w:sz w:val="28"/>
              <w:szCs w:val="28"/>
            </w:rPr>
            <w:fldChar w:fldCharType="end"/>
          </w:r>
          <w:r>
            <w:rPr>
              <w:rFonts w:hint="eastAsia" w:ascii="宋体" w:hAnsi="宋体" w:cs="Arial"/>
              <w:bCs/>
              <w:szCs w:val="36"/>
            </w:rPr>
            <w:fldChar w:fldCharType="end"/>
          </w:r>
        </w:p>
      </w:sdtContent>
    </w:sdt>
    <w:p>
      <w:pPr>
        <w:adjustRightInd w:val="0"/>
        <w:snapToGrid w:val="0"/>
        <w:spacing w:after="156" w:afterLines="50"/>
        <w:jc w:val="center"/>
        <w:rPr>
          <w:rFonts w:ascii="宋体" w:hAnsi="宋体" w:cs="Arial"/>
          <w:b/>
          <w:bCs/>
          <w:sz w:val="10"/>
          <w:szCs w:val="10"/>
        </w:rPr>
      </w:pPr>
    </w:p>
    <w:p>
      <w:pPr>
        <w:adjustRightInd w:val="0"/>
        <w:snapToGrid w:val="0"/>
        <w:spacing w:after="156" w:afterLines="50"/>
        <w:jc w:val="center"/>
        <w:outlineLvl w:val="0"/>
        <w:rPr>
          <w:rFonts w:ascii="宋体" w:hAnsi="宋体" w:cs="Arial"/>
          <w:b/>
          <w:bCs/>
          <w:sz w:val="44"/>
          <w:szCs w:val="44"/>
        </w:rPr>
      </w:pPr>
      <w:bookmarkStart w:id="6" w:name="_Toc23298"/>
      <w:bookmarkStart w:id="7" w:name="_Toc27647"/>
      <w:bookmarkStart w:id="8" w:name="_Toc14973"/>
      <w:r>
        <w:rPr>
          <w:rFonts w:hint="eastAsia" w:ascii="宋体" w:hAnsi="宋体" w:cs="Arial"/>
          <w:b/>
          <w:bCs/>
          <w:sz w:val="44"/>
          <w:szCs w:val="44"/>
        </w:rPr>
        <w:t>北京艺术博物馆</w:t>
      </w:r>
    </w:p>
    <w:p>
      <w:pPr>
        <w:adjustRightInd w:val="0"/>
        <w:snapToGrid w:val="0"/>
        <w:spacing w:after="156" w:afterLines="50"/>
        <w:jc w:val="center"/>
        <w:outlineLvl w:val="0"/>
        <w:rPr>
          <w:rFonts w:ascii="宋体" w:hAnsi="宋体" w:cs="Arial"/>
          <w:b/>
          <w:bCs/>
          <w:sz w:val="44"/>
          <w:szCs w:val="44"/>
        </w:rPr>
      </w:pPr>
      <w:r>
        <w:rPr>
          <w:rFonts w:hint="eastAsia" w:ascii="宋体" w:hAnsi="宋体" w:cs="Arial"/>
          <w:b/>
          <w:bCs/>
          <w:sz w:val="44"/>
          <w:szCs w:val="44"/>
        </w:rPr>
        <w:t>（万寿寺）中路东路部分基本陈列</w:t>
      </w:r>
    </w:p>
    <w:p>
      <w:pPr>
        <w:adjustRightInd w:val="0"/>
        <w:snapToGrid w:val="0"/>
        <w:spacing w:after="156" w:afterLines="50"/>
        <w:jc w:val="center"/>
        <w:outlineLvl w:val="0"/>
        <w:rPr>
          <w:rFonts w:ascii="宋体" w:hAnsi="宋体" w:cs="Arial"/>
          <w:b/>
          <w:bCs/>
          <w:sz w:val="44"/>
          <w:szCs w:val="44"/>
        </w:rPr>
      </w:pPr>
      <w:r>
        <w:rPr>
          <w:rFonts w:hint="eastAsia" w:ascii="宋体" w:hAnsi="宋体" w:cs="Arial"/>
          <w:b/>
          <w:bCs/>
          <w:sz w:val="44"/>
          <w:szCs w:val="44"/>
        </w:rPr>
        <w:t>项目支出</w:t>
      </w:r>
      <w:r>
        <w:rPr>
          <w:rFonts w:ascii="宋体" w:hAnsi="宋体" w:cs="Arial"/>
          <w:b/>
          <w:bCs/>
          <w:sz w:val="44"/>
          <w:szCs w:val="44"/>
        </w:rPr>
        <w:t>绩效</w:t>
      </w:r>
      <w:r>
        <w:rPr>
          <w:rFonts w:hint="eastAsia" w:ascii="宋体" w:hAnsi="宋体" w:cs="Arial"/>
          <w:b/>
          <w:bCs/>
          <w:sz w:val="44"/>
          <w:szCs w:val="44"/>
        </w:rPr>
        <w:t>评价报告</w:t>
      </w:r>
      <w:bookmarkEnd w:id="6"/>
      <w:bookmarkEnd w:id="7"/>
      <w:bookmarkEnd w:id="8"/>
    </w:p>
    <w:p>
      <w:pPr>
        <w:pStyle w:val="8"/>
      </w:pPr>
    </w:p>
    <w:p>
      <w:pPr>
        <w:widowControl/>
        <w:adjustRightInd w:val="0"/>
        <w:snapToGrid w:val="0"/>
        <w:spacing w:line="36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进一步加强财政支出管理，合理配置财政资源，提高财政资金使用效益和财政支出管理水平，按照《北京市财政局关于2023年推进全面实施预算绩效管理工作的通知》要求，根据《北京市项目支出绩效评价管理办法》（京财绩效〔2020〕2146号）的有关规定，北京市文物局（以下简称“市文物局”）组织成立了绩效评价工作组，委托北京智联恒通咨询有限公司参与该项目绩效评价工作，对北京艺术博物馆（以下简称“项目单位”）“北京艺术博物馆（万寿寺）中路东路部分基本陈列”项目的实施情况开展绩效评价，形成本绩效评价报告。</w:t>
      </w:r>
    </w:p>
    <w:p>
      <w:pPr>
        <w:pStyle w:val="3"/>
        <w:adjustRightInd w:val="0"/>
        <w:snapToGrid w:val="0"/>
        <w:ind w:firstLine="640" w:firstLineChars="200"/>
        <w:rPr>
          <w:rFonts w:ascii="Times New Roman" w:hAnsi="Times New Roman" w:eastAsia="黑体" w:cs="Times New Roman"/>
          <w:b w:val="0"/>
          <w:bCs w:val="0"/>
          <w:sz w:val="32"/>
          <w:szCs w:val="32"/>
        </w:rPr>
      </w:pPr>
      <w:bookmarkStart w:id="9" w:name="_Toc32702"/>
      <w:bookmarkStart w:id="10" w:name="_Toc14044"/>
      <w:r>
        <w:rPr>
          <w:rFonts w:hint="eastAsia" w:ascii="Times New Roman" w:hAnsi="Times New Roman" w:eastAsia="黑体" w:cs="Times New Roman"/>
          <w:b w:val="0"/>
          <w:bCs w:val="0"/>
          <w:sz w:val="32"/>
          <w:szCs w:val="32"/>
        </w:rPr>
        <w:t>一、基本情况</w:t>
      </w:r>
      <w:bookmarkEnd w:id="9"/>
      <w:bookmarkEnd w:id="10"/>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11" w:name="_Toc30622"/>
      <w:bookmarkStart w:id="12" w:name="_Toc9953"/>
      <w:r>
        <w:rPr>
          <w:rFonts w:hint="eastAsia" w:ascii="仿宋_GB2312" w:hAnsi="仿宋_GB2312" w:eastAsia="仿宋_GB2312" w:cs="仿宋_GB2312"/>
          <w:b/>
          <w:bCs/>
          <w:kern w:val="0"/>
          <w:sz w:val="32"/>
          <w:szCs w:val="32"/>
        </w:rPr>
        <w:t>（一）项目概况</w:t>
      </w:r>
      <w:bookmarkEnd w:id="11"/>
      <w:bookmarkEnd w:id="12"/>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1.项目背景</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经市文物局批准</w:t>
      </w:r>
      <w:r>
        <w:rPr>
          <w:rFonts w:hint="eastAsia" w:ascii="仿宋_GB2312" w:hAnsi="仿宋_GB2312" w:eastAsia="仿宋_GB2312" w:cs="仿宋_GB2312"/>
          <w:kern w:val="0"/>
          <w:sz w:val="32"/>
          <w:szCs w:val="32"/>
        </w:rPr>
        <w:t>北京艺术博物馆于</w:t>
      </w:r>
      <w:r>
        <w:rPr>
          <w:rFonts w:hint="eastAsia" w:ascii="仿宋_GB2312" w:hAnsi="仿宋_GB2312" w:eastAsia="仿宋_GB2312" w:cs="仿宋_GB2312"/>
          <w:sz w:val="32"/>
          <w:szCs w:val="32"/>
        </w:rPr>
        <w:t>2017年1月闭馆对万寿寺中路、西路、东路古建筑群进行大规模修缮，2021年1月通过竣工验收。为了尽快对外开放，服务于公众，在闭馆期间同步开展了基本陈列策划与筹备工作，完成了展览主题策划、展览大纲撰写、展览形式设计规划、确定相关展品。2021年6月，</w:t>
      </w:r>
      <w:r>
        <w:rPr>
          <w:rFonts w:hint="eastAsia" w:ascii="仿宋_GB2312" w:hAnsi="仿宋_GB2312" w:eastAsia="仿宋_GB2312" w:cs="仿宋_GB2312"/>
          <w:kern w:val="0"/>
          <w:sz w:val="32"/>
          <w:szCs w:val="32"/>
        </w:rPr>
        <w:t>项目单位</w:t>
      </w:r>
      <w:r>
        <w:rPr>
          <w:rFonts w:hint="eastAsia" w:ascii="仿宋_GB2312" w:hAnsi="仿宋_GB2312" w:eastAsia="仿宋_GB2312" w:cs="仿宋_GB2312"/>
          <w:sz w:val="32"/>
          <w:szCs w:val="32"/>
        </w:rPr>
        <w:t>依据《北京艺术博物馆十四五规划》和市文物局要求，申请“2022年北京艺术博物馆（万寿寺）中路东路部分基本陈列”项目立项。</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2.主要内容及实施情况</w:t>
      </w:r>
    </w:p>
    <w:p>
      <w:pPr>
        <w:numPr>
          <w:ilvl w:val="255"/>
          <w:numId w:val="0"/>
        </w:numPr>
        <w:adjustRightInd w:val="0"/>
        <w:snapToGrid w:val="0"/>
        <w:spacing w:line="360" w:lineRule="auto"/>
        <w:ind w:firstLine="640" w:firstLineChars="200"/>
        <w:outlineLvl w:val="2"/>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主要内容包括《缘岸梵刹—万寿寺历史沿革展》《妙法庄严—明清佛像艺术展》《吉物咏寿—馆藏吉寿文物专题展》《万几余暇—清代皇室及其后裔书画艺术展》东路方丈院《云落佳木—中国传统家具展》共5个基本陈列的</w:t>
      </w:r>
      <w:r>
        <w:rPr>
          <w:rFonts w:hint="eastAsia" w:ascii="仿宋_GB2312" w:hAnsi="仿宋_GB2312" w:eastAsia="仿宋_GB2312" w:cs="仿宋_GB2312"/>
          <w:bCs/>
          <w:sz w:val="32"/>
          <w:szCs w:val="32"/>
          <w:lang w:bidi="ar"/>
        </w:rPr>
        <w:t>深化设计及施工服务</w:t>
      </w:r>
      <w:r>
        <w:rPr>
          <w:rFonts w:hint="eastAsia" w:ascii="仿宋_GB2312" w:hAnsi="仿宋_GB2312" w:eastAsia="仿宋_GB2312" w:cs="仿宋_GB2312"/>
          <w:bCs/>
          <w:sz w:val="32"/>
          <w:szCs w:val="32"/>
        </w:rPr>
        <w:t>等。</w:t>
      </w:r>
    </w:p>
    <w:p>
      <w:pPr>
        <w:numPr>
          <w:ilvl w:val="255"/>
          <w:numId w:val="0"/>
        </w:num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资金投入和使用情况</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（1）预算评审情况</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该项目申报预算资金总额1,292.80万元，经北京市财政局预算评审中心评审，最终审定1,249.23万元。</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（2）预算批复下达情况</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该项目实际批复预算资金1,238.21万元，其中：年初批复预算646.81万元（京财科文指〔2022〕48号），年中追加预算591.40万元（京财科文指</w:t>
      </w:r>
      <w:r>
        <w:rPr>
          <w:rFonts w:hint="eastAsia" w:ascii="仿宋_GB2312" w:hAnsi="仿宋_GB2312" w:eastAsia="仿宋_GB2312" w:cs="仿宋_GB2312"/>
          <w:kern w:val="0"/>
          <w:sz w:val="32"/>
          <w:szCs w:val="32"/>
        </w:rPr>
        <w:t>〔202</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1805号）。</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（3）资金使用情况</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截至2022年12月31日，该项目实际执行资金总额1</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229.95万元，预算执行率99.33%，结余资金8.26万元，系监理费和专家劳务费结余。详见表1。</w:t>
      </w:r>
    </w:p>
    <w:p>
      <w:pPr>
        <w:pStyle w:val="8"/>
        <w:jc w:val="center"/>
        <w:rPr>
          <w:rFonts w:ascii="黑体" w:hAnsi="黑体" w:eastAsia="黑体" w:cs="黑体"/>
          <w:bCs/>
          <w:sz w:val="28"/>
          <w:szCs w:val="28"/>
        </w:rPr>
      </w:pPr>
      <w:r>
        <w:rPr>
          <w:rFonts w:hint="eastAsia" w:ascii="黑体" w:hAnsi="黑体" w:eastAsia="黑体" w:cs="黑体"/>
          <w:bCs/>
          <w:sz w:val="28"/>
          <w:szCs w:val="28"/>
        </w:rPr>
        <w:t>表1：项目预算、评审、批复及执行情况一览表</w:t>
      </w:r>
    </w:p>
    <w:p>
      <w:pPr>
        <w:pStyle w:val="8"/>
        <w:jc w:val="right"/>
        <w:rPr>
          <w:rFonts w:ascii="黑体" w:hAnsi="黑体" w:eastAsia="黑体" w:cs="黑体"/>
          <w:bCs/>
          <w:szCs w:val="21"/>
        </w:rPr>
      </w:pPr>
      <w:r>
        <w:rPr>
          <w:rFonts w:hint="eastAsia" w:ascii="黑体" w:hAnsi="黑体" w:eastAsia="黑体" w:cs="黑体"/>
          <w:bCs/>
          <w:szCs w:val="21"/>
        </w:rPr>
        <w:t>单位：万元</w:t>
      </w:r>
    </w:p>
    <w:tbl>
      <w:tblPr>
        <w:tblStyle w:val="16"/>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702"/>
        <w:gridCol w:w="1224"/>
        <w:gridCol w:w="1089"/>
        <w:gridCol w:w="722"/>
        <w:gridCol w:w="1025"/>
        <w:gridCol w:w="1025"/>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832" w:type="dxa"/>
            <w:gridSpan w:val="2"/>
            <w:vMerge w:val="restart"/>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Style w:val="24"/>
                <w:rFonts w:hint="default"/>
                <w:sz w:val="18"/>
                <w:szCs w:val="18"/>
                <w:lang w:bidi="ar"/>
              </w:rPr>
              <w:t>预算内容</w:t>
            </w:r>
          </w:p>
        </w:tc>
        <w:tc>
          <w:tcPr>
            <w:tcW w:w="3035" w:type="dxa"/>
            <w:gridSpan w:val="3"/>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Style w:val="25"/>
                <w:rFonts w:hint="default"/>
                <w:sz w:val="18"/>
                <w:szCs w:val="18"/>
                <w:lang w:bidi="ar"/>
              </w:rPr>
              <w:t>预算评审</w:t>
            </w:r>
          </w:p>
        </w:tc>
        <w:tc>
          <w:tcPr>
            <w:tcW w:w="2671" w:type="dxa"/>
            <w:gridSpan w:val="3"/>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Style w:val="25"/>
                <w:rFonts w:hint="default"/>
                <w:sz w:val="18"/>
                <w:szCs w:val="18"/>
                <w:lang w:bidi="ar"/>
              </w:rPr>
              <w:t>预算批复及执行情况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832" w:type="dxa"/>
            <w:gridSpan w:val="2"/>
            <w:vMerge w:val="continue"/>
            <w:tcBorders>
              <w:tl2br w:val="nil"/>
              <w:tr2bl w:val="nil"/>
            </w:tcBorders>
            <w:shd w:val="clear" w:color="auto" w:fill="auto"/>
            <w:noWrap/>
            <w:vAlign w:val="center"/>
          </w:tcPr>
          <w:p>
            <w:pPr>
              <w:jc w:val="center"/>
              <w:rPr>
                <w:rFonts w:ascii="宋体" w:hAnsi="宋体" w:eastAsia="宋体" w:cs="宋体"/>
                <w:b/>
                <w:bCs/>
                <w:color w:val="000000"/>
                <w:sz w:val="18"/>
                <w:szCs w:val="18"/>
              </w:rPr>
            </w:pPr>
          </w:p>
        </w:tc>
        <w:tc>
          <w:tcPr>
            <w:tcW w:w="1224"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送审金额</w:t>
            </w:r>
          </w:p>
        </w:tc>
        <w:tc>
          <w:tcPr>
            <w:tcW w:w="1089"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审定金额</w:t>
            </w:r>
          </w:p>
        </w:tc>
        <w:tc>
          <w:tcPr>
            <w:tcW w:w="722"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差异</w:t>
            </w:r>
          </w:p>
        </w:tc>
        <w:tc>
          <w:tcPr>
            <w:tcW w:w="1025"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批复金额</w:t>
            </w:r>
          </w:p>
        </w:tc>
        <w:tc>
          <w:tcPr>
            <w:tcW w:w="1025"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执行金额</w:t>
            </w:r>
          </w:p>
        </w:tc>
        <w:tc>
          <w:tcPr>
            <w:tcW w:w="621" w:type="dxa"/>
            <w:tcBorders>
              <w:tl2br w:val="nil"/>
              <w:tr2bl w:val="nil"/>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6"/>
                <w:rFonts w:hint="default"/>
                <w:lang w:bidi="ar"/>
              </w:rPr>
              <w:t>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30"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深化设计及施工服务</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深化设计及施工服务</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1,131.70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1,102.87</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28.83</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1,099.85</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1,099.85</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0"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监理费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工程监理费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30.80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30.80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30.80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23.10</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30" w:type="dxa"/>
            <w:vMerge w:val="restart"/>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招标代理服务费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深化设计及施工服务招标费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7.30</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0" w:type="dxa"/>
            <w:vMerge w:val="continue"/>
            <w:tcBorders>
              <w:tl2br w:val="nil"/>
              <w:tr2bl w:val="nil"/>
            </w:tcBorders>
            <w:shd w:val="clear" w:color="auto" w:fill="auto"/>
            <w:noWrap/>
            <w:vAlign w:val="center"/>
          </w:tcPr>
          <w:p>
            <w:pPr>
              <w:jc w:val="center"/>
              <w:rPr>
                <w:rFonts w:ascii="宋体" w:hAnsi="宋体" w:eastAsia="宋体" w:cs="宋体"/>
                <w:color w:val="000000"/>
                <w:sz w:val="18"/>
                <w:szCs w:val="18"/>
              </w:rPr>
            </w:pP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监理服务招标费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0.46</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0.54</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0.46</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0.46</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130" w:type="dxa"/>
            <w:vMerge w:val="restart"/>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专家劳务费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评标专家费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30" w:type="dxa"/>
            <w:vMerge w:val="continue"/>
            <w:tcBorders>
              <w:tl2br w:val="nil"/>
              <w:tr2bl w:val="nil"/>
            </w:tcBorders>
            <w:shd w:val="clear" w:color="auto" w:fill="auto"/>
            <w:noWrap/>
            <w:vAlign w:val="center"/>
          </w:tcPr>
          <w:p>
            <w:pPr>
              <w:jc w:val="center"/>
              <w:rPr>
                <w:rFonts w:ascii="宋体" w:hAnsi="宋体" w:eastAsia="宋体" w:cs="宋体"/>
                <w:color w:val="000000"/>
                <w:sz w:val="18"/>
                <w:szCs w:val="18"/>
              </w:rPr>
            </w:pP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方案深化专家论证费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1.44</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0.88</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30"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图片版权费</w:t>
            </w:r>
          </w:p>
        </w:tc>
        <w:tc>
          <w:tcPr>
            <w:tcW w:w="1702" w:type="dxa"/>
            <w:tcBorders>
              <w:tl2br w:val="nil"/>
              <w:tr2bl w:val="nil"/>
            </w:tcBorders>
            <w:shd w:val="clear" w:color="auto" w:fill="auto"/>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图片版权费</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130"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图录出版</w:t>
            </w:r>
          </w:p>
        </w:tc>
        <w:tc>
          <w:tcPr>
            <w:tcW w:w="170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Style w:val="27"/>
                <w:rFonts w:hint="default"/>
                <w:sz w:val="18"/>
                <w:szCs w:val="18"/>
                <w:lang w:bidi="ar"/>
              </w:rPr>
              <w:t>图录出版</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112.00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97.80</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14.20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97.80</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97.80</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2832" w:type="dxa"/>
            <w:gridSpan w:val="2"/>
            <w:tcBorders>
              <w:tl2br w:val="nil"/>
              <w:tr2bl w:val="nil"/>
            </w:tcBorders>
            <w:shd w:val="clear" w:color="auto" w:fill="auto"/>
            <w:noWrap/>
            <w:vAlign w:val="center"/>
          </w:tcPr>
          <w:p>
            <w:pPr>
              <w:widowControl/>
              <w:ind w:firstLine="361" w:firstLineChars="200"/>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1224"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1,292.80</w:t>
            </w:r>
          </w:p>
        </w:tc>
        <w:tc>
          <w:tcPr>
            <w:tcW w:w="1089"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1,249.23</w:t>
            </w:r>
          </w:p>
        </w:tc>
        <w:tc>
          <w:tcPr>
            <w:tcW w:w="722"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43.57</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1,238.21</w:t>
            </w:r>
          </w:p>
        </w:tc>
        <w:tc>
          <w:tcPr>
            <w:tcW w:w="1025"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1,229.95</w:t>
            </w:r>
          </w:p>
        </w:tc>
        <w:tc>
          <w:tcPr>
            <w:tcW w:w="621" w:type="dxa"/>
            <w:tcBorders>
              <w:tl2br w:val="nil"/>
              <w:tr2bl w:val="nil"/>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8.26</w:t>
            </w:r>
          </w:p>
        </w:tc>
      </w:tr>
    </w:tbl>
    <w:p>
      <w:pPr>
        <w:adjustRightInd w:val="0"/>
        <w:snapToGrid w:val="0"/>
        <w:spacing w:before="312" w:beforeLines="100" w:line="360" w:lineRule="auto"/>
        <w:ind w:firstLine="642" w:firstLineChars="200"/>
        <w:outlineLvl w:val="1"/>
        <w:rPr>
          <w:rFonts w:ascii="仿宋_GB2312" w:hAnsi="仿宋_GB2312" w:eastAsia="仿宋_GB2312" w:cs="仿宋_GB2312"/>
          <w:b/>
          <w:bCs/>
          <w:kern w:val="0"/>
          <w:sz w:val="32"/>
          <w:szCs w:val="32"/>
        </w:rPr>
      </w:pPr>
      <w:bookmarkStart w:id="13" w:name="_Toc30236"/>
      <w:bookmarkStart w:id="14" w:name="_Toc15722"/>
      <w:r>
        <w:rPr>
          <w:rFonts w:hint="eastAsia" w:ascii="仿宋_GB2312" w:hAnsi="仿宋_GB2312" w:eastAsia="仿宋_GB2312" w:cs="仿宋_GB2312"/>
          <w:b/>
          <w:bCs/>
          <w:kern w:val="0"/>
          <w:sz w:val="32"/>
          <w:szCs w:val="32"/>
        </w:rPr>
        <w:t>（二）项目绩效目标</w:t>
      </w:r>
      <w:bookmarkEnd w:id="13"/>
      <w:bookmarkEnd w:id="14"/>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1.总体目标</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落实《北京艺术博物馆十四五规划》和市文物局关于2022年9月份开馆的工作要求，项目单位计划1月份配合完成项目经费评审，2月份完成项目招标，9月10日完成展览布展、调试、结项验收等工作，9月16日正式对社会公众开放。展览设备设施质量优质，展览内容特色突出、展览形式新颖，展览效果明显，社会观众满意。</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2.项目具体指标和指标值设定情况</w:t>
      </w:r>
    </w:p>
    <w:p>
      <w:pPr>
        <w:adjustRightInd w:val="0"/>
        <w:snapToGrid w:val="0"/>
        <w:spacing w:line="360" w:lineRule="auto"/>
        <w:ind w:firstLine="640" w:firstLineChars="200"/>
        <w:rPr>
          <w:rFonts w:eastAsia="仿宋_GB2312"/>
          <w:bCs/>
          <w:sz w:val="32"/>
          <w:szCs w:val="32"/>
        </w:rPr>
      </w:pPr>
      <w:r>
        <w:rPr>
          <w:rFonts w:hint="eastAsia" w:eastAsia="仿宋_GB2312"/>
          <w:bCs/>
          <w:sz w:val="32"/>
          <w:szCs w:val="32"/>
        </w:rPr>
        <w:t>根据项目实际情况，设定了项目绩效目标，并填报了绩效目标申报表。项目具体指标和指标</w:t>
      </w:r>
      <w:r>
        <w:rPr>
          <w:rFonts w:hint="eastAsia" w:ascii="仿宋_GB2312" w:hAnsi="仿宋_GB2312" w:eastAsia="仿宋_GB2312" w:cs="仿宋_GB2312"/>
          <w:kern w:val="0"/>
          <w:sz w:val="32"/>
          <w:szCs w:val="32"/>
        </w:rPr>
        <w:t>值设定情况见表2</w:t>
      </w:r>
      <w:r>
        <w:rPr>
          <w:rFonts w:hint="eastAsia" w:ascii="仿宋_GB2312" w:eastAsia="仿宋_GB2312"/>
          <w:bCs/>
          <w:sz w:val="32"/>
          <w:szCs w:val="32"/>
        </w:rPr>
        <w:t>。</w:t>
      </w:r>
    </w:p>
    <w:p>
      <w:pPr>
        <w:pStyle w:val="8"/>
        <w:jc w:val="center"/>
        <w:rPr>
          <w:rFonts w:ascii="黑体" w:hAnsi="黑体" w:eastAsia="黑体" w:cs="黑体"/>
          <w:bCs/>
          <w:sz w:val="28"/>
          <w:szCs w:val="28"/>
        </w:rPr>
      </w:pPr>
      <w:r>
        <w:rPr>
          <w:rFonts w:hint="eastAsia" w:ascii="黑体" w:hAnsi="黑体" w:eastAsia="黑体" w:cs="黑体"/>
          <w:bCs/>
          <w:sz w:val="28"/>
          <w:szCs w:val="28"/>
        </w:rPr>
        <w:t>表2：项目具体指标和指标值设定情况表</w:t>
      </w:r>
    </w:p>
    <w:tbl>
      <w:tblPr>
        <w:tblStyle w:val="16"/>
        <w:tblW w:w="0" w:type="auto"/>
        <w:tblDescription w:val="{&quot;styleId&quot;:3}"/>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984"/>
        <w:gridCol w:w="1089"/>
        <w:gridCol w:w="2854"/>
        <w:gridCol w:w="1043"/>
        <w:gridCol w:w="1146"/>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20" w:hRule="exact"/>
          <w:tblHeader/>
        </w:trPr>
        <w:tc>
          <w:tcPr>
            <w:tcW w:w="984"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一级指标</w:t>
            </w:r>
          </w:p>
        </w:tc>
        <w:tc>
          <w:tcPr>
            <w:tcW w:w="1089"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二级指标</w:t>
            </w:r>
          </w:p>
        </w:tc>
        <w:tc>
          <w:tcPr>
            <w:tcW w:w="2854"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三级指标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指标性质</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指标值</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度量单位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3匹空调</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5匹空调</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LED全彩屏</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33"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86寸液晶广告机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32"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86寸挂壁液晶广告机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86寸挂壁液晶电视</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红外线人体测温仪</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abs>
                <w:tab w:val="left" w:pos="896"/>
                <w:tab w:val="center" w:pos="1962"/>
              </w:tabs>
              <w:textAlignment w:val="center"/>
              <w:rPr>
                <w:rFonts w:ascii="宋体" w:hAnsi="宋体" w:eastAsia="宋体" w:cs="宋体"/>
                <w:color w:val="000000"/>
                <w:sz w:val="18"/>
                <w:szCs w:val="18"/>
              </w:rPr>
            </w:pPr>
            <w:r>
              <w:rPr>
                <w:rFonts w:hint="eastAsia" w:ascii="宋体" w:hAnsi="宋体" w:eastAsia="宋体" w:cs="宋体"/>
                <w:color w:val="000000"/>
                <w:sz w:val="18"/>
                <w:szCs w:val="18"/>
              </w:rPr>
              <w:t>参观人数统计摄像头</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tabs>
                <w:tab w:val="left" w:pos="252"/>
              </w:tabs>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4</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86寸液晶电视</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43寸广告机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32寸户外触摸一体机</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sz w:val="18"/>
                <w:szCs w:val="18"/>
              </w:rPr>
              <w:t>55寸液晶拼接屏（多点触控）</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展览面积</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1860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工程竣工率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设备验收率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展厅完成度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tabs>
                <w:tab w:val="center" w:pos="465"/>
              </w:tabs>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项目总预算</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1292.81273</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2022年2月底前项目立项完成率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19"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2022年7月底前项目总结/验收完成率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截至12月31日资金支付进度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258"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截至7月31日资金支付进度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79"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2022年6月底前项目实施完成率</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236" w:hRule="exact"/>
          <w:tblHeader/>
        </w:trPr>
        <w:tc>
          <w:tcPr>
            <w:tcW w:w="984"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展览内容特色突出、严谨，展览形式新颖，展览效果明显，文化与艺术科普效果较好，受到观众喜欢。</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定性指标</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优</w:t>
            </w:r>
          </w:p>
        </w:tc>
        <w:tc>
          <w:tcPr>
            <w:tcW w:w="1406" w:type="dxa"/>
            <w:tcBorders>
              <w:tl2br w:val="nil"/>
              <w:tr2bl w:val="nil"/>
            </w:tcBorders>
            <w:shd w:val="clear" w:color="auto" w:fill="FFFFFF" w:themeFill="background1"/>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29"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观展人数</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24"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为向社会大众提供具有特色的、高质量的展览，进一步传播文化，提高博物馆的知名度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定性指标</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优</w:t>
            </w:r>
          </w:p>
        </w:tc>
        <w:tc>
          <w:tcPr>
            <w:tcW w:w="1406" w:type="dxa"/>
            <w:tcBorders>
              <w:tl2br w:val="nil"/>
              <w:tr2bl w:val="nil"/>
            </w:tcBorders>
            <w:shd w:val="clear" w:color="auto" w:fill="FFFFFF" w:themeFill="background1"/>
            <w:vAlign w:val="center"/>
          </w:tcPr>
          <w:p>
            <w:pPr>
              <w:jc w:val="center"/>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展览周期</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089" w:type="dxa"/>
            <w:vMerge w:val="restart"/>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投诉次数</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7"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展览观众满意度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96" w:hRule="exact"/>
          <w:tblHeader/>
        </w:trPr>
        <w:tc>
          <w:tcPr>
            <w:tcW w:w="984"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1089" w:type="dxa"/>
            <w:vMerge w:val="continue"/>
            <w:tcBorders>
              <w:tl2br w:val="nil"/>
              <w:tr2bl w:val="nil"/>
            </w:tcBorders>
            <w:shd w:val="clear" w:color="auto" w:fill="FFFFFF" w:themeFill="background1"/>
            <w:vAlign w:val="center"/>
          </w:tcPr>
          <w:p>
            <w:pPr>
              <w:rPr>
                <w:rFonts w:ascii="宋体" w:hAnsi="宋体" w:eastAsia="宋体" w:cs="宋体"/>
                <w:color w:val="000000"/>
                <w:sz w:val="18"/>
                <w:szCs w:val="18"/>
              </w:rPr>
            </w:pPr>
          </w:p>
        </w:tc>
        <w:tc>
          <w:tcPr>
            <w:tcW w:w="2854" w:type="dxa"/>
            <w:tcBorders>
              <w:tl2br w:val="nil"/>
              <w:tr2bl w:val="nil"/>
            </w:tcBorders>
            <w:shd w:val="clear" w:color="auto" w:fill="FFFFFF" w:themeFill="background1"/>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合作方的满意度</w:t>
            </w:r>
          </w:p>
        </w:tc>
        <w:tc>
          <w:tcPr>
            <w:tcW w:w="1043"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114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90</w:t>
            </w:r>
          </w:p>
        </w:tc>
        <w:tc>
          <w:tcPr>
            <w:tcW w:w="1406" w:type="dxa"/>
            <w:tcBorders>
              <w:tl2br w:val="nil"/>
              <w:tr2bl w:val="nil"/>
            </w:tcBorders>
            <w:shd w:val="clear" w:color="auto" w:fill="FFFFFF" w:themeFill="background1"/>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bl>
    <w:p>
      <w:pPr>
        <w:pStyle w:val="8"/>
      </w:pPr>
    </w:p>
    <w:p>
      <w:pPr>
        <w:pStyle w:val="3"/>
        <w:adjustRightInd w:val="0"/>
        <w:snapToGrid w:val="0"/>
        <w:ind w:firstLine="640" w:firstLineChars="200"/>
        <w:rPr>
          <w:rFonts w:ascii="Times New Roman" w:hAnsi="Times New Roman" w:eastAsia="黑体" w:cs="Times New Roman"/>
          <w:b w:val="0"/>
          <w:bCs w:val="0"/>
          <w:sz w:val="32"/>
          <w:szCs w:val="32"/>
        </w:rPr>
      </w:pPr>
      <w:bookmarkStart w:id="15" w:name="_Toc27761"/>
      <w:bookmarkStart w:id="16" w:name="_Toc5818"/>
      <w:r>
        <w:rPr>
          <w:rFonts w:hint="eastAsia" w:ascii="Times New Roman" w:hAnsi="Times New Roman" w:eastAsia="黑体" w:cs="Times New Roman"/>
          <w:b w:val="0"/>
          <w:bCs w:val="0"/>
          <w:sz w:val="32"/>
          <w:szCs w:val="32"/>
        </w:rPr>
        <w:t>二、绩效评价工作开展情况</w:t>
      </w:r>
      <w:bookmarkEnd w:id="15"/>
      <w:bookmarkEnd w:id="16"/>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17" w:name="_Toc479"/>
      <w:bookmarkStart w:id="18" w:name="_Toc1941"/>
      <w:r>
        <w:rPr>
          <w:rFonts w:hint="eastAsia" w:ascii="仿宋_GB2312" w:hAnsi="仿宋_GB2312" w:eastAsia="仿宋_GB2312" w:cs="仿宋_GB2312"/>
          <w:b/>
          <w:bCs/>
          <w:kern w:val="0"/>
          <w:sz w:val="32"/>
          <w:szCs w:val="32"/>
        </w:rPr>
        <w:t>（一）绩效评价目的、对象和范围</w:t>
      </w:r>
      <w:bookmarkEnd w:id="17"/>
      <w:bookmarkEnd w:id="18"/>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1.绩效评价目的</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通过运用科学、合理的绩效评价指标、评价标准和评价方法</w:t>
      </w:r>
      <w:r>
        <w:rPr>
          <w:rFonts w:hint="eastAsia" w:ascii="仿宋_GB2312" w:hAnsi="仿宋_GB2312" w:eastAsia="仿宋_GB2312" w:cs="仿宋_GB2312"/>
          <w:sz w:val="32"/>
          <w:szCs w:val="32"/>
          <w:lang w:eastAsia="zh-Hans"/>
        </w:rPr>
        <w:t>对北京艺术博物馆（万寿寺）中路东路部分基本陈列项目开展绩效评价，</w:t>
      </w:r>
      <w:r>
        <w:rPr>
          <w:rFonts w:hint="eastAsia" w:ascii="仿宋_GB2312" w:hAnsi="仿宋_GB2312" w:eastAsia="仿宋_GB2312" w:cs="仿宋_GB2312"/>
          <w:sz w:val="32"/>
          <w:szCs w:val="32"/>
        </w:rPr>
        <w:t>全面掌握项目绩效目标实现程度、执行效果及存在的问题，研究改进措施，提出专业评价意见，</w:t>
      </w:r>
      <w:r>
        <w:rPr>
          <w:rFonts w:hint="eastAsia" w:ascii="仿宋_GB2312" w:hAnsi="仿宋_GB2312" w:eastAsia="仿宋_GB2312" w:cs="仿宋_GB2312"/>
          <w:sz w:val="32"/>
          <w:szCs w:val="32"/>
          <w:lang w:eastAsia="zh-Hans"/>
        </w:rPr>
        <w:t>促使</w:t>
      </w:r>
      <w:r>
        <w:rPr>
          <w:rFonts w:hint="eastAsia" w:ascii="仿宋_GB2312" w:hAnsi="仿宋_GB2312" w:eastAsia="仿宋_GB2312" w:cs="仿宋_GB2312"/>
          <w:sz w:val="32"/>
          <w:szCs w:val="32"/>
        </w:rPr>
        <w:t>项目单位进一步改进和加强项目资金管理，提高财政资金使用效益；同时为主管部门和单位加强预算绩效管理提供参考和借鉴。</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2.绩效评价对象和范围</w:t>
      </w:r>
    </w:p>
    <w:p>
      <w:pPr>
        <w:adjustRightInd w:val="0"/>
        <w:snapToGrid w:val="0"/>
        <w:spacing w:line="360" w:lineRule="auto"/>
        <w:ind w:firstLine="640" w:firstLineChars="200"/>
        <w:rPr>
          <w:rFonts w:ascii="仿宋_GB2312" w:hAnsi="仿宋_GB2312" w:eastAsia="仿宋_GB2312" w:cs="仿宋_GB2312"/>
          <w:sz w:val="32"/>
          <w:szCs w:val="32"/>
        </w:rPr>
      </w:pPr>
      <w:bookmarkStart w:id="19" w:name="_Toc4303"/>
      <w:bookmarkStart w:id="20" w:name="_Toc235"/>
      <w:bookmarkStart w:id="21" w:name="_Toc5037"/>
      <w:bookmarkStart w:id="22" w:name="_Toc489100240"/>
      <w:bookmarkStart w:id="23" w:name="_Toc15846"/>
      <w:bookmarkStart w:id="24" w:name="_Toc9183"/>
      <w:r>
        <w:rPr>
          <w:rFonts w:hint="eastAsia" w:ascii="仿宋_GB2312" w:hAnsi="仿宋_GB2312" w:eastAsia="仿宋_GB2312" w:cs="仿宋_GB2312"/>
          <w:sz w:val="32"/>
          <w:szCs w:val="32"/>
          <w:lang w:eastAsia="zh-Hans"/>
        </w:rPr>
        <w:t>本次评价对象为</w:t>
      </w:r>
      <w:r>
        <w:rPr>
          <w:rFonts w:hint="eastAsia" w:ascii="仿宋_GB2312" w:hAnsi="仿宋_GB2312" w:eastAsia="仿宋_GB2312" w:cs="仿宋_GB2312"/>
          <w:sz w:val="32"/>
          <w:szCs w:val="32"/>
        </w:rPr>
        <w:t>“北京艺术博物馆（万寿寺）中路东路部分基本陈列”项目，评价金额</w:t>
      </w:r>
      <w:r>
        <w:rPr>
          <w:rFonts w:hint="eastAsia" w:ascii="仿宋_GB2312" w:hAnsi="仿宋_GB2312" w:eastAsia="仿宋_GB2312" w:cs="仿宋_GB2312"/>
          <w:kern w:val="0"/>
          <w:sz w:val="32"/>
          <w:szCs w:val="32"/>
          <w:lang w:eastAsia="zh-Hans"/>
        </w:rPr>
        <w:t>1,238.21万元</w:t>
      </w:r>
      <w:r>
        <w:rPr>
          <w:rFonts w:hint="eastAsia" w:ascii="仿宋_GB2312" w:hAnsi="仿宋_GB2312" w:eastAsia="仿宋_GB2312" w:cs="仿宋_GB2312"/>
          <w:sz w:val="32"/>
          <w:szCs w:val="32"/>
        </w:rPr>
        <w:t>。</w:t>
      </w:r>
      <w:bookmarkEnd w:id="19"/>
      <w:bookmarkEnd w:id="20"/>
      <w:bookmarkEnd w:id="21"/>
      <w:bookmarkEnd w:id="22"/>
      <w:bookmarkEnd w:id="23"/>
      <w:bookmarkEnd w:id="24"/>
      <w:r>
        <w:rPr>
          <w:rFonts w:hint="eastAsia" w:ascii="仿宋_GB2312" w:hAnsi="仿宋_GB2312" w:eastAsia="仿宋_GB2312" w:cs="仿宋_GB2312"/>
          <w:sz w:val="32"/>
          <w:szCs w:val="32"/>
        </w:rPr>
        <w:t>评价范围为2022年度项目资金申报及使用情况，包括项目决策、项目过程、项目产出、项目效益等。</w:t>
      </w:r>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25" w:name="_Toc32052"/>
      <w:bookmarkStart w:id="26" w:name="_Toc13732"/>
      <w:r>
        <w:rPr>
          <w:rFonts w:hint="eastAsia" w:ascii="仿宋_GB2312" w:hAnsi="仿宋_GB2312" w:eastAsia="仿宋_GB2312" w:cs="仿宋_GB2312"/>
          <w:b/>
          <w:bCs/>
          <w:kern w:val="0"/>
          <w:sz w:val="32"/>
          <w:szCs w:val="32"/>
        </w:rPr>
        <w:t>（二）绩效评价原则、评价指标体系、评价方法、评价标准</w:t>
      </w:r>
      <w:bookmarkEnd w:id="25"/>
      <w:bookmarkEnd w:id="26"/>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1.绩效评价原则</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本次绩效评价依据“科学公正、统筹兼顾、激励约束、公开透明”的原则开展。</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2.评价指标体系</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评价工作组根据《北京市项目支出绩效评价管理办法》中的绩效评价体系框架，围绕项目决策、过程、产出和效益四个维度，</w:t>
      </w:r>
      <w:r>
        <w:rPr>
          <w:rFonts w:hint="eastAsia" w:ascii="仿宋_GB2312" w:hAnsi="仿宋_GB2312" w:eastAsia="仿宋_GB2312" w:cs="仿宋_GB2312"/>
          <w:sz w:val="32"/>
          <w:szCs w:val="32"/>
          <w:lang w:eastAsia="zh-Hans"/>
        </w:rPr>
        <w:t>结合项目实际情况</w:t>
      </w:r>
      <w:r>
        <w:rPr>
          <w:rFonts w:hint="eastAsia" w:ascii="仿宋_GB2312" w:hAnsi="仿宋_GB2312" w:eastAsia="仿宋_GB2312" w:cs="仿宋_GB2312"/>
          <w:sz w:val="32"/>
          <w:szCs w:val="32"/>
        </w:rPr>
        <w:t>进一步细化并制定了《北京艺术博物馆（万寿寺）中路东路部分基本陈列</w:t>
      </w:r>
      <w:r>
        <w:rPr>
          <w:rFonts w:hint="eastAsia" w:ascii="仿宋_GB2312" w:hAnsi="仿宋_GB2312" w:eastAsia="仿宋_GB2312" w:cs="仿宋_GB2312"/>
          <w:sz w:val="32"/>
          <w:szCs w:val="32"/>
          <w:lang w:eastAsia="zh-Hans"/>
        </w:rPr>
        <w:t>项目</w:t>
      </w:r>
      <w:r>
        <w:rPr>
          <w:rFonts w:hint="eastAsia" w:ascii="仿宋_GB2312" w:hAnsi="仿宋_GB2312" w:eastAsia="仿宋_GB2312" w:cs="仿宋_GB2312"/>
          <w:sz w:val="32"/>
          <w:szCs w:val="32"/>
        </w:rPr>
        <w:t>绩效评价指标体系》，并根据指标的重要性与相关性确定</w:t>
      </w:r>
      <w:r>
        <w:rPr>
          <w:rFonts w:hint="eastAsia" w:ascii="仿宋_GB2312" w:hAnsi="仿宋_GB2312" w:eastAsia="仿宋_GB2312" w:cs="仿宋_GB2312"/>
          <w:sz w:val="32"/>
          <w:szCs w:val="32"/>
          <w:lang w:eastAsia="zh-Hans"/>
        </w:rPr>
        <w:t>打分</w:t>
      </w:r>
      <w:r>
        <w:rPr>
          <w:rFonts w:hint="eastAsia" w:ascii="仿宋_GB2312" w:hAnsi="仿宋_GB2312" w:eastAsia="仿宋_GB2312" w:cs="仿宋_GB2312"/>
          <w:sz w:val="32"/>
          <w:szCs w:val="32"/>
        </w:rPr>
        <w:t>权重及评分标准。</w:t>
      </w:r>
      <w:r>
        <w:rPr>
          <w:rFonts w:hint="eastAsia" w:ascii="仿宋_GB2312" w:hAnsi="仿宋_GB2312" w:eastAsia="仿宋_GB2312" w:cs="仿宋_GB2312"/>
          <w:sz w:val="32"/>
          <w:szCs w:val="32"/>
          <w:lang w:eastAsia="zh-Hans"/>
        </w:rPr>
        <w:t>具体绩效指标体系设定情况</w:t>
      </w:r>
      <w:r>
        <w:rPr>
          <w:rFonts w:hint="eastAsia" w:ascii="仿宋_GB2312" w:hAnsi="仿宋_GB2312" w:eastAsia="仿宋_GB2312" w:cs="仿宋_GB2312"/>
          <w:sz w:val="32"/>
          <w:szCs w:val="32"/>
        </w:rPr>
        <w:t>见</w:t>
      </w:r>
      <w:r>
        <w:rPr>
          <w:rFonts w:hint="eastAsia" w:ascii="仿宋_GB2312" w:hAnsi="仿宋_GB2312" w:eastAsia="仿宋_GB2312" w:cs="仿宋_GB2312"/>
          <w:sz w:val="32"/>
          <w:szCs w:val="32"/>
          <w:lang w:eastAsia="zh-Hans"/>
        </w:rPr>
        <w:t>表</w:t>
      </w:r>
      <w:r>
        <w:rPr>
          <w:rFonts w:hint="eastAsia" w:ascii="仿宋_GB2312" w:hAnsi="仿宋_GB2312" w:eastAsia="仿宋_GB2312" w:cs="仿宋_GB2312"/>
          <w:sz w:val="32"/>
          <w:szCs w:val="32"/>
        </w:rPr>
        <w:t>3。</w:t>
      </w:r>
    </w:p>
    <w:p>
      <w:pPr>
        <w:pStyle w:val="8"/>
        <w:adjustRightInd w:val="0"/>
        <w:snapToGrid w:val="0"/>
        <w:spacing w:line="360" w:lineRule="auto"/>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3：</w:t>
      </w:r>
      <w:r>
        <w:rPr>
          <w:rFonts w:hint="eastAsia" w:ascii="黑体" w:hAnsi="黑体" w:eastAsia="黑体" w:cs="黑体"/>
          <w:bCs/>
          <w:sz w:val="28"/>
          <w:szCs w:val="28"/>
          <w:lang w:eastAsia="zh-Hans"/>
        </w:rPr>
        <w:t>项目绩效评价指标体系</w:t>
      </w:r>
    </w:p>
    <w:tbl>
      <w:tblPr>
        <w:tblStyle w:val="16"/>
        <w:tblW w:w="0" w:type="auto"/>
        <w:tblInd w:w="0" w:type="dxa"/>
        <w:tblLayout w:type="fixed"/>
        <w:tblCellMar>
          <w:top w:w="0" w:type="dxa"/>
          <w:left w:w="108" w:type="dxa"/>
          <w:bottom w:w="0" w:type="dxa"/>
          <w:right w:w="108" w:type="dxa"/>
        </w:tblCellMar>
      </w:tblPr>
      <w:tblGrid>
        <w:gridCol w:w="1030"/>
        <w:gridCol w:w="1008"/>
        <w:gridCol w:w="1162"/>
        <w:gridCol w:w="717"/>
        <w:gridCol w:w="4439"/>
      </w:tblGrid>
      <w:tr>
        <w:tblPrEx>
          <w:tblCellMar>
            <w:top w:w="0" w:type="dxa"/>
            <w:left w:w="108" w:type="dxa"/>
            <w:bottom w:w="0" w:type="dxa"/>
            <w:right w:w="108" w:type="dxa"/>
          </w:tblCellMar>
        </w:tblPrEx>
        <w:trPr>
          <w:trHeight w:val="335" w:hRule="atLeast"/>
          <w:tblHeader/>
        </w:trPr>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一级指标</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二级指标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三级指标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Style w:val="28"/>
                <w:rFonts w:hint="default"/>
                <w:sz w:val="18"/>
                <w:szCs w:val="18"/>
                <w:lang w:bidi="ar"/>
              </w:rPr>
              <w:t>分值</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b/>
                <w:bCs/>
                <w:color w:val="000000"/>
                <w:sz w:val="18"/>
                <w:szCs w:val="18"/>
              </w:rPr>
            </w:pPr>
            <w:r>
              <w:rPr>
                <w:rStyle w:val="28"/>
                <w:rFonts w:hint="default"/>
                <w:sz w:val="18"/>
                <w:szCs w:val="18"/>
                <w:lang w:bidi="ar"/>
              </w:rPr>
              <w:t>指标解释</w:t>
            </w:r>
          </w:p>
        </w:tc>
      </w:tr>
      <w:tr>
        <w:tblPrEx>
          <w:tblCellMar>
            <w:top w:w="0" w:type="dxa"/>
            <w:left w:w="108" w:type="dxa"/>
            <w:bottom w:w="0" w:type="dxa"/>
            <w:right w:w="108" w:type="dxa"/>
          </w:tblCellMar>
        </w:tblPrEx>
        <w:trPr>
          <w:trHeight w:val="754"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决策（10分）</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项目立项</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立项依据充分性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项目立项是否符合法律法规、相关政策、发展规划以及部门职责，用以反映和考核项目立项依据情况</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立项程序规范性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项目申请、设立过程是否符合相关要求，用以反映和考核项目立项的规范情况</w:t>
            </w:r>
          </w:p>
        </w:tc>
      </w:tr>
      <w:tr>
        <w:tblPrEx>
          <w:tblCellMar>
            <w:top w:w="0" w:type="dxa"/>
            <w:left w:w="108" w:type="dxa"/>
            <w:bottom w:w="0" w:type="dxa"/>
            <w:right w:w="108" w:type="dxa"/>
          </w:tblCellMar>
        </w:tblPrEx>
        <w:trPr>
          <w:trHeight w:val="966"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绩效目标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绩效目标合理性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项目所设定的绩效目标是否依据充分，是否符合客观实际，用以反映和考核项目绩效目标与项目实施的相符情况</w:t>
            </w:r>
          </w:p>
        </w:tc>
      </w:tr>
      <w:tr>
        <w:tblPrEx>
          <w:tblCellMar>
            <w:top w:w="0" w:type="dxa"/>
            <w:left w:w="108" w:type="dxa"/>
            <w:bottom w:w="0" w:type="dxa"/>
            <w:right w:w="108" w:type="dxa"/>
          </w:tblCellMar>
        </w:tblPrEx>
        <w:trPr>
          <w:trHeight w:val="754"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绩效指标明确性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依据绩效目标设定的绩效指标是否清晰、细化、可衡量等，用以反映和考核项目绩效目标的明细化情况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资金投入</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预算编制科学性</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项目预算编制是否经过科学论证、有明确标准，资金额度与年度目标是否相适应，用以反映和考核项目预算编制的科学性、合理性情况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2"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资金分配合理性</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项目预算资金分配是否有测算依据，与补助单位或地方实际是否相适应，用以反映和考核项目预算资金分配的科学性、合理性情况</w:t>
            </w:r>
          </w:p>
        </w:tc>
      </w:tr>
      <w:tr>
        <w:tblPrEx>
          <w:tblCellMar>
            <w:top w:w="0" w:type="dxa"/>
            <w:left w:w="108" w:type="dxa"/>
            <w:bottom w:w="0" w:type="dxa"/>
            <w:right w:w="108" w:type="dxa"/>
          </w:tblCellMar>
        </w:tblPrEx>
        <w:trPr>
          <w:trHeight w:val="66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过程（20分）</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资金管理</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资金到位率</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实际到位资金与预算资金的比率，用以反映和考核资金落实情况对项目实施的总体保障程度</w:t>
            </w:r>
          </w:p>
        </w:tc>
      </w:tr>
      <w:tr>
        <w:tblPrEx>
          <w:tblCellMar>
            <w:top w:w="0" w:type="dxa"/>
            <w:left w:w="108" w:type="dxa"/>
            <w:bottom w:w="0" w:type="dxa"/>
            <w:right w:w="108" w:type="dxa"/>
          </w:tblCellMar>
        </w:tblPrEx>
        <w:trPr>
          <w:trHeight w:val="348"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预算执行率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项目预算资金是否按照计划执行，用以反映或考核项目预算执行情况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资金使用合规性</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项目资金使用是否符合相关的财务管理制度规定，用以反映和考核项目资金的规范运行情况</w:t>
            </w: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313"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4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0" w:type="dxa"/>
            <w:left w:w="108" w:type="dxa"/>
            <w:bottom w:w="0" w:type="dxa"/>
            <w:right w:w="108" w:type="dxa"/>
          </w:tblCellMar>
        </w:tblPrEx>
        <w:trPr>
          <w:trHeight w:val="966"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组织实施</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管理制度健全性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项目实施单位的财务和业务管理制度是否健全，用以反映和考核财务和业务管理制度对项目顺利实施的保障情况</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制度执行有效性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项目实施是否符合相关管理规定，用以反映和考核相关管理制度的有效执行情况</w:t>
            </w:r>
          </w:p>
        </w:tc>
      </w:tr>
      <w:tr>
        <w:tblPrEx>
          <w:tblCellMar>
            <w:top w:w="0" w:type="dxa"/>
            <w:left w:w="108" w:type="dxa"/>
            <w:bottom w:w="0" w:type="dxa"/>
            <w:right w:w="108" w:type="dxa"/>
          </w:tblCellMar>
        </w:tblPrEx>
        <w:trPr>
          <w:trHeight w:val="651"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产出（40分）</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产出数量</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实际完成率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项目实施的实际产出数与计划产出数的比率，用以反映和考核项目产出数量目标的实现程度</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产出质量</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质量达标率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项目完成的质量达标产出数与实际产出数的比率，用以反映和考核项目产出质量目标的实现程度</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产出时效</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完成及时性</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项目实际完成时间与计划完成时间的比较，用以反映和考核项目产出时效目标的实现程度。</w:t>
            </w:r>
          </w:p>
        </w:tc>
      </w:tr>
      <w:tr>
        <w:tblPrEx>
          <w:tblCellMar>
            <w:top w:w="0" w:type="dxa"/>
            <w:left w:w="108" w:type="dxa"/>
            <w:bottom w:w="0" w:type="dxa"/>
            <w:right w:w="108" w:type="dxa"/>
          </w:tblCellMar>
        </w:tblPrEx>
        <w:trPr>
          <w:trHeight w:val="651"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产出成本</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成本节约率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完成项目计划工作目标的实际节约成本与计划成本的比率，用以反映和考核项目的成本节约程度</w:t>
            </w:r>
          </w:p>
        </w:tc>
      </w:tr>
      <w:tr>
        <w:tblPrEx>
          <w:tblCellMar>
            <w:top w:w="0" w:type="dxa"/>
            <w:left w:w="108" w:type="dxa"/>
            <w:bottom w:w="0" w:type="dxa"/>
            <w:right w:w="108" w:type="dxa"/>
          </w:tblCellMar>
        </w:tblPrEx>
        <w:trPr>
          <w:trHeight w:val="335" w:hRule="atLeast"/>
        </w:trPr>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效益　（30分）</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项目效益</w:t>
            </w:r>
          </w:p>
        </w:tc>
        <w:tc>
          <w:tcPr>
            <w:tcW w:w="1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Style w:val="29"/>
                <w:rFonts w:hint="default"/>
                <w:sz w:val="18"/>
                <w:szCs w:val="18"/>
                <w:lang w:bidi="ar"/>
              </w:rPr>
              <w:t>实施效益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社会效益的实现情况</w:t>
            </w:r>
          </w:p>
        </w:tc>
      </w:tr>
      <w:tr>
        <w:tblPrEx>
          <w:tblCellMar>
            <w:top w:w="0" w:type="dxa"/>
            <w:left w:w="108" w:type="dxa"/>
            <w:bottom w:w="0" w:type="dxa"/>
            <w:right w:w="108" w:type="dxa"/>
          </w:tblCellMar>
        </w:tblPrEx>
        <w:trPr>
          <w:trHeight w:val="335"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可持续影响指标的实现情况</w:t>
            </w:r>
          </w:p>
        </w:tc>
      </w:tr>
      <w:tr>
        <w:tblPrEx>
          <w:tblCellMar>
            <w:top w:w="0" w:type="dxa"/>
            <w:left w:w="108" w:type="dxa"/>
            <w:bottom w:w="0" w:type="dxa"/>
            <w:right w:w="108" w:type="dxa"/>
          </w:tblCellMar>
        </w:tblPrEx>
        <w:trPr>
          <w:trHeight w:val="355" w:hRule="atLeast"/>
        </w:trPr>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44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Style w:val="29"/>
                <w:rFonts w:hint="default"/>
                <w:sz w:val="18"/>
                <w:szCs w:val="18"/>
                <w:lang w:bidi="ar"/>
              </w:rPr>
              <w:t>服务对象满意度情况</w:t>
            </w:r>
          </w:p>
        </w:tc>
      </w:tr>
    </w:tbl>
    <w:p>
      <w:pPr>
        <w:adjustRightInd w:val="0"/>
        <w:snapToGrid w:val="0"/>
        <w:spacing w:before="312" w:beforeLines="100"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3.评价方法、评价标准</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合该项目特点，评价方法主要是通过将项目产出指标的完成情况以及项目效益的实现情况与项目申报资料进行对比分析、对完成成果是否达到预期绩效目标进行评价。在项目评价时，采用定性和定量相结合的方法。本次</w:t>
      </w:r>
      <w:r>
        <w:rPr>
          <w:rFonts w:hint="eastAsia" w:ascii="仿宋_GB2312" w:eastAsia="仿宋_GB2312"/>
          <w:bCs/>
          <w:sz w:val="32"/>
          <w:szCs w:val="32"/>
        </w:rPr>
        <w:t>绩效评价标准</w:t>
      </w:r>
      <w:r>
        <w:rPr>
          <w:rFonts w:hint="eastAsia" w:ascii="仿宋_GB2312" w:hAnsi="仿宋_GB2312" w:eastAsia="仿宋_GB2312" w:cs="仿宋_GB2312"/>
          <w:sz w:val="32"/>
          <w:szCs w:val="32"/>
        </w:rPr>
        <w:t>主要是参照项目</w:t>
      </w:r>
      <w:r>
        <w:rPr>
          <w:rFonts w:hint="eastAsia" w:ascii="仿宋_GB2312" w:eastAsia="仿宋_GB2312"/>
          <w:bCs/>
          <w:sz w:val="32"/>
          <w:szCs w:val="32"/>
        </w:rPr>
        <w:t>计划标准、历史标准等，用于对绩效指标完成情况进行比较</w:t>
      </w:r>
      <w:r>
        <w:rPr>
          <w:rFonts w:hint="eastAsia" w:ascii="仿宋_GB2312" w:eastAsia="仿宋_GB2312"/>
          <w:sz w:val="32"/>
          <w:szCs w:val="32"/>
        </w:rPr>
        <w:t>。</w:t>
      </w:r>
      <w:r>
        <w:rPr>
          <w:rFonts w:hint="eastAsia" w:ascii="仿宋_GB2312" w:hAnsi="仿宋_GB2312" w:eastAsia="仿宋_GB2312" w:cs="仿宋_GB2312"/>
          <w:sz w:val="32"/>
          <w:szCs w:val="32"/>
        </w:rPr>
        <w:t>评价基准日为2022年12月31日。</w:t>
      </w:r>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27" w:name="_Toc17125"/>
      <w:bookmarkStart w:id="28" w:name="_Toc27495"/>
      <w:r>
        <w:rPr>
          <w:rFonts w:hint="eastAsia" w:ascii="仿宋_GB2312" w:hAnsi="仿宋_GB2312" w:eastAsia="仿宋_GB2312" w:cs="仿宋_GB2312"/>
          <w:b/>
          <w:bCs/>
          <w:kern w:val="0"/>
          <w:sz w:val="32"/>
          <w:szCs w:val="32"/>
        </w:rPr>
        <w:t>（三）绩效评价工作过程</w:t>
      </w:r>
      <w:bookmarkEnd w:id="27"/>
      <w:bookmarkEnd w:id="28"/>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bookmarkStart w:id="29" w:name="_Toc28402"/>
      <w:r>
        <w:rPr>
          <w:rFonts w:hint="eastAsia" w:ascii="仿宋_GB2312" w:hAnsi="仿宋_GB2312" w:eastAsia="仿宋_GB2312" w:cs="仿宋_GB2312"/>
          <w:kern w:val="0"/>
          <w:sz w:val="32"/>
          <w:szCs w:val="32"/>
        </w:rPr>
        <w:t>1.前期准备</w:t>
      </w:r>
      <w:r>
        <w:rPr>
          <w:rFonts w:hint="eastAsia" w:ascii="仿宋_GB2312" w:hAnsi="仿宋_GB2312" w:eastAsia="仿宋_GB2312" w:cs="仿宋_GB2312"/>
          <w:kern w:val="0"/>
          <w:sz w:val="32"/>
          <w:szCs w:val="32"/>
          <w:lang w:eastAsia="zh-Hans"/>
        </w:rPr>
        <w:t>阶段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（1）组建评价工作组</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结</w:t>
      </w:r>
      <w:r>
        <w:rPr>
          <w:rFonts w:hint="eastAsia" w:ascii="仿宋_GB2312" w:hAnsi="仿宋_GB2312" w:eastAsia="仿宋_GB2312" w:cs="仿宋_GB2312"/>
          <w:sz w:val="32"/>
          <w:szCs w:val="32"/>
        </w:rPr>
        <w:t>合绩效评价工作的实际需要，成立绩效评价工作组，全程负责组织、实施绩效评价工作。</w:t>
      </w:r>
    </w:p>
    <w:p>
      <w:pPr>
        <w:pStyle w:val="9"/>
        <w:numPr>
          <w:ilvl w:val="0"/>
          <w:numId w:val="1"/>
        </w:numPr>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编制评价方案</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为了保证评价方案的可操作性，评价工作组通过了解项目实施背景、立项依据、绩效目标、项目管理及完成情况，确定评价工作重点和拟采用的评价方法，并对相关材料进行认真分析，结合北京</w:t>
      </w:r>
      <w:r>
        <w:rPr>
          <w:rFonts w:hint="eastAsia" w:ascii="仿宋_GB2312" w:hAnsi="仿宋_GB2312" w:eastAsia="仿宋_GB2312" w:cs="仿宋_GB2312"/>
          <w:sz w:val="32"/>
          <w:szCs w:val="32"/>
          <w:lang w:eastAsia="zh-Hans"/>
        </w:rPr>
        <w:t>市财政局、</w:t>
      </w:r>
      <w:r>
        <w:rPr>
          <w:rFonts w:hint="eastAsia" w:ascii="仿宋_GB2312" w:hAnsi="仿宋_GB2312" w:eastAsia="仿宋_GB2312" w:cs="仿宋_GB2312"/>
          <w:sz w:val="32"/>
          <w:szCs w:val="32"/>
        </w:rPr>
        <w:t>北京市文物局绩效评价工作要求，合理安排评价工作进度，在此基础上形成最终评价方案。</w:t>
      </w:r>
    </w:p>
    <w:p>
      <w:pPr>
        <w:pStyle w:val="9"/>
        <w:numPr>
          <w:ilvl w:val="0"/>
          <w:numId w:val="1"/>
        </w:numPr>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协助</w:t>
      </w:r>
      <w:r>
        <w:rPr>
          <w:rFonts w:hint="eastAsia" w:ascii="仿宋_GB2312" w:hAnsi="仿宋_GB2312" w:eastAsia="仿宋_GB2312" w:cs="仿宋_GB2312"/>
          <w:sz w:val="32"/>
          <w:szCs w:val="32"/>
          <w:lang w:eastAsia="zh-Hans"/>
        </w:rPr>
        <w:t>项目单位</w:t>
      </w:r>
      <w:r>
        <w:rPr>
          <w:rFonts w:hint="eastAsia" w:ascii="仿宋_GB2312" w:hAnsi="仿宋_GB2312" w:eastAsia="仿宋_GB2312" w:cs="仿宋_GB2312"/>
          <w:sz w:val="32"/>
          <w:szCs w:val="32"/>
        </w:rPr>
        <w:t>开展自评</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协助</w:t>
      </w:r>
      <w:r>
        <w:rPr>
          <w:rFonts w:hint="eastAsia" w:ascii="仿宋_GB2312" w:hAnsi="仿宋_GB2312" w:eastAsia="仿宋_GB2312" w:cs="仿宋_GB2312"/>
          <w:sz w:val="32"/>
          <w:szCs w:val="32"/>
          <w:lang w:eastAsia="zh-Hans"/>
        </w:rPr>
        <w:t>项目单位</w:t>
      </w:r>
      <w:r>
        <w:rPr>
          <w:rFonts w:hint="eastAsia" w:ascii="仿宋_GB2312" w:hAnsi="仿宋_GB2312" w:eastAsia="仿宋_GB2312" w:cs="仿宋_GB2312"/>
          <w:sz w:val="32"/>
          <w:szCs w:val="32"/>
        </w:rPr>
        <w:t>根据绩效评价相关管理办法，开展自评工作，收集、整理绩效材料，撰写财政支出绩效报告。</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2.现场核查情况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（1）了解绩效目标设立及完成情况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评价工作组通过查阅项目申报文本等资料，了解预期绩效目标设立情况，并将反映项目完成情况的相关材料与各项预期绩效目标进行比对，评价项目绩效目标的完成情况。</w:t>
      </w:r>
    </w:p>
    <w:p>
      <w:pPr>
        <w:pStyle w:val="9"/>
        <w:numPr>
          <w:ilvl w:val="0"/>
          <w:numId w:val="2"/>
        </w:numPr>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了解项目效益实现情况</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项目实现的效益情况，主要是参考项目单位提供的项目社会效益、可持续影响及服务对象满意度等的相关资料情况，综合评价项目的效益实现情况。</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3.专家评价</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（1）进行资料信息汇总</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评价工作组在充分调研的基础上，对项目资料进行逐一核实。工作组按照指标体系内容和评价重点，对资料进行分类整理并装订成册，形成专家资料手册，供专家审阅评议。</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（2）召开专家评价会</w:t>
      </w:r>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根据项目特点，评价工作组遴选5名专家（其中业务专家2名，管理专家2名，财务专家1名），组成专家评价组，对项目资料进行审核，</w:t>
      </w:r>
      <w:r>
        <w:rPr>
          <w:rFonts w:hint="eastAsia" w:ascii="仿宋_GB2312" w:hAnsi="仿宋_GB2312" w:eastAsia="仿宋_GB2312" w:cs="仿宋_GB2312"/>
          <w:sz w:val="32"/>
          <w:szCs w:val="32"/>
          <w:lang w:eastAsia="zh-Hans"/>
        </w:rPr>
        <w:t>于</w:t>
      </w:r>
      <w:r>
        <w:rPr>
          <w:rFonts w:hint="eastAsia" w:ascii="仿宋_GB2312" w:hAnsi="仿宋_GB2312" w:eastAsia="仿宋_GB2312" w:cs="仿宋_GB2312"/>
          <w:sz w:val="32"/>
          <w:szCs w:val="32"/>
        </w:rPr>
        <w:t>2023年6月9日召开专家评价会。评价会上，专家与项目单位进行了充分讨论和沟通，最终由专家按照绩效评价指标进行打分，出具评价意见。</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4.评价报告阶段</w:t>
      </w:r>
      <w:bookmarkEnd w:id="29"/>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（1）形成绩效评价结论、撰写绩效评价报告</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评价工作组根据收集的资料、评价分析情况，结合专家意见，确定评价结果等级，撰写绩效评价报告初稿。</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沟通初步评价意见</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绩效评价报告初稿完成后，在</w:t>
      </w:r>
      <w:r>
        <w:rPr>
          <w:rFonts w:hint="eastAsia" w:ascii="仿宋_GB2312" w:hAnsi="仿宋_GB2312" w:eastAsia="仿宋_GB2312" w:cs="仿宋_GB2312"/>
          <w:sz w:val="32"/>
          <w:szCs w:val="32"/>
          <w:lang w:eastAsia="zh-Hans"/>
        </w:rPr>
        <w:t>与</w:t>
      </w:r>
      <w:r>
        <w:rPr>
          <w:rFonts w:hint="eastAsia" w:ascii="仿宋_GB2312" w:hAnsi="仿宋_GB2312" w:eastAsia="仿宋_GB2312" w:cs="仿宋_GB2312"/>
          <w:sz w:val="32"/>
          <w:szCs w:val="32"/>
        </w:rPr>
        <w:t>项目单位</w:t>
      </w:r>
      <w:r>
        <w:rPr>
          <w:rFonts w:hint="eastAsia" w:ascii="仿宋_GB2312" w:hAnsi="仿宋_GB2312" w:eastAsia="仿宋_GB2312" w:cs="仿宋_GB2312"/>
          <w:sz w:val="32"/>
          <w:szCs w:val="32"/>
          <w:lang w:eastAsia="zh-Hans"/>
        </w:rPr>
        <w:t>沟通</w:t>
      </w:r>
      <w:r>
        <w:rPr>
          <w:rFonts w:hint="eastAsia" w:ascii="仿宋_GB2312" w:hAnsi="仿宋_GB2312" w:eastAsia="仿宋_GB2312" w:cs="仿宋_GB2312"/>
          <w:sz w:val="32"/>
          <w:szCs w:val="32"/>
        </w:rPr>
        <w:t>反馈的基础上</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进一步</w:t>
      </w:r>
      <w:r>
        <w:rPr>
          <w:rFonts w:hint="eastAsia" w:ascii="仿宋_GB2312" w:hAnsi="仿宋_GB2312" w:eastAsia="仿宋_GB2312" w:cs="仿宋_GB2312"/>
          <w:sz w:val="32"/>
          <w:szCs w:val="32"/>
          <w:lang w:eastAsia="zh-Hans"/>
        </w:rPr>
        <w:t>修改完善</w:t>
      </w:r>
      <w:r>
        <w:rPr>
          <w:rFonts w:hint="eastAsia" w:ascii="仿宋_GB2312" w:hAnsi="仿宋_GB2312" w:eastAsia="仿宋_GB2312" w:cs="仿宋_GB2312"/>
          <w:sz w:val="32"/>
          <w:szCs w:val="32"/>
        </w:rPr>
        <w:t>。</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形成正式绩效评价报告</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评价工作组在综合专家及</w:t>
      </w:r>
      <w:r>
        <w:rPr>
          <w:rFonts w:hint="eastAsia" w:ascii="仿宋_GB2312" w:hAnsi="仿宋_GB2312" w:eastAsia="仿宋_GB2312" w:cs="仿宋_GB2312"/>
          <w:sz w:val="32"/>
          <w:szCs w:val="32"/>
          <w:lang w:eastAsia="zh-Hans"/>
        </w:rPr>
        <w:t>各方</w:t>
      </w:r>
      <w:r>
        <w:rPr>
          <w:rFonts w:hint="eastAsia" w:ascii="仿宋_GB2312" w:hAnsi="仿宋_GB2312" w:eastAsia="仿宋_GB2312" w:cs="仿宋_GB2312"/>
          <w:sz w:val="32"/>
          <w:szCs w:val="32"/>
        </w:rPr>
        <w:t>反馈的合理意见后，对评价报告进行修改，经市文物局审核后形成正式绩效评价报告。</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报送报告及资料手册</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评价工作组根据绩效评价工作要求装订评价报告、资料手册，报送至市文物局。</w:t>
      </w:r>
    </w:p>
    <w:p>
      <w:pPr>
        <w:numPr>
          <w:ilvl w:val="0"/>
          <w:numId w:val="3"/>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归档绩效评价资料</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绩效评价工作结束后，评价工作组及时将资料整理归档，并按</w:t>
      </w:r>
      <w:r>
        <w:rPr>
          <w:rFonts w:hint="eastAsia" w:ascii="仿宋_GB2312" w:hAnsi="仿宋_GB2312" w:eastAsia="仿宋_GB2312" w:cs="仿宋_GB2312"/>
          <w:sz w:val="32"/>
          <w:szCs w:val="32"/>
          <w:lang w:eastAsia="zh-Hans"/>
        </w:rPr>
        <w:t>财政部门的相关</w:t>
      </w:r>
      <w:r>
        <w:rPr>
          <w:rFonts w:hint="eastAsia" w:ascii="仿宋_GB2312" w:hAnsi="仿宋_GB2312" w:eastAsia="仿宋_GB2312" w:cs="仿宋_GB2312"/>
          <w:sz w:val="32"/>
          <w:szCs w:val="32"/>
        </w:rPr>
        <w:t>要求妥善</w:t>
      </w:r>
      <w:r>
        <w:rPr>
          <w:rFonts w:hint="eastAsia" w:ascii="仿宋_GB2312" w:hAnsi="仿宋_GB2312" w:eastAsia="仿宋_GB2312" w:cs="仿宋_GB2312"/>
          <w:sz w:val="32"/>
          <w:szCs w:val="32"/>
          <w:lang w:eastAsia="zh-Hans"/>
        </w:rPr>
        <w:t>保管绩效档案</w:t>
      </w:r>
      <w:r>
        <w:rPr>
          <w:rFonts w:hint="eastAsia" w:ascii="仿宋_GB2312" w:hAnsi="仿宋_GB2312" w:eastAsia="仿宋_GB2312" w:cs="仿宋_GB2312"/>
          <w:sz w:val="32"/>
          <w:szCs w:val="32"/>
        </w:rPr>
        <w:t>资料。</w:t>
      </w:r>
    </w:p>
    <w:p>
      <w:pPr>
        <w:pStyle w:val="3"/>
        <w:adjustRightInd w:val="0"/>
        <w:snapToGrid w:val="0"/>
        <w:ind w:firstLine="640" w:firstLineChars="200"/>
        <w:rPr>
          <w:rFonts w:ascii="Times New Roman" w:hAnsi="Times New Roman" w:eastAsia="黑体" w:cs="Times New Roman"/>
          <w:b w:val="0"/>
          <w:bCs w:val="0"/>
          <w:sz w:val="32"/>
          <w:szCs w:val="32"/>
        </w:rPr>
      </w:pPr>
      <w:bookmarkStart w:id="30" w:name="_Toc1238"/>
      <w:bookmarkStart w:id="31" w:name="_Toc19221"/>
      <w:r>
        <w:rPr>
          <w:rFonts w:hint="eastAsia" w:ascii="Times New Roman" w:hAnsi="Times New Roman" w:eastAsia="黑体" w:cs="Times New Roman"/>
          <w:b w:val="0"/>
          <w:bCs w:val="0"/>
          <w:sz w:val="32"/>
          <w:szCs w:val="32"/>
        </w:rPr>
        <w:t>三、综合评价情况及评价结论</w:t>
      </w:r>
      <w:bookmarkEnd w:id="30"/>
      <w:bookmarkEnd w:id="31"/>
    </w:p>
    <w:p>
      <w:pPr>
        <w:pStyle w:val="9"/>
        <w:adjustRightInd w:val="0"/>
        <w:snapToGrid w:val="0"/>
        <w:spacing w:after="0" w:line="360" w:lineRule="auto"/>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经综合评价，该项目评价得分90.35分，绩效级别评定为“优”。该项目各指标得分和综合评价结论具体见表4。</w:t>
      </w:r>
    </w:p>
    <w:p>
      <w:pPr>
        <w:pStyle w:val="8"/>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4</w:t>
      </w:r>
      <w:r>
        <w:rPr>
          <w:rFonts w:hint="eastAsia" w:ascii="黑体" w:hAnsi="黑体" w:eastAsia="黑体" w:cs="黑体"/>
          <w:bCs/>
          <w:sz w:val="28"/>
          <w:szCs w:val="28"/>
          <w:lang w:eastAsia="zh-Hans"/>
        </w:rPr>
        <w:t>：项目绩效评价得分情况表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862"/>
        <w:gridCol w:w="2571"/>
        <w:gridCol w:w="2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23" w:hRule="atLeast"/>
        </w:trPr>
        <w:tc>
          <w:tcPr>
            <w:tcW w:w="2862"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评价内容</w:t>
            </w:r>
          </w:p>
        </w:tc>
        <w:tc>
          <w:tcPr>
            <w:tcW w:w="2571"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分值</w:t>
            </w:r>
          </w:p>
        </w:tc>
        <w:tc>
          <w:tcPr>
            <w:tcW w:w="2965"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pStyle w:val="5"/>
              <w:ind w:firstLine="0"/>
              <w:jc w:val="center"/>
              <w:rPr>
                <w:rFonts w:ascii="仿宋_GB2312" w:eastAsia="仿宋_GB2312"/>
                <w:bCs/>
                <w:sz w:val="28"/>
                <w:szCs w:val="28"/>
              </w:rPr>
            </w:pPr>
            <w:r>
              <w:rPr>
                <w:rFonts w:hint="eastAsia" w:ascii="仿宋_GB2312" w:hAnsi="宋体" w:eastAsia="仿宋_GB2312"/>
                <w:bCs/>
                <w:sz w:val="28"/>
                <w:szCs w:val="28"/>
              </w:rPr>
              <w:t>决策</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10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pStyle w:val="5"/>
              <w:ind w:firstLine="0"/>
              <w:jc w:val="center"/>
              <w:rPr>
                <w:rFonts w:ascii="仿宋_GB2312" w:hAnsi="宋体" w:eastAsia="仿宋_GB2312"/>
                <w:bCs/>
                <w:sz w:val="28"/>
                <w:szCs w:val="28"/>
                <w:lang w:eastAsia="zh-Hans"/>
              </w:rPr>
            </w:pPr>
            <w:r>
              <w:rPr>
                <w:rFonts w:hint="eastAsia" w:ascii="仿宋_GB2312" w:hAnsi="宋体" w:eastAsia="仿宋_GB2312"/>
                <w:bCs/>
                <w:sz w:val="28"/>
                <w:szCs w:val="28"/>
                <w:lang w:eastAsia="zh-Hans"/>
              </w:rPr>
              <w:t>过程</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20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18.62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jc w:val="center"/>
              <w:rPr>
                <w:rFonts w:ascii="仿宋_GB2312" w:eastAsia="仿宋_GB2312"/>
                <w:bCs/>
                <w:sz w:val="28"/>
                <w:szCs w:val="28"/>
                <w:lang w:eastAsia="zh-Hans"/>
              </w:rPr>
            </w:pPr>
            <w:r>
              <w:rPr>
                <w:rFonts w:hint="eastAsia" w:ascii="仿宋_GB2312" w:hAnsi="宋体" w:eastAsia="仿宋_GB2312"/>
                <w:bCs/>
                <w:sz w:val="28"/>
                <w:szCs w:val="28"/>
                <w:lang w:eastAsia="zh-Hans"/>
              </w:rPr>
              <w:t>产出</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40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35.76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jc w:val="center"/>
              <w:rPr>
                <w:rFonts w:ascii="仿宋_GB2312" w:eastAsia="仿宋_GB2312"/>
                <w:bCs/>
                <w:sz w:val="28"/>
                <w:szCs w:val="28"/>
                <w:lang w:eastAsia="zh-Hans"/>
              </w:rPr>
            </w:pPr>
            <w:r>
              <w:rPr>
                <w:rFonts w:hint="eastAsia" w:ascii="仿宋_GB2312" w:hAnsi="宋体" w:eastAsia="仿宋_GB2312"/>
                <w:bCs/>
                <w:sz w:val="28"/>
                <w:szCs w:val="28"/>
                <w:lang w:eastAsia="zh-Hans"/>
              </w:rPr>
              <w:t>效益</w:t>
            </w:r>
          </w:p>
        </w:tc>
        <w:tc>
          <w:tcPr>
            <w:tcW w:w="2571"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30</w:t>
            </w:r>
          </w:p>
        </w:tc>
        <w:tc>
          <w:tcPr>
            <w:tcW w:w="2965" w:type="dxa"/>
            <w:shd w:val="clear" w:color="auto" w:fill="auto"/>
            <w:vAlign w:val="center"/>
          </w:tcPr>
          <w:p>
            <w:pPr>
              <w:jc w:val="center"/>
              <w:rPr>
                <w:rFonts w:ascii="仿宋_GB2312" w:eastAsia="仿宋_GB2312"/>
                <w:bCs/>
                <w:sz w:val="28"/>
                <w:szCs w:val="28"/>
              </w:rPr>
            </w:pPr>
            <w:r>
              <w:rPr>
                <w:rFonts w:hint="eastAsia" w:ascii="仿宋_GB2312" w:eastAsia="仿宋_GB2312"/>
                <w:bCs/>
                <w:sz w:val="28"/>
                <w:szCs w:val="28"/>
              </w:rPr>
              <w:t>26.94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3" w:hRule="atLeast"/>
        </w:trPr>
        <w:tc>
          <w:tcPr>
            <w:tcW w:w="2862"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lang w:eastAsia="zh-Hans"/>
              </w:rPr>
              <w:t>项目</w:t>
            </w:r>
            <w:r>
              <w:rPr>
                <w:rFonts w:hint="eastAsia" w:ascii="仿宋_GB2312" w:hAnsi="宋体" w:eastAsia="仿宋_GB2312"/>
                <w:b/>
                <w:sz w:val="28"/>
                <w:szCs w:val="28"/>
              </w:rPr>
              <w:t>综合得分</w:t>
            </w:r>
          </w:p>
        </w:tc>
        <w:tc>
          <w:tcPr>
            <w:tcW w:w="2571" w:type="dxa"/>
            <w:shd w:val="clear" w:color="auto" w:fill="auto"/>
            <w:vAlign w:val="center"/>
          </w:tcPr>
          <w:p>
            <w:pPr>
              <w:jc w:val="center"/>
              <w:rPr>
                <w:rFonts w:ascii="仿宋_GB2312" w:eastAsia="仿宋_GB2312"/>
                <w:b/>
                <w:sz w:val="28"/>
                <w:szCs w:val="28"/>
              </w:rPr>
            </w:pPr>
            <w:r>
              <w:rPr>
                <w:rFonts w:hint="eastAsia" w:ascii="仿宋_GB2312" w:hAnsi="宋体" w:eastAsia="仿宋_GB2312"/>
                <w:b/>
                <w:sz w:val="28"/>
                <w:szCs w:val="28"/>
              </w:rPr>
              <w:t>100</w:t>
            </w:r>
          </w:p>
        </w:tc>
        <w:tc>
          <w:tcPr>
            <w:tcW w:w="2965" w:type="dxa"/>
            <w:shd w:val="clear" w:color="auto" w:fill="auto"/>
            <w:vAlign w:val="center"/>
          </w:tcPr>
          <w:p>
            <w:pPr>
              <w:jc w:val="center"/>
              <w:rPr>
                <w:rFonts w:ascii="仿宋_GB2312" w:eastAsia="仿宋_GB2312"/>
                <w:b/>
                <w:sz w:val="28"/>
                <w:szCs w:val="28"/>
              </w:rPr>
            </w:pPr>
            <w:r>
              <w:rPr>
                <w:rFonts w:hint="eastAsia" w:ascii="仿宋_GB2312" w:eastAsia="仿宋_GB2312"/>
                <w:b/>
                <w:sz w:val="28"/>
                <w:szCs w:val="28"/>
              </w:rPr>
              <w:t>90.35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2" w:hRule="atLeast"/>
        </w:trPr>
        <w:tc>
          <w:tcPr>
            <w:tcW w:w="2862" w:type="dxa"/>
            <w:shd w:val="clear" w:color="auto" w:fill="auto"/>
            <w:vAlign w:val="center"/>
          </w:tcPr>
          <w:p>
            <w:pPr>
              <w:jc w:val="center"/>
              <w:rPr>
                <w:rFonts w:ascii="仿宋_GB2312" w:hAnsi="宋体" w:eastAsia="仿宋_GB2312"/>
                <w:b/>
                <w:sz w:val="28"/>
                <w:szCs w:val="28"/>
              </w:rPr>
            </w:pPr>
            <w:r>
              <w:rPr>
                <w:rFonts w:hint="eastAsia" w:ascii="仿宋_GB2312" w:hAnsi="宋体" w:eastAsia="仿宋_GB2312"/>
                <w:b/>
                <w:sz w:val="28"/>
                <w:szCs w:val="28"/>
              </w:rPr>
              <w:t>绩效评定级别</w:t>
            </w:r>
          </w:p>
        </w:tc>
        <w:tc>
          <w:tcPr>
            <w:tcW w:w="5536" w:type="dxa"/>
            <w:gridSpan w:val="2"/>
            <w:shd w:val="clear" w:color="auto" w:fill="auto"/>
            <w:vAlign w:val="center"/>
          </w:tcPr>
          <w:p>
            <w:pPr>
              <w:jc w:val="center"/>
              <w:rPr>
                <w:rFonts w:ascii="仿宋_GB2312" w:hAnsi="宋体" w:eastAsia="仿宋_GB2312"/>
                <w:b/>
                <w:sz w:val="28"/>
                <w:szCs w:val="28"/>
              </w:rPr>
            </w:pPr>
            <w:r>
              <w:rPr>
                <w:rFonts w:hint="eastAsia" w:ascii="仿宋_GB2312" w:hAnsi="宋体" w:eastAsia="仿宋_GB2312"/>
                <w:b/>
                <w:sz w:val="28"/>
                <w:szCs w:val="28"/>
              </w:rPr>
              <w:t>优</w:t>
            </w:r>
          </w:p>
        </w:tc>
      </w:tr>
    </w:tbl>
    <w:p>
      <w:pPr>
        <w:pStyle w:val="3"/>
        <w:adjustRightInd w:val="0"/>
        <w:snapToGrid w:val="0"/>
        <w:spacing w:before="312" w:beforeLines="100"/>
        <w:ind w:firstLine="640" w:firstLineChars="200"/>
        <w:rPr>
          <w:rFonts w:ascii="Times New Roman" w:hAnsi="Times New Roman" w:eastAsia="黑体" w:cs="Times New Roman"/>
          <w:b w:val="0"/>
          <w:bCs w:val="0"/>
          <w:sz w:val="32"/>
          <w:szCs w:val="32"/>
        </w:rPr>
      </w:pPr>
      <w:bookmarkStart w:id="32" w:name="_Toc32744"/>
      <w:bookmarkStart w:id="33" w:name="_Toc22782"/>
      <w:r>
        <w:rPr>
          <w:rFonts w:hint="eastAsia" w:ascii="Times New Roman" w:hAnsi="Times New Roman" w:eastAsia="黑体" w:cs="Times New Roman"/>
          <w:b w:val="0"/>
          <w:bCs w:val="0"/>
          <w:sz w:val="32"/>
          <w:szCs w:val="32"/>
        </w:rPr>
        <w:t>四、绩效评价指标分析</w:t>
      </w:r>
      <w:bookmarkEnd w:id="32"/>
      <w:bookmarkEnd w:id="33"/>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34" w:name="_Toc8324"/>
      <w:bookmarkStart w:id="35" w:name="_Toc11705"/>
      <w:r>
        <w:rPr>
          <w:rFonts w:hint="eastAsia" w:ascii="仿宋_GB2312" w:hAnsi="仿宋_GB2312" w:eastAsia="仿宋_GB2312" w:cs="仿宋_GB2312"/>
          <w:b/>
          <w:bCs/>
          <w:kern w:val="0"/>
          <w:sz w:val="32"/>
          <w:szCs w:val="32"/>
        </w:rPr>
        <w:t>（一）项目决策情况</w:t>
      </w:r>
      <w:bookmarkEnd w:id="34"/>
      <w:bookmarkEnd w:id="35"/>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项目立项情况分析</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落实《北京艺术博物馆十四五规划》，市文物局成立了万寿寺专项工作领导小组，指导项目单位落实好开放的相关工作任务内容。经项目单位馆务会研究决定，申请该项目立项，于2021年9月向市文物局提交《北京艺术博物馆关于北京艺术博物馆（万寿寺）中路、东路部分基本陈列展览的请示》（京艺博〔2021〕24号），于2021年11月取得《北京市文物局关于同意北京艺术博物馆（万寿寺）中路、东路部分基本陈列展览的批复》（京文物〔2021〕1668号），项目正式立项。</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综上所述，项目立项依据充分，立项程序规范。</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绩效目标设定情况分析</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Hans"/>
        </w:rPr>
        <w:t>该项目围绕项目内容、项目进度、预期效益情况，设定了项目的绩效目标，并将绩效目标细化为具体的产出、效益及满意度指标，根据具体指标内容明确指标值。项目绩效目标的设定符合部门职能，与相应的预算支出内容、范围、效果等相关，绩效目标设定符合客观实际、基本明确</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Hans"/>
        </w:rPr>
        <w:t>可衡量</w:t>
      </w:r>
      <w:r>
        <w:rPr>
          <w:rFonts w:hint="eastAsia" w:ascii="仿宋_GB2312" w:hAnsi="仿宋_GB2312" w:eastAsia="仿宋_GB2312" w:cs="仿宋_GB2312"/>
          <w:bCs/>
          <w:sz w:val="32"/>
          <w:szCs w:val="32"/>
        </w:rPr>
        <w:t>，但</w:t>
      </w:r>
      <w:r>
        <w:rPr>
          <w:rFonts w:hint="eastAsia" w:ascii="仿宋_GB2312" w:hAnsi="仿宋_GB2312" w:eastAsia="仿宋_GB2312" w:cs="仿宋_GB2312"/>
          <w:kern w:val="0"/>
          <w:sz w:val="32"/>
          <w:szCs w:val="32"/>
        </w:rPr>
        <w:t>绩效目标仅设置了设备购置相关的指标，缺少项目实施中深化方案数量、基本陈列数量等指标内容</w:t>
      </w:r>
      <w:r>
        <w:rPr>
          <w:rFonts w:hint="eastAsia" w:ascii="仿宋_GB2312" w:hAnsi="仿宋_GB2312" w:eastAsia="仿宋_GB2312" w:cs="仿宋_GB2312"/>
          <w:bCs/>
          <w:sz w:val="32"/>
          <w:szCs w:val="32"/>
        </w:rPr>
        <w:t>。</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综上所述，项目绩效目标编制明确、合理，但应加强项目目标与预算匹配度。</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3.资金投入情况分析</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申报预算资金总额1,292.80万元，经北京市财政局预算评审中心评审，最终审定资金总额1,249.23万元，其中：深化设计及施工服务1,102.87万元，监理费30.8万元，招标代理服务费7.76万元，专家劳务费2.00万元，图片版权费8.00万元，图录出版97.80万元。项目资金分配方向与项目任务内容相符，但预算编制的准确性存在一定的不足，项目执行过程中存在较多调整事项。</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综合上述，项目预算符合相关标准，资金分配合理，但绩效目标设置的完整度以及预算编制的准确性有待进一步提高。</w:t>
      </w:r>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36" w:name="_Toc25116"/>
      <w:bookmarkStart w:id="37" w:name="_Toc4245"/>
      <w:r>
        <w:rPr>
          <w:rFonts w:hint="eastAsia" w:ascii="仿宋_GB2312" w:hAnsi="仿宋_GB2312" w:eastAsia="仿宋_GB2312" w:cs="仿宋_GB2312"/>
          <w:b/>
          <w:bCs/>
          <w:kern w:val="0"/>
          <w:sz w:val="32"/>
          <w:szCs w:val="32"/>
        </w:rPr>
        <w:t>（二）项目过程情况</w:t>
      </w:r>
      <w:bookmarkEnd w:id="36"/>
      <w:bookmarkEnd w:id="37"/>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资金管理情况分析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该项目实际批复预算</w:t>
      </w:r>
      <w:r>
        <w:rPr>
          <w:rFonts w:hint="eastAsia" w:ascii="仿宋_GB2312" w:hAnsi="仿宋_GB2312" w:eastAsia="仿宋_GB2312" w:cs="仿宋_GB2312"/>
          <w:bCs/>
          <w:sz w:val="32"/>
          <w:szCs w:val="32"/>
        </w:rPr>
        <w:t>1</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238.21</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，实际到位资金</w:t>
      </w:r>
      <w:r>
        <w:rPr>
          <w:rFonts w:hint="eastAsia" w:ascii="仿宋_GB2312" w:hAnsi="仿宋_GB2312" w:eastAsia="仿宋_GB2312" w:cs="仿宋_GB2312"/>
          <w:bCs/>
          <w:sz w:val="32"/>
          <w:szCs w:val="32"/>
        </w:rPr>
        <w:t>1</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238.21</w:t>
      </w:r>
      <w:r>
        <w:rPr>
          <w:rFonts w:hint="eastAsia" w:ascii="仿宋_GB2312" w:hAnsi="仿宋_GB2312" w:eastAsia="仿宋_GB2312" w:cs="仿宋_GB2312"/>
          <w:sz w:val="32"/>
          <w:szCs w:val="32"/>
        </w:rPr>
        <w:t>万元，资金到位率100%。</w:t>
      </w:r>
      <w:r>
        <w:rPr>
          <w:rFonts w:hint="eastAsia" w:ascii="仿宋_GB2312" w:hAnsi="仿宋_GB2312" w:eastAsia="仿宋_GB2312" w:cs="仿宋_GB2312"/>
          <w:sz w:val="32"/>
          <w:szCs w:val="32"/>
          <w:lang w:eastAsia="zh-Hans"/>
        </w:rPr>
        <w:t>截至2022年12月31日，该项目实际执行资金总额1</w:t>
      </w:r>
      <w:r>
        <w:rPr>
          <w:rFonts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eastAsia="zh-Hans"/>
        </w:rPr>
        <w:t>229.9</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预算执行率99.33%。结余资金8.26万元，结余的主要原因系通过竞争性磋商的方式采购监理服务单位，节约资金7.7</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eastAsia="zh-Hans"/>
        </w:rPr>
        <w:t>万元</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资金管理方面，项目单位按照《北京艺术博物馆收支业务管理制度》《北京艺术博物馆项目资金管理制度》《北京艺术博物馆政府采购管理制度》</w:t>
      </w:r>
      <w:r>
        <w:rPr>
          <w:rFonts w:hint="eastAsia" w:ascii="仿宋_GB2312" w:hAnsi="仿宋_GB2312" w:eastAsia="仿宋_GB2312" w:cs="仿宋_GB2312"/>
          <w:bCs/>
          <w:sz w:val="32"/>
          <w:szCs w:val="32"/>
        </w:rPr>
        <w:t>等制度文件</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在项目实际开展中基本按照相关制度执行，</w:t>
      </w:r>
      <w:r>
        <w:rPr>
          <w:rFonts w:hint="eastAsia" w:ascii="仿宋_GB2312" w:hAnsi="仿宋_GB2312" w:eastAsia="仿宋_GB2312" w:cs="仿宋_GB2312"/>
          <w:sz w:val="32"/>
          <w:szCs w:val="32"/>
          <w:lang w:eastAsia="zh-Hans"/>
        </w:rPr>
        <w:t>项目资金支出手续完善，不存在虚报、冒领、截留、挪用或变相使用等情况</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保障了资金支出的准确性和合理性</w:t>
      </w:r>
      <w:r>
        <w:rPr>
          <w:rFonts w:hint="eastAsia" w:ascii="仿宋_GB2312" w:hAnsi="仿宋_GB2312" w:eastAsia="仿宋_GB2312" w:cs="仿宋_GB2312"/>
          <w:sz w:val="32"/>
          <w:szCs w:val="32"/>
        </w:rPr>
        <w:t>。</w:t>
      </w:r>
    </w:p>
    <w:p>
      <w:pPr>
        <w:adjustRightInd w:val="0"/>
        <w:snapToGrid w:val="0"/>
        <w:spacing w:line="360" w:lineRule="auto"/>
        <w:ind w:firstLine="640" w:firstLineChars="200"/>
        <w:rPr>
          <w:rFonts w:ascii="仿宋_GB2312" w:hAnsi="仿宋_GB2312" w:eastAsia="仿宋_GB2312" w:cs="仿宋_GB2312"/>
          <w:sz w:val="32"/>
          <w:szCs w:val="32"/>
          <w:lang w:eastAsia="zh-Hans"/>
        </w:rPr>
      </w:pPr>
      <w:r>
        <w:rPr>
          <w:rFonts w:hint="eastAsia" w:ascii="仿宋_GB2312" w:hAnsi="仿宋_GB2312" w:eastAsia="仿宋_GB2312" w:cs="仿宋_GB2312"/>
          <w:sz w:val="32"/>
          <w:szCs w:val="32"/>
        </w:rPr>
        <w:t>综上所述，项目资金到位及时，内部控制制度执行有效，</w:t>
      </w:r>
      <w:r>
        <w:rPr>
          <w:rFonts w:hint="eastAsia" w:ascii="仿宋_GB2312" w:hAnsi="仿宋_GB2312" w:eastAsia="仿宋_GB2312" w:cs="仿宋_GB2312"/>
          <w:sz w:val="32"/>
          <w:szCs w:val="32"/>
          <w:lang w:eastAsia="zh-Hans"/>
        </w:rPr>
        <w:t>保障了资金</w:t>
      </w:r>
      <w:r>
        <w:rPr>
          <w:rFonts w:hint="eastAsia" w:ascii="仿宋_GB2312" w:hAnsi="仿宋_GB2312" w:eastAsia="仿宋_GB2312" w:cs="仿宋_GB2312"/>
          <w:sz w:val="32"/>
          <w:szCs w:val="32"/>
        </w:rPr>
        <w:t>使用合规</w:t>
      </w:r>
      <w:r>
        <w:rPr>
          <w:rFonts w:hint="eastAsia" w:ascii="仿宋_GB2312" w:hAnsi="仿宋_GB2312" w:eastAsia="仿宋_GB2312" w:cs="仿宋_GB2312"/>
          <w:sz w:val="32"/>
          <w:szCs w:val="32"/>
          <w:lang w:eastAsia="zh-Hans"/>
        </w:rPr>
        <w:t>。</w:t>
      </w:r>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Hans"/>
        </w:rPr>
        <w:t>项目组织管理情况分析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（1）管理制度的健全性分析</w:t>
      </w:r>
    </w:p>
    <w:p>
      <w:pPr>
        <w:widowControl/>
        <w:adjustRightInd w:val="0"/>
        <w:snapToGrid w:val="0"/>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为确保项目完成质量，项目单位成立了项目领导小组，下设展陈大纲组、展陈设施协调组、基础装修组、展陈形式设计组、布展实施组、图录出版组、文案组，按照分工各司其职，形成合力，推进工作。同时，编制形成《北京艺术博物馆基本陈列项目组织工作实施方案》，明确了项目管理目标、项目阶段划分、制度保障情况（包括会议协调制度、督促检查制度、质量验收制度、资料留存制度等）。项目组织机构健全、职责分工明确，管理要素完整，对项目的实施起到很好的保障作用。</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（2）制度执行的有效性</w:t>
      </w:r>
    </w:p>
    <w:p>
      <w:pPr>
        <w:pStyle w:val="14"/>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在项目采购环节，项目单位严格按照项目实施方案和深化设计方案执行，组织完成项目采购；北京艺术博物馆（万寿寺）中路东路部分基本陈列其他会展服务采购项目预算资金1,102.87万元、北京艺术博物馆（万寿寺）中路东路部分基本陈列其他会展服务采购项目监理预算30.80万元，根据单位内控要求，分别采取公开招标和竞争性磋商的方式进行采购，程序合规。具体采购实施情况见图1。</w:t>
      </w:r>
    </w:p>
    <w:p>
      <w:pPr>
        <w:pStyle w:val="8"/>
        <w:adjustRightInd w:val="0"/>
        <w:snapToGrid w:val="0"/>
        <w:spacing w:line="360" w:lineRule="auto"/>
        <w:jc w:val="center"/>
        <w:rPr>
          <w:rFonts w:ascii="黑体" w:hAnsi="黑体" w:eastAsia="黑体" w:cs="黑体"/>
          <w:bCs/>
          <w:sz w:val="28"/>
          <w:szCs w:val="28"/>
        </w:rPr>
      </w:pPr>
      <w:r>
        <w:rPr>
          <w:rFonts w:hint="eastAsia" w:ascii="黑体" w:hAnsi="黑体" w:eastAsia="黑体" w:cs="黑体"/>
          <w:bCs/>
          <w:sz w:val="28"/>
          <w:szCs w:val="28"/>
        </w:rPr>
        <w:t>图1：项目采购实施流程图</w:t>
      </w:r>
    </w:p>
    <w:p>
      <w:pPr>
        <w:rPr>
          <w:rFonts w:ascii="仿宋_GB2312" w:hAnsi="仿宋_GB2312" w:eastAsia="仿宋_GB2312" w:cs="仿宋_GB2312"/>
          <w:sz w:val="32"/>
          <w:szCs w:val="32"/>
        </w:rPr>
      </w:pPr>
      <w:r>
        <w:drawing>
          <wp:anchor distT="0" distB="0" distL="114300" distR="114300" simplePos="0" relativeHeight="251659264" behindDoc="0" locked="0" layoutInCell="1" allowOverlap="1">
            <wp:simplePos x="0" y="0"/>
            <wp:positionH relativeFrom="column">
              <wp:posOffset>-12700</wp:posOffset>
            </wp:positionH>
            <wp:positionV relativeFrom="paragraph">
              <wp:posOffset>35560</wp:posOffset>
            </wp:positionV>
            <wp:extent cx="5268595" cy="2332355"/>
            <wp:effectExtent l="0" t="0" r="4445" b="14605"/>
            <wp:wrapNone/>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5268595" cy="2332355"/>
                    </a:xfrm>
                    <a:prstGeom prst="rect">
                      <a:avLst/>
                    </a:prstGeom>
                    <a:noFill/>
                    <a:ln>
                      <a:noFill/>
                    </a:ln>
                  </pic:spPr>
                </pic:pic>
              </a:graphicData>
            </a:graphic>
          </wp:anchor>
        </w:drawing>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pStyle w:val="2"/>
        <w:rPr>
          <w:rFonts w:ascii="仿宋_GB2312" w:hAnsi="仿宋_GB2312" w:eastAsia="仿宋_GB2312" w:cs="仿宋_GB2312"/>
          <w:sz w:val="32"/>
          <w:szCs w:val="32"/>
        </w:rPr>
      </w:pPr>
    </w:p>
    <w:p>
      <w:pPr>
        <w:pStyle w:val="14"/>
        <w:widowControl w:val="0"/>
        <w:adjustRightInd w:val="0"/>
        <w:snapToGrid w:val="0"/>
        <w:spacing w:before="0" w:beforeAutospacing="0" w:after="0" w:afterAutospacing="0" w:line="360" w:lineRule="auto"/>
        <w:ind w:firstLine="640" w:firstLineChars="200"/>
        <w:jc w:val="both"/>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在项目实施环节，项目单位严格按照项目管理要求完成项目设计、项目实施（包括基础装修、陈列布展、专业灯光、多媒体系统工程等）等内容，通过监理全过程进行有效的目标控制，监督各方合同的履行，保证项目实施质量。按照设计图纸、建筑安装工程施工及验收规范，做好项目的实施与验收管理。项目单位各项制度得到了有效执行，但在资产管理和结算成本控制方面有待进一步改进。一是项目2022年9月3日验收，但固定资产分别于2023年1月、3月入账，入账不及时；二是项目有4个部分的18项内容进行了调整，结算工作尚有提升空间，需在今后工作过程中完善工作机制。</w:t>
      </w:r>
    </w:p>
    <w:p>
      <w:pPr>
        <w:pStyle w:val="14"/>
        <w:widowControl w:val="0"/>
        <w:adjustRightInd w:val="0"/>
        <w:snapToGrid w:val="0"/>
        <w:spacing w:before="0" w:beforeAutospacing="0" w:after="0" w:afterAutospacing="0" w:line="360" w:lineRule="auto"/>
        <w:ind w:firstLine="640" w:firstLineChars="200"/>
        <w:jc w:val="both"/>
        <w:rPr>
          <w:rFonts w:eastAsia="仿宋_GB2312"/>
        </w:rPr>
      </w:pPr>
      <w:r>
        <w:rPr>
          <w:rFonts w:hint="eastAsia" w:ascii="仿宋_GB2312" w:eastAsia="仿宋_GB2312"/>
          <w:bCs/>
          <w:sz w:val="32"/>
          <w:szCs w:val="32"/>
        </w:rPr>
        <w:t>综上所述，该项目组织管理制度健全，在项目执行中基本能够得到有效执行。</w:t>
      </w:r>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38" w:name="_Toc16486"/>
      <w:bookmarkStart w:id="39" w:name="_Toc25442"/>
      <w:r>
        <w:rPr>
          <w:rFonts w:hint="eastAsia" w:ascii="仿宋_GB2312" w:hAnsi="仿宋_GB2312" w:eastAsia="仿宋_GB2312" w:cs="仿宋_GB2312"/>
          <w:b/>
          <w:bCs/>
          <w:kern w:val="0"/>
          <w:sz w:val="32"/>
          <w:szCs w:val="32"/>
        </w:rPr>
        <w:t>（三）项目产出情况</w:t>
      </w:r>
      <w:bookmarkEnd w:id="38"/>
      <w:bookmarkEnd w:id="39"/>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1.产出数量</w:t>
      </w:r>
      <w:r>
        <w:rPr>
          <w:rFonts w:hint="eastAsia" w:ascii="仿宋_GB2312" w:hAnsi="仿宋_GB2312" w:eastAsia="仿宋_GB2312" w:cs="仿宋_GB2312"/>
          <w:kern w:val="0"/>
          <w:sz w:val="32"/>
          <w:szCs w:val="32"/>
          <w:lang w:eastAsia="zh-Hans"/>
        </w:rPr>
        <w:t>完成情况分析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单位高效完成了5个基本陈列，分别是中路《缘岸梵刹—万寿寺历史沿革展》《妙法庄严—明清佛像艺术展》《吉物咏寿—馆藏吉寿文物专题展》《万几余暇—清代皇室及其后裔书画艺术展》东路方丈院《云落佳木—中国传统家具展》。具体完成情况见表5。</w:t>
      </w:r>
    </w:p>
    <w:p>
      <w:pPr>
        <w:pStyle w:val="8"/>
        <w:adjustRightInd w:val="0"/>
        <w:snapToGrid w:val="0"/>
        <w:spacing w:line="360" w:lineRule="auto"/>
        <w:jc w:val="center"/>
        <w:rPr>
          <w:rFonts w:ascii="黑体" w:hAnsi="黑体" w:eastAsia="黑体" w:cs="黑体"/>
          <w:bCs/>
          <w:sz w:val="28"/>
          <w:szCs w:val="28"/>
          <w:lang w:eastAsia="zh-Hans"/>
        </w:rPr>
      </w:pPr>
      <w:r>
        <w:rPr>
          <w:rFonts w:hint="eastAsia" w:ascii="黑体" w:hAnsi="黑体" w:eastAsia="黑体" w:cs="黑体"/>
          <w:bCs/>
          <w:sz w:val="28"/>
          <w:szCs w:val="28"/>
          <w:lang w:eastAsia="zh-Hans"/>
        </w:rPr>
        <w:t>表</w:t>
      </w:r>
      <w:r>
        <w:rPr>
          <w:rFonts w:hint="eastAsia" w:ascii="黑体" w:hAnsi="黑体" w:eastAsia="黑体" w:cs="黑体"/>
          <w:bCs/>
          <w:sz w:val="28"/>
          <w:szCs w:val="28"/>
        </w:rPr>
        <w:t>5</w:t>
      </w:r>
      <w:r>
        <w:rPr>
          <w:rFonts w:hint="eastAsia" w:ascii="黑体" w:hAnsi="黑体" w:eastAsia="黑体" w:cs="黑体"/>
          <w:bCs/>
          <w:sz w:val="28"/>
          <w:szCs w:val="28"/>
          <w:lang w:eastAsia="zh-Hans"/>
        </w:rPr>
        <w:t>：</w:t>
      </w:r>
      <w:r>
        <w:rPr>
          <w:rFonts w:hint="eastAsia" w:ascii="黑体" w:hAnsi="黑体" w:eastAsia="黑体" w:cs="黑体"/>
          <w:bCs/>
          <w:sz w:val="28"/>
          <w:szCs w:val="28"/>
        </w:rPr>
        <w:t>产出数量指标完成情况对比</w:t>
      </w:r>
      <w:r>
        <w:rPr>
          <w:rFonts w:hint="eastAsia" w:ascii="黑体" w:hAnsi="黑体" w:eastAsia="黑体" w:cs="黑体"/>
          <w:bCs/>
          <w:sz w:val="28"/>
          <w:szCs w:val="28"/>
          <w:lang w:eastAsia="zh-Hans"/>
        </w:rPr>
        <w:t>情况表</w:t>
      </w:r>
    </w:p>
    <w:tbl>
      <w:tblPr>
        <w:tblStyle w:val="16"/>
        <w:tblW w:w="4546" w:type="pct"/>
        <w:jc w:val="center"/>
        <w:tblDescription w:val="{&quot;styleId&quot;: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2210"/>
        <w:gridCol w:w="1090"/>
        <w:gridCol w:w="894"/>
        <w:gridCol w:w="791"/>
        <w:gridCol w:w="856"/>
        <w:gridCol w:w="822"/>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exact"/>
          <w:tblHeader/>
          <w:jc w:val="center"/>
        </w:trPr>
        <w:tc>
          <w:tcPr>
            <w:tcW w:w="1426" w:type="pct"/>
            <w:vMerge w:val="restar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指标内容</w:t>
            </w:r>
          </w:p>
        </w:tc>
        <w:tc>
          <w:tcPr>
            <w:tcW w:w="1790" w:type="pct"/>
            <w:gridSpan w:val="3"/>
            <w:shd w:val="clear" w:color="auto" w:fill="FFFFFF" w:themeFill="background1"/>
            <w:vAlign w:val="center"/>
          </w:tcPr>
          <w:p>
            <w:pPr>
              <w:widowControl/>
              <w:jc w:val="center"/>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目标设置</w:t>
            </w:r>
          </w:p>
        </w:tc>
        <w:tc>
          <w:tcPr>
            <w:tcW w:w="1782" w:type="pct"/>
            <w:gridSpan w:val="3"/>
            <w:shd w:val="clear" w:color="auto" w:fill="FFFFFF" w:themeFill="background1"/>
            <w:vAlign w:val="center"/>
          </w:tcPr>
          <w:p>
            <w:pPr>
              <w:widowControl/>
              <w:jc w:val="center"/>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tblHeader/>
          <w:jc w:val="center"/>
        </w:trPr>
        <w:tc>
          <w:tcPr>
            <w:tcW w:w="1426" w:type="pct"/>
            <w:vMerge w:val="continue"/>
            <w:shd w:val="clear" w:color="auto" w:fill="FFFFFF" w:themeFill="background1"/>
            <w:vAlign w:val="center"/>
          </w:tcPr>
          <w:p>
            <w:pPr>
              <w:rPr>
                <w:rFonts w:asciiTheme="minorEastAsia" w:hAnsiTheme="minorEastAsia" w:cstheme="minorEastAsia"/>
                <w:b/>
                <w:bCs/>
                <w:color w:val="000000"/>
                <w:sz w:val="18"/>
                <w:szCs w:val="18"/>
              </w:rPr>
            </w:pPr>
          </w:p>
        </w:tc>
        <w:tc>
          <w:tcPr>
            <w:tcW w:w="703"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指标性质</w:t>
            </w:r>
          </w:p>
        </w:tc>
        <w:tc>
          <w:tcPr>
            <w:tcW w:w="577"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指标值</w:t>
            </w:r>
          </w:p>
        </w:tc>
        <w:tc>
          <w:tcPr>
            <w:tcW w:w="509"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单位</w:t>
            </w:r>
          </w:p>
        </w:tc>
        <w:tc>
          <w:tcPr>
            <w:tcW w:w="552"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指标值</w:t>
            </w:r>
          </w:p>
        </w:tc>
        <w:tc>
          <w:tcPr>
            <w:tcW w:w="530"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单位</w:t>
            </w:r>
          </w:p>
        </w:tc>
        <w:tc>
          <w:tcPr>
            <w:tcW w:w="699" w:type="pct"/>
            <w:shd w:val="clear" w:color="auto" w:fill="FFFFFF" w:themeFill="background1"/>
            <w:vAlign w:val="center"/>
          </w:tcPr>
          <w:p>
            <w:pPr>
              <w:widowControl/>
              <w:textAlignment w:val="center"/>
              <w:rPr>
                <w:rFonts w:asciiTheme="minorEastAsia" w:hAnsiTheme="minorEastAsia" w:cstheme="minorEastAsia"/>
                <w:b/>
                <w:bCs/>
                <w:color w:val="000000"/>
                <w:sz w:val="18"/>
                <w:szCs w:val="18"/>
              </w:rPr>
            </w:pPr>
            <w:r>
              <w:rPr>
                <w:rFonts w:hint="eastAsia" w:asciiTheme="minorEastAsia" w:hAnsiTheme="minorEastAsia" w:cstheme="minorEastAsia"/>
                <w:b/>
                <w:bCs/>
                <w:color w:val="000000"/>
                <w:kern w:val="0"/>
                <w:sz w:val="18"/>
                <w:szCs w:val="18"/>
                <w:lang w:bidi="ar"/>
              </w:rPr>
              <w:t>完成程度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3匹空调</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10</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5匹空调</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9</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LED全彩屏</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86寸液晶广告机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2</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86寸挂壁液晶广告机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86寸挂壁液晶电视</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红外线人体测温仪</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abs>
                <w:tab w:val="left" w:pos="896"/>
                <w:tab w:val="center" w:pos="1962"/>
              </w:tabs>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参观人数统计摄像头</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tabs>
                <w:tab w:val="left" w:pos="252"/>
              </w:tabs>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4</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4</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86寸液晶电视</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套</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43寸广告机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32寸户外触摸一体机</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55寸液晶拼接屏（多点触控）</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5</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kern w:val="0"/>
                <w:sz w:val="18"/>
                <w:szCs w:val="18"/>
                <w:lang w:bidi="ar"/>
              </w:rPr>
            </w:pPr>
            <w:r>
              <w:rPr>
                <w:rFonts w:hint="eastAsia" w:asciiTheme="minorEastAsia" w:hAnsiTheme="minorEastAsia" w:cstheme="minorEastAsia"/>
                <w:color w:val="000000"/>
                <w:kern w:val="0"/>
                <w:sz w:val="18"/>
                <w:szCs w:val="18"/>
                <w:lang w:bidi="ar"/>
              </w:rPr>
              <w:t>台</w:t>
            </w:r>
          </w:p>
        </w:tc>
        <w:tc>
          <w:tcPr>
            <w:tcW w:w="552" w:type="pct"/>
            <w:shd w:val="clear" w:color="auto" w:fill="FFFFFF" w:themeFill="background1"/>
            <w:noWrap/>
            <w:vAlign w:val="center"/>
          </w:tcPr>
          <w:p>
            <w:pPr>
              <w:tabs>
                <w:tab w:val="left" w:pos="717"/>
                <w:tab w:val="center" w:pos="999"/>
              </w:tabs>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5</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台</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1426" w:type="pct"/>
            <w:shd w:val="clear" w:color="auto" w:fill="FFFFFF" w:themeFill="background1"/>
            <w:vAlign w:val="center"/>
          </w:tcPr>
          <w:p>
            <w:pPr>
              <w:widowControl/>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展览面积</w:t>
            </w:r>
          </w:p>
        </w:tc>
        <w:tc>
          <w:tcPr>
            <w:tcW w:w="703"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w:t>
            </w:r>
          </w:p>
        </w:tc>
        <w:tc>
          <w:tcPr>
            <w:tcW w:w="577"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1860</w:t>
            </w:r>
          </w:p>
        </w:tc>
        <w:tc>
          <w:tcPr>
            <w:tcW w:w="509"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平方米</w:t>
            </w:r>
          </w:p>
        </w:tc>
        <w:tc>
          <w:tcPr>
            <w:tcW w:w="552"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1860</w:t>
            </w:r>
          </w:p>
        </w:tc>
        <w:tc>
          <w:tcPr>
            <w:tcW w:w="530" w:type="pct"/>
            <w:shd w:val="clear" w:color="auto" w:fill="FFFFFF" w:themeFill="background1"/>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lang w:bidi="ar"/>
              </w:rPr>
              <w:t>平方米</w:t>
            </w:r>
          </w:p>
        </w:tc>
        <w:tc>
          <w:tcPr>
            <w:tcW w:w="699" w:type="pct"/>
            <w:shd w:val="clear" w:color="auto" w:fill="FFFFFF" w:themeFill="background1"/>
            <w:noWrap/>
            <w:vAlign w:val="center"/>
          </w:tcPr>
          <w:p>
            <w:pPr>
              <w:jc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100%</w:t>
            </w:r>
          </w:p>
        </w:tc>
      </w:tr>
    </w:tbl>
    <w:p>
      <w:pPr>
        <w:adjustRightInd w:val="0"/>
        <w:snapToGrid w:val="0"/>
        <w:spacing w:before="312" w:beforeLines="10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综上所述，该项目按照年初数量指标设定情况完成了各项指标内容。</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2.产出质量</w:t>
      </w:r>
      <w:r>
        <w:rPr>
          <w:rFonts w:hint="eastAsia" w:ascii="仿宋_GB2312" w:hAnsi="仿宋_GB2312" w:eastAsia="仿宋_GB2312" w:cs="仿宋_GB2312"/>
          <w:kern w:val="0"/>
          <w:sz w:val="32"/>
          <w:szCs w:val="32"/>
          <w:lang w:eastAsia="zh-Hans"/>
        </w:rPr>
        <w:t>完成情况分析</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项目实施完成后，于2022年9月3日经项目单位、监理单位、实施单位三方验收，工程竣工率100%，设备验收通过率100%，展厅完成度100%，项目验收合格；于2022年11月3日组织召开项目结项验收专家会，综合验收合格。</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综上所述，该项目基本按照年初质量指标设定情况完成了各项指标内容。</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3.产出时效</w:t>
      </w:r>
      <w:r>
        <w:rPr>
          <w:rFonts w:hint="eastAsia" w:ascii="仿宋_GB2312" w:hAnsi="仿宋_GB2312" w:eastAsia="仿宋_GB2312" w:cs="仿宋_GB2312"/>
          <w:kern w:val="0"/>
          <w:sz w:val="32"/>
          <w:szCs w:val="32"/>
          <w:lang w:eastAsia="zh-Hans"/>
        </w:rPr>
        <w:t>情况分析</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项目于2022年2月取得立项批复，组织实施招标，于3月9日签发开工令。受新冠肺炎疫情影响，4月25日至6月16日期间项目暂停施工，最终于9月3日完成全部施工内容，办理竣工验收，较项目计划验收时间滞后2个月。</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综上所述，该项目总体实施进度较项目计划进度滞后。</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4.产出成本控制</w:t>
      </w:r>
      <w:r>
        <w:rPr>
          <w:rFonts w:hint="eastAsia" w:ascii="仿宋_GB2312" w:hAnsi="仿宋_GB2312" w:eastAsia="仿宋_GB2312" w:cs="仿宋_GB2312"/>
          <w:kern w:val="0"/>
          <w:sz w:val="32"/>
          <w:szCs w:val="32"/>
          <w:lang w:eastAsia="zh-Hans"/>
        </w:rPr>
        <w:t>情况分析</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lang w:eastAsia="zh-Hans"/>
        </w:rPr>
        <w:t>通过</w:t>
      </w:r>
      <w:r>
        <w:rPr>
          <w:rFonts w:hint="eastAsia" w:ascii="仿宋_GB2312" w:hAnsi="仿宋_GB2312" w:cs="仿宋_GB2312"/>
          <w:sz w:val="32"/>
          <w:szCs w:val="32"/>
        </w:rPr>
        <w:t>履行政府采购程序，</w:t>
      </w:r>
      <w:r>
        <w:rPr>
          <w:rFonts w:hint="eastAsia"/>
          <w:color w:val="auto"/>
          <w:sz w:val="32"/>
          <w:szCs w:val="32"/>
        </w:rPr>
        <w:t>项目单位</w:t>
      </w:r>
      <w:r>
        <w:rPr>
          <w:rFonts w:hint="eastAsia" w:ascii="仿宋_GB2312" w:hAnsi="仿宋_GB2312" w:cs="仿宋_GB2312"/>
          <w:sz w:val="32"/>
          <w:szCs w:val="32"/>
        </w:rPr>
        <w:t>有效节约项目成本18.72万元，其中：展览服务招标控制价1,110.87万元（根据资金来源证明），中标价为1,099.85万元，节约11.02万元；监理服务采购限价30.80万元，中标价为23.10万元，节约7.70万元，采购环节项目成本节约情况较好。</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该项目预算批复1,238.21万元，实际预算执行资金总额1,229.95万元，预算执行率99.33%，项目最终执行金额虽控制在预算金额以内，但在项目结算方面成本控制措施不够。项目展览服务合同采取固定总价合同方式签订，但项目执行过程中存在多项内容调整，尽管经项目单位、监理单位、实施单位三方对变更事项进行了确认，对于结算金额的准确性仍缺少有效的控制。</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综上所述，该项目成本节约情况较好，但成本控制方面有待提高。</w:t>
      </w:r>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40" w:name="_Toc29976"/>
      <w:bookmarkStart w:id="41" w:name="_Toc15471"/>
      <w:r>
        <w:rPr>
          <w:rFonts w:hint="eastAsia" w:ascii="仿宋_GB2312" w:hAnsi="仿宋_GB2312" w:eastAsia="仿宋_GB2312" w:cs="仿宋_GB2312"/>
          <w:b/>
          <w:bCs/>
          <w:kern w:val="0"/>
          <w:sz w:val="32"/>
          <w:szCs w:val="32"/>
        </w:rPr>
        <w:t>（四）项目效益情况</w:t>
      </w:r>
      <w:bookmarkEnd w:id="40"/>
      <w:bookmarkEnd w:id="41"/>
    </w:p>
    <w:p>
      <w:pPr>
        <w:adjustRightInd w:val="0"/>
        <w:snapToGrid w:val="0"/>
        <w:spacing w:line="360" w:lineRule="auto"/>
        <w:ind w:firstLine="640" w:firstLineChars="200"/>
        <w:outlineLvl w:val="2"/>
        <w:rPr>
          <w:rFonts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Hans"/>
        </w:rPr>
        <w:t>社会效益及可持续影响分析</w:t>
      </w:r>
    </w:p>
    <w:p>
      <w:pPr>
        <w:pStyle w:val="19"/>
        <w:adjustRightInd w:val="0"/>
        <w:snapToGrid w:val="0"/>
        <w:ind w:firstLine="640"/>
        <w:rPr>
          <w:rFonts w:ascii="仿宋_GB2312" w:hAnsi="仿宋_GB2312" w:cs="仿宋_GB2312"/>
          <w:sz w:val="32"/>
          <w:szCs w:val="32"/>
        </w:rPr>
      </w:pPr>
      <w:r>
        <w:rPr>
          <w:rFonts w:hint="eastAsia" w:ascii="仿宋_GB2312" w:hAnsi="仿宋_GB2312" w:cs="仿宋_GB2312"/>
          <w:sz w:val="32"/>
          <w:szCs w:val="32"/>
        </w:rPr>
        <w:t>项目完成后，5个基本陈列展览预计展览周期5年以上，涉及11个展厅385件文物，展览内容特色突出、严谨，展览形式新颖，基本陈列内容符合项目单位藏品体系和博物馆的功能定位，形式设计能够突出所展文物特质，文化与艺术科普效果较好，不仅给观众带来良好的观展体验，同时也提高了博物馆的知名度。自开放日至2022年12月31日，累计观展人数68539人次。</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综上所述，</w:t>
      </w:r>
      <w:r>
        <w:rPr>
          <w:rFonts w:hint="eastAsia" w:ascii="仿宋_GB2312" w:hAnsi="仿宋_GB2312" w:eastAsia="仿宋_GB2312" w:cs="仿宋_GB2312"/>
          <w:kern w:val="0"/>
          <w:sz w:val="32"/>
          <w:szCs w:val="32"/>
        </w:rPr>
        <w:t>该项目展览展示手段多样化，与展示内容结合的恰当紧密。展览体现出北京艺术博物馆的整体风格，彰显出皇家气派，突出了艺博的文化特色，项目社会效益及可持续影响良好，但受新冠肺炎疫情的影响，观展人数与设定目标存在一定差距。</w:t>
      </w:r>
    </w:p>
    <w:p>
      <w:pPr>
        <w:adjustRightInd w:val="0"/>
        <w:snapToGrid w:val="0"/>
        <w:spacing w:line="360" w:lineRule="auto"/>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2.服务对象满意度情况</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为及时了解、总结展览展示效果，项目单位通过微信公众号、微博、小红书、展厅留言等线上线下渠道收集观众评论留言，及时改善提升服务效率及服务水平，目前</w:t>
      </w:r>
      <w:bookmarkStart w:id="55" w:name="_GoBack"/>
      <w:r>
        <w:rPr>
          <w:rFonts w:hint="eastAsia" w:ascii="仿宋_GB2312" w:hAnsi="仿宋_GB2312" w:eastAsia="仿宋_GB2312" w:cs="仿宋_GB2312"/>
          <w:color w:val="auto"/>
          <w:sz w:val="32"/>
          <w:szCs w:val="32"/>
        </w:rPr>
        <w:t>美团</w:t>
      </w:r>
      <w:r>
        <w:rPr>
          <w:rFonts w:hint="eastAsia" w:ascii="仿宋_GB2312" w:hAnsi="仿宋_GB2312" w:eastAsia="仿宋_GB2312" w:cs="仿宋_GB2312"/>
          <w:color w:val="auto"/>
          <w:sz w:val="32"/>
          <w:szCs w:val="32"/>
          <w:lang w:eastAsia="zh-CN"/>
        </w:rPr>
        <w:t>、</w:t>
      </w:r>
      <w:bookmarkEnd w:id="55"/>
      <w:r>
        <w:rPr>
          <w:rFonts w:hint="eastAsia" w:ascii="仿宋_GB2312" w:hAnsi="仿宋_GB2312" w:eastAsia="仿宋_GB2312" w:cs="仿宋_GB2312"/>
          <w:sz w:val="32"/>
          <w:szCs w:val="32"/>
        </w:rPr>
        <w:t>大众点评评分4.9分；同时对观展人和服务单位进行了书面的满意度调查，共收回有效问卷5份，综合满意度较高。</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综上所述，当前资料显示项目综合服务满意度情况达到预期目标，但该满意度调查样本量偏低，建议项目单位以后扩大样本量，丰富调查内容，及时发现问题并督促整改，不断提高项目支出绩效水平。</w:t>
      </w:r>
    </w:p>
    <w:p>
      <w:pPr>
        <w:pStyle w:val="3"/>
        <w:adjustRightInd w:val="0"/>
        <w:snapToGrid w:val="0"/>
        <w:ind w:firstLine="640" w:firstLineChars="200"/>
        <w:rPr>
          <w:rFonts w:ascii="Times New Roman" w:hAnsi="Times New Roman" w:eastAsia="黑体" w:cs="Times New Roman"/>
          <w:b w:val="0"/>
          <w:bCs w:val="0"/>
          <w:sz w:val="32"/>
          <w:szCs w:val="32"/>
        </w:rPr>
      </w:pPr>
      <w:bookmarkStart w:id="42" w:name="_Toc12827"/>
      <w:bookmarkStart w:id="43" w:name="_Toc32255"/>
      <w:r>
        <w:rPr>
          <w:rFonts w:hint="eastAsia" w:ascii="Times New Roman" w:hAnsi="Times New Roman" w:eastAsia="黑体" w:cs="Times New Roman"/>
          <w:b w:val="0"/>
          <w:bCs w:val="0"/>
          <w:sz w:val="32"/>
          <w:szCs w:val="32"/>
        </w:rPr>
        <w:t>五、主要经验及做法、存在的问题及原因分析</w:t>
      </w:r>
      <w:bookmarkEnd w:id="42"/>
      <w:bookmarkEnd w:id="43"/>
    </w:p>
    <w:p>
      <w:p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44" w:name="_Toc18511"/>
      <w:bookmarkStart w:id="45" w:name="_Toc21507"/>
      <w:r>
        <w:rPr>
          <w:rFonts w:hint="eastAsia" w:ascii="仿宋_GB2312" w:hAnsi="仿宋_GB2312" w:eastAsia="仿宋_GB2312" w:cs="仿宋_GB2312"/>
          <w:b/>
          <w:bCs/>
          <w:kern w:val="0"/>
          <w:sz w:val="32"/>
          <w:szCs w:val="32"/>
        </w:rPr>
        <w:t>（一）主要经验及做法</w:t>
      </w:r>
      <w:bookmarkEnd w:id="44"/>
      <w:bookmarkEnd w:id="45"/>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北京艺术博物馆馆址设在万寿寺内，馆藏文物门类多，核心的藏品以明清为主，是研究的重点方向。基本陈列项目下达后，科学筹划，提前筹备考虑基本陈列展览内容的合理性与丰富性；</w:t>
      </w:r>
      <w:r>
        <w:rPr>
          <w:rFonts w:hint="eastAsia" w:ascii="仿宋_GB2312" w:hAnsi="仿宋_GB2312" w:eastAsia="仿宋_GB2312" w:cs="仿宋_GB2312"/>
          <w:sz w:val="32"/>
          <w:szCs w:val="32"/>
        </w:rPr>
        <w:t>严格纪律，强化责任分工及落实，</w:t>
      </w:r>
      <w:r>
        <w:rPr>
          <w:rFonts w:hint="eastAsia" w:ascii="仿宋_GB2312" w:hAnsi="仿宋_GB2312" w:eastAsia="仿宋_GB2312" w:cs="仿宋_GB2312"/>
          <w:kern w:val="0"/>
          <w:sz w:val="32"/>
          <w:szCs w:val="32"/>
        </w:rPr>
        <w:t>按照实施深化方案倒排工期；</w:t>
      </w:r>
      <w:r>
        <w:rPr>
          <w:rFonts w:hint="eastAsia" w:ascii="仿宋_GB2312" w:hAnsi="仿宋_GB2312" w:eastAsia="仿宋_GB2312" w:cs="仿宋_GB2312"/>
          <w:sz w:val="32"/>
          <w:szCs w:val="32"/>
        </w:rPr>
        <w:t>领导重视，</w:t>
      </w:r>
      <w:r>
        <w:rPr>
          <w:rFonts w:hint="eastAsia" w:ascii="仿宋_GB2312" w:hAnsi="仿宋_GB2312" w:eastAsia="仿宋_GB2312" w:cs="仿宋_GB2312"/>
          <w:kern w:val="0"/>
          <w:sz w:val="32"/>
          <w:szCs w:val="32"/>
        </w:rPr>
        <w:t>团结协作，强化过程监督检查，及时督促整改，高效完成项目实施，准时对外开放。</w:t>
      </w:r>
    </w:p>
    <w:p>
      <w:pPr>
        <w:numPr>
          <w:ilvl w:val="0"/>
          <w:numId w:val="4"/>
        </w:numPr>
        <w:adjustRightInd w:val="0"/>
        <w:snapToGrid w:val="0"/>
        <w:spacing w:line="360" w:lineRule="auto"/>
        <w:ind w:firstLine="642" w:firstLineChars="200"/>
        <w:outlineLvl w:val="1"/>
        <w:rPr>
          <w:rFonts w:ascii="仿宋_GB2312" w:hAnsi="仿宋_GB2312" w:eastAsia="仿宋_GB2312" w:cs="仿宋_GB2312"/>
          <w:b/>
          <w:bCs/>
          <w:kern w:val="0"/>
          <w:sz w:val="32"/>
          <w:szCs w:val="32"/>
        </w:rPr>
      </w:pPr>
      <w:bookmarkStart w:id="46" w:name="_Toc3778"/>
      <w:bookmarkStart w:id="47" w:name="_Toc29436"/>
      <w:r>
        <w:rPr>
          <w:rFonts w:hint="eastAsia" w:ascii="仿宋_GB2312" w:hAnsi="仿宋_GB2312" w:eastAsia="仿宋_GB2312" w:cs="仿宋_GB2312"/>
          <w:b/>
          <w:bCs/>
          <w:kern w:val="0"/>
          <w:sz w:val="32"/>
          <w:szCs w:val="32"/>
        </w:rPr>
        <w:t>存在的问题及原因分析</w:t>
      </w:r>
      <w:bookmarkEnd w:id="46"/>
      <w:bookmarkEnd w:id="47"/>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1.绩效目标内容设置不够完整。绩效目标仅设置了设备购置相关的指标，缺少项目实施中深化方案数量、基本陈列数量等指标内容。</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2.项目可行性研究报告表编制不够深入。可行性研究不够深入，对项目的范围、内容和数量的描述不够清楚。</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项目预算编制质量和成本控制的有效性有待提高。一是项目执行与预算编制内容相比较，存在18项预算内容的调整；二是项目展览服务合同采取固定总价合同方式签订，在预算内容调整较多的情况，未开展结算审计，对于结算金额的准确性缺少有效的控制。</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4.存在个别项目绩效目标未完成情况。一是项目实施进度较项目计划进度滞后2个月；二是观展人数仅完成项目计划目标人数的63.46%，较目标人数少39461人次。</w:t>
      </w:r>
    </w:p>
    <w:p>
      <w:pPr>
        <w:pStyle w:val="3"/>
        <w:adjustRightInd w:val="0"/>
        <w:snapToGrid w:val="0"/>
        <w:ind w:firstLine="640" w:firstLineChars="200"/>
        <w:rPr>
          <w:rFonts w:ascii="Times New Roman" w:hAnsi="Times New Roman" w:eastAsia="黑体" w:cs="Times New Roman"/>
          <w:b w:val="0"/>
          <w:bCs w:val="0"/>
          <w:sz w:val="32"/>
          <w:szCs w:val="32"/>
        </w:rPr>
      </w:pPr>
      <w:bookmarkStart w:id="48" w:name="_Toc29261"/>
      <w:bookmarkStart w:id="49" w:name="_Toc15186"/>
      <w:r>
        <w:rPr>
          <w:rFonts w:hint="eastAsia" w:ascii="Times New Roman" w:hAnsi="Times New Roman" w:eastAsia="黑体" w:cs="Times New Roman"/>
          <w:b w:val="0"/>
          <w:bCs w:val="0"/>
          <w:sz w:val="32"/>
          <w:szCs w:val="32"/>
        </w:rPr>
        <w:t>六、有关建议</w:t>
      </w:r>
      <w:bookmarkEnd w:id="48"/>
      <w:bookmarkEnd w:id="49"/>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（一）建议进一步强化绩效目标编制质量，关注预算内容与目标编制内容匹配度，保障绩效目标编制的完整性。</w:t>
      </w:r>
    </w:p>
    <w:p>
      <w:pPr>
        <w:adjustRightInd w:val="0"/>
        <w:snapToGrid w:val="0"/>
        <w:spacing w:line="360" w:lineRule="auto"/>
        <w:ind w:firstLine="640" w:firstLineChars="200"/>
        <w:rPr>
          <w:rFonts w:ascii="仿宋_GB2312" w:hAnsi="仿宋_GB2312" w:eastAsia="仿宋_GB2312" w:cs="仿宋_GB2312"/>
          <w:kern w:val="0"/>
          <w:sz w:val="32"/>
          <w:szCs w:val="32"/>
        </w:rPr>
      </w:pPr>
      <w:bookmarkStart w:id="50" w:name="_Toc9639"/>
      <w:r>
        <w:rPr>
          <w:rFonts w:hint="eastAsia" w:ascii="仿宋_GB2312" w:hAnsi="仿宋_GB2312" w:eastAsia="仿宋_GB2312" w:cs="仿宋_GB2312"/>
          <w:kern w:val="0"/>
          <w:sz w:val="32"/>
          <w:szCs w:val="32"/>
        </w:rPr>
        <w:t>（二）建议进一步</w:t>
      </w:r>
      <w:bookmarkEnd w:id="50"/>
      <w:r>
        <w:rPr>
          <w:rFonts w:hint="eastAsia" w:ascii="仿宋_GB2312" w:hAnsi="仿宋_GB2312" w:eastAsia="仿宋_GB2312" w:cs="仿宋_GB2312"/>
          <w:kern w:val="0"/>
          <w:sz w:val="32"/>
          <w:szCs w:val="32"/>
        </w:rPr>
        <w:t>强化前期可行性研究与论证工作，坚持规划引领，强化设计勘察工作质量，夯实项目预算，强化预算编报刚性约束</w:t>
      </w:r>
      <w:bookmarkStart w:id="51" w:name="_Toc17229"/>
      <w:r>
        <w:rPr>
          <w:rFonts w:hint="eastAsia" w:ascii="仿宋_GB2312" w:hAnsi="仿宋_GB2312" w:eastAsia="仿宋_GB2312" w:cs="仿宋_GB2312"/>
          <w:kern w:val="0"/>
          <w:sz w:val="32"/>
          <w:szCs w:val="32"/>
        </w:rPr>
        <w:t>。</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（三）建议进一步加强项目成本控制约束，对项目开展结算审计，真实合理地确定项目结算金额，准确反映项目最终实际发生的成本。</w:t>
      </w:r>
    </w:p>
    <w:p>
      <w:pPr>
        <w:adjustRightInd w:val="0"/>
        <w:snapToGrid w:val="0"/>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（四）建议进一步提升绩效管理意识，</w:t>
      </w:r>
      <w:bookmarkEnd w:id="51"/>
      <w:r>
        <w:rPr>
          <w:rFonts w:hint="eastAsia" w:ascii="仿宋_GB2312" w:hAnsi="仿宋_GB2312" w:eastAsia="仿宋_GB2312" w:cs="仿宋_GB2312"/>
          <w:kern w:val="0"/>
          <w:sz w:val="32"/>
          <w:szCs w:val="32"/>
        </w:rPr>
        <w:t>加强项目服务对象满意度调查工作，加强对问卷的统计分析和结果应用，持续推进项目绩效的改进和提升。</w:t>
      </w:r>
    </w:p>
    <w:p>
      <w:pPr>
        <w:pStyle w:val="3"/>
        <w:adjustRightInd w:val="0"/>
        <w:snapToGrid w:val="0"/>
        <w:ind w:firstLine="640" w:firstLineChars="200"/>
        <w:rPr>
          <w:rFonts w:ascii="Times New Roman" w:hAnsi="Times New Roman" w:eastAsia="黑体" w:cs="Times New Roman"/>
          <w:b w:val="0"/>
          <w:bCs w:val="0"/>
          <w:sz w:val="32"/>
          <w:szCs w:val="32"/>
        </w:rPr>
      </w:pPr>
      <w:bookmarkStart w:id="52" w:name="_Toc24769"/>
      <w:bookmarkStart w:id="53" w:name="_Toc3673"/>
      <w:r>
        <w:rPr>
          <w:rFonts w:hint="eastAsia" w:ascii="Times New Roman" w:hAnsi="Times New Roman" w:eastAsia="黑体" w:cs="Times New Roman"/>
          <w:b w:val="0"/>
          <w:bCs w:val="0"/>
          <w:sz w:val="32"/>
          <w:szCs w:val="32"/>
        </w:rPr>
        <w:t>七、其他需要说明的问题</w:t>
      </w:r>
      <w:bookmarkEnd w:id="52"/>
      <w:bookmarkEnd w:id="53"/>
    </w:p>
    <w:p>
      <w:pPr>
        <w:adjustRightInd w:val="0"/>
        <w:snapToGrid w:val="0"/>
        <w:spacing w:line="360" w:lineRule="auto"/>
        <w:ind w:firstLine="640" w:firstLineChars="200"/>
        <w:outlineLvl w:val="0"/>
        <w:rPr>
          <w:rFonts w:ascii="仿宋_GB2312" w:hAnsi="仿宋_GB2312" w:eastAsia="仿宋_GB2312" w:cs="仿宋_GB2312"/>
          <w:kern w:val="0"/>
          <w:sz w:val="32"/>
          <w:szCs w:val="32"/>
        </w:rPr>
      </w:pPr>
      <w:bookmarkStart w:id="54" w:name="_Toc20698"/>
      <w:r>
        <w:rPr>
          <w:rFonts w:hint="eastAsia" w:ascii="仿宋_GB2312" w:hAnsi="仿宋_GB2312" w:eastAsia="仿宋_GB2312" w:cs="仿宋_GB2312"/>
          <w:kern w:val="0"/>
          <w:sz w:val="32"/>
          <w:szCs w:val="32"/>
        </w:rPr>
        <w:t>无。</w:t>
      </w:r>
      <w:bookmarkEnd w:id="54"/>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附件：《项目支出绩效评价专家评分表》</w:t>
      </w:r>
    </w:p>
    <w:p>
      <w:pPr>
        <w:pStyle w:val="8"/>
        <w:adjustRightInd w:val="0"/>
        <w:snapToGrid w:val="0"/>
        <w:spacing w:line="360" w:lineRule="auto"/>
        <w:rPr>
          <w:rFonts w:ascii="仿宋_GB2312" w:hAnsi="仿宋_GB2312" w:eastAsia="仿宋_GB2312" w:cs="仿宋_GB2312"/>
          <w:bCs/>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pStyle w:val="8"/>
        <w:rPr>
          <w:rFonts w:ascii="仿宋_GB2312" w:hAnsi="宋体" w:eastAsia="仿宋_GB2312"/>
          <w:bCs/>
          <w:sz w:val="32"/>
          <w:szCs w:val="32"/>
        </w:rPr>
      </w:pPr>
      <w:r>
        <w:rPr>
          <w:rFonts w:hint="eastAsia" w:ascii="仿宋_GB2312" w:hAnsi="宋体" w:eastAsia="仿宋_GB2312"/>
          <w:bCs/>
          <w:sz w:val="32"/>
          <w:szCs w:val="32"/>
        </w:rPr>
        <w:t>附件：</w:t>
      </w:r>
    </w:p>
    <w:p>
      <w:pPr>
        <w:pStyle w:val="8"/>
        <w:jc w:val="center"/>
        <w:rPr>
          <w:rFonts w:ascii="仿宋_GB2312" w:hAnsi="宋体" w:eastAsia="仿宋_GB2312"/>
          <w:b/>
          <w:sz w:val="44"/>
          <w:szCs w:val="44"/>
        </w:rPr>
      </w:pPr>
      <w:r>
        <w:rPr>
          <w:rFonts w:ascii="仿宋_GB2312" w:hAnsi="宋体" w:eastAsia="仿宋_GB2312"/>
          <w:b/>
          <w:sz w:val="44"/>
          <w:szCs w:val="44"/>
        </w:rPr>
        <w:t>项目支出绩效评价专家评分表</w:t>
      </w:r>
    </w:p>
    <w:tbl>
      <w:tblPr>
        <w:tblStyle w:val="16"/>
        <w:tblW w:w="15007" w:type="dxa"/>
        <w:tblInd w:w="0" w:type="dxa"/>
        <w:tblLayout w:type="fixed"/>
        <w:tblCellMar>
          <w:top w:w="0" w:type="dxa"/>
          <w:left w:w="108" w:type="dxa"/>
          <w:bottom w:w="0" w:type="dxa"/>
          <w:right w:w="108" w:type="dxa"/>
        </w:tblCellMar>
      </w:tblPr>
      <w:tblGrid>
        <w:gridCol w:w="734"/>
        <w:gridCol w:w="746"/>
        <w:gridCol w:w="605"/>
        <w:gridCol w:w="847"/>
        <w:gridCol w:w="1805"/>
        <w:gridCol w:w="2222"/>
        <w:gridCol w:w="666"/>
        <w:gridCol w:w="4473"/>
        <w:gridCol w:w="696"/>
        <w:gridCol w:w="2213"/>
      </w:tblGrid>
      <w:tr>
        <w:tblPrEx>
          <w:tblCellMar>
            <w:top w:w="0" w:type="dxa"/>
            <w:left w:w="108" w:type="dxa"/>
            <w:bottom w:w="0" w:type="dxa"/>
            <w:right w:w="108" w:type="dxa"/>
          </w:tblCellMar>
        </w:tblPrEx>
        <w:trPr>
          <w:trHeight w:val="822" w:hRule="atLeast"/>
          <w:tblHeader/>
        </w:trPr>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一级指标</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二级指标</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三级指标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分值</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指标解释</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指标说明</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分值</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评分标准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平均分</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扣分理由</w:t>
            </w:r>
          </w:p>
        </w:tc>
      </w:tr>
      <w:tr>
        <w:tblPrEx>
          <w:tblCellMar>
            <w:top w:w="0" w:type="dxa"/>
            <w:left w:w="108" w:type="dxa"/>
            <w:bottom w:w="0" w:type="dxa"/>
            <w:right w:w="108" w:type="dxa"/>
          </w:tblCellMar>
        </w:tblPrEx>
        <w:trPr>
          <w:trHeight w:val="76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决策（10分）</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项目立项　</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立项依据充分性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项目立项是否符合法律法规、相关政策、发展规划以及部门职责，用以反映和考核项目立项依据情况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①项目立项是否符合国家法律法规、国民经济发展规划和相关政策；</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与法律法规、规划及政策相符，得满分；与法律法规、规划及政策基本相符，根据相关程度打分；与法律法规、规划及政策不符，不得分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②项目立项是否符合行业发展规划和政策要求；</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与行业规划及政策相符，得满分；与行业规划及政策基本相符，根据相关程度打分；与行业规划及政策不符，不得分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6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③项目立项是否与部门职责范围相符，属于部门履职所需；</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与部门职责相符，符合实际需求得满分；与部门职责不符，不符合实际需求不得分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6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④项目是否与相关部门同类项目或部门内部相关项目重复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与其他部门或部门内部相关项目不存在重复，得满分；与其他部门或部门内部相关项目重复不得分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立项程序规范性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项目申请、设立过程是否符合相关要求，用以反映和考核项目立项的规范情况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①项目是否按照规定的程序申请设立；</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按照规定程序进行业务立项得满分，按照规定程序进行预算立项得0.25分；存在立项程序不规范的情况酌情扣分；项目未按照规定的程序申请设立不得分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项目追加预算申请未扣除招标节约资金。</w:t>
            </w:r>
          </w:p>
        </w:tc>
      </w:tr>
      <w:tr>
        <w:tblPrEx>
          <w:tblCellMar>
            <w:top w:w="0" w:type="dxa"/>
            <w:left w:w="108" w:type="dxa"/>
            <w:bottom w:w="0" w:type="dxa"/>
            <w:right w:w="108" w:type="dxa"/>
          </w:tblCellMar>
        </w:tblPrEx>
        <w:trPr>
          <w:trHeight w:val="5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②审批文件、材料是否符合相关要求；</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审批文件及材料完全符合要求得满分，有一项不符合要求扣0.1分，扣完为止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4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　</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绩效目标合理性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项目所设定的绩效目标是否依据充分，是否符合客观实际，用以反映和考核项目绩效目标与项目实施的相符情况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①项目是否有绩效目标；</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项目有绩效目标，得满分；项目无绩效目标，不得分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绩效目标设置与预算的匹配度方面有待加强</w:t>
            </w:r>
          </w:p>
        </w:tc>
      </w:tr>
      <w:tr>
        <w:tblPrEx>
          <w:tblCellMar>
            <w:top w:w="0" w:type="dxa"/>
            <w:left w:w="108" w:type="dxa"/>
            <w:bottom w:w="0" w:type="dxa"/>
            <w:right w:w="108" w:type="dxa"/>
          </w:tblCellMar>
        </w:tblPrEx>
        <w:trPr>
          <w:trHeight w:val="8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②项目绩效目标与实际工作内容是否具有相关性；</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项目绩效目标与实际工作内容具有相关性得满分；项目绩效目标基本与实际工作内容相关，根据符合程度打分；项目绩效目标与实际工作内容不具有相关性，不得分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0.47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③项目预期产出效益和效果是否符合正常的业绩水平；</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项目预期产出和效益符合正常的业绩水平，得满分；项目预期产出和效益基本符合正常的业绩水平，根据符合程度打分；项目预期产出和效益不符合正常的业绩水平，不得分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0.48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④是否与预算确定的项目投资额或资金量相匹配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绩效目标与预算确定的项目投资额或资金量相匹配，得满分；绩效目标与预算确定的项目投资额或资金量基本匹配，根据符合程度打分；绩效目标与预算确定的项目投资额或资金量不匹配，不得分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0.34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绩效指标明确性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依据绩效目标设定的绩效指标是否清晰、细化、可衡量等，用以反映和考核项目绩效目标的明细化情况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①是否将项目绩效目标细化分解为具体的绩效指标；</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将项目绩效目标细化分解为具体的绩效指标，得满分；未将项目绩效目标细化分解为具体的绩效指标，不得分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0.46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效益指标量化不足</w:t>
            </w:r>
          </w:p>
        </w:tc>
      </w:tr>
      <w:tr>
        <w:tblPrEx>
          <w:tblCellMar>
            <w:top w:w="0" w:type="dxa"/>
            <w:left w:w="108" w:type="dxa"/>
            <w:bottom w:w="0" w:type="dxa"/>
            <w:right w:w="108" w:type="dxa"/>
          </w:tblCellMar>
        </w:tblPrEx>
        <w:trPr>
          <w:trHeight w:val="5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②是否通过清晰、可衡量的指标值予以体现；</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绩效指标通过清晰、可衡量的指标值予以体现，得满分；绩效指标未通过清晰、可衡量的指标值予以体现，不得分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0.82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③是否与项目目标任务数或计划数相对应</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绩效指标与项目年度任务数或计划数相对应，得满分；绩效指标基本与项目年度任务数或计划数相对应，根据符合程度打分；绩效指标与项目年度任务数或计划数不对应，不得分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0.42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资金投入</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预算编制科学性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项目预算编制是否经过科学论证、有明确标准，资金额度与年度目标是否相适应，用以反映和考核项目预算编制的科学性、合理性情况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①预算编制是否经过科学论证；</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项目预算编制履行了需求调研、预算评审、内部决策程序且程序规范，按照实际需求编制项目预算，得0.5分，存在1项缺失或不规范现象扣0.1分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0.42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项目预算调整内容较多</w:t>
            </w:r>
          </w:p>
        </w:tc>
      </w:tr>
      <w:tr>
        <w:tblPrEx>
          <w:tblCellMar>
            <w:top w:w="0" w:type="dxa"/>
            <w:left w:w="108" w:type="dxa"/>
            <w:bottom w:w="0" w:type="dxa"/>
            <w:right w:w="108" w:type="dxa"/>
          </w:tblCellMar>
        </w:tblPrEx>
        <w:trPr>
          <w:trHeight w:val="3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②预算内容与项目内容是否匹配；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预算内容与项目内容匹配，得满分；预算内容与项目内容不匹配，不得分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③预算额度测算依据是否充分，是否按照标准编制；</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预算额度测算依据充分，按照标准编制，得满分；预算额度测算依据基本充分，按照标准编制，根据符合程度打分；预算额度测算依据不充分，未按照标准编制，不得分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④预算确定的项目投资额或资金量是否与工作任务相匹配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预算确定的项目预算资金量与工作任务相匹配，得满分；预算确定的项目资金量与工作任务基本匹配，根据符合程度打分；预算确定的项目资金量与工作任务不匹配，不得分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0.46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6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资金分配合理性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项目预算资金分配是否有测算依据，与补助单位或地方实际是否相适应，用以反映和考核项目预算资金分配的科学性、合理性情况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①预算资金分配依据是否充分；</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预算资金分配依据充分，得满分；预算资金分配依据基本充分，根据符合程度打分；预算资金分配依据不充分，不得分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0.42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②资金分配额度是否合理，与项目单位或地方实际是否相适应</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0.50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资金分配额度合理，与项目实际需求相适应，得满分；资金分配额度基本合理，基本与项目实际需求相适应，根据符合程度打分；资金分配额度不合理，与项目实际需求不适应，不得分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0.46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过程（20分）</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资金管理</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资金到位率</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实际到位资金与预算资金的比率，用以反映和考核资金落实情况对项目实施的总体保障程度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①资金到位率=（实际到位资金/预算资金）×100%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得分=实际到位资金/预算资金*100%*1分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②资金支付的及时性</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资金及时下拨，得满分；资金未及时下拨，不得分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预算执行率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项目预算资金是否按照计划执行，用以反映或考核项目预算执行情况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①预算执行率=（实际支出资金/实际到位资金）×100%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预算执行率超过90%得3分，预算执行率在80-90%之间得2.4分，预算执行率在70-80%之间得1.8分，预算执行率在50-70%得1.2分，预算执行率在50%以下不得分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14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资金使用合规性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项目资金使用是否符合相关的财务管理制度规定，用以反映和考核项目资金的规范运行情况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①是否符合国家财经法规和财务管理制度以及有关专项资金管理办法的规定；</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支出符合国家财经法规和财务管理制度以及有关专项资金管理办法的规定，得满分；资金支出基本符合国家财经法规和财务管理制度以及有关专项资金管理办法的规定，根据符合程度打分；资金支出不符合国家财经法规和财务管理制度以及有关专项资金管理办法的规定，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1.76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项目预算调整内容较多，成本控制措施不足。</w:t>
            </w: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②资金的拨付是否有完整的审批程序和手续；</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资金的拨付有完整的审批程序和手续，得满分；资金的拨付没有完整的审批程序和手续，不得分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0.98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③是否符合项目预算批复或合同规定的用途；</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资金支出符合项目预算批复或合同规定的用途，得满分；资金支出不符合项目预算批复或合同规定的用途，不得分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0.98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④是否存在截留、挤占、挪用、虚列支出等情况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不存在截留、挤占、挪用、虚列支出等情况，得满分；存在截留、挤占、挪用、虚列支出等情况，不得分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组织实施</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管理制度健全性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项目实施单位的财务和业务管理制度是否健全，用以反映和考核财务和业务管理制度对项目顺利实施的保障情况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①是否已制定或具有相应的财务和业务管理制度；</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项目已制定或具有相应的财务和业务管理制度得满分，存在一项缺失或不规范扣1.5分，扣完为止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1.60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业务管理制度有待进一步完善</w:t>
            </w: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②财务和业务管理制度是否合法、合规、完整</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项目财务和业务管理制度合法、合规、完整得满分，存在一项缺失或不规范扣0.5分，扣完为止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制度执行有效性</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项目实施是否符合相关管理规定，用以反映和考核相关管理制度的有效执行情况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①是否遵守相关法律法规和相关管理规定；</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每存在一项不合规现象扣0.5分，扣完为止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0.80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存在资产入账不及时的情况</w:t>
            </w: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②项目调整及支出调整手续是否完备；</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2.00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每存在一项手续不完备或不规范扣0.5分，扣完为止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1.80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③项目合同书、验收报告、技术鉴定等资料是否齐全并及时归档；</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每存在一项不齐全扣0.5分，扣完为止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0.90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2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④项目实施的人员条件、场地设备、信息支撑等是否落实到位</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每存在一项配套条件不匹配扣0.5分，扣完为止</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0.80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8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产出（40分）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产出数量</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项目实施的实际产出数与计划产出数的比率，用以反映和考核项目产出数量目标的实现程度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项目各项产出数量指标的完成情况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实际完成率=（实际产出数/计划产出数）×100%*10分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9.60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98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产出质量</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质量达标率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项目完成的质量达标产出数与实际产出数的比率，用以反映和考核项目产出质量目标的实现程度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项目各项产出质量指标的完成情况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质量达标率=（质量达标产出数/实际产出数）×100%*10分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126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产出时效</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完成及时性</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项目实际完成时间与计划完成时间的比较，用以反映和考核项目产出时效目标的实现程度。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方案制定和前期准备工作、招标工作、施工、验收完成的及时性</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按照项目实施计划或相关规定完成该项目得满分，存在一项进度滞后扣2.5分。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7.57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项目实施进度指标滞后2个月</w:t>
            </w:r>
          </w:p>
        </w:tc>
      </w:tr>
      <w:tr>
        <w:tblPrEx>
          <w:tblCellMar>
            <w:top w:w="0" w:type="dxa"/>
            <w:left w:w="108" w:type="dxa"/>
            <w:bottom w:w="0" w:type="dxa"/>
            <w:right w:w="108" w:type="dxa"/>
          </w:tblCellMar>
        </w:tblPrEx>
        <w:trPr>
          <w:trHeight w:val="110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产出成本</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成本节约率</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完成项目计划工作目标的实际节约成本与计划成本的比率，用以反映和考核项目的成本节约程度</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成本控制及节约情况</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得分=（计划支出金额-实际支出金额）/计划支出金额*100%，成本节约率为负值得0分；成本节约率为0，得6分；成本节约率在0-10%之间，得8分；成本节约率在10%以上，得满分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8.60 </w:t>
            </w:r>
          </w:p>
        </w:tc>
        <w:tc>
          <w:tcPr>
            <w:tcW w:w="22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未组织开展结算审计，成本控制措施不足。</w:t>
            </w:r>
          </w:p>
        </w:tc>
      </w:tr>
      <w:tr>
        <w:tblPrEx>
          <w:tblCellMar>
            <w:top w:w="0" w:type="dxa"/>
            <w:left w:w="108" w:type="dxa"/>
            <w:bottom w:w="0" w:type="dxa"/>
            <w:right w:w="108" w:type="dxa"/>
          </w:tblCellMar>
        </w:tblPrEx>
        <w:trPr>
          <w:trHeight w:val="840" w:hRule="atLeast"/>
        </w:trPr>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　（30分）</w:t>
            </w:r>
          </w:p>
        </w:tc>
        <w:tc>
          <w:tcPr>
            <w:tcW w:w="7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项目效益　</w:t>
            </w: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实施效益</w:t>
            </w:r>
          </w:p>
        </w:tc>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30.00 </w:t>
            </w:r>
          </w:p>
        </w:tc>
        <w:tc>
          <w:tcPr>
            <w:tcW w:w="1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社会效益的实现情况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展览内容特色突出、严谨，展览形式新颖，展览效果明显，社会观众满意。</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达成预期指标得分9-10分；基本达成预期指标且效果较好效果得8-9分、部分达成预期指标且具有一定效果得6-8分、未达成预期指标且效果较差得6分以下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9.20 </w:t>
            </w:r>
          </w:p>
        </w:tc>
        <w:tc>
          <w:tcPr>
            <w:tcW w:w="2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项目效益中参观人数未完成，项目服务对象满意度调查样本量偏低。</w:t>
            </w:r>
          </w:p>
        </w:tc>
      </w:tr>
      <w:tr>
        <w:tblPrEx>
          <w:tblCellMar>
            <w:top w:w="0" w:type="dxa"/>
            <w:left w:w="108" w:type="dxa"/>
            <w:bottom w:w="0" w:type="dxa"/>
            <w:right w:w="108" w:type="dxa"/>
          </w:tblCellMar>
        </w:tblPrEx>
        <w:trPr>
          <w:trHeight w:val="8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参观人数≥108000人次</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实际完成率=（实际产出数/计划产出数）×100%*5分</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3.54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8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可持续影响指标的实现情况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为向社会大众提供具有特色的、高质量的展览，进一步传播文化，提高博物馆的知名度。</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10.00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达成预期指标得分9-10分；基本达成预期指标且效果较好效果得8-9分、部分达成预期指标且具有一定效果得6-8分、未达成预期指标且效果较差得6分以下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9.60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840" w:hRule="atLeast"/>
        </w:trPr>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服务对象满意度情况</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展览观众满意度≥90%、合作方的满意度 ≥90%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5.00 </w:t>
            </w:r>
          </w:p>
        </w:tc>
        <w:tc>
          <w:tcPr>
            <w:tcW w:w="44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达成预期指标得分4.5-5分；基本达成预期指标且效果较好效果得4-4.5分、部分达成预期指标且具有一定效果得3-4分、未达成预期指标且效果较差得3分以下</w:t>
            </w: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4.60 </w:t>
            </w:r>
          </w:p>
        </w:tc>
        <w:tc>
          <w:tcPr>
            <w:tcW w:w="2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760" w:hRule="atLeast"/>
        </w:trPr>
        <w:tc>
          <w:tcPr>
            <w:tcW w:w="1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宋体" w:hAnsi="宋体" w:eastAsia="宋体" w:cs="宋体"/>
                <w:b/>
                <w:bCs/>
                <w:color w:val="000000"/>
                <w:sz w:val="18"/>
                <w:szCs w:val="18"/>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lang w:bidi="ar"/>
              </w:rPr>
              <w:t xml:space="preserve">100.00 </w:t>
            </w:r>
          </w:p>
        </w:tc>
        <w:tc>
          <w:tcPr>
            <w:tcW w:w="916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18"/>
                <w:szCs w:val="18"/>
              </w:rPr>
            </w:pPr>
          </w:p>
        </w:tc>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90.35 </w:t>
            </w:r>
          </w:p>
        </w:tc>
        <w:tc>
          <w:tcPr>
            <w:tcW w:w="2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18"/>
                <w:szCs w:val="18"/>
              </w:rPr>
            </w:pPr>
          </w:p>
        </w:tc>
      </w:tr>
    </w:tbl>
    <w:p>
      <w:pPr>
        <w:adjustRightInd w:val="0"/>
        <w:snapToGrid w:val="0"/>
        <w:spacing w:line="360" w:lineRule="auto"/>
        <w:ind w:firstLine="420" w:firstLineChars="20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BQAAAAIAIdO4kCKFGY80QAAAJQBAAALAAAAAAAAAAEAIAAA&#10;ALADAABfcmVscy8ucmVsc1BLAQIUAAoAAAAAAIdO4kAAAAAAAAAAAAAAAAAGAAAAAAAAAAAAEAAA&#10;AIwDAABfcmVscy9QSwECFAAKAAAAAACHTuJAAAAAAAAAAAAAAAAABAAAAAAAAAAAABAAAAAWAAAA&#10;ZHJzL1BLAQIUABQAAAAIAIdO4kAFYYw/KwIAAFUEAAAOAAAAAAAAAAEAIAAAADUBAABkcnMvZTJv&#10;RG9jLnhtbFBLAQIUABQAAAAIAIdO4kCzSVju0AAAAAUBAAAPAAAAAAAAAAEAIAAAADgAAABkcnMv&#10;ZG93bnJldi54bWxQSwUGAAAAAAYABgBZAQAA0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A9EED"/>
    <w:multiLevelType w:val="singleLevel"/>
    <w:tmpl w:val="BFDA9EED"/>
    <w:lvl w:ilvl="0" w:tentative="0">
      <w:start w:val="2"/>
      <w:numFmt w:val="decimal"/>
      <w:suff w:val="nothing"/>
      <w:lvlText w:val="（%1）"/>
      <w:lvlJc w:val="left"/>
    </w:lvl>
  </w:abstractNum>
  <w:abstractNum w:abstractNumId="1">
    <w:nsid w:val="D21F60C7"/>
    <w:multiLevelType w:val="singleLevel"/>
    <w:tmpl w:val="D21F60C7"/>
    <w:lvl w:ilvl="0" w:tentative="0">
      <w:start w:val="2"/>
      <w:numFmt w:val="chineseCounting"/>
      <w:suff w:val="nothing"/>
      <w:lvlText w:val="（%1）"/>
      <w:lvlJc w:val="left"/>
      <w:rPr>
        <w:rFonts w:hint="eastAsia"/>
      </w:rPr>
    </w:lvl>
  </w:abstractNum>
  <w:abstractNum w:abstractNumId="2">
    <w:nsid w:val="6274EF45"/>
    <w:multiLevelType w:val="singleLevel"/>
    <w:tmpl w:val="6274EF45"/>
    <w:lvl w:ilvl="0" w:tentative="0">
      <w:start w:val="2"/>
      <w:numFmt w:val="decimal"/>
      <w:suff w:val="nothing"/>
      <w:lvlText w:val="（%1）"/>
      <w:lvlJc w:val="left"/>
    </w:lvl>
  </w:abstractNum>
  <w:abstractNum w:abstractNumId="3">
    <w:nsid w:val="6274EF68"/>
    <w:multiLevelType w:val="singleLevel"/>
    <w:tmpl w:val="6274EF68"/>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MDI4N2ZiMzBlNDg5YmFmOWE3NDI3ZWEyMzc2MTAifQ=="/>
  </w:docVars>
  <w:rsids>
    <w:rsidRoot w:val="FF1658F7"/>
    <w:rsid w:val="00015169"/>
    <w:rsid w:val="000940EE"/>
    <w:rsid w:val="000F1358"/>
    <w:rsid w:val="001056F9"/>
    <w:rsid w:val="001B35CF"/>
    <w:rsid w:val="001D6400"/>
    <w:rsid w:val="001E70AB"/>
    <w:rsid w:val="00240942"/>
    <w:rsid w:val="002A265B"/>
    <w:rsid w:val="002E6916"/>
    <w:rsid w:val="0036522B"/>
    <w:rsid w:val="003B5AD8"/>
    <w:rsid w:val="003F18D2"/>
    <w:rsid w:val="00404CAF"/>
    <w:rsid w:val="004329E9"/>
    <w:rsid w:val="00460CC0"/>
    <w:rsid w:val="004C44C0"/>
    <w:rsid w:val="005B643B"/>
    <w:rsid w:val="005D6D63"/>
    <w:rsid w:val="00642959"/>
    <w:rsid w:val="00677AFE"/>
    <w:rsid w:val="006A3FAB"/>
    <w:rsid w:val="006E5BAE"/>
    <w:rsid w:val="00732B78"/>
    <w:rsid w:val="0088485B"/>
    <w:rsid w:val="009A54CD"/>
    <w:rsid w:val="009B1FE2"/>
    <w:rsid w:val="009C57D8"/>
    <w:rsid w:val="00A1244F"/>
    <w:rsid w:val="00A245E8"/>
    <w:rsid w:val="00AB0922"/>
    <w:rsid w:val="00B47529"/>
    <w:rsid w:val="00BA7FEB"/>
    <w:rsid w:val="00C82B3C"/>
    <w:rsid w:val="00CD1D05"/>
    <w:rsid w:val="00CF2C00"/>
    <w:rsid w:val="00E222DB"/>
    <w:rsid w:val="00E3466E"/>
    <w:rsid w:val="00F60684"/>
    <w:rsid w:val="04B43DEE"/>
    <w:rsid w:val="066B4AE7"/>
    <w:rsid w:val="09C0068F"/>
    <w:rsid w:val="0DFA2555"/>
    <w:rsid w:val="0EDE685F"/>
    <w:rsid w:val="135853E1"/>
    <w:rsid w:val="18C47DC9"/>
    <w:rsid w:val="23953F30"/>
    <w:rsid w:val="2786321A"/>
    <w:rsid w:val="2F2E54E2"/>
    <w:rsid w:val="32B52740"/>
    <w:rsid w:val="33B96EE7"/>
    <w:rsid w:val="37D44BCF"/>
    <w:rsid w:val="3B7FD642"/>
    <w:rsid w:val="3BFA5B3A"/>
    <w:rsid w:val="3CD14D3D"/>
    <w:rsid w:val="3CEE7BDC"/>
    <w:rsid w:val="413E3E3F"/>
    <w:rsid w:val="4C3B34F2"/>
    <w:rsid w:val="501222E0"/>
    <w:rsid w:val="52554051"/>
    <w:rsid w:val="57562BA3"/>
    <w:rsid w:val="59B70CF6"/>
    <w:rsid w:val="59E720E8"/>
    <w:rsid w:val="5F7E964A"/>
    <w:rsid w:val="62FB30A8"/>
    <w:rsid w:val="65185280"/>
    <w:rsid w:val="6AD60AD6"/>
    <w:rsid w:val="6C7F8150"/>
    <w:rsid w:val="6E2DDA4D"/>
    <w:rsid w:val="757F476C"/>
    <w:rsid w:val="76FFDB34"/>
    <w:rsid w:val="7766A3F0"/>
    <w:rsid w:val="77F663FB"/>
    <w:rsid w:val="7B941E15"/>
    <w:rsid w:val="7BC64E06"/>
    <w:rsid w:val="7F3B4425"/>
    <w:rsid w:val="939F9917"/>
    <w:rsid w:val="B6CF38A9"/>
    <w:rsid w:val="DB9F804B"/>
    <w:rsid w:val="EAFE3865"/>
    <w:rsid w:val="EEF6093A"/>
    <w:rsid w:val="F1BD04E9"/>
    <w:rsid w:val="F99FA3ED"/>
    <w:rsid w:val="F9DE6633"/>
    <w:rsid w:val="FBAFEEDE"/>
    <w:rsid w:val="FD5F5263"/>
    <w:rsid w:val="FEECA028"/>
    <w:rsid w:val="FF1658F7"/>
    <w:rsid w:val="FFEF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360" w:lineRule="auto"/>
      <w:ind w:firstLine="643"/>
      <w:outlineLvl w:val="0"/>
    </w:pPr>
    <w:rPr>
      <w:b/>
      <w:bCs/>
      <w:snapToGrid w:val="0"/>
      <w:kern w:val="0"/>
      <w:szCs w:val="44"/>
    </w:rPr>
  </w:style>
  <w:style w:type="paragraph" w:styleId="4">
    <w:name w:val="heading 2"/>
    <w:basedOn w:val="1"/>
    <w:next w:val="1"/>
    <w:unhideWhenUsed/>
    <w:qFormat/>
    <w:uiPriority w:val="0"/>
    <w:pPr>
      <w:keepNext/>
      <w:keepLines/>
      <w:outlineLvl w:val="1"/>
    </w:pPr>
    <w:rPr>
      <w:rFonts w:ascii="Arial" w:hAnsi="Arial" w:eastAsia="楷体"/>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kern w:val="0"/>
      <w:sz w:val="18"/>
      <w:szCs w:val="18"/>
    </w:rPr>
  </w:style>
  <w:style w:type="paragraph" w:styleId="5">
    <w:name w:val="Normal Indent"/>
    <w:basedOn w:val="1"/>
    <w:qFormat/>
    <w:uiPriority w:val="0"/>
    <w:pPr>
      <w:ind w:firstLine="420"/>
    </w:pPr>
    <w:rPr>
      <w:szCs w:val="20"/>
    </w:rPr>
  </w:style>
  <w:style w:type="paragraph" w:styleId="6">
    <w:name w:val="annotation text"/>
    <w:basedOn w:val="1"/>
    <w:link w:val="31"/>
    <w:qFormat/>
    <w:uiPriority w:val="0"/>
    <w:pPr>
      <w:jc w:val="left"/>
    </w:pPr>
  </w:style>
  <w:style w:type="paragraph" w:styleId="7">
    <w:name w:val="Body Text"/>
    <w:basedOn w:val="1"/>
    <w:qFormat/>
    <w:uiPriority w:val="0"/>
  </w:style>
  <w:style w:type="paragraph" w:styleId="8">
    <w:name w:val="Plain Text"/>
    <w:basedOn w:val="1"/>
    <w:qFormat/>
    <w:uiPriority w:val="0"/>
    <w:rPr>
      <w:rFonts w:ascii="宋体" w:hAnsi="Courier New"/>
    </w:rPr>
  </w:style>
  <w:style w:type="paragraph" w:styleId="9">
    <w:name w:val="Body Text Indent 2"/>
    <w:basedOn w:val="1"/>
    <w:qFormat/>
    <w:uiPriority w:val="0"/>
    <w:pPr>
      <w:spacing w:after="120" w:line="480" w:lineRule="auto"/>
      <w:ind w:left="420" w:leftChars="200"/>
    </w:pPr>
    <w:rPr>
      <w:kern w:val="0"/>
    </w:rPr>
  </w:style>
  <w:style w:type="paragraph" w:styleId="10">
    <w:name w:val="Balloon Text"/>
    <w:basedOn w:val="1"/>
    <w:link w:val="33"/>
    <w:qFormat/>
    <w:uiPriority w:val="0"/>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styleId="15">
    <w:name w:val="annotation subject"/>
    <w:basedOn w:val="6"/>
    <w:next w:val="6"/>
    <w:link w:val="32"/>
    <w:qFormat/>
    <w:uiPriority w:val="0"/>
    <w:rPr>
      <w:b/>
      <w:bCs/>
    </w:rPr>
  </w:style>
  <w:style w:type="character" w:styleId="18">
    <w:name w:val="annotation reference"/>
    <w:basedOn w:val="17"/>
    <w:qFormat/>
    <w:uiPriority w:val="0"/>
    <w:rPr>
      <w:sz w:val="21"/>
      <w:szCs w:val="21"/>
    </w:rPr>
  </w:style>
  <w:style w:type="paragraph" w:customStyle="1" w:styleId="19">
    <w:name w:val="投标书正文"/>
    <w:basedOn w:val="1"/>
    <w:qFormat/>
    <w:uiPriority w:val="0"/>
    <w:pPr>
      <w:spacing w:line="360" w:lineRule="auto"/>
      <w:ind w:firstLine="200" w:firstLineChars="200"/>
    </w:pPr>
    <w:rPr>
      <w:rFonts w:eastAsia="仿宋_GB2312"/>
      <w:sz w:val="28"/>
    </w:rPr>
  </w:style>
  <w:style w:type="paragraph" w:styleId="20">
    <w:name w:val="List Paragraph"/>
    <w:basedOn w:val="1"/>
    <w:unhideWhenUsed/>
    <w:qFormat/>
    <w:uiPriority w:val="99"/>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font41"/>
    <w:basedOn w:val="17"/>
    <w:qFormat/>
    <w:uiPriority w:val="0"/>
    <w:rPr>
      <w:rFonts w:hint="eastAsia" w:ascii="宋体" w:hAnsi="宋体" w:eastAsia="宋体" w:cs="宋体"/>
      <w:b/>
      <w:bCs/>
      <w:color w:val="000000"/>
      <w:sz w:val="24"/>
      <w:szCs w:val="24"/>
      <w:u w:val="none"/>
    </w:rPr>
  </w:style>
  <w:style w:type="character" w:customStyle="1" w:styleId="24">
    <w:name w:val="font31"/>
    <w:basedOn w:val="17"/>
    <w:qFormat/>
    <w:uiPriority w:val="0"/>
    <w:rPr>
      <w:rFonts w:hint="eastAsia" w:ascii="宋体" w:hAnsi="宋体" w:eastAsia="宋体" w:cs="宋体"/>
      <w:b/>
      <w:bCs/>
      <w:color w:val="000000"/>
      <w:sz w:val="20"/>
      <w:szCs w:val="20"/>
      <w:u w:val="none"/>
    </w:rPr>
  </w:style>
  <w:style w:type="character" w:customStyle="1" w:styleId="25">
    <w:name w:val="font61"/>
    <w:basedOn w:val="17"/>
    <w:qFormat/>
    <w:uiPriority w:val="0"/>
    <w:rPr>
      <w:rFonts w:hint="eastAsia" w:ascii="宋体" w:hAnsi="宋体" w:eastAsia="宋体" w:cs="宋体"/>
      <w:b/>
      <w:bCs/>
      <w:color w:val="000000"/>
      <w:sz w:val="22"/>
      <w:szCs w:val="22"/>
      <w:u w:val="none"/>
    </w:rPr>
  </w:style>
  <w:style w:type="character" w:customStyle="1" w:styleId="26">
    <w:name w:val="font71"/>
    <w:basedOn w:val="17"/>
    <w:qFormat/>
    <w:uiPriority w:val="0"/>
    <w:rPr>
      <w:rFonts w:hint="eastAsia" w:ascii="宋体" w:hAnsi="宋体" w:eastAsia="宋体" w:cs="宋体"/>
      <w:b/>
      <w:bCs/>
      <w:color w:val="000000"/>
      <w:sz w:val="18"/>
      <w:szCs w:val="18"/>
      <w:u w:val="none"/>
    </w:rPr>
  </w:style>
  <w:style w:type="character" w:customStyle="1" w:styleId="27">
    <w:name w:val="font51"/>
    <w:basedOn w:val="17"/>
    <w:qFormat/>
    <w:uiPriority w:val="0"/>
    <w:rPr>
      <w:rFonts w:hint="eastAsia" w:ascii="宋体" w:hAnsi="宋体" w:eastAsia="宋体" w:cs="宋体"/>
      <w:color w:val="000000"/>
      <w:sz w:val="20"/>
      <w:szCs w:val="20"/>
      <w:u w:val="none"/>
    </w:rPr>
  </w:style>
  <w:style w:type="character" w:customStyle="1" w:styleId="28">
    <w:name w:val="font11"/>
    <w:basedOn w:val="17"/>
    <w:qFormat/>
    <w:uiPriority w:val="0"/>
    <w:rPr>
      <w:rFonts w:hint="eastAsia" w:ascii="宋体" w:hAnsi="宋体" w:eastAsia="宋体" w:cs="宋体"/>
      <w:b/>
      <w:bCs/>
      <w:color w:val="000000"/>
      <w:sz w:val="20"/>
      <w:szCs w:val="20"/>
      <w:u w:val="none"/>
    </w:rPr>
  </w:style>
  <w:style w:type="character" w:customStyle="1" w:styleId="29">
    <w:name w:val="font21"/>
    <w:basedOn w:val="17"/>
    <w:qFormat/>
    <w:uiPriority w:val="0"/>
    <w:rPr>
      <w:rFonts w:hint="eastAsia" w:ascii="宋体" w:hAnsi="宋体" w:eastAsia="宋体" w:cs="宋体"/>
      <w:color w:val="000000"/>
      <w:sz w:val="20"/>
      <w:szCs w:val="20"/>
      <w:u w:val="none"/>
    </w:rPr>
  </w:style>
  <w:style w:type="paragraph" w:customStyle="1" w:styleId="30">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31">
    <w:name w:val="批注文字 Char"/>
    <w:basedOn w:val="17"/>
    <w:link w:val="6"/>
    <w:qFormat/>
    <w:uiPriority w:val="0"/>
    <w:rPr>
      <w:rFonts w:asciiTheme="minorHAnsi" w:hAnsiTheme="minorHAnsi" w:eastAsiaTheme="minorEastAsia" w:cstheme="minorBidi"/>
      <w:kern w:val="2"/>
      <w:sz w:val="21"/>
      <w:szCs w:val="24"/>
    </w:rPr>
  </w:style>
  <w:style w:type="character" w:customStyle="1" w:styleId="32">
    <w:name w:val="批注主题 Char"/>
    <w:basedOn w:val="31"/>
    <w:link w:val="15"/>
    <w:qFormat/>
    <w:uiPriority w:val="0"/>
    <w:rPr>
      <w:rFonts w:asciiTheme="minorHAnsi" w:hAnsiTheme="minorHAnsi" w:eastAsiaTheme="minorEastAsia" w:cstheme="minorBidi"/>
      <w:b/>
      <w:bCs/>
      <w:kern w:val="2"/>
      <w:sz w:val="21"/>
      <w:szCs w:val="24"/>
    </w:rPr>
  </w:style>
  <w:style w:type="character" w:customStyle="1" w:styleId="33">
    <w:name w:val="批注框文本 Char"/>
    <w:basedOn w:val="17"/>
    <w:link w:val="10"/>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2416</Words>
  <Characters>13772</Characters>
  <Lines>114</Lines>
  <Paragraphs>32</Paragraphs>
  <TotalTime>55</TotalTime>
  <ScaleCrop>false</ScaleCrop>
  <LinksUpToDate>false</LinksUpToDate>
  <CharactersWithSpaces>16156</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2021-11-24T16:50:00Z</dcterms:created>
  <dc:creator>zhangqi</dc:creator>
  <cp:lastModifiedBy>fuying</cp:lastModifiedBy>
  <dcterms:modified xsi:type="dcterms:W3CDTF">2023-08-23T16:09:14Z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4B133FEA56284F6DBCDF6BFD598DC866_13</vt:lpwstr>
  </property>
</Properties>
</file>