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tabs>
          <w:tab w:val="right" w:leader="do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360" w:lineRule="auto"/>
        <w:ind w:left="0" w:leftChars="0"/>
        <w:jc w:val="both"/>
        <w:textAlignment w:val="auto"/>
        <w:rPr>
          <w:rFonts w:hint="eastAsia" w:ascii="Times New Roman" w:hAnsi="Times New Roman" w:eastAsia="华文中宋" w:cs="Times New Roman"/>
          <w:bCs/>
          <w:sz w:val="36"/>
          <w:szCs w:val="44"/>
        </w:rPr>
      </w:pPr>
      <w:r>
        <w:rPr>
          <w:rFonts w:hint="eastAsia" w:eastAsia="黑体" w:cs="Times New Roman"/>
          <w:b/>
          <w:sz w:val="52"/>
          <w:szCs w:val="52"/>
          <w:lang w:val="en-US" w:eastAsia="zh-CN"/>
        </w:rPr>
        <w:t xml:space="preserve"> </w:t>
      </w:r>
      <w:bookmarkStart w:id="0" w:name="_Toc2392"/>
      <w:bookmarkStart w:id="1" w:name="_Toc15084"/>
      <w:r>
        <w:rPr>
          <w:rFonts w:hint="eastAsia" w:eastAsia="黑体" w:cs="Times New Roman"/>
          <w:b/>
          <w:sz w:val="52"/>
          <w:szCs w:val="52"/>
          <w:lang w:val="en-US" w:eastAsia="zh-CN"/>
        </w:rPr>
        <w:t xml:space="preserve">        </w:t>
      </w:r>
      <w:r>
        <w:rPr>
          <w:rFonts w:hint="eastAsia" w:ascii="Times New Roman" w:hAnsi="Times New Roman" w:eastAsia="华文中宋" w:cs="Times New Roman"/>
          <w:bCs/>
          <w:sz w:val="36"/>
          <w:szCs w:val="44"/>
        </w:rPr>
        <w:t>北京工美集团有限责任公司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ascii="仿宋_GB2312"/>
          <w:szCs w:val="30"/>
        </w:rPr>
      </w:pPr>
      <w:r>
        <w:rPr>
          <w:rFonts w:hint="eastAsia" w:ascii="Times New Roman" w:hAnsi="Times New Roman" w:eastAsia="华文中宋" w:cs="Times New Roman"/>
          <w:bCs/>
          <w:sz w:val="36"/>
          <w:szCs w:val="44"/>
        </w:rPr>
        <w:t>20</w:t>
      </w:r>
      <w:r>
        <w:rPr>
          <w:rFonts w:hint="eastAsia" w:eastAsia="华文中宋" w:cs="Times New Roman"/>
          <w:bCs/>
          <w:sz w:val="36"/>
          <w:szCs w:val="44"/>
          <w:lang w:val="en-US" w:eastAsia="zh-CN"/>
        </w:rPr>
        <w:t>22</w:t>
      </w:r>
      <w:r>
        <w:rPr>
          <w:rFonts w:hint="eastAsia" w:ascii="Times New Roman" w:hAnsi="Times New Roman" w:eastAsia="华文中宋" w:cs="Times New Roman"/>
          <w:bCs/>
          <w:sz w:val="36"/>
          <w:szCs w:val="44"/>
        </w:rPr>
        <w:t>年度部门整体绩效评价</w:t>
      </w:r>
      <w:r>
        <w:rPr>
          <w:rFonts w:ascii="Times New Roman" w:hAnsi="Times New Roman" w:eastAsia="华文中宋" w:cs="Times New Roman"/>
          <w:bCs/>
          <w:sz w:val="36"/>
          <w:szCs w:val="44"/>
        </w:rPr>
        <w:t>报告</w:t>
      </w:r>
      <w:bookmarkEnd w:id="0"/>
      <w:bookmarkEnd w:id="1"/>
    </w:p>
    <w:p>
      <w:pPr>
        <w:adjustRightInd w:val="0"/>
        <w:snapToGrid w:val="0"/>
        <w:spacing w:line="360" w:lineRule="auto"/>
        <w:ind w:firstLine="640" w:firstLineChars="200"/>
        <w:jc w:val="left"/>
        <w:outlineLvl w:val="0"/>
        <w:rPr>
          <w:rFonts w:ascii="Times New Roman" w:hAnsi="Times New Roman" w:eastAsia="黑体" w:cs="Times New Roman"/>
          <w:sz w:val="32"/>
          <w:szCs w:val="32"/>
        </w:rPr>
      </w:pPr>
      <w:bookmarkStart w:id="2" w:name="_Toc15194"/>
      <w:bookmarkStart w:id="3" w:name="_Toc5790"/>
      <w:bookmarkStart w:id="4" w:name="_Toc27078"/>
      <w:r>
        <w:rPr>
          <w:rFonts w:hint="eastAsia" w:ascii="Times New Roman" w:hAnsi="Times New Roman" w:eastAsia="黑体" w:cs="Times New Roman"/>
          <w:sz w:val="32"/>
          <w:szCs w:val="32"/>
        </w:rPr>
        <w:t>一、部门概况</w:t>
      </w:r>
      <w:bookmarkEnd w:id="2"/>
      <w:bookmarkEnd w:id="3"/>
      <w:bookmarkEnd w:id="4"/>
    </w:p>
    <w:p>
      <w:pPr>
        <w:adjustRightInd w:val="0"/>
        <w:snapToGrid w:val="0"/>
        <w:spacing w:line="360" w:lineRule="auto"/>
        <w:ind w:firstLine="640" w:firstLineChars="200"/>
        <w:outlineLvl w:val="1"/>
        <w:rPr>
          <w:rFonts w:ascii="Times New Roman" w:hAnsi="Times New Roman" w:eastAsia="楷体" w:cs="Times New Roman"/>
          <w:sz w:val="32"/>
          <w:szCs w:val="32"/>
        </w:rPr>
      </w:pPr>
      <w:bookmarkStart w:id="5" w:name="_Toc21855"/>
      <w:bookmarkStart w:id="6" w:name="_Toc10283"/>
      <w:bookmarkStart w:id="7" w:name="_Toc5343"/>
      <w:r>
        <w:rPr>
          <w:rFonts w:hint="eastAsia" w:ascii="Times New Roman" w:hAnsi="Times New Roman" w:eastAsia="楷体" w:cs="Times New Roman"/>
          <w:sz w:val="32"/>
          <w:szCs w:val="32"/>
        </w:rPr>
        <w:t>（一）机构设置及职责工作任务情况</w:t>
      </w:r>
      <w:bookmarkEnd w:id="5"/>
      <w:bookmarkEnd w:id="6"/>
      <w:bookmarkEnd w:id="7"/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8" w:name="_Toc72438997"/>
      <w:bookmarkStart w:id="9" w:name="_Toc72438576"/>
      <w:bookmarkStart w:id="10" w:name="_Toc23010"/>
      <w:r>
        <w:rPr>
          <w:rFonts w:hint="eastAsia" w:ascii="仿宋_GB2312" w:hAnsi="仿宋_GB2312" w:eastAsia="仿宋_GB2312" w:cs="仿宋_GB2312"/>
          <w:bCs/>
          <w:sz w:val="32"/>
          <w:szCs w:val="32"/>
        </w:rPr>
        <w:t>1.</w:t>
      </w:r>
      <w:bookmarkEnd w:id="8"/>
      <w:bookmarkEnd w:id="9"/>
      <w:r>
        <w:rPr>
          <w:rFonts w:hint="eastAsia" w:ascii="仿宋_GB2312" w:hAnsi="仿宋_GB2312" w:eastAsia="仿宋_GB2312" w:cs="仿宋_GB2312"/>
          <w:bCs/>
          <w:sz w:val="32"/>
          <w:szCs w:val="32"/>
        </w:rPr>
        <w:t>部门职责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北京工美集团有限责任公司以工艺美术为主业，以传承与弘扬中华民族工艺美术文化、发展文化创意产业为己任，是集工艺美术品设计开发、商业经营、国际贸易、检测鉴定、职业教育、文化交流等为一体的多元化综合性企业集团，是北京乃至全国工艺美术行业的领军企业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包含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内设机构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71" w:firstLineChars="17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8"/>
          <w:kern w:val="0"/>
          <w:sz w:val="32"/>
          <w:szCs w:val="32"/>
        </w:rPr>
        <w:t>北京工美集团有限责任公司部门预算包括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所属事业单位1家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北京市工艺美术高级技工学校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以下简称“工美集团</w:t>
      </w:r>
      <w:r>
        <w:rPr>
          <w:rFonts w:hint="eastAsia" w:ascii="仿宋_GB2312" w:hAnsi="仿宋_GB2312" w:eastAsia="仿宋_GB2312" w:cs="仿宋_GB2312"/>
          <w:sz w:val="32"/>
          <w:szCs w:val="32"/>
        </w:rPr>
        <w:t>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公益二类</w:t>
      </w:r>
      <w:r>
        <w:rPr>
          <w:rFonts w:hint="eastAsia" w:ascii="仿宋_GB2312" w:hAnsi="仿宋_GB2312" w:eastAsia="仿宋_GB2312" w:cs="仿宋_GB2312"/>
          <w:sz w:val="32"/>
          <w:szCs w:val="32"/>
        </w:rPr>
        <w:t>全额拨款事业单位。</w:t>
      </w:r>
    </w:p>
    <w:p>
      <w:pPr>
        <w:keepNext w:val="0"/>
        <w:keepLines w:val="0"/>
        <w:adjustRightInd w:val="0"/>
        <w:snapToGrid w:val="0"/>
        <w:spacing w:line="360" w:lineRule="auto"/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主要职责：北京市工艺美术高级技工学校</w:t>
      </w:r>
      <w:r>
        <w:rPr>
          <w:rFonts w:hint="eastAsia" w:ascii="仿宋_GB2312" w:eastAsia="仿宋_GB2312"/>
          <w:color w:val="000000"/>
          <w:sz w:val="32"/>
          <w:szCs w:val="32"/>
        </w:rPr>
        <w:t>是为北京市培养符合社会需求的合格的中、高级及以上工艺美术技能人才，开展工艺美术及设计相关专业初、高中毕业生技工教育，从事工艺美术行业在职人员技能等级培训及认定，工艺美术行业就业咨询，对社会人员进行工艺美术设计制作、珠宝设计制作、珠宝鉴定营销、媒体艺术设计、幼儿美术教育等技能培训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的中等职业学校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机构设置及人员情况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截至2023年4月，工美集团所属事业单位事业编制90人，实际80人；聘用人员（其他聘用人员－临时工）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人。离退休人员52人，其中：离休0人，退休52人。职能部门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9个，分别为：办公室、党务办公室、财务科、总务科、学生科、招生就业办公室、培训部、教学管理中心、团委。</w:t>
      </w:r>
    </w:p>
    <w:p>
      <w:pPr>
        <w:adjustRightInd w:val="0"/>
        <w:snapToGrid w:val="0"/>
        <w:spacing w:line="360" w:lineRule="auto"/>
        <w:ind w:firstLine="640" w:firstLineChars="200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11" w:name="_Toc72438998"/>
      <w:bookmarkStart w:id="12" w:name="_Toc72438577"/>
      <w:bookmarkStart w:id="13" w:name="_Toc27658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工作目标</w:t>
      </w:r>
      <w:bookmarkEnd w:id="11"/>
      <w:bookmarkEnd w:id="12"/>
      <w:bookmarkEnd w:id="13"/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制定了2022年重点工作任务，并对重点工作项目进行了分解，2022年重点工作项目分解如下表所示。</w:t>
      </w:r>
    </w:p>
    <w:p>
      <w:pPr>
        <w:adjustRightInd w:val="0"/>
        <w:snapToGrid w:val="0"/>
        <w:spacing w:line="360" w:lineRule="auto"/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表1：2022年重点工作项目分解表</w:t>
      </w:r>
    </w:p>
    <w:tbl>
      <w:tblPr>
        <w:tblStyle w:val="19"/>
        <w:tblpPr w:leftFromText="180" w:rightFromText="180" w:vertAnchor="text" w:horzAnchor="margin" w:tblpY="191"/>
        <w:tblW w:w="9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55"/>
        <w:gridCol w:w="4641"/>
        <w:gridCol w:w="1134"/>
        <w:gridCol w:w="850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重点工作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主要内容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进度要求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责任人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主管领导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工艺美术师学院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组织建立“双大师引领、中心支撑”订单培养模式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打造“国礼研发储备中心”“珐琅釉料研发中心”“漆艺研发中心”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完成配套数字化资源的建设等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22年建设任务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，完成验收。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12月份完成验收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陆璐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刘金芳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国家级高技能人才培训基地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建设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组织完成课程资源的开发；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一体化教师、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课程负责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人的培养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完善校企合作和实训工作室建设等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22年建设任务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，完成验收。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12月份完成验收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马晓芳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刘金芳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珠宝首饰骨干专业群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组织梯级教师队伍培养、建设教师教学创新团队，完成人才培养模式的构建、专业课程资源包的开发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等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11月份完成验收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王欢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刘金芳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46届世赛人才选拔培养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根据基地要求，配合完成46届国家队训练任务。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11月完成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赵恺月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刘金芳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举办大师皇家工艺精品联展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宣传学校办学特色，宣传学校教学资源，在“中国美术馆”举办大师皇家工艺精品联展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8月份完成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张洁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尚晓燕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进一步改善办学环境</w:t>
            </w:r>
          </w:p>
        </w:tc>
        <w:tc>
          <w:tcPr>
            <w:tcW w:w="464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改善校园环境，为学生提供更好、更舒适的教学环境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10月份完成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刘春林</w:t>
            </w:r>
          </w:p>
        </w:tc>
        <w:tc>
          <w:tcPr>
            <w:tcW w:w="88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王雪涛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楷体_GB2312" w:eastAsia="楷体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outlineLvl w:val="1"/>
        <w:rPr>
          <w:rFonts w:hint="eastAsia" w:ascii="Times New Roman" w:eastAsia="楷体"/>
          <w:sz w:val="32"/>
          <w:szCs w:val="32"/>
        </w:rPr>
      </w:pPr>
      <w:bookmarkStart w:id="14" w:name="_Toc3175"/>
      <w:bookmarkStart w:id="15" w:name="_Toc17243"/>
      <w:bookmarkStart w:id="16" w:name="_Toc29844"/>
      <w:r>
        <w:rPr>
          <w:rFonts w:hint="eastAsia" w:ascii="Times New Roman" w:eastAsia="楷体"/>
          <w:sz w:val="32"/>
          <w:szCs w:val="32"/>
        </w:rPr>
        <w:t>（二）部门整体绩效目标设立情况</w:t>
      </w:r>
      <w:bookmarkEnd w:id="14"/>
      <w:bookmarkEnd w:id="15"/>
      <w:bookmarkEnd w:id="16"/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red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围绕部门职能及年度工作计划设置2022年度部门整体绩效目标，完成学校的建设任务，从“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组织建立‘双大师引领、中心支撑’订单培养模式、打造‘国礼研发储备中心’‘珐琅釉料研发中心’‘漆艺研发中心’，完成配套数字化资源的建设等2022年建设任务，完成验收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完成国家级高技能人才培训基地建设任务，组织完成课程资源的开发；完成一体化教师、课程负责人的培养，完善校企合作和实训工作室建设等2022年建设任务，完成验收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加强珠宝首饰专业群建设，组织梯级教师队伍培养、建设教师教学创新团队，完成人才培养模式的构建、专业课程资源包的开发等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配合国家集训队完成第46届世赛人才选拔培养任务，根据基地要求，配合完成46届国家队训练任务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等重点任务方面设置了绩效目标，部门整体绩效目标设置与单位职责、年度工作任务较为相符</w:t>
      </w:r>
      <w:bookmarkStart w:id="17" w:name="_Toc72438580"/>
      <w:bookmarkStart w:id="18" w:name="_Toc72439001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  <w:bookmarkEnd w:id="17"/>
      <w:bookmarkEnd w:id="1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0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19" w:name="_Toc2327"/>
      <w:bookmarkStart w:id="20" w:name="_Toc3524"/>
      <w:bookmarkStart w:id="21" w:name="_Toc30462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当年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预算执行情况</w:t>
      </w:r>
      <w:bookmarkEnd w:id="19"/>
      <w:bookmarkEnd w:id="20"/>
      <w:bookmarkEnd w:id="21"/>
    </w:p>
    <w:p>
      <w:pPr>
        <w:adjustRightInd w:val="0"/>
        <w:snapToGrid w:val="0"/>
        <w:spacing w:line="360" w:lineRule="auto"/>
        <w:ind w:firstLine="640" w:firstLineChars="200"/>
        <w:jc w:val="left"/>
        <w:outlineLvl w:val="9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年全年预算8874.17万元，其中：基本支出预算4618.90万元，项目支出预算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4255.27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万元。资金总体支出8509.31万元，预算执行率为95.89%，其中：基本支出4254.04万元，预算执行率为92.10%；项目支出4255.27万元，预算执行率为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100.00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%。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表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eastAsia="zh-CN"/>
        </w:rPr>
        <w:t>：工美集团所属事业单位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年度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预算执行情况表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 w:val="0"/>
          <w:bCs w:val="0"/>
          <w:color w:val="00B0F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 xml:space="preserve">                                                  单位：万元</w:t>
      </w:r>
    </w:p>
    <w:tbl>
      <w:tblPr>
        <w:tblStyle w:val="19"/>
        <w:tblW w:w="844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5"/>
        <w:gridCol w:w="1756"/>
        <w:gridCol w:w="1812"/>
        <w:gridCol w:w="1531"/>
        <w:gridCol w:w="1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类别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年初预算数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全年预算数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全年执行数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预算执行率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4393.81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4618.90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4254.04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92.10%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3963.39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4255.27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4255.27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2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8357.21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8874.17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8509.31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95.89%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0"/>
        <w:rPr>
          <w:rFonts w:ascii="黑体" w:hAnsi="黑体" w:eastAsia="黑体" w:cs="宋体"/>
          <w:color w:val="000000"/>
          <w:kern w:val="0"/>
          <w:sz w:val="32"/>
          <w:szCs w:val="32"/>
          <w:highlight w:val="none"/>
        </w:rPr>
      </w:pPr>
      <w:bookmarkStart w:id="22" w:name="_Toc14417"/>
      <w:bookmarkStart w:id="23" w:name="_Toc32109"/>
      <w:bookmarkStart w:id="24" w:name="_Toc6788"/>
      <w:r>
        <w:rPr>
          <w:rFonts w:hint="eastAsia" w:ascii="黑体" w:hAnsi="黑体" w:eastAsia="黑体" w:cs="宋体"/>
          <w:color w:val="000000"/>
          <w:kern w:val="0"/>
          <w:sz w:val="32"/>
          <w:szCs w:val="32"/>
          <w:highlight w:val="none"/>
        </w:rPr>
        <w:t>三</w:t>
      </w:r>
      <w:r>
        <w:rPr>
          <w:rFonts w:ascii="黑体" w:hAnsi="黑体" w:eastAsia="黑体" w:cs="宋体"/>
          <w:color w:val="000000"/>
          <w:kern w:val="0"/>
          <w:sz w:val="32"/>
          <w:szCs w:val="32"/>
          <w:highlight w:val="none"/>
        </w:rPr>
        <w:t>、整体绩效目标实现情况</w:t>
      </w:r>
      <w:bookmarkEnd w:id="22"/>
      <w:bookmarkEnd w:id="23"/>
      <w:bookmarkEnd w:id="2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1"/>
        <w:rPr>
          <w:rFonts w:ascii="楷体_GB2312" w:eastAsia="楷体_GB2312"/>
          <w:sz w:val="32"/>
          <w:szCs w:val="32"/>
          <w:highlight w:val="none"/>
        </w:rPr>
      </w:pPr>
      <w:bookmarkStart w:id="25" w:name="_Toc28025"/>
      <w:bookmarkStart w:id="26" w:name="_Toc21263"/>
      <w:bookmarkStart w:id="27" w:name="_Toc30001"/>
      <w:r>
        <w:rPr>
          <w:rFonts w:hint="eastAsia" w:ascii="楷体_GB2312" w:eastAsia="楷体_GB2312"/>
          <w:sz w:val="32"/>
          <w:szCs w:val="32"/>
          <w:highlight w:val="none"/>
        </w:rPr>
        <w:t>（一）产出完成情况分析</w:t>
      </w:r>
      <w:bookmarkEnd w:id="25"/>
      <w:bookmarkEnd w:id="26"/>
      <w:bookmarkEnd w:id="2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2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1.产出数量</w:t>
      </w:r>
    </w:p>
    <w:p>
      <w:pPr>
        <w:adjustRightInd w:val="0"/>
        <w:snapToGrid w:val="0"/>
        <w:spacing w:line="360" w:lineRule="auto"/>
        <w:ind w:left="105" w:leftChars="50" w:firstLine="482" w:firstLineChars="150"/>
        <w:rPr>
          <w:rFonts w:hint="default" w:ascii="仿宋_GB2312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特高建设方面。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一是为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实现高技能人才可持续发展，完善专业现有实践教学基地建设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购置6件实践教学基地设备、建设3个专业课程、升级改造5间实训室、制定5个实训室制度文件。二是购置世赛专用设备31件、创新研发基于花丝镶嵌传统工艺的现代珠宝首饰设计产品2套、研发“一带一路”、2022冬奥会等相关国礼产品1个、建设完善3个专业的课程体系。</w:t>
      </w:r>
    </w:p>
    <w:p>
      <w:pPr>
        <w:adjustRightInd w:val="0"/>
        <w:snapToGrid w:val="0"/>
        <w:spacing w:line="360" w:lineRule="auto"/>
        <w:ind w:left="105" w:leftChars="50" w:firstLine="482" w:firstLineChars="15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</w:rPr>
        <w:t>教育教学方面。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一是为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完成学生的实习实训，为京津冀培养优秀的工艺美术人，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聘请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实习实训指导教师及管理人员共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人；二是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培训学生的艺术创新能力、动手能力和综合素养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租赁三维建模动画渲染软件39套、渲染软件39套、图形图像处理软件320套；三是为了工艺美术专业（花丝镶嵌、景泰蓝、雕漆、金漆镶嵌方向）、玉雕专业、文物修复专业及民间工艺美术建设和发展，促进一体化教学，聘请了学科专家对学生指导1320学时，高级技师教学实训指导11580学时，参与实训人数达到521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受疫情影响，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行业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大师交流讲座未能如期开展，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实际完成3次，未达到计划的11次；四是稳步建立并有效运行具有学校自己特色的质量目标管理体系，指导制定2022年度各部门质量目标管理看板，指导体系运行效果监控2021-2022第二学期和2022-2023第一学期体系正式运行数据1套，但受疫情影响，部分科室数据未产生，需进一步完善；五是为提升课程教学实施能力，提升各类创新团队遴选、组建及团队基础能力，重点培养专业带头人及2级以上课程负责人等名师7名，形成2个卓越创新团队、1个优秀创新团队和1个基础创新团队雏形，完成混合式教学资源1份、终结性评价资料3份、有效教学试点材料2套；六是通过完成工艺美术专业VR虚拟现实实训教室建设1所、新增实训设备11台（套），使工艺美术实现更直接、更全面、更高效的学习与创新设计；七是为建设北京工艺美术师学院，完成大师授课数字化视频资源包10套、工作页6个、国礼作品8件、实习项目资源包35套、漆艺资源包21套、教学案例数字化资源包10套、鱼骨图开发6个等制定；八是通过开展影视后期制作专业机房及UI工作室设备更新购置项目，更新购置了2套桌面级盘阵、30套UI工作站、1套机房管理软件、42套学生非编工作站、1套工作站显示、2套纳米黑板、1套非编工作站、30套UI显示器。</w:t>
      </w:r>
    </w:p>
    <w:p>
      <w:pPr>
        <w:adjustRightInd w:val="0"/>
        <w:snapToGrid w:val="0"/>
        <w:spacing w:line="360" w:lineRule="auto"/>
        <w:ind w:left="105" w:leftChars="50" w:firstLine="482" w:firstLineChars="15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改善办学条件方面。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一是开展了曹妃甸实训基地车辆租赁工作，租赁学生班车20次，但受疫情影响，学校春季学期部分课程改为线上教学，且9月份开学师生班车从原本一周2次调整为一个月1次，班车次数未达到预期目标95次；二是完成了幼儿教育专业中关村校区教育服务管理工作，服务2019级学生85人、2020级学生123人、2021级学生82人、2022级学生150人；三是为师生提供了4处教学和实训场地，其中，东院实训场3192.5平方米、实训车间租赁（1号、2号）共计2880平方米、校园场地13317.84平方米；四是开展了校园操场基础设施改造及地面铺设工程建设工作，按计划完成了5026平方米的操场改造；五是使用其他资金79.26万元，保障了学校正常教育教学秩序；六是为学生和教师提供了14436平方米的实习实训场所，满足了学校教育教学和实习实训场地需要，为正常开展教学和实习实训工作提供了必要保证。</w:t>
      </w:r>
    </w:p>
    <w:p>
      <w:pPr>
        <w:adjustRightInd w:val="0"/>
        <w:snapToGrid w:val="0"/>
        <w:spacing w:line="360" w:lineRule="auto"/>
        <w:ind w:left="105" w:leftChars="50" w:firstLine="482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2"/>
          <w:szCs w:val="32"/>
          <w:lang w:val="en-US" w:eastAsia="zh-CN"/>
        </w:rPr>
        <w:t>学生资助方面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根据《关于印发〈北京市中等职业学校学生资助资金管理办法〉的通知》（京财教育〔2013〕1419号）和《关于调整大中专学生生活物价补贴标准的通知》（京教财〔2010〕40号）相关要求，对2022年符合国家助学金及物价补贴政策的1043名学生发放物价补贴、对36名学生发放二等助学金、48名学生发放一等助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2.产出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质量</w:t>
      </w:r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为确保教育教学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特高建设、学生资助等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各项工作实施效果良好，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严把质量关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一是为提升学校的教学能力，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充分培养学生的动手实操能力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开展了“Creative Cloud for teams All Apps等绘图软件租赁及OctaneRender软件购置”“曹妃甸实训基地VR虚拟现实实训教室设备采购”等项目均通过验收，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在涉及设备、材料采购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等方面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，均注重检查、验收，保证设备和材料的质量达到同等标准，使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的硬件学习环境得到保障；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严格按照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年度任务完成各项教育教学相关任务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，并超额完成教学计划和方案的开发，实现学校教育教学软实力的提升；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三是开展珠宝特色高水平骨干专业群建设，学生职业技能认定取证率达到96.90%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由于疫情影响，学生大部分时间未到实训基地进行实训，大型设备很少启动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用电较少；饮食的营养健康仍有提升空间；租赁汽车使用率较低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3.产出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进度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截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至2022年12月31日，工美集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所属事业单位的曹妃甸实训基地管理费项目、曹妃甸实训基地实习实训指导教师及管理人员经费项目、幼儿教育专业中关村校区教育服务管理费、培养工艺美术非遗传承人外聘教师课时费、房屋租赁项目、北京市工艺美术高级技工学校质量目标管理体系建设项目20尾款、名师引领的教师创新团队建设项目一期21尾款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大部分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能够按照计划要求完成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年度各项工作有序推进落实，项目实施进度及产出时效性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但是“影视后期制作专业机房及UI工作室设备更新购置”项目受疫情影响，施工队无法进场安装设备，项目实施时间存在一定滞后；“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骨干专业群珠宝首饰专业群21尾款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”项目设备验收需待三年项目建设期结束后正式验收，购置设备未能及时入库，项目完成时间存在延迟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产出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成本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严格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执行《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中华人民共和国政府采购法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中华人民共和国政府采购法实施条例》、北京市政府采购管理办法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等有关要求，同时，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遵守党中央国务院厉行节约的有关要求，按照相关管理办法对</w:t>
      </w:r>
      <w:r>
        <w:rPr>
          <w:rFonts w:hint="eastAsia" w:eastAsia="仿宋_GB2312"/>
          <w:sz w:val="32"/>
          <w:szCs w:val="32"/>
        </w:rPr>
        <w:t>年度预算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进行管理，确保各项支出严格按照预算执行，各项成本控制在预算范围内。</w:t>
      </w:r>
      <w:r>
        <w:rPr>
          <w:rFonts w:hint="eastAsia" w:eastAsia="仿宋_GB2312"/>
          <w:sz w:val="32"/>
          <w:szCs w:val="32"/>
        </w:rPr>
        <w:t>工美集团所属事业单位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资金</w:t>
      </w:r>
      <w:r>
        <w:rPr>
          <w:rFonts w:ascii="Times New Roman" w:hAnsi="Times New Roman" w:eastAsia="仿宋_GB2312" w:cs="Times New Roman"/>
          <w:sz w:val="32"/>
          <w:szCs w:val="32"/>
        </w:rPr>
        <w:t>支出符合部门履职范围，部门总体资金支出控制在预算范围内，未出现超支情况，部门整体成本控制情况较好。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1"/>
        <w:rPr>
          <w:rFonts w:ascii="楷体_GB2312" w:eastAsia="楷体_GB2312"/>
          <w:sz w:val="32"/>
          <w:szCs w:val="32"/>
        </w:rPr>
      </w:pPr>
      <w:bookmarkStart w:id="28" w:name="_Toc2064"/>
      <w:bookmarkStart w:id="29" w:name="_Toc32098"/>
      <w:bookmarkStart w:id="30" w:name="_Toc7453"/>
      <w:r>
        <w:rPr>
          <w:rFonts w:hint="eastAsia" w:ascii="楷体_GB2312" w:eastAsia="楷体_GB2312"/>
          <w:sz w:val="32"/>
          <w:szCs w:val="32"/>
        </w:rPr>
        <w:t>（二）效果</w:t>
      </w:r>
      <w:r>
        <w:rPr>
          <w:rFonts w:ascii="楷体_GB2312" w:eastAsia="楷体_GB2312"/>
          <w:sz w:val="32"/>
          <w:szCs w:val="32"/>
        </w:rPr>
        <w:t>实现情况分析</w:t>
      </w:r>
      <w:bookmarkEnd w:id="28"/>
      <w:bookmarkEnd w:id="29"/>
      <w:bookmarkEnd w:id="30"/>
    </w:p>
    <w:p>
      <w:pPr>
        <w:adjustRightInd w:val="0"/>
        <w:snapToGrid w:val="0"/>
        <w:spacing w:line="360" w:lineRule="auto"/>
        <w:ind w:firstLine="640" w:firstLineChars="200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31" w:name="_Toc72439010"/>
      <w:bookmarkStart w:id="32" w:name="_Toc72438589"/>
      <w:bookmarkStart w:id="33" w:name="_Toc2987"/>
      <w:r>
        <w:rPr>
          <w:rFonts w:hint="eastAsia" w:ascii="仿宋_GB2312" w:hAnsi="仿宋_GB2312" w:eastAsia="仿宋_GB2312" w:cs="仿宋_GB2312"/>
          <w:bCs/>
          <w:sz w:val="32"/>
          <w:szCs w:val="32"/>
        </w:rPr>
        <w:t>1.社会效益</w:t>
      </w:r>
      <w:bookmarkEnd w:id="31"/>
      <w:bookmarkEnd w:id="32"/>
      <w:bookmarkEnd w:id="33"/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（1）宣传传统工艺，初步取得成效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640" w:firstLineChars="200"/>
        <w:textAlignment w:val="auto"/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工美集团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所属事业单位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于2022年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7月3日至13日在中国美术馆举办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匠心传承工艺美术大师展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，展出</w:t>
      </w:r>
      <w:r>
        <w:rPr>
          <w:rFonts w:hint="default" w:eastAsia="仿宋_GB2312" w:cs="Times New Roman"/>
          <w:bCs w:val="0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作品50余件</w:t>
      </w:r>
      <w:r>
        <w:rPr>
          <w:rFonts w:hint="default" w:eastAsia="仿宋_GB2312" w:cs="Times New Roman"/>
          <w:bCs w:val="0"/>
          <w:kern w:val="2"/>
          <w:sz w:val="32"/>
          <w:szCs w:val="32"/>
          <w:lang w:val="en-US" w:eastAsia="zh-CN" w:bidi="ar-SA"/>
        </w:rPr>
        <w:t>作品。</w:t>
      </w:r>
      <w:r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展览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得到美术馆、中工艺、工美协会、集团等大力支持</w:t>
      </w:r>
      <w:r>
        <w:rPr>
          <w:rFonts w:hint="default" w:eastAsia="仿宋_GB2312" w:cs="Times New Roman"/>
          <w:bCs w:val="0"/>
          <w:kern w:val="2"/>
          <w:sz w:val="32"/>
          <w:szCs w:val="32"/>
          <w:lang w:val="en-US" w:eastAsia="zh-CN" w:bidi="ar-SA"/>
        </w:rPr>
        <w:t>，同时，共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有20几家媒体</w:t>
      </w:r>
      <w:r>
        <w:rPr>
          <w:rFonts w:hint="default" w:eastAsia="仿宋_GB2312" w:cs="Times New Roman"/>
          <w:bCs w:val="0"/>
          <w:kern w:val="2"/>
          <w:sz w:val="32"/>
          <w:szCs w:val="32"/>
          <w:lang w:val="en-US" w:eastAsia="zh-CN" w:bidi="ar-SA"/>
        </w:rPr>
        <w:t>对</w:t>
      </w:r>
      <w:r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展览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进行</w:t>
      </w:r>
      <w:r>
        <w:rPr>
          <w:rFonts w:hint="default" w:eastAsia="仿宋_GB2312" w:cs="Times New Roman"/>
          <w:bCs w:val="0"/>
          <w:kern w:val="2"/>
          <w:sz w:val="32"/>
          <w:szCs w:val="32"/>
          <w:lang w:val="en-US" w:eastAsia="zh-CN" w:bidi="ar-SA"/>
        </w:rPr>
        <w:t>了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报道，视频观看量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约为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4万人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次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很好地展示了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“燕京八绝”传统工艺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，展览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取得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了较好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宣传效果。但</w:t>
      </w:r>
      <w:r>
        <w:rPr>
          <w:rFonts w:hint="eastAsia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整体看来，工美集团所属事业单位对传统工艺的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宣传</w:t>
      </w:r>
      <w:r>
        <w:rPr>
          <w:rFonts w:hint="eastAsia" w:eastAsia="仿宋_GB2312" w:cs="Times New Roman"/>
          <w:bCs w:val="0"/>
          <w:kern w:val="2"/>
          <w:sz w:val="32"/>
          <w:szCs w:val="32"/>
          <w:highlight w:val="none"/>
          <w:lang w:val="en-US" w:eastAsia="zh-CN" w:bidi="ar-SA"/>
        </w:rPr>
        <w:t>普及活动较少，宣传力度和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范围仍需加强。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（2）建设国家高技能人才培训，人才培养能力得到提升</w:t>
      </w:r>
    </w:p>
    <w:p>
      <w:pPr>
        <w:adjustRightInd w:val="0"/>
        <w:snapToGrid w:val="0"/>
        <w:spacing w:line="360" w:lineRule="auto"/>
        <w:ind w:left="0" w:leftChars="0" w:firstLine="640" w:firstLineChars="200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工美集团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所属事业单位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紧紧围绕技能人才提升、京津冀一体化、非遗传承等国家重大战略和北京市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四个中心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”“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两区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建设开展工作，在高技能培训课程体系建设、师资队伍建设、实训能力建设、校企合作、信息化平台建设、技能竞赛平台建设、成果展示平台建设、培训规模与质量提升、技能大师工作室建设等方面取得了重要进展。通过2年的深化国家高技能人才培训，构建了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精准化、精品化、精细化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的高技能人才培训体系，打造了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大师引领，五梯进阶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的培训师资队伍，创建了六大竞赛、展示平台、优化了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三位一体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的信息化培训平台，形成了校企合作多方共育的人才培训机制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有效地提升了文化创意和文保文博高技能人才的培训能力，在三化兼具建设思路引领下，打造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了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优质高技能培训基地，先后开展各类培训71班次，总培训数达8205人（含高技能培训3838人），其中</w:t>
      </w:r>
      <w:r>
        <w:rPr>
          <w:rFonts w:hint="default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文物保护与修复专业开展技能培训21班次，培训人数达965人（含高技能培训705人），珠宝首饰专业开展技能培训15班次，培训人数达2299人（含高技能培训1207人），保质</w:t>
      </w:r>
      <w:r>
        <w:rPr>
          <w:rFonts w:hint="default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保量地完成了培训任务。</w:t>
      </w:r>
    </w:p>
    <w:p>
      <w:pPr>
        <w:adjustRightInd w:val="0"/>
        <w:snapToGrid w:val="0"/>
        <w:spacing w:line="360" w:lineRule="auto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（3）建设珠宝特色高水平骨干专业群，提升专业建设水平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/>
        </w:rPr>
        <w:t>通过开展“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骨干专业群珠宝首饰专业群21尾款</w:t>
      </w:r>
      <w:r>
        <w:rPr>
          <w:rFonts w:hint="eastAsia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/>
        </w:rPr>
        <w:t>”项目，进一步明确了珠宝首饰骨干专业群人才培养的路径与检验标准，对三个专业的人才培养方案进行修订，开发了珠宝首饰鉴定与营销、珠宝首饰设计与制作、花丝镶嵌3个专业的学习任务资源包，进一步完善了专业课程体系、完善了人才培养模式。同时，继续优化教师教学创新团队结构，延续教师“梯级”培养，使教师创新团队获评北京市教委2022年度教学创新团队培育项目。综上，珠宝首饰专业群建设在一定程度上提升了学生的专业技术能力，但学生就业率统计收集材料需进一步完善，目前只是对学生就业情况进行简单的统计，未针对学生就业的单位、学生年度内就业表现等情况进行统计和跟踪分析；项目人才培养、实训实习及专业建设成效有待进一步跟踪落实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（4）完善北京工艺美术师学院建设，促进传统工艺美术专业的一体化教学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一是组织建立了“双大师引领、中心支撑”订单培养模式，并完成北京市重点课题“双师引领、中心支撑”工艺美术人才培养模式研究，经专家评审，课题成果获评优秀等级；二是建设完成“国礼研发储备中心”“珐琅釉料研发中心”“漆艺研发中心”，包括硬件环境建设及作品研发任务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进一步完善了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工美集团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所属事业单位工艺美术专业建设和发展；三是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完成了双大师授课数字化视频资源包、教学案例数字化资源包等数字化资源建设资源137个，数字化资源的建设结合了漆艺研发中心的数据库平台建设，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促进了传统工艺美术专业的一体化教学。</w:t>
      </w:r>
    </w:p>
    <w:p>
      <w:pPr>
        <w:adjustRightInd w:val="0"/>
        <w:snapToGrid w:val="0"/>
        <w:spacing w:line="360" w:lineRule="auto"/>
        <w:ind w:firstLine="640" w:firstLineChars="200"/>
        <w:outlineLvl w:val="2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34" w:name="_Toc26967"/>
      <w:bookmarkStart w:id="35" w:name="_Toc72439011"/>
      <w:bookmarkStart w:id="36" w:name="_Toc72438590"/>
      <w:r>
        <w:rPr>
          <w:rFonts w:hint="eastAsia" w:ascii="仿宋_GB2312" w:hAnsi="仿宋_GB2312" w:eastAsia="仿宋_GB2312" w:cs="仿宋_GB2312"/>
          <w:bCs/>
          <w:sz w:val="32"/>
          <w:szCs w:val="32"/>
        </w:rPr>
        <w:t>2.服务对象满意度</w:t>
      </w:r>
      <w:bookmarkEnd w:id="34"/>
      <w:bookmarkEnd w:id="35"/>
      <w:bookmarkEnd w:id="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年，工美集团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所属事业单位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年度工作任务开展良好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并取得较为显著的效果，在校教职工、师生对部门履职效果整体较为满意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同时，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针对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年度实施的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服务对象情况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从教职工满意度、学生满意度等方面设置了满意度指标，满意度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基本达标，但个别项目如</w:t>
      </w:r>
      <w:r>
        <w:rPr>
          <w:rFonts w:hint="eastAsia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/>
        </w:rPr>
        <w:t>“骨干专业群珠宝首饰专业群21尾款”项目建设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存在满意度调查对象覆盖率不够高的问题。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05" w:leftChars="50" w:firstLine="480" w:firstLineChars="150"/>
        <w:textAlignment w:val="auto"/>
        <w:outlineLvl w:val="0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37" w:name="_Toc2735"/>
      <w:bookmarkStart w:id="38" w:name="_Toc6662"/>
      <w:bookmarkStart w:id="39" w:name="_Toc13741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、预算管理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情况分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析</w:t>
      </w:r>
      <w:bookmarkEnd w:id="37"/>
      <w:bookmarkEnd w:id="38"/>
      <w:bookmarkEnd w:id="39"/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ascii="楷体_GB2312" w:eastAsia="楷体_GB2312"/>
          <w:sz w:val="32"/>
          <w:szCs w:val="32"/>
        </w:rPr>
      </w:pPr>
      <w:bookmarkStart w:id="40" w:name="_Toc2601"/>
      <w:bookmarkStart w:id="41" w:name="_Toc19797"/>
      <w:bookmarkStart w:id="42" w:name="_Toc7740"/>
      <w:r>
        <w:rPr>
          <w:rFonts w:hint="eastAsia" w:ascii="楷体_GB2312" w:eastAsia="楷体_GB2312"/>
          <w:sz w:val="32"/>
          <w:szCs w:val="32"/>
        </w:rPr>
        <w:t>（一）财务管理</w:t>
      </w:r>
      <w:bookmarkEnd w:id="40"/>
      <w:bookmarkEnd w:id="41"/>
      <w:bookmarkEnd w:id="42"/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1.财务管理制度健全性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制定了《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现金管理制度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支票管理制度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票据管理制度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存货管理制度》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会计档案管理及其他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等16项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财务管理制度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并按照相关制度执行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财务管理制度不够健全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，缺少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全过程预算绩效管理相关制度。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2.资金使用合规性和安全性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预算执行过程中，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按照《资金结算管理办法》《专项资金管理办法》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现金管理制度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支票管理制度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等有关规章制度使用资金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，部门整体资金支出手续较为完备，过程性材料均留档备案。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项目资金用于与项目工作内容相关的各方面，实际支出方向与项目预算批复、用途相符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。项目资金拨付具有较为完整的审批程序和手续，对项目进行了专款专用、独立核算，未发现虚列、超标准开支的情况。项目支出明细与合同支付条款、付款票据相符，资金使用合规性和安全性较好。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会计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基础信息完善性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会计核算方面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会计基础信息较为完善，相关会计凭证、会计账簿、财务报表、重要经济合同及财务管理有关的各种文件由会计专人管理，财务报表编报及时，数据真实可靠、全面完整。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ascii="楷体_GB2312" w:eastAsia="楷体_GB2312"/>
          <w:sz w:val="32"/>
          <w:szCs w:val="32"/>
        </w:rPr>
      </w:pPr>
      <w:bookmarkStart w:id="43" w:name="_Toc27473"/>
      <w:bookmarkStart w:id="44" w:name="_Toc28939"/>
      <w:bookmarkStart w:id="45" w:name="_Toc1399"/>
      <w:r>
        <w:rPr>
          <w:rFonts w:hint="eastAsia" w:ascii="楷体_GB2312" w:eastAsia="楷体_GB2312"/>
          <w:sz w:val="32"/>
          <w:szCs w:val="32"/>
        </w:rPr>
        <w:t>（二）资产管理</w:t>
      </w:r>
      <w:bookmarkEnd w:id="43"/>
      <w:bookmarkEnd w:id="44"/>
      <w:bookmarkEnd w:id="4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为加强资产管理，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制定了《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无形资产管理制度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明确了固定资产管理的主要内容、验收入库及清查盘点；无形资产的计价、购置、后续支出及验收处置等相关内容。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2022年度及时对部门资产使用情况进行盘点，资产配置符合标准，但存在部分固定资产未及时入账的问题。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截至2022年底，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资产总额8933.63万元，其中固定资产总额7498.62万元，无形资产总额546.36万元，流动资产870.65万元，长期投资18.00万元；负债总额278.29万元；净资产总额8655.34万元。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整体上，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资产保持安全完整，资产配置较合理，不存在未经批准擅自出租、出借资产、不按要求进行报批或资产不公开处置行为，但存在部分固定资产入账不及时的问题。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ascii="楷体_GB2312" w:eastAsia="楷体_GB2312"/>
          <w:sz w:val="32"/>
          <w:szCs w:val="32"/>
        </w:rPr>
      </w:pPr>
      <w:bookmarkStart w:id="46" w:name="_Toc14886"/>
      <w:bookmarkStart w:id="47" w:name="_Toc1570"/>
      <w:bookmarkStart w:id="48" w:name="_Toc20276"/>
      <w:r>
        <w:rPr>
          <w:rFonts w:hint="eastAsia" w:ascii="楷体_GB2312" w:eastAsia="楷体_GB2312"/>
          <w:sz w:val="32"/>
          <w:szCs w:val="32"/>
        </w:rPr>
        <w:t>（三）绩效</w:t>
      </w:r>
      <w:r>
        <w:rPr>
          <w:rFonts w:ascii="楷体_GB2312" w:eastAsia="楷体_GB2312"/>
          <w:sz w:val="32"/>
          <w:szCs w:val="32"/>
        </w:rPr>
        <w:t>管理</w:t>
      </w:r>
      <w:bookmarkEnd w:id="46"/>
      <w:bookmarkEnd w:id="47"/>
      <w:bookmarkEnd w:id="4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为保证预算绩效管理工作顺利进行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，强化预算绩效管理工作开展，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的领导高度重视预算绩效管理工作，成立了由校领导、财务科、总务科、教学管理中心等相关人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员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组成的预算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管理小组。校领导主要负责统筹部署绩效管理工作，财务科需进一步落实校领导的决策部署，总务科、教学管理中心等其他科室在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校领导的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指导下，负责具体落实预算绩效管理工作实施。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根据北京市预算绩效管理相关要求，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对全年预算绩效管理工作进行了安排。预算绩效管理主要落实以下几项工作：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（1）绩效目标填报、审核。严格按照北京市202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年度预算编制的相关要求开展年度预算编制工作，根据年度工作任务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随项目预算申报，填报项目支出绩效目标表。组织对所有项目的绩效目标进行审核，审核不合格的退回相关科室进行修改直至合格；审核通过的项目上报市财政部门。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</w:t>
      </w:r>
      <w:r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事前评估。2022年，工美所属事业单位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按照《北京市市级财政支出事前绩效评估管理办法》（京财绩效〔2021〕1837号）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对“曹妃甸实训基地VR虚拟现实实训教室设备采购项目”“校园操场基础设施改造及地面铺设工程”开展了事前评估工作。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default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监控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ascii="仿宋_GB2312" w:hAnsi="Calibri" w:eastAsia="仿宋_GB2312" w:cs="仿宋_GB2312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为贯彻</w:t>
      </w:r>
      <w:r>
        <w:rPr>
          <w:rFonts w:ascii="仿宋_GB2312" w:hAnsi="仿宋" w:eastAsia="仿宋_GB2312" w:cs="仿宋_GB2312"/>
          <w:bCs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《北京市市级部门预算绩效运行监控管理办法》（京财绩效〔2020〕2034号）</w:t>
      </w:r>
      <w:r>
        <w:rPr>
          <w:rFonts w:ascii="仿宋_GB2312" w:hAnsi="Calibri" w:eastAsia="仿宋_GB2312" w:cs="仿宋_GB2312"/>
          <w:color w:val="000000" w:themeColor="text1"/>
          <w:sz w:val="32"/>
          <w:szCs w:val="32"/>
          <w:highlight w:val="none"/>
          <w:lang w:bidi="ar"/>
          <w14:textFill>
            <w14:solidFill>
              <w14:schemeClr w14:val="tx1"/>
            </w14:solidFill>
          </w14:textFill>
        </w:rPr>
        <w:t>有关精神，按照《北京市财政局关于开展2022年全面预算绩效管理工作的通知》（京财绩效〔2022〕669号）要求，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及时跟进各项目执行进度，对项目预算执行率、目标执行情况、目标执行偏差等进行跟踪，并采取纠偏措施，确保项目年度工作任务顺利完成，预期绩效目标如期达成。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default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（4</w:t>
      </w:r>
      <w:r>
        <w:rPr>
          <w:rFonts w:hint="eastAsia" w:ascii="仿宋_GB2312" w:hAnsi="Calibri" w:eastAsia="仿宋_GB2312" w:cs="仿宋_GB2312"/>
          <w:color w:val="000000" w:themeColor="text1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）成本绩效分析。2022年，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《北京市财政局关于开展2022年全面预算绩效管理工作的通知》（京财绩效〔2022〕669号）文件要求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选取</w:t>
      </w:r>
      <w:r>
        <w:rPr>
          <w:rFonts w:hint="eastAsia" w:ascii="仿宋_GB2312" w:eastAsia="仿宋_GB2312" w:hAnsiTheme="majorEastAsia"/>
          <w:sz w:val="32"/>
          <w:szCs w:val="32"/>
        </w:rPr>
        <w:t>“教育教学</w:t>
      </w:r>
      <w:r>
        <w:rPr>
          <w:rFonts w:hint="eastAsia" w:ascii="仿宋_GB2312" w:eastAsia="仿宋_GB2312" w:hAnsiTheme="majorEastAsia"/>
          <w:sz w:val="32"/>
          <w:szCs w:val="32"/>
          <w:lang w:eastAsia="zh-CN"/>
        </w:rPr>
        <w:t>－</w:t>
      </w:r>
      <w:r>
        <w:rPr>
          <w:rFonts w:hint="eastAsia" w:ascii="仿宋_GB2312" w:eastAsia="仿宋_GB2312" w:hAnsiTheme="majorEastAsia"/>
          <w:sz w:val="32"/>
          <w:szCs w:val="32"/>
        </w:rPr>
        <w:t>培养工艺美术非遗传承人外聘教师课时费”</w:t>
      </w:r>
      <w:r>
        <w:rPr>
          <w:rFonts w:hint="eastAsia" w:ascii="仿宋_GB2312" w:eastAsia="仿宋_GB2312" w:hAnsiTheme="majorEastAsia"/>
          <w:sz w:val="32"/>
          <w:szCs w:val="32"/>
          <w:lang w:val="en-US" w:eastAsia="zh-CN"/>
        </w:rPr>
        <w:t>项目梳理项目投入、产出、效果相关数据，结合行业内相关标准及市场行情，对项目成本投入及效益实现的合理性进行综合分析，形成成本预算绩效分析报告。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）绩效自评。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《北京市财政局关于开展2022年全面预算绩效管理工作的通知》（京财绩效〔2022〕669号）文件要求，对纳入20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部门预算管理且填报绩效目标的项目开展了绩效自评工作，并及时报送绩效自评成果。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但部门整体绩效目标表的填报质量有待提高，部门整体绩效目标设置不够全面、准确，仅从项目指标中选取了个别指标用于部门整体绩效目标填报，未从重点任务的产出和效益指标全面设置绩效指标。同时，项目绩效目标表存在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有误、目标和指标设置不够全面和细化等问题：一是申报项目绩效目标时填报有误，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如“曹妃甸实训基地实习实训指导教师及管理人员经费项目”的数量指标“其中：管理人员（人）”目标值与实际计划值存在较大差异。二是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骨干专业群珠宝首饰专业群21尾款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绩效目标设置较为笼统、宽泛，未突出项目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年度的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主要产出内容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；绩效目标设置不够全面，建设项目任务书中的202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年度预期目标“加强校企合作”“推进产教融合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等未在项目绩效目标中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体现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绩效指标设置不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够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全面，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未能涵盖项目建设任务书预期目标的完成情况、购置设备使用情况、专业建设成效、师资队伍建设情况等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主要产出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时效指标约束性不强，无法确定项目开展期间各阶段任务的时间节点，不利于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掌握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</w:rPr>
        <w:t>项目的实施进度。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hint="eastAsia" w:ascii="楷体_GB2312" w:eastAsia="楷体_GB2312"/>
          <w:sz w:val="32"/>
          <w:szCs w:val="32"/>
        </w:rPr>
      </w:pPr>
      <w:bookmarkStart w:id="49" w:name="_Toc27452"/>
      <w:bookmarkStart w:id="50" w:name="_Toc25594"/>
      <w:bookmarkStart w:id="51" w:name="_Toc7299"/>
      <w:r>
        <w:rPr>
          <w:rFonts w:hint="eastAsia" w:ascii="楷体_GB2312" w:eastAsia="楷体_GB2312"/>
          <w:sz w:val="32"/>
          <w:szCs w:val="32"/>
        </w:rPr>
        <w:t>（四）结转结余率</w:t>
      </w:r>
      <w:bookmarkEnd w:id="49"/>
      <w:bookmarkEnd w:id="50"/>
      <w:bookmarkEnd w:id="5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楷体_GB2312" w:eastAsia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年末结转结余资金总额为364.86万元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全年支出预算为8874.17万元，资金结转结余率为4.11%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年末结转结余资金总额为1141.65万元，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剔除“特高建设—骨干专业群—珠宝首饰专业群”结转结余资金277.97万元</w:t>
      </w:r>
      <w:r>
        <w:rPr>
          <w:rStyle w:val="18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ootnoteReference w:id="0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，实际年末结转结余资金为863.68万元，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全年支出预算为9571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万元，资金结转结余率为9.02%。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年资金结转结余率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超出20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年，年度资金结转结余控制情况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良好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bookmarkStart w:id="52" w:name="_Toc10256"/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ascii="楷体_GB2312" w:eastAsia="楷体_GB2312"/>
          <w:sz w:val="32"/>
          <w:szCs w:val="32"/>
        </w:rPr>
      </w:pPr>
      <w:bookmarkStart w:id="53" w:name="_Toc13963"/>
      <w:r>
        <w:rPr>
          <w:rFonts w:hint="eastAsia" w:ascii="楷体_GB2312" w:eastAsia="楷体_GB2312"/>
          <w:sz w:val="32"/>
          <w:szCs w:val="32"/>
        </w:rPr>
        <w:t>（五）部门</w:t>
      </w:r>
      <w:r>
        <w:rPr>
          <w:rFonts w:ascii="楷体_GB2312" w:eastAsia="楷体_GB2312"/>
          <w:sz w:val="32"/>
          <w:szCs w:val="32"/>
        </w:rPr>
        <w:t>预决算差异率</w:t>
      </w:r>
      <w:bookmarkEnd w:id="52"/>
      <w:bookmarkEnd w:id="5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预算为8357.2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，部门年度决算为8509.31万元，部门预决算差异率为1.82%，部门预决算差异率低于市级平均差异率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28.30%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，部门预决算差异率控制情况较好。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outlineLvl w:val="0"/>
        <w:rPr>
          <w:rFonts w:ascii="黑体" w:hAnsi="黑体" w:eastAsia="黑体"/>
          <w:sz w:val="32"/>
          <w:szCs w:val="32"/>
        </w:rPr>
      </w:pPr>
      <w:bookmarkStart w:id="54" w:name="_Toc22420"/>
      <w:bookmarkStart w:id="55" w:name="_Toc21918"/>
      <w:bookmarkStart w:id="56" w:name="_Toc2267"/>
      <w:r>
        <w:rPr>
          <w:rFonts w:hint="eastAsia" w:ascii="黑体" w:hAnsi="黑体" w:eastAsia="黑体"/>
          <w:sz w:val="32"/>
          <w:szCs w:val="32"/>
        </w:rPr>
        <w:t>五、总体</w:t>
      </w:r>
      <w:r>
        <w:rPr>
          <w:rFonts w:ascii="黑体" w:hAnsi="黑体" w:eastAsia="黑体"/>
          <w:sz w:val="32"/>
          <w:szCs w:val="32"/>
        </w:rPr>
        <w:t>评价结论</w:t>
      </w:r>
      <w:bookmarkEnd w:id="54"/>
      <w:bookmarkEnd w:id="55"/>
      <w:bookmarkEnd w:id="56"/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hint="eastAsia" w:ascii="楷体_GB2312" w:eastAsia="楷体_GB2312"/>
          <w:sz w:val="32"/>
          <w:szCs w:val="32"/>
        </w:rPr>
      </w:pPr>
      <w:bookmarkStart w:id="57" w:name="_Toc19862"/>
      <w:bookmarkStart w:id="58" w:name="_Toc6085"/>
      <w:bookmarkStart w:id="59" w:name="_Toc28247"/>
      <w:r>
        <w:rPr>
          <w:rFonts w:hint="eastAsia" w:ascii="楷体_GB2312" w:eastAsia="楷体_GB2312"/>
          <w:sz w:val="32"/>
          <w:szCs w:val="32"/>
        </w:rPr>
        <w:t>（一）评价</w:t>
      </w:r>
      <w:r>
        <w:rPr>
          <w:rFonts w:ascii="楷体_GB2312" w:eastAsia="楷体_GB2312"/>
          <w:sz w:val="32"/>
          <w:szCs w:val="32"/>
        </w:rPr>
        <w:t>得分</w:t>
      </w:r>
      <w:r>
        <w:rPr>
          <w:rFonts w:hint="eastAsia" w:ascii="楷体_GB2312" w:eastAsia="楷体_GB2312"/>
          <w:sz w:val="32"/>
          <w:szCs w:val="32"/>
        </w:rPr>
        <w:t>情况</w:t>
      </w:r>
      <w:bookmarkEnd w:id="57"/>
      <w:bookmarkEnd w:id="58"/>
      <w:bookmarkEnd w:id="5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部门整体绩效评价得分为9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0.77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分，综合评价等级为“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”，各一级指标得分情况如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表3所示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表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：20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工美集团所属事业单位</w:t>
      </w:r>
      <w:r>
        <w:rPr>
          <w:rFonts w:hint="eastAsia" w:ascii="黑体" w:hAnsi="黑体" w:eastAsia="黑体" w:cs="黑体"/>
          <w:sz w:val="28"/>
          <w:szCs w:val="28"/>
        </w:rPr>
        <w:t>部门整体绩效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评价</w:t>
      </w:r>
      <w:r>
        <w:rPr>
          <w:rFonts w:hint="eastAsia" w:ascii="黑体" w:hAnsi="黑体" w:eastAsia="黑体" w:cs="黑体"/>
          <w:sz w:val="28"/>
          <w:szCs w:val="28"/>
        </w:rPr>
        <w:t>得分情况表</w:t>
      </w:r>
    </w:p>
    <w:tbl>
      <w:tblPr>
        <w:tblStyle w:val="20"/>
        <w:tblW w:w="82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881"/>
        <w:gridCol w:w="2073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一级指标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得分率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当年预算执行情况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19.18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整体绩效目标实现情况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60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53.59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89.32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预算管理情况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20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18.00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6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合计</w:t>
            </w: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val="en-US" w:eastAsia="zh-CN"/>
              </w:rPr>
              <w:t>90.77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0.77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</w:tbl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eastAsia" w:ascii="楷体_GB2312" w:eastAsia="楷体_GB2312"/>
          <w:sz w:val="32"/>
          <w:szCs w:val="32"/>
        </w:rPr>
      </w:pPr>
    </w:p>
    <w:p>
      <w:pPr>
        <w:adjustRightInd w:val="0"/>
        <w:snapToGrid w:val="0"/>
        <w:spacing w:line="360" w:lineRule="auto"/>
        <w:ind w:left="105" w:leftChars="50" w:firstLine="480" w:firstLineChars="150"/>
        <w:outlineLvl w:val="1"/>
        <w:rPr>
          <w:rFonts w:hint="eastAsia" w:ascii="楷体_GB2312" w:eastAsia="楷体_GB2312"/>
          <w:sz w:val="32"/>
          <w:szCs w:val="32"/>
        </w:rPr>
      </w:pPr>
      <w:bookmarkStart w:id="60" w:name="_Toc18141"/>
      <w:bookmarkStart w:id="61" w:name="_Toc2077"/>
      <w:bookmarkStart w:id="62" w:name="_Toc831"/>
      <w:bookmarkStart w:id="63" w:name="_Toc27429"/>
      <w:bookmarkStart w:id="64" w:name="_Toc18635"/>
      <w:r>
        <w:rPr>
          <w:rFonts w:hint="eastAsia" w:ascii="楷体_GB2312" w:eastAsia="楷体_GB2312"/>
          <w:sz w:val="32"/>
          <w:szCs w:val="32"/>
        </w:rPr>
        <w:t>（二）存在的问题及原因分析</w:t>
      </w:r>
      <w:bookmarkEnd w:id="60"/>
      <w:bookmarkEnd w:id="61"/>
      <w:bookmarkEnd w:id="62"/>
    </w:p>
    <w:p>
      <w:pPr>
        <w:adjustRightInd w:val="0"/>
        <w:snapToGrid w:val="0"/>
        <w:spacing w:line="360" w:lineRule="auto"/>
        <w:ind w:left="105" w:leftChars="50" w:firstLine="480" w:firstLineChars="15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1.个别工作未按计划完成</w:t>
      </w:r>
    </w:p>
    <w:p>
      <w:pPr>
        <w:adjustRightInd w:val="0"/>
        <w:snapToGrid w:val="0"/>
        <w:spacing w:line="360" w:lineRule="auto"/>
        <w:ind w:firstLine="640" w:firstLineChars="200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受新冠疫情因素影响，“曹妃甸实训基地车辆租赁费项目”“培养工艺美术非遗传承人外聘教师课时费”项目的数量指标“学生班车租赁（次）”“组织行业大师交流讲座”未完成全部工作；“影视后期制作专业机房及UI工作室设备更新购置”项目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施工队无法在疫情期间进场安装设备，项目实施时间略有滞后；“北京市工艺美术高级技工学校质量目标管理体系建设项目20尾款”项目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部分科室数据因疫情原因未产生，需进一步完善。同时，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受设备验收安排影响，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“骨干专业群珠宝首饰专业群21尾款”项目购置的专用设备在校内进行简易验收，未开展正式验收，出具验收报告，部分设备尚未入账，完成时间略有延迟。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outlineLvl w:val="9"/>
        <w:rPr>
          <w:rFonts w:hint="eastAsia" w:ascii="楷体_GB2312" w:hAnsi="仿宋_GB2312" w:eastAsia="楷体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绩效目标及指标设置有待规范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根据部门核心职能以及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重点任务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编制了部门整体支出绩效目标表，目标设置与部门职能及年度工作计划较为相符。但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指标设置不够全面，仅选取了项目的个别指标，仍需继续完善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。同时，本次绩效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评价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工作所涉及的项目均设置了绩效目标，大部分项目绩效目标设置明确，绩效指标较为细化、量化，但个别项目绩效指标设置需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</w:rPr>
        <w:t>进一步完善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绩效指标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填报有误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；二是绩效目标和指标设置不够全面、细化，不能体现项目主要产出等。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3.财务管理制度不够健全，过程管理需进一步加强</w:t>
      </w:r>
    </w:p>
    <w:p>
      <w:pPr>
        <w:widowControl/>
        <w:adjustRightInd w:val="0"/>
        <w:snapToGrid w:val="0"/>
        <w:spacing w:line="360" w:lineRule="auto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建立了较完备的财务管理制度，并按照北京市财政局相关要求完成了绩效管理相关工作。但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随着全面实施预算绩效管理的推进，近年来北京市财政局陆续出台了围绕事前、事中、事后各环节的绩效管理制度和要求，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工美集团所属事业单位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在开展相关绩效管理工作中，围绕事前评估、绩效目标、绩效监控、绩效评价、成本绩效分析等每项具体工作尚未制定细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化的管理制度，对全过程预算绩效管理各流程工作的指导和规范力度仍需加强。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项目过程管理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需进一步加强，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如“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骨干专业群珠宝首饰专业群21尾款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highlight w:val="none"/>
          <w:lang w:val="en-US" w:eastAsia="zh-CN"/>
        </w:rPr>
        <w:t>合同签订不规范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部分固定资产验收入库不及时</w:t>
      </w:r>
      <w:r>
        <w:rPr>
          <w:rFonts w:hint="eastAsia" w:ascii="仿宋_GB2312" w:hAnsi="仿宋_GB2312" w:eastAsia="仿宋_GB2312" w:cs="仿宋_GB2312"/>
          <w:bCs w:val="0"/>
          <w:color w:val="000000"/>
          <w:kern w:val="2"/>
          <w:sz w:val="32"/>
          <w:szCs w:val="32"/>
          <w:lang w:val="en-US" w:eastAsia="zh-CN"/>
        </w:rPr>
        <w:t>的问题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，不利于约束合同履行、规范固定资产管理。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4.传统工艺的宣传需加强，特高建设的实施效果仍需跟踪落实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360" w:lineRule="auto"/>
        <w:ind w:left="0" w:leftChars="0" w:right="0" w:rightChars="0"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工美集团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所属事业单位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举办“</w:t>
      </w: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匠心传承工艺美术大师展</w:t>
      </w:r>
      <w:r>
        <w:rPr>
          <w:rFonts w:hint="eastAsia" w:eastAsia="仿宋_GB2312" w:cs="Times New Roman"/>
          <w:bCs w:val="0"/>
          <w:kern w:val="2"/>
          <w:sz w:val="32"/>
          <w:szCs w:val="32"/>
          <w:lang w:val="en-US" w:eastAsia="zh-CN" w:bidi="ar-SA"/>
        </w:rPr>
        <w:t>”，经20多家媒体报道取得了较好的宣传效果。但整体看来，对传统工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艺的宣传力度、宣传范围仍需加强。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二是特高建设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实施效果仍需进一步跟踪落实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项目开发了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课程包和资源包使用效果需立足于课程授课和学生的反馈，课程使用时间较短，不足以凸显课程建设达成的效果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工美集团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所属事业单位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为学生营造了良好的实训实习环境，但对其效果的跟踪落实仍需加强</w:t>
      </w:r>
      <w:r>
        <w:rPr>
          <w:rFonts w:hint="eastAsia" w:eastAsia="仿宋_GB2312" w:cs="Times New Roman"/>
          <w:kern w:val="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Cs w:val="0"/>
          <w:color w:val="000000"/>
          <w:kern w:val="0"/>
          <w:sz w:val="32"/>
          <w:szCs w:val="32"/>
          <w:lang w:val="en-US" w:eastAsia="zh-CN"/>
        </w:rPr>
        <w:t>学生就业率统计收集材料需进一步完善；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满意度调查对象覆盖率仍有待提高。</w:t>
      </w:r>
    </w:p>
    <w:p>
      <w:pPr>
        <w:adjustRightInd w:val="0"/>
        <w:snapToGrid w:val="0"/>
        <w:spacing w:line="360" w:lineRule="auto"/>
        <w:ind w:left="105" w:leftChars="50" w:firstLine="480" w:firstLineChars="150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65" w:name="_Toc5081"/>
      <w:r>
        <w:rPr>
          <w:rFonts w:hint="eastAsia" w:ascii="黑体" w:hAnsi="黑体" w:eastAsia="黑体"/>
          <w:sz w:val="32"/>
          <w:szCs w:val="32"/>
        </w:rPr>
        <w:t>六、措施建议</w:t>
      </w:r>
      <w:bookmarkEnd w:id="63"/>
      <w:bookmarkEnd w:id="64"/>
      <w:bookmarkEnd w:id="65"/>
    </w:p>
    <w:p>
      <w:pPr>
        <w:adjustRightInd w:val="0"/>
        <w:snapToGrid w:val="0"/>
        <w:spacing w:line="360" w:lineRule="auto"/>
        <w:ind w:firstLine="640" w:firstLineChars="200"/>
        <w:outlineLvl w:val="1"/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</w:pPr>
      <w:bookmarkStart w:id="66" w:name="_Toc5833"/>
      <w:bookmarkStart w:id="67" w:name="_Toc15024"/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一</w:t>
      </w:r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）及时做好纠偏措施</w:t>
      </w:r>
      <w:r>
        <w:rPr>
          <w:rFonts w:hint="eastAsia" w:ascii="楷体_GB2312" w:hAnsi="仿宋_GB2312" w:eastAsia="楷体_GB2312" w:cs="仿宋_GB2312"/>
          <w:sz w:val="32"/>
          <w:szCs w:val="32"/>
        </w:rPr>
        <w:t>，确保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各项指标完成</w:t>
      </w:r>
      <w:bookmarkEnd w:id="66"/>
    </w:p>
    <w:p>
      <w:pPr>
        <w:adjustRightInd w:val="0"/>
        <w:snapToGrid w:val="0"/>
        <w:spacing w:line="360" w:lineRule="auto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工美集团所属事业单位为保障部门履职绩效顺利达成，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及时跟进工作实施进度，针对实施进度滞后情况，及时做好纠偏措施，加快后续项目执行进度，确保项目如期完成。同时，视情况及时调整工作计划或工作开展形式，保证各项工作能够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保质、保量完成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outlineLvl w:val="1"/>
        <w:rPr>
          <w:rFonts w:hint="default" w:ascii="楷体_GB2312" w:hAnsi="仿宋_GB2312" w:eastAsia="楷体_GB2312" w:cs="仿宋_GB2312"/>
          <w:sz w:val="32"/>
          <w:szCs w:val="32"/>
          <w:lang w:val="en-US" w:eastAsia="zh-CN"/>
        </w:rPr>
      </w:pPr>
      <w:bookmarkStart w:id="68" w:name="_Toc9791"/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二</w:t>
      </w:r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）</w:t>
      </w:r>
      <w:bookmarkStart w:id="69" w:name="_Toc19958"/>
      <w:bookmarkStart w:id="70" w:name="_Toc9344"/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完善绩效目标及指标设置，</w:t>
      </w:r>
      <w:r>
        <w:rPr>
          <w:rFonts w:hint="default" w:ascii="楷体_GB2312" w:hAnsi="仿宋_GB2312" w:eastAsia="楷体_GB2312" w:cs="仿宋_GB2312"/>
          <w:sz w:val="32"/>
          <w:szCs w:val="32"/>
          <w:lang w:val="en-US" w:eastAsia="zh-CN"/>
        </w:rPr>
        <w:t>科学反映部门产出</w:t>
      </w:r>
      <w:bookmarkEnd w:id="68"/>
      <w:bookmarkEnd w:id="69"/>
      <w:bookmarkEnd w:id="70"/>
    </w:p>
    <w:p>
      <w:pPr>
        <w:adjustRightInd w:val="0"/>
        <w:snapToGrid w:val="0"/>
        <w:spacing w:line="360" w:lineRule="auto"/>
        <w:ind w:firstLine="640" w:firstLineChars="200"/>
        <w:outlineLvl w:val="9"/>
        <w:rPr>
          <w:rFonts w:hint="eastAsia" w:ascii="楷体_GB2312" w:hAnsi="仿宋_GB2312" w:eastAsia="楷体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在后续年度加强对预算绩效管理相关政策文件的学习，了解绩效目标及指标的内涵、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掌握绩效目标填报的要求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梳理、总结常用指标</w:t>
      </w:r>
      <w:r>
        <w:rPr>
          <w:rFonts w:hint="eastAsia" w:ascii="仿宋_GB2312" w:hAnsi="仿宋" w:eastAsia="仿宋_GB2312"/>
          <w:sz w:val="32"/>
          <w:szCs w:val="32"/>
        </w:rPr>
        <w:t>。结合部门职能、</w:t>
      </w:r>
      <w:r>
        <w:rPr>
          <w:rFonts w:hint="eastAsia" w:ascii="仿宋_GB2312" w:eastAsia="仿宋_GB2312"/>
          <w:sz w:val="32"/>
          <w:szCs w:val="32"/>
        </w:rPr>
        <w:t>中长期发展规划、</w:t>
      </w:r>
      <w:r>
        <w:rPr>
          <w:rFonts w:hint="eastAsia" w:ascii="仿宋_GB2312" w:hAnsi="仿宋" w:eastAsia="仿宋_GB2312"/>
          <w:sz w:val="32"/>
          <w:szCs w:val="32"/>
        </w:rPr>
        <w:t>年度工作计划和重点工作任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务，全面梳理部门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整体及各项目的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主要产出和效益，合理设置年度绩效目标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指标，并尽可能细化、量化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充分体现产出；同时，强化各项指标对项目执行的约束力度，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确保绩效目标及指标对于项目实施的指导作用得以充分发挥，进一步提高部门绩效管理水平。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1"/>
        <w:rPr>
          <w:rFonts w:hint="default" w:ascii="楷体_GB2312" w:hAnsi="仿宋_GB2312" w:eastAsia="楷体_GB2312" w:cs="仿宋_GB2312"/>
          <w:sz w:val="32"/>
          <w:szCs w:val="32"/>
          <w:lang w:val="en-US" w:eastAsia="zh-CN"/>
        </w:rPr>
      </w:pPr>
      <w:bookmarkStart w:id="71" w:name="_Toc20217"/>
      <w:r>
        <w:rPr>
          <w:rFonts w:hint="eastAsia" w:ascii="楷体_GB2312" w:hAnsi="仿宋_GB2312" w:eastAsia="楷体_GB2312" w:cs="仿宋_GB2312"/>
          <w:sz w:val="32"/>
          <w:szCs w:val="32"/>
        </w:rPr>
        <w:t>（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三</w:t>
      </w:r>
      <w:r>
        <w:rPr>
          <w:rFonts w:hint="eastAsia" w:ascii="楷体_GB2312" w:hAnsi="仿宋_GB2312" w:eastAsia="楷体_GB2312" w:cs="仿宋_GB2312"/>
          <w:sz w:val="32"/>
          <w:szCs w:val="32"/>
        </w:rPr>
        <w:t>）</w:t>
      </w:r>
      <w:bookmarkStart w:id="72" w:name="_Toc7611"/>
      <w:bookmarkEnd w:id="67"/>
      <w:r>
        <w:rPr>
          <w:rFonts w:hint="eastAsia" w:ascii="楷体_GB2312" w:hAnsi="仿宋_GB2312" w:eastAsia="楷体_GB2312" w:cs="仿宋_GB2312"/>
          <w:sz w:val="32"/>
          <w:szCs w:val="32"/>
        </w:rPr>
        <w:t>落实全面实施预算绩效管理要求</w:t>
      </w:r>
      <w:bookmarkEnd w:id="72"/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，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规范合同管理，</w:t>
      </w:r>
      <w:r>
        <w:rPr>
          <w:rFonts w:hint="eastAsia" w:ascii="楷体_GB2312" w:hAnsi="仿宋_GB2312" w:eastAsia="楷体_GB2312" w:cs="仿宋_GB2312"/>
          <w:sz w:val="32"/>
          <w:szCs w:val="32"/>
        </w:rPr>
        <w:t>及时登记固定资产</w:t>
      </w:r>
      <w:bookmarkEnd w:id="71"/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一方面，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在相关管理制度健全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情况下，按照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制度及北京市财政局有关要求，按时开展各项预算绩效管理工作，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建设“全过程、全方位、全覆盖”的预算绩效管理体系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结合当前国家、北京市全面实施预算绩效管理要求，按照北京市财政局下发的绩效目标、事前绩效评估、绩效评价等最新文件要求，及时补充完善预算、绩效管理相关制度，健全预算管理、事前绩效评估、绩效目标、绩效监控、绩效评价等预算绩效管理办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另一方面。加强合同管理，规范合同要素的完整性和规范性，在合同签订时明确标的物的标准及师资力量等要求，做到有效制约合同履行。同时，规范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固定资产管理，年度新购置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专用设备</w:t>
      </w:r>
      <w:r>
        <w:rPr>
          <w:rFonts w:hint="eastAsia" w:ascii="仿宋_GB2312" w:hAnsi="仿宋_GB2312" w:eastAsia="仿宋_GB2312" w:cs="仿宋_GB2312"/>
          <w:sz w:val="32"/>
          <w:szCs w:val="32"/>
        </w:rPr>
        <w:t>形成固定资产后及时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库</w:t>
      </w:r>
      <w:r>
        <w:rPr>
          <w:rFonts w:hint="eastAsia" w:ascii="仿宋_GB2312" w:hAnsi="仿宋_GB2312" w:eastAsia="仿宋_GB2312" w:cs="仿宋_GB2312"/>
          <w:sz w:val="32"/>
          <w:szCs w:val="32"/>
        </w:rPr>
        <w:t>，确保资产信息完整。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1"/>
        <w:rPr>
          <w:rFonts w:hint="default" w:ascii="楷体_GB2312" w:hAnsi="仿宋_GB2312" w:eastAsia="楷体_GB2312" w:cs="仿宋_GB2312"/>
          <w:sz w:val="32"/>
          <w:szCs w:val="32"/>
          <w:lang w:val="en-US" w:eastAsia="zh-CN"/>
        </w:rPr>
      </w:pPr>
      <w:bookmarkStart w:id="73" w:name="_Toc12205"/>
      <w:r>
        <w:rPr>
          <w:rFonts w:hint="eastAsia" w:ascii="楷体_GB2312" w:hAnsi="仿宋_GB2312" w:eastAsia="楷体_GB2312" w:cs="仿宋_GB2312"/>
          <w:sz w:val="32"/>
          <w:szCs w:val="32"/>
        </w:rPr>
        <w:t>（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四</w:t>
      </w:r>
      <w:r>
        <w:rPr>
          <w:rFonts w:hint="eastAsia" w:ascii="楷体_GB2312" w:hAnsi="仿宋_GB2312" w:eastAsia="楷体_GB2312" w:cs="仿宋_GB2312"/>
          <w:sz w:val="32"/>
          <w:szCs w:val="32"/>
        </w:rPr>
        <w:t>）</w:t>
      </w:r>
      <w:r>
        <w:rPr>
          <w:rFonts w:hint="eastAsia" w:ascii="楷体_GB2312" w:hAnsi="仿宋_GB2312" w:eastAsia="楷体_GB2312" w:cs="仿宋_GB2312"/>
          <w:sz w:val="32"/>
          <w:szCs w:val="32"/>
          <w:lang w:eastAsia="zh-CN"/>
        </w:rPr>
        <w:t>加大</w:t>
      </w:r>
      <w:r>
        <w:rPr>
          <w:rFonts w:hint="eastAsia" w:ascii="楷体_GB2312" w:hAnsi="仿宋_GB2312" w:eastAsia="楷体_GB2312" w:cs="仿宋_GB2312"/>
          <w:sz w:val="32"/>
          <w:szCs w:val="32"/>
          <w:lang w:val="en-US" w:eastAsia="zh-CN"/>
        </w:rPr>
        <w:t>传统工艺的宣传力度和范围，加强特高建设实施效果的跟踪、管理</w:t>
      </w:r>
      <w:bookmarkEnd w:id="73"/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方面，多措并举加大对传统工艺的宣传，一是可以通过与社区、校园、企业等多方合作，举办讲座或公益活动，多渠道落实宣传工作；二是以通过官网、微信公众号或抖音等多媒体平台，结合学校和专业建设，全方位扩大宣传范围，以达到普及传统工艺，打造品牌提升学校形象的目的。另一方面，进一步跟踪特高建设项目专业群建设的实施效果，结合教学实践和行业需求，对课程包和资源包完善修订，增强校内师生的自主参与及研发能力，增强校企合作；进一步加强对实训实习的管理与跟踪，扎实项目实施成效；跟踪学生就业情况，并扩大满意度调查对象的覆盖范围，落实人才培养的根本目标。</w:t>
      </w:r>
      <w:bookmarkStart w:id="74" w:name="_GoBack"/>
      <w:bookmarkEnd w:id="74"/>
    </w:p>
    <w:sectPr>
      <w:footerReference r:id="rId4" w:type="default"/>
      <w:pgSz w:w="11906" w:h="16838"/>
      <w:pgMar w:top="2098" w:right="1531" w:bottom="1984" w:left="1531" w:header="851" w:footer="850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4"/>
        <w:snapToGrid w:val="0"/>
        <w:rPr>
          <w:rFonts w:hint="default" w:eastAsia="宋体"/>
          <w:lang w:val="en-US" w:eastAsia="zh-CN"/>
        </w:rPr>
      </w:pPr>
      <w:r>
        <w:rPr>
          <w:rStyle w:val="18"/>
          <w:rFonts w:hint="eastAsia" w:ascii="宋体" w:hAnsi="宋体" w:eastAsia="宋体" w:cs="宋体"/>
        </w:rPr>
        <w:footnoteRef/>
      </w:r>
      <w:r>
        <w:rPr>
          <w:rFonts w:hint="eastAsia" w:ascii="宋体" w:hAnsi="宋体" w:eastAsia="宋体" w:cs="宋体"/>
          <w:lang w:val="en-US" w:eastAsia="zh-CN"/>
        </w:rPr>
        <w:t>“特高建设—骨干专业群—珠宝首饰专业群”项目资金277.97万元于2021年度未支出是由于财政资金下拨较晚导致的，非工美集团所属事业单位自身因素所致，因此，在统计年末结转结余资金时，综合考虑客观因素，将此部分资金予以剔除，实际年末结转结余资金以863.68万元来统计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hMDEyZDRiOGI2MTM5N2FkM2Y4NzNkY2UxMWUxMGQifQ=="/>
  </w:docVars>
  <w:rsids>
    <w:rsidRoot w:val="005E4E7A"/>
    <w:rsid w:val="001416E9"/>
    <w:rsid w:val="004A5E9F"/>
    <w:rsid w:val="0059344B"/>
    <w:rsid w:val="005E4E7A"/>
    <w:rsid w:val="006A1489"/>
    <w:rsid w:val="007E5A08"/>
    <w:rsid w:val="009006D4"/>
    <w:rsid w:val="009751F0"/>
    <w:rsid w:val="00B100F3"/>
    <w:rsid w:val="00BB4F29"/>
    <w:rsid w:val="00C13A05"/>
    <w:rsid w:val="00C344C1"/>
    <w:rsid w:val="00DA7B08"/>
    <w:rsid w:val="03395513"/>
    <w:rsid w:val="035A7AAC"/>
    <w:rsid w:val="03B50474"/>
    <w:rsid w:val="04A83EC6"/>
    <w:rsid w:val="0514779D"/>
    <w:rsid w:val="06011DBC"/>
    <w:rsid w:val="062A731A"/>
    <w:rsid w:val="06464DC9"/>
    <w:rsid w:val="070B3D5D"/>
    <w:rsid w:val="07144B28"/>
    <w:rsid w:val="07B529BD"/>
    <w:rsid w:val="07CE7B59"/>
    <w:rsid w:val="091E2062"/>
    <w:rsid w:val="09310841"/>
    <w:rsid w:val="0A581BBB"/>
    <w:rsid w:val="0A854E82"/>
    <w:rsid w:val="0B403215"/>
    <w:rsid w:val="0BCD088E"/>
    <w:rsid w:val="0C1C093A"/>
    <w:rsid w:val="0C307B60"/>
    <w:rsid w:val="0C6A1EA3"/>
    <w:rsid w:val="0D4071B1"/>
    <w:rsid w:val="0D8B5673"/>
    <w:rsid w:val="0DFF7B1E"/>
    <w:rsid w:val="0EB36794"/>
    <w:rsid w:val="0F280C9E"/>
    <w:rsid w:val="0FC4644C"/>
    <w:rsid w:val="11FF19BD"/>
    <w:rsid w:val="129245E0"/>
    <w:rsid w:val="138F3D99"/>
    <w:rsid w:val="16825630"/>
    <w:rsid w:val="16905A98"/>
    <w:rsid w:val="17E362FD"/>
    <w:rsid w:val="183E2CCB"/>
    <w:rsid w:val="19974BAF"/>
    <w:rsid w:val="19D21FDC"/>
    <w:rsid w:val="1A6D65AF"/>
    <w:rsid w:val="1AA40133"/>
    <w:rsid w:val="1BD758E1"/>
    <w:rsid w:val="1C7C1FC3"/>
    <w:rsid w:val="1CAF4522"/>
    <w:rsid w:val="1D3A79C7"/>
    <w:rsid w:val="1DCC04AD"/>
    <w:rsid w:val="1E2930EA"/>
    <w:rsid w:val="1E301666"/>
    <w:rsid w:val="1E9A78AC"/>
    <w:rsid w:val="1ECD7869"/>
    <w:rsid w:val="1FCD3ECA"/>
    <w:rsid w:val="2048066F"/>
    <w:rsid w:val="20C27542"/>
    <w:rsid w:val="21182F3C"/>
    <w:rsid w:val="219C4894"/>
    <w:rsid w:val="21B47146"/>
    <w:rsid w:val="224D0523"/>
    <w:rsid w:val="22757DF7"/>
    <w:rsid w:val="22AC7B85"/>
    <w:rsid w:val="22C7317C"/>
    <w:rsid w:val="233419C8"/>
    <w:rsid w:val="233C232C"/>
    <w:rsid w:val="235B01A1"/>
    <w:rsid w:val="237520AE"/>
    <w:rsid w:val="24436A51"/>
    <w:rsid w:val="24442A8E"/>
    <w:rsid w:val="24A21117"/>
    <w:rsid w:val="24F52612"/>
    <w:rsid w:val="251543FE"/>
    <w:rsid w:val="25401C79"/>
    <w:rsid w:val="26110977"/>
    <w:rsid w:val="26687780"/>
    <w:rsid w:val="26813796"/>
    <w:rsid w:val="27595D58"/>
    <w:rsid w:val="281D3FAE"/>
    <w:rsid w:val="286648AC"/>
    <w:rsid w:val="28AC00DE"/>
    <w:rsid w:val="29275A88"/>
    <w:rsid w:val="29541230"/>
    <w:rsid w:val="295B4043"/>
    <w:rsid w:val="2984482A"/>
    <w:rsid w:val="29987F8A"/>
    <w:rsid w:val="2A1533C4"/>
    <w:rsid w:val="2A1C5A7F"/>
    <w:rsid w:val="2A253E53"/>
    <w:rsid w:val="2C4A3770"/>
    <w:rsid w:val="2D595FDB"/>
    <w:rsid w:val="2E1058B9"/>
    <w:rsid w:val="2E32421C"/>
    <w:rsid w:val="2F1321AD"/>
    <w:rsid w:val="30414964"/>
    <w:rsid w:val="30A12166"/>
    <w:rsid w:val="30D31A46"/>
    <w:rsid w:val="310D3325"/>
    <w:rsid w:val="318C600B"/>
    <w:rsid w:val="31B17D2D"/>
    <w:rsid w:val="3562788D"/>
    <w:rsid w:val="35B65495"/>
    <w:rsid w:val="3640575A"/>
    <w:rsid w:val="36B9675A"/>
    <w:rsid w:val="36FA4CA6"/>
    <w:rsid w:val="37C11AD3"/>
    <w:rsid w:val="37E161B1"/>
    <w:rsid w:val="38222259"/>
    <w:rsid w:val="38450924"/>
    <w:rsid w:val="38603733"/>
    <w:rsid w:val="395E6A0E"/>
    <w:rsid w:val="3AA42350"/>
    <w:rsid w:val="3B053FDF"/>
    <w:rsid w:val="3B5A7C2B"/>
    <w:rsid w:val="3C376FFB"/>
    <w:rsid w:val="3DFE2396"/>
    <w:rsid w:val="3E9E5F37"/>
    <w:rsid w:val="3EAA5627"/>
    <w:rsid w:val="3F550777"/>
    <w:rsid w:val="3F8E2C88"/>
    <w:rsid w:val="3FD93712"/>
    <w:rsid w:val="40082316"/>
    <w:rsid w:val="4014004A"/>
    <w:rsid w:val="4061546E"/>
    <w:rsid w:val="40AD6FF6"/>
    <w:rsid w:val="40AF349B"/>
    <w:rsid w:val="40E52C97"/>
    <w:rsid w:val="4182569C"/>
    <w:rsid w:val="41CB7C1C"/>
    <w:rsid w:val="425E3181"/>
    <w:rsid w:val="428D0BAD"/>
    <w:rsid w:val="42B00586"/>
    <w:rsid w:val="42C47ACF"/>
    <w:rsid w:val="42F37124"/>
    <w:rsid w:val="435A5CC9"/>
    <w:rsid w:val="44011DF1"/>
    <w:rsid w:val="445E7859"/>
    <w:rsid w:val="44E95AAE"/>
    <w:rsid w:val="46351680"/>
    <w:rsid w:val="46353064"/>
    <w:rsid w:val="46510EF6"/>
    <w:rsid w:val="46A62C35"/>
    <w:rsid w:val="46ED55E4"/>
    <w:rsid w:val="48543662"/>
    <w:rsid w:val="499555DE"/>
    <w:rsid w:val="49AB6F97"/>
    <w:rsid w:val="4A1E3F74"/>
    <w:rsid w:val="4B28344E"/>
    <w:rsid w:val="4B8304A3"/>
    <w:rsid w:val="4C3448F4"/>
    <w:rsid w:val="4D02632D"/>
    <w:rsid w:val="4D312658"/>
    <w:rsid w:val="4DA24E56"/>
    <w:rsid w:val="4DE9741E"/>
    <w:rsid w:val="4E7F05A4"/>
    <w:rsid w:val="4E837860"/>
    <w:rsid w:val="4F204B6F"/>
    <w:rsid w:val="50EA3250"/>
    <w:rsid w:val="51532C25"/>
    <w:rsid w:val="51A03EAE"/>
    <w:rsid w:val="51C20416"/>
    <w:rsid w:val="520D6F83"/>
    <w:rsid w:val="52177F87"/>
    <w:rsid w:val="525E2700"/>
    <w:rsid w:val="528E137F"/>
    <w:rsid w:val="52A6712F"/>
    <w:rsid w:val="52DA0F1A"/>
    <w:rsid w:val="52E1729B"/>
    <w:rsid w:val="53B175E1"/>
    <w:rsid w:val="53E1461C"/>
    <w:rsid w:val="53F02939"/>
    <w:rsid w:val="54331D94"/>
    <w:rsid w:val="547846DC"/>
    <w:rsid w:val="55517502"/>
    <w:rsid w:val="566B44F9"/>
    <w:rsid w:val="56955A19"/>
    <w:rsid w:val="56BA6C24"/>
    <w:rsid w:val="56C67981"/>
    <w:rsid w:val="570B0D5F"/>
    <w:rsid w:val="5774027A"/>
    <w:rsid w:val="583628E4"/>
    <w:rsid w:val="58B049D1"/>
    <w:rsid w:val="58C93428"/>
    <w:rsid w:val="58CE0BD8"/>
    <w:rsid w:val="59F56F12"/>
    <w:rsid w:val="5A565503"/>
    <w:rsid w:val="5A7B0A82"/>
    <w:rsid w:val="5AEF0B04"/>
    <w:rsid w:val="5B8060B5"/>
    <w:rsid w:val="5B9606E0"/>
    <w:rsid w:val="5EE276D6"/>
    <w:rsid w:val="5F067DDB"/>
    <w:rsid w:val="5F6B37BB"/>
    <w:rsid w:val="605D462A"/>
    <w:rsid w:val="605E4C87"/>
    <w:rsid w:val="610D3940"/>
    <w:rsid w:val="6151633C"/>
    <w:rsid w:val="6155177A"/>
    <w:rsid w:val="62A55B52"/>
    <w:rsid w:val="62F860A5"/>
    <w:rsid w:val="63B17B68"/>
    <w:rsid w:val="645C1924"/>
    <w:rsid w:val="64765A12"/>
    <w:rsid w:val="64F0659A"/>
    <w:rsid w:val="65067294"/>
    <w:rsid w:val="66761D6F"/>
    <w:rsid w:val="669F507D"/>
    <w:rsid w:val="66A8381F"/>
    <w:rsid w:val="66B93F2C"/>
    <w:rsid w:val="67386E57"/>
    <w:rsid w:val="676254A4"/>
    <w:rsid w:val="67850986"/>
    <w:rsid w:val="6787315C"/>
    <w:rsid w:val="67D70583"/>
    <w:rsid w:val="67ED0AD3"/>
    <w:rsid w:val="68721717"/>
    <w:rsid w:val="68AD07FE"/>
    <w:rsid w:val="68C35F4D"/>
    <w:rsid w:val="69A8706D"/>
    <w:rsid w:val="69DD024B"/>
    <w:rsid w:val="69FC2F1A"/>
    <w:rsid w:val="6AE31AC8"/>
    <w:rsid w:val="6C572B33"/>
    <w:rsid w:val="6C9A684C"/>
    <w:rsid w:val="6CA43E69"/>
    <w:rsid w:val="6D331C55"/>
    <w:rsid w:val="6D4C3AD6"/>
    <w:rsid w:val="6D86078B"/>
    <w:rsid w:val="6D9B3F5F"/>
    <w:rsid w:val="6DF374AF"/>
    <w:rsid w:val="6E7837FF"/>
    <w:rsid w:val="6EAA4C3E"/>
    <w:rsid w:val="6FFD045F"/>
    <w:rsid w:val="71093C8F"/>
    <w:rsid w:val="71C3157D"/>
    <w:rsid w:val="71D66B07"/>
    <w:rsid w:val="721F447D"/>
    <w:rsid w:val="722B095D"/>
    <w:rsid w:val="723136B4"/>
    <w:rsid w:val="72A0007C"/>
    <w:rsid w:val="73205A1E"/>
    <w:rsid w:val="73591ABE"/>
    <w:rsid w:val="749670E8"/>
    <w:rsid w:val="75E931D8"/>
    <w:rsid w:val="762D1373"/>
    <w:rsid w:val="765661D4"/>
    <w:rsid w:val="76674885"/>
    <w:rsid w:val="76E26974"/>
    <w:rsid w:val="7725192B"/>
    <w:rsid w:val="7791024B"/>
    <w:rsid w:val="786E38ED"/>
    <w:rsid w:val="78F50C83"/>
    <w:rsid w:val="7930071C"/>
    <w:rsid w:val="79E902B0"/>
    <w:rsid w:val="7A283947"/>
    <w:rsid w:val="7A963045"/>
    <w:rsid w:val="7AAB7B7E"/>
    <w:rsid w:val="7AB44387"/>
    <w:rsid w:val="7AE52708"/>
    <w:rsid w:val="7AF35B0C"/>
    <w:rsid w:val="7B8E28D0"/>
    <w:rsid w:val="7BB85ADA"/>
    <w:rsid w:val="7C2D21FF"/>
    <w:rsid w:val="7D3B488E"/>
    <w:rsid w:val="7D9E1813"/>
    <w:rsid w:val="7DB00B0B"/>
    <w:rsid w:val="7E2E68B7"/>
    <w:rsid w:val="7E4028A1"/>
    <w:rsid w:val="7E431733"/>
    <w:rsid w:val="7E867B46"/>
    <w:rsid w:val="7E9934A1"/>
    <w:rsid w:val="7F1D0F9E"/>
    <w:rsid w:val="7FB23DAF"/>
    <w:rsid w:val="7FE4029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eastAsia="微软雅黑"/>
      <w:b/>
      <w:bCs/>
      <w:sz w:val="30"/>
      <w:szCs w:val="3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25"/>
    <w:unhideWhenUsed/>
    <w:qFormat/>
    <w:uiPriority w:val="99"/>
    <w:rPr>
      <w:b/>
      <w:bCs/>
    </w:rPr>
  </w:style>
  <w:style w:type="paragraph" w:styleId="5">
    <w:name w:val="annotation text"/>
    <w:basedOn w:val="1"/>
    <w:link w:val="24"/>
    <w:unhideWhenUsed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</w:style>
  <w:style w:type="paragraph" w:styleId="7">
    <w:name w:val="Body Text Indent"/>
    <w:basedOn w:val="1"/>
    <w:qFormat/>
    <w:uiPriority w:val="99"/>
    <w:pPr>
      <w:ind w:left="1080"/>
    </w:pPr>
  </w:style>
  <w:style w:type="paragraph" w:styleId="8">
    <w:name w:val="toc 3"/>
    <w:basedOn w:val="1"/>
    <w:next w:val="1"/>
    <w:qFormat/>
    <w:uiPriority w:val="0"/>
    <w:pPr>
      <w:ind w:left="840" w:leftChars="400"/>
    </w:pPr>
  </w:style>
  <w:style w:type="paragraph" w:styleId="9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1">
    <w:name w:val="Body Text First Indent 2"/>
    <w:basedOn w:val="7"/>
    <w:qFormat/>
    <w:uiPriority w:val="99"/>
    <w:pPr>
      <w:ind w:left="420" w:leftChars="200" w:firstLine="420"/>
    </w:pPr>
    <w:rPr>
      <w:sz w:val="24"/>
    </w:rPr>
  </w:style>
  <w:style w:type="paragraph" w:styleId="12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7">
    <w:name w:val="annotation reference"/>
    <w:basedOn w:val="16"/>
    <w:unhideWhenUsed/>
    <w:qFormat/>
    <w:uiPriority w:val="0"/>
    <w:rPr>
      <w:sz w:val="21"/>
      <w:szCs w:val="21"/>
    </w:rPr>
  </w:style>
  <w:style w:type="character" w:styleId="18">
    <w:name w:val="footnote reference"/>
    <w:basedOn w:val="16"/>
    <w:unhideWhenUsed/>
    <w:qFormat/>
    <w:uiPriority w:val="99"/>
    <w:rPr>
      <w:vertAlign w:val="superscript"/>
    </w:rPr>
  </w:style>
  <w:style w:type="table" w:styleId="20">
    <w:name w:val="Table Grid"/>
    <w:basedOn w:val="1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1">
    <w:name w:val="正文首行缩进1"/>
    <w:basedOn w:val="1"/>
    <w:qFormat/>
    <w:uiPriority w:val="0"/>
    <w:pPr>
      <w:spacing w:after="120"/>
      <w:ind w:firstLine="420" w:firstLineChars="100"/>
    </w:pPr>
  </w:style>
  <w:style w:type="character" w:customStyle="1" w:styleId="22">
    <w:name w:val="页脚 字符"/>
    <w:basedOn w:val="16"/>
    <w:link w:val="10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23">
    <w:name w:val="页眉 字符"/>
    <w:basedOn w:val="16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批注文字 字符"/>
    <w:basedOn w:val="16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5">
    <w:name w:val="批注主题 字符"/>
    <w:basedOn w:val="24"/>
    <w:link w:val="4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6">
    <w:name w:val="批注框文本 字符"/>
    <w:basedOn w:val="16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批注文字 Char"/>
    <w:qFormat/>
    <w:uiPriority w:val="0"/>
    <w:rPr>
      <w:rFonts w:eastAsia="仿宋_GB2312"/>
      <w:kern w:val="2"/>
      <w:sz w:val="30"/>
      <w:szCs w:val="24"/>
    </w:rPr>
  </w:style>
  <w:style w:type="paragraph" w:customStyle="1" w:styleId="2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0">
    <w:name w:val="font4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1">
    <w:name w:val="font11"/>
    <w:basedOn w:val="1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10323</Words>
  <Characters>10975</Characters>
  <Lines>3</Lines>
  <Paragraphs>1</Paragraphs>
  <ScaleCrop>false</ScaleCrop>
  <LinksUpToDate>false</LinksUpToDate>
  <CharactersWithSpaces>11098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2022-04-15T07:49:00Z</dcterms:created>
  <dc:creator>Administrator</dc:creator>
  <cp:lastModifiedBy>DELL</cp:lastModifiedBy>
  <cp:lastPrinted>2023-05-18T01:50:00Z</cp:lastPrinted>
  <dcterms:modified xsi:type="dcterms:W3CDTF">2023-06-05T02:54:11Z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44E27F5F3A04485386A83DFD3A2DA5FD</vt:lpwstr>
  </property>
</Properties>
</file>