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黑体" w:hAnsi="黑体" w:eastAsia="黑体"/>
          <w:sz w:val="44"/>
          <w:szCs w:val="44"/>
          <w:lang w:val="zh-CN"/>
        </w:rPr>
      </w:pPr>
      <w:bookmarkStart w:id="0" w:name="_Toc17802"/>
    </w:p>
    <w:p>
      <w:pPr>
        <w:pStyle w:val="2"/>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spacing w:line="360" w:lineRule="auto"/>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北京市重大项目建设指挥部办公室部门整体绩效评价报告</w:t>
      </w:r>
    </w:p>
    <w:p>
      <w:pPr>
        <w:spacing w:line="360" w:lineRule="auto"/>
        <w:jc w:val="center"/>
        <w:rPr>
          <w:rFonts w:asciiTheme="majorEastAsia" w:hAnsiTheme="majorEastAsia" w:eastAsiaTheme="majorEastAsia"/>
          <w:b/>
          <w:sz w:val="52"/>
          <w:szCs w:val="52"/>
        </w:rPr>
      </w:pPr>
    </w:p>
    <w:p>
      <w:pPr>
        <w:pStyle w:val="2"/>
        <w:rPr>
          <w:rFonts w:asciiTheme="majorEastAsia" w:hAnsiTheme="majorEastAsia" w:eastAsiaTheme="majorEastAsia"/>
          <w:b/>
          <w:sz w:val="52"/>
          <w:szCs w:val="52"/>
        </w:rPr>
      </w:pPr>
    </w:p>
    <w:p/>
    <w:p>
      <w:pPr>
        <w:rPr>
          <w:lang w:val="zh-CN"/>
        </w:rPr>
      </w:pPr>
    </w:p>
    <w:p>
      <w:pPr>
        <w:pStyle w:val="2"/>
        <w:rPr>
          <w:lang w:val="zh-CN"/>
        </w:rPr>
      </w:pPr>
    </w:p>
    <w:p>
      <w:pPr>
        <w:rPr>
          <w:lang w:val="zh-CN"/>
        </w:rPr>
      </w:pPr>
    </w:p>
    <w:p>
      <w:pPr>
        <w:adjustRightInd w:val="0"/>
        <w:snapToGrid w:val="0"/>
        <w:spacing w:line="0" w:lineRule="atLeast"/>
        <w:jc w:val="center"/>
        <w:rPr>
          <w:rFonts w:ascii="黑体" w:hAnsi="黑体" w:eastAsia="黑体"/>
          <w:sz w:val="30"/>
          <w:szCs w:val="30"/>
          <w:lang w:val="zh-CN"/>
        </w:rPr>
      </w:pPr>
    </w:p>
    <w:p>
      <w:pPr>
        <w:rPr>
          <w:rFonts w:ascii="黑体" w:hAnsi="黑体" w:eastAsia="黑体"/>
          <w:sz w:val="30"/>
          <w:szCs w:val="30"/>
          <w:lang w:val="zh-CN"/>
        </w:rPr>
      </w:pPr>
    </w:p>
    <w:p>
      <w:pPr>
        <w:pStyle w:val="2"/>
        <w:rPr>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pStyle w:val="2"/>
        <w:rPr>
          <w:rFonts w:ascii="黑体" w:hAnsi="黑体" w:eastAsia="黑体"/>
          <w:sz w:val="30"/>
          <w:szCs w:val="30"/>
          <w:lang w:val="zh-CN"/>
        </w:rPr>
      </w:pPr>
    </w:p>
    <w:p>
      <w:pPr>
        <w:rPr>
          <w:rFonts w:ascii="黑体" w:hAnsi="黑体" w:eastAsia="黑体"/>
          <w:sz w:val="30"/>
          <w:szCs w:val="30"/>
          <w:lang w:val="zh-CN"/>
        </w:rPr>
      </w:pPr>
    </w:p>
    <w:p>
      <w:pPr>
        <w:pStyle w:val="2"/>
        <w:rPr>
          <w:rFonts w:ascii="黑体" w:hAnsi="黑体" w:eastAsia="黑体"/>
          <w:sz w:val="30"/>
          <w:szCs w:val="30"/>
          <w:lang w:val="zh-CN"/>
        </w:rPr>
      </w:pPr>
    </w:p>
    <w:p>
      <w:pPr>
        <w:rPr>
          <w:rFonts w:ascii="黑体" w:hAnsi="黑体" w:eastAsia="黑体"/>
          <w:sz w:val="30"/>
          <w:szCs w:val="30"/>
          <w:lang w:val="zh-CN"/>
        </w:rPr>
      </w:pPr>
    </w:p>
    <w:p>
      <w:pPr>
        <w:pStyle w:val="2"/>
        <w:rPr>
          <w:lang w:val="zh-CN"/>
        </w:rPr>
      </w:pPr>
    </w:p>
    <w:p>
      <w:pPr>
        <w:pStyle w:val="2"/>
        <w:rPr>
          <w:lang w:val="zh-CN"/>
        </w:rPr>
      </w:pPr>
    </w:p>
    <w:p>
      <w:pPr>
        <w:rPr>
          <w:lang w:val="zh-CN"/>
        </w:rPr>
      </w:pPr>
    </w:p>
    <w:p>
      <w:pPr>
        <w:pStyle w:val="2"/>
        <w:rPr>
          <w:lang w:val="zh-CN"/>
        </w:rPr>
      </w:pPr>
    </w:p>
    <w:p>
      <w:pPr>
        <w:rPr>
          <w:lang w:val="zh-CN"/>
        </w:rPr>
      </w:pPr>
    </w:p>
    <w:p>
      <w:pPr>
        <w:jc w:val="center"/>
        <w:rPr>
          <w:rFonts w:ascii="楷体" w:hAnsi="楷体" w:eastAsia="楷体" w:cs="楷体"/>
          <w:b/>
          <w:sz w:val="32"/>
          <w:szCs w:val="32"/>
        </w:rPr>
      </w:pPr>
      <w:r>
        <w:rPr>
          <w:rFonts w:hint="eastAsia" w:asciiTheme="majorEastAsia" w:hAnsiTheme="majorEastAsia" w:eastAsiaTheme="majorEastAsia"/>
          <w:b/>
          <w:sz w:val="32"/>
          <w:szCs w:val="32"/>
        </w:rPr>
        <w:t>二○二三年五月</w:t>
      </w:r>
    </w:p>
    <w:p>
      <w:pPr>
        <w:pStyle w:val="2"/>
      </w:pPr>
    </w:p>
    <w:p>
      <w:pPr>
        <w:adjustRightInd w:val="0"/>
        <w:snapToGrid w:val="0"/>
        <w:rPr>
          <w:rFonts w:ascii="仿宋" w:hAnsi="仿宋" w:eastAsia="仿宋" w:cs="仿宋"/>
          <w:sz w:val="30"/>
          <w:szCs w:val="30"/>
        </w:rPr>
        <w:sectPr>
          <w:pgSz w:w="11906" w:h="16838"/>
          <w:pgMar w:top="1440" w:right="1800" w:bottom="1440" w:left="1800" w:header="851" w:footer="992" w:gutter="0"/>
          <w:cols w:space="720" w:num="1"/>
          <w:docGrid w:type="lines" w:linePitch="312" w:charSpace="0"/>
        </w:sectPr>
      </w:pPr>
    </w:p>
    <w:p>
      <w:pPr>
        <w:pStyle w:val="8"/>
        <w:ind w:left="0" w:leftChars="0"/>
        <w:jc w:val="both"/>
        <w:rPr>
          <w:sz w:val="36"/>
          <w:szCs w:val="36"/>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sdt>
      <w:sdtPr>
        <w:rPr>
          <w:rFonts w:ascii="宋体" w:hAnsi="宋体"/>
        </w:rPr>
        <w:id w:val="147471619"/>
        <w:docPartObj>
          <w:docPartGallery w:val="Table of Contents"/>
          <w:docPartUnique/>
        </w:docPartObj>
      </w:sdtPr>
      <w:sdtEndPr>
        <w:rPr>
          <w:rFonts w:hint="eastAsia" w:ascii="宋体" w:hAnsi="宋体" w:cs="宋体"/>
          <w:b/>
          <w:sz w:val="28"/>
          <w:szCs w:val="28"/>
        </w:rPr>
      </w:sdtEndPr>
      <w:sdtContent>
        <w:p>
          <w:pPr>
            <w:jc w:val="center"/>
            <w:rPr>
              <w:rFonts w:ascii="黑体" w:hAnsi="黑体" w:eastAsia="黑体" w:cs="宋体"/>
              <w:kern w:val="0"/>
              <w:sz w:val="36"/>
              <w:szCs w:val="36"/>
            </w:rPr>
          </w:pPr>
          <w:r>
            <w:rPr>
              <w:rFonts w:hint="eastAsia" w:ascii="黑体" w:hAnsi="黑体" w:eastAsia="黑体" w:cs="宋体"/>
              <w:kern w:val="0"/>
              <w:sz w:val="36"/>
              <w:szCs w:val="36"/>
            </w:rPr>
            <w:t>目录</w:t>
          </w:r>
        </w:p>
        <w:p>
          <w:pPr>
            <w:pStyle w:val="7"/>
            <w:tabs>
              <w:tab w:val="right" w:leader="dot" w:pos="8306"/>
            </w:tabs>
          </w:pPr>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p>
        <w:p>
          <w:pPr>
            <w:pStyle w:val="7"/>
            <w:tabs>
              <w:tab w:val="right" w:leader="dot" w:pos="8306"/>
            </w:tabs>
            <w:rPr>
              <w:sz w:val="32"/>
              <w:szCs w:val="32"/>
            </w:rPr>
          </w:pPr>
          <w:r>
            <w:fldChar w:fldCharType="begin"/>
          </w:r>
          <w:r>
            <w:instrText xml:space="preserve"> HYPERLINK \l "_Toc1226" </w:instrText>
          </w:r>
          <w:r>
            <w:fldChar w:fldCharType="separate"/>
          </w:r>
          <w:r>
            <w:rPr>
              <w:rFonts w:hint="eastAsia" w:ascii="黑体" w:hAnsi="黑体" w:eastAsia="黑体" w:cs="宋体"/>
              <w:kern w:val="0"/>
              <w:sz w:val="32"/>
              <w:szCs w:val="32"/>
            </w:rPr>
            <w:t>一、部门概况</w:t>
          </w:r>
          <w:r>
            <w:rPr>
              <w:rFonts w:ascii="黑体" w:hAnsi="黑体" w:eastAsia="黑体" w:cs="黑体"/>
              <w:sz w:val="32"/>
              <w:szCs w:val="32"/>
            </w:rPr>
            <w:tab/>
          </w:r>
          <w:r>
            <w:rPr>
              <w:sz w:val="32"/>
              <w:szCs w:val="32"/>
            </w:rPr>
            <w:fldChar w:fldCharType="begin"/>
          </w:r>
          <w:r>
            <w:rPr>
              <w:sz w:val="32"/>
              <w:szCs w:val="32"/>
            </w:rPr>
            <w:instrText xml:space="preserve"> PAGEREF _Toc1226 \h </w:instrText>
          </w:r>
          <w:r>
            <w:rPr>
              <w:sz w:val="32"/>
              <w:szCs w:val="32"/>
            </w:rPr>
            <w:fldChar w:fldCharType="separate"/>
          </w:r>
          <w:r>
            <w:rPr>
              <w:sz w:val="32"/>
              <w:szCs w:val="32"/>
            </w:rPr>
            <w:t>1</w:t>
          </w:r>
          <w:r>
            <w:rPr>
              <w:sz w:val="32"/>
              <w:szCs w:val="32"/>
            </w:rPr>
            <w:fldChar w:fldCharType="end"/>
          </w:r>
          <w:r>
            <w:rPr>
              <w:sz w:val="32"/>
              <w:szCs w:val="32"/>
            </w:rPr>
            <w:fldChar w:fldCharType="end"/>
          </w:r>
        </w:p>
        <w:p>
          <w:pPr>
            <w:pStyle w:val="8"/>
            <w:tabs>
              <w:tab w:val="right" w:leader="dot" w:pos="8306"/>
              <w:tab w:val="clear" w:pos="8680"/>
            </w:tabs>
          </w:pPr>
          <w:r>
            <w:fldChar w:fldCharType="begin"/>
          </w:r>
          <w:r>
            <w:instrText xml:space="preserve"> HYPERLINK \l "_Toc31562" </w:instrText>
          </w:r>
          <w:r>
            <w:fldChar w:fldCharType="separate"/>
          </w:r>
          <w:r>
            <w:rPr>
              <w:rFonts w:hint="eastAsia" w:ascii="楷体_GB2312" w:eastAsia="楷体_GB2312"/>
            </w:rPr>
            <w:t>（一）机构设置及职责工作任务情况</w:t>
          </w:r>
          <w:r>
            <w:tab/>
          </w:r>
          <w:r>
            <w:fldChar w:fldCharType="begin"/>
          </w:r>
          <w:r>
            <w:instrText xml:space="preserve"> PAGEREF _Toc31562 \h </w:instrText>
          </w:r>
          <w:r>
            <w:fldChar w:fldCharType="separate"/>
          </w:r>
          <w:r>
            <w:t>1</w:t>
          </w:r>
          <w:r>
            <w:fldChar w:fldCharType="end"/>
          </w:r>
          <w:r>
            <w:fldChar w:fldCharType="end"/>
          </w:r>
        </w:p>
        <w:p>
          <w:pPr>
            <w:pStyle w:val="8"/>
            <w:tabs>
              <w:tab w:val="right" w:leader="dot" w:pos="8306"/>
              <w:tab w:val="clear" w:pos="8680"/>
            </w:tabs>
          </w:pPr>
          <w:r>
            <w:fldChar w:fldCharType="begin"/>
          </w:r>
          <w:r>
            <w:instrText xml:space="preserve"> HYPERLINK \l "_Toc1523" </w:instrText>
          </w:r>
          <w:r>
            <w:fldChar w:fldCharType="separate"/>
          </w:r>
          <w:r>
            <w:rPr>
              <w:rFonts w:hint="eastAsia" w:ascii="楷体_GB2312" w:eastAsia="楷体_GB2312"/>
            </w:rPr>
            <w:t>（二）部门整体绩效目标设立情况</w:t>
          </w:r>
          <w:r>
            <w:tab/>
          </w:r>
          <w:r>
            <w:fldChar w:fldCharType="begin"/>
          </w:r>
          <w:r>
            <w:instrText xml:space="preserve"> PAGEREF _Toc1523 \h </w:instrText>
          </w:r>
          <w:r>
            <w:fldChar w:fldCharType="separate"/>
          </w:r>
          <w:r>
            <w:t>3</w:t>
          </w:r>
          <w:r>
            <w:fldChar w:fldCharType="end"/>
          </w:r>
          <w:r>
            <w:fldChar w:fldCharType="end"/>
          </w:r>
        </w:p>
        <w:p>
          <w:pPr>
            <w:pStyle w:val="7"/>
            <w:tabs>
              <w:tab w:val="right" w:leader="dot" w:pos="8306"/>
            </w:tabs>
            <w:rPr>
              <w:sz w:val="32"/>
              <w:szCs w:val="32"/>
            </w:rPr>
          </w:pPr>
          <w:r>
            <w:fldChar w:fldCharType="begin"/>
          </w:r>
          <w:r>
            <w:instrText xml:space="preserve"> HYPERLINK \l "_Toc11943" </w:instrText>
          </w:r>
          <w:r>
            <w:fldChar w:fldCharType="separate"/>
          </w:r>
          <w:r>
            <w:rPr>
              <w:rFonts w:hint="eastAsia" w:ascii="黑体" w:hAnsi="黑体" w:eastAsia="黑体" w:cs="宋体"/>
              <w:kern w:val="0"/>
              <w:sz w:val="32"/>
              <w:szCs w:val="32"/>
            </w:rPr>
            <w:t>二、当年预算执行情况</w:t>
          </w:r>
          <w:r>
            <w:rPr>
              <w:rFonts w:ascii="黑体" w:hAnsi="黑体" w:eastAsia="黑体" w:cs="黑体"/>
              <w:sz w:val="32"/>
              <w:szCs w:val="32"/>
            </w:rPr>
            <w:tab/>
          </w:r>
          <w:r>
            <w:rPr>
              <w:sz w:val="32"/>
              <w:szCs w:val="32"/>
            </w:rPr>
            <w:fldChar w:fldCharType="begin"/>
          </w:r>
          <w:r>
            <w:rPr>
              <w:sz w:val="32"/>
              <w:szCs w:val="32"/>
            </w:rPr>
            <w:instrText xml:space="preserve"> PAGEREF _Toc11943 \h </w:instrText>
          </w:r>
          <w:r>
            <w:rPr>
              <w:sz w:val="32"/>
              <w:szCs w:val="32"/>
            </w:rPr>
            <w:fldChar w:fldCharType="separate"/>
          </w:r>
          <w:r>
            <w:rPr>
              <w:sz w:val="32"/>
              <w:szCs w:val="32"/>
            </w:rPr>
            <w:t>4</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"_Toc24817" </w:instrText>
          </w:r>
          <w:r>
            <w:fldChar w:fldCharType="separate"/>
          </w:r>
          <w:r>
            <w:rPr>
              <w:rFonts w:hint="eastAsia" w:ascii="黑体" w:hAnsi="黑体" w:eastAsia="黑体" w:cs="宋体"/>
              <w:kern w:val="0"/>
              <w:sz w:val="32"/>
              <w:szCs w:val="32"/>
            </w:rPr>
            <w:t>三、整体绩效目标实现情况</w:t>
          </w:r>
          <w:r>
            <w:rPr>
              <w:rFonts w:ascii="黑体" w:hAnsi="黑体" w:eastAsia="黑体" w:cs="黑体"/>
              <w:sz w:val="32"/>
              <w:szCs w:val="32"/>
            </w:rPr>
            <w:tab/>
          </w:r>
          <w:r>
            <w:rPr>
              <w:sz w:val="32"/>
              <w:szCs w:val="32"/>
            </w:rPr>
            <w:fldChar w:fldCharType="begin"/>
          </w:r>
          <w:r>
            <w:rPr>
              <w:sz w:val="32"/>
              <w:szCs w:val="32"/>
            </w:rPr>
            <w:instrText xml:space="preserve"> PAGEREF _Toc24817 \h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8"/>
            <w:tabs>
              <w:tab w:val="right" w:leader="dot" w:pos="8306"/>
              <w:tab w:val="clear" w:pos="8680"/>
            </w:tabs>
          </w:pPr>
          <w:r>
            <w:fldChar w:fldCharType="begin"/>
          </w:r>
          <w:r>
            <w:instrText xml:space="preserve"> HYPERLINK \l "_Toc29080" </w:instrText>
          </w:r>
          <w:r>
            <w:fldChar w:fldCharType="separate"/>
          </w:r>
          <w:r>
            <w:rPr>
              <w:rFonts w:hint="eastAsia" w:ascii="楷体_GB2312" w:eastAsia="楷体_GB2312"/>
            </w:rPr>
            <w:t>（一）产出完成情况分析</w:t>
          </w:r>
          <w:r>
            <w:tab/>
          </w:r>
          <w:r>
            <w:fldChar w:fldCharType="begin"/>
          </w:r>
          <w:r>
            <w:instrText xml:space="preserve"> PAGEREF _Toc29080 \h </w:instrText>
          </w:r>
          <w:r>
            <w:fldChar w:fldCharType="separate"/>
          </w:r>
          <w:r>
            <w:t>7</w:t>
          </w:r>
          <w:r>
            <w:fldChar w:fldCharType="end"/>
          </w:r>
          <w:r>
            <w:fldChar w:fldCharType="end"/>
          </w:r>
        </w:p>
        <w:p>
          <w:pPr>
            <w:pStyle w:val="8"/>
            <w:tabs>
              <w:tab w:val="right" w:leader="dot" w:pos="8306"/>
              <w:tab w:val="clear" w:pos="8680"/>
            </w:tabs>
          </w:pPr>
          <w:r>
            <w:fldChar w:fldCharType="begin"/>
          </w:r>
          <w:r>
            <w:instrText xml:space="preserve"> HYPERLINK \l "_Toc770" </w:instrText>
          </w:r>
          <w:r>
            <w:fldChar w:fldCharType="separate"/>
          </w:r>
          <w:r>
            <w:rPr>
              <w:rFonts w:hint="eastAsia" w:ascii="楷体_GB2312" w:eastAsia="楷体_GB2312"/>
            </w:rPr>
            <w:t>（二）效果实现情况分析</w:t>
          </w:r>
          <w:r>
            <w:tab/>
          </w:r>
          <w:r>
            <w:fldChar w:fldCharType="begin"/>
          </w:r>
          <w:r>
            <w:instrText xml:space="preserve"> PAGEREF _Toc770 \h </w:instrText>
          </w:r>
          <w:r>
            <w:fldChar w:fldCharType="separate"/>
          </w:r>
          <w:r>
            <w:t>13</w:t>
          </w:r>
          <w:r>
            <w:fldChar w:fldCharType="end"/>
          </w:r>
          <w:r>
            <w:fldChar w:fldCharType="end"/>
          </w:r>
        </w:p>
        <w:p>
          <w:pPr>
            <w:pStyle w:val="7"/>
            <w:tabs>
              <w:tab w:val="right" w:leader="dot" w:pos="8306"/>
            </w:tabs>
            <w:rPr>
              <w:sz w:val="32"/>
              <w:szCs w:val="32"/>
            </w:rPr>
          </w:pPr>
          <w:r>
            <w:fldChar w:fldCharType="begin"/>
          </w:r>
          <w:r>
            <w:instrText xml:space="preserve"> HYPERLINK \l "_Toc5847" </w:instrText>
          </w:r>
          <w:r>
            <w:fldChar w:fldCharType="separate"/>
          </w:r>
          <w:r>
            <w:rPr>
              <w:rFonts w:hint="eastAsia" w:ascii="黑体" w:hAnsi="黑体" w:eastAsia="黑体" w:cs="宋体"/>
              <w:kern w:val="0"/>
              <w:sz w:val="32"/>
              <w:szCs w:val="32"/>
            </w:rPr>
            <w:t>四、预算管理情况分析</w:t>
          </w:r>
          <w:r>
            <w:rPr>
              <w:rFonts w:ascii="黑体" w:hAnsi="黑体" w:eastAsia="黑体" w:cs="黑体"/>
              <w:sz w:val="32"/>
              <w:szCs w:val="32"/>
            </w:rPr>
            <w:tab/>
          </w:r>
          <w:r>
            <w:rPr>
              <w:sz w:val="32"/>
              <w:szCs w:val="32"/>
            </w:rPr>
            <w:fldChar w:fldCharType="begin"/>
          </w:r>
          <w:r>
            <w:rPr>
              <w:sz w:val="32"/>
              <w:szCs w:val="32"/>
            </w:rPr>
            <w:instrText xml:space="preserve"> PAGEREF _Toc5847 \h </w:instrText>
          </w:r>
          <w:r>
            <w:rPr>
              <w:sz w:val="32"/>
              <w:szCs w:val="32"/>
            </w:rPr>
            <w:fldChar w:fldCharType="separate"/>
          </w:r>
          <w:r>
            <w:rPr>
              <w:sz w:val="32"/>
              <w:szCs w:val="32"/>
            </w:rPr>
            <w:t>15</w:t>
          </w:r>
          <w:r>
            <w:rPr>
              <w:sz w:val="32"/>
              <w:szCs w:val="32"/>
            </w:rPr>
            <w:fldChar w:fldCharType="end"/>
          </w:r>
          <w:r>
            <w:rPr>
              <w:sz w:val="32"/>
              <w:szCs w:val="32"/>
            </w:rPr>
            <w:fldChar w:fldCharType="end"/>
          </w:r>
        </w:p>
        <w:p>
          <w:pPr>
            <w:pStyle w:val="8"/>
            <w:tabs>
              <w:tab w:val="right" w:leader="dot" w:pos="8306"/>
              <w:tab w:val="clear" w:pos="8680"/>
            </w:tabs>
          </w:pPr>
          <w:r>
            <w:fldChar w:fldCharType="begin"/>
          </w:r>
          <w:r>
            <w:instrText xml:space="preserve"> HYPERLINK \l "_Toc3214" </w:instrText>
          </w:r>
          <w:r>
            <w:fldChar w:fldCharType="separate"/>
          </w:r>
          <w:r>
            <w:rPr>
              <w:rFonts w:hint="eastAsia" w:ascii="楷体_GB2312" w:eastAsia="楷体_GB2312"/>
            </w:rPr>
            <w:t>（一）财务管理</w:t>
          </w:r>
          <w:r>
            <w:tab/>
          </w:r>
          <w:r>
            <w:fldChar w:fldCharType="begin"/>
          </w:r>
          <w:r>
            <w:instrText xml:space="preserve"> PAGEREF _Toc3214 \h </w:instrText>
          </w:r>
          <w:r>
            <w:fldChar w:fldCharType="separate"/>
          </w:r>
          <w:r>
            <w:t>16</w:t>
          </w:r>
          <w:r>
            <w:fldChar w:fldCharType="end"/>
          </w:r>
          <w:r>
            <w:fldChar w:fldCharType="end"/>
          </w:r>
        </w:p>
        <w:p>
          <w:pPr>
            <w:pStyle w:val="8"/>
            <w:tabs>
              <w:tab w:val="right" w:leader="dot" w:pos="8306"/>
              <w:tab w:val="clear" w:pos="8680"/>
            </w:tabs>
          </w:pPr>
          <w:r>
            <w:fldChar w:fldCharType="begin"/>
          </w:r>
          <w:r>
            <w:instrText xml:space="preserve"> HYPERLINK \l "_Toc15224" </w:instrText>
          </w:r>
          <w:r>
            <w:fldChar w:fldCharType="separate"/>
          </w:r>
          <w:r>
            <w:rPr>
              <w:rFonts w:hint="eastAsia" w:ascii="楷体_GB2312" w:eastAsia="楷体_GB2312"/>
            </w:rPr>
            <w:t>（二）资产管理</w:t>
          </w:r>
          <w:r>
            <w:tab/>
          </w:r>
          <w:r>
            <w:fldChar w:fldCharType="begin"/>
          </w:r>
          <w:r>
            <w:instrText xml:space="preserve"> PAGEREF _Toc15224 \h </w:instrText>
          </w:r>
          <w:r>
            <w:fldChar w:fldCharType="separate"/>
          </w:r>
          <w:r>
            <w:t>17</w:t>
          </w:r>
          <w:r>
            <w:fldChar w:fldCharType="end"/>
          </w:r>
          <w:r>
            <w:fldChar w:fldCharType="end"/>
          </w:r>
        </w:p>
        <w:p>
          <w:pPr>
            <w:pStyle w:val="8"/>
            <w:tabs>
              <w:tab w:val="right" w:leader="dot" w:pos="8306"/>
              <w:tab w:val="clear" w:pos="8680"/>
            </w:tabs>
          </w:pPr>
          <w:r>
            <w:fldChar w:fldCharType="begin"/>
          </w:r>
          <w:r>
            <w:instrText xml:space="preserve"> HYPERLINK \l "_Toc21368" </w:instrText>
          </w:r>
          <w:r>
            <w:fldChar w:fldCharType="separate"/>
          </w:r>
          <w:r>
            <w:rPr>
              <w:rFonts w:hint="eastAsia" w:ascii="楷体_GB2312" w:eastAsia="楷体_GB2312"/>
            </w:rPr>
            <w:t>（三）绩效管理</w:t>
          </w:r>
          <w:r>
            <w:tab/>
          </w:r>
          <w:r>
            <w:fldChar w:fldCharType="begin"/>
          </w:r>
          <w:r>
            <w:instrText xml:space="preserve"> PAGEREF _Toc21368 \h </w:instrText>
          </w:r>
          <w:r>
            <w:fldChar w:fldCharType="separate"/>
          </w:r>
          <w:r>
            <w:t>17</w:t>
          </w:r>
          <w:r>
            <w:fldChar w:fldCharType="end"/>
          </w:r>
          <w:r>
            <w:fldChar w:fldCharType="end"/>
          </w:r>
        </w:p>
        <w:p>
          <w:pPr>
            <w:pStyle w:val="8"/>
            <w:tabs>
              <w:tab w:val="right" w:leader="dot" w:pos="8306"/>
              <w:tab w:val="clear" w:pos="8680"/>
            </w:tabs>
          </w:pPr>
          <w:r>
            <w:fldChar w:fldCharType="begin"/>
          </w:r>
          <w:r>
            <w:instrText xml:space="preserve"> HYPERLINK \l "_Toc24172" </w:instrText>
          </w:r>
          <w:r>
            <w:fldChar w:fldCharType="separate"/>
          </w:r>
          <w:r>
            <w:rPr>
              <w:rFonts w:hint="eastAsia" w:ascii="楷体_GB2312" w:eastAsia="楷体_GB2312"/>
            </w:rPr>
            <w:t>（四）结转结余率</w:t>
          </w:r>
          <w:r>
            <w:tab/>
          </w:r>
          <w:r>
            <w:fldChar w:fldCharType="begin"/>
          </w:r>
          <w:r>
            <w:instrText xml:space="preserve"> PAGEREF _Toc24172 \h </w:instrText>
          </w:r>
          <w:r>
            <w:fldChar w:fldCharType="separate"/>
          </w:r>
          <w:r>
            <w:t>18</w:t>
          </w:r>
          <w:r>
            <w:fldChar w:fldCharType="end"/>
          </w:r>
          <w:r>
            <w:fldChar w:fldCharType="end"/>
          </w:r>
        </w:p>
        <w:p>
          <w:pPr>
            <w:pStyle w:val="8"/>
            <w:tabs>
              <w:tab w:val="right" w:leader="dot" w:pos="8306"/>
              <w:tab w:val="clear" w:pos="8680"/>
            </w:tabs>
          </w:pPr>
          <w:r>
            <w:fldChar w:fldCharType="begin"/>
          </w:r>
          <w:r>
            <w:instrText xml:space="preserve"> HYPERLINK \l "_Toc16675" </w:instrText>
          </w:r>
          <w:r>
            <w:fldChar w:fldCharType="separate"/>
          </w:r>
          <w:r>
            <w:rPr>
              <w:rFonts w:hint="eastAsia" w:ascii="楷体_GB2312" w:eastAsia="楷体_GB2312"/>
            </w:rPr>
            <w:t>（五）部门预决算差异率</w:t>
          </w:r>
          <w:r>
            <w:tab/>
          </w:r>
          <w:r>
            <w:fldChar w:fldCharType="begin"/>
          </w:r>
          <w:r>
            <w:instrText xml:space="preserve"> PAGEREF _Toc16675 \h </w:instrText>
          </w:r>
          <w:r>
            <w:fldChar w:fldCharType="separate"/>
          </w:r>
          <w:r>
            <w:t>18</w:t>
          </w:r>
          <w:r>
            <w:fldChar w:fldCharType="end"/>
          </w:r>
          <w:r>
            <w:fldChar w:fldCharType="end"/>
          </w:r>
        </w:p>
        <w:p>
          <w:pPr>
            <w:pStyle w:val="7"/>
            <w:tabs>
              <w:tab w:val="right" w:leader="dot" w:pos="8306"/>
            </w:tabs>
            <w:rPr>
              <w:sz w:val="32"/>
              <w:szCs w:val="32"/>
            </w:rPr>
          </w:pPr>
          <w:r>
            <w:fldChar w:fldCharType="begin"/>
          </w:r>
          <w:r>
            <w:instrText xml:space="preserve"> HYPERLINK \l "_Toc22774" </w:instrText>
          </w:r>
          <w:r>
            <w:fldChar w:fldCharType="separate"/>
          </w:r>
          <w:r>
            <w:rPr>
              <w:rFonts w:hint="eastAsia" w:ascii="黑体" w:hAnsi="黑体" w:eastAsia="黑体" w:cs="宋体"/>
              <w:kern w:val="0"/>
              <w:sz w:val="32"/>
              <w:szCs w:val="32"/>
            </w:rPr>
            <w:t>五、总体评价结论</w:t>
          </w:r>
          <w:r>
            <w:rPr>
              <w:rFonts w:ascii="黑体" w:hAnsi="黑体" w:eastAsia="黑体" w:cs="黑体"/>
              <w:sz w:val="32"/>
              <w:szCs w:val="32"/>
            </w:rPr>
            <w:tab/>
          </w:r>
          <w:r>
            <w:rPr>
              <w:sz w:val="32"/>
              <w:szCs w:val="32"/>
            </w:rPr>
            <w:fldChar w:fldCharType="begin"/>
          </w:r>
          <w:r>
            <w:rPr>
              <w:sz w:val="32"/>
              <w:szCs w:val="32"/>
            </w:rPr>
            <w:instrText xml:space="preserve"> PAGEREF _Toc22774 \h </w:instrText>
          </w:r>
          <w:r>
            <w:rPr>
              <w:sz w:val="32"/>
              <w:szCs w:val="32"/>
            </w:rPr>
            <w:fldChar w:fldCharType="separate"/>
          </w:r>
          <w:r>
            <w:rPr>
              <w:sz w:val="32"/>
              <w:szCs w:val="32"/>
            </w:rPr>
            <w:t>19</w:t>
          </w:r>
          <w:r>
            <w:rPr>
              <w:sz w:val="32"/>
              <w:szCs w:val="32"/>
            </w:rPr>
            <w:fldChar w:fldCharType="end"/>
          </w:r>
          <w:r>
            <w:rPr>
              <w:sz w:val="32"/>
              <w:szCs w:val="32"/>
            </w:rPr>
            <w:fldChar w:fldCharType="end"/>
          </w:r>
        </w:p>
        <w:p>
          <w:pPr>
            <w:pStyle w:val="8"/>
            <w:tabs>
              <w:tab w:val="right" w:leader="dot" w:pos="8306"/>
              <w:tab w:val="clear" w:pos="8680"/>
            </w:tabs>
          </w:pPr>
          <w:r>
            <w:fldChar w:fldCharType="begin"/>
          </w:r>
          <w:r>
            <w:instrText xml:space="preserve"> HYPERLINK \l "_Toc12679" </w:instrText>
          </w:r>
          <w:r>
            <w:fldChar w:fldCharType="separate"/>
          </w:r>
          <w:r>
            <w:rPr>
              <w:rFonts w:hint="eastAsia" w:ascii="楷体_GB2312" w:eastAsia="楷体_GB2312"/>
            </w:rPr>
            <w:t>（一）评价得分情况</w:t>
          </w:r>
          <w:r>
            <w:tab/>
          </w:r>
          <w:r>
            <w:fldChar w:fldCharType="begin"/>
          </w:r>
          <w:r>
            <w:instrText xml:space="preserve"> PAGEREF _Toc12679 \h </w:instrText>
          </w:r>
          <w:r>
            <w:fldChar w:fldCharType="separate"/>
          </w:r>
          <w:r>
            <w:t>19</w:t>
          </w:r>
          <w:r>
            <w:fldChar w:fldCharType="end"/>
          </w:r>
          <w:r>
            <w:fldChar w:fldCharType="end"/>
          </w:r>
        </w:p>
        <w:p>
          <w:pPr>
            <w:pStyle w:val="8"/>
            <w:tabs>
              <w:tab w:val="right" w:leader="dot" w:pos="8306"/>
              <w:tab w:val="clear" w:pos="8680"/>
            </w:tabs>
          </w:pPr>
          <w:r>
            <w:fldChar w:fldCharType="begin"/>
          </w:r>
          <w:r>
            <w:instrText xml:space="preserve"> HYPERLINK \l "_Toc26597" </w:instrText>
          </w:r>
          <w:r>
            <w:fldChar w:fldCharType="separate"/>
          </w:r>
          <w:r>
            <w:rPr>
              <w:rFonts w:hint="eastAsia" w:ascii="楷体_GB2312" w:eastAsia="楷体_GB2312"/>
            </w:rPr>
            <w:t>（二）存在的问题及原因分析</w:t>
          </w:r>
          <w:r>
            <w:tab/>
          </w:r>
          <w:r>
            <w:fldChar w:fldCharType="begin"/>
          </w:r>
          <w:r>
            <w:instrText xml:space="preserve"> PAGEREF _Toc26597 \h </w:instrText>
          </w:r>
          <w:r>
            <w:fldChar w:fldCharType="separate"/>
          </w:r>
          <w:r>
            <w:t>19</w:t>
          </w:r>
          <w:r>
            <w:fldChar w:fldCharType="end"/>
          </w:r>
          <w:r>
            <w:fldChar w:fldCharType="end"/>
          </w:r>
        </w:p>
        <w:p>
          <w:pPr>
            <w:pStyle w:val="7"/>
            <w:tabs>
              <w:tab w:val="right" w:leader="dot" w:pos="8306"/>
            </w:tabs>
            <w:rPr>
              <w:sz w:val="32"/>
              <w:szCs w:val="32"/>
            </w:rPr>
          </w:pPr>
          <w:r>
            <w:fldChar w:fldCharType="begin"/>
          </w:r>
          <w:r>
            <w:instrText xml:space="preserve"> HYPERLINK \l "_Toc25609" </w:instrText>
          </w:r>
          <w:r>
            <w:fldChar w:fldCharType="separate"/>
          </w:r>
          <w:r>
            <w:rPr>
              <w:rFonts w:hint="eastAsia" w:ascii="黑体" w:hAnsi="黑体" w:eastAsia="黑体" w:cs="宋体"/>
              <w:kern w:val="0"/>
              <w:sz w:val="32"/>
              <w:szCs w:val="32"/>
            </w:rPr>
            <w:t>六、措施建议</w:t>
          </w:r>
          <w:r>
            <w:rPr>
              <w:rFonts w:ascii="黑体" w:hAnsi="黑体" w:eastAsia="黑体" w:cs="黑体"/>
              <w:sz w:val="32"/>
              <w:szCs w:val="32"/>
            </w:rPr>
            <w:tab/>
          </w:r>
          <w:r>
            <w:rPr>
              <w:sz w:val="32"/>
              <w:szCs w:val="32"/>
            </w:rPr>
            <w:fldChar w:fldCharType="begin"/>
          </w:r>
          <w:r>
            <w:rPr>
              <w:sz w:val="32"/>
              <w:szCs w:val="32"/>
            </w:rPr>
            <w:instrText xml:space="preserve"> PAGEREF _Toc25609 \h </w:instrText>
          </w:r>
          <w:r>
            <w:rPr>
              <w:sz w:val="32"/>
              <w:szCs w:val="32"/>
            </w:rPr>
            <w:fldChar w:fldCharType="separate"/>
          </w:r>
          <w:r>
            <w:rPr>
              <w:sz w:val="32"/>
              <w:szCs w:val="32"/>
            </w:rPr>
            <w:t>20</w:t>
          </w:r>
          <w:r>
            <w:rPr>
              <w:sz w:val="32"/>
              <w:szCs w:val="32"/>
            </w:rPr>
            <w:fldChar w:fldCharType="end"/>
          </w:r>
          <w:r>
            <w:rPr>
              <w:sz w:val="32"/>
              <w:szCs w:val="32"/>
            </w:rPr>
            <w:fldChar w:fldCharType="end"/>
          </w:r>
        </w:p>
        <w:p>
          <w:pPr>
            <w:rPr>
              <w:rFonts w:hint="default" w:eastAsia="宋体"/>
              <w:lang w:val="en-US" w:eastAsia="zh-CN"/>
            </w:rPr>
          </w:pPr>
          <w:r>
            <w:rPr>
              <w:rFonts w:hint="eastAsia" w:ascii="黑体" w:hAnsi="黑体" w:eastAsia="黑体" w:cs="宋体"/>
              <w:kern w:val="0"/>
              <w:sz w:val="32"/>
              <w:szCs w:val="32"/>
              <w:lang w:val="en-US" w:eastAsia="zh-CN" w:bidi="ar-SA"/>
            </w:rPr>
            <w:t>七、附件..........................................21</w:t>
          </w:r>
        </w:p>
        <w:p>
          <w:pPr>
            <w:spacing w:line="560" w:lineRule="exact"/>
            <w:jc w:val="left"/>
            <w:rPr>
              <w:rFonts w:ascii="宋体" w:hAnsi="宋体" w:cs="宋体"/>
              <w:b/>
              <w:sz w:val="28"/>
              <w:szCs w:val="28"/>
            </w:rPr>
          </w:pPr>
          <w:r>
            <w:rPr>
              <w:rFonts w:hint="eastAsia" w:ascii="宋体" w:hAnsi="宋体" w:cs="宋体"/>
              <w:szCs w:val="28"/>
            </w:rPr>
            <w:fldChar w:fldCharType="end"/>
          </w:r>
        </w:p>
      </w:sdtContent>
    </w:sdt>
    <w:p>
      <w:pPr>
        <w:spacing w:line="560" w:lineRule="exact"/>
        <w:rPr>
          <w:rFonts w:ascii="方正小标宋简体" w:eastAsia="方正小标宋简体"/>
          <w:sz w:val="36"/>
          <w:szCs w:val="36"/>
        </w:rPr>
        <w:sectPr>
          <w:footerReference r:id="rId4" w:type="default"/>
          <w:pgSz w:w="11906" w:h="16838"/>
          <w:pgMar w:top="1440" w:right="1800" w:bottom="1440" w:left="1800" w:header="851" w:footer="992" w:gutter="0"/>
          <w:cols w:space="425" w:num="1"/>
          <w:docGrid w:type="lines" w:linePitch="312" w:charSpace="0"/>
        </w:sectPr>
      </w:pPr>
    </w:p>
    <w:p>
      <w:pPr>
        <w:spacing w:line="700" w:lineRule="exact"/>
        <w:jc w:val="center"/>
        <w:outlineLvl w:val="0"/>
        <w:rPr>
          <w:rFonts w:asciiTheme="minorEastAsia" w:hAnsiTheme="minorEastAsia" w:eastAsiaTheme="minorEastAsia"/>
          <w:b/>
          <w:bCs/>
          <w:sz w:val="36"/>
          <w:szCs w:val="36"/>
        </w:rPr>
      </w:pPr>
      <w:bookmarkStart w:id="1" w:name="_Toc15052"/>
      <w:bookmarkStart w:id="2" w:name="_Toc27303"/>
      <w:bookmarkStart w:id="3" w:name="_Toc14473"/>
      <w:r>
        <w:rPr>
          <w:rFonts w:hint="eastAsia" w:asciiTheme="minorEastAsia" w:hAnsiTheme="minorEastAsia" w:eastAsiaTheme="minorEastAsia"/>
          <w:b/>
          <w:bCs/>
          <w:sz w:val="36"/>
          <w:szCs w:val="36"/>
        </w:rPr>
        <w:t>北京市重大项目建设指挥部办公室</w:t>
      </w:r>
      <w:bookmarkEnd w:id="0"/>
      <w:bookmarkEnd w:id="1"/>
      <w:bookmarkEnd w:id="2"/>
      <w:bookmarkEnd w:id="3"/>
    </w:p>
    <w:p>
      <w:pPr>
        <w:spacing w:line="700" w:lineRule="exact"/>
        <w:jc w:val="center"/>
        <w:outlineLvl w:val="0"/>
        <w:rPr>
          <w:rFonts w:asciiTheme="minorEastAsia" w:hAnsiTheme="minorEastAsia" w:eastAsiaTheme="minorEastAsia"/>
          <w:b/>
          <w:bCs/>
          <w:sz w:val="36"/>
          <w:szCs w:val="36"/>
        </w:rPr>
      </w:pPr>
      <w:bookmarkStart w:id="4" w:name="_Toc17687"/>
      <w:bookmarkStart w:id="5" w:name="_Toc2294"/>
      <w:bookmarkStart w:id="6" w:name="_Toc1279"/>
      <w:bookmarkStart w:id="7" w:name="_Toc21454"/>
      <w:r>
        <w:rPr>
          <w:rFonts w:hint="eastAsia" w:asciiTheme="minorEastAsia" w:hAnsiTheme="minorEastAsia" w:eastAsiaTheme="minorEastAsia"/>
          <w:b/>
          <w:bCs/>
          <w:sz w:val="36"/>
          <w:szCs w:val="36"/>
        </w:rPr>
        <w:t>部门整体绩效评价报告</w:t>
      </w:r>
      <w:bookmarkEnd w:id="4"/>
      <w:bookmarkEnd w:id="5"/>
      <w:bookmarkEnd w:id="6"/>
    </w:p>
    <w:bookmarkEnd w:id="7"/>
    <w:p>
      <w:pPr>
        <w:jc w:val="center"/>
        <w:rPr>
          <w:rFonts w:ascii="仿宋_GB2312"/>
          <w:szCs w:val="30"/>
        </w:rPr>
      </w:pPr>
    </w:p>
    <w:p>
      <w:pPr>
        <w:pStyle w:val="2"/>
      </w:pPr>
    </w:p>
    <w:p>
      <w:pPr>
        <w:spacing w:line="360" w:lineRule="auto"/>
        <w:ind w:firstLine="640"/>
        <w:rPr>
          <w:rFonts w:ascii="仿宋_GB2312" w:hAnsi="仿宋" w:eastAsia="仿宋_GB2312"/>
          <w:color w:val="000000"/>
          <w:sz w:val="32"/>
          <w:szCs w:val="32"/>
        </w:rPr>
      </w:pPr>
      <w:r>
        <w:rPr>
          <w:rFonts w:hint="eastAsia" w:ascii="仿宋_GB2312" w:hAnsi="仿宋" w:eastAsia="仿宋_GB2312"/>
          <w:color w:val="000000"/>
          <w:sz w:val="32"/>
          <w:szCs w:val="32"/>
        </w:rPr>
        <w:t>为进一步加强预算绩效管理工作，提高财政支出管理水平，强化绩效理念和支出责任，根据</w:t>
      </w:r>
      <w:r>
        <w:rPr>
          <w:rFonts w:hint="eastAsia" w:ascii="仿宋_GB2312" w:hAnsi="仿宋_GB2312" w:eastAsia="仿宋_GB2312" w:cs="仿宋_GB2312"/>
          <w:color w:val="000000"/>
          <w:kern w:val="0"/>
          <w:sz w:val="32"/>
          <w:szCs w:val="32"/>
        </w:rPr>
        <w:t>《北京市财政局关于2023年推进全面实施预算绩效管理工作的通知》</w:t>
      </w:r>
      <w:r>
        <w:rPr>
          <w:rFonts w:hint="eastAsia" w:ascii="仿宋_GB2312" w:hAnsi="仿宋" w:eastAsia="仿宋_GB2312"/>
          <w:color w:val="000000"/>
          <w:sz w:val="32"/>
          <w:szCs w:val="32"/>
        </w:rPr>
        <w:t>要求，</w:t>
      </w:r>
      <w:r>
        <w:rPr>
          <w:rFonts w:hint="eastAsia" w:ascii="仿宋_GB2312" w:hAnsi="仿宋_GB2312" w:eastAsia="仿宋_GB2312" w:cs="仿宋_GB2312"/>
          <w:color w:val="000000"/>
          <w:kern w:val="0"/>
          <w:sz w:val="32"/>
          <w:szCs w:val="32"/>
        </w:rPr>
        <w:t>我办对2022年度部门整体支出开展绩效评价，并形成本绩效评价报告</w:t>
      </w:r>
      <w:r>
        <w:rPr>
          <w:rFonts w:hint="eastAsia" w:ascii="仿宋_GB2312" w:hAnsi="仿宋" w:eastAsia="仿宋_GB2312"/>
          <w:color w:val="000000"/>
          <w:sz w:val="32"/>
          <w:szCs w:val="32"/>
        </w:rPr>
        <w:t>。</w:t>
      </w:r>
    </w:p>
    <w:p>
      <w:pPr>
        <w:spacing w:line="600" w:lineRule="exact"/>
        <w:ind w:firstLine="640" w:firstLineChars="200"/>
        <w:outlineLvl w:val="0"/>
        <w:rPr>
          <w:rFonts w:ascii="黑体" w:hAnsi="黑体" w:eastAsia="黑体" w:cs="宋体"/>
          <w:color w:val="000000"/>
          <w:kern w:val="0"/>
          <w:sz w:val="32"/>
          <w:szCs w:val="32"/>
        </w:rPr>
      </w:pPr>
      <w:bookmarkStart w:id="8" w:name="_Toc23432"/>
      <w:bookmarkStart w:id="9" w:name="_Toc1226"/>
      <w:bookmarkStart w:id="10" w:name="_Toc15905"/>
      <w:r>
        <w:rPr>
          <w:rFonts w:hint="eastAsia" w:ascii="黑体" w:hAnsi="黑体" w:eastAsia="黑体" w:cs="宋体"/>
          <w:color w:val="000000"/>
          <w:kern w:val="0"/>
          <w:sz w:val="32"/>
          <w:szCs w:val="32"/>
        </w:rPr>
        <w:t>一、部门概况</w:t>
      </w:r>
      <w:bookmarkEnd w:id="8"/>
      <w:bookmarkEnd w:id="9"/>
      <w:bookmarkEnd w:id="10"/>
    </w:p>
    <w:p>
      <w:pPr>
        <w:adjustRightInd w:val="0"/>
        <w:snapToGrid w:val="0"/>
        <w:spacing w:line="360" w:lineRule="auto"/>
        <w:ind w:firstLine="640" w:firstLineChars="200"/>
        <w:outlineLvl w:val="1"/>
        <w:rPr>
          <w:rFonts w:ascii="楷体_GB2312" w:eastAsia="楷体_GB2312"/>
          <w:sz w:val="32"/>
          <w:szCs w:val="32"/>
        </w:rPr>
      </w:pPr>
      <w:bookmarkStart w:id="11" w:name="_Toc16951"/>
      <w:bookmarkStart w:id="12" w:name="_Toc31562"/>
      <w:bookmarkStart w:id="13" w:name="_Toc31930"/>
      <w:r>
        <w:rPr>
          <w:rFonts w:hint="eastAsia" w:ascii="楷体_GB2312" w:eastAsia="楷体_GB2312"/>
          <w:sz w:val="32"/>
          <w:szCs w:val="32"/>
        </w:rPr>
        <w:t>（一）机构设置及职责工作任务情况</w:t>
      </w:r>
      <w:bookmarkEnd w:id="11"/>
      <w:bookmarkEnd w:id="12"/>
      <w:bookmarkEnd w:id="13"/>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根据《关于印发北京市重大项目建设指挥部办公室主要职责内设机构和人员编制规定的通知》（京政办发〔2009〕93号）、《关于设立北京市棚户区改造和环境整治领导小组及指挥部有关事项的批复》（京编委〔2013〕18号）、《关于设立北京市2022年冬奥会工程建设指挥部有关事项的批复》（市编委〔2016〕27号）和《关于同意调整充实市重大项目办工作力量有关事项的函》（京编办行〔2016〕89号），北京市重大项目建设指挥部办公室</w:t>
      </w:r>
      <w:r>
        <w:rPr>
          <w:rFonts w:hint="eastAsia" w:ascii="仿宋_GB2312" w:hAnsi="仿宋_GB2312" w:eastAsia="仿宋_GB2312" w:cs="仿宋_GB2312"/>
          <w:sz w:val="32"/>
          <w:szCs w:val="32"/>
        </w:rPr>
        <w:t>为正局级行政机构，其下设秘书行政处、城市轨道交通建设协调一处、城市轨道交通建设协调二处、城市轨道交通建设协调三处、建设项目协调处、棚改办计划处、棚改办协调处、安全质量处、城区场馆建设处、延庆场馆建设处、冬奥工程计划处等15个职能部室。主要职责是：</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组织编制本市城市轨道交通工程项目和市政府交办工程项目(以下简称重大项目)建设总体计划，并督促检查计划执行情况。</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协调有关部门和单位推进重大项目的规划、征地、拆迁等前期工作；协调市政府有关部门按总体计划要求在项目建设各阶段加快办理各项行政审批手续。</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协调、解决重大项目建设中的重大问题；协调落实工程建设安全、质量、工期、功能和成本“五统一”要求；承担为建设单位及各参建单位服务的职责。协调市政府主管部</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ascii="仿宋" w:hAnsi="仿宋" w:eastAsia="仿宋"/>
          <w:sz w:val="32"/>
          <w:szCs w:val="32"/>
        </w:rPr>
        <w:t>协调市政府主管部</w:t>
      </w:r>
      <w:r>
        <w:rPr>
          <w:rFonts w:hint="eastAsia" w:ascii="仿宋_GB2312" w:hAnsi="仿宋_GB2312" w:eastAsia="仿宋_GB2312" w:cs="仿宋_GB2312"/>
          <w:sz w:val="32"/>
          <w:szCs w:val="32"/>
        </w:rPr>
        <w:t>门监督重大项目建设各方贯彻落实有关安全生产、工程质量、资金使用、招标与采购、合同履行等方面法律法规，落实“阳光工程”的各项要求；参与重大项目建设工程事故应急工作。</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参与重大项目年度资金使用计划的编制，协调、落实资金计划的执行。</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组织推动新技术、新材料、新设备、新工艺在重大项目建设中的应用。</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组织协调重大项目的竣工验收、竣工结算和决算工作。</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负责重大项目建设信息的收集、整理、统计和管理工作。</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受委托负责中央单位在京重要建设项目的组织实施。</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承担北京市重大项目建设指挥部的具体工作。</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承办市政府交办的其他事项。</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在北京市棚户区改造和环境整治领导小组及指挥部的领导下，研究拟定本市棚户区改造和环境改造方案，并组织实施；承办相关工作会议，督促落实议定事项；汇总、分析并报告相关工作开展情况；承担领导小组、指挥部的日常工作。</w:t>
      </w:r>
    </w:p>
    <w:p>
      <w:pPr>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在北京市2022年冬奥会工程建设指挥部的领导下，负责组织拟定北京2022年冬奥会和冬残奥会由北京市承担的奥运场馆及相关配套工程建设的总体计划，并组织实施；督促落实指挥部的各项议定事项；协调解决工程建设中的有关问题；承担指挥部的日常工作。</w:t>
      </w:r>
    </w:p>
    <w:p>
      <w:pPr>
        <w:adjustRightInd w:val="0"/>
        <w:snapToGrid w:val="0"/>
        <w:spacing w:line="360" w:lineRule="auto"/>
        <w:ind w:firstLine="640" w:firstLineChars="200"/>
        <w:outlineLvl w:val="1"/>
        <w:rPr>
          <w:rFonts w:ascii="楷体_GB2312" w:eastAsia="楷体_GB2312"/>
          <w:sz w:val="32"/>
          <w:szCs w:val="32"/>
        </w:rPr>
      </w:pPr>
      <w:bookmarkStart w:id="14" w:name="_Toc12126"/>
      <w:bookmarkStart w:id="15" w:name="_Toc5188"/>
      <w:bookmarkStart w:id="16" w:name="_Toc1523"/>
      <w:r>
        <w:rPr>
          <w:rFonts w:hint="eastAsia" w:ascii="楷体_GB2312" w:eastAsia="楷体_GB2312"/>
          <w:sz w:val="32"/>
          <w:szCs w:val="32"/>
        </w:rPr>
        <w:t>（二）部门整体绩效目标设立情况</w:t>
      </w:r>
      <w:bookmarkEnd w:id="14"/>
      <w:bookmarkEnd w:id="15"/>
      <w:bookmarkEnd w:id="16"/>
    </w:p>
    <w:p>
      <w:pPr>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1.总体目标的设定情况</w:t>
      </w:r>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坚持以习近平新时代中国特色社会主义思想为指导，深入贯彻党的十九大和十九届二中、三中、四中、五中、六中全会精神，立足部门职责，坚持以人民为中心的发展思想，深入贯彻党中央、国务院关于全面推进政务公开的系列部署，紧紧围绕市委、市政府中心工作，按照政务服务跨越行动计划的有关要求，结合工作实际，以网站为依托，不断加大主动公开力度，拓宽公开渠道，及时回应社会关切，全面提升政务公开质量和实效。扎实做好轨道交通建设、棚户区改造等重大工程的组织协调工作，为北京市重点项目建设任务落实提供保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2.具体目标的设定情况</w:t>
      </w:r>
    </w:p>
    <w:tbl>
      <w:tblPr>
        <w:tblStyle w:val="12"/>
        <w:tblW w:w="8493" w:type="dxa"/>
        <w:tblInd w:w="91" w:type="dxa"/>
        <w:tblLayout w:type="fixed"/>
        <w:tblCellMar>
          <w:top w:w="0" w:type="dxa"/>
          <w:left w:w="108" w:type="dxa"/>
          <w:bottom w:w="0" w:type="dxa"/>
          <w:right w:w="108" w:type="dxa"/>
        </w:tblCellMar>
      </w:tblPr>
      <w:tblGrid>
        <w:gridCol w:w="4877"/>
        <w:gridCol w:w="1333"/>
        <w:gridCol w:w="1133"/>
        <w:gridCol w:w="1150"/>
      </w:tblGrid>
      <w:tr>
        <w:tblPrEx>
          <w:tblCellMar>
            <w:top w:w="0" w:type="dxa"/>
            <w:left w:w="108" w:type="dxa"/>
            <w:bottom w:w="0" w:type="dxa"/>
            <w:right w:w="108" w:type="dxa"/>
          </w:tblCellMar>
        </w:tblPrEx>
        <w:trPr>
          <w:trHeight w:val="720" w:hRule="atLeast"/>
          <w:tblHeader/>
        </w:trPr>
        <w:tc>
          <w:tcPr>
            <w:tcW w:w="4877" w:type="dxa"/>
            <w:tcBorders>
              <w:top w:val="single" w:color="000000" w:sz="8" w:space="0"/>
              <w:left w:val="single" w:color="000000" w:sz="8" w:space="0"/>
              <w:bottom w:val="single" w:color="000000" w:sz="8" w:space="0"/>
              <w:right w:val="single" w:color="000000" w:sz="8" w:space="0"/>
            </w:tcBorders>
            <w:shd w:val="clear" w:color="auto" w:fill="D9D9D9"/>
            <w:vAlign w:val="center"/>
          </w:tcPr>
          <w:p>
            <w:pPr>
              <w:widowControl/>
              <w:jc w:val="center"/>
              <w:textAlignment w:val="center"/>
              <w:rPr>
                <w:rFonts w:ascii="宋体" w:hAnsi="宋体" w:cs="宋体"/>
                <w:b/>
                <w:bCs/>
                <w:color w:val="000000"/>
                <w:sz w:val="22"/>
                <w:szCs w:val="22"/>
              </w:rPr>
            </w:pPr>
            <w:bookmarkStart w:id="17" w:name="_Toc1750"/>
            <w:bookmarkStart w:id="18" w:name="_Toc11943"/>
            <w:bookmarkStart w:id="19" w:name="_Toc19643"/>
            <w:r>
              <w:rPr>
                <w:rFonts w:hint="eastAsia" w:ascii="宋体" w:hAnsi="宋体" w:cs="宋体"/>
                <w:b/>
                <w:bCs/>
                <w:color w:val="000000"/>
                <w:kern w:val="0"/>
                <w:sz w:val="22"/>
                <w:szCs w:val="22"/>
                <w:lang w:bidi="ar"/>
              </w:rPr>
              <w:t>绩效指标</w:t>
            </w:r>
          </w:p>
        </w:tc>
        <w:tc>
          <w:tcPr>
            <w:tcW w:w="1333" w:type="dxa"/>
            <w:tcBorders>
              <w:top w:val="single" w:color="000000" w:sz="8" w:space="0"/>
              <w:left w:val="nil"/>
              <w:bottom w:val="single" w:color="000000" w:sz="8" w:space="0"/>
              <w:right w:val="single" w:color="000000" w:sz="8"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指标性质</w:t>
            </w:r>
          </w:p>
        </w:tc>
        <w:tc>
          <w:tcPr>
            <w:tcW w:w="1133" w:type="dxa"/>
            <w:tcBorders>
              <w:top w:val="single" w:color="000000" w:sz="8" w:space="0"/>
              <w:left w:val="nil"/>
              <w:bottom w:val="single" w:color="000000" w:sz="8" w:space="0"/>
              <w:right w:val="single" w:color="000000" w:sz="8"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指标值</w:t>
            </w:r>
          </w:p>
        </w:tc>
        <w:tc>
          <w:tcPr>
            <w:tcW w:w="1150" w:type="dxa"/>
            <w:tcBorders>
              <w:top w:val="single" w:color="000000" w:sz="8" w:space="0"/>
              <w:left w:val="nil"/>
              <w:bottom w:val="single" w:color="000000" w:sz="8" w:space="0"/>
              <w:right w:val="single" w:color="000000" w:sz="8"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度量单位</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产出指标数量指标保障延庆办公区办公用房房租、物业</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373.89</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平方米</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产出指标数量指标保障延庆办公区人员住宿用房租赁数量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所</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产出指标数量指标保障延庆办公人员用餐人员数量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7</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人数</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产出指标数量指标保障延庆工程现场安全通行用车数量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辆</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产出指标数量指标微信公众平台发布信息数量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条</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产出指标数量指标门户网站处理政务咨询数量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条</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产出指标数量指标门户网站每年发布维护信息数量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条</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产出指标数量指标发放北京市城市轨道交通建设计划册数量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本</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产出指标数量指标审核合同份数</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42</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份</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产出指标数量指标绩效管理项目个数</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18</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个（套）</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产出指标数量指标完成内控修订制度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套</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产出指标数量指标完成临时设施项目财务跟踪服务，出具报告个数</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个（套）</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产出指标数量指标分批组织党务知识专题培训或集中举办党务干部培训班</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天</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产出指标数量指标北京市棚户区改造和环境整治项目完成清册</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250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册</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产出指标数量指标北京市棚户区改造和环境整治整体工作计划项目册</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1300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册</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产出指标数量指标北京市棚户区改造和环境整治专项工作计划项目册</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册</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产出指标数量指标通过开展地铁建设运营情况及多种方式联网和一体化设计与施工技术调研，出具出访成果报告数量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份</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产出指标数量指标机关运行足额保障率</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产出指标质量指标保障人员的就餐需求。</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产出指标质量指标微信公众平台和门户网站系统可用性</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99.9</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产出指标质量指标延庆办公区后勤保障程度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产出指标质量指标门户网站运行情况报告数量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个</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产出指标质量指标产生法律纠纷次数</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highlight w:val="none"/>
              </w:rPr>
            </w:pPr>
            <w:r>
              <w:rPr>
                <w:rStyle w:val="25"/>
                <w:rFonts w:hint="eastAsia"/>
                <w:highlight w:val="none"/>
                <w:lang w:eastAsia="zh-CN"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highlight w:val="none"/>
              </w:rPr>
            </w:pPr>
            <w:r>
              <w:rPr>
                <w:rStyle w:val="25"/>
                <w:rFonts w:hint="default"/>
                <w:highlight w:val="none"/>
                <w:lang w:bidi="ar"/>
              </w:rPr>
              <w:t>次</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产出指标质量指标符合北京市预算绩效管理、预算编制、绩效评价、内控管理等相关工作要求</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产出指标质量指标培训参与度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产出指标质量指标对2022年我市棚户区改造计划管理工作指导的有效性</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产出指标质量指标对我市轨道交通建设协调管理工作的指导作用</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产出指标质量指标对北京市城市轨道交通建设指导的有效性</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产出指标时效指标保障资金安全服务时间2022年1-12月</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12</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月</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产出指标时效指标2022年1-12月</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12</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月</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产出指标时效指标2022年1-11月</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11</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月</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产出指标时效指标2022年1-11月</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11</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月</w:t>
            </w:r>
          </w:p>
        </w:tc>
      </w:tr>
      <w:tr>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产出指标时效指标延庆办公区后勤保障月数2022年1—5月</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月</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产出指标成本指标延庆办公区后勤保障预算（房租、物业、住宿、用餐、车辆等）</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62.552746</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万元</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产出指标成本指标机关运行保障服务项目预算控制数</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271.0138</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万元</w:t>
            </w:r>
          </w:p>
        </w:tc>
      </w:tr>
      <w:tr>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产出指标成本指标协调推进新建及在建地铁轨道交通项目的建设支出</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12.9</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万元</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产出指标成本指标党建工作预算总金额</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3.09</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万元</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产出指标成本指标棚户区专项项目总预算数</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2.196</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万元</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产出指标成本指标保障财政资金安全服务项目总预算数</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30.35</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万元</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效益指标社会效益指标就餐需求保障率</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效益指标社会效益指标为延庆办公区提供后勤服务保障</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效益指标社会效益指标及时发布重大项目建设信息，让社会公众及时了解项目进展情况</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效益指标社会效益指标网站服务形象得到提升</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效益指标社会效益指标通过专业的指导和监督，为以后年度预算编制和实施提供依据和标准，逐年规范项目预算管理和绩效，进一步完善内控管理，保障经济活动的合理合规</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效益指标社会效益指标进一步通过第三方机构专业的指导和监督预算编制和执行，提高部门预算绩效管理水平，发挥财政资金的最大效益</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效益指标社会效益指标保障财务支出的规范性，防范法律风险，提高内控管理水平。</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效益指标社会效益指标确保2022年所有场馆和基础设施建设全部建成并交付的完成率</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效益指标社会效益指标进一步提高我办党员干部政策理论水平和党务工作能力</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效益指标社会效益指标通过印制重大项目文件资料，并向各使用单位发放，进一步提高2022年棚户区改造计划管控工作。</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效益指标社会效益指标进一步提高2022年轨道交通建设管理工作，促进轨道交通前期规划编制更加科学，全流程协调管理更加有序。</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效益指标社会效益指标全力推进场馆及相关基础设施工程建设，严格按照市政府批复的年度建设计划，实现场馆建设目标，降低场馆建设风险，消除安全隐患，不发生重大安全质量事故。</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效益指标可持续影响指标就餐人员稳定</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效益指标可持续影响指标网站正常运行年限</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年</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效益指标可持续影响指标将棚户区计划任务完成情况形成完整的档案记录，便于后期查阅</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效益指标可持续影响指标出访成果报告被采纳次数</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次</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效益指标可持续影响指标为今后同类赛事管理、督促、规划落实等方面提供参考。</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定性</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优良中低差</w:t>
            </w:r>
          </w:p>
        </w:tc>
        <w:tc>
          <w:tcPr>
            <w:tcW w:w="1150"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满意度指标服务对象满意度指标项目册使用人员满意度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满意度指标服务对象满意度指标参加培训人员满意度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满意度指标服务对象满意度指标项目册使用区县棚改工作主管部门满意度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满意度指标服务对象满意度指标延庆办公区人员的满意度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满意度指标服务对象满意度指标各处室满意度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r>
        <w:tblPrEx>
          <w:tblCellMar>
            <w:top w:w="0" w:type="dxa"/>
            <w:left w:w="108" w:type="dxa"/>
            <w:bottom w:w="0" w:type="dxa"/>
            <w:right w:w="108" w:type="dxa"/>
          </w:tblCellMar>
        </w:tblPrEx>
        <w:trPr>
          <w:trHeight w:val="646" w:hRule="atLeast"/>
        </w:trPr>
        <w:tc>
          <w:tcPr>
            <w:tcW w:w="4877"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满意度指标服务对象满意度指标各处室满意度</w:t>
            </w:r>
          </w:p>
        </w:tc>
        <w:tc>
          <w:tcPr>
            <w:tcW w:w="13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c>
          <w:tcPr>
            <w:tcW w:w="1133"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c>
          <w:tcPr>
            <w:tcW w:w="115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2"/>
                <w:szCs w:val="22"/>
              </w:rPr>
            </w:pPr>
            <w:r>
              <w:rPr>
                <w:rStyle w:val="25"/>
                <w:rFonts w:hint="default"/>
                <w:lang w:bidi="ar"/>
              </w:rPr>
              <w:t>%</w:t>
            </w:r>
          </w:p>
        </w:tc>
      </w:tr>
    </w:tbl>
    <w:p>
      <w:pPr>
        <w:adjustRightInd w:val="0"/>
        <w:snapToGrid w:val="0"/>
        <w:spacing w:line="360" w:lineRule="auto"/>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二、当年预算执行情况</w:t>
      </w:r>
      <w:bookmarkEnd w:id="17"/>
      <w:bookmarkEnd w:id="18"/>
      <w:bookmarkEnd w:id="19"/>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2022年全年预算数</w:t>
      </w:r>
      <w:r>
        <w:rPr>
          <w:rStyle w:val="16"/>
          <w:rFonts w:hint="eastAsia" w:ascii="仿宋_GB2312" w:hAnsi="仿宋_GB2312" w:eastAsia="仿宋_GB2312" w:cs="仿宋_GB2312"/>
          <w:sz w:val="32"/>
          <w:szCs w:val="32"/>
        </w:rPr>
        <w:t>18</w:t>
      </w:r>
      <w:r>
        <w:rPr>
          <w:rStyle w:val="16"/>
          <w:rFonts w:hint="eastAsia" w:ascii="仿宋_GB2312" w:hAnsi="仿宋_GB2312" w:eastAsia="仿宋_GB2312" w:cs="仿宋_GB2312"/>
          <w:sz w:val="32"/>
          <w:szCs w:val="32"/>
          <w:lang w:val="en-US" w:eastAsia="zh-CN"/>
        </w:rPr>
        <w:t>,</w:t>
      </w:r>
      <w:r>
        <w:rPr>
          <w:rStyle w:val="16"/>
          <w:rFonts w:hint="eastAsia" w:ascii="仿宋_GB2312" w:hAnsi="仿宋_GB2312" w:eastAsia="仿宋_GB2312" w:cs="仿宋_GB2312"/>
          <w:sz w:val="32"/>
          <w:szCs w:val="32"/>
        </w:rPr>
        <w:t>826.35万元</w:t>
      </w:r>
      <w:r>
        <w:rPr>
          <w:rFonts w:hint="eastAsia" w:ascii="仿宋_GB2312" w:hAnsi="仿宋_GB2312" w:eastAsia="仿宋_GB2312" w:cs="仿宋_GB2312"/>
          <w:color w:val="000000"/>
          <w:kern w:val="0"/>
          <w:sz w:val="32"/>
          <w:szCs w:val="32"/>
        </w:rPr>
        <w:t>，其中，基本支出预算数</w:t>
      </w:r>
      <w:r>
        <w:rPr>
          <w:rStyle w:val="16"/>
          <w:rFonts w:hint="eastAsia" w:ascii="仿宋_GB2312" w:hAnsi="仿宋_GB2312" w:eastAsia="仿宋_GB2312" w:cs="仿宋_GB2312"/>
          <w:sz w:val="32"/>
          <w:szCs w:val="32"/>
        </w:rPr>
        <w:t>3,581.95万元</w:t>
      </w:r>
      <w:r>
        <w:rPr>
          <w:rFonts w:hint="eastAsia" w:ascii="仿宋_GB2312" w:hAnsi="仿宋_GB2312" w:eastAsia="仿宋_GB2312" w:cs="仿宋_GB2312"/>
          <w:color w:val="000000"/>
          <w:kern w:val="0"/>
          <w:sz w:val="32"/>
          <w:szCs w:val="32"/>
        </w:rPr>
        <w:t>，项目支出预算数</w:t>
      </w:r>
      <w:r>
        <w:rPr>
          <w:rStyle w:val="16"/>
          <w:rFonts w:hint="eastAsia" w:ascii="仿宋_GB2312" w:hAnsi="仿宋_GB2312" w:eastAsia="仿宋_GB2312" w:cs="仿宋_GB2312"/>
          <w:sz w:val="32"/>
          <w:szCs w:val="32"/>
        </w:rPr>
        <w:t>7</w:t>
      </w:r>
      <w:r>
        <w:rPr>
          <w:rStyle w:val="16"/>
          <w:rFonts w:hint="eastAsia" w:ascii="仿宋_GB2312" w:hAnsi="仿宋_GB2312" w:eastAsia="仿宋_GB2312" w:cs="仿宋_GB2312"/>
          <w:sz w:val="32"/>
          <w:szCs w:val="32"/>
          <w:lang w:val="en-US" w:eastAsia="zh-CN"/>
        </w:rPr>
        <w:t>,</w:t>
      </w:r>
      <w:r>
        <w:rPr>
          <w:rStyle w:val="16"/>
          <w:rFonts w:hint="eastAsia" w:ascii="仿宋_GB2312" w:hAnsi="仿宋_GB2312" w:eastAsia="仿宋_GB2312" w:cs="仿宋_GB2312"/>
          <w:sz w:val="32"/>
          <w:szCs w:val="32"/>
        </w:rPr>
        <w:t>449.40万元</w:t>
      </w:r>
      <w:r>
        <w:rPr>
          <w:rFonts w:hint="eastAsia" w:ascii="仿宋_GB2312" w:hAnsi="仿宋_GB2312" w:eastAsia="仿宋_GB2312" w:cs="仿宋_GB2312"/>
          <w:color w:val="000000"/>
          <w:kern w:val="0"/>
          <w:sz w:val="32"/>
          <w:szCs w:val="32"/>
        </w:rPr>
        <w:t>，其他支出预算数7</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795.00万元。资金总体支出11,669.10万元，其中，基本支出3,493.96万元，项目支出380.15万元，其他支出</w:t>
      </w:r>
      <w:r>
        <w:rPr>
          <w:rFonts w:hint="eastAsia" w:ascii="仿宋_GB2312" w:hAnsi="仿宋_GB2312" w:eastAsia="仿宋_GB2312" w:cs="仿宋_GB2312"/>
          <w:color w:val="000000"/>
          <w:kern w:val="0"/>
          <w:sz w:val="32"/>
          <w:szCs w:val="32"/>
          <w:lang w:val="en-US" w:eastAsia="zh-CN"/>
        </w:rPr>
        <w:t>7,794.99</w:t>
      </w:r>
      <w:r>
        <w:rPr>
          <w:rFonts w:hint="eastAsia" w:ascii="仿宋_GB2312" w:hAnsi="仿宋_GB2312" w:eastAsia="仿宋_GB2312" w:cs="仿宋_GB2312"/>
          <w:color w:val="000000"/>
          <w:kern w:val="0"/>
          <w:sz w:val="32"/>
          <w:szCs w:val="32"/>
        </w:rPr>
        <w:t>万元。预算执行率为61.98%。</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20" w:name="_Toc5295"/>
      <w:bookmarkStart w:id="21" w:name="_Toc24817"/>
      <w:bookmarkStart w:id="22" w:name="_Toc16948"/>
      <w:r>
        <w:rPr>
          <w:rFonts w:hint="eastAsia" w:ascii="黑体" w:hAnsi="黑体" w:eastAsia="黑体" w:cs="宋体"/>
          <w:color w:val="000000"/>
          <w:kern w:val="0"/>
          <w:sz w:val="32"/>
          <w:szCs w:val="32"/>
        </w:rPr>
        <w:t>三、整体绩效目标实现情况</w:t>
      </w:r>
      <w:bookmarkEnd w:id="20"/>
      <w:bookmarkEnd w:id="21"/>
      <w:bookmarkEnd w:id="22"/>
    </w:p>
    <w:p>
      <w:pPr>
        <w:adjustRightInd w:val="0"/>
        <w:snapToGrid w:val="0"/>
        <w:spacing w:line="360" w:lineRule="auto"/>
        <w:ind w:firstLine="640" w:firstLineChars="200"/>
        <w:outlineLvl w:val="1"/>
        <w:rPr>
          <w:rFonts w:ascii="楷体_GB2312" w:eastAsia="楷体_GB2312"/>
          <w:sz w:val="32"/>
          <w:szCs w:val="32"/>
        </w:rPr>
      </w:pPr>
      <w:bookmarkStart w:id="23" w:name="_Toc29080"/>
      <w:bookmarkStart w:id="24" w:name="_Toc12604"/>
      <w:bookmarkStart w:id="25" w:name="_Toc23288"/>
      <w:r>
        <w:rPr>
          <w:rFonts w:hint="eastAsia" w:ascii="楷体_GB2312" w:eastAsia="楷体_GB2312"/>
          <w:sz w:val="32"/>
          <w:szCs w:val="32"/>
        </w:rPr>
        <w:t>（一）产出完成情况分析</w:t>
      </w:r>
      <w:bookmarkEnd w:id="23"/>
      <w:bookmarkEnd w:id="24"/>
      <w:bookmarkEnd w:id="25"/>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市重大项目办坚持以习近平新时代中国特色社会主义思想为指导，全面贯彻党的十九大及十九届历次全会和二十大精神，深入贯彻习近平总书记对北京一系列重要讲话精神，在市委市政府的坚强领导下，在指挥部的直接指挥下，凝心聚力、攻坚克难，统筹抓好重大项目建设和疫情防控工作，全面完成轨道交通、冬奥工程等重大项目建设任务。产出的具体完成情况如下：</w:t>
      </w:r>
    </w:p>
    <w:tbl>
      <w:tblPr>
        <w:tblStyle w:val="12"/>
        <w:tblW w:w="8950" w:type="dxa"/>
        <w:tblInd w:w="-197" w:type="dxa"/>
        <w:tblLayout w:type="fixed"/>
        <w:tblCellMar>
          <w:top w:w="0" w:type="dxa"/>
          <w:left w:w="108" w:type="dxa"/>
          <w:bottom w:w="0" w:type="dxa"/>
          <w:right w:w="108" w:type="dxa"/>
        </w:tblCellMar>
      </w:tblPr>
      <w:tblGrid>
        <w:gridCol w:w="3817"/>
        <w:gridCol w:w="800"/>
        <w:gridCol w:w="900"/>
        <w:gridCol w:w="788"/>
        <w:gridCol w:w="845"/>
        <w:gridCol w:w="1800"/>
      </w:tblGrid>
      <w:tr>
        <w:tblPrEx>
          <w:tblCellMar>
            <w:top w:w="0" w:type="dxa"/>
            <w:left w:w="108" w:type="dxa"/>
            <w:bottom w:w="0" w:type="dxa"/>
            <w:right w:w="108" w:type="dxa"/>
          </w:tblCellMar>
        </w:tblPrEx>
        <w:trPr>
          <w:trHeight w:val="522" w:hRule="atLeast"/>
          <w:tblHeader/>
        </w:trPr>
        <w:tc>
          <w:tcPr>
            <w:tcW w:w="3817"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绩效指标</w:t>
            </w:r>
          </w:p>
        </w:tc>
        <w:tc>
          <w:tcPr>
            <w:tcW w:w="800"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指标性质</w:t>
            </w:r>
          </w:p>
        </w:tc>
        <w:tc>
          <w:tcPr>
            <w:tcW w:w="900"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指标值</w:t>
            </w:r>
          </w:p>
        </w:tc>
        <w:tc>
          <w:tcPr>
            <w:tcW w:w="788"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度量单位</w:t>
            </w:r>
          </w:p>
        </w:tc>
        <w:tc>
          <w:tcPr>
            <w:tcW w:w="845"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完成情况</w:t>
            </w:r>
          </w:p>
        </w:tc>
        <w:tc>
          <w:tcPr>
            <w:tcW w:w="1800"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备注</w:t>
            </w:r>
          </w:p>
        </w:tc>
      </w:tr>
      <w:tr>
        <w:tblPrEx>
          <w:tblCellMar>
            <w:top w:w="0" w:type="dxa"/>
            <w:left w:w="108" w:type="dxa"/>
            <w:bottom w:w="0" w:type="dxa"/>
            <w:right w:w="108" w:type="dxa"/>
          </w:tblCellMar>
        </w:tblPrEx>
        <w:trPr>
          <w:trHeight w:val="757"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产出指标数量指标保障延庆办公区办公用房房租、物业</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373.89</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平方米</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373.89平米</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延庆办公区办公用房房租</w:t>
            </w:r>
          </w:p>
        </w:tc>
      </w:tr>
      <w:tr>
        <w:tblPrEx>
          <w:tblCellMar>
            <w:top w:w="0" w:type="dxa"/>
            <w:left w:w="108" w:type="dxa"/>
            <w:bottom w:w="0" w:type="dxa"/>
            <w:right w:w="108" w:type="dxa"/>
          </w:tblCellMar>
        </w:tblPrEx>
        <w:trPr>
          <w:trHeight w:val="881"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产出指标数量指标保障延庆办公区人员住宿用房租赁数量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所</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6所</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延庆办公区住宿用房房租</w:t>
            </w:r>
          </w:p>
        </w:tc>
      </w:tr>
      <w:tr>
        <w:tblPrEx>
          <w:tblCellMar>
            <w:top w:w="0" w:type="dxa"/>
            <w:left w:w="108" w:type="dxa"/>
            <w:bottom w:w="0" w:type="dxa"/>
            <w:right w:w="108" w:type="dxa"/>
          </w:tblCellMar>
        </w:tblPrEx>
        <w:trPr>
          <w:trHeight w:val="944"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产出指标数量指标保障延庆办公人员用餐人员数量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7</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人数</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7人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延庆办公区食堂管理费</w:t>
            </w:r>
          </w:p>
        </w:tc>
      </w:tr>
      <w:tr>
        <w:tblPrEx>
          <w:tblCellMar>
            <w:top w:w="0" w:type="dxa"/>
            <w:left w:w="108" w:type="dxa"/>
            <w:bottom w:w="0" w:type="dxa"/>
            <w:right w:w="108" w:type="dxa"/>
          </w:tblCellMar>
        </w:tblPrEx>
        <w:trPr>
          <w:trHeight w:val="91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产出指标数量指标保障延庆工程现场安全通行用车数量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辆</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2辆</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延庆办公区车辆租赁费</w:t>
            </w:r>
          </w:p>
        </w:tc>
      </w:tr>
      <w:tr>
        <w:tblPrEx>
          <w:tblCellMar>
            <w:top w:w="0" w:type="dxa"/>
            <w:left w:w="108" w:type="dxa"/>
            <w:bottom w:w="0" w:type="dxa"/>
            <w:right w:w="108" w:type="dxa"/>
          </w:tblCellMar>
        </w:tblPrEx>
        <w:trPr>
          <w:trHeight w:val="1044"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产出指标数量指标微信公众平台发布信息数量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条</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156条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微信公众平台运维费</w:t>
            </w:r>
          </w:p>
        </w:tc>
      </w:tr>
      <w:tr>
        <w:tblPrEx>
          <w:tblCellMar>
            <w:top w:w="0" w:type="dxa"/>
            <w:left w:w="108" w:type="dxa"/>
            <w:bottom w:w="0" w:type="dxa"/>
            <w:right w:w="108" w:type="dxa"/>
          </w:tblCellMar>
        </w:tblPrEx>
        <w:trPr>
          <w:trHeight w:val="933"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产出指标数量指标门户网站处理政务咨询数量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条</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880条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门户网站运维费</w:t>
            </w:r>
          </w:p>
        </w:tc>
      </w:tr>
      <w:tr>
        <w:tblPrEx>
          <w:tblCellMar>
            <w:top w:w="0" w:type="dxa"/>
            <w:left w:w="108" w:type="dxa"/>
            <w:bottom w:w="0" w:type="dxa"/>
            <w:right w:w="108" w:type="dxa"/>
          </w:tblCellMar>
        </w:tblPrEx>
        <w:trPr>
          <w:trHeight w:val="1069"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产出指标数量指标门户网站每年发布维护信息数量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条</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204条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门户网站运维费</w:t>
            </w:r>
          </w:p>
        </w:tc>
      </w:tr>
      <w:tr>
        <w:tblPrEx>
          <w:tblCellMar>
            <w:top w:w="0" w:type="dxa"/>
            <w:left w:w="108" w:type="dxa"/>
            <w:bottom w:w="0" w:type="dxa"/>
            <w:right w:w="108" w:type="dxa"/>
          </w:tblCellMar>
        </w:tblPrEx>
        <w:trPr>
          <w:trHeight w:val="111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产出指标数量指标发放北京市城市轨道交通建设计划册数量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200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本</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185本</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22"/>
                <w:szCs w:val="22"/>
                <w:highlight w:val="none"/>
                <w:lang w:eastAsia="zh-CN"/>
              </w:rPr>
            </w:pPr>
            <w:r>
              <w:rPr>
                <w:rFonts w:hint="eastAsia" w:ascii="宋体" w:hAnsi="宋体" w:cs="宋体"/>
                <w:color w:val="000000"/>
                <w:kern w:val="0"/>
                <w:sz w:val="22"/>
                <w:szCs w:val="22"/>
                <w:highlight w:val="none"/>
                <w:lang w:bidi="ar"/>
              </w:rPr>
              <w:t>北京市城市轨道交通建设计划册印刷费</w:t>
            </w:r>
            <w:r>
              <w:rPr>
                <w:rFonts w:hint="eastAsia" w:ascii="宋体" w:hAnsi="宋体" w:cs="宋体"/>
                <w:color w:val="000000"/>
                <w:kern w:val="0"/>
                <w:sz w:val="22"/>
                <w:szCs w:val="22"/>
                <w:highlight w:val="none"/>
                <w:lang w:eastAsia="zh-CN" w:bidi="ar"/>
              </w:rPr>
              <w:t>（由于纸张、人工等耗材价格有所上涨，单价提高，印刷数量相对减少，但可以满足工作需要。）</w:t>
            </w:r>
          </w:p>
        </w:tc>
      </w:tr>
      <w:tr>
        <w:tblPrEx>
          <w:tblCellMar>
            <w:top w:w="0" w:type="dxa"/>
            <w:left w:w="108" w:type="dxa"/>
            <w:bottom w:w="0" w:type="dxa"/>
            <w:right w:w="108" w:type="dxa"/>
          </w:tblCellMar>
        </w:tblPrEx>
        <w:trPr>
          <w:trHeight w:val="452"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产出指标数量指标审核合同份数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42</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份</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30份</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22"/>
                <w:szCs w:val="22"/>
                <w:highlight w:val="none"/>
                <w:lang w:eastAsia="zh-CN"/>
              </w:rPr>
            </w:pPr>
            <w:r>
              <w:rPr>
                <w:rFonts w:hint="eastAsia" w:ascii="宋体" w:hAnsi="宋体" w:cs="宋体"/>
                <w:color w:val="000000"/>
                <w:kern w:val="0"/>
                <w:sz w:val="22"/>
                <w:szCs w:val="22"/>
                <w:highlight w:val="none"/>
                <w:lang w:bidi="ar"/>
              </w:rPr>
              <w:t>法律顾问咨询工作经费</w:t>
            </w:r>
            <w:r>
              <w:rPr>
                <w:rFonts w:hint="eastAsia" w:ascii="宋体" w:hAnsi="宋体" w:cs="宋体"/>
                <w:color w:val="000000"/>
                <w:kern w:val="0"/>
                <w:sz w:val="22"/>
                <w:szCs w:val="22"/>
                <w:highlight w:val="none"/>
                <w:lang w:eastAsia="zh-CN" w:bidi="ar"/>
              </w:rPr>
              <w:t>（我办2021年底搬迁到通州副中心办公后，2022年房租、物业、信息化及会议等服务全部由机管局统一提供，经济业务大幅减少，造成实际对外签订合同数量较年初计划大幅减少）</w:t>
            </w:r>
          </w:p>
        </w:tc>
      </w:tr>
      <w:tr>
        <w:tblPrEx>
          <w:tblCellMar>
            <w:top w:w="0" w:type="dxa"/>
            <w:left w:w="108" w:type="dxa"/>
            <w:bottom w:w="0" w:type="dxa"/>
            <w:right w:w="108" w:type="dxa"/>
          </w:tblCellMar>
        </w:tblPrEx>
        <w:trPr>
          <w:trHeight w:val="748"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产出指标数量指标绩效管理项目个数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18</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个（套）</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14个</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22"/>
                <w:szCs w:val="22"/>
                <w:highlight w:val="none"/>
                <w:lang w:eastAsia="zh-CN"/>
              </w:rPr>
            </w:pPr>
            <w:r>
              <w:rPr>
                <w:rFonts w:hint="eastAsia" w:ascii="宋体" w:hAnsi="宋体" w:cs="宋体"/>
                <w:color w:val="000000"/>
                <w:kern w:val="0"/>
                <w:sz w:val="22"/>
                <w:szCs w:val="22"/>
                <w:highlight w:val="none"/>
                <w:lang w:bidi="ar"/>
              </w:rPr>
              <w:t>部门预算绩效管理及内控管理工作经费</w:t>
            </w:r>
            <w:r>
              <w:rPr>
                <w:rFonts w:hint="eastAsia" w:ascii="宋体" w:hAnsi="宋体" w:cs="宋体"/>
                <w:color w:val="000000"/>
                <w:kern w:val="0"/>
                <w:sz w:val="22"/>
                <w:szCs w:val="22"/>
                <w:highlight w:val="none"/>
                <w:lang w:eastAsia="zh-CN" w:bidi="ar"/>
              </w:rPr>
              <w:t>（我办2022年共14个预算项目，并全部进行了绩效评价；在以后年度预算编报过程中，进一步加强分析职能、业务等变动情况，预估项目数量）</w:t>
            </w:r>
          </w:p>
        </w:tc>
      </w:tr>
      <w:tr>
        <w:tblPrEx>
          <w:tblCellMar>
            <w:top w:w="0" w:type="dxa"/>
            <w:left w:w="108" w:type="dxa"/>
            <w:bottom w:w="0" w:type="dxa"/>
            <w:right w:w="108" w:type="dxa"/>
          </w:tblCellMar>
        </w:tblPrEx>
        <w:trPr>
          <w:trHeight w:val="731"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产出指标数量指标完成内控修订制度</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套</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1套</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部门预算绩效管理及内控管理工作经费</w:t>
            </w:r>
          </w:p>
        </w:tc>
      </w:tr>
      <w:tr>
        <w:tblPrEx>
          <w:tblCellMar>
            <w:top w:w="0" w:type="dxa"/>
            <w:left w:w="108" w:type="dxa"/>
            <w:bottom w:w="0" w:type="dxa"/>
            <w:right w:w="108" w:type="dxa"/>
          </w:tblCellMar>
        </w:tblPrEx>
        <w:trPr>
          <w:trHeight w:val="883"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产出指标数量指标完成临时设施项目财务跟踪服务，出具报告个数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个（套）</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2个</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临时设施项目财务跟踪服务尾款</w:t>
            </w:r>
          </w:p>
        </w:tc>
      </w:tr>
      <w:tr>
        <w:tblPrEx>
          <w:tblCellMar>
            <w:top w:w="0" w:type="dxa"/>
            <w:left w:w="108" w:type="dxa"/>
            <w:bottom w:w="0" w:type="dxa"/>
            <w:right w:w="108" w:type="dxa"/>
          </w:tblCellMar>
        </w:tblPrEx>
        <w:trPr>
          <w:trHeight w:val="74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产出指标数量指标分批组织党务知识专题培训或集中举办党务干部培训班</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天</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党建工作专项经费</w:t>
            </w:r>
          </w:p>
        </w:tc>
      </w:tr>
      <w:tr>
        <w:tblPrEx>
          <w:tblCellMar>
            <w:top w:w="0" w:type="dxa"/>
            <w:left w:w="108" w:type="dxa"/>
            <w:bottom w:w="0" w:type="dxa"/>
            <w:right w:w="108" w:type="dxa"/>
          </w:tblCellMar>
        </w:tblPrEx>
        <w:trPr>
          <w:trHeight w:val="1059"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产出指标数量指标北京市棚户区改造和环境整治项目完成清册</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250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册</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北京市棚户区改造和环境整治工作文件资料印刷费</w:t>
            </w:r>
          </w:p>
        </w:tc>
      </w:tr>
      <w:tr>
        <w:tblPrEx>
          <w:tblCellMar>
            <w:top w:w="0" w:type="dxa"/>
            <w:left w:w="108" w:type="dxa"/>
            <w:bottom w:w="0" w:type="dxa"/>
            <w:right w:w="108" w:type="dxa"/>
          </w:tblCellMar>
        </w:tblPrEx>
        <w:trPr>
          <w:trHeight w:val="1009"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产出指标数量指标北京市棚户区改造和环境整治整体工作计划项目册</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1300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册</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北京市棚户区改造和环境整治工作文件资料印刷费</w:t>
            </w:r>
          </w:p>
        </w:tc>
      </w:tr>
      <w:tr>
        <w:tblPrEx>
          <w:tblCellMar>
            <w:top w:w="0" w:type="dxa"/>
            <w:left w:w="108" w:type="dxa"/>
            <w:bottom w:w="0" w:type="dxa"/>
            <w:right w:w="108" w:type="dxa"/>
          </w:tblCellMar>
        </w:tblPrEx>
        <w:trPr>
          <w:trHeight w:val="107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产出指标数量指标北京市棚户区改造和环境整治专项工作计划项目册</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册</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北京市棚户区改造和环境整治工作文件资料印刷费</w:t>
            </w:r>
          </w:p>
        </w:tc>
      </w:tr>
      <w:tr>
        <w:tblPrEx>
          <w:tblCellMar>
            <w:top w:w="0" w:type="dxa"/>
            <w:left w:w="108" w:type="dxa"/>
            <w:bottom w:w="0" w:type="dxa"/>
            <w:right w:w="108" w:type="dxa"/>
          </w:tblCellMar>
        </w:tblPrEx>
        <w:trPr>
          <w:trHeight w:val="1978"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产出指标数量指标通过开展地铁建设运营情况及多种方式联网和一体化设计与施工技术调研，出具出访成果报告数量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份</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地铁建设运营情况及多种方式联网和一体化设计与施工技术调研费 </w:t>
            </w:r>
          </w:p>
        </w:tc>
      </w:tr>
      <w:tr>
        <w:tblPrEx>
          <w:tblCellMar>
            <w:top w:w="0" w:type="dxa"/>
            <w:left w:w="108" w:type="dxa"/>
            <w:bottom w:w="0" w:type="dxa"/>
            <w:right w:w="108" w:type="dxa"/>
          </w:tblCellMar>
        </w:tblPrEx>
        <w:trPr>
          <w:trHeight w:val="9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产出指标数量指标机关运行足额保障率</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财务用友软件运维费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光电转换器及配套线缆购置费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实物资产智能管理系统及配套设备耗材购置费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手摇式移动柜购置费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后勤保障管理经费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OA系统升级改造</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电子文件密级标志管理系统购置费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北京市城市轨道交通建设计划册印刷费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微信公众平台运维费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门户网站运维费</w:t>
            </w:r>
          </w:p>
        </w:tc>
      </w:tr>
      <w:tr>
        <w:tblPrEx>
          <w:tblCellMar>
            <w:top w:w="0" w:type="dxa"/>
            <w:left w:w="108" w:type="dxa"/>
            <w:bottom w:w="0" w:type="dxa"/>
            <w:right w:w="108" w:type="dxa"/>
          </w:tblCellMar>
        </w:tblPrEx>
        <w:trPr>
          <w:trHeight w:val="112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产出指标质量指标保障人员的就餐需求。</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定性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优良中低差</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保障了我办在延庆食堂的正常用餐</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延庆办公区食堂管理费</w:t>
            </w:r>
          </w:p>
        </w:tc>
      </w:tr>
      <w:tr>
        <w:tblPrEx>
          <w:tblCellMar>
            <w:top w:w="0" w:type="dxa"/>
            <w:left w:w="108" w:type="dxa"/>
            <w:bottom w:w="0" w:type="dxa"/>
            <w:right w:w="108" w:type="dxa"/>
          </w:tblCellMar>
        </w:tblPrEx>
        <w:trPr>
          <w:trHeight w:val="714"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产出指标质量指标微信公众平台和门户网站系统可用性</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99.9</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微信公众平台运维费</w:t>
            </w:r>
          </w:p>
        </w:tc>
      </w:tr>
      <w:tr>
        <w:tblPrEx>
          <w:tblCellMar>
            <w:top w:w="0" w:type="dxa"/>
            <w:left w:w="108" w:type="dxa"/>
            <w:bottom w:w="0" w:type="dxa"/>
            <w:right w:w="108" w:type="dxa"/>
          </w:tblCellMar>
        </w:tblPrEx>
        <w:trPr>
          <w:trHeight w:val="78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产出指标质量指标延庆办公区后勤保障程度</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门户网站运维费</w:t>
            </w:r>
          </w:p>
        </w:tc>
      </w:tr>
      <w:tr>
        <w:tblPrEx>
          <w:tblCellMar>
            <w:top w:w="0" w:type="dxa"/>
            <w:left w:w="108" w:type="dxa"/>
            <w:bottom w:w="0" w:type="dxa"/>
            <w:right w:w="108" w:type="dxa"/>
          </w:tblCellMar>
        </w:tblPrEx>
        <w:trPr>
          <w:trHeight w:val="73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产出指标质量指标门户网站运行情况报告数量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个</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13个</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门户网站运维费</w:t>
            </w:r>
          </w:p>
        </w:tc>
      </w:tr>
      <w:tr>
        <w:tblPrEx>
          <w:tblCellMar>
            <w:top w:w="0" w:type="dxa"/>
            <w:left w:w="108" w:type="dxa"/>
            <w:bottom w:w="0" w:type="dxa"/>
            <w:right w:w="108" w:type="dxa"/>
          </w:tblCellMar>
        </w:tblPrEx>
        <w:trPr>
          <w:trHeight w:val="78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产出指标质量指标产生法律纠纷次数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highlight w:val="none"/>
                <w:lang w:eastAsia="zh-CN"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次</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法律顾问咨询工作经费</w:t>
            </w:r>
          </w:p>
        </w:tc>
      </w:tr>
      <w:tr>
        <w:tblPrEx>
          <w:tblCellMar>
            <w:top w:w="0" w:type="dxa"/>
            <w:left w:w="108" w:type="dxa"/>
            <w:bottom w:w="0" w:type="dxa"/>
            <w:right w:w="108" w:type="dxa"/>
          </w:tblCellMar>
        </w:tblPrEx>
        <w:trPr>
          <w:trHeight w:val="1457"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产出指标质量指标符合北京市预算绩效管理、预算编制、绩效评价、内控管理等相关工作要求</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定性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优良中低差</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符合北京市的相关工作要求</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部门预算绩效管理及内控管理工作经费</w:t>
            </w:r>
          </w:p>
        </w:tc>
      </w:tr>
      <w:tr>
        <w:tblPrEx>
          <w:tblCellMar>
            <w:top w:w="0" w:type="dxa"/>
            <w:left w:w="108" w:type="dxa"/>
            <w:bottom w:w="0" w:type="dxa"/>
            <w:right w:w="108" w:type="dxa"/>
          </w:tblCellMar>
        </w:tblPrEx>
        <w:trPr>
          <w:trHeight w:val="64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产出指标质量指标培训参与度</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80</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党建工作专项经费</w:t>
            </w:r>
          </w:p>
        </w:tc>
      </w:tr>
      <w:tr>
        <w:tblPrEx>
          <w:tblCellMar>
            <w:top w:w="0" w:type="dxa"/>
            <w:left w:w="108" w:type="dxa"/>
            <w:bottom w:w="0" w:type="dxa"/>
            <w:right w:w="108" w:type="dxa"/>
          </w:tblCellMar>
        </w:tblPrEx>
        <w:trPr>
          <w:trHeight w:val="106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产出指标质量指标对2022年我市棚户区改造计划管理工作指导的有效性</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定性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优良中低差</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北京市棚户区改造和环境整治工作文件资料印刷费</w:t>
            </w:r>
          </w:p>
        </w:tc>
      </w:tr>
      <w:tr>
        <w:tblPrEx>
          <w:tblCellMar>
            <w:top w:w="0" w:type="dxa"/>
            <w:left w:w="108" w:type="dxa"/>
            <w:bottom w:w="0" w:type="dxa"/>
            <w:right w:w="108" w:type="dxa"/>
          </w:tblCellMar>
        </w:tblPrEx>
        <w:trPr>
          <w:trHeight w:val="1133"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产出指标质量指标对我市轨道交通建设协调管理工作的指导作用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定性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优良中低差</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地铁建设运营情况及多种方式联网和一体化设计与施工技术调研费 </w:t>
            </w:r>
          </w:p>
        </w:tc>
      </w:tr>
      <w:tr>
        <w:tblPrEx>
          <w:tblCellMar>
            <w:top w:w="0" w:type="dxa"/>
            <w:left w:w="108" w:type="dxa"/>
            <w:bottom w:w="0" w:type="dxa"/>
            <w:right w:w="108" w:type="dxa"/>
          </w:tblCellMar>
        </w:tblPrEx>
        <w:trPr>
          <w:trHeight w:val="97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产出指标质量指标对北京市城市轨道交通建设指导的有效性</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定性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优良中低差</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地铁建设运营情况及多种方式联网和一体化设计与施工技术调研费 </w:t>
            </w:r>
          </w:p>
        </w:tc>
      </w:tr>
      <w:tr>
        <w:tblPrEx>
          <w:tblCellMar>
            <w:top w:w="0" w:type="dxa"/>
            <w:left w:w="108" w:type="dxa"/>
            <w:bottom w:w="0" w:type="dxa"/>
            <w:right w:w="108" w:type="dxa"/>
          </w:tblCellMar>
        </w:tblPrEx>
        <w:trPr>
          <w:trHeight w:val="98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产出指标时效指标保障资金安全服务时间2022年1-12月</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12</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月</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按计划完成</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部门预算绩效管理及内控管理工作经费</w:t>
            </w:r>
          </w:p>
        </w:tc>
      </w:tr>
      <w:tr>
        <w:tblPrEx>
          <w:tblCellMar>
            <w:top w:w="0" w:type="dxa"/>
            <w:left w:w="108" w:type="dxa"/>
            <w:bottom w:w="0" w:type="dxa"/>
            <w:right w:w="108" w:type="dxa"/>
          </w:tblCellMar>
        </w:tblPrEx>
        <w:trPr>
          <w:trHeight w:val="1293"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产出指标时效指标2022年1-12月</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12</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月</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按计划完成</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延庆办公区车辆租赁费、财务用友软件运维费</w:t>
            </w:r>
          </w:p>
        </w:tc>
      </w:tr>
      <w:tr>
        <w:tblPrEx>
          <w:tblCellMar>
            <w:top w:w="0" w:type="dxa"/>
            <w:left w:w="108" w:type="dxa"/>
            <w:bottom w:w="0" w:type="dxa"/>
            <w:right w:w="108" w:type="dxa"/>
          </w:tblCellMar>
        </w:tblPrEx>
        <w:trPr>
          <w:trHeight w:val="116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产出指标时效指标2022年1-11月</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11</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月</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按计划完成</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部门预算绩效管理及内控管理工作经费</w:t>
            </w:r>
          </w:p>
        </w:tc>
      </w:tr>
      <w:tr>
        <w:tblPrEx>
          <w:tblCellMar>
            <w:top w:w="0" w:type="dxa"/>
            <w:left w:w="108" w:type="dxa"/>
            <w:bottom w:w="0" w:type="dxa"/>
            <w:right w:w="108" w:type="dxa"/>
          </w:tblCellMar>
        </w:tblPrEx>
        <w:trPr>
          <w:trHeight w:val="173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产出指标时效指标延庆办公区后勤保障月数2022年1—5月</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月</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按计划完成</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延庆办公区办公用房房租</w:t>
            </w:r>
          </w:p>
        </w:tc>
      </w:tr>
      <w:tr>
        <w:tblPrEx>
          <w:tblCellMar>
            <w:top w:w="0" w:type="dxa"/>
            <w:left w:w="108" w:type="dxa"/>
            <w:bottom w:w="0" w:type="dxa"/>
            <w:right w:w="108" w:type="dxa"/>
          </w:tblCellMar>
        </w:tblPrEx>
        <w:trPr>
          <w:trHeight w:val="402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产出指标成本指标延庆办公区后勤保障预算（房租、物业、住宿、用餐、车辆等）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62.552746</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62.552746</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延庆办公区办公用房房租</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延庆办公区住宿用房房租</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延庆办公区办公用房物业管理费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延庆办公区食堂管理费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延庆办公区车辆租赁费</w:t>
            </w:r>
          </w:p>
        </w:tc>
      </w:tr>
      <w:tr>
        <w:tblPrEx>
          <w:tblCellMar>
            <w:top w:w="0" w:type="dxa"/>
            <w:left w:w="108" w:type="dxa"/>
            <w:bottom w:w="0" w:type="dxa"/>
            <w:right w:w="108" w:type="dxa"/>
          </w:tblCellMar>
        </w:tblPrEx>
        <w:trPr>
          <w:trHeight w:val="7117"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产出指标成本指标机关运行保障服务项目预算控制数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271.0138</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271.0138</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财务用友软件运维费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光电转换器及配套线缆购置费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实物资产智能管理系统及配套设备耗材购置费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手摇式移动柜购置费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后勤保障管理经费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OA系统升级改造</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电子文件密级标志管理系统购置费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北京市城市轨道交通建设计划册印刷费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微信公众平台运维费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门户网站运维费</w:t>
            </w:r>
          </w:p>
        </w:tc>
      </w:tr>
      <w:tr>
        <w:tblPrEx>
          <w:tblCellMar>
            <w:top w:w="0" w:type="dxa"/>
            <w:left w:w="108" w:type="dxa"/>
            <w:bottom w:w="0" w:type="dxa"/>
            <w:right w:w="108" w:type="dxa"/>
          </w:tblCellMar>
        </w:tblPrEx>
        <w:trPr>
          <w:trHeight w:val="199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产出指标成本指标协调推进新建及在建地铁轨道交通项目的建设支出</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12.9</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1.1396</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北京市城市轨道交通建设计划册印刷费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地铁建设运营情况及多种方式联网和一体化设计与施工技术调研费 </w:t>
            </w:r>
          </w:p>
        </w:tc>
      </w:tr>
      <w:tr>
        <w:tblPrEx>
          <w:tblCellMar>
            <w:top w:w="0" w:type="dxa"/>
            <w:left w:w="108" w:type="dxa"/>
            <w:bottom w:w="0" w:type="dxa"/>
            <w:right w:w="108" w:type="dxa"/>
          </w:tblCellMar>
        </w:tblPrEx>
        <w:trPr>
          <w:trHeight w:val="1017"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产出指标成本指标党建工作预算总金额</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3.09</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党建工作专项经费</w:t>
            </w:r>
          </w:p>
        </w:tc>
      </w:tr>
      <w:tr>
        <w:tblPrEx>
          <w:tblCellMar>
            <w:top w:w="0" w:type="dxa"/>
            <w:left w:w="108" w:type="dxa"/>
            <w:bottom w:w="0" w:type="dxa"/>
            <w:right w:w="108" w:type="dxa"/>
          </w:tblCellMar>
        </w:tblPrEx>
        <w:trPr>
          <w:trHeight w:val="1076"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产出指标成本指标棚户区专项项目总预算数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2.196</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未开展</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北京市棚户区改造和环境整治工作文件资料印刷费</w:t>
            </w:r>
          </w:p>
        </w:tc>
      </w:tr>
      <w:tr>
        <w:tblPrEx>
          <w:tblCellMar>
            <w:top w:w="0" w:type="dxa"/>
            <w:left w:w="108" w:type="dxa"/>
            <w:bottom w:w="0" w:type="dxa"/>
            <w:right w:w="108" w:type="dxa"/>
          </w:tblCellMar>
        </w:tblPrEx>
        <w:trPr>
          <w:trHeight w:val="1860" w:hRule="atLeast"/>
        </w:trPr>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产出指标成本指标保障财政资金安全服务项目总预算数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30.35</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30.35</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法律顾问咨询工作经费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部门预算绩效及内控管理工作经费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冬奥临时设施项目财务跟踪服务尾款</w:t>
            </w:r>
          </w:p>
        </w:tc>
      </w:tr>
    </w:tbl>
    <w:p>
      <w:pPr>
        <w:adjustRightInd w:val="0"/>
        <w:snapToGrid w:val="0"/>
        <w:spacing w:line="360" w:lineRule="auto"/>
        <w:ind w:firstLine="640" w:firstLineChars="200"/>
        <w:outlineLvl w:val="1"/>
        <w:rPr>
          <w:rFonts w:ascii="楷体_GB2312" w:eastAsia="楷体_GB2312"/>
          <w:sz w:val="32"/>
          <w:szCs w:val="32"/>
        </w:rPr>
      </w:pPr>
      <w:bookmarkStart w:id="26" w:name="_Toc16259"/>
      <w:bookmarkStart w:id="27" w:name="_Toc770"/>
      <w:bookmarkStart w:id="28" w:name="_Toc25864"/>
      <w:r>
        <w:rPr>
          <w:rFonts w:hint="eastAsia" w:ascii="楷体_GB2312" w:eastAsia="楷体_GB2312"/>
          <w:sz w:val="32"/>
          <w:szCs w:val="32"/>
        </w:rPr>
        <w:t>（二）效果实现情况分析</w:t>
      </w:r>
      <w:bookmarkEnd w:id="26"/>
      <w:bookmarkEnd w:id="27"/>
      <w:bookmarkEnd w:id="28"/>
    </w:p>
    <w:p>
      <w:pPr>
        <w:pStyle w:val="2"/>
        <w:adjustRightInd w:val="0"/>
        <w:spacing w:line="360" w:lineRule="auto"/>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rPr>
        <w:t>经济性方面</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2022年，市重大项目办严格按照国务院“政府带头过‘紧日子’”及市财政局厉行节约的要求，严格控制部门预算，保障了资金支出的合理合规性，提高财政资金使用效率，充分发挥财政资金的使用效益。</w:t>
      </w:r>
    </w:p>
    <w:p>
      <w:pPr>
        <w:pStyle w:val="2"/>
        <w:adjustRightIn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社会效益方面及可持续影响方面</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超额完成轨道交通建设任务。我办紧紧围绕年度建设计划和任务目标，坚持问题导向，加强协调调度，着力破解难题。2022年度建设任务圆满实现，2022年度开工任务按期完成，2022年度投资任务超额完成，为首都轨道交通建设“十四五”承上启下发挥了重要支撑作用。</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2）扎实推进在京铁路建设。围绕年度任务目标及投资计划，充分发挥路市双方协同作用，加大协调调度，扎实推进在京铁路建设。</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圆满完成冬奥临时设施建设和赛时保障任务。集全办之力，抽调精兵强将，以“一刻也不能停，一步也不能错、一天也误不起”的昂扬精神，圆满完成临时设施建设和赛时保障任务，被党中央、国务院授予了“北京冬奥会、冬残奥会突出贡献集体”荣誉称号，为今后同类赛事管理、督促、规划落实等方面提供了参考。</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稳步推进工人体育场改造复建工程建设。加强协调调度，科学优化施工组织，全力推进施工进度、手续办理、地铁一体化和市政配套等相关工作，严格按照市政府批复的年度建设计划，实现场馆建设目标，降低场馆建设风险，消除安全隐患，全年未生重大安全质量事故。截止2022年底，所有的场馆和基础设施建设全部建成并完成交付。</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5）按时完成应急项目建设任务。坚决落实市委市政府决策部署，在总指挥隋振江副市长统一指挥下，以最坚决的态度和时不我待的紧迫感，密集调度，全力推进应急项目建设。</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6）按时完成延庆办公区后勤保障工作。通过开展对延庆办公区后勤保障工作，为延庆办公区人员提供了就餐、住宿、办公、通行等后勤服务保障，保证了工作的顺利开展。</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7）有效完成办内的其他工作。</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2022年我办通过委托专业的第三方机构对我办开展部门预算绩效管理及内控管理工作，指导预算编制和监督预算执行，提高部门预算绩效管理水平，发挥财政资金的最大效益；并通过专业的指导和监督，为以后年度预算编制和实施提供依据和标准，逐年规范项目预算管理和绩效。通过进一步完善内控管理，保障了我办经济活动的合理合规性。</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通过委托第三方服务公司对我办门户网站运维，及时发布重大项目建设信息，让社会公众及时了解到项目的进展情况，保障我办的网站正常运行年限≥5年，进一步提升了网站服务形象。</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通过聘请专业法律顾问为我办日常法律事务提供法律咨询服务，保障我办财务支出规范，防范法律风险，提高内控管理水平。</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rPr>
        <w:t>满意度方面</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2022年度，市政府办公厅对我办绩效考评结果为96.33分，其中：日常考核58.70分，综合评价37.63分，考评等级为“优秀”。2022年度，市政府办公厅组织首都之窗和 12345 市民热线，采取网上调查和电话访问的方式，对我办进行了满意度调查，我办的综合满意度为95.46分。</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29" w:name="_Toc5847"/>
      <w:bookmarkStart w:id="30" w:name="_Toc5897"/>
      <w:bookmarkStart w:id="31" w:name="_Toc14654"/>
      <w:r>
        <w:rPr>
          <w:rFonts w:hint="eastAsia" w:ascii="黑体" w:hAnsi="黑体" w:eastAsia="黑体" w:cs="宋体"/>
          <w:color w:val="000000"/>
          <w:kern w:val="0"/>
          <w:sz w:val="32"/>
          <w:szCs w:val="32"/>
        </w:rPr>
        <w:t>四、预算管理情况分析</w:t>
      </w:r>
      <w:bookmarkEnd w:id="29"/>
      <w:bookmarkEnd w:id="30"/>
      <w:bookmarkEnd w:id="31"/>
    </w:p>
    <w:p>
      <w:pPr>
        <w:adjustRightInd w:val="0"/>
        <w:snapToGrid w:val="0"/>
        <w:spacing w:line="360" w:lineRule="auto"/>
        <w:ind w:firstLine="640" w:firstLineChars="200"/>
        <w:outlineLvl w:val="1"/>
        <w:rPr>
          <w:rFonts w:ascii="楷体_GB2312" w:eastAsia="楷体_GB2312"/>
          <w:sz w:val="32"/>
          <w:szCs w:val="32"/>
        </w:rPr>
      </w:pPr>
      <w:bookmarkStart w:id="32" w:name="_Toc3062"/>
      <w:bookmarkStart w:id="33" w:name="_Toc3214"/>
      <w:bookmarkStart w:id="34" w:name="_Toc2559"/>
      <w:r>
        <w:rPr>
          <w:rFonts w:hint="eastAsia" w:ascii="楷体_GB2312" w:eastAsia="楷体_GB2312"/>
          <w:sz w:val="32"/>
          <w:szCs w:val="32"/>
        </w:rPr>
        <w:t>（一）财务管理</w:t>
      </w:r>
      <w:bookmarkEnd w:id="32"/>
      <w:bookmarkEnd w:id="33"/>
      <w:bookmarkEnd w:id="34"/>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pPr>
        <w:adjustRightInd w:val="0"/>
        <w:snapToGrid w:val="0"/>
        <w:spacing w:line="360" w:lineRule="auto"/>
        <w:ind w:firstLine="640" w:firstLineChars="200"/>
      </w:pPr>
      <w:r>
        <w:rPr>
          <w:rFonts w:hint="eastAsia" w:ascii="仿宋_GB2312" w:hAnsi="仿宋_GB2312" w:eastAsia="仿宋_GB2312" w:cs="仿宋_GB2312"/>
          <w:bCs/>
          <w:sz w:val="32"/>
          <w:szCs w:val="32"/>
        </w:rPr>
        <w:t>为进一步提高财务管理能力和水平，我办建立了完善的财务管理制度体系，2022年陆续修订了《市重大项目办政府采购管理办法》、《市重大项目办资金使用管理办法》、《市重大项目办货币资金管理办法》等财务制度，从资金审批、预算管理、会计核算、资产管理、政府采购等方面对财务工作进行了规范监督，保障日常工作有章可循、稳步推进。</w:t>
      </w:r>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资金使用严格遵照国家法律法规和有关管理制度执行，资金拨付审批程序完整规范，资金使用安全合规。聘请专业第三方中介机构进行预算绩效管理全面咨询指导，监控全面、纵深发展，为资金高效安全的使用保驾护航。</w:t>
      </w:r>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pPr>
        <w:adjustRightInd w:val="0"/>
        <w:snapToGrid w:val="0"/>
        <w:spacing w:line="360" w:lineRule="auto"/>
        <w:ind w:firstLine="640" w:firstLineChars="200"/>
      </w:pPr>
      <w:r>
        <w:rPr>
          <w:rFonts w:hint="eastAsia" w:ascii="仿宋_GB2312" w:hAnsi="仿宋_GB2312" w:eastAsia="仿宋_GB2312" w:cs="仿宋_GB2312"/>
          <w:bCs/>
          <w:sz w:val="32"/>
          <w:szCs w:val="32"/>
        </w:rPr>
        <w:t>会计基础数据信息和会计信息资料真实、完整、准确。在会计核算、归档环节，</w:t>
      </w:r>
      <w:r>
        <w:rPr>
          <w:rFonts w:hint="eastAsia" w:ascii="仿宋_GB2312" w:hAnsi="仿宋_GB2312" w:eastAsia="仿宋_GB2312" w:cs="仿宋_GB2312"/>
          <w:b/>
          <w:sz w:val="32"/>
          <w:szCs w:val="32"/>
        </w:rPr>
        <w:t>一是</w:t>
      </w:r>
      <w:r>
        <w:rPr>
          <w:rFonts w:hint="eastAsia" w:ascii="仿宋_GB2312" w:hAnsi="仿宋_GB2312" w:eastAsia="仿宋_GB2312" w:cs="仿宋_GB2312"/>
          <w:bCs/>
          <w:sz w:val="32"/>
          <w:szCs w:val="32"/>
        </w:rPr>
        <w:t>严格审批原始凭证，对内容不全、手续不完备的原始凭证以及未审批完成的支出不予办理支付；</w:t>
      </w:r>
      <w:r>
        <w:rPr>
          <w:rFonts w:hint="eastAsia" w:ascii="仿宋_GB2312" w:hAnsi="仿宋_GB2312" w:eastAsia="仿宋_GB2312" w:cs="仿宋_GB2312"/>
          <w:b/>
          <w:sz w:val="32"/>
          <w:szCs w:val="32"/>
        </w:rPr>
        <w:t>二是</w:t>
      </w:r>
      <w:r>
        <w:rPr>
          <w:rFonts w:hint="eastAsia" w:ascii="仿宋_GB2312" w:hAnsi="仿宋_GB2312" w:eastAsia="仿宋_GB2312" w:cs="仿宋_GB2312"/>
          <w:bCs/>
          <w:sz w:val="32"/>
          <w:szCs w:val="32"/>
        </w:rPr>
        <w:t>严格执行会计法律法规及我办内控制度，确保原始凭证齐全完备，记账会计科目使用规范。</w:t>
      </w:r>
      <w:r>
        <w:rPr>
          <w:rFonts w:hint="eastAsia" w:ascii="仿宋_GB2312" w:hAnsi="仿宋_GB2312" w:eastAsia="仿宋_GB2312" w:cs="仿宋_GB2312"/>
          <w:b/>
          <w:sz w:val="32"/>
          <w:szCs w:val="32"/>
        </w:rPr>
        <w:t>三是</w:t>
      </w:r>
      <w:r>
        <w:rPr>
          <w:rFonts w:hint="eastAsia" w:ascii="仿宋_GB2312" w:hAnsi="仿宋_GB2312" w:eastAsia="仿宋_GB2312" w:cs="仿宋_GB2312"/>
          <w:bCs/>
          <w:sz w:val="32"/>
          <w:szCs w:val="32"/>
        </w:rPr>
        <w:t>按规定完成对会计凭证、会计账簿和其他会计资料整理立卷，装订成册，会计档案得到妥善保管。有效保障了我办2022年部门决算基础数据真实、准确、完整。</w:t>
      </w:r>
    </w:p>
    <w:p>
      <w:pPr>
        <w:adjustRightInd w:val="0"/>
        <w:snapToGrid w:val="0"/>
        <w:spacing w:line="360" w:lineRule="auto"/>
        <w:ind w:firstLine="640" w:firstLineChars="200"/>
        <w:outlineLvl w:val="1"/>
        <w:rPr>
          <w:rFonts w:ascii="楷体_GB2312" w:eastAsia="楷体_GB2312"/>
          <w:sz w:val="32"/>
          <w:szCs w:val="32"/>
        </w:rPr>
      </w:pPr>
      <w:bookmarkStart w:id="35" w:name="_Toc6912"/>
      <w:bookmarkStart w:id="36" w:name="_Toc15224"/>
      <w:bookmarkStart w:id="37" w:name="_Toc23014"/>
      <w:r>
        <w:rPr>
          <w:rFonts w:hint="eastAsia" w:ascii="楷体_GB2312" w:eastAsia="楷体_GB2312"/>
          <w:sz w:val="32"/>
          <w:szCs w:val="32"/>
        </w:rPr>
        <w:t>（二）资产管理</w:t>
      </w:r>
      <w:bookmarkEnd w:id="35"/>
      <w:bookmarkEnd w:id="36"/>
      <w:bookmarkEnd w:id="37"/>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进一步规范固定资产管理，按照“统一管理、分级负责、管用结合、资源共享、合理调配、物尽其用”的原则，我办建立健全了《市重大项目办固定资产管理办法》，由秘书行政处负责对固定资产实施统一管理。</w:t>
      </w:r>
    </w:p>
    <w:p>
      <w:pPr>
        <w:adjustRightInd w:val="0"/>
        <w:snapToGrid w:val="0"/>
        <w:spacing w:line="360" w:lineRule="auto"/>
        <w:ind w:firstLine="640" w:firstLineChars="200"/>
      </w:pPr>
      <w:r>
        <w:rPr>
          <w:rFonts w:hint="eastAsia" w:ascii="仿宋_GB2312" w:hAnsi="仿宋_GB2312" w:eastAsia="仿宋_GB2312" w:cs="仿宋_GB2312"/>
          <w:color w:val="000000"/>
          <w:sz w:val="32"/>
          <w:szCs w:val="32"/>
        </w:rPr>
        <w:t>我办严格按照资产管理制度执行，在固定资产管理方面，明确了固定资产范围、固定资产管理机构和职责等内容，规范和加强了办内固定资产管理，维护了资产的安全和完整，合理配置固定资产，提高了资产使用效益。</w:t>
      </w:r>
    </w:p>
    <w:p>
      <w:pPr>
        <w:adjustRightInd w:val="0"/>
        <w:snapToGrid w:val="0"/>
        <w:spacing w:line="360" w:lineRule="auto"/>
        <w:ind w:firstLine="640" w:firstLineChars="200"/>
        <w:outlineLvl w:val="1"/>
        <w:rPr>
          <w:rFonts w:ascii="楷体_GB2312" w:eastAsia="楷体_GB2312"/>
          <w:sz w:val="32"/>
          <w:szCs w:val="32"/>
        </w:rPr>
      </w:pPr>
      <w:bookmarkStart w:id="38" w:name="_Toc21368"/>
      <w:bookmarkStart w:id="39" w:name="_Toc23521"/>
      <w:bookmarkStart w:id="40" w:name="_Toc19556"/>
      <w:r>
        <w:rPr>
          <w:rFonts w:hint="eastAsia" w:ascii="楷体_GB2312" w:eastAsia="楷体_GB2312"/>
          <w:sz w:val="32"/>
          <w:szCs w:val="32"/>
        </w:rPr>
        <w:t>（三）绩效管理</w:t>
      </w:r>
      <w:bookmarkEnd w:id="38"/>
      <w:bookmarkEnd w:id="39"/>
      <w:bookmarkEnd w:id="40"/>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我办高度重视绩效管理工作，将绩效理念深度融入预算编制、执行和监督全过程，构建事前、事中、事后绩效管理闭环系统，创新预算管理方式，扎实做好各项绩效管理工作。</w:t>
      </w:r>
    </w:p>
    <w:p>
      <w:pPr>
        <w:adjustRightInd w:val="0"/>
        <w:snapToGrid w:val="0"/>
        <w:spacing w:line="360" w:lineRule="auto"/>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1）加强绩效目标管理工作。</w:t>
      </w:r>
      <w:r>
        <w:rPr>
          <w:rFonts w:hint="eastAsia" w:ascii="仿宋_GB2312" w:hAnsi="仿宋_GB2312" w:eastAsia="仿宋_GB2312" w:cs="仿宋_GB2312"/>
          <w:color w:val="000000"/>
          <w:sz w:val="32"/>
          <w:szCs w:val="32"/>
        </w:rPr>
        <w:t>按照市财政局要求，我办完成了22个项目绩效目标申报表的填报工作。</w:t>
      </w:r>
    </w:p>
    <w:p>
      <w:pPr>
        <w:pStyle w:val="21"/>
        <w:adjustRightInd w:val="0"/>
        <w:snapToGrid w:val="0"/>
        <w:spacing w:line="360" w:lineRule="auto"/>
        <w:ind w:firstLine="643"/>
        <w:rPr>
          <w:rFonts w:ascii="Times New Roman" w:hAnsi="Times New Roman" w:eastAsia="仿宋_GB2312"/>
          <w:sz w:val="32"/>
          <w:szCs w:val="32"/>
        </w:rPr>
      </w:pPr>
      <w:r>
        <w:rPr>
          <w:rFonts w:hint="eastAsia" w:ascii="仿宋_GB2312" w:hAnsi="仿宋_GB2312" w:eastAsia="仿宋_GB2312" w:cs="仿宋_GB2312"/>
          <w:b/>
          <w:bCs/>
          <w:color w:val="000000"/>
          <w:sz w:val="32"/>
          <w:szCs w:val="32"/>
        </w:rPr>
        <w:t>2）</w:t>
      </w:r>
      <w:r>
        <w:rPr>
          <w:rFonts w:hint="eastAsia" w:ascii="Times New Roman" w:hAnsi="Times New Roman" w:eastAsia="仿宋_GB2312"/>
          <w:b/>
          <w:bCs/>
          <w:sz w:val="32"/>
          <w:szCs w:val="32"/>
        </w:rPr>
        <w:t>开展项目绩效自评，提高资金使用效率。一是</w:t>
      </w:r>
      <w:r>
        <w:rPr>
          <w:rFonts w:hint="eastAsia" w:ascii="Times New Roman" w:hAnsi="Times New Roman" w:eastAsia="仿宋_GB2312"/>
          <w:sz w:val="32"/>
          <w:szCs w:val="32"/>
        </w:rPr>
        <w:t>对</w:t>
      </w:r>
      <w:r>
        <w:rPr>
          <w:rFonts w:hint="eastAsia" w:ascii="仿宋_GB2312" w:hAnsi="Times New Roman" w:eastAsia="仿宋_GB2312"/>
          <w:sz w:val="32"/>
          <w:szCs w:val="32"/>
        </w:rPr>
        <w:t>2022年所有填报绩效目标的项目进行绩效自评。</w:t>
      </w:r>
      <w:r>
        <w:rPr>
          <w:rFonts w:hint="eastAsia" w:ascii="仿宋_GB2312" w:hAnsi="Times New Roman" w:eastAsia="仿宋_GB2312"/>
          <w:b w:val="0"/>
          <w:bCs w:val="0"/>
          <w:sz w:val="32"/>
          <w:szCs w:val="32"/>
        </w:rPr>
        <w:t>二是</w:t>
      </w:r>
      <w:r>
        <w:rPr>
          <w:rFonts w:hint="eastAsia" w:ascii="仿宋_GB2312" w:hAnsi="Times New Roman" w:eastAsia="仿宋_GB2312"/>
          <w:sz w:val="32"/>
          <w:szCs w:val="32"/>
        </w:rPr>
        <w:t>对重点项目开展部门评价，选取我办2021年一个重点项目开展了部门</w:t>
      </w:r>
      <w:r>
        <w:rPr>
          <w:rFonts w:hint="eastAsia" w:ascii="Times New Roman" w:hAnsi="Times New Roman" w:eastAsia="仿宋_GB2312"/>
          <w:sz w:val="32"/>
          <w:szCs w:val="32"/>
        </w:rPr>
        <w:t>评价，本次评价首次邀请市人大代表参加并全程监督，评价专家和人大代表对我办的预算绩效管理、绩效目标设定等工作给予了充分的肯定，最终取得了“优秀”的好成绩。</w:t>
      </w:r>
    </w:p>
    <w:p>
      <w:pPr>
        <w:pStyle w:val="21"/>
        <w:adjustRightInd w:val="0"/>
        <w:snapToGrid w:val="0"/>
        <w:spacing w:line="360" w:lineRule="auto"/>
        <w:ind w:firstLine="643"/>
        <w:rPr>
          <w:rFonts w:ascii="Times New Roman" w:hAnsi="Times New Roman" w:eastAsia="仿宋_GB2312"/>
          <w:sz w:val="32"/>
          <w:szCs w:val="32"/>
        </w:rPr>
      </w:pPr>
      <w:r>
        <w:rPr>
          <w:rFonts w:hint="eastAsia" w:ascii="仿宋_GB2312" w:hAnsi="仿宋_GB2312" w:eastAsia="仿宋_GB2312" w:cs="仿宋_GB2312"/>
          <w:b/>
          <w:bCs/>
          <w:color w:val="000000"/>
          <w:sz w:val="32"/>
          <w:szCs w:val="32"/>
        </w:rPr>
        <w:t>3）</w:t>
      </w:r>
      <w:r>
        <w:rPr>
          <w:rFonts w:hint="eastAsia" w:ascii="Times New Roman" w:hAnsi="Times New Roman" w:eastAsia="仿宋_GB2312"/>
          <w:b/>
          <w:bCs/>
          <w:sz w:val="32"/>
          <w:szCs w:val="32"/>
        </w:rPr>
        <w:t>完成了对</w:t>
      </w:r>
      <w:r>
        <w:rPr>
          <w:rFonts w:hint="eastAsia" w:ascii="仿宋_GB2312" w:hAnsi="Times New Roman" w:eastAsia="仿宋_GB2312"/>
          <w:b/>
          <w:bCs/>
          <w:sz w:val="32"/>
          <w:szCs w:val="32"/>
        </w:rPr>
        <w:t>2022年度预算项目绩效运行监控工作</w:t>
      </w:r>
      <w:r>
        <w:rPr>
          <w:rFonts w:hint="eastAsia" w:ascii="仿宋_GB2312" w:hAnsi="Times New Roman" w:eastAsia="仿宋_GB2312"/>
          <w:sz w:val="32"/>
          <w:szCs w:val="32"/>
        </w:rPr>
        <w:t>。2022</w:t>
      </w:r>
      <w:r>
        <w:rPr>
          <w:rFonts w:hint="eastAsia" w:ascii="Times New Roman" w:hAnsi="Times New Roman" w:eastAsia="仿宋_GB2312"/>
          <w:sz w:val="32"/>
          <w:szCs w:val="32"/>
        </w:rPr>
        <w:t>年中，对我办所有</w:t>
      </w:r>
      <w:r>
        <w:rPr>
          <w:rFonts w:hint="eastAsia" w:ascii="仿宋_GB2312" w:hAnsi="Times New Roman" w:eastAsia="仿宋_GB2312"/>
          <w:sz w:val="32"/>
          <w:szCs w:val="32"/>
        </w:rPr>
        <w:t>22</w:t>
      </w:r>
      <w:r>
        <w:rPr>
          <w:rFonts w:hint="eastAsia" w:ascii="Times New Roman" w:hAnsi="Times New Roman" w:eastAsia="仿宋_GB2312"/>
          <w:sz w:val="32"/>
          <w:szCs w:val="32"/>
        </w:rPr>
        <w:t>个预算项目的预算执行和绩效目标实现程度开展绩效运行监控分析，对偏离年初绩效目标的项目及时纠偏；对不再执行的项目净结余及时上交财政。通过对预算项目的绩效运行监控，提升了我办各处的支出责任和效率意识。</w:t>
      </w:r>
    </w:p>
    <w:p>
      <w:pPr>
        <w:pStyle w:val="21"/>
        <w:adjustRightInd w:val="0"/>
        <w:snapToGrid w:val="0"/>
        <w:spacing w:line="360" w:lineRule="auto"/>
        <w:ind w:firstLine="643"/>
        <w:rPr>
          <w:rFonts w:hint="eastAsia" w:ascii="仿宋_GB2312" w:hAnsi="Times New Roman" w:eastAsia="仿宋_GB2312"/>
          <w:sz w:val="32"/>
          <w:szCs w:val="32"/>
        </w:rPr>
      </w:pPr>
      <w:r>
        <w:rPr>
          <w:rFonts w:hint="eastAsia" w:ascii="仿宋_GB2312" w:hAnsi="仿宋_GB2312" w:eastAsia="仿宋_GB2312" w:cs="仿宋_GB2312"/>
          <w:b/>
          <w:bCs/>
          <w:color w:val="000000"/>
          <w:sz w:val="32"/>
          <w:szCs w:val="32"/>
        </w:rPr>
        <w:t>4）</w:t>
      </w:r>
      <w:r>
        <w:rPr>
          <w:rFonts w:hint="eastAsia" w:ascii="Times New Roman" w:hAnsi="Times New Roman" w:eastAsia="仿宋_GB2312"/>
          <w:b/>
          <w:bCs/>
          <w:sz w:val="32"/>
          <w:szCs w:val="32"/>
        </w:rPr>
        <w:t>完成了三年延续性项目的成本绩效分析工作。</w:t>
      </w:r>
      <w:r>
        <w:rPr>
          <w:rFonts w:hint="eastAsia" w:ascii="仿宋_GB2312" w:hAnsi="Times New Roman" w:eastAsia="仿宋_GB2312"/>
          <w:sz w:val="32"/>
          <w:szCs w:val="32"/>
        </w:rPr>
        <w:t>2022年，对我办延续性项目“门户网站运维费”进行了为期三年的成本预算绩效分析。针对该项目2019年至2021年三年的成本投入与效益产出进行了客观分析，得出该项目工作经费的预算定额标准。在原有工作量不变的前提下，该项目所需的预算资金相比上年下降了近1/3，大大削减了低效无效支出，达到了财政降本增效的资金管理要求，同时，新的定额标准已经运用在我办2023年度的预算编报中。</w:t>
      </w:r>
    </w:p>
    <w:p>
      <w:pPr>
        <w:adjustRightInd w:val="0"/>
        <w:snapToGrid w:val="0"/>
        <w:spacing w:line="360" w:lineRule="auto"/>
        <w:ind w:firstLine="640" w:firstLineChars="200"/>
        <w:outlineLvl w:val="1"/>
        <w:rPr>
          <w:rFonts w:ascii="楷体_GB2312" w:eastAsia="楷体_GB2312"/>
          <w:sz w:val="32"/>
          <w:szCs w:val="32"/>
        </w:rPr>
      </w:pPr>
      <w:bookmarkStart w:id="41" w:name="_Toc1151"/>
      <w:bookmarkStart w:id="42" w:name="_Toc24172"/>
      <w:bookmarkStart w:id="43" w:name="_Toc30894"/>
      <w:r>
        <w:rPr>
          <w:rFonts w:hint="eastAsia" w:ascii="楷体_GB2312" w:eastAsia="楷体_GB2312"/>
          <w:sz w:val="32"/>
          <w:szCs w:val="32"/>
        </w:rPr>
        <w:t>（四）结转结余率</w:t>
      </w:r>
      <w:bookmarkEnd w:id="41"/>
      <w:bookmarkEnd w:id="42"/>
      <w:bookmarkEnd w:id="43"/>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截至2022年12月31日，部门预算结余资金7,157.25万元，具体为：基本经费结余资金88.00万元、项目经费结余资金7,069.25万元，结转结余率为38.02%，主要原因是2022年12月，我办接到应急方舱医院建设任务，于12月30日收到市财政局拨付的方舱医院建设资金7,040.00万元，当年无法形成支出，造成结余大幅增加。我办将进一步强化资金统筹能力，降低资金结转结余比率。</w:t>
      </w:r>
    </w:p>
    <w:p>
      <w:pPr>
        <w:adjustRightInd w:val="0"/>
        <w:snapToGrid w:val="0"/>
        <w:spacing w:line="360" w:lineRule="auto"/>
        <w:ind w:firstLine="640" w:firstLineChars="200"/>
        <w:outlineLvl w:val="1"/>
        <w:rPr>
          <w:rFonts w:ascii="楷体_GB2312" w:eastAsia="楷体_GB2312"/>
          <w:sz w:val="32"/>
          <w:szCs w:val="32"/>
        </w:rPr>
      </w:pPr>
      <w:bookmarkStart w:id="44" w:name="_Toc13329"/>
      <w:bookmarkStart w:id="45" w:name="_Toc24178"/>
      <w:bookmarkStart w:id="46" w:name="_Toc16675"/>
      <w:r>
        <w:rPr>
          <w:rFonts w:hint="eastAsia" w:ascii="楷体_GB2312" w:eastAsia="楷体_GB2312"/>
          <w:sz w:val="32"/>
          <w:szCs w:val="32"/>
        </w:rPr>
        <w:t>（五）部门预决算差异率</w:t>
      </w:r>
      <w:bookmarkEnd w:id="44"/>
      <w:bookmarkEnd w:id="45"/>
      <w:bookmarkEnd w:id="46"/>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市财政局批复我办2022年年初预算资金3,987.50元，年末收入决算资金18</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826.35万元，部门预算决算差异率为372.13%，差异率较大的主要原因为：</w:t>
      </w:r>
      <w:r>
        <w:rPr>
          <w:rFonts w:hint="eastAsia" w:ascii="仿宋_GB2312" w:hAnsi="仿宋_GB2312" w:eastAsia="仿宋_GB2312" w:cs="仿宋_GB2312"/>
          <w:color w:val="000000"/>
          <w:sz w:val="32"/>
          <w:szCs w:val="32"/>
          <w:lang w:val="en-US" w:eastAsia="zh-CN"/>
        </w:rPr>
        <w:t>一是</w:t>
      </w:r>
      <w:r>
        <w:rPr>
          <w:rFonts w:hint="eastAsia" w:ascii="仿宋_GB2312" w:hAnsi="仿宋_GB2312" w:eastAsia="仿宋_GB2312" w:cs="仿宋_GB2312"/>
          <w:color w:val="000000"/>
          <w:sz w:val="32"/>
          <w:szCs w:val="32"/>
        </w:rPr>
        <w:t>我办</w:t>
      </w:r>
      <w:r>
        <w:rPr>
          <w:rFonts w:hint="eastAsia" w:ascii="仿宋_GB2312" w:hAnsi="仿宋_GB2312" w:eastAsia="仿宋_GB2312" w:cs="仿宋_GB2312"/>
          <w:color w:val="000000"/>
          <w:sz w:val="32"/>
          <w:szCs w:val="32"/>
          <w:lang w:val="en-US" w:eastAsia="zh-CN"/>
        </w:rPr>
        <w:t>在</w:t>
      </w:r>
      <w:r>
        <w:rPr>
          <w:rFonts w:hint="eastAsia" w:ascii="仿宋_GB2312" w:hAnsi="仿宋_GB2312" w:eastAsia="仿宋_GB2312" w:cs="仿宋_GB2312"/>
          <w:color w:val="000000"/>
          <w:sz w:val="32"/>
          <w:szCs w:val="32"/>
        </w:rPr>
        <w:t>2022年年底新接收的应急方舱医院建设任务，于12月30日收到市财政局拨付的方舱医院建设资金7,040.00万元</w:t>
      </w:r>
      <w:r>
        <w:rPr>
          <w:rFonts w:hint="eastAsia" w:ascii="仿宋_GB2312" w:hAnsi="仿宋_GB2312" w:eastAsia="仿宋_GB2312" w:cs="仿宋_GB2312"/>
          <w:color w:val="000000"/>
          <w:sz w:val="32"/>
          <w:szCs w:val="32"/>
          <w:lang w:val="en-US" w:eastAsia="zh-CN"/>
        </w:rPr>
        <w:t>。二是我办在2022年年中收到冬奥组委追加拨付的临时设施建设专项资金7,795.00万元，用于冬奥临设设施建设</w:t>
      </w:r>
      <w:r>
        <w:rPr>
          <w:rFonts w:hint="eastAsia" w:ascii="仿宋_GB2312" w:hAnsi="仿宋_GB2312" w:eastAsia="仿宋_GB2312" w:cs="仿宋_GB2312"/>
          <w:color w:val="000000"/>
          <w:sz w:val="32"/>
          <w:szCs w:val="32"/>
        </w:rPr>
        <w:t>。</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47" w:name="_Toc22774"/>
      <w:bookmarkStart w:id="48" w:name="_Toc19311"/>
      <w:bookmarkStart w:id="49" w:name="_Toc10117"/>
      <w:r>
        <w:rPr>
          <w:rFonts w:hint="eastAsia" w:ascii="黑体" w:hAnsi="黑体" w:eastAsia="黑体" w:cs="宋体"/>
          <w:color w:val="000000"/>
          <w:kern w:val="0"/>
          <w:sz w:val="32"/>
          <w:szCs w:val="32"/>
        </w:rPr>
        <w:t>五、总体评价结论</w:t>
      </w:r>
      <w:bookmarkEnd w:id="47"/>
      <w:bookmarkEnd w:id="48"/>
      <w:bookmarkEnd w:id="49"/>
    </w:p>
    <w:p>
      <w:pPr>
        <w:adjustRightInd w:val="0"/>
        <w:snapToGrid w:val="0"/>
        <w:spacing w:line="360" w:lineRule="auto"/>
        <w:ind w:firstLine="640" w:firstLineChars="200"/>
        <w:outlineLvl w:val="1"/>
        <w:rPr>
          <w:rFonts w:ascii="楷体_GB2312" w:eastAsia="楷体_GB2312"/>
          <w:sz w:val="32"/>
          <w:szCs w:val="32"/>
        </w:rPr>
      </w:pPr>
      <w:bookmarkStart w:id="50" w:name="_Toc12679"/>
      <w:bookmarkStart w:id="51" w:name="_Toc20232"/>
      <w:bookmarkStart w:id="52" w:name="_Toc2909"/>
      <w:r>
        <w:rPr>
          <w:rFonts w:hint="eastAsia" w:ascii="楷体_GB2312" w:eastAsia="楷体_GB2312"/>
          <w:sz w:val="32"/>
          <w:szCs w:val="32"/>
        </w:rPr>
        <w:t>（一）评价得分情况</w:t>
      </w:r>
      <w:bookmarkEnd w:id="50"/>
      <w:bookmarkEnd w:id="51"/>
      <w:bookmarkEnd w:id="52"/>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highlight w:val="none"/>
        </w:rPr>
        <w:t>本次部门整体绩效评价通过全面、客观的分析，最终得分为</w:t>
      </w:r>
      <w:r>
        <w:rPr>
          <w:rFonts w:hint="eastAsia" w:ascii="仿宋_GB2312" w:hAnsi="仿宋_GB2312" w:eastAsia="仿宋_GB2312" w:cs="仿宋_GB2312"/>
          <w:color w:val="000000"/>
          <w:sz w:val="32"/>
          <w:szCs w:val="32"/>
          <w:highlight w:val="none"/>
          <w:lang w:val="en-US" w:eastAsia="zh-CN"/>
        </w:rPr>
        <w:t>93.85</w:t>
      </w:r>
      <w:r>
        <w:rPr>
          <w:rFonts w:hint="eastAsia" w:ascii="仿宋_GB2312" w:hAnsi="仿宋_GB2312" w:eastAsia="仿宋_GB2312" w:cs="仿宋_GB2312"/>
          <w:color w:val="000000"/>
          <w:sz w:val="32"/>
          <w:szCs w:val="32"/>
          <w:highlight w:val="none"/>
        </w:rPr>
        <w:t>分，综合评价等级为“</w:t>
      </w:r>
      <w:r>
        <w:rPr>
          <w:rFonts w:hint="eastAsia" w:ascii="仿宋_GB2312" w:hAnsi="仿宋_GB2312" w:eastAsia="仿宋_GB2312" w:cs="仿宋_GB2312"/>
          <w:color w:val="000000"/>
          <w:sz w:val="32"/>
          <w:szCs w:val="32"/>
          <w:highlight w:val="none"/>
          <w:lang w:val="en-US" w:eastAsia="zh-CN"/>
        </w:rPr>
        <w:t>优</w:t>
      </w:r>
      <w:r>
        <w:rPr>
          <w:rFonts w:hint="eastAsia" w:ascii="仿宋_GB2312" w:hAnsi="仿宋_GB2312" w:eastAsia="仿宋_GB2312" w:cs="仿宋_GB2312"/>
          <w:color w:val="000000"/>
          <w:sz w:val="32"/>
          <w:szCs w:val="32"/>
          <w:highlight w:val="none"/>
        </w:rPr>
        <w:t>”。其中：当年预算执行情况</w:t>
      </w:r>
      <w:r>
        <w:rPr>
          <w:rFonts w:hint="eastAsia" w:ascii="仿宋_GB2312" w:hAnsi="仿宋_GB2312" w:eastAsia="仿宋_GB2312" w:cs="仿宋_GB2312"/>
          <w:color w:val="000000"/>
          <w:sz w:val="32"/>
          <w:szCs w:val="32"/>
          <w:highlight w:val="none"/>
          <w:lang w:eastAsia="zh-CN"/>
        </w:rPr>
        <w:t>1</w:t>
      </w:r>
      <w:r>
        <w:rPr>
          <w:rFonts w:hint="eastAsia" w:ascii="仿宋_GB2312" w:hAnsi="仿宋_GB2312" w:eastAsia="仿宋_GB2312" w:cs="仿宋_GB2312"/>
          <w:color w:val="000000"/>
          <w:sz w:val="32"/>
          <w:szCs w:val="32"/>
          <w:highlight w:val="none"/>
          <w:lang w:val="en-US" w:eastAsia="zh-CN"/>
        </w:rPr>
        <w:t>9.80</w:t>
      </w:r>
      <w:r>
        <w:rPr>
          <w:rFonts w:ascii="仿宋_GB2312" w:hAnsi="仿宋_GB2312" w:eastAsia="仿宋_GB2312" w:cs="仿宋_GB2312"/>
          <w:color w:val="000000"/>
          <w:sz w:val="32"/>
          <w:szCs w:val="32"/>
          <w:highlight w:val="none"/>
        </w:rPr>
        <w:t>分，整体绩效目标实</w:t>
      </w:r>
      <w:r>
        <w:rPr>
          <w:rFonts w:hint="eastAsia" w:ascii="仿宋_GB2312" w:hAnsi="仿宋_GB2312" w:eastAsia="仿宋_GB2312" w:cs="仿宋_GB2312"/>
          <w:color w:val="000000"/>
          <w:sz w:val="32"/>
          <w:szCs w:val="32"/>
          <w:highlight w:val="none"/>
        </w:rPr>
        <w:t>现</w:t>
      </w:r>
      <w:r>
        <w:rPr>
          <w:rFonts w:ascii="仿宋_GB2312" w:hAnsi="仿宋_GB2312" w:eastAsia="仿宋_GB2312" w:cs="仿宋_GB2312"/>
          <w:color w:val="000000"/>
          <w:sz w:val="32"/>
          <w:szCs w:val="32"/>
          <w:highlight w:val="none"/>
        </w:rPr>
        <w:t>情况</w:t>
      </w:r>
      <w:r>
        <w:rPr>
          <w:rFonts w:hint="eastAsia" w:ascii="仿宋_GB2312" w:hAnsi="仿宋_GB2312" w:eastAsia="仿宋_GB2312" w:cs="仿宋_GB2312"/>
          <w:color w:val="000000"/>
          <w:sz w:val="32"/>
          <w:szCs w:val="32"/>
          <w:highlight w:val="none"/>
        </w:rPr>
        <w:t>58.25分，预算管理情况</w:t>
      </w:r>
      <w:r>
        <w:rPr>
          <w:rFonts w:ascii="仿宋_GB2312" w:hAnsi="仿宋_GB2312" w:eastAsia="仿宋_GB2312" w:cs="仿宋_GB2312"/>
          <w:color w:val="000000"/>
          <w:sz w:val="32"/>
          <w:szCs w:val="32"/>
          <w:highlight w:val="none"/>
        </w:rPr>
        <w:t>1</w:t>
      </w:r>
      <w:r>
        <w:rPr>
          <w:rFonts w:hint="eastAsia" w:ascii="仿宋_GB2312" w:hAnsi="仿宋_GB2312" w:eastAsia="仿宋_GB2312" w:cs="仿宋_GB2312"/>
          <w:color w:val="000000"/>
          <w:sz w:val="32"/>
          <w:szCs w:val="32"/>
          <w:highlight w:val="none"/>
        </w:rPr>
        <w:t>5.8</w:t>
      </w:r>
      <w:r>
        <w:rPr>
          <w:rFonts w:ascii="仿宋_GB2312" w:hAnsi="仿宋_GB2312" w:eastAsia="仿宋_GB2312" w:cs="仿宋_GB2312"/>
          <w:color w:val="000000"/>
          <w:sz w:val="32"/>
          <w:szCs w:val="32"/>
          <w:highlight w:val="none"/>
        </w:rPr>
        <w:t>0分，</w:t>
      </w:r>
      <w:r>
        <w:rPr>
          <w:rFonts w:hint="eastAsia" w:ascii="仿宋_GB2312" w:hAnsi="仿宋_GB2312" w:eastAsia="仿宋_GB2312" w:cs="仿宋_GB2312"/>
          <w:color w:val="000000"/>
          <w:sz w:val="32"/>
          <w:szCs w:val="32"/>
          <w:highlight w:val="none"/>
        </w:rPr>
        <w:t>具体评分见《北京市重大项目建设指挥部办公室2022年部门整体绩效评价指标体系评分表》</w:t>
      </w:r>
      <w:r>
        <w:rPr>
          <w:rFonts w:hint="eastAsia" w:ascii="仿宋_GB2312" w:hAnsi="仿宋_GB2312" w:eastAsia="仿宋_GB2312" w:cs="仿宋_GB2312"/>
          <w:color w:val="000000"/>
          <w:sz w:val="32"/>
          <w:szCs w:val="32"/>
        </w:rPr>
        <w:t>。</w:t>
      </w:r>
    </w:p>
    <w:p>
      <w:pPr>
        <w:adjustRightInd w:val="0"/>
        <w:snapToGrid w:val="0"/>
        <w:spacing w:line="360" w:lineRule="auto"/>
        <w:ind w:firstLine="640" w:firstLineChars="200"/>
        <w:outlineLvl w:val="1"/>
        <w:rPr>
          <w:rFonts w:ascii="楷体_GB2312" w:eastAsia="楷体_GB2312"/>
          <w:sz w:val="32"/>
          <w:szCs w:val="32"/>
        </w:rPr>
      </w:pPr>
      <w:bookmarkStart w:id="53" w:name="_Toc5931"/>
      <w:bookmarkStart w:id="54" w:name="_Toc13374"/>
      <w:bookmarkStart w:id="55" w:name="_Toc26597"/>
      <w:r>
        <w:rPr>
          <w:rFonts w:hint="eastAsia" w:ascii="楷体_GB2312" w:eastAsia="楷体_GB2312"/>
          <w:sz w:val="32"/>
          <w:szCs w:val="32"/>
        </w:rPr>
        <w:t>（二）存在的问题及原因分析</w:t>
      </w:r>
      <w:bookmarkEnd w:id="53"/>
      <w:bookmarkEnd w:id="54"/>
      <w:bookmarkEnd w:id="55"/>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1.个别项目绩效目标设置的科学、合理性有待提高。如：“门户网站运维费”项目绩效目标表部分指标及指标值设置有待改进。</w:t>
      </w:r>
    </w:p>
    <w:p>
      <w:pPr>
        <w:adjustRightInd w:val="0"/>
        <w:snapToGrid w:val="0"/>
        <w:spacing w:line="360" w:lineRule="auto"/>
        <w:ind w:firstLine="640" w:firstLineChars="20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2.个别项目未按照</w:t>
      </w:r>
      <w:r>
        <w:rPr>
          <w:rFonts w:hint="eastAsia" w:ascii="仿宋_GB2312" w:hAnsi="仿宋_GB2312" w:eastAsia="仿宋_GB2312" w:cs="仿宋_GB2312"/>
          <w:color w:val="000000"/>
          <w:sz w:val="32"/>
          <w:szCs w:val="32"/>
          <w:highlight w:val="none"/>
          <w:lang w:val="en-US" w:eastAsia="zh-CN"/>
        </w:rPr>
        <w:t>部门整体</w:t>
      </w:r>
      <w:r>
        <w:rPr>
          <w:rFonts w:hint="eastAsia" w:ascii="仿宋_GB2312" w:hAnsi="仿宋_GB2312" w:eastAsia="仿宋_GB2312" w:cs="仿宋_GB2312"/>
          <w:color w:val="000000"/>
          <w:sz w:val="32"/>
          <w:szCs w:val="32"/>
          <w:highlight w:val="none"/>
        </w:rPr>
        <w:t>年初绩效目标</w:t>
      </w:r>
      <w:r>
        <w:rPr>
          <w:rFonts w:hint="eastAsia" w:ascii="仿宋_GB2312" w:hAnsi="仿宋_GB2312" w:eastAsia="仿宋_GB2312" w:cs="仿宋_GB2312"/>
          <w:color w:val="000000"/>
          <w:sz w:val="32"/>
          <w:szCs w:val="32"/>
          <w:highlight w:val="none"/>
          <w:lang w:val="en-US" w:eastAsia="zh-CN"/>
        </w:rPr>
        <w:t>内容开展</w:t>
      </w:r>
      <w:r>
        <w:rPr>
          <w:rFonts w:hint="eastAsia" w:ascii="仿宋_GB2312" w:hAnsi="仿宋_GB2312" w:eastAsia="仿宋_GB2312" w:cs="仿宋_GB2312"/>
          <w:color w:val="000000"/>
          <w:sz w:val="32"/>
          <w:szCs w:val="32"/>
          <w:highlight w:val="none"/>
        </w:rPr>
        <w:t>。如</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b/>
          <w:bCs/>
          <w:color w:val="000000"/>
          <w:sz w:val="32"/>
          <w:szCs w:val="32"/>
          <w:highlight w:val="none"/>
          <w:lang w:val="en-US" w:eastAsia="zh-CN"/>
        </w:rPr>
        <w:t>一是</w:t>
      </w:r>
      <w:r>
        <w:rPr>
          <w:rFonts w:hint="eastAsia" w:ascii="仿宋_GB2312" w:hAnsi="仿宋_GB2312" w:eastAsia="仿宋_GB2312" w:cs="仿宋_GB2312"/>
          <w:color w:val="000000"/>
          <w:sz w:val="32"/>
          <w:szCs w:val="32"/>
          <w:highlight w:val="none"/>
          <w:lang w:val="en-US" w:eastAsia="zh-CN"/>
        </w:rPr>
        <w:t>受疫情影响</w:t>
      </w:r>
      <w:r>
        <w:rPr>
          <w:rFonts w:hint="eastAsia" w:ascii="仿宋_GB2312" w:hAnsi="仿宋_GB2312" w:eastAsia="仿宋_GB2312" w:cs="仿宋_GB2312"/>
          <w:color w:val="000000"/>
          <w:sz w:val="32"/>
          <w:szCs w:val="32"/>
          <w:highlight w:val="none"/>
          <w:lang w:eastAsia="zh-CN"/>
        </w:rPr>
        <w:t>“党建工作专项经费”</w:t>
      </w:r>
      <w:r>
        <w:rPr>
          <w:rFonts w:hint="eastAsia" w:ascii="仿宋_GB2312" w:hAnsi="仿宋_GB2312" w:eastAsia="仿宋_GB2312" w:cs="仿宋_GB2312"/>
          <w:color w:val="000000"/>
          <w:sz w:val="32"/>
          <w:szCs w:val="32"/>
          <w:highlight w:val="none"/>
          <w:lang w:val="en-US" w:eastAsia="zh-CN"/>
        </w:rPr>
        <w:t>项目和“地铁建设运营情况及多种方式联网和一体化设计与施工技术调研费”项目未开展，</w:t>
      </w:r>
      <w:r>
        <w:rPr>
          <w:rFonts w:hint="eastAsia" w:ascii="仿宋_GB2312" w:hAnsi="仿宋_GB2312" w:eastAsia="仿宋_GB2312" w:cs="仿宋_GB2312"/>
          <w:b/>
          <w:bCs/>
          <w:color w:val="000000"/>
          <w:sz w:val="32"/>
          <w:szCs w:val="32"/>
          <w:highlight w:val="none"/>
          <w:lang w:val="en-US" w:eastAsia="zh-CN"/>
        </w:rPr>
        <w:t>二是</w:t>
      </w:r>
      <w:r>
        <w:rPr>
          <w:rFonts w:hint="eastAsia" w:ascii="仿宋_GB2312" w:hAnsi="仿宋_GB2312" w:eastAsia="仿宋_GB2312" w:cs="仿宋_GB2312"/>
          <w:color w:val="000000"/>
          <w:sz w:val="32"/>
          <w:szCs w:val="32"/>
          <w:highlight w:val="none"/>
          <w:lang w:val="en-US" w:eastAsia="zh-CN"/>
        </w:rPr>
        <w:t>由于棚改职能已划转至市住建委原因，“北京市棚户区改造和环境整治工作文件资料印刷费”项目不再开展，导致年初部门整体绩效目标相应内容未完成</w:t>
      </w:r>
      <w:r>
        <w:rPr>
          <w:rFonts w:hint="eastAsia" w:ascii="仿宋_GB2312" w:hAnsi="仿宋_GB2312" w:eastAsia="仿宋_GB2312" w:cs="仿宋_GB2312"/>
          <w:color w:val="000000"/>
          <w:sz w:val="32"/>
          <w:szCs w:val="32"/>
          <w:highlight w:val="none"/>
        </w:rPr>
        <w:t>。</w:t>
      </w:r>
    </w:p>
    <w:p>
      <w:pPr>
        <w:adjustRightInd w:val="0"/>
        <w:snapToGrid w:val="0"/>
        <w:spacing w:line="360" w:lineRule="auto"/>
        <w:ind w:firstLine="640" w:firstLineChars="200"/>
      </w:pPr>
      <w:r>
        <w:rPr>
          <w:rFonts w:hint="eastAsia" w:ascii="仿宋_GB2312" w:hAnsi="仿宋_GB2312" w:eastAsia="仿宋_GB2312" w:cs="仿宋_GB2312"/>
          <w:color w:val="000000"/>
          <w:sz w:val="32"/>
          <w:szCs w:val="32"/>
        </w:rPr>
        <w:t>3.预算执行率较低。2022年12月，我办接到应急方舱医院建设任务，于12月30日收到市财政局拨付的方舱医院建设资金7,040.00万元，当年无法形成支出，造成结余大幅增加，导致预算执行率较低。</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w:t>
      </w:r>
      <w:r>
        <w:rPr>
          <w:rFonts w:ascii="仿宋_GB2312" w:hAnsi="仿宋_GB2312" w:eastAsia="仿宋_GB2312" w:cs="仿宋_GB2312"/>
          <w:color w:val="000000"/>
          <w:sz w:val="32"/>
          <w:szCs w:val="32"/>
        </w:rPr>
        <w:t>.绩效</w:t>
      </w:r>
      <w:r>
        <w:rPr>
          <w:rFonts w:hint="eastAsia" w:ascii="仿宋_GB2312" w:hAnsi="仿宋_GB2312" w:eastAsia="仿宋_GB2312" w:cs="仿宋_GB2312"/>
          <w:color w:val="000000"/>
          <w:sz w:val="32"/>
          <w:szCs w:val="32"/>
        </w:rPr>
        <w:t>目标效益实现情况资料的归集、分析工作有待提高。如“门户网站运维费”项目提供的巡检资料完整性不足</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绩效资料的完整性、有效性有待进一步提高。</w:t>
      </w:r>
      <w:bookmarkStart w:id="59" w:name="_GoBack"/>
      <w:bookmarkEnd w:id="59"/>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56" w:name="_Toc25609"/>
      <w:bookmarkStart w:id="57" w:name="_Toc1422"/>
      <w:bookmarkStart w:id="58" w:name="_Toc14321"/>
      <w:r>
        <w:rPr>
          <w:rFonts w:hint="eastAsia" w:ascii="黑体" w:hAnsi="黑体" w:eastAsia="黑体" w:cs="宋体"/>
          <w:color w:val="000000"/>
          <w:kern w:val="0"/>
          <w:sz w:val="32"/>
          <w:szCs w:val="32"/>
        </w:rPr>
        <w:t>六、措施建议</w:t>
      </w:r>
      <w:bookmarkEnd w:id="56"/>
      <w:bookmarkEnd w:id="57"/>
      <w:bookmarkEnd w:id="58"/>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1.科学设置绩效目标。严格按照北京市预算绩效管理的要求，科学、合理编制绩效目标，按照具体工作内容细化绩效指标和量化指标值。</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2.提高预算绩效管理意识，加强项目绩效管理，确保项目预期计划按期完成。项目执行过程中，确因客观原因需调整项目内容，应严格履行项目调整审批手续，在预算调整同时加强绩效目标调整。</w:t>
      </w:r>
    </w:p>
    <w:p>
      <w:pPr>
        <w:adjustRightInd w:val="0"/>
        <w:snapToGrid w:val="0"/>
        <w:spacing w:line="360" w:lineRule="auto"/>
        <w:ind w:firstLine="640" w:firstLineChars="200"/>
        <w:rPr>
          <w:rFonts w:ascii="仿宋_GB2312" w:hAnsi="仿宋_GB2312" w:eastAsia="仿宋_GB2312" w:cs="仿宋_GB2312"/>
          <w:color w:val="000000"/>
          <w:sz w:val="32"/>
          <w:szCs w:val="32"/>
          <w:lang w:eastAsia="zh-Hans"/>
        </w:rPr>
      </w:pPr>
      <w:r>
        <w:rPr>
          <w:rFonts w:hint="eastAsia" w:ascii="仿宋_GB2312" w:hAnsi="仿宋_GB2312" w:eastAsia="仿宋_GB2312" w:cs="仿宋_GB2312"/>
          <w:color w:val="000000"/>
          <w:sz w:val="32"/>
          <w:szCs w:val="32"/>
        </w:rPr>
        <w:t>3.进一步强化资金统筹能力，降低资金结转结余比率，提升预算执行率。</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4.加强</w:t>
      </w:r>
      <w:r>
        <w:rPr>
          <w:rFonts w:hint="eastAsia" w:ascii="仿宋_GB2312" w:hAnsi="仿宋_GB2312" w:eastAsia="仿宋_GB2312" w:cs="仿宋_GB2312"/>
          <w:color w:val="000000"/>
          <w:sz w:val="32"/>
          <w:szCs w:val="32"/>
        </w:rPr>
        <w:t>绩效目标实现情况资料的归集。</w:t>
      </w:r>
      <w:r>
        <w:rPr>
          <w:rFonts w:hint="eastAsia" w:ascii="仿宋_GB2312" w:hAnsi="仿宋_GB2312" w:eastAsia="仿宋_GB2312" w:cs="仿宋_GB2312"/>
          <w:sz w:val="32"/>
          <w:szCs w:val="32"/>
        </w:rPr>
        <w:t>及时归集、汇总相关绩效</w:t>
      </w:r>
      <w:r>
        <w:rPr>
          <w:rFonts w:hint="eastAsia" w:ascii="仿宋_GB2312" w:hAnsi="仿宋_GB2312" w:eastAsia="仿宋_GB2312" w:cs="仿宋_GB2312"/>
          <w:color w:val="000000"/>
          <w:sz w:val="32"/>
          <w:szCs w:val="32"/>
        </w:rPr>
        <w:t>目标实现情况</w:t>
      </w:r>
      <w:r>
        <w:rPr>
          <w:rFonts w:hint="eastAsia" w:ascii="仿宋_GB2312" w:hAnsi="仿宋_GB2312" w:eastAsia="仿宋_GB2312" w:cs="仿宋_GB2312"/>
          <w:sz w:val="32"/>
          <w:szCs w:val="32"/>
        </w:rPr>
        <w:t>资料，使工作有记录、问题有反馈、成果有展示，以保证后续绩效管理工作的顺利开展。</w:t>
      </w:r>
    </w:p>
    <w:p>
      <w:pPr>
        <w:adjustRightInd w:val="0"/>
        <w:snapToGrid w:val="0"/>
        <w:spacing w:line="360" w:lineRule="auto"/>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七、附件</w:t>
      </w:r>
    </w:p>
    <w:p>
      <w:pPr>
        <w:pStyle w:val="2"/>
        <w:spacing w:line="360" w:lineRule="auto"/>
        <w:ind w:firstLine="640" w:firstLineChars="200"/>
        <w:rPr>
          <w:rFonts w:ascii="仿宋_GB2312" w:hAnsi="仿宋_GB2312" w:eastAsia="仿宋_GB2312" w:cs="仿宋_GB2312"/>
          <w:color w:val="000000"/>
          <w:sz w:val="32"/>
          <w:szCs w:val="32"/>
        </w:rPr>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仿宋_GB2312" w:eastAsia="仿宋_GB2312" w:cs="仿宋_GB2312"/>
          <w:color w:val="000000"/>
          <w:sz w:val="32"/>
          <w:szCs w:val="32"/>
        </w:rPr>
        <w:t>《北京市重大项目建设指挥部办公室2022年部门整体绩效评价指标体系评分表》</w:t>
      </w:r>
    </w:p>
    <w:p>
      <w:pPr>
        <w:pStyle w:val="2"/>
      </w:pPr>
      <w:r>
        <w:rPr>
          <w:rFonts w:hint="eastAsia" w:ascii="仿宋_GB2312" w:hAnsi="仿宋_GB2312" w:eastAsia="仿宋_GB2312" w:cs="仿宋_GB2312"/>
          <w:sz w:val="32"/>
          <w:szCs w:val="32"/>
        </w:rPr>
        <w:t>附件：</w:t>
      </w:r>
    </w:p>
    <w:tbl>
      <w:tblPr>
        <w:tblStyle w:val="12"/>
        <w:tblW w:w="13952" w:type="dxa"/>
        <w:tblInd w:w="93" w:type="dxa"/>
        <w:tblLayout w:type="autofit"/>
        <w:tblCellMar>
          <w:top w:w="0" w:type="dxa"/>
          <w:left w:w="108" w:type="dxa"/>
          <w:bottom w:w="0" w:type="dxa"/>
          <w:right w:w="108" w:type="dxa"/>
        </w:tblCellMar>
      </w:tblPr>
      <w:tblGrid>
        <w:gridCol w:w="816"/>
        <w:gridCol w:w="1080"/>
        <w:gridCol w:w="1316"/>
        <w:gridCol w:w="2545"/>
        <w:gridCol w:w="1155"/>
        <w:gridCol w:w="780"/>
        <w:gridCol w:w="900"/>
        <w:gridCol w:w="1785"/>
        <w:gridCol w:w="3575"/>
      </w:tblGrid>
      <w:tr>
        <w:tblPrEx>
          <w:tblCellMar>
            <w:top w:w="0" w:type="dxa"/>
            <w:left w:w="108" w:type="dxa"/>
            <w:bottom w:w="0" w:type="dxa"/>
            <w:right w:w="108" w:type="dxa"/>
          </w:tblCellMar>
        </w:tblPrEx>
        <w:trPr>
          <w:trHeight w:val="300" w:hRule="atLeast"/>
        </w:trPr>
        <w:tc>
          <w:tcPr>
            <w:tcW w:w="13952" w:type="dxa"/>
            <w:gridSpan w:val="9"/>
            <w:tcBorders>
              <w:top w:val="nil"/>
              <w:left w:val="nil"/>
              <w:bottom w:val="single" w:color="auto" w:sz="4" w:space="0"/>
              <w:right w:val="nil"/>
            </w:tcBorders>
            <w:shd w:val="clear" w:color="auto" w:fill="auto"/>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8"/>
                <w:szCs w:val="28"/>
                <w:lang w:bidi="ar"/>
              </w:rPr>
              <w:t>北京市重大项目建设指挥部办公室2022年部门整体绩效评价指标体系评分表</w:t>
            </w:r>
          </w:p>
        </w:tc>
      </w:tr>
      <w:tr>
        <w:tblPrEx>
          <w:tblCellMar>
            <w:top w:w="0" w:type="dxa"/>
            <w:left w:w="108" w:type="dxa"/>
            <w:bottom w:w="0" w:type="dxa"/>
            <w:right w:w="108" w:type="dxa"/>
          </w:tblCellMar>
        </w:tblPrEx>
        <w:trPr>
          <w:trHeight w:val="419" w:hRule="atLeast"/>
        </w:trPr>
        <w:tc>
          <w:tcPr>
            <w:tcW w:w="13952"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一、当年预算执行情况（20分）</w:t>
            </w:r>
          </w:p>
        </w:tc>
      </w:tr>
      <w:tr>
        <w:tblPrEx>
          <w:tblCellMar>
            <w:top w:w="0" w:type="dxa"/>
            <w:left w:w="108" w:type="dxa"/>
            <w:bottom w:w="0" w:type="dxa"/>
            <w:right w:w="108" w:type="dxa"/>
          </w:tblCellMar>
        </w:tblPrEx>
        <w:trPr>
          <w:trHeight w:val="90" w:hRule="atLeast"/>
        </w:trPr>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一级指标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二级指标</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kern w:val="0"/>
                <w:sz w:val="20"/>
                <w:szCs w:val="20"/>
                <w:lang w:bidi="ar"/>
              </w:rPr>
            </w:pPr>
            <w:r>
              <w:rPr>
                <w:rFonts w:hint="eastAsia" w:ascii="宋体" w:hAnsi="宋体" w:cs="宋体"/>
                <w:b/>
                <w:bCs/>
                <w:color w:val="000000"/>
                <w:kern w:val="0"/>
                <w:sz w:val="20"/>
                <w:szCs w:val="20"/>
                <w:lang w:bidi="ar"/>
              </w:rPr>
              <w:t>预算数</w:t>
            </w:r>
          </w:p>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（万元）</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执行数（万元）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预算执行率</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得分</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指标解释</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评分标准</w:t>
            </w:r>
          </w:p>
        </w:tc>
      </w:tr>
      <w:tr>
        <w:tblPrEx>
          <w:tblCellMar>
            <w:top w:w="0" w:type="dxa"/>
            <w:left w:w="108" w:type="dxa"/>
            <w:bottom w:w="0" w:type="dxa"/>
            <w:right w:w="108" w:type="dxa"/>
          </w:tblCellMar>
        </w:tblPrEx>
        <w:trPr>
          <w:trHeight w:val="4152" w:hRule="atLeast"/>
        </w:trPr>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当年预算执行情况（20分）</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资金总体</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kern w:val="0"/>
                <w:sz w:val="20"/>
                <w:szCs w:val="20"/>
                <w:lang w:bidi="ar"/>
              </w:rPr>
              <w:t>18,826.3</w:t>
            </w:r>
            <w:r>
              <w:rPr>
                <w:rFonts w:hint="eastAsia" w:ascii="宋体" w:hAnsi="宋体" w:cs="宋体"/>
                <w:color w:val="000000"/>
                <w:kern w:val="0"/>
                <w:sz w:val="20"/>
                <w:szCs w:val="20"/>
                <w:lang w:val="en-US" w:eastAsia="zh-CN" w:bidi="ar"/>
              </w:rPr>
              <w:t>5）</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11,669.10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61.98%</w:t>
            </w:r>
          </w:p>
          <w:p>
            <w:pPr>
              <w:widowControl/>
              <w:jc w:val="center"/>
              <w:textAlignment w:val="center"/>
              <w:rPr>
                <w:rFonts w:ascii="宋体" w:hAnsi="宋体" w:cs="宋体"/>
                <w:color w:val="000000"/>
                <w:sz w:val="20"/>
                <w:szCs w:val="20"/>
              </w:rPr>
            </w:pPr>
          </w:p>
        </w:tc>
        <w:tc>
          <w:tcPr>
            <w:tcW w:w="7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19.80</w:t>
            </w:r>
            <w:r>
              <w:rPr>
                <w:rFonts w:hint="eastAsia" w:ascii="宋体" w:hAnsi="宋体" w:cs="宋体"/>
                <w:color w:val="000000"/>
                <w:kern w:val="0"/>
                <w:sz w:val="20"/>
                <w:szCs w:val="20"/>
                <w:lang w:bidi="ar"/>
              </w:rPr>
              <w:t xml:space="preserve"> </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部门全年执行数与全年预算数的比率。资金总体=基本支出+项目支出+其他</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bidi="ar"/>
              </w:rPr>
              <w:t>*</w:t>
            </w:r>
            <w:r>
              <w:rPr>
                <w:rFonts w:hint="eastAsia" w:ascii="宋体" w:hAnsi="宋体" w:cs="宋体"/>
                <w:color w:val="000000"/>
                <w:kern w:val="0"/>
                <w:sz w:val="20"/>
                <w:szCs w:val="20"/>
                <w:lang w:val="en-US" w:eastAsia="zh-CN" w:bidi="ar"/>
              </w:rPr>
              <w:t>特殊说明：2022年12月，我办接到应急方舱医院建设任务，于12月30日收到市财政局拨付的方舱医院建设资金7040.00万元，当年无法形成支出，结转至2023年1月份执行。故本次预算执行得分测算将剔除预算数中该部分资金，拟测算如下：</w:t>
            </w:r>
          </w:p>
          <w:p>
            <w:pPr>
              <w:widowControl/>
              <w:jc w:val="left"/>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预算数=18826.35-7040=11786.35万元；执行数=11669.10万元；预算执行率=11669.10/11786.35=99.01%；得分=99.01%*20（分值）=19.80分。</w:t>
            </w:r>
            <w:r>
              <w:rPr>
                <w:rFonts w:hint="eastAsia" w:ascii="宋体" w:hAnsi="宋体" w:cs="宋体"/>
                <w:color w:val="000000"/>
                <w:kern w:val="0"/>
                <w:sz w:val="20"/>
                <w:szCs w:val="20"/>
                <w:lang w:eastAsia="zh-CN" w:bidi="ar"/>
              </w:rPr>
              <w:t>）</w:t>
            </w:r>
          </w:p>
          <w:p>
            <w:pPr>
              <w:widowControl/>
              <w:jc w:val="left"/>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①得分一档最高不能超过该指标分值上限（20分）。</w:t>
            </w:r>
          </w:p>
          <w:p>
            <w:pPr>
              <w:pStyle w:val="2"/>
              <w:rPr>
                <w:rFonts w:hint="default"/>
                <w:lang w:val="en-US" w:eastAsia="zh-CN"/>
              </w:rPr>
            </w:pPr>
          </w:p>
        </w:tc>
      </w:tr>
      <w:tr>
        <w:tblPrEx>
          <w:tblCellMar>
            <w:top w:w="0" w:type="dxa"/>
            <w:left w:w="108" w:type="dxa"/>
            <w:bottom w:w="0" w:type="dxa"/>
            <w:right w:w="108" w:type="dxa"/>
          </w:tblCellMar>
        </w:tblPrEx>
        <w:trPr>
          <w:trHeight w:val="222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基本支出</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3,581.95</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3,493.96</w:t>
            </w:r>
          </w:p>
        </w:tc>
        <w:tc>
          <w:tcPr>
            <w:tcW w:w="11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7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3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②该指标若为正向指标，则得分计算方法应用全年实际值/年度指标值*该指标分值；若定量指标为反向指标，则得分计算方法应用年度指标值/全年实际值*该指标分值。若年初指标值设定偏低，则得分计算方法应用（全年实际值-年度指标值/年度指标值*100%。若计算结果在200%（含）-300%区间，则按照该指标分值的10%扣分；计算结果在300%（含）-500%区间，则按照该指标分值的20%扣分；计算结果高于500%（含），则按照该指标分值的30%扣分。</w:t>
            </w:r>
          </w:p>
        </w:tc>
      </w:tr>
      <w:tr>
        <w:tblPrEx>
          <w:tblCellMar>
            <w:top w:w="0" w:type="dxa"/>
            <w:left w:w="108" w:type="dxa"/>
            <w:bottom w:w="0" w:type="dxa"/>
            <w:right w:w="108" w:type="dxa"/>
          </w:tblCellMar>
        </w:tblPrEx>
        <w:trPr>
          <w:trHeight w:val="136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项目支出</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7,449.40</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380.15</w:t>
            </w:r>
          </w:p>
        </w:tc>
        <w:tc>
          <w:tcPr>
            <w:tcW w:w="11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7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3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34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7,795.00</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7,794.99</w:t>
            </w:r>
          </w:p>
        </w:tc>
        <w:tc>
          <w:tcPr>
            <w:tcW w:w="11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7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3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28" w:hRule="atLeast"/>
        </w:trPr>
        <w:tc>
          <w:tcPr>
            <w:tcW w:w="13952"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b/>
                <w:bCs/>
                <w:color w:val="000000"/>
                <w:kern w:val="0"/>
                <w:sz w:val="20"/>
                <w:szCs w:val="20"/>
                <w:lang w:bidi="ar"/>
              </w:rPr>
              <w:t>二、整体绩效目标实现情况（60分）</w:t>
            </w:r>
          </w:p>
        </w:tc>
      </w:tr>
      <w:tr>
        <w:tblPrEx>
          <w:tblCellMar>
            <w:top w:w="0" w:type="dxa"/>
            <w:left w:w="108" w:type="dxa"/>
            <w:bottom w:w="0" w:type="dxa"/>
            <w:right w:w="108" w:type="dxa"/>
          </w:tblCellMar>
        </w:tblPrEx>
        <w:trPr>
          <w:trHeight w:val="255" w:hRule="atLeast"/>
        </w:trPr>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一级指标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二级指标</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三级指标</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指标值</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完成值</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得分</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指标解释</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评分标准</w:t>
            </w:r>
          </w:p>
        </w:tc>
      </w:tr>
      <w:tr>
        <w:tblPrEx>
          <w:tblCellMar>
            <w:top w:w="0" w:type="dxa"/>
            <w:left w:w="108" w:type="dxa"/>
            <w:bottom w:w="0" w:type="dxa"/>
            <w:right w:w="108" w:type="dxa"/>
          </w:tblCellMar>
        </w:tblPrEx>
        <w:trPr>
          <w:trHeight w:val="1093" w:hRule="atLeast"/>
        </w:trPr>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整体绩效目标实现情况（60分）</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产出（30分）</w:t>
            </w: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保障延庆办公区办公用房房租、物业373.89平方米</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373.89平方米</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产出数量：</w:t>
            </w:r>
            <w:r>
              <w:rPr>
                <w:rStyle w:val="23"/>
                <w:rFonts w:hint="default"/>
                <w:lang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7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保障延庆办公区人员住宿用房租赁</w:t>
            </w:r>
            <w:r>
              <w:rPr>
                <w:rStyle w:val="23"/>
                <w:rFonts w:hint="default"/>
                <w:lang w:bidi="ar"/>
              </w:rPr>
              <w:t>6所</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6所</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2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保障延庆办公人员用餐人员</w:t>
            </w:r>
            <w:r>
              <w:rPr>
                <w:rStyle w:val="23"/>
                <w:rFonts w:hint="default"/>
                <w:lang w:bidi="ar"/>
              </w:rPr>
              <w:t>7人</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7人</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1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保障延庆工程现场安全通行用车</w:t>
            </w:r>
            <w:r>
              <w:rPr>
                <w:rStyle w:val="23"/>
                <w:rFonts w:hint="default"/>
                <w:lang w:bidi="ar"/>
              </w:rPr>
              <w:t xml:space="preserve">2辆                                                                                        </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2辆</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7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微信公众平台发布信息数量为≥100条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156条</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1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门户网站处理政务咨询数为≥100条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880条</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2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门户网站每年发布维护信息数为≥200条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204条</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4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发放北京市城市轨道交通建设计划册200本</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185本</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0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审核合同为≥42份</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30份</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9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绩效管理项目为≥18个（套）</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14个</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0.45</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5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完成内控修订制度1套</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1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完成临时设施项目财务跟踪服务，出具报告2个（套）</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2个</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9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分批组织党务知识专题培训或集中举办党务干部培训班3天</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4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北京市棚户区改造和环境整治项目完成清册250册</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7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北京市棚户区改造和环境整治整体工作计划项目册1300册</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2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北京市棚户区改造和环境整治专项工作计划项目册200册</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通过开展地铁建设运营情况及多种方式联网和一体化设计与施工技术调研，出具出访成果报告数量1份</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8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机关运行足额保障率100%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32"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保障人员的就餐需求</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产出质量：</w:t>
            </w:r>
            <w:r>
              <w:rPr>
                <w:rStyle w:val="23"/>
                <w:rFonts w:hint="default"/>
                <w:lang w:bidi="ar"/>
              </w:rPr>
              <w:t>质量达标率=质量达标工作数/实际完成工作数×100%。质量达标工作数：一定时期（年度或规划期）内部门（单位）实际完成工作数中达到部门绩效目标要求（绩效标准值）的工作任务数量。</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2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微信公众平台和门户网站系统可用性≥99.9%</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7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延庆办公区后勤保障程度100%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4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门户网站运行情况报告2个</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13个</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0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产生法律纠纷次数≤0次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0次</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32"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符合北京市预算绩效管理、预算编制、绩效评价、内控管理等相关工作要求</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7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培训参与度≥80%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1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对2022年我市棚户区改造计划管理工作指导的有效性</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0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对我市轨道交通建设协调管理工作的指导作用</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15"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对北京市城市轨道交通建设指导的有效性</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0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2022年1-12月共12个月</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产出进度：</w:t>
            </w:r>
            <w:r>
              <w:rPr>
                <w:rStyle w:val="23"/>
                <w:rFonts w:hint="default"/>
                <w:lang w:bidi="ar"/>
              </w:rPr>
              <w:t>按时完成率=（按时完成工作数/实际完成工作数）×100%。按时完成工作数：部门（单位）按照整体绩效目标确定的时限实际完成的工作任务数量。</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9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2022年1-11月共11个月</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延庆办公区后勤保障月数2022年1—5月共5个月</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3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成本绩效指标</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延庆办公区后勤保障预算（房租、物业、住宿、用餐、车辆等）≤62.552746万元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62.552746万元</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产出成本：</w:t>
            </w:r>
            <w:r>
              <w:rPr>
                <w:rStyle w:val="23"/>
                <w:rFonts w:hint="default"/>
                <w:lang w:bidi="ar"/>
              </w:rPr>
              <w:t>单位产出相对于上一年度的节约额；②单位产出相对于市场同类产出的节约额；③部门公用经费的控制情况。</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0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机关运行保障服务项目预算控制数 ≤ 271.0138万元  </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271.0138万元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2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协调推进新建及在建地铁轨道交通项目的建设支出≤12.9万元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1.1396万元</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0.8</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38"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党建工作预算总金额≤3.09万元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54"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棚户区专项项目总预算数2.196万元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5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保障财政资金安全服务项目总预算数30.35万元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30.35万元</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695"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效果（30）</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经济效益</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国务院“政府带头过‘紧日子’”及市财政局厉行节约的要求实现情况</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严格落实，杜绝了资金浪费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经济效益：</w:t>
            </w:r>
            <w:r>
              <w:rPr>
                <w:rStyle w:val="23"/>
                <w:rFonts w:hint="default"/>
                <w:lang w:bidi="ar"/>
              </w:rPr>
              <w:t>部门（单位）履行职责对经济发展所带来的直接或间接影响。社会效益：部门（单位）履行职责对社会发展所带来的直接或间接影响</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3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就餐需求保障</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按计划要求完成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社会效益：</w:t>
            </w:r>
            <w:r>
              <w:rPr>
                <w:rStyle w:val="23"/>
                <w:rFonts w:hint="default"/>
                <w:lang w:bidi="ar"/>
              </w:rPr>
              <w:t>部门（单位）履行职责对社会发展所带来的直接或间接影响。</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26"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为延庆办公区提供后勤服务保障</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按计划要求完成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9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及时发布重大项目建设信息，让社会公众及时了解项目进展情况</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按计划要求完成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网站服务形象得到提升</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912"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通过专业的指导和监督，为以后年度预算编制和实施提供依据和标准，逐年规范项目预算管理和绩效，进一步完善内控管理，保障经济活动的合理合规</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65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进一步通过第三方机构专业的指导和监督预算编制和执行，提高部门预算绩效管理水平，发挥财政资金的最大效益</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32"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保障财务支出的规范性，防范法律风险，提高内控管理水平。</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按保计划完成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24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确保2022年所有场馆和基础设施建设全部建成并交付的完成率100%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4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进一步提高我办党员干部政策理论水平和党务工作能力</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588"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通过印制重大项目文件资料，并向各使用单位发放，进一步提高2022年棚户区改造计划管控工作。</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495"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进一步提高2022年轨道交通建设管理工作，促进轨道交通前期规划编制更加科学，全流程协调管理更加有序。</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735"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全力推进场馆及相关基础设施工程建设，严格按照市政府批复的年度建设计划，实现场馆建设目标，降低场馆建设风险，消除安全隐患，不发生重大安全质量事故。</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0.7</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0.7</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就餐人员稳定</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可持续性影响：</w:t>
            </w:r>
            <w:r>
              <w:rPr>
                <w:rStyle w:val="23"/>
                <w:rFonts w:hint="default"/>
                <w:lang w:bidi="ar"/>
              </w:rPr>
              <w:t>部门绩效目标实现的长效机制建设情况，部门工作效率提升措施的创新。</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网站正常运行年限≥5年</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将棚户区计划任务完成情况形成完整的档案记录，便于后期查阅</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出访成果报告被采纳次数≥2次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为今后同类赛事管理、督促、规划落实等方面提供参考。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3.3</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3.3</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388"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年度绩效考评结果</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优秀</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2.5</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部门（单位）的服务对象对部门履职效果的满意程度。</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绩效考评结果为“优秀”，满分；每降低一个档次，扣1分。</w:t>
            </w:r>
          </w:p>
        </w:tc>
      </w:tr>
      <w:tr>
        <w:tblPrEx>
          <w:tblCellMar>
            <w:top w:w="0" w:type="dxa"/>
            <w:left w:w="108" w:type="dxa"/>
            <w:bottom w:w="0" w:type="dxa"/>
            <w:right w:w="108" w:type="dxa"/>
          </w:tblCellMar>
        </w:tblPrEx>
        <w:trPr>
          <w:trHeight w:val="1245"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项目册使用人员满意度≥90%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按计划要求完成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服务对象满意度</w:t>
            </w:r>
            <w:r>
              <w:rPr>
                <w:rStyle w:val="24"/>
                <w:rFonts w:hint="default"/>
                <w:lang w:bidi="ar"/>
              </w:rPr>
              <w:t>：部门（单位）的服务对象对部门履职效果的满意程度。</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2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参加培训人员满意度≥90%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按计划要求完成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8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项目册使用区县棚改工作主管部门满意度≥90%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按计划要求完成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49"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延庆办公区人员的满意度≥90%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按计划要求完成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7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各处室满意度≥90%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按计划要求完成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7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440" w:hRule="atLeast"/>
        </w:trPr>
        <w:tc>
          <w:tcPr>
            <w:tcW w:w="13952"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三、预算管理情况（20分）</w:t>
            </w:r>
          </w:p>
        </w:tc>
      </w:tr>
      <w:tr>
        <w:tblPrEx>
          <w:tblCellMar>
            <w:top w:w="0" w:type="dxa"/>
            <w:left w:w="108" w:type="dxa"/>
            <w:bottom w:w="0" w:type="dxa"/>
            <w:right w:w="108" w:type="dxa"/>
          </w:tblCellMar>
        </w:tblPrEx>
        <w:trPr>
          <w:trHeight w:val="380" w:hRule="atLeast"/>
        </w:trPr>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一级指标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二级指标</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三级指标</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指标值</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完成值</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得分</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指标解释</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评分标准</w:t>
            </w:r>
          </w:p>
        </w:tc>
      </w:tr>
      <w:tr>
        <w:tblPrEx>
          <w:tblCellMar>
            <w:top w:w="0" w:type="dxa"/>
            <w:left w:w="108" w:type="dxa"/>
            <w:bottom w:w="0" w:type="dxa"/>
            <w:right w:w="108" w:type="dxa"/>
          </w:tblCellMar>
        </w:tblPrEx>
        <w:trPr>
          <w:trHeight w:val="2185" w:hRule="atLeast"/>
        </w:trPr>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预算管理情况（20）</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财务管理（4)</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财务管理制度健全性</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健全、完整、合规</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健全、完整、合规</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财务管理制度健全性：部门（单位）为加强财务管理、规范财务行为而制定的管理制度。</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3674"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资金使用合规性和安全性</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合规、安全</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合规、安全</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99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会计基础信息完善性</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完整、准确</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完整、准确</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会计基础信息完善性：部门（单位）会计基础信息情况。</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3477"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资产管理（4）</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资产管理规范性</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规范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规范</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资产管理规范性：部门（单位）的资产是否保持安全完整，资产配置是否合理，资产使用和资产处理是否规范，用以反映和考核部门（单位）资产管理的整体水平。</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照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605"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绩效管理（4）</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绩效管理情况</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及时、有效</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及时、有效</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绩效管理情况：考核部门（单位）在绩效管理信息的汇总和应用情况。</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62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3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2021年</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143"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39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结转结余率（4）</w:t>
            </w:r>
          </w:p>
        </w:tc>
        <w:tc>
          <w:tcPr>
            <w:tcW w:w="25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0.19%</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38.02%</w:t>
            </w:r>
          </w:p>
        </w:tc>
        <w:tc>
          <w:tcPr>
            <w:tcW w:w="7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cs="宋体"/>
                <w:color w:val="000000"/>
                <w:kern w:val="0"/>
                <w:sz w:val="20"/>
                <w:szCs w:val="20"/>
                <w:highlight w:val="none"/>
                <w:lang w:bidi="ar"/>
              </w:rPr>
              <w:t>3.</w:t>
            </w:r>
            <w:r>
              <w:rPr>
                <w:rFonts w:hint="eastAsia" w:ascii="宋体" w:hAnsi="宋体" w:cs="宋体"/>
                <w:color w:val="000000"/>
                <w:kern w:val="0"/>
                <w:sz w:val="20"/>
                <w:szCs w:val="20"/>
                <w:highlight w:val="none"/>
                <w:lang w:val="en-US" w:eastAsia="zh-CN" w:bidi="ar"/>
              </w:rPr>
              <w:t>8</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结转结余率=结转结余总额/支出预算数*100%。</w:t>
            </w:r>
          </w:p>
        </w:tc>
        <w:tc>
          <w:tcPr>
            <w:tcW w:w="3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（*特殊说明：2022年12月，我办接到应急方舱医院建设任务，于12月30日收到市财政局拨付的方舱医院建设资金7040.00万元，当年无法形成支出，结转至2023年1月份执行。故本次预算执行得分测算将剔除</w:t>
            </w:r>
            <w:r>
              <w:rPr>
                <w:rFonts w:hint="eastAsia" w:ascii="宋体" w:hAnsi="宋体" w:cs="宋体"/>
                <w:color w:val="000000"/>
                <w:kern w:val="0"/>
                <w:sz w:val="20"/>
                <w:szCs w:val="20"/>
                <w:lang w:val="en-US" w:eastAsia="zh-CN" w:bidi="ar"/>
              </w:rPr>
              <w:t>结余</w:t>
            </w:r>
            <w:r>
              <w:rPr>
                <w:rFonts w:hint="eastAsia" w:ascii="宋体" w:hAnsi="宋体" w:cs="宋体"/>
                <w:color w:val="000000"/>
                <w:kern w:val="0"/>
                <w:sz w:val="20"/>
                <w:szCs w:val="20"/>
                <w:lang w:bidi="ar"/>
              </w:rPr>
              <w:t>中该部分资金，拟测算如下：</w:t>
            </w:r>
          </w:p>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结余数</w:t>
            </w:r>
            <w:r>
              <w:rPr>
                <w:rFonts w:hint="eastAsia" w:ascii="宋体" w:hAnsi="宋体" w:cs="宋体"/>
                <w:color w:val="000000"/>
                <w:kern w:val="0"/>
                <w:sz w:val="20"/>
                <w:szCs w:val="20"/>
                <w:lang w:bidi="ar"/>
              </w:rPr>
              <w:t>=7157.25-7040=117.25万元；</w:t>
            </w:r>
            <w:r>
              <w:rPr>
                <w:rFonts w:hint="eastAsia" w:ascii="宋体" w:hAnsi="宋体" w:cs="宋体"/>
                <w:color w:val="000000"/>
                <w:kern w:val="0"/>
                <w:sz w:val="20"/>
                <w:szCs w:val="20"/>
                <w:lang w:val="en-US" w:eastAsia="zh-CN" w:bidi="ar"/>
              </w:rPr>
              <w:t>支出预算数</w:t>
            </w:r>
            <w:r>
              <w:rPr>
                <w:rFonts w:hint="eastAsia" w:ascii="宋体" w:hAnsi="宋体" w:cs="宋体"/>
                <w:color w:val="000000"/>
                <w:kern w:val="0"/>
                <w:sz w:val="20"/>
                <w:szCs w:val="20"/>
                <w:lang w:bidi="ar"/>
              </w:rPr>
              <w:t>=11786.35万元；</w:t>
            </w:r>
            <w:r>
              <w:rPr>
                <w:rFonts w:hint="eastAsia" w:ascii="宋体" w:hAnsi="宋体" w:cs="宋体"/>
                <w:color w:val="000000"/>
                <w:kern w:val="0"/>
                <w:sz w:val="20"/>
                <w:szCs w:val="20"/>
                <w:lang w:val="en-US" w:eastAsia="zh-CN" w:bidi="ar"/>
              </w:rPr>
              <w:t>结余结转率</w:t>
            </w:r>
            <w:r>
              <w:rPr>
                <w:rFonts w:hint="eastAsia" w:ascii="宋体" w:hAnsi="宋体" w:cs="宋体"/>
                <w:color w:val="000000"/>
                <w:kern w:val="0"/>
                <w:sz w:val="20"/>
                <w:szCs w:val="20"/>
                <w:lang w:bidi="ar"/>
              </w:rPr>
              <w:t>=117.25/11786.35=</w:t>
            </w:r>
            <w:r>
              <w:rPr>
                <w:rFonts w:hint="eastAsia" w:ascii="宋体" w:hAnsi="宋体" w:cs="宋体"/>
                <w:color w:val="000000"/>
                <w:kern w:val="0"/>
                <w:sz w:val="20"/>
                <w:szCs w:val="20"/>
                <w:lang w:val="en-US" w:eastAsia="zh-CN" w:bidi="ar"/>
              </w:rPr>
              <w:t>0.99</w:t>
            </w:r>
            <w:r>
              <w:rPr>
                <w:rFonts w:hint="eastAsia" w:ascii="宋体" w:hAnsi="宋体" w:cs="宋体"/>
                <w:color w:val="000000"/>
                <w:kern w:val="0"/>
                <w:sz w:val="20"/>
                <w:szCs w:val="20"/>
                <w:lang w:bidi="ar"/>
              </w:rPr>
              <w:t>%</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val="en-US" w:eastAsia="zh-CN" w:bidi="ar"/>
              </w:rPr>
              <w:t>比上年高出0.8%</w:t>
            </w: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900"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39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5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sz w:val="20"/>
                <w:szCs w:val="20"/>
              </w:rPr>
            </w:pPr>
          </w:p>
        </w:tc>
        <w:tc>
          <w:tcPr>
            <w:tcW w:w="7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结转结余总额：部门（单位）本年度的结转资金与结余资金之和。</w:t>
            </w:r>
          </w:p>
        </w:tc>
        <w:tc>
          <w:tcPr>
            <w:tcW w:w="3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128" w:hRule="atLeast"/>
        </w:trPr>
        <w:tc>
          <w:tcPr>
            <w:tcW w:w="8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23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部门预决算差异率（4）</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372.13%</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0</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通过年度部门决算与年初部门预算对比，对部门的年度支出情况进行考核，衡量部门预算的约束力。</w:t>
            </w:r>
          </w:p>
        </w:tc>
        <w:tc>
          <w:tcPr>
            <w:tcW w:w="3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部门预决算差异率高于市级平均差异率（28.3%）的，每高出10%（含），扣0.4分，扣完为止。</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（*特殊说明：2022年12月，我办接到应急方舱医院建设任务，于12月30日收到市财政局拨付的方舱医院建设资金7040.00万元，当年无法形成支出，结转至2023年1月份执行。故本次预算执行得分测算将剔除</w:t>
            </w:r>
            <w:r>
              <w:rPr>
                <w:rFonts w:hint="eastAsia" w:ascii="宋体" w:hAnsi="宋体" w:cs="宋体"/>
                <w:color w:val="000000"/>
                <w:kern w:val="0"/>
                <w:sz w:val="20"/>
                <w:szCs w:val="20"/>
                <w:lang w:val="en-US" w:eastAsia="zh-CN" w:bidi="ar"/>
              </w:rPr>
              <w:t>年度部门决算</w:t>
            </w:r>
            <w:r>
              <w:rPr>
                <w:rFonts w:hint="eastAsia" w:ascii="宋体" w:hAnsi="宋体" w:cs="宋体"/>
                <w:color w:val="000000"/>
                <w:kern w:val="0"/>
                <w:sz w:val="20"/>
                <w:szCs w:val="20"/>
                <w:lang w:bidi="ar"/>
              </w:rPr>
              <w:t>中该部分资金，拟测算如下：</w:t>
            </w:r>
          </w:p>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年度部门决算</w:t>
            </w:r>
            <w:r>
              <w:rPr>
                <w:rFonts w:hint="eastAsia" w:ascii="宋体" w:hAnsi="宋体" w:cs="宋体"/>
                <w:color w:val="000000"/>
                <w:kern w:val="0"/>
                <w:sz w:val="20"/>
                <w:szCs w:val="20"/>
                <w:lang w:bidi="ar"/>
              </w:rPr>
              <w:t>=18826.35-7040=11786.35万元万元；</w:t>
            </w:r>
            <w:r>
              <w:rPr>
                <w:rFonts w:hint="eastAsia" w:ascii="宋体" w:hAnsi="宋体" w:cs="宋体"/>
                <w:color w:val="000000"/>
                <w:kern w:val="0"/>
                <w:sz w:val="20"/>
                <w:szCs w:val="20"/>
                <w:lang w:val="en-US" w:eastAsia="zh-CN" w:bidi="ar"/>
              </w:rPr>
              <w:t>年初部门决算</w:t>
            </w:r>
            <w:r>
              <w:rPr>
                <w:rFonts w:hint="eastAsia" w:ascii="宋体" w:hAnsi="宋体" w:cs="宋体"/>
                <w:color w:val="000000"/>
                <w:kern w:val="0"/>
                <w:sz w:val="20"/>
                <w:szCs w:val="20"/>
                <w:lang w:bidi="ar"/>
              </w:rPr>
              <w:t>=3987.</w:t>
            </w:r>
            <w:r>
              <w:rPr>
                <w:rFonts w:hint="eastAsia" w:ascii="宋体" w:hAnsi="宋体" w:cs="宋体"/>
                <w:color w:val="000000"/>
                <w:kern w:val="0"/>
                <w:sz w:val="20"/>
                <w:szCs w:val="20"/>
                <w:lang w:val="en-US" w:eastAsia="zh-CN" w:bidi="ar"/>
              </w:rPr>
              <w:t>5</w:t>
            </w:r>
            <w:r>
              <w:rPr>
                <w:rFonts w:hint="eastAsia" w:ascii="宋体" w:hAnsi="宋体" w:cs="宋体"/>
                <w:color w:val="000000"/>
                <w:kern w:val="0"/>
                <w:sz w:val="20"/>
                <w:szCs w:val="20"/>
                <w:lang w:bidi="ar"/>
              </w:rPr>
              <w:t>万元；部门预决算差异率=</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val="en-US" w:eastAsia="zh-CN" w:bidi="ar"/>
              </w:rPr>
              <w:t>11786.35-3987.5</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val="en-US" w:eastAsia="zh-CN" w:bidi="ar"/>
              </w:rPr>
              <w:t>/3987.5=195.58%</w:t>
            </w:r>
            <w:r>
              <w:rPr>
                <w:rFonts w:hint="eastAsia" w:ascii="宋体" w:hAnsi="宋体" w:cs="宋体"/>
                <w:color w:val="000000"/>
                <w:kern w:val="0"/>
                <w:sz w:val="20"/>
                <w:szCs w:val="20"/>
                <w:lang w:bidi="ar"/>
              </w:rPr>
              <w:t>，高于市级平均差异率（28.3%）的</w:t>
            </w:r>
            <w:r>
              <w:rPr>
                <w:rFonts w:hint="eastAsia" w:ascii="宋体" w:hAnsi="宋体" w:cs="宋体"/>
                <w:color w:val="000000"/>
                <w:kern w:val="0"/>
                <w:sz w:val="20"/>
                <w:szCs w:val="20"/>
                <w:lang w:val="en-US" w:eastAsia="zh-CN" w:bidi="ar"/>
              </w:rPr>
              <w:t>167.28%，故该项不得分</w:t>
            </w: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300" w:hRule="atLeast"/>
        </w:trPr>
        <w:tc>
          <w:tcPr>
            <w:tcW w:w="32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合计</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100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bCs/>
                <w:color w:val="000000"/>
                <w:sz w:val="20"/>
                <w:szCs w:val="20"/>
                <w:lang w:val="en-US" w:eastAsia="zh-CN"/>
              </w:rPr>
            </w:pPr>
            <w:r>
              <w:rPr>
                <w:rFonts w:hint="eastAsia" w:ascii="宋体" w:hAnsi="宋体" w:cs="宋体"/>
                <w:b/>
                <w:bCs/>
                <w:color w:val="000000"/>
                <w:kern w:val="0"/>
                <w:sz w:val="20"/>
                <w:szCs w:val="20"/>
                <w:lang w:val="en-US" w:eastAsia="zh-CN" w:bidi="ar"/>
              </w:rPr>
              <w:t>93.85</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c>
          <w:tcPr>
            <w:tcW w:w="357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宋体" w:hAnsi="宋体" w:cs="宋体"/>
                <w:color w:val="000000"/>
                <w:sz w:val="20"/>
                <w:szCs w:val="20"/>
              </w:rPr>
            </w:pPr>
          </w:p>
        </w:tc>
      </w:tr>
    </w:tbl>
    <w:p>
      <w:pPr>
        <w:pStyle w:val="2"/>
      </w:pPr>
    </w:p>
    <w:sectPr>
      <w:footerReference r:id="rId6" w:type="default"/>
      <w:pgSz w:w="16838" w:h="11906" w:orient="landscape"/>
      <w:pgMar w:top="1418"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jc w:val="center"/>
                          </w:pPr>
                          <w:r>
                            <w:fldChar w:fldCharType="begin"/>
                          </w:r>
                          <w:r>
                            <w:instrText xml:space="preserve">PAGE   \* MERGEFORMAT</w:instrText>
                          </w:r>
                          <w:r>
                            <w:fldChar w:fldCharType="separate"/>
                          </w:r>
                          <w:r>
                            <w:rPr>
                              <w:lang w:val="zh-CN"/>
                            </w:rPr>
                            <w:t>34</w:t>
                          </w:r>
                          <w:r>
                            <w:rPr>
                              <w:lang w:val="zh-CN"/>
                            </w:rPr>
                            <w:fldChar w:fldCharType="end"/>
                          </w:r>
                        </w:p>
                      </w:txbxContent>
                    </wps:txbx>
                    <wps:bodyPr vert="horz" wrap="none" lIns="0" tIns="0" rIns="0" bIns="0" anchor="t">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C9QsV/2wEAALADAAAOAAAAAAAAAAEA&#10;IAAAAB4BAABkcnMvZTJvRG9jLnhtbFBLBQYAAAAABgAGAFkBAABrBQAAAAA=&#10;">
              <v:fill on="f" focussize="0,0"/>
              <v:stroke on="f"/>
              <v:imagedata o:title=""/>
              <o:lock v:ext="edit" aspectratio="f"/>
              <v:textbox inset="0mm,0mm,0mm,0mm" style="mso-fit-shape-to-text:t;">
                <w:txbxContent>
                  <w:p>
                    <w:pPr>
                      <w:pStyle w:val="2"/>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426"/>
      </w:tabs>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rPr>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25</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2"/>
                      <w:jc w:val="right"/>
                      <w:rPr>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25</w:t>
                    </w:r>
                    <w:r>
                      <w:rPr>
                        <w:rFonts w:ascii="宋体" w:hAnsi="宋体"/>
                        <w:sz w:val="21"/>
                        <w:szCs w:val="21"/>
                      </w:rPr>
                      <w:fldChar w:fldCharType="end"/>
                    </w:r>
                  </w:p>
                </w:txbxContent>
              </v:textbox>
            </v:shape>
          </w:pict>
        </mc:Fallback>
      </mc:AlternateContent>
    </w:r>
    <w:r>
      <w:rPr>
        <w:rFonts w:hint="eastAsia" w:ascii="宋体" w:hAnsi="宋体"/>
        <w:sz w:val="28"/>
        <w:szCs w:val="28"/>
      </w:rPr>
      <w:tab/>
    </w:r>
    <w:r>
      <w:rPr>
        <w:rFonts w:hint="eastAsia" w:ascii="宋体" w:hAnsi="宋体"/>
        <w:sz w:val="28"/>
        <w:szCs w:val="28"/>
      </w:rPr>
      <w:tab/>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426"/>
      </w:tabs>
      <w:rPr>
        <w:rFonts w:ascii="宋体" w:hAnsi="宋体"/>
        <w:sz w:val="28"/>
        <w:szCs w:val="28"/>
      </w:rPr>
    </w:pPr>
    <w:r>
      <w:rPr>
        <w:rFonts w:hint="eastAsia" w:ascii="宋体" w:hAnsi="宋体"/>
        <w:sz w:val="28"/>
        <w:szCs w:val="28"/>
      </w:rPr>
      <w:tab/>
    </w:r>
    <w:r>
      <w:rPr>
        <w:rFonts w:hint="eastAsia" w:ascii="宋体" w:hAnsi="宋体"/>
        <w:sz w:val="28"/>
        <w:szCs w:val="28"/>
      </w:rPr>
      <w:tab/>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2YjRkZWNhNDczNzZmMjI1YTU1YTQ1NzlkYjgzYjMifQ=="/>
  </w:docVars>
  <w:rsids>
    <w:rsidRoot w:val="F77F09F4"/>
    <w:rsid w:val="00006320"/>
    <w:rsid w:val="000667ED"/>
    <w:rsid w:val="00085212"/>
    <w:rsid w:val="000A6181"/>
    <w:rsid w:val="000C40A2"/>
    <w:rsid w:val="00116B9C"/>
    <w:rsid w:val="00125AD3"/>
    <w:rsid w:val="001516A1"/>
    <w:rsid w:val="001550F4"/>
    <w:rsid w:val="001669AC"/>
    <w:rsid w:val="001A119C"/>
    <w:rsid w:val="001C2849"/>
    <w:rsid w:val="001F0ECC"/>
    <w:rsid w:val="001F2387"/>
    <w:rsid w:val="0021210D"/>
    <w:rsid w:val="0027087E"/>
    <w:rsid w:val="002928D9"/>
    <w:rsid w:val="00294C5A"/>
    <w:rsid w:val="0029766B"/>
    <w:rsid w:val="002C1CD9"/>
    <w:rsid w:val="002D01CE"/>
    <w:rsid w:val="00314FF6"/>
    <w:rsid w:val="00325FB3"/>
    <w:rsid w:val="00393FB1"/>
    <w:rsid w:val="003B6CF1"/>
    <w:rsid w:val="003C29AE"/>
    <w:rsid w:val="003C5C5E"/>
    <w:rsid w:val="003D0CBF"/>
    <w:rsid w:val="00414B1F"/>
    <w:rsid w:val="004444F3"/>
    <w:rsid w:val="00453EB5"/>
    <w:rsid w:val="0047657E"/>
    <w:rsid w:val="00497C02"/>
    <w:rsid w:val="004A4448"/>
    <w:rsid w:val="004B51FF"/>
    <w:rsid w:val="004C32D4"/>
    <w:rsid w:val="004D25C5"/>
    <w:rsid w:val="004D5B17"/>
    <w:rsid w:val="004F32B4"/>
    <w:rsid w:val="00502A46"/>
    <w:rsid w:val="00584A37"/>
    <w:rsid w:val="0058565F"/>
    <w:rsid w:val="005A0CFF"/>
    <w:rsid w:val="005C439D"/>
    <w:rsid w:val="00610670"/>
    <w:rsid w:val="00622892"/>
    <w:rsid w:val="00631AE8"/>
    <w:rsid w:val="0064054D"/>
    <w:rsid w:val="0068245D"/>
    <w:rsid w:val="00686F3F"/>
    <w:rsid w:val="007E312C"/>
    <w:rsid w:val="007E6B55"/>
    <w:rsid w:val="00805FBC"/>
    <w:rsid w:val="00814964"/>
    <w:rsid w:val="0084381C"/>
    <w:rsid w:val="00852735"/>
    <w:rsid w:val="008600D1"/>
    <w:rsid w:val="00862DD8"/>
    <w:rsid w:val="0086790E"/>
    <w:rsid w:val="00877750"/>
    <w:rsid w:val="008E32B8"/>
    <w:rsid w:val="0093440E"/>
    <w:rsid w:val="0095594C"/>
    <w:rsid w:val="0096415C"/>
    <w:rsid w:val="00970569"/>
    <w:rsid w:val="009967E6"/>
    <w:rsid w:val="009B0573"/>
    <w:rsid w:val="009B721D"/>
    <w:rsid w:val="009D2675"/>
    <w:rsid w:val="009E1061"/>
    <w:rsid w:val="009F0059"/>
    <w:rsid w:val="00A11F80"/>
    <w:rsid w:val="00A321D6"/>
    <w:rsid w:val="00A322C8"/>
    <w:rsid w:val="00A97A0F"/>
    <w:rsid w:val="00AB3FEA"/>
    <w:rsid w:val="00AD487F"/>
    <w:rsid w:val="00AE0413"/>
    <w:rsid w:val="00AE11E5"/>
    <w:rsid w:val="00AE5D4D"/>
    <w:rsid w:val="00AF68DF"/>
    <w:rsid w:val="00B23B42"/>
    <w:rsid w:val="00B45E89"/>
    <w:rsid w:val="00BB6CB5"/>
    <w:rsid w:val="00C03871"/>
    <w:rsid w:val="00C06992"/>
    <w:rsid w:val="00C47E1D"/>
    <w:rsid w:val="00C72074"/>
    <w:rsid w:val="00C776A7"/>
    <w:rsid w:val="00CC7097"/>
    <w:rsid w:val="00CE5C50"/>
    <w:rsid w:val="00D11CAD"/>
    <w:rsid w:val="00D141D2"/>
    <w:rsid w:val="00D9453E"/>
    <w:rsid w:val="00DB5A36"/>
    <w:rsid w:val="00DD60DE"/>
    <w:rsid w:val="00E019EC"/>
    <w:rsid w:val="00E070C5"/>
    <w:rsid w:val="00E17EF4"/>
    <w:rsid w:val="00E311FA"/>
    <w:rsid w:val="00E43C49"/>
    <w:rsid w:val="00E6217F"/>
    <w:rsid w:val="00E8643C"/>
    <w:rsid w:val="00EA3C15"/>
    <w:rsid w:val="00EC587A"/>
    <w:rsid w:val="00EE1DF1"/>
    <w:rsid w:val="00EE6F43"/>
    <w:rsid w:val="00F16A68"/>
    <w:rsid w:val="00F300B8"/>
    <w:rsid w:val="00F35886"/>
    <w:rsid w:val="00F40046"/>
    <w:rsid w:val="00F6265F"/>
    <w:rsid w:val="00F66493"/>
    <w:rsid w:val="00F802F6"/>
    <w:rsid w:val="00F817E4"/>
    <w:rsid w:val="00F852FE"/>
    <w:rsid w:val="00F94826"/>
    <w:rsid w:val="00FD0AC9"/>
    <w:rsid w:val="00FD0D74"/>
    <w:rsid w:val="00FF74C3"/>
    <w:rsid w:val="022F6680"/>
    <w:rsid w:val="04793ABB"/>
    <w:rsid w:val="07610E7C"/>
    <w:rsid w:val="096F5A60"/>
    <w:rsid w:val="0B212074"/>
    <w:rsid w:val="0C7131BF"/>
    <w:rsid w:val="0CF30130"/>
    <w:rsid w:val="111E2FFD"/>
    <w:rsid w:val="11BE2838"/>
    <w:rsid w:val="14EA1337"/>
    <w:rsid w:val="161C7CAA"/>
    <w:rsid w:val="17CA33A1"/>
    <w:rsid w:val="197F73F7"/>
    <w:rsid w:val="1B1D5FE3"/>
    <w:rsid w:val="1BF6241E"/>
    <w:rsid w:val="1DB559ED"/>
    <w:rsid w:val="217A6756"/>
    <w:rsid w:val="21816B9E"/>
    <w:rsid w:val="238E2940"/>
    <w:rsid w:val="23F76688"/>
    <w:rsid w:val="28B028D4"/>
    <w:rsid w:val="2B1464F7"/>
    <w:rsid w:val="2BC40D7D"/>
    <w:rsid w:val="2C9A7B94"/>
    <w:rsid w:val="34CF0585"/>
    <w:rsid w:val="37173543"/>
    <w:rsid w:val="3847452F"/>
    <w:rsid w:val="38C01B87"/>
    <w:rsid w:val="392D002F"/>
    <w:rsid w:val="399860A1"/>
    <w:rsid w:val="3B253993"/>
    <w:rsid w:val="3BC54CDD"/>
    <w:rsid w:val="3C4816E7"/>
    <w:rsid w:val="3CCE5195"/>
    <w:rsid w:val="3E057FAE"/>
    <w:rsid w:val="3F2419A6"/>
    <w:rsid w:val="3FB13A48"/>
    <w:rsid w:val="3FF76880"/>
    <w:rsid w:val="400E15B5"/>
    <w:rsid w:val="41136C53"/>
    <w:rsid w:val="420924D1"/>
    <w:rsid w:val="434A2CF7"/>
    <w:rsid w:val="44743CCA"/>
    <w:rsid w:val="44CE6FCA"/>
    <w:rsid w:val="455C6204"/>
    <w:rsid w:val="46A43D01"/>
    <w:rsid w:val="477E1318"/>
    <w:rsid w:val="4A946440"/>
    <w:rsid w:val="4AE253C6"/>
    <w:rsid w:val="4AF309C8"/>
    <w:rsid w:val="4BBC2376"/>
    <w:rsid w:val="4CED4824"/>
    <w:rsid w:val="525D7278"/>
    <w:rsid w:val="535E4B59"/>
    <w:rsid w:val="5495532F"/>
    <w:rsid w:val="54F172D6"/>
    <w:rsid w:val="577768E2"/>
    <w:rsid w:val="5B330E64"/>
    <w:rsid w:val="5C347B8B"/>
    <w:rsid w:val="5DAE5E19"/>
    <w:rsid w:val="60127AE8"/>
    <w:rsid w:val="639F3163"/>
    <w:rsid w:val="65340FB0"/>
    <w:rsid w:val="658B718A"/>
    <w:rsid w:val="67695FB4"/>
    <w:rsid w:val="69A84CDF"/>
    <w:rsid w:val="6BF403FB"/>
    <w:rsid w:val="6D336CB6"/>
    <w:rsid w:val="6ECE2EB1"/>
    <w:rsid w:val="73554C39"/>
    <w:rsid w:val="76A71125"/>
    <w:rsid w:val="76B66227"/>
    <w:rsid w:val="79E91614"/>
    <w:rsid w:val="79FD2ABD"/>
    <w:rsid w:val="7A532455"/>
    <w:rsid w:val="7AB7FF50"/>
    <w:rsid w:val="7BFEB0DB"/>
    <w:rsid w:val="7C2F47ED"/>
    <w:rsid w:val="7DB43CF5"/>
    <w:rsid w:val="7E97390A"/>
    <w:rsid w:val="7FF04664"/>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20"/>
    </w:rPr>
  </w:style>
  <w:style w:type="paragraph" w:styleId="4">
    <w:name w:val="annotation text"/>
    <w:basedOn w:val="1"/>
    <w:link w:val="27"/>
    <w:qFormat/>
    <w:uiPriority w:val="0"/>
    <w:pPr>
      <w:jc w:val="left"/>
    </w:pPr>
  </w:style>
  <w:style w:type="paragraph" w:styleId="5">
    <w:name w:val="Balloon Text"/>
    <w:basedOn w:val="1"/>
    <w:link w:val="20"/>
    <w:qFormat/>
    <w:uiPriority w:val="0"/>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9">
    <w:name w:val="Normal (Web)"/>
    <w:basedOn w:val="1"/>
    <w:qFormat/>
    <w:uiPriority w:val="0"/>
    <w:pPr>
      <w:spacing w:before="100" w:beforeAutospacing="1" w:after="100" w:afterAutospacing="1"/>
      <w:jc w:val="left"/>
    </w:pPr>
    <w:rPr>
      <w:kern w:val="0"/>
      <w:sz w:val="24"/>
    </w:rPr>
  </w:style>
  <w:style w:type="paragraph" w:styleId="10">
    <w:name w:val="Title"/>
    <w:basedOn w:val="1"/>
    <w:next w:val="1"/>
    <w:qFormat/>
    <w:uiPriority w:val="0"/>
    <w:pPr>
      <w:ind w:left="640" w:leftChars="200"/>
      <w:outlineLvl w:val="0"/>
    </w:pPr>
    <w:rPr>
      <w:rFonts w:ascii="Arial" w:hAnsi="Arial" w:eastAsia="仿宋_GB2312"/>
      <w:b/>
      <w:sz w:val="32"/>
    </w:rPr>
  </w:style>
  <w:style w:type="paragraph" w:styleId="11">
    <w:name w:val="annotation subject"/>
    <w:basedOn w:val="4"/>
    <w:next w:val="4"/>
    <w:link w:val="28"/>
    <w:qFormat/>
    <w:uiPriority w:val="0"/>
    <w:rPr>
      <w:b/>
      <w:bCs/>
    </w:rPr>
  </w:style>
  <w:style w:type="character" w:styleId="14">
    <w:name w:val="annotation reference"/>
    <w:basedOn w:val="13"/>
    <w:qFormat/>
    <w:uiPriority w:val="0"/>
    <w:rPr>
      <w:sz w:val="21"/>
      <w:szCs w:val="21"/>
    </w:rPr>
  </w:style>
  <w:style w:type="paragraph" w:customStyle="1" w:styleId="15">
    <w:name w:val="列出段落1"/>
    <w:basedOn w:val="1"/>
    <w:qFormat/>
    <w:uiPriority w:val="34"/>
    <w:pPr>
      <w:ind w:firstLine="420" w:firstLineChars="200"/>
    </w:pPr>
    <w:rPr>
      <w:rFonts w:ascii="Calibri" w:hAnsi="Calibri" w:cs="黑体"/>
      <w:szCs w:val="22"/>
    </w:rPr>
  </w:style>
  <w:style w:type="character" w:customStyle="1" w:styleId="16">
    <w:name w:val="NormalCharacter"/>
    <w:semiHidden/>
    <w:qFormat/>
    <w:uiPriority w:val="0"/>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0">
    <w:name w:val="批注框文本 字符"/>
    <w:basedOn w:val="13"/>
    <w:link w:val="5"/>
    <w:qFormat/>
    <w:uiPriority w:val="0"/>
    <w:rPr>
      <w:kern w:val="2"/>
      <w:sz w:val="18"/>
      <w:szCs w:val="18"/>
    </w:rPr>
  </w:style>
  <w:style w:type="paragraph" w:customStyle="1" w:styleId="21">
    <w:name w:val="列出段落11"/>
    <w:basedOn w:val="1"/>
    <w:qFormat/>
    <w:uiPriority w:val="0"/>
    <w:pPr>
      <w:ind w:firstLine="420" w:firstLineChars="200"/>
    </w:pPr>
    <w:rPr>
      <w:rFonts w:ascii="Calibri" w:hAnsi="Calibri"/>
      <w:sz w:val="24"/>
    </w:rPr>
  </w:style>
  <w:style w:type="character" w:customStyle="1" w:styleId="22">
    <w:name w:val="font21"/>
    <w:basedOn w:val="13"/>
    <w:qFormat/>
    <w:uiPriority w:val="0"/>
    <w:rPr>
      <w:rFonts w:hint="eastAsia" w:ascii="宋体" w:hAnsi="宋体" w:eastAsia="宋体" w:cs="宋体"/>
      <w:color w:val="000000"/>
      <w:sz w:val="22"/>
      <w:szCs w:val="22"/>
      <w:u w:val="none"/>
    </w:rPr>
  </w:style>
  <w:style w:type="character" w:customStyle="1" w:styleId="23">
    <w:name w:val="font11"/>
    <w:basedOn w:val="13"/>
    <w:qFormat/>
    <w:uiPriority w:val="0"/>
    <w:rPr>
      <w:rFonts w:hint="eastAsia" w:ascii="宋体" w:hAnsi="宋体" w:eastAsia="宋体" w:cs="宋体"/>
      <w:color w:val="000000"/>
      <w:sz w:val="20"/>
      <w:szCs w:val="20"/>
      <w:u w:val="none"/>
    </w:rPr>
  </w:style>
  <w:style w:type="character" w:customStyle="1" w:styleId="24">
    <w:name w:val="font31"/>
    <w:basedOn w:val="13"/>
    <w:qFormat/>
    <w:uiPriority w:val="0"/>
    <w:rPr>
      <w:rFonts w:hint="eastAsia" w:ascii="宋体" w:hAnsi="宋体" w:eastAsia="宋体" w:cs="宋体"/>
      <w:color w:val="000000"/>
      <w:sz w:val="20"/>
      <w:szCs w:val="20"/>
      <w:u w:val="none"/>
    </w:rPr>
  </w:style>
  <w:style w:type="character" w:customStyle="1" w:styleId="25">
    <w:name w:val="font01"/>
    <w:basedOn w:val="13"/>
    <w:qFormat/>
    <w:uiPriority w:val="0"/>
    <w:rPr>
      <w:rFonts w:hint="eastAsia" w:ascii="宋体" w:hAnsi="宋体" w:eastAsia="宋体" w:cs="宋体"/>
      <w:color w:val="000000"/>
      <w:sz w:val="22"/>
      <w:szCs w:val="22"/>
      <w:u w:val="none"/>
    </w:rPr>
  </w:style>
  <w:style w:type="paragraph" w:customStyle="1" w:styleId="26">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27">
    <w:name w:val="批注文字 字符"/>
    <w:basedOn w:val="13"/>
    <w:link w:val="4"/>
    <w:qFormat/>
    <w:uiPriority w:val="0"/>
    <w:rPr>
      <w:kern w:val="2"/>
      <w:sz w:val="21"/>
      <w:szCs w:val="24"/>
    </w:rPr>
  </w:style>
  <w:style w:type="character" w:customStyle="1" w:styleId="28">
    <w:name w:val="批注主题 字符"/>
    <w:basedOn w:val="27"/>
    <w:link w:val="11"/>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15142B-82A5-423C-93A4-203A667A3409}">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36</Pages>
  <Words>15995</Words>
  <Characters>17646</Characters>
  <Lines>136</Lines>
  <Paragraphs>38</Paragraphs>
  <TotalTime>149</TotalTime>
  <ScaleCrop>false</ScaleCrop>
  <LinksUpToDate>false</LinksUpToDate>
  <CharactersWithSpaces>17800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小步调²</cp:lastModifiedBy>
  <cp:lastPrinted>2022-04-01T03:49:00Z</cp:lastPrinted>
  <dcterms:modified xsi:type="dcterms:W3CDTF">2023-05-22T03:38:59Z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687FF2844C5843D29725773459AE0875</vt:lpwstr>
  </property>
</Properties>
</file>