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F10" w:rsidRDefault="00D97F10">
      <w:pPr>
        <w:snapToGrid w:val="0"/>
        <w:spacing w:line="580" w:lineRule="exact"/>
        <w:ind w:firstLineChars="200" w:firstLine="880"/>
        <w:jc w:val="center"/>
        <w:textAlignment w:val="baseline"/>
        <w:rPr>
          <w:rFonts w:ascii="Times New Roman" w:eastAsia="方正小标宋简体" w:hAnsi="Times New Roman" w:cs="Times New Roman"/>
          <w:bCs/>
          <w:color w:val="000000"/>
          <w:kern w:val="16"/>
          <w:sz w:val="44"/>
          <w:szCs w:val="44"/>
        </w:rPr>
      </w:pPr>
    </w:p>
    <w:p w:rsidR="00D97F10" w:rsidRDefault="00D97F10">
      <w:pPr>
        <w:pStyle w:val="a0"/>
        <w:rPr>
          <w:rFonts w:ascii="Times New Roman" w:hAnsi="Times New Roman" w:cs="Times New Roman"/>
        </w:rPr>
      </w:pPr>
    </w:p>
    <w:p w:rsidR="00D97F10" w:rsidRDefault="00D97F10">
      <w:pPr>
        <w:pStyle w:val="9"/>
        <w:ind w:left="3360"/>
        <w:textAlignment w:val="baseline"/>
        <w:rPr>
          <w:rFonts w:ascii="Times New Roman" w:hAnsi="Times New Roman" w:cs="Times New Roman"/>
        </w:rPr>
      </w:pPr>
    </w:p>
    <w:p w:rsidR="00D97F10" w:rsidRDefault="00D97F10">
      <w:pPr>
        <w:snapToGrid w:val="0"/>
        <w:spacing w:line="580" w:lineRule="exact"/>
        <w:ind w:firstLineChars="200" w:firstLine="880"/>
        <w:jc w:val="center"/>
        <w:textAlignment w:val="baseline"/>
        <w:rPr>
          <w:rFonts w:ascii="Times New Roman" w:eastAsia="方正小标宋简体" w:hAnsi="Times New Roman" w:cs="Times New Roman"/>
          <w:bCs/>
          <w:color w:val="000000"/>
          <w:kern w:val="16"/>
          <w:sz w:val="44"/>
          <w:szCs w:val="44"/>
        </w:rPr>
      </w:pPr>
    </w:p>
    <w:p w:rsidR="00D97F10" w:rsidRDefault="002273C2">
      <w:pPr>
        <w:snapToGrid w:val="0"/>
        <w:spacing w:line="580" w:lineRule="exact"/>
        <w:jc w:val="center"/>
        <w:textAlignment w:val="baseline"/>
        <w:rPr>
          <w:rFonts w:ascii="Times New Roman" w:eastAsia="方正小标宋简体" w:hAnsi="Times New Roman" w:cs="Times New Roman"/>
          <w:bCs/>
          <w:kern w:val="0"/>
          <w:sz w:val="44"/>
          <w:szCs w:val="44"/>
        </w:rPr>
      </w:pPr>
      <w:r>
        <w:rPr>
          <w:rFonts w:ascii="Times New Roman" w:eastAsia="方正小标宋简体" w:hAnsi="Times New Roman" w:cs="Times New Roman"/>
          <w:bCs/>
          <w:kern w:val="0"/>
          <w:sz w:val="44"/>
          <w:szCs w:val="44"/>
        </w:rPr>
        <w:t>部门整体绩效评价报告</w:t>
      </w:r>
    </w:p>
    <w:p w:rsidR="00D97F10" w:rsidRDefault="00D97F10">
      <w:pPr>
        <w:spacing w:after="240" w:line="540" w:lineRule="exact"/>
        <w:jc w:val="center"/>
        <w:textAlignment w:val="baseline"/>
        <w:rPr>
          <w:rFonts w:ascii="Times New Roman" w:hAnsi="Times New Roman" w:cs="Times New Roman"/>
          <w:b/>
          <w:bCs/>
          <w:spacing w:val="50"/>
          <w:sz w:val="32"/>
          <w:szCs w:val="32"/>
        </w:rPr>
      </w:pPr>
    </w:p>
    <w:p w:rsidR="00D97F10" w:rsidRDefault="002273C2" w:rsidP="004C6239">
      <w:pPr>
        <w:snapToGrid w:val="0"/>
        <w:spacing w:after="312" w:line="300" w:lineRule="auto"/>
        <w:ind w:firstLineChars="200" w:firstLine="723"/>
        <w:textAlignment w:val="baseline"/>
        <w:rPr>
          <w:rFonts w:ascii="Times New Roman" w:eastAsia="仿宋_GB2312" w:hAnsi="Times New Roman" w:cs="Times New Roman"/>
          <w:b/>
          <w:bCs/>
          <w:sz w:val="36"/>
          <w:szCs w:val="20"/>
        </w:rPr>
      </w:pPr>
      <w:r>
        <w:rPr>
          <w:rFonts w:ascii="Times New Roman" w:eastAsia="仿宋_GB2312" w:hAnsi="Times New Roman" w:cs="Times New Roman"/>
          <w:b/>
          <w:bCs/>
          <w:sz w:val="36"/>
          <w:szCs w:val="20"/>
        </w:rPr>
        <w:t xml:space="preserve">  </w:t>
      </w:r>
    </w:p>
    <w:p w:rsidR="00D97F10" w:rsidRDefault="002273C2">
      <w:pPr>
        <w:widowControl/>
        <w:ind w:firstLineChars="160" w:firstLine="512"/>
        <w:jc w:val="left"/>
        <w:rPr>
          <w:rFonts w:ascii="Times New Roman" w:eastAsia="仿宋_GB2312" w:hAnsi="Times New Roman" w:cs="Times New Roman"/>
          <w:bCs/>
          <w:kern w:val="0"/>
          <w:sz w:val="32"/>
          <w:szCs w:val="32"/>
        </w:rPr>
      </w:pPr>
      <w:r>
        <w:rPr>
          <w:rFonts w:ascii="Times New Roman" w:eastAsia="仿宋_GB2312" w:hAnsi="Times New Roman" w:cs="Times New Roman"/>
          <w:bCs/>
          <w:kern w:val="0"/>
          <w:sz w:val="32"/>
          <w:szCs w:val="32"/>
        </w:rPr>
        <w:t xml:space="preserve"> </w:t>
      </w:r>
    </w:p>
    <w:p w:rsidR="00D97F10" w:rsidRDefault="002273C2">
      <w:pPr>
        <w:snapToGrid w:val="0"/>
        <w:spacing w:line="360" w:lineRule="auto"/>
        <w:ind w:leftChars="250" w:left="525" w:right="525"/>
        <w:jc w:val="left"/>
        <w:textAlignment w:val="baseline"/>
        <w:rPr>
          <w:rFonts w:ascii="Times New Roman" w:eastAsia="仿宋_GB2312" w:hAnsi="Times New Roman" w:cs="Times New Roman"/>
          <w:kern w:val="0"/>
          <w:sz w:val="32"/>
          <w:szCs w:val="32"/>
          <w:u w:val="single"/>
        </w:rPr>
      </w:pPr>
      <w:r>
        <w:rPr>
          <w:rFonts w:ascii="Times New Roman" w:eastAsia="仿宋_GB2312" w:hAnsi="Times New Roman" w:cs="Times New Roman"/>
          <w:b/>
          <w:sz w:val="32"/>
          <w:szCs w:val="32"/>
        </w:rPr>
        <w:t>实施部门：</w:t>
      </w:r>
      <w:r>
        <w:rPr>
          <w:rFonts w:ascii="Times New Roman" w:eastAsia="仿宋_GB2312" w:hAnsi="Times New Roman" w:cs="Times New Roman"/>
          <w:color w:val="000000"/>
          <w:kern w:val="16"/>
          <w:sz w:val="32"/>
          <w:szCs w:val="32"/>
          <w:u w:val="single" w:color="000000"/>
        </w:rPr>
        <w:t xml:space="preserve">  </w:t>
      </w:r>
      <w:r>
        <w:rPr>
          <w:rFonts w:ascii="Times New Roman" w:eastAsia="仿宋_GB2312" w:hAnsi="Times New Roman" w:cs="Times New Roman"/>
          <w:color w:val="000000"/>
          <w:kern w:val="16"/>
          <w:sz w:val="32"/>
          <w:szCs w:val="32"/>
          <w:u w:val="single" w:color="000000"/>
        </w:rPr>
        <w:t>北京城市副中心工程建设管理办公室</w:t>
      </w:r>
      <w:r>
        <w:rPr>
          <w:rFonts w:ascii="Times New Roman" w:eastAsia="仿宋_GB2312" w:hAnsi="Times New Roman" w:cs="Times New Roman"/>
          <w:color w:val="000000"/>
          <w:kern w:val="16"/>
          <w:sz w:val="32"/>
          <w:szCs w:val="32"/>
          <w:u w:val="single" w:color="000000"/>
        </w:rPr>
        <w:t xml:space="preserve">  </w:t>
      </w:r>
      <w:r>
        <w:rPr>
          <w:rFonts w:ascii="Times New Roman" w:eastAsia="仿宋_GB2312" w:hAnsi="Times New Roman" w:cs="Times New Roman"/>
          <w:bCs/>
          <w:kern w:val="0"/>
          <w:sz w:val="32"/>
          <w:szCs w:val="32"/>
        </w:rPr>
        <w:t xml:space="preserve"> </w:t>
      </w:r>
    </w:p>
    <w:p w:rsidR="00D97F10" w:rsidRDefault="002273C2" w:rsidP="004C6239">
      <w:pPr>
        <w:adjustRightInd w:val="0"/>
        <w:snapToGrid w:val="0"/>
        <w:spacing w:line="360" w:lineRule="auto"/>
        <w:ind w:leftChars="250" w:left="2292" w:right="539" w:hangingChars="550" w:hanging="1767"/>
        <w:jc w:val="left"/>
        <w:textAlignment w:val="baseline"/>
        <w:rPr>
          <w:rFonts w:ascii="Times New Roman" w:eastAsia="仿宋_GB2312" w:hAnsi="Times New Roman" w:cs="Times New Roman"/>
          <w:color w:val="000000"/>
          <w:kern w:val="16"/>
          <w:sz w:val="32"/>
          <w:szCs w:val="32"/>
          <w:u w:val="single" w:color="000000"/>
        </w:rPr>
      </w:pPr>
      <w:r>
        <w:rPr>
          <w:rFonts w:ascii="Times New Roman" w:eastAsia="仿宋_GB2312" w:hAnsi="Times New Roman" w:cs="Times New Roman"/>
          <w:b/>
          <w:sz w:val="32"/>
          <w:szCs w:val="32"/>
        </w:rPr>
        <w:t>项目名称：</w:t>
      </w:r>
      <w:r>
        <w:rPr>
          <w:rFonts w:ascii="Times New Roman" w:eastAsia="仿宋_GB2312" w:hAnsi="Times New Roman" w:cs="Times New Roman"/>
          <w:bCs/>
          <w:kern w:val="0"/>
          <w:sz w:val="32"/>
          <w:szCs w:val="32"/>
          <w:u w:val="single" w:color="000000"/>
        </w:rPr>
        <w:t xml:space="preserve">       </w:t>
      </w:r>
      <w:r>
        <w:rPr>
          <w:rFonts w:ascii="Times New Roman" w:eastAsia="仿宋_GB2312" w:hAnsi="Times New Roman" w:cs="Times New Roman"/>
          <w:color w:val="000000"/>
          <w:kern w:val="16"/>
          <w:sz w:val="32"/>
          <w:szCs w:val="32"/>
          <w:u w:val="single" w:color="000000"/>
        </w:rPr>
        <w:t>2022</w:t>
      </w:r>
      <w:r>
        <w:rPr>
          <w:rFonts w:ascii="Times New Roman" w:eastAsia="仿宋_GB2312" w:hAnsi="Times New Roman" w:cs="Times New Roman"/>
          <w:color w:val="000000"/>
          <w:kern w:val="16"/>
          <w:sz w:val="32"/>
          <w:szCs w:val="32"/>
          <w:u w:val="single" w:color="000000"/>
        </w:rPr>
        <w:t>年部门整体绩效评价</w:t>
      </w:r>
      <w:r>
        <w:rPr>
          <w:rFonts w:ascii="Times New Roman" w:eastAsia="仿宋_GB2312" w:hAnsi="Times New Roman" w:cs="Times New Roman"/>
          <w:color w:val="000000"/>
          <w:kern w:val="16"/>
          <w:sz w:val="32"/>
          <w:szCs w:val="32"/>
          <w:u w:val="single" w:color="000000"/>
        </w:rPr>
        <w:t xml:space="preserve">       </w:t>
      </w:r>
    </w:p>
    <w:p w:rsidR="00D97F10" w:rsidRDefault="00D97F10">
      <w:pPr>
        <w:spacing w:line="480" w:lineRule="auto"/>
        <w:jc w:val="center"/>
        <w:textAlignment w:val="baseline"/>
        <w:rPr>
          <w:rFonts w:ascii="Times New Roman" w:eastAsia="黑体" w:hAnsi="Times New Roman" w:cs="Times New Roman"/>
          <w:b/>
          <w:sz w:val="32"/>
          <w:szCs w:val="20"/>
        </w:rPr>
      </w:pPr>
    </w:p>
    <w:p w:rsidR="00D97F10" w:rsidRDefault="00D97F10">
      <w:pPr>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pStyle w:val="a0"/>
        <w:rPr>
          <w:rFonts w:ascii="Times New Roman" w:hAnsi="Times New Roman" w:cs="Times New Roman"/>
        </w:rPr>
      </w:pPr>
    </w:p>
    <w:p w:rsidR="00D97F10" w:rsidRDefault="00D97F10">
      <w:pPr>
        <w:spacing w:line="480" w:lineRule="auto"/>
        <w:jc w:val="center"/>
        <w:textAlignment w:val="baseline"/>
        <w:rPr>
          <w:rFonts w:ascii="Times New Roman" w:eastAsia="黑体" w:hAnsi="Times New Roman" w:cs="Times New Roman"/>
          <w:b/>
          <w:sz w:val="32"/>
          <w:szCs w:val="20"/>
        </w:rPr>
      </w:pPr>
    </w:p>
    <w:p w:rsidR="00D97F10" w:rsidRDefault="002273C2">
      <w:pPr>
        <w:snapToGrid w:val="0"/>
        <w:spacing w:line="360" w:lineRule="auto"/>
        <w:jc w:val="center"/>
        <w:rPr>
          <w:rFonts w:ascii="Times New Roman" w:eastAsia="宋体" w:hAnsi="Times New Roman" w:cs="Times New Roman"/>
          <w:b/>
          <w:sz w:val="32"/>
          <w:szCs w:val="32"/>
        </w:rPr>
      </w:pPr>
      <w:bookmarkStart w:id="0" w:name="_Hlk71569008"/>
      <w:r>
        <w:rPr>
          <w:rFonts w:ascii="Times New Roman" w:eastAsia="宋体" w:hAnsi="Times New Roman" w:cs="Times New Roman"/>
          <w:b/>
          <w:sz w:val="32"/>
          <w:szCs w:val="32"/>
        </w:rPr>
        <w:t>北京城市副中心工程建设管理办公室</w:t>
      </w:r>
    </w:p>
    <w:bookmarkEnd w:id="0"/>
    <w:p w:rsidR="00D97F10" w:rsidRDefault="002273C2">
      <w:pPr>
        <w:jc w:val="center"/>
        <w:textAlignment w:val="baseline"/>
        <w:rPr>
          <w:rFonts w:ascii="Times New Roman" w:eastAsia="宋体" w:hAnsi="Times New Roman" w:cs="Times New Roman"/>
          <w:b/>
          <w:kern w:val="44"/>
          <w:sz w:val="32"/>
          <w:szCs w:val="32"/>
        </w:rPr>
      </w:pPr>
      <w:r>
        <w:rPr>
          <w:rFonts w:ascii="Times New Roman" w:eastAsia="宋体" w:hAnsi="Times New Roman" w:cs="Times New Roman"/>
          <w:b/>
          <w:kern w:val="44"/>
          <w:sz w:val="32"/>
          <w:szCs w:val="32"/>
        </w:rPr>
        <w:t>2023</w:t>
      </w:r>
      <w:r>
        <w:rPr>
          <w:rFonts w:ascii="Times New Roman" w:eastAsia="宋体" w:hAnsi="Times New Roman" w:cs="Times New Roman"/>
          <w:b/>
          <w:kern w:val="44"/>
          <w:sz w:val="32"/>
          <w:szCs w:val="32"/>
        </w:rPr>
        <w:t>年</w:t>
      </w:r>
      <w:r>
        <w:rPr>
          <w:rFonts w:ascii="Times New Roman" w:eastAsia="宋体" w:hAnsi="Times New Roman" w:cs="Times New Roman"/>
          <w:b/>
          <w:kern w:val="44"/>
          <w:sz w:val="32"/>
          <w:szCs w:val="32"/>
        </w:rPr>
        <w:t>5</w:t>
      </w:r>
      <w:r>
        <w:rPr>
          <w:rFonts w:ascii="Times New Roman" w:eastAsia="宋体" w:hAnsi="Times New Roman" w:cs="Times New Roman"/>
          <w:b/>
          <w:kern w:val="44"/>
          <w:sz w:val="32"/>
          <w:szCs w:val="32"/>
        </w:rPr>
        <w:t>月</w:t>
      </w:r>
    </w:p>
    <w:p w:rsidR="00D97F10" w:rsidRDefault="002273C2">
      <w:pPr>
        <w:rPr>
          <w:rFonts w:ascii="Times New Roman" w:eastAsia="宋体" w:hAnsi="Times New Roman" w:cs="Times New Roman"/>
          <w:b/>
          <w:kern w:val="44"/>
          <w:sz w:val="32"/>
          <w:szCs w:val="32"/>
        </w:rPr>
      </w:pPr>
      <w:r>
        <w:rPr>
          <w:rFonts w:ascii="Times New Roman" w:eastAsia="宋体" w:hAnsi="Times New Roman" w:cs="Times New Roman"/>
          <w:b/>
          <w:kern w:val="44"/>
          <w:sz w:val="32"/>
          <w:szCs w:val="32"/>
        </w:rPr>
        <w:br w:type="page"/>
      </w:r>
    </w:p>
    <w:sdt>
      <w:sdtPr>
        <w:rPr>
          <w:rFonts w:ascii="Times New Roman" w:eastAsia="宋体" w:hAnsi="Times New Roman" w:cs="Times New Roman"/>
          <w:b/>
          <w:bCs/>
          <w:sz w:val="44"/>
          <w:szCs w:val="44"/>
        </w:rPr>
        <w:id w:val="147451666"/>
        <w:docPartObj>
          <w:docPartGallery w:val="Table of Contents"/>
          <w:docPartUnique/>
        </w:docPartObj>
      </w:sdtPr>
      <w:sdtEndPr>
        <w:rPr>
          <w:rFonts w:eastAsiaTheme="minorEastAsia"/>
          <w:sz w:val="28"/>
          <w:szCs w:val="28"/>
        </w:rPr>
      </w:sdtEndPr>
      <w:sdtContent>
        <w:p w:rsidR="00D97F10" w:rsidRDefault="002273C2">
          <w:pPr>
            <w:jc w:val="center"/>
            <w:textAlignment w:val="baseline"/>
            <w:rPr>
              <w:rFonts w:ascii="Times New Roman" w:hAnsi="Times New Roman" w:cs="Times New Roman"/>
              <w:b/>
              <w:bCs/>
              <w:sz w:val="44"/>
              <w:szCs w:val="44"/>
            </w:rPr>
          </w:pPr>
          <w:r>
            <w:rPr>
              <w:rFonts w:ascii="Times New Roman" w:eastAsia="宋体" w:hAnsi="Times New Roman" w:cs="Times New Roman"/>
              <w:b/>
              <w:bCs/>
              <w:sz w:val="44"/>
              <w:szCs w:val="44"/>
            </w:rPr>
            <w:t>目</w:t>
          </w:r>
          <w:r>
            <w:rPr>
              <w:rFonts w:ascii="Times New Roman" w:eastAsia="宋体" w:hAnsi="Times New Roman" w:cs="Times New Roman"/>
              <w:b/>
              <w:bCs/>
              <w:sz w:val="44"/>
              <w:szCs w:val="44"/>
            </w:rPr>
            <w:t xml:space="preserve"> </w:t>
          </w:r>
          <w:r>
            <w:rPr>
              <w:rFonts w:ascii="Times New Roman" w:eastAsia="宋体" w:hAnsi="Times New Roman" w:cs="Times New Roman"/>
              <w:b/>
              <w:bCs/>
              <w:sz w:val="44"/>
              <w:szCs w:val="44"/>
            </w:rPr>
            <w:t>录</w:t>
          </w:r>
        </w:p>
        <w:p w:rsidR="00D97F10" w:rsidRDefault="002273C2">
          <w:pPr>
            <w:pStyle w:val="10"/>
            <w:tabs>
              <w:tab w:val="right" w:leader="dot" w:pos="8504"/>
            </w:tabs>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TOC \o "1-2" \h \u </w:instrText>
          </w:r>
          <w:r>
            <w:rPr>
              <w:rFonts w:ascii="Times New Roman" w:hAnsi="Times New Roman" w:cs="Times New Roman"/>
              <w:sz w:val="28"/>
              <w:szCs w:val="28"/>
            </w:rPr>
            <w:fldChar w:fldCharType="separate"/>
          </w:r>
          <w:hyperlink w:anchor="_Toc23316" w:history="1">
            <w:r>
              <w:rPr>
                <w:rFonts w:ascii="Times New Roman" w:eastAsia="黑体" w:hAnsi="Times New Roman" w:cs="Times New Roman"/>
                <w:sz w:val="28"/>
                <w:szCs w:val="28"/>
              </w:rPr>
              <w:t>一、部门概况</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_Toc23316 \h </w:instrText>
            </w:r>
            <w:r>
              <w:rPr>
                <w:rFonts w:ascii="Times New Roman" w:hAnsi="Times New Roman" w:cs="Times New Roman"/>
                <w:sz w:val="28"/>
                <w:szCs w:val="28"/>
              </w:rPr>
            </w:r>
            <w:r>
              <w:rPr>
                <w:rFonts w:ascii="Times New Roman" w:hAnsi="Times New Roman" w:cs="Times New Roman"/>
                <w:sz w:val="28"/>
                <w:szCs w:val="28"/>
              </w:rPr>
              <w:fldChar w:fldCharType="separate"/>
            </w:r>
            <w:r w:rsidR="00D30F89">
              <w:rPr>
                <w:rFonts w:ascii="Times New Roman" w:hAnsi="Times New Roman" w:cs="Times New Roman"/>
                <w:noProof/>
                <w:sz w:val="28"/>
                <w:szCs w:val="28"/>
              </w:rPr>
              <w:t>1</w:t>
            </w:r>
            <w:r>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24814" w:history="1">
            <w:r w:rsidR="002273C2">
              <w:rPr>
                <w:rFonts w:ascii="Times New Roman" w:eastAsia="楷体_GB2312" w:hAnsi="Times New Roman" w:cs="Times New Roman"/>
                <w:bCs/>
                <w:sz w:val="28"/>
                <w:szCs w:val="28"/>
              </w:rPr>
              <w:t>（一）机构设置及职责工作任务情况</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_Toc24814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401" w:history="1">
            <w:r w:rsidR="002273C2">
              <w:rPr>
                <w:rFonts w:ascii="Times New Roman" w:eastAsia="楷体_GB2312" w:hAnsi="Times New Roman" w:cs="Times New Roman"/>
                <w:bCs/>
                <w:sz w:val="28"/>
                <w:szCs w:val="28"/>
              </w:rPr>
              <w:t>（二）部门整体绩效目标设立情况</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_Toc401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2</w:t>
            </w:r>
            <w:r w:rsidR="002273C2">
              <w:rPr>
                <w:rFonts w:ascii="Times New Roman" w:hAnsi="Times New Roman" w:cs="Times New Roman"/>
                <w:sz w:val="28"/>
                <w:szCs w:val="28"/>
              </w:rPr>
              <w:fldChar w:fldCharType="end"/>
            </w:r>
          </w:hyperlink>
        </w:p>
        <w:p w:rsidR="00D97F10" w:rsidRDefault="00377E72">
          <w:pPr>
            <w:pStyle w:val="10"/>
            <w:tabs>
              <w:tab w:val="right" w:leader="dot" w:pos="8504"/>
            </w:tabs>
            <w:rPr>
              <w:rFonts w:ascii="Times New Roman" w:hAnsi="Times New Roman" w:cs="Times New Roman"/>
              <w:sz w:val="28"/>
              <w:szCs w:val="28"/>
            </w:rPr>
          </w:pPr>
          <w:hyperlink w:anchor="_Toc17412" w:history="1">
            <w:r w:rsidR="002273C2">
              <w:rPr>
                <w:rFonts w:ascii="Times New Roman" w:eastAsia="黑体" w:hAnsi="Times New Roman" w:cs="Times New Roman"/>
                <w:sz w:val="28"/>
                <w:szCs w:val="28"/>
              </w:rPr>
              <w:t>二、当年预算执行情况</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_Toc17412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3</w:t>
            </w:r>
            <w:r w:rsidR="002273C2">
              <w:rPr>
                <w:rFonts w:ascii="Times New Roman" w:hAnsi="Times New Roman" w:cs="Times New Roman"/>
                <w:sz w:val="28"/>
                <w:szCs w:val="28"/>
              </w:rPr>
              <w:fldChar w:fldCharType="end"/>
            </w:r>
          </w:hyperlink>
        </w:p>
        <w:p w:rsidR="00D97F10" w:rsidRDefault="00377E72">
          <w:pPr>
            <w:pStyle w:val="10"/>
            <w:tabs>
              <w:tab w:val="right" w:leader="dot" w:pos="8504"/>
            </w:tabs>
            <w:rPr>
              <w:rFonts w:ascii="Times New Roman" w:hAnsi="Times New Roman" w:cs="Times New Roman"/>
              <w:sz w:val="28"/>
              <w:szCs w:val="28"/>
            </w:rPr>
          </w:pPr>
          <w:hyperlink w:anchor="_Toc7884" w:history="1">
            <w:r w:rsidR="002273C2">
              <w:rPr>
                <w:rFonts w:ascii="Times New Roman" w:eastAsia="黑体" w:hAnsi="Times New Roman" w:cs="Times New Roman"/>
                <w:kern w:val="0"/>
                <w:sz w:val="28"/>
                <w:szCs w:val="28"/>
              </w:rPr>
              <w:t>三、整体绩效目标实现情况</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_Toc7884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3</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14972" w:history="1">
            <w:r w:rsidR="002273C2">
              <w:rPr>
                <w:rFonts w:ascii="Times New Roman" w:eastAsia="楷体_GB2312" w:hAnsi="Times New Roman" w:cs="Times New Roman"/>
                <w:bCs/>
                <w:sz w:val="28"/>
                <w:szCs w:val="28"/>
              </w:rPr>
              <w:t>（一）产出完成情况分析</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_Toc14972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3</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27645" w:history="1">
            <w:r w:rsidR="002273C2">
              <w:rPr>
                <w:rFonts w:ascii="Times New Roman" w:eastAsia="楷体_GB2312" w:hAnsi="Times New Roman" w:cs="Times New Roman"/>
                <w:bCs/>
                <w:sz w:val="28"/>
                <w:szCs w:val="28"/>
              </w:rPr>
              <w:t>（二）效果实现情况分析</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_Toc27645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5</w:t>
            </w:r>
            <w:r w:rsidR="002273C2">
              <w:rPr>
                <w:rFonts w:ascii="Times New Roman" w:hAnsi="Times New Roman" w:cs="Times New Roman"/>
                <w:sz w:val="28"/>
                <w:szCs w:val="28"/>
              </w:rPr>
              <w:fldChar w:fldCharType="end"/>
            </w:r>
          </w:hyperlink>
        </w:p>
        <w:p w:rsidR="00D97F10" w:rsidRDefault="00377E72">
          <w:pPr>
            <w:pStyle w:val="10"/>
            <w:tabs>
              <w:tab w:val="right" w:leader="dot" w:pos="8504"/>
            </w:tabs>
            <w:rPr>
              <w:rFonts w:ascii="Times New Roman" w:hAnsi="Times New Roman" w:cs="Times New Roman"/>
              <w:sz w:val="28"/>
              <w:szCs w:val="28"/>
            </w:rPr>
          </w:pPr>
          <w:hyperlink w:anchor="_Toc28601" w:history="1">
            <w:r w:rsidR="002273C2">
              <w:rPr>
                <w:rFonts w:ascii="Times New Roman" w:eastAsia="黑体" w:hAnsi="Times New Roman" w:cs="Times New Roman"/>
                <w:sz w:val="28"/>
                <w:szCs w:val="28"/>
              </w:rPr>
              <w:t>四、预算管理情况分析</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_Toc28601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7</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27131" w:history="1">
            <w:r w:rsidR="002273C2">
              <w:rPr>
                <w:rFonts w:ascii="Times New Roman" w:eastAsia="楷体_GB2312" w:hAnsi="Times New Roman" w:cs="Times New Roman"/>
                <w:bCs/>
                <w:sz w:val="28"/>
                <w:szCs w:val="28"/>
              </w:rPr>
              <w:t>（一）财务管理</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_Toc27131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7</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16450" w:history="1">
            <w:r w:rsidR="002273C2">
              <w:rPr>
                <w:rFonts w:ascii="Times New Roman" w:eastAsia="楷体_GB2312" w:hAnsi="Times New Roman" w:cs="Times New Roman"/>
                <w:sz w:val="28"/>
                <w:szCs w:val="28"/>
              </w:rPr>
              <w:t>（二）资产管理</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_Toc16450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8</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11768" w:history="1">
            <w:r w:rsidR="002273C2">
              <w:rPr>
                <w:rFonts w:ascii="Times New Roman" w:eastAsia="楷体_GB2312" w:hAnsi="Times New Roman" w:cs="Times New Roman"/>
                <w:bCs/>
                <w:sz w:val="28"/>
                <w:szCs w:val="28"/>
              </w:rPr>
              <w:t>（三）绩效管理</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_Toc11768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9</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5157" w:history="1">
            <w:r w:rsidR="002273C2">
              <w:rPr>
                <w:rFonts w:ascii="Times New Roman" w:eastAsia="楷体_GB2312" w:hAnsi="Times New Roman" w:cs="Times New Roman"/>
                <w:bCs/>
                <w:sz w:val="28"/>
                <w:szCs w:val="28"/>
              </w:rPr>
              <w:t>（四）结转结余率</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_Toc5157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9</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4325" w:history="1">
            <w:r w:rsidR="002273C2">
              <w:rPr>
                <w:rFonts w:ascii="Times New Roman" w:eastAsia="楷体_GB2312" w:hAnsi="Times New Roman" w:cs="Times New Roman"/>
                <w:bCs/>
                <w:sz w:val="28"/>
                <w:szCs w:val="28"/>
              </w:rPr>
              <w:t>（五）部门预决算差异率</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_Toc4325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10</w:t>
            </w:r>
            <w:r w:rsidR="002273C2">
              <w:rPr>
                <w:rFonts w:ascii="Times New Roman" w:hAnsi="Times New Roman" w:cs="Times New Roman"/>
                <w:sz w:val="28"/>
                <w:szCs w:val="28"/>
              </w:rPr>
              <w:fldChar w:fldCharType="end"/>
            </w:r>
          </w:hyperlink>
        </w:p>
        <w:p w:rsidR="00D97F10" w:rsidRDefault="00377E72">
          <w:pPr>
            <w:pStyle w:val="10"/>
            <w:tabs>
              <w:tab w:val="right" w:leader="dot" w:pos="8504"/>
            </w:tabs>
            <w:rPr>
              <w:rFonts w:ascii="Times New Roman" w:hAnsi="Times New Roman" w:cs="Times New Roman"/>
              <w:sz w:val="28"/>
              <w:szCs w:val="28"/>
            </w:rPr>
          </w:pPr>
          <w:hyperlink w:anchor="_Toc5438" w:history="1">
            <w:r w:rsidR="002273C2">
              <w:rPr>
                <w:rFonts w:ascii="Times New Roman" w:eastAsia="黑体" w:hAnsi="Times New Roman" w:cs="Times New Roman"/>
                <w:sz w:val="28"/>
                <w:szCs w:val="28"/>
              </w:rPr>
              <w:t>五、总体评价结论</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_Toc5438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11</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16148" w:history="1">
            <w:r w:rsidR="002273C2">
              <w:rPr>
                <w:rFonts w:ascii="Times New Roman" w:eastAsia="楷体_GB2312" w:hAnsi="Times New Roman" w:cs="Times New Roman"/>
                <w:bCs/>
                <w:sz w:val="28"/>
                <w:szCs w:val="28"/>
              </w:rPr>
              <w:t>（一）评价得分情况</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_Toc16148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11</w:t>
            </w:r>
            <w:r w:rsidR="002273C2">
              <w:rPr>
                <w:rFonts w:ascii="Times New Roman" w:hAnsi="Times New Roman" w:cs="Times New Roman"/>
                <w:sz w:val="28"/>
                <w:szCs w:val="28"/>
              </w:rPr>
              <w:fldChar w:fldCharType="end"/>
            </w:r>
          </w:hyperlink>
        </w:p>
        <w:p w:rsidR="00D97F10" w:rsidRDefault="00377E72">
          <w:pPr>
            <w:pStyle w:val="21"/>
            <w:tabs>
              <w:tab w:val="right" w:leader="dot" w:pos="8504"/>
            </w:tabs>
            <w:rPr>
              <w:rFonts w:ascii="Times New Roman" w:hAnsi="Times New Roman" w:cs="Times New Roman"/>
              <w:sz w:val="28"/>
              <w:szCs w:val="28"/>
            </w:rPr>
          </w:pPr>
          <w:hyperlink w:anchor="_Toc26844" w:history="1">
            <w:r w:rsidR="002273C2">
              <w:rPr>
                <w:rFonts w:ascii="Times New Roman" w:eastAsia="楷体_GB2312" w:hAnsi="Times New Roman" w:cs="Times New Roman"/>
                <w:bCs/>
                <w:sz w:val="28"/>
                <w:szCs w:val="28"/>
              </w:rPr>
              <w:t>（二）存在的问题及原因分析</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_Toc26844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12</w:t>
            </w:r>
            <w:r w:rsidR="002273C2">
              <w:rPr>
                <w:rFonts w:ascii="Times New Roman" w:hAnsi="Times New Roman" w:cs="Times New Roman"/>
                <w:sz w:val="28"/>
                <w:szCs w:val="28"/>
              </w:rPr>
              <w:fldChar w:fldCharType="end"/>
            </w:r>
          </w:hyperlink>
        </w:p>
        <w:p w:rsidR="00D97F10" w:rsidRDefault="00377E72">
          <w:pPr>
            <w:pStyle w:val="10"/>
            <w:tabs>
              <w:tab w:val="right" w:leader="dot" w:pos="8504"/>
            </w:tabs>
            <w:rPr>
              <w:rFonts w:ascii="Times New Roman" w:hAnsi="Times New Roman" w:cs="Times New Roman"/>
              <w:sz w:val="28"/>
              <w:szCs w:val="28"/>
            </w:rPr>
          </w:pPr>
          <w:hyperlink w:anchor="_Toc20952" w:history="1">
            <w:r w:rsidR="002273C2">
              <w:rPr>
                <w:rFonts w:ascii="Times New Roman" w:eastAsia="黑体" w:hAnsi="Times New Roman" w:cs="Times New Roman"/>
                <w:kern w:val="0"/>
                <w:sz w:val="28"/>
                <w:szCs w:val="28"/>
              </w:rPr>
              <w:t>六、措施建议</w:t>
            </w:r>
            <w:r w:rsidR="002273C2">
              <w:rPr>
                <w:rFonts w:ascii="Times New Roman" w:hAnsi="Times New Roman" w:cs="Times New Roman"/>
                <w:sz w:val="28"/>
                <w:szCs w:val="28"/>
              </w:rPr>
              <w:tab/>
            </w:r>
            <w:r w:rsidR="002273C2">
              <w:rPr>
                <w:rFonts w:ascii="Times New Roman" w:hAnsi="Times New Roman" w:cs="Times New Roman"/>
                <w:sz w:val="28"/>
                <w:szCs w:val="28"/>
              </w:rPr>
              <w:fldChar w:fldCharType="begin"/>
            </w:r>
            <w:r w:rsidR="002273C2">
              <w:rPr>
                <w:rFonts w:ascii="Times New Roman" w:hAnsi="Times New Roman" w:cs="Times New Roman"/>
                <w:sz w:val="28"/>
                <w:szCs w:val="28"/>
              </w:rPr>
              <w:instrText xml:space="preserve"> PAGEREF _Toc20952 \h </w:instrText>
            </w:r>
            <w:r w:rsidR="002273C2">
              <w:rPr>
                <w:rFonts w:ascii="Times New Roman" w:hAnsi="Times New Roman" w:cs="Times New Roman"/>
                <w:sz w:val="28"/>
                <w:szCs w:val="28"/>
              </w:rPr>
            </w:r>
            <w:r w:rsidR="002273C2">
              <w:rPr>
                <w:rFonts w:ascii="Times New Roman" w:hAnsi="Times New Roman" w:cs="Times New Roman"/>
                <w:sz w:val="28"/>
                <w:szCs w:val="28"/>
              </w:rPr>
              <w:fldChar w:fldCharType="separate"/>
            </w:r>
            <w:r w:rsidR="00D30F89">
              <w:rPr>
                <w:rFonts w:ascii="Times New Roman" w:hAnsi="Times New Roman" w:cs="Times New Roman"/>
                <w:noProof/>
                <w:sz w:val="28"/>
                <w:szCs w:val="28"/>
              </w:rPr>
              <w:t>13</w:t>
            </w:r>
            <w:r w:rsidR="002273C2">
              <w:rPr>
                <w:rFonts w:ascii="Times New Roman" w:hAnsi="Times New Roman" w:cs="Times New Roman"/>
                <w:sz w:val="28"/>
                <w:szCs w:val="28"/>
              </w:rPr>
              <w:fldChar w:fldCharType="end"/>
            </w:r>
          </w:hyperlink>
        </w:p>
        <w:p w:rsidR="00D97F10" w:rsidRDefault="002273C2">
          <w:pPr>
            <w:pStyle w:val="9"/>
            <w:ind w:left="3360"/>
            <w:textAlignment w:val="baseline"/>
            <w:rPr>
              <w:rFonts w:ascii="Times New Roman" w:hAnsi="Times New Roman" w:cs="Times New Roman"/>
              <w:sz w:val="28"/>
              <w:szCs w:val="28"/>
            </w:rPr>
          </w:pPr>
          <w:r>
            <w:rPr>
              <w:rFonts w:ascii="Times New Roman" w:hAnsi="Times New Roman" w:cs="Times New Roman"/>
              <w:sz w:val="28"/>
              <w:szCs w:val="28"/>
            </w:rPr>
            <w:fldChar w:fldCharType="end"/>
          </w:r>
        </w:p>
      </w:sdtContent>
    </w:sdt>
    <w:p w:rsidR="00D97F10" w:rsidRDefault="00D97F10">
      <w:pPr>
        <w:spacing w:line="560" w:lineRule="exact"/>
        <w:jc w:val="center"/>
        <w:textAlignment w:val="baseline"/>
        <w:rPr>
          <w:rFonts w:ascii="Times New Roman" w:eastAsia="方正小标宋简体" w:hAnsi="Times New Roman" w:cs="Times New Roman"/>
          <w:sz w:val="28"/>
          <w:szCs w:val="28"/>
        </w:rPr>
        <w:sectPr w:rsidR="00D97F10">
          <w:pgSz w:w="11906" w:h="16838"/>
          <w:pgMar w:top="1701" w:right="1701" w:bottom="1701" w:left="1701" w:header="851" w:footer="992" w:gutter="0"/>
          <w:pgNumType w:start="1"/>
          <w:cols w:space="425"/>
          <w:docGrid w:type="lines" w:linePitch="312"/>
        </w:sectPr>
      </w:pPr>
    </w:p>
    <w:p w:rsidR="00D97F10" w:rsidRDefault="002273C2">
      <w:pPr>
        <w:spacing w:line="600" w:lineRule="exact"/>
        <w:jc w:val="center"/>
        <w:textAlignment w:val="baseline"/>
        <w:rPr>
          <w:rFonts w:ascii="Times New Roman" w:eastAsia="方正小标宋简体" w:hAnsi="Times New Roman" w:cs="Times New Roman"/>
          <w:sz w:val="44"/>
          <w:szCs w:val="44"/>
        </w:rPr>
      </w:pPr>
      <w:bookmarkStart w:id="1" w:name="_Toc12030"/>
      <w:r>
        <w:rPr>
          <w:rFonts w:ascii="Times New Roman" w:eastAsia="方正小标宋简体" w:hAnsi="Times New Roman" w:cs="Times New Roman"/>
          <w:sz w:val="44"/>
          <w:szCs w:val="44"/>
        </w:rPr>
        <w:lastRenderedPageBreak/>
        <w:t>2022</w:t>
      </w:r>
      <w:r>
        <w:rPr>
          <w:rFonts w:ascii="Times New Roman" w:eastAsia="方正小标宋简体" w:hAnsi="Times New Roman" w:cs="Times New Roman"/>
          <w:sz w:val="44"/>
          <w:szCs w:val="44"/>
        </w:rPr>
        <w:t>年部门整体绩效评价报告</w:t>
      </w:r>
      <w:bookmarkEnd w:id="1"/>
    </w:p>
    <w:p w:rsidR="00D97F10" w:rsidRDefault="00D97F10">
      <w:pPr>
        <w:adjustRightInd w:val="0"/>
        <w:snapToGrid w:val="0"/>
        <w:spacing w:line="560" w:lineRule="exact"/>
        <w:ind w:firstLineChars="200" w:firstLine="640"/>
        <w:textAlignment w:val="baseline"/>
        <w:rPr>
          <w:rFonts w:ascii="Times New Roman" w:eastAsia="仿宋_GB2312" w:hAnsi="Times New Roman" w:cs="Times New Roman"/>
          <w:sz w:val="32"/>
          <w:szCs w:val="32"/>
        </w:rPr>
      </w:pP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为强化预算绩效管理机制，规范财政支出管理，增强部门支出责任，提高财政资金使用效益，根据</w:t>
      </w:r>
      <w:bookmarkStart w:id="2" w:name="_Hlk68003568"/>
      <w:r>
        <w:rPr>
          <w:rFonts w:ascii="Times New Roman" w:eastAsia="仿宋_GB2312" w:hAnsi="Times New Roman" w:cs="Times New Roman"/>
          <w:sz w:val="32"/>
          <w:szCs w:val="32"/>
        </w:rPr>
        <w:t>《中共中央</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国务院关于全面实施预算绩效管理的意见》（中发〔</w:t>
      </w:r>
      <w:r>
        <w:rPr>
          <w:rFonts w:ascii="Times New Roman" w:eastAsia="仿宋_GB2312" w:hAnsi="Times New Roman" w:cs="Times New Roman"/>
          <w:sz w:val="32"/>
          <w:szCs w:val="32"/>
        </w:rPr>
        <w:t>2018</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号）、《中共北京市委</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北京市人民政府关于全面实施预算绩效管理的实施意见》（京发〔</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号）、《北京市预算绩效管理办法》（</w:t>
      </w:r>
      <w:proofErr w:type="gramStart"/>
      <w:r>
        <w:rPr>
          <w:rFonts w:ascii="Times New Roman" w:eastAsia="仿宋_GB2312" w:hAnsi="Times New Roman" w:cs="Times New Roman"/>
          <w:sz w:val="32"/>
          <w:szCs w:val="32"/>
        </w:rPr>
        <w:t>京财绩效</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2129</w:t>
      </w:r>
      <w:r>
        <w:rPr>
          <w:rFonts w:ascii="Times New Roman" w:eastAsia="仿宋_GB2312" w:hAnsi="Times New Roman" w:cs="Times New Roman"/>
          <w:sz w:val="32"/>
          <w:szCs w:val="32"/>
        </w:rPr>
        <w:t>号）、</w:t>
      </w:r>
      <w:bookmarkStart w:id="3" w:name="_Hlk68003590"/>
      <w:bookmarkEnd w:id="2"/>
      <w:r>
        <w:rPr>
          <w:rFonts w:ascii="Times New Roman" w:eastAsia="仿宋_GB2312" w:hAnsi="Times New Roman" w:cs="Times New Roman"/>
          <w:sz w:val="32"/>
          <w:szCs w:val="32"/>
        </w:rPr>
        <w:t>《</w:t>
      </w:r>
      <w:r>
        <w:rPr>
          <w:rFonts w:ascii="Times New Roman" w:eastAsia="仿宋_GB2312" w:hAnsi="Times New Roman" w:cs="Times New Roman"/>
          <w:sz w:val="32"/>
          <w:szCs w:val="32"/>
          <w:lang w:val="en"/>
        </w:rPr>
        <w:t>北京市财政局关于</w:t>
      </w:r>
      <w:r>
        <w:rPr>
          <w:rFonts w:ascii="Times New Roman" w:eastAsia="仿宋_GB2312" w:hAnsi="Times New Roman" w:cs="Times New Roman"/>
          <w:sz w:val="32"/>
          <w:szCs w:val="32"/>
          <w:lang w:val="en"/>
        </w:rPr>
        <w:t>2023</w:t>
      </w:r>
      <w:r>
        <w:rPr>
          <w:rFonts w:ascii="Times New Roman" w:eastAsia="仿宋_GB2312" w:hAnsi="Times New Roman" w:cs="Times New Roman"/>
          <w:sz w:val="32"/>
          <w:szCs w:val="32"/>
          <w:lang w:val="en"/>
        </w:rPr>
        <w:t>年推进全面实施预算绩效管理工作的预通知</w:t>
      </w:r>
      <w:r>
        <w:rPr>
          <w:rFonts w:ascii="Times New Roman" w:eastAsia="仿宋_GB2312" w:hAnsi="Times New Roman" w:cs="Times New Roman"/>
          <w:sz w:val="32"/>
          <w:szCs w:val="32"/>
        </w:rPr>
        <w:t>》</w:t>
      </w:r>
      <w:bookmarkEnd w:id="3"/>
      <w:r>
        <w:rPr>
          <w:rFonts w:ascii="Times New Roman" w:eastAsia="仿宋_GB2312" w:hAnsi="Times New Roman" w:cs="Times New Roman"/>
          <w:sz w:val="32"/>
          <w:szCs w:val="32"/>
        </w:rPr>
        <w:t>等文件精神</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北京城市副中心工程建设管理办公室</w:t>
      </w:r>
      <w:r w:rsidR="00A56E84">
        <w:rPr>
          <w:rFonts w:ascii="Times New Roman" w:eastAsia="仿宋_GB2312" w:hAnsi="Times New Roman" w:cs="Times New Roman" w:hint="eastAsia"/>
          <w:sz w:val="32"/>
          <w:szCs w:val="32"/>
        </w:rPr>
        <w:t>（以下简称“副中心工程办”）</w:t>
      </w:r>
      <w:r>
        <w:rPr>
          <w:rFonts w:ascii="Times New Roman" w:eastAsia="仿宋_GB2312" w:hAnsi="Times New Roman" w:cs="Times New Roman"/>
          <w:sz w:val="32"/>
          <w:szCs w:val="32"/>
        </w:rPr>
        <w:t>委托北京和兴会计师事务所组建绩效评价工作组，对</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年部门整体进行绩效评价，形成本报告。</w:t>
      </w:r>
    </w:p>
    <w:p w:rsidR="00D97F10" w:rsidRDefault="002273C2">
      <w:pPr>
        <w:pStyle w:val="af"/>
        <w:adjustRightInd w:val="0"/>
        <w:snapToGrid w:val="0"/>
        <w:spacing w:line="580" w:lineRule="exact"/>
        <w:ind w:firstLine="640"/>
        <w:textAlignment w:val="baseline"/>
        <w:outlineLvl w:val="0"/>
        <w:rPr>
          <w:rFonts w:ascii="Times New Roman" w:eastAsia="黑体" w:hAnsi="Times New Roman" w:cs="Times New Roman"/>
          <w:sz w:val="32"/>
          <w:szCs w:val="32"/>
        </w:rPr>
      </w:pPr>
      <w:bookmarkStart w:id="4" w:name="_Toc8766"/>
      <w:bookmarkStart w:id="5" w:name="_Toc23316"/>
      <w:bookmarkStart w:id="6" w:name="_Toc15145"/>
      <w:bookmarkStart w:id="7" w:name="_Toc17831"/>
      <w:r>
        <w:rPr>
          <w:rFonts w:ascii="Times New Roman" w:eastAsia="黑体" w:hAnsi="Times New Roman" w:cs="Times New Roman"/>
          <w:sz w:val="32"/>
          <w:szCs w:val="32"/>
        </w:rPr>
        <w:t>一、部门概况</w:t>
      </w:r>
      <w:bookmarkEnd w:id="4"/>
      <w:bookmarkEnd w:id="5"/>
      <w:bookmarkEnd w:id="6"/>
      <w:bookmarkEnd w:id="7"/>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8" w:name="_Toc31134"/>
      <w:bookmarkStart w:id="9" w:name="_Toc24814"/>
      <w:bookmarkStart w:id="10" w:name="_Toc23826"/>
      <w:bookmarkStart w:id="11" w:name="_Toc7959"/>
      <w:r>
        <w:rPr>
          <w:rFonts w:ascii="Times New Roman" w:eastAsia="楷体_GB2312" w:hAnsi="Times New Roman" w:cs="Times New Roman"/>
          <w:b/>
          <w:bCs/>
          <w:sz w:val="32"/>
          <w:szCs w:val="32"/>
        </w:rPr>
        <w:t>（一）机构设置及职责工作任务情况</w:t>
      </w:r>
      <w:bookmarkEnd w:id="8"/>
      <w:bookmarkEnd w:id="9"/>
      <w:bookmarkEnd w:id="10"/>
      <w:bookmarkEnd w:id="11"/>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主要职能</w:t>
      </w:r>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副中心工程办</w:t>
      </w:r>
      <w:r w:rsidR="002273C2">
        <w:rPr>
          <w:rFonts w:ascii="Times New Roman" w:eastAsia="仿宋_GB2312" w:hAnsi="Times New Roman" w:cs="Times New Roman"/>
          <w:sz w:val="32"/>
          <w:szCs w:val="32"/>
        </w:rPr>
        <w:t>作为北京行政副中心行政办公区的建设主体，承担业主职责。其主要职责是：负责统筹协调行政办公区的规划建设等相关工作；编制行政办公区工程建设总体进度计划，并组织实施；协调政府有关部门依法对工程建设实行审批；负责工程招投标组织、合同签署工作，监督工程建设相关资金的使用管理；负责工程建设的信息统计，档案管理工作；协调工程周边环境整治，协调解决工程建设中出现的问题。</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机构情况</w:t>
      </w:r>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副中心工程</w:t>
      </w:r>
      <w:proofErr w:type="gramStart"/>
      <w:r>
        <w:rPr>
          <w:rFonts w:ascii="Times New Roman" w:eastAsia="仿宋_GB2312" w:hAnsi="Times New Roman" w:cs="Times New Roman"/>
          <w:sz w:val="32"/>
          <w:szCs w:val="32"/>
        </w:rPr>
        <w:t>办</w:t>
      </w:r>
      <w:r w:rsidR="002273C2">
        <w:rPr>
          <w:rFonts w:ascii="Times New Roman" w:eastAsia="仿宋_GB2312" w:hAnsi="Times New Roman" w:cs="Times New Roman"/>
          <w:sz w:val="32"/>
          <w:szCs w:val="32"/>
        </w:rPr>
        <w:t>设置</w:t>
      </w:r>
      <w:proofErr w:type="gramEnd"/>
      <w:r w:rsidR="002273C2">
        <w:rPr>
          <w:rFonts w:ascii="Times New Roman" w:eastAsia="仿宋_GB2312" w:hAnsi="Times New Roman" w:cs="Times New Roman"/>
          <w:sz w:val="32"/>
          <w:szCs w:val="32"/>
        </w:rPr>
        <w:t>15</w:t>
      </w:r>
      <w:r w:rsidR="002273C2">
        <w:rPr>
          <w:rFonts w:ascii="Times New Roman" w:eastAsia="仿宋_GB2312" w:hAnsi="Times New Roman" w:cs="Times New Roman"/>
          <w:sz w:val="32"/>
          <w:szCs w:val="32"/>
        </w:rPr>
        <w:t>个内设机构，具体是：综合部、财务审计部、招标合同预算部、规划设计管理部、工程建设管理一部、工程建设管理二部、工程建设管理三部、工程质量管理部、建材科技部、安全生产管理部、保障性住房建设协调部、公共服务配套建设协调部、交通基础设施建设协调部、市政和生态环境建设协调部、信息化建设协调部。</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人员情况</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根据京编办复</w:t>
      </w:r>
      <w:r>
        <w:rPr>
          <w:rFonts w:ascii="Times New Roman" w:eastAsia="仿宋_GB2312" w:hAnsi="Times New Roman" w:cs="Times New Roman"/>
          <w:sz w:val="32"/>
          <w:szCs w:val="32"/>
          <w:lang w:val="en"/>
        </w:rPr>
        <w:t>〔</w:t>
      </w:r>
      <w:r>
        <w:rPr>
          <w:rFonts w:ascii="Times New Roman" w:eastAsia="仿宋_GB2312" w:hAnsi="Times New Roman" w:cs="Times New Roman"/>
          <w:sz w:val="32"/>
          <w:szCs w:val="32"/>
          <w:lang w:val="en"/>
        </w:rPr>
        <w:t>2022</w:t>
      </w:r>
      <w:r>
        <w:rPr>
          <w:rFonts w:ascii="Times New Roman" w:eastAsia="仿宋_GB2312" w:hAnsi="Times New Roman" w:cs="Times New Roman"/>
          <w:sz w:val="32"/>
          <w:szCs w:val="32"/>
          <w:lang w:val="en"/>
        </w:rPr>
        <w:t>〕</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号文件，</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sz w:val="32"/>
          <w:szCs w:val="32"/>
        </w:rPr>
        <w:t>工作人员数量</w:t>
      </w:r>
      <w:r>
        <w:rPr>
          <w:rFonts w:ascii="Times New Roman" w:eastAsia="仿宋_GB2312" w:hAnsi="Times New Roman" w:cs="Times New Roman"/>
          <w:sz w:val="32"/>
          <w:szCs w:val="32"/>
        </w:rPr>
        <w:t>152</w:t>
      </w:r>
      <w:r>
        <w:rPr>
          <w:rFonts w:ascii="Times New Roman" w:eastAsia="仿宋_GB2312" w:hAnsi="Times New Roman" w:cs="Times New Roman"/>
          <w:sz w:val="32"/>
          <w:szCs w:val="32"/>
        </w:rPr>
        <w:t>名，核定内设机构处级领导职数</w:t>
      </w:r>
      <w:r>
        <w:rPr>
          <w:rFonts w:ascii="Times New Roman" w:eastAsia="仿宋_GB2312" w:hAnsi="Times New Roman" w:cs="Times New Roman"/>
          <w:sz w:val="32"/>
          <w:szCs w:val="32"/>
        </w:rPr>
        <w:t>17</w:t>
      </w:r>
      <w:r>
        <w:rPr>
          <w:rFonts w:ascii="Times New Roman" w:eastAsia="仿宋_GB2312" w:hAnsi="Times New Roman" w:cs="Times New Roman"/>
          <w:sz w:val="32"/>
          <w:szCs w:val="32"/>
        </w:rPr>
        <w:t>正</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副。工作人员由相关部门抽调、通州区借调和面向社会公开招聘组成。抽调、借调机关事业单位人员</w:t>
      </w:r>
      <w:r>
        <w:rPr>
          <w:rFonts w:ascii="Times New Roman" w:eastAsia="仿宋_GB2312" w:hAnsi="Times New Roman" w:cs="Times New Roman"/>
          <w:sz w:val="32"/>
          <w:szCs w:val="32"/>
        </w:rPr>
        <w:t>115</w:t>
      </w:r>
      <w:r>
        <w:rPr>
          <w:rFonts w:ascii="Times New Roman" w:eastAsia="仿宋_GB2312" w:hAnsi="Times New Roman" w:cs="Times New Roman"/>
          <w:sz w:val="32"/>
          <w:szCs w:val="32"/>
        </w:rPr>
        <w:t>人，实行集中办公，保留原身份不变；面向社会公开招聘人员</w:t>
      </w:r>
      <w:r>
        <w:rPr>
          <w:rFonts w:ascii="Times New Roman" w:eastAsia="仿宋_GB2312" w:hAnsi="Times New Roman" w:cs="Times New Roman"/>
          <w:sz w:val="32"/>
          <w:szCs w:val="32"/>
        </w:rPr>
        <w:t>2</w:t>
      </w:r>
      <w:r>
        <w:rPr>
          <w:rFonts w:ascii="Times New Roman" w:eastAsia="仿宋_GB2312" w:hAnsi="Times New Roman" w:cs="Times New Roman"/>
          <w:sz w:val="32"/>
          <w:szCs w:val="32"/>
          <w:lang w:val="en"/>
        </w:rPr>
        <w:t>8</w:t>
      </w:r>
      <w:r>
        <w:rPr>
          <w:rFonts w:ascii="Times New Roman" w:eastAsia="仿宋_GB2312" w:hAnsi="Times New Roman" w:cs="Times New Roman"/>
          <w:sz w:val="32"/>
          <w:szCs w:val="32"/>
        </w:rPr>
        <w:t>名，</w:t>
      </w:r>
      <w:r>
        <w:rPr>
          <w:rFonts w:ascii="Times New Roman" w:eastAsia="仿宋_GB2312" w:hAnsi="Times New Roman" w:cs="Times New Roman"/>
          <w:sz w:val="32"/>
          <w:szCs w:val="32"/>
          <w:lang w:val="en"/>
        </w:rPr>
        <w:t>1</w:t>
      </w:r>
      <w:r>
        <w:rPr>
          <w:rFonts w:ascii="Times New Roman" w:eastAsia="仿宋_GB2312" w:hAnsi="Times New Roman" w:cs="Times New Roman"/>
          <w:sz w:val="32"/>
          <w:szCs w:val="32"/>
        </w:rPr>
        <w:t>名返聘人员，实行劳动合同制，按企业化管理。</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12" w:name="_Toc14178"/>
      <w:bookmarkStart w:id="13" w:name="_Toc9052"/>
      <w:bookmarkStart w:id="14" w:name="_Toc401"/>
      <w:bookmarkStart w:id="15" w:name="_Toc17184"/>
      <w:r>
        <w:rPr>
          <w:rFonts w:ascii="Times New Roman" w:eastAsia="楷体_GB2312" w:hAnsi="Times New Roman" w:cs="Times New Roman"/>
          <w:b/>
          <w:bCs/>
          <w:sz w:val="32"/>
          <w:szCs w:val="32"/>
        </w:rPr>
        <w:t>（二）部门整体绩效目标设立情况</w:t>
      </w:r>
      <w:bookmarkEnd w:id="12"/>
      <w:bookmarkEnd w:id="13"/>
      <w:bookmarkEnd w:id="14"/>
      <w:bookmarkEnd w:id="15"/>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w:t>
      </w:r>
      <w:r w:rsidR="00A56E84">
        <w:rPr>
          <w:rFonts w:ascii="Times New Roman" w:eastAsia="仿宋_GB2312" w:hAnsi="Times New Roman" w:cs="Times New Roman"/>
          <w:sz w:val="32"/>
          <w:szCs w:val="32"/>
        </w:rPr>
        <w:t>副中心工程</w:t>
      </w:r>
      <w:proofErr w:type="gramStart"/>
      <w:r w:rsidR="00A56E84">
        <w:rPr>
          <w:rFonts w:ascii="Times New Roman" w:eastAsia="仿宋_GB2312" w:hAnsi="Times New Roman" w:cs="Times New Roman"/>
          <w:sz w:val="32"/>
          <w:szCs w:val="32"/>
        </w:rPr>
        <w:t>办</w:t>
      </w:r>
      <w:r>
        <w:rPr>
          <w:rFonts w:ascii="Times New Roman" w:eastAsia="仿宋_GB2312" w:hAnsi="Times New Roman" w:cs="Times New Roman"/>
          <w:sz w:val="32"/>
          <w:szCs w:val="32"/>
        </w:rPr>
        <w:t>部门</w:t>
      </w:r>
      <w:proofErr w:type="gramEnd"/>
      <w:r>
        <w:rPr>
          <w:rFonts w:ascii="Times New Roman" w:eastAsia="仿宋_GB2312" w:hAnsi="Times New Roman" w:cs="Times New Roman"/>
          <w:sz w:val="32"/>
          <w:szCs w:val="32"/>
        </w:rPr>
        <w:t>整体支出绩效目标设置为：严格遵循各项财经制度的相关要求，严肃预算管理，科学合理用好各项资金，保障副中心工程办机关运行需求，厉行节约，努力压减一般性支出，降低单位运行成本和预算总体规模，在规定范围内合理使用资金，提高资金使用效益。</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依法合</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sz w:val="32"/>
          <w:szCs w:val="32"/>
        </w:rPr>
        <w:t>为副中心建设项目提供咨询服务和智力支持。</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公务用车、公务招待以及公务出国费用与</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年相比，做到只减不增。</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做好人员经费和招聘计划，保障人员工资和社保、公积</w:t>
      </w:r>
      <w:r>
        <w:rPr>
          <w:rFonts w:ascii="Times New Roman" w:eastAsia="仿宋_GB2312" w:hAnsi="Times New Roman" w:cs="Times New Roman"/>
          <w:sz w:val="32"/>
          <w:szCs w:val="32"/>
        </w:rPr>
        <w:lastRenderedPageBreak/>
        <w:t>金等费用按时、足额缴纳。</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对</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年相关项目进行绩效评价，落实项目绩效评价管理要求。对</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年拟申报</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部分</w:t>
      </w:r>
      <w:r>
        <w:rPr>
          <w:rFonts w:ascii="Times New Roman" w:eastAsia="仿宋_GB2312" w:hAnsi="Times New Roman" w:cs="Times New Roman"/>
          <w:sz w:val="32"/>
          <w:szCs w:val="32"/>
        </w:rPr>
        <w:t>预算项目按要求进行事前评估。</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5.2022</w:t>
      </w:r>
      <w:r>
        <w:rPr>
          <w:rFonts w:ascii="Times New Roman" w:eastAsia="仿宋_GB2312" w:hAnsi="Times New Roman" w:cs="Times New Roman"/>
          <w:sz w:val="32"/>
          <w:szCs w:val="32"/>
        </w:rPr>
        <w:t>年末，一般性支出金额控制在市财政调控使用范围内。</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绩效评价表明，</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sz w:val="32"/>
          <w:szCs w:val="32"/>
        </w:rPr>
        <w:t>绩效目标设立依据充分，符合国家法律法规、国民经济和社会发展规划，符合北京市委、市政府的指示要求，符合工程办工作实际，与单位职能相适应，与预算资金投入相匹配。</w:t>
      </w:r>
    </w:p>
    <w:p w:rsidR="00D97F10" w:rsidRDefault="002273C2">
      <w:pPr>
        <w:pStyle w:val="af"/>
        <w:adjustRightInd w:val="0"/>
        <w:snapToGrid w:val="0"/>
        <w:spacing w:line="580" w:lineRule="exact"/>
        <w:ind w:firstLine="640"/>
        <w:textAlignment w:val="baseline"/>
        <w:outlineLvl w:val="0"/>
        <w:rPr>
          <w:rFonts w:ascii="Times New Roman" w:eastAsia="黑体" w:hAnsi="Times New Roman" w:cs="Times New Roman"/>
          <w:sz w:val="32"/>
          <w:szCs w:val="32"/>
        </w:rPr>
      </w:pPr>
      <w:bookmarkStart w:id="16" w:name="_Toc927"/>
      <w:bookmarkStart w:id="17" w:name="_Toc27172"/>
      <w:bookmarkStart w:id="18" w:name="_Toc23006"/>
      <w:bookmarkStart w:id="19" w:name="_Toc17412"/>
      <w:r>
        <w:rPr>
          <w:rFonts w:ascii="Times New Roman" w:eastAsia="黑体" w:hAnsi="Times New Roman" w:cs="Times New Roman"/>
          <w:sz w:val="32"/>
          <w:szCs w:val="32"/>
        </w:rPr>
        <w:t>二、当年预算执行情况</w:t>
      </w:r>
      <w:bookmarkEnd w:id="16"/>
      <w:bookmarkEnd w:id="17"/>
      <w:bookmarkEnd w:id="18"/>
      <w:bookmarkEnd w:id="19"/>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bookmarkStart w:id="20" w:name="_Toc23230"/>
      <w:bookmarkStart w:id="21" w:name="_Toc12770"/>
      <w:bookmarkStart w:id="22" w:name="_Toc7884"/>
      <w:bookmarkStart w:id="23" w:name="_Toc3885"/>
      <w:r>
        <w:rPr>
          <w:rFonts w:ascii="Times New Roman" w:eastAsia="仿宋_GB2312" w:hAnsi="Times New Roman" w:cs="Times New Roman"/>
          <w:sz w:val="32"/>
          <w:szCs w:val="32"/>
        </w:rPr>
        <w:t>副中心工程办</w:t>
      </w:r>
      <w:r w:rsidR="002273C2">
        <w:rPr>
          <w:rFonts w:ascii="Times New Roman" w:eastAsia="仿宋_GB2312" w:hAnsi="Times New Roman" w:cs="Times New Roman"/>
          <w:sz w:val="32"/>
          <w:szCs w:val="32"/>
        </w:rPr>
        <w:t>2022</w:t>
      </w:r>
      <w:r w:rsidR="002273C2">
        <w:rPr>
          <w:rFonts w:ascii="Times New Roman" w:eastAsia="仿宋_GB2312" w:hAnsi="Times New Roman" w:cs="Times New Roman"/>
          <w:sz w:val="32"/>
          <w:szCs w:val="32"/>
        </w:rPr>
        <w:t>年全年预算数</w:t>
      </w:r>
      <w:r w:rsidR="002273C2">
        <w:rPr>
          <w:rFonts w:ascii="Times New Roman" w:eastAsia="仿宋_GB2312" w:hAnsi="Times New Roman" w:cs="Times New Roman"/>
          <w:sz w:val="32"/>
          <w:szCs w:val="32"/>
        </w:rPr>
        <w:t>353,731.96</w:t>
      </w:r>
      <w:r w:rsidR="002273C2">
        <w:rPr>
          <w:rFonts w:ascii="Times New Roman" w:eastAsia="仿宋_GB2312" w:hAnsi="Times New Roman" w:cs="Times New Roman"/>
          <w:sz w:val="32"/>
          <w:szCs w:val="32"/>
        </w:rPr>
        <w:t>万元，其中，基本支出预算数</w:t>
      </w:r>
      <w:r w:rsidR="002273C2">
        <w:rPr>
          <w:rFonts w:ascii="Times New Roman" w:eastAsia="仿宋_GB2312" w:hAnsi="Times New Roman" w:cs="Times New Roman"/>
          <w:sz w:val="32"/>
          <w:szCs w:val="32"/>
        </w:rPr>
        <w:t>898.79</w:t>
      </w:r>
      <w:r w:rsidR="002273C2">
        <w:rPr>
          <w:rFonts w:ascii="Times New Roman" w:eastAsia="仿宋_GB2312" w:hAnsi="Times New Roman" w:cs="Times New Roman"/>
          <w:sz w:val="32"/>
          <w:szCs w:val="32"/>
        </w:rPr>
        <w:t>万元，项目支出预算数</w:t>
      </w:r>
      <w:r w:rsidR="002273C2">
        <w:rPr>
          <w:rFonts w:ascii="Times New Roman" w:eastAsia="仿宋_GB2312" w:hAnsi="Times New Roman" w:cs="Times New Roman"/>
          <w:sz w:val="32"/>
          <w:szCs w:val="32"/>
        </w:rPr>
        <w:t>352,833.17</w:t>
      </w:r>
      <w:r w:rsidR="002273C2">
        <w:rPr>
          <w:rFonts w:ascii="Times New Roman" w:eastAsia="仿宋_GB2312" w:hAnsi="Times New Roman" w:cs="Times New Roman"/>
          <w:sz w:val="32"/>
          <w:szCs w:val="32"/>
        </w:rPr>
        <w:t>万元（其中基本建设类项目</w:t>
      </w:r>
      <w:r w:rsidR="002273C2">
        <w:rPr>
          <w:rFonts w:ascii="Times New Roman" w:eastAsia="仿宋_GB2312" w:hAnsi="Times New Roman" w:cs="Times New Roman"/>
          <w:sz w:val="32"/>
          <w:szCs w:val="32"/>
        </w:rPr>
        <w:t>351,668.43</w:t>
      </w:r>
      <w:r w:rsidR="002273C2">
        <w:rPr>
          <w:rFonts w:ascii="Times New Roman" w:eastAsia="仿宋_GB2312" w:hAnsi="Times New Roman" w:cs="Times New Roman"/>
          <w:sz w:val="32"/>
          <w:szCs w:val="32"/>
        </w:rPr>
        <w:t>万元），其他支出预算数</w:t>
      </w:r>
      <w:r w:rsidR="002273C2">
        <w:rPr>
          <w:rFonts w:ascii="Times New Roman" w:eastAsia="仿宋_GB2312" w:hAnsi="Times New Roman" w:cs="Times New Roman"/>
          <w:sz w:val="32"/>
          <w:szCs w:val="32"/>
        </w:rPr>
        <w:t>0.00</w:t>
      </w:r>
      <w:r w:rsidR="002273C2">
        <w:rPr>
          <w:rFonts w:ascii="Times New Roman" w:eastAsia="仿宋_GB2312" w:hAnsi="Times New Roman" w:cs="Times New Roman"/>
          <w:sz w:val="32"/>
          <w:szCs w:val="32"/>
        </w:rPr>
        <w:t>万元。资金总体支出</w:t>
      </w:r>
      <w:r w:rsidR="002273C2">
        <w:rPr>
          <w:rFonts w:ascii="Times New Roman" w:eastAsia="仿宋_GB2312" w:hAnsi="Times New Roman" w:cs="Times New Roman"/>
          <w:sz w:val="32"/>
          <w:szCs w:val="32"/>
        </w:rPr>
        <w:t>234,125.84</w:t>
      </w:r>
      <w:r w:rsidR="002273C2">
        <w:rPr>
          <w:rFonts w:ascii="Times New Roman" w:eastAsia="仿宋_GB2312" w:hAnsi="Times New Roman" w:cs="Times New Roman"/>
          <w:sz w:val="32"/>
          <w:szCs w:val="32"/>
        </w:rPr>
        <w:t>万元，其中，基本支出</w:t>
      </w:r>
      <w:r w:rsidR="002273C2">
        <w:rPr>
          <w:rFonts w:ascii="Times New Roman" w:eastAsia="仿宋_GB2312" w:hAnsi="Times New Roman" w:cs="Times New Roman"/>
          <w:sz w:val="32"/>
          <w:szCs w:val="32"/>
        </w:rPr>
        <w:t>746.80</w:t>
      </w:r>
      <w:r w:rsidR="002273C2">
        <w:rPr>
          <w:rFonts w:ascii="Times New Roman" w:eastAsia="仿宋_GB2312" w:hAnsi="Times New Roman" w:cs="Times New Roman"/>
          <w:sz w:val="32"/>
          <w:szCs w:val="32"/>
        </w:rPr>
        <w:t>万元，项目支出</w:t>
      </w:r>
      <w:r w:rsidR="002273C2">
        <w:rPr>
          <w:rFonts w:ascii="Times New Roman" w:eastAsia="仿宋_GB2312" w:hAnsi="Times New Roman" w:cs="Times New Roman"/>
          <w:sz w:val="32"/>
          <w:szCs w:val="32"/>
        </w:rPr>
        <w:t>233,379.04</w:t>
      </w:r>
      <w:r w:rsidR="002273C2">
        <w:rPr>
          <w:rFonts w:ascii="Times New Roman" w:eastAsia="仿宋_GB2312" w:hAnsi="Times New Roman" w:cs="Times New Roman"/>
          <w:sz w:val="32"/>
          <w:szCs w:val="32"/>
        </w:rPr>
        <w:t>万元（其中基本建设类项目</w:t>
      </w:r>
      <w:r w:rsidR="002273C2">
        <w:rPr>
          <w:rFonts w:ascii="Times New Roman" w:eastAsia="仿宋_GB2312" w:hAnsi="Times New Roman" w:cs="Times New Roman"/>
          <w:sz w:val="32"/>
          <w:szCs w:val="32"/>
        </w:rPr>
        <w:t>232,314.77</w:t>
      </w:r>
      <w:r w:rsidR="002273C2">
        <w:rPr>
          <w:rFonts w:ascii="Times New Roman" w:eastAsia="仿宋_GB2312" w:hAnsi="Times New Roman" w:cs="Times New Roman"/>
          <w:sz w:val="32"/>
          <w:szCs w:val="32"/>
        </w:rPr>
        <w:t>万元），其他支出</w:t>
      </w:r>
      <w:r w:rsidR="002273C2">
        <w:rPr>
          <w:rFonts w:ascii="Times New Roman" w:eastAsia="仿宋_GB2312" w:hAnsi="Times New Roman" w:cs="Times New Roman"/>
          <w:sz w:val="32"/>
          <w:szCs w:val="32"/>
        </w:rPr>
        <w:t>0.00</w:t>
      </w:r>
      <w:r w:rsidR="002273C2">
        <w:rPr>
          <w:rFonts w:ascii="Times New Roman" w:eastAsia="仿宋_GB2312" w:hAnsi="Times New Roman" w:cs="Times New Roman"/>
          <w:sz w:val="32"/>
          <w:szCs w:val="32"/>
        </w:rPr>
        <w:t>万元。年末结转和结余</w:t>
      </w:r>
      <w:r w:rsidR="002273C2">
        <w:rPr>
          <w:rFonts w:ascii="Times New Roman" w:eastAsia="仿宋_GB2312" w:hAnsi="Times New Roman" w:cs="Times New Roman"/>
          <w:sz w:val="32"/>
          <w:szCs w:val="32"/>
        </w:rPr>
        <w:t>119,606.12</w:t>
      </w:r>
      <w:r w:rsidR="002273C2">
        <w:rPr>
          <w:rFonts w:ascii="Times New Roman" w:eastAsia="仿宋_GB2312" w:hAnsi="Times New Roman" w:cs="Times New Roman"/>
          <w:sz w:val="32"/>
          <w:szCs w:val="32"/>
        </w:rPr>
        <w:t>万元，预算执行率</w:t>
      </w:r>
      <w:r w:rsidR="002273C2">
        <w:rPr>
          <w:rFonts w:ascii="Times New Roman" w:eastAsia="仿宋_GB2312" w:hAnsi="Times New Roman" w:cs="Times New Roman"/>
          <w:sz w:val="32"/>
          <w:szCs w:val="32"/>
        </w:rPr>
        <w:t>66.19%</w:t>
      </w:r>
      <w:r w:rsidR="002273C2">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textAlignment w:val="baseline"/>
        <w:outlineLvl w:val="0"/>
        <w:rPr>
          <w:rFonts w:ascii="Times New Roman" w:eastAsia="黑体" w:hAnsi="Times New Roman" w:cs="Times New Roman"/>
          <w:color w:val="000000"/>
          <w:kern w:val="0"/>
          <w:sz w:val="32"/>
          <w:szCs w:val="32"/>
        </w:rPr>
      </w:pPr>
      <w:r>
        <w:rPr>
          <w:rFonts w:ascii="Times New Roman" w:eastAsia="黑体" w:hAnsi="Times New Roman" w:cs="Times New Roman"/>
          <w:color w:val="000000"/>
          <w:kern w:val="0"/>
          <w:sz w:val="32"/>
          <w:szCs w:val="32"/>
        </w:rPr>
        <w:t>三、整体绩效目标实现情况</w:t>
      </w:r>
      <w:bookmarkEnd w:id="20"/>
      <w:bookmarkEnd w:id="21"/>
      <w:bookmarkEnd w:id="22"/>
      <w:bookmarkEnd w:id="23"/>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24" w:name="_Toc6018"/>
      <w:bookmarkStart w:id="25" w:name="_Toc31884"/>
      <w:bookmarkStart w:id="26" w:name="_Toc14972"/>
      <w:bookmarkStart w:id="27" w:name="_Toc12331"/>
      <w:r>
        <w:rPr>
          <w:rFonts w:ascii="Times New Roman" w:eastAsia="楷体_GB2312" w:hAnsi="Times New Roman" w:cs="Times New Roman"/>
          <w:b/>
          <w:bCs/>
          <w:sz w:val="32"/>
          <w:szCs w:val="32"/>
        </w:rPr>
        <w:t>（一）产出完成情况分析</w:t>
      </w:r>
      <w:bookmarkEnd w:id="24"/>
      <w:bookmarkEnd w:id="25"/>
      <w:bookmarkEnd w:id="26"/>
      <w:bookmarkEnd w:id="27"/>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r>
        <w:rPr>
          <w:rFonts w:ascii="仿宋_GB2312" w:eastAsia="仿宋_GB2312" w:hAnsi="仿宋" w:hint="eastAsia"/>
          <w:sz w:val="32"/>
          <w:szCs w:val="32"/>
        </w:rPr>
        <w:t>副中心工程办</w:t>
      </w:r>
      <w:r w:rsidR="002273C2">
        <w:rPr>
          <w:rFonts w:ascii="仿宋_GB2312" w:eastAsia="仿宋_GB2312" w:hAnsi="仿宋" w:hint="eastAsia"/>
          <w:sz w:val="32"/>
          <w:szCs w:val="32"/>
        </w:rPr>
        <w:t>在项目实施过程中，根据各项目实际细化、分解了各个项目的绩效指标，对项目的预期产出、预期效果，进行了科学设定，使得各项指标指向明确、细化量化、合理可</w:t>
      </w:r>
      <w:r w:rsidR="002273C2">
        <w:rPr>
          <w:rFonts w:ascii="仿宋_GB2312" w:eastAsia="仿宋_GB2312" w:hAnsi="仿宋" w:hint="eastAsia"/>
          <w:sz w:val="32"/>
          <w:szCs w:val="32"/>
        </w:rPr>
        <w:lastRenderedPageBreak/>
        <w:t>行。</w:t>
      </w:r>
      <w:r w:rsidR="002273C2">
        <w:rPr>
          <w:rFonts w:ascii="Times New Roman" w:eastAsia="仿宋_GB2312" w:hAnsi="Times New Roman" w:cs="Times New Roman"/>
          <w:sz w:val="32"/>
          <w:szCs w:val="32"/>
        </w:rPr>
        <w:t>截至</w:t>
      </w:r>
      <w:r w:rsidR="002273C2">
        <w:rPr>
          <w:rFonts w:ascii="Times New Roman" w:eastAsia="仿宋_GB2312" w:hAnsi="Times New Roman" w:cs="Times New Roman"/>
          <w:sz w:val="32"/>
          <w:szCs w:val="32"/>
        </w:rPr>
        <w:t>2022</w:t>
      </w:r>
      <w:r w:rsidR="002273C2">
        <w:rPr>
          <w:rFonts w:ascii="Times New Roman" w:eastAsia="仿宋_GB2312" w:hAnsi="Times New Roman" w:cs="Times New Roman"/>
          <w:sz w:val="32"/>
          <w:szCs w:val="32"/>
        </w:rPr>
        <w:t>年</w:t>
      </w:r>
      <w:r w:rsidR="002273C2">
        <w:rPr>
          <w:rFonts w:ascii="Times New Roman" w:eastAsia="仿宋_GB2312" w:hAnsi="Times New Roman" w:cs="Times New Roman"/>
          <w:sz w:val="32"/>
          <w:szCs w:val="32"/>
        </w:rPr>
        <w:t>12</w:t>
      </w:r>
      <w:r w:rsidR="002273C2">
        <w:rPr>
          <w:rFonts w:ascii="Times New Roman" w:eastAsia="仿宋_GB2312" w:hAnsi="Times New Roman" w:cs="Times New Roman"/>
          <w:sz w:val="32"/>
          <w:szCs w:val="32"/>
        </w:rPr>
        <w:t>月</w:t>
      </w:r>
      <w:r w:rsidR="002273C2">
        <w:rPr>
          <w:rFonts w:ascii="Times New Roman" w:eastAsia="仿宋_GB2312" w:hAnsi="Times New Roman" w:cs="Times New Roman"/>
          <w:sz w:val="32"/>
          <w:szCs w:val="32"/>
        </w:rPr>
        <w:t>31</w:t>
      </w:r>
      <w:r w:rsidR="002273C2">
        <w:rPr>
          <w:rFonts w:ascii="Times New Roman" w:eastAsia="仿宋_GB2312" w:hAnsi="Times New Roman" w:cs="Times New Roman"/>
          <w:sz w:val="32"/>
          <w:szCs w:val="32"/>
        </w:rPr>
        <w:t>日，</w:t>
      </w:r>
      <w:r w:rsidR="002273C2">
        <w:rPr>
          <w:rFonts w:ascii="Times New Roman" w:eastAsia="仿宋_GB2312" w:hAnsi="Times New Roman" w:cs="Times New Roman"/>
          <w:sz w:val="32"/>
          <w:szCs w:val="32"/>
        </w:rPr>
        <w:t>16</w:t>
      </w:r>
      <w:r w:rsidR="002273C2">
        <w:rPr>
          <w:rFonts w:ascii="Times New Roman" w:eastAsia="仿宋_GB2312" w:hAnsi="Times New Roman" w:cs="Times New Roman"/>
          <w:sz w:val="32"/>
          <w:szCs w:val="32"/>
        </w:rPr>
        <w:t>个项目中除《因公出国》项目因疫情影响未实施外，其他</w:t>
      </w:r>
      <w:r w:rsidR="002273C2">
        <w:rPr>
          <w:rFonts w:ascii="Times New Roman" w:eastAsia="仿宋_GB2312" w:hAnsi="Times New Roman" w:cs="Times New Roman"/>
          <w:sz w:val="32"/>
          <w:szCs w:val="32"/>
        </w:rPr>
        <w:t>15</w:t>
      </w:r>
      <w:r w:rsidR="002273C2">
        <w:rPr>
          <w:rFonts w:ascii="Times New Roman" w:eastAsia="仿宋_GB2312" w:hAnsi="Times New Roman" w:cs="Times New Roman"/>
          <w:sz w:val="32"/>
          <w:szCs w:val="32"/>
        </w:rPr>
        <w:t>个项目基本完成了产出指标设定值。</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1.</w:t>
      </w:r>
      <w:bookmarkStart w:id="28" w:name="OLE_LINK2"/>
      <w:r>
        <w:rPr>
          <w:rFonts w:ascii="Times New Roman" w:eastAsia="仿宋_GB2312" w:hAnsi="Times New Roman" w:cs="Times New Roman"/>
          <w:b/>
          <w:bCs/>
          <w:color w:val="000000"/>
          <w:kern w:val="0"/>
          <w:sz w:val="32"/>
          <w:szCs w:val="32"/>
        </w:rPr>
        <w:t>产出数量</w:t>
      </w:r>
      <w:bookmarkEnd w:id="28"/>
    </w:p>
    <w:p w:rsidR="00D97F10" w:rsidRDefault="002273C2">
      <w:pPr>
        <w:adjustRightInd w:val="0"/>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sidR="00A56E84">
        <w:rPr>
          <w:rFonts w:ascii="仿宋_GB2312" w:eastAsia="仿宋_GB2312" w:hAnsi="仿宋" w:hint="eastAsia"/>
          <w:sz w:val="32"/>
          <w:szCs w:val="32"/>
        </w:rPr>
        <w:t>副中心工程办</w:t>
      </w:r>
      <w:r>
        <w:rPr>
          <w:rFonts w:ascii="仿宋_GB2312" w:eastAsia="仿宋_GB2312" w:hAnsi="仿宋" w:hint="eastAsia"/>
          <w:sz w:val="32"/>
          <w:szCs w:val="32"/>
        </w:rPr>
        <w:t>2022年度基本支出开支898.79万元,保障了办公经费和</w:t>
      </w:r>
      <w:r w:rsidR="00D3341D">
        <w:rPr>
          <w:rFonts w:ascii="仿宋_GB2312" w:eastAsia="仿宋_GB2312" w:hAnsi="仿宋" w:hint="eastAsia"/>
          <w:sz w:val="32"/>
          <w:szCs w:val="32"/>
        </w:rPr>
        <w:t>社招</w:t>
      </w:r>
      <w:r>
        <w:rPr>
          <w:rFonts w:ascii="仿宋_GB2312" w:eastAsia="仿宋_GB2312" w:hAnsi="仿宋" w:hint="eastAsia"/>
          <w:sz w:val="32"/>
          <w:szCs w:val="32"/>
        </w:rPr>
        <w:t>人员的工资支出，现有经费规模能够保障机关日常办公和各部门正常运转。</w:t>
      </w:r>
    </w:p>
    <w:p w:rsidR="00D97F10" w:rsidRDefault="002273C2" w:rsidP="004C6239">
      <w:pPr>
        <w:adjustRightInd w:val="0"/>
        <w:snapToGrid w:val="0"/>
        <w:spacing w:line="560" w:lineRule="exact"/>
        <w:ind w:firstLineChars="200" w:firstLine="640"/>
        <w:rPr>
          <w:rFonts w:ascii="Times New Roman" w:eastAsia="仿宋_GB2312" w:hAnsi="Times New Roman" w:cs="Times New Roman"/>
          <w:sz w:val="32"/>
          <w:szCs w:val="32"/>
        </w:rPr>
      </w:pPr>
      <w:r>
        <w:rPr>
          <w:rFonts w:ascii="仿宋_GB2312" w:eastAsia="仿宋_GB2312" w:hAnsi="仿宋" w:hint="eastAsia"/>
          <w:sz w:val="32"/>
          <w:szCs w:val="32"/>
        </w:rPr>
        <w:t>（2）</w:t>
      </w:r>
      <w:r w:rsidR="00A56E84">
        <w:rPr>
          <w:rFonts w:ascii="仿宋_GB2312" w:eastAsia="仿宋_GB2312" w:hAnsi="仿宋" w:hint="eastAsia"/>
          <w:sz w:val="32"/>
          <w:szCs w:val="32"/>
        </w:rPr>
        <w:t>副中心工程办</w:t>
      </w:r>
      <w:r>
        <w:rPr>
          <w:rFonts w:ascii="仿宋_GB2312" w:eastAsia="仿宋_GB2312" w:hAnsi="仿宋" w:hint="eastAsia"/>
          <w:sz w:val="32"/>
          <w:szCs w:val="32"/>
        </w:rPr>
        <w:t>2022年度共申请</w:t>
      </w:r>
      <w:proofErr w:type="gramStart"/>
      <w:r>
        <w:rPr>
          <w:rFonts w:ascii="仿宋_GB2312" w:eastAsia="仿宋_GB2312" w:hAnsi="仿宋" w:hint="eastAsia"/>
          <w:sz w:val="32"/>
          <w:szCs w:val="32"/>
        </w:rPr>
        <w:t>一级项目</w:t>
      </w:r>
      <w:proofErr w:type="gramEnd"/>
      <w:r>
        <w:rPr>
          <w:rFonts w:ascii="仿宋_GB2312" w:eastAsia="仿宋_GB2312" w:hAnsi="仿宋" w:hint="eastAsia"/>
          <w:sz w:val="32"/>
          <w:szCs w:val="32"/>
        </w:rPr>
        <w:t>16个，实际实施15个（《因公出国》因疫情原因没有实施），其中</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个项目设置</w:t>
      </w:r>
      <w:r>
        <w:rPr>
          <w:rFonts w:ascii="Times New Roman" w:eastAsia="仿宋_GB2312" w:hAnsi="Times New Roman" w:cs="Times New Roman" w:hint="eastAsia"/>
          <w:sz w:val="32"/>
          <w:szCs w:val="32"/>
        </w:rPr>
        <w:t>了</w:t>
      </w:r>
      <w:r>
        <w:rPr>
          <w:rFonts w:ascii="Times New Roman" w:eastAsia="仿宋_GB2312" w:hAnsi="Times New Roman" w:cs="Times New Roman"/>
          <w:sz w:val="32"/>
          <w:szCs w:val="32"/>
        </w:rPr>
        <w:t>数量指标</w:t>
      </w:r>
      <w:r>
        <w:rPr>
          <w:rFonts w:ascii="Times New Roman" w:eastAsia="仿宋_GB2312" w:hAnsi="Times New Roman" w:cs="Times New Roman"/>
          <w:sz w:val="32"/>
          <w:szCs w:val="32"/>
        </w:rPr>
        <w:t>7</w:t>
      </w:r>
      <w:r>
        <w:rPr>
          <w:rFonts w:ascii="Times New Roman" w:eastAsia="仿宋_GB2312" w:hAnsi="Times New Roman" w:cs="Times New Roman"/>
          <w:sz w:val="32"/>
          <w:szCs w:val="32"/>
        </w:rPr>
        <w:t>个，指标值完成率总体为</w:t>
      </w:r>
      <w:r>
        <w:rPr>
          <w:rFonts w:ascii="Times New Roman" w:eastAsia="仿宋_GB2312" w:hAnsi="Times New Roman" w:cs="Times New Roman"/>
          <w:sz w:val="32"/>
          <w:szCs w:val="32"/>
        </w:rPr>
        <w:t>97.78%</w:t>
      </w:r>
      <w:r>
        <w:rPr>
          <w:rFonts w:ascii="Times New Roman" w:eastAsia="仿宋_GB2312" w:hAnsi="Times New Roman" w:cs="Times New Roman"/>
          <w:sz w:val="32"/>
          <w:szCs w:val="32"/>
        </w:rPr>
        <w:t>。</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2.</w:t>
      </w:r>
      <w:r>
        <w:rPr>
          <w:rFonts w:ascii="Times New Roman" w:eastAsia="仿宋_GB2312" w:hAnsi="Times New Roman" w:cs="Times New Roman"/>
          <w:b/>
          <w:bCs/>
          <w:color w:val="000000"/>
          <w:kern w:val="0"/>
          <w:sz w:val="32"/>
          <w:szCs w:val="32"/>
        </w:rPr>
        <w:t>产出质量</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年度实施的</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个项目，设置质量指标共</w:t>
      </w:r>
      <w:r>
        <w:rPr>
          <w:rFonts w:ascii="Times New Roman" w:eastAsia="仿宋_GB2312" w:hAnsi="Times New Roman" w:cs="Times New Roman"/>
          <w:sz w:val="32"/>
          <w:szCs w:val="32"/>
        </w:rPr>
        <w:t>26</w:t>
      </w:r>
      <w:r>
        <w:rPr>
          <w:rFonts w:ascii="Times New Roman" w:eastAsia="仿宋_GB2312" w:hAnsi="Times New Roman" w:cs="Times New Roman"/>
          <w:sz w:val="32"/>
          <w:szCs w:val="32"/>
        </w:rPr>
        <w:t>个，指标值完成率总体为</w:t>
      </w:r>
      <w:r>
        <w:rPr>
          <w:rFonts w:ascii="Times New Roman" w:eastAsia="仿宋_GB2312" w:hAnsi="Times New Roman" w:cs="Times New Roman"/>
          <w:sz w:val="32"/>
          <w:szCs w:val="32"/>
        </w:rPr>
        <w:t>99.6%</w:t>
      </w:r>
      <w:r>
        <w:rPr>
          <w:rFonts w:ascii="Times New Roman" w:eastAsia="仿宋_GB2312" w:hAnsi="Times New Roman" w:cs="Times New Roman"/>
          <w:sz w:val="32"/>
          <w:szCs w:val="32"/>
        </w:rPr>
        <w:t>。从列入重点绩效评价的房产测绘登记、档案数字化及其整理</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个项目看，质量指标完成情况良好。</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kern w:val="0"/>
          <w:sz w:val="32"/>
          <w:szCs w:val="32"/>
        </w:rPr>
      </w:pPr>
      <w:r>
        <w:rPr>
          <w:rFonts w:ascii="Times New Roman" w:eastAsia="仿宋_GB2312" w:hAnsi="Times New Roman" w:cs="Times New Roman"/>
          <w:b/>
          <w:sz w:val="32"/>
          <w:szCs w:val="32"/>
        </w:rPr>
        <w:t>3.</w:t>
      </w:r>
      <w:r>
        <w:rPr>
          <w:rFonts w:ascii="Times New Roman" w:eastAsia="仿宋_GB2312" w:hAnsi="Times New Roman" w:cs="Times New Roman"/>
          <w:b/>
          <w:sz w:val="32"/>
          <w:szCs w:val="32"/>
        </w:rPr>
        <w:t>产出进度</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年度实施的</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个项目，根据时间进度要求设置时效指标共</w:t>
      </w:r>
      <w:r>
        <w:rPr>
          <w:rFonts w:ascii="Times New Roman" w:eastAsia="仿宋_GB2312" w:hAnsi="Times New Roman" w:cs="Times New Roman"/>
          <w:sz w:val="32"/>
          <w:szCs w:val="32"/>
        </w:rPr>
        <w:t>9</w:t>
      </w:r>
      <w:r>
        <w:rPr>
          <w:rFonts w:ascii="Times New Roman" w:eastAsia="仿宋_GB2312" w:hAnsi="Times New Roman" w:cs="Times New Roman"/>
          <w:sz w:val="32"/>
          <w:szCs w:val="32"/>
        </w:rPr>
        <w:t>个，指标值完成率总体为</w:t>
      </w:r>
      <w:r>
        <w:rPr>
          <w:rFonts w:ascii="Times New Roman" w:eastAsia="仿宋_GB2312" w:hAnsi="Times New Roman" w:cs="Times New Roman"/>
          <w:sz w:val="32"/>
          <w:szCs w:val="32"/>
        </w:rPr>
        <w:t>100%</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年大部分项目按照计划实施到位，部分年中追加项目跨年度继续实施。</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4.</w:t>
      </w:r>
      <w:r>
        <w:rPr>
          <w:rFonts w:ascii="Times New Roman" w:eastAsia="仿宋_GB2312" w:hAnsi="Times New Roman" w:cs="Times New Roman"/>
          <w:b/>
          <w:bCs/>
          <w:color w:val="000000"/>
          <w:kern w:val="0"/>
          <w:sz w:val="32"/>
          <w:szCs w:val="32"/>
        </w:rPr>
        <w:t>产出成本</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在项目实施过程中，坚持过紧日子的思想，树立成本效益意识，通过规范政府采购、强化项目管理等方式，严格控制各项财政成本支出，成本指标完成率总体达到</w:t>
      </w:r>
      <w:r>
        <w:rPr>
          <w:rFonts w:ascii="Times New Roman" w:eastAsia="仿宋_GB2312" w:hAnsi="Times New Roman" w:cs="Times New Roman"/>
          <w:sz w:val="32"/>
          <w:szCs w:val="32"/>
        </w:rPr>
        <w:t>99.83%</w:t>
      </w:r>
      <w:r>
        <w:rPr>
          <w:rFonts w:ascii="Times New Roman" w:eastAsia="仿宋_GB2312" w:hAnsi="Times New Roman" w:cs="Times New Roman"/>
          <w:sz w:val="32"/>
          <w:szCs w:val="32"/>
        </w:rPr>
        <w:t>，各项目均未出现超支现象。</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29" w:name="_Toc30597"/>
      <w:bookmarkStart w:id="30" w:name="_Toc27645"/>
      <w:bookmarkStart w:id="31" w:name="_Toc1830"/>
      <w:bookmarkStart w:id="32" w:name="_Toc20880"/>
      <w:r>
        <w:rPr>
          <w:rFonts w:ascii="Times New Roman" w:eastAsia="楷体_GB2312" w:hAnsi="Times New Roman" w:cs="Times New Roman"/>
          <w:b/>
          <w:bCs/>
          <w:sz w:val="32"/>
          <w:szCs w:val="32"/>
        </w:rPr>
        <w:lastRenderedPageBreak/>
        <w:t>（二）效果实现情况分析</w:t>
      </w:r>
      <w:bookmarkEnd w:id="29"/>
      <w:bookmarkEnd w:id="30"/>
      <w:bookmarkEnd w:id="31"/>
      <w:bookmarkEnd w:id="32"/>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1.</w:t>
      </w:r>
      <w:r>
        <w:rPr>
          <w:rFonts w:ascii="Times New Roman" w:eastAsia="仿宋_GB2312" w:hAnsi="Times New Roman" w:cs="Times New Roman"/>
          <w:b/>
          <w:bCs/>
          <w:color w:val="000000"/>
          <w:kern w:val="0"/>
          <w:sz w:val="32"/>
          <w:szCs w:val="32"/>
        </w:rPr>
        <w:t>经济效益</w:t>
      </w:r>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副中心工程办</w:t>
      </w:r>
      <w:r w:rsidR="002273C2">
        <w:rPr>
          <w:rFonts w:ascii="Times New Roman" w:eastAsia="仿宋_GB2312" w:hAnsi="Times New Roman" w:cs="Times New Roman"/>
          <w:sz w:val="32"/>
          <w:szCs w:val="32"/>
        </w:rPr>
        <w:t>的预算投入，主要产出为公共服务，以社会效益为主，但也同时兼顾到经济效益，采取多种措施，降低经济成本。通过开展一期工程预审计，实行</w:t>
      </w:r>
      <w:r w:rsidR="00D3341D">
        <w:rPr>
          <w:rFonts w:ascii="Times New Roman" w:eastAsia="仿宋_GB2312" w:hAnsi="Times New Roman" w:cs="Times New Roman"/>
          <w:sz w:val="32"/>
          <w:szCs w:val="32"/>
        </w:rPr>
        <w:t>二期工程</w:t>
      </w:r>
      <w:r w:rsidR="002273C2">
        <w:rPr>
          <w:rFonts w:ascii="Times New Roman" w:eastAsia="仿宋_GB2312" w:hAnsi="Times New Roman" w:cs="Times New Roman"/>
          <w:sz w:val="32"/>
          <w:szCs w:val="32"/>
        </w:rPr>
        <w:t>限额设计和限额施工，根据概算批复情况对各专业进行多轮优化，确保工程建设成本可控，不超概算。</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2.</w:t>
      </w:r>
      <w:r>
        <w:rPr>
          <w:rFonts w:ascii="Times New Roman" w:eastAsia="仿宋_GB2312" w:hAnsi="Times New Roman" w:cs="Times New Roman"/>
          <w:b/>
          <w:bCs/>
          <w:color w:val="000000"/>
          <w:kern w:val="0"/>
          <w:sz w:val="32"/>
          <w:szCs w:val="32"/>
        </w:rPr>
        <w:t>社会效益</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通过项目实施，取得了显著的社会效益。圆满完成行政办公区一期工程竣工交用，二期顺利推进。截至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12</w:t>
      </w:r>
      <w:r>
        <w:rPr>
          <w:rFonts w:ascii="Times New Roman" w:eastAsia="仿宋_GB2312" w:hAnsi="Times New Roman" w:cs="Times New Roman"/>
          <w:sz w:val="32"/>
          <w:szCs w:val="32"/>
        </w:rPr>
        <w:t>月底，</w:t>
      </w:r>
      <w:r w:rsidRPr="002273C2">
        <w:rPr>
          <w:rFonts w:ascii="Times New Roman" w:eastAsia="仿宋_GB2312" w:hAnsi="Times New Roman" w:cs="Times New Roman" w:hint="eastAsia"/>
          <w:sz w:val="32"/>
          <w:szCs w:val="32"/>
        </w:rPr>
        <w:t>副中心工程办</w:t>
      </w:r>
      <w:r w:rsidRPr="002273C2">
        <w:rPr>
          <w:rFonts w:ascii="Times New Roman" w:eastAsia="仿宋_GB2312" w:hAnsi="Times New Roman" w:cs="Times New Roman"/>
          <w:sz w:val="32"/>
          <w:szCs w:val="32"/>
        </w:rPr>
        <w:t>2022</w:t>
      </w:r>
      <w:r w:rsidRPr="002273C2">
        <w:rPr>
          <w:rFonts w:ascii="Times New Roman" w:eastAsia="仿宋_GB2312" w:hAnsi="Times New Roman" w:cs="Times New Roman"/>
          <w:sz w:val="32"/>
          <w:szCs w:val="32"/>
        </w:rPr>
        <w:t>年共完成固定资产投资</w:t>
      </w:r>
      <w:r w:rsidRPr="002273C2">
        <w:rPr>
          <w:rFonts w:ascii="Times New Roman" w:eastAsia="仿宋_GB2312" w:hAnsi="Times New Roman" w:cs="Times New Roman"/>
          <w:sz w:val="32"/>
          <w:szCs w:val="32"/>
        </w:rPr>
        <w:t>33.5</w:t>
      </w:r>
      <w:r w:rsidRPr="002273C2">
        <w:rPr>
          <w:rFonts w:ascii="Times New Roman" w:eastAsia="仿宋_GB2312" w:hAnsi="Times New Roman" w:cs="Times New Roman"/>
          <w:sz w:val="32"/>
          <w:szCs w:val="32"/>
        </w:rPr>
        <w:t>亿元，其中完成建安投资</w:t>
      </w:r>
      <w:r w:rsidRPr="002273C2">
        <w:rPr>
          <w:rFonts w:ascii="Times New Roman" w:eastAsia="仿宋_GB2312" w:hAnsi="Times New Roman" w:cs="Times New Roman"/>
          <w:sz w:val="32"/>
          <w:szCs w:val="32"/>
        </w:rPr>
        <w:t>31.66</w:t>
      </w:r>
      <w:r w:rsidRPr="002273C2">
        <w:rPr>
          <w:rFonts w:ascii="Times New Roman" w:eastAsia="仿宋_GB2312" w:hAnsi="Times New Roman" w:cs="Times New Roman"/>
          <w:sz w:val="32"/>
          <w:szCs w:val="32"/>
        </w:rPr>
        <w:t>亿元，占年度总投资任务的</w:t>
      </w:r>
      <w:r w:rsidRPr="002273C2">
        <w:rPr>
          <w:rFonts w:ascii="Times New Roman" w:eastAsia="仿宋_GB2312" w:hAnsi="Times New Roman" w:cs="Times New Roman"/>
          <w:sz w:val="32"/>
          <w:szCs w:val="32"/>
        </w:rPr>
        <w:t>114.65%</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行政办公区二期全面进入室内装修和机电安装阶段。东南组团各标段幕墙已全部封闭封围，二次结构砌筑全部完成，华清地热二级站、</w:t>
      </w:r>
      <w:proofErr w:type="gramStart"/>
      <w:r>
        <w:rPr>
          <w:rFonts w:ascii="Times New Roman" w:eastAsia="仿宋_GB2312" w:hAnsi="Times New Roman" w:cs="Times New Roman"/>
          <w:sz w:val="32"/>
          <w:szCs w:val="32"/>
        </w:rPr>
        <w:t>京能屋面</w:t>
      </w:r>
      <w:proofErr w:type="gramEnd"/>
      <w:r>
        <w:rPr>
          <w:rFonts w:ascii="Times New Roman" w:eastAsia="仿宋_GB2312" w:hAnsi="Times New Roman" w:cs="Times New Roman"/>
          <w:sz w:val="32"/>
          <w:szCs w:val="32"/>
        </w:rPr>
        <w:t>光伏进场施工。</w:t>
      </w:r>
      <w:proofErr w:type="gramStart"/>
      <w:r>
        <w:rPr>
          <w:rFonts w:ascii="Times New Roman" w:eastAsia="仿宋_GB2312" w:hAnsi="Times New Roman" w:cs="Times New Roman"/>
          <w:sz w:val="32"/>
          <w:szCs w:val="32"/>
        </w:rPr>
        <w:t>六合村</w:t>
      </w:r>
      <w:proofErr w:type="gramEnd"/>
      <w:r>
        <w:rPr>
          <w:rFonts w:ascii="Times New Roman" w:eastAsia="仿宋_GB2312" w:hAnsi="Times New Roman" w:cs="Times New Roman"/>
          <w:sz w:val="32"/>
          <w:szCs w:val="32"/>
        </w:rPr>
        <w:t>地块</w:t>
      </w:r>
      <w:r>
        <w:rPr>
          <w:rFonts w:ascii="Times New Roman" w:eastAsia="仿宋_GB2312" w:hAnsi="Times New Roman" w:cs="Times New Roman"/>
          <w:sz w:val="32"/>
          <w:szCs w:val="32"/>
        </w:rPr>
        <w:t>C0305</w:t>
      </w:r>
      <w:r>
        <w:rPr>
          <w:rFonts w:ascii="Times New Roman" w:eastAsia="仿宋_GB2312" w:hAnsi="Times New Roman" w:cs="Times New Roman"/>
          <w:sz w:val="32"/>
          <w:szCs w:val="32"/>
        </w:rPr>
        <w:t>、</w:t>
      </w:r>
      <w:r>
        <w:rPr>
          <w:rFonts w:ascii="Times New Roman" w:eastAsia="仿宋_GB2312" w:hAnsi="Times New Roman" w:cs="Times New Roman"/>
          <w:sz w:val="32"/>
          <w:szCs w:val="32"/>
        </w:rPr>
        <w:t>C08</w:t>
      </w:r>
      <w:r>
        <w:rPr>
          <w:rFonts w:ascii="Times New Roman" w:eastAsia="仿宋_GB2312" w:hAnsi="Times New Roman" w:cs="Times New Roman"/>
          <w:sz w:val="32"/>
          <w:szCs w:val="32"/>
        </w:rPr>
        <w:t>项目已实现外立面亮相，二次结构基本完成，</w:t>
      </w:r>
      <w:r w:rsidR="00D3341D">
        <w:rPr>
          <w:rFonts w:ascii="Times New Roman" w:eastAsia="仿宋_GB2312" w:hAnsi="Times New Roman" w:cs="Times New Roman"/>
          <w:sz w:val="32"/>
          <w:szCs w:val="32"/>
        </w:rPr>
        <w:t>第二批搬迁入驻单位全部完成对实施方案的书面确认，正抓紧组织室内</w:t>
      </w:r>
      <w:r>
        <w:rPr>
          <w:rFonts w:ascii="Times New Roman" w:eastAsia="仿宋_GB2312" w:hAnsi="Times New Roman" w:cs="Times New Roman"/>
          <w:sz w:val="32"/>
          <w:szCs w:val="32"/>
        </w:rPr>
        <w:t>装修施工的前期准备工作。</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文化教育项目、医疗卫生</w:t>
      </w:r>
      <w:bookmarkStart w:id="33" w:name="_GoBack"/>
      <w:bookmarkEnd w:id="33"/>
      <w:r>
        <w:rPr>
          <w:rFonts w:ascii="Times New Roman" w:eastAsia="仿宋_GB2312" w:hAnsi="Times New Roman" w:cs="Times New Roman"/>
          <w:sz w:val="32"/>
          <w:szCs w:val="32"/>
        </w:rPr>
        <w:t>项目、六合村住房项目、水电市政基础设施配套等取得新进展、新突破，国企总部项目全部实现开工建设。</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color w:val="000000"/>
          <w:kern w:val="0"/>
          <w:sz w:val="32"/>
          <w:szCs w:val="32"/>
        </w:rPr>
      </w:pPr>
      <w:r>
        <w:rPr>
          <w:rFonts w:ascii="Times New Roman" w:eastAsia="仿宋_GB2312" w:hAnsi="Times New Roman" w:cs="Times New Roman"/>
          <w:b/>
          <w:bCs/>
          <w:color w:val="000000"/>
          <w:kern w:val="0"/>
          <w:sz w:val="32"/>
          <w:szCs w:val="32"/>
        </w:rPr>
        <w:t>3.</w:t>
      </w:r>
      <w:r>
        <w:rPr>
          <w:rFonts w:ascii="Times New Roman" w:eastAsia="仿宋_GB2312" w:hAnsi="Times New Roman" w:cs="Times New Roman"/>
          <w:b/>
          <w:bCs/>
          <w:color w:val="000000"/>
          <w:kern w:val="0"/>
          <w:sz w:val="32"/>
          <w:szCs w:val="32"/>
        </w:rPr>
        <w:t>环境效益</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项目实施坚持绿色建筑设计标准，绿色文明施工，提升绿</w:t>
      </w:r>
      <w:r>
        <w:rPr>
          <w:rFonts w:ascii="Times New Roman" w:eastAsia="仿宋_GB2312" w:hAnsi="Times New Roman" w:cs="Times New Roman"/>
          <w:sz w:val="32"/>
          <w:szCs w:val="32"/>
        </w:rPr>
        <w:lastRenderedPageBreak/>
        <w:t>色建筑品质和能效。</w:t>
      </w:r>
      <w:r>
        <w:rPr>
          <w:rFonts w:ascii="Times New Roman" w:eastAsia="仿宋_GB2312" w:hAnsi="Times New Roman" w:cs="Times New Roman" w:hint="eastAsia"/>
          <w:sz w:val="32"/>
          <w:szCs w:val="32"/>
        </w:rPr>
        <w:t>副中心工程办</w:t>
      </w:r>
      <w:r>
        <w:rPr>
          <w:rFonts w:ascii="Times New Roman" w:eastAsia="仿宋_GB2312" w:hAnsi="Times New Roman" w:cs="Times New Roman"/>
          <w:sz w:val="32"/>
          <w:szCs w:val="32"/>
        </w:rPr>
        <w:t>制定发布了《创建绿色建筑的指导意见》并规范了《绿色建筑标识申报材料清单》；开展零能耗、</w:t>
      </w:r>
      <w:proofErr w:type="gramStart"/>
      <w:r>
        <w:rPr>
          <w:rFonts w:ascii="Times New Roman" w:eastAsia="仿宋_GB2312" w:hAnsi="Times New Roman" w:cs="Times New Roman"/>
          <w:sz w:val="32"/>
          <w:szCs w:val="32"/>
        </w:rPr>
        <w:t>零碳排</w:t>
      </w:r>
      <w:proofErr w:type="gramEnd"/>
      <w:r>
        <w:rPr>
          <w:rFonts w:ascii="Times New Roman" w:eastAsia="仿宋_GB2312" w:hAnsi="Times New Roman" w:cs="Times New Roman"/>
          <w:sz w:val="32"/>
          <w:szCs w:val="32"/>
        </w:rPr>
        <w:t>和近零能耗建筑的建设实践，东南组团</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双零</w:t>
      </w:r>
      <w:r>
        <w:rPr>
          <w:rFonts w:ascii="Times New Roman" w:eastAsia="仿宋_GB2312" w:hAnsi="Times New Roman" w:cs="Times New Roman"/>
          <w:sz w:val="32"/>
          <w:szCs w:val="32"/>
        </w:rPr>
        <w:t>”</w:t>
      </w:r>
      <w:r>
        <w:rPr>
          <w:rFonts w:ascii="Times New Roman" w:eastAsia="仿宋_GB2312" w:hAnsi="Times New Roman" w:cs="Times New Roman"/>
          <w:sz w:val="32"/>
          <w:szCs w:val="32"/>
        </w:rPr>
        <w:t>展览馆、</w:t>
      </w:r>
      <w:r>
        <w:rPr>
          <w:rFonts w:ascii="Times New Roman" w:eastAsia="仿宋_GB2312" w:hAnsi="Times New Roman" w:cs="Times New Roman"/>
          <w:sz w:val="32"/>
          <w:szCs w:val="32"/>
        </w:rPr>
        <w:t>“</w:t>
      </w:r>
      <w:r>
        <w:rPr>
          <w:rFonts w:ascii="Times New Roman" w:eastAsia="仿宋_GB2312" w:hAnsi="Times New Roman" w:cs="Times New Roman"/>
          <w:sz w:val="32"/>
          <w:szCs w:val="32"/>
        </w:rPr>
        <w:t>近零</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会议楼建成后将成为全国首个钢结构</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全幕墙系统的零能耗建筑，填补国内工程空白。</w:t>
      </w:r>
      <w:proofErr w:type="gramStart"/>
      <w:r>
        <w:rPr>
          <w:rFonts w:ascii="Times New Roman" w:eastAsia="仿宋_GB2312" w:hAnsi="Times New Roman" w:cs="Times New Roman"/>
          <w:sz w:val="32"/>
          <w:szCs w:val="32"/>
        </w:rPr>
        <w:t>六合村住房</w:t>
      </w:r>
      <w:proofErr w:type="gramEnd"/>
      <w:r>
        <w:rPr>
          <w:rFonts w:ascii="Times New Roman" w:eastAsia="仿宋_GB2312" w:hAnsi="Times New Roman" w:cs="Times New Roman"/>
          <w:sz w:val="32"/>
          <w:szCs w:val="32"/>
        </w:rPr>
        <w:t>项目（</w:t>
      </w:r>
      <w:r>
        <w:rPr>
          <w:rFonts w:ascii="Times New Roman" w:eastAsia="仿宋_GB2312" w:hAnsi="Times New Roman" w:cs="Times New Roman"/>
          <w:sz w:val="32"/>
          <w:szCs w:val="32"/>
        </w:rPr>
        <w:t xml:space="preserve">0701 </w:t>
      </w:r>
      <w:r>
        <w:rPr>
          <w:rFonts w:ascii="Times New Roman" w:eastAsia="仿宋_GB2312" w:hAnsi="Times New Roman" w:cs="Times New Roman"/>
          <w:sz w:val="32"/>
          <w:szCs w:val="32"/>
        </w:rPr>
        <w:t>街区）中深层地热供暖落地应用，进入实质施工，环境效益十分明显。</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color w:val="000000"/>
          <w:kern w:val="0"/>
          <w:sz w:val="32"/>
          <w:szCs w:val="32"/>
        </w:rPr>
      </w:pPr>
      <w:r>
        <w:rPr>
          <w:rFonts w:ascii="Times New Roman" w:eastAsia="仿宋_GB2312" w:hAnsi="Times New Roman" w:cs="Times New Roman"/>
          <w:b/>
          <w:bCs/>
          <w:color w:val="000000"/>
          <w:kern w:val="0"/>
          <w:sz w:val="32"/>
          <w:szCs w:val="32"/>
        </w:rPr>
        <w:t>4.</w:t>
      </w:r>
      <w:r>
        <w:rPr>
          <w:rFonts w:ascii="Times New Roman" w:eastAsia="仿宋_GB2312" w:hAnsi="Times New Roman" w:cs="Times New Roman"/>
          <w:b/>
          <w:bCs/>
          <w:color w:val="000000"/>
          <w:kern w:val="0"/>
          <w:sz w:val="32"/>
          <w:szCs w:val="32"/>
        </w:rPr>
        <w:t>可持续性影响</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坚持百年大计、质量为本，不断提升建设管理水平。一是聚焦重点领域，出台技术规范。印发《北京城市副中心行政办公区工程建筑、设备专业设计标准指导意见（试行）》，统一了二期工程各标段技术标准设置。发布了《北京城市副中心行政办公区机电工程抗震支吊架技术指南》《北京城市副中心行政办公区工程恒温恒湿空调等</w:t>
      </w:r>
      <w:r>
        <w:rPr>
          <w:rFonts w:ascii="Times New Roman" w:eastAsia="仿宋_GB2312" w:hAnsi="Times New Roman" w:cs="Times New Roman"/>
          <w:sz w:val="32"/>
          <w:szCs w:val="32"/>
        </w:rPr>
        <w:t>19</w:t>
      </w:r>
      <w:r>
        <w:rPr>
          <w:rFonts w:ascii="Times New Roman" w:eastAsia="仿宋_GB2312" w:hAnsi="Times New Roman" w:cs="Times New Roman"/>
          <w:sz w:val="32"/>
          <w:szCs w:val="32"/>
        </w:rPr>
        <w:t>项机电设备技术规格书（试行）》。二是实施重点监造，保障建材品质。全年开展驻厂监造</w:t>
      </w:r>
      <w:r>
        <w:rPr>
          <w:rFonts w:ascii="Times New Roman" w:eastAsia="仿宋_GB2312" w:hAnsi="Times New Roman" w:cs="Times New Roman"/>
          <w:sz w:val="32"/>
          <w:szCs w:val="32"/>
        </w:rPr>
        <w:t>3609</w:t>
      </w:r>
      <w:r>
        <w:rPr>
          <w:rFonts w:ascii="Times New Roman" w:eastAsia="仿宋_GB2312" w:hAnsi="Times New Roman" w:cs="Times New Roman"/>
          <w:sz w:val="32"/>
          <w:szCs w:val="32"/>
        </w:rPr>
        <w:t>人日，监造混凝土</w:t>
      </w:r>
      <w:r>
        <w:rPr>
          <w:rFonts w:ascii="Times New Roman" w:eastAsia="仿宋_GB2312" w:hAnsi="Times New Roman" w:cs="Times New Roman"/>
          <w:sz w:val="32"/>
          <w:szCs w:val="32"/>
        </w:rPr>
        <w:t>8.5</w:t>
      </w:r>
      <w:r>
        <w:rPr>
          <w:rFonts w:ascii="Times New Roman" w:eastAsia="仿宋_GB2312" w:hAnsi="Times New Roman" w:cs="Times New Roman"/>
          <w:sz w:val="32"/>
          <w:szCs w:val="32"/>
        </w:rPr>
        <w:t>万方，监造石材</w:t>
      </w:r>
      <w:r>
        <w:rPr>
          <w:rFonts w:ascii="Times New Roman" w:eastAsia="仿宋_GB2312" w:hAnsi="Times New Roman" w:cs="Times New Roman"/>
          <w:sz w:val="32"/>
          <w:szCs w:val="32"/>
        </w:rPr>
        <w:t>12.7</w:t>
      </w:r>
      <w:r>
        <w:rPr>
          <w:rFonts w:ascii="Times New Roman" w:eastAsia="仿宋_GB2312" w:hAnsi="Times New Roman" w:cs="Times New Roman"/>
          <w:sz w:val="32"/>
          <w:szCs w:val="32"/>
        </w:rPr>
        <w:t>万方。三是加强督促检查，消除隐患风险。通过检查发现并限期整改各类安全隐患及问题</w:t>
      </w:r>
      <w:r>
        <w:rPr>
          <w:rFonts w:ascii="Times New Roman" w:eastAsia="仿宋_GB2312" w:hAnsi="Times New Roman" w:cs="Times New Roman"/>
          <w:sz w:val="32"/>
          <w:szCs w:val="32"/>
        </w:rPr>
        <w:t>1500</w:t>
      </w:r>
      <w:r>
        <w:rPr>
          <w:rFonts w:ascii="Times New Roman" w:eastAsia="仿宋_GB2312" w:hAnsi="Times New Roman" w:cs="Times New Roman"/>
          <w:sz w:val="32"/>
          <w:szCs w:val="32"/>
        </w:rPr>
        <w:t>余项。引入第三</w:t>
      </w:r>
      <w:proofErr w:type="gramStart"/>
      <w:r>
        <w:rPr>
          <w:rFonts w:ascii="Times New Roman" w:eastAsia="仿宋_GB2312" w:hAnsi="Times New Roman" w:cs="Times New Roman"/>
          <w:sz w:val="32"/>
          <w:szCs w:val="32"/>
        </w:rPr>
        <w:t>方专业</w:t>
      </w:r>
      <w:proofErr w:type="gramEnd"/>
      <w:r>
        <w:rPr>
          <w:rFonts w:ascii="Times New Roman" w:eastAsia="仿宋_GB2312" w:hAnsi="Times New Roman" w:cs="Times New Roman"/>
          <w:sz w:val="32"/>
          <w:szCs w:val="32"/>
        </w:rPr>
        <w:t>机构配合定期开展安全生产、绿色施工、高处作业、临时用电、起重机械、消防作业、脚手架操作等综合和专项检查，提出合理化建议和整改意见</w:t>
      </w:r>
      <w:r>
        <w:rPr>
          <w:rFonts w:ascii="Times New Roman" w:eastAsia="仿宋_GB2312" w:hAnsi="Times New Roman" w:cs="Times New Roman"/>
          <w:sz w:val="32"/>
          <w:szCs w:val="32"/>
        </w:rPr>
        <w:t>550</w:t>
      </w:r>
      <w:r>
        <w:rPr>
          <w:rFonts w:ascii="Times New Roman" w:eastAsia="仿宋_GB2312" w:hAnsi="Times New Roman" w:cs="Times New Roman"/>
          <w:sz w:val="32"/>
          <w:szCs w:val="32"/>
        </w:rPr>
        <w:t>条，全部限期整改到位。</w:t>
      </w:r>
    </w:p>
    <w:p w:rsidR="00D97F10" w:rsidRDefault="002273C2" w:rsidP="004C6239">
      <w:pPr>
        <w:adjustRightInd w:val="0"/>
        <w:snapToGrid w:val="0"/>
        <w:spacing w:line="580" w:lineRule="exact"/>
        <w:ind w:firstLineChars="200" w:firstLine="643"/>
        <w:textAlignment w:val="baseline"/>
        <w:rPr>
          <w:rFonts w:ascii="Times New Roman" w:eastAsia="黑体" w:hAnsi="Times New Roman" w:cs="Times New Roman"/>
          <w:sz w:val="32"/>
          <w:szCs w:val="32"/>
        </w:rPr>
      </w:pPr>
      <w:r>
        <w:rPr>
          <w:rFonts w:ascii="Times New Roman" w:eastAsia="仿宋_GB2312" w:hAnsi="Times New Roman" w:cs="Times New Roman"/>
          <w:b/>
          <w:bCs/>
          <w:color w:val="000000"/>
          <w:kern w:val="0"/>
          <w:sz w:val="32"/>
          <w:szCs w:val="32"/>
        </w:rPr>
        <w:t>5.</w:t>
      </w:r>
      <w:r>
        <w:rPr>
          <w:rFonts w:ascii="Times New Roman" w:eastAsia="仿宋_GB2312" w:hAnsi="Times New Roman" w:cs="Times New Roman"/>
          <w:b/>
          <w:bCs/>
          <w:color w:val="000000"/>
          <w:kern w:val="0"/>
          <w:sz w:val="32"/>
          <w:szCs w:val="32"/>
        </w:rPr>
        <w:t>服务对象满意度</w:t>
      </w:r>
    </w:p>
    <w:p w:rsidR="00D97F10" w:rsidRDefault="00A56E84">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副中心工程办</w:t>
      </w:r>
      <w:r w:rsidR="002273C2">
        <w:rPr>
          <w:rFonts w:ascii="Times New Roman" w:eastAsia="仿宋_GB2312" w:hAnsi="Times New Roman" w:cs="Times New Roman" w:hint="eastAsia"/>
          <w:sz w:val="32"/>
          <w:szCs w:val="32"/>
        </w:rPr>
        <w:t>结</w:t>
      </w:r>
      <w:proofErr w:type="gramStart"/>
      <w:r w:rsidR="002273C2">
        <w:rPr>
          <w:rFonts w:ascii="Times New Roman" w:eastAsia="仿宋_GB2312" w:hAnsi="Times New Roman" w:cs="Times New Roman" w:hint="eastAsia"/>
          <w:sz w:val="32"/>
          <w:szCs w:val="32"/>
        </w:rPr>
        <w:t>合整体</w:t>
      </w:r>
      <w:proofErr w:type="gramEnd"/>
      <w:r w:rsidR="002273C2">
        <w:rPr>
          <w:rFonts w:ascii="Times New Roman" w:eastAsia="仿宋_GB2312" w:hAnsi="Times New Roman" w:cs="Times New Roman" w:hint="eastAsia"/>
          <w:sz w:val="32"/>
          <w:szCs w:val="32"/>
        </w:rPr>
        <w:t>工作部署和业务推进情况，做好预</w:t>
      </w:r>
      <w:r w:rsidR="002273C2">
        <w:rPr>
          <w:rFonts w:ascii="Times New Roman" w:eastAsia="仿宋_GB2312" w:hAnsi="Times New Roman" w:cs="Times New Roman" w:hint="eastAsia"/>
          <w:sz w:val="32"/>
          <w:szCs w:val="32"/>
        </w:rPr>
        <w:lastRenderedPageBreak/>
        <w:t>算资金的使用和管理工作，准确把握政策口径，坚持“一盘棋”的工作理念，切实提升预算编制和预算执行的管理水平。</w:t>
      </w:r>
      <w:proofErr w:type="gramStart"/>
      <w:r w:rsidR="002273C2">
        <w:rPr>
          <w:rFonts w:ascii="Times New Roman" w:eastAsia="仿宋_GB2312" w:hAnsi="Times New Roman" w:cs="Times New Roman" w:hint="eastAsia"/>
          <w:sz w:val="32"/>
          <w:szCs w:val="32"/>
        </w:rPr>
        <w:t>从满意</w:t>
      </w:r>
      <w:proofErr w:type="gramEnd"/>
      <w:r w:rsidR="002273C2">
        <w:rPr>
          <w:rFonts w:ascii="Times New Roman" w:eastAsia="仿宋_GB2312" w:hAnsi="Times New Roman" w:cs="Times New Roman" w:hint="eastAsia"/>
          <w:sz w:val="32"/>
          <w:szCs w:val="32"/>
        </w:rPr>
        <w:t>度调查情况看，服务对象满意达到</w:t>
      </w:r>
      <w:r w:rsidR="002273C2">
        <w:rPr>
          <w:rFonts w:ascii="Times New Roman" w:eastAsia="仿宋_GB2312" w:hAnsi="Times New Roman" w:cs="Times New Roman"/>
          <w:sz w:val="32"/>
          <w:szCs w:val="32"/>
        </w:rPr>
        <w:t>90%</w:t>
      </w:r>
      <w:r w:rsidR="002273C2">
        <w:rPr>
          <w:rFonts w:ascii="Times New Roman" w:eastAsia="仿宋_GB2312" w:hAnsi="Times New Roman" w:cs="Times New Roman"/>
          <w:sz w:val="32"/>
          <w:szCs w:val="32"/>
        </w:rPr>
        <w:t>以上。</w:t>
      </w:r>
    </w:p>
    <w:p w:rsidR="00D97F10" w:rsidRDefault="002273C2">
      <w:pPr>
        <w:adjustRightInd w:val="0"/>
        <w:snapToGrid w:val="0"/>
        <w:spacing w:line="580" w:lineRule="exact"/>
        <w:ind w:firstLineChars="200" w:firstLine="640"/>
        <w:textAlignment w:val="baseline"/>
        <w:outlineLvl w:val="0"/>
        <w:rPr>
          <w:rFonts w:ascii="Times New Roman" w:eastAsia="黑体" w:hAnsi="Times New Roman" w:cs="Times New Roman"/>
          <w:sz w:val="32"/>
          <w:szCs w:val="32"/>
        </w:rPr>
      </w:pPr>
      <w:bookmarkStart w:id="34" w:name="_Toc28601"/>
      <w:bookmarkStart w:id="35" w:name="_Toc21355"/>
      <w:bookmarkStart w:id="36" w:name="_Toc6982"/>
      <w:bookmarkStart w:id="37" w:name="_Toc4480"/>
      <w:r>
        <w:rPr>
          <w:rFonts w:ascii="Times New Roman" w:eastAsia="黑体" w:hAnsi="Times New Roman" w:cs="Times New Roman"/>
          <w:sz w:val="32"/>
          <w:szCs w:val="32"/>
        </w:rPr>
        <w:t>四、预算管理情况分析</w:t>
      </w:r>
      <w:bookmarkEnd w:id="34"/>
      <w:bookmarkEnd w:id="35"/>
      <w:bookmarkEnd w:id="36"/>
      <w:bookmarkEnd w:id="37"/>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38" w:name="_Toc16709"/>
      <w:bookmarkStart w:id="39" w:name="_Toc27131"/>
      <w:bookmarkStart w:id="40" w:name="_Toc19727"/>
      <w:bookmarkStart w:id="41" w:name="_Toc31386"/>
      <w:r>
        <w:rPr>
          <w:rFonts w:ascii="Times New Roman" w:eastAsia="楷体_GB2312" w:hAnsi="Times New Roman" w:cs="Times New Roman"/>
          <w:b/>
          <w:bCs/>
          <w:sz w:val="32"/>
          <w:szCs w:val="32"/>
        </w:rPr>
        <w:t>（一）财务管理</w:t>
      </w:r>
      <w:bookmarkEnd w:id="38"/>
      <w:bookmarkEnd w:id="39"/>
      <w:bookmarkEnd w:id="40"/>
      <w:bookmarkEnd w:id="41"/>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财务管理制度健全性</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完善制度建设及时</w:t>
      </w:r>
      <w:r>
        <w:rPr>
          <w:rFonts w:ascii="Times New Roman" w:eastAsia="仿宋_GB2312" w:hAnsi="Times New Roman" w:cs="Times New Roman"/>
          <w:sz w:val="32"/>
          <w:szCs w:val="32"/>
        </w:rPr>
        <w:t>修订内控手册。</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bCs/>
          <w:sz w:val="32"/>
          <w:szCs w:val="32"/>
        </w:rPr>
        <w:t>修订了《北京城市副中心工程建设管理办公室内部控制手册》，</w:t>
      </w:r>
      <w:r>
        <w:rPr>
          <w:rFonts w:ascii="Times New Roman" w:eastAsia="仿宋_GB2312" w:hAnsi="Times New Roman" w:cs="Times New Roman"/>
          <w:sz w:val="32"/>
          <w:szCs w:val="32"/>
        </w:rPr>
        <w:t>建立健全内控管理长效机制；全年召开</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次内部控制评估小组</w:t>
      </w:r>
      <w:r>
        <w:rPr>
          <w:rFonts w:ascii="Times New Roman" w:eastAsia="仿宋_GB2312" w:hAnsi="Times New Roman" w:cs="Times New Roman" w:hint="eastAsia"/>
          <w:sz w:val="32"/>
          <w:szCs w:val="32"/>
        </w:rPr>
        <w:t>专题</w:t>
      </w:r>
      <w:r>
        <w:rPr>
          <w:rFonts w:ascii="Times New Roman" w:eastAsia="仿宋_GB2312" w:hAnsi="Times New Roman" w:cs="Times New Roman"/>
          <w:sz w:val="32"/>
          <w:szCs w:val="32"/>
        </w:rPr>
        <w:t>会，推动完善了</w:t>
      </w:r>
      <w:r>
        <w:rPr>
          <w:rFonts w:ascii="Times New Roman" w:eastAsia="仿宋_GB2312" w:hAnsi="Times New Roman" w:cs="Times New Roman"/>
          <w:sz w:val="32"/>
          <w:szCs w:val="32"/>
        </w:rPr>
        <w:t>2</w:t>
      </w:r>
      <w:r>
        <w:rPr>
          <w:rFonts w:ascii="Times New Roman" w:eastAsia="仿宋_GB2312" w:hAnsi="Times New Roman" w:cs="Times New Roman"/>
          <w:sz w:val="32"/>
          <w:szCs w:val="32"/>
        </w:rPr>
        <w:t>项内控制度，优化</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工作流程，提高内控工作运行效率。结合工作实际制订《北京城市副中心工程建设管理办公室公务卡管理办法（试行）》《基本建设项目竣工决算及竣工财务决算实施办法》制度，修订并印发《北京城市副中心工程建设管理办公室建设工程结算预审计办法》，为各项财务工作顺利开展提供了制度支持。</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资金使用合</w:t>
      </w:r>
      <w:proofErr w:type="gramStart"/>
      <w:r>
        <w:rPr>
          <w:rFonts w:ascii="Times New Roman" w:eastAsia="仿宋_GB2312" w:hAnsi="Times New Roman" w:cs="Times New Roman"/>
          <w:b/>
          <w:bCs/>
          <w:sz w:val="32"/>
          <w:szCs w:val="32"/>
        </w:rPr>
        <w:t>规</w:t>
      </w:r>
      <w:proofErr w:type="gramEnd"/>
      <w:r>
        <w:rPr>
          <w:rFonts w:ascii="Times New Roman" w:eastAsia="仿宋_GB2312" w:hAnsi="Times New Roman" w:cs="Times New Roman"/>
          <w:b/>
          <w:bCs/>
          <w:sz w:val="32"/>
          <w:szCs w:val="32"/>
        </w:rPr>
        <w:t>性和安全性</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w:t>
      </w:r>
      <w:r>
        <w:rPr>
          <w:rFonts w:ascii="Times New Roman" w:eastAsia="仿宋_GB2312" w:hAnsi="Times New Roman" w:cs="Times New Roman"/>
          <w:sz w:val="32"/>
          <w:szCs w:val="32"/>
        </w:rPr>
        <w:t>确保资金使用</w:t>
      </w:r>
      <w:r>
        <w:rPr>
          <w:rFonts w:ascii="Times New Roman" w:eastAsia="仿宋_GB2312" w:hAnsi="Times New Roman" w:cs="Times New Roman" w:hint="eastAsia"/>
          <w:sz w:val="32"/>
          <w:szCs w:val="32"/>
        </w:rPr>
        <w:t>的</w:t>
      </w:r>
      <w:r>
        <w:rPr>
          <w:rFonts w:ascii="Times New Roman" w:eastAsia="仿宋_GB2312" w:hAnsi="Times New Roman" w:cs="Times New Roman"/>
          <w:sz w:val="32"/>
          <w:szCs w:val="32"/>
        </w:rPr>
        <w:t>合</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hint="eastAsia"/>
          <w:sz w:val="32"/>
          <w:szCs w:val="32"/>
        </w:rPr>
        <w:t>性</w:t>
      </w:r>
      <w:r>
        <w:rPr>
          <w:rFonts w:ascii="Times New Roman" w:eastAsia="仿宋_GB2312" w:hAnsi="Times New Roman" w:cs="Times New Roman"/>
          <w:sz w:val="32"/>
          <w:szCs w:val="32"/>
        </w:rPr>
        <w:t>和安全</w:t>
      </w:r>
      <w:r>
        <w:rPr>
          <w:rFonts w:ascii="Times New Roman" w:eastAsia="仿宋_GB2312" w:hAnsi="Times New Roman" w:cs="Times New Roman" w:hint="eastAsia"/>
          <w:sz w:val="32"/>
          <w:szCs w:val="32"/>
        </w:rPr>
        <w:t>性</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实行统一领导、分级管理、授权审批的预算管理体制。认真落实预算、采购、资产、工程、合同等管理制度，</w:t>
      </w:r>
      <w:r>
        <w:rPr>
          <w:rFonts w:ascii="Times New Roman" w:eastAsia="仿宋_GB2312" w:hAnsi="Times New Roman" w:cs="Times New Roman"/>
          <w:bCs/>
          <w:sz w:val="32"/>
          <w:szCs w:val="32"/>
        </w:rPr>
        <w:t>严格资金支付审核</w:t>
      </w:r>
      <w:r>
        <w:rPr>
          <w:rFonts w:ascii="Times New Roman" w:eastAsia="仿宋_GB2312" w:hAnsi="Times New Roman" w:cs="Times New Roman" w:hint="eastAsia"/>
          <w:bCs/>
          <w:sz w:val="32"/>
          <w:szCs w:val="32"/>
        </w:rPr>
        <w:t>手续</w:t>
      </w:r>
      <w:r>
        <w:rPr>
          <w:rFonts w:ascii="Times New Roman" w:eastAsia="仿宋_GB2312" w:hAnsi="Times New Roman" w:cs="Times New Roman"/>
          <w:bCs/>
          <w:sz w:val="32"/>
          <w:szCs w:val="32"/>
        </w:rPr>
        <w:t>，要求主</w:t>
      </w:r>
      <w:proofErr w:type="gramStart"/>
      <w:r>
        <w:rPr>
          <w:rFonts w:ascii="Times New Roman" w:eastAsia="仿宋_GB2312" w:hAnsi="Times New Roman" w:cs="Times New Roman"/>
          <w:bCs/>
          <w:sz w:val="32"/>
          <w:szCs w:val="32"/>
        </w:rPr>
        <w:t>责部门</w:t>
      </w:r>
      <w:proofErr w:type="gramEnd"/>
      <w:r>
        <w:rPr>
          <w:rFonts w:ascii="Times New Roman" w:eastAsia="仿宋_GB2312" w:hAnsi="Times New Roman" w:cs="Times New Roman"/>
          <w:bCs/>
          <w:sz w:val="32"/>
          <w:szCs w:val="32"/>
        </w:rPr>
        <w:t>遵循</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先审后批</w:t>
      </w:r>
      <w:r>
        <w:rPr>
          <w:rFonts w:ascii="Times New Roman" w:eastAsia="仿宋_GB2312" w:hAnsi="Times New Roman" w:cs="Times New Roman"/>
          <w:bCs/>
          <w:sz w:val="32"/>
          <w:szCs w:val="32"/>
        </w:rPr>
        <w:t>”</w:t>
      </w:r>
      <w:r>
        <w:rPr>
          <w:rFonts w:ascii="Times New Roman" w:eastAsia="仿宋_GB2312" w:hAnsi="Times New Roman" w:cs="Times New Roman" w:hint="eastAsia"/>
          <w:bCs/>
          <w:sz w:val="32"/>
          <w:szCs w:val="32"/>
        </w:rPr>
        <w:t>的</w:t>
      </w:r>
      <w:r>
        <w:rPr>
          <w:rFonts w:ascii="Times New Roman" w:eastAsia="仿宋_GB2312" w:hAnsi="Times New Roman" w:cs="Times New Roman"/>
          <w:bCs/>
          <w:sz w:val="32"/>
          <w:szCs w:val="32"/>
        </w:rPr>
        <w:t>原则，按</w:t>
      </w:r>
      <w:r>
        <w:rPr>
          <w:rFonts w:ascii="Times New Roman" w:eastAsia="仿宋_GB2312" w:hAnsi="Times New Roman" w:cs="Times New Roman" w:hint="eastAsia"/>
          <w:bCs/>
          <w:sz w:val="32"/>
          <w:szCs w:val="32"/>
        </w:rPr>
        <w:t>规定</w:t>
      </w:r>
      <w:r>
        <w:rPr>
          <w:rFonts w:ascii="Times New Roman" w:eastAsia="仿宋_GB2312" w:hAnsi="Times New Roman" w:cs="Times New Roman"/>
          <w:sz w:val="32"/>
          <w:szCs w:val="32"/>
        </w:rPr>
        <w:t>填写资金申领单据，加强信息核对，履行审批程序，确保资金使用规范有序、资金拨付准确及时；加强资金跟踪监管，设立资金</w:t>
      </w:r>
      <w:proofErr w:type="gramStart"/>
      <w:r>
        <w:rPr>
          <w:rFonts w:ascii="Times New Roman" w:eastAsia="仿宋_GB2312" w:hAnsi="Times New Roman" w:cs="Times New Roman"/>
          <w:sz w:val="32"/>
          <w:szCs w:val="32"/>
        </w:rPr>
        <w:t>支付台</w:t>
      </w:r>
      <w:proofErr w:type="gramEnd"/>
      <w:r>
        <w:rPr>
          <w:rFonts w:ascii="Times New Roman" w:eastAsia="仿宋_GB2312" w:hAnsi="Times New Roman" w:cs="Times New Roman"/>
          <w:sz w:val="32"/>
          <w:szCs w:val="32"/>
        </w:rPr>
        <w:t>帐，动态监控项目余额，监督各项目资金使用及支出进度，避免资金超付现</w:t>
      </w:r>
      <w:proofErr w:type="gramStart"/>
      <w:r>
        <w:rPr>
          <w:rFonts w:ascii="Times New Roman" w:eastAsia="仿宋_GB2312" w:hAnsi="Times New Roman" w:cs="Times New Roman"/>
          <w:sz w:val="32"/>
          <w:szCs w:val="32"/>
        </w:rPr>
        <w:t>象</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lastRenderedPageBreak/>
        <w:t>签订资金监管协议，持续做好资金监管，保障资金安全高效使用。以内审为手段，检查工程结算资料的完整合</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sz w:val="32"/>
          <w:szCs w:val="32"/>
        </w:rPr>
        <w:t>，确保工程资料与工程进度同步规范归集，提高工程建设管理水平；以预审计为前提，为结算工作</w:t>
      </w:r>
      <w:r>
        <w:rPr>
          <w:rFonts w:ascii="Times New Roman" w:eastAsia="仿宋_GB2312" w:hAnsi="Times New Roman" w:cs="Times New Roman"/>
          <w:sz w:val="32"/>
          <w:szCs w:val="32"/>
        </w:rPr>
        <w:t>“</w:t>
      </w:r>
      <w:r>
        <w:rPr>
          <w:rFonts w:ascii="Times New Roman" w:eastAsia="仿宋_GB2312" w:hAnsi="Times New Roman" w:cs="Times New Roman"/>
          <w:sz w:val="32"/>
          <w:szCs w:val="32"/>
        </w:rPr>
        <w:t>量好尺、把好关</w:t>
      </w:r>
      <w:r>
        <w:rPr>
          <w:rFonts w:ascii="Times New Roman" w:eastAsia="仿宋_GB2312" w:hAnsi="Times New Roman" w:cs="Times New Roman"/>
          <w:sz w:val="32"/>
          <w:szCs w:val="32"/>
        </w:rPr>
        <w:t>”</w:t>
      </w:r>
      <w:r>
        <w:rPr>
          <w:rFonts w:ascii="Times New Roman" w:eastAsia="仿宋_GB2312" w:hAnsi="Times New Roman" w:cs="Times New Roman"/>
          <w:sz w:val="32"/>
          <w:szCs w:val="32"/>
        </w:rPr>
        <w:t>，构建了工程</w:t>
      </w:r>
      <w:proofErr w:type="gramStart"/>
      <w:r>
        <w:rPr>
          <w:rFonts w:ascii="Times New Roman" w:eastAsia="仿宋_GB2312" w:hAnsi="Times New Roman" w:cs="Times New Roman"/>
          <w:sz w:val="32"/>
          <w:szCs w:val="32"/>
        </w:rPr>
        <w:t>办整体</w:t>
      </w:r>
      <w:proofErr w:type="gramEnd"/>
      <w:r>
        <w:rPr>
          <w:rFonts w:ascii="Times New Roman" w:eastAsia="仿宋_GB2312" w:hAnsi="Times New Roman" w:cs="Times New Roman"/>
          <w:sz w:val="32"/>
          <w:szCs w:val="32"/>
        </w:rPr>
        <w:t>财务管理体系。结合二期工程建设进展，外聘第三方中介机构实施东南组团项目、</w:t>
      </w:r>
      <w:proofErr w:type="gramStart"/>
      <w:r>
        <w:rPr>
          <w:rFonts w:ascii="Times New Roman" w:eastAsia="仿宋_GB2312" w:hAnsi="Times New Roman" w:cs="Times New Roman"/>
          <w:sz w:val="32"/>
          <w:szCs w:val="32"/>
        </w:rPr>
        <w:t>六合村</w:t>
      </w:r>
      <w:proofErr w:type="gramEnd"/>
      <w:r>
        <w:rPr>
          <w:rFonts w:ascii="Times New Roman" w:eastAsia="仿宋_GB2312" w:hAnsi="Times New Roman" w:cs="Times New Roman"/>
          <w:sz w:val="32"/>
          <w:szCs w:val="32"/>
        </w:rPr>
        <w:t>项目、</w:t>
      </w:r>
      <w:r>
        <w:rPr>
          <w:rFonts w:ascii="Times New Roman" w:eastAsia="仿宋_GB2312" w:hAnsi="Times New Roman" w:cs="Times New Roman"/>
          <w:sz w:val="32"/>
          <w:szCs w:val="32"/>
        </w:rPr>
        <w:t>C1</w:t>
      </w:r>
      <w:r>
        <w:rPr>
          <w:rFonts w:ascii="Times New Roman" w:eastAsia="仿宋_GB2312" w:hAnsi="Times New Roman" w:cs="Times New Roman"/>
          <w:sz w:val="32"/>
          <w:szCs w:val="32"/>
        </w:rPr>
        <w:t>房建项目、</w:t>
      </w:r>
      <w:r>
        <w:rPr>
          <w:rFonts w:ascii="Times New Roman" w:eastAsia="仿宋_GB2312" w:hAnsi="Times New Roman" w:cs="Times New Roman"/>
          <w:sz w:val="32"/>
          <w:szCs w:val="32"/>
        </w:rPr>
        <w:t>C5</w:t>
      </w:r>
      <w:r>
        <w:rPr>
          <w:rFonts w:ascii="Times New Roman" w:eastAsia="仿宋_GB2312" w:hAnsi="Times New Roman" w:cs="Times New Roman"/>
          <w:sz w:val="32"/>
          <w:szCs w:val="32"/>
        </w:rPr>
        <w:t>项目等工程结算预审计，全程跟踪把控预审</w:t>
      </w:r>
      <w:proofErr w:type="gramStart"/>
      <w:r>
        <w:rPr>
          <w:rFonts w:ascii="Times New Roman" w:eastAsia="仿宋_GB2312" w:hAnsi="Times New Roman" w:cs="Times New Roman"/>
          <w:sz w:val="32"/>
          <w:szCs w:val="32"/>
        </w:rPr>
        <w:t>计工作</w:t>
      </w:r>
      <w:proofErr w:type="gramEnd"/>
      <w:r>
        <w:rPr>
          <w:rFonts w:ascii="Times New Roman" w:eastAsia="仿宋_GB2312" w:hAnsi="Times New Roman" w:cs="Times New Roman"/>
          <w:sz w:val="32"/>
          <w:szCs w:val="32"/>
        </w:rPr>
        <w:t>质量。全年预审</w:t>
      </w:r>
      <w:proofErr w:type="gramStart"/>
      <w:r>
        <w:rPr>
          <w:rFonts w:ascii="Times New Roman" w:eastAsia="仿宋_GB2312" w:hAnsi="Times New Roman" w:cs="Times New Roman"/>
          <w:sz w:val="32"/>
          <w:szCs w:val="32"/>
        </w:rPr>
        <w:t>计项目</w:t>
      </w:r>
      <w:proofErr w:type="gramEnd"/>
      <w:r>
        <w:rPr>
          <w:rFonts w:ascii="Times New Roman" w:eastAsia="仿宋_GB2312" w:hAnsi="Times New Roman" w:cs="Times New Roman"/>
          <w:sz w:val="32"/>
          <w:szCs w:val="32"/>
        </w:rPr>
        <w:t>14</w:t>
      </w:r>
      <w:r>
        <w:rPr>
          <w:rFonts w:ascii="Times New Roman" w:eastAsia="仿宋_GB2312" w:hAnsi="Times New Roman" w:cs="Times New Roman"/>
          <w:sz w:val="32"/>
          <w:szCs w:val="32"/>
        </w:rPr>
        <w:t>个，送审额达</w:t>
      </w:r>
      <w:r>
        <w:rPr>
          <w:rFonts w:ascii="Times New Roman" w:eastAsia="仿宋_GB2312" w:hAnsi="Times New Roman" w:cs="Times New Roman"/>
          <w:sz w:val="32"/>
          <w:szCs w:val="32"/>
        </w:rPr>
        <w:t>42.6</w:t>
      </w:r>
      <w:r>
        <w:rPr>
          <w:rFonts w:ascii="Times New Roman" w:eastAsia="仿宋_GB2312" w:hAnsi="Times New Roman" w:cs="Times New Roman"/>
          <w:sz w:val="32"/>
          <w:szCs w:val="32"/>
        </w:rPr>
        <w:t>亿元，预审计金额调整率为</w:t>
      </w:r>
      <w:r>
        <w:rPr>
          <w:rFonts w:ascii="Times New Roman" w:eastAsia="仿宋_GB2312" w:hAnsi="Times New Roman" w:cs="Times New Roman"/>
          <w:sz w:val="32"/>
          <w:szCs w:val="32"/>
        </w:rPr>
        <w:t>3.85%</w:t>
      </w:r>
      <w:r>
        <w:rPr>
          <w:rFonts w:ascii="Times New Roman" w:eastAsia="仿宋_GB2312" w:hAnsi="Times New Roman" w:cs="Times New Roman"/>
          <w:sz w:val="32"/>
          <w:szCs w:val="32"/>
        </w:rPr>
        <w:t>，为工程结算起到了</w:t>
      </w:r>
      <w:r>
        <w:rPr>
          <w:rFonts w:ascii="Times New Roman" w:eastAsia="仿宋_GB2312" w:hAnsi="Times New Roman" w:cs="Times New Roman"/>
          <w:sz w:val="32"/>
          <w:szCs w:val="32"/>
        </w:rPr>
        <w:t>“</w:t>
      </w:r>
      <w:r>
        <w:rPr>
          <w:rFonts w:ascii="Times New Roman" w:eastAsia="仿宋_GB2312" w:hAnsi="Times New Roman" w:cs="Times New Roman"/>
          <w:sz w:val="32"/>
          <w:szCs w:val="32"/>
        </w:rPr>
        <w:t>体检</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的作用。</w:t>
      </w:r>
      <w:r>
        <w:rPr>
          <w:rFonts w:ascii="Times New Roman" w:eastAsia="仿宋_GB2312" w:hAnsi="Times New Roman" w:cs="Times New Roman"/>
          <w:sz w:val="32"/>
          <w:szCs w:val="32"/>
        </w:rPr>
        <w:t xml:space="preserve">  </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b/>
          <w:bCs/>
          <w:sz w:val="32"/>
          <w:szCs w:val="32"/>
        </w:rPr>
      </w:pPr>
      <w:r>
        <w:rPr>
          <w:rFonts w:ascii="Times New Roman" w:eastAsia="仿宋_GB2312" w:hAnsi="Times New Roman" w:cs="Times New Roman"/>
          <w:b/>
          <w:bCs/>
          <w:sz w:val="32"/>
          <w:szCs w:val="32"/>
        </w:rPr>
        <w:t>3.</w:t>
      </w:r>
      <w:r>
        <w:rPr>
          <w:rFonts w:ascii="Times New Roman" w:eastAsia="仿宋_GB2312" w:hAnsi="Times New Roman" w:cs="Times New Roman"/>
          <w:b/>
          <w:bCs/>
          <w:sz w:val="32"/>
          <w:szCs w:val="32"/>
        </w:rPr>
        <w:t>经费保障及时性</w:t>
      </w:r>
    </w:p>
    <w:p w:rsidR="00D97F10" w:rsidRDefault="00A56E84">
      <w:pPr>
        <w:adjustRightInd w:val="0"/>
        <w:snapToGrid w:val="0"/>
        <w:spacing w:line="580" w:lineRule="exact"/>
        <w:ind w:firstLineChars="200" w:firstLine="640"/>
        <w:rPr>
          <w:rFonts w:ascii="Times New Roman" w:eastAsia="仿宋_GB2312" w:hAnsi="Times New Roman" w:cs="Times New Roman"/>
          <w:color w:val="FF0000"/>
          <w:sz w:val="32"/>
          <w:szCs w:val="32"/>
        </w:rPr>
      </w:pPr>
      <w:bookmarkStart w:id="42" w:name="_Toc24440"/>
      <w:bookmarkStart w:id="43" w:name="_Toc12409"/>
      <w:bookmarkStart w:id="44" w:name="_Toc16450"/>
      <w:bookmarkStart w:id="45" w:name="_Toc5950"/>
      <w:r>
        <w:rPr>
          <w:rFonts w:ascii="Times New Roman" w:eastAsia="仿宋_GB2312" w:hAnsi="Times New Roman" w:cs="Times New Roman"/>
          <w:sz w:val="32"/>
          <w:szCs w:val="32"/>
        </w:rPr>
        <w:t>副中心工程办</w:t>
      </w:r>
      <w:r w:rsidR="002273C2">
        <w:rPr>
          <w:rFonts w:ascii="Times New Roman" w:eastAsia="仿宋_GB2312" w:hAnsi="Times New Roman" w:cs="Times New Roman"/>
          <w:sz w:val="32"/>
          <w:szCs w:val="32"/>
        </w:rPr>
        <w:t>2022</w:t>
      </w:r>
      <w:r w:rsidR="002273C2">
        <w:rPr>
          <w:rFonts w:ascii="Times New Roman" w:eastAsia="仿宋_GB2312" w:hAnsi="Times New Roman" w:cs="Times New Roman"/>
          <w:sz w:val="32"/>
          <w:szCs w:val="32"/>
        </w:rPr>
        <w:t>年到位财政资金</w:t>
      </w:r>
      <w:r w:rsidR="002273C2">
        <w:rPr>
          <w:rFonts w:ascii="Times New Roman" w:eastAsia="仿宋_GB2312" w:hAnsi="Times New Roman" w:cs="Times New Roman" w:hint="eastAsia"/>
          <w:sz w:val="32"/>
          <w:szCs w:val="32"/>
        </w:rPr>
        <w:t>35.37</w:t>
      </w:r>
      <w:r w:rsidR="002273C2">
        <w:rPr>
          <w:rFonts w:ascii="Times New Roman" w:eastAsia="仿宋_GB2312" w:hAnsi="Times New Roman" w:cs="Times New Roman"/>
          <w:sz w:val="32"/>
          <w:szCs w:val="32"/>
        </w:rPr>
        <w:t>亿元，其中：建设资金共</w:t>
      </w:r>
      <w:r w:rsidR="002273C2">
        <w:rPr>
          <w:rFonts w:ascii="Times New Roman" w:eastAsia="仿宋_GB2312" w:hAnsi="Times New Roman" w:cs="Times New Roman" w:hint="eastAsia"/>
          <w:sz w:val="32"/>
          <w:szCs w:val="32"/>
        </w:rPr>
        <w:t>35.16</w:t>
      </w:r>
      <w:r w:rsidR="002273C2">
        <w:rPr>
          <w:rFonts w:ascii="Times New Roman" w:eastAsia="仿宋_GB2312" w:hAnsi="Times New Roman" w:cs="Times New Roman"/>
          <w:sz w:val="32"/>
          <w:szCs w:val="32"/>
        </w:rPr>
        <w:t>亿元，部门预算资金</w:t>
      </w:r>
      <w:r w:rsidR="002273C2">
        <w:rPr>
          <w:rFonts w:ascii="Times New Roman" w:eastAsia="仿宋_GB2312" w:hAnsi="Times New Roman" w:cs="Times New Roman" w:hint="eastAsia"/>
          <w:sz w:val="32"/>
          <w:szCs w:val="32"/>
        </w:rPr>
        <w:t>0.21</w:t>
      </w:r>
      <w:r w:rsidR="002273C2">
        <w:rPr>
          <w:rFonts w:ascii="Times New Roman" w:eastAsia="仿宋_GB2312" w:hAnsi="Times New Roman" w:cs="Times New Roman"/>
          <w:sz w:val="32"/>
          <w:szCs w:val="32"/>
        </w:rPr>
        <w:t>亿元。</w:t>
      </w:r>
      <w:r w:rsidR="002273C2">
        <w:rPr>
          <w:rFonts w:ascii="Times New Roman" w:eastAsia="仿宋_GB2312" w:hAnsi="Times New Roman" w:cs="Times New Roman" w:hint="eastAsia"/>
          <w:sz w:val="32"/>
          <w:szCs w:val="32"/>
        </w:rPr>
        <w:t>财务审计部</w:t>
      </w:r>
      <w:r w:rsidR="002273C2">
        <w:rPr>
          <w:rFonts w:ascii="Times New Roman" w:eastAsia="仿宋_GB2312" w:hAnsi="Times New Roman" w:cs="Times New Roman"/>
          <w:sz w:val="32"/>
          <w:szCs w:val="32"/>
        </w:rPr>
        <w:t>在收到</w:t>
      </w:r>
      <w:r w:rsidR="002273C2">
        <w:rPr>
          <w:rFonts w:ascii="Times New Roman" w:eastAsia="仿宋_GB2312" w:hAnsi="Times New Roman" w:cs="Times New Roman" w:hint="eastAsia"/>
          <w:sz w:val="32"/>
          <w:szCs w:val="32"/>
        </w:rPr>
        <w:t>主</w:t>
      </w:r>
      <w:proofErr w:type="gramStart"/>
      <w:r w:rsidR="002273C2">
        <w:rPr>
          <w:rFonts w:ascii="Times New Roman" w:eastAsia="仿宋_GB2312" w:hAnsi="Times New Roman" w:cs="Times New Roman" w:hint="eastAsia"/>
          <w:sz w:val="32"/>
          <w:szCs w:val="32"/>
        </w:rPr>
        <w:t>责部门</w:t>
      </w:r>
      <w:proofErr w:type="gramEnd"/>
      <w:r w:rsidR="002273C2">
        <w:rPr>
          <w:rFonts w:ascii="Times New Roman" w:eastAsia="仿宋_GB2312" w:hAnsi="Times New Roman" w:cs="Times New Roman"/>
          <w:sz w:val="32"/>
          <w:szCs w:val="32"/>
        </w:rPr>
        <w:t>支付申请后</w:t>
      </w:r>
      <w:r w:rsidR="002273C2">
        <w:rPr>
          <w:rFonts w:ascii="Times New Roman" w:eastAsia="仿宋_GB2312" w:hAnsi="Times New Roman" w:cs="Times New Roman" w:hint="eastAsia"/>
          <w:sz w:val="32"/>
          <w:szCs w:val="32"/>
        </w:rPr>
        <w:t>,</w:t>
      </w:r>
      <w:r w:rsidR="002273C2">
        <w:rPr>
          <w:rFonts w:ascii="Times New Roman" w:eastAsia="仿宋_GB2312" w:hAnsi="Times New Roman" w:cs="Times New Roman"/>
          <w:sz w:val="32"/>
          <w:szCs w:val="32"/>
        </w:rPr>
        <w:t>第一时间核对</w:t>
      </w:r>
      <w:r w:rsidR="002273C2">
        <w:rPr>
          <w:rFonts w:ascii="Times New Roman" w:eastAsia="仿宋_GB2312" w:hAnsi="Times New Roman" w:cs="Times New Roman" w:hint="eastAsia"/>
          <w:sz w:val="32"/>
          <w:szCs w:val="32"/>
        </w:rPr>
        <w:t>相关</w:t>
      </w:r>
      <w:r w:rsidR="002273C2">
        <w:rPr>
          <w:rFonts w:ascii="Times New Roman" w:eastAsia="仿宋_GB2312" w:hAnsi="Times New Roman" w:cs="Times New Roman"/>
          <w:sz w:val="32"/>
          <w:szCs w:val="32"/>
        </w:rPr>
        <w:t>信息，联系主</w:t>
      </w:r>
      <w:proofErr w:type="gramStart"/>
      <w:r w:rsidR="002273C2">
        <w:rPr>
          <w:rFonts w:ascii="Times New Roman" w:eastAsia="仿宋_GB2312" w:hAnsi="Times New Roman" w:cs="Times New Roman"/>
          <w:sz w:val="32"/>
          <w:szCs w:val="32"/>
        </w:rPr>
        <w:t>责部门</w:t>
      </w:r>
      <w:proofErr w:type="gramEnd"/>
      <w:r w:rsidR="002273C2">
        <w:rPr>
          <w:rFonts w:ascii="Times New Roman" w:eastAsia="仿宋_GB2312" w:hAnsi="Times New Roman" w:cs="Times New Roman"/>
          <w:sz w:val="32"/>
          <w:szCs w:val="32"/>
        </w:rPr>
        <w:t>填写资金申领单据，同时对</w:t>
      </w:r>
      <w:r w:rsidR="002273C2">
        <w:rPr>
          <w:rFonts w:ascii="Times New Roman" w:eastAsia="仿宋_GB2312" w:hAnsi="Times New Roman" w:cs="Times New Roman" w:hint="eastAsia"/>
          <w:sz w:val="32"/>
          <w:szCs w:val="32"/>
        </w:rPr>
        <w:t>核查</w:t>
      </w:r>
      <w:r w:rsidR="002273C2">
        <w:rPr>
          <w:rFonts w:ascii="Times New Roman" w:eastAsia="仿宋_GB2312" w:hAnsi="Times New Roman" w:cs="Times New Roman"/>
          <w:sz w:val="32"/>
          <w:szCs w:val="32"/>
        </w:rPr>
        <w:t>发现的问题及时退回</w:t>
      </w:r>
      <w:r w:rsidR="002273C2">
        <w:rPr>
          <w:rFonts w:ascii="Times New Roman" w:eastAsia="仿宋_GB2312" w:hAnsi="Times New Roman" w:cs="Times New Roman" w:hint="eastAsia"/>
          <w:sz w:val="32"/>
          <w:szCs w:val="32"/>
        </w:rPr>
        <w:t>并提出</w:t>
      </w:r>
      <w:r w:rsidR="002273C2">
        <w:rPr>
          <w:rFonts w:ascii="Times New Roman" w:eastAsia="仿宋_GB2312" w:hAnsi="Times New Roman" w:cs="Times New Roman"/>
          <w:sz w:val="32"/>
          <w:szCs w:val="32"/>
        </w:rPr>
        <w:t>修改</w:t>
      </w:r>
      <w:r w:rsidR="002273C2">
        <w:rPr>
          <w:rFonts w:ascii="Times New Roman" w:eastAsia="仿宋_GB2312" w:hAnsi="Times New Roman" w:cs="Times New Roman" w:hint="eastAsia"/>
          <w:sz w:val="32"/>
          <w:szCs w:val="32"/>
        </w:rPr>
        <w:t>意见</w:t>
      </w:r>
      <w:r w:rsidR="002273C2">
        <w:rPr>
          <w:rFonts w:ascii="Times New Roman" w:eastAsia="仿宋_GB2312" w:hAnsi="Times New Roman" w:cs="Times New Roman"/>
          <w:sz w:val="32"/>
          <w:szCs w:val="32"/>
        </w:rPr>
        <w:t>，确保资金拨付准确、及时</w:t>
      </w:r>
      <w:r w:rsidR="00603849">
        <w:rPr>
          <w:rFonts w:ascii="Times New Roman" w:eastAsia="仿宋_GB2312" w:hAnsi="Times New Roman" w:cs="Times New Roman" w:hint="eastAsia"/>
          <w:sz w:val="32"/>
          <w:szCs w:val="32"/>
        </w:rPr>
        <w:t>，</w:t>
      </w:r>
      <w:r w:rsidR="002273C2">
        <w:rPr>
          <w:rFonts w:ascii="Times New Roman" w:eastAsia="仿宋_GB2312" w:hAnsi="Times New Roman" w:cs="Times New Roman"/>
          <w:sz w:val="32"/>
          <w:szCs w:val="32"/>
        </w:rPr>
        <w:t>为有序推进一期工程结算、二期工程顺利建设以及部门运行奠定了坚实</w:t>
      </w:r>
      <w:r w:rsidR="002273C2">
        <w:rPr>
          <w:rFonts w:ascii="Times New Roman" w:eastAsia="仿宋_GB2312" w:hAnsi="Times New Roman" w:cs="Times New Roman" w:hint="eastAsia"/>
          <w:sz w:val="32"/>
          <w:szCs w:val="32"/>
        </w:rPr>
        <w:t>的</w:t>
      </w:r>
      <w:r w:rsidR="002273C2">
        <w:rPr>
          <w:rFonts w:ascii="Times New Roman" w:eastAsia="仿宋_GB2312" w:hAnsi="Times New Roman" w:cs="Times New Roman"/>
          <w:sz w:val="32"/>
          <w:szCs w:val="32"/>
        </w:rPr>
        <w:t>基础。</w:t>
      </w:r>
    </w:p>
    <w:p w:rsidR="00D97F10" w:rsidRDefault="002273C2" w:rsidP="004C6239">
      <w:pPr>
        <w:adjustRightInd w:val="0"/>
        <w:snapToGrid w:val="0"/>
        <w:spacing w:line="580" w:lineRule="exact"/>
        <w:ind w:firstLineChars="200" w:firstLine="643"/>
        <w:rPr>
          <w:rFonts w:ascii="Times New Roman" w:eastAsia="仿宋_GB2312" w:hAnsi="Times New Roman" w:cs="Times New Roman"/>
          <w:b/>
          <w:sz w:val="32"/>
        </w:rPr>
      </w:pPr>
      <w:r>
        <w:rPr>
          <w:rFonts w:ascii="Times New Roman" w:eastAsia="仿宋_GB2312" w:hAnsi="Times New Roman" w:cs="Times New Roman"/>
          <w:b/>
          <w:sz w:val="32"/>
        </w:rPr>
        <w:t>4.</w:t>
      </w:r>
      <w:r>
        <w:rPr>
          <w:rFonts w:ascii="Times New Roman" w:eastAsia="仿宋_GB2312" w:hAnsi="Times New Roman" w:cs="Times New Roman"/>
          <w:b/>
          <w:sz w:val="32"/>
        </w:rPr>
        <w:t>会计基础信息完善性</w:t>
      </w:r>
    </w:p>
    <w:p w:rsidR="00D97F10" w:rsidRDefault="002273C2">
      <w:pPr>
        <w:adjustRightInd w:val="0"/>
        <w:snapToGrid w:val="0"/>
        <w:spacing w:line="580"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按照会计核算办法要求，认真做好会计基础信息的建立</w:t>
      </w:r>
      <w:r>
        <w:rPr>
          <w:rFonts w:ascii="Times New Roman" w:eastAsia="仿宋_GB2312" w:hAnsi="Times New Roman" w:cs="Times New Roman" w:hint="eastAsia"/>
          <w:sz w:val="32"/>
        </w:rPr>
        <w:t>及</w:t>
      </w:r>
      <w:r>
        <w:rPr>
          <w:rFonts w:ascii="Times New Roman" w:eastAsia="仿宋_GB2312" w:hAnsi="Times New Roman" w:cs="Times New Roman"/>
          <w:sz w:val="32"/>
        </w:rPr>
        <w:t>完善工作。绩效评价中查阅了财务部门的会计账套、</w:t>
      </w:r>
      <w:r>
        <w:rPr>
          <w:rFonts w:ascii="Times New Roman" w:eastAsia="仿宋_GB2312" w:hAnsi="Times New Roman" w:cs="Times New Roman"/>
          <w:sz w:val="32"/>
        </w:rPr>
        <w:t>2022</w:t>
      </w:r>
      <w:r>
        <w:rPr>
          <w:rFonts w:ascii="Times New Roman" w:eastAsia="仿宋_GB2312" w:hAnsi="Times New Roman" w:cs="Times New Roman"/>
          <w:sz w:val="32"/>
        </w:rPr>
        <w:t>年部门决算、</w:t>
      </w:r>
      <w:r>
        <w:rPr>
          <w:rFonts w:ascii="Times New Roman" w:eastAsia="仿宋_GB2312" w:hAnsi="Times New Roman" w:cs="Times New Roman"/>
          <w:sz w:val="32"/>
        </w:rPr>
        <w:t>2022</w:t>
      </w:r>
      <w:r>
        <w:rPr>
          <w:rFonts w:ascii="Times New Roman" w:eastAsia="仿宋_GB2312" w:hAnsi="Times New Roman" w:cs="Times New Roman"/>
          <w:sz w:val="32"/>
        </w:rPr>
        <w:t>年财务报告，以及重点项目的记账凭证等会计基础信息资料。财务部门会计记账</w:t>
      </w:r>
      <w:proofErr w:type="gramStart"/>
      <w:r>
        <w:rPr>
          <w:rFonts w:ascii="Times New Roman" w:eastAsia="仿宋_GB2312" w:hAnsi="Times New Roman" w:cs="Times New Roman"/>
          <w:sz w:val="32"/>
        </w:rPr>
        <w:t>账</w:t>
      </w:r>
      <w:proofErr w:type="gramEnd"/>
      <w:r>
        <w:rPr>
          <w:rFonts w:ascii="Times New Roman" w:eastAsia="仿宋_GB2312" w:hAnsi="Times New Roman" w:cs="Times New Roman"/>
          <w:sz w:val="32"/>
        </w:rPr>
        <w:t>套数据清晰、完善，账目记载准确，账簿和会计报表勾</w:t>
      </w:r>
      <w:proofErr w:type="gramStart"/>
      <w:r>
        <w:rPr>
          <w:rFonts w:ascii="Times New Roman" w:eastAsia="仿宋_GB2312" w:hAnsi="Times New Roman" w:cs="Times New Roman"/>
          <w:sz w:val="32"/>
        </w:rPr>
        <w:t>稽</w:t>
      </w:r>
      <w:proofErr w:type="gramEnd"/>
      <w:r>
        <w:rPr>
          <w:rFonts w:ascii="Times New Roman" w:eastAsia="仿宋_GB2312" w:hAnsi="Times New Roman" w:cs="Times New Roman"/>
          <w:sz w:val="32"/>
        </w:rPr>
        <w:t>关系相互对应，决算报表和财务报告符合要求，报销附件规范，原始凭证要素齐全。为做</w:t>
      </w:r>
      <w:r>
        <w:rPr>
          <w:rFonts w:ascii="Times New Roman" w:eastAsia="仿宋_GB2312" w:hAnsi="Times New Roman" w:cs="Times New Roman"/>
          <w:sz w:val="32"/>
        </w:rPr>
        <w:lastRenderedPageBreak/>
        <w:t>好预算管理、绩效管理提供了真实、完整的基础信息资料。</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（二）资产管理</w:t>
      </w:r>
      <w:bookmarkEnd w:id="42"/>
      <w:bookmarkEnd w:id="43"/>
      <w:bookmarkEnd w:id="44"/>
      <w:bookmarkEnd w:id="45"/>
    </w:p>
    <w:p w:rsidR="00D97F10" w:rsidRDefault="002273C2">
      <w:pPr>
        <w:adjustRightInd w:val="0"/>
        <w:snapToGrid w:val="0"/>
        <w:spacing w:line="580" w:lineRule="exact"/>
        <w:ind w:firstLineChars="200" w:firstLine="640"/>
        <w:rPr>
          <w:rFonts w:ascii="Times New Roman" w:eastAsia="仿宋_GB2312" w:hAnsi="Times New Roman" w:cs="Times New Roman"/>
          <w:sz w:val="32"/>
        </w:rPr>
      </w:pPr>
      <w:bookmarkStart w:id="46" w:name="_Toc11768"/>
      <w:bookmarkStart w:id="47" w:name="_Toc23561"/>
      <w:bookmarkStart w:id="48" w:name="_Toc14210"/>
      <w:bookmarkStart w:id="49" w:name="_Toc18561"/>
      <w:r>
        <w:rPr>
          <w:rFonts w:ascii="Times New Roman" w:eastAsia="仿宋_GB2312" w:hAnsi="Times New Roman" w:cs="Times New Roman"/>
          <w:sz w:val="32"/>
        </w:rPr>
        <w:t>截至</w:t>
      </w:r>
      <w:r>
        <w:rPr>
          <w:rFonts w:ascii="Times New Roman" w:eastAsia="仿宋_GB2312" w:hAnsi="Times New Roman" w:cs="Times New Roman"/>
          <w:sz w:val="32"/>
        </w:rPr>
        <w:t xml:space="preserve"> 202</w:t>
      </w:r>
      <w:r>
        <w:rPr>
          <w:rFonts w:ascii="Times New Roman" w:eastAsia="仿宋_GB2312" w:hAnsi="Times New Roman" w:cs="Times New Roman"/>
          <w:sz w:val="32"/>
          <w:lang w:val="en"/>
        </w:rPr>
        <w:t>2</w:t>
      </w:r>
      <w:r>
        <w:rPr>
          <w:rFonts w:ascii="Times New Roman" w:eastAsia="仿宋_GB2312" w:hAnsi="Times New Roman" w:cs="Times New Roman"/>
          <w:sz w:val="32"/>
        </w:rPr>
        <w:t>年</w:t>
      </w:r>
      <w:r>
        <w:rPr>
          <w:rFonts w:ascii="Times New Roman" w:eastAsia="仿宋_GB2312" w:hAnsi="Times New Roman" w:cs="Times New Roman"/>
          <w:sz w:val="32"/>
        </w:rPr>
        <w:t>12</w:t>
      </w:r>
      <w:r>
        <w:rPr>
          <w:rFonts w:ascii="Times New Roman" w:eastAsia="仿宋_GB2312" w:hAnsi="Times New Roman" w:cs="Times New Roman"/>
          <w:sz w:val="32"/>
        </w:rPr>
        <w:t>月</w:t>
      </w:r>
      <w:r>
        <w:rPr>
          <w:rFonts w:ascii="Times New Roman" w:eastAsia="仿宋_GB2312" w:hAnsi="Times New Roman" w:cs="Times New Roman"/>
          <w:sz w:val="32"/>
        </w:rPr>
        <w:t>31</w:t>
      </w:r>
      <w:r>
        <w:rPr>
          <w:rFonts w:ascii="Times New Roman" w:eastAsia="仿宋_GB2312" w:hAnsi="Times New Roman" w:cs="Times New Roman"/>
          <w:sz w:val="32"/>
        </w:rPr>
        <w:t>日，</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sz w:val="32"/>
        </w:rPr>
        <w:t>资产总额</w:t>
      </w:r>
      <w:r>
        <w:rPr>
          <w:rFonts w:ascii="Times New Roman" w:eastAsia="仿宋_GB2312" w:hAnsi="Times New Roman" w:cs="Times New Roman"/>
          <w:sz w:val="32"/>
          <w:lang w:val="en"/>
        </w:rPr>
        <w:t>2</w:t>
      </w:r>
      <w:r>
        <w:rPr>
          <w:rFonts w:ascii="Times New Roman" w:eastAsia="仿宋_GB2312" w:hAnsi="Times New Roman" w:cs="Times New Roman"/>
          <w:sz w:val="32"/>
        </w:rPr>
        <w:t>,</w:t>
      </w:r>
      <w:r>
        <w:rPr>
          <w:rFonts w:ascii="Times New Roman" w:eastAsia="仿宋_GB2312" w:hAnsi="Times New Roman" w:cs="Times New Roman"/>
          <w:sz w:val="32"/>
          <w:lang w:val="en"/>
        </w:rPr>
        <w:t>626</w:t>
      </w:r>
      <w:r>
        <w:rPr>
          <w:rFonts w:ascii="Times New Roman" w:eastAsia="仿宋_GB2312" w:hAnsi="Times New Roman" w:cs="Times New Roman"/>
          <w:sz w:val="32"/>
        </w:rPr>
        <w:t>,</w:t>
      </w:r>
      <w:r>
        <w:rPr>
          <w:rFonts w:ascii="Times New Roman" w:eastAsia="仿宋_GB2312" w:hAnsi="Times New Roman" w:cs="Times New Roman"/>
          <w:sz w:val="32"/>
          <w:lang w:val="en"/>
        </w:rPr>
        <w:t>547.19</w:t>
      </w:r>
      <w:r>
        <w:rPr>
          <w:rFonts w:ascii="Times New Roman" w:eastAsia="仿宋_GB2312" w:hAnsi="Times New Roman" w:cs="Times New Roman"/>
          <w:sz w:val="32"/>
        </w:rPr>
        <w:t>万元，其中包括流动资产</w:t>
      </w:r>
      <w:r>
        <w:rPr>
          <w:rFonts w:ascii="Times New Roman" w:eastAsia="仿宋_GB2312" w:hAnsi="Times New Roman" w:cs="Times New Roman"/>
          <w:sz w:val="32"/>
          <w:lang w:val="en"/>
        </w:rPr>
        <w:t>170</w:t>
      </w:r>
      <w:r>
        <w:rPr>
          <w:rFonts w:ascii="Times New Roman" w:eastAsia="仿宋_GB2312" w:hAnsi="Times New Roman" w:cs="Times New Roman"/>
          <w:sz w:val="32"/>
        </w:rPr>
        <w:t>,</w:t>
      </w:r>
      <w:r>
        <w:rPr>
          <w:rFonts w:ascii="Times New Roman" w:eastAsia="仿宋_GB2312" w:hAnsi="Times New Roman" w:cs="Times New Roman"/>
          <w:sz w:val="32"/>
          <w:lang w:val="en"/>
        </w:rPr>
        <w:t>647.36</w:t>
      </w:r>
      <w:r>
        <w:rPr>
          <w:rFonts w:ascii="Times New Roman" w:eastAsia="仿宋_GB2312" w:hAnsi="Times New Roman" w:cs="Times New Roman"/>
          <w:sz w:val="32"/>
        </w:rPr>
        <w:t>万元，非流动资产</w:t>
      </w:r>
      <w:r>
        <w:rPr>
          <w:rFonts w:ascii="Times New Roman" w:eastAsia="仿宋_GB2312" w:hAnsi="Times New Roman" w:cs="Times New Roman"/>
          <w:sz w:val="32"/>
          <w:lang w:val="en"/>
        </w:rPr>
        <w:t>2</w:t>
      </w:r>
      <w:r>
        <w:rPr>
          <w:rFonts w:ascii="Times New Roman" w:eastAsia="仿宋_GB2312" w:hAnsi="Times New Roman" w:cs="Times New Roman"/>
          <w:sz w:val="32"/>
        </w:rPr>
        <w:t>,</w:t>
      </w:r>
      <w:r>
        <w:rPr>
          <w:rFonts w:ascii="Times New Roman" w:eastAsia="仿宋_GB2312" w:hAnsi="Times New Roman" w:cs="Times New Roman"/>
          <w:sz w:val="32"/>
          <w:lang w:val="en"/>
        </w:rPr>
        <w:t>455</w:t>
      </w:r>
      <w:r>
        <w:rPr>
          <w:rFonts w:ascii="Times New Roman" w:eastAsia="仿宋_GB2312" w:hAnsi="Times New Roman" w:cs="Times New Roman"/>
          <w:sz w:val="32"/>
        </w:rPr>
        <w:t>,</w:t>
      </w:r>
      <w:r>
        <w:rPr>
          <w:rFonts w:ascii="Times New Roman" w:eastAsia="仿宋_GB2312" w:hAnsi="Times New Roman" w:cs="Times New Roman"/>
          <w:sz w:val="32"/>
          <w:lang w:val="en"/>
        </w:rPr>
        <w:t>899.8</w:t>
      </w:r>
      <w:r>
        <w:rPr>
          <w:rFonts w:ascii="Times New Roman" w:eastAsia="仿宋_GB2312" w:hAnsi="Times New Roman" w:cs="Times New Roman"/>
          <w:sz w:val="32"/>
        </w:rPr>
        <w:t>3</w:t>
      </w:r>
      <w:r>
        <w:rPr>
          <w:rFonts w:ascii="Times New Roman" w:eastAsia="仿宋_GB2312" w:hAnsi="Times New Roman" w:cs="Times New Roman"/>
          <w:sz w:val="32"/>
        </w:rPr>
        <w:t>万元。非流动资产包括固定资产净值</w:t>
      </w:r>
      <w:r>
        <w:rPr>
          <w:rFonts w:ascii="Times New Roman" w:eastAsia="仿宋_GB2312" w:hAnsi="Times New Roman" w:cs="Times New Roman"/>
          <w:sz w:val="32"/>
          <w:lang w:val="en"/>
        </w:rPr>
        <w:t>1</w:t>
      </w:r>
      <w:r>
        <w:rPr>
          <w:rFonts w:ascii="Times New Roman" w:eastAsia="仿宋_GB2312" w:hAnsi="Times New Roman" w:cs="Times New Roman"/>
          <w:sz w:val="32"/>
        </w:rPr>
        <w:t>,</w:t>
      </w:r>
      <w:r>
        <w:rPr>
          <w:rFonts w:ascii="Times New Roman" w:eastAsia="仿宋_GB2312" w:hAnsi="Times New Roman" w:cs="Times New Roman"/>
          <w:sz w:val="32"/>
          <w:lang w:val="en"/>
        </w:rPr>
        <w:t>459</w:t>
      </w:r>
      <w:r>
        <w:rPr>
          <w:rFonts w:ascii="Times New Roman" w:eastAsia="仿宋_GB2312" w:hAnsi="Times New Roman" w:cs="Times New Roman"/>
          <w:sz w:val="32"/>
        </w:rPr>
        <w:t>,</w:t>
      </w:r>
      <w:r>
        <w:rPr>
          <w:rFonts w:ascii="Times New Roman" w:eastAsia="仿宋_GB2312" w:hAnsi="Times New Roman" w:cs="Times New Roman"/>
          <w:sz w:val="32"/>
          <w:lang w:val="en"/>
        </w:rPr>
        <w:t>686.6</w:t>
      </w:r>
      <w:r>
        <w:rPr>
          <w:rFonts w:ascii="Times New Roman" w:eastAsia="仿宋_GB2312" w:hAnsi="Times New Roman" w:cs="Times New Roman"/>
          <w:sz w:val="32"/>
        </w:rPr>
        <w:t>5</w:t>
      </w:r>
      <w:r>
        <w:rPr>
          <w:rFonts w:ascii="Times New Roman" w:eastAsia="仿宋_GB2312" w:hAnsi="Times New Roman" w:cs="Times New Roman"/>
          <w:sz w:val="32"/>
        </w:rPr>
        <w:t>万元，在建工程</w:t>
      </w:r>
      <w:r>
        <w:rPr>
          <w:rFonts w:ascii="Times New Roman" w:eastAsia="仿宋_GB2312" w:hAnsi="Times New Roman" w:cs="Times New Roman"/>
          <w:sz w:val="32"/>
          <w:lang w:val="en"/>
        </w:rPr>
        <w:t>995</w:t>
      </w:r>
      <w:r>
        <w:rPr>
          <w:rFonts w:ascii="Times New Roman" w:eastAsia="仿宋_GB2312" w:hAnsi="Times New Roman" w:cs="Times New Roman"/>
          <w:sz w:val="32"/>
        </w:rPr>
        <w:t>,</w:t>
      </w:r>
      <w:r>
        <w:rPr>
          <w:rFonts w:ascii="Times New Roman" w:eastAsia="仿宋_GB2312" w:hAnsi="Times New Roman" w:cs="Times New Roman"/>
          <w:sz w:val="32"/>
          <w:lang w:val="en"/>
        </w:rPr>
        <w:t>889.07</w:t>
      </w:r>
      <w:r>
        <w:rPr>
          <w:rFonts w:ascii="Times New Roman" w:eastAsia="仿宋_GB2312" w:hAnsi="Times New Roman" w:cs="Times New Roman"/>
          <w:sz w:val="32"/>
        </w:rPr>
        <w:t>万元，无形资产净值</w:t>
      </w:r>
      <w:r>
        <w:rPr>
          <w:rFonts w:ascii="Times New Roman" w:eastAsia="仿宋_GB2312" w:hAnsi="Times New Roman" w:cs="Times New Roman"/>
          <w:sz w:val="32"/>
          <w:lang w:val="en"/>
        </w:rPr>
        <w:t>324.1</w:t>
      </w:r>
      <w:r>
        <w:rPr>
          <w:rFonts w:ascii="Times New Roman" w:eastAsia="仿宋_GB2312" w:hAnsi="Times New Roman" w:cs="Times New Roman"/>
          <w:sz w:val="32"/>
        </w:rPr>
        <w:t>1</w:t>
      </w:r>
      <w:r>
        <w:rPr>
          <w:rFonts w:ascii="Times New Roman" w:eastAsia="仿宋_GB2312" w:hAnsi="Times New Roman" w:cs="Times New Roman"/>
          <w:sz w:val="32"/>
        </w:rPr>
        <w:t>万元。单位固定资产原值较上年新增</w:t>
      </w:r>
      <w:r>
        <w:rPr>
          <w:rFonts w:ascii="Times New Roman" w:eastAsia="仿宋_GB2312" w:hAnsi="Times New Roman" w:cs="Times New Roman"/>
          <w:sz w:val="32"/>
          <w:lang w:val="en"/>
        </w:rPr>
        <w:t>1722167.98</w:t>
      </w:r>
      <w:r>
        <w:rPr>
          <w:rFonts w:ascii="Times New Roman" w:eastAsia="仿宋_GB2312" w:hAnsi="Times New Roman" w:cs="Times New Roman"/>
          <w:sz w:val="32"/>
        </w:rPr>
        <w:t>万元，无形资产原值增长</w:t>
      </w:r>
      <w:r>
        <w:rPr>
          <w:rFonts w:ascii="Times New Roman" w:eastAsia="仿宋_GB2312" w:hAnsi="Times New Roman" w:cs="Times New Roman"/>
          <w:sz w:val="32"/>
          <w:lang w:val="en"/>
        </w:rPr>
        <w:t>124.73</w:t>
      </w:r>
      <w:r>
        <w:rPr>
          <w:rFonts w:ascii="Times New Roman" w:eastAsia="仿宋_GB2312" w:hAnsi="Times New Roman" w:cs="Times New Roman"/>
          <w:sz w:val="32"/>
        </w:rPr>
        <w:t>万元。</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资产管理实行统一政策、统一领导、分级管理、</w:t>
      </w:r>
      <w:r>
        <w:rPr>
          <w:rFonts w:ascii="Times New Roman" w:eastAsia="仿宋_GB2312" w:hAnsi="Times New Roman" w:cs="Times New Roman" w:hint="eastAsia"/>
          <w:sz w:val="32"/>
          <w:szCs w:val="32"/>
        </w:rPr>
        <w:t>责任</w:t>
      </w:r>
      <w:r>
        <w:rPr>
          <w:rFonts w:ascii="Times New Roman" w:eastAsia="仿宋_GB2312" w:hAnsi="Times New Roman" w:cs="Times New Roman"/>
          <w:sz w:val="32"/>
          <w:szCs w:val="32"/>
        </w:rPr>
        <w:t>到人、物尽其用的原则。各部门确定专人负责资产的日常管理工作，包括资产的登记、统计、维护、保管等。</w:t>
      </w:r>
      <w:r>
        <w:rPr>
          <w:rFonts w:ascii="Times New Roman" w:eastAsia="仿宋_GB2312" w:hAnsi="Times New Roman" w:cs="Times New Roman" w:hint="eastAsia"/>
          <w:sz w:val="32"/>
          <w:szCs w:val="32"/>
        </w:rPr>
        <w:t>财务审计部</w:t>
      </w:r>
      <w:r>
        <w:rPr>
          <w:rFonts w:ascii="Times New Roman" w:eastAsia="仿宋_GB2312" w:hAnsi="Times New Roman" w:cs="Times New Roman"/>
          <w:sz w:val="32"/>
          <w:szCs w:val="32"/>
        </w:rPr>
        <w:t>负责资产价值核算，</w:t>
      </w:r>
      <w:r>
        <w:rPr>
          <w:rFonts w:ascii="Times New Roman" w:eastAsia="仿宋_GB2312" w:hAnsi="Times New Roman" w:cs="Times New Roman" w:hint="eastAsia"/>
          <w:sz w:val="32"/>
          <w:szCs w:val="32"/>
        </w:rPr>
        <w:t>登记固定资产账</w:t>
      </w:r>
      <w:r w:rsidR="00603849">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综合部负责对单位资产管理进行指导和监督，对纳入政府采购范围的资产按规定购置；负责本单位资产的分配、清查，以及资产使用、维护过程中的监督工作</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设置专人进行资产实物卡片管理及使用状况监督。资产采购根据合同、供应商发货单等对所购资产的品种、规格、数量、质量、技术要求及其他资料进行验收，未通过验收的不合格资产不得接收。</w:t>
      </w:r>
      <w:r>
        <w:rPr>
          <w:rFonts w:ascii="Times New Roman" w:eastAsia="仿宋_GB2312" w:hAnsi="Times New Roman" w:cs="Times New Roman"/>
          <w:color w:val="000000"/>
          <w:sz w:val="32"/>
          <w:szCs w:val="32"/>
        </w:rPr>
        <w:t>科学合理做好资产配置，加强资产的日常管理维护，充分发挥资产在单位履行职能方面的物质基础</w:t>
      </w:r>
      <w:r>
        <w:rPr>
          <w:rFonts w:ascii="Times New Roman" w:eastAsia="仿宋_GB2312" w:hAnsi="Times New Roman" w:cs="Times New Roman" w:hint="eastAsia"/>
          <w:color w:val="000000"/>
          <w:sz w:val="32"/>
          <w:szCs w:val="32"/>
        </w:rPr>
        <w:t>保障</w:t>
      </w:r>
      <w:r>
        <w:rPr>
          <w:rFonts w:ascii="Times New Roman" w:eastAsia="仿宋_GB2312" w:hAnsi="Times New Roman" w:cs="Times New Roman"/>
          <w:color w:val="000000"/>
          <w:sz w:val="32"/>
          <w:szCs w:val="32"/>
        </w:rPr>
        <w:t>作用。</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（三）绩效管理</w:t>
      </w:r>
      <w:bookmarkEnd w:id="46"/>
      <w:bookmarkEnd w:id="47"/>
      <w:bookmarkEnd w:id="48"/>
      <w:bookmarkEnd w:id="49"/>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bookmarkStart w:id="50" w:name="_Toc5157"/>
      <w:bookmarkStart w:id="51" w:name="_Toc9710"/>
      <w:bookmarkStart w:id="52" w:name="_Toc5586"/>
      <w:bookmarkStart w:id="53" w:name="_Toc26533"/>
      <w:r>
        <w:rPr>
          <w:rFonts w:ascii="Times New Roman" w:eastAsia="仿宋_GB2312" w:hAnsi="Times New Roman" w:cs="Times New Roman"/>
          <w:sz w:val="32"/>
          <w:szCs w:val="32"/>
        </w:rPr>
        <w:t>北京城市副中心工程建设管理办公室高度重视预算绩效管理工作，按照全面实施预算绩效管理要求，将绩效理念融入预算编制、执行、</w:t>
      </w:r>
      <w:proofErr w:type="gramStart"/>
      <w:r>
        <w:rPr>
          <w:rFonts w:ascii="Times New Roman" w:eastAsia="仿宋_GB2312" w:hAnsi="Times New Roman" w:cs="Times New Roman"/>
          <w:sz w:val="32"/>
          <w:szCs w:val="32"/>
        </w:rPr>
        <w:t>监控全</w:t>
      </w:r>
      <w:proofErr w:type="gramEnd"/>
      <w:r>
        <w:rPr>
          <w:rFonts w:ascii="Times New Roman" w:eastAsia="仿宋_GB2312" w:hAnsi="Times New Roman" w:cs="Times New Roman"/>
          <w:sz w:val="32"/>
          <w:szCs w:val="32"/>
        </w:rPr>
        <w:t>过程，实现预算与绩效有机融合，着</w:t>
      </w:r>
      <w:r>
        <w:rPr>
          <w:rFonts w:ascii="Times New Roman" w:eastAsia="仿宋_GB2312" w:hAnsi="Times New Roman" w:cs="Times New Roman"/>
          <w:sz w:val="32"/>
          <w:szCs w:val="32"/>
        </w:rPr>
        <w:lastRenderedPageBreak/>
        <w:t>力构建绩效目标管理、事前绩效评估、绩效运行监控、绩效评价管理、评价结果应用的预算管理体系。</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年，按照《</w:t>
      </w:r>
      <w:r>
        <w:rPr>
          <w:rFonts w:ascii="Times New Roman" w:eastAsia="仿宋_GB2312" w:hAnsi="Times New Roman" w:cs="Times New Roman"/>
          <w:sz w:val="32"/>
          <w:szCs w:val="32"/>
          <w:lang w:val="en"/>
        </w:rPr>
        <w:t>北京市财政局关于开展</w:t>
      </w:r>
      <w:r>
        <w:rPr>
          <w:rFonts w:ascii="Times New Roman" w:eastAsia="仿宋_GB2312" w:hAnsi="Times New Roman" w:cs="Times New Roman"/>
          <w:sz w:val="32"/>
          <w:szCs w:val="32"/>
          <w:lang w:val="en"/>
        </w:rPr>
        <w:t>2022</w:t>
      </w:r>
      <w:r>
        <w:rPr>
          <w:rFonts w:ascii="Times New Roman" w:eastAsia="仿宋_GB2312" w:hAnsi="Times New Roman" w:cs="Times New Roman"/>
          <w:sz w:val="32"/>
          <w:szCs w:val="32"/>
          <w:lang w:val="en"/>
        </w:rPr>
        <w:t>年全面预算绩效管理工作的通知》（</w:t>
      </w:r>
      <w:proofErr w:type="gramStart"/>
      <w:r>
        <w:rPr>
          <w:rFonts w:ascii="Times New Roman" w:eastAsia="仿宋_GB2312" w:hAnsi="Times New Roman" w:cs="Times New Roman"/>
          <w:sz w:val="32"/>
          <w:szCs w:val="32"/>
          <w:lang w:val="en"/>
        </w:rPr>
        <w:t>京财绩效</w:t>
      </w:r>
      <w:proofErr w:type="gramEnd"/>
      <w:r>
        <w:rPr>
          <w:rFonts w:ascii="Times New Roman" w:eastAsia="仿宋_GB2312" w:hAnsi="Times New Roman" w:cs="Times New Roman"/>
          <w:sz w:val="32"/>
          <w:szCs w:val="32"/>
          <w:lang w:val="en"/>
        </w:rPr>
        <w:t>〔</w:t>
      </w:r>
      <w:r>
        <w:rPr>
          <w:rFonts w:ascii="Times New Roman" w:eastAsia="仿宋_GB2312" w:hAnsi="Times New Roman" w:cs="Times New Roman"/>
          <w:sz w:val="32"/>
          <w:szCs w:val="32"/>
          <w:lang w:val="en"/>
        </w:rPr>
        <w:t>2022</w:t>
      </w:r>
      <w:r>
        <w:rPr>
          <w:rFonts w:ascii="Times New Roman" w:eastAsia="仿宋_GB2312" w:hAnsi="Times New Roman" w:cs="Times New Roman"/>
          <w:sz w:val="32"/>
          <w:szCs w:val="32"/>
          <w:lang w:val="en"/>
        </w:rPr>
        <w:t>〕</w:t>
      </w:r>
      <w:r>
        <w:rPr>
          <w:rFonts w:ascii="Times New Roman" w:eastAsia="仿宋_GB2312" w:hAnsi="Times New Roman" w:cs="Times New Roman"/>
          <w:sz w:val="32"/>
          <w:szCs w:val="32"/>
          <w:lang w:val="en"/>
        </w:rPr>
        <w:t>669</w:t>
      </w:r>
      <w:r>
        <w:rPr>
          <w:rFonts w:ascii="Times New Roman" w:eastAsia="仿宋_GB2312" w:hAnsi="Times New Roman" w:cs="Times New Roman"/>
          <w:sz w:val="32"/>
          <w:szCs w:val="32"/>
          <w:lang w:val="en"/>
        </w:rPr>
        <w:t>号），对</w:t>
      </w:r>
      <w:r>
        <w:rPr>
          <w:rFonts w:ascii="Times New Roman" w:eastAsia="仿宋_GB2312" w:hAnsi="Times New Roman" w:cs="Times New Roman"/>
          <w:sz w:val="32"/>
          <w:szCs w:val="32"/>
          <w:lang w:val="en"/>
        </w:rPr>
        <w:t>202</w:t>
      </w:r>
      <w:r>
        <w:rPr>
          <w:rFonts w:ascii="Times New Roman" w:eastAsia="仿宋_GB2312" w:hAnsi="Times New Roman" w:cs="Times New Roman"/>
          <w:sz w:val="32"/>
          <w:szCs w:val="32"/>
        </w:rPr>
        <w:t>1</w:t>
      </w:r>
      <w:r>
        <w:rPr>
          <w:rFonts w:ascii="Times New Roman" w:eastAsia="仿宋_GB2312" w:hAnsi="Times New Roman" w:cs="Times New Roman"/>
          <w:sz w:val="32"/>
          <w:szCs w:val="32"/>
          <w:lang w:val="en"/>
        </w:rPr>
        <w:t>年度项目支出全面进行绩效自评。</w:t>
      </w:r>
      <w:r>
        <w:rPr>
          <w:rFonts w:ascii="Times New Roman" w:eastAsia="仿宋_GB2312" w:hAnsi="Times New Roman" w:cs="Times New Roman"/>
          <w:sz w:val="32"/>
          <w:szCs w:val="32"/>
        </w:rPr>
        <w:t>共汇总项目支出绩效自评表</w:t>
      </w:r>
      <w:r>
        <w:rPr>
          <w:rFonts w:ascii="Times New Roman" w:eastAsia="仿宋_GB2312" w:hAnsi="Times New Roman" w:cs="Times New Roman"/>
          <w:sz w:val="32"/>
          <w:szCs w:val="32"/>
        </w:rPr>
        <w:t>9</w:t>
      </w:r>
      <w:r>
        <w:rPr>
          <w:rFonts w:ascii="Times New Roman" w:eastAsia="仿宋_GB2312" w:hAnsi="Times New Roman" w:cs="Times New Roman"/>
          <w:sz w:val="32"/>
          <w:szCs w:val="32"/>
        </w:rPr>
        <w:t>份，</w:t>
      </w:r>
      <w:r>
        <w:rPr>
          <w:rFonts w:ascii="Times New Roman" w:eastAsia="仿宋_GB2312" w:hAnsi="Times New Roman" w:cs="Times New Roman"/>
          <w:sz w:val="32"/>
          <w:szCs w:val="32"/>
        </w:rPr>
        <w:t>9</w:t>
      </w:r>
      <w:r>
        <w:rPr>
          <w:rFonts w:ascii="Times New Roman" w:eastAsia="仿宋_GB2312" w:hAnsi="Times New Roman" w:cs="Times New Roman"/>
          <w:sz w:val="32"/>
          <w:szCs w:val="32"/>
        </w:rPr>
        <w:t>个</w:t>
      </w:r>
      <w:proofErr w:type="gramStart"/>
      <w:r>
        <w:rPr>
          <w:rFonts w:ascii="Times New Roman" w:eastAsia="仿宋_GB2312" w:hAnsi="Times New Roman" w:cs="Times New Roman"/>
          <w:sz w:val="32"/>
          <w:szCs w:val="32"/>
        </w:rPr>
        <w:t>一级项目</w:t>
      </w:r>
      <w:proofErr w:type="gramEnd"/>
      <w:r>
        <w:rPr>
          <w:rFonts w:ascii="Times New Roman" w:eastAsia="仿宋_GB2312" w:hAnsi="Times New Roman" w:cs="Times New Roman"/>
          <w:sz w:val="32"/>
          <w:szCs w:val="32"/>
        </w:rPr>
        <w:t>评价等次全部为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w:t>
      </w:r>
      <w:r>
        <w:rPr>
          <w:rFonts w:ascii="Times New Roman" w:eastAsia="仿宋_GB2312" w:hAnsi="Times New Roman" w:cs="Times New Roman"/>
          <w:sz w:val="32"/>
          <w:szCs w:val="32"/>
        </w:rPr>
        <w:t>”</w:t>
      </w:r>
      <w:r>
        <w:rPr>
          <w:rFonts w:ascii="Times New Roman" w:eastAsia="仿宋_GB2312" w:hAnsi="Times New Roman" w:cs="Times New Roman"/>
          <w:sz w:val="32"/>
          <w:szCs w:val="32"/>
        </w:rPr>
        <w:t>。同时，抽取预审计服务、工程总承包咨询服务</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个项目进行部门绩效评价</w:t>
      </w:r>
      <w:bookmarkStart w:id="54" w:name="_Toc665559475"/>
      <w:r>
        <w:rPr>
          <w:rFonts w:ascii="Times New Roman" w:eastAsia="仿宋_GB2312" w:hAnsi="Times New Roman" w:cs="Times New Roman"/>
          <w:sz w:val="32"/>
          <w:szCs w:val="32"/>
        </w:rPr>
        <w:t>。经第三方机构评价，预审</w:t>
      </w:r>
      <w:proofErr w:type="gramStart"/>
      <w:r>
        <w:rPr>
          <w:rFonts w:ascii="Times New Roman" w:eastAsia="仿宋_GB2312" w:hAnsi="Times New Roman" w:cs="Times New Roman"/>
          <w:sz w:val="32"/>
          <w:szCs w:val="32"/>
        </w:rPr>
        <w:t>计服务</w:t>
      </w:r>
      <w:proofErr w:type="gramEnd"/>
      <w:r>
        <w:rPr>
          <w:rFonts w:ascii="Times New Roman" w:eastAsia="仿宋_GB2312" w:hAnsi="Times New Roman" w:cs="Times New Roman"/>
          <w:sz w:val="32"/>
          <w:szCs w:val="32"/>
        </w:rPr>
        <w:t>项目综合得分</w:t>
      </w:r>
      <w:r>
        <w:rPr>
          <w:rFonts w:ascii="Times New Roman" w:eastAsia="仿宋_GB2312" w:hAnsi="Times New Roman" w:cs="Times New Roman"/>
          <w:sz w:val="32"/>
          <w:szCs w:val="32"/>
        </w:rPr>
        <w:t>97.6</w:t>
      </w:r>
      <w:r>
        <w:rPr>
          <w:rFonts w:ascii="Times New Roman" w:eastAsia="仿宋_GB2312" w:hAnsi="Times New Roman" w:cs="Times New Roman"/>
          <w:sz w:val="32"/>
          <w:szCs w:val="32"/>
        </w:rPr>
        <w:t>分，评定等次为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w:t>
      </w:r>
      <w:r>
        <w:rPr>
          <w:rFonts w:ascii="Times New Roman" w:eastAsia="仿宋_GB2312" w:hAnsi="Times New Roman" w:cs="Times New Roman"/>
          <w:sz w:val="32"/>
          <w:szCs w:val="32"/>
        </w:rPr>
        <w:t>”</w:t>
      </w:r>
      <w:bookmarkEnd w:id="54"/>
      <w:r>
        <w:rPr>
          <w:rFonts w:ascii="Times New Roman" w:eastAsia="仿宋_GB2312" w:hAnsi="Times New Roman" w:cs="Times New Roman"/>
          <w:sz w:val="32"/>
          <w:szCs w:val="32"/>
        </w:rPr>
        <w:t>；工程总承包咨询服务项目综合得分</w:t>
      </w:r>
      <w:r>
        <w:rPr>
          <w:rFonts w:ascii="Times New Roman" w:eastAsia="仿宋_GB2312" w:hAnsi="Times New Roman" w:cs="Times New Roman"/>
          <w:sz w:val="32"/>
          <w:szCs w:val="32"/>
        </w:rPr>
        <w:t>95.1</w:t>
      </w:r>
      <w:r>
        <w:rPr>
          <w:rFonts w:ascii="Times New Roman" w:eastAsia="仿宋_GB2312" w:hAnsi="Times New Roman" w:cs="Times New Roman"/>
          <w:sz w:val="32"/>
          <w:szCs w:val="32"/>
        </w:rPr>
        <w:t>分，评定等次为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年，按照《</w:t>
      </w:r>
      <w:r>
        <w:rPr>
          <w:rFonts w:ascii="Times New Roman" w:eastAsia="仿宋_GB2312" w:hAnsi="Times New Roman" w:cs="Times New Roman"/>
          <w:sz w:val="32"/>
          <w:szCs w:val="32"/>
          <w:lang w:val="en"/>
        </w:rPr>
        <w:t>北京市财政局关于</w:t>
      </w:r>
      <w:r>
        <w:rPr>
          <w:rFonts w:ascii="Times New Roman" w:eastAsia="仿宋_GB2312" w:hAnsi="Times New Roman" w:cs="Times New Roman"/>
          <w:sz w:val="32"/>
          <w:szCs w:val="32"/>
          <w:lang w:val="en"/>
        </w:rPr>
        <w:t>2023</w:t>
      </w:r>
      <w:r>
        <w:rPr>
          <w:rFonts w:ascii="Times New Roman" w:eastAsia="仿宋_GB2312" w:hAnsi="Times New Roman" w:cs="Times New Roman"/>
          <w:sz w:val="32"/>
          <w:szCs w:val="32"/>
          <w:lang w:val="en"/>
        </w:rPr>
        <w:t>年推进全面实施预算绩效管理工作的预通知</w:t>
      </w:r>
      <w:r>
        <w:rPr>
          <w:rFonts w:ascii="Times New Roman" w:eastAsia="仿宋_GB2312" w:hAnsi="Times New Roman" w:cs="Times New Roman"/>
          <w:sz w:val="32"/>
          <w:szCs w:val="32"/>
        </w:rPr>
        <w:t>》，由</w:t>
      </w:r>
      <w:r>
        <w:rPr>
          <w:rFonts w:ascii="Times New Roman" w:eastAsia="仿宋_GB2312" w:hAnsi="Times New Roman" w:cs="Times New Roman"/>
          <w:sz w:val="32"/>
          <w:szCs w:val="32"/>
          <w:lang w:val="en"/>
        </w:rPr>
        <w:t>财务</w:t>
      </w:r>
      <w:r>
        <w:rPr>
          <w:rFonts w:ascii="Times New Roman" w:eastAsia="仿宋_GB2312" w:hAnsi="Times New Roman" w:cs="Times New Roman"/>
          <w:sz w:val="32"/>
          <w:szCs w:val="32"/>
        </w:rPr>
        <w:t>审计部</w:t>
      </w:r>
      <w:r>
        <w:rPr>
          <w:rFonts w:ascii="Times New Roman" w:eastAsia="仿宋_GB2312" w:hAnsi="Times New Roman" w:cs="Times New Roman"/>
          <w:sz w:val="32"/>
          <w:szCs w:val="32"/>
          <w:lang w:val="en"/>
        </w:rPr>
        <w:t>牵头，</w:t>
      </w:r>
      <w:r>
        <w:rPr>
          <w:rFonts w:ascii="Times New Roman" w:eastAsia="仿宋_GB2312" w:hAnsi="Times New Roman" w:cs="Times New Roman"/>
          <w:sz w:val="32"/>
          <w:szCs w:val="32"/>
        </w:rPr>
        <w:t>相关处室和项目单位对照绩效目标，梳理项目资料，归集产出成果，逐一填写上报《项目支出绩效自评表》。在此基础上进行审核汇总，全方位把握部门整体预算执行、绩效目标实现和预算管理情况，共汇总项目支出绩效自评表</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份（含</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个涉密项目）。同时，引入第三方机构协助开展房产测绘登记、档案数字化及其整理等</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个项目进行部门评价</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掌握项目实施情况和产出效果</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促进绩效目标落实。</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（四）结转结余率</w:t>
      </w:r>
      <w:bookmarkEnd w:id="50"/>
      <w:bookmarkEnd w:id="51"/>
      <w:bookmarkEnd w:id="52"/>
      <w:bookmarkEnd w:id="53"/>
    </w:p>
    <w:p w:rsidR="00D97F10" w:rsidRDefault="002273C2">
      <w:pPr>
        <w:adjustRightInd w:val="0"/>
        <w:snapToGrid w:val="0"/>
        <w:spacing w:line="600" w:lineRule="exact"/>
        <w:ind w:firstLineChars="200" w:firstLine="640"/>
        <w:rPr>
          <w:rFonts w:ascii="Times New Roman" w:eastAsia="仿宋_GB2312" w:hAnsi="Times New Roman" w:cs="Times New Roman"/>
          <w:sz w:val="32"/>
          <w:szCs w:val="32"/>
        </w:rPr>
      </w:pPr>
      <w:bookmarkStart w:id="55" w:name="_Toc22969"/>
      <w:bookmarkStart w:id="56" w:name="_Toc4325"/>
      <w:bookmarkStart w:id="57" w:name="_Toc2548"/>
      <w:bookmarkStart w:id="58" w:name="_Toc14692"/>
      <w:r>
        <w:rPr>
          <w:rFonts w:ascii="Times New Roman" w:eastAsia="仿宋_GB2312" w:hAnsi="Times New Roman" w:cs="Times New Roman"/>
          <w:sz w:val="32"/>
          <w:szCs w:val="32"/>
        </w:rPr>
        <w:t>本年末结转结余资金</w:t>
      </w:r>
      <w:r>
        <w:rPr>
          <w:rFonts w:ascii="Times New Roman" w:eastAsia="仿宋_GB2312" w:hAnsi="Times New Roman" w:cs="Times New Roman"/>
          <w:sz w:val="32"/>
          <w:szCs w:val="32"/>
        </w:rPr>
        <w:t>119</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606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万元（其中：基本支出结转</w:t>
      </w:r>
      <w:r>
        <w:rPr>
          <w:rFonts w:ascii="Times New Roman" w:eastAsia="仿宋_GB2312" w:hAnsi="Times New Roman" w:cs="Times New Roman"/>
          <w:sz w:val="32"/>
          <w:szCs w:val="32"/>
        </w:rPr>
        <w:t>151</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99</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，项目支出结转和结余</w:t>
      </w:r>
      <w:r>
        <w:rPr>
          <w:rFonts w:ascii="Times New Roman" w:eastAsia="仿宋_GB2312" w:hAnsi="Times New Roman" w:cs="Times New Roman" w:hint="eastAsia"/>
          <w:sz w:val="32"/>
          <w:szCs w:val="32"/>
        </w:rPr>
        <w:t>119,454.12</w:t>
      </w:r>
      <w:r>
        <w:rPr>
          <w:rFonts w:ascii="Times New Roman" w:eastAsia="仿宋_GB2312" w:hAnsi="Times New Roman" w:cs="Times New Roman"/>
          <w:sz w:val="32"/>
          <w:szCs w:val="32"/>
        </w:rPr>
        <w:t>万元）。结转结余率</w:t>
      </w:r>
      <w:r>
        <w:rPr>
          <w:rFonts w:ascii="Times New Roman" w:eastAsia="仿宋_GB2312" w:hAnsi="Times New Roman" w:cs="Times New Roman" w:hint="eastAsia"/>
          <w:sz w:val="32"/>
          <w:szCs w:val="32"/>
        </w:rPr>
        <w:t>33.81</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资金结存主要原因：一是部分基建项目资金到账时间较晚，按规定可以结转使用一年；二是基建项目预留部分资金用于</w:t>
      </w:r>
      <w:r>
        <w:rPr>
          <w:rFonts w:ascii="Times New Roman" w:eastAsia="仿宋_GB2312" w:hAnsi="Times New Roman" w:cs="Times New Roman"/>
          <w:sz w:val="32"/>
          <w:szCs w:val="32"/>
        </w:rPr>
        <w:t>2023</w:t>
      </w:r>
      <w:r>
        <w:rPr>
          <w:rFonts w:ascii="Times New Roman" w:eastAsia="仿宋_GB2312" w:hAnsi="Times New Roman" w:cs="Times New Roman"/>
          <w:sz w:val="32"/>
          <w:szCs w:val="32"/>
        </w:rPr>
        <w:t>年初农民工工资及安全文明施工费支付；三是</w:t>
      </w:r>
      <w:r>
        <w:rPr>
          <w:rFonts w:ascii="Times New Roman" w:eastAsia="仿宋_GB2312" w:hAnsi="Times New Roman" w:cs="Times New Roman" w:hint="eastAsia"/>
          <w:sz w:val="32"/>
          <w:szCs w:val="32"/>
        </w:rPr>
        <w:t>受</w:t>
      </w:r>
      <w:r>
        <w:rPr>
          <w:rFonts w:ascii="Times New Roman" w:eastAsia="仿宋_GB2312" w:hAnsi="Times New Roman" w:cs="Times New Roman"/>
          <w:sz w:val="32"/>
          <w:szCs w:val="32"/>
        </w:rPr>
        <w:t>项目建设情况复杂，</w:t>
      </w:r>
      <w:r>
        <w:rPr>
          <w:rFonts w:ascii="Times New Roman" w:eastAsia="仿宋_GB2312" w:hAnsi="Times New Roman" w:cs="Times New Roman" w:hint="eastAsia"/>
          <w:sz w:val="32"/>
          <w:szCs w:val="32"/>
        </w:rPr>
        <w:t>施工</w:t>
      </w:r>
      <w:r>
        <w:rPr>
          <w:rFonts w:ascii="Times New Roman" w:eastAsia="仿宋_GB2312" w:hAnsi="Times New Roman" w:cs="Times New Roman"/>
          <w:sz w:val="32"/>
          <w:szCs w:val="32"/>
        </w:rPr>
        <w:t>调整，大开间</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信息化</w:t>
      </w:r>
      <w:r>
        <w:rPr>
          <w:rFonts w:ascii="Times New Roman" w:eastAsia="仿宋_GB2312" w:hAnsi="Times New Roman" w:cs="Times New Roman" w:hint="eastAsia"/>
          <w:sz w:val="32"/>
          <w:szCs w:val="32"/>
        </w:rPr>
        <w:t>项目</w:t>
      </w:r>
      <w:r>
        <w:rPr>
          <w:rFonts w:ascii="Times New Roman" w:eastAsia="仿宋_GB2312" w:hAnsi="Times New Roman" w:cs="Times New Roman"/>
          <w:sz w:val="32"/>
          <w:szCs w:val="32"/>
        </w:rPr>
        <w:t>立项晚</w:t>
      </w:r>
      <w:r>
        <w:rPr>
          <w:rFonts w:ascii="Times New Roman" w:eastAsia="仿宋_GB2312" w:hAnsi="Times New Roman" w:cs="Times New Roman" w:hint="eastAsia"/>
          <w:sz w:val="32"/>
          <w:szCs w:val="32"/>
        </w:rPr>
        <w:t>等因素影响，</w:t>
      </w:r>
      <w:r>
        <w:rPr>
          <w:rFonts w:ascii="Times New Roman" w:eastAsia="仿宋_GB2312" w:hAnsi="Times New Roman" w:cs="Times New Roman"/>
          <w:sz w:val="32"/>
          <w:szCs w:val="32"/>
        </w:rPr>
        <w:t>部分房建</w:t>
      </w:r>
      <w:r>
        <w:rPr>
          <w:rFonts w:ascii="Times New Roman" w:eastAsia="仿宋_GB2312" w:hAnsi="Times New Roman" w:cs="Times New Roman" w:hint="eastAsia"/>
          <w:sz w:val="32"/>
          <w:szCs w:val="32"/>
        </w:rPr>
        <w:t>工程的</w:t>
      </w:r>
      <w:r>
        <w:rPr>
          <w:rFonts w:ascii="Times New Roman" w:eastAsia="仿宋_GB2312" w:hAnsi="Times New Roman" w:cs="Times New Roman"/>
          <w:sz w:val="32"/>
          <w:szCs w:val="32"/>
        </w:rPr>
        <w:t>施</w:t>
      </w:r>
      <w:r>
        <w:rPr>
          <w:rFonts w:ascii="Times New Roman" w:eastAsia="仿宋_GB2312" w:hAnsi="Times New Roman" w:cs="Times New Roman" w:hint="eastAsia"/>
          <w:sz w:val="32"/>
          <w:szCs w:val="32"/>
        </w:rPr>
        <w:t>工进度缓慢</w:t>
      </w:r>
      <w:r>
        <w:rPr>
          <w:rFonts w:ascii="Times New Roman" w:eastAsia="仿宋_GB2312" w:hAnsi="Times New Roman" w:cs="Times New Roman"/>
          <w:sz w:val="32"/>
          <w:szCs w:val="32"/>
        </w:rPr>
        <w:t>。</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（五）部门预决算差异率</w:t>
      </w:r>
      <w:bookmarkEnd w:id="55"/>
      <w:bookmarkEnd w:id="56"/>
      <w:bookmarkEnd w:id="57"/>
      <w:bookmarkEnd w:id="58"/>
    </w:p>
    <w:p w:rsidR="00D97F10" w:rsidRDefault="002273C2">
      <w:pPr>
        <w:snapToGrid w:val="0"/>
        <w:spacing w:line="520" w:lineRule="exact"/>
        <w:ind w:firstLineChars="200" w:firstLine="640"/>
        <w:rPr>
          <w:rFonts w:ascii="Times New Roman" w:eastAsia="仿宋_GB2312" w:hAnsi="Times New Roman" w:cs="Times New Roman"/>
          <w:sz w:val="32"/>
          <w:szCs w:val="32"/>
        </w:rPr>
      </w:pPr>
      <w:bookmarkStart w:id="59" w:name="_Toc17300"/>
      <w:bookmarkStart w:id="60" w:name="_Toc22801"/>
      <w:bookmarkStart w:id="61" w:name="_Toc5438"/>
      <w:bookmarkStart w:id="62" w:name="_Toc24471"/>
      <w:r>
        <w:rPr>
          <w:rFonts w:ascii="Times New Roman" w:eastAsia="仿宋_GB2312" w:hAnsi="Times New Roman" w:cs="Times New Roman"/>
          <w:sz w:val="32"/>
          <w:szCs w:val="32"/>
        </w:rPr>
        <w:t>从收入看，</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w:t>
      </w:r>
      <w:r>
        <w:rPr>
          <w:rFonts w:ascii="Times New Roman" w:eastAsia="仿宋_GB2312" w:hAnsi="Times New Roman" w:cs="Times New Roman"/>
          <w:sz w:val="32"/>
          <w:szCs w:val="32"/>
        </w:rPr>
        <w:t>年初预算</w:t>
      </w:r>
      <w:r>
        <w:rPr>
          <w:rFonts w:ascii="Times New Roman" w:eastAsia="仿宋_GB2312" w:hAnsi="Times New Roman" w:cs="Times New Roman" w:hint="eastAsia"/>
          <w:sz w:val="32"/>
          <w:szCs w:val="32"/>
        </w:rPr>
        <w:t>数</w:t>
      </w:r>
      <w:r>
        <w:rPr>
          <w:rFonts w:ascii="Times New Roman" w:eastAsia="仿宋_GB2312" w:hAnsi="Times New Roman" w:cs="Times New Roman"/>
          <w:sz w:val="32"/>
          <w:szCs w:val="32"/>
        </w:rPr>
        <w:t>207,278.28</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其中基本支出</w:t>
      </w:r>
      <w:r>
        <w:rPr>
          <w:rFonts w:ascii="Times New Roman" w:eastAsia="仿宋_GB2312" w:hAnsi="Times New Roman" w:cs="Times New Roman"/>
          <w:sz w:val="32"/>
          <w:szCs w:val="32"/>
        </w:rPr>
        <w:t>1,107.86</w:t>
      </w:r>
      <w:r>
        <w:rPr>
          <w:rFonts w:ascii="Times New Roman" w:eastAsia="仿宋_GB2312" w:hAnsi="Times New Roman" w:cs="Times New Roman"/>
          <w:sz w:val="32"/>
          <w:szCs w:val="32"/>
        </w:rPr>
        <w:t>万元，项目支出</w:t>
      </w:r>
      <w:r>
        <w:rPr>
          <w:rFonts w:ascii="Times New Roman" w:eastAsia="仿宋_GB2312" w:hAnsi="Times New Roman" w:cs="Times New Roman"/>
          <w:sz w:val="32"/>
          <w:szCs w:val="32"/>
        </w:rPr>
        <w:t>206,170.42</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），全年</w:t>
      </w:r>
      <w:r>
        <w:rPr>
          <w:rFonts w:ascii="Times New Roman" w:eastAsia="仿宋_GB2312" w:hAnsi="Times New Roman" w:cs="Times New Roman"/>
          <w:sz w:val="32"/>
          <w:szCs w:val="32"/>
        </w:rPr>
        <w:t>预算数</w:t>
      </w:r>
      <w:r>
        <w:rPr>
          <w:rFonts w:ascii="Times New Roman" w:eastAsia="仿宋_GB2312" w:hAnsi="Times New Roman" w:cs="Times New Roman" w:hint="eastAsia"/>
          <w:sz w:val="32"/>
          <w:szCs w:val="32"/>
        </w:rPr>
        <w:t>353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731.96</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其中基本支出</w:t>
      </w:r>
      <w:r>
        <w:rPr>
          <w:rFonts w:ascii="Times New Roman" w:eastAsia="仿宋_GB2312" w:hAnsi="Times New Roman" w:cs="Times New Roman"/>
          <w:sz w:val="32"/>
          <w:szCs w:val="32"/>
        </w:rPr>
        <w:t>898.79</w:t>
      </w:r>
      <w:r>
        <w:rPr>
          <w:rFonts w:ascii="Times New Roman" w:eastAsia="仿宋_GB2312" w:hAnsi="Times New Roman" w:cs="Times New Roman"/>
          <w:sz w:val="32"/>
          <w:szCs w:val="32"/>
        </w:rPr>
        <w:t>万元，项目支出</w:t>
      </w:r>
      <w:r>
        <w:rPr>
          <w:rFonts w:ascii="Times New Roman" w:eastAsia="仿宋_GB2312" w:hAnsi="Times New Roman" w:cs="Times New Roman" w:hint="eastAsia"/>
          <w:sz w:val="32"/>
          <w:szCs w:val="32"/>
        </w:rPr>
        <w:t>352</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833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17</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年全年收入总计比年初预算收入增加</w:t>
      </w:r>
      <w:r>
        <w:rPr>
          <w:rFonts w:ascii="Times New Roman" w:eastAsia="仿宋_GB2312" w:hAnsi="Times New Roman" w:cs="Times New Roman" w:hint="eastAsia"/>
          <w:sz w:val="32"/>
          <w:szCs w:val="32"/>
        </w:rPr>
        <w:t>146,453.68</w:t>
      </w:r>
      <w:r>
        <w:rPr>
          <w:rFonts w:ascii="Times New Roman" w:eastAsia="仿宋_GB2312" w:hAnsi="Times New Roman" w:cs="Times New Roman"/>
          <w:sz w:val="32"/>
          <w:szCs w:val="32"/>
        </w:rPr>
        <w:t>万元，增长</w:t>
      </w:r>
      <w:r>
        <w:rPr>
          <w:rFonts w:ascii="Times New Roman" w:eastAsia="仿宋_GB2312" w:hAnsi="Times New Roman" w:cs="Times New Roman" w:hint="eastAsia"/>
          <w:sz w:val="32"/>
          <w:szCs w:val="32"/>
        </w:rPr>
        <w:t>70.66</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从支出看</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支出决算数</w:t>
      </w:r>
      <w:r>
        <w:rPr>
          <w:rFonts w:ascii="Times New Roman" w:eastAsia="仿宋_GB2312" w:hAnsi="Times New Roman" w:cs="Times New Roman" w:hint="eastAsia"/>
          <w:sz w:val="32"/>
          <w:szCs w:val="32"/>
        </w:rPr>
        <w:t>234</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125</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84</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其中基本支出决算数</w:t>
      </w:r>
      <w:r>
        <w:rPr>
          <w:rFonts w:ascii="Times New Roman" w:eastAsia="仿宋_GB2312" w:hAnsi="Times New Roman" w:cs="Times New Roman"/>
          <w:sz w:val="32"/>
          <w:szCs w:val="32"/>
        </w:rPr>
        <w:t>746.8</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项目支出决算数</w:t>
      </w:r>
      <w:r>
        <w:rPr>
          <w:rFonts w:ascii="Times New Roman" w:eastAsia="仿宋_GB2312" w:hAnsi="Times New Roman" w:cs="Times New Roman" w:hint="eastAsia"/>
          <w:sz w:val="32"/>
          <w:szCs w:val="32"/>
        </w:rPr>
        <w:t>233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379</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04</w:t>
      </w:r>
      <w:r>
        <w:rPr>
          <w:rFonts w:ascii="Times New Roman" w:eastAsia="仿宋_GB2312" w:hAnsi="Times New Roman" w:cs="Times New Roman"/>
          <w:sz w:val="32"/>
          <w:szCs w:val="32"/>
        </w:rPr>
        <w:t>万元</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。支出决算数比年初预算收入</w:t>
      </w:r>
      <w:r>
        <w:rPr>
          <w:rFonts w:ascii="Times New Roman" w:eastAsia="仿宋_GB2312" w:hAnsi="Times New Roman" w:cs="Times New Roman"/>
          <w:sz w:val="32"/>
          <w:szCs w:val="32"/>
        </w:rPr>
        <w:t>207278</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28</w:t>
      </w:r>
      <w:r>
        <w:rPr>
          <w:rFonts w:ascii="Times New Roman" w:eastAsia="仿宋_GB2312" w:hAnsi="Times New Roman" w:cs="Times New Roman"/>
          <w:sz w:val="32"/>
          <w:szCs w:val="32"/>
        </w:rPr>
        <w:t>万元增加</w:t>
      </w:r>
      <w:r>
        <w:rPr>
          <w:rFonts w:ascii="Times New Roman" w:eastAsia="仿宋_GB2312" w:hAnsi="Times New Roman" w:cs="Times New Roman" w:hint="eastAsia"/>
          <w:sz w:val="32"/>
          <w:szCs w:val="32"/>
        </w:rPr>
        <w:t>26847.56</w:t>
      </w:r>
      <w:r>
        <w:rPr>
          <w:rFonts w:ascii="Times New Roman" w:eastAsia="仿宋_GB2312" w:hAnsi="Times New Roman" w:cs="Times New Roman"/>
          <w:sz w:val="32"/>
          <w:szCs w:val="32"/>
        </w:rPr>
        <w:t>万元，增加</w:t>
      </w:r>
      <w:r>
        <w:rPr>
          <w:rFonts w:ascii="Times New Roman" w:eastAsia="仿宋_GB2312" w:hAnsi="Times New Roman" w:cs="Times New Roman" w:hint="eastAsia"/>
          <w:sz w:val="32"/>
          <w:szCs w:val="32"/>
        </w:rPr>
        <w:t>12.95</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支出预算数与决算数比，差异原因主要是因为</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hint="eastAsia"/>
          <w:sz w:val="32"/>
          <w:szCs w:val="32"/>
        </w:rPr>
        <w:t>的</w:t>
      </w:r>
      <w:r>
        <w:rPr>
          <w:rFonts w:ascii="Times New Roman" w:eastAsia="仿宋_GB2312" w:hAnsi="Times New Roman" w:cs="Times New Roman"/>
          <w:sz w:val="32"/>
          <w:szCs w:val="32"/>
        </w:rPr>
        <w:t>大部分资金为</w:t>
      </w:r>
      <w:r>
        <w:rPr>
          <w:rFonts w:ascii="Times New Roman" w:eastAsia="仿宋_GB2312" w:hAnsi="Times New Roman" w:cs="Times New Roman" w:hint="eastAsia"/>
          <w:sz w:val="32"/>
          <w:szCs w:val="32"/>
        </w:rPr>
        <w:t>行政办公区</w:t>
      </w:r>
      <w:r>
        <w:rPr>
          <w:rFonts w:ascii="Times New Roman" w:eastAsia="仿宋_GB2312" w:hAnsi="Times New Roman" w:cs="Times New Roman"/>
          <w:sz w:val="32"/>
          <w:szCs w:val="32"/>
        </w:rPr>
        <w:t>基本建设资金</w:t>
      </w:r>
      <w:r w:rsidR="00603849">
        <w:rPr>
          <w:rFonts w:ascii="Times New Roman" w:eastAsia="仿宋_GB2312" w:hAnsi="Times New Roman" w:cs="Times New Roman" w:hint="eastAsia"/>
          <w:sz w:val="32"/>
          <w:szCs w:val="32"/>
        </w:rPr>
        <w:t>，实际拨付金额由相关市级单位批复下达资金计划，</w:t>
      </w:r>
      <w:r>
        <w:rPr>
          <w:rFonts w:ascii="Times New Roman" w:eastAsia="仿宋_GB2312" w:hAnsi="Times New Roman" w:cs="Times New Roman" w:hint="eastAsia"/>
          <w:sz w:val="32"/>
          <w:szCs w:val="32"/>
        </w:rPr>
        <w:t>纳入本年决算</w:t>
      </w:r>
      <w:r>
        <w:rPr>
          <w:rFonts w:ascii="Times New Roman" w:eastAsia="仿宋_GB2312" w:hAnsi="Times New Roman" w:cs="Times New Roman"/>
          <w:sz w:val="32"/>
          <w:szCs w:val="32"/>
        </w:rPr>
        <w:t>。</w:t>
      </w:r>
    </w:p>
    <w:p w:rsidR="00D97F10" w:rsidRDefault="002273C2">
      <w:pPr>
        <w:adjustRightInd w:val="0"/>
        <w:snapToGrid w:val="0"/>
        <w:spacing w:line="580" w:lineRule="exact"/>
        <w:ind w:firstLineChars="200" w:firstLine="640"/>
        <w:textAlignment w:val="baseline"/>
        <w:outlineLvl w:val="0"/>
        <w:rPr>
          <w:rFonts w:ascii="Times New Roman" w:eastAsia="黑体" w:hAnsi="Times New Roman" w:cs="Times New Roman"/>
          <w:sz w:val="32"/>
          <w:szCs w:val="32"/>
        </w:rPr>
      </w:pPr>
      <w:r>
        <w:rPr>
          <w:rFonts w:ascii="Times New Roman" w:eastAsia="黑体" w:hAnsi="Times New Roman" w:cs="Times New Roman"/>
          <w:sz w:val="32"/>
          <w:szCs w:val="32"/>
        </w:rPr>
        <w:t>五、总体评价结论</w:t>
      </w:r>
      <w:bookmarkEnd w:id="59"/>
      <w:bookmarkEnd w:id="60"/>
      <w:bookmarkEnd w:id="61"/>
      <w:bookmarkEnd w:id="62"/>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bookmarkStart w:id="63" w:name="_Toc19987"/>
      <w:bookmarkStart w:id="64" w:name="_Toc16148"/>
      <w:bookmarkStart w:id="65" w:name="_Toc19197"/>
      <w:bookmarkStart w:id="66" w:name="_Toc28469"/>
      <w:r>
        <w:rPr>
          <w:rFonts w:ascii="Times New Roman" w:eastAsia="楷体_GB2312" w:hAnsi="Times New Roman" w:cs="Times New Roman"/>
          <w:b/>
          <w:bCs/>
          <w:sz w:val="32"/>
          <w:szCs w:val="32"/>
        </w:rPr>
        <w:t>（一）评价得分情况</w:t>
      </w:r>
      <w:bookmarkEnd w:id="63"/>
      <w:bookmarkEnd w:id="64"/>
      <w:bookmarkEnd w:id="65"/>
      <w:bookmarkEnd w:id="66"/>
    </w:p>
    <w:p w:rsidR="00D97F10" w:rsidRDefault="002273C2">
      <w:pPr>
        <w:adjustRightInd w:val="0"/>
        <w:snapToGrid w:val="0"/>
        <w:spacing w:line="58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经过综合评价，</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年度部门整体支出绩效评价综合得分</w:t>
      </w:r>
      <w:r>
        <w:rPr>
          <w:rFonts w:ascii="Times New Roman" w:eastAsia="仿宋_GB2312" w:hAnsi="Times New Roman" w:cs="Times New Roman"/>
          <w:sz w:val="32"/>
          <w:szCs w:val="32"/>
        </w:rPr>
        <w:t>9</w:t>
      </w:r>
      <w:r>
        <w:rPr>
          <w:rFonts w:ascii="Times New Roman" w:eastAsia="仿宋_GB2312" w:hAnsi="Times New Roman" w:cs="Times New Roman" w:hint="eastAsia"/>
          <w:sz w:val="32"/>
          <w:szCs w:val="32"/>
        </w:rPr>
        <w:t>3.00</w:t>
      </w:r>
      <w:r>
        <w:rPr>
          <w:rFonts w:ascii="Times New Roman" w:eastAsia="仿宋_GB2312" w:hAnsi="Times New Roman" w:cs="Times New Roman"/>
          <w:sz w:val="32"/>
          <w:szCs w:val="32"/>
        </w:rPr>
        <w:t>分，评定等次为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 xml:space="preserve"> </w:t>
      </w:r>
    </w:p>
    <w:p w:rsidR="00603849" w:rsidRDefault="00603849" w:rsidP="00603849">
      <w:pPr>
        <w:pStyle w:val="a0"/>
      </w:pPr>
    </w:p>
    <w:p w:rsidR="00603849" w:rsidRPr="00603849" w:rsidRDefault="00603849" w:rsidP="00603849">
      <w:pPr>
        <w:pStyle w:val="a0"/>
      </w:pPr>
    </w:p>
    <w:p w:rsidR="00D97F10" w:rsidRDefault="002273C2">
      <w:pPr>
        <w:pStyle w:val="9"/>
        <w:adjustRightInd w:val="0"/>
        <w:snapToGrid w:val="0"/>
        <w:ind w:leftChars="0" w:left="0"/>
        <w:jc w:val="center"/>
        <w:textAlignment w:val="baseline"/>
        <w:rPr>
          <w:rFonts w:ascii="Times New Roman" w:eastAsia="宋体" w:hAnsi="Times New Roman" w:cs="Times New Roman"/>
          <w:b/>
          <w:bCs/>
          <w:sz w:val="28"/>
          <w:szCs w:val="28"/>
        </w:rPr>
      </w:pPr>
      <w:r>
        <w:rPr>
          <w:rFonts w:ascii="Times New Roman" w:eastAsia="宋体" w:hAnsi="Times New Roman" w:cs="Times New Roman"/>
          <w:b/>
          <w:bCs/>
          <w:sz w:val="28"/>
          <w:szCs w:val="28"/>
        </w:rPr>
        <w:lastRenderedPageBreak/>
        <w:t>北京城市副中心工程建设管理办公室</w:t>
      </w:r>
    </w:p>
    <w:p w:rsidR="00D97F10" w:rsidRDefault="002273C2">
      <w:pPr>
        <w:pStyle w:val="9"/>
        <w:adjustRightInd w:val="0"/>
        <w:snapToGrid w:val="0"/>
        <w:spacing w:afterLines="50" w:after="156"/>
        <w:ind w:leftChars="0" w:left="0"/>
        <w:jc w:val="center"/>
        <w:textAlignment w:val="baseline"/>
        <w:rPr>
          <w:rFonts w:ascii="Times New Roman" w:eastAsia="宋体" w:hAnsi="Times New Roman" w:cs="Times New Roman"/>
          <w:b/>
          <w:bCs/>
          <w:sz w:val="28"/>
          <w:szCs w:val="28"/>
        </w:rPr>
      </w:pPr>
      <w:r>
        <w:rPr>
          <w:rFonts w:ascii="Times New Roman" w:eastAsia="宋体" w:hAnsi="Times New Roman" w:cs="Times New Roman"/>
          <w:b/>
          <w:bCs/>
          <w:sz w:val="28"/>
          <w:szCs w:val="28"/>
        </w:rPr>
        <w:t>部门整体支出绩效评价得分表</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03"/>
        <w:gridCol w:w="2674"/>
        <w:gridCol w:w="2808"/>
      </w:tblGrid>
      <w:tr w:rsidR="00D97F10">
        <w:trPr>
          <w:cantSplit/>
          <w:trHeight w:val="567"/>
          <w:tblHeader/>
          <w:jc w:val="center"/>
        </w:trPr>
        <w:tc>
          <w:tcPr>
            <w:tcW w:w="3003" w:type="dxa"/>
            <w:shd w:val="clear" w:color="auto" w:fill="BEBEBE"/>
            <w:vAlign w:val="center"/>
          </w:tcPr>
          <w:p w:rsidR="00D97F10" w:rsidRDefault="002273C2">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评价内容</w:t>
            </w:r>
          </w:p>
        </w:tc>
        <w:tc>
          <w:tcPr>
            <w:tcW w:w="2674" w:type="dxa"/>
            <w:shd w:val="clear" w:color="auto" w:fill="BEBEBE"/>
            <w:vAlign w:val="center"/>
          </w:tcPr>
          <w:p w:rsidR="00D97F10" w:rsidRDefault="002273C2">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分值</w:t>
            </w:r>
          </w:p>
        </w:tc>
        <w:tc>
          <w:tcPr>
            <w:tcW w:w="2808" w:type="dxa"/>
            <w:shd w:val="clear" w:color="auto" w:fill="BEBEBE"/>
            <w:vAlign w:val="center"/>
          </w:tcPr>
          <w:p w:rsidR="00D97F10" w:rsidRDefault="002273C2">
            <w:pPr>
              <w:snapToGrid w:val="0"/>
              <w:jc w:val="center"/>
              <w:textAlignment w:val="baseline"/>
              <w:rPr>
                <w:rFonts w:ascii="Times New Roman" w:eastAsia="宋体" w:hAnsi="Times New Roman" w:cs="Times New Roman"/>
                <w:b/>
                <w:sz w:val="24"/>
                <w:szCs w:val="24"/>
              </w:rPr>
            </w:pPr>
            <w:r>
              <w:rPr>
                <w:rFonts w:ascii="Times New Roman" w:eastAsia="宋体" w:hAnsi="Times New Roman" w:cs="Times New Roman"/>
                <w:b/>
                <w:sz w:val="24"/>
                <w:szCs w:val="24"/>
              </w:rPr>
              <w:t>评价得分</w:t>
            </w:r>
          </w:p>
        </w:tc>
      </w:tr>
      <w:tr w:rsidR="00D97F10">
        <w:trPr>
          <w:cantSplit/>
          <w:trHeight w:val="567"/>
          <w:jc w:val="center"/>
        </w:trPr>
        <w:tc>
          <w:tcPr>
            <w:tcW w:w="3003" w:type="dxa"/>
            <w:vAlign w:val="center"/>
          </w:tcPr>
          <w:p w:rsidR="00D97F10" w:rsidRDefault="002273C2">
            <w:pPr>
              <w:pStyle w:val="a0"/>
              <w:snapToGrid w:val="0"/>
              <w:ind w:firstLine="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当年预算执行情况</w:t>
            </w:r>
          </w:p>
        </w:tc>
        <w:tc>
          <w:tcPr>
            <w:tcW w:w="2674"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20.00</w:t>
            </w:r>
          </w:p>
        </w:tc>
        <w:tc>
          <w:tcPr>
            <w:tcW w:w="2808"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13.20</w:t>
            </w:r>
          </w:p>
        </w:tc>
      </w:tr>
      <w:tr w:rsidR="00D97F10">
        <w:trPr>
          <w:cantSplit/>
          <w:trHeight w:val="567"/>
          <w:jc w:val="center"/>
        </w:trPr>
        <w:tc>
          <w:tcPr>
            <w:tcW w:w="3003"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整体绩效目标实现情况</w:t>
            </w:r>
          </w:p>
        </w:tc>
        <w:tc>
          <w:tcPr>
            <w:tcW w:w="2674"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60.00</w:t>
            </w:r>
          </w:p>
        </w:tc>
        <w:tc>
          <w:tcPr>
            <w:tcW w:w="2808"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59.80</w:t>
            </w:r>
          </w:p>
        </w:tc>
      </w:tr>
      <w:tr w:rsidR="00D97F10">
        <w:trPr>
          <w:cantSplit/>
          <w:trHeight w:val="567"/>
          <w:jc w:val="center"/>
        </w:trPr>
        <w:tc>
          <w:tcPr>
            <w:tcW w:w="3003"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预算管理情况</w:t>
            </w:r>
          </w:p>
        </w:tc>
        <w:tc>
          <w:tcPr>
            <w:tcW w:w="2674"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20.00</w:t>
            </w:r>
          </w:p>
        </w:tc>
        <w:tc>
          <w:tcPr>
            <w:tcW w:w="2808"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20.00</w:t>
            </w:r>
          </w:p>
        </w:tc>
      </w:tr>
      <w:tr w:rsidR="00D97F10">
        <w:trPr>
          <w:cantSplit/>
          <w:trHeight w:val="567"/>
          <w:jc w:val="center"/>
        </w:trPr>
        <w:tc>
          <w:tcPr>
            <w:tcW w:w="3003"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总分合计</w:t>
            </w:r>
          </w:p>
        </w:tc>
        <w:tc>
          <w:tcPr>
            <w:tcW w:w="2674"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100.00</w:t>
            </w:r>
          </w:p>
        </w:tc>
        <w:tc>
          <w:tcPr>
            <w:tcW w:w="2808" w:type="dxa"/>
            <w:vAlign w:val="center"/>
          </w:tcPr>
          <w:p w:rsidR="00D97F10" w:rsidRDefault="002273C2">
            <w:pPr>
              <w:snapToGrid w:val="0"/>
              <w:jc w:val="center"/>
              <w:textAlignment w:val="baseline"/>
              <w:rPr>
                <w:rFonts w:ascii="Times New Roman" w:hAnsi="Times New Roman" w:cs="Times New Roman"/>
              </w:rPr>
            </w:pP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3.00</w:t>
            </w:r>
          </w:p>
        </w:tc>
      </w:tr>
      <w:tr w:rsidR="00D97F10">
        <w:trPr>
          <w:cantSplit/>
          <w:trHeight w:val="567"/>
          <w:jc w:val="center"/>
        </w:trPr>
        <w:tc>
          <w:tcPr>
            <w:tcW w:w="3003" w:type="dxa"/>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评定等级</w:t>
            </w:r>
          </w:p>
        </w:tc>
        <w:tc>
          <w:tcPr>
            <w:tcW w:w="5482" w:type="dxa"/>
            <w:gridSpan w:val="2"/>
            <w:vAlign w:val="center"/>
          </w:tcPr>
          <w:p w:rsidR="00D97F10" w:rsidRDefault="002273C2">
            <w:pPr>
              <w:snapToGrid w:val="0"/>
              <w:jc w:val="center"/>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优</w:t>
            </w:r>
          </w:p>
        </w:tc>
      </w:tr>
    </w:tbl>
    <w:p w:rsidR="00D97F10" w:rsidRDefault="00D97F10">
      <w:pPr>
        <w:snapToGrid w:val="0"/>
        <w:textAlignment w:val="baseline"/>
        <w:rPr>
          <w:rFonts w:ascii="Times New Roman" w:eastAsia="仿宋_GB2312" w:hAnsi="Times New Roman" w:cs="Times New Roman"/>
          <w:sz w:val="28"/>
          <w:szCs w:val="28"/>
        </w:rPr>
      </w:pPr>
    </w:p>
    <w:p w:rsidR="00D97F10" w:rsidRDefault="002273C2">
      <w:pPr>
        <w:adjustRightInd w:val="0"/>
        <w:snapToGrid w:val="0"/>
        <w:spacing w:line="58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绩效评价表明，</w:t>
      </w:r>
      <w:r w:rsidR="00A56E84">
        <w:rPr>
          <w:rFonts w:ascii="Times New Roman" w:eastAsia="仿宋_GB2312" w:hAnsi="Times New Roman" w:cs="Times New Roman"/>
          <w:sz w:val="32"/>
          <w:szCs w:val="32"/>
        </w:rPr>
        <w:t>副中心工程办</w:t>
      </w:r>
      <w:r>
        <w:rPr>
          <w:rFonts w:ascii="Times New Roman" w:eastAsia="仿宋_GB2312" w:hAnsi="Times New Roman" w:cs="Times New Roman"/>
          <w:sz w:val="32"/>
          <w:szCs w:val="32"/>
        </w:rPr>
        <w:t>围绕部门职能和年度工作任务抓好项目实施，决策依据充分，决策过程规范；预算执行良好，绩效管理有力；产出成果明显，社会效益显著；实现了</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年部门整体绩效目标。</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sz w:val="32"/>
          <w:szCs w:val="32"/>
        </w:rPr>
      </w:pPr>
      <w:bookmarkStart w:id="67" w:name="_Toc3164"/>
      <w:bookmarkStart w:id="68" w:name="_Toc5651"/>
      <w:bookmarkStart w:id="69" w:name="_Toc23274"/>
      <w:bookmarkStart w:id="70" w:name="_Toc26844"/>
      <w:r>
        <w:rPr>
          <w:rFonts w:ascii="Times New Roman" w:eastAsia="仿宋_GB2312" w:hAnsi="Times New Roman" w:cs="Times New Roman"/>
          <w:b/>
          <w:bCs/>
          <w:sz w:val="32"/>
          <w:szCs w:val="32"/>
        </w:rPr>
        <w:t>1.</w:t>
      </w:r>
      <w:r>
        <w:rPr>
          <w:rFonts w:ascii="Times New Roman" w:eastAsia="仿宋_GB2312" w:hAnsi="Times New Roman" w:cs="Times New Roman"/>
          <w:b/>
          <w:bCs/>
          <w:sz w:val="32"/>
          <w:szCs w:val="32"/>
        </w:rPr>
        <w:t>在运行保障方面</w:t>
      </w:r>
      <w:r w:rsidR="00603849">
        <w:rPr>
          <w:rFonts w:ascii="Times New Roman" w:eastAsia="仿宋_GB2312" w:hAnsi="Times New Roman" w:cs="Times New Roman"/>
          <w:sz w:val="32"/>
          <w:szCs w:val="32"/>
        </w:rPr>
        <w:t>，积极做好</w:t>
      </w:r>
      <w:r>
        <w:rPr>
          <w:rFonts w:ascii="Times New Roman" w:eastAsia="仿宋_GB2312" w:hAnsi="Times New Roman" w:cs="Times New Roman"/>
          <w:sz w:val="32"/>
          <w:szCs w:val="32"/>
        </w:rPr>
        <w:t>机关运行经费保障，做好人员经费和招聘计划，按时、足额保障人员工资和社保、公积金等费用缴纳。</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年开支人员经费</w:t>
      </w:r>
      <w:r>
        <w:rPr>
          <w:rFonts w:ascii="Times New Roman" w:eastAsia="仿宋_GB2312" w:hAnsi="Times New Roman" w:cs="Times New Roman"/>
          <w:sz w:val="32"/>
          <w:szCs w:val="32"/>
        </w:rPr>
        <w:t>613.4</w:t>
      </w:r>
      <w:r>
        <w:rPr>
          <w:rFonts w:ascii="Times New Roman" w:eastAsia="仿宋_GB2312" w:hAnsi="Times New Roman" w:cs="Times New Roman"/>
          <w:sz w:val="32"/>
          <w:szCs w:val="32"/>
        </w:rPr>
        <w:t>万元，公用经费</w:t>
      </w:r>
      <w:r>
        <w:rPr>
          <w:rFonts w:ascii="Times New Roman" w:eastAsia="仿宋_GB2312" w:hAnsi="Times New Roman" w:cs="Times New Roman"/>
          <w:sz w:val="32"/>
          <w:szCs w:val="32"/>
        </w:rPr>
        <w:t>133.4</w:t>
      </w:r>
      <w:r>
        <w:rPr>
          <w:rFonts w:ascii="Times New Roman" w:eastAsia="仿宋_GB2312" w:hAnsi="Times New Roman" w:cs="Times New Roman"/>
          <w:sz w:val="32"/>
          <w:szCs w:val="32"/>
        </w:rPr>
        <w:t>万元，在厉行节约、降低办公成本的基础上，较好地保障了机关正常运转。</w:t>
      </w:r>
    </w:p>
    <w:p w:rsidR="00D97F10" w:rsidRDefault="002273C2" w:rsidP="004C6239">
      <w:pPr>
        <w:suppressAutoHyphens/>
        <w:adjustRightInd w:val="0"/>
        <w:snapToGrid w:val="0"/>
        <w:spacing w:line="58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2.</w:t>
      </w:r>
      <w:r>
        <w:rPr>
          <w:rFonts w:ascii="Times New Roman" w:eastAsia="仿宋_GB2312" w:hAnsi="Times New Roman" w:cs="Times New Roman"/>
          <w:b/>
          <w:bCs/>
          <w:sz w:val="32"/>
          <w:szCs w:val="32"/>
        </w:rPr>
        <w:t>在经费管理方面</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经费支出</w:t>
      </w:r>
      <w:r>
        <w:rPr>
          <w:rFonts w:ascii="Times New Roman" w:eastAsia="仿宋_GB2312" w:hAnsi="Times New Roman" w:cs="Times New Roman"/>
          <w:sz w:val="32"/>
          <w:szCs w:val="32"/>
        </w:rPr>
        <w:t>4.33</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5.40</w:t>
      </w:r>
      <w:r>
        <w:rPr>
          <w:rFonts w:ascii="Times New Roman" w:eastAsia="仿宋_GB2312" w:hAnsi="Times New Roman" w:cs="Times New Roman"/>
          <w:sz w:val="32"/>
          <w:szCs w:val="32"/>
        </w:rPr>
        <w:t>万元。培训费支出</w:t>
      </w:r>
      <w:r>
        <w:rPr>
          <w:rFonts w:ascii="Times New Roman" w:eastAsia="仿宋_GB2312" w:hAnsi="Times New Roman" w:cs="Times New Roman"/>
          <w:sz w:val="32"/>
          <w:szCs w:val="32"/>
        </w:rPr>
        <w:t>1.26</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2.55</w:t>
      </w:r>
      <w:r>
        <w:rPr>
          <w:rFonts w:ascii="Times New Roman" w:eastAsia="仿宋_GB2312" w:hAnsi="Times New Roman" w:cs="Times New Roman"/>
          <w:sz w:val="32"/>
          <w:szCs w:val="32"/>
        </w:rPr>
        <w:t>万元。会议费支出</w:t>
      </w:r>
      <w:r>
        <w:rPr>
          <w:rFonts w:ascii="Times New Roman" w:eastAsia="仿宋_GB2312" w:hAnsi="Times New Roman" w:cs="Times New Roman"/>
          <w:sz w:val="32"/>
          <w:szCs w:val="32"/>
        </w:rPr>
        <w:t>0</w:t>
      </w:r>
      <w:r>
        <w:rPr>
          <w:rFonts w:ascii="Times New Roman" w:eastAsia="仿宋_GB2312" w:hAnsi="Times New Roman" w:cs="Times New Roman"/>
          <w:sz w:val="32"/>
          <w:szCs w:val="32"/>
        </w:rPr>
        <w:t>万元，比上年减少</w:t>
      </w:r>
      <w:r>
        <w:rPr>
          <w:rFonts w:ascii="Times New Roman" w:eastAsia="仿宋_GB2312" w:hAnsi="Times New Roman" w:cs="Times New Roman"/>
          <w:sz w:val="32"/>
          <w:szCs w:val="32"/>
        </w:rPr>
        <w:t>0.9</w:t>
      </w:r>
      <w:r>
        <w:rPr>
          <w:rFonts w:ascii="Times New Roman" w:eastAsia="仿宋_GB2312" w:hAnsi="Times New Roman" w:cs="Times New Roman"/>
          <w:sz w:val="32"/>
          <w:szCs w:val="32"/>
        </w:rPr>
        <w:t>万元。主要因为受疫情影响，培训</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会议</w:t>
      </w:r>
      <w:r>
        <w:rPr>
          <w:rFonts w:ascii="Times New Roman" w:eastAsia="仿宋_GB2312" w:hAnsi="Times New Roman" w:cs="Times New Roman" w:hint="eastAsia"/>
          <w:sz w:val="32"/>
          <w:szCs w:val="32"/>
        </w:rPr>
        <w:t>等均</w:t>
      </w:r>
      <w:r>
        <w:rPr>
          <w:rFonts w:ascii="Times New Roman" w:eastAsia="仿宋_GB2312" w:hAnsi="Times New Roman" w:cs="Times New Roman"/>
          <w:sz w:val="32"/>
          <w:szCs w:val="32"/>
        </w:rPr>
        <w:t>转为线上召开</w:t>
      </w:r>
      <w:r>
        <w:rPr>
          <w:rFonts w:ascii="Times New Roman" w:eastAsia="仿宋_GB2312" w:hAnsi="Times New Roman" w:cs="Times New Roman" w:hint="eastAsia"/>
          <w:sz w:val="32"/>
          <w:szCs w:val="32"/>
        </w:rPr>
        <w:t>形式</w:t>
      </w:r>
      <w:r>
        <w:rPr>
          <w:rFonts w:ascii="Times New Roman" w:eastAsia="仿宋_GB2312" w:hAnsi="Times New Roman" w:cs="Times New Roman"/>
          <w:sz w:val="32"/>
          <w:szCs w:val="32"/>
        </w:rPr>
        <w:t>。总体上</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三公</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经费、会议费、培训费</w:t>
      </w:r>
      <w:r>
        <w:rPr>
          <w:rFonts w:ascii="Times New Roman" w:eastAsia="仿宋_GB2312" w:hAnsi="Times New Roman" w:cs="Times New Roman" w:hint="eastAsia"/>
          <w:sz w:val="32"/>
          <w:szCs w:val="32"/>
        </w:rPr>
        <w:t>等</w:t>
      </w:r>
      <w:r>
        <w:rPr>
          <w:rFonts w:ascii="Times New Roman" w:eastAsia="仿宋_GB2312" w:hAnsi="Times New Roman" w:cs="Times New Roman"/>
          <w:sz w:val="32"/>
          <w:szCs w:val="32"/>
        </w:rPr>
        <w:t>控制在较低水平。</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sz w:val="32"/>
          <w:szCs w:val="32"/>
        </w:rPr>
      </w:pPr>
      <w:r>
        <w:rPr>
          <w:rFonts w:ascii="Times New Roman" w:eastAsia="仿宋_GB2312" w:hAnsi="Times New Roman" w:cs="Times New Roman"/>
          <w:b/>
          <w:bCs/>
          <w:sz w:val="32"/>
          <w:szCs w:val="32"/>
        </w:rPr>
        <w:t>3.</w:t>
      </w:r>
      <w:r>
        <w:rPr>
          <w:rFonts w:ascii="Times New Roman" w:eastAsia="仿宋_GB2312" w:hAnsi="Times New Roman" w:cs="Times New Roman"/>
          <w:b/>
          <w:bCs/>
          <w:sz w:val="32"/>
          <w:szCs w:val="32"/>
        </w:rPr>
        <w:t>在成本控制方面</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年末，一般性支出金额控制在市</w:t>
      </w:r>
      <w:r>
        <w:rPr>
          <w:rFonts w:ascii="Times New Roman" w:eastAsia="仿宋_GB2312" w:hAnsi="Times New Roman" w:cs="Times New Roman"/>
          <w:sz w:val="32"/>
          <w:szCs w:val="32"/>
        </w:rPr>
        <w:lastRenderedPageBreak/>
        <w:t>财政调控使用范围内。在项目实施过程中严格落实政府采购制度，强化项目管理，控制项目成本，节约财政资金。</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年基本支出和项目支出均控制在预算批复数内，</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个项目均未出现超支现象。</w:t>
      </w:r>
    </w:p>
    <w:p w:rsidR="00D97F10" w:rsidRDefault="002273C2" w:rsidP="004C6239">
      <w:pPr>
        <w:adjustRightInd w:val="0"/>
        <w:snapToGrid w:val="0"/>
        <w:spacing w:line="580" w:lineRule="exact"/>
        <w:ind w:firstLineChars="200" w:firstLine="643"/>
        <w:textAlignment w:val="baseline"/>
        <w:rPr>
          <w:rFonts w:ascii="Times New Roman" w:eastAsia="仿宋_GB2312" w:hAnsi="Times New Roman" w:cs="Times New Roman"/>
          <w:sz w:val="32"/>
          <w:szCs w:val="32"/>
        </w:rPr>
      </w:pPr>
      <w:r>
        <w:rPr>
          <w:rFonts w:ascii="Times New Roman" w:eastAsia="仿宋_GB2312" w:hAnsi="Times New Roman" w:cs="Times New Roman"/>
          <w:b/>
          <w:bCs/>
          <w:sz w:val="32"/>
          <w:szCs w:val="32"/>
        </w:rPr>
        <w:t>4.</w:t>
      </w:r>
      <w:r>
        <w:rPr>
          <w:rFonts w:ascii="Times New Roman" w:eastAsia="仿宋_GB2312" w:hAnsi="Times New Roman" w:cs="Times New Roman"/>
          <w:b/>
          <w:bCs/>
          <w:sz w:val="32"/>
          <w:szCs w:val="32"/>
        </w:rPr>
        <w:t>在绩效管理方面</w:t>
      </w:r>
      <w:r>
        <w:rPr>
          <w:rFonts w:ascii="Times New Roman" w:eastAsia="仿宋_GB2312" w:hAnsi="Times New Roman" w:cs="Times New Roman"/>
          <w:sz w:val="32"/>
          <w:szCs w:val="32"/>
        </w:rPr>
        <w:t>，全面开展绩效评价和事前评审工作，组织各部门对项目支出进行绩效自评，聘请会计师事务所对重点项目进行绩效评价，落实项目绩效管理要求。对</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年拟申报</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部分</w:t>
      </w:r>
      <w:r>
        <w:rPr>
          <w:rFonts w:ascii="Times New Roman" w:eastAsia="仿宋_GB2312" w:hAnsi="Times New Roman" w:cs="Times New Roman"/>
          <w:sz w:val="32"/>
          <w:szCs w:val="32"/>
        </w:rPr>
        <w:t>预算项目按要求进行事前评估</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通过评价，增强各部门支出责任和效率意识，提高项目管理水平和资金使用效益。</w:t>
      </w:r>
    </w:p>
    <w:p w:rsidR="00D97F10" w:rsidRDefault="002273C2" w:rsidP="004C6239">
      <w:pPr>
        <w:adjustRightInd w:val="0"/>
        <w:snapToGrid w:val="0"/>
        <w:spacing w:line="580" w:lineRule="exact"/>
        <w:ind w:firstLineChars="200" w:firstLine="643"/>
        <w:jc w:val="left"/>
        <w:textAlignment w:val="baseline"/>
        <w:rPr>
          <w:rFonts w:ascii="Times New Roman" w:eastAsia="仿宋_GB2312" w:hAnsi="Times New Roman" w:cs="Times New Roman"/>
          <w:sz w:val="32"/>
          <w:szCs w:val="32"/>
        </w:rPr>
      </w:pPr>
      <w:r>
        <w:rPr>
          <w:rFonts w:ascii="Times New Roman" w:eastAsia="仿宋_GB2312" w:hAnsi="Times New Roman" w:cs="Times New Roman"/>
          <w:b/>
          <w:bCs/>
          <w:sz w:val="32"/>
          <w:szCs w:val="32"/>
        </w:rPr>
        <w:t>5.</w:t>
      </w:r>
      <w:r>
        <w:rPr>
          <w:rFonts w:ascii="Times New Roman" w:eastAsia="仿宋_GB2312" w:hAnsi="Times New Roman" w:cs="Times New Roman"/>
          <w:b/>
          <w:bCs/>
          <w:sz w:val="32"/>
          <w:szCs w:val="32"/>
        </w:rPr>
        <w:t>在咨询服务方面</w:t>
      </w:r>
      <w:r>
        <w:rPr>
          <w:rFonts w:ascii="Times New Roman" w:eastAsia="仿宋_GB2312" w:hAnsi="Times New Roman" w:cs="Times New Roman"/>
          <w:sz w:val="32"/>
          <w:szCs w:val="32"/>
        </w:rPr>
        <w:t>，依法合</w:t>
      </w:r>
      <w:proofErr w:type="gramStart"/>
      <w:r>
        <w:rPr>
          <w:rFonts w:ascii="Times New Roman" w:eastAsia="仿宋_GB2312" w:hAnsi="Times New Roman" w:cs="Times New Roman"/>
          <w:sz w:val="32"/>
          <w:szCs w:val="32"/>
        </w:rPr>
        <w:t>规</w:t>
      </w:r>
      <w:proofErr w:type="gramEnd"/>
      <w:r>
        <w:rPr>
          <w:rFonts w:ascii="Times New Roman" w:eastAsia="仿宋_GB2312" w:hAnsi="Times New Roman" w:cs="Times New Roman"/>
          <w:sz w:val="32"/>
          <w:szCs w:val="32"/>
        </w:rPr>
        <w:t>为副中心建设项目提供咨询服务和智力支持，根据工程建设需要，在工期进度、技术方案、成本控制、新技术应用研究等方面组织专家提供专业指导和技术支持，全年组织</w:t>
      </w:r>
      <w:r>
        <w:rPr>
          <w:rFonts w:ascii="Times New Roman" w:eastAsia="仿宋_GB2312" w:hAnsi="Times New Roman" w:cs="Times New Roman"/>
          <w:sz w:val="32"/>
          <w:szCs w:val="32"/>
        </w:rPr>
        <w:t>71</w:t>
      </w:r>
      <w:r>
        <w:rPr>
          <w:rFonts w:ascii="Times New Roman" w:eastAsia="仿宋_GB2312" w:hAnsi="Times New Roman" w:cs="Times New Roman"/>
          <w:sz w:val="32"/>
          <w:szCs w:val="32"/>
        </w:rPr>
        <w:t>次专家咨询活动，出具</w:t>
      </w:r>
      <w:r>
        <w:rPr>
          <w:rFonts w:ascii="Times New Roman" w:eastAsia="仿宋_GB2312" w:hAnsi="Times New Roman" w:cs="Times New Roman"/>
          <w:sz w:val="32"/>
          <w:szCs w:val="32"/>
        </w:rPr>
        <w:t>20</w:t>
      </w:r>
      <w:r>
        <w:rPr>
          <w:rFonts w:ascii="Times New Roman" w:eastAsia="仿宋_GB2312" w:hAnsi="Times New Roman" w:cs="Times New Roman"/>
          <w:sz w:val="32"/>
          <w:szCs w:val="32"/>
        </w:rPr>
        <w:t>份安全评比评估报告，保证工程建设质量和施工安全。</w:t>
      </w:r>
    </w:p>
    <w:p w:rsidR="00D97F10" w:rsidRDefault="002273C2" w:rsidP="004C6239">
      <w:pPr>
        <w:adjustRightInd w:val="0"/>
        <w:snapToGrid w:val="0"/>
        <w:spacing w:line="580" w:lineRule="exact"/>
        <w:ind w:firstLineChars="200" w:firstLine="643"/>
        <w:textAlignment w:val="baseline"/>
        <w:outlineLvl w:val="1"/>
        <w:rPr>
          <w:rFonts w:ascii="Times New Roman" w:eastAsia="楷体_GB2312" w:hAnsi="Times New Roman" w:cs="Times New Roman"/>
          <w:b/>
          <w:bCs/>
          <w:sz w:val="32"/>
          <w:szCs w:val="32"/>
        </w:rPr>
      </w:pPr>
      <w:r>
        <w:rPr>
          <w:rFonts w:ascii="Times New Roman" w:eastAsia="楷体_GB2312" w:hAnsi="Times New Roman" w:cs="Times New Roman"/>
          <w:b/>
          <w:bCs/>
          <w:sz w:val="32"/>
          <w:szCs w:val="32"/>
        </w:rPr>
        <w:t>（二）存在的问题及原因分析</w:t>
      </w:r>
      <w:bookmarkEnd w:id="67"/>
      <w:bookmarkEnd w:id="68"/>
      <w:bookmarkEnd w:id="69"/>
      <w:bookmarkEnd w:id="70"/>
    </w:p>
    <w:p w:rsidR="00D97F10" w:rsidRDefault="002273C2" w:rsidP="004C6239">
      <w:pPr>
        <w:adjustRightInd w:val="0"/>
        <w:snapToGrid w:val="0"/>
        <w:spacing w:line="580" w:lineRule="exact"/>
        <w:ind w:firstLineChars="200" w:firstLine="643"/>
        <w:rPr>
          <w:rFonts w:ascii="Times New Roman" w:eastAsia="仿宋_GB2312" w:hAnsi="Times New Roman" w:cs="Times New Roman"/>
          <w:b/>
          <w:bCs/>
          <w:kern w:val="0"/>
          <w:sz w:val="32"/>
          <w:szCs w:val="32"/>
        </w:rPr>
      </w:pPr>
      <w:r>
        <w:rPr>
          <w:rFonts w:ascii="Times New Roman" w:eastAsia="仿宋_GB2312" w:hAnsi="Times New Roman" w:cs="Times New Roman"/>
          <w:b/>
          <w:bCs/>
          <w:kern w:val="0"/>
          <w:sz w:val="32"/>
          <w:szCs w:val="32"/>
        </w:rPr>
        <w:t>绩效指标设置</w:t>
      </w:r>
      <w:r>
        <w:rPr>
          <w:rFonts w:ascii="Times New Roman" w:eastAsia="仿宋_GB2312" w:hAnsi="Times New Roman" w:cs="Times New Roman" w:hint="eastAsia"/>
          <w:b/>
          <w:bCs/>
          <w:kern w:val="0"/>
          <w:sz w:val="32"/>
          <w:szCs w:val="32"/>
        </w:rPr>
        <w:t>需要进一步完善</w:t>
      </w:r>
    </w:p>
    <w:p w:rsidR="00D97F10" w:rsidRDefault="002273C2">
      <w:pPr>
        <w:adjustRightInd w:val="0"/>
        <w:snapToGrid w:val="0"/>
        <w:spacing w:line="580" w:lineRule="exact"/>
        <w:ind w:firstLineChars="200" w:firstLine="640"/>
        <w:textAlignment w:val="baseline"/>
        <w:rPr>
          <w:rFonts w:ascii="Times New Roman" w:eastAsia="仿宋_GB2312" w:hAnsi="Times New Roman" w:cs="Times New Roman"/>
          <w:sz w:val="32"/>
          <w:szCs w:val="32"/>
        </w:rPr>
      </w:pPr>
      <w:r>
        <w:rPr>
          <w:rFonts w:ascii="仿宋_GB2312" w:eastAsia="仿宋_GB2312" w:hAnsi="仿宋_GB2312" w:cs="仿宋_GB2312" w:hint="eastAsia"/>
          <w:sz w:val="32"/>
          <w:szCs w:val="32"/>
        </w:rPr>
        <w:t>部分项目绩效指标设置量化不足。</w:t>
      </w:r>
      <w:r>
        <w:rPr>
          <w:rFonts w:ascii="Times New Roman" w:eastAsia="仿宋_GB2312" w:hAnsi="Times New Roman" w:cs="Times New Roman"/>
          <w:sz w:val="32"/>
          <w:szCs w:val="32"/>
        </w:rPr>
        <w:t>《房产测绘登记》《副中心智慧建造平台云服务租用项目》《</w:t>
      </w:r>
      <w:r>
        <w:rPr>
          <w:rFonts w:ascii="Times New Roman" w:eastAsia="仿宋_GB2312" w:hAnsi="Times New Roman" w:cs="Times New Roman"/>
          <w:sz w:val="32"/>
          <w:szCs w:val="32"/>
        </w:rPr>
        <w:t>OA</w:t>
      </w:r>
      <w:r>
        <w:rPr>
          <w:rFonts w:ascii="Times New Roman" w:eastAsia="仿宋_GB2312" w:hAnsi="Times New Roman" w:cs="Times New Roman"/>
          <w:sz w:val="32"/>
          <w:szCs w:val="32"/>
        </w:rPr>
        <w:t>系统升级改造》《档案整理及其数字化工作》等</w:t>
      </w:r>
      <w:r>
        <w:rPr>
          <w:rFonts w:ascii="Times New Roman" w:eastAsia="仿宋_GB2312" w:hAnsi="Times New Roman" w:cs="Times New Roman"/>
          <w:sz w:val="32"/>
          <w:szCs w:val="32"/>
        </w:rPr>
        <w:t>9</w:t>
      </w:r>
      <w:r>
        <w:rPr>
          <w:rFonts w:ascii="Times New Roman" w:eastAsia="仿宋_GB2312" w:hAnsi="Times New Roman" w:cs="Times New Roman"/>
          <w:sz w:val="32"/>
          <w:szCs w:val="32"/>
        </w:rPr>
        <w:t>个项目</w:t>
      </w:r>
      <w:r>
        <w:rPr>
          <w:rFonts w:ascii="Times New Roman" w:eastAsia="仿宋_GB2312" w:hAnsi="Times New Roman" w:cs="Times New Roman" w:hint="eastAsia"/>
          <w:sz w:val="32"/>
          <w:szCs w:val="32"/>
        </w:rPr>
        <w:t>需要</w:t>
      </w:r>
      <w:r>
        <w:rPr>
          <w:rFonts w:ascii="Times New Roman" w:eastAsia="仿宋_GB2312" w:hAnsi="Times New Roman" w:cs="Times New Roman"/>
          <w:sz w:val="32"/>
          <w:szCs w:val="32"/>
        </w:rPr>
        <w:t>设置数量指标</w:t>
      </w:r>
      <w:r>
        <w:rPr>
          <w:rFonts w:ascii="Times New Roman" w:eastAsia="仿宋_GB2312" w:hAnsi="Times New Roman" w:cs="Times New Roman" w:hint="eastAsia"/>
          <w:sz w:val="32"/>
          <w:szCs w:val="32"/>
        </w:rPr>
        <w:t>。</w:t>
      </w:r>
    </w:p>
    <w:p w:rsidR="00D97F10" w:rsidRDefault="002273C2">
      <w:pPr>
        <w:adjustRightInd w:val="0"/>
        <w:snapToGrid w:val="0"/>
        <w:spacing w:line="580" w:lineRule="exact"/>
        <w:ind w:firstLineChars="200" w:firstLine="640"/>
        <w:textAlignment w:val="baseline"/>
        <w:outlineLvl w:val="0"/>
        <w:rPr>
          <w:rFonts w:ascii="Times New Roman" w:eastAsia="黑体" w:hAnsi="Times New Roman" w:cs="Times New Roman"/>
          <w:sz w:val="32"/>
          <w:szCs w:val="32"/>
        </w:rPr>
      </w:pPr>
      <w:bookmarkStart w:id="71" w:name="_Toc22090"/>
      <w:bookmarkStart w:id="72" w:name="_Toc20952"/>
      <w:bookmarkStart w:id="73" w:name="_Toc9365"/>
      <w:bookmarkStart w:id="74" w:name="_Toc22084"/>
      <w:r>
        <w:rPr>
          <w:rFonts w:ascii="Times New Roman" w:eastAsia="黑体" w:hAnsi="Times New Roman" w:cs="Times New Roman"/>
          <w:color w:val="000000"/>
          <w:kern w:val="0"/>
          <w:sz w:val="32"/>
          <w:szCs w:val="32"/>
        </w:rPr>
        <w:t>六、措施建议</w:t>
      </w:r>
      <w:bookmarkEnd w:id="71"/>
      <w:bookmarkEnd w:id="72"/>
      <w:bookmarkEnd w:id="73"/>
      <w:bookmarkEnd w:id="74"/>
    </w:p>
    <w:p w:rsidR="00D97F10" w:rsidRDefault="002273C2" w:rsidP="004C6239">
      <w:pPr>
        <w:adjustRightInd w:val="0"/>
        <w:snapToGrid w:val="0"/>
        <w:spacing w:line="580" w:lineRule="exact"/>
        <w:ind w:firstLineChars="200" w:firstLine="643"/>
        <w:textAlignment w:val="baseline"/>
        <w:rPr>
          <w:rFonts w:ascii="Times New Roman" w:eastAsia="楷体_GB2312" w:hAnsi="Times New Roman" w:cs="Times New Roman"/>
          <w:b/>
          <w:bCs/>
          <w:sz w:val="32"/>
          <w:szCs w:val="32"/>
        </w:rPr>
      </w:pPr>
      <w:bookmarkStart w:id="75" w:name="_Toc61602478"/>
      <w:bookmarkStart w:id="76" w:name="_Toc5174"/>
      <w:bookmarkStart w:id="77" w:name="_Toc61602288"/>
      <w:bookmarkStart w:id="78" w:name="_Toc61602327"/>
      <w:bookmarkStart w:id="79" w:name="_Toc19425"/>
      <w:r>
        <w:rPr>
          <w:rFonts w:ascii="Times New Roman" w:eastAsia="楷体_GB2312" w:hAnsi="Times New Roman" w:cs="Times New Roman"/>
          <w:b/>
          <w:bCs/>
          <w:sz w:val="32"/>
          <w:szCs w:val="32"/>
        </w:rPr>
        <w:t>（一）决策方面</w:t>
      </w:r>
      <w:bookmarkEnd w:id="75"/>
      <w:bookmarkEnd w:id="76"/>
      <w:bookmarkEnd w:id="77"/>
      <w:bookmarkEnd w:id="78"/>
      <w:bookmarkEnd w:id="79"/>
    </w:p>
    <w:p w:rsidR="00D97F10" w:rsidRDefault="002273C2">
      <w:pPr>
        <w:adjustRightInd w:val="0"/>
        <w:snapToGrid w:val="0"/>
        <w:spacing w:line="580" w:lineRule="exact"/>
        <w:ind w:firstLineChars="200" w:firstLine="640"/>
        <w:textAlignment w:val="baseline"/>
        <w:rPr>
          <w:rFonts w:ascii="Times New Roman" w:eastAsia="仿宋_GB2312" w:hAnsi="Times New Roman" w:cs="Times New Roman"/>
          <w:sz w:val="32"/>
          <w:szCs w:val="32"/>
        </w:rPr>
      </w:pPr>
      <w:bookmarkStart w:id="80" w:name="_Toc61602328"/>
      <w:bookmarkStart w:id="81" w:name="_Toc61602479"/>
      <w:bookmarkStart w:id="82" w:name="_Toc61602289"/>
      <w:r>
        <w:rPr>
          <w:rFonts w:ascii="Times New Roman" w:eastAsia="仿宋_GB2312" w:hAnsi="Times New Roman" w:cs="Times New Roman"/>
          <w:sz w:val="32"/>
          <w:szCs w:val="32"/>
        </w:rPr>
        <w:t>进一步提升预算编制的科学性、规范性和准确性，减少预</w:t>
      </w:r>
      <w:r>
        <w:rPr>
          <w:rFonts w:ascii="Times New Roman" w:eastAsia="仿宋_GB2312" w:hAnsi="Times New Roman" w:cs="Times New Roman"/>
          <w:sz w:val="32"/>
          <w:szCs w:val="32"/>
        </w:rPr>
        <w:lastRenderedPageBreak/>
        <w:t>算追加、调剂等现象。细化预算内容，明确测算依据，加强重点项目可行性研究及专家咨询论证，确保技术方案的科学性和合理性。</w:t>
      </w:r>
    </w:p>
    <w:p w:rsidR="00D97F10" w:rsidRDefault="002273C2" w:rsidP="004C6239">
      <w:pPr>
        <w:adjustRightInd w:val="0"/>
        <w:snapToGrid w:val="0"/>
        <w:spacing w:line="580" w:lineRule="exact"/>
        <w:ind w:firstLineChars="200" w:firstLine="643"/>
        <w:textAlignment w:val="baseline"/>
        <w:rPr>
          <w:rFonts w:ascii="Times New Roman" w:eastAsia="楷体_GB2312" w:hAnsi="Times New Roman" w:cs="Times New Roman"/>
          <w:b/>
          <w:bCs/>
          <w:sz w:val="32"/>
          <w:szCs w:val="32"/>
        </w:rPr>
      </w:pPr>
      <w:bookmarkStart w:id="83" w:name="_Toc2305"/>
      <w:bookmarkStart w:id="84" w:name="_Toc18833"/>
      <w:r>
        <w:rPr>
          <w:rFonts w:ascii="Times New Roman" w:eastAsia="楷体_GB2312" w:hAnsi="Times New Roman" w:cs="Times New Roman"/>
          <w:b/>
          <w:bCs/>
          <w:sz w:val="32"/>
          <w:szCs w:val="32"/>
        </w:rPr>
        <w:t>（二）管理方面</w:t>
      </w:r>
      <w:bookmarkEnd w:id="80"/>
      <w:bookmarkEnd w:id="81"/>
      <w:bookmarkEnd w:id="82"/>
      <w:bookmarkEnd w:id="83"/>
      <w:bookmarkEnd w:id="84"/>
    </w:p>
    <w:p w:rsidR="00D97F10" w:rsidRDefault="002273C2">
      <w:pPr>
        <w:adjustRightInd w:val="0"/>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进一步加强对项目管理、产出、效果的总结，及时归集各项资料，统计汇总业务及管理数据，建立项目档案，对预算申请、实施方案、绩效目标、过程管理、项目验收等方面的资料，进行系统梳理、完整归集。</w:t>
      </w:r>
    </w:p>
    <w:p w:rsidR="00D97F10" w:rsidRDefault="002273C2" w:rsidP="004C6239">
      <w:pPr>
        <w:adjustRightInd w:val="0"/>
        <w:snapToGrid w:val="0"/>
        <w:spacing w:line="580" w:lineRule="exact"/>
        <w:ind w:firstLineChars="200" w:firstLine="643"/>
        <w:textAlignment w:val="baseline"/>
        <w:rPr>
          <w:rFonts w:ascii="Times New Roman" w:eastAsia="楷体_GB2312" w:hAnsi="Times New Roman" w:cs="Times New Roman"/>
          <w:b/>
          <w:bCs/>
          <w:sz w:val="32"/>
          <w:szCs w:val="32"/>
        </w:rPr>
      </w:pPr>
      <w:bookmarkStart w:id="85" w:name="_Toc61602329"/>
      <w:bookmarkStart w:id="86" w:name="_Toc21856"/>
      <w:bookmarkStart w:id="87" w:name="_Toc61602480"/>
      <w:bookmarkStart w:id="88" w:name="_Toc14538"/>
      <w:bookmarkStart w:id="89" w:name="_Toc61602290"/>
      <w:r>
        <w:rPr>
          <w:rFonts w:ascii="Times New Roman" w:eastAsia="楷体_GB2312" w:hAnsi="Times New Roman" w:cs="Times New Roman"/>
          <w:b/>
          <w:bCs/>
          <w:sz w:val="32"/>
          <w:szCs w:val="32"/>
        </w:rPr>
        <w:t>（三）绩效方面</w:t>
      </w:r>
      <w:bookmarkEnd w:id="85"/>
      <w:bookmarkEnd w:id="86"/>
      <w:bookmarkEnd w:id="87"/>
      <w:bookmarkEnd w:id="88"/>
      <w:bookmarkEnd w:id="89"/>
    </w:p>
    <w:p w:rsidR="00D97F10" w:rsidRDefault="002273C2">
      <w:pPr>
        <w:adjustRightInd w:val="0"/>
        <w:snapToGrid w:val="0"/>
        <w:spacing w:line="580" w:lineRule="exact"/>
        <w:ind w:firstLineChars="200" w:firstLine="640"/>
        <w:textAlignment w:val="baseline"/>
        <w:rPr>
          <w:rFonts w:ascii="仿宋_GB2312" w:eastAsia="仿宋_GB2312" w:hAnsi="仿宋_GB2312" w:cs="仿宋_GB2312"/>
          <w:sz w:val="32"/>
          <w:szCs w:val="32"/>
        </w:rPr>
      </w:pPr>
      <w:r>
        <w:rPr>
          <w:rFonts w:ascii="仿宋_GB2312" w:eastAsia="仿宋_GB2312" w:hAnsi="仿宋_GB2312" w:cs="仿宋_GB2312" w:hint="eastAsia"/>
          <w:sz w:val="32"/>
          <w:szCs w:val="32"/>
        </w:rPr>
        <w:t>进一步将绩效理念融入到各项工作之中，促进部门绩效管理水平不断提高。从绩效目标申报、绩效运行监控、绩效评价及结果应用等方面，对部门预算绩效实现全过程管理，提炼核心绩效指标，为加强项目管理提供有力抓手。</w:t>
      </w:r>
    </w:p>
    <w:p w:rsidR="00D97F10" w:rsidRDefault="00D97F10">
      <w:pPr>
        <w:adjustRightInd w:val="0"/>
        <w:snapToGrid w:val="0"/>
        <w:spacing w:line="580" w:lineRule="exact"/>
        <w:ind w:firstLineChars="200" w:firstLine="640"/>
        <w:textAlignment w:val="baseline"/>
        <w:rPr>
          <w:rFonts w:ascii="Times New Roman" w:eastAsia="仿宋_GB2312" w:hAnsi="Times New Roman" w:cs="Times New Roman"/>
          <w:sz w:val="32"/>
          <w:szCs w:val="32"/>
        </w:rPr>
      </w:pPr>
    </w:p>
    <w:p w:rsidR="00D97F10" w:rsidRDefault="00D97F10">
      <w:pPr>
        <w:adjustRightInd w:val="0"/>
        <w:snapToGrid w:val="0"/>
        <w:spacing w:line="560" w:lineRule="exact"/>
        <w:ind w:firstLineChars="200" w:firstLine="640"/>
        <w:jc w:val="center"/>
        <w:textAlignment w:val="baseline"/>
        <w:rPr>
          <w:rFonts w:ascii="Times New Roman" w:eastAsia="仿宋_GB2312" w:hAnsi="Times New Roman" w:cs="Times New Roman"/>
          <w:bCs/>
          <w:kern w:val="44"/>
          <w:sz w:val="32"/>
          <w:szCs w:val="32"/>
        </w:rPr>
      </w:pPr>
    </w:p>
    <w:p w:rsidR="00D97F10" w:rsidRDefault="002273C2">
      <w:pPr>
        <w:adjustRightInd w:val="0"/>
        <w:snapToGrid w:val="0"/>
        <w:spacing w:line="560" w:lineRule="exact"/>
        <w:ind w:firstLineChars="200" w:firstLine="640"/>
        <w:textAlignment w:val="baseline"/>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年部门整体绩效评价指标体系评分表</w:t>
      </w:r>
    </w:p>
    <w:p w:rsidR="00D97F10" w:rsidRDefault="002273C2">
      <w:pPr>
        <w:adjustRightInd w:val="0"/>
        <w:snapToGrid w:val="0"/>
        <w:spacing w:line="560" w:lineRule="exact"/>
        <w:ind w:firstLineChars="200" w:firstLine="640"/>
        <w:jc w:val="center"/>
        <w:textAlignment w:val="baseline"/>
        <w:rPr>
          <w:rFonts w:ascii="Times New Roman" w:eastAsia="仿宋_GB2312" w:hAnsi="Times New Roman" w:cs="Times New Roman"/>
          <w:bCs/>
          <w:kern w:val="44"/>
          <w:sz w:val="32"/>
          <w:szCs w:val="32"/>
        </w:rPr>
      </w:pPr>
      <w:r>
        <w:rPr>
          <w:rFonts w:ascii="Times New Roman" w:eastAsia="仿宋_GB2312" w:hAnsi="Times New Roman" w:cs="Times New Roman"/>
          <w:bCs/>
          <w:kern w:val="44"/>
          <w:sz w:val="32"/>
          <w:szCs w:val="32"/>
        </w:rPr>
        <w:t xml:space="preserve"> </w:t>
      </w:r>
      <w:bookmarkStart w:id="90" w:name="_Toc20717"/>
      <w:r>
        <w:rPr>
          <w:rFonts w:ascii="Times New Roman" w:eastAsia="仿宋_GB2312" w:hAnsi="Times New Roman" w:cs="Times New Roman"/>
          <w:bCs/>
          <w:kern w:val="44"/>
          <w:sz w:val="32"/>
          <w:szCs w:val="32"/>
        </w:rPr>
        <w:t xml:space="preserve">       </w:t>
      </w:r>
    </w:p>
    <w:p w:rsidR="00D97F10" w:rsidRDefault="00D97F10">
      <w:pPr>
        <w:adjustRightInd w:val="0"/>
        <w:snapToGrid w:val="0"/>
        <w:spacing w:line="560" w:lineRule="exact"/>
        <w:ind w:firstLineChars="200" w:firstLine="640"/>
        <w:jc w:val="center"/>
        <w:textAlignment w:val="baseline"/>
        <w:rPr>
          <w:rFonts w:ascii="Times New Roman" w:eastAsia="仿宋_GB2312" w:hAnsi="Times New Roman" w:cs="Times New Roman"/>
          <w:bCs/>
          <w:kern w:val="44"/>
          <w:sz w:val="32"/>
          <w:szCs w:val="32"/>
        </w:rPr>
      </w:pPr>
    </w:p>
    <w:p w:rsidR="00D97F10" w:rsidRDefault="00D97F10">
      <w:pPr>
        <w:adjustRightInd w:val="0"/>
        <w:snapToGrid w:val="0"/>
        <w:spacing w:line="560" w:lineRule="exact"/>
        <w:ind w:firstLineChars="200" w:firstLine="640"/>
        <w:jc w:val="center"/>
        <w:textAlignment w:val="baseline"/>
        <w:rPr>
          <w:rFonts w:ascii="Times New Roman" w:eastAsia="仿宋_GB2312" w:hAnsi="Times New Roman" w:cs="Times New Roman"/>
          <w:bCs/>
          <w:kern w:val="44"/>
          <w:sz w:val="32"/>
          <w:szCs w:val="32"/>
        </w:rPr>
      </w:pPr>
    </w:p>
    <w:p w:rsidR="00D97F10" w:rsidRDefault="002273C2">
      <w:pPr>
        <w:adjustRightInd w:val="0"/>
        <w:snapToGrid w:val="0"/>
        <w:spacing w:line="560" w:lineRule="exact"/>
        <w:ind w:firstLineChars="200" w:firstLine="640"/>
        <w:jc w:val="center"/>
        <w:textAlignment w:val="baseline"/>
        <w:rPr>
          <w:rFonts w:ascii="Times New Roman" w:eastAsia="仿宋_GB2312" w:hAnsi="Times New Roman" w:cs="Times New Roman"/>
          <w:bCs/>
          <w:kern w:val="44"/>
          <w:sz w:val="32"/>
          <w:szCs w:val="32"/>
        </w:rPr>
      </w:pPr>
      <w:r>
        <w:rPr>
          <w:rFonts w:ascii="Times New Roman" w:eastAsia="仿宋_GB2312" w:hAnsi="Times New Roman" w:cs="Times New Roman"/>
          <w:bCs/>
          <w:kern w:val="44"/>
          <w:sz w:val="32"/>
          <w:szCs w:val="32"/>
        </w:rPr>
        <w:t xml:space="preserve">            2023</w:t>
      </w:r>
      <w:r>
        <w:rPr>
          <w:rFonts w:ascii="Times New Roman" w:eastAsia="仿宋_GB2312" w:hAnsi="Times New Roman" w:cs="Times New Roman"/>
          <w:bCs/>
          <w:kern w:val="44"/>
          <w:sz w:val="32"/>
          <w:szCs w:val="32"/>
        </w:rPr>
        <w:t>年</w:t>
      </w:r>
      <w:r>
        <w:rPr>
          <w:rFonts w:ascii="Times New Roman" w:eastAsia="仿宋_GB2312" w:hAnsi="Times New Roman" w:cs="Times New Roman"/>
          <w:bCs/>
          <w:kern w:val="44"/>
          <w:sz w:val="32"/>
          <w:szCs w:val="32"/>
        </w:rPr>
        <w:t>5</w:t>
      </w:r>
      <w:r>
        <w:rPr>
          <w:rFonts w:ascii="Times New Roman" w:eastAsia="仿宋_GB2312" w:hAnsi="Times New Roman" w:cs="Times New Roman"/>
          <w:bCs/>
          <w:kern w:val="44"/>
          <w:sz w:val="32"/>
          <w:szCs w:val="32"/>
        </w:rPr>
        <w:t>月</w:t>
      </w:r>
      <w:r w:rsidR="00603849">
        <w:rPr>
          <w:rFonts w:ascii="Times New Roman" w:eastAsia="仿宋_GB2312" w:hAnsi="Times New Roman" w:cs="Times New Roman"/>
          <w:bCs/>
          <w:kern w:val="44"/>
          <w:sz w:val="32"/>
          <w:szCs w:val="32"/>
        </w:rPr>
        <w:t>2</w:t>
      </w:r>
      <w:r w:rsidR="00603849">
        <w:rPr>
          <w:rFonts w:ascii="Times New Roman" w:eastAsia="仿宋_GB2312" w:hAnsi="Times New Roman" w:cs="Times New Roman" w:hint="eastAsia"/>
          <w:bCs/>
          <w:kern w:val="44"/>
          <w:sz w:val="32"/>
          <w:szCs w:val="32"/>
        </w:rPr>
        <w:t>2</w:t>
      </w:r>
      <w:r>
        <w:rPr>
          <w:rFonts w:ascii="Times New Roman" w:eastAsia="仿宋_GB2312" w:hAnsi="Times New Roman" w:cs="Times New Roman"/>
          <w:bCs/>
          <w:kern w:val="44"/>
          <w:sz w:val="32"/>
          <w:szCs w:val="32"/>
        </w:rPr>
        <w:t>日</w:t>
      </w:r>
      <w:bookmarkEnd w:id="90"/>
    </w:p>
    <w:p w:rsidR="00D97F10" w:rsidRDefault="00D97F10">
      <w:pPr>
        <w:pStyle w:val="a0"/>
        <w:adjustRightInd w:val="0"/>
        <w:snapToGrid w:val="0"/>
        <w:spacing w:line="560" w:lineRule="exact"/>
        <w:rPr>
          <w:rFonts w:ascii="Times New Roman" w:hAnsi="Times New Roman" w:cs="Times New Roman"/>
        </w:rPr>
        <w:sectPr w:rsidR="00D97F10">
          <w:footerReference w:type="default" r:id="rId8"/>
          <w:pgSz w:w="11906" w:h="16838"/>
          <w:pgMar w:top="1701" w:right="1701" w:bottom="1701" w:left="1701" w:header="851" w:footer="992" w:gutter="0"/>
          <w:pgNumType w:start="1"/>
          <w:cols w:space="425"/>
          <w:docGrid w:type="lines" w:linePitch="312"/>
        </w:sectPr>
      </w:pPr>
    </w:p>
    <w:p w:rsidR="00D97F10" w:rsidRDefault="002273C2">
      <w:pPr>
        <w:pStyle w:val="a0"/>
        <w:adjustRightInd w:val="0"/>
        <w:snapToGrid w:val="0"/>
        <w:spacing w:line="560" w:lineRule="exact"/>
        <w:ind w:firstLine="0"/>
        <w:rPr>
          <w:rFonts w:ascii="Times New Roman" w:hAnsi="Times New Roman" w:cs="Times New Roman"/>
        </w:rPr>
      </w:pPr>
      <w:r>
        <w:rPr>
          <w:rFonts w:ascii="Times New Roman" w:hAnsi="Times New Roman" w:cs="Times New Roman"/>
        </w:rPr>
        <w:lastRenderedPageBreak/>
        <w:t>附件</w:t>
      </w:r>
    </w:p>
    <w:tbl>
      <w:tblPr>
        <w:tblW w:w="5092" w:type="pct"/>
        <w:jc w:val="center"/>
        <w:tblLayout w:type="fixed"/>
        <w:tblLook w:val="04A0" w:firstRow="1" w:lastRow="0" w:firstColumn="1" w:lastColumn="0" w:noHBand="0" w:noVBand="1"/>
      </w:tblPr>
      <w:tblGrid>
        <w:gridCol w:w="835"/>
        <w:gridCol w:w="1057"/>
        <w:gridCol w:w="1269"/>
        <w:gridCol w:w="1216"/>
        <w:gridCol w:w="834"/>
        <w:gridCol w:w="614"/>
        <w:gridCol w:w="614"/>
        <w:gridCol w:w="3875"/>
        <w:gridCol w:w="4168"/>
      </w:tblGrid>
      <w:tr w:rsidR="00D97F10">
        <w:trPr>
          <w:trHeight w:val="499"/>
          <w:jc w:val="center"/>
        </w:trPr>
        <w:tc>
          <w:tcPr>
            <w:tcW w:w="5000" w:type="pct"/>
            <w:gridSpan w:val="9"/>
            <w:tcBorders>
              <w:top w:val="nil"/>
              <w:left w:val="nil"/>
              <w:bottom w:val="single" w:sz="4" w:space="0" w:color="auto"/>
              <w:right w:val="nil"/>
            </w:tcBorders>
            <w:noWrap/>
            <w:vAlign w:val="bottom"/>
          </w:tcPr>
          <w:p w:rsidR="00D97F10" w:rsidRDefault="002273C2">
            <w:pPr>
              <w:widowControl/>
              <w:jc w:val="center"/>
              <w:rPr>
                <w:rFonts w:ascii="Times New Roman" w:eastAsia="方正小标宋简体" w:hAnsi="Times New Roman" w:cs="Times New Roman"/>
                <w:color w:val="000000"/>
                <w:kern w:val="0"/>
                <w:sz w:val="44"/>
                <w:szCs w:val="44"/>
              </w:rPr>
            </w:pPr>
            <w:r>
              <w:rPr>
                <w:rFonts w:ascii="Times New Roman" w:eastAsia="方正小标宋简体" w:hAnsi="Times New Roman" w:cs="Times New Roman"/>
                <w:color w:val="000000"/>
                <w:kern w:val="0"/>
                <w:sz w:val="44"/>
                <w:szCs w:val="44"/>
              </w:rPr>
              <w:t>2022</w:t>
            </w:r>
            <w:r>
              <w:rPr>
                <w:rFonts w:ascii="Times New Roman" w:eastAsia="方正小标宋简体" w:hAnsi="Times New Roman" w:cs="Times New Roman"/>
                <w:color w:val="000000"/>
                <w:kern w:val="0"/>
                <w:sz w:val="44"/>
                <w:szCs w:val="44"/>
              </w:rPr>
              <w:t>年部门整体绩效评价指标体系评分表</w:t>
            </w:r>
          </w:p>
        </w:tc>
      </w:tr>
      <w:tr w:rsidR="00D97F10">
        <w:trPr>
          <w:trHeight w:val="470"/>
          <w:jc w:val="center"/>
        </w:trPr>
        <w:tc>
          <w:tcPr>
            <w:tcW w:w="5000" w:type="pct"/>
            <w:gridSpan w:val="9"/>
            <w:tcBorders>
              <w:top w:val="single" w:sz="4" w:space="0" w:color="auto"/>
              <w:left w:val="single" w:sz="4" w:space="0" w:color="auto"/>
              <w:bottom w:val="single" w:sz="4" w:space="0" w:color="000000"/>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一、</w:t>
            </w:r>
            <w:r>
              <w:rPr>
                <w:rFonts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分）</w:t>
            </w:r>
          </w:p>
        </w:tc>
      </w:tr>
      <w:tr w:rsidR="00D97F10" w:rsidTr="00603849">
        <w:trPr>
          <w:trHeight w:val="707"/>
          <w:jc w:val="center"/>
        </w:trPr>
        <w:tc>
          <w:tcPr>
            <w:tcW w:w="28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一级</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指标　</w:t>
            </w: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二级</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指标　</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预算数</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（万元）</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执行数</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（万元）</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预算执行率</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指标解释</w:t>
            </w:r>
          </w:p>
        </w:tc>
        <w:tc>
          <w:tcPr>
            <w:tcW w:w="1436" w:type="pct"/>
            <w:tcBorders>
              <w:top w:val="single" w:sz="4" w:space="0" w:color="auto"/>
              <w:left w:val="nil"/>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评分标准</w:t>
            </w:r>
          </w:p>
        </w:tc>
      </w:tr>
      <w:tr w:rsidR="00D97F10">
        <w:trPr>
          <w:trHeight w:val="630"/>
          <w:jc w:val="center"/>
        </w:trPr>
        <w:tc>
          <w:tcPr>
            <w:tcW w:w="288" w:type="pct"/>
            <w:vMerge w:val="restart"/>
            <w:tcBorders>
              <w:top w:val="nil"/>
              <w:left w:val="single" w:sz="4" w:space="0" w:color="auto"/>
              <w:bottom w:val="single" w:sz="4" w:space="0" w:color="000000"/>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当年预算执行情况（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w:t>
            </w: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资金总体</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353,731.96</w:t>
            </w:r>
            <w:r>
              <w:rPr>
                <w:rFonts w:ascii="Times New Roman" w:hAnsi="Times New Roman" w:cs="Times New Roman"/>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234,125.84</w:t>
            </w:r>
            <w:r>
              <w:rPr>
                <w:rFonts w:ascii="Times New Roman" w:hAnsi="Times New Roman" w:cs="Times New Roman"/>
                <w:color w:val="000000"/>
                <w:kern w:val="0"/>
                <w:sz w:val="20"/>
                <w:szCs w:val="20"/>
              </w:rPr>
              <w:t xml:space="preserve">　</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66.19%</w:t>
            </w:r>
            <w:r>
              <w:rPr>
                <w:rFonts w:ascii="Times New Roman" w:hAnsi="Times New Roman" w:cs="Times New Roman"/>
                <w:color w:val="000000"/>
                <w:kern w:val="0"/>
                <w:sz w:val="20"/>
                <w:szCs w:val="20"/>
              </w:rPr>
              <w:t xml:space="preserve">　</w:t>
            </w:r>
          </w:p>
        </w:tc>
        <w:tc>
          <w:tcPr>
            <w:tcW w:w="212" w:type="pct"/>
            <w:vMerge w:val="restar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w:t>
            </w:r>
          </w:p>
        </w:tc>
        <w:tc>
          <w:tcPr>
            <w:tcW w:w="212" w:type="pct"/>
            <w:vMerge w:val="restar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13.2</w:t>
            </w:r>
            <w:r>
              <w:rPr>
                <w:rFonts w:ascii="Times New Roman" w:hAnsi="Times New Roman" w:cs="Times New Roman"/>
                <w:color w:val="000000"/>
                <w:kern w:val="0"/>
                <w:sz w:val="20"/>
                <w:szCs w:val="20"/>
              </w:rPr>
              <w:t xml:space="preserve">　</w:t>
            </w:r>
          </w:p>
        </w:tc>
        <w:tc>
          <w:tcPr>
            <w:tcW w:w="1338" w:type="pct"/>
            <w:vMerge w:val="restar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部门全年执行数与全年预算数的比率。资金总体</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基本支出</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项目支出</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其他</w:t>
            </w:r>
          </w:p>
        </w:tc>
        <w:tc>
          <w:tcPr>
            <w:tcW w:w="1436" w:type="pct"/>
            <w:vMerge w:val="restart"/>
            <w:tcBorders>
              <w:top w:val="nil"/>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得分一档最高不能超过该指标分值上限（</w:t>
            </w:r>
            <w:r>
              <w:rPr>
                <w:rFonts w:ascii="Times New Roman" w:hAnsi="Times New Roman" w:cs="Times New Roman"/>
                <w:color w:val="000000"/>
                <w:kern w:val="0"/>
                <w:sz w:val="18"/>
                <w:szCs w:val="18"/>
              </w:rPr>
              <w:t>20</w:t>
            </w:r>
            <w:r>
              <w:rPr>
                <w:rFonts w:ascii="Times New Roman" w:hAnsi="Times New Roman" w:cs="Times New Roman"/>
                <w:color w:val="000000"/>
                <w:kern w:val="0"/>
                <w:sz w:val="18"/>
                <w:szCs w:val="18"/>
              </w:rPr>
              <w:t>分）。</w:t>
            </w:r>
            <w:r>
              <w:rPr>
                <w:rFonts w:ascii="Times New Roman" w:hAnsi="Times New Roman" w:cs="Times New Roman"/>
                <w:color w:val="000000"/>
                <w:kern w:val="0"/>
                <w:sz w:val="18"/>
                <w:szCs w:val="18"/>
              </w:rPr>
              <w:br/>
              <w:t>②</w:t>
            </w:r>
            <w:r>
              <w:rPr>
                <w:rFonts w:ascii="Times New Roman" w:hAnsi="Times New Roman" w:cs="Times New Roman"/>
                <w:color w:val="000000"/>
                <w:kern w:val="0"/>
                <w:sz w:val="18"/>
                <w:szCs w:val="18"/>
              </w:rPr>
              <w:t>该指标若为正向指标，则得分计算方法应用全年实际值（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该指标分值；若定量指标为反向指标，则得分计算方法应用年度指标值（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该指标分值。若年初指标值设定偏低，则得分计算方法应用（全年实际值（</w:t>
            </w:r>
            <w:r>
              <w:rPr>
                <w:rFonts w:ascii="Times New Roman" w:hAnsi="Times New Roman" w:cs="Times New Roman"/>
                <w:color w:val="000000"/>
                <w:kern w:val="0"/>
                <w:sz w:val="18"/>
                <w:szCs w:val="18"/>
              </w:rPr>
              <w:t>B</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年度指标值（</w:t>
            </w:r>
            <w:r>
              <w:rPr>
                <w:rFonts w:ascii="Times New Roman" w:hAnsi="Times New Roman" w:cs="Times New Roman"/>
                <w:color w:val="000000"/>
                <w:kern w:val="0"/>
                <w:sz w:val="18"/>
                <w:szCs w:val="18"/>
              </w:rPr>
              <w:t>A</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。若计算结果在</w:t>
            </w:r>
            <w:r>
              <w:rPr>
                <w:rFonts w:ascii="Times New Roman" w:hAnsi="Times New Roman" w:cs="Times New Roman"/>
                <w:color w:val="000000"/>
                <w:kern w:val="0"/>
                <w:sz w:val="18"/>
                <w:szCs w:val="18"/>
              </w:rPr>
              <w:t>200%-300%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200%</w:t>
            </w:r>
            <w:r>
              <w:rPr>
                <w:rFonts w:ascii="Times New Roman" w:hAnsi="Times New Roman" w:cs="Times New Roman"/>
                <w:color w:val="000000"/>
                <w:kern w:val="0"/>
                <w:sz w:val="18"/>
                <w:szCs w:val="18"/>
              </w:rPr>
              <w:t>）区间，则按照该指标分值的</w:t>
            </w:r>
            <w:r>
              <w:rPr>
                <w:rFonts w:ascii="Times New Roman" w:hAnsi="Times New Roman" w:cs="Times New Roman"/>
                <w:color w:val="000000"/>
                <w:kern w:val="0"/>
                <w:sz w:val="18"/>
                <w:szCs w:val="18"/>
              </w:rPr>
              <w:t>10%</w:t>
            </w:r>
            <w:r>
              <w:rPr>
                <w:rFonts w:ascii="Times New Roman" w:hAnsi="Times New Roman" w:cs="Times New Roman"/>
                <w:color w:val="000000"/>
                <w:kern w:val="0"/>
                <w:sz w:val="18"/>
                <w:szCs w:val="18"/>
              </w:rPr>
              <w:t>扣分；计算结果在</w:t>
            </w:r>
            <w:r>
              <w:rPr>
                <w:rFonts w:ascii="Times New Roman" w:hAnsi="Times New Roman" w:cs="Times New Roman"/>
                <w:color w:val="000000"/>
                <w:kern w:val="0"/>
                <w:sz w:val="18"/>
                <w:szCs w:val="18"/>
              </w:rPr>
              <w:t>300%-500%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300%</w:t>
            </w:r>
            <w:r>
              <w:rPr>
                <w:rFonts w:ascii="Times New Roman" w:hAnsi="Times New Roman" w:cs="Times New Roman"/>
                <w:color w:val="000000"/>
                <w:kern w:val="0"/>
                <w:sz w:val="18"/>
                <w:szCs w:val="18"/>
              </w:rPr>
              <w:t>）区间，则按照该指标分值的</w:t>
            </w:r>
            <w:r>
              <w:rPr>
                <w:rFonts w:ascii="Times New Roman" w:hAnsi="Times New Roman" w:cs="Times New Roman"/>
                <w:color w:val="000000"/>
                <w:kern w:val="0"/>
                <w:sz w:val="18"/>
                <w:szCs w:val="18"/>
              </w:rPr>
              <w:t>20%</w:t>
            </w:r>
            <w:r>
              <w:rPr>
                <w:rFonts w:ascii="Times New Roman" w:hAnsi="Times New Roman" w:cs="Times New Roman"/>
                <w:color w:val="000000"/>
                <w:kern w:val="0"/>
                <w:sz w:val="18"/>
                <w:szCs w:val="18"/>
              </w:rPr>
              <w:t>扣分；计算结果高于</w:t>
            </w:r>
            <w:r>
              <w:rPr>
                <w:rFonts w:ascii="Times New Roman" w:hAnsi="Times New Roman" w:cs="Times New Roman"/>
                <w:color w:val="000000"/>
                <w:kern w:val="0"/>
                <w:sz w:val="18"/>
                <w:szCs w:val="18"/>
              </w:rPr>
              <w:t>500%</w:t>
            </w:r>
            <w:r>
              <w:rPr>
                <w:rFonts w:ascii="Times New Roman" w:hAnsi="Times New Roman" w:cs="Times New Roman"/>
                <w:color w:val="000000"/>
                <w:kern w:val="0"/>
                <w:sz w:val="18"/>
                <w:szCs w:val="18"/>
              </w:rPr>
              <w:t>（含</w:t>
            </w:r>
            <w:r>
              <w:rPr>
                <w:rFonts w:ascii="Times New Roman" w:hAnsi="Times New Roman" w:cs="Times New Roman"/>
                <w:color w:val="000000"/>
                <w:kern w:val="0"/>
                <w:sz w:val="18"/>
                <w:szCs w:val="18"/>
              </w:rPr>
              <w:t>500%</w:t>
            </w:r>
            <w:r>
              <w:rPr>
                <w:rFonts w:ascii="Times New Roman" w:hAnsi="Times New Roman" w:cs="Times New Roman"/>
                <w:color w:val="000000"/>
                <w:kern w:val="0"/>
                <w:sz w:val="18"/>
                <w:szCs w:val="18"/>
              </w:rPr>
              <w:t>），则按照该指标分值的</w:t>
            </w:r>
            <w:r>
              <w:rPr>
                <w:rFonts w:ascii="Times New Roman" w:hAnsi="Times New Roman" w:cs="Times New Roman"/>
                <w:color w:val="000000"/>
                <w:kern w:val="0"/>
                <w:sz w:val="18"/>
                <w:szCs w:val="18"/>
              </w:rPr>
              <w:t>30%</w:t>
            </w:r>
            <w:r>
              <w:rPr>
                <w:rFonts w:ascii="Times New Roman" w:hAnsi="Times New Roman" w:cs="Times New Roman"/>
                <w:color w:val="000000"/>
                <w:kern w:val="0"/>
                <w:sz w:val="18"/>
                <w:szCs w:val="18"/>
              </w:rPr>
              <w:t>扣分。</w:t>
            </w:r>
          </w:p>
        </w:tc>
      </w:tr>
      <w:tr w:rsidR="00D97F10">
        <w:trPr>
          <w:trHeight w:val="600"/>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nil"/>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基本支出</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898.79</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r>
              <w:rPr>
                <w:rFonts w:ascii="Times New Roman" w:hAnsi="Times New Roman" w:cs="Times New Roman"/>
                <w:color w:val="000000"/>
                <w:kern w:val="0"/>
                <w:sz w:val="20"/>
                <w:szCs w:val="20"/>
              </w:rPr>
              <w:t>746.80</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83.09%</w:t>
            </w:r>
          </w:p>
        </w:tc>
        <w:tc>
          <w:tcPr>
            <w:tcW w:w="212"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vMerge/>
            <w:tcBorders>
              <w:top w:val="single" w:sz="4" w:space="0" w:color="auto"/>
              <w:left w:val="nil"/>
              <w:bottom w:val="single" w:sz="4" w:space="0" w:color="auto"/>
              <w:right w:val="nil"/>
            </w:tcBorders>
            <w:vAlign w:val="center"/>
          </w:tcPr>
          <w:p w:rsidR="00D97F10" w:rsidRDefault="00D97F10">
            <w:pPr>
              <w:widowControl/>
              <w:jc w:val="left"/>
              <w:rPr>
                <w:rFonts w:ascii="Times New Roman" w:hAnsi="Times New Roman" w:cs="Times New Roman"/>
                <w:color w:val="000000"/>
                <w:kern w:val="0"/>
                <w:sz w:val="20"/>
                <w:szCs w:val="20"/>
              </w:rPr>
            </w:pPr>
          </w:p>
        </w:tc>
        <w:tc>
          <w:tcPr>
            <w:tcW w:w="133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615"/>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nil"/>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项目支出</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352,833.17</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233,379.04</w:t>
            </w:r>
            <w:r>
              <w:rPr>
                <w:rFonts w:ascii="Times New Roman" w:hAnsi="Times New Roman" w:cs="Times New Roman"/>
                <w:color w:val="000000"/>
                <w:kern w:val="0"/>
                <w:sz w:val="20"/>
                <w:szCs w:val="20"/>
              </w:rPr>
              <w:t xml:space="preserve">　</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66.14%</w:t>
            </w:r>
          </w:p>
        </w:tc>
        <w:tc>
          <w:tcPr>
            <w:tcW w:w="212"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vMerge/>
            <w:tcBorders>
              <w:top w:val="single" w:sz="4" w:space="0" w:color="auto"/>
              <w:left w:val="nil"/>
              <w:bottom w:val="single" w:sz="4" w:space="0" w:color="auto"/>
              <w:right w:val="nil"/>
            </w:tcBorders>
            <w:vAlign w:val="center"/>
          </w:tcPr>
          <w:p w:rsidR="00D97F10" w:rsidRDefault="00D97F10">
            <w:pPr>
              <w:widowControl/>
              <w:jc w:val="left"/>
              <w:rPr>
                <w:rFonts w:ascii="Times New Roman" w:hAnsi="Times New Roman" w:cs="Times New Roman"/>
                <w:color w:val="000000"/>
                <w:kern w:val="0"/>
                <w:sz w:val="20"/>
                <w:szCs w:val="20"/>
              </w:rPr>
            </w:pPr>
          </w:p>
        </w:tc>
        <w:tc>
          <w:tcPr>
            <w:tcW w:w="133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2050"/>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其他</w:t>
            </w:r>
          </w:p>
        </w:tc>
        <w:tc>
          <w:tcPr>
            <w:tcW w:w="438"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vMerge/>
            <w:tcBorders>
              <w:top w:val="single" w:sz="4" w:space="0" w:color="auto"/>
              <w:left w:val="nil"/>
              <w:bottom w:val="single" w:sz="4" w:space="0" w:color="auto"/>
              <w:right w:val="nil"/>
            </w:tcBorders>
            <w:vAlign w:val="center"/>
          </w:tcPr>
          <w:p w:rsidR="00D97F10" w:rsidRDefault="00D97F10">
            <w:pPr>
              <w:widowControl/>
              <w:jc w:val="left"/>
              <w:rPr>
                <w:rFonts w:ascii="Times New Roman" w:hAnsi="Times New Roman" w:cs="Times New Roman"/>
                <w:color w:val="000000"/>
                <w:kern w:val="0"/>
                <w:sz w:val="20"/>
                <w:szCs w:val="20"/>
              </w:rPr>
            </w:pPr>
          </w:p>
        </w:tc>
        <w:tc>
          <w:tcPr>
            <w:tcW w:w="133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569"/>
          <w:jc w:val="center"/>
        </w:trPr>
        <w:tc>
          <w:tcPr>
            <w:tcW w:w="5000" w:type="pct"/>
            <w:gridSpan w:val="9"/>
            <w:tcBorders>
              <w:top w:val="nil"/>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二、</w:t>
            </w:r>
            <w:r>
              <w:rPr>
                <w:rFonts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w:t>
            </w:r>
            <w:r>
              <w:rPr>
                <w:rFonts w:ascii="Times New Roman" w:hAnsi="Times New Roman" w:cs="Times New Roman"/>
                <w:color w:val="000000"/>
                <w:kern w:val="0"/>
                <w:sz w:val="20"/>
                <w:szCs w:val="20"/>
              </w:rPr>
              <w:t>分）</w:t>
            </w:r>
          </w:p>
        </w:tc>
      </w:tr>
      <w:tr w:rsidR="00D97F10">
        <w:trPr>
          <w:trHeight w:val="499"/>
          <w:jc w:val="center"/>
        </w:trPr>
        <w:tc>
          <w:tcPr>
            <w:tcW w:w="28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一级</w:t>
            </w:r>
          </w:p>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365"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二级</w:t>
            </w:r>
          </w:p>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指标　</w:t>
            </w:r>
          </w:p>
        </w:tc>
        <w:tc>
          <w:tcPr>
            <w:tcW w:w="438"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三级指标　</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指标值</w:t>
            </w:r>
          </w:p>
        </w:tc>
        <w:tc>
          <w:tcPr>
            <w:tcW w:w="286"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完成值</w:t>
            </w:r>
          </w:p>
        </w:tc>
        <w:tc>
          <w:tcPr>
            <w:tcW w:w="212"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212" w:type="pct"/>
            <w:tcBorders>
              <w:top w:val="single" w:sz="4" w:space="0" w:color="auto"/>
              <w:left w:val="nil"/>
              <w:bottom w:val="single" w:sz="4" w:space="0" w:color="auto"/>
              <w:right w:val="nil"/>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指标解释</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评分标准</w:t>
            </w:r>
          </w:p>
        </w:tc>
      </w:tr>
      <w:tr w:rsidR="00D97F10">
        <w:trPr>
          <w:trHeight w:val="1196"/>
          <w:jc w:val="center"/>
        </w:trPr>
        <w:tc>
          <w:tcPr>
            <w:tcW w:w="288" w:type="pct"/>
            <w:vMerge w:val="restar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D97F10">
            <w:pPr>
              <w:widowControl/>
              <w:jc w:val="center"/>
              <w:rPr>
                <w:rFonts w:ascii="Times New Roman" w:hAnsi="Times New Roman" w:cs="Times New Roman"/>
                <w:color w:val="000000"/>
                <w:kern w:val="0"/>
                <w:sz w:val="20"/>
                <w:szCs w:val="20"/>
              </w:rPr>
            </w:pPr>
          </w:p>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整体绩效目标实现情况（</w:t>
            </w:r>
            <w:r>
              <w:rPr>
                <w:rFonts w:ascii="Times New Roman" w:hAnsi="Times New Roman" w:cs="Times New Roman"/>
                <w:color w:val="000000"/>
                <w:kern w:val="0"/>
                <w:sz w:val="20"/>
                <w:szCs w:val="20"/>
              </w:rPr>
              <w:t>60</w:t>
            </w:r>
            <w:r>
              <w:rPr>
                <w:rFonts w:ascii="Times New Roman" w:hAnsi="Times New Roman" w:cs="Times New Roman"/>
                <w:color w:val="000000"/>
                <w:kern w:val="0"/>
                <w:sz w:val="20"/>
                <w:szCs w:val="20"/>
              </w:rPr>
              <w:t>）</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D97F10">
            <w:pPr>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w:t>
            </w:r>
            <w:r>
              <w:rPr>
                <w:rFonts w:ascii="Times New Roman" w:hAnsi="Times New Roman" w:cs="Times New Roman"/>
                <w:color w:val="000000"/>
                <w:kern w:val="0"/>
                <w:sz w:val="20"/>
                <w:szCs w:val="20"/>
              </w:rPr>
              <w:t>30</w:t>
            </w:r>
            <w:r>
              <w:rPr>
                <w:rFonts w:ascii="Times New Roman" w:hAnsi="Times New Roman" w:cs="Times New Roman"/>
                <w:color w:val="000000"/>
                <w:kern w:val="0"/>
                <w:sz w:val="20"/>
                <w:szCs w:val="20"/>
              </w:rPr>
              <w:t>）</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产出数量</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100%</w:t>
            </w:r>
            <w:r>
              <w:rPr>
                <w:rFonts w:ascii="Times New Roman" w:hAnsi="Times New Roman" w:cs="Times New Roman"/>
                <w:color w:val="000000"/>
                <w:kern w:val="0"/>
                <w:sz w:val="20"/>
                <w:szCs w:val="20"/>
              </w:rPr>
              <w:t xml:space="preserve">　</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97.98%</w:t>
            </w:r>
            <w:r>
              <w:rPr>
                <w:rFonts w:ascii="Times New Roman" w:hAnsi="Times New Roman" w:cs="Times New Roman"/>
                <w:color w:val="000000"/>
                <w:kern w:val="0"/>
                <w:sz w:val="20"/>
                <w:szCs w:val="20"/>
              </w:rPr>
              <w:t xml:space="preserve">　</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30</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center"/>
              <w:rPr>
                <w:rFonts w:ascii="Times New Roman" w:hAnsi="Times New Roman" w:cs="Times New Roman"/>
                <w:color w:val="000000"/>
                <w:kern w:val="0"/>
                <w:sz w:val="20"/>
                <w:szCs w:val="20"/>
              </w:rPr>
            </w:pPr>
          </w:p>
          <w:p w:rsidR="00D97F10" w:rsidRDefault="002273C2">
            <w:pPr>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7.8</w:t>
            </w:r>
          </w:p>
        </w:tc>
        <w:tc>
          <w:tcPr>
            <w:tcW w:w="1338" w:type="pct"/>
            <w:vMerge w:val="restar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产出数量</w:t>
            </w:r>
            <w:r>
              <w:rPr>
                <w:rFonts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计划工作数）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。实际完成工作数：一定时期（年度或规划期）内部门（单位）实际完成</w:t>
            </w:r>
            <w:r>
              <w:rPr>
                <w:rFonts w:ascii="Times New Roman" w:hAnsi="Times New Roman" w:cs="Times New Roman"/>
                <w:color w:val="000000"/>
                <w:kern w:val="0"/>
                <w:sz w:val="18"/>
                <w:szCs w:val="18"/>
              </w:rPr>
              <w:lastRenderedPageBreak/>
              <w:t>工作任务的数量。计划工作数：部门（单位）整体绩效目标确定的一定时期（年度或规划期）内预计完成工作任务的数量。</w:t>
            </w:r>
            <w:r>
              <w:rPr>
                <w:rFonts w:ascii="Times New Roman" w:hAnsi="Times New Roman" w:cs="Times New Roman"/>
                <w:b/>
                <w:bCs/>
                <w:color w:val="000000"/>
                <w:kern w:val="0"/>
                <w:sz w:val="18"/>
                <w:szCs w:val="18"/>
              </w:rPr>
              <w:t>产出质量</w:t>
            </w:r>
            <w:r>
              <w:rPr>
                <w:rFonts w:ascii="Times New Roman" w:hAnsi="Times New Roman" w:cs="Times New Roman"/>
                <w:color w:val="000000"/>
                <w:kern w:val="0"/>
                <w:sz w:val="18"/>
                <w:szCs w:val="18"/>
              </w:rPr>
              <w:t>：质量达标率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质量达标工作数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。质量达标工作数：一定时期（年度或规划期）内部门（单位）实际完成工作数中达到部门绩效目标要求（绩效标准值）的工作任务数量。</w:t>
            </w:r>
            <w:r>
              <w:rPr>
                <w:rFonts w:ascii="Times New Roman" w:hAnsi="Times New Roman" w:cs="Times New Roman"/>
                <w:b/>
                <w:bCs/>
                <w:color w:val="000000"/>
                <w:kern w:val="0"/>
                <w:sz w:val="18"/>
                <w:szCs w:val="18"/>
              </w:rPr>
              <w:t>产出进度：</w:t>
            </w:r>
            <w:r>
              <w:rPr>
                <w:rFonts w:ascii="Times New Roman" w:hAnsi="Times New Roman" w:cs="Times New Roman"/>
                <w:color w:val="000000"/>
                <w:kern w:val="0"/>
                <w:sz w:val="18"/>
                <w:szCs w:val="18"/>
              </w:rPr>
              <w:t>按时完成率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（按时完成工作数</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实际完成工作数）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。按时完成工作数：部门（单位）按照整体绩效目标确定的时限实际完成的工作任务数量。</w:t>
            </w:r>
            <w:r>
              <w:rPr>
                <w:rFonts w:ascii="Times New Roman" w:hAnsi="Times New Roman" w:cs="Times New Roman"/>
                <w:b/>
                <w:bCs/>
                <w:color w:val="000000"/>
                <w:kern w:val="0"/>
                <w:sz w:val="18"/>
                <w:szCs w:val="18"/>
              </w:rPr>
              <w:t>产出成本</w:t>
            </w:r>
            <w:r>
              <w:rPr>
                <w:rFonts w:ascii="Times New Roman" w:hAnsi="Times New Roman" w:cs="Times New Roman"/>
                <w:color w:val="000000"/>
                <w:kern w:val="0"/>
                <w:sz w:val="18"/>
                <w:szCs w:val="18"/>
              </w:rPr>
              <w:t>：单位产出相对于上一年度的节约额；</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单位产出相对于市场同类产出的节约额；</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部门公用经费的控制情况。</w:t>
            </w:r>
          </w:p>
        </w:tc>
        <w:tc>
          <w:tcPr>
            <w:tcW w:w="1436" w:type="pct"/>
            <w:vMerge w:val="restar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lastRenderedPageBreak/>
              <w:t>部门根据本单位情况自行确定并选择产出指标，合理确定各项指标权重。可量化的指标按照比率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单项指标分值即为该指标得分。如果不能定量评价，</w:t>
            </w:r>
            <w:r>
              <w:rPr>
                <w:rFonts w:ascii="Times New Roman" w:hAnsi="Times New Roman" w:cs="Times New Roman"/>
                <w:color w:val="000000"/>
                <w:kern w:val="0"/>
                <w:sz w:val="18"/>
                <w:szCs w:val="18"/>
              </w:rPr>
              <w:lastRenderedPageBreak/>
              <w:t>则以定性的方式进行自评。</w:t>
            </w:r>
          </w:p>
        </w:tc>
      </w:tr>
      <w:tr w:rsidR="00D97F10">
        <w:trPr>
          <w:trHeight w:val="1130"/>
          <w:jc w:val="center"/>
        </w:trPr>
        <w:tc>
          <w:tcPr>
            <w:tcW w:w="288" w:type="pct"/>
            <w:vMerge/>
            <w:tcBorders>
              <w:top w:val="single" w:sz="4" w:space="0" w:color="auto"/>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single" w:sz="4" w:space="0" w:color="auto"/>
              <w:left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产出质量</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计划完成率</w:t>
            </w:r>
            <w:r>
              <w:rPr>
                <w:rFonts w:ascii="Times New Roman" w:hAnsi="Times New Roman" w:cs="Times New Roman"/>
                <w:color w:val="000000"/>
                <w:kern w:val="0"/>
                <w:sz w:val="18"/>
                <w:szCs w:val="18"/>
              </w:rPr>
              <w:t>100%</w:t>
            </w:r>
            <w:r>
              <w:rPr>
                <w:rFonts w:ascii="Times New Roman" w:hAnsi="Times New Roman" w:cs="Times New Roman"/>
                <w:color w:val="000000"/>
                <w:kern w:val="0"/>
                <w:sz w:val="20"/>
                <w:szCs w:val="20"/>
              </w:rPr>
              <w:t xml:space="preserve">　</w:t>
            </w:r>
          </w:p>
        </w:tc>
        <w:tc>
          <w:tcPr>
            <w:tcW w:w="286" w:type="pct"/>
            <w:tcBorders>
              <w:top w:val="single" w:sz="4" w:space="0" w:color="auto"/>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99.6%</w:t>
            </w:r>
            <w:r>
              <w:rPr>
                <w:rFonts w:ascii="Times New Roman" w:hAnsi="Times New Roman" w:cs="Times New Roman"/>
                <w:color w:val="000000"/>
                <w:kern w:val="0"/>
                <w:sz w:val="18"/>
                <w:szCs w:val="18"/>
              </w:rPr>
              <w:t xml:space="preserve">　</w:t>
            </w:r>
          </w:p>
        </w:tc>
        <w:tc>
          <w:tcPr>
            <w:tcW w:w="212" w:type="pct"/>
            <w:vMerge/>
            <w:tcBorders>
              <w:top w:val="single" w:sz="4" w:space="0" w:color="auto"/>
              <w:left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single" w:sz="4" w:space="0" w:color="auto"/>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c>
          <w:tcPr>
            <w:tcW w:w="133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1258"/>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left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产出进度</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按时完成率</w:t>
            </w:r>
            <w:r>
              <w:rPr>
                <w:rFonts w:ascii="Times New Roman" w:hAnsi="Times New Roman" w:cs="Times New Roman"/>
                <w:color w:val="000000"/>
                <w:kern w:val="0"/>
                <w:sz w:val="18"/>
                <w:szCs w:val="18"/>
              </w:rPr>
              <w:t>100%</w:t>
            </w:r>
            <w:r>
              <w:rPr>
                <w:rFonts w:ascii="Times New Roman" w:hAnsi="Times New Roman" w:cs="Times New Roman"/>
                <w:color w:val="000000"/>
                <w:kern w:val="0"/>
                <w:sz w:val="20"/>
                <w:szCs w:val="20"/>
              </w:rPr>
              <w:t xml:space="preserve">　</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 xml:space="preserve">　</w:t>
            </w:r>
          </w:p>
        </w:tc>
        <w:tc>
          <w:tcPr>
            <w:tcW w:w="212" w:type="pct"/>
            <w:vMerge/>
            <w:tcBorders>
              <w:left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6</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975"/>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产出成本</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 xml:space="preserve">预算控制数　</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 xml:space="preserve">预算控制数　</w:t>
            </w:r>
            <w:r>
              <w:rPr>
                <w:rFonts w:ascii="Times New Roman" w:hAnsi="Times New Roman" w:cs="Times New Roman"/>
                <w:color w:val="000000"/>
                <w:kern w:val="0"/>
                <w:sz w:val="20"/>
                <w:szCs w:val="20"/>
              </w:rPr>
              <w:t xml:space="preserve">　</w:t>
            </w:r>
          </w:p>
        </w:tc>
        <w:tc>
          <w:tcPr>
            <w:tcW w:w="212" w:type="pct"/>
            <w:vMerge/>
            <w:tcBorders>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675"/>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val="restart"/>
            <w:tcBorders>
              <w:top w:val="nil"/>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效果（</w:t>
            </w:r>
            <w:r>
              <w:rPr>
                <w:rFonts w:ascii="Times New Roman" w:hAnsi="Times New Roman" w:cs="Times New Roman"/>
                <w:color w:val="000000"/>
                <w:kern w:val="0"/>
                <w:sz w:val="20"/>
                <w:szCs w:val="20"/>
              </w:rPr>
              <w:t>30</w:t>
            </w:r>
            <w:r>
              <w:rPr>
                <w:rFonts w:ascii="Times New Roman" w:hAnsi="Times New Roman" w:cs="Times New Roman"/>
                <w:color w:val="000000"/>
                <w:kern w:val="0"/>
                <w:sz w:val="20"/>
                <w:szCs w:val="20"/>
              </w:rPr>
              <w:t>）</w:t>
            </w:r>
          </w:p>
        </w:tc>
        <w:tc>
          <w:tcPr>
            <w:tcW w:w="438"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经济效益</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vMerge w:val="restart"/>
            <w:tcBorders>
              <w:top w:val="nil"/>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30</w:t>
            </w: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r>
              <w:rPr>
                <w:rFonts w:ascii="Times New Roman" w:hAnsi="Times New Roman" w:cs="Times New Roman"/>
                <w:color w:val="000000"/>
                <w:kern w:val="0"/>
                <w:sz w:val="20"/>
                <w:szCs w:val="20"/>
              </w:rPr>
              <w:t xml:space="preserve">　</w:t>
            </w:r>
          </w:p>
        </w:tc>
        <w:tc>
          <w:tcPr>
            <w:tcW w:w="1338" w:type="pct"/>
            <w:vMerge w:val="restart"/>
            <w:tcBorders>
              <w:top w:val="nil"/>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经济效益</w:t>
            </w:r>
            <w:r>
              <w:rPr>
                <w:rFonts w:ascii="Times New Roman" w:hAnsi="Times New Roman" w:cs="Times New Roman"/>
                <w:color w:val="000000"/>
                <w:kern w:val="0"/>
                <w:sz w:val="18"/>
                <w:szCs w:val="18"/>
              </w:rPr>
              <w:t>：部门（单位）履行职责对经济发展所带来的直接或间接影响。</w:t>
            </w:r>
            <w:r>
              <w:rPr>
                <w:rFonts w:ascii="Times New Roman" w:hAnsi="Times New Roman" w:cs="Times New Roman"/>
                <w:b/>
                <w:bCs/>
                <w:color w:val="000000"/>
                <w:kern w:val="0"/>
                <w:sz w:val="18"/>
                <w:szCs w:val="18"/>
              </w:rPr>
              <w:t>社会效益</w:t>
            </w:r>
            <w:r>
              <w:rPr>
                <w:rFonts w:ascii="Times New Roman" w:hAnsi="Times New Roman" w:cs="Times New Roman"/>
                <w:color w:val="000000"/>
                <w:kern w:val="0"/>
                <w:sz w:val="18"/>
                <w:szCs w:val="18"/>
              </w:rPr>
              <w:t>：部门（单位）履行职责对社会发展所带来的直接或间接影响。</w:t>
            </w:r>
            <w:r>
              <w:rPr>
                <w:rFonts w:ascii="Times New Roman" w:hAnsi="Times New Roman" w:cs="Times New Roman"/>
                <w:b/>
                <w:bCs/>
                <w:color w:val="000000"/>
                <w:kern w:val="0"/>
                <w:sz w:val="18"/>
                <w:szCs w:val="18"/>
              </w:rPr>
              <w:t>环境效益</w:t>
            </w:r>
            <w:r>
              <w:rPr>
                <w:rFonts w:ascii="Times New Roman" w:hAnsi="Times New Roman" w:cs="Times New Roman"/>
                <w:color w:val="000000"/>
                <w:kern w:val="0"/>
                <w:sz w:val="18"/>
                <w:szCs w:val="18"/>
              </w:rPr>
              <w:t>：部门（单位）履行职责对环境所带来的直接或间接影响。</w:t>
            </w:r>
            <w:r>
              <w:rPr>
                <w:rFonts w:ascii="Times New Roman" w:hAnsi="Times New Roman" w:cs="Times New Roman"/>
                <w:b/>
                <w:bCs/>
                <w:color w:val="000000"/>
                <w:kern w:val="0"/>
                <w:sz w:val="18"/>
                <w:szCs w:val="18"/>
              </w:rPr>
              <w:t>可持续性影响：</w:t>
            </w:r>
            <w:r>
              <w:rPr>
                <w:rFonts w:ascii="Times New Roman" w:hAnsi="Times New Roman" w:cs="Times New Roman"/>
                <w:color w:val="000000"/>
                <w:kern w:val="0"/>
                <w:sz w:val="18"/>
                <w:szCs w:val="18"/>
              </w:rPr>
              <w:t>部门绩效目标实现的长效机制建设情况，部门工作效率提升措施的创新。</w:t>
            </w:r>
            <w:r>
              <w:rPr>
                <w:rFonts w:ascii="Times New Roman" w:hAnsi="Times New Roman" w:cs="Times New Roman"/>
                <w:b/>
                <w:bCs/>
                <w:color w:val="000000"/>
                <w:kern w:val="0"/>
                <w:sz w:val="18"/>
                <w:szCs w:val="18"/>
              </w:rPr>
              <w:t>服务对象满意度</w:t>
            </w:r>
            <w:r>
              <w:rPr>
                <w:rFonts w:ascii="Times New Roman" w:hAnsi="Times New Roman" w:cs="Times New Roman"/>
                <w:color w:val="000000"/>
                <w:kern w:val="0"/>
                <w:sz w:val="18"/>
                <w:szCs w:val="18"/>
              </w:rPr>
              <w:t>：部门（单位）的服务对象对部门履职效果的满意程度。</w:t>
            </w:r>
          </w:p>
        </w:tc>
        <w:tc>
          <w:tcPr>
            <w:tcW w:w="1436" w:type="pct"/>
            <w:vMerge w:val="restart"/>
            <w:tcBorders>
              <w:top w:val="nil"/>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部门根据实际情况选择指标进行填写，并将其细化为相应的个性化指标。对于效益类指标可从受益对象瞄准度、受益广度和受益深度上进行设计分析。</w:t>
            </w:r>
          </w:p>
        </w:tc>
      </w:tr>
      <w:tr w:rsidR="00D97F10">
        <w:trPr>
          <w:trHeight w:val="630"/>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社会效益</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8</w:t>
            </w:r>
            <w:r>
              <w:rPr>
                <w:rFonts w:ascii="Times New Roman" w:hAnsi="Times New Roman" w:cs="Times New Roman"/>
                <w:color w:val="000000"/>
                <w:kern w:val="0"/>
                <w:sz w:val="20"/>
                <w:szCs w:val="20"/>
              </w:rPr>
              <w:t xml:space="preserve">　</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690"/>
          <w:jc w:val="center"/>
        </w:trPr>
        <w:tc>
          <w:tcPr>
            <w:tcW w:w="288" w:type="pct"/>
            <w:vMerge/>
            <w:tcBorders>
              <w:top w:val="nil"/>
              <w:left w:val="single" w:sz="4" w:space="0" w:color="auto"/>
              <w:bottom w:val="single" w:sz="4" w:space="0" w:color="000000"/>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环境效益</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r>
              <w:rPr>
                <w:rFonts w:ascii="Times New Roman" w:hAnsi="Times New Roman" w:cs="Times New Roman"/>
                <w:color w:val="000000"/>
                <w:kern w:val="0"/>
                <w:sz w:val="20"/>
                <w:szCs w:val="20"/>
              </w:rPr>
              <w:t xml:space="preserve">　</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675"/>
          <w:jc w:val="center"/>
        </w:trPr>
        <w:tc>
          <w:tcPr>
            <w:tcW w:w="28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可持续影响</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7</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rsidTr="00603849">
        <w:trPr>
          <w:trHeight w:val="1518"/>
          <w:jc w:val="center"/>
        </w:trPr>
        <w:tc>
          <w:tcPr>
            <w:tcW w:w="28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nil"/>
              <w:left w:val="nil"/>
              <w:bottom w:val="single" w:sz="4" w:space="0" w:color="auto"/>
              <w:right w:val="single" w:sz="4" w:space="0" w:color="auto"/>
            </w:tcBorders>
            <w:vAlign w:val="center"/>
          </w:tcPr>
          <w:p w:rsidR="00D97F10" w:rsidRDefault="002273C2">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服务对象满意度</w:t>
            </w:r>
          </w:p>
        </w:tc>
        <w:tc>
          <w:tcPr>
            <w:tcW w:w="420"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nil"/>
              <w:left w:val="nil"/>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212" w:type="pct"/>
            <w:tcBorders>
              <w:top w:val="nil"/>
              <w:left w:val="nil"/>
              <w:bottom w:val="single" w:sz="4" w:space="0" w:color="auto"/>
              <w:right w:val="nil"/>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5</w:t>
            </w:r>
            <w:r>
              <w:rPr>
                <w:rFonts w:ascii="Times New Roman" w:hAnsi="Times New Roman" w:cs="Times New Roman"/>
                <w:color w:val="000000"/>
                <w:kern w:val="0"/>
                <w:sz w:val="20"/>
                <w:szCs w:val="20"/>
              </w:rPr>
              <w:t xml:space="preserve">　</w:t>
            </w:r>
          </w:p>
        </w:tc>
        <w:tc>
          <w:tcPr>
            <w:tcW w:w="1338"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c>
          <w:tcPr>
            <w:tcW w:w="1436" w:type="pct"/>
            <w:vMerge/>
            <w:tcBorders>
              <w:top w:val="nil"/>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18"/>
                <w:szCs w:val="18"/>
              </w:rPr>
            </w:pPr>
          </w:p>
        </w:tc>
      </w:tr>
      <w:tr w:rsidR="00D97F10">
        <w:trPr>
          <w:trHeight w:val="699"/>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lastRenderedPageBreak/>
              <w:t>三、</w:t>
            </w:r>
            <w:r>
              <w:rPr>
                <w:rFonts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分）</w:t>
            </w:r>
          </w:p>
        </w:tc>
      </w:tr>
      <w:tr w:rsidR="00D97F10">
        <w:trPr>
          <w:trHeight w:val="702"/>
          <w:jc w:val="center"/>
        </w:trPr>
        <w:tc>
          <w:tcPr>
            <w:tcW w:w="28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一级</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二级</w:t>
            </w:r>
          </w:p>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w:t>
            </w:r>
          </w:p>
        </w:tc>
        <w:tc>
          <w:tcPr>
            <w:tcW w:w="438" w:type="pct"/>
            <w:tcBorders>
              <w:top w:val="single" w:sz="4" w:space="0" w:color="auto"/>
              <w:left w:val="nil"/>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三级指标</w:t>
            </w:r>
          </w:p>
        </w:tc>
        <w:tc>
          <w:tcPr>
            <w:tcW w:w="420" w:type="pct"/>
            <w:tcBorders>
              <w:top w:val="single" w:sz="4" w:space="0" w:color="auto"/>
              <w:left w:val="nil"/>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指标值</w:t>
            </w:r>
          </w:p>
        </w:tc>
        <w:tc>
          <w:tcPr>
            <w:tcW w:w="286" w:type="pct"/>
            <w:tcBorders>
              <w:top w:val="single" w:sz="4" w:space="0" w:color="auto"/>
              <w:left w:val="nil"/>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完成值</w:t>
            </w:r>
          </w:p>
        </w:tc>
        <w:tc>
          <w:tcPr>
            <w:tcW w:w="212" w:type="pct"/>
            <w:tcBorders>
              <w:top w:val="single" w:sz="4" w:space="0" w:color="auto"/>
              <w:left w:val="nil"/>
              <w:bottom w:val="single" w:sz="4" w:space="0" w:color="auto"/>
              <w:right w:val="single" w:sz="4" w:space="0" w:color="auto"/>
            </w:tcBorders>
            <w:noWrap/>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212" w:type="pct"/>
            <w:tcBorders>
              <w:top w:val="single" w:sz="4" w:space="0" w:color="auto"/>
              <w:left w:val="nil"/>
              <w:bottom w:val="single" w:sz="4" w:space="0" w:color="auto"/>
              <w:right w:val="nil"/>
            </w:tcBorders>
            <w:noWrap/>
            <w:vAlign w:val="center"/>
          </w:tcPr>
          <w:p w:rsidR="00D97F10" w:rsidRDefault="002273C2">
            <w:pPr>
              <w:widowControl/>
              <w:adjustRightInd w:val="0"/>
              <w:snapToGrid w:val="0"/>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b/>
                <w:bCs/>
                <w:color w:val="000000"/>
                <w:kern w:val="0"/>
                <w:sz w:val="18"/>
                <w:szCs w:val="18"/>
              </w:rPr>
            </w:pPr>
            <w:r>
              <w:rPr>
                <w:rFonts w:ascii="Times New Roman" w:hAnsi="Times New Roman" w:cs="Times New Roman"/>
                <w:bCs/>
                <w:color w:val="000000"/>
                <w:kern w:val="0"/>
                <w:sz w:val="18"/>
                <w:szCs w:val="18"/>
              </w:rPr>
              <w:t>指标解释</w:t>
            </w:r>
          </w:p>
        </w:tc>
        <w:tc>
          <w:tcPr>
            <w:tcW w:w="1436" w:type="pct"/>
            <w:tcBorders>
              <w:top w:val="single" w:sz="4" w:space="0" w:color="auto"/>
              <w:left w:val="nil"/>
              <w:bottom w:val="single" w:sz="4" w:space="0" w:color="auto"/>
              <w:right w:val="single" w:sz="4" w:space="0" w:color="auto"/>
            </w:tcBorders>
            <w:vAlign w:val="center"/>
          </w:tcPr>
          <w:p w:rsidR="00D97F10" w:rsidRDefault="002273C2">
            <w:pPr>
              <w:widowControl/>
              <w:adjustRightInd w:val="0"/>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评分标准</w:t>
            </w:r>
          </w:p>
        </w:tc>
      </w:tr>
      <w:tr w:rsidR="00D97F10">
        <w:trPr>
          <w:trHeight w:val="1230"/>
          <w:jc w:val="center"/>
        </w:trPr>
        <w:tc>
          <w:tcPr>
            <w:tcW w:w="288" w:type="pct"/>
            <w:vMerge w:val="restar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预算管理情况（</w:t>
            </w:r>
            <w:r>
              <w:rPr>
                <w:rFonts w:ascii="Times New Roman" w:hAnsi="Times New Roman" w:cs="Times New Roman"/>
                <w:color w:val="000000"/>
                <w:kern w:val="0"/>
                <w:sz w:val="20"/>
                <w:szCs w:val="20"/>
              </w:rPr>
              <w:t>20</w:t>
            </w:r>
            <w:r>
              <w:rPr>
                <w:rFonts w:ascii="Times New Roman" w:hAnsi="Times New Roman" w:cs="Times New Roman"/>
                <w:color w:val="000000"/>
                <w:kern w:val="0"/>
                <w:sz w:val="20"/>
                <w:szCs w:val="20"/>
              </w:rPr>
              <w:t>）</w:t>
            </w:r>
          </w:p>
        </w:tc>
        <w:tc>
          <w:tcPr>
            <w:tcW w:w="365" w:type="pct"/>
            <w:vMerge w:val="restar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财务管理（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财务管理制度健全性</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财务管理制度健全性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部门（单位）为加强财务管理、规范财务行为而制定的管理制度。</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预算资金管理办法、绩效跟踪管理办法、资产管理办法等各项制度是否健全；</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部门内部财务管理制度是否完整、合</w:t>
            </w:r>
            <w:proofErr w:type="gramStart"/>
            <w:r>
              <w:rPr>
                <w:rFonts w:ascii="Times New Roman" w:hAnsi="Times New Roman" w:cs="Times New Roman"/>
                <w:color w:val="000000"/>
                <w:kern w:val="0"/>
                <w:sz w:val="18"/>
                <w:szCs w:val="18"/>
              </w:rPr>
              <w:t>规</w:t>
            </w:r>
            <w:proofErr w:type="gramEnd"/>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会计核算制度是否完整、合</w:t>
            </w:r>
            <w:proofErr w:type="gramStart"/>
            <w:r>
              <w:rPr>
                <w:rFonts w:ascii="Times New Roman" w:hAnsi="Times New Roman" w:cs="Times New Roman"/>
                <w:color w:val="000000"/>
                <w:kern w:val="0"/>
                <w:sz w:val="18"/>
                <w:szCs w:val="18"/>
              </w:rPr>
              <w:t>规</w:t>
            </w:r>
            <w:proofErr w:type="gramEnd"/>
            <w:r>
              <w:rPr>
                <w:rFonts w:ascii="Times New Roman" w:hAnsi="Times New Roman" w:cs="Times New Roman"/>
                <w:color w:val="000000"/>
                <w:kern w:val="0"/>
                <w:sz w:val="18"/>
                <w:szCs w:val="18"/>
              </w:rPr>
              <w:t>。每有一项不合格扣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D97F10">
        <w:trPr>
          <w:trHeight w:val="2220"/>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资金使用合</w:t>
            </w:r>
            <w:proofErr w:type="gramStart"/>
            <w:r>
              <w:rPr>
                <w:rFonts w:ascii="Times New Roman" w:hAnsi="Times New Roman" w:cs="Times New Roman"/>
                <w:color w:val="000000"/>
                <w:kern w:val="0"/>
                <w:sz w:val="20"/>
                <w:szCs w:val="20"/>
              </w:rPr>
              <w:t>规</w:t>
            </w:r>
            <w:proofErr w:type="gramEnd"/>
            <w:r>
              <w:rPr>
                <w:rFonts w:ascii="Times New Roman" w:hAnsi="Times New Roman" w:cs="Times New Roman"/>
                <w:color w:val="000000"/>
                <w:kern w:val="0"/>
                <w:sz w:val="20"/>
                <w:szCs w:val="20"/>
              </w:rPr>
              <w:t>性和安全性</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资金使用合</w:t>
            </w:r>
            <w:proofErr w:type="gramStart"/>
            <w:r>
              <w:rPr>
                <w:rFonts w:ascii="Times New Roman" w:hAnsi="Times New Roman" w:cs="Times New Roman"/>
                <w:b/>
                <w:bCs/>
                <w:color w:val="000000"/>
                <w:kern w:val="0"/>
                <w:sz w:val="18"/>
                <w:szCs w:val="18"/>
              </w:rPr>
              <w:t>规</w:t>
            </w:r>
            <w:proofErr w:type="gramEnd"/>
            <w:r>
              <w:rPr>
                <w:rFonts w:ascii="Times New Roman" w:hAnsi="Times New Roman" w:cs="Times New Roman"/>
                <w:b/>
                <w:bCs/>
                <w:color w:val="000000"/>
                <w:kern w:val="0"/>
                <w:sz w:val="18"/>
                <w:szCs w:val="18"/>
              </w:rPr>
              <w:t>性和安全性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是否符合国家财经法规和财务管理制度规定以及有关专项资金管理办法的规定；</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资金的拨付是否有完整的审批程序和手续；</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项目的重大开支是否经过评估论证；</w:t>
            </w:r>
            <w:r>
              <w:rPr>
                <w:rFonts w:ascii="Times New Roman" w:hAnsi="Times New Roman" w:cs="Times New Roman"/>
                <w:color w:val="000000"/>
                <w:kern w:val="0"/>
                <w:sz w:val="18"/>
                <w:szCs w:val="18"/>
              </w:rPr>
              <w:t>④</w:t>
            </w:r>
            <w:r>
              <w:rPr>
                <w:rFonts w:ascii="Times New Roman" w:hAnsi="Times New Roman" w:cs="Times New Roman"/>
                <w:color w:val="000000"/>
                <w:kern w:val="0"/>
                <w:sz w:val="18"/>
                <w:szCs w:val="18"/>
              </w:rPr>
              <w:t>是否符合部门预算批复的用途；</w:t>
            </w:r>
            <w:r>
              <w:rPr>
                <w:rFonts w:ascii="Times New Roman" w:hAnsi="Times New Roman" w:cs="Times New Roman"/>
                <w:color w:val="000000"/>
                <w:kern w:val="0"/>
                <w:sz w:val="18"/>
                <w:szCs w:val="18"/>
              </w:rPr>
              <w:t>⑤</w:t>
            </w:r>
            <w:r>
              <w:rPr>
                <w:rFonts w:ascii="Times New Roman" w:hAnsi="Times New Roman" w:cs="Times New Roman"/>
                <w:color w:val="000000"/>
                <w:kern w:val="0"/>
                <w:sz w:val="18"/>
                <w:szCs w:val="18"/>
              </w:rPr>
              <w:t>是否存在截留、挤占、挪用情况；</w:t>
            </w:r>
            <w:r>
              <w:rPr>
                <w:rFonts w:ascii="Times New Roman" w:hAnsi="Times New Roman" w:cs="Times New Roman"/>
                <w:color w:val="000000"/>
                <w:kern w:val="0"/>
                <w:sz w:val="18"/>
                <w:szCs w:val="18"/>
              </w:rPr>
              <w:t>⑥</w:t>
            </w:r>
            <w:r>
              <w:rPr>
                <w:rFonts w:ascii="Times New Roman" w:hAnsi="Times New Roman" w:cs="Times New Roman"/>
                <w:color w:val="000000"/>
                <w:kern w:val="0"/>
                <w:sz w:val="18"/>
                <w:szCs w:val="18"/>
              </w:rPr>
              <w:t>资金使用是否符合政府采购的程序和流程；</w:t>
            </w:r>
            <w:r>
              <w:rPr>
                <w:rFonts w:ascii="Times New Roman" w:hAnsi="Times New Roman" w:cs="Times New Roman"/>
                <w:color w:val="000000"/>
                <w:kern w:val="0"/>
                <w:sz w:val="18"/>
                <w:szCs w:val="18"/>
              </w:rPr>
              <w:t>⑦</w:t>
            </w:r>
            <w:r>
              <w:rPr>
                <w:rFonts w:ascii="Times New Roman" w:hAnsi="Times New Roman" w:cs="Times New Roman"/>
                <w:color w:val="000000"/>
                <w:kern w:val="0"/>
                <w:sz w:val="18"/>
                <w:szCs w:val="18"/>
              </w:rPr>
              <w:t>资金使用是否符合公务卡结算相关制度和规定。每有一项不合格扣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D97F10">
        <w:trPr>
          <w:trHeight w:val="1035"/>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会计基础信息完善性</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212" w:type="pct"/>
            <w:tcBorders>
              <w:top w:val="single" w:sz="4" w:space="0" w:color="auto"/>
              <w:left w:val="single" w:sz="4" w:space="0" w:color="auto"/>
              <w:bottom w:val="single" w:sz="4" w:space="0" w:color="auto"/>
              <w:right w:val="single" w:sz="4" w:space="0" w:color="auto"/>
            </w:tcBorders>
            <w:noWrap/>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会计基础信息完善性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部门（单位）会计基础信息情况。</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基础数据信息和会计信息资料是否真实；</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基础数据信息和会计信息资料是否完整；</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基础数据信息和会计信息资料是否准确。每有一项不合格扣</w:t>
            </w:r>
            <w:r>
              <w:rPr>
                <w:rFonts w:ascii="Times New Roman" w:hAnsi="Times New Roman" w:cs="Times New Roman"/>
                <w:color w:val="000000"/>
                <w:kern w:val="0"/>
                <w:sz w:val="18"/>
                <w:szCs w:val="18"/>
              </w:rPr>
              <w:t>0.5</w:t>
            </w:r>
            <w:r>
              <w:rPr>
                <w:rFonts w:ascii="Times New Roman" w:hAnsi="Times New Roman" w:cs="Times New Roman"/>
                <w:color w:val="000000"/>
                <w:kern w:val="0"/>
                <w:sz w:val="18"/>
                <w:szCs w:val="18"/>
              </w:rPr>
              <w:t>分，扣完为止。</w:t>
            </w:r>
          </w:p>
        </w:tc>
      </w:tr>
      <w:tr w:rsidR="00D97F10">
        <w:trPr>
          <w:trHeight w:val="2220"/>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资产管理（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资产管理规范性</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资产管理规范性</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部门（单位）的资产是否保持安全完整，资产配置是否合理，资产使用和资产处理是否规范，用以反映和考核部门（单位）资产管理的整体水平。</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对外投资行为是否经审批，是否存在投资亏损；</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是否有因管理不当发生严重资产损失和丢失情况；</w:t>
            </w:r>
            <w:r>
              <w:rPr>
                <w:rFonts w:ascii="Times New Roman" w:hAnsi="Times New Roman" w:cs="Times New Roman"/>
                <w:color w:val="000000"/>
                <w:kern w:val="0"/>
                <w:sz w:val="18"/>
                <w:szCs w:val="18"/>
              </w:rPr>
              <w:t>③</w:t>
            </w:r>
            <w:r>
              <w:rPr>
                <w:rFonts w:ascii="Times New Roman" w:hAnsi="Times New Roman" w:cs="Times New Roman"/>
                <w:color w:val="000000"/>
                <w:kern w:val="0"/>
                <w:sz w:val="18"/>
                <w:szCs w:val="18"/>
              </w:rPr>
              <w:t>是否存在超标准配置资产；</w:t>
            </w:r>
            <w:r>
              <w:rPr>
                <w:rFonts w:ascii="Times New Roman" w:hAnsi="Times New Roman" w:cs="Times New Roman"/>
                <w:color w:val="000000"/>
                <w:kern w:val="0"/>
                <w:sz w:val="18"/>
                <w:szCs w:val="18"/>
              </w:rPr>
              <w:t>④</w:t>
            </w:r>
            <w:r>
              <w:rPr>
                <w:rFonts w:ascii="Times New Roman" w:hAnsi="Times New Roman" w:cs="Times New Roman"/>
                <w:color w:val="000000"/>
                <w:kern w:val="0"/>
                <w:sz w:val="18"/>
                <w:szCs w:val="18"/>
              </w:rPr>
              <w:t>资产使用是否规范，是否存在未经批准擅自出租、出借资产行为；</w:t>
            </w:r>
            <w:r>
              <w:rPr>
                <w:rFonts w:ascii="Times New Roman" w:hAnsi="Times New Roman" w:cs="Times New Roman"/>
                <w:color w:val="000000"/>
                <w:kern w:val="0"/>
                <w:sz w:val="18"/>
                <w:szCs w:val="18"/>
              </w:rPr>
              <w:t>⑤</w:t>
            </w:r>
            <w:r>
              <w:rPr>
                <w:rFonts w:ascii="Times New Roman" w:hAnsi="Times New Roman" w:cs="Times New Roman"/>
                <w:color w:val="000000"/>
                <w:kern w:val="0"/>
                <w:sz w:val="18"/>
                <w:szCs w:val="18"/>
              </w:rPr>
              <w:t>资产处置是否规范，是否存在不按要求进行报批或资产不公开处置行为；</w:t>
            </w:r>
            <w:r>
              <w:rPr>
                <w:rFonts w:ascii="Times New Roman" w:hAnsi="Times New Roman" w:cs="Times New Roman"/>
                <w:color w:val="000000"/>
                <w:kern w:val="0"/>
                <w:sz w:val="18"/>
                <w:szCs w:val="18"/>
              </w:rPr>
              <w:t>⑥</w:t>
            </w:r>
            <w:r>
              <w:rPr>
                <w:rFonts w:ascii="Times New Roman" w:hAnsi="Times New Roman" w:cs="Times New Roman"/>
                <w:color w:val="000000"/>
                <w:kern w:val="0"/>
                <w:sz w:val="18"/>
                <w:szCs w:val="18"/>
              </w:rPr>
              <w:t>其它资产管理制度办法执行情况。每有一项不合格扣</w:t>
            </w:r>
            <w:r>
              <w:rPr>
                <w:rFonts w:ascii="Times New Roman" w:hAnsi="Times New Roman" w:cs="Times New Roman"/>
                <w:color w:val="000000"/>
                <w:kern w:val="0"/>
                <w:sz w:val="18"/>
                <w:szCs w:val="18"/>
              </w:rPr>
              <w:t>0.8</w:t>
            </w:r>
            <w:r>
              <w:rPr>
                <w:rFonts w:ascii="Times New Roman" w:hAnsi="Times New Roman" w:cs="Times New Roman"/>
                <w:color w:val="000000"/>
                <w:kern w:val="0"/>
                <w:sz w:val="18"/>
                <w:szCs w:val="18"/>
              </w:rPr>
              <w:t>分，扣完为止。</w:t>
            </w:r>
          </w:p>
        </w:tc>
      </w:tr>
      <w:tr w:rsidR="00D97F10">
        <w:trPr>
          <w:trHeight w:val="1750"/>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绩效管理（</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4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绩效管理情况</w:t>
            </w:r>
          </w:p>
        </w:tc>
        <w:tc>
          <w:tcPr>
            <w:tcW w:w="420"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优</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4</w:t>
            </w:r>
            <w:r>
              <w:rPr>
                <w:rFonts w:ascii="Times New Roman" w:hAnsi="Times New Roman" w:cs="Times New Roman"/>
                <w:color w:val="000000"/>
                <w:kern w:val="0"/>
                <w:sz w:val="20"/>
                <w:szCs w:val="20"/>
              </w:rPr>
              <w:t xml:space="preserve">　</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b/>
                <w:bCs/>
                <w:color w:val="000000"/>
                <w:kern w:val="0"/>
                <w:sz w:val="18"/>
                <w:szCs w:val="18"/>
              </w:rPr>
              <w:t>绩效管理情况</w:t>
            </w:r>
            <w:r>
              <w:rPr>
                <w:rFonts w:ascii="Times New Roman" w:hAnsi="Times New Roman" w:cs="Times New Roman"/>
                <w:b/>
                <w:bCs/>
                <w:color w:val="000000"/>
                <w:kern w:val="0"/>
                <w:sz w:val="18"/>
                <w:szCs w:val="18"/>
              </w:rPr>
              <w:t>:</w:t>
            </w:r>
            <w:r>
              <w:rPr>
                <w:rFonts w:ascii="Times New Roman" w:hAnsi="Times New Roman" w:cs="Times New Roman"/>
                <w:color w:val="000000"/>
                <w:kern w:val="0"/>
                <w:sz w:val="18"/>
                <w:szCs w:val="18"/>
              </w:rPr>
              <w:t>考核部门（单位）在绩效管理信息的汇总和应用情况。</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①</w:t>
            </w:r>
            <w:r>
              <w:rPr>
                <w:rFonts w:ascii="Times New Roman" w:hAnsi="Times New Roman" w:cs="Times New Roman"/>
                <w:color w:val="000000"/>
                <w:kern w:val="0"/>
                <w:sz w:val="18"/>
                <w:szCs w:val="18"/>
              </w:rPr>
              <w:t>部门（单位）是否及时对绩效信息进行汇总分析整理；</w:t>
            </w:r>
            <w:r>
              <w:rPr>
                <w:rFonts w:ascii="Times New Roman" w:hAnsi="Times New Roman" w:cs="Times New Roman"/>
                <w:color w:val="000000"/>
                <w:kern w:val="0"/>
                <w:sz w:val="18"/>
                <w:szCs w:val="18"/>
              </w:rPr>
              <w:t>②</w:t>
            </w:r>
            <w:r>
              <w:rPr>
                <w:rFonts w:ascii="Times New Roman" w:hAnsi="Times New Roman" w:cs="Times New Roman"/>
                <w:color w:val="000000"/>
                <w:kern w:val="0"/>
                <w:sz w:val="18"/>
                <w:szCs w:val="18"/>
              </w:rPr>
              <w:t>部门（单位）是否对绩效目标偏离情况及时进行矫正。每有一项不合格扣</w:t>
            </w:r>
            <w:r>
              <w:rPr>
                <w:rFonts w:ascii="Times New Roman" w:hAnsi="Times New Roman" w:cs="Times New Roman"/>
                <w:color w:val="000000"/>
                <w:kern w:val="0"/>
                <w:sz w:val="18"/>
                <w:szCs w:val="18"/>
              </w:rPr>
              <w:t>2</w:t>
            </w:r>
            <w:r>
              <w:rPr>
                <w:rFonts w:ascii="Times New Roman" w:hAnsi="Times New Roman" w:cs="Times New Roman"/>
                <w:color w:val="000000"/>
                <w:kern w:val="0"/>
                <w:sz w:val="18"/>
                <w:szCs w:val="18"/>
              </w:rPr>
              <w:t>分。</w:t>
            </w:r>
          </w:p>
        </w:tc>
      </w:tr>
      <w:tr w:rsidR="00D97F10">
        <w:trPr>
          <w:trHeight w:val="394"/>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指标　</w:t>
            </w:r>
          </w:p>
        </w:tc>
        <w:tc>
          <w:tcPr>
            <w:tcW w:w="858" w:type="pct"/>
            <w:gridSpan w:val="2"/>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2021</w:t>
            </w:r>
            <w:r>
              <w:rPr>
                <w:rFonts w:ascii="Times New Roman" w:hAnsi="Times New Roman" w:cs="Times New Roman"/>
                <w:color w:val="000000"/>
                <w:kern w:val="0"/>
                <w:sz w:val="20"/>
                <w:szCs w:val="20"/>
              </w:rPr>
              <w:t>年</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2022</w:t>
            </w:r>
            <w:r>
              <w:rPr>
                <w:rFonts w:ascii="Times New Roman" w:hAnsi="Times New Roman" w:cs="Times New Roman"/>
                <w:color w:val="000000"/>
                <w:kern w:val="0"/>
                <w:sz w:val="20"/>
                <w:szCs w:val="20"/>
              </w:rPr>
              <w:t>年</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分值</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得分</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bCs/>
                <w:color w:val="000000"/>
                <w:kern w:val="0"/>
                <w:sz w:val="18"/>
                <w:szCs w:val="18"/>
              </w:rPr>
              <w:t>指标解释</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eastAsia="Times New Roman" w:hAnsi="Times New Roman" w:cs="Times New Roman"/>
                <w:kern w:val="0"/>
                <w:sz w:val="20"/>
                <w:szCs w:val="20"/>
              </w:rPr>
            </w:pPr>
            <w:r>
              <w:rPr>
                <w:rFonts w:ascii="Times New Roman" w:hAnsi="Times New Roman" w:cs="Times New Roman"/>
                <w:color w:val="000000"/>
                <w:kern w:val="0"/>
                <w:sz w:val="18"/>
                <w:szCs w:val="18"/>
              </w:rPr>
              <w:t>评分标准</w:t>
            </w:r>
          </w:p>
        </w:tc>
      </w:tr>
      <w:tr w:rsidR="00D97F10">
        <w:trPr>
          <w:trHeight w:val="1365"/>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结转结余率（</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858" w:type="pct"/>
            <w:gridSpan w:val="2"/>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29.41%</w:t>
            </w:r>
            <w:r>
              <w:rPr>
                <w:rFonts w:ascii="Times New Roman" w:hAnsi="Times New Roman" w:cs="Times New Roman"/>
                <w:color w:val="000000"/>
                <w:kern w:val="0"/>
                <w:sz w:val="20"/>
                <w:szCs w:val="20"/>
              </w:rPr>
              <w:t xml:space="preserve">　</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33.81%</w:t>
            </w:r>
            <w:r>
              <w:rPr>
                <w:rFonts w:ascii="Times New Roman" w:hAnsi="Times New Roman" w:cs="Times New Roman"/>
                <w:color w:val="000000"/>
                <w:kern w:val="0"/>
                <w:sz w:val="20"/>
                <w:szCs w:val="20"/>
              </w:rPr>
              <w:t xml:space="preserve">　</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hint="eastAsia"/>
                <w:color w:val="000000"/>
                <w:kern w:val="0"/>
                <w:sz w:val="20"/>
                <w:szCs w:val="20"/>
              </w:rPr>
              <w:t>4</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结转结余率</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结转结余总额</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t>支出预算数</w:t>
            </w:r>
            <w:r>
              <w:rPr>
                <w:rFonts w:ascii="Times New Roman" w:hAnsi="Times New Roman" w:cs="Times New Roman"/>
                <w:color w:val="000000"/>
                <w:kern w:val="0"/>
                <w:sz w:val="18"/>
                <w:szCs w:val="18"/>
              </w:rPr>
              <w:t>×100%</w:t>
            </w:r>
            <w:r>
              <w:rPr>
                <w:rFonts w:ascii="Times New Roman" w:hAnsi="Times New Roman" w:cs="Times New Roman"/>
                <w:color w:val="000000"/>
                <w:kern w:val="0"/>
                <w:sz w:val="18"/>
                <w:szCs w:val="18"/>
              </w:rPr>
              <w:t>。</w:t>
            </w:r>
            <w:r>
              <w:rPr>
                <w:rFonts w:ascii="Times New Roman" w:hAnsi="Times New Roman" w:cs="Times New Roman"/>
                <w:color w:val="000000"/>
                <w:kern w:val="0"/>
                <w:sz w:val="18"/>
                <w:szCs w:val="18"/>
              </w:rPr>
              <w:br/>
            </w:r>
            <w:r>
              <w:rPr>
                <w:rFonts w:ascii="Times New Roman" w:hAnsi="Times New Roman" w:cs="Times New Roman"/>
                <w:color w:val="000000"/>
                <w:kern w:val="0"/>
                <w:sz w:val="18"/>
                <w:szCs w:val="18"/>
              </w:rPr>
              <w:t>结转结余总额：部门（单位）本年度的结转资金与结余资金之</w:t>
            </w:r>
            <w:proofErr w:type="gramStart"/>
            <w:r>
              <w:rPr>
                <w:rFonts w:ascii="Times New Roman" w:hAnsi="Times New Roman" w:cs="Times New Roman"/>
                <w:color w:val="000000"/>
                <w:kern w:val="0"/>
                <w:sz w:val="18"/>
                <w:szCs w:val="18"/>
              </w:rPr>
              <w:t>和</w:t>
            </w:r>
            <w:proofErr w:type="gramEnd"/>
            <w:r>
              <w:rPr>
                <w:rFonts w:ascii="Times New Roman" w:hAnsi="Times New Roman" w:cs="Times New Roman"/>
                <w:color w:val="000000"/>
                <w:kern w:val="0"/>
                <w:sz w:val="18"/>
                <w:szCs w:val="18"/>
              </w:rPr>
              <w:t>。</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部门结转结余率低于上年的不扣分；高于上年结余率，每高出</w:t>
            </w:r>
            <w:r>
              <w:rPr>
                <w:rFonts w:ascii="Times New Roman" w:hAnsi="Times New Roman" w:cs="Times New Roman"/>
                <w:color w:val="000000"/>
                <w:kern w:val="0"/>
                <w:sz w:val="18"/>
                <w:szCs w:val="18"/>
              </w:rPr>
              <w:t>1</w:t>
            </w:r>
            <w:r>
              <w:rPr>
                <w:rFonts w:ascii="Times New Roman" w:hAnsi="Times New Roman" w:cs="Times New Roman"/>
                <w:color w:val="000000"/>
                <w:kern w:val="0"/>
                <w:sz w:val="18"/>
                <w:szCs w:val="18"/>
              </w:rPr>
              <w:t>个百分点扣</w:t>
            </w:r>
            <w:r>
              <w:rPr>
                <w:rFonts w:ascii="Times New Roman" w:hAnsi="Times New Roman" w:cs="Times New Roman"/>
                <w:color w:val="000000"/>
                <w:kern w:val="0"/>
                <w:sz w:val="18"/>
                <w:szCs w:val="18"/>
              </w:rPr>
              <w:t>0.4</w:t>
            </w:r>
            <w:r>
              <w:rPr>
                <w:rFonts w:ascii="Times New Roman" w:hAnsi="Times New Roman" w:cs="Times New Roman"/>
                <w:color w:val="000000"/>
                <w:kern w:val="0"/>
                <w:sz w:val="18"/>
                <w:szCs w:val="18"/>
              </w:rPr>
              <w:t>分，扣完为止。（说明：预算调整和结转结余指标，如</w:t>
            </w:r>
            <w:proofErr w:type="gramStart"/>
            <w:r>
              <w:rPr>
                <w:rFonts w:ascii="Times New Roman" w:hAnsi="Times New Roman" w:cs="Times New Roman"/>
                <w:color w:val="000000"/>
                <w:kern w:val="0"/>
                <w:sz w:val="18"/>
                <w:szCs w:val="18"/>
              </w:rPr>
              <w:t>非预算</w:t>
            </w:r>
            <w:proofErr w:type="gramEnd"/>
            <w:r>
              <w:rPr>
                <w:rFonts w:ascii="Times New Roman" w:hAnsi="Times New Roman" w:cs="Times New Roman"/>
                <w:color w:val="000000"/>
                <w:kern w:val="0"/>
                <w:sz w:val="18"/>
                <w:szCs w:val="18"/>
              </w:rPr>
              <w:t>部门主观因素导致扣分的，在评分结果征求意见环节，经与相关部门预算主管处室共同研究，可作为例外情况酌情考虑。）</w:t>
            </w:r>
          </w:p>
        </w:tc>
      </w:tr>
      <w:tr w:rsidR="00D97F10">
        <w:trPr>
          <w:trHeight w:val="90"/>
          <w:jc w:val="center"/>
        </w:trPr>
        <w:tc>
          <w:tcPr>
            <w:tcW w:w="288" w:type="pct"/>
            <w:vMerge/>
            <w:tcBorders>
              <w:top w:val="single" w:sz="4" w:space="0" w:color="auto"/>
              <w:left w:val="single" w:sz="4" w:space="0" w:color="auto"/>
              <w:bottom w:val="single" w:sz="4" w:space="0" w:color="auto"/>
              <w:right w:val="single" w:sz="4" w:space="0" w:color="auto"/>
            </w:tcBorders>
            <w:vAlign w:val="center"/>
          </w:tcPr>
          <w:p w:rsidR="00D97F10" w:rsidRDefault="00D97F10">
            <w:pPr>
              <w:widowControl/>
              <w:jc w:val="left"/>
              <w:rPr>
                <w:rFonts w:ascii="Times New Roman" w:hAnsi="Times New Roman" w:cs="Times New Roman"/>
                <w:color w:val="000000"/>
                <w:kern w:val="0"/>
                <w:sz w:val="20"/>
                <w:szCs w:val="20"/>
              </w:rPr>
            </w:pPr>
          </w:p>
        </w:tc>
        <w:tc>
          <w:tcPr>
            <w:tcW w:w="365"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部门预决算差异率（</w:t>
            </w: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w:t>
            </w:r>
          </w:p>
        </w:tc>
        <w:tc>
          <w:tcPr>
            <w:tcW w:w="858" w:type="pct"/>
            <w:gridSpan w:val="2"/>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w:t>
            </w:r>
          </w:p>
        </w:tc>
        <w:tc>
          <w:tcPr>
            <w:tcW w:w="28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 xml:space="preserve">　</w:t>
            </w:r>
            <w:r>
              <w:rPr>
                <w:rFonts w:ascii="Times New Roman" w:hAnsi="Times New Roman" w:cs="Times New Roman" w:hint="eastAsia"/>
                <w:color w:val="000000"/>
                <w:kern w:val="0"/>
                <w:sz w:val="20"/>
                <w:szCs w:val="20"/>
              </w:rPr>
              <w:t>12.95</w:t>
            </w:r>
            <w:r>
              <w:rPr>
                <w:rFonts w:ascii="Times New Roman" w:hAnsi="Times New Roman" w:cs="Times New Roman"/>
                <w:color w:val="000000"/>
                <w:kern w:val="0"/>
                <w:sz w:val="20"/>
                <w:szCs w:val="20"/>
              </w:rPr>
              <w:t>%</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4</w:t>
            </w:r>
            <w:r>
              <w:rPr>
                <w:rFonts w:ascii="Times New Roman" w:hAnsi="Times New Roman" w:cs="Times New Roman"/>
                <w:color w:val="000000"/>
                <w:kern w:val="0"/>
                <w:sz w:val="20"/>
                <w:szCs w:val="20"/>
              </w:rPr>
              <w:t xml:space="preserve">　</w:t>
            </w:r>
          </w:p>
        </w:tc>
        <w:tc>
          <w:tcPr>
            <w:tcW w:w="1338"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通过年度部门决算与年初部门预算对比，对部门的年度支出情况进行考核，衡量部门预算的约束力。</w:t>
            </w:r>
          </w:p>
        </w:tc>
        <w:tc>
          <w:tcPr>
            <w:tcW w:w="1436"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部门预决算差异率高于市级平均差异率（</w:t>
            </w:r>
            <w:r>
              <w:rPr>
                <w:rFonts w:ascii="Times New Roman" w:hAnsi="Times New Roman" w:cs="Times New Roman"/>
                <w:color w:val="000000"/>
                <w:kern w:val="0"/>
                <w:sz w:val="18"/>
                <w:szCs w:val="18"/>
              </w:rPr>
              <w:t>28.3%</w:t>
            </w:r>
            <w:r>
              <w:rPr>
                <w:rFonts w:ascii="Times New Roman" w:hAnsi="Times New Roman" w:cs="Times New Roman"/>
                <w:color w:val="000000"/>
                <w:kern w:val="0"/>
                <w:sz w:val="18"/>
                <w:szCs w:val="18"/>
              </w:rPr>
              <w:t>）的，每高出</w:t>
            </w:r>
            <w:r>
              <w:rPr>
                <w:rFonts w:ascii="Times New Roman" w:hAnsi="Times New Roman" w:cs="Times New Roman"/>
                <w:color w:val="000000"/>
                <w:kern w:val="0"/>
                <w:sz w:val="18"/>
                <w:szCs w:val="18"/>
              </w:rPr>
              <w:t>10%</w:t>
            </w:r>
            <w:r>
              <w:rPr>
                <w:rFonts w:ascii="Times New Roman" w:hAnsi="Times New Roman" w:cs="Times New Roman"/>
                <w:color w:val="000000"/>
                <w:kern w:val="0"/>
                <w:sz w:val="18"/>
                <w:szCs w:val="18"/>
              </w:rPr>
              <w:t>（含），扣</w:t>
            </w:r>
            <w:r>
              <w:rPr>
                <w:rFonts w:ascii="Times New Roman" w:hAnsi="Times New Roman" w:cs="Times New Roman"/>
                <w:color w:val="000000"/>
                <w:kern w:val="0"/>
                <w:sz w:val="18"/>
                <w:szCs w:val="18"/>
              </w:rPr>
              <w:t>0.4</w:t>
            </w:r>
            <w:r>
              <w:rPr>
                <w:rFonts w:ascii="Times New Roman" w:hAnsi="Times New Roman" w:cs="Times New Roman"/>
                <w:color w:val="000000"/>
                <w:kern w:val="0"/>
                <w:sz w:val="18"/>
                <w:szCs w:val="18"/>
              </w:rPr>
              <w:t>分，扣完为止。</w:t>
            </w:r>
          </w:p>
        </w:tc>
      </w:tr>
      <w:tr w:rsidR="00D97F10">
        <w:trPr>
          <w:trHeight w:val="404"/>
          <w:jc w:val="center"/>
        </w:trPr>
        <w:tc>
          <w:tcPr>
            <w:tcW w:w="1799" w:type="pct"/>
            <w:gridSpan w:val="5"/>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合计</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100</w:t>
            </w:r>
          </w:p>
        </w:tc>
        <w:tc>
          <w:tcPr>
            <w:tcW w:w="212" w:type="pct"/>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9</w:t>
            </w:r>
            <w:r>
              <w:rPr>
                <w:rFonts w:ascii="Times New Roman" w:hAnsi="Times New Roman" w:cs="Times New Roman" w:hint="eastAsia"/>
                <w:color w:val="000000"/>
                <w:kern w:val="0"/>
                <w:sz w:val="20"/>
                <w:szCs w:val="20"/>
              </w:rPr>
              <w:t>3</w:t>
            </w:r>
            <w:r>
              <w:rPr>
                <w:rFonts w:ascii="Times New Roman" w:hAnsi="Times New Roman" w:cs="Times New Roman"/>
                <w:color w:val="000000"/>
                <w:kern w:val="0"/>
                <w:sz w:val="20"/>
                <w:szCs w:val="20"/>
              </w:rPr>
              <w:t xml:space="preserve">　</w:t>
            </w:r>
          </w:p>
        </w:tc>
        <w:tc>
          <w:tcPr>
            <w:tcW w:w="2774" w:type="pct"/>
            <w:gridSpan w:val="2"/>
            <w:tcBorders>
              <w:top w:val="single" w:sz="4" w:space="0" w:color="auto"/>
              <w:left w:val="single" w:sz="4" w:space="0" w:color="auto"/>
              <w:bottom w:val="single" w:sz="4" w:space="0" w:color="auto"/>
              <w:right w:val="single" w:sz="4" w:space="0" w:color="auto"/>
            </w:tcBorders>
            <w:vAlign w:val="center"/>
          </w:tcPr>
          <w:p w:rsidR="00D97F10" w:rsidRDefault="002273C2">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tc>
      </w:tr>
    </w:tbl>
    <w:p w:rsidR="00D97F10" w:rsidRDefault="00D97F10">
      <w:pPr>
        <w:pStyle w:val="a0"/>
        <w:adjustRightInd w:val="0"/>
        <w:snapToGrid w:val="0"/>
        <w:spacing w:line="560" w:lineRule="exact"/>
        <w:rPr>
          <w:rFonts w:ascii="Times New Roman" w:hAnsi="Times New Roman" w:cs="Times New Roman"/>
        </w:rPr>
      </w:pPr>
    </w:p>
    <w:sectPr w:rsidR="00D97F10">
      <w:pgSz w:w="16838" w:h="11906" w:orient="landscape"/>
      <w:pgMar w:top="1417" w:right="1417" w:bottom="1417"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E72" w:rsidRDefault="00377E72">
      <w:r>
        <w:separator/>
      </w:r>
    </w:p>
  </w:endnote>
  <w:endnote w:type="continuationSeparator" w:id="0">
    <w:p w:rsidR="00377E72" w:rsidRDefault="0037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embedRegular r:id="rId1" w:subsetted="1" w:fontKey="{33EF2B82-6AF8-412E-9292-2960C3A1AD8E}"/>
    <w:embedBold r:id="rId2" w:subsetted="1" w:fontKey="{8974918F-36B9-46B5-814B-14E71218867E}"/>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embedRegular r:id="rId3" w:subsetted="1" w:fontKey="{929C96E2-A1BC-4E3A-9BCB-982C14C9F950}"/>
    <w:embedBold r:id="rId4" w:subsetted="1" w:fontKey="{EB8D1AB5-F024-4BCE-A591-480B66B1CE8A}"/>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embedRegular r:id="rId5" w:subsetted="1" w:fontKey="{0DD9F82B-5C0B-42F2-8619-DFEC6EFA4C36}"/>
  </w:font>
  <w:font w:name="黑体">
    <w:altName w:val="SimHei"/>
    <w:panose1 w:val="02010609060101010101"/>
    <w:charset w:val="86"/>
    <w:family w:val="modern"/>
    <w:pitch w:val="fixed"/>
    <w:sig w:usb0="800002BF" w:usb1="38CF7CFA" w:usb2="00000016" w:usb3="00000000" w:csb0="00040001" w:csb1="00000000"/>
    <w:embedRegular r:id="rId6" w:subsetted="1" w:fontKey="{CB8FAF14-04BD-4CF1-B394-96A918F532B6}"/>
  </w:font>
  <w:font w:name="楷体_GB2312">
    <w:panose1 w:val="02010609030101010101"/>
    <w:charset w:val="86"/>
    <w:family w:val="modern"/>
    <w:pitch w:val="fixed"/>
    <w:sig w:usb0="00000001" w:usb1="080E0000" w:usb2="00000010" w:usb3="00000000" w:csb0="00040000" w:csb1="00000000"/>
    <w:embedRegular r:id="rId7" w:subsetted="1" w:fontKey="{135E6569-59A7-4E64-A4EE-9F67591FC167}"/>
    <w:embedBold r:id="rId8" w:subsetted="1" w:fontKey="{70F0522A-6463-4E2C-9E62-80DC390B75EF}"/>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3C2" w:rsidRDefault="002273C2">
    <w:pPr>
      <w:pStyle w:val="a9"/>
    </w:pPr>
    <w:r>
      <w:rPr>
        <w:noProof/>
      </w:rPr>
      <mc:AlternateContent>
        <mc:Choice Requires="wps">
          <w:drawing>
            <wp:anchor distT="0" distB="0" distL="114300" distR="114300" simplePos="0" relativeHeight="251659264" behindDoc="0" locked="0" layoutInCell="1" allowOverlap="1" wp14:anchorId="5B337C12" wp14:editId="612BA677">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273C2" w:rsidRDefault="002273C2">
                          <w:pPr>
                            <w:pStyle w:val="a9"/>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D3341D">
                            <w:rPr>
                              <w:rFonts w:ascii="Times New Roman" w:hAnsi="Times New Roman" w:cs="Times New Roman"/>
                              <w:noProof/>
                              <w:sz w:val="24"/>
                              <w:szCs w:val="24"/>
                            </w:rPr>
                            <w:t>6</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2273C2" w:rsidRDefault="002273C2">
                    <w:pPr>
                      <w:pStyle w:val="a9"/>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D3341D">
                      <w:rPr>
                        <w:rFonts w:ascii="Times New Roman" w:hAnsi="Times New Roman" w:cs="Times New Roman"/>
                        <w:noProof/>
                        <w:sz w:val="24"/>
                        <w:szCs w:val="24"/>
                      </w:rPr>
                      <w:t>6</w:t>
                    </w:r>
                    <w:r>
                      <w:rPr>
                        <w:rFonts w:ascii="Times New Roman" w:hAnsi="Times New Roman" w:cs="Times New Roman"/>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E72" w:rsidRDefault="00377E72">
      <w:r>
        <w:separator/>
      </w:r>
    </w:p>
  </w:footnote>
  <w:footnote w:type="continuationSeparator" w:id="0">
    <w:p w:rsidR="00377E72" w:rsidRDefault="00377E7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宋珊珊">
    <w15:presenceInfo w15:providerId="None" w15:userId="宋珊珊"/>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1NGJkYzk2MTllNTU3MDJjNjgyMWU5ODA1NjM2YzAifQ=="/>
  </w:docVars>
  <w:rsids>
    <w:rsidRoot w:val="007D6785"/>
    <w:rsid w:val="BFDB2D4D"/>
    <w:rsid w:val="CD5F8E78"/>
    <w:rsid w:val="D8FF8676"/>
    <w:rsid w:val="F2EAD378"/>
    <w:rsid w:val="F3F0BB5C"/>
    <w:rsid w:val="00005402"/>
    <w:rsid w:val="000824D7"/>
    <w:rsid w:val="000871A4"/>
    <w:rsid w:val="0009051B"/>
    <w:rsid w:val="0018577B"/>
    <w:rsid w:val="00201AB1"/>
    <w:rsid w:val="0022181C"/>
    <w:rsid w:val="002273C2"/>
    <w:rsid w:val="00346CC0"/>
    <w:rsid w:val="00357F89"/>
    <w:rsid w:val="00360831"/>
    <w:rsid w:val="00372AA8"/>
    <w:rsid w:val="00377E72"/>
    <w:rsid w:val="00386C46"/>
    <w:rsid w:val="00396E0F"/>
    <w:rsid w:val="00420127"/>
    <w:rsid w:val="00432021"/>
    <w:rsid w:val="004C6239"/>
    <w:rsid w:val="004D0CCB"/>
    <w:rsid w:val="005264FB"/>
    <w:rsid w:val="00537339"/>
    <w:rsid w:val="00564281"/>
    <w:rsid w:val="00571DB5"/>
    <w:rsid w:val="005D0DA8"/>
    <w:rsid w:val="005D4EEF"/>
    <w:rsid w:val="005E663A"/>
    <w:rsid w:val="00603849"/>
    <w:rsid w:val="006247F1"/>
    <w:rsid w:val="00643BE3"/>
    <w:rsid w:val="00654CC0"/>
    <w:rsid w:val="00676294"/>
    <w:rsid w:val="00686FE2"/>
    <w:rsid w:val="006A0291"/>
    <w:rsid w:val="006E04C6"/>
    <w:rsid w:val="006F43F5"/>
    <w:rsid w:val="007C0F2D"/>
    <w:rsid w:val="007D6785"/>
    <w:rsid w:val="007E76A9"/>
    <w:rsid w:val="00806187"/>
    <w:rsid w:val="00867929"/>
    <w:rsid w:val="00880E15"/>
    <w:rsid w:val="008C1D42"/>
    <w:rsid w:val="008D181F"/>
    <w:rsid w:val="008E6C42"/>
    <w:rsid w:val="0099754D"/>
    <w:rsid w:val="009C6F0F"/>
    <w:rsid w:val="009D5C3C"/>
    <w:rsid w:val="009F2EBF"/>
    <w:rsid w:val="00A56E84"/>
    <w:rsid w:val="00AE2A48"/>
    <w:rsid w:val="00B65D12"/>
    <w:rsid w:val="00B8272D"/>
    <w:rsid w:val="00BD2478"/>
    <w:rsid w:val="00BF0AA0"/>
    <w:rsid w:val="00C6142E"/>
    <w:rsid w:val="00CB24D5"/>
    <w:rsid w:val="00D10539"/>
    <w:rsid w:val="00D27E17"/>
    <w:rsid w:val="00D30F89"/>
    <w:rsid w:val="00D3341D"/>
    <w:rsid w:val="00D44F36"/>
    <w:rsid w:val="00D97F10"/>
    <w:rsid w:val="00DD0C1A"/>
    <w:rsid w:val="00DD502C"/>
    <w:rsid w:val="00E15581"/>
    <w:rsid w:val="00E41BA5"/>
    <w:rsid w:val="00E56439"/>
    <w:rsid w:val="00EA40E8"/>
    <w:rsid w:val="00EB51D0"/>
    <w:rsid w:val="00ED1361"/>
    <w:rsid w:val="00F35B64"/>
    <w:rsid w:val="00F62A3D"/>
    <w:rsid w:val="00F6676F"/>
    <w:rsid w:val="00F827EF"/>
    <w:rsid w:val="00F94CB9"/>
    <w:rsid w:val="00F96296"/>
    <w:rsid w:val="012D3C0D"/>
    <w:rsid w:val="0136557F"/>
    <w:rsid w:val="014D0938"/>
    <w:rsid w:val="0197690B"/>
    <w:rsid w:val="01B36BD0"/>
    <w:rsid w:val="021533E7"/>
    <w:rsid w:val="021A4C79"/>
    <w:rsid w:val="026305F6"/>
    <w:rsid w:val="028728DD"/>
    <w:rsid w:val="028C442B"/>
    <w:rsid w:val="02A12ECC"/>
    <w:rsid w:val="02DA63DE"/>
    <w:rsid w:val="03080C9B"/>
    <w:rsid w:val="03603BBE"/>
    <w:rsid w:val="0402211D"/>
    <w:rsid w:val="041B00E5"/>
    <w:rsid w:val="04262466"/>
    <w:rsid w:val="049C22B4"/>
    <w:rsid w:val="04F347BB"/>
    <w:rsid w:val="056F6202"/>
    <w:rsid w:val="0588240A"/>
    <w:rsid w:val="05EF3F4F"/>
    <w:rsid w:val="0692095D"/>
    <w:rsid w:val="06AC0092"/>
    <w:rsid w:val="06D97C66"/>
    <w:rsid w:val="06E61600"/>
    <w:rsid w:val="0711304F"/>
    <w:rsid w:val="07344457"/>
    <w:rsid w:val="07500A1D"/>
    <w:rsid w:val="07887E31"/>
    <w:rsid w:val="078E1545"/>
    <w:rsid w:val="079C0106"/>
    <w:rsid w:val="07E04497"/>
    <w:rsid w:val="08275C22"/>
    <w:rsid w:val="084154A6"/>
    <w:rsid w:val="08887282"/>
    <w:rsid w:val="08EE327C"/>
    <w:rsid w:val="08F508DC"/>
    <w:rsid w:val="0903613F"/>
    <w:rsid w:val="09066E3B"/>
    <w:rsid w:val="09081C12"/>
    <w:rsid w:val="0911242E"/>
    <w:rsid w:val="09880942"/>
    <w:rsid w:val="0A125B31"/>
    <w:rsid w:val="0A342F3A"/>
    <w:rsid w:val="0A6C0264"/>
    <w:rsid w:val="0A783040"/>
    <w:rsid w:val="0A8E7105"/>
    <w:rsid w:val="0AF0679F"/>
    <w:rsid w:val="0B0F707B"/>
    <w:rsid w:val="0B36617C"/>
    <w:rsid w:val="0BE63156"/>
    <w:rsid w:val="0BE70C1B"/>
    <w:rsid w:val="0BE971FB"/>
    <w:rsid w:val="0C210BDA"/>
    <w:rsid w:val="0C48085D"/>
    <w:rsid w:val="0C620578"/>
    <w:rsid w:val="0C6D2071"/>
    <w:rsid w:val="0C965124"/>
    <w:rsid w:val="0CC55A09"/>
    <w:rsid w:val="0D2C7CA1"/>
    <w:rsid w:val="0D3E75A2"/>
    <w:rsid w:val="0D505C1B"/>
    <w:rsid w:val="0D613984"/>
    <w:rsid w:val="0D76754C"/>
    <w:rsid w:val="0D8A418C"/>
    <w:rsid w:val="0DD310D5"/>
    <w:rsid w:val="0DE97231"/>
    <w:rsid w:val="0E6B11ED"/>
    <w:rsid w:val="0E866236"/>
    <w:rsid w:val="0EA55AF2"/>
    <w:rsid w:val="0EF9352D"/>
    <w:rsid w:val="0EFA5A8F"/>
    <w:rsid w:val="0F356EB3"/>
    <w:rsid w:val="0F3B1FB3"/>
    <w:rsid w:val="0F631F06"/>
    <w:rsid w:val="100919D4"/>
    <w:rsid w:val="101747CE"/>
    <w:rsid w:val="101F79F8"/>
    <w:rsid w:val="10440973"/>
    <w:rsid w:val="109918B7"/>
    <w:rsid w:val="10E20F57"/>
    <w:rsid w:val="113E071E"/>
    <w:rsid w:val="11A42091"/>
    <w:rsid w:val="11A4661F"/>
    <w:rsid w:val="11AB2CB6"/>
    <w:rsid w:val="11E466CA"/>
    <w:rsid w:val="12420640"/>
    <w:rsid w:val="126161D4"/>
    <w:rsid w:val="128F716E"/>
    <w:rsid w:val="12DA1AE3"/>
    <w:rsid w:val="12E74B76"/>
    <w:rsid w:val="13080DA0"/>
    <w:rsid w:val="130955DD"/>
    <w:rsid w:val="135B0E75"/>
    <w:rsid w:val="13830CE4"/>
    <w:rsid w:val="13841C8E"/>
    <w:rsid w:val="13A23D92"/>
    <w:rsid w:val="13D205F7"/>
    <w:rsid w:val="13FF3EF7"/>
    <w:rsid w:val="140D3F19"/>
    <w:rsid w:val="143F310F"/>
    <w:rsid w:val="1457788F"/>
    <w:rsid w:val="14706BA3"/>
    <w:rsid w:val="148F69A8"/>
    <w:rsid w:val="149A7408"/>
    <w:rsid w:val="151426B6"/>
    <w:rsid w:val="158D108E"/>
    <w:rsid w:val="159B361E"/>
    <w:rsid w:val="15A9236C"/>
    <w:rsid w:val="161C0D90"/>
    <w:rsid w:val="16320DD1"/>
    <w:rsid w:val="16C74B4B"/>
    <w:rsid w:val="17207D2D"/>
    <w:rsid w:val="1749126A"/>
    <w:rsid w:val="174E0155"/>
    <w:rsid w:val="17575DF8"/>
    <w:rsid w:val="176C3651"/>
    <w:rsid w:val="176E6A50"/>
    <w:rsid w:val="17946704"/>
    <w:rsid w:val="17C86F3B"/>
    <w:rsid w:val="18027B12"/>
    <w:rsid w:val="183323C1"/>
    <w:rsid w:val="184D42A1"/>
    <w:rsid w:val="18A137CE"/>
    <w:rsid w:val="19352312"/>
    <w:rsid w:val="197113F3"/>
    <w:rsid w:val="198130D3"/>
    <w:rsid w:val="19B60BB4"/>
    <w:rsid w:val="1A0D396F"/>
    <w:rsid w:val="1A540A14"/>
    <w:rsid w:val="1AE25AFB"/>
    <w:rsid w:val="1B4E2689"/>
    <w:rsid w:val="1B9F1E63"/>
    <w:rsid w:val="1BE30473"/>
    <w:rsid w:val="1C0814DE"/>
    <w:rsid w:val="1C7F5BD5"/>
    <w:rsid w:val="1CDF0421"/>
    <w:rsid w:val="1CE974F2"/>
    <w:rsid w:val="1D37451A"/>
    <w:rsid w:val="1D6152DA"/>
    <w:rsid w:val="1DB775F0"/>
    <w:rsid w:val="1DF15646"/>
    <w:rsid w:val="1E0F5E35"/>
    <w:rsid w:val="1E164317"/>
    <w:rsid w:val="1E2A6B10"/>
    <w:rsid w:val="1E777120"/>
    <w:rsid w:val="1EC437F2"/>
    <w:rsid w:val="1EDF295B"/>
    <w:rsid w:val="1F457AFE"/>
    <w:rsid w:val="1F841754"/>
    <w:rsid w:val="1F947BE9"/>
    <w:rsid w:val="1FAE30E0"/>
    <w:rsid w:val="1FC36A1C"/>
    <w:rsid w:val="1FC45D59"/>
    <w:rsid w:val="1FD2799A"/>
    <w:rsid w:val="1FD6287E"/>
    <w:rsid w:val="1FE53EC9"/>
    <w:rsid w:val="20104D96"/>
    <w:rsid w:val="20322B96"/>
    <w:rsid w:val="20484530"/>
    <w:rsid w:val="205253AE"/>
    <w:rsid w:val="205E4012"/>
    <w:rsid w:val="20691AE9"/>
    <w:rsid w:val="20C91B14"/>
    <w:rsid w:val="20E042E3"/>
    <w:rsid w:val="210963B5"/>
    <w:rsid w:val="21865F9D"/>
    <w:rsid w:val="21983295"/>
    <w:rsid w:val="21BC1547"/>
    <w:rsid w:val="21DA4ABB"/>
    <w:rsid w:val="226E2973"/>
    <w:rsid w:val="22B61C24"/>
    <w:rsid w:val="231F2C22"/>
    <w:rsid w:val="233020BA"/>
    <w:rsid w:val="233D75AE"/>
    <w:rsid w:val="235C70B5"/>
    <w:rsid w:val="235F406A"/>
    <w:rsid w:val="23616034"/>
    <w:rsid w:val="23C71027"/>
    <w:rsid w:val="23CC02AC"/>
    <w:rsid w:val="23D205A6"/>
    <w:rsid w:val="24156E1F"/>
    <w:rsid w:val="24945F95"/>
    <w:rsid w:val="24A57160"/>
    <w:rsid w:val="24DE4B1F"/>
    <w:rsid w:val="24E91459"/>
    <w:rsid w:val="24E97CFF"/>
    <w:rsid w:val="254D07E6"/>
    <w:rsid w:val="255C7FE1"/>
    <w:rsid w:val="259039CA"/>
    <w:rsid w:val="25E1345C"/>
    <w:rsid w:val="25E940BF"/>
    <w:rsid w:val="25FE66C4"/>
    <w:rsid w:val="262C30C2"/>
    <w:rsid w:val="265956E8"/>
    <w:rsid w:val="265B21B1"/>
    <w:rsid w:val="267D1D46"/>
    <w:rsid w:val="26EA3A6D"/>
    <w:rsid w:val="27351219"/>
    <w:rsid w:val="27424FFB"/>
    <w:rsid w:val="27CD5BB9"/>
    <w:rsid w:val="27D25752"/>
    <w:rsid w:val="27D53816"/>
    <w:rsid w:val="27E77AE7"/>
    <w:rsid w:val="28380E74"/>
    <w:rsid w:val="286363AA"/>
    <w:rsid w:val="287A0BD4"/>
    <w:rsid w:val="288250C4"/>
    <w:rsid w:val="28844BDA"/>
    <w:rsid w:val="2885743B"/>
    <w:rsid w:val="28A23BDF"/>
    <w:rsid w:val="28BD3CC7"/>
    <w:rsid w:val="28E53263"/>
    <w:rsid w:val="28FF1AFF"/>
    <w:rsid w:val="295D104C"/>
    <w:rsid w:val="29606D8E"/>
    <w:rsid w:val="296E5E5C"/>
    <w:rsid w:val="29792165"/>
    <w:rsid w:val="29982084"/>
    <w:rsid w:val="29B325F3"/>
    <w:rsid w:val="29EC3C5D"/>
    <w:rsid w:val="29FE7842"/>
    <w:rsid w:val="2A2D479B"/>
    <w:rsid w:val="2A3F4BF5"/>
    <w:rsid w:val="2A7F1496"/>
    <w:rsid w:val="2A914885"/>
    <w:rsid w:val="2AA1765E"/>
    <w:rsid w:val="2B036FBE"/>
    <w:rsid w:val="2B99075C"/>
    <w:rsid w:val="2C027C88"/>
    <w:rsid w:val="2C4068EE"/>
    <w:rsid w:val="2C732934"/>
    <w:rsid w:val="2CAF1529"/>
    <w:rsid w:val="2CBE2F09"/>
    <w:rsid w:val="2CCB1056"/>
    <w:rsid w:val="2CCE35E6"/>
    <w:rsid w:val="2D7365FC"/>
    <w:rsid w:val="2D832FD8"/>
    <w:rsid w:val="2D893089"/>
    <w:rsid w:val="2DB02848"/>
    <w:rsid w:val="2DBF1FE1"/>
    <w:rsid w:val="2DC94A10"/>
    <w:rsid w:val="2DEC299E"/>
    <w:rsid w:val="2DF61A6F"/>
    <w:rsid w:val="2E0A17C8"/>
    <w:rsid w:val="2E1747BF"/>
    <w:rsid w:val="2E7A59BF"/>
    <w:rsid w:val="2EC35DF5"/>
    <w:rsid w:val="2F386E4E"/>
    <w:rsid w:val="2F6A66CC"/>
    <w:rsid w:val="2F8559C6"/>
    <w:rsid w:val="30182170"/>
    <w:rsid w:val="302208F9"/>
    <w:rsid w:val="303F12A1"/>
    <w:rsid w:val="309A2B85"/>
    <w:rsid w:val="30E3452C"/>
    <w:rsid w:val="313308E4"/>
    <w:rsid w:val="313B21E2"/>
    <w:rsid w:val="31436D79"/>
    <w:rsid w:val="314B0E46"/>
    <w:rsid w:val="317437AE"/>
    <w:rsid w:val="317A6513"/>
    <w:rsid w:val="319455CF"/>
    <w:rsid w:val="31C17E9C"/>
    <w:rsid w:val="31CE1418"/>
    <w:rsid w:val="31D9148B"/>
    <w:rsid w:val="31DC71A3"/>
    <w:rsid w:val="31F65BC5"/>
    <w:rsid w:val="323B2146"/>
    <w:rsid w:val="3244724D"/>
    <w:rsid w:val="324A2389"/>
    <w:rsid w:val="32611CF5"/>
    <w:rsid w:val="328E54AC"/>
    <w:rsid w:val="32D84C31"/>
    <w:rsid w:val="32E45099"/>
    <w:rsid w:val="33192CF9"/>
    <w:rsid w:val="331E75B3"/>
    <w:rsid w:val="33406F8F"/>
    <w:rsid w:val="33C17097"/>
    <w:rsid w:val="341E29A6"/>
    <w:rsid w:val="345E437D"/>
    <w:rsid w:val="34900A87"/>
    <w:rsid w:val="34FF467C"/>
    <w:rsid w:val="35042BAA"/>
    <w:rsid w:val="35221DC7"/>
    <w:rsid w:val="35667733"/>
    <w:rsid w:val="35CF10F5"/>
    <w:rsid w:val="369F01B4"/>
    <w:rsid w:val="3727621C"/>
    <w:rsid w:val="374A2DC4"/>
    <w:rsid w:val="377203B8"/>
    <w:rsid w:val="378E20E3"/>
    <w:rsid w:val="3825367C"/>
    <w:rsid w:val="387D0794"/>
    <w:rsid w:val="387D3C57"/>
    <w:rsid w:val="38D961FA"/>
    <w:rsid w:val="39110269"/>
    <w:rsid w:val="39431675"/>
    <w:rsid w:val="39493F52"/>
    <w:rsid w:val="397B72CC"/>
    <w:rsid w:val="397D3578"/>
    <w:rsid w:val="39ED1F78"/>
    <w:rsid w:val="3A36178F"/>
    <w:rsid w:val="3A3A2CE3"/>
    <w:rsid w:val="3A4E3759"/>
    <w:rsid w:val="3A747227"/>
    <w:rsid w:val="3AAA7C2D"/>
    <w:rsid w:val="3AAC011D"/>
    <w:rsid w:val="3ACB39EB"/>
    <w:rsid w:val="3B651FE2"/>
    <w:rsid w:val="3B7C7FAD"/>
    <w:rsid w:val="3B8B7C9A"/>
    <w:rsid w:val="3B9F54F4"/>
    <w:rsid w:val="3BB464FC"/>
    <w:rsid w:val="3BB7098A"/>
    <w:rsid w:val="3BF026A0"/>
    <w:rsid w:val="3C4F68A8"/>
    <w:rsid w:val="3C6A5B02"/>
    <w:rsid w:val="3C8F30AA"/>
    <w:rsid w:val="3C9017B0"/>
    <w:rsid w:val="3C9B0B42"/>
    <w:rsid w:val="3CEB3167"/>
    <w:rsid w:val="3CF372D2"/>
    <w:rsid w:val="3D4268E3"/>
    <w:rsid w:val="3D580F58"/>
    <w:rsid w:val="3D7B5AED"/>
    <w:rsid w:val="3DF91963"/>
    <w:rsid w:val="3DFC4E7F"/>
    <w:rsid w:val="3E09759C"/>
    <w:rsid w:val="3E194BC1"/>
    <w:rsid w:val="3E5F25DA"/>
    <w:rsid w:val="3E6F30B6"/>
    <w:rsid w:val="3EB0426F"/>
    <w:rsid w:val="3F012A8A"/>
    <w:rsid w:val="3F4F5483"/>
    <w:rsid w:val="3F5B33C0"/>
    <w:rsid w:val="3F693EB8"/>
    <w:rsid w:val="3F7D2C31"/>
    <w:rsid w:val="3F9E2596"/>
    <w:rsid w:val="3FC97212"/>
    <w:rsid w:val="3FE034BE"/>
    <w:rsid w:val="3FEDBC18"/>
    <w:rsid w:val="400224F5"/>
    <w:rsid w:val="401D10DD"/>
    <w:rsid w:val="40322DDA"/>
    <w:rsid w:val="40B61873"/>
    <w:rsid w:val="4114603C"/>
    <w:rsid w:val="41272213"/>
    <w:rsid w:val="416C231C"/>
    <w:rsid w:val="41721A73"/>
    <w:rsid w:val="41741ECE"/>
    <w:rsid w:val="418331C2"/>
    <w:rsid w:val="41BC1BB4"/>
    <w:rsid w:val="42040BEF"/>
    <w:rsid w:val="421B164C"/>
    <w:rsid w:val="423C2C7E"/>
    <w:rsid w:val="42701998"/>
    <w:rsid w:val="42D31F27"/>
    <w:rsid w:val="42F14FC3"/>
    <w:rsid w:val="43040332"/>
    <w:rsid w:val="43054118"/>
    <w:rsid w:val="430B0051"/>
    <w:rsid w:val="43294721"/>
    <w:rsid w:val="43641051"/>
    <w:rsid w:val="43677726"/>
    <w:rsid w:val="437439A1"/>
    <w:rsid w:val="43976215"/>
    <w:rsid w:val="43FB34E3"/>
    <w:rsid w:val="440A3726"/>
    <w:rsid w:val="445157F9"/>
    <w:rsid w:val="44550E45"/>
    <w:rsid w:val="44AF3321"/>
    <w:rsid w:val="44B80D28"/>
    <w:rsid w:val="44BD3C53"/>
    <w:rsid w:val="44FA379B"/>
    <w:rsid w:val="453C2005"/>
    <w:rsid w:val="454964D0"/>
    <w:rsid w:val="454D4439"/>
    <w:rsid w:val="45554E75"/>
    <w:rsid w:val="45791519"/>
    <w:rsid w:val="45B70BAF"/>
    <w:rsid w:val="45BA0898"/>
    <w:rsid w:val="461068B4"/>
    <w:rsid w:val="4645313C"/>
    <w:rsid w:val="46B75DE7"/>
    <w:rsid w:val="46BC102E"/>
    <w:rsid w:val="46F62A7D"/>
    <w:rsid w:val="46F85025"/>
    <w:rsid w:val="47094A53"/>
    <w:rsid w:val="477041E8"/>
    <w:rsid w:val="4780267D"/>
    <w:rsid w:val="47953C4F"/>
    <w:rsid w:val="4799478F"/>
    <w:rsid w:val="47C3256A"/>
    <w:rsid w:val="48015AC8"/>
    <w:rsid w:val="48272928"/>
    <w:rsid w:val="48284AC3"/>
    <w:rsid w:val="48362D3C"/>
    <w:rsid w:val="48381158"/>
    <w:rsid w:val="484505CA"/>
    <w:rsid w:val="484C2CA3"/>
    <w:rsid w:val="488C73A1"/>
    <w:rsid w:val="48A24875"/>
    <w:rsid w:val="48AC5D02"/>
    <w:rsid w:val="48FF325B"/>
    <w:rsid w:val="494A4DFF"/>
    <w:rsid w:val="496547AD"/>
    <w:rsid w:val="49784744"/>
    <w:rsid w:val="49B546C3"/>
    <w:rsid w:val="49C34AA3"/>
    <w:rsid w:val="49C902C5"/>
    <w:rsid w:val="49CB1FB5"/>
    <w:rsid w:val="4A0F10CE"/>
    <w:rsid w:val="4A1672C9"/>
    <w:rsid w:val="4A1746C8"/>
    <w:rsid w:val="4A175E73"/>
    <w:rsid w:val="4A477482"/>
    <w:rsid w:val="4A633B90"/>
    <w:rsid w:val="4A6C5A80"/>
    <w:rsid w:val="4A9511A8"/>
    <w:rsid w:val="4AB078ED"/>
    <w:rsid w:val="4ADB406F"/>
    <w:rsid w:val="4B4A62F4"/>
    <w:rsid w:val="4B694D13"/>
    <w:rsid w:val="4B6B71A0"/>
    <w:rsid w:val="4BF95768"/>
    <w:rsid w:val="4C1573A3"/>
    <w:rsid w:val="4C520360"/>
    <w:rsid w:val="4C9B1D07"/>
    <w:rsid w:val="4CA62F12"/>
    <w:rsid w:val="4D113753"/>
    <w:rsid w:val="4D1B2795"/>
    <w:rsid w:val="4D203FBB"/>
    <w:rsid w:val="4DA641B8"/>
    <w:rsid w:val="4DB72B71"/>
    <w:rsid w:val="4DBF18E4"/>
    <w:rsid w:val="4DF914D1"/>
    <w:rsid w:val="4E1368CA"/>
    <w:rsid w:val="4E2D63F2"/>
    <w:rsid w:val="4E3B6988"/>
    <w:rsid w:val="4E4168DE"/>
    <w:rsid w:val="4EC8490A"/>
    <w:rsid w:val="4EE51018"/>
    <w:rsid w:val="4EF10FC7"/>
    <w:rsid w:val="4F4246BC"/>
    <w:rsid w:val="4F561542"/>
    <w:rsid w:val="4F734876"/>
    <w:rsid w:val="4F956BF2"/>
    <w:rsid w:val="4FC57BED"/>
    <w:rsid w:val="503A5202"/>
    <w:rsid w:val="50F45001"/>
    <w:rsid w:val="51907AB3"/>
    <w:rsid w:val="51D06181"/>
    <w:rsid w:val="52273F7A"/>
    <w:rsid w:val="523F3135"/>
    <w:rsid w:val="52592449"/>
    <w:rsid w:val="531C5FF6"/>
    <w:rsid w:val="53226F6B"/>
    <w:rsid w:val="53344B94"/>
    <w:rsid w:val="533802B0"/>
    <w:rsid w:val="533F47B1"/>
    <w:rsid w:val="53500458"/>
    <w:rsid w:val="539B4F9B"/>
    <w:rsid w:val="53E82F40"/>
    <w:rsid w:val="5401121D"/>
    <w:rsid w:val="54106B37"/>
    <w:rsid w:val="547B0ED4"/>
    <w:rsid w:val="547F49C7"/>
    <w:rsid w:val="54ED7E1B"/>
    <w:rsid w:val="552742FF"/>
    <w:rsid w:val="55402630"/>
    <w:rsid w:val="55563836"/>
    <w:rsid w:val="556A60F5"/>
    <w:rsid w:val="556C6834"/>
    <w:rsid w:val="55735DDC"/>
    <w:rsid w:val="55775434"/>
    <w:rsid w:val="55894DF3"/>
    <w:rsid w:val="566D0DDB"/>
    <w:rsid w:val="566D4183"/>
    <w:rsid w:val="56985AE3"/>
    <w:rsid w:val="56B23ED5"/>
    <w:rsid w:val="56B24434"/>
    <w:rsid w:val="56B82DE4"/>
    <w:rsid w:val="5703167F"/>
    <w:rsid w:val="570B7A8A"/>
    <w:rsid w:val="57617B28"/>
    <w:rsid w:val="5767467E"/>
    <w:rsid w:val="57720E96"/>
    <w:rsid w:val="57CE6149"/>
    <w:rsid w:val="57F24F2A"/>
    <w:rsid w:val="58472652"/>
    <w:rsid w:val="584B3F6A"/>
    <w:rsid w:val="58624CFD"/>
    <w:rsid w:val="586B07E0"/>
    <w:rsid w:val="586C784F"/>
    <w:rsid w:val="58821B71"/>
    <w:rsid w:val="58922210"/>
    <w:rsid w:val="58C90949"/>
    <w:rsid w:val="596A4A22"/>
    <w:rsid w:val="59BC3D40"/>
    <w:rsid w:val="59FD1400"/>
    <w:rsid w:val="5A032C9A"/>
    <w:rsid w:val="5A796407"/>
    <w:rsid w:val="5AF57843"/>
    <w:rsid w:val="5B2353A2"/>
    <w:rsid w:val="5B390072"/>
    <w:rsid w:val="5B417B48"/>
    <w:rsid w:val="5B490B80"/>
    <w:rsid w:val="5B4B48F9"/>
    <w:rsid w:val="5B602B8D"/>
    <w:rsid w:val="5BBA00DF"/>
    <w:rsid w:val="5C031F8B"/>
    <w:rsid w:val="5C361105"/>
    <w:rsid w:val="5CB93880"/>
    <w:rsid w:val="5CE5510F"/>
    <w:rsid w:val="5CF60894"/>
    <w:rsid w:val="5D563A15"/>
    <w:rsid w:val="5DF41277"/>
    <w:rsid w:val="5DF64428"/>
    <w:rsid w:val="5E007C1C"/>
    <w:rsid w:val="5F97010C"/>
    <w:rsid w:val="5FCD7FD2"/>
    <w:rsid w:val="60432042"/>
    <w:rsid w:val="607A09C6"/>
    <w:rsid w:val="608A1736"/>
    <w:rsid w:val="609B59DA"/>
    <w:rsid w:val="609F4FE8"/>
    <w:rsid w:val="60A56859"/>
    <w:rsid w:val="60FF0B28"/>
    <w:rsid w:val="613253CF"/>
    <w:rsid w:val="613F0A5C"/>
    <w:rsid w:val="61406D63"/>
    <w:rsid w:val="61D309C1"/>
    <w:rsid w:val="61F657B8"/>
    <w:rsid w:val="622D5A78"/>
    <w:rsid w:val="62333B94"/>
    <w:rsid w:val="62455EA3"/>
    <w:rsid w:val="62555998"/>
    <w:rsid w:val="625C73EB"/>
    <w:rsid w:val="62A10321"/>
    <w:rsid w:val="62A3326C"/>
    <w:rsid w:val="63644067"/>
    <w:rsid w:val="63846BFA"/>
    <w:rsid w:val="63C04E0D"/>
    <w:rsid w:val="63C94F54"/>
    <w:rsid w:val="645D0076"/>
    <w:rsid w:val="64816C98"/>
    <w:rsid w:val="64E5439B"/>
    <w:rsid w:val="64FD75D2"/>
    <w:rsid w:val="65CA501B"/>
    <w:rsid w:val="65DE7033"/>
    <w:rsid w:val="65E72516"/>
    <w:rsid w:val="667E5B82"/>
    <w:rsid w:val="66985D66"/>
    <w:rsid w:val="66AE5CE5"/>
    <w:rsid w:val="66C56598"/>
    <w:rsid w:val="67417566"/>
    <w:rsid w:val="677476CC"/>
    <w:rsid w:val="678C7DEF"/>
    <w:rsid w:val="67AA29A7"/>
    <w:rsid w:val="67DF4E1C"/>
    <w:rsid w:val="685D09D5"/>
    <w:rsid w:val="68AF296B"/>
    <w:rsid w:val="68F4037D"/>
    <w:rsid w:val="690A4E0D"/>
    <w:rsid w:val="69D911D4"/>
    <w:rsid w:val="6A211646"/>
    <w:rsid w:val="6A56439B"/>
    <w:rsid w:val="6AA9734A"/>
    <w:rsid w:val="6AC56475"/>
    <w:rsid w:val="6AF1726A"/>
    <w:rsid w:val="6B0D3978"/>
    <w:rsid w:val="6B317066"/>
    <w:rsid w:val="6B537E5F"/>
    <w:rsid w:val="6B6F4633"/>
    <w:rsid w:val="6B741C1B"/>
    <w:rsid w:val="6BFD579B"/>
    <w:rsid w:val="6BFF0A82"/>
    <w:rsid w:val="6C1E4E98"/>
    <w:rsid w:val="6C38544E"/>
    <w:rsid w:val="6C423325"/>
    <w:rsid w:val="6CF05300"/>
    <w:rsid w:val="6CF97917"/>
    <w:rsid w:val="6D3276C6"/>
    <w:rsid w:val="6D561607"/>
    <w:rsid w:val="6D74674E"/>
    <w:rsid w:val="6D9B2BEF"/>
    <w:rsid w:val="6E9A79E9"/>
    <w:rsid w:val="6EA91C0A"/>
    <w:rsid w:val="6ED0363B"/>
    <w:rsid w:val="6EDD3662"/>
    <w:rsid w:val="6EE42C42"/>
    <w:rsid w:val="6EEF1D13"/>
    <w:rsid w:val="6F1304BA"/>
    <w:rsid w:val="6F433ACB"/>
    <w:rsid w:val="6F4F630E"/>
    <w:rsid w:val="6F7B0AEA"/>
    <w:rsid w:val="6FA91F61"/>
    <w:rsid w:val="6FC34F4E"/>
    <w:rsid w:val="6FE506ED"/>
    <w:rsid w:val="70065A31"/>
    <w:rsid w:val="701D2C39"/>
    <w:rsid w:val="70270955"/>
    <w:rsid w:val="70365454"/>
    <w:rsid w:val="703B0F88"/>
    <w:rsid w:val="70536B84"/>
    <w:rsid w:val="706C2AAB"/>
    <w:rsid w:val="70A450A0"/>
    <w:rsid w:val="70EF5EDC"/>
    <w:rsid w:val="71324139"/>
    <w:rsid w:val="71584144"/>
    <w:rsid w:val="71AB7A47"/>
    <w:rsid w:val="72474784"/>
    <w:rsid w:val="727214D3"/>
    <w:rsid w:val="72B65C67"/>
    <w:rsid w:val="72FA6ED8"/>
    <w:rsid w:val="738C1A2B"/>
    <w:rsid w:val="73B057E9"/>
    <w:rsid w:val="73B25989"/>
    <w:rsid w:val="73F62C83"/>
    <w:rsid w:val="740D4F28"/>
    <w:rsid w:val="745052D9"/>
    <w:rsid w:val="74C4449F"/>
    <w:rsid w:val="74DC5EBB"/>
    <w:rsid w:val="74EF29BE"/>
    <w:rsid w:val="74FA31C0"/>
    <w:rsid w:val="75047B9A"/>
    <w:rsid w:val="75542FDE"/>
    <w:rsid w:val="75AC740F"/>
    <w:rsid w:val="75F1223F"/>
    <w:rsid w:val="76143E0D"/>
    <w:rsid w:val="764211C6"/>
    <w:rsid w:val="769D60E3"/>
    <w:rsid w:val="76F77927"/>
    <w:rsid w:val="77226B8B"/>
    <w:rsid w:val="77646BE8"/>
    <w:rsid w:val="77911BC2"/>
    <w:rsid w:val="77AF825A"/>
    <w:rsid w:val="77C74EAF"/>
    <w:rsid w:val="78034139"/>
    <w:rsid w:val="782C7B34"/>
    <w:rsid w:val="78445FA5"/>
    <w:rsid w:val="784D7AAA"/>
    <w:rsid w:val="78551CF5"/>
    <w:rsid w:val="785E1CB7"/>
    <w:rsid w:val="788A485A"/>
    <w:rsid w:val="788D77FD"/>
    <w:rsid w:val="789C7979"/>
    <w:rsid w:val="78A84CE1"/>
    <w:rsid w:val="78B8503F"/>
    <w:rsid w:val="78F626F0"/>
    <w:rsid w:val="78F9378E"/>
    <w:rsid w:val="79690371"/>
    <w:rsid w:val="796B5F6C"/>
    <w:rsid w:val="797F5A41"/>
    <w:rsid w:val="798B2638"/>
    <w:rsid w:val="79D36350"/>
    <w:rsid w:val="7A25365F"/>
    <w:rsid w:val="7A330BE3"/>
    <w:rsid w:val="7A5D747E"/>
    <w:rsid w:val="7A650EE2"/>
    <w:rsid w:val="7A886B78"/>
    <w:rsid w:val="7AA03EC1"/>
    <w:rsid w:val="7AA53BCD"/>
    <w:rsid w:val="7AC1208A"/>
    <w:rsid w:val="7AD262B9"/>
    <w:rsid w:val="7B073F40"/>
    <w:rsid w:val="7B841A35"/>
    <w:rsid w:val="7B8739B8"/>
    <w:rsid w:val="7BE85A5A"/>
    <w:rsid w:val="7BED2F6D"/>
    <w:rsid w:val="7C6F2B32"/>
    <w:rsid w:val="7D511DEB"/>
    <w:rsid w:val="7D586CD5"/>
    <w:rsid w:val="7D5E2DD2"/>
    <w:rsid w:val="7D7934EC"/>
    <w:rsid w:val="7DE62533"/>
    <w:rsid w:val="7DED5311"/>
    <w:rsid w:val="7E4E2D56"/>
    <w:rsid w:val="7E72113A"/>
    <w:rsid w:val="7E775881"/>
    <w:rsid w:val="7EF10E29"/>
    <w:rsid w:val="7EF944E8"/>
    <w:rsid w:val="7F945082"/>
    <w:rsid w:val="7FBB179D"/>
    <w:rsid w:val="7FDF36DE"/>
    <w:rsid w:val="7FE13C63"/>
    <w:rsid w:val="93FEA601"/>
    <w:rsid w:val="9E77E3CF"/>
    <w:rsid w:val="AB7FF187"/>
    <w:rsid w:val="AF4EC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9" w:semiHidden="0" w:unhideWhenUsed="0"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qFormat="1"/>
    <w:lsdException w:name="footer" w:semiHidden="0" w:qFormat="1"/>
    <w:lsdException w:name="caption" w:uiPriority="35" w:qFormat="1"/>
    <w:lsdException w:name="annotation reference" w:qFormat="1"/>
    <w:lsdException w:name="table of authorities" w:semiHidden="0" w:uiPriority="0" w:unhideWhenUsed="0" w:qFormat="1"/>
    <w:lsdException w:name="Title" w:semiHidden="0" w:uiPriority="10" w:unhideWhenUsed="0" w:qFormat="1"/>
    <w:lsdException w:name="Default Paragraph Font" w:uiPriority="1" w:qFormat="1"/>
    <w:lsdException w:name="Body Text" w:semiHidden="0" w:unhideWhenUsed="0" w:qFormat="1"/>
    <w:lsdException w:name="Body Text Indent" w:semiHidden="0" w:qFormat="1"/>
    <w:lsdException w:name="Subtitle" w:semiHidden="0" w:uiPriority="11" w:unhideWhenUsed="0" w:qFormat="1"/>
    <w:lsdException w:name="Body Text First Indent" w:semiHidden="0" w:uiPriority="0" w:qFormat="1"/>
    <w:lsdException w:name="Body Text First Indent 2" w:semiHidden="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9"/>
    <w:qFormat/>
    <w:pPr>
      <w:keepNext/>
      <w:keepLines/>
      <w:spacing w:before="260" w:after="260"/>
      <w:jc w:val="center"/>
      <w:outlineLvl w:val="1"/>
    </w:pPr>
    <w:rPr>
      <w:rFonts w:eastAsia="华文中宋" w:cs="Times New Roman"/>
      <w:b/>
      <w:bCs/>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1"/>
    </w:rPr>
  </w:style>
  <w:style w:type="paragraph" w:styleId="a4">
    <w:name w:val="table of authorities"/>
    <w:basedOn w:val="a"/>
    <w:next w:val="a"/>
    <w:qFormat/>
    <w:pPr>
      <w:ind w:leftChars="200" w:left="420"/>
    </w:pPr>
  </w:style>
  <w:style w:type="paragraph" w:styleId="a5">
    <w:name w:val="annotation text"/>
    <w:basedOn w:val="a"/>
    <w:link w:val="Char"/>
    <w:uiPriority w:val="99"/>
    <w:semiHidden/>
    <w:unhideWhenUsed/>
    <w:qFormat/>
    <w:pPr>
      <w:jc w:val="left"/>
    </w:pPr>
  </w:style>
  <w:style w:type="paragraph" w:styleId="a6">
    <w:name w:val="Body Text"/>
    <w:basedOn w:val="a"/>
    <w:next w:val="a"/>
    <w:uiPriority w:val="99"/>
    <w:qFormat/>
    <w:rPr>
      <w:rFonts w:ascii="仿宋_GB2312" w:eastAsia="仿宋_GB2312"/>
      <w:sz w:val="30"/>
    </w:rPr>
  </w:style>
  <w:style w:type="paragraph" w:styleId="a7">
    <w:name w:val="Body Text Indent"/>
    <w:basedOn w:val="a"/>
    <w:uiPriority w:val="99"/>
    <w:unhideWhenUsed/>
    <w:qFormat/>
    <w:pPr>
      <w:spacing w:after="120"/>
      <w:ind w:leftChars="200" w:left="420"/>
    </w:pPr>
  </w:style>
  <w:style w:type="paragraph" w:styleId="20">
    <w:name w:val="Body Text Indent 2"/>
    <w:basedOn w:val="a"/>
    <w:qFormat/>
    <w:pPr>
      <w:spacing w:after="120" w:line="480" w:lineRule="auto"/>
      <w:ind w:leftChars="200" w:left="420"/>
    </w:pPr>
    <w:rPr>
      <w:szCs w:val="21"/>
    </w:rPr>
  </w:style>
  <w:style w:type="paragraph" w:styleId="a8">
    <w:name w:val="Balloon Text"/>
    <w:basedOn w:val="a"/>
    <w:link w:val="Char0"/>
    <w:uiPriority w:val="99"/>
    <w:semiHidden/>
    <w:unhideWhenUsed/>
    <w:qFormat/>
    <w:rPr>
      <w:sz w:val="18"/>
      <w:szCs w:val="18"/>
    </w:rPr>
  </w:style>
  <w:style w:type="paragraph" w:styleId="a9">
    <w:name w:val="footer"/>
    <w:basedOn w:val="a"/>
    <w:uiPriority w:val="99"/>
    <w:unhideWhenUsed/>
    <w:qFormat/>
    <w:pPr>
      <w:tabs>
        <w:tab w:val="center" w:pos="4153"/>
        <w:tab w:val="right" w:pos="8306"/>
      </w:tabs>
      <w:snapToGrid w:val="0"/>
      <w:jc w:val="left"/>
    </w:pPr>
    <w:rPr>
      <w:sz w:val="18"/>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style>
  <w:style w:type="paragraph" w:styleId="9">
    <w:name w:val="index 9"/>
    <w:basedOn w:val="a"/>
    <w:next w:val="a"/>
    <w:uiPriority w:val="99"/>
    <w:qFormat/>
    <w:pPr>
      <w:ind w:leftChars="1600" w:left="1600"/>
    </w:pPr>
  </w:style>
  <w:style w:type="paragraph" w:styleId="21">
    <w:name w:val="toc 2"/>
    <w:basedOn w:val="a"/>
    <w:next w:val="a"/>
    <w:uiPriority w:val="39"/>
    <w:unhideWhenUsed/>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b">
    <w:name w:val="Normal (Web)"/>
    <w:basedOn w:val="a"/>
    <w:qFormat/>
    <w:pPr>
      <w:spacing w:before="100" w:beforeAutospacing="1" w:after="100" w:afterAutospacing="1"/>
      <w:jc w:val="left"/>
    </w:pPr>
    <w:rPr>
      <w:rFonts w:eastAsia="宋体"/>
      <w:kern w:val="0"/>
      <w:sz w:val="24"/>
    </w:rPr>
  </w:style>
  <w:style w:type="paragraph" w:styleId="ac">
    <w:name w:val="annotation subject"/>
    <w:basedOn w:val="a5"/>
    <w:next w:val="a5"/>
    <w:link w:val="Char1"/>
    <w:uiPriority w:val="99"/>
    <w:semiHidden/>
    <w:unhideWhenUsed/>
    <w:qFormat/>
    <w:rPr>
      <w:b/>
      <w:bCs/>
    </w:rPr>
  </w:style>
  <w:style w:type="paragraph" w:styleId="ad">
    <w:name w:val="Body Text First Indent"/>
    <w:basedOn w:val="a6"/>
    <w:unhideWhenUsed/>
    <w:qFormat/>
    <w:pPr>
      <w:ind w:firstLineChars="100" w:firstLine="420"/>
    </w:pPr>
  </w:style>
  <w:style w:type="paragraph" w:styleId="22">
    <w:name w:val="Body Text First Indent 2"/>
    <w:basedOn w:val="a7"/>
    <w:uiPriority w:val="99"/>
    <w:unhideWhenUsed/>
    <w:qFormat/>
    <w:pPr>
      <w:widowControl/>
      <w:wordWrap w:val="0"/>
      <w:ind w:firstLineChars="200" w:firstLine="420"/>
    </w:pPr>
    <w:rPr>
      <w:kern w:val="0"/>
      <w:sz w:val="20"/>
      <w:szCs w:val="20"/>
    </w:rPr>
  </w:style>
  <w:style w:type="character" w:styleId="ae">
    <w:name w:val="annotation reference"/>
    <w:basedOn w:val="a1"/>
    <w:uiPriority w:val="99"/>
    <w:semiHidden/>
    <w:unhideWhenUsed/>
    <w:qFormat/>
    <w:rPr>
      <w:sz w:val="21"/>
      <w:szCs w:val="21"/>
    </w:rPr>
  </w:style>
  <w:style w:type="paragraph" w:customStyle="1" w:styleId="11">
    <w:name w:val="无间隔1"/>
    <w:qFormat/>
    <w:rPr>
      <w:sz w:val="22"/>
      <w:szCs w:val="22"/>
    </w:rPr>
  </w:style>
  <w:style w:type="paragraph" w:styleId="af">
    <w:name w:val="List Paragraph"/>
    <w:basedOn w:val="a"/>
    <w:uiPriority w:val="34"/>
    <w:qFormat/>
    <w:pPr>
      <w:ind w:firstLineChars="200" w:firstLine="420"/>
    </w:pPr>
  </w:style>
  <w:style w:type="paragraph" w:customStyle="1" w:styleId="af0">
    <w:name w:val="表格"/>
    <w:basedOn w:val="a"/>
    <w:qFormat/>
    <w:pPr>
      <w:autoSpaceDN w:val="0"/>
      <w:jc w:val="center"/>
    </w:pPr>
    <w:rPr>
      <w:rFonts w:ascii="Verdana" w:eastAsia="仿宋_GB2312" w:hAnsi="Verdana" w:cs="Times New Roman"/>
      <w:bCs/>
      <w:sz w:val="24"/>
      <w:szCs w:val="21"/>
      <w:lang w:eastAsia="en-US"/>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font11">
    <w:name w:val="font11"/>
    <w:basedOn w:val="a1"/>
    <w:qFormat/>
    <w:rPr>
      <w:rFonts w:ascii="仿宋" w:eastAsia="仿宋" w:hAnsi="仿宋" w:cs="仿宋"/>
      <w:color w:val="000000"/>
      <w:sz w:val="24"/>
      <w:szCs w:val="24"/>
      <w:u w:val="none"/>
    </w:rPr>
  </w:style>
  <w:style w:type="paragraph" w:customStyle="1" w:styleId="af1">
    <w:name w:val="二级"/>
    <w:basedOn w:val="a"/>
    <w:qFormat/>
    <w:pPr>
      <w:autoSpaceDN w:val="0"/>
      <w:spacing w:line="400" w:lineRule="exact"/>
      <w:outlineLvl w:val="2"/>
    </w:pPr>
    <w:rPr>
      <w:rFonts w:ascii="宋体" w:hAnsi="宋体"/>
      <w:b/>
      <w:bCs/>
      <w:sz w:val="28"/>
      <w:szCs w:val="28"/>
      <w:lang w:eastAsia="en-U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character" w:customStyle="1" w:styleId="bjh-p">
    <w:name w:val="bjh-p"/>
    <w:basedOn w:val="a1"/>
    <w:qFormat/>
  </w:style>
  <w:style w:type="paragraph" w:customStyle="1" w:styleId="3">
    <w:name w:val="标题3"/>
    <w:basedOn w:val="a"/>
    <w:next w:val="a"/>
    <w:qFormat/>
    <w:pPr>
      <w:snapToGrid w:val="0"/>
      <w:spacing w:line="360" w:lineRule="auto"/>
      <w:ind w:firstLineChars="200" w:firstLine="200"/>
      <w:outlineLvl w:val="2"/>
    </w:pPr>
    <w:rPr>
      <w:rFonts w:ascii="仿宋_GB2312" w:eastAsia="仿宋_GB2312" w:hAnsi="华文宋体"/>
      <w:sz w:val="32"/>
      <w:szCs w:val="32"/>
    </w:rPr>
  </w:style>
  <w:style w:type="character" w:customStyle="1" w:styleId="font41">
    <w:name w:val="font4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 w:type="paragraph" w:customStyle="1" w:styleId="Index9">
    <w:name w:val="Index9"/>
    <w:basedOn w:val="a"/>
    <w:next w:val="a"/>
    <w:semiHidden/>
    <w:qFormat/>
    <w:pPr>
      <w:ind w:leftChars="1600" w:left="1600"/>
      <w:textAlignment w:val="baseline"/>
    </w:pPr>
  </w:style>
  <w:style w:type="character" w:customStyle="1" w:styleId="Char0">
    <w:name w:val="批注框文本 Char"/>
    <w:basedOn w:val="a1"/>
    <w:link w:val="a8"/>
    <w:uiPriority w:val="99"/>
    <w:semiHidden/>
    <w:qFormat/>
    <w:rPr>
      <w:rFonts w:asciiTheme="minorHAnsi" w:eastAsiaTheme="minorEastAsia" w:hAnsiTheme="minorHAnsi" w:cstheme="minorBidi"/>
      <w:kern w:val="2"/>
      <w:sz w:val="18"/>
      <w:szCs w:val="18"/>
    </w:rPr>
  </w:style>
  <w:style w:type="character" w:customStyle="1" w:styleId="Char">
    <w:name w:val="批注文字 Char"/>
    <w:basedOn w:val="a1"/>
    <w:link w:val="a5"/>
    <w:uiPriority w:val="99"/>
    <w:semiHidden/>
    <w:qFormat/>
    <w:rPr>
      <w:rFonts w:asciiTheme="minorHAnsi" w:eastAsiaTheme="minorEastAsia" w:hAnsiTheme="minorHAnsi" w:cstheme="minorBidi"/>
      <w:kern w:val="2"/>
      <w:sz w:val="21"/>
      <w:szCs w:val="22"/>
    </w:rPr>
  </w:style>
  <w:style w:type="character" w:customStyle="1" w:styleId="Char1">
    <w:name w:val="批注主题 Char"/>
    <w:basedOn w:val="Char"/>
    <w:link w:val="ac"/>
    <w:uiPriority w:val="99"/>
    <w:semiHidden/>
    <w:qFormat/>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9" w:semiHidden="0" w:unhideWhenUsed="0"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qFormat="1"/>
    <w:lsdException w:name="footer" w:semiHidden="0" w:qFormat="1"/>
    <w:lsdException w:name="caption" w:uiPriority="35" w:qFormat="1"/>
    <w:lsdException w:name="annotation reference" w:qFormat="1"/>
    <w:lsdException w:name="table of authorities" w:semiHidden="0" w:uiPriority="0" w:unhideWhenUsed="0" w:qFormat="1"/>
    <w:lsdException w:name="Title" w:semiHidden="0" w:uiPriority="10" w:unhideWhenUsed="0" w:qFormat="1"/>
    <w:lsdException w:name="Default Paragraph Font" w:uiPriority="1" w:qFormat="1"/>
    <w:lsdException w:name="Body Text" w:semiHidden="0" w:unhideWhenUsed="0" w:qFormat="1"/>
    <w:lsdException w:name="Body Text Indent" w:semiHidden="0" w:qFormat="1"/>
    <w:lsdException w:name="Subtitle" w:semiHidden="0" w:uiPriority="11" w:unhideWhenUsed="0" w:qFormat="1"/>
    <w:lsdException w:name="Body Text First Indent" w:semiHidden="0" w:uiPriority="0" w:qFormat="1"/>
    <w:lsdException w:name="Body Text First Indent 2" w:semiHidden="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9"/>
    <w:qFormat/>
    <w:pPr>
      <w:keepNext/>
      <w:keepLines/>
      <w:spacing w:before="260" w:after="260"/>
      <w:jc w:val="center"/>
      <w:outlineLvl w:val="1"/>
    </w:pPr>
    <w:rPr>
      <w:rFonts w:eastAsia="华文中宋" w:cs="Times New Roman"/>
      <w:b/>
      <w:bCs/>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1"/>
    </w:rPr>
  </w:style>
  <w:style w:type="paragraph" w:styleId="a4">
    <w:name w:val="table of authorities"/>
    <w:basedOn w:val="a"/>
    <w:next w:val="a"/>
    <w:qFormat/>
    <w:pPr>
      <w:ind w:leftChars="200" w:left="420"/>
    </w:pPr>
  </w:style>
  <w:style w:type="paragraph" w:styleId="a5">
    <w:name w:val="annotation text"/>
    <w:basedOn w:val="a"/>
    <w:link w:val="Char"/>
    <w:uiPriority w:val="99"/>
    <w:semiHidden/>
    <w:unhideWhenUsed/>
    <w:qFormat/>
    <w:pPr>
      <w:jc w:val="left"/>
    </w:pPr>
  </w:style>
  <w:style w:type="paragraph" w:styleId="a6">
    <w:name w:val="Body Text"/>
    <w:basedOn w:val="a"/>
    <w:next w:val="a"/>
    <w:uiPriority w:val="99"/>
    <w:qFormat/>
    <w:rPr>
      <w:rFonts w:ascii="仿宋_GB2312" w:eastAsia="仿宋_GB2312"/>
      <w:sz w:val="30"/>
    </w:rPr>
  </w:style>
  <w:style w:type="paragraph" w:styleId="a7">
    <w:name w:val="Body Text Indent"/>
    <w:basedOn w:val="a"/>
    <w:uiPriority w:val="99"/>
    <w:unhideWhenUsed/>
    <w:qFormat/>
    <w:pPr>
      <w:spacing w:after="120"/>
      <w:ind w:leftChars="200" w:left="420"/>
    </w:pPr>
  </w:style>
  <w:style w:type="paragraph" w:styleId="20">
    <w:name w:val="Body Text Indent 2"/>
    <w:basedOn w:val="a"/>
    <w:qFormat/>
    <w:pPr>
      <w:spacing w:after="120" w:line="480" w:lineRule="auto"/>
      <w:ind w:leftChars="200" w:left="420"/>
    </w:pPr>
    <w:rPr>
      <w:szCs w:val="21"/>
    </w:rPr>
  </w:style>
  <w:style w:type="paragraph" w:styleId="a8">
    <w:name w:val="Balloon Text"/>
    <w:basedOn w:val="a"/>
    <w:link w:val="Char0"/>
    <w:uiPriority w:val="99"/>
    <w:semiHidden/>
    <w:unhideWhenUsed/>
    <w:qFormat/>
    <w:rPr>
      <w:sz w:val="18"/>
      <w:szCs w:val="18"/>
    </w:rPr>
  </w:style>
  <w:style w:type="paragraph" w:styleId="a9">
    <w:name w:val="footer"/>
    <w:basedOn w:val="a"/>
    <w:uiPriority w:val="99"/>
    <w:unhideWhenUsed/>
    <w:qFormat/>
    <w:pPr>
      <w:tabs>
        <w:tab w:val="center" w:pos="4153"/>
        <w:tab w:val="right" w:pos="8306"/>
      </w:tabs>
      <w:snapToGrid w:val="0"/>
      <w:jc w:val="left"/>
    </w:pPr>
    <w:rPr>
      <w:sz w:val="18"/>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style>
  <w:style w:type="paragraph" w:styleId="9">
    <w:name w:val="index 9"/>
    <w:basedOn w:val="a"/>
    <w:next w:val="a"/>
    <w:uiPriority w:val="99"/>
    <w:qFormat/>
    <w:pPr>
      <w:ind w:leftChars="1600" w:left="1600"/>
    </w:pPr>
  </w:style>
  <w:style w:type="paragraph" w:styleId="21">
    <w:name w:val="toc 2"/>
    <w:basedOn w:val="a"/>
    <w:next w:val="a"/>
    <w:uiPriority w:val="39"/>
    <w:unhideWhenUsed/>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b">
    <w:name w:val="Normal (Web)"/>
    <w:basedOn w:val="a"/>
    <w:qFormat/>
    <w:pPr>
      <w:spacing w:before="100" w:beforeAutospacing="1" w:after="100" w:afterAutospacing="1"/>
      <w:jc w:val="left"/>
    </w:pPr>
    <w:rPr>
      <w:rFonts w:eastAsia="宋体"/>
      <w:kern w:val="0"/>
      <w:sz w:val="24"/>
    </w:rPr>
  </w:style>
  <w:style w:type="paragraph" w:styleId="ac">
    <w:name w:val="annotation subject"/>
    <w:basedOn w:val="a5"/>
    <w:next w:val="a5"/>
    <w:link w:val="Char1"/>
    <w:uiPriority w:val="99"/>
    <w:semiHidden/>
    <w:unhideWhenUsed/>
    <w:qFormat/>
    <w:rPr>
      <w:b/>
      <w:bCs/>
    </w:rPr>
  </w:style>
  <w:style w:type="paragraph" w:styleId="ad">
    <w:name w:val="Body Text First Indent"/>
    <w:basedOn w:val="a6"/>
    <w:unhideWhenUsed/>
    <w:qFormat/>
    <w:pPr>
      <w:ind w:firstLineChars="100" w:firstLine="420"/>
    </w:pPr>
  </w:style>
  <w:style w:type="paragraph" w:styleId="22">
    <w:name w:val="Body Text First Indent 2"/>
    <w:basedOn w:val="a7"/>
    <w:uiPriority w:val="99"/>
    <w:unhideWhenUsed/>
    <w:qFormat/>
    <w:pPr>
      <w:widowControl/>
      <w:wordWrap w:val="0"/>
      <w:ind w:firstLineChars="200" w:firstLine="420"/>
    </w:pPr>
    <w:rPr>
      <w:kern w:val="0"/>
      <w:sz w:val="20"/>
      <w:szCs w:val="20"/>
    </w:rPr>
  </w:style>
  <w:style w:type="character" w:styleId="ae">
    <w:name w:val="annotation reference"/>
    <w:basedOn w:val="a1"/>
    <w:uiPriority w:val="99"/>
    <w:semiHidden/>
    <w:unhideWhenUsed/>
    <w:qFormat/>
    <w:rPr>
      <w:sz w:val="21"/>
      <w:szCs w:val="21"/>
    </w:rPr>
  </w:style>
  <w:style w:type="paragraph" w:customStyle="1" w:styleId="11">
    <w:name w:val="无间隔1"/>
    <w:qFormat/>
    <w:rPr>
      <w:sz w:val="22"/>
      <w:szCs w:val="22"/>
    </w:rPr>
  </w:style>
  <w:style w:type="paragraph" w:styleId="af">
    <w:name w:val="List Paragraph"/>
    <w:basedOn w:val="a"/>
    <w:uiPriority w:val="34"/>
    <w:qFormat/>
    <w:pPr>
      <w:ind w:firstLineChars="200" w:firstLine="420"/>
    </w:pPr>
  </w:style>
  <w:style w:type="paragraph" w:customStyle="1" w:styleId="af0">
    <w:name w:val="表格"/>
    <w:basedOn w:val="a"/>
    <w:qFormat/>
    <w:pPr>
      <w:autoSpaceDN w:val="0"/>
      <w:jc w:val="center"/>
    </w:pPr>
    <w:rPr>
      <w:rFonts w:ascii="Verdana" w:eastAsia="仿宋_GB2312" w:hAnsi="Verdana" w:cs="Times New Roman"/>
      <w:bCs/>
      <w:sz w:val="24"/>
      <w:szCs w:val="21"/>
      <w:lang w:eastAsia="en-US"/>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font11">
    <w:name w:val="font11"/>
    <w:basedOn w:val="a1"/>
    <w:qFormat/>
    <w:rPr>
      <w:rFonts w:ascii="仿宋" w:eastAsia="仿宋" w:hAnsi="仿宋" w:cs="仿宋"/>
      <w:color w:val="000000"/>
      <w:sz w:val="24"/>
      <w:szCs w:val="24"/>
      <w:u w:val="none"/>
    </w:rPr>
  </w:style>
  <w:style w:type="paragraph" w:customStyle="1" w:styleId="af1">
    <w:name w:val="二级"/>
    <w:basedOn w:val="a"/>
    <w:qFormat/>
    <w:pPr>
      <w:autoSpaceDN w:val="0"/>
      <w:spacing w:line="400" w:lineRule="exact"/>
      <w:outlineLvl w:val="2"/>
    </w:pPr>
    <w:rPr>
      <w:rFonts w:ascii="宋体" w:hAnsi="宋体"/>
      <w:b/>
      <w:bCs/>
      <w:sz w:val="28"/>
      <w:szCs w:val="28"/>
      <w:lang w:eastAsia="en-U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character" w:customStyle="1" w:styleId="bjh-p">
    <w:name w:val="bjh-p"/>
    <w:basedOn w:val="a1"/>
    <w:qFormat/>
  </w:style>
  <w:style w:type="paragraph" w:customStyle="1" w:styleId="3">
    <w:name w:val="标题3"/>
    <w:basedOn w:val="a"/>
    <w:next w:val="a"/>
    <w:qFormat/>
    <w:pPr>
      <w:snapToGrid w:val="0"/>
      <w:spacing w:line="360" w:lineRule="auto"/>
      <w:ind w:firstLineChars="200" w:firstLine="200"/>
      <w:outlineLvl w:val="2"/>
    </w:pPr>
    <w:rPr>
      <w:rFonts w:ascii="仿宋_GB2312" w:eastAsia="仿宋_GB2312" w:hAnsi="华文宋体"/>
      <w:sz w:val="32"/>
      <w:szCs w:val="32"/>
    </w:rPr>
  </w:style>
  <w:style w:type="character" w:customStyle="1" w:styleId="font41">
    <w:name w:val="font41"/>
    <w:basedOn w:val="a1"/>
    <w:qFormat/>
    <w:rPr>
      <w:rFonts w:ascii="宋体" w:eastAsia="宋体" w:hAnsi="宋体" w:cs="宋体" w:hint="eastAsia"/>
      <w:color w:val="00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 w:type="paragraph" w:customStyle="1" w:styleId="Index9">
    <w:name w:val="Index9"/>
    <w:basedOn w:val="a"/>
    <w:next w:val="a"/>
    <w:semiHidden/>
    <w:qFormat/>
    <w:pPr>
      <w:ind w:leftChars="1600" w:left="1600"/>
      <w:textAlignment w:val="baseline"/>
    </w:pPr>
  </w:style>
  <w:style w:type="character" w:customStyle="1" w:styleId="Char0">
    <w:name w:val="批注框文本 Char"/>
    <w:basedOn w:val="a1"/>
    <w:link w:val="a8"/>
    <w:uiPriority w:val="99"/>
    <w:semiHidden/>
    <w:qFormat/>
    <w:rPr>
      <w:rFonts w:asciiTheme="minorHAnsi" w:eastAsiaTheme="minorEastAsia" w:hAnsiTheme="minorHAnsi" w:cstheme="minorBidi"/>
      <w:kern w:val="2"/>
      <w:sz w:val="18"/>
      <w:szCs w:val="18"/>
    </w:rPr>
  </w:style>
  <w:style w:type="character" w:customStyle="1" w:styleId="Char">
    <w:name w:val="批注文字 Char"/>
    <w:basedOn w:val="a1"/>
    <w:link w:val="a5"/>
    <w:uiPriority w:val="99"/>
    <w:semiHidden/>
    <w:qFormat/>
    <w:rPr>
      <w:rFonts w:asciiTheme="minorHAnsi" w:eastAsiaTheme="minorEastAsia" w:hAnsiTheme="minorHAnsi" w:cstheme="minorBidi"/>
      <w:kern w:val="2"/>
      <w:sz w:val="21"/>
      <w:szCs w:val="22"/>
    </w:rPr>
  </w:style>
  <w:style w:type="character" w:customStyle="1" w:styleId="Char1">
    <w:name w:val="批注主题 Char"/>
    <w:basedOn w:val="Char"/>
    <w:link w:val="ac"/>
    <w:uiPriority w:val="99"/>
    <w:semiHidden/>
    <w:qFormat/>
    <w:rPr>
      <w:rFonts w:asciiTheme="minorHAnsi" w:eastAsiaTheme="minorEastAsia"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20</Pages>
  <Words>1730</Words>
  <Characters>9862</Characters>
  <Application>Microsoft Office Word</Application>
  <DocSecurity>0</DocSecurity>
  <Lines>82</Lines>
  <Paragraphs>23</Paragraphs>
  <ScaleCrop>false</ScaleCrop>
  <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岳辰 于</dc:creator>
  <cp:lastModifiedBy>宋珊珊</cp:lastModifiedBy>
  <cp:revision>23</cp:revision>
  <cp:lastPrinted>2023-06-05T02:15:00Z</cp:lastPrinted>
  <dcterms:created xsi:type="dcterms:W3CDTF">2022-04-15T10:14:00Z</dcterms:created>
  <dcterms:modified xsi:type="dcterms:W3CDTF">2023-06-05T08:21:00Z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98E91285557E4C498DC4E65C5636780F_13</vt:lpwstr>
  </property>
</Properties>
</file>