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hint="eastAsia" w:ascii="方正小标宋简体" w:hAnsi="Leelawadee UI" w:eastAsia="方正小标宋简体" w:cs="Leelawadee UI"/>
          <w:bCs/>
          <w:kern w:val="0"/>
          <w:sz w:val="44"/>
          <w:szCs w:val="28"/>
        </w:rPr>
      </w:pPr>
      <w:r>
        <w:rPr>
          <w:rFonts w:hint="eastAsia" w:ascii="方正小标宋简体" w:hAnsi="Leelawadee UI" w:eastAsia="方正小标宋简体" w:cs="Leelawadee UI"/>
          <w:bCs/>
          <w:kern w:val="0"/>
          <w:sz w:val="44"/>
          <w:szCs w:val="28"/>
        </w:rPr>
        <w:t>北京市人民检察院第二分院</w:t>
      </w:r>
    </w:p>
    <w:p>
      <w:pPr>
        <w:spacing w:line="700" w:lineRule="exact"/>
        <w:jc w:val="center"/>
        <w:rPr>
          <w:rFonts w:hint="eastAsia" w:ascii="方正小标宋简体" w:hAnsi="Leelawadee UI" w:eastAsia="方正小标宋简体" w:cs="Leelawadee UI"/>
          <w:bCs/>
          <w:kern w:val="0"/>
          <w:sz w:val="44"/>
          <w:szCs w:val="28"/>
        </w:rPr>
      </w:pPr>
      <w:r>
        <w:rPr>
          <w:rFonts w:hint="eastAsia" w:ascii="方正小标宋简体" w:hAnsi="Leelawadee UI" w:eastAsia="方正小标宋简体" w:cs="Leelawadee UI"/>
          <w:bCs/>
          <w:kern w:val="0"/>
          <w:sz w:val="44"/>
          <w:szCs w:val="28"/>
        </w:rPr>
        <w:t>安保安检工作经费项目绩效评价报告</w:t>
      </w:r>
    </w:p>
    <w:p>
      <w:pPr>
        <w:ind w:firstLine="640" w:firstLineChars="200"/>
        <w:rPr>
          <w:rFonts w:hint="eastAsia" w:ascii="仿宋_GB2312" w:hAnsi="仿宋_GB2312" w:eastAsia="仿宋_GB2312" w:cs="仿宋_GB2312"/>
          <w:sz w:val="32"/>
        </w:rPr>
      </w:pPr>
    </w:p>
    <w:p>
      <w:pPr>
        <w:ind w:firstLine="640" w:firstLineChars="200"/>
        <w:outlineLvl w:val="0"/>
        <w:rPr>
          <w:rFonts w:hint="eastAsia" w:ascii="黑体" w:hAnsi="黑体" w:eastAsia="黑体"/>
          <w:bCs/>
          <w:kern w:val="0"/>
          <w:sz w:val="32"/>
          <w:szCs w:val="28"/>
        </w:rPr>
      </w:pPr>
      <w:bookmarkStart w:id="0" w:name="_Toc530336291"/>
      <w:bookmarkStart w:id="1" w:name="_Toc156"/>
      <w:r>
        <w:rPr>
          <w:rFonts w:hint="eastAsia" w:ascii="黑体" w:hAnsi="黑体" w:eastAsia="黑体"/>
          <w:bCs/>
          <w:kern w:val="0"/>
          <w:sz w:val="32"/>
          <w:szCs w:val="28"/>
        </w:rPr>
        <w:t>一、</w:t>
      </w:r>
      <w:bookmarkEnd w:id="0"/>
      <w:r>
        <w:rPr>
          <w:rFonts w:hint="eastAsia" w:ascii="黑体" w:hAnsi="黑体" w:eastAsia="黑体"/>
          <w:bCs/>
          <w:kern w:val="0"/>
          <w:sz w:val="32"/>
          <w:szCs w:val="28"/>
        </w:rPr>
        <w:t>基本情况</w:t>
      </w:r>
      <w:bookmarkEnd w:id="1"/>
    </w:p>
    <w:p>
      <w:pPr>
        <w:ind w:firstLine="640" w:firstLineChars="200"/>
        <w:outlineLvl w:val="1"/>
        <w:rPr>
          <w:rFonts w:hint="eastAsia" w:ascii="楷体" w:hAnsi="楷体" w:eastAsia="楷体"/>
          <w:bCs/>
          <w:kern w:val="0"/>
          <w:sz w:val="32"/>
          <w:szCs w:val="28"/>
        </w:rPr>
      </w:pPr>
      <w:bookmarkStart w:id="2" w:name="_Toc530336292"/>
      <w:bookmarkStart w:id="3" w:name="_Toc15725"/>
      <w:r>
        <w:rPr>
          <w:rFonts w:hint="eastAsia" w:ascii="楷体" w:hAnsi="楷体" w:eastAsia="楷体"/>
          <w:bCs/>
          <w:kern w:val="0"/>
          <w:sz w:val="32"/>
          <w:szCs w:val="28"/>
        </w:rPr>
        <w:t>（一）</w:t>
      </w:r>
      <w:bookmarkEnd w:id="2"/>
      <w:r>
        <w:rPr>
          <w:rFonts w:hint="eastAsia" w:ascii="楷体" w:hAnsi="楷体" w:eastAsia="楷体"/>
          <w:bCs/>
          <w:kern w:val="0"/>
          <w:sz w:val="32"/>
          <w:szCs w:val="28"/>
        </w:rPr>
        <w:t>项目概况</w:t>
      </w:r>
      <w:bookmarkEnd w:id="3"/>
    </w:p>
    <w:p>
      <w:pPr>
        <w:spacing w:line="560" w:lineRule="exact"/>
        <w:ind w:firstLine="640" w:firstLineChars="200"/>
        <w:rPr>
          <w:rFonts w:hint="eastAsia" w:ascii="仿宋_GB2312" w:hAnsi="楷体" w:eastAsia="仿宋_GB2312"/>
          <w:bCs/>
          <w:kern w:val="0"/>
          <w:sz w:val="32"/>
          <w:szCs w:val="28"/>
        </w:rPr>
      </w:pPr>
      <w:bookmarkStart w:id="4" w:name="_Toc72129824"/>
      <w:bookmarkStart w:id="5" w:name="_Toc72117809"/>
      <w:r>
        <w:rPr>
          <w:rFonts w:hint="eastAsia" w:ascii="仿宋_GB2312" w:hAnsi="楷体" w:eastAsia="仿宋_GB2312"/>
          <w:bCs/>
          <w:kern w:val="0"/>
          <w:sz w:val="32"/>
          <w:szCs w:val="28"/>
        </w:rPr>
        <w:t>1.项目背景</w:t>
      </w:r>
      <w:bookmarkEnd w:id="4"/>
      <w:bookmarkEnd w:id="5"/>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lang w:eastAsia="zh-CN"/>
        </w:rPr>
        <w:t>北京市人民检察院第二分院（以下简称“市检二分院”）</w:t>
      </w:r>
      <w:r>
        <w:rPr>
          <w:rFonts w:hint="eastAsia" w:ascii="仿宋_GB2312" w:hAnsi="楷体" w:eastAsia="仿宋_GB2312"/>
          <w:bCs/>
          <w:kern w:val="0"/>
          <w:sz w:val="32"/>
          <w:szCs w:val="28"/>
        </w:rPr>
        <w:t>，坐落于丰台区紫芳路18号，办公区土地使用面积13,352.26平方米，建筑面积27,842.50平方米，现有两个大门出入办公区，控申大厅信访</w:t>
      </w:r>
      <w:bookmarkStart w:id="36" w:name="_GoBack"/>
      <w:bookmarkEnd w:id="36"/>
      <w:r>
        <w:rPr>
          <w:rFonts w:hint="eastAsia" w:ascii="仿宋_GB2312" w:hAnsi="楷体" w:eastAsia="仿宋_GB2312"/>
          <w:bCs/>
          <w:kern w:val="0"/>
          <w:sz w:val="32"/>
          <w:szCs w:val="28"/>
        </w:rPr>
        <w:t>接待区1个，职务犯罪侦查办案工作区1个。</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市检二分院自2003年5月建院以来，一直由北京武警总队二师派驻官兵履行执勤安检任务。2017年2月，依据国发字第13号文件和武警部队执勤用兵范围的相关要求，北京武警总队二师不再履行市检二分院执勤保卫安检任务，市检二分院的机关门岗执勤、安全检查、信访接待引导、秩序维护、滞留人员劝返、处置违法上访突发事件、消防应急处置等任务交由市检二分院自行负责。</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 xml:space="preserve">根据北京市财政局批复，武警部队撤勤后，各预算单位聘请保安人员经费由市财政统一保障，专款专用。从2017年起，市检二分院每年申请财政资金作为该项目资金，用于配备专业安保公司的保安人员担负执勤保卫安检任务，维护市检二分院正常办公秩序，做好安全防护工作，保障各项检察工作的顺利开展。 </w:t>
      </w:r>
    </w:p>
    <w:p>
      <w:pPr>
        <w:spacing w:line="560" w:lineRule="exact"/>
        <w:ind w:firstLine="640" w:firstLineChars="200"/>
        <w:rPr>
          <w:rFonts w:hint="eastAsia" w:ascii="仿宋_GB2312" w:hAnsi="楷体" w:eastAsia="仿宋_GB2312"/>
          <w:bCs/>
          <w:kern w:val="0"/>
          <w:sz w:val="32"/>
          <w:szCs w:val="28"/>
        </w:rPr>
      </w:pPr>
      <w:bookmarkStart w:id="6" w:name="_Toc72129825"/>
      <w:bookmarkStart w:id="7" w:name="_Toc72117810"/>
      <w:r>
        <w:rPr>
          <w:rFonts w:hint="eastAsia" w:ascii="仿宋_GB2312" w:hAnsi="楷体" w:eastAsia="仿宋_GB2312"/>
          <w:bCs/>
          <w:kern w:val="0"/>
          <w:sz w:val="32"/>
          <w:szCs w:val="28"/>
        </w:rPr>
        <w:t>2.项目主要内容</w:t>
      </w:r>
      <w:bookmarkEnd w:id="6"/>
      <w:bookmarkEnd w:id="7"/>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为了维护市检二分院正常办公秩序，维护公民合法权益，2022年聘请安保公司保安人员承担。借鉴武警执勤经验，根据实际保安人员需求，配备保安人员38人，按照岗位需求设置管理岗3人，执勤巡逻岗19人，应急处置岗6人，技术防范岗4人，安全检查岗6人。</w:t>
      </w:r>
    </w:p>
    <w:p>
      <w:pPr>
        <w:spacing w:line="560" w:lineRule="exact"/>
        <w:ind w:firstLine="640" w:firstLineChars="200"/>
        <w:rPr>
          <w:rFonts w:hint="eastAsia" w:ascii="仿宋_GB2312" w:hAnsi="楷体" w:eastAsia="仿宋_GB2312"/>
          <w:bCs/>
          <w:kern w:val="0"/>
          <w:sz w:val="32"/>
          <w:szCs w:val="28"/>
        </w:rPr>
      </w:pPr>
      <w:bookmarkStart w:id="8" w:name="_Toc72117811"/>
      <w:bookmarkStart w:id="9" w:name="_Toc72129826"/>
      <w:r>
        <w:rPr>
          <w:rFonts w:hint="eastAsia" w:ascii="仿宋_GB2312" w:hAnsi="楷体" w:eastAsia="仿宋_GB2312"/>
          <w:bCs/>
          <w:kern w:val="0"/>
          <w:sz w:val="32"/>
          <w:szCs w:val="28"/>
        </w:rPr>
        <w:t>3.项目资金情况</w:t>
      </w:r>
      <w:bookmarkEnd w:id="8"/>
      <w:bookmarkEnd w:id="9"/>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2022年1月，北京市财政局《关于批复北京市人民检察院第二分院2022年预算的函》（京财公检法指〔2022〕103号），批复该项目预算196.08万元，财政资金100%到位。</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截至2022年12月31日，项目实际支出196.03万元，预算执行率为99.98%，项目结余0.05万元。</w:t>
      </w:r>
    </w:p>
    <w:p>
      <w:pPr>
        <w:ind w:firstLine="640" w:firstLineChars="200"/>
        <w:outlineLvl w:val="1"/>
        <w:rPr>
          <w:rFonts w:hint="eastAsia" w:ascii="楷体" w:hAnsi="楷体" w:eastAsia="楷体"/>
          <w:bCs/>
          <w:kern w:val="0"/>
          <w:sz w:val="32"/>
          <w:szCs w:val="28"/>
        </w:rPr>
      </w:pPr>
      <w:bookmarkStart w:id="10" w:name="_Toc32479"/>
      <w:r>
        <w:rPr>
          <w:rFonts w:hint="eastAsia" w:ascii="楷体" w:hAnsi="楷体" w:eastAsia="楷体"/>
          <w:bCs/>
          <w:kern w:val="0"/>
          <w:sz w:val="32"/>
          <w:szCs w:val="28"/>
        </w:rPr>
        <w:t>（二）项目绩效目标</w:t>
      </w:r>
      <w:bookmarkEnd w:id="10"/>
    </w:p>
    <w:p>
      <w:pPr>
        <w:spacing w:line="560" w:lineRule="exact"/>
        <w:ind w:firstLine="640" w:firstLineChars="200"/>
        <w:rPr>
          <w:rFonts w:hint="eastAsia" w:ascii="仿宋_GB2312" w:hAnsi="楷体" w:eastAsia="仿宋_GB2312"/>
          <w:bCs/>
          <w:kern w:val="0"/>
          <w:sz w:val="32"/>
          <w:szCs w:val="28"/>
        </w:rPr>
      </w:pPr>
      <w:bookmarkStart w:id="11" w:name="_Toc515874924"/>
      <w:r>
        <w:rPr>
          <w:rFonts w:hint="eastAsia" w:ascii="仿宋_GB2312" w:hAnsi="楷体" w:eastAsia="仿宋_GB2312"/>
          <w:bCs/>
          <w:kern w:val="0"/>
          <w:sz w:val="32"/>
          <w:szCs w:val="28"/>
        </w:rPr>
        <w:t>1.年度目标：该项目经费支出，为了维护市检二分院正常办公秩序，维护公民合法权益，完成机关门岗执勤、安全检查、信访接待引导、秩序维护、滞留人员劝返、处置违法上访突发事件、消防应急处置等任务，保安人员在执勤安检过程中能够积极协助检察机关预防、减少违法犯罪，在安全检查等方面能起到积极作用。</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2.绩效指标</w:t>
      </w:r>
    </w:p>
    <w:p>
      <w:pPr>
        <w:spacing w:line="560" w:lineRule="exact"/>
        <w:ind w:firstLine="643" w:firstLineChars="200"/>
        <w:rPr>
          <w:rFonts w:hint="eastAsia" w:ascii="仿宋_GB2312" w:hAnsi="楷体" w:eastAsia="仿宋_GB2312"/>
          <w:b/>
          <w:kern w:val="0"/>
          <w:sz w:val="32"/>
          <w:szCs w:val="28"/>
        </w:rPr>
      </w:pPr>
      <w:r>
        <w:rPr>
          <w:rFonts w:hint="eastAsia" w:ascii="仿宋_GB2312" w:hAnsi="楷体" w:eastAsia="仿宋_GB2312"/>
          <w:b/>
          <w:kern w:val="0"/>
          <w:sz w:val="32"/>
          <w:szCs w:val="28"/>
        </w:rPr>
        <w:t>（1）产出指标</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①数量指标：配备安检安保人员数量38人；接待引导信访人次≥4000人次；灭火器使用方法培训及消防常识培训、防暴突发培训次数60次；大型防暴演练次数2次。</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②质量指标：安检安保人员资格证取得率100%；信访接待引导率95%。</w:t>
      </w:r>
    </w:p>
    <w:p>
      <w:pPr>
        <w:spacing w:line="560" w:lineRule="exact"/>
        <w:ind w:firstLine="640" w:firstLineChars="200"/>
        <w:rPr>
          <w:rFonts w:ascii="仿宋_GB2312" w:hAnsi="楷体" w:eastAsia="仿宋_GB2312"/>
          <w:bCs/>
          <w:kern w:val="0"/>
          <w:sz w:val="32"/>
          <w:szCs w:val="28"/>
        </w:rPr>
      </w:pPr>
      <w:r>
        <w:rPr>
          <w:rFonts w:hint="eastAsia" w:ascii="仿宋_GB2312" w:hAnsi="楷体" w:eastAsia="仿宋_GB2312"/>
          <w:bCs/>
          <w:kern w:val="0"/>
          <w:sz w:val="32"/>
          <w:szCs w:val="28"/>
        </w:rPr>
        <w:t>③时效指标：信访接待引导工作时效1年；灭火器使用方法培训及消防常识培训频次2次/月；防暴突发培训频次1月/次。</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④成本指标：项目预算控制数≤196.08万元。</w:t>
      </w:r>
    </w:p>
    <w:p>
      <w:pPr>
        <w:spacing w:line="560" w:lineRule="exact"/>
        <w:ind w:firstLine="643" w:firstLineChars="200"/>
        <w:rPr>
          <w:rFonts w:hint="eastAsia" w:ascii="仿宋_GB2312" w:hAnsi="楷体" w:eastAsia="仿宋_GB2312"/>
          <w:b/>
          <w:kern w:val="0"/>
          <w:sz w:val="32"/>
          <w:szCs w:val="28"/>
        </w:rPr>
      </w:pPr>
      <w:r>
        <w:rPr>
          <w:rFonts w:hint="eastAsia" w:ascii="仿宋_GB2312" w:hAnsi="楷体" w:eastAsia="仿宋_GB2312"/>
          <w:b/>
          <w:kern w:val="0"/>
          <w:sz w:val="32"/>
          <w:szCs w:val="28"/>
        </w:rPr>
        <w:t>（2）效益指标</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①社会效益指标：检察院办公秩序得到保障；预防、减少违法犯罪，安全检查等方面起到积极作用。</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②服务对象满意度指标：干警满意度≥95%。</w:t>
      </w:r>
    </w:p>
    <w:bookmarkEnd w:id="11"/>
    <w:p>
      <w:pPr>
        <w:ind w:firstLine="640" w:firstLineChars="200"/>
        <w:outlineLvl w:val="0"/>
        <w:rPr>
          <w:rFonts w:hint="eastAsia" w:ascii="黑体" w:hAnsi="黑体" w:eastAsia="黑体"/>
          <w:bCs/>
          <w:kern w:val="0"/>
          <w:sz w:val="32"/>
          <w:szCs w:val="28"/>
        </w:rPr>
      </w:pPr>
      <w:bookmarkStart w:id="12" w:name="_Toc25994"/>
      <w:r>
        <w:rPr>
          <w:rFonts w:hint="eastAsia" w:ascii="黑体" w:hAnsi="黑体" w:eastAsia="黑体"/>
          <w:bCs/>
          <w:kern w:val="0"/>
          <w:sz w:val="32"/>
          <w:szCs w:val="28"/>
        </w:rPr>
        <w:t>二、绩效评价工作开展情况</w:t>
      </w:r>
      <w:bookmarkEnd w:id="12"/>
    </w:p>
    <w:p>
      <w:pPr>
        <w:ind w:firstLine="640" w:firstLineChars="200"/>
        <w:outlineLvl w:val="1"/>
        <w:rPr>
          <w:rFonts w:hint="eastAsia" w:ascii="楷体" w:hAnsi="楷体" w:eastAsia="楷体"/>
          <w:bCs/>
          <w:kern w:val="0"/>
          <w:sz w:val="32"/>
          <w:szCs w:val="28"/>
        </w:rPr>
      </w:pPr>
      <w:bookmarkStart w:id="13" w:name="_Toc14452"/>
      <w:r>
        <w:rPr>
          <w:rFonts w:hint="eastAsia" w:ascii="楷体" w:hAnsi="楷体" w:eastAsia="楷体"/>
          <w:bCs/>
          <w:kern w:val="0"/>
          <w:sz w:val="32"/>
          <w:szCs w:val="28"/>
        </w:rPr>
        <w:t>（一）绩效评价目的、对象和范围</w:t>
      </w:r>
      <w:bookmarkEnd w:id="13"/>
    </w:p>
    <w:p>
      <w:pPr>
        <w:spacing w:line="560" w:lineRule="exact"/>
        <w:ind w:firstLine="640" w:firstLineChars="200"/>
        <w:rPr>
          <w:rFonts w:hint="eastAsia" w:ascii="仿宋_GB2312" w:hAnsi="楷体" w:eastAsia="仿宋_GB2312"/>
          <w:bCs/>
          <w:kern w:val="0"/>
          <w:sz w:val="32"/>
          <w:szCs w:val="28"/>
        </w:rPr>
      </w:pPr>
      <w:bookmarkStart w:id="14" w:name="_Toc72129830"/>
      <w:bookmarkStart w:id="15" w:name="_Toc72117815"/>
      <w:r>
        <w:rPr>
          <w:rFonts w:hint="eastAsia" w:ascii="仿宋_GB2312" w:hAnsi="楷体" w:eastAsia="仿宋_GB2312"/>
          <w:bCs/>
          <w:kern w:val="0"/>
          <w:sz w:val="32"/>
          <w:szCs w:val="28"/>
        </w:rPr>
        <w:t>1.评价目的</w:t>
      </w:r>
      <w:bookmarkEnd w:id="14"/>
      <w:bookmarkEnd w:id="15"/>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通过开展项目绩效评价，对该项目整体情况进行分析，全面、客观地反映项目单位的工作成效，对项目决策、项目过程、项目产出、项目效益四个方面存在的不足提出合理化建议，使预算绩效管理更加科学、规范，提高项目预算绩效管理水平和财政资金使用效益和效率。</w:t>
      </w:r>
    </w:p>
    <w:p>
      <w:pPr>
        <w:spacing w:line="560" w:lineRule="exact"/>
        <w:ind w:firstLine="640" w:firstLineChars="200"/>
        <w:rPr>
          <w:rFonts w:hint="eastAsia" w:ascii="仿宋_GB2312" w:hAnsi="楷体" w:eastAsia="仿宋_GB2312"/>
          <w:bCs/>
          <w:kern w:val="0"/>
          <w:sz w:val="32"/>
          <w:szCs w:val="28"/>
        </w:rPr>
      </w:pPr>
      <w:bookmarkStart w:id="16" w:name="_Toc72117816"/>
      <w:bookmarkStart w:id="17" w:name="_Toc72129831"/>
      <w:r>
        <w:rPr>
          <w:rFonts w:hint="eastAsia" w:ascii="仿宋_GB2312" w:hAnsi="楷体" w:eastAsia="仿宋_GB2312"/>
          <w:bCs/>
          <w:kern w:val="0"/>
          <w:sz w:val="32"/>
          <w:szCs w:val="28"/>
        </w:rPr>
        <w:t>2.评价对象和范围</w:t>
      </w:r>
      <w:bookmarkEnd w:id="16"/>
      <w:bookmarkEnd w:id="17"/>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对市检二分院安保安检工作经费项目196.08万元的资金支出情况开展绩效评价。</w:t>
      </w:r>
    </w:p>
    <w:p>
      <w:pPr>
        <w:ind w:firstLine="640" w:firstLineChars="200"/>
        <w:outlineLvl w:val="1"/>
        <w:rPr>
          <w:rFonts w:hint="eastAsia" w:ascii="楷体" w:hAnsi="楷体" w:eastAsia="楷体"/>
          <w:bCs/>
          <w:kern w:val="0"/>
          <w:sz w:val="32"/>
          <w:szCs w:val="28"/>
        </w:rPr>
      </w:pPr>
      <w:bookmarkStart w:id="18" w:name="_Toc21281"/>
      <w:r>
        <w:rPr>
          <w:rFonts w:hint="eastAsia" w:ascii="楷体" w:hAnsi="楷体" w:eastAsia="楷体"/>
          <w:bCs/>
          <w:kern w:val="0"/>
          <w:sz w:val="32"/>
          <w:szCs w:val="28"/>
        </w:rPr>
        <w:t>（二）绩效评价基本情况</w:t>
      </w:r>
      <w:bookmarkEnd w:id="18"/>
    </w:p>
    <w:p>
      <w:pPr>
        <w:spacing w:line="560" w:lineRule="exact"/>
        <w:ind w:firstLine="640" w:firstLineChars="200"/>
        <w:rPr>
          <w:rFonts w:hint="eastAsia" w:ascii="仿宋_GB2312" w:hAnsi="楷体" w:eastAsia="仿宋_GB2312"/>
          <w:bCs/>
          <w:kern w:val="0"/>
          <w:sz w:val="32"/>
          <w:szCs w:val="28"/>
        </w:rPr>
      </w:pPr>
      <w:bookmarkStart w:id="19" w:name="_Toc72117818"/>
      <w:bookmarkStart w:id="20" w:name="_Toc72129833"/>
      <w:r>
        <w:rPr>
          <w:rFonts w:hint="eastAsia" w:ascii="仿宋_GB2312" w:hAnsi="楷体" w:eastAsia="仿宋_GB2312"/>
          <w:bCs/>
          <w:kern w:val="0"/>
          <w:sz w:val="32"/>
          <w:szCs w:val="28"/>
        </w:rPr>
        <w:t>1.绩效评价原则及方法</w:t>
      </w:r>
      <w:bookmarkEnd w:id="19"/>
      <w:bookmarkEnd w:id="20"/>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本次绩效评价遵循“客观、公正、科学、规范”的原则，结合项目的特点，采用比较法、因素分析法、专家评议法等方法，通过定性与定量相结合，从项目决策、项目过程、项目产出、项目效益四个方面对本项目开展绩效评价。</w:t>
      </w:r>
    </w:p>
    <w:p>
      <w:pPr>
        <w:spacing w:line="560" w:lineRule="exact"/>
        <w:ind w:firstLine="640" w:firstLineChars="200"/>
        <w:rPr>
          <w:rFonts w:hint="eastAsia" w:ascii="仿宋_GB2312" w:hAnsi="楷体" w:eastAsia="仿宋_GB2312"/>
          <w:bCs/>
          <w:kern w:val="0"/>
          <w:sz w:val="32"/>
          <w:szCs w:val="28"/>
        </w:rPr>
      </w:pPr>
      <w:bookmarkStart w:id="21" w:name="_Toc72129834"/>
      <w:bookmarkStart w:id="22" w:name="_Toc72117819"/>
      <w:r>
        <w:rPr>
          <w:rFonts w:hint="eastAsia" w:ascii="仿宋_GB2312" w:hAnsi="楷体" w:eastAsia="仿宋_GB2312"/>
          <w:bCs/>
          <w:kern w:val="0"/>
          <w:sz w:val="32"/>
          <w:szCs w:val="28"/>
        </w:rPr>
        <w:t>2.绩效评价指标体系</w:t>
      </w:r>
      <w:bookmarkEnd w:id="21"/>
      <w:bookmarkEnd w:id="22"/>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绩效评价指标体系主要包括项目决策、项目过程、项目产出、项目效益四个方面，满分100分。一是决策指标（10分），主要评价项目立项、绩效目标和资金投入内容；二是过程指标（20分），主要评价项目资金管理和组织实施内容；三是产出指标（40分），主要评价项目产出数量、产出质量、产出时效和产出成本；四是效益指标（30分），主要评价项目实施效益和服务对象满意度内容。绩效评价指标体系详见附件。</w:t>
      </w:r>
    </w:p>
    <w:p>
      <w:pPr>
        <w:spacing w:line="560" w:lineRule="exact"/>
        <w:ind w:firstLine="640" w:firstLineChars="200"/>
        <w:rPr>
          <w:rFonts w:hint="eastAsia" w:ascii="仿宋_GB2312" w:hAnsi="楷体" w:eastAsia="仿宋_GB2312"/>
          <w:bCs/>
          <w:kern w:val="0"/>
          <w:sz w:val="32"/>
          <w:szCs w:val="28"/>
        </w:rPr>
      </w:pPr>
      <w:bookmarkStart w:id="23" w:name="_Toc72117820"/>
      <w:bookmarkStart w:id="24" w:name="_Toc72129835"/>
      <w:r>
        <w:rPr>
          <w:rFonts w:hint="eastAsia" w:ascii="仿宋_GB2312" w:hAnsi="楷体" w:eastAsia="仿宋_GB2312"/>
          <w:bCs/>
          <w:kern w:val="0"/>
          <w:sz w:val="32"/>
          <w:szCs w:val="28"/>
        </w:rPr>
        <w:t>3.评价标准</w:t>
      </w:r>
      <w:bookmarkEnd w:id="23"/>
      <w:bookmarkEnd w:id="24"/>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本次绩效评价标准为计划标准，以该项目预先制定的绩效目标、计划、预算作为评价标准，对绩效指标完成情况进行比较。</w:t>
      </w:r>
    </w:p>
    <w:p>
      <w:pPr>
        <w:ind w:firstLine="640" w:firstLineChars="200"/>
        <w:outlineLvl w:val="1"/>
        <w:rPr>
          <w:rFonts w:hint="eastAsia" w:ascii="楷体" w:hAnsi="楷体" w:eastAsia="楷体"/>
          <w:bCs/>
          <w:kern w:val="0"/>
          <w:sz w:val="32"/>
          <w:szCs w:val="28"/>
        </w:rPr>
      </w:pPr>
      <w:bookmarkStart w:id="25" w:name="_Toc4171"/>
      <w:r>
        <w:rPr>
          <w:rFonts w:hint="eastAsia" w:ascii="楷体" w:hAnsi="楷体" w:eastAsia="楷体"/>
          <w:bCs/>
          <w:kern w:val="0"/>
          <w:sz w:val="32"/>
          <w:szCs w:val="28"/>
        </w:rPr>
        <w:t>（三）绩效评价工作过程</w:t>
      </w:r>
      <w:bookmarkEnd w:id="25"/>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本次绩效评价工作在成立评价工作组的基础上，通过线上沟通和审核评价资料的方式，对项目资料进行逐一核实，了解项目资金使用和取得的效益情况，最终根据绩效评价前期沟通及收集资料情况，征求专家意见后，形成绩效评价报告。</w:t>
      </w:r>
    </w:p>
    <w:p>
      <w:pPr>
        <w:ind w:firstLine="640" w:firstLineChars="200"/>
        <w:outlineLvl w:val="0"/>
        <w:rPr>
          <w:rFonts w:hint="eastAsia" w:ascii="黑体" w:hAnsi="黑体" w:eastAsia="黑体"/>
          <w:bCs/>
          <w:kern w:val="0"/>
          <w:sz w:val="32"/>
          <w:szCs w:val="28"/>
        </w:rPr>
      </w:pPr>
      <w:bookmarkStart w:id="26" w:name="_Toc6897"/>
      <w:r>
        <w:rPr>
          <w:rFonts w:hint="eastAsia" w:ascii="黑体" w:hAnsi="黑体" w:eastAsia="黑体"/>
          <w:bCs/>
          <w:kern w:val="0"/>
          <w:sz w:val="32"/>
          <w:szCs w:val="28"/>
        </w:rPr>
        <w:t>三、综合评价情况及评价结论</w:t>
      </w:r>
      <w:bookmarkEnd w:id="26"/>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经综合评价，该项目绩效评价综合得分90.47分，绩效评定结论等级为“优”。其中，项目决策得分8.97分，项目过程得分18.00分，项目产出得分36.83分，项目效益得分26.67分。</w:t>
      </w:r>
    </w:p>
    <w:p>
      <w:pPr>
        <w:jc w:val="center"/>
        <w:rPr>
          <w:rFonts w:eastAsia="仿宋_GB2312"/>
          <w:b/>
          <w:sz w:val="32"/>
          <w:szCs w:val="32"/>
        </w:rPr>
      </w:pPr>
      <w:r>
        <w:rPr>
          <w:rFonts w:hint="eastAsia" w:eastAsia="仿宋_GB2312"/>
          <w:b/>
          <w:sz w:val="32"/>
          <w:szCs w:val="32"/>
        </w:rPr>
        <w:t>项目绩效评价结论一览表</w:t>
      </w:r>
    </w:p>
    <w:tbl>
      <w:tblPr>
        <w:tblStyle w:val="6"/>
        <w:tblW w:w="84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
      <w:tblGrid>
        <w:gridCol w:w="3240"/>
        <w:gridCol w:w="2660"/>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000000" w:fill="auto"/>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评价内容</w:t>
            </w:r>
          </w:p>
        </w:tc>
        <w:tc>
          <w:tcPr>
            <w:tcW w:w="266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分值</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项目决策</w:t>
            </w:r>
          </w:p>
        </w:tc>
        <w:tc>
          <w:tcPr>
            <w:tcW w:w="266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10</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项目过程</w:t>
            </w:r>
          </w:p>
        </w:tc>
        <w:tc>
          <w:tcPr>
            <w:tcW w:w="266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20</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项目产出</w:t>
            </w:r>
          </w:p>
        </w:tc>
        <w:tc>
          <w:tcPr>
            <w:tcW w:w="266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40</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36.83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hint="eastAsia" w:ascii="宋体" w:hAnsi="宋体" w:cs="宋体"/>
                <w:kern w:val="0"/>
                <w:sz w:val="28"/>
                <w:szCs w:val="28"/>
              </w:rPr>
            </w:pPr>
            <w:r>
              <w:rPr>
                <w:rFonts w:hint="eastAsia" w:ascii="宋体" w:hAnsi="宋体" w:cs="宋体"/>
                <w:kern w:val="0"/>
                <w:sz w:val="28"/>
                <w:szCs w:val="28"/>
              </w:rPr>
              <w:t>项目效益</w:t>
            </w:r>
          </w:p>
        </w:tc>
        <w:tc>
          <w:tcPr>
            <w:tcW w:w="2660" w:type="dxa"/>
            <w:shd w:val="clear" w:color="000000" w:fill="auto"/>
            <w:noWrap w:val="0"/>
            <w:vAlign w:val="center"/>
          </w:tcPr>
          <w:p>
            <w:pPr>
              <w:widowControl/>
              <w:spacing w:line="560" w:lineRule="exact"/>
              <w:jc w:val="center"/>
              <w:rPr>
                <w:rFonts w:hint="eastAsia" w:ascii="宋体" w:hAnsi="宋体" w:cs="宋体"/>
                <w:kern w:val="0"/>
                <w:sz w:val="28"/>
                <w:szCs w:val="28"/>
              </w:rPr>
            </w:pPr>
            <w:r>
              <w:rPr>
                <w:rFonts w:hint="eastAsia" w:ascii="宋体" w:hAnsi="宋体" w:cs="宋体"/>
                <w:kern w:val="0"/>
                <w:sz w:val="28"/>
                <w:szCs w:val="28"/>
              </w:rPr>
              <w:t>30</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26.67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综合得分</w:t>
            </w:r>
          </w:p>
        </w:tc>
        <w:tc>
          <w:tcPr>
            <w:tcW w:w="266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100</w:t>
            </w:r>
          </w:p>
        </w:tc>
        <w:tc>
          <w:tcPr>
            <w:tcW w:w="250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90.47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40" w:type="dxa"/>
            <w:shd w:val="clear" w:color="000000" w:fill="auto"/>
            <w:noWrap w:val="0"/>
            <w:vAlign w:val="center"/>
          </w:tcPr>
          <w:p>
            <w:pPr>
              <w:widowControl/>
              <w:spacing w:line="560" w:lineRule="exact"/>
              <w:jc w:val="center"/>
              <w:rPr>
                <w:rFonts w:ascii="宋体" w:hAnsi="宋体" w:cs="宋体"/>
                <w:kern w:val="0"/>
                <w:sz w:val="28"/>
                <w:szCs w:val="28"/>
              </w:rPr>
            </w:pPr>
            <w:r>
              <w:rPr>
                <w:rFonts w:hint="eastAsia" w:ascii="宋体" w:hAnsi="宋体" w:cs="宋体"/>
                <w:kern w:val="0"/>
                <w:sz w:val="28"/>
                <w:szCs w:val="28"/>
              </w:rPr>
              <w:t>绩效评定级别</w:t>
            </w:r>
          </w:p>
        </w:tc>
        <w:tc>
          <w:tcPr>
            <w:tcW w:w="5160" w:type="dxa"/>
            <w:gridSpan w:val="2"/>
            <w:shd w:val="clear" w:color="000000" w:fill="auto"/>
            <w:noWrap w:val="0"/>
            <w:vAlign w:val="center"/>
          </w:tcPr>
          <w:p>
            <w:pPr>
              <w:widowControl/>
              <w:spacing w:line="560" w:lineRule="exact"/>
              <w:jc w:val="center"/>
              <w:rPr>
                <w:rFonts w:hint="eastAsia" w:ascii="宋体" w:hAnsi="宋体" w:cs="宋体"/>
                <w:kern w:val="0"/>
                <w:sz w:val="28"/>
                <w:szCs w:val="28"/>
              </w:rPr>
            </w:pPr>
            <w:r>
              <w:rPr>
                <w:rFonts w:hint="eastAsia" w:ascii="宋体" w:hAnsi="宋体" w:cs="宋体"/>
                <w:kern w:val="0"/>
                <w:sz w:val="28"/>
                <w:szCs w:val="28"/>
              </w:rPr>
              <w:t>优</w:t>
            </w:r>
          </w:p>
        </w:tc>
      </w:tr>
    </w:tbl>
    <w:p>
      <w:pPr>
        <w:outlineLvl w:val="0"/>
        <w:rPr>
          <w:rFonts w:hint="eastAsia" w:ascii="黑体" w:hAnsi="黑体" w:eastAsia="黑体"/>
          <w:bCs/>
          <w:kern w:val="0"/>
          <w:sz w:val="32"/>
          <w:szCs w:val="28"/>
        </w:rPr>
      </w:pPr>
      <w:bookmarkStart w:id="27" w:name="_Toc14210"/>
    </w:p>
    <w:p>
      <w:pPr>
        <w:ind w:firstLine="640" w:firstLineChars="200"/>
        <w:outlineLvl w:val="0"/>
        <w:rPr>
          <w:rFonts w:hint="eastAsia" w:ascii="黑体" w:hAnsi="黑体" w:eastAsia="黑体"/>
          <w:bCs/>
          <w:kern w:val="0"/>
          <w:sz w:val="32"/>
          <w:szCs w:val="28"/>
        </w:rPr>
      </w:pPr>
      <w:r>
        <w:rPr>
          <w:rFonts w:hint="eastAsia" w:ascii="黑体" w:hAnsi="黑体" w:eastAsia="黑体"/>
          <w:bCs/>
          <w:kern w:val="0"/>
          <w:sz w:val="32"/>
          <w:szCs w:val="28"/>
        </w:rPr>
        <w:t>四、绩效评价指标分析</w:t>
      </w:r>
      <w:bookmarkEnd w:id="27"/>
    </w:p>
    <w:p>
      <w:pPr>
        <w:ind w:firstLine="640" w:firstLineChars="200"/>
        <w:outlineLvl w:val="1"/>
        <w:rPr>
          <w:rFonts w:hint="eastAsia" w:ascii="楷体" w:hAnsi="楷体" w:eastAsia="楷体"/>
          <w:bCs/>
          <w:kern w:val="0"/>
          <w:sz w:val="32"/>
          <w:szCs w:val="28"/>
        </w:rPr>
      </w:pPr>
      <w:bookmarkStart w:id="28" w:name="_Toc25459"/>
      <w:r>
        <w:rPr>
          <w:rFonts w:hint="eastAsia" w:ascii="楷体" w:hAnsi="楷体" w:eastAsia="楷体"/>
          <w:bCs/>
          <w:kern w:val="0"/>
          <w:sz w:val="32"/>
          <w:szCs w:val="28"/>
        </w:rPr>
        <w:t>（一）项目决策情况</w:t>
      </w:r>
      <w:bookmarkEnd w:id="28"/>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项目决策指标，满分10分，评价得分为8.97分。该项目依据《关于武警撤勤后聘用保安执勤有关情况说明》要求立项，且纳入年度工作计划中，但项目立项缺少安保人员的需求论证和部门决策资料；绩效指标明确性、可衡量性不足，指标设定较为笼统，不够细化。</w:t>
      </w:r>
    </w:p>
    <w:p>
      <w:pPr>
        <w:ind w:firstLine="640" w:firstLineChars="200"/>
        <w:outlineLvl w:val="1"/>
        <w:rPr>
          <w:rFonts w:hint="eastAsia" w:ascii="楷体" w:hAnsi="楷体" w:eastAsia="楷体"/>
          <w:bCs/>
          <w:kern w:val="0"/>
          <w:sz w:val="32"/>
          <w:szCs w:val="28"/>
        </w:rPr>
      </w:pPr>
      <w:bookmarkStart w:id="29" w:name="_Toc29989"/>
      <w:r>
        <w:rPr>
          <w:rFonts w:hint="eastAsia" w:ascii="楷体" w:hAnsi="楷体" w:eastAsia="楷体"/>
          <w:bCs/>
          <w:kern w:val="0"/>
          <w:sz w:val="32"/>
          <w:szCs w:val="28"/>
        </w:rPr>
        <w:t>（二）项目过程情况</w:t>
      </w:r>
      <w:bookmarkEnd w:id="29"/>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项目过程指标，满分20分，评价得分为18.00分。在资金管理方面，资金及时足额到位，财务制度较完善，资金严格按照《北京市人民检察院第二分院财务管理实施细则的通知》（京检二分发〔2020〕41号）等要求进行管理；在项目实施方面，该项目制定了市检二分院安全保卫方案，以及执勤分队管理、巡逻管理、值班管理等制度。但实施方案内容不够完整，未体现组织机构、人员分工、过程监督检查机制、验收程序和不确定风险因素等内容；单位管理制度缺少购买服务和安保人员条件等要求；采购验收未严格按照制度执行。</w:t>
      </w:r>
    </w:p>
    <w:p>
      <w:pPr>
        <w:ind w:firstLine="640" w:firstLineChars="200"/>
        <w:outlineLvl w:val="1"/>
        <w:rPr>
          <w:rFonts w:hint="eastAsia" w:ascii="楷体" w:hAnsi="楷体" w:eastAsia="楷体"/>
          <w:bCs/>
          <w:kern w:val="0"/>
          <w:sz w:val="32"/>
          <w:szCs w:val="28"/>
        </w:rPr>
      </w:pPr>
      <w:bookmarkStart w:id="30" w:name="_Toc28722"/>
      <w:r>
        <w:rPr>
          <w:rFonts w:hint="eastAsia" w:ascii="楷体" w:hAnsi="楷体" w:eastAsia="楷体"/>
          <w:bCs/>
          <w:kern w:val="0"/>
          <w:sz w:val="32"/>
          <w:szCs w:val="28"/>
        </w:rPr>
        <w:t>（三）项目产出情况</w:t>
      </w:r>
      <w:bookmarkEnd w:id="30"/>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项目产出指标，满分40分，评价得分为36.83分。该项目整体完成了市检二分院的安保工作，基本达到了预期产出目标，但项目成本控制措施体现不足。</w:t>
      </w:r>
    </w:p>
    <w:p>
      <w:pPr>
        <w:ind w:firstLine="640" w:firstLineChars="200"/>
        <w:outlineLvl w:val="1"/>
        <w:rPr>
          <w:rFonts w:hint="eastAsia" w:ascii="楷体" w:hAnsi="楷体" w:eastAsia="楷体"/>
          <w:bCs/>
          <w:kern w:val="0"/>
          <w:sz w:val="32"/>
          <w:szCs w:val="28"/>
        </w:rPr>
      </w:pPr>
      <w:bookmarkStart w:id="31" w:name="_Toc23698"/>
      <w:r>
        <w:rPr>
          <w:rFonts w:hint="eastAsia" w:ascii="楷体" w:hAnsi="楷体" w:eastAsia="楷体"/>
          <w:bCs/>
          <w:kern w:val="0"/>
          <w:sz w:val="32"/>
          <w:szCs w:val="28"/>
        </w:rPr>
        <w:t>（四）项目效益情况</w:t>
      </w:r>
      <w:bookmarkEnd w:id="31"/>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项目效益指标，满分30分，评价得分为26.67分。项目基本达到了预期效益目标，具有一定的绩效资料呈现，但项目社会效益和可持续影响充分性不足，项目满意度调查范围过窄，未做到分类分层反映项目满意度情况。</w:t>
      </w:r>
    </w:p>
    <w:p>
      <w:pPr>
        <w:numPr>
          <w:ilvl w:val="0"/>
          <w:numId w:val="1"/>
        </w:numPr>
        <w:ind w:firstLine="640" w:firstLineChars="200"/>
        <w:outlineLvl w:val="0"/>
        <w:rPr>
          <w:rFonts w:hint="eastAsia" w:ascii="黑体" w:hAnsi="黑体" w:eastAsia="黑体"/>
          <w:bCs/>
          <w:kern w:val="0"/>
          <w:sz w:val="32"/>
          <w:szCs w:val="28"/>
          <w:lang w:eastAsia="zh-CN"/>
        </w:rPr>
      </w:pPr>
      <w:bookmarkStart w:id="32" w:name="_Toc29963"/>
      <w:r>
        <w:rPr>
          <w:rFonts w:hint="eastAsia" w:ascii="黑体" w:hAnsi="黑体" w:eastAsia="黑体"/>
          <w:bCs/>
          <w:kern w:val="0"/>
          <w:sz w:val="32"/>
          <w:szCs w:val="28"/>
          <w:lang w:eastAsia="zh-CN"/>
        </w:rPr>
        <w:t>主要经验及做法、</w:t>
      </w:r>
      <w:r>
        <w:rPr>
          <w:rFonts w:hint="eastAsia" w:ascii="黑体" w:hAnsi="黑体" w:eastAsia="黑体"/>
          <w:bCs/>
          <w:kern w:val="0"/>
          <w:sz w:val="32"/>
          <w:szCs w:val="28"/>
        </w:rPr>
        <w:t>存在</w:t>
      </w:r>
      <w:r>
        <w:rPr>
          <w:rFonts w:hint="eastAsia" w:ascii="黑体" w:hAnsi="黑体" w:eastAsia="黑体"/>
          <w:bCs/>
          <w:kern w:val="0"/>
          <w:sz w:val="32"/>
          <w:szCs w:val="28"/>
          <w:lang w:eastAsia="zh-CN"/>
        </w:rPr>
        <w:t>的</w:t>
      </w:r>
      <w:r>
        <w:rPr>
          <w:rFonts w:hint="eastAsia" w:ascii="黑体" w:hAnsi="黑体" w:eastAsia="黑体"/>
          <w:bCs/>
          <w:kern w:val="0"/>
          <w:sz w:val="32"/>
          <w:szCs w:val="28"/>
        </w:rPr>
        <w:t>问题</w:t>
      </w:r>
      <w:bookmarkEnd w:id="32"/>
      <w:r>
        <w:rPr>
          <w:rFonts w:hint="eastAsia" w:ascii="黑体" w:hAnsi="黑体" w:eastAsia="黑体"/>
          <w:bCs/>
          <w:kern w:val="0"/>
          <w:sz w:val="32"/>
          <w:szCs w:val="28"/>
          <w:lang w:eastAsia="zh-CN"/>
        </w:rPr>
        <w:t>及原因分析</w:t>
      </w:r>
    </w:p>
    <w:p>
      <w:pPr>
        <w:spacing w:line="560" w:lineRule="exact"/>
        <w:ind w:firstLine="420" w:firstLineChars="200"/>
        <w:outlineLvl w:val="1"/>
        <w:rPr>
          <w:rFonts w:ascii="楷体" w:hAnsi="楷体" w:eastAsia="楷体" w:cs="楷体"/>
        </w:rPr>
      </w:pPr>
      <w:r>
        <w:rPr>
          <w:rFonts w:hint="eastAsia"/>
          <w:lang w:val="en-US" w:eastAsia="zh-CN"/>
        </w:rPr>
        <w:t xml:space="preserve"> </w:t>
      </w:r>
      <w:r>
        <w:rPr>
          <w:rFonts w:hint="eastAsia" w:ascii="楷体" w:hAnsi="楷体" w:eastAsia="楷体"/>
          <w:bCs/>
          <w:kern w:val="0"/>
          <w:sz w:val="32"/>
          <w:szCs w:val="28"/>
          <w:lang w:val="en-US" w:eastAsia="zh-CN"/>
        </w:rPr>
        <w:t xml:space="preserve"> </w:t>
      </w:r>
      <w:r>
        <w:rPr>
          <w:rFonts w:hint="eastAsia" w:ascii="楷体" w:hAnsi="楷体" w:eastAsia="楷体"/>
          <w:bCs/>
          <w:kern w:val="0"/>
          <w:sz w:val="32"/>
          <w:szCs w:val="28"/>
        </w:rPr>
        <w:t>（一）主要经验及做法</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二分院高度重视绩效评价工作，牢固树立预算绩效管理意识，为了保证本次部门自评工作的顺利开展，认真组织培训学习。在对《北京市财政局关于202</w:t>
      </w:r>
      <w:r>
        <w:rPr>
          <w:rFonts w:hint="eastAsia" w:ascii="仿宋_GB2312" w:hAnsi="楷体" w:eastAsia="仿宋_GB2312"/>
          <w:bCs/>
          <w:kern w:val="0"/>
          <w:sz w:val="32"/>
          <w:szCs w:val="28"/>
          <w:lang w:val="en-US" w:eastAsia="zh-CN"/>
        </w:rPr>
        <w:t>3</w:t>
      </w:r>
      <w:r>
        <w:rPr>
          <w:rFonts w:hint="eastAsia" w:ascii="仿宋_GB2312" w:hAnsi="楷体" w:eastAsia="仿宋_GB2312"/>
          <w:bCs/>
          <w:kern w:val="0"/>
          <w:sz w:val="32"/>
          <w:szCs w:val="28"/>
        </w:rPr>
        <w:t>年</w:t>
      </w:r>
      <w:r>
        <w:rPr>
          <w:rFonts w:hint="eastAsia" w:ascii="仿宋_GB2312" w:hAnsi="楷体" w:eastAsia="仿宋_GB2312"/>
          <w:bCs/>
          <w:kern w:val="0"/>
          <w:sz w:val="32"/>
          <w:szCs w:val="28"/>
          <w:lang w:eastAsia="zh-CN"/>
        </w:rPr>
        <w:t>推进</w:t>
      </w:r>
      <w:r>
        <w:rPr>
          <w:rFonts w:hint="eastAsia" w:ascii="仿宋_GB2312" w:hAnsi="楷体" w:eastAsia="仿宋_GB2312"/>
          <w:bCs/>
          <w:kern w:val="0"/>
          <w:sz w:val="32"/>
          <w:szCs w:val="28"/>
        </w:rPr>
        <w:t>全面</w:t>
      </w:r>
      <w:r>
        <w:rPr>
          <w:rFonts w:hint="eastAsia" w:ascii="仿宋_GB2312" w:hAnsi="楷体" w:eastAsia="仿宋_GB2312"/>
          <w:bCs/>
          <w:kern w:val="0"/>
          <w:sz w:val="32"/>
          <w:szCs w:val="28"/>
          <w:lang w:eastAsia="zh-CN"/>
        </w:rPr>
        <w:t>实施</w:t>
      </w:r>
      <w:r>
        <w:rPr>
          <w:rFonts w:hint="eastAsia" w:ascii="仿宋_GB2312" w:hAnsi="楷体" w:eastAsia="仿宋_GB2312"/>
          <w:bCs/>
          <w:kern w:val="0"/>
          <w:sz w:val="32"/>
          <w:szCs w:val="28"/>
        </w:rPr>
        <w:t>预算绩效管理工作的通知》深入解读的基础上，对部门自评的要求、重点等内容进行了认真领会，对于存在疑问的地方，向财政局及有关绩效评价咨询机构进行了充分的学习和沟通，从而保证了部门自评的质量和深度。</w:t>
      </w:r>
    </w:p>
    <w:p>
      <w:pPr>
        <w:pStyle w:val="2"/>
        <w:numPr>
          <w:ilvl w:val="0"/>
          <w:numId w:val="0"/>
        </w:numPr>
        <w:ind w:firstLine="640" w:firstLineChars="200"/>
        <w:jc w:val="both"/>
        <w:rPr>
          <w:rFonts w:hint="default" w:ascii="楷体" w:hAnsi="楷体" w:eastAsia="楷体" w:cs="Times New Roman"/>
          <w:b w:val="0"/>
          <w:bCs/>
          <w:kern w:val="0"/>
          <w:sz w:val="32"/>
          <w:szCs w:val="28"/>
          <w:lang w:val="en-US" w:eastAsia="zh-CN" w:bidi="ar-SA"/>
        </w:rPr>
      </w:pPr>
      <w:r>
        <w:rPr>
          <w:rFonts w:hint="eastAsia" w:ascii="楷体" w:hAnsi="楷体" w:eastAsia="楷体" w:cs="Times New Roman"/>
          <w:b w:val="0"/>
          <w:bCs/>
          <w:kern w:val="0"/>
          <w:sz w:val="32"/>
          <w:szCs w:val="28"/>
          <w:lang w:val="en-US" w:eastAsia="zh-CN" w:bidi="ar-SA"/>
        </w:rPr>
        <w:t>（二）存在的问题及原因分析</w:t>
      </w:r>
    </w:p>
    <w:p>
      <w:pPr>
        <w:ind w:firstLine="640" w:firstLineChars="200"/>
        <w:rPr>
          <w:rFonts w:hint="eastAsia" w:ascii="楷体" w:hAnsi="楷体" w:eastAsia="楷体"/>
          <w:bCs/>
          <w:kern w:val="0"/>
          <w:sz w:val="32"/>
          <w:szCs w:val="28"/>
        </w:rPr>
      </w:pPr>
      <w:r>
        <w:rPr>
          <w:rFonts w:hint="eastAsia" w:ascii="楷体" w:hAnsi="楷体" w:eastAsia="楷体"/>
          <w:bCs/>
          <w:kern w:val="0"/>
          <w:sz w:val="32"/>
          <w:szCs w:val="28"/>
          <w:lang w:val="en-US" w:eastAsia="zh-CN"/>
        </w:rPr>
        <w:t>1.</w:t>
      </w:r>
      <w:r>
        <w:rPr>
          <w:rFonts w:hint="eastAsia" w:ascii="楷体" w:hAnsi="楷体" w:eastAsia="楷体"/>
          <w:bCs/>
          <w:kern w:val="0"/>
          <w:sz w:val="32"/>
          <w:szCs w:val="28"/>
        </w:rPr>
        <w:t>项目需求论证待加强，绩效指标设置待完整</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项目为延续性工作，项目立项时缺少对年度内安保人员的需求论证、需求变化说明和部门决策资料。该项目绩效指标合理性有待提高，如未明确安保维护的面积、突发事件处置的及时率、执行安保安检工作的效果等指标；项目作为延续性工作，未设定可持续影响指标；满意度指标设置较为笼统，未分层设置满意度。</w:t>
      </w:r>
    </w:p>
    <w:p>
      <w:pPr>
        <w:ind w:firstLine="640" w:firstLineChars="200"/>
        <w:rPr>
          <w:rFonts w:hint="eastAsia" w:ascii="楷体" w:hAnsi="楷体" w:eastAsia="楷体"/>
          <w:bCs/>
          <w:kern w:val="0"/>
          <w:sz w:val="32"/>
          <w:szCs w:val="28"/>
        </w:rPr>
      </w:pPr>
      <w:r>
        <w:rPr>
          <w:rFonts w:hint="eastAsia" w:ascii="楷体" w:hAnsi="楷体" w:eastAsia="楷体"/>
          <w:bCs/>
          <w:kern w:val="0"/>
          <w:sz w:val="32"/>
          <w:szCs w:val="28"/>
          <w:lang w:val="en-US" w:eastAsia="zh-CN"/>
        </w:rPr>
        <w:t>2.</w:t>
      </w:r>
      <w:r>
        <w:rPr>
          <w:rFonts w:hint="eastAsia" w:ascii="楷体" w:hAnsi="楷体" w:eastAsia="楷体"/>
          <w:bCs/>
          <w:kern w:val="0"/>
          <w:sz w:val="32"/>
          <w:szCs w:val="28"/>
        </w:rPr>
        <w:t>实施方案内容不够完善，实施过程待严谨</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该项目制定了实施方案，明确了保安人员的要求，但未明确组织架构、职责分工、过程监督检查机制、验收程序、风险不确定性因素的评估和防范预案等内容。该项目经过采购进行适当控制成本，但成本措施力度不够。服务采购验收未全面按照内控制度NK.CG08服务采购验收流程图执行。</w:t>
      </w:r>
    </w:p>
    <w:p>
      <w:pPr>
        <w:numPr>
          <w:ilvl w:val="0"/>
          <w:numId w:val="0"/>
        </w:numPr>
        <w:ind w:firstLine="640" w:firstLineChars="200"/>
        <w:rPr>
          <w:rFonts w:hint="eastAsia" w:ascii="楷体" w:hAnsi="楷体" w:eastAsia="楷体"/>
          <w:bCs/>
          <w:kern w:val="0"/>
          <w:sz w:val="32"/>
          <w:szCs w:val="28"/>
        </w:rPr>
      </w:pPr>
      <w:r>
        <w:rPr>
          <w:rFonts w:hint="eastAsia" w:ascii="楷体" w:hAnsi="楷体" w:eastAsia="楷体"/>
          <w:bCs/>
          <w:kern w:val="0"/>
          <w:sz w:val="32"/>
          <w:szCs w:val="28"/>
          <w:lang w:val="en-US" w:eastAsia="zh-CN"/>
        </w:rPr>
        <w:t>3.</w:t>
      </w:r>
      <w:r>
        <w:rPr>
          <w:rFonts w:hint="eastAsia" w:ascii="楷体" w:hAnsi="楷体" w:eastAsia="楷体"/>
          <w:bCs/>
          <w:kern w:val="0"/>
          <w:sz w:val="32"/>
          <w:szCs w:val="28"/>
        </w:rPr>
        <w:t>项目绩效资料体现不足，满意度调查范围较窄</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该项目作为延续性项目缺少历年社会效益、可持续影响的对比分析材料，项目效益效果呈现不足；满意度服务对象设定范围较窄，仅面对市检二分院机关人员，缺少办事群众等方面的满意度情况。</w:t>
      </w:r>
    </w:p>
    <w:p>
      <w:pPr>
        <w:ind w:firstLine="640" w:firstLineChars="200"/>
        <w:outlineLvl w:val="0"/>
        <w:rPr>
          <w:rFonts w:hint="eastAsia" w:ascii="黑体" w:hAnsi="黑体" w:eastAsia="黑体"/>
          <w:bCs/>
          <w:kern w:val="0"/>
          <w:sz w:val="32"/>
          <w:szCs w:val="28"/>
        </w:rPr>
      </w:pPr>
      <w:bookmarkStart w:id="33" w:name="_Toc28743"/>
      <w:r>
        <w:rPr>
          <w:rFonts w:hint="eastAsia" w:ascii="黑体" w:hAnsi="黑体" w:eastAsia="黑体"/>
          <w:bCs/>
          <w:kern w:val="0"/>
          <w:sz w:val="32"/>
          <w:szCs w:val="28"/>
        </w:rPr>
        <w:t>六、有关建议</w:t>
      </w:r>
      <w:bookmarkEnd w:id="33"/>
    </w:p>
    <w:p>
      <w:pPr>
        <w:ind w:firstLine="640" w:firstLineChars="200"/>
        <w:rPr>
          <w:rFonts w:hint="eastAsia" w:ascii="楷体" w:hAnsi="楷体" w:eastAsia="楷体"/>
          <w:bCs/>
          <w:kern w:val="0"/>
          <w:sz w:val="32"/>
          <w:szCs w:val="28"/>
        </w:rPr>
      </w:pPr>
      <w:r>
        <w:rPr>
          <w:rFonts w:hint="eastAsia" w:ascii="楷体" w:hAnsi="楷体" w:eastAsia="楷体"/>
          <w:bCs/>
          <w:kern w:val="0"/>
          <w:sz w:val="32"/>
          <w:szCs w:val="28"/>
        </w:rPr>
        <w:t>（一）提高项目立项需求分析，合理设置绩效指标</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加强年度项目需求统计和分析，明确对安保安检人员的数量质量需求，提高项目科学性严谨性。增强项目绩效意识，重视项目绩效目标的制定和绩效指标的设置，设置绩效指标时应该更为合理科学，具有量化、可操作性和可考核性，重视可持续影响指标的设定，使其真正发挥管理、控制和衡量评价项目的作用。</w:t>
      </w:r>
    </w:p>
    <w:p>
      <w:pPr>
        <w:ind w:firstLine="640" w:firstLineChars="200"/>
        <w:rPr>
          <w:rFonts w:hint="eastAsia" w:ascii="仿宋_GB2312" w:hAnsi="楷体" w:eastAsia="仿宋_GB2312"/>
          <w:bCs/>
          <w:kern w:val="0"/>
          <w:sz w:val="32"/>
          <w:szCs w:val="28"/>
        </w:rPr>
      </w:pPr>
      <w:r>
        <w:rPr>
          <w:rFonts w:hint="eastAsia" w:ascii="楷体" w:hAnsi="楷体" w:eastAsia="楷体"/>
          <w:bCs/>
          <w:kern w:val="0"/>
          <w:sz w:val="32"/>
          <w:szCs w:val="28"/>
        </w:rPr>
        <w:t>（二）完善项目实施方案，加强项目过程管理</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进一步加强项目过程管理，完善项目实施方案，明确人员分工、组织机构，各负其责，按进度保质保量地完成项目。根据内控制度有关服务采购的验收要求，就本项目验收工作完善相关程序表单。</w:t>
      </w:r>
    </w:p>
    <w:p>
      <w:pPr>
        <w:ind w:firstLine="640" w:firstLineChars="200"/>
        <w:rPr>
          <w:rFonts w:hint="eastAsia" w:ascii="楷体" w:hAnsi="楷体" w:eastAsia="楷体"/>
          <w:bCs/>
          <w:kern w:val="0"/>
          <w:sz w:val="32"/>
          <w:szCs w:val="28"/>
        </w:rPr>
      </w:pPr>
      <w:r>
        <w:rPr>
          <w:rFonts w:hint="eastAsia" w:ascii="楷体" w:hAnsi="楷体" w:eastAsia="楷体"/>
          <w:bCs/>
          <w:kern w:val="0"/>
          <w:sz w:val="32"/>
          <w:szCs w:val="28"/>
        </w:rPr>
        <w:t>（三）加强项目效益资料归集，全面开展满意度调查</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建议设置可持续影响指标、重视项目效益资料的归集、挖掘和呈现，使项目绩效成果得到有效支撑。建议关注和重视市检二分院对办事来访群众的满意度。强化满意度分类分层意识，注重项目服务对象满意度调查分析，根据项目受益对象范围，采用适当的方式、方法开展满意度调查，充分反映项目效果。</w:t>
      </w:r>
    </w:p>
    <w:p>
      <w:pPr>
        <w:ind w:firstLine="640" w:firstLineChars="200"/>
        <w:outlineLvl w:val="0"/>
        <w:rPr>
          <w:rFonts w:hint="eastAsia" w:ascii="黑体" w:hAnsi="黑体" w:eastAsia="黑体"/>
          <w:bCs/>
          <w:kern w:val="0"/>
          <w:sz w:val="32"/>
          <w:szCs w:val="28"/>
        </w:rPr>
      </w:pPr>
      <w:bookmarkStart w:id="34" w:name="_Toc22608"/>
      <w:r>
        <w:rPr>
          <w:rFonts w:hint="eastAsia" w:ascii="黑体" w:hAnsi="黑体" w:eastAsia="黑体"/>
          <w:bCs/>
          <w:kern w:val="0"/>
          <w:sz w:val="32"/>
          <w:szCs w:val="28"/>
        </w:rPr>
        <w:t>七、其他说明事项</w:t>
      </w:r>
      <w:bookmarkEnd w:id="34"/>
    </w:p>
    <w:p>
      <w:pPr>
        <w:spacing w:line="560" w:lineRule="exact"/>
        <w:ind w:firstLine="640" w:firstLineChars="200"/>
        <w:rPr>
          <w:rFonts w:hint="eastAsia" w:ascii="仿宋_GB2312" w:hAnsi="楷体" w:eastAsia="仿宋_GB2312"/>
          <w:bCs/>
          <w:kern w:val="0"/>
          <w:sz w:val="32"/>
          <w:szCs w:val="28"/>
        </w:rPr>
      </w:pPr>
      <w:bookmarkStart w:id="35" w:name="_Hlk105526287"/>
      <w:r>
        <w:rPr>
          <w:rFonts w:hint="eastAsia" w:ascii="仿宋_GB2312" w:hAnsi="楷体" w:eastAsia="仿宋_GB2312"/>
          <w:bCs/>
          <w:kern w:val="0"/>
          <w:sz w:val="32"/>
          <w:szCs w:val="28"/>
        </w:rPr>
        <w:t>本报告主要是基于市检二分院收集的决策、过程、产出、效益方面的资料做出的评价，评价工作组对资料的真实性进行了适当的抽查与线上沟通，但受资料完整性及线上沟通范围所限，并非每项指标的打分都有充分的资料支撑，个别指标主要是依据项目单位沟通结果及绩效评价专家的专业性判断。</w:t>
      </w:r>
    </w:p>
    <w:p>
      <w:pPr>
        <w:spacing w:line="560" w:lineRule="exact"/>
        <w:ind w:firstLine="640" w:firstLineChars="200"/>
        <w:rPr>
          <w:rFonts w:hint="eastAsia" w:ascii="仿宋_GB2312" w:hAnsi="楷体" w:eastAsia="仿宋_GB2312"/>
          <w:bCs/>
          <w:kern w:val="0"/>
          <w:sz w:val="32"/>
          <w:szCs w:val="28"/>
        </w:rPr>
      </w:pPr>
      <w:r>
        <w:rPr>
          <w:rFonts w:hint="eastAsia" w:ascii="仿宋_GB2312" w:hAnsi="楷体" w:eastAsia="仿宋_GB2312"/>
          <w:bCs/>
          <w:kern w:val="0"/>
          <w:sz w:val="32"/>
          <w:szCs w:val="28"/>
        </w:rPr>
        <w:t>本次评价采取的是以项目单位为主、第三方机构协助、专家评价为辅的方式，本报告评价结论是借助管理、财务、业务专家的力量，在专家咨询基础上对项目做出的专业性的评价</w:t>
      </w:r>
      <w:bookmarkEnd w:id="35"/>
      <w:r>
        <w:rPr>
          <w:rFonts w:hint="eastAsia" w:ascii="仿宋_GB2312" w:hAnsi="楷体" w:eastAsia="仿宋_GB2312"/>
          <w:bCs/>
          <w:kern w:val="0"/>
          <w:sz w:val="32"/>
          <w:szCs w:val="28"/>
        </w:rPr>
        <w:t>。</w:t>
      </w:r>
    </w:p>
    <w:p>
      <w:pPr>
        <w:pStyle w:val="2"/>
        <w:jc w:val="left"/>
        <w:rPr>
          <w:rFonts w:hint="eastAsia" w:eastAsia="仿宋_GB2312"/>
          <w:b/>
          <w:sz w:val="32"/>
          <w:szCs w:val="32"/>
        </w:rPr>
      </w:pPr>
      <w:r>
        <w:rPr>
          <w:rFonts w:hint="eastAsia" w:ascii="仿宋_GB2312" w:hAnsi="楷体" w:eastAsia="仿宋_GB2312" w:cs="Times New Roman"/>
          <w:b w:val="0"/>
          <w:bCs/>
          <w:kern w:val="0"/>
          <w:sz w:val="32"/>
          <w:szCs w:val="28"/>
          <w:lang w:val="en-US" w:eastAsia="zh-CN" w:bidi="ar-SA"/>
        </w:rPr>
        <w:t>附件：项目支出指标体系及评分情况表</w:t>
      </w:r>
    </w:p>
    <w:p>
      <w:pPr>
        <w:jc w:val="center"/>
        <w:rPr>
          <w:rFonts w:hint="eastAsia" w:eastAsia="仿宋_GB2312"/>
          <w:b/>
          <w:sz w:val="32"/>
          <w:szCs w:val="32"/>
        </w:rPr>
      </w:pPr>
      <w:r>
        <w:rPr>
          <w:rFonts w:hint="eastAsia" w:eastAsia="仿宋_GB2312"/>
          <w:b/>
          <w:sz w:val="32"/>
          <w:szCs w:val="32"/>
        </w:rPr>
        <w:t>项目支出指标体系及评分情况表</w:t>
      </w:r>
    </w:p>
    <w:tbl>
      <w:tblPr>
        <w:tblStyle w:val="6"/>
        <w:tblW w:w="9639"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295"/>
        <w:gridCol w:w="2446"/>
        <w:gridCol w:w="1007"/>
        <w:gridCol w:w="864"/>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1150"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一级</w:t>
            </w:r>
          </w:p>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指标</w:t>
            </w:r>
          </w:p>
        </w:tc>
        <w:tc>
          <w:tcPr>
            <w:tcW w:w="1295"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二级指标</w:t>
            </w:r>
          </w:p>
        </w:tc>
        <w:tc>
          <w:tcPr>
            <w:tcW w:w="2446"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三级</w:t>
            </w:r>
          </w:p>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指标</w:t>
            </w:r>
          </w:p>
        </w:tc>
        <w:tc>
          <w:tcPr>
            <w:tcW w:w="1007"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分值</w:t>
            </w:r>
          </w:p>
        </w:tc>
        <w:tc>
          <w:tcPr>
            <w:tcW w:w="864"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得分</w:t>
            </w:r>
          </w:p>
        </w:tc>
        <w:tc>
          <w:tcPr>
            <w:tcW w:w="2877" w:type="dxa"/>
            <w:shd w:val="clear" w:color="000000" w:fill="FFFFFF"/>
            <w:noWrap w:val="0"/>
            <w:vAlign w:val="center"/>
          </w:tcPr>
          <w:p>
            <w:pPr>
              <w:widowControl/>
              <w:jc w:val="center"/>
              <w:rPr>
                <w:rFonts w:ascii="宋体" w:hAnsi="宋体" w:cs="宋体"/>
                <w:b/>
                <w:bCs/>
                <w:color w:val="000000"/>
                <w:kern w:val="0"/>
                <w:sz w:val="24"/>
                <w:szCs w:val="24"/>
              </w:rPr>
            </w:pPr>
            <w:r>
              <w:rPr>
                <w:rFonts w:hint="eastAsia" w:ascii="宋体" w:hAnsi="宋体" w:cs="宋体"/>
                <w:b/>
                <w:bCs/>
                <w:color w:val="000000"/>
                <w:kern w:val="0"/>
                <w:sz w:val="24"/>
                <w:szCs w:val="24"/>
              </w:rPr>
              <w:t>扣分理由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决策</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（1</w:t>
            </w:r>
            <w:r>
              <w:rPr>
                <w:rFonts w:ascii="宋体" w:hAnsi="宋体" w:cs="宋体"/>
                <w:color w:val="000000"/>
                <w:kern w:val="0"/>
                <w:sz w:val="24"/>
                <w:szCs w:val="24"/>
              </w:rPr>
              <w:t>0</w:t>
            </w:r>
            <w:r>
              <w:rPr>
                <w:rFonts w:hint="eastAsia" w:ascii="宋体" w:hAnsi="宋体" w:cs="宋体"/>
                <w:color w:val="000000"/>
                <w:kern w:val="0"/>
                <w:sz w:val="24"/>
                <w:szCs w:val="24"/>
              </w:rPr>
              <w:t>分）</w:t>
            </w: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项目立项</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立项依据充分性</w:t>
            </w:r>
          </w:p>
        </w:tc>
        <w:tc>
          <w:tcPr>
            <w:tcW w:w="100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2.00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1.77 </w:t>
            </w:r>
          </w:p>
        </w:tc>
        <w:tc>
          <w:tcPr>
            <w:tcW w:w="2877" w:type="dxa"/>
            <w:vMerge w:val="restart"/>
            <w:tcBorders>
              <w:top w:val="single" w:color="auto" w:sz="4" w:space="0"/>
              <w:left w:val="nil"/>
              <w:right w:val="single" w:color="auto" w:sz="4" w:space="0"/>
            </w:tcBorders>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前期立项需求分析不足，需求决策体现不充分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立项程序规范性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2.00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1.73 </w:t>
            </w:r>
          </w:p>
        </w:tc>
        <w:tc>
          <w:tcPr>
            <w:tcW w:w="2877" w:type="dxa"/>
            <w:vMerge w:val="continue"/>
            <w:tcBorders>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绩效目标</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绩效目标合理性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2.00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1.93 </w:t>
            </w:r>
          </w:p>
        </w:tc>
        <w:tc>
          <w:tcPr>
            <w:tcW w:w="2877" w:type="dxa"/>
            <w:vMerge w:val="restart"/>
            <w:tcBorders>
              <w:top w:val="nil"/>
              <w:left w:val="nil"/>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效益指标细化量化不足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绩效指标明确性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0.53 </w:t>
            </w:r>
          </w:p>
        </w:tc>
        <w:tc>
          <w:tcPr>
            <w:tcW w:w="2877" w:type="dxa"/>
            <w:vMerge w:val="continue"/>
            <w:tcBorders>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资金投入</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预算编制科学性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2.00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2.00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资金分配合理性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过程</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（2</w:t>
            </w:r>
            <w:r>
              <w:rPr>
                <w:rFonts w:ascii="宋体" w:hAnsi="宋体" w:cs="宋体"/>
                <w:color w:val="000000"/>
                <w:kern w:val="0"/>
                <w:sz w:val="24"/>
                <w:szCs w:val="24"/>
              </w:rPr>
              <w:t>0</w:t>
            </w:r>
            <w:r>
              <w:rPr>
                <w:rFonts w:hint="eastAsia" w:ascii="宋体" w:hAnsi="宋体" w:cs="宋体"/>
                <w:color w:val="000000"/>
                <w:kern w:val="0"/>
                <w:sz w:val="24"/>
                <w:szCs w:val="24"/>
              </w:rPr>
              <w:t>分）</w:t>
            </w: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资金管理</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资金到位率</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2.00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olor w:val="000000"/>
                <w:sz w:val="24"/>
                <w:szCs w:val="24"/>
              </w:rPr>
            </w:pPr>
            <w:r>
              <w:rPr>
                <w:rFonts w:hint="eastAsia" w:ascii="宋体" w:hAnsi="宋体"/>
                <w:color w:val="000000"/>
                <w:sz w:val="24"/>
                <w:szCs w:val="24"/>
              </w:rPr>
              <w:t xml:space="preserve">2.00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预算执行率</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5.00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olor w:val="000000"/>
                <w:sz w:val="24"/>
                <w:szCs w:val="24"/>
              </w:rPr>
            </w:pPr>
            <w:r>
              <w:rPr>
                <w:rFonts w:hint="eastAsia" w:ascii="宋体" w:hAnsi="宋体"/>
                <w:color w:val="000000"/>
                <w:sz w:val="24"/>
                <w:szCs w:val="24"/>
              </w:rPr>
              <w:t xml:space="preserve">5.00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000000" w:fill="FFFFFF"/>
            <w:noWrap w:val="0"/>
            <w:vAlign w:val="center"/>
          </w:tcPr>
          <w:p>
            <w:pPr>
              <w:widowControl/>
              <w:jc w:val="center"/>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资金使用合规性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3.00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3.00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组织实施</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管理制度健全性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5.00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4.00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缺少人员招聘条件、购买服务管理制度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制度执行有效性</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5.00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4.00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实施方案不够完善，缺勤人员如何发放工资、加班工资没有体现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产出</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（4</w:t>
            </w:r>
            <w:r>
              <w:rPr>
                <w:rFonts w:ascii="宋体" w:hAnsi="宋体" w:cs="宋体"/>
                <w:color w:val="000000"/>
                <w:kern w:val="0"/>
                <w:sz w:val="24"/>
                <w:szCs w:val="24"/>
              </w:rPr>
              <w:t>0</w:t>
            </w:r>
            <w:r>
              <w:rPr>
                <w:rFonts w:hint="eastAsia" w:ascii="宋体" w:hAnsi="宋体" w:cs="宋体"/>
                <w:color w:val="000000"/>
                <w:kern w:val="0"/>
                <w:sz w:val="24"/>
                <w:szCs w:val="24"/>
              </w:rPr>
              <w:t>分）</w:t>
            </w:r>
          </w:p>
        </w:tc>
        <w:tc>
          <w:tcPr>
            <w:tcW w:w="1295"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产出数量</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实际完成率</w:t>
            </w:r>
          </w:p>
        </w:tc>
        <w:tc>
          <w:tcPr>
            <w:tcW w:w="100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10.00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产出质量</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质量达标率</w:t>
            </w:r>
          </w:p>
        </w:tc>
        <w:tc>
          <w:tcPr>
            <w:tcW w:w="100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10.00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产出时效</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完成及时性</w:t>
            </w:r>
          </w:p>
        </w:tc>
        <w:tc>
          <w:tcPr>
            <w:tcW w:w="1007" w:type="dxa"/>
            <w:tcBorders>
              <w:top w:val="nil"/>
              <w:left w:val="single" w:color="auto" w:sz="4" w:space="0"/>
              <w:bottom w:val="single" w:color="auto" w:sz="4" w:space="0"/>
              <w:right w:val="single" w:color="auto" w:sz="4" w:space="0"/>
            </w:tcBorders>
            <w:noWrap w:val="0"/>
            <w:vAlign w:val="center"/>
          </w:tcPr>
          <w:p>
            <w:pPr>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10.00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产出成本</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成本节约率</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6.83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效益</w:t>
            </w:r>
          </w:p>
          <w:p>
            <w:pPr>
              <w:widowControl/>
              <w:jc w:val="center"/>
              <w:rPr>
                <w:rFonts w:ascii="宋体" w:hAnsi="宋体" w:cs="宋体"/>
                <w:color w:val="000000"/>
                <w:kern w:val="0"/>
                <w:sz w:val="24"/>
                <w:szCs w:val="24"/>
              </w:rPr>
            </w:pPr>
            <w:r>
              <w:rPr>
                <w:rFonts w:hint="eastAsia" w:ascii="宋体" w:hAnsi="宋体" w:cs="宋体"/>
                <w:color w:val="000000"/>
                <w:kern w:val="0"/>
                <w:sz w:val="24"/>
                <w:szCs w:val="24"/>
              </w:rPr>
              <w:t>（3</w:t>
            </w:r>
            <w:r>
              <w:rPr>
                <w:rFonts w:ascii="宋体" w:hAnsi="宋体" w:cs="宋体"/>
                <w:color w:val="000000"/>
                <w:kern w:val="0"/>
                <w:sz w:val="24"/>
                <w:szCs w:val="24"/>
              </w:rPr>
              <w:t>0</w:t>
            </w:r>
            <w:r>
              <w:rPr>
                <w:rFonts w:hint="eastAsia" w:ascii="宋体" w:hAnsi="宋体" w:cs="宋体"/>
                <w:color w:val="000000"/>
                <w:kern w:val="0"/>
                <w:sz w:val="24"/>
                <w:szCs w:val="24"/>
              </w:rPr>
              <w:t>分）</w:t>
            </w:r>
          </w:p>
        </w:tc>
        <w:tc>
          <w:tcPr>
            <w:tcW w:w="1295" w:type="dxa"/>
            <w:vMerge w:val="restart"/>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项目效益</w:t>
            </w: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产生的社会效益</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9.00 </w:t>
            </w:r>
          </w:p>
        </w:tc>
        <w:tc>
          <w:tcPr>
            <w:tcW w:w="2877" w:type="dxa"/>
            <w:vMerge w:val="restart"/>
            <w:tcBorders>
              <w:top w:val="nil"/>
              <w:left w:val="nil"/>
              <w:right w:val="single" w:color="auto" w:sz="4" w:space="0"/>
            </w:tcBorders>
            <w:noWrap w:val="0"/>
            <w:vAlign w:val="center"/>
          </w:tcPr>
          <w:p>
            <w:pPr>
              <w:widowControl/>
              <w:jc w:val="center"/>
              <w:rPr>
                <w:rFonts w:hint="eastAsia" w:ascii="宋体" w:hAnsi="宋体" w:cs="宋体"/>
                <w:color w:val="000000"/>
                <w:kern w:val="0"/>
                <w:sz w:val="24"/>
                <w:szCs w:val="24"/>
              </w:rPr>
            </w:pPr>
            <w:r>
              <w:rPr>
                <w:rFonts w:hint="eastAsia" w:ascii="宋体" w:hAnsi="宋体" w:cs="宋体"/>
                <w:color w:val="000000"/>
                <w:kern w:val="0"/>
                <w:sz w:val="24"/>
                <w:szCs w:val="24"/>
              </w:rPr>
              <w:t>缺少历年对比分析，效益效果展示不足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shd w:val="clear" w:color="auto" w:fill="auto"/>
            <w:noWrap w:val="0"/>
            <w:vAlign w:val="center"/>
          </w:tcPr>
          <w:p>
            <w:pPr>
              <w:widowControl/>
              <w:jc w:val="left"/>
              <w:rPr>
                <w:rFonts w:ascii="宋体" w:hAnsi="宋体" w:cs="宋体"/>
                <w:color w:val="000000"/>
                <w:kern w:val="0"/>
                <w:sz w:val="24"/>
                <w:szCs w:val="24"/>
              </w:rPr>
            </w:pPr>
          </w:p>
        </w:tc>
        <w:tc>
          <w:tcPr>
            <w:tcW w:w="2446" w:type="dxa"/>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产生的可持续影响</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9.00 </w:t>
            </w:r>
          </w:p>
        </w:tc>
        <w:tc>
          <w:tcPr>
            <w:tcW w:w="2877" w:type="dxa"/>
            <w:vMerge w:val="continue"/>
            <w:tcBorders>
              <w:left w:val="nil"/>
              <w:bottom w:val="single" w:color="auto" w:sz="4" w:space="0"/>
              <w:right w:val="single" w:color="auto" w:sz="4" w:space="0"/>
            </w:tcBorders>
            <w:noWrap w:val="0"/>
            <w:vAlign w:val="center"/>
          </w:tcPr>
          <w:p>
            <w:pPr>
              <w:widowControl/>
              <w:jc w:val="center"/>
              <w:rPr>
                <w:rFonts w:hint="eastAsia" w:ascii="宋体" w:hAnsi="宋体" w:cs="宋体"/>
                <w:color w:val="000000"/>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1150" w:type="dxa"/>
            <w:vMerge w:val="continue"/>
            <w:tcBorders>
              <w:bottom w:val="single" w:color="auto" w:sz="4" w:space="0"/>
            </w:tcBorders>
            <w:shd w:val="clear" w:color="auto" w:fill="auto"/>
            <w:noWrap w:val="0"/>
            <w:vAlign w:val="center"/>
          </w:tcPr>
          <w:p>
            <w:pPr>
              <w:widowControl/>
              <w:jc w:val="left"/>
              <w:rPr>
                <w:rFonts w:ascii="宋体" w:hAnsi="宋体" w:cs="宋体"/>
                <w:color w:val="000000"/>
                <w:kern w:val="0"/>
                <w:sz w:val="24"/>
                <w:szCs w:val="24"/>
              </w:rPr>
            </w:pPr>
          </w:p>
        </w:tc>
        <w:tc>
          <w:tcPr>
            <w:tcW w:w="1295" w:type="dxa"/>
            <w:vMerge w:val="continue"/>
            <w:tcBorders>
              <w:bottom w:val="single" w:color="auto" w:sz="4" w:space="0"/>
            </w:tcBorders>
            <w:shd w:val="clear" w:color="auto" w:fill="auto"/>
            <w:noWrap w:val="0"/>
            <w:vAlign w:val="center"/>
          </w:tcPr>
          <w:p>
            <w:pPr>
              <w:widowControl/>
              <w:jc w:val="left"/>
              <w:rPr>
                <w:rFonts w:ascii="宋体" w:hAnsi="宋体" w:cs="宋体"/>
                <w:color w:val="000000"/>
                <w:kern w:val="0"/>
                <w:sz w:val="24"/>
                <w:szCs w:val="24"/>
              </w:rPr>
            </w:pPr>
          </w:p>
        </w:tc>
        <w:tc>
          <w:tcPr>
            <w:tcW w:w="2446" w:type="dxa"/>
            <w:tcBorders>
              <w:bottom w:val="single" w:color="auto" w:sz="4" w:space="0"/>
            </w:tcBorders>
            <w:shd w:val="clear" w:color="000000" w:fill="FFFFFF"/>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服务对象满意度</w:t>
            </w:r>
          </w:p>
        </w:tc>
        <w:tc>
          <w:tcPr>
            <w:tcW w:w="100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olor w:val="000000"/>
                <w:sz w:val="24"/>
                <w:szCs w:val="24"/>
              </w:rPr>
              <w:t xml:space="preserve">10.00 </w:t>
            </w:r>
          </w:p>
        </w:tc>
        <w:tc>
          <w:tcPr>
            <w:tcW w:w="864"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olor w:val="000000"/>
                <w:sz w:val="24"/>
                <w:szCs w:val="24"/>
              </w:rPr>
            </w:pPr>
            <w:r>
              <w:rPr>
                <w:rFonts w:hint="eastAsia" w:ascii="宋体" w:hAnsi="宋体"/>
                <w:color w:val="000000"/>
                <w:sz w:val="24"/>
                <w:szCs w:val="24"/>
              </w:rPr>
              <w:t xml:space="preserve">8.67 </w:t>
            </w:r>
          </w:p>
        </w:tc>
        <w:tc>
          <w:tcPr>
            <w:tcW w:w="28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r>
              <w:rPr>
                <w:rFonts w:hint="eastAsia" w:ascii="宋体" w:hAnsi="宋体" w:cs="宋体"/>
                <w:color w:val="000000"/>
                <w:kern w:val="0"/>
                <w:sz w:val="24"/>
                <w:szCs w:val="24"/>
              </w:rPr>
              <w:t>缺少社会公众和办事群众的满意度反映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891" w:type="dxa"/>
            <w:gridSpan w:val="3"/>
            <w:tcBorders>
              <w:bottom w:val="single" w:color="auto" w:sz="4" w:space="0"/>
            </w:tcBorders>
            <w:shd w:val="clear" w:color="auto" w:fill="auto"/>
            <w:noWrap w:val="0"/>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合计</w:t>
            </w:r>
          </w:p>
        </w:tc>
        <w:tc>
          <w:tcPr>
            <w:tcW w:w="1007" w:type="dxa"/>
            <w:tcBorders>
              <w:bottom w:val="single" w:color="auto" w:sz="4" w:space="0"/>
            </w:tcBorders>
            <w:shd w:val="clear" w:color="000000" w:fill="FFFFFF"/>
            <w:noWrap w:val="0"/>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100.00</w:t>
            </w:r>
          </w:p>
        </w:tc>
        <w:tc>
          <w:tcPr>
            <w:tcW w:w="864" w:type="dxa"/>
            <w:shd w:val="clear" w:color="000000" w:fill="FFFFFF"/>
            <w:noWrap w:val="0"/>
            <w:vAlign w:val="center"/>
          </w:tcPr>
          <w:p>
            <w:pPr>
              <w:widowControl/>
              <w:jc w:val="center"/>
              <w:rPr>
                <w:rFonts w:ascii="宋体" w:hAnsi="宋体" w:cs="宋体"/>
                <w:b/>
                <w:color w:val="000000"/>
                <w:kern w:val="0"/>
                <w:sz w:val="24"/>
                <w:szCs w:val="24"/>
              </w:rPr>
            </w:pPr>
            <w:r>
              <w:rPr>
                <w:rFonts w:hint="eastAsia" w:ascii="宋体" w:hAnsi="宋体" w:cs="宋体"/>
                <w:b/>
                <w:color w:val="000000"/>
                <w:kern w:val="0"/>
                <w:sz w:val="24"/>
                <w:szCs w:val="24"/>
              </w:rPr>
              <w:t>90.47</w:t>
            </w:r>
          </w:p>
        </w:tc>
        <w:tc>
          <w:tcPr>
            <w:tcW w:w="287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000000"/>
                <w:kern w:val="0"/>
                <w:sz w:val="24"/>
                <w:szCs w:val="24"/>
              </w:rPr>
            </w:pPr>
          </w:p>
        </w:tc>
      </w:tr>
    </w:tbl>
    <w:p/>
    <w:p>
      <w:pPr>
        <w:spacing w:line="60" w:lineRule="exact"/>
        <w:jc w:val="left"/>
        <w:rPr>
          <w:rFonts w:hint="eastAsia" w:ascii="宋体" w:hAnsi="宋体"/>
          <w:bCs/>
          <w:kern w:val="0"/>
          <w:sz w:val="2"/>
          <w:szCs w:val="2"/>
        </w:rPr>
      </w:pPr>
    </w:p>
    <w:p>
      <w:pPr>
        <w:pStyle w:val="5"/>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auto"/>
    <w:pitch w:val="default"/>
    <w:sig w:usb0="00000000" w:usb1="00000000" w:usb2="00000010" w:usb3="00000000" w:csb0="00040000" w:csb1="00000000"/>
  </w:font>
  <w:font w:name="Leelawadee UI">
    <w:altName w:val="Leelawadee"/>
    <w:panose1 w:val="020B0502040204020203"/>
    <w:charset w:val="00"/>
    <w:family w:val="swiss"/>
    <w:pitch w:val="default"/>
    <w:sig w:usb0="00000000" w:usb1="00000000" w:usb2="00010000" w:usb3="00000001" w:csb0="000101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1"/>
        <w:szCs w:val="21"/>
      </w:rPr>
    </w:pPr>
    <w:r>
      <w:rPr>
        <w:rFonts w:ascii="宋体" w:hAnsi="宋体"/>
        <w:sz w:val="21"/>
        <w:szCs w:val="21"/>
      </w:rPr>
      <w:fldChar w:fldCharType="begin"/>
    </w:r>
    <w:r>
      <w:rPr>
        <w:rFonts w:ascii="宋体" w:hAnsi="宋体"/>
        <w:sz w:val="21"/>
        <w:szCs w:val="21"/>
      </w:rPr>
      <w:instrText xml:space="preserve">PAGE   \* MERGEFORMAT</w:instrText>
    </w:r>
    <w:r>
      <w:rPr>
        <w:rFonts w:ascii="宋体" w:hAnsi="宋体"/>
        <w:sz w:val="21"/>
        <w:szCs w:val="21"/>
      </w:rPr>
      <w:fldChar w:fldCharType="separate"/>
    </w:r>
    <w:r>
      <w:rPr>
        <w:rFonts w:ascii="宋体" w:hAnsi="宋体"/>
        <w:sz w:val="21"/>
        <w:szCs w:val="21"/>
        <w:lang w:val="zh-CN"/>
      </w:rPr>
      <w:t>16</w:t>
    </w:r>
    <w:r>
      <w:rPr>
        <w:rFonts w:ascii="宋体" w:hAnsi="宋体"/>
        <w:sz w:val="21"/>
        <w:szCs w:val="21"/>
      </w:rPr>
      <w:fldChar w:fldCharType="end"/>
    </w:r>
  </w:p>
  <w:p>
    <w:pPr>
      <w:pStyle w:val="4"/>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8C479"/>
    <w:multiLevelType w:val="singleLevel"/>
    <w:tmpl w:val="1A48C479"/>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301F4"/>
    <w:rsid w:val="1402528F"/>
    <w:rsid w:val="18BD50D4"/>
    <w:rsid w:val="269F64E9"/>
    <w:rsid w:val="271154DE"/>
    <w:rsid w:val="3B4524D9"/>
    <w:rsid w:val="3CCA4F2A"/>
    <w:rsid w:val="54956F88"/>
    <w:rsid w:val="66826BF2"/>
    <w:rsid w:val="714C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3"/>
    <w:qFormat/>
    <w:uiPriority w:val="0"/>
    <w:pPr>
      <w:spacing w:before="240" w:after="60"/>
      <w:jc w:val="center"/>
      <w:outlineLvl w:val="0"/>
    </w:pPr>
    <w:rPr>
      <w:rFonts w:ascii="Cambria" w:hAnsi="Cambria"/>
      <w:b/>
      <w:bCs/>
      <w:sz w:val="32"/>
      <w:szCs w:val="32"/>
    </w:rPr>
  </w:style>
  <w:style w:type="paragraph" w:styleId="3">
    <w:name w:val="Body Text Indent"/>
    <w:basedOn w:val="1"/>
    <w:next w:val="1"/>
    <w:qFormat/>
    <w:uiPriority w:val="0"/>
    <w:pPr>
      <w:spacing w:after="120"/>
      <w:ind w:left="420" w:leftChars="20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Body Text First Indent 2"/>
    <w:basedOn w:val="3"/>
    <w:qFormat/>
    <w:uiPriority w:val="99"/>
    <w:pPr>
      <w:spacing w:after="360"/>
      <w:ind w:left="0" w:leftChars="0" w:firstLine="420" w:firstLineChars="200"/>
    </w:pPr>
    <w:rPr>
      <w:kern w:val="1"/>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2023-06-07T03:29:00Z</dcterms:created>
  <dc:creator>Administrator</dc:creator>
  <cp:lastModifiedBy>Administrator</cp:lastModifiedBy>
  <dcterms:modified xsi:type="dcterms:W3CDTF">2023-08-21T02:14:52Z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