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北京市人民检察院第二分院</w:t>
      </w:r>
    </w:p>
    <w:p>
      <w:pPr>
        <w:jc w:val="center"/>
        <w:rPr>
          <w:rFonts w:ascii="方正小标宋简体" w:eastAsia="方正小标宋简体"/>
          <w:szCs w:val="36"/>
        </w:rPr>
      </w:pPr>
      <w:r>
        <w:rPr>
          <w:rFonts w:hint="eastAsia" w:ascii="方正小标宋简体" w:hAnsi="方正小标宋简体" w:eastAsia="方正小标宋简体" w:cs="方正小标宋简体"/>
          <w:sz w:val="44"/>
          <w:szCs w:val="44"/>
        </w:rPr>
        <w:t>2022年度部门整体绩效评价报告</w:t>
      </w:r>
    </w:p>
    <w:p>
      <w:pPr>
        <w:jc w:val="center"/>
        <w:rPr>
          <w:rFonts w:ascii="仿宋_GB2312"/>
          <w:szCs w:val="30"/>
        </w:rPr>
      </w:pPr>
    </w:p>
    <w:p>
      <w:pPr>
        <w:pStyle w:val="4"/>
        <w:spacing w:line="560" w:lineRule="exact"/>
        <w:ind w:firstLineChars="200"/>
        <w:rPr>
          <w:sz w:val="32"/>
          <w:szCs w:val="32"/>
        </w:rPr>
      </w:pPr>
      <w:bookmarkStart w:id="0" w:name="_Toc8695"/>
      <w:bookmarkStart w:id="1" w:name="_Toc14482"/>
      <w:bookmarkStart w:id="2" w:name="_Toc71"/>
      <w:r>
        <w:rPr>
          <w:rFonts w:hint="eastAsia"/>
          <w:sz w:val="32"/>
          <w:szCs w:val="32"/>
        </w:rPr>
        <w:t>一、部门概况</w:t>
      </w:r>
      <w:bookmarkEnd w:id="0"/>
      <w:bookmarkEnd w:id="1"/>
      <w:bookmarkEnd w:id="2"/>
    </w:p>
    <w:p>
      <w:pPr>
        <w:pStyle w:val="5"/>
        <w:spacing w:before="0" w:after="0" w:line="560" w:lineRule="exact"/>
        <w:ind w:firstLine="643" w:firstLineChars="200"/>
        <w:rPr>
          <w:rFonts w:ascii="楷体" w:hAnsi="楷体" w:eastAsia="楷体" w:cs="楷体"/>
        </w:rPr>
      </w:pPr>
      <w:bookmarkStart w:id="3" w:name="_Toc32272"/>
      <w:bookmarkStart w:id="4" w:name="_Toc25410"/>
      <w:bookmarkStart w:id="5" w:name="_Toc9970"/>
      <w:r>
        <w:rPr>
          <w:rFonts w:hint="eastAsia" w:ascii="楷体" w:hAnsi="楷体" w:eastAsia="楷体" w:cs="楷体"/>
        </w:rPr>
        <w:t>（一）机构设置及职责工作任务情况</w:t>
      </w:r>
      <w:bookmarkEnd w:id="3"/>
      <w:bookmarkEnd w:id="4"/>
      <w:bookmarkEnd w:id="5"/>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1.部门机构设置</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属于国家法律监督机关，司法辖区包括：东城区、西城区、丰台区、大兴区、房山区。根据2019年3月中共北京市委政法委员会、中共北京市委机构编制委员会办公室、北京市人民检察院关于印发《北京市检察机关内设机构改革方案》的要求，市检二分院共设置12个职能部门，分别为：第一检察部、第二检察部、第三检察部、第四检察部、第五检察部、第六检察部、第七检察部、第八检察部、第九检察部、办公室、行政事务管理部、检务督察部，另设政治部、机关党委、机关纪委。</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2.人员配置及人员构成情况</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市检二分院2022年编制人数230人，其中行政编制210人，事业编制20人。</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2022年末实有人数256人，其中行政编制人员195人，事业编制人数19人。聘用人员（检察院聘任书记员、聘用制司法警察、其他聘用人员）42人；退休人员148人。</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3.部门职能</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的主要职责包括：对区域内可能判处无期徒刑、死刑的案件，危害国家安全、恐怖活动案件依法审查逮捕、提起公诉，并对全市危害国家安全类刑事犯罪案件依法实行集中管辖；对区域内刑事诉讼、民事诉讼和行政诉讼活动依法实行法律监督，对下级人民法院和本级人民法院已经发生法律效力、确有错误的判决和裁定，依法向北京市第二中级人民法院提起抗诉或提请北京市人民检察院向北京市高级人民法院提起抗诉；对区域内区级人民检察院做出的决定进行审查，纠正错误决定；受理公民控告、申诉、检举和举报，办理刑事赔偿事项。同时，依据北京市人民检察院授权，负责对区域内区级人民检察院开展办案指导工作。</w:t>
      </w:r>
    </w:p>
    <w:p>
      <w:pPr>
        <w:pStyle w:val="5"/>
        <w:spacing w:before="0" w:after="0" w:line="560" w:lineRule="exact"/>
        <w:ind w:firstLine="643" w:firstLineChars="200"/>
        <w:rPr>
          <w:rFonts w:ascii="楷体" w:hAnsi="楷体" w:eastAsia="楷体" w:cs="楷体"/>
        </w:rPr>
      </w:pPr>
      <w:bookmarkStart w:id="6" w:name="_Toc23803"/>
      <w:bookmarkStart w:id="7" w:name="_Toc6025"/>
      <w:bookmarkStart w:id="8" w:name="_Toc31044"/>
      <w:r>
        <w:rPr>
          <w:rFonts w:hint="eastAsia" w:ascii="楷体" w:hAnsi="楷体" w:eastAsia="楷体" w:cs="楷体"/>
        </w:rPr>
        <w:t>（二）部门整体绩效目标设立情况</w:t>
      </w:r>
      <w:bookmarkEnd w:id="6"/>
      <w:bookmarkEnd w:id="7"/>
      <w:bookmarkEnd w:id="8"/>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市检二分院党组在市委、最高检、市院的领导下，坚持以习近平新时代中国特色社会主义思想为指导，全面贯彻党的十九大和十九届历次全会精神，深入学习宣传贯彻党的二十大和二十届一中全会精神，深入贯彻习近平法治思想，把贯彻落实《中共中央关于加强新时代检察机关法律监督工作的意见》及市委《实施意见》摆在检察工作的首要位置，紧紧围绕党中央决策部署和市委、最高检、市院党组工作要求，以高质量发展为主题，以“质量建设年”为抓手，努力以更优检察履职服务保障首都经济社会高质量发展。</w:t>
      </w:r>
    </w:p>
    <w:p>
      <w:pPr>
        <w:spacing w:line="560" w:lineRule="exact"/>
        <w:ind w:firstLine="640" w:firstLineChars="200"/>
        <w:rPr>
          <w:rFonts w:ascii="仿宋_GB2312" w:hAnsi="楷体" w:eastAsia="仿宋_GB2312"/>
          <w:bCs/>
          <w:color w:val="000000"/>
          <w:kern w:val="0"/>
          <w:sz w:val="32"/>
          <w:szCs w:val="28"/>
        </w:rPr>
      </w:pPr>
      <w:r>
        <w:rPr>
          <w:rFonts w:hint="eastAsia" w:ascii="仿宋_GB2312" w:hAnsi="楷体" w:eastAsia="仿宋_GB2312"/>
          <w:bCs/>
          <w:kern w:val="0"/>
          <w:sz w:val="32"/>
          <w:szCs w:val="28"/>
        </w:rPr>
        <w:t>市检</w:t>
      </w:r>
      <w:r>
        <w:rPr>
          <w:rFonts w:hint="eastAsia" w:ascii="仿宋_GB2312" w:hAnsi="楷体" w:eastAsia="仿宋_GB2312"/>
          <w:bCs/>
          <w:color w:val="000000"/>
          <w:kern w:val="0"/>
          <w:sz w:val="32"/>
          <w:szCs w:val="28"/>
        </w:rPr>
        <w:t>二</w:t>
      </w:r>
      <w:r>
        <w:rPr>
          <w:rFonts w:hint="eastAsia" w:ascii="仿宋_GB2312" w:hAnsi="楷体" w:eastAsia="仿宋_GB2312"/>
          <w:bCs/>
          <w:kern w:val="0"/>
          <w:sz w:val="32"/>
          <w:szCs w:val="28"/>
        </w:rPr>
        <w:t>分院部门整体绩效目标紧</w:t>
      </w:r>
      <w:r>
        <w:rPr>
          <w:rFonts w:hint="eastAsia" w:ascii="仿宋_GB2312" w:hAnsi="楷体" w:eastAsia="仿宋_GB2312"/>
          <w:bCs/>
          <w:kern w:val="0"/>
          <w:sz w:val="32"/>
          <w:szCs w:val="28"/>
          <w:lang w:eastAsia="zh-CN"/>
        </w:rPr>
        <w:t>密</w:t>
      </w:r>
      <w:r>
        <w:rPr>
          <w:rFonts w:hint="eastAsia" w:ascii="仿宋_GB2312" w:hAnsi="楷体" w:eastAsia="仿宋_GB2312"/>
          <w:bCs/>
          <w:kern w:val="0"/>
          <w:sz w:val="32"/>
          <w:szCs w:val="28"/>
        </w:rPr>
        <w:t>结合202</w:t>
      </w:r>
      <w:r>
        <w:rPr>
          <w:rFonts w:hint="eastAsia" w:ascii="仿宋_GB2312" w:hAnsi="楷体" w:eastAsia="仿宋_GB2312"/>
          <w:bCs/>
          <w:color w:val="000000"/>
          <w:kern w:val="0"/>
          <w:sz w:val="32"/>
          <w:szCs w:val="28"/>
        </w:rPr>
        <w:t>2</w:t>
      </w:r>
      <w:r>
        <w:rPr>
          <w:rFonts w:hint="eastAsia" w:ascii="仿宋_GB2312" w:hAnsi="楷体" w:eastAsia="仿宋_GB2312"/>
          <w:bCs/>
          <w:kern w:val="0"/>
          <w:sz w:val="32"/>
          <w:szCs w:val="28"/>
        </w:rPr>
        <w:t>年度重点任务及责任分工</w:t>
      </w:r>
      <w:r>
        <w:rPr>
          <w:rFonts w:hint="eastAsia" w:ascii="仿宋_GB2312" w:hAnsi="楷体" w:eastAsia="仿宋_GB2312"/>
          <w:bCs/>
          <w:color w:val="000000"/>
          <w:kern w:val="0"/>
          <w:sz w:val="32"/>
          <w:szCs w:val="28"/>
        </w:rPr>
        <w:t>等要求</w:t>
      </w:r>
      <w:r>
        <w:rPr>
          <w:rFonts w:hint="eastAsia" w:ascii="仿宋_GB2312" w:hAnsi="楷体" w:eastAsia="仿宋_GB2312"/>
          <w:bCs/>
          <w:kern w:val="0"/>
          <w:sz w:val="32"/>
          <w:szCs w:val="28"/>
        </w:rPr>
        <w:t>制定，既充分体现了职责职能和常规工作任务，也结合特殊重要时点，突出体现了年度新增特色重点工作内容。</w:t>
      </w:r>
    </w:p>
    <w:p>
      <w:pPr>
        <w:pStyle w:val="4"/>
        <w:spacing w:line="560" w:lineRule="exact"/>
        <w:ind w:firstLineChars="200"/>
        <w:rPr>
          <w:sz w:val="32"/>
          <w:szCs w:val="32"/>
        </w:rPr>
      </w:pPr>
      <w:bookmarkStart w:id="9" w:name="_Toc25054"/>
      <w:bookmarkStart w:id="10" w:name="_Toc20399"/>
      <w:bookmarkStart w:id="11" w:name="_Toc12838"/>
      <w:r>
        <w:rPr>
          <w:rFonts w:hint="eastAsia"/>
          <w:sz w:val="32"/>
          <w:szCs w:val="32"/>
        </w:rPr>
        <w:t>二、当年预算执行情况</w:t>
      </w:r>
      <w:bookmarkEnd w:id="9"/>
      <w:bookmarkEnd w:id="10"/>
      <w:bookmarkEnd w:id="11"/>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2022年全年预算数12,830.17万元，其中，基本支出预算数12,152.82万元，项目支出预算数677.35万元。资金预算支出12,563.50万元，其中，基本支出11,947.40万元，项目支出616.10万元。预算执行率为97.92%。</w:t>
      </w:r>
    </w:p>
    <w:p>
      <w:pPr>
        <w:pStyle w:val="4"/>
        <w:spacing w:line="560" w:lineRule="exact"/>
        <w:ind w:firstLineChars="200"/>
        <w:rPr>
          <w:sz w:val="32"/>
          <w:szCs w:val="32"/>
        </w:rPr>
      </w:pPr>
      <w:bookmarkStart w:id="12" w:name="_Toc17225"/>
      <w:bookmarkStart w:id="13" w:name="_Toc7806"/>
      <w:bookmarkStart w:id="14" w:name="_Toc7310"/>
      <w:r>
        <w:rPr>
          <w:rFonts w:hint="eastAsia"/>
          <w:sz w:val="32"/>
          <w:szCs w:val="32"/>
        </w:rPr>
        <w:t>三、整体绩效目标实现情况</w:t>
      </w:r>
      <w:bookmarkEnd w:id="12"/>
      <w:bookmarkEnd w:id="13"/>
      <w:bookmarkEnd w:id="14"/>
    </w:p>
    <w:p>
      <w:pPr>
        <w:pStyle w:val="5"/>
        <w:spacing w:before="0" w:after="0" w:line="560" w:lineRule="exact"/>
        <w:ind w:firstLine="643" w:firstLineChars="200"/>
        <w:rPr>
          <w:rFonts w:ascii="楷体" w:hAnsi="楷体" w:eastAsia="楷体" w:cs="楷体"/>
        </w:rPr>
      </w:pPr>
      <w:bookmarkStart w:id="15" w:name="_Toc22298"/>
      <w:bookmarkStart w:id="16" w:name="_Toc19659"/>
      <w:bookmarkStart w:id="17" w:name="_Toc1524"/>
      <w:r>
        <w:rPr>
          <w:rFonts w:hint="eastAsia" w:ascii="楷体" w:hAnsi="楷体" w:eastAsia="楷体" w:cs="楷体"/>
        </w:rPr>
        <w:t>（一）产出完成情况分析</w:t>
      </w:r>
      <w:bookmarkEnd w:id="15"/>
      <w:bookmarkEnd w:id="16"/>
      <w:bookmarkEnd w:id="17"/>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1.产出数量</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2022年共计完成6个项目，</w:t>
      </w:r>
      <w:r>
        <w:rPr>
          <w:rFonts w:hint="eastAsia" w:ascii="仿宋_GB2312" w:hAnsi="楷体" w:eastAsia="仿宋_GB2312"/>
          <w:bCs/>
          <w:kern w:val="0"/>
          <w:sz w:val="32"/>
          <w:szCs w:val="28"/>
          <w:lang w:eastAsia="zh-CN"/>
        </w:rPr>
        <w:t>预算金额</w:t>
      </w:r>
      <w:r>
        <w:rPr>
          <w:rFonts w:hint="eastAsia" w:ascii="仿宋_GB2312" w:hAnsi="楷体" w:eastAsia="仿宋_GB2312"/>
          <w:bCs/>
          <w:kern w:val="0"/>
          <w:sz w:val="32"/>
          <w:szCs w:val="28"/>
          <w:lang w:val="en-US" w:eastAsia="zh-CN"/>
        </w:rPr>
        <w:t>677.35万元</w:t>
      </w:r>
      <w:r>
        <w:rPr>
          <w:rFonts w:hint="eastAsia" w:ascii="仿宋_GB2312" w:hAnsi="楷体" w:eastAsia="仿宋_GB2312"/>
          <w:bCs/>
          <w:kern w:val="0"/>
          <w:sz w:val="32"/>
          <w:szCs w:val="28"/>
        </w:rPr>
        <w:t>。</w:t>
      </w:r>
    </w:p>
    <w:p>
      <w:pPr>
        <w:pStyle w:val="10"/>
        <w:ind w:firstLine="640" w:firstLineChars="200"/>
        <w:rPr>
          <w:rFonts w:ascii="仿宋_GB2312" w:hAnsi="宋体" w:eastAsia="仿宋_GB2312" w:cs="宋体"/>
          <w:color w:val="000000"/>
          <w:kern w:val="0"/>
          <w:sz w:val="32"/>
          <w:szCs w:val="32"/>
        </w:rPr>
      </w:pPr>
      <w:r>
        <w:rPr>
          <w:rFonts w:hint="eastAsia" w:ascii="仿宋_GB2312" w:hAnsi="楷体" w:eastAsia="仿宋_GB2312"/>
          <w:bCs/>
          <w:kern w:val="0"/>
          <w:sz w:val="32"/>
          <w:szCs w:val="28"/>
        </w:rPr>
        <w:t>（</w:t>
      </w:r>
      <w:r>
        <w:rPr>
          <w:rFonts w:hint="eastAsia" w:ascii="仿宋_GB2312" w:hAnsi="楷体" w:eastAsia="仿宋_GB2312"/>
          <w:bCs/>
          <w:color w:val="000000"/>
          <w:kern w:val="0"/>
          <w:sz w:val="32"/>
          <w:szCs w:val="28"/>
        </w:rPr>
        <w:t>1</w:t>
      </w:r>
      <w:r>
        <w:rPr>
          <w:rFonts w:hint="eastAsia" w:ascii="仿宋_GB2312" w:hAnsi="楷体" w:eastAsia="仿宋_GB2312"/>
          <w:bCs/>
          <w:kern w:val="0"/>
          <w:sz w:val="32"/>
          <w:szCs w:val="28"/>
        </w:rPr>
        <w:t>）</w:t>
      </w:r>
      <w:r>
        <w:rPr>
          <w:rFonts w:hint="eastAsia" w:ascii="仿宋_GB2312" w:hAnsi="宋体" w:eastAsia="仿宋_GB2312" w:cs="宋体"/>
          <w:color w:val="000000"/>
          <w:kern w:val="0"/>
          <w:sz w:val="32"/>
          <w:szCs w:val="32"/>
        </w:rPr>
        <w:t>办案业务费</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年度指标值：满足检察机关政法执法办案需求，使用人员满意度≥95%。</w:t>
      </w:r>
    </w:p>
    <w:p>
      <w:pPr>
        <w:spacing w:line="560" w:lineRule="exact"/>
        <w:ind w:firstLine="640" w:firstLineChars="200"/>
        <w:rPr>
          <w:rFonts w:ascii="仿宋_GB2312" w:hAnsi="楷体" w:eastAsia="仿宋_GB2312"/>
          <w:bCs/>
          <w:color w:val="000000"/>
          <w:kern w:val="0"/>
          <w:sz w:val="32"/>
          <w:szCs w:val="28"/>
        </w:rPr>
      </w:pPr>
      <w:r>
        <w:rPr>
          <w:rFonts w:hint="eastAsia" w:ascii="仿宋_GB2312" w:hAnsi="宋体" w:eastAsia="仿宋_GB2312" w:cs="宋体"/>
          <w:color w:val="000000"/>
          <w:kern w:val="0"/>
          <w:sz w:val="32"/>
          <w:szCs w:val="32"/>
        </w:rPr>
        <w:t>全年实际值：</w:t>
      </w:r>
      <w:r>
        <w:rPr>
          <w:rFonts w:hint="eastAsia" w:ascii="仿宋_GB2312" w:hAnsi="楷体" w:eastAsia="仿宋_GB2312"/>
          <w:bCs/>
          <w:color w:val="000000"/>
          <w:kern w:val="0"/>
          <w:sz w:val="32"/>
          <w:szCs w:val="28"/>
        </w:rPr>
        <w:t>坚持在监督中办案、在办案中监督，统筹推进司法办案和监督办案。2022年度，市检二分院全</w:t>
      </w:r>
      <w:r>
        <w:rPr>
          <w:rFonts w:hint="eastAsia" w:ascii="仿宋_GB2312" w:hAnsi="楷体" w:eastAsia="仿宋_GB2312"/>
          <w:bCs/>
          <w:kern w:val="0"/>
          <w:sz w:val="32"/>
          <w:szCs w:val="28"/>
        </w:rPr>
        <w:t>年受理案件2294件，审结2128件，审结率92.8%，位居三个分院之首。</w:t>
      </w:r>
      <w:r>
        <w:rPr>
          <w:rFonts w:hint="eastAsia" w:ascii="仿宋_GB2312" w:hAnsi="楷体" w:eastAsia="仿宋_GB2312"/>
          <w:bCs/>
          <w:color w:val="000000"/>
          <w:kern w:val="0"/>
          <w:sz w:val="32"/>
          <w:szCs w:val="28"/>
        </w:rPr>
        <w:t>“四大检察”结构比为50.8：30.6：18.6：0.1，全面协调充分发展趋势更加明显；司法办案和监督办案比为24：76，检察监督属性进一步增强。</w:t>
      </w:r>
    </w:p>
    <w:p>
      <w:pPr>
        <w:pStyle w:val="10"/>
        <w:ind w:firstLine="640" w:firstLineChars="200"/>
        <w:rPr>
          <w:rFonts w:ascii="仿宋_GB2312" w:hAnsi="宋体" w:eastAsia="仿宋_GB2312" w:cs="宋体"/>
          <w:color w:val="000000"/>
          <w:kern w:val="0"/>
          <w:sz w:val="32"/>
          <w:szCs w:val="32"/>
        </w:rPr>
      </w:pPr>
      <w:r>
        <w:rPr>
          <w:rFonts w:hint="eastAsia" w:ascii="仿宋_GB2312" w:hAnsi="楷体" w:eastAsia="仿宋_GB2312"/>
          <w:bCs/>
          <w:kern w:val="0"/>
          <w:sz w:val="32"/>
          <w:szCs w:val="28"/>
        </w:rPr>
        <w:t>（2）</w:t>
      </w:r>
      <w:r>
        <w:rPr>
          <w:rFonts w:hint="eastAsia" w:ascii="仿宋_GB2312" w:hAnsi="宋体" w:eastAsia="仿宋_GB2312" w:cs="宋体"/>
          <w:color w:val="000000"/>
          <w:kern w:val="0"/>
          <w:sz w:val="32"/>
          <w:szCs w:val="32"/>
        </w:rPr>
        <w:t>检察业务工作经费</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年度指标值：确保检务公开、新媒体法制宣传、政策理论研究等相关检察工作的顺利开展。</w:t>
      </w:r>
    </w:p>
    <w:p>
      <w:pPr>
        <w:spacing w:line="560" w:lineRule="exact"/>
        <w:ind w:firstLine="640" w:firstLineChars="200"/>
        <w:rPr>
          <w:rFonts w:hint="eastAsia" w:ascii="仿宋_GB2312" w:hAnsi="楷体" w:eastAsia="仿宋_GB2312"/>
          <w:bCs/>
          <w:kern w:val="0"/>
          <w:sz w:val="32"/>
          <w:szCs w:val="28"/>
        </w:rPr>
      </w:pPr>
      <w:r>
        <w:rPr>
          <w:rFonts w:hint="eastAsia" w:ascii="仿宋_GB2312" w:hAnsi="宋体" w:eastAsia="仿宋_GB2312" w:cs="宋体"/>
          <w:color w:val="000000"/>
          <w:kern w:val="0"/>
          <w:sz w:val="32"/>
          <w:szCs w:val="32"/>
        </w:rPr>
        <w:t>全年实际值：202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年度，依法向社会和诉讼参与人公开检察职权透明度，相对不涉及国家和个人隐私等检察监督权领域定期向社会开放，开展检察业务交流咨询、新闻宣传等活动</w:t>
      </w:r>
      <w:r>
        <w:rPr>
          <w:rFonts w:hint="eastAsia" w:ascii="仿宋_GB2312" w:hAnsi="宋体" w:eastAsia="仿宋_GB2312" w:cs="宋体"/>
          <w:color w:val="000000"/>
          <w:kern w:val="0"/>
          <w:sz w:val="32"/>
          <w:szCs w:val="32"/>
          <w:lang w:eastAsia="zh-CN"/>
        </w:rPr>
        <w:t>。</w:t>
      </w:r>
      <w:r>
        <w:rPr>
          <w:rFonts w:hint="eastAsia" w:ascii="仿宋_GB2312" w:hAnsi="楷体" w:eastAsia="仿宋_GB2312"/>
          <w:bCs/>
          <w:kern w:val="0"/>
          <w:sz w:val="32"/>
          <w:szCs w:val="28"/>
        </w:rPr>
        <w:t>市检二分院办理的全国首例运用第三方监督考察模式开展企业合规工作的证券犯罪案件，入选最高检第三批涉案企业合规典型案例，相关经验获《人民日报》报道；拍摄首部微电影《罪·证》获最高检官方微信公众号首发；有关作品再获“2022年度北京市十大检察办案好故事”第一名。</w:t>
      </w:r>
    </w:p>
    <w:p>
      <w:pPr>
        <w:pStyle w:val="10"/>
        <w:ind w:firstLine="640" w:firstLineChars="200"/>
        <w:rPr>
          <w:rFonts w:ascii="仿宋_GB2312" w:hAnsi="宋体" w:eastAsia="仿宋_GB2312" w:cs="宋体"/>
          <w:color w:val="000000"/>
          <w:kern w:val="0"/>
          <w:sz w:val="32"/>
          <w:szCs w:val="32"/>
        </w:rPr>
      </w:pPr>
      <w:r>
        <w:rPr>
          <w:rFonts w:hint="eastAsia" w:ascii="仿宋_GB2312" w:hAnsi="楷体"/>
          <w:bCs/>
          <w:kern w:val="0"/>
          <w:sz w:val="32"/>
          <w:szCs w:val="28"/>
          <w:lang w:eastAsia="zh-CN"/>
        </w:rPr>
        <w:t>（</w:t>
      </w:r>
      <w:r>
        <w:rPr>
          <w:rFonts w:hint="eastAsia" w:ascii="仿宋_GB2312" w:hAnsi="楷体"/>
          <w:bCs/>
          <w:kern w:val="0"/>
          <w:sz w:val="32"/>
          <w:szCs w:val="28"/>
          <w:lang w:val="en-US" w:eastAsia="zh-CN"/>
        </w:rPr>
        <w:t>3）</w:t>
      </w:r>
      <w:r>
        <w:rPr>
          <w:rFonts w:hint="eastAsia" w:ascii="仿宋_GB2312" w:hAnsi="宋体" w:eastAsia="仿宋_GB2312" w:cs="宋体"/>
          <w:color w:val="000000"/>
          <w:kern w:val="0"/>
          <w:sz w:val="32"/>
          <w:szCs w:val="32"/>
        </w:rPr>
        <w:t>信息化运维</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年度指标值：开展信息化运维工作，保障项目基础设施、软件硬件正常运转，为业务开展提供支撑，系统正常运行率大于等于99.5%。</w:t>
      </w:r>
    </w:p>
    <w:p>
      <w:pPr>
        <w:pStyle w:val="10"/>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全年实际值：检察信息化系统202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年全年运行态势平稳良好，保证了信息化网络设备稳定运行，满足了检察业务工作需要。</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年度指标值：为推进检察信息化建设和应用工作，保障信息系统安全、有效、顺畅运行，需专线接入互联网。</w:t>
      </w:r>
    </w:p>
    <w:p>
      <w:pPr>
        <w:pStyle w:val="10"/>
        <w:ind w:firstLine="640" w:firstLineChars="20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全年实际值：按照工作部署和要求，在202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年按要求完成项目进度并通过验收。</w:t>
      </w:r>
      <w:r>
        <w:rPr>
          <w:rFonts w:hint="eastAsia" w:ascii="仿宋_GB2312" w:hAnsi="宋体" w:eastAsia="仿宋_GB2312" w:cs="宋体"/>
          <w:color w:val="000000"/>
          <w:kern w:val="0"/>
          <w:sz w:val="32"/>
          <w:szCs w:val="32"/>
          <w:lang w:eastAsia="zh-CN"/>
        </w:rPr>
        <w:t>保障了本院计算机外网系统、大要案指挥中心、数据恢复中心系统和图书馆系统互联网工作需求，</w:t>
      </w:r>
      <w:r>
        <w:rPr>
          <w:rFonts w:hint="eastAsia" w:ascii="仿宋_GB2312" w:hAnsi="宋体" w:eastAsia="仿宋_GB2312" w:cs="宋体"/>
          <w:color w:val="000000"/>
          <w:kern w:val="0"/>
          <w:sz w:val="32"/>
          <w:szCs w:val="32"/>
        </w:rPr>
        <w:t>保障检察业务公开与检察门户网站运行维护</w:t>
      </w:r>
      <w:r>
        <w:rPr>
          <w:rFonts w:hint="eastAsia" w:ascii="仿宋_GB2312" w:hAnsi="宋体" w:eastAsia="仿宋_GB2312" w:cs="宋体"/>
          <w:color w:val="000000"/>
          <w:kern w:val="0"/>
          <w:sz w:val="32"/>
          <w:szCs w:val="32"/>
          <w:lang w:eastAsia="zh-CN"/>
        </w:rPr>
        <w:t>，为检察工作提供强有力的网络平台，促进检察各项工作的高效发展。</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安保安检</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年度指标值：维护二分院正常办公秩序，各岗位配备安检安保人员数量达到规定标准。</w:t>
      </w:r>
    </w:p>
    <w:p>
      <w:pPr>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全年实际值：202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年度，二分院保安队已按照约定配备保安员38名，并保证了每天24小时有人轮班在岗。保安员岗位设置如下：保安管理岗位3名，守卫巡逻岗位19名、应急处置岗6名，技术防范岗位4名，安检岗位6名。</w:t>
      </w:r>
    </w:p>
    <w:p>
      <w:pPr>
        <w:spacing w:line="560" w:lineRule="exact"/>
        <w:ind w:firstLine="640" w:firstLineChars="200"/>
        <w:rPr>
          <w:rFonts w:ascii="仿宋_GB2312" w:hAnsi="宋体" w:eastAsia="仿宋_GB2312" w:cs="宋体"/>
          <w:color w:val="000000"/>
          <w:kern w:val="0"/>
          <w:sz w:val="32"/>
          <w:szCs w:val="32"/>
        </w:rPr>
      </w:pPr>
      <w:r>
        <w:rPr>
          <w:rFonts w:hint="eastAsia" w:ascii="仿宋_GB2312" w:hAnsi="宋体" w:cs="宋体"/>
          <w:color w:val="000000"/>
          <w:kern w:val="0"/>
          <w:sz w:val="32"/>
          <w:szCs w:val="32"/>
          <w:lang w:eastAsia="zh-CN"/>
        </w:rPr>
        <w:t>（</w:t>
      </w:r>
      <w:r>
        <w:rPr>
          <w:rFonts w:hint="eastAsia" w:ascii="仿宋_GB2312" w:hAnsi="宋体" w:cs="宋体"/>
          <w:color w:val="000000"/>
          <w:kern w:val="0"/>
          <w:sz w:val="32"/>
          <w:szCs w:val="32"/>
          <w:lang w:val="en-US" w:eastAsia="zh-CN"/>
        </w:rPr>
        <w:t>6</w:t>
      </w:r>
      <w:r>
        <w:rPr>
          <w:rFonts w:hint="eastAsia" w:ascii="仿宋_GB2312" w:hAnsi="宋体" w:cs="宋体"/>
          <w:color w:val="000000"/>
          <w:kern w:val="0"/>
          <w:sz w:val="32"/>
          <w:szCs w:val="32"/>
          <w:lang w:eastAsia="zh-CN"/>
        </w:rPr>
        <w:t>）</w:t>
      </w:r>
      <w:r>
        <w:rPr>
          <w:rFonts w:hint="eastAsia" w:ascii="仿宋_GB2312" w:hAnsi="宋体" w:eastAsia="仿宋_GB2312" w:cs="宋体"/>
          <w:color w:val="000000"/>
          <w:kern w:val="0"/>
          <w:sz w:val="32"/>
          <w:szCs w:val="32"/>
        </w:rPr>
        <w:t>绩效评审咨询服务费</w:t>
      </w:r>
    </w:p>
    <w:p>
      <w:pPr>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年度指标值：绩效跟踪、绩效评价、绩效报告、内部控制手册修订和报告、其他会计审计服务。</w:t>
      </w:r>
    </w:p>
    <w:p>
      <w:pPr>
        <w:spacing w:line="560" w:lineRule="exact"/>
        <w:ind w:firstLine="640" w:firstLineChars="200"/>
        <w:rPr>
          <w:rFonts w:hint="eastAsia" w:eastAsia="仿宋_GB2312"/>
          <w:lang w:eastAsia="zh-CN"/>
        </w:rPr>
      </w:pPr>
      <w:r>
        <w:rPr>
          <w:rFonts w:hint="eastAsia" w:ascii="仿宋_GB2312" w:hAnsi="宋体" w:eastAsia="仿宋_GB2312" w:cs="宋体"/>
          <w:color w:val="000000"/>
          <w:kern w:val="0"/>
          <w:sz w:val="32"/>
          <w:szCs w:val="32"/>
        </w:rPr>
        <w:t>全年实际值：对202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年现行内部控制手册进行修订与更新；202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年的绩效评价工作针对二分院的重点项目支出实施了绩效评价，评价项目</w:t>
      </w:r>
      <w:r>
        <w:rPr>
          <w:rFonts w:hint="eastAsia" w:ascii="仿宋_GB2312" w:hAnsi="宋体" w:eastAsia="仿宋_GB2312" w:cs="宋体"/>
          <w:color w:val="000000"/>
          <w:kern w:val="0"/>
          <w:sz w:val="32"/>
          <w:szCs w:val="32"/>
          <w:lang w:val="en-US" w:eastAsia="zh-CN"/>
        </w:rPr>
        <w:t>6</w:t>
      </w:r>
      <w:r>
        <w:rPr>
          <w:rFonts w:hint="eastAsia" w:ascii="仿宋_GB2312" w:hAnsi="宋体" w:eastAsia="仿宋_GB2312" w:cs="宋体"/>
          <w:color w:val="000000"/>
          <w:kern w:val="0"/>
          <w:sz w:val="32"/>
          <w:szCs w:val="32"/>
        </w:rPr>
        <w:t>个，其中：普通评价1个，简易评价</w:t>
      </w: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个</w:t>
      </w:r>
      <w:r>
        <w:rPr>
          <w:rFonts w:hint="eastAsia" w:ascii="仿宋_GB2312" w:hAnsi="宋体" w:eastAsia="仿宋_GB2312" w:cs="宋体"/>
          <w:color w:val="000000"/>
          <w:kern w:val="0"/>
          <w:sz w:val="32"/>
          <w:szCs w:val="32"/>
          <w:lang w:eastAsia="zh-CN"/>
        </w:rPr>
        <w:t>。</w:t>
      </w:r>
    </w:p>
    <w:p>
      <w:pPr>
        <w:numPr>
          <w:ilvl w:val="0"/>
          <w:numId w:val="1"/>
        </w:num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产出质量</w:t>
      </w:r>
    </w:p>
    <w:p>
      <w:pPr>
        <w:pStyle w:val="1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r>
        <w:rPr>
          <w:rFonts w:hint="eastAsia" w:ascii="仿宋_GB2312" w:hAnsi="宋体" w:eastAsia="仿宋_GB2312" w:cs="宋体"/>
          <w:color w:val="000000"/>
          <w:kern w:val="0"/>
          <w:sz w:val="32"/>
          <w:szCs w:val="32"/>
        </w:rPr>
        <w:t>办案业务费的实施，</w:t>
      </w:r>
      <w:r>
        <w:rPr>
          <w:rFonts w:hint="eastAsia" w:ascii="仿宋_GB2312" w:hAnsi="仿宋_GB2312" w:eastAsia="仿宋_GB2312" w:cs="仿宋_GB2312"/>
          <w:color w:val="000000"/>
          <w:kern w:val="0"/>
          <w:sz w:val="32"/>
          <w:szCs w:val="32"/>
        </w:rPr>
        <w:t>提高了检察工作效率及检察监督的社会影响力、认知度；提升人民群众对检察工作的满意度。</w:t>
      </w:r>
    </w:p>
    <w:p>
      <w:pPr>
        <w:spacing w:line="560" w:lineRule="exact"/>
        <w:ind w:left="105" w:leftChars="50" w:firstLine="480" w:firstLineChars="15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（2）检察业务工作的开展， 确保了二分院202</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年度检务公开、新媒体法制宣传、政策理论研究等相关检察工作的顺利开展。</w:t>
      </w:r>
    </w:p>
    <w:p>
      <w:pPr>
        <w:spacing w:line="560" w:lineRule="exact"/>
        <w:ind w:left="105" w:leftChars="50" w:firstLine="480" w:firstLineChars="150"/>
        <w:rPr>
          <w:rFonts w:ascii="仿宋_GB2312" w:hAnsi="仿宋_GB2312" w:eastAsia="仿宋_GB2312" w:cs="仿宋_GB2312"/>
          <w:color w:val="000000"/>
          <w:kern w:val="0"/>
          <w:sz w:val="32"/>
          <w:szCs w:val="32"/>
        </w:rPr>
      </w:pPr>
      <w:r>
        <w:rPr>
          <w:rFonts w:hint="eastAsia" w:ascii="仿宋_GB2312" w:hAnsi="宋体" w:eastAsia="仿宋_GB2312" w:cs="宋体"/>
          <w:color w:val="000000"/>
          <w:kern w:val="0"/>
          <w:sz w:val="32"/>
          <w:szCs w:val="32"/>
        </w:rPr>
        <w:t>（3）信息化运维项目的实施，</w:t>
      </w:r>
      <w:r>
        <w:rPr>
          <w:rFonts w:hint="eastAsia" w:ascii="仿宋_GB2312" w:hAnsi="仿宋_GB2312" w:eastAsia="仿宋_GB2312" w:cs="仿宋_GB2312"/>
          <w:bCs/>
          <w:sz w:val="32"/>
          <w:szCs w:val="32"/>
        </w:rPr>
        <w:t>保障项目基础设施、软件硬件正常运转，为业务开展提供支撑；提高工作效率，提高检察公信力的社会影响力、认知度。</w:t>
      </w:r>
    </w:p>
    <w:p>
      <w:pPr>
        <w:pStyle w:val="10"/>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（4）互联网接入费满足了专线接入互联网的工作需求，保障了检察业务公开与检察门户网站运行维护。</w:t>
      </w:r>
    </w:p>
    <w:p>
      <w:pPr>
        <w:ind w:firstLine="640" w:firstLineChars="200"/>
        <w:rPr>
          <w:rFonts w:ascii="仿宋_GB2312" w:hAnsi="仿宋_GB2312" w:eastAsia="仿宋_GB2312" w:cs="仿宋_GB2312"/>
          <w:bCs/>
          <w:sz w:val="32"/>
          <w:szCs w:val="32"/>
        </w:rPr>
      </w:pPr>
      <w:r>
        <w:rPr>
          <w:rFonts w:hint="eastAsia" w:ascii="仿宋_GB2312" w:hAnsi="宋体" w:eastAsia="仿宋_GB2312" w:cs="宋体"/>
          <w:color w:val="000000"/>
          <w:kern w:val="0"/>
          <w:sz w:val="32"/>
          <w:szCs w:val="32"/>
        </w:rPr>
        <w:t>（5）安保安检项目的实施，保证了单位和职工的安全，为检察业务的有序开展提供了安全秩序的办公场所；维护了单位秩序，提供安全稳定的工作环境，避免不良事故，提升检察工作效率；提供有效的安保服务，对维持办公秩序，保障良好检察工作氛围起到了持续的影响。</w:t>
      </w:r>
    </w:p>
    <w:p>
      <w:pPr>
        <w:pStyle w:val="10"/>
        <w:ind w:firstLine="640" w:firstLineChars="200"/>
      </w:pPr>
      <w:r>
        <w:rPr>
          <w:rFonts w:hint="eastAsia" w:ascii="仿宋_GB2312" w:hAnsi="宋体" w:eastAsia="仿宋_GB2312" w:cs="宋体"/>
          <w:color w:val="000000"/>
          <w:kern w:val="0"/>
          <w:sz w:val="32"/>
          <w:szCs w:val="32"/>
        </w:rPr>
        <w:t>（6）绩效评审咨询服务费的开展，保障了二分院发挥政府履职所需辅助性服务职能，有效提升单位内部控制工作水平。</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3.产出进度</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市检二分院工作贯穿全年，按照年初预算批复及年中追加调整预算批复，不断提升重点工作效率，2022年按计划完成了各项检察工作。</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4.产出成本</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2022年根据市财政预算批复，完成基本支出11,947.40万元，项目支出616.10万元。部门预算整体支出控制在预算批复范围内。</w:t>
      </w:r>
    </w:p>
    <w:p>
      <w:pPr>
        <w:pStyle w:val="5"/>
        <w:spacing w:before="0" w:after="0" w:line="560" w:lineRule="exact"/>
        <w:ind w:firstLine="643" w:firstLineChars="200"/>
        <w:rPr>
          <w:rFonts w:ascii="楷体" w:hAnsi="楷体" w:eastAsia="楷体" w:cs="楷体"/>
        </w:rPr>
      </w:pPr>
      <w:bookmarkStart w:id="18" w:name="_Toc26371"/>
      <w:bookmarkStart w:id="19" w:name="_Toc5691"/>
      <w:bookmarkStart w:id="20" w:name="_Toc9768"/>
      <w:r>
        <w:rPr>
          <w:rFonts w:hint="eastAsia" w:ascii="楷体" w:hAnsi="楷体" w:eastAsia="楷体" w:cs="楷体"/>
        </w:rPr>
        <w:t>（二）效果实现情况分析</w:t>
      </w:r>
      <w:bookmarkEnd w:id="18"/>
      <w:bookmarkEnd w:id="19"/>
      <w:bookmarkEnd w:id="20"/>
    </w:p>
    <w:p>
      <w:pPr>
        <w:spacing w:line="560" w:lineRule="exact"/>
        <w:ind w:firstLine="640" w:firstLineChars="200"/>
        <w:rPr>
          <w:rFonts w:hint="eastAsia" w:ascii="仿宋_GB2312" w:hAnsi="楷体" w:eastAsia="仿宋_GB2312"/>
          <w:bCs/>
          <w:kern w:val="0"/>
          <w:sz w:val="32"/>
          <w:szCs w:val="28"/>
          <w:lang w:eastAsia="zh-CN"/>
        </w:rPr>
      </w:pPr>
      <w:r>
        <w:rPr>
          <w:rFonts w:hint="eastAsia" w:ascii="仿宋_GB2312" w:hAnsi="楷体" w:eastAsia="仿宋_GB2312"/>
          <w:bCs/>
          <w:kern w:val="0"/>
          <w:sz w:val="32"/>
          <w:szCs w:val="28"/>
        </w:rPr>
        <w:t>1.</w:t>
      </w:r>
      <w:r>
        <w:rPr>
          <w:rFonts w:hint="eastAsia" w:ascii="仿宋_GB2312" w:hAnsi="楷体" w:eastAsia="仿宋_GB2312"/>
          <w:bCs/>
          <w:kern w:val="0"/>
          <w:sz w:val="32"/>
          <w:szCs w:val="28"/>
          <w:lang w:eastAsia="zh-CN"/>
        </w:rPr>
        <w:t>经济效益</w:t>
      </w:r>
    </w:p>
    <w:p>
      <w:pPr>
        <w:spacing w:line="560" w:lineRule="exact"/>
        <w:ind w:firstLine="640" w:firstLineChars="200"/>
        <w:rPr>
          <w:rFonts w:hint="default"/>
          <w:lang w:val="en-US" w:eastAsia="zh-CN"/>
        </w:rPr>
      </w:pPr>
      <w:r>
        <w:rPr>
          <w:rFonts w:hint="eastAsia" w:ascii="仿宋_GB2312" w:hAnsi="楷体" w:eastAsia="仿宋_GB2312" w:cs="Times New Roman"/>
          <w:b w:val="0"/>
          <w:bCs/>
          <w:kern w:val="0"/>
          <w:sz w:val="32"/>
          <w:szCs w:val="28"/>
          <w:lang w:val="en-US" w:eastAsia="zh-CN" w:bidi="ar-SA"/>
        </w:rPr>
        <w:t>不涉及</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lang w:val="en-US" w:eastAsia="zh-CN"/>
        </w:rPr>
        <w:t>2.</w:t>
      </w:r>
      <w:r>
        <w:rPr>
          <w:rFonts w:hint="eastAsia" w:ascii="仿宋_GB2312" w:hAnsi="楷体" w:eastAsia="仿宋_GB2312"/>
          <w:bCs/>
          <w:kern w:val="0"/>
          <w:sz w:val="32"/>
          <w:szCs w:val="28"/>
        </w:rPr>
        <w:t>社会效益</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做好常态化扫黑除恶斗争，依法办理“12.27”“1.14”等涉黑恶专案4件56人，审查发现职务犯罪线索130余条，追捕追诉犯罪事实8起，追赃挽损400余万元。周广森黑社会性质组织案等2场庭审获评北京市检察机关优秀示范庭。</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（2）提升监督办案质效，深化刑事诉讼监督。立案监督和监督调查各条线工作质效均位居三个分院之首，其中，监督公安机关立案11件、撤案3件，立案监督率与撤案监督率均为100%。</w:t>
      </w:r>
    </w:p>
    <w:p>
      <w:pPr>
        <w:spacing w:line="560" w:lineRule="exact"/>
        <w:ind w:firstLine="320" w:firstLineChars="100"/>
        <w:rPr>
          <w:rFonts w:hint="eastAsia" w:ascii="仿宋_GB2312" w:hAnsi="楷体" w:eastAsia="仿宋_GB2312"/>
          <w:bCs/>
          <w:kern w:val="0"/>
          <w:sz w:val="32"/>
          <w:szCs w:val="28"/>
          <w:lang w:eastAsia="zh-CN"/>
        </w:rPr>
      </w:pPr>
      <w:r>
        <w:rPr>
          <w:rFonts w:hint="eastAsia" w:ascii="仿宋_GB2312" w:hAnsi="楷体" w:eastAsia="仿宋_GB2312"/>
          <w:bCs/>
          <w:kern w:val="0"/>
          <w:sz w:val="32"/>
          <w:szCs w:val="28"/>
          <w:lang w:val="en-US" w:eastAsia="zh-CN"/>
        </w:rPr>
        <w:t xml:space="preserve"> 3</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eastAsia="zh-CN"/>
        </w:rPr>
        <w:t>环境效益</w:t>
      </w:r>
    </w:p>
    <w:p>
      <w:pPr>
        <w:spacing w:line="560" w:lineRule="exact"/>
        <w:ind w:firstLine="420" w:firstLineChars="200"/>
        <w:rPr>
          <w:rFonts w:hint="eastAsia" w:ascii="仿宋_GB2312" w:hAnsi="楷体" w:eastAsia="仿宋_GB2312" w:cs="Times New Roman"/>
          <w:b w:val="0"/>
          <w:bCs/>
          <w:kern w:val="0"/>
          <w:sz w:val="32"/>
          <w:szCs w:val="28"/>
          <w:lang w:val="en-US" w:eastAsia="zh-CN" w:bidi="ar-SA"/>
        </w:rPr>
      </w:pPr>
      <w:r>
        <w:rPr>
          <w:rFonts w:hint="eastAsia" w:eastAsia="仿宋_GB2312"/>
          <w:lang w:val="en-US" w:eastAsia="zh-CN"/>
        </w:rPr>
        <w:t xml:space="preserve">  </w:t>
      </w:r>
      <w:r>
        <w:rPr>
          <w:rFonts w:hint="eastAsia" w:ascii="仿宋_GB2312" w:hAnsi="楷体" w:eastAsia="仿宋_GB2312" w:cs="Times New Roman"/>
          <w:b w:val="0"/>
          <w:bCs/>
          <w:kern w:val="0"/>
          <w:sz w:val="32"/>
          <w:szCs w:val="28"/>
          <w:lang w:val="en-US" w:eastAsia="zh-CN" w:bidi="ar-SA"/>
        </w:rPr>
        <w:t>不涉及</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lang w:val="en-US" w:eastAsia="zh-CN"/>
        </w:rPr>
        <w:t>4</w:t>
      </w:r>
      <w:r>
        <w:rPr>
          <w:rFonts w:hint="eastAsia" w:ascii="仿宋_GB2312" w:hAnsi="楷体" w:eastAsia="仿宋_GB2312"/>
          <w:bCs/>
          <w:kern w:val="0"/>
          <w:sz w:val="32"/>
          <w:szCs w:val="28"/>
        </w:rPr>
        <w:t>.可持续性影响</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保障各项检察业务工作有序开展，围绕中心工作履行检察职能，在维护首都工作大局，维护社会安全稳定，强化法律监督等方面具有可持续性。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lang w:val="en-US" w:eastAsia="zh-CN"/>
        </w:rPr>
        <w:t>5</w:t>
      </w:r>
      <w:r>
        <w:rPr>
          <w:rFonts w:hint="eastAsia" w:ascii="仿宋_GB2312" w:hAnsi="楷体" w:eastAsia="仿宋_GB2312"/>
          <w:bCs/>
          <w:kern w:val="0"/>
          <w:sz w:val="32"/>
          <w:szCs w:val="28"/>
        </w:rPr>
        <w:t>.服务对象满意度</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服务对象满意度达到90%以上。</w:t>
      </w:r>
    </w:p>
    <w:p>
      <w:pPr>
        <w:pStyle w:val="4"/>
        <w:spacing w:line="560" w:lineRule="exact"/>
        <w:ind w:firstLineChars="200"/>
        <w:rPr>
          <w:sz w:val="32"/>
          <w:szCs w:val="32"/>
        </w:rPr>
      </w:pPr>
      <w:bookmarkStart w:id="21" w:name="_Toc28468"/>
      <w:bookmarkStart w:id="22" w:name="_Toc29313"/>
      <w:bookmarkStart w:id="23" w:name="_Toc21966"/>
      <w:r>
        <w:rPr>
          <w:rFonts w:hint="eastAsia"/>
          <w:sz w:val="32"/>
          <w:szCs w:val="32"/>
        </w:rPr>
        <w:t>四、预算管理情况分析</w:t>
      </w:r>
      <w:bookmarkEnd w:id="21"/>
      <w:bookmarkEnd w:id="22"/>
      <w:bookmarkEnd w:id="23"/>
    </w:p>
    <w:p>
      <w:pPr>
        <w:pStyle w:val="5"/>
        <w:spacing w:before="0" w:after="0" w:line="560" w:lineRule="exact"/>
        <w:ind w:firstLine="643" w:firstLineChars="200"/>
        <w:rPr>
          <w:rFonts w:ascii="楷体" w:hAnsi="楷体" w:eastAsia="楷体" w:cs="楷体"/>
        </w:rPr>
      </w:pPr>
      <w:bookmarkStart w:id="24" w:name="_Toc6692"/>
      <w:bookmarkStart w:id="25" w:name="_Toc16246"/>
      <w:bookmarkStart w:id="26" w:name="_Toc27"/>
      <w:r>
        <w:rPr>
          <w:rFonts w:hint="eastAsia" w:ascii="楷体" w:hAnsi="楷体" w:eastAsia="楷体" w:cs="楷体"/>
        </w:rPr>
        <w:t>（一）财务管理</w:t>
      </w:r>
      <w:bookmarkEnd w:id="24"/>
      <w:bookmarkEnd w:id="25"/>
      <w:bookmarkEnd w:id="26"/>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1.财务管理制度健全性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制定了《北京市人民检察院第二分院内部控制手册》，已建立《北京市人民检察院第二分院预算管理办法》《北京市人民检察院第二分院预算项目管理办法》《北京市人民检察院第二分院经费支出管理办法》《北京市人民检察院第二分院机关采购管理办法》《北京市人民检察院第二分院固定资产管理规定》《</w:t>
      </w:r>
      <w:r>
        <w:fldChar w:fldCharType="begin"/>
      </w:r>
      <w:r>
        <w:instrText xml:space="preserve"> HYPERLINK \l "_Toc5287" </w:instrText>
      </w:r>
      <w:r>
        <w:fldChar w:fldCharType="separate"/>
      </w:r>
      <w:r>
        <w:rPr>
          <w:rFonts w:hint="eastAsia" w:ascii="仿宋_GB2312" w:hAnsi="楷体" w:eastAsia="仿宋_GB2312"/>
          <w:bCs/>
          <w:kern w:val="0"/>
          <w:sz w:val="32"/>
          <w:szCs w:val="28"/>
        </w:rPr>
        <w:t>北京市人民检察院第二分院</w:t>
      </w:r>
      <w:r>
        <w:rPr>
          <w:rFonts w:hint="eastAsia" w:ascii="仿宋_GB2312" w:hAnsi="楷体" w:eastAsia="仿宋_GB2312"/>
          <w:bCs/>
          <w:kern w:val="0"/>
          <w:sz w:val="32"/>
          <w:szCs w:val="28"/>
        </w:rPr>
        <w:fldChar w:fldCharType="end"/>
      </w:r>
      <w:r>
        <w:fldChar w:fldCharType="begin"/>
      </w:r>
      <w:r>
        <w:instrText xml:space="preserve"> HYPERLINK \l "_Toc25220" </w:instrText>
      </w:r>
      <w:r>
        <w:fldChar w:fldCharType="separate"/>
      </w:r>
      <w:r>
        <w:rPr>
          <w:rFonts w:hint="eastAsia" w:ascii="仿宋_GB2312" w:hAnsi="楷体" w:eastAsia="仿宋_GB2312"/>
          <w:bCs/>
          <w:kern w:val="0"/>
          <w:sz w:val="32"/>
          <w:szCs w:val="28"/>
        </w:rPr>
        <w:t>货币资金管理办法</w:t>
      </w:r>
      <w:r>
        <w:rPr>
          <w:rFonts w:hint="eastAsia" w:ascii="仿宋_GB2312" w:hAnsi="楷体" w:eastAsia="仿宋_GB2312"/>
          <w:bCs/>
          <w:kern w:val="0"/>
          <w:sz w:val="32"/>
          <w:szCs w:val="28"/>
        </w:rPr>
        <w:fldChar w:fldCharType="end"/>
      </w:r>
      <w:r>
        <w:rPr>
          <w:rFonts w:hint="eastAsia" w:ascii="仿宋_GB2312" w:hAnsi="楷体" w:eastAsia="仿宋_GB2312"/>
          <w:bCs/>
          <w:kern w:val="0"/>
          <w:sz w:val="32"/>
          <w:szCs w:val="28"/>
        </w:rPr>
        <w:t>》《</w:t>
      </w:r>
      <w:r>
        <w:fldChar w:fldCharType="begin"/>
      </w:r>
      <w:r>
        <w:instrText xml:space="preserve"> HYPERLINK \l "_Toc22184" </w:instrText>
      </w:r>
      <w:r>
        <w:fldChar w:fldCharType="separate"/>
      </w:r>
      <w:r>
        <w:rPr>
          <w:rFonts w:hint="eastAsia" w:ascii="仿宋_GB2312" w:hAnsi="楷体" w:eastAsia="仿宋_GB2312"/>
          <w:bCs/>
          <w:kern w:val="0"/>
          <w:sz w:val="32"/>
          <w:szCs w:val="28"/>
        </w:rPr>
        <w:t>北京市人民检察院第二分院</w:t>
      </w:r>
      <w:r>
        <w:rPr>
          <w:rFonts w:hint="eastAsia" w:ascii="仿宋_GB2312" w:hAnsi="楷体" w:eastAsia="仿宋_GB2312"/>
          <w:bCs/>
          <w:kern w:val="0"/>
          <w:sz w:val="32"/>
          <w:szCs w:val="28"/>
        </w:rPr>
        <w:fldChar w:fldCharType="end"/>
      </w:r>
      <w:r>
        <w:fldChar w:fldCharType="begin"/>
      </w:r>
      <w:r>
        <w:instrText xml:space="preserve"> HYPERLINK \l "_Toc15411" </w:instrText>
      </w:r>
      <w:r>
        <w:fldChar w:fldCharType="separate"/>
      </w:r>
      <w:r>
        <w:rPr>
          <w:rFonts w:hint="eastAsia" w:ascii="仿宋_GB2312" w:hAnsi="楷体" w:eastAsia="仿宋_GB2312"/>
          <w:bCs/>
          <w:kern w:val="0"/>
          <w:sz w:val="32"/>
          <w:szCs w:val="28"/>
        </w:rPr>
        <w:t>合同管理办法</w:t>
      </w:r>
      <w:r>
        <w:rPr>
          <w:rFonts w:hint="eastAsia" w:ascii="仿宋_GB2312" w:hAnsi="楷体" w:eastAsia="仿宋_GB2312"/>
          <w:bCs/>
          <w:kern w:val="0"/>
          <w:sz w:val="32"/>
          <w:szCs w:val="28"/>
        </w:rPr>
        <w:fldChar w:fldCharType="end"/>
      </w:r>
      <w:r>
        <w:rPr>
          <w:rFonts w:hint="eastAsia" w:ascii="仿宋_GB2312" w:hAnsi="楷体" w:eastAsia="仿宋_GB2312"/>
          <w:bCs/>
          <w:kern w:val="0"/>
          <w:sz w:val="32"/>
          <w:szCs w:val="28"/>
        </w:rPr>
        <w:t>》等相关财务管理制度，对预算业务、收支业务、政府采购业务等均明确了控制流程和措施，部门财务管理制度较健全，各项规定合法、合规，具有一定可操作性。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2.资金使用合规性和安全性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资金支出按照市财政预算批复执行，2022年经费支出控制在预算批复范围内，严格按照各项制度和要求执行，资金使用合规，资金管理安全。经抽查部分项目会计凭证，市检二分院资金支出按照内部管理制度执行，未发现市检二分院资金有超范围、超标准支出的情况，审批手续严格规范。</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3.会计基础信息完善性</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市检二分院各项资金支出均参照国家、北京市相关制度及本单位已制定的财务制度执行，资金支出审批程序齐全，资金使用合规、安全。严格按照《财政部关于贯彻实施政府会计准则制度的通知》和市检察院、高检院的相关要求，开展会计和财务管理工作。通过梳理重点项目支出会计凭证及会计账簿、财务报告等基础信息，市检二分院会计基础信息和会计信息管理工作较为规范。</w:t>
      </w:r>
    </w:p>
    <w:p>
      <w:pPr>
        <w:pStyle w:val="5"/>
        <w:spacing w:before="0" w:after="0" w:line="560" w:lineRule="exact"/>
        <w:ind w:firstLine="643" w:firstLineChars="200"/>
        <w:rPr>
          <w:rFonts w:ascii="楷体" w:hAnsi="楷体" w:eastAsia="楷体" w:cs="楷体"/>
        </w:rPr>
      </w:pPr>
      <w:bookmarkStart w:id="27" w:name="_Toc4957"/>
      <w:bookmarkStart w:id="28" w:name="_Toc19340"/>
      <w:bookmarkStart w:id="29" w:name="_Toc5670"/>
      <w:r>
        <w:rPr>
          <w:rFonts w:hint="eastAsia" w:ascii="楷体" w:hAnsi="楷体" w:eastAsia="楷体" w:cs="楷体"/>
        </w:rPr>
        <w:t>（二）资产管理</w:t>
      </w:r>
      <w:bookmarkEnd w:id="27"/>
      <w:bookmarkEnd w:id="28"/>
      <w:bookmarkEnd w:id="29"/>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1.资产总体情况</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截至2022年12月31日，资产总额18,406.42万元，包括：货币资金64.05万元，占资产总额0.35%；财政应返还额度263.18万元，占资产总额1.43%；其他应收款净额2.00万元，占资产总额0.01%；固定资产净值17,442.82万元，占资产总额94.76%；无形资产净值577.18万元，占资产总额3.14%；受托代理资产57.19万元，占资产总额0.31%。</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固定资产中，土地、房屋及构筑物16,263.94万元，占固定资产的93.24%，其中，房屋16,263.94万元，占固定资产的93.24%；设备1,001.96万元，占5.74%（其中，车辆156.33万元，占0.90%，单价100万（含）以上（不含车辆）设备8.81万元，占0.05%）；文物和陈列品5.94万元，占0.03%；图书档案10.25万元，占0.06%；家具、用具160.73万元，占0.92%。</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截至2022年12月31日，自用固定资产原值27,206.17万元，其中:在用26,880.38万元，占账面固定资产总额原值的98.80%；待处置（待报废、毁损</w:t>
      </w:r>
      <w:bookmarkStart w:id="51" w:name="_GoBack"/>
      <w:bookmarkEnd w:id="51"/>
      <w:r>
        <w:rPr>
          <w:rFonts w:hint="eastAsia" w:ascii="仿宋_GB2312" w:hAnsi="楷体" w:eastAsia="仿宋_GB2312"/>
          <w:bCs/>
          <w:kern w:val="0"/>
          <w:sz w:val="32"/>
          <w:szCs w:val="28"/>
        </w:rPr>
        <w:t>等）</w:t>
      </w:r>
      <w:r>
        <w:rPr>
          <w:rFonts w:hint="eastAsia" w:ascii="仿宋_GB2312" w:hAnsi="楷体" w:eastAsia="仿宋_GB2312"/>
          <w:bCs/>
          <w:kern w:val="0"/>
          <w:sz w:val="32"/>
          <w:szCs w:val="28"/>
          <w:lang w:val="en-US" w:eastAsia="zh-CN"/>
        </w:rPr>
        <w:t>325.79</w:t>
      </w:r>
      <w:r>
        <w:rPr>
          <w:rFonts w:hint="eastAsia" w:ascii="仿宋_GB2312" w:hAnsi="楷体" w:eastAsia="仿宋_GB2312"/>
          <w:bCs/>
          <w:kern w:val="0"/>
          <w:sz w:val="32"/>
          <w:szCs w:val="28"/>
        </w:rPr>
        <w:t>万元，占账面固定资产总额原值的</w:t>
      </w:r>
      <w:r>
        <w:rPr>
          <w:rFonts w:hint="eastAsia" w:ascii="仿宋_GB2312" w:hAnsi="楷体" w:eastAsia="仿宋_GB2312"/>
          <w:bCs/>
          <w:kern w:val="0"/>
          <w:sz w:val="32"/>
          <w:szCs w:val="28"/>
          <w:lang w:val="en-US" w:eastAsia="zh-CN"/>
        </w:rPr>
        <w:t>1.2</w:t>
      </w:r>
      <w:r>
        <w:rPr>
          <w:rFonts w:hint="eastAsia" w:ascii="仿宋_GB2312" w:hAnsi="楷体" w:eastAsia="仿宋_GB2312"/>
          <w:bCs/>
          <w:kern w:val="0"/>
          <w:sz w:val="32"/>
          <w:szCs w:val="28"/>
        </w:rPr>
        <w:t>%。自用无形资产577.18万元，占账面无形资产总额的100.00%，均属于在用状态，无闲置、待处置情况。</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2.资产管理制度及过程管理情况</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制定了《北京市人民检察院第二分院固定资产管理规定》，明确了固定资产界定范围、管理机构及职责、固定资产分类、固定资产购置与验收、固定资产管理与维护、固定资产处置、固定资产清查盘点、固定资产信息系统管理与报告等内容。资产的购置、配置、领用、转移、调拨和处置等执行环节，严格按照国家及上级单位有关国有资产管理的规定和《北京市人民检察院第二分院固定资产管理规定》执行。固定资产由行政事务管理部实行归口管理，统一组织实施采购工作，采购人员、资产管理员和库房管理员共同进行验收，专业性较强的会同相关技术部门、需求部门共同完成验收。资产管理过程中领用、调拨、处置等程序规范，根据查阅固定资产台账，固定资产台账中资产名称、入账日期、资产价值、存放部门等资产相关信息记录完整，各项资产账账相符。</w:t>
      </w:r>
    </w:p>
    <w:p>
      <w:pPr>
        <w:pStyle w:val="5"/>
        <w:spacing w:before="0" w:after="0" w:line="560" w:lineRule="exact"/>
        <w:ind w:firstLine="643" w:firstLineChars="200"/>
        <w:rPr>
          <w:rFonts w:ascii="楷体" w:hAnsi="楷体" w:eastAsia="楷体" w:cs="楷体"/>
        </w:rPr>
      </w:pPr>
      <w:bookmarkStart w:id="30" w:name="_Toc26602"/>
      <w:bookmarkStart w:id="31" w:name="_Toc3086"/>
      <w:bookmarkStart w:id="32" w:name="_Toc4229"/>
      <w:r>
        <w:rPr>
          <w:rFonts w:hint="eastAsia" w:ascii="楷体" w:hAnsi="楷体" w:eastAsia="楷体" w:cs="楷体"/>
        </w:rPr>
        <w:t>（三）绩效管理</w:t>
      </w:r>
      <w:bookmarkEnd w:id="30"/>
      <w:bookmarkEnd w:id="31"/>
      <w:bookmarkEnd w:id="32"/>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根据北京市财政局关于预算绩效管理的要求，按照“预算编制有目标、预算执行有监控、预算完成有评价、评价结果有反馈、反馈结果有应用”的总体目标，深化推进全面预算绩效管理工作。将所有预算资金纳入部门预算绩效管理工作。</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2022年，按照北京市财政局要求对全部立项批复项目开展预算绩效监控工作，从预算资金执行、管理以及绩效目标完成等情况进行分析，进一步加强了预算绩效运行监控管理。</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对2022年度部门预算项目实施绩效自评工作，安保安检工作费用采用部门评价方式开展，出具绩效评价报告；5个项目采用单位自评方式进行评价，出具项目支出绩效自评表。总体评价结果来看，各项目能够较好地按照年初预算目标完成各项工作，绩效目标设定较为合理，各项目标及指标的完成情况较好，项目执行过程比较规范，符合相关制度要求，项目执行金额能够控制在预算范围内，项目效果基本达到预定目标。</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通过开展绩效监控和绩效评价工作，全面、客观地反映了项目实施的工作成效，对项目决策、项目过程、项目产出、项目效益方面存在的不足提出合理化建议，使预算管理更加科学、完善，进而规范资金的使用管理，强化项目实施部门预算成本控制，完善绩效管理工作，以点带面提升市检二分院预算绩效管理水平。</w:t>
      </w:r>
    </w:p>
    <w:p>
      <w:pPr>
        <w:pStyle w:val="5"/>
        <w:spacing w:before="0" w:after="0" w:line="560" w:lineRule="exact"/>
        <w:ind w:firstLine="643" w:firstLineChars="200"/>
        <w:rPr>
          <w:rFonts w:ascii="楷体" w:hAnsi="楷体" w:eastAsia="楷体" w:cs="楷体"/>
        </w:rPr>
      </w:pPr>
      <w:bookmarkStart w:id="33" w:name="_Toc14825"/>
      <w:bookmarkStart w:id="34" w:name="_Toc15736"/>
      <w:bookmarkStart w:id="35" w:name="_Toc17522"/>
      <w:r>
        <w:rPr>
          <w:rFonts w:hint="eastAsia" w:ascii="楷体" w:hAnsi="楷体" w:eastAsia="楷体" w:cs="楷体"/>
        </w:rPr>
        <w:t>（四）结转结余率</w:t>
      </w:r>
      <w:bookmarkEnd w:id="33"/>
      <w:bookmarkEnd w:id="34"/>
      <w:bookmarkEnd w:id="35"/>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市检二分院2022年预算年末结转结余266.67万元，全年预算支出12,563.50万元，结转结余率为2.12%，比上年结转结余率（1.34%）略高。</w:t>
      </w:r>
    </w:p>
    <w:p>
      <w:pPr>
        <w:pStyle w:val="5"/>
        <w:spacing w:before="0" w:after="0" w:line="560" w:lineRule="exact"/>
        <w:ind w:firstLine="643" w:firstLineChars="200"/>
        <w:rPr>
          <w:rFonts w:ascii="楷体" w:hAnsi="楷体" w:eastAsia="楷体" w:cs="楷体"/>
        </w:rPr>
      </w:pPr>
      <w:bookmarkStart w:id="36" w:name="_Toc2347"/>
      <w:bookmarkStart w:id="37" w:name="_Toc11444"/>
      <w:bookmarkStart w:id="38" w:name="_Toc20710"/>
      <w:r>
        <w:rPr>
          <w:rFonts w:hint="eastAsia" w:ascii="楷体" w:hAnsi="楷体" w:eastAsia="楷体" w:cs="楷体"/>
        </w:rPr>
        <w:t>（五）部门预决算差异率</w:t>
      </w:r>
      <w:bookmarkEnd w:id="36"/>
      <w:bookmarkEnd w:id="37"/>
      <w:bookmarkEnd w:id="38"/>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2022年，年初部门预算支出数12,052.84万元，年度部门决算支出数12,563.50万元，部门预决算差异率为4.24%，低于市级平均差异率（28.30%）</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1.支出预决算差异情况表（按支出性质）</w:t>
      </w:r>
    </w:p>
    <w:tbl>
      <w:tblPr>
        <w:tblStyle w:val="8"/>
        <w:tblW w:w="8523" w:type="dxa"/>
        <w:tblInd w:w="250" w:type="dxa"/>
        <w:tblLayout w:type="fixed"/>
        <w:tblCellMar>
          <w:top w:w="0" w:type="dxa"/>
          <w:left w:w="108" w:type="dxa"/>
          <w:bottom w:w="0" w:type="dxa"/>
          <w:right w:w="108" w:type="dxa"/>
        </w:tblCellMar>
      </w:tblPr>
      <w:tblGrid>
        <w:gridCol w:w="3065"/>
        <w:gridCol w:w="1912"/>
        <w:gridCol w:w="2066"/>
        <w:gridCol w:w="1480"/>
      </w:tblGrid>
      <w:tr>
        <w:tblPrEx>
          <w:tblLayout w:type="fixed"/>
          <w:tblCellMar>
            <w:top w:w="0" w:type="dxa"/>
            <w:left w:w="108" w:type="dxa"/>
            <w:bottom w:w="0" w:type="dxa"/>
            <w:right w:w="108" w:type="dxa"/>
          </w:tblCellMar>
        </w:tblPrEx>
        <w:trPr>
          <w:trHeight w:val="285" w:hRule="atLeast"/>
        </w:trPr>
        <w:tc>
          <w:tcPr>
            <w:tcW w:w="306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本年支出性质</w:t>
            </w:r>
          </w:p>
        </w:tc>
        <w:tc>
          <w:tcPr>
            <w:tcW w:w="1912"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年初预算数</w:t>
            </w:r>
          </w:p>
        </w:tc>
        <w:tc>
          <w:tcPr>
            <w:tcW w:w="2066"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年度决算数</w:t>
            </w:r>
          </w:p>
        </w:tc>
        <w:tc>
          <w:tcPr>
            <w:tcW w:w="148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差异率%</w:t>
            </w:r>
          </w:p>
        </w:tc>
      </w:tr>
      <w:tr>
        <w:tblPrEx>
          <w:tblLayout w:type="fixed"/>
          <w:tblCellMar>
            <w:top w:w="0" w:type="dxa"/>
            <w:left w:w="108" w:type="dxa"/>
            <w:bottom w:w="0" w:type="dxa"/>
            <w:right w:w="108" w:type="dxa"/>
          </w:tblCellMar>
        </w:tblPrEx>
        <w:trPr>
          <w:trHeight w:val="285" w:hRule="atLeast"/>
        </w:trPr>
        <w:tc>
          <w:tcPr>
            <w:tcW w:w="3065"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资金总体</w:t>
            </w:r>
          </w:p>
        </w:tc>
        <w:tc>
          <w:tcPr>
            <w:tcW w:w="19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30"/>
                <w:szCs w:val="30"/>
              </w:rPr>
            </w:pPr>
            <w:r>
              <w:rPr>
                <w:rFonts w:hint="eastAsia" w:ascii="宋体" w:hAnsi="宋体" w:cs="宋体"/>
                <w:kern w:val="0"/>
                <w:sz w:val="30"/>
                <w:szCs w:val="30"/>
              </w:rPr>
              <w:t>12,052.84</w:t>
            </w:r>
          </w:p>
        </w:tc>
        <w:tc>
          <w:tcPr>
            <w:tcW w:w="206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30"/>
                <w:szCs w:val="30"/>
              </w:rPr>
            </w:pPr>
            <w:r>
              <w:rPr>
                <w:rFonts w:hint="eastAsia" w:ascii="宋体" w:hAnsi="宋体" w:cs="宋体"/>
                <w:kern w:val="0"/>
                <w:sz w:val="30"/>
                <w:szCs w:val="30"/>
              </w:rPr>
              <w:t>12,563.50</w:t>
            </w:r>
          </w:p>
        </w:tc>
        <w:tc>
          <w:tcPr>
            <w:tcW w:w="1480"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4.24%</w:t>
            </w:r>
          </w:p>
        </w:tc>
      </w:tr>
      <w:tr>
        <w:tblPrEx>
          <w:tblLayout w:type="fixed"/>
          <w:tblCellMar>
            <w:top w:w="0" w:type="dxa"/>
            <w:left w:w="108" w:type="dxa"/>
            <w:bottom w:w="0" w:type="dxa"/>
            <w:right w:w="108" w:type="dxa"/>
          </w:tblCellMar>
        </w:tblPrEx>
        <w:trPr>
          <w:trHeight w:val="90" w:hRule="atLeast"/>
        </w:trPr>
        <w:tc>
          <w:tcPr>
            <w:tcW w:w="3065"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基本支出</w:t>
            </w:r>
          </w:p>
        </w:tc>
        <w:tc>
          <w:tcPr>
            <w:tcW w:w="1912"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11,208.44</w:t>
            </w:r>
          </w:p>
        </w:tc>
        <w:tc>
          <w:tcPr>
            <w:tcW w:w="2066"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11,947.40</w:t>
            </w:r>
          </w:p>
        </w:tc>
        <w:tc>
          <w:tcPr>
            <w:tcW w:w="1480"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6.59%</w:t>
            </w:r>
          </w:p>
        </w:tc>
      </w:tr>
      <w:tr>
        <w:tblPrEx>
          <w:tblLayout w:type="fixed"/>
          <w:tblCellMar>
            <w:top w:w="0" w:type="dxa"/>
            <w:left w:w="108" w:type="dxa"/>
            <w:bottom w:w="0" w:type="dxa"/>
            <w:right w:w="108" w:type="dxa"/>
          </w:tblCellMar>
        </w:tblPrEx>
        <w:trPr>
          <w:trHeight w:val="285" w:hRule="atLeast"/>
        </w:trPr>
        <w:tc>
          <w:tcPr>
            <w:tcW w:w="3065"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项目支出</w:t>
            </w:r>
          </w:p>
        </w:tc>
        <w:tc>
          <w:tcPr>
            <w:tcW w:w="1912"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844.40</w:t>
            </w:r>
          </w:p>
        </w:tc>
        <w:tc>
          <w:tcPr>
            <w:tcW w:w="2066"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616.10</w:t>
            </w:r>
          </w:p>
        </w:tc>
        <w:tc>
          <w:tcPr>
            <w:tcW w:w="1480"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-27.04%</w:t>
            </w:r>
          </w:p>
        </w:tc>
      </w:tr>
    </w:tbl>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2.支出预决算差异情况表（按功能科目）</w:t>
      </w:r>
    </w:p>
    <w:tbl>
      <w:tblPr>
        <w:tblStyle w:val="8"/>
        <w:tblW w:w="8523" w:type="dxa"/>
        <w:tblInd w:w="250" w:type="dxa"/>
        <w:tblLayout w:type="fixed"/>
        <w:tblCellMar>
          <w:top w:w="0" w:type="dxa"/>
          <w:left w:w="108" w:type="dxa"/>
          <w:bottom w:w="0" w:type="dxa"/>
          <w:right w:w="108" w:type="dxa"/>
        </w:tblCellMar>
      </w:tblPr>
      <w:tblGrid>
        <w:gridCol w:w="3065"/>
        <w:gridCol w:w="1912"/>
        <w:gridCol w:w="2066"/>
        <w:gridCol w:w="1480"/>
      </w:tblGrid>
      <w:tr>
        <w:tblPrEx>
          <w:tblLayout w:type="fixed"/>
          <w:tblCellMar>
            <w:top w:w="0" w:type="dxa"/>
            <w:left w:w="108" w:type="dxa"/>
            <w:bottom w:w="0" w:type="dxa"/>
            <w:right w:w="108" w:type="dxa"/>
          </w:tblCellMar>
        </w:tblPrEx>
        <w:trPr>
          <w:trHeight w:val="285" w:hRule="atLeast"/>
        </w:trPr>
        <w:tc>
          <w:tcPr>
            <w:tcW w:w="306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本年支出性质</w:t>
            </w:r>
          </w:p>
        </w:tc>
        <w:tc>
          <w:tcPr>
            <w:tcW w:w="1912"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年初预算数</w:t>
            </w:r>
          </w:p>
        </w:tc>
        <w:tc>
          <w:tcPr>
            <w:tcW w:w="2066"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年度决算数</w:t>
            </w:r>
          </w:p>
        </w:tc>
        <w:tc>
          <w:tcPr>
            <w:tcW w:w="148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差异率%</w:t>
            </w:r>
          </w:p>
        </w:tc>
      </w:tr>
      <w:tr>
        <w:tblPrEx>
          <w:tblLayout w:type="fixed"/>
          <w:tblCellMar>
            <w:top w:w="0" w:type="dxa"/>
            <w:left w:w="108" w:type="dxa"/>
            <w:bottom w:w="0" w:type="dxa"/>
            <w:right w:w="108" w:type="dxa"/>
          </w:tblCellMar>
        </w:tblPrEx>
        <w:trPr>
          <w:trHeight w:val="285" w:hRule="atLeast"/>
        </w:trPr>
        <w:tc>
          <w:tcPr>
            <w:tcW w:w="3065"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资金总体</w:t>
            </w:r>
          </w:p>
        </w:tc>
        <w:tc>
          <w:tcPr>
            <w:tcW w:w="191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cs="宋体"/>
                <w:color w:val="000000"/>
                <w:sz w:val="30"/>
                <w:szCs w:val="30"/>
              </w:rPr>
            </w:pPr>
            <w:r>
              <w:rPr>
                <w:rFonts w:hint="eastAsia" w:ascii="宋体" w:hAnsi="宋体" w:cs="宋体"/>
                <w:color w:val="000000"/>
                <w:sz w:val="30"/>
                <w:szCs w:val="30"/>
              </w:rPr>
              <w:t>12,052.84</w:t>
            </w:r>
          </w:p>
        </w:tc>
        <w:tc>
          <w:tcPr>
            <w:tcW w:w="206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30"/>
                <w:szCs w:val="30"/>
              </w:rPr>
            </w:pPr>
            <w:r>
              <w:rPr>
                <w:rFonts w:hint="eastAsia" w:ascii="宋体" w:hAnsi="宋体" w:cs="宋体"/>
                <w:color w:val="000000"/>
                <w:kern w:val="0"/>
                <w:sz w:val="30"/>
                <w:szCs w:val="30"/>
              </w:rPr>
              <w:t>12,563.50</w:t>
            </w:r>
          </w:p>
        </w:tc>
        <w:tc>
          <w:tcPr>
            <w:tcW w:w="1480"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4.24%</w:t>
            </w:r>
          </w:p>
        </w:tc>
      </w:tr>
      <w:tr>
        <w:tblPrEx>
          <w:tblLayout w:type="fixed"/>
          <w:tblCellMar>
            <w:top w:w="0" w:type="dxa"/>
            <w:left w:w="108" w:type="dxa"/>
            <w:bottom w:w="0" w:type="dxa"/>
            <w:right w:w="108" w:type="dxa"/>
          </w:tblCellMar>
        </w:tblPrEx>
        <w:trPr>
          <w:trHeight w:val="90" w:hRule="atLeast"/>
        </w:trPr>
        <w:tc>
          <w:tcPr>
            <w:tcW w:w="3065"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公共安全支出</w:t>
            </w:r>
          </w:p>
        </w:tc>
        <w:tc>
          <w:tcPr>
            <w:tcW w:w="1912" w:type="dxa"/>
            <w:tcBorders>
              <w:top w:val="nil"/>
              <w:left w:val="nil"/>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sz w:val="30"/>
                <w:szCs w:val="30"/>
              </w:rPr>
            </w:pPr>
            <w:r>
              <w:rPr>
                <w:rFonts w:hint="eastAsia" w:ascii="宋体" w:hAnsi="宋体" w:cs="宋体"/>
                <w:color w:val="000000"/>
                <w:sz w:val="30"/>
                <w:szCs w:val="30"/>
              </w:rPr>
              <w:t>1,0283.50</w:t>
            </w:r>
          </w:p>
        </w:tc>
        <w:tc>
          <w:tcPr>
            <w:tcW w:w="2066" w:type="dxa"/>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sz w:val="30"/>
                <w:szCs w:val="30"/>
              </w:rPr>
            </w:pPr>
            <w:r>
              <w:rPr>
                <w:rFonts w:hint="eastAsia" w:ascii="宋体" w:hAnsi="宋体" w:cs="宋体"/>
                <w:color w:val="000000"/>
                <w:sz w:val="30"/>
                <w:szCs w:val="30"/>
              </w:rPr>
              <w:t>10,782.02</w:t>
            </w:r>
          </w:p>
        </w:tc>
        <w:tc>
          <w:tcPr>
            <w:tcW w:w="1480" w:type="dxa"/>
            <w:tcBorders>
              <w:top w:val="nil"/>
              <w:left w:val="nil"/>
              <w:bottom w:val="single" w:color="auto" w:sz="4" w:space="0"/>
              <w:right w:val="single" w:color="auto" w:sz="4" w:space="0"/>
            </w:tcBorders>
            <w:shd w:val="clear" w:color="auto" w:fill="auto"/>
            <w:noWrap/>
            <w:vAlign w:val="bottom"/>
          </w:tcPr>
          <w:p>
            <w:pPr>
              <w:widowControl/>
              <w:jc w:val="right"/>
              <w:textAlignment w:val="bottom"/>
              <w:rPr>
                <w:rFonts w:ascii="宋体" w:hAnsi="宋体" w:cs="宋体"/>
                <w:kern w:val="0"/>
                <w:sz w:val="30"/>
                <w:szCs w:val="30"/>
              </w:rPr>
            </w:pPr>
            <w:r>
              <w:rPr>
                <w:rFonts w:hint="eastAsia" w:ascii="宋体" w:hAnsi="宋体" w:cs="宋体"/>
                <w:kern w:val="0"/>
                <w:sz w:val="30"/>
                <w:szCs w:val="30"/>
              </w:rPr>
              <w:t>4.85%</w:t>
            </w:r>
          </w:p>
        </w:tc>
      </w:tr>
      <w:tr>
        <w:tblPrEx>
          <w:tblLayout w:type="fixed"/>
          <w:tblCellMar>
            <w:top w:w="0" w:type="dxa"/>
            <w:left w:w="108" w:type="dxa"/>
            <w:bottom w:w="0" w:type="dxa"/>
            <w:right w:w="108" w:type="dxa"/>
          </w:tblCellMar>
        </w:tblPrEx>
        <w:trPr>
          <w:trHeight w:val="285" w:hRule="atLeast"/>
        </w:trPr>
        <w:tc>
          <w:tcPr>
            <w:tcW w:w="306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教育支出</w:t>
            </w:r>
          </w:p>
        </w:tc>
        <w:tc>
          <w:tcPr>
            <w:tcW w:w="19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sz w:val="30"/>
                <w:szCs w:val="30"/>
              </w:rPr>
            </w:pPr>
            <w:r>
              <w:rPr>
                <w:rFonts w:hint="eastAsia" w:ascii="宋体" w:hAnsi="宋体" w:cs="宋体"/>
                <w:color w:val="000000"/>
                <w:sz w:val="30"/>
                <w:szCs w:val="30"/>
              </w:rPr>
              <w:t>12.00</w:t>
            </w:r>
          </w:p>
        </w:tc>
        <w:tc>
          <w:tcPr>
            <w:tcW w:w="2066"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5.83</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kern w:val="0"/>
                <w:sz w:val="30"/>
                <w:szCs w:val="30"/>
              </w:rPr>
            </w:pPr>
            <w:r>
              <w:rPr>
                <w:rFonts w:hint="eastAsia" w:ascii="宋体" w:hAnsi="宋体" w:cs="宋体"/>
                <w:kern w:val="0"/>
                <w:sz w:val="30"/>
                <w:szCs w:val="30"/>
              </w:rPr>
              <w:t>-51.42%</w:t>
            </w:r>
          </w:p>
        </w:tc>
      </w:tr>
      <w:tr>
        <w:tblPrEx>
          <w:tblLayout w:type="fixed"/>
          <w:tblCellMar>
            <w:top w:w="0" w:type="dxa"/>
            <w:left w:w="108" w:type="dxa"/>
            <w:bottom w:w="0" w:type="dxa"/>
            <w:right w:w="108" w:type="dxa"/>
          </w:tblCellMar>
        </w:tblPrEx>
        <w:trPr>
          <w:trHeight w:val="285" w:hRule="atLeast"/>
        </w:trPr>
        <w:tc>
          <w:tcPr>
            <w:tcW w:w="306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社会保障和就业支出</w:t>
            </w:r>
          </w:p>
        </w:tc>
        <w:tc>
          <w:tcPr>
            <w:tcW w:w="19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sz w:val="30"/>
                <w:szCs w:val="30"/>
              </w:rPr>
            </w:pPr>
            <w:r>
              <w:rPr>
                <w:rFonts w:hint="eastAsia" w:ascii="宋体" w:hAnsi="宋体" w:cs="宋体"/>
                <w:color w:val="000000"/>
                <w:sz w:val="30"/>
                <w:szCs w:val="30"/>
              </w:rPr>
              <w:t>1,053.50</w:t>
            </w:r>
          </w:p>
        </w:tc>
        <w:tc>
          <w:tcPr>
            <w:tcW w:w="2066"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1,071.83</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kern w:val="0"/>
                <w:sz w:val="30"/>
                <w:szCs w:val="30"/>
              </w:rPr>
            </w:pPr>
            <w:r>
              <w:rPr>
                <w:rFonts w:hint="eastAsia" w:ascii="宋体" w:hAnsi="宋体" w:cs="宋体"/>
                <w:color w:val="000000"/>
                <w:kern w:val="0"/>
                <w:sz w:val="30"/>
                <w:szCs w:val="30"/>
              </w:rPr>
              <w:t>1.74%</w:t>
            </w:r>
          </w:p>
        </w:tc>
      </w:tr>
      <w:tr>
        <w:tblPrEx>
          <w:tblLayout w:type="fixed"/>
          <w:tblCellMar>
            <w:top w:w="0" w:type="dxa"/>
            <w:left w:w="108" w:type="dxa"/>
            <w:bottom w:w="0" w:type="dxa"/>
            <w:right w:w="108" w:type="dxa"/>
          </w:tblCellMar>
        </w:tblPrEx>
        <w:trPr>
          <w:trHeight w:val="285" w:hRule="atLeast"/>
        </w:trPr>
        <w:tc>
          <w:tcPr>
            <w:tcW w:w="306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kern w:val="0"/>
                <w:sz w:val="30"/>
                <w:szCs w:val="30"/>
              </w:rPr>
            </w:pPr>
            <w:r>
              <w:rPr>
                <w:rFonts w:hint="eastAsia" w:ascii="宋体" w:hAnsi="宋体" w:cs="宋体"/>
                <w:kern w:val="0"/>
                <w:sz w:val="30"/>
                <w:szCs w:val="30"/>
              </w:rPr>
              <w:t>卫生健康支出</w:t>
            </w:r>
          </w:p>
        </w:tc>
        <w:tc>
          <w:tcPr>
            <w:tcW w:w="19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kern w:val="0"/>
                <w:sz w:val="30"/>
                <w:szCs w:val="30"/>
              </w:rPr>
            </w:pPr>
            <w:r>
              <w:rPr>
                <w:rFonts w:hint="eastAsia" w:ascii="宋体" w:hAnsi="宋体" w:cs="宋体"/>
                <w:color w:val="000000"/>
                <w:kern w:val="0"/>
                <w:sz w:val="30"/>
                <w:szCs w:val="30"/>
              </w:rPr>
              <w:t>703.84</w:t>
            </w:r>
          </w:p>
        </w:tc>
        <w:tc>
          <w:tcPr>
            <w:tcW w:w="2066"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rPr>
                <w:rFonts w:ascii="宋体" w:hAnsi="宋体" w:cs="宋体"/>
                <w:kern w:val="0"/>
                <w:sz w:val="30"/>
                <w:szCs w:val="30"/>
              </w:rPr>
            </w:pPr>
            <w:r>
              <w:rPr>
                <w:rFonts w:hint="eastAsia" w:ascii="宋体" w:hAnsi="宋体" w:cs="宋体"/>
                <w:kern w:val="0"/>
                <w:sz w:val="30"/>
                <w:szCs w:val="30"/>
              </w:rPr>
              <w:t>703.82</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right"/>
              <w:textAlignment w:val="bottom"/>
              <w:rPr>
                <w:rFonts w:ascii="宋体" w:hAnsi="宋体" w:cs="宋体"/>
                <w:color w:val="000000"/>
                <w:kern w:val="0"/>
                <w:sz w:val="30"/>
                <w:szCs w:val="30"/>
              </w:rPr>
            </w:pPr>
            <w:r>
              <w:rPr>
                <w:rFonts w:hint="eastAsia" w:ascii="宋体" w:hAnsi="宋体" w:cs="宋体"/>
                <w:color w:val="000000"/>
                <w:kern w:val="0"/>
                <w:sz w:val="30"/>
                <w:szCs w:val="30"/>
              </w:rPr>
              <w:t>-0.0014%</w:t>
            </w:r>
          </w:p>
        </w:tc>
      </w:tr>
    </w:tbl>
    <w:p>
      <w:pPr>
        <w:pStyle w:val="4"/>
        <w:spacing w:line="560" w:lineRule="exact"/>
        <w:ind w:firstLineChars="200"/>
        <w:rPr>
          <w:sz w:val="32"/>
          <w:szCs w:val="32"/>
        </w:rPr>
      </w:pPr>
      <w:bookmarkStart w:id="39" w:name="_Toc4804"/>
      <w:bookmarkStart w:id="40" w:name="_Toc24721"/>
      <w:bookmarkStart w:id="41" w:name="_Toc14920"/>
      <w:r>
        <w:rPr>
          <w:rFonts w:hint="eastAsia"/>
          <w:sz w:val="32"/>
          <w:szCs w:val="32"/>
        </w:rPr>
        <w:t>五、总体评价结论</w:t>
      </w:r>
      <w:bookmarkEnd w:id="39"/>
      <w:bookmarkEnd w:id="40"/>
      <w:bookmarkEnd w:id="41"/>
    </w:p>
    <w:p>
      <w:pPr>
        <w:pStyle w:val="5"/>
        <w:spacing w:before="0" w:after="0" w:line="560" w:lineRule="exact"/>
        <w:ind w:firstLine="643" w:firstLineChars="200"/>
        <w:rPr>
          <w:rFonts w:ascii="楷体" w:hAnsi="楷体" w:eastAsia="楷体" w:cs="楷体"/>
        </w:rPr>
      </w:pPr>
      <w:bookmarkStart w:id="42" w:name="_Toc1715"/>
      <w:bookmarkStart w:id="43" w:name="_Toc230"/>
      <w:bookmarkStart w:id="44" w:name="_Toc19132"/>
      <w:r>
        <w:rPr>
          <w:rFonts w:hint="eastAsia" w:ascii="楷体" w:hAnsi="楷体" w:eastAsia="楷体" w:cs="楷体"/>
        </w:rPr>
        <w:t>（一）评价得分情况</w:t>
      </w:r>
      <w:bookmarkEnd w:id="42"/>
      <w:bookmarkEnd w:id="43"/>
      <w:bookmarkEnd w:id="44"/>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经评价，市检二分院2022年度部门整体支出绩效评价总得分93.58分，评价结果为“优秀”。其中当年预算执行情况得分为19.58分；整体绩效目标实现情况得分为54.00分；预算管理情况得分20.00分。</w:t>
      </w:r>
    </w:p>
    <w:p>
      <w:pPr>
        <w:pStyle w:val="5"/>
        <w:spacing w:before="0" w:after="0" w:line="560" w:lineRule="exact"/>
        <w:ind w:firstLine="643" w:firstLineChars="200"/>
        <w:rPr>
          <w:rFonts w:ascii="楷体" w:hAnsi="楷体" w:eastAsia="楷体" w:cs="楷体"/>
        </w:rPr>
      </w:pPr>
      <w:bookmarkStart w:id="45" w:name="_Toc3290"/>
      <w:bookmarkStart w:id="46" w:name="_Toc5132"/>
      <w:bookmarkStart w:id="47" w:name="_Toc9881"/>
      <w:r>
        <w:rPr>
          <w:rFonts w:hint="eastAsia" w:ascii="楷体" w:hAnsi="楷体" w:eastAsia="楷体" w:cs="楷体"/>
        </w:rPr>
        <w:t>（二）存在的问题及原因分析</w:t>
      </w:r>
      <w:bookmarkEnd w:id="45"/>
      <w:bookmarkEnd w:id="46"/>
      <w:bookmarkEnd w:id="47"/>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部分项目前期需求论证不够充分，缺少结合项目实际情况开展需求调研，项目立项的必要性、可行性论证待加强。大多数项目为延续性项目，个别项目缺少组织实施方案或管理制度，对于项目管理机构、人员职责分工、工作进度安排和过程管控措施等内容不够明确。</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2.项目绩效目标设置不够细化、量化。存在个别指标缺失、绩效目标的设定未涵盖项目所有内容、产出和效益指标之间不够对应、服务对象范围考虑不全面等问题。</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3.部分项目</w:t>
      </w:r>
      <w:r>
        <w:rPr>
          <w:rFonts w:hint="eastAsia" w:ascii="仿宋_GB2312" w:hAnsi="宋体" w:eastAsia="仿宋_GB2312" w:cs="宋体"/>
          <w:color w:val="000000"/>
          <w:kern w:val="0"/>
          <w:sz w:val="32"/>
          <w:szCs w:val="32"/>
        </w:rPr>
        <w:t>缺乏对项目实施情况、效益效果实现情况的历年比较分析，</w:t>
      </w:r>
      <w:r>
        <w:rPr>
          <w:rFonts w:hint="eastAsia" w:ascii="仿宋_GB2312" w:hAnsi="楷体" w:eastAsia="仿宋_GB2312"/>
          <w:bCs/>
          <w:kern w:val="0"/>
          <w:sz w:val="32"/>
          <w:szCs w:val="28"/>
        </w:rPr>
        <w:t>效益效果体现资料有待完善。部分项目服务对象满意度调查开展不够全面</w:t>
      </w:r>
      <w:r>
        <w:rPr>
          <w:rFonts w:hint="eastAsia" w:ascii="仿宋_GB2312" w:hAnsi="宋体" w:eastAsia="仿宋_GB2312" w:cs="宋体"/>
          <w:color w:val="000000"/>
          <w:kern w:val="0"/>
          <w:sz w:val="32"/>
          <w:szCs w:val="32"/>
        </w:rPr>
        <w:t>，未充分反映项目服务对象满意度效果</w:t>
      </w:r>
      <w:r>
        <w:rPr>
          <w:rFonts w:hint="eastAsia" w:ascii="仿宋_GB2312" w:hAnsi="楷体" w:eastAsia="仿宋_GB2312"/>
          <w:bCs/>
          <w:kern w:val="0"/>
          <w:sz w:val="32"/>
          <w:szCs w:val="28"/>
        </w:rPr>
        <w:t>，满意度调查规范性有待加强。</w:t>
      </w:r>
    </w:p>
    <w:p>
      <w:pPr>
        <w:pStyle w:val="4"/>
        <w:spacing w:line="560" w:lineRule="exact"/>
        <w:ind w:firstLineChars="200"/>
        <w:rPr>
          <w:sz w:val="32"/>
          <w:szCs w:val="32"/>
        </w:rPr>
      </w:pPr>
      <w:bookmarkStart w:id="48" w:name="_Toc5476"/>
      <w:bookmarkStart w:id="49" w:name="_Toc22560"/>
      <w:bookmarkStart w:id="50" w:name="_Toc863"/>
      <w:r>
        <w:rPr>
          <w:rFonts w:hint="eastAsia"/>
          <w:sz w:val="32"/>
          <w:szCs w:val="32"/>
        </w:rPr>
        <w:t>六、措施建议</w:t>
      </w:r>
      <w:bookmarkEnd w:id="48"/>
      <w:bookmarkEnd w:id="49"/>
      <w:bookmarkEnd w:id="50"/>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1.加强项目前期调研和需求论证，常规性项目，结合以前年度项目执行情况、绩效情况，制定年度需求与目标。</w:t>
      </w:r>
      <w:r>
        <w:rPr>
          <w:rFonts w:hint="eastAsia" w:ascii="仿宋_GB2312" w:eastAsia="仿宋_GB2312"/>
          <w:sz w:val="32"/>
          <w:szCs w:val="32"/>
        </w:rPr>
        <w:t>健全完善项目实施方案和管理制度。根据项目以前年度实施情况或预期计划，制定切实可行的实施方案和管理制度，明确项目管理各项要素，合理安排项目人员分工、进度计划，强化过程管控，增强对项目实施的指导和约束作用，加强项目实施过程控制及监督管理。</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2.提高全面绩效管理意识，加强绩效目标设定合理性、规范性。充分结合实际业务、预算内容，科学、完整地设置绩效目标与指标，并保证绩效目标与指标的对应关系，指标设置做到细化、量化、可衡量。</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3.注重项目效益资料收集，项目负责人对项目质量和效益资料完整性负责，项目效益效果资料和数据支撑充分。全面开展服务对象满意度调查及分析，充分反映项目服务对象满意度效果，全面客观地呈现财政资金的使用效益。</w:t>
      </w:r>
    </w:p>
    <w:p>
      <w:pPr>
        <w:pStyle w:val="7"/>
        <w:jc w:val="left"/>
        <w:rPr>
          <w:rFonts w:hint="eastAsia" w:ascii="仿宋_GB2312" w:hAnsi="楷体" w:eastAsia="仿宋_GB2312"/>
          <w:bCs/>
          <w:kern w:val="0"/>
          <w:sz w:val="32"/>
          <w:szCs w:val="28"/>
          <w:lang w:val="en-US" w:eastAsia="zh-CN"/>
        </w:rPr>
      </w:pPr>
      <w:r>
        <w:rPr>
          <w:rFonts w:hint="eastAsia" w:ascii="仿宋_GB2312" w:hAnsi="楷体" w:eastAsia="仿宋_GB2312"/>
          <w:bCs/>
          <w:kern w:val="0"/>
          <w:sz w:val="32"/>
          <w:szCs w:val="28"/>
          <w:lang w:val="en-US" w:eastAsia="zh-CN"/>
        </w:rPr>
        <w:t xml:space="preserve">   </w:t>
      </w:r>
    </w:p>
    <w:p>
      <w:pPr>
        <w:pStyle w:val="7"/>
        <w:ind w:firstLine="640" w:firstLineChars="200"/>
        <w:jc w:val="left"/>
        <w:rPr>
          <w:rFonts w:hint="default" w:ascii="仿宋_GB2312" w:hAnsi="楷体" w:eastAsia="仿宋_GB2312" w:cs="Times New Roman"/>
          <w:b w:val="0"/>
          <w:bCs/>
          <w:kern w:val="0"/>
          <w:sz w:val="32"/>
          <w:szCs w:val="28"/>
          <w:lang w:val="en-US" w:eastAsia="zh-CN" w:bidi="ar-SA"/>
        </w:rPr>
      </w:pPr>
      <w:r>
        <w:rPr>
          <w:rFonts w:hint="eastAsia" w:ascii="仿宋_GB2312" w:hAnsi="楷体" w:eastAsia="仿宋_GB2312" w:cs="Times New Roman"/>
          <w:b w:val="0"/>
          <w:bCs/>
          <w:kern w:val="0"/>
          <w:sz w:val="32"/>
          <w:szCs w:val="28"/>
          <w:lang w:val="en-US" w:eastAsia="zh-CN" w:bidi="ar-SA"/>
        </w:rPr>
        <w:t>附件：2022年部门整体绩效评价指标体系评分表</w:t>
      </w:r>
    </w:p>
    <w:p>
      <w:pPr>
        <w:pStyle w:val="3"/>
        <w:rPr>
          <w:rFonts w:hint="eastAsia" w:ascii="仿宋_GB2312" w:hAnsi="楷体" w:eastAsia="仿宋_GB2312"/>
          <w:bCs/>
          <w:kern w:val="0"/>
          <w:sz w:val="32"/>
          <w:szCs w:val="28"/>
        </w:rPr>
      </w:pPr>
    </w:p>
    <w:p>
      <w:pPr>
        <w:rPr>
          <w:rFonts w:hint="eastAsia" w:ascii="仿宋_GB2312" w:hAnsi="楷体" w:eastAsia="仿宋_GB2312"/>
          <w:bCs/>
          <w:kern w:val="0"/>
          <w:sz w:val="32"/>
          <w:szCs w:val="28"/>
        </w:rPr>
      </w:pPr>
    </w:p>
    <w:p>
      <w:pPr>
        <w:pStyle w:val="7"/>
        <w:rPr>
          <w:rFonts w:hint="eastAsia" w:ascii="仿宋_GB2312" w:hAnsi="楷体" w:eastAsia="仿宋_GB2312"/>
          <w:bCs/>
          <w:kern w:val="0"/>
          <w:sz w:val="32"/>
          <w:szCs w:val="28"/>
        </w:rPr>
      </w:pPr>
    </w:p>
    <w:p>
      <w:pPr>
        <w:pStyle w:val="3"/>
        <w:rPr>
          <w:rFonts w:hint="eastAsia" w:ascii="仿宋_GB2312" w:hAnsi="楷体" w:eastAsia="仿宋_GB2312"/>
          <w:bCs/>
          <w:kern w:val="0"/>
          <w:sz w:val="32"/>
          <w:szCs w:val="28"/>
        </w:rPr>
      </w:pPr>
    </w:p>
    <w:p>
      <w:pPr>
        <w:rPr>
          <w:rFonts w:hint="eastAsia" w:ascii="仿宋_GB2312" w:hAnsi="楷体" w:eastAsia="仿宋_GB2312"/>
          <w:bCs/>
          <w:kern w:val="0"/>
          <w:sz w:val="32"/>
          <w:szCs w:val="28"/>
        </w:rPr>
      </w:pPr>
    </w:p>
    <w:p>
      <w:pPr>
        <w:pStyle w:val="7"/>
        <w:jc w:val="left"/>
        <w:rPr>
          <w:rFonts w:hint="eastAsia" w:eastAsia="宋体"/>
          <w:lang w:eastAsia="zh-CN"/>
        </w:rPr>
      </w:pPr>
      <w:r>
        <w:rPr>
          <w:rFonts w:hint="eastAsia"/>
          <w:lang w:eastAsia="zh-CN"/>
        </w:rPr>
        <w:t>附件</w:t>
      </w:r>
    </w:p>
    <w:tbl>
      <w:tblPr>
        <w:tblStyle w:val="8"/>
        <w:tblW w:w="14174" w:type="dxa"/>
        <w:tblInd w:w="0" w:type="dxa"/>
        <w:tblLayout w:type="fixed"/>
        <w:tblCellMar>
          <w:top w:w="0" w:type="dxa"/>
          <w:left w:w="108" w:type="dxa"/>
          <w:bottom w:w="0" w:type="dxa"/>
          <w:right w:w="108" w:type="dxa"/>
        </w:tblCellMar>
      </w:tblPr>
      <w:tblGrid>
        <w:gridCol w:w="619"/>
        <w:gridCol w:w="639"/>
        <w:gridCol w:w="902"/>
        <w:gridCol w:w="805"/>
        <w:gridCol w:w="638"/>
        <w:gridCol w:w="460"/>
        <w:gridCol w:w="561"/>
        <w:gridCol w:w="3804"/>
        <w:gridCol w:w="5746"/>
      </w:tblGrid>
      <w:tr>
        <w:tblPrEx>
          <w:tblLayout w:type="fixed"/>
          <w:tblCellMar>
            <w:top w:w="0" w:type="dxa"/>
            <w:left w:w="108" w:type="dxa"/>
            <w:bottom w:w="0" w:type="dxa"/>
            <w:right w:w="108" w:type="dxa"/>
          </w:tblCellMar>
        </w:tblPrEx>
        <w:trPr>
          <w:cantSplit/>
          <w:trHeight w:val="90" w:hRule="atLeast"/>
        </w:trPr>
        <w:tc>
          <w:tcPr>
            <w:tcW w:w="14174" w:type="dxa"/>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highlight w:val="yellow"/>
              </w:rPr>
            </w:pPr>
            <w:r>
              <w:rPr>
                <w:rFonts w:hint="eastAsia" w:ascii="方正小标宋简体" w:hAnsi="黑体" w:eastAsia="方正小标宋简体" w:cs="宋体"/>
                <w:color w:val="000000"/>
                <w:kern w:val="0"/>
                <w:sz w:val="44"/>
                <w:szCs w:val="44"/>
              </w:rPr>
              <w:t>2022年部门整体绩效评价指标体系评分表</w:t>
            </w:r>
          </w:p>
        </w:tc>
      </w:tr>
      <w:tr>
        <w:tblPrEx>
          <w:tblLayout w:type="fixed"/>
          <w:tblCellMar>
            <w:top w:w="0" w:type="dxa"/>
            <w:left w:w="108" w:type="dxa"/>
            <w:bottom w:w="0" w:type="dxa"/>
            <w:right w:w="108" w:type="dxa"/>
          </w:tblCellMar>
        </w:tblPrEx>
        <w:trPr>
          <w:cantSplit/>
          <w:trHeight w:val="470" w:hRule="atLeast"/>
        </w:trPr>
        <w:tc>
          <w:tcPr>
            <w:tcW w:w="14174" w:type="dxa"/>
            <w:gridSpan w:val="9"/>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一、</w:t>
            </w:r>
            <w:r>
              <w:rPr>
                <w:rFonts w:hint="eastAsia" w:ascii="宋体" w:hAnsi="宋体" w:cs="宋体"/>
                <w:b/>
                <w:bCs/>
                <w:color w:val="000000"/>
                <w:kern w:val="0"/>
                <w:sz w:val="20"/>
                <w:szCs w:val="20"/>
              </w:rPr>
              <w:t>当年预算执行情况（20分）</w:t>
            </w:r>
          </w:p>
        </w:tc>
      </w:tr>
      <w:tr>
        <w:tblPrEx>
          <w:tblLayout w:type="fixed"/>
          <w:tblCellMar>
            <w:top w:w="0" w:type="dxa"/>
            <w:left w:w="108" w:type="dxa"/>
            <w:bottom w:w="0" w:type="dxa"/>
            <w:right w:w="108" w:type="dxa"/>
          </w:tblCellMar>
        </w:tblPrEx>
        <w:trPr>
          <w:cantSplit/>
          <w:trHeight w:val="90" w:hRule="atLeast"/>
        </w:trPr>
        <w:tc>
          <w:tcPr>
            <w:tcW w:w="6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一</w:t>
            </w:r>
            <w:r>
              <w:rPr>
                <w:rFonts w:ascii="宋体" w:hAnsi="宋体" w:cs="宋体"/>
                <w:b/>
                <w:bCs/>
                <w:color w:val="000000"/>
                <w:kern w:val="0"/>
                <w:sz w:val="20"/>
                <w:szCs w:val="20"/>
              </w:rPr>
              <w:t>级指标</w:t>
            </w: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二</w:t>
            </w:r>
            <w:r>
              <w:rPr>
                <w:rFonts w:ascii="宋体" w:hAnsi="宋体" w:cs="宋体"/>
                <w:b/>
                <w:bCs/>
                <w:color w:val="000000"/>
                <w:kern w:val="0"/>
                <w:sz w:val="20"/>
                <w:szCs w:val="20"/>
              </w:rPr>
              <w:t>级指标</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预算数</w:t>
            </w:r>
          </w:p>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（万元）</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执行数</w:t>
            </w:r>
          </w:p>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（万元）</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预算执行率</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分值</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得分</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指标解释</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评分标准</w:t>
            </w:r>
          </w:p>
        </w:tc>
      </w:tr>
      <w:tr>
        <w:tblPrEx>
          <w:tblLayout w:type="fixed"/>
          <w:tblCellMar>
            <w:top w:w="0" w:type="dxa"/>
            <w:left w:w="108" w:type="dxa"/>
            <w:bottom w:w="0" w:type="dxa"/>
            <w:right w:w="108" w:type="dxa"/>
          </w:tblCellMar>
        </w:tblPrEx>
        <w:trPr>
          <w:cantSplit/>
          <w:trHeight w:val="630" w:hRule="atLeast"/>
        </w:trPr>
        <w:tc>
          <w:tcPr>
            <w:tcW w:w="61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12,830.17</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12,563.50</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97.92%</w:t>
            </w:r>
          </w:p>
        </w:tc>
        <w:tc>
          <w:tcPr>
            <w:tcW w:w="46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61"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19.58</w:t>
            </w:r>
          </w:p>
        </w:tc>
        <w:tc>
          <w:tcPr>
            <w:tcW w:w="3804"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574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cantSplit/>
          <w:trHeight w:val="60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12,152.82</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11,947.40</w:t>
            </w:r>
          </w:p>
        </w:tc>
        <w:tc>
          <w:tcPr>
            <w:tcW w:w="638"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15"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677.35</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616.10</w:t>
            </w:r>
          </w:p>
        </w:tc>
        <w:tc>
          <w:tcPr>
            <w:tcW w:w="638"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25"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38"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79" w:hRule="atLeast"/>
        </w:trPr>
        <w:tc>
          <w:tcPr>
            <w:tcW w:w="14174" w:type="dxa"/>
            <w:gridSpan w:val="9"/>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二</w:t>
            </w:r>
            <w:r>
              <w:rPr>
                <w:rFonts w:ascii="宋体" w:hAnsi="宋体" w:cs="宋体"/>
                <w:b/>
                <w:bCs/>
                <w:color w:val="000000"/>
                <w:kern w:val="0"/>
                <w:sz w:val="18"/>
                <w:szCs w:val="18"/>
              </w:rPr>
              <w:t>、</w:t>
            </w:r>
            <w:r>
              <w:rPr>
                <w:rFonts w:hint="eastAsia" w:ascii="宋体" w:hAnsi="宋体" w:cs="宋体"/>
                <w:b/>
                <w:bCs/>
                <w:color w:val="000000"/>
                <w:kern w:val="0"/>
                <w:sz w:val="20"/>
                <w:szCs w:val="20"/>
              </w:rPr>
              <w:t>整体绩效目标实现情况（60分）</w:t>
            </w:r>
          </w:p>
        </w:tc>
      </w:tr>
      <w:tr>
        <w:tblPrEx>
          <w:tblLayout w:type="fixed"/>
          <w:tblCellMar>
            <w:top w:w="0" w:type="dxa"/>
            <w:left w:w="108" w:type="dxa"/>
            <w:bottom w:w="0" w:type="dxa"/>
            <w:right w:w="108" w:type="dxa"/>
          </w:tblCellMar>
        </w:tblPrEx>
        <w:trPr>
          <w:cantSplit/>
          <w:trHeight w:val="499" w:hRule="atLeast"/>
        </w:trPr>
        <w:tc>
          <w:tcPr>
            <w:tcW w:w="6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一</w:t>
            </w:r>
            <w:r>
              <w:rPr>
                <w:rFonts w:ascii="宋体" w:hAnsi="宋体" w:cs="宋体"/>
                <w:b/>
                <w:bCs/>
                <w:color w:val="000000"/>
                <w:kern w:val="0"/>
                <w:sz w:val="20"/>
                <w:szCs w:val="20"/>
              </w:rPr>
              <w:t>级指标</w:t>
            </w: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二</w:t>
            </w:r>
            <w:r>
              <w:rPr>
                <w:rFonts w:ascii="宋体" w:hAnsi="宋体" w:cs="宋体"/>
                <w:b/>
                <w:bCs/>
                <w:color w:val="000000"/>
                <w:kern w:val="0"/>
                <w:sz w:val="20"/>
                <w:szCs w:val="20"/>
              </w:rPr>
              <w:t>级指标</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三</w:t>
            </w:r>
            <w:r>
              <w:rPr>
                <w:rFonts w:ascii="宋体" w:hAnsi="宋体" w:cs="宋体"/>
                <w:b/>
                <w:bCs/>
                <w:color w:val="000000"/>
                <w:kern w:val="0"/>
                <w:sz w:val="20"/>
                <w:szCs w:val="20"/>
              </w:rPr>
              <w:t>级指标</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指标值</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完成值</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分值</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得分</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w:t>
            </w:r>
            <w:r>
              <w:rPr>
                <w:rFonts w:ascii="宋体" w:hAnsi="宋体" w:cs="宋体"/>
                <w:b/>
                <w:bCs/>
                <w:color w:val="000000"/>
                <w:kern w:val="0"/>
                <w:sz w:val="18"/>
                <w:szCs w:val="18"/>
              </w:rPr>
              <w:t>解释</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评</w:t>
            </w:r>
            <w:r>
              <w:rPr>
                <w:rFonts w:ascii="宋体" w:hAnsi="宋体" w:cs="宋体"/>
                <w:b/>
                <w:bCs/>
                <w:color w:val="000000"/>
                <w:kern w:val="0"/>
                <w:sz w:val="18"/>
                <w:szCs w:val="18"/>
              </w:rPr>
              <w:t>分标准</w:t>
            </w:r>
          </w:p>
        </w:tc>
      </w:tr>
      <w:tr>
        <w:tblPrEx>
          <w:tblLayout w:type="fixed"/>
          <w:tblCellMar>
            <w:top w:w="0" w:type="dxa"/>
            <w:left w:w="108" w:type="dxa"/>
            <w:bottom w:w="0" w:type="dxa"/>
            <w:right w:w="108" w:type="dxa"/>
          </w:tblCellMar>
        </w:tblPrEx>
        <w:trPr>
          <w:cantSplit/>
          <w:trHeight w:val="1833" w:hRule="atLeast"/>
        </w:trPr>
        <w:tc>
          <w:tcPr>
            <w:tcW w:w="61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63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805"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案件办结数量等业务指标</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部门产出数量提升及达到标准</w:t>
            </w:r>
          </w:p>
        </w:tc>
        <w:tc>
          <w:tcPr>
            <w:tcW w:w="460"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56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804"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574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Layout w:type="fixed"/>
          <w:tblCellMar>
            <w:top w:w="0" w:type="dxa"/>
            <w:left w:w="108" w:type="dxa"/>
            <w:bottom w:w="0" w:type="dxa"/>
            <w:right w:w="108" w:type="dxa"/>
          </w:tblCellMar>
        </w:tblPrEx>
        <w:trPr>
          <w:cantSplit/>
          <w:trHeight w:val="9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案件办结率等业务指标</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部门产出质量提升及达到标准</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258"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进度指标</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完成全年项目</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2</w:t>
            </w:r>
            <w:r>
              <w:rPr>
                <w:rFonts w:cs="宋体" w:asciiTheme="minorEastAsia" w:hAnsiTheme="minorEastAsia" w:eastAsiaTheme="minorEastAsia"/>
                <w:color w:val="000000"/>
                <w:kern w:val="0"/>
                <w:sz w:val="20"/>
                <w:szCs w:val="20"/>
              </w:rPr>
              <w:t>02</w:t>
            </w:r>
            <w:r>
              <w:rPr>
                <w:rFonts w:hint="eastAsia" w:cs="宋体" w:asciiTheme="minorEastAsia" w:hAnsiTheme="minorEastAsia" w:eastAsiaTheme="minorEastAsia"/>
                <w:color w:val="000000"/>
                <w:kern w:val="0"/>
                <w:sz w:val="20"/>
                <w:szCs w:val="20"/>
              </w:rPr>
              <w:t>2年全年执行，个别项目结转</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90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部门预算控制在12,830.17万元内</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年度预算执行12,563.50万元</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9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社会效益</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服务首都高质量发展，强化检察履职的使命担当</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达到预期目标，资料需进一步完善</w:t>
            </w:r>
          </w:p>
        </w:tc>
        <w:tc>
          <w:tcPr>
            <w:tcW w:w="46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804"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574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cantSplit/>
          <w:trHeight w:val="3185"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可持续性影响</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推进检察高质量发展，强化检察发展行稳致远战略支撑</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达到预期目标，资料需进一步完善</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1872"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服务对象满意程度</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服务对象满意度基本满意</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满意度达到要求，但资料需进一步完善</w:t>
            </w:r>
          </w:p>
        </w:tc>
        <w:tc>
          <w:tcPr>
            <w:tcW w:w="46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80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c>
          <w:tcPr>
            <w:tcW w:w="5746"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三</w:t>
            </w:r>
            <w:r>
              <w:rPr>
                <w:rFonts w:ascii="宋体" w:hAnsi="宋体" w:cs="宋体"/>
                <w:b/>
                <w:bCs/>
                <w:color w:val="000000"/>
                <w:kern w:val="0"/>
                <w:sz w:val="18"/>
                <w:szCs w:val="18"/>
              </w:rPr>
              <w:t>、</w:t>
            </w:r>
            <w:r>
              <w:rPr>
                <w:rFonts w:hint="eastAsia" w:ascii="宋体" w:hAnsi="宋体" w:cs="宋体"/>
                <w:b/>
                <w:bCs/>
                <w:color w:val="000000"/>
                <w:kern w:val="0"/>
                <w:sz w:val="20"/>
                <w:szCs w:val="20"/>
              </w:rPr>
              <w:t>预算管理情况（20分）</w:t>
            </w:r>
          </w:p>
        </w:tc>
      </w:tr>
      <w:tr>
        <w:tblPrEx>
          <w:tblLayout w:type="fixed"/>
          <w:tblCellMar>
            <w:top w:w="0" w:type="dxa"/>
            <w:left w:w="108" w:type="dxa"/>
            <w:bottom w:w="0" w:type="dxa"/>
            <w:right w:w="108" w:type="dxa"/>
          </w:tblCellMar>
        </w:tblPrEx>
        <w:trPr>
          <w:cantSplit/>
          <w:trHeight w:val="702" w:hRule="atLeast"/>
        </w:trPr>
        <w:tc>
          <w:tcPr>
            <w:tcW w:w="6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一</w:t>
            </w:r>
            <w:r>
              <w:rPr>
                <w:rFonts w:ascii="宋体" w:hAnsi="宋体" w:cs="宋体"/>
                <w:b/>
                <w:bCs/>
                <w:color w:val="000000"/>
                <w:kern w:val="0"/>
                <w:sz w:val="20"/>
                <w:szCs w:val="20"/>
              </w:rPr>
              <w:t>级指标</w:t>
            </w: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二</w:t>
            </w:r>
            <w:r>
              <w:rPr>
                <w:rFonts w:ascii="宋体" w:hAnsi="宋体" w:cs="宋体"/>
                <w:b/>
                <w:bCs/>
                <w:color w:val="000000"/>
                <w:kern w:val="0"/>
                <w:sz w:val="20"/>
                <w:szCs w:val="20"/>
              </w:rPr>
              <w:t>级指标</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三</w:t>
            </w:r>
            <w:r>
              <w:rPr>
                <w:rFonts w:ascii="宋体" w:hAnsi="宋体" w:cs="宋体"/>
                <w:b/>
                <w:bCs/>
                <w:color w:val="000000"/>
                <w:kern w:val="0"/>
                <w:sz w:val="20"/>
                <w:szCs w:val="20"/>
              </w:rPr>
              <w:t>级指标</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指标</w:t>
            </w:r>
            <w:r>
              <w:rPr>
                <w:rFonts w:ascii="宋体" w:hAnsi="宋体" w:cs="宋体"/>
                <w:b/>
                <w:bCs/>
                <w:color w:val="000000"/>
                <w:kern w:val="0"/>
                <w:sz w:val="20"/>
                <w:szCs w:val="20"/>
              </w:rPr>
              <w:t>值</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完成</w:t>
            </w:r>
            <w:r>
              <w:rPr>
                <w:rFonts w:ascii="宋体" w:hAnsi="宋体" w:cs="宋体"/>
                <w:b/>
                <w:bCs/>
                <w:color w:val="000000"/>
                <w:kern w:val="0"/>
                <w:sz w:val="20"/>
                <w:szCs w:val="20"/>
              </w:rPr>
              <w:t>值</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分</w:t>
            </w:r>
            <w:r>
              <w:rPr>
                <w:rFonts w:ascii="宋体" w:hAnsi="宋体" w:cs="宋体"/>
                <w:b/>
                <w:bCs/>
                <w:color w:val="000000"/>
                <w:kern w:val="0"/>
                <w:sz w:val="20"/>
                <w:szCs w:val="20"/>
              </w:rPr>
              <w:t>值</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得</w:t>
            </w:r>
            <w:r>
              <w:rPr>
                <w:rFonts w:ascii="宋体" w:hAnsi="宋体" w:cs="宋体"/>
                <w:b/>
                <w:bCs/>
                <w:color w:val="000000"/>
                <w:kern w:val="0"/>
                <w:sz w:val="20"/>
                <w:szCs w:val="20"/>
              </w:rPr>
              <w:t>分</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w:t>
            </w:r>
            <w:r>
              <w:rPr>
                <w:rFonts w:ascii="宋体" w:hAnsi="宋体" w:cs="宋体"/>
                <w:b/>
                <w:bCs/>
                <w:color w:val="000000"/>
                <w:kern w:val="0"/>
                <w:sz w:val="18"/>
                <w:szCs w:val="18"/>
              </w:rPr>
              <w:t>解释</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评</w:t>
            </w:r>
            <w:r>
              <w:rPr>
                <w:rFonts w:ascii="宋体" w:hAnsi="宋体" w:cs="宋体"/>
                <w:b/>
                <w:bCs/>
                <w:color w:val="000000"/>
                <w:kern w:val="0"/>
                <w:sz w:val="18"/>
                <w:szCs w:val="18"/>
              </w:rPr>
              <w:t>分标准</w:t>
            </w:r>
          </w:p>
        </w:tc>
      </w:tr>
      <w:tr>
        <w:tblPrEx>
          <w:tblLayout w:type="fixed"/>
          <w:tblCellMar>
            <w:top w:w="0" w:type="dxa"/>
            <w:left w:w="108" w:type="dxa"/>
            <w:bottom w:w="0" w:type="dxa"/>
            <w:right w:w="108" w:type="dxa"/>
          </w:tblCellMar>
        </w:tblPrEx>
        <w:trPr>
          <w:cantSplit/>
          <w:trHeight w:val="1230" w:hRule="atLeast"/>
        </w:trPr>
        <w:tc>
          <w:tcPr>
            <w:tcW w:w="61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63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财务管理制度健全性</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财务管理制度健全性</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cantSplit/>
          <w:trHeight w:val="222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资金使用合规性和安全性</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规范</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cantSplit/>
          <w:trHeight w:val="41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eastAsiaTheme="minorEastAsia"/>
                <w:color w:val="000000"/>
                <w:kern w:val="0"/>
                <w:sz w:val="20"/>
                <w:szCs w:val="20"/>
              </w:rPr>
            </w:pPr>
            <w:r>
              <w:rPr>
                <w:rFonts w:hint="eastAsia" w:cs="宋体" w:asciiTheme="minorEastAsia" w:hAnsiTheme="minorEastAsia" w:eastAsiaTheme="minorEastAsia"/>
                <w:color w:val="000000"/>
                <w:kern w:val="0"/>
                <w:sz w:val="20"/>
                <w:szCs w:val="20"/>
              </w:rPr>
              <w:t>会计基础信息完善</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规范</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cantSplit/>
          <w:trHeight w:val="222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资产制度健全，管理规范</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规范</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cantSplit/>
          <w:trHeight w:val="1210"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9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80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绩效管理规范，未发生目标偏离</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cs="宋体" w:asciiTheme="minorEastAsia" w:hAnsiTheme="minorEastAsia" w:eastAsiaTheme="minorEastAsia"/>
                <w:color w:val="000000"/>
                <w:kern w:val="0"/>
                <w:sz w:val="20"/>
                <w:szCs w:val="20"/>
              </w:rPr>
              <w:t>规范</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Layout w:type="fixed"/>
          <w:tblCellMar>
            <w:top w:w="0" w:type="dxa"/>
            <w:left w:w="108" w:type="dxa"/>
            <w:bottom w:w="0" w:type="dxa"/>
            <w:right w:w="108" w:type="dxa"/>
          </w:tblCellMar>
        </w:tblPrEx>
        <w:trPr>
          <w:cantSplit/>
          <w:trHeight w:val="394"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1707"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cantSplit/>
          <w:trHeight w:val="2229"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1707"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1.34%</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2.12%</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Layout w:type="fixed"/>
          <w:tblCellMar>
            <w:top w:w="0" w:type="dxa"/>
            <w:left w:w="108" w:type="dxa"/>
            <w:bottom w:w="0" w:type="dxa"/>
            <w:right w:w="108" w:type="dxa"/>
          </w:tblCellMar>
        </w:tblPrEx>
        <w:trPr>
          <w:cantSplit/>
          <w:trHeight w:val="981" w:hRule="atLeast"/>
        </w:trPr>
        <w:tc>
          <w:tcPr>
            <w:tcW w:w="61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20"/>
                <w:szCs w:val="20"/>
              </w:rPr>
            </w:pPr>
          </w:p>
        </w:tc>
        <w:tc>
          <w:tcPr>
            <w:tcW w:w="639"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1707"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4.24%</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80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574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Layout w:type="fixed"/>
          <w:tblCellMar>
            <w:top w:w="0" w:type="dxa"/>
            <w:left w:w="108" w:type="dxa"/>
            <w:bottom w:w="0" w:type="dxa"/>
            <w:right w:w="108" w:type="dxa"/>
          </w:tblCellMar>
        </w:tblPrEx>
        <w:trPr>
          <w:cantSplit/>
          <w:trHeight w:val="484" w:hRule="atLeast"/>
        </w:trPr>
        <w:tc>
          <w:tcPr>
            <w:tcW w:w="3603" w:type="dxa"/>
            <w:gridSpan w:val="5"/>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4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100</w:t>
            </w:r>
          </w:p>
        </w:tc>
        <w:tc>
          <w:tcPr>
            <w:tcW w:w="5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93.58</w:t>
            </w:r>
          </w:p>
        </w:tc>
        <w:tc>
          <w:tcPr>
            <w:tcW w:w="955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18"/>
                <w:szCs w:val="18"/>
              </w:rPr>
            </w:pPr>
          </w:p>
        </w:tc>
      </w:tr>
    </w:tbl>
    <w:p>
      <w:pPr>
        <w:spacing w:line="20" w:lineRule="exact"/>
        <w:rPr>
          <w:rFonts w:ascii="方正小标宋简体" w:eastAsia="方正小标宋简体"/>
          <w:sz w:val="36"/>
          <w:szCs w:val="36"/>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CD1CF"/>
    <w:multiLevelType w:val="singleLevel"/>
    <w:tmpl w:val="485CD1C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55114"/>
    <w:rsid w:val="0B4B2B84"/>
    <w:rsid w:val="13544E79"/>
    <w:rsid w:val="19AF1938"/>
    <w:rsid w:val="1A6B4252"/>
    <w:rsid w:val="228F0CB6"/>
    <w:rsid w:val="23845DDA"/>
    <w:rsid w:val="2AB95875"/>
    <w:rsid w:val="2B85032A"/>
    <w:rsid w:val="30C329E2"/>
    <w:rsid w:val="378F2102"/>
    <w:rsid w:val="37AE3BA2"/>
    <w:rsid w:val="3AA435C3"/>
    <w:rsid w:val="417C602E"/>
    <w:rsid w:val="431F739F"/>
    <w:rsid w:val="4E667EE9"/>
    <w:rsid w:val="5E0243F7"/>
    <w:rsid w:val="64945F0E"/>
    <w:rsid w:val="69C82A6D"/>
    <w:rsid w:val="6ECA4AC3"/>
    <w:rsid w:val="782B5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99"/>
    <w:pPr>
      <w:spacing w:after="360"/>
      <w:ind w:left="0" w:leftChars="0" w:firstLine="420" w:firstLineChars="200"/>
    </w:pPr>
    <w:rPr>
      <w:rFonts w:eastAsia="仿宋_GB2312"/>
      <w:kern w:val="1"/>
      <w:sz w:val="32"/>
      <w:szCs w:val="20"/>
    </w:rPr>
  </w:style>
  <w:style w:type="paragraph" w:styleId="3">
    <w:name w:val="Body Text Indent"/>
    <w:basedOn w:val="1"/>
    <w:next w:val="1"/>
    <w:semiHidden/>
    <w:unhideWhenUsed/>
    <w:qFormat/>
    <w:uiPriority w:val="99"/>
    <w:pPr>
      <w:spacing w:after="120"/>
      <w:ind w:left="420" w:leftChars="200"/>
    </w:p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Title"/>
    <w:basedOn w:val="1"/>
    <w:next w:val="3"/>
    <w:qFormat/>
    <w:uiPriority w:val="0"/>
    <w:pPr>
      <w:spacing w:before="240" w:after="60"/>
      <w:jc w:val="center"/>
      <w:outlineLvl w:val="0"/>
    </w:pPr>
    <w:rPr>
      <w:rFonts w:ascii="Cambria" w:hAnsi="Cambria"/>
      <w:b/>
      <w:bCs/>
      <w:sz w:val="32"/>
      <w:szCs w:val="32"/>
    </w:rPr>
  </w:style>
  <w:style w:type="paragraph" w:customStyle="1" w:styleId="10">
    <w:name w:val="无间隔1"/>
    <w:qFormat/>
    <w:uiPriority w:val="1"/>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2023-06-07T02:37:00Z</dcterms:created>
  <dc:creator>Administrator</dc:creator>
  <cp:lastModifiedBy>Administrator</cp:lastModifiedBy>
  <dcterms:modified xsi:type="dcterms:W3CDTF">2023-08-23T09:08:38Z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