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b/>
          <w:bCs/>
          <w:sz w:val="36"/>
          <w:szCs w:val="36"/>
        </w:rPr>
      </w:pPr>
      <w:r>
        <w:rPr>
          <w:rFonts w:hint="eastAsia" w:ascii="宋体" w:hAnsi="宋体" w:eastAsia="宋体" w:cs="宋体"/>
          <w:b/>
          <w:bCs/>
          <w:sz w:val="36"/>
          <w:szCs w:val="36"/>
        </w:rPr>
        <w:t>北京市门头沟区人民检察院部门整体绩效</w:t>
      </w:r>
      <w:r>
        <w:rPr>
          <w:rFonts w:hint="eastAsia" w:ascii="宋体" w:hAnsi="宋体" w:eastAsia="宋体" w:cs="宋体"/>
          <w:b/>
          <w:bCs/>
          <w:sz w:val="36"/>
          <w:szCs w:val="36"/>
          <w:lang w:eastAsia="zh-CN"/>
        </w:rPr>
        <w:t>评价</w:t>
      </w:r>
      <w:r>
        <w:rPr>
          <w:rFonts w:hint="eastAsia" w:ascii="宋体" w:hAnsi="宋体" w:eastAsia="宋体" w:cs="宋体"/>
          <w:b/>
          <w:bCs/>
          <w:sz w:val="36"/>
          <w:szCs w:val="36"/>
        </w:rPr>
        <w:t>报告</w:t>
      </w:r>
    </w:p>
    <w:p>
      <w:pPr>
        <w:jc w:val="center"/>
        <w:rPr>
          <w:rFonts w:ascii="仿宋_GB2312"/>
          <w:szCs w:val="30"/>
        </w:rPr>
      </w:pP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hint="eastAsia" w:ascii="楷体_GB2312" w:eastAsia="楷体_GB2312"/>
          <w:sz w:val="32"/>
          <w:szCs w:val="32"/>
        </w:rPr>
      </w:pPr>
      <w:r>
        <w:rPr>
          <w:rFonts w:hint="eastAsia" w:ascii="仿宋_GB2312" w:hAnsi="宋体" w:eastAsia="仿宋_GB2312" w:cs="宋体"/>
          <w:color w:val="000000"/>
          <w:kern w:val="0"/>
          <w:sz w:val="32"/>
          <w:szCs w:val="32"/>
          <w:highlight w:val="none"/>
        </w:rPr>
        <w:t>根据中共北京市委政法委员会、中共北京市委机构编制委员会办公室、北京市人民检察院关于印发《北京市检察机关内设机构改革方案》的通知，北京市门头沟区人民检察院成立内设机构10个，分别为第一至第七检察部，办公室(行政事务管理部)，政治部(机关党委、机关纪委)，检务督察部。</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部门职责包括：</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(1)向区人大及其常委会负责并报告工作，接受区人大及其常委会的监督；</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(2)接受北京市人民检察院的领导；</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(3)依照法律规定对有关刑事案件行使侦查权；</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(4)对刑事案件进行审查，批准或者决定是否逮捕犯罪嫌疑人；</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(5)对刑事案件进行审查，决定是否提起公诉，对决定提起公诉的案件支持公诉；</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(6)依照法律规定提起公益诉讼；</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(7)对诉讼活动实行法律监督；</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(8)对判决、裁定等生效法律文书的执行工作实行法律监督；</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(9)对监狱、看守所的执法活动实行法律监督；</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(10)法律规定的其他职权。</w:t>
      </w:r>
    </w:p>
    <w:p>
      <w:pPr>
        <w:spacing w:line="600" w:lineRule="exact"/>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（二）部门整体绩效目标设立情况</w:t>
      </w:r>
    </w:p>
    <w:p>
      <w:pPr>
        <w:numPr>
          <w:ilvl w:val="0"/>
          <w:numId w:val="0"/>
        </w:numPr>
        <w:spacing w:line="560" w:lineRule="exact"/>
        <w:ind w:firstLine="641"/>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2022年，我院坚持以习近平新时代中国特色社会主义思想为指导，深入学习贯彻党的二十大会议精神和习近平法治思想，“讲政治、顾大局、谋发展、重自强”，立足法律监督宪法定位，紧扣“一流检察院、一流检察队伍”建设目标，围绕中心，服务大局，强化监督，充分履职，努力为区域高质量发展大局提供有力法治保障。</w:t>
      </w:r>
    </w:p>
    <w:p>
      <w:pPr>
        <w:numPr>
          <w:ilvl w:val="-1"/>
          <w:numId w:val="0"/>
        </w:numPr>
        <w:spacing w:line="600" w:lineRule="exact"/>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highlight w:val="none"/>
          <w:lang w:val="en-US" w:eastAsia="zh-CN"/>
        </w:rPr>
        <w:t>我院2022年设立以下总体绩效目标：</w:t>
      </w:r>
      <w:r>
        <w:rPr>
          <w:rFonts w:hint="eastAsia" w:ascii="仿宋_GB2312" w:hAnsi="宋体" w:eastAsia="仿宋_GB2312" w:cs="宋体"/>
          <w:color w:val="000000"/>
          <w:kern w:val="0"/>
          <w:sz w:val="32"/>
          <w:szCs w:val="32"/>
          <w:highlight w:val="none"/>
        </w:rPr>
        <w:t>人民检察院是国家的法律监督机关，通过履行监督职能，保证国家法律的统一和正确实施。</w:t>
      </w:r>
      <w:r>
        <w:rPr>
          <w:rFonts w:hint="eastAsia" w:ascii="仿宋_GB2312" w:hAnsi="宋体" w:eastAsia="仿宋_GB2312" w:cs="宋体"/>
          <w:color w:val="000000"/>
          <w:kern w:val="0"/>
          <w:sz w:val="32"/>
          <w:szCs w:val="32"/>
          <w:highlight w:val="none"/>
          <w:lang w:val="en-US" w:eastAsia="zh-CN"/>
        </w:rPr>
        <w:t>我院2022年</w:t>
      </w:r>
      <w:r>
        <w:rPr>
          <w:rFonts w:hint="eastAsia" w:ascii="仿宋_GB2312" w:hAnsi="宋体" w:eastAsia="仿宋_GB2312" w:cs="宋体"/>
          <w:color w:val="000000"/>
          <w:kern w:val="0"/>
          <w:sz w:val="32"/>
          <w:szCs w:val="32"/>
          <w:highlight w:val="none"/>
        </w:rPr>
        <w:t>具体绩效目标：一、通过制定本院考核管理规定，细化案件质量评查方法，按照高检院《财务管理规定》中办案业务费开支范围，合理</w:t>
      </w:r>
      <w:r>
        <w:rPr>
          <w:rFonts w:hint="eastAsia" w:ascii="仿宋_GB2312" w:hAnsi="宋体" w:eastAsia="仿宋_GB2312" w:cs="宋体"/>
          <w:color w:val="000000"/>
          <w:kern w:val="0"/>
          <w:sz w:val="32"/>
          <w:szCs w:val="32"/>
          <w:highlight w:val="none"/>
          <w:lang w:val="en-US" w:eastAsia="zh-CN"/>
        </w:rPr>
        <w:t>支出</w:t>
      </w:r>
      <w:r>
        <w:rPr>
          <w:rFonts w:hint="eastAsia" w:ascii="仿宋_GB2312" w:hAnsi="宋体" w:eastAsia="仿宋_GB2312" w:cs="宋体"/>
          <w:color w:val="000000"/>
          <w:kern w:val="0"/>
          <w:sz w:val="32"/>
          <w:szCs w:val="32"/>
          <w:highlight w:val="none"/>
        </w:rPr>
        <w:t>办案业务费，保证案件质量。二、制定绩效考核方案，做好日常绩效考核工作。三、严格按照202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年预算批复和内控制度，执行预算管理。</w:t>
      </w:r>
    </w:p>
    <w:p>
      <w:pPr>
        <w:spacing w:line="60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预算数5,609</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83万元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rPr>
        <w:t>4,797</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22</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项目支出预算数812</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61</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支出5,370</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57</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rPr>
        <w:t>4,667</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40</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支出703</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1</w:t>
      </w:r>
      <w:r>
        <w:rPr>
          <w:rFonts w:hint="eastAsia" w:ascii="仿宋_GB2312" w:hAnsi="宋体" w:eastAsia="仿宋_GB2312" w:cs="宋体"/>
          <w:color w:val="000000"/>
          <w:kern w:val="0"/>
          <w:sz w:val="32"/>
          <w:szCs w:val="32"/>
          <w:highlight w:val="none"/>
          <w:lang w:val="en-US" w:eastAsia="zh-CN"/>
        </w:rPr>
        <w:t>7</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95.74%</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outlineLvl w:val="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三</w:t>
      </w:r>
      <w:r>
        <w:rPr>
          <w:rFonts w:ascii="黑体" w:hAnsi="黑体" w:eastAsia="黑体" w:cs="宋体"/>
          <w:color w:val="auto"/>
          <w:kern w:val="0"/>
          <w:sz w:val="32"/>
          <w:szCs w:val="32"/>
          <w:highlight w:val="none"/>
        </w:rPr>
        <w:t>、整体绩效目标实现情况</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（一）产出完成情况分析</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1.产出数量</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（1）公务用车购置费：为保障检察工作需要，更新了原有公务用车4辆。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color w:val="auto"/>
          <w:kern w:val="0"/>
          <w:sz w:val="32"/>
          <w:szCs w:val="32"/>
          <w:highlight w:val="none"/>
          <w:lang w:val="en-US"/>
        </w:rPr>
      </w:pP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lang w:val="en-US" w:eastAsia="zh-CN"/>
        </w:rPr>
        <w:t>2</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rPr>
        <w:t>绩效评审咨询服务</w:t>
      </w:r>
      <w:r>
        <w:rPr>
          <w:rFonts w:hint="eastAsia" w:ascii="仿宋_GB2312" w:hAnsi="仿宋_GB2312" w:eastAsia="仿宋_GB2312" w:cs="仿宋_GB2312"/>
          <w:b w:val="0"/>
          <w:bCs/>
          <w:color w:val="000000"/>
          <w:kern w:val="0"/>
          <w:sz w:val="32"/>
          <w:szCs w:val="32"/>
          <w:highlight w:val="none"/>
        </w:rPr>
        <w:t>费</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lang w:val="en-US" w:eastAsia="zh-CN"/>
        </w:rPr>
        <w:t>第三方会计师事务所2022年按照财务工作安排进行月度、季度、半年等财务审核，并定期上门提供了财务咨询服务，日常政策解答。</w:t>
      </w:r>
      <w:r>
        <w:rPr>
          <w:rFonts w:hint="eastAsia" w:ascii="仿宋_GB2312" w:hAnsi="仿宋_GB2312" w:eastAsia="仿宋_GB2312" w:cs="仿宋_GB2312"/>
          <w:b w:val="0"/>
          <w:bCs/>
          <w:color w:val="000000"/>
          <w:kern w:val="0"/>
          <w:sz w:val="32"/>
          <w:szCs w:val="32"/>
          <w:highlight w:val="none"/>
        </w:rPr>
        <w:t>会计咨询服务</w:t>
      </w:r>
      <w:r>
        <w:rPr>
          <w:rFonts w:hint="eastAsia" w:ascii="仿宋_GB2312" w:hAnsi="仿宋_GB2312" w:eastAsia="仿宋_GB2312" w:cs="仿宋_GB2312"/>
          <w:b w:val="0"/>
          <w:bCs/>
          <w:color w:val="000000"/>
          <w:kern w:val="0"/>
          <w:sz w:val="32"/>
          <w:szCs w:val="32"/>
          <w:highlight w:val="none"/>
          <w:lang w:val="en-US" w:eastAsia="zh-CN"/>
        </w:rPr>
        <w:t>已达</w:t>
      </w:r>
      <w:r>
        <w:rPr>
          <w:rFonts w:hint="eastAsia" w:ascii="仿宋_GB2312" w:hAnsi="仿宋_GB2312" w:eastAsia="仿宋_GB2312" w:cs="仿宋_GB2312"/>
          <w:b w:val="0"/>
          <w:bCs/>
          <w:color w:val="000000"/>
          <w:kern w:val="0"/>
          <w:sz w:val="32"/>
          <w:szCs w:val="32"/>
          <w:highlight w:val="none"/>
        </w:rPr>
        <w:t>30</w:t>
      </w:r>
      <w:r>
        <w:rPr>
          <w:rFonts w:hint="eastAsia" w:ascii="仿宋_GB2312" w:hAnsi="仿宋_GB2312" w:eastAsia="仿宋_GB2312" w:cs="仿宋_GB2312"/>
          <w:b w:val="0"/>
          <w:bCs/>
          <w:color w:val="000000"/>
          <w:kern w:val="0"/>
          <w:sz w:val="32"/>
          <w:szCs w:val="32"/>
          <w:highlight w:val="none"/>
          <w:lang w:val="en-US" w:eastAsia="zh-CN"/>
        </w:rPr>
        <w:t>余</w:t>
      </w:r>
      <w:r>
        <w:rPr>
          <w:rFonts w:hint="eastAsia" w:ascii="仿宋_GB2312" w:hAnsi="仿宋_GB2312" w:eastAsia="仿宋_GB2312" w:cs="仿宋_GB2312"/>
          <w:b w:val="0"/>
          <w:bCs/>
          <w:color w:val="000000"/>
          <w:kern w:val="0"/>
          <w:sz w:val="32"/>
          <w:szCs w:val="32"/>
          <w:highlight w:val="none"/>
        </w:rPr>
        <w:t>次</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lang w:val="en-US" w:eastAsia="zh-CN"/>
        </w:rPr>
        <w:t>按照《北京市财政局关于开展2022年全面预算绩效管理工作的通知》，我院组织全院开展了预算绩效自我评价、成本绩效评估分析、绩效跟踪监控工作，根据市财政要求的时间，及时进行系统提交。按照我院内部审计监督工作计划，2022年委托第三方会计师事务所开展了预算执行及财务收支审计工作</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lang w:val="en-US" w:eastAsia="zh-CN"/>
        </w:rPr>
        <w:t>根据我院内部控制规范建设要求，第三方会计师事务所对我院内部控制规范完善工作，提供了</w:t>
      </w:r>
      <w:r>
        <w:rPr>
          <w:rFonts w:hint="eastAsia" w:ascii="仿宋_GB2312" w:hAnsi="仿宋_GB2312" w:eastAsia="仿宋_GB2312" w:cs="仿宋_GB2312"/>
          <w:b w:val="0"/>
          <w:bCs/>
          <w:color w:val="000000"/>
          <w:kern w:val="0"/>
          <w:sz w:val="32"/>
          <w:szCs w:val="32"/>
          <w:highlight w:val="none"/>
        </w:rPr>
        <w:t>内控咨询服务</w:t>
      </w:r>
      <w:r>
        <w:rPr>
          <w:rFonts w:hint="eastAsia" w:ascii="仿宋_GB2312" w:hAnsi="仿宋_GB2312" w:eastAsia="仿宋_GB2312" w:cs="仿宋_GB2312"/>
          <w:b w:val="0"/>
          <w:bCs/>
          <w:color w:val="000000"/>
          <w:kern w:val="0"/>
          <w:sz w:val="32"/>
          <w:szCs w:val="32"/>
          <w:highlight w:val="none"/>
          <w:lang w:val="en-US" w:eastAsia="zh-CN"/>
        </w:rPr>
        <w:t>，协助我院对内控风险点进行查找、协助梳理业务流程，并对我院内部控制手册完善工作提</w:t>
      </w:r>
      <w:r>
        <w:rPr>
          <w:rFonts w:hint="eastAsia" w:ascii="仿宋_GB2312" w:hAnsi="仿宋_GB2312" w:eastAsia="仿宋_GB2312" w:cs="仿宋_GB2312"/>
          <w:b w:val="0"/>
          <w:bCs/>
          <w:color w:val="auto"/>
          <w:kern w:val="0"/>
          <w:sz w:val="32"/>
          <w:szCs w:val="32"/>
          <w:highlight w:val="none"/>
          <w:lang w:val="en-US" w:eastAsia="zh-CN"/>
        </w:rPr>
        <w:t>供咨询意见。</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（3）办案业务费：案件受理数量</w:t>
      </w:r>
      <w:r>
        <w:rPr>
          <w:rFonts w:ascii="仿宋_GB2312" w:hAnsi="仿宋_GB2312" w:eastAsia="仿宋_GB2312" w:cs="仿宋_GB2312"/>
          <w:b w:val="0"/>
          <w:i w:val="0"/>
          <w:caps w:val="0"/>
          <w:color w:val="000000"/>
          <w:spacing w:val="0"/>
          <w:kern w:val="0"/>
          <w:sz w:val="32"/>
          <w:szCs w:val="32"/>
          <w:lang w:val="en-US" w:eastAsia="zh-CN" w:bidi="ar"/>
        </w:rPr>
        <w:t>1472</w:t>
      </w:r>
      <w:r>
        <w:rPr>
          <w:rFonts w:hint="eastAsia" w:ascii="仿宋_GB2312" w:hAnsi="仿宋_GB2312" w:eastAsia="仿宋_GB2312" w:cs="仿宋_GB2312"/>
          <w:b w:val="0"/>
          <w:i w:val="0"/>
          <w:caps w:val="0"/>
          <w:color w:val="000000"/>
          <w:spacing w:val="0"/>
          <w:kern w:val="0"/>
          <w:sz w:val="32"/>
          <w:szCs w:val="32"/>
          <w:lang w:val="en-US" w:eastAsia="zh-CN" w:bidi="ar"/>
        </w:rPr>
        <w:t>件</w:t>
      </w:r>
      <w:r>
        <w:rPr>
          <w:rFonts w:hint="eastAsia" w:ascii="仿宋_GB2312" w:hAnsi="宋体" w:eastAsia="仿宋_GB2312" w:cs="宋体"/>
          <w:color w:val="auto"/>
          <w:kern w:val="0"/>
          <w:sz w:val="32"/>
          <w:szCs w:val="32"/>
          <w:highlight w:val="none"/>
          <w:lang w:val="en-US" w:eastAsia="zh-CN"/>
        </w:rPr>
        <w:t>。</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4）安保安检工作经费：为了保障我院正常履行检察职能，降低各类风险发生的几率，需要安检员按照“逢包必检、逢液必查、逢疑必检”的原则开展安检工作，对进入我院的外来人员及物品进行安全检查，排除隐患，聘请了保安人员15人。</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（5）检察工作经费：为了做好法治宣传工作，提高检察机关公信力，传播检察正能量，制作了检察宣传片2条（</w:t>
      </w:r>
      <w:r>
        <w:rPr>
          <w:rFonts w:hint="eastAsia" w:ascii="仿宋_GB2312" w:hAnsi="宋体" w:eastAsia="仿宋_GB2312" w:cs="宋体"/>
          <w:color w:val="auto"/>
          <w:kern w:val="0"/>
          <w:sz w:val="32"/>
          <w:szCs w:val="32"/>
          <w:highlight w:val="none"/>
        </w:rPr>
        <w:t>《狩猎者》</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《全年工作总结片》</w:t>
      </w:r>
      <w:r>
        <w:rPr>
          <w:rFonts w:hint="eastAsia" w:ascii="仿宋_GB2312" w:hAnsi="宋体" w:eastAsia="仿宋_GB2312" w:cs="宋体"/>
          <w:color w:val="auto"/>
          <w:kern w:val="0"/>
          <w:sz w:val="32"/>
          <w:szCs w:val="32"/>
          <w:highlight w:val="none"/>
          <w:lang w:val="en-US" w:eastAsia="zh-CN"/>
        </w:rPr>
        <w:t>）。</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（6）业务装备费：为了解决我院电脑更新后，电脑分配不足的情况，购置了台式机24台、打印机11台、便携式计算机18台。</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（7）信息化运维费：保障门头沟区人民检察院信息系统平台的正常运行，派驻项目驻地运维人员1人。</w:t>
      </w:r>
    </w:p>
    <w:p>
      <w:pPr>
        <w:spacing w:line="600" w:lineRule="exact"/>
        <w:ind w:left="105" w:leftChars="50" w:firstLine="480" w:firstLineChars="150"/>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（8）互联网接入费：为了促进案件公开，提高办公效率，接入100Mbps网络。</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2.产出</w:t>
      </w:r>
      <w:r>
        <w:rPr>
          <w:rFonts w:ascii="仿宋_GB2312" w:hAnsi="宋体" w:eastAsia="仿宋_GB2312" w:cs="宋体"/>
          <w:color w:val="auto"/>
          <w:kern w:val="0"/>
          <w:sz w:val="32"/>
          <w:szCs w:val="32"/>
          <w:highlight w:val="none"/>
        </w:rPr>
        <w:t>质量</w:t>
      </w:r>
    </w:p>
    <w:p>
      <w:pPr>
        <w:spacing w:line="600" w:lineRule="exact"/>
        <w:ind w:left="0" w:leftChars="0"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（1）公务用车购置费：保障了检察工作需要。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color w:val="auto"/>
          <w:kern w:val="0"/>
          <w:sz w:val="32"/>
          <w:szCs w:val="32"/>
          <w:highlight w:val="none"/>
          <w:lang w:val="en-US"/>
        </w:rPr>
      </w:pP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lang w:val="en-US" w:eastAsia="zh-CN"/>
        </w:rPr>
        <w:t>2</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rPr>
        <w:t>绩效评审咨询服务费</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保障了我院财务工作平稳有序开展，同时促进新制度的贯彻实施，项目绩效评价成果符合市财政绩效管理操作规程、审计工作符合审计质量标准，审计结果真实、准确。通过财务咨询，提高本院财政资金使用效益，为财政支出管理提供有效服务。</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（3）办案业务费：案件结案率达到98.85%。</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（4）安保安检工作经费：</w:t>
      </w:r>
      <w:r>
        <w:rPr>
          <w:rFonts w:hint="eastAsia" w:ascii="仿宋_GB2312" w:hAnsi="宋体" w:eastAsia="仿宋_GB2312" w:cs="宋体"/>
          <w:color w:val="auto"/>
          <w:kern w:val="0"/>
          <w:sz w:val="32"/>
          <w:szCs w:val="32"/>
          <w:highlight w:val="none"/>
        </w:rPr>
        <w:t>保证本院检察工作正常开展</w:t>
      </w:r>
      <w:r>
        <w:rPr>
          <w:rFonts w:hint="eastAsia" w:ascii="仿宋_GB2312" w:hAnsi="宋体" w:eastAsia="仿宋_GB2312" w:cs="宋体"/>
          <w:color w:val="auto"/>
          <w:kern w:val="0"/>
          <w:sz w:val="32"/>
          <w:szCs w:val="32"/>
          <w:highlight w:val="none"/>
          <w:lang w:eastAsia="zh-CN"/>
        </w:rPr>
        <w:t>。</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（5）检察工作经费：</w:t>
      </w:r>
      <w:r>
        <w:rPr>
          <w:rFonts w:hint="eastAsia" w:ascii="仿宋_GB2312" w:hAnsi="宋体" w:eastAsia="仿宋_GB2312" w:cs="宋体"/>
          <w:color w:val="auto"/>
          <w:kern w:val="0"/>
          <w:sz w:val="32"/>
          <w:szCs w:val="32"/>
          <w:highlight w:val="none"/>
        </w:rPr>
        <w:t>同时做好了法治宣传工作，提高了检察机关公信力，传播了检察正能量</w:t>
      </w:r>
      <w:r>
        <w:rPr>
          <w:rFonts w:hint="eastAsia" w:ascii="仿宋_GB2312" w:hAnsi="宋体" w:eastAsia="仿宋_GB2312" w:cs="宋体"/>
          <w:color w:val="auto"/>
          <w:kern w:val="0"/>
          <w:sz w:val="32"/>
          <w:szCs w:val="32"/>
          <w:highlight w:val="none"/>
          <w:lang w:val="en-US" w:eastAsia="zh-CN"/>
        </w:rPr>
        <w:t>。</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（6）业务装备费：购置设备满足了国产化电脑更换的相关要求。</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（7）信息化运维费：</w:t>
      </w:r>
      <w:r>
        <w:rPr>
          <w:rFonts w:hint="eastAsia" w:ascii="仿宋_GB2312" w:hAnsi="宋体" w:eastAsia="仿宋_GB2312" w:cs="宋体"/>
          <w:color w:val="auto"/>
          <w:kern w:val="0"/>
          <w:sz w:val="32"/>
          <w:szCs w:val="32"/>
          <w:highlight w:val="none"/>
        </w:rPr>
        <w:t>保障了</w:t>
      </w:r>
      <w:r>
        <w:rPr>
          <w:rFonts w:hint="eastAsia" w:ascii="仿宋_GB2312" w:hAnsi="宋体" w:eastAsia="仿宋_GB2312" w:cs="宋体"/>
          <w:color w:val="auto"/>
          <w:kern w:val="0"/>
          <w:sz w:val="32"/>
          <w:szCs w:val="32"/>
          <w:highlight w:val="none"/>
          <w:lang w:val="en-US" w:eastAsia="zh-CN"/>
        </w:rPr>
        <w:t>我</w:t>
      </w:r>
      <w:r>
        <w:rPr>
          <w:rFonts w:hint="eastAsia" w:ascii="仿宋_GB2312" w:hAnsi="宋体" w:eastAsia="仿宋_GB2312" w:cs="宋体"/>
          <w:color w:val="auto"/>
          <w:kern w:val="0"/>
          <w:sz w:val="32"/>
          <w:szCs w:val="32"/>
          <w:highlight w:val="none"/>
        </w:rPr>
        <w:t>院应用系统运行连续性95%，系统运行稳定性95%，系统运行安全性100%</w:t>
      </w:r>
      <w:r>
        <w:rPr>
          <w:rFonts w:hint="eastAsia" w:ascii="仿宋_GB2312" w:hAnsi="宋体" w:eastAsia="仿宋_GB2312" w:cs="宋体"/>
          <w:color w:val="auto"/>
          <w:kern w:val="0"/>
          <w:sz w:val="32"/>
          <w:szCs w:val="32"/>
          <w:highlight w:val="none"/>
          <w:lang w:val="en-US" w:eastAsia="zh-CN"/>
        </w:rPr>
        <w:t>。</w:t>
      </w:r>
    </w:p>
    <w:p>
      <w:pPr>
        <w:spacing w:line="600" w:lineRule="exact"/>
        <w:ind w:left="105" w:leftChars="50" w:firstLine="480" w:firstLineChars="150"/>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（8）互联网接入费：保证本院正常互联网接入服务需求。</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3.产出</w:t>
      </w:r>
      <w:r>
        <w:rPr>
          <w:rFonts w:ascii="仿宋_GB2312" w:hAnsi="宋体" w:eastAsia="仿宋_GB2312" w:cs="宋体"/>
          <w:color w:val="auto"/>
          <w:kern w:val="0"/>
          <w:sz w:val="32"/>
          <w:szCs w:val="32"/>
          <w:highlight w:val="none"/>
        </w:rPr>
        <w:t>进度</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2022年，我院各项目均能够按照计划时间开展。</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w:t>
      </w:r>
      <w:r>
        <w:rPr>
          <w:rFonts w:hint="eastAsia" w:ascii="仿宋_GB2312" w:hAnsi="宋体" w:eastAsia="仿宋_GB2312" w:cs="宋体"/>
          <w:color w:val="auto"/>
          <w:kern w:val="0"/>
          <w:sz w:val="32"/>
          <w:szCs w:val="32"/>
          <w:highlight w:val="none"/>
        </w:rPr>
        <w:t>产出</w:t>
      </w:r>
      <w:r>
        <w:rPr>
          <w:rFonts w:ascii="仿宋_GB2312" w:hAnsi="宋体" w:eastAsia="仿宋_GB2312" w:cs="宋体"/>
          <w:color w:val="auto"/>
          <w:kern w:val="0"/>
          <w:sz w:val="32"/>
          <w:szCs w:val="32"/>
          <w:highlight w:val="none"/>
        </w:rPr>
        <w:t>成本</w:t>
      </w:r>
    </w:p>
    <w:p>
      <w:pPr>
        <w:spacing w:line="600" w:lineRule="exact"/>
        <w:ind w:left="105" w:leftChars="50" w:firstLine="480" w:firstLineChars="150"/>
        <w:rPr>
          <w:rFonts w:hint="default" w:ascii="楷体_GB2312" w:eastAsia="楷体_GB2312"/>
          <w:color w:val="auto"/>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2022年，我院</w:t>
      </w:r>
      <w:r>
        <w:rPr>
          <w:rFonts w:hint="eastAsia" w:ascii="仿宋_GB2312" w:hAnsi="宋体" w:eastAsia="仿宋_GB2312" w:cs="宋体"/>
          <w:color w:val="auto"/>
          <w:kern w:val="0"/>
          <w:sz w:val="32"/>
          <w:szCs w:val="32"/>
          <w:highlight w:val="none"/>
        </w:rPr>
        <w:t>项目支出预算数</w:t>
      </w:r>
      <w:r>
        <w:rPr>
          <w:rFonts w:hint="eastAsia" w:ascii="仿宋_GB2312" w:hAnsi="宋体" w:eastAsia="仿宋_GB2312" w:cs="宋体"/>
          <w:color w:val="auto"/>
          <w:kern w:val="0"/>
          <w:sz w:val="32"/>
          <w:szCs w:val="32"/>
          <w:highlight w:val="none"/>
          <w:lang w:val="en-US" w:eastAsia="zh-CN"/>
        </w:rPr>
        <w:t>812.61</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lang w:eastAsia="zh-CN"/>
        </w:rPr>
        <w:t>，</w:t>
      </w:r>
      <w:r>
        <w:rPr>
          <w:rFonts w:ascii="仿宋_GB2312" w:hAnsi="宋体" w:eastAsia="仿宋_GB2312" w:cs="宋体"/>
          <w:color w:val="auto"/>
          <w:kern w:val="0"/>
          <w:sz w:val="32"/>
          <w:szCs w:val="32"/>
          <w:highlight w:val="none"/>
        </w:rPr>
        <w:t>项目</w:t>
      </w:r>
      <w:r>
        <w:rPr>
          <w:rFonts w:hint="eastAsia" w:ascii="仿宋_GB2312" w:hAnsi="宋体" w:eastAsia="仿宋_GB2312" w:cs="宋体"/>
          <w:color w:val="auto"/>
          <w:kern w:val="0"/>
          <w:sz w:val="32"/>
          <w:szCs w:val="32"/>
          <w:highlight w:val="none"/>
        </w:rPr>
        <w:t>支出</w:t>
      </w:r>
      <w:r>
        <w:rPr>
          <w:rFonts w:hint="eastAsia" w:ascii="仿宋_GB2312" w:hAnsi="宋体" w:eastAsia="仿宋_GB2312" w:cs="宋体"/>
          <w:color w:val="auto"/>
          <w:kern w:val="0"/>
          <w:sz w:val="32"/>
          <w:szCs w:val="32"/>
          <w:highlight w:val="none"/>
          <w:lang w:val="en-US" w:eastAsia="zh-CN"/>
        </w:rPr>
        <w:t>决算数703.17</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产出成本与预算存在差异，主要原因为“办案业务费”项目本年预算执行率为58%，该项目经费可跨年使用，使用期为两年。</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pStyle w:val="15"/>
        <w:keepNext w:val="0"/>
        <w:keepLines w:val="0"/>
        <w:numPr>
          <w:ilvl w:val="-1"/>
          <w:numId w:val="0"/>
        </w:numPr>
        <w:spacing w:line="560" w:lineRule="exact"/>
        <w:ind w:firstLine="640" w:firstLineChars="200"/>
        <w:outlineLvl w:val="9"/>
        <w:rPr>
          <w:rFonts w:hint="eastAsia" w:ascii="仿宋_GB2312" w:hAnsi="宋体" w:eastAsia="仿宋_GB2312" w:cs="宋体"/>
          <w:b w:val="0"/>
          <w:bCs w:val="0"/>
          <w:color w:val="000000"/>
          <w:kern w:val="0"/>
          <w:sz w:val="32"/>
          <w:szCs w:val="32"/>
          <w:lang w:eastAsia="zh-CN"/>
        </w:rPr>
      </w:pPr>
      <w:r>
        <w:rPr>
          <w:rFonts w:hint="eastAsia" w:ascii="仿宋_GB2312" w:hAnsi="宋体" w:eastAsia="仿宋_GB2312" w:cs="宋体"/>
          <w:b w:val="0"/>
          <w:bCs w:val="0"/>
          <w:color w:val="000000"/>
          <w:kern w:val="0"/>
          <w:sz w:val="32"/>
          <w:szCs w:val="32"/>
          <w:lang w:val="en-US" w:eastAsia="zh-CN"/>
        </w:rPr>
        <w:t>1.</w:t>
      </w:r>
      <w:r>
        <w:rPr>
          <w:rFonts w:hint="eastAsia" w:ascii="仿宋_GB2312" w:hAnsi="宋体" w:eastAsia="仿宋_GB2312" w:cs="宋体"/>
          <w:b w:val="0"/>
          <w:bCs w:val="0"/>
          <w:color w:val="000000"/>
          <w:kern w:val="0"/>
          <w:sz w:val="32"/>
          <w:szCs w:val="32"/>
        </w:rPr>
        <w:t>社会效益</w:t>
      </w:r>
      <w:bookmarkStart w:id="1" w:name="_GoBack"/>
      <w:bookmarkEnd w:id="1"/>
    </w:p>
    <w:p>
      <w:pPr>
        <w:pStyle w:val="15"/>
        <w:keepNext w:val="0"/>
        <w:keepLines w:val="0"/>
        <w:numPr>
          <w:ilvl w:val="-1"/>
          <w:numId w:val="0"/>
        </w:numPr>
        <w:spacing w:line="560" w:lineRule="exact"/>
        <w:ind w:firstLine="640" w:firstLineChars="200"/>
        <w:outlineLvl w:val="9"/>
        <w:rPr>
          <w:rFonts w:hint="default" w:ascii="仿宋_GB2312" w:hAnsi="宋体" w:eastAsia="仿宋_GB2312" w:cs="宋体"/>
          <w:b w:val="0"/>
          <w:bCs w:val="0"/>
          <w:color w:val="000000"/>
          <w:kern w:val="0"/>
          <w:sz w:val="32"/>
          <w:szCs w:val="32"/>
          <w:lang w:val="en-US"/>
        </w:rPr>
      </w:pPr>
      <w:r>
        <w:rPr>
          <w:rFonts w:hint="eastAsia" w:ascii="仿宋_GB2312" w:hAnsi="宋体" w:eastAsia="仿宋_GB2312" w:cs="宋体"/>
          <w:color w:val="000000"/>
          <w:kern w:val="0"/>
          <w:sz w:val="32"/>
          <w:szCs w:val="32"/>
          <w:highlight w:val="none"/>
          <w:lang w:val="en-US" w:eastAsia="zh-CN"/>
        </w:rPr>
        <w:t>2022年我院各项目的执行，保障了检察工作需要，提高办公办案效率，使财务工作平稳有序开展，满足刑事检察、民事检察、行政检察、公益诉讼检察四大检察业务办案需要，</w:t>
      </w:r>
      <w:r>
        <w:rPr>
          <w:rFonts w:hint="eastAsia" w:ascii="仿宋_GB2312" w:hAnsi="宋体" w:eastAsia="仿宋_GB2312" w:cs="宋体"/>
          <w:b w:val="0"/>
          <w:bCs w:val="0"/>
          <w:color w:val="000000"/>
          <w:kern w:val="0"/>
          <w:sz w:val="32"/>
          <w:szCs w:val="32"/>
          <w:lang w:val="en-US" w:eastAsia="zh-CN"/>
        </w:rPr>
        <w:t>更好地发挥了检察职能，营造了公正、高效、权威的法治环境，为构建和谐社会提供有力的司法保障，</w:t>
      </w:r>
      <w:r>
        <w:rPr>
          <w:rFonts w:hint="eastAsia" w:ascii="仿宋_GB2312" w:hAnsi="宋体" w:eastAsia="仿宋_GB2312" w:cs="宋体"/>
          <w:color w:val="000000"/>
          <w:kern w:val="0"/>
          <w:sz w:val="32"/>
          <w:szCs w:val="32"/>
          <w:highlight w:val="none"/>
          <w:lang w:val="en-US" w:eastAsia="zh-CN"/>
        </w:rPr>
        <w:t>进一步提高检察机关司法公信力，提升群众对检察工作满意度。</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2.可持续性影响</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我院分发挥单位职能，保障各项检察业务工作有序开展，围绕中心工作履行检察职能，在维护首都工作大局，维护社会安全稳定，强化法律监督等方面具有可持续性。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3.服务对象满意度</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我院项目满意度总体较好，符合年初绩效目标的要求。人民群众对检察业务工作满意度均在90%以上；干警对项目服务满意度均不低于95%。</w:t>
      </w:r>
    </w:p>
    <w:p>
      <w:pPr>
        <w:spacing w:line="600" w:lineRule="exact"/>
        <w:ind w:left="105" w:leftChars="50" w:firstLine="480" w:firstLineChars="150"/>
        <w:outlineLvl w:val="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1.财务管理制度健全性</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我院建立了《北京市门头沟区人民检察院财务管理办法》、《北京市门头沟区人民检察院会计档案管理办法（试行）》、《北京市门头沟区人民检察院内部财务信息公开实施办法（试行）》等制度，财务管理制度健全。</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highlight w:val="none"/>
        </w:rPr>
        <w:t>资金使用合规性</w:t>
      </w:r>
      <w:r>
        <w:rPr>
          <w:rFonts w:ascii="仿宋_GB2312" w:hAnsi="宋体" w:eastAsia="仿宋_GB2312" w:cs="宋体"/>
          <w:color w:val="000000"/>
          <w:kern w:val="0"/>
          <w:sz w:val="32"/>
          <w:szCs w:val="32"/>
          <w:highlight w:val="none"/>
        </w:rPr>
        <w:t>和安全性</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2022年我院各项</w:t>
      </w:r>
      <w:r>
        <w:rPr>
          <w:rFonts w:hint="eastAsia" w:ascii="仿宋_GB2312" w:hAnsi="宋体" w:eastAsia="仿宋_GB2312" w:cs="宋体"/>
          <w:color w:val="000000"/>
          <w:kern w:val="0"/>
          <w:sz w:val="32"/>
          <w:szCs w:val="32"/>
        </w:rPr>
        <w:t>资金</w:t>
      </w:r>
      <w:r>
        <w:rPr>
          <w:rFonts w:hint="eastAsia" w:ascii="仿宋_GB2312" w:hAnsi="宋体" w:eastAsia="仿宋_GB2312" w:cs="宋体"/>
          <w:color w:val="000000"/>
          <w:kern w:val="0"/>
          <w:sz w:val="32"/>
          <w:szCs w:val="32"/>
          <w:lang w:val="en-US" w:eastAsia="zh-CN"/>
        </w:rPr>
        <w:t>支出均参照国家、北京市相关制度及本院已制定的财务制度执行，资金支出审批程序齐全，资金使用</w:t>
      </w:r>
      <w:r>
        <w:rPr>
          <w:rFonts w:hint="eastAsia" w:ascii="仿宋_GB2312" w:hAnsi="宋体" w:eastAsia="仿宋_GB2312" w:cs="宋体"/>
          <w:color w:val="000000"/>
          <w:kern w:val="0"/>
          <w:sz w:val="32"/>
          <w:szCs w:val="32"/>
        </w:rPr>
        <w:t>合规</w:t>
      </w:r>
      <w:r>
        <w:rPr>
          <w:rFonts w:hint="eastAsia" w:ascii="仿宋_GB2312" w:hAnsi="宋体" w:eastAsia="仿宋_GB2312" w:cs="宋体"/>
          <w:color w:val="000000"/>
          <w:kern w:val="0"/>
          <w:sz w:val="32"/>
          <w:szCs w:val="32"/>
          <w:lang w:eastAsia="zh-CN"/>
        </w:rPr>
        <w:t>、</w:t>
      </w:r>
      <w:r>
        <w:rPr>
          <w:rFonts w:ascii="仿宋_GB2312" w:hAnsi="宋体" w:eastAsia="仿宋_GB2312" w:cs="宋体"/>
          <w:color w:val="000000"/>
          <w:kern w:val="0"/>
          <w:sz w:val="32"/>
          <w:szCs w:val="32"/>
        </w:rPr>
        <w:t>安全</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会计信息准确、完整。</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严格按照《财政部关于贯彻实施政府会计准则制度的通知》和市检察院、高检院的相关要求，开展会计工作。通过梳理重点项目支出会计凭证及会计账簿、财务报告等基础信息，我院会计基础信息和会计信息管理工作较为规范。</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（二）资产管理</w:t>
      </w:r>
    </w:p>
    <w:p>
      <w:pPr>
        <w:spacing w:line="560" w:lineRule="exact"/>
        <w:ind w:left="0" w:leftChars="0"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1.我院建立了《北京市门头沟区人民检察院固定资产管理办法》、《北京市门头沟区人民检察院办公用品管理办法》、《北京市门头沟区人民检察院无形资产管理办法》等管理制度，资产</w:t>
      </w:r>
      <w:r>
        <w:rPr>
          <w:rFonts w:hint="eastAsia" w:ascii="仿宋_GB2312" w:hAnsi="宋体" w:eastAsia="仿宋_GB2312" w:cs="宋体"/>
          <w:color w:val="000000"/>
          <w:kern w:val="0"/>
          <w:sz w:val="32"/>
          <w:szCs w:val="32"/>
        </w:rPr>
        <w:t>管理制度</w:t>
      </w:r>
      <w:r>
        <w:rPr>
          <w:rFonts w:hint="eastAsia" w:ascii="仿宋_GB2312" w:hAnsi="宋体" w:eastAsia="仿宋_GB2312" w:cs="宋体"/>
          <w:color w:val="000000"/>
          <w:kern w:val="0"/>
          <w:sz w:val="32"/>
          <w:szCs w:val="32"/>
          <w:lang w:val="en-US" w:eastAsia="zh-CN"/>
        </w:rPr>
        <w:t>较为</w:t>
      </w:r>
      <w:r>
        <w:rPr>
          <w:rFonts w:hint="eastAsia" w:ascii="仿宋_GB2312" w:hAnsi="宋体" w:eastAsia="仿宋_GB2312" w:cs="宋体"/>
          <w:color w:val="000000"/>
          <w:kern w:val="0"/>
          <w:sz w:val="32"/>
          <w:szCs w:val="32"/>
        </w:rPr>
        <w:t>健全</w:t>
      </w:r>
      <w:r>
        <w:rPr>
          <w:rFonts w:hint="eastAsia" w:ascii="仿宋_GB2312" w:hAnsi="宋体" w:eastAsia="仿宋_GB2312" w:cs="宋体"/>
          <w:color w:val="000000"/>
          <w:kern w:val="0"/>
          <w:sz w:val="32"/>
          <w:szCs w:val="32"/>
          <w:lang w:eastAsia="zh-CN"/>
        </w:rPr>
        <w:t>。</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我院在资产管理方面能够按照现有制度执行，科学合理做好资产配置，加强资产的日常管理维护，挖掘资产使用价值，规范和完善资产的处置流程，充分发挥资产在单位履行职能方面的物质基础作用，有效保证单位带给公共服务的需要。</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我院建立了《北京市门头沟区人民检察院预算项目管理办法》、《北京市门头沟区人民检察院预算绩效管理办法（试行）》，在部门预算绩效管理工作中，对具体项目的决策、执行、产出及效益等方面进行综合评价，评价结果经主管检察长审批，确保评价结果的真实、准确、客观。通过绩效评价进一步强化了我院对项目资金的绩效管理意识，提高了财政资金的使用效益。建立科学、合理的部门支出绩效评价管理体系，提高财政资金使用效益。我院部门支出绩效评价依据设定的绩效目标，运用科学、合理的绩效评价指标、评价标准和评价方法，对部门支出的经济性、效率性、效益性和公平性以及预算资金的投入、使用过程、产出和效果进行客观、公正的测量、分析和评判进一步加强预算绩效管理。</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（四）结转结余率</w:t>
      </w:r>
    </w:p>
    <w:p>
      <w:pPr>
        <w:spacing w:line="600" w:lineRule="exact"/>
        <w:ind w:left="105" w:leftChars="50" w:firstLine="480" w:firstLineChars="150"/>
        <w:rPr>
          <w:rFonts w:hint="default" w:ascii="楷体_GB2312" w:eastAsia="楷体_GB2312"/>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2022年结转结余资金总额为239.26万元，支出预算资金为5,609.83万元，结转结余率为4.26%。</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pPr>
        <w:spacing w:line="600" w:lineRule="exact"/>
        <w:ind w:firstLine="640" w:firstLineChars="200"/>
        <w:rPr>
          <w:rFonts w:hint="eastAsia" w:ascii="黑体" w:hAnsi="黑体" w:eastAsia="黑体"/>
          <w:sz w:val="32"/>
          <w:szCs w:val="32"/>
          <w:highlight w:val="none"/>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年年初预算数</w:t>
      </w:r>
      <w:r>
        <w:rPr>
          <w:rFonts w:hint="eastAsia" w:ascii="仿宋_GB2312" w:hAnsi="宋体" w:eastAsia="仿宋_GB2312" w:cs="宋体"/>
          <w:color w:val="000000"/>
          <w:kern w:val="0"/>
          <w:sz w:val="32"/>
          <w:szCs w:val="32"/>
          <w:highlight w:val="none"/>
          <w:lang w:val="en-US" w:eastAsia="zh-CN"/>
        </w:rPr>
        <w:t>5,244.59</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决算</w:t>
      </w:r>
      <w:r>
        <w:rPr>
          <w:rFonts w:hint="eastAsia" w:ascii="仿宋_GB2312" w:hAnsi="宋体" w:eastAsia="仿宋_GB2312" w:cs="宋体"/>
          <w:color w:val="000000"/>
          <w:kern w:val="0"/>
          <w:sz w:val="32"/>
          <w:szCs w:val="32"/>
          <w:highlight w:val="none"/>
        </w:rPr>
        <w:t>数</w:t>
      </w:r>
      <w:r>
        <w:rPr>
          <w:rFonts w:hint="eastAsia" w:ascii="仿宋_GB2312" w:hAnsi="宋体" w:eastAsia="仿宋_GB2312" w:cs="宋体"/>
          <w:color w:val="000000"/>
          <w:kern w:val="0"/>
          <w:sz w:val="32"/>
          <w:szCs w:val="32"/>
          <w:highlight w:val="none"/>
          <w:lang w:val="en-US" w:eastAsia="zh-CN"/>
        </w:rPr>
        <w:t>5,370.57</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预决算差异率为2.4%。</w:t>
      </w:r>
    </w:p>
    <w:p>
      <w:pPr>
        <w:spacing w:line="600" w:lineRule="exact"/>
        <w:ind w:left="105" w:leftChars="50" w:firstLine="480" w:firstLineChars="150"/>
        <w:outlineLvl w:val="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spacing w:line="600" w:lineRule="exact"/>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本年度，我院开展绩效评价项目8个，占部门项目总数100%，涉及金额665.36万元。其中部门评价项目1个，涉及金额20万元，单位自评项目7个，涉及金额645.36万元。评价得分在90（含）—100分的项目8个。部门整体绩效评价得分97.15。</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195"/>
        <w:gridCol w:w="1447"/>
        <w:gridCol w:w="1938"/>
        <w:gridCol w:w="1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450" w:hRule="atLeast"/>
        </w:trPr>
        <w:tc>
          <w:tcPr>
            <w:tcW w:w="1875" w:type="pct"/>
            <w:shd w:val="clear" w:color="000000" w:fill="auto"/>
            <w:noWrap w:val="0"/>
            <w:vAlign w:val="center"/>
          </w:tcPr>
          <w:p>
            <w:pPr>
              <w:widowControl/>
              <w:spacing w:line="560" w:lineRule="exact"/>
              <w:jc w:val="center"/>
              <w:rPr>
                <w:rFonts w:hint="eastAsia" w:ascii="仿宋_GB2312" w:hAnsi="仿宋_GB2312" w:cs="仿宋_GB2312"/>
                <w:b/>
                <w:bCs/>
                <w:kern w:val="0"/>
                <w:sz w:val="21"/>
                <w:szCs w:val="21"/>
                <w:highlight w:val="none"/>
              </w:rPr>
            </w:pPr>
            <w:r>
              <w:rPr>
                <w:rFonts w:hint="eastAsia" w:ascii="仿宋_GB2312" w:hAnsi="仿宋_GB2312" w:cs="仿宋_GB2312"/>
                <w:b/>
                <w:bCs/>
                <w:kern w:val="0"/>
                <w:sz w:val="21"/>
                <w:szCs w:val="21"/>
                <w:highlight w:val="none"/>
              </w:rPr>
              <w:t>评价</w:t>
            </w:r>
            <w:r>
              <w:rPr>
                <w:rFonts w:hint="eastAsia" w:ascii="仿宋_GB2312" w:hAnsi="仿宋_GB2312" w:cs="仿宋_GB2312"/>
                <w:b/>
                <w:bCs/>
                <w:kern w:val="0"/>
                <w:sz w:val="21"/>
                <w:szCs w:val="21"/>
                <w:highlight w:val="none"/>
                <w:lang w:val="en-US" w:eastAsia="zh-CN"/>
              </w:rPr>
              <w:t>项目名称</w:t>
            </w:r>
          </w:p>
        </w:tc>
        <w:tc>
          <w:tcPr>
            <w:tcW w:w="849" w:type="pct"/>
            <w:shd w:val="clear" w:color="000000" w:fill="auto"/>
            <w:noWrap w:val="0"/>
            <w:vAlign w:val="center"/>
          </w:tcPr>
          <w:p>
            <w:pPr>
              <w:widowControl/>
              <w:spacing w:line="560" w:lineRule="exact"/>
              <w:jc w:val="center"/>
              <w:rPr>
                <w:rFonts w:hint="eastAsia" w:ascii="仿宋_GB2312" w:hAnsi="仿宋_GB2312" w:cs="仿宋_GB2312"/>
                <w:b/>
                <w:bCs/>
                <w:kern w:val="0"/>
                <w:sz w:val="21"/>
                <w:szCs w:val="21"/>
                <w:highlight w:val="none"/>
              </w:rPr>
            </w:pPr>
            <w:r>
              <w:rPr>
                <w:rFonts w:hint="eastAsia" w:ascii="仿宋_GB2312" w:hAnsi="仿宋_GB2312" w:cs="仿宋_GB2312"/>
                <w:b/>
                <w:bCs/>
                <w:kern w:val="0"/>
                <w:sz w:val="21"/>
                <w:szCs w:val="21"/>
                <w:highlight w:val="none"/>
              </w:rPr>
              <w:t>分值</w:t>
            </w:r>
          </w:p>
        </w:tc>
        <w:tc>
          <w:tcPr>
            <w:tcW w:w="1137" w:type="pct"/>
            <w:shd w:val="clear" w:color="000000" w:fill="auto"/>
            <w:noWrap w:val="0"/>
            <w:vAlign w:val="center"/>
          </w:tcPr>
          <w:p>
            <w:pPr>
              <w:widowControl/>
              <w:spacing w:line="560" w:lineRule="exact"/>
              <w:jc w:val="center"/>
              <w:rPr>
                <w:rFonts w:hint="eastAsia" w:ascii="仿宋_GB2312" w:hAnsi="仿宋_GB2312" w:cs="仿宋_GB2312"/>
                <w:b/>
                <w:bCs/>
                <w:kern w:val="0"/>
                <w:sz w:val="21"/>
                <w:szCs w:val="21"/>
                <w:highlight w:val="none"/>
              </w:rPr>
            </w:pPr>
            <w:r>
              <w:rPr>
                <w:rFonts w:hint="eastAsia" w:ascii="仿宋_GB2312" w:hAnsi="仿宋_GB2312" w:cs="仿宋_GB2312"/>
                <w:b/>
                <w:bCs/>
                <w:kern w:val="0"/>
                <w:sz w:val="21"/>
                <w:szCs w:val="21"/>
                <w:highlight w:val="none"/>
              </w:rPr>
              <w:t>绩效评定级别</w:t>
            </w:r>
          </w:p>
        </w:tc>
        <w:tc>
          <w:tcPr>
            <w:tcW w:w="1138" w:type="pct"/>
            <w:shd w:val="clear" w:color="000000" w:fill="auto"/>
            <w:noWrap w:val="0"/>
            <w:vAlign w:val="center"/>
          </w:tcPr>
          <w:p>
            <w:pPr>
              <w:widowControl/>
              <w:spacing w:line="560" w:lineRule="exact"/>
              <w:jc w:val="center"/>
              <w:rPr>
                <w:rFonts w:hint="default" w:ascii="仿宋_GB2312" w:hAnsi="仿宋_GB2312" w:eastAsia="宋体" w:cs="仿宋_GB2312"/>
                <w:b/>
                <w:bCs/>
                <w:kern w:val="0"/>
                <w:sz w:val="21"/>
                <w:szCs w:val="21"/>
                <w:highlight w:val="none"/>
                <w:lang w:val="en-US" w:eastAsia="zh-CN"/>
              </w:rPr>
            </w:pPr>
            <w:r>
              <w:rPr>
                <w:rFonts w:hint="eastAsia" w:ascii="仿宋_GB2312" w:hAnsi="仿宋_GB2312" w:cs="仿宋_GB2312"/>
                <w:b/>
                <w:bCs/>
                <w:kern w:val="0"/>
                <w:sz w:val="21"/>
                <w:szCs w:val="21"/>
                <w:highlight w:val="none"/>
                <w:lang w:val="en-US" w:eastAsia="zh-CN"/>
              </w:rPr>
              <w:t>决算数（万元）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2022年绩效评审咨询服务费项目</w:t>
            </w:r>
          </w:p>
        </w:tc>
        <w:tc>
          <w:tcPr>
            <w:tcW w:w="849" w:type="pct"/>
            <w:shd w:val="clear" w:color="000000" w:fill="auto"/>
            <w:noWrap w:val="0"/>
            <w:vAlign w:val="center"/>
          </w:tcPr>
          <w:p>
            <w:pPr>
              <w:widowControl/>
              <w:spacing w:line="600" w:lineRule="exact"/>
              <w:ind w:firstLine="420" w:firstLineChars="2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96.00</w:t>
            </w:r>
          </w:p>
        </w:tc>
        <w:tc>
          <w:tcPr>
            <w:tcW w:w="1137" w:type="pct"/>
            <w:shd w:val="clear" w:color="000000" w:fill="auto"/>
            <w:noWrap w:val="0"/>
            <w:vAlign w:val="center"/>
          </w:tcPr>
          <w:p>
            <w:pPr>
              <w:widowControl/>
              <w:spacing w:line="600" w:lineRule="exact"/>
              <w:ind w:firstLine="0" w:firstLineChars="0"/>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2022年信息化运维项目</w:t>
            </w:r>
          </w:p>
        </w:tc>
        <w:tc>
          <w:tcPr>
            <w:tcW w:w="849" w:type="pct"/>
            <w:shd w:val="clear" w:color="000000" w:fill="auto"/>
            <w:noWrap w:val="0"/>
            <w:vAlign w:val="center"/>
          </w:tcPr>
          <w:p>
            <w:pPr>
              <w:widowControl/>
              <w:spacing w:line="600" w:lineRule="exact"/>
              <w:ind w:firstLine="420" w:firstLineChars="200"/>
              <w:jc w:val="both"/>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95.00</w:t>
            </w:r>
          </w:p>
        </w:tc>
        <w:tc>
          <w:tcPr>
            <w:tcW w:w="1137" w:type="pct"/>
            <w:shd w:val="clear" w:color="000000" w:fill="auto"/>
            <w:noWrap w:val="0"/>
            <w:vAlign w:val="center"/>
          </w:tcPr>
          <w:p>
            <w:pPr>
              <w:widowControl/>
              <w:spacing w:line="600" w:lineRule="exact"/>
              <w:ind w:firstLine="0" w:firstLineChars="0"/>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2022年办案业务费</w:t>
            </w:r>
          </w:p>
        </w:tc>
        <w:tc>
          <w:tcPr>
            <w:tcW w:w="849" w:type="pct"/>
            <w:shd w:val="clear" w:color="000000" w:fill="auto"/>
            <w:noWrap w:val="0"/>
            <w:vAlign w:val="center"/>
          </w:tcPr>
          <w:p>
            <w:pPr>
              <w:widowControl/>
              <w:spacing w:line="600" w:lineRule="exact"/>
              <w:ind w:firstLine="420" w:firstLineChars="2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92.60</w:t>
            </w:r>
          </w:p>
        </w:tc>
        <w:tc>
          <w:tcPr>
            <w:tcW w:w="1137" w:type="pct"/>
            <w:shd w:val="clear" w:color="000000" w:fill="auto"/>
            <w:noWrap w:val="0"/>
            <w:vAlign w:val="center"/>
          </w:tcPr>
          <w:p>
            <w:pPr>
              <w:widowControl/>
              <w:spacing w:line="600" w:lineRule="exact"/>
              <w:ind w:firstLine="0" w:firstLineChars="0"/>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409.96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2022年互联网接入费</w:t>
            </w:r>
          </w:p>
        </w:tc>
        <w:tc>
          <w:tcPr>
            <w:tcW w:w="849" w:type="pct"/>
            <w:shd w:val="clear" w:color="000000" w:fill="auto"/>
            <w:noWrap w:val="0"/>
            <w:vAlign w:val="center"/>
          </w:tcPr>
          <w:p>
            <w:pPr>
              <w:widowControl/>
              <w:spacing w:line="600" w:lineRule="exact"/>
              <w:ind w:firstLine="420" w:firstLineChars="2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100.00</w:t>
            </w:r>
          </w:p>
        </w:tc>
        <w:tc>
          <w:tcPr>
            <w:tcW w:w="1137" w:type="pct"/>
            <w:shd w:val="clear" w:color="000000" w:fill="auto"/>
            <w:noWrap w:val="0"/>
            <w:vAlign w:val="center"/>
          </w:tcPr>
          <w:p>
            <w:pPr>
              <w:widowControl/>
              <w:spacing w:line="600" w:lineRule="exact"/>
              <w:ind w:firstLine="0" w:firstLineChars="0"/>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2022年检察工作经费</w:t>
            </w:r>
          </w:p>
        </w:tc>
        <w:tc>
          <w:tcPr>
            <w:tcW w:w="849" w:type="pct"/>
            <w:shd w:val="clear" w:color="000000" w:fill="auto"/>
            <w:noWrap w:val="0"/>
            <w:vAlign w:val="center"/>
          </w:tcPr>
          <w:p>
            <w:pPr>
              <w:widowControl/>
              <w:spacing w:line="600" w:lineRule="exact"/>
              <w:ind w:firstLine="420" w:firstLineChars="2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97.00</w:t>
            </w:r>
          </w:p>
        </w:tc>
        <w:tc>
          <w:tcPr>
            <w:tcW w:w="1137" w:type="pct"/>
            <w:shd w:val="clear" w:color="000000" w:fill="auto"/>
            <w:noWrap w:val="0"/>
            <w:vAlign w:val="center"/>
          </w:tcPr>
          <w:p>
            <w:pPr>
              <w:widowControl/>
              <w:spacing w:line="600" w:lineRule="exact"/>
              <w:ind w:firstLine="0" w:firstLineChars="0"/>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highlight w:val="none"/>
                <w:lang w:val="en-US" w:eastAsia="zh-CN"/>
              </w:rPr>
              <w:t>23.50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2022年</w:t>
            </w:r>
            <w:r>
              <w:rPr>
                <w:rFonts w:hint="eastAsia" w:ascii="仿宋_GB2312" w:hAnsi="宋体" w:eastAsia="仿宋_GB2312" w:cs="宋体"/>
                <w:color w:val="000000"/>
                <w:kern w:val="0"/>
                <w:sz w:val="21"/>
                <w:szCs w:val="21"/>
              </w:rPr>
              <w:t>公务用车购置费</w:t>
            </w:r>
          </w:p>
        </w:tc>
        <w:tc>
          <w:tcPr>
            <w:tcW w:w="849" w:type="pct"/>
            <w:shd w:val="clear" w:color="000000" w:fill="auto"/>
            <w:noWrap w:val="0"/>
            <w:vAlign w:val="center"/>
          </w:tcPr>
          <w:p>
            <w:pPr>
              <w:widowControl/>
              <w:spacing w:line="600" w:lineRule="exact"/>
              <w:ind w:firstLine="420" w:firstLineChars="200"/>
              <w:jc w:val="both"/>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98.80</w:t>
            </w:r>
          </w:p>
        </w:tc>
        <w:tc>
          <w:tcPr>
            <w:tcW w:w="1137" w:type="pct"/>
            <w:shd w:val="clear" w:color="000000" w:fill="auto"/>
            <w:noWrap w:val="0"/>
            <w:vAlign w:val="center"/>
          </w:tcPr>
          <w:p>
            <w:pPr>
              <w:widowControl/>
              <w:spacing w:line="600" w:lineRule="exact"/>
              <w:ind w:firstLine="0" w:firstLineChars="0"/>
              <w:jc w:val="center"/>
              <w:rPr>
                <w:rFonts w:hint="eastAsia" w:ascii="仿宋_GB2312" w:hAnsi="宋体" w:eastAsia="仿宋_GB2312" w:cs="宋体"/>
                <w:color w:val="000000"/>
                <w:kern w:val="0"/>
                <w:sz w:val="21"/>
                <w:szCs w:val="21"/>
                <w:lang w:val="en-US"/>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highlight w:val="none"/>
                <w:lang w:val="en-US" w:eastAsia="zh-CN"/>
              </w:rPr>
              <w:t>59.00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2022年安保安检工作经费</w:t>
            </w:r>
          </w:p>
        </w:tc>
        <w:tc>
          <w:tcPr>
            <w:tcW w:w="849" w:type="pct"/>
            <w:shd w:val="clear" w:color="000000" w:fill="auto"/>
            <w:noWrap w:val="0"/>
            <w:vAlign w:val="center"/>
          </w:tcPr>
          <w:p>
            <w:pPr>
              <w:widowControl/>
              <w:spacing w:line="600" w:lineRule="exact"/>
              <w:ind w:firstLine="420" w:firstLineChars="2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98.00</w:t>
            </w:r>
          </w:p>
        </w:tc>
        <w:tc>
          <w:tcPr>
            <w:tcW w:w="1137" w:type="pct"/>
            <w:shd w:val="clear" w:color="000000" w:fill="auto"/>
            <w:noWrap w:val="0"/>
            <w:vAlign w:val="center"/>
          </w:tcPr>
          <w:p>
            <w:pPr>
              <w:widowControl/>
              <w:spacing w:line="600" w:lineRule="exact"/>
              <w:ind w:firstLine="0" w:firstLineChars="0"/>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highlight w:val="none"/>
                <w:lang w:val="en-US" w:eastAsia="zh-CN"/>
              </w:rPr>
              <w:t>77.40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875" w:type="pct"/>
            <w:shd w:val="clear" w:color="000000" w:fill="auto"/>
            <w:noWrap w:val="0"/>
            <w:vAlign w:val="center"/>
          </w:tcPr>
          <w:p>
            <w:pPr>
              <w:widowControl/>
              <w:spacing w:line="600" w:lineRule="exact"/>
              <w:ind w:firstLine="0" w:firstLineChars="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2022业务装备费</w:t>
            </w:r>
          </w:p>
        </w:tc>
        <w:tc>
          <w:tcPr>
            <w:tcW w:w="849" w:type="pct"/>
            <w:shd w:val="clear" w:color="000000" w:fill="auto"/>
            <w:noWrap w:val="0"/>
            <w:vAlign w:val="center"/>
          </w:tcPr>
          <w:p>
            <w:pPr>
              <w:widowControl/>
              <w:spacing w:line="600" w:lineRule="exact"/>
              <w:ind w:firstLine="420" w:firstLineChars="2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94.70</w:t>
            </w:r>
          </w:p>
        </w:tc>
        <w:tc>
          <w:tcPr>
            <w:tcW w:w="1137"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优</w:t>
            </w:r>
          </w:p>
        </w:tc>
        <w:tc>
          <w:tcPr>
            <w:tcW w:w="1138" w:type="pct"/>
            <w:shd w:val="clear" w:color="000000" w:fill="auto"/>
            <w:noWrap w:val="0"/>
            <w:vAlign w:val="center"/>
          </w:tcPr>
          <w:p>
            <w:pPr>
              <w:widowControl/>
              <w:spacing w:line="600" w:lineRule="exact"/>
              <w:ind w:firstLine="0" w:firstLineChars="0"/>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highlight w:val="none"/>
                <w:lang w:val="en-US" w:eastAsia="zh-CN"/>
              </w:rPr>
              <w:t>49.40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24" w:type="pct"/>
            <w:gridSpan w:val="2"/>
            <w:shd w:val="clear" w:color="000000" w:fill="auto"/>
            <w:noWrap w:val="0"/>
            <w:vAlign w:val="center"/>
          </w:tcPr>
          <w:p>
            <w:pPr>
              <w:widowControl/>
              <w:spacing w:line="600" w:lineRule="exact"/>
              <w:ind w:firstLine="422" w:firstLineChars="200"/>
              <w:jc w:val="center"/>
              <w:rPr>
                <w:rFonts w:hint="eastAsia" w:ascii="仿宋_GB2312" w:hAnsi="宋体" w:eastAsia="仿宋_GB2312" w:cs="宋体"/>
                <w:color w:val="000000"/>
                <w:kern w:val="0"/>
                <w:sz w:val="21"/>
                <w:szCs w:val="21"/>
                <w:lang w:val="en-US" w:eastAsia="zh-CN"/>
              </w:rPr>
            </w:pPr>
            <w:r>
              <w:rPr>
                <w:rFonts w:hint="eastAsia" w:ascii="仿宋_GB2312" w:hAnsi="仿宋_GB2312" w:cs="仿宋_GB2312"/>
                <w:b/>
                <w:bCs/>
                <w:kern w:val="0"/>
                <w:sz w:val="21"/>
                <w:szCs w:val="21"/>
                <w:highlight w:val="none"/>
                <w:lang w:val="en-US" w:eastAsia="zh-CN"/>
              </w:rPr>
              <w:t>合计</w:t>
            </w:r>
          </w:p>
        </w:tc>
        <w:tc>
          <w:tcPr>
            <w:tcW w:w="1137" w:type="pct"/>
            <w:shd w:val="clear" w:color="000000" w:fill="auto"/>
            <w:noWrap w:val="0"/>
            <w:vAlign w:val="center"/>
          </w:tcPr>
          <w:p>
            <w:pPr>
              <w:widowControl/>
              <w:spacing w:line="600" w:lineRule="exact"/>
              <w:ind w:firstLine="420" w:firstLineChars="200"/>
              <w:jc w:val="center"/>
              <w:rPr>
                <w:rFonts w:hint="eastAsia" w:ascii="仿宋_GB2312" w:hAnsi="宋体" w:eastAsia="仿宋_GB2312" w:cs="宋体"/>
                <w:color w:val="000000"/>
                <w:kern w:val="0"/>
                <w:sz w:val="21"/>
                <w:szCs w:val="21"/>
                <w:lang w:val="en-US" w:eastAsia="zh-CN"/>
              </w:rPr>
            </w:pPr>
          </w:p>
        </w:tc>
        <w:tc>
          <w:tcPr>
            <w:tcW w:w="1138" w:type="pct"/>
            <w:shd w:val="clear" w:color="000000" w:fill="auto"/>
            <w:noWrap w:val="0"/>
            <w:vAlign w:val="center"/>
          </w:tcPr>
          <w:p>
            <w:pPr>
              <w:keepNext w:val="0"/>
              <w:keepLines w:val="0"/>
              <w:widowControl/>
              <w:suppressLineNumbers w:val="0"/>
              <w:ind w:firstLine="660" w:firstLineChars="300"/>
              <w:jc w:val="both"/>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665.36</w:t>
            </w:r>
          </w:p>
        </w:tc>
      </w:tr>
    </w:tbl>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（二）存在的问题及原因分析</w:t>
      </w:r>
    </w:p>
    <w:p>
      <w:pPr>
        <w:spacing w:line="600" w:lineRule="exact"/>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通过本次绩效评价，发现个别项目存在预算绩效指标设置上可量化程度不够。主要原因是对预算绩效管理意识不高，对绩效指标理解不强。</w:t>
      </w:r>
    </w:p>
    <w:p>
      <w:pPr>
        <w:spacing w:line="600" w:lineRule="exact"/>
        <w:ind w:firstLine="640" w:firstLineChars="200"/>
        <w:outlineLvl w:val="0"/>
        <w:rPr>
          <w:rFonts w:hint="eastAsia" w:ascii="仿宋_GB2312" w:hAnsi="宋体" w:eastAsia="仿宋_GB2312"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spacing w:before="0" w:beforeLines="0" w:after="0" w:afterLines="0" w:line="560" w:lineRule="exact"/>
        <w:ind w:firstLine="640" w:firstLineChars="200"/>
        <w:jc w:val="left"/>
        <w:rPr>
          <w:rFonts w:hint="eastAsia" w:ascii="仿宋_GB2312" w:hAnsi="Cambria" w:eastAsia="仿宋_GB2312" w:cs="Times New Roman"/>
          <w:b w:val="0"/>
          <w:sz w:val="32"/>
          <w:szCs w:val="32"/>
        </w:rPr>
      </w:pPr>
      <w:bookmarkStart w:id="0" w:name="_Toc103006301"/>
      <w:r>
        <w:rPr>
          <w:rFonts w:hint="eastAsia" w:ascii="楷体_GB2312" w:eastAsia="楷体_GB2312"/>
          <w:sz w:val="32"/>
          <w:szCs w:val="32"/>
          <w:lang w:val="en-US" w:eastAsia="zh-CN"/>
        </w:rPr>
        <w:t>（一）</w:t>
      </w:r>
      <w:r>
        <w:rPr>
          <w:rFonts w:hint="eastAsia" w:ascii="仿宋_GB2312" w:hAnsi="Cambria" w:eastAsia="仿宋_GB2312" w:cs="Times New Roman"/>
          <w:b w:val="0"/>
          <w:sz w:val="32"/>
          <w:szCs w:val="32"/>
        </w:rPr>
        <w:t>提高预算绩效管理意识，设置项目绩效目标应清晰、明确，针对预算和实施内容明确解决问题、发挥作用，产生效益和效果，以及对今后相关工作产生影响</w:t>
      </w:r>
      <w:r>
        <w:rPr>
          <w:rFonts w:hint="eastAsia" w:ascii="仿宋_GB2312" w:hAnsi="Cambria" w:cs="Times New Roman"/>
          <w:b w:val="0"/>
          <w:sz w:val="32"/>
          <w:szCs w:val="32"/>
          <w:lang w:eastAsia="zh-CN"/>
        </w:rPr>
        <w:t>。</w:t>
      </w:r>
    </w:p>
    <w:p>
      <w:pPr>
        <w:numPr>
          <w:ilvl w:val="0"/>
          <w:numId w:val="0"/>
        </w:numPr>
        <w:spacing w:line="600" w:lineRule="exact"/>
        <w:ind w:firstLine="640" w:firstLineChars="200"/>
        <w:rPr>
          <w:rFonts w:hint="default" w:ascii="楷体_GB2312" w:eastAsia="楷体_GB2312"/>
          <w:sz w:val="32"/>
          <w:szCs w:val="32"/>
          <w:lang w:val="en-US" w:eastAsia="zh-CN"/>
        </w:rPr>
      </w:pPr>
      <w:r>
        <w:rPr>
          <w:rFonts w:hint="eastAsia" w:ascii="楷体_GB2312" w:eastAsia="楷体_GB2312"/>
          <w:sz w:val="32"/>
          <w:szCs w:val="32"/>
          <w:lang w:val="en-US" w:eastAsia="zh-CN"/>
        </w:rPr>
        <w:t>（二）</w:t>
      </w:r>
      <w:r>
        <w:rPr>
          <w:rFonts w:hint="eastAsia" w:ascii="仿宋_GB2312" w:hAnsi="Cambria" w:eastAsia="仿宋_GB2312" w:cs="Times New Roman"/>
          <w:b w:val="0"/>
          <w:sz w:val="32"/>
          <w:szCs w:val="32"/>
        </w:rPr>
        <w:t>加强对绩效指标体系的理解，设置产出指标要加强指标要素凝练，如质量指标</w:t>
      </w:r>
      <w:r>
        <w:rPr>
          <w:rFonts w:hint="eastAsia" w:ascii="仿宋_GB2312" w:hAnsi="Cambria" w:eastAsia="仿宋_GB2312" w:cs="Times New Roman"/>
          <w:b w:val="0"/>
          <w:sz w:val="32"/>
          <w:szCs w:val="32"/>
          <w:lang w:val="en-US" w:eastAsia="zh-CN"/>
        </w:rPr>
        <w:t>应</w:t>
      </w:r>
      <w:r>
        <w:rPr>
          <w:rFonts w:hint="eastAsia" w:ascii="仿宋_GB2312" w:hAnsi="Cambria" w:eastAsia="仿宋_GB2312" w:cs="Times New Roman"/>
          <w:b w:val="0"/>
          <w:sz w:val="32"/>
          <w:szCs w:val="32"/>
        </w:rPr>
        <w:t>明确相关设备具体质量标准。社会效益指标要与项目内容密切相关</w:t>
      </w:r>
      <w:r>
        <w:rPr>
          <w:rFonts w:hint="eastAsia" w:ascii="仿宋_GB2312" w:hAnsi="Cambria" w:eastAsia="仿宋_GB2312" w:cs="Times New Roman"/>
          <w:b w:val="0"/>
          <w:sz w:val="32"/>
          <w:szCs w:val="32"/>
          <w:lang w:eastAsia="zh-CN"/>
        </w:rPr>
        <w:t>。</w:t>
      </w:r>
    </w:p>
    <w:p>
      <w:pPr>
        <w:pStyle w:val="4"/>
        <w:rPr>
          <w:sz w:val="32"/>
          <w:szCs w:val="32"/>
          <w:highlight w:val="none"/>
        </w:rPr>
      </w:pPr>
      <w:r>
        <w:rPr>
          <w:rFonts w:hint="eastAsia"/>
          <w:sz w:val="32"/>
          <w:szCs w:val="32"/>
          <w:highlight w:val="none"/>
        </w:rPr>
        <w:t>七、附件</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sz w:val="32"/>
          <w:szCs w:val="32"/>
          <w:highlight w:val="none"/>
          <w:lang w:eastAsia="zh-CN"/>
        </w:rPr>
        <w:sectPr>
          <w:footerReference r:id="rId3" w:type="default"/>
          <w:pgSz w:w="11906" w:h="16838"/>
          <w:pgMar w:top="1440" w:right="1800" w:bottom="1440" w:left="1800" w:header="851" w:footer="964" w:gutter="0"/>
          <w:pgNumType w:fmt="decimal" w:start="1"/>
          <w:cols w:space="425" w:num="1"/>
          <w:docGrid w:type="lines" w:linePitch="435" w:charSpace="0"/>
        </w:sect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p>
      <w:pPr>
        <w:spacing w:line="560" w:lineRule="exact"/>
        <w:jc w:val="left"/>
        <w:rPr>
          <w:rFonts w:hint="default"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4-1</w:t>
      </w:r>
    </w:p>
    <w:tbl>
      <w:tblPr>
        <w:tblStyle w:val="11"/>
        <w:tblW w:w="5000" w:type="pct"/>
        <w:tblInd w:w="0" w:type="dxa"/>
        <w:tblLayout w:type="autofit"/>
        <w:tblCellMar>
          <w:top w:w="0" w:type="dxa"/>
          <w:left w:w="108" w:type="dxa"/>
          <w:bottom w:w="0" w:type="dxa"/>
          <w:right w:w="108" w:type="dxa"/>
        </w:tblCellMar>
      </w:tblPr>
      <w:tblGrid>
        <w:gridCol w:w="1119"/>
        <w:gridCol w:w="1122"/>
        <w:gridCol w:w="1016"/>
        <w:gridCol w:w="1016"/>
        <w:gridCol w:w="1998"/>
        <w:gridCol w:w="694"/>
        <w:gridCol w:w="859"/>
        <w:gridCol w:w="2750"/>
        <w:gridCol w:w="3600"/>
      </w:tblGrid>
      <w:tr>
        <w:tblPrEx>
          <w:tblCellMar>
            <w:top w:w="0" w:type="dxa"/>
            <w:left w:w="108" w:type="dxa"/>
            <w:bottom w:w="0" w:type="dxa"/>
            <w:right w:w="108" w:type="dxa"/>
          </w:tblCellMar>
        </w:tblPrEx>
        <w:trPr>
          <w:cantSplit/>
          <w:trHeight w:val="90"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仿宋" w:hAnsi="仿宋" w:eastAsia="仿宋" w:cs="仿宋"/>
                <w:b/>
                <w:bCs/>
                <w:color w:val="000000"/>
                <w:kern w:val="0"/>
                <w:sz w:val="44"/>
                <w:szCs w:val="44"/>
                <w:highlight w:val="none"/>
              </w:rPr>
              <w:t>202</w:t>
            </w:r>
            <w:r>
              <w:rPr>
                <w:rFonts w:hint="eastAsia" w:ascii="仿宋" w:hAnsi="仿宋" w:eastAsia="仿宋" w:cs="仿宋"/>
                <w:b/>
                <w:bCs/>
                <w:color w:val="000000"/>
                <w:kern w:val="0"/>
                <w:sz w:val="44"/>
                <w:szCs w:val="44"/>
                <w:highlight w:val="none"/>
                <w:lang w:val="en-US" w:eastAsia="zh-CN"/>
              </w:rPr>
              <w:t>2</w:t>
            </w:r>
            <w:r>
              <w:rPr>
                <w:rFonts w:hint="eastAsia" w:ascii="仿宋" w:hAnsi="仿宋" w:eastAsia="仿宋" w:cs="仿宋"/>
                <w:b/>
                <w:bCs/>
                <w:color w:val="000000"/>
                <w:kern w:val="0"/>
                <w:sz w:val="44"/>
                <w:szCs w:val="44"/>
                <w:highlight w:val="none"/>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cantSplit/>
          <w:trHeight w:val="660" w:hRule="atLeast"/>
        </w:trPr>
        <w:tc>
          <w:tcPr>
            <w:tcW w:w="39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26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cantSplit/>
          <w:trHeight w:val="1118" w:hRule="atLeast"/>
        </w:trPr>
        <w:tc>
          <w:tcPr>
            <w:tcW w:w="395"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5,609.83　</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5,370.57　</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95.74%</w:t>
            </w:r>
            <w:r>
              <w:rPr>
                <w:rFonts w:hint="eastAsia" w:ascii="宋体" w:hAnsi="宋体" w:cs="宋体"/>
                <w:color w:val="000000"/>
                <w:kern w:val="0"/>
                <w:sz w:val="20"/>
                <w:szCs w:val="20"/>
              </w:rPr>
              <w:t>　</w:t>
            </w:r>
          </w:p>
        </w:tc>
        <w:tc>
          <w:tcPr>
            <w:tcW w:w="245"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30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19.15</w:t>
            </w:r>
            <w:r>
              <w:rPr>
                <w:rFonts w:hint="eastAsia" w:ascii="宋体" w:hAnsi="宋体" w:cs="宋体"/>
                <w:color w:val="000000"/>
                <w:kern w:val="0"/>
                <w:sz w:val="20"/>
                <w:szCs w:val="20"/>
              </w:rPr>
              <w:t>　</w:t>
            </w:r>
          </w:p>
        </w:tc>
        <w:tc>
          <w:tcPr>
            <w:tcW w:w="97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26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cantSplit/>
          <w:trHeight w:val="1020"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4,797.22　</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4,667.40　</w:t>
            </w:r>
          </w:p>
        </w:tc>
        <w:tc>
          <w:tcPr>
            <w:tcW w:w="70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9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6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144"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812.61　</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703.17　</w:t>
            </w:r>
          </w:p>
        </w:tc>
        <w:tc>
          <w:tcPr>
            <w:tcW w:w="70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9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6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056"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70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97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6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7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cantSplit/>
          <w:trHeight w:val="499" w:hRule="atLeast"/>
        </w:trPr>
        <w:tc>
          <w:tcPr>
            <w:tcW w:w="39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9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4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0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6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1434" w:hRule="atLeast"/>
        </w:trPr>
        <w:tc>
          <w:tcPr>
            <w:tcW w:w="39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9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lang w:val="en-US" w:eastAsia="zh-CN"/>
              </w:rPr>
              <w:t>数量</w:t>
            </w:r>
            <w:r>
              <w:rPr>
                <w:rFonts w:hint="eastAsia" w:ascii="宋体" w:hAnsi="宋体" w:cs="宋体"/>
                <w:color w:val="000000"/>
                <w:kern w:val="0"/>
                <w:sz w:val="20"/>
                <w:szCs w:val="20"/>
              </w:rPr>
              <w:t>指标执行率</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98%</w:t>
            </w:r>
          </w:p>
        </w:tc>
        <w:tc>
          <w:tcPr>
            <w:tcW w:w="24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w:t>
            </w:r>
          </w:p>
        </w:tc>
        <w:tc>
          <w:tcPr>
            <w:tcW w:w="97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26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993"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产出指标质量指标装备质量　</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好</w:t>
            </w: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c>
          <w:tcPr>
            <w:tcW w:w="97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6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1151"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产出指标时效指标完成效率　　</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按时完成项目</w:t>
            </w:r>
            <w:r>
              <w:rPr>
                <w:rFonts w:hint="eastAsia" w:ascii="宋体" w:hAnsi="宋体" w:cs="宋体"/>
                <w:color w:val="000000"/>
                <w:kern w:val="0"/>
                <w:sz w:val="20"/>
                <w:szCs w:val="20"/>
              </w:rPr>
              <w:t>　</w:t>
            </w: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p>
        </w:tc>
        <w:tc>
          <w:tcPr>
            <w:tcW w:w="97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6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848" w:hRule="atLeast"/>
        </w:trPr>
        <w:tc>
          <w:tcPr>
            <w:tcW w:w="395" w:type="pct"/>
            <w:vMerge w:val="continue"/>
            <w:tcBorders>
              <w:left w:val="single" w:color="auto" w:sz="4" w:space="0"/>
              <w:bottom w:val="single" w:color="000000" w:sz="4" w:space="0"/>
              <w:right w:val="single" w:color="auto" w:sz="4" w:space="0"/>
            </w:tcBorders>
            <w:noWrap w:val="0"/>
            <w:vAlign w:val="center"/>
          </w:tcPr>
          <w:p>
            <w:pPr>
              <w:widowControl/>
              <w:jc w:val="center"/>
            </w:pPr>
          </w:p>
        </w:tc>
        <w:tc>
          <w:tcPr>
            <w:tcW w:w="396" w:type="pct"/>
            <w:vMerge w:val="continue"/>
            <w:tcBorders>
              <w:left w:val="single" w:color="auto" w:sz="4" w:space="0"/>
              <w:bottom w:val="single" w:color="auto" w:sz="4" w:space="0"/>
              <w:right w:val="single" w:color="auto" w:sz="4" w:space="0"/>
            </w:tcBorders>
            <w:noWrap w:val="0"/>
            <w:vAlign w:val="center"/>
          </w:tcPr>
          <w:p>
            <w:pPr>
              <w:widowControl/>
              <w:jc w:val="center"/>
            </w:pP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指标</w:t>
            </w:r>
            <w:r>
              <w:rPr>
                <w:rFonts w:hint="eastAsia" w:ascii="宋体" w:hAnsi="宋体" w:cs="宋体"/>
                <w:color w:val="000000"/>
                <w:kern w:val="0"/>
                <w:sz w:val="20"/>
                <w:szCs w:val="20"/>
                <w:lang w:val="en-US" w:eastAsia="zh-CN"/>
              </w:rPr>
              <w:t>4</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lang w:val="en-US" w:eastAsia="zh-CN"/>
              </w:rPr>
              <w:t>成本</w:t>
            </w:r>
            <w:r>
              <w:rPr>
                <w:rFonts w:hint="eastAsia" w:ascii="宋体" w:hAnsi="宋体" w:cs="宋体"/>
                <w:color w:val="000000"/>
                <w:kern w:val="0"/>
                <w:sz w:val="20"/>
                <w:szCs w:val="20"/>
              </w:rPr>
              <w:t>指标</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宋体"/>
                <w:color w:val="000000"/>
                <w:kern w:val="0"/>
                <w:sz w:val="20"/>
                <w:szCs w:val="20"/>
                <w:lang w:val="en-US" w:eastAsia="zh-CN"/>
              </w:rPr>
            </w:pPr>
            <w:r>
              <w:rPr>
                <w:rFonts w:hint="eastAsia" w:ascii="宋体" w:hAnsi="宋体" w:cs="宋体"/>
                <w:color w:val="000000"/>
                <w:kern w:val="0"/>
                <w:sz w:val="18"/>
                <w:szCs w:val="18"/>
              </w:rPr>
              <w:t>项目支出预算数</w:t>
            </w:r>
            <w:r>
              <w:rPr>
                <w:rFonts w:hint="eastAsia" w:ascii="宋体" w:hAnsi="宋体" w:cs="宋体"/>
                <w:color w:val="000000"/>
                <w:kern w:val="0"/>
                <w:sz w:val="18"/>
                <w:szCs w:val="18"/>
                <w:lang w:val="en-US" w:eastAsia="zh-CN"/>
              </w:rPr>
              <w:t>8</w:t>
            </w:r>
            <w:r>
              <w:rPr>
                <w:rFonts w:hint="eastAsia" w:ascii="宋体" w:hAnsi="宋体" w:cs="宋体"/>
                <w:color w:val="000000"/>
                <w:kern w:val="0"/>
                <w:sz w:val="18"/>
                <w:szCs w:val="18"/>
              </w:rPr>
              <w:t>12.61万元，项目支出决算数703.17万元</w:t>
            </w:r>
            <w:r>
              <w:rPr>
                <w:rFonts w:hint="eastAsia" w:ascii="宋体" w:hAnsi="宋体" w:cs="宋体"/>
                <w:color w:val="000000"/>
                <w:kern w:val="0"/>
                <w:sz w:val="18"/>
                <w:szCs w:val="18"/>
                <w:lang w:eastAsia="zh-CN"/>
              </w:rPr>
              <w:t>。</w:t>
            </w:r>
          </w:p>
        </w:tc>
        <w:tc>
          <w:tcPr>
            <w:tcW w:w="24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970" w:type="pct"/>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268" w:type="pct"/>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cantSplit/>
          <w:trHeight w:val="675"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社会效益</w:t>
            </w:r>
            <w:r>
              <w:rPr>
                <w:rFonts w:hint="eastAsia" w:ascii="宋体" w:hAnsi="宋体" w:cs="宋体"/>
                <w:color w:val="000000"/>
                <w:kern w:val="0"/>
                <w:sz w:val="20"/>
                <w:szCs w:val="20"/>
              </w:rPr>
              <w:t>　</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18"/>
                <w:szCs w:val="18"/>
                <w:highlight w:val="none"/>
                <w:lang w:val="en-US" w:eastAsia="zh-CN"/>
              </w:rPr>
              <w:t>保障检察工作需要，提高办公效率，满足四大检察业务办案需要，提高检察机关司法公信力</w:t>
            </w:r>
            <w:r>
              <w:rPr>
                <w:rFonts w:hint="eastAsia" w:ascii="宋体" w:hAnsi="宋体" w:cs="宋体"/>
                <w:color w:val="000000"/>
                <w:kern w:val="0"/>
                <w:sz w:val="18"/>
                <w:szCs w:val="18"/>
                <w:highlight w:val="none"/>
                <w:lang w:val="en-US" w:eastAsia="zh-CN"/>
              </w:rPr>
              <w:t>。</w:t>
            </w:r>
            <w:r>
              <w:rPr>
                <w:rFonts w:hint="eastAsia" w:ascii="宋体" w:hAnsi="宋体" w:eastAsia="宋体" w:cs="宋体"/>
                <w:color w:val="000000"/>
                <w:kern w:val="0"/>
                <w:sz w:val="20"/>
                <w:szCs w:val="20"/>
              </w:rPr>
              <w:t>　</w:t>
            </w:r>
          </w:p>
        </w:tc>
        <w:tc>
          <w:tcPr>
            <w:tcW w:w="245"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303" w:type="pct"/>
            <w:tcBorders>
              <w:top w:val="single" w:color="auto" w:sz="4" w:space="0"/>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w:t>
            </w:r>
          </w:p>
        </w:tc>
        <w:tc>
          <w:tcPr>
            <w:tcW w:w="970"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26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1244"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58" w:type="pct"/>
            <w:tcBorders>
              <w:top w:val="nil"/>
              <w:left w:val="nil"/>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358" w:type="pct"/>
            <w:tcBorders>
              <w:top w:val="nil"/>
              <w:left w:val="nil"/>
              <w:right w:val="single" w:color="auto" w:sz="4" w:space="0"/>
            </w:tcBorders>
            <w:noWrap w:val="0"/>
            <w:vAlign w:val="bottom"/>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满意度指标</w:t>
            </w:r>
          </w:p>
          <w:p>
            <w:pPr>
              <w:widowControl/>
              <w:jc w:val="center"/>
              <w:rPr>
                <w:rFonts w:hint="eastAsia" w:ascii="宋体" w:hAnsi="宋体" w:cs="宋体"/>
                <w:color w:val="000000"/>
                <w:kern w:val="0"/>
                <w:sz w:val="20"/>
                <w:szCs w:val="20"/>
              </w:rPr>
            </w:pPr>
          </w:p>
        </w:tc>
        <w:tc>
          <w:tcPr>
            <w:tcW w:w="703" w:type="pct"/>
            <w:tcBorders>
              <w:top w:val="nil"/>
              <w:left w:val="nil"/>
              <w:right w:val="single" w:color="auto" w:sz="4" w:space="0"/>
            </w:tcBorders>
            <w:noWrap w:val="0"/>
            <w:vAlign w:val="center"/>
          </w:tcPr>
          <w:p>
            <w:pPr>
              <w:widowControl/>
              <w:jc w:val="both"/>
              <w:rPr>
                <w:rFonts w:hint="eastAsia" w:ascii="宋体" w:hAnsi="宋体" w:cs="宋体"/>
                <w:color w:val="000000"/>
                <w:kern w:val="0"/>
                <w:sz w:val="20"/>
                <w:szCs w:val="20"/>
              </w:rPr>
            </w:pPr>
            <w:r>
              <w:rPr>
                <w:rFonts w:hint="eastAsia" w:ascii="宋体" w:hAnsi="宋体" w:eastAsia="宋体" w:cs="宋体"/>
                <w:color w:val="000000"/>
                <w:kern w:val="0"/>
                <w:sz w:val="18"/>
                <w:szCs w:val="18"/>
                <w:highlight w:val="none"/>
                <w:lang w:val="en-US" w:eastAsia="zh-CN"/>
              </w:rPr>
              <w:t>提升群众对检察工作满意度。</w:t>
            </w:r>
          </w:p>
        </w:tc>
        <w:tc>
          <w:tcPr>
            <w:tcW w:w="24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26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cantSplit/>
          <w:trHeight w:val="487"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cantSplit/>
          <w:trHeight w:val="702" w:hRule="atLeast"/>
        </w:trPr>
        <w:tc>
          <w:tcPr>
            <w:tcW w:w="39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45"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30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6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1230" w:hRule="atLeast"/>
        </w:trPr>
        <w:tc>
          <w:tcPr>
            <w:tcW w:w="39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39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18"/>
                <w:szCs w:val="18"/>
              </w:rPr>
              <w:t>各项制度健全</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完整、合规</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会计核算制度完整、合规</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18"/>
                <w:szCs w:val="18"/>
                <w:lang w:val="en-US" w:eastAsia="zh-CN"/>
              </w:rPr>
              <w:t>我院</w:t>
            </w:r>
            <w:r>
              <w:rPr>
                <w:rFonts w:hint="eastAsia" w:ascii="宋体" w:hAnsi="宋体" w:cs="宋体"/>
                <w:color w:val="000000"/>
                <w:kern w:val="0"/>
                <w:sz w:val="18"/>
                <w:szCs w:val="18"/>
              </w:rPr>
              <w:t>预算资金管理办法、绩效跟踪管理办法、资产管理办法等各项制度健全</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部门内部财务管理制度</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会计核算制度完整、合规</w:t>
            </w:r>
            <w:r>
              <w:rPr>
                <w:rFonts w:hint="eastAsia" w:ascii="宋体" w:hAnsi="宋体" w:cs="宋体"/>
                <w:color w:val="000000"/>
                <w:kern w:val="0"/>
                <w:sz w:val="18"/>
                <w:szCs w:val="18"/>
                <w:lang w:eastAsia="zh-CN"/>
              </w:rPr>
              <w:t>。</w:t>
            </w:r>
          </w:p>
        </w:tc>
        <w:tc>
          <w:tcPr>
            <w:tcW w:w="245"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30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26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2220" w:hRule="atLeast"/>
        </w:trPr>
        <w:tc>
          <w:tcPr>
            <w:tcW w:w="395"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18"/>
                <w:szCs w:val="18"/>
                <w:lang w:val="en-US" w:eastAsia="zh-CN"/>
              </w:rPr>
              <w:t>财政</w:t>
            </w:r>
            <w:r>
              <w:rPr>
                <w:rFonts w:hint="eastAsia" w:ascii="宋体" w:hAnsi="宋体" w:cs="宋体"/>
                <w:color w:val="000000"/>
                <w:kern w:val="0"/>
                <w:sz w:val="18"/>
                <w:szCs w:val="18"/>
              </w:rPr>
              <w:t>资金</w:t>
            </w:r>
            <w:r>
              <w:rPr>
                <w:rFonts w:hint="eastAsia" w:ascii="宋体" w:hAnsi="宋体" w:cs="宋体"/>
                <w:color w:val="000000"/>
                <w:kern w:val="0"/>
                <w:sz w:val="18"/>
                <w:szCs w:val="18"/>
                <w:lang w:val="en-US" w:eastAsia="zh-CN"/>
              </w:rPr>
              <w:t>支出</w:t>
            </w:r>
            <w:r>
              <w:rPr>
                <w:rFonts w:hint="eastAsia" w:ascii="宋体" w:hAnsi="宋体" w:cs="宋体"/>
                <w:color w:val="000000"/>
                <w:kern w:val="0"/>
                <w:sz w:val="18"/>
                <w:szCs w:val="18"/>
              </w:rPr>
              <w:t>合规</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安全</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18"/>
                <w:szCs w:val="18"/>
                <w:lang w:val="en-US" w:eastAsia="zh-CN"/>
              </w:rPr>
              <w:t>我院2022年度资金支出</w:t>
            </w:r>
            <w:r>
              <w:rPr>
                <w:rFonts w:hint="eastAsia" w:ascii="宋体" w:hAnsi="宋体" w:cs="宋体"/>
                <w:color w:val="000000"/>
                <w:kern w:val="0"/>
                <w:sz w:val="18"/>
                <w:szCs w:val="18"/>
              </w:rPr>
              <w:t>符合国家财经法规和财务管理制度规定以及有关专项资金管理办法的规定</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资金的拨付审批程序和手续</w:t>
            </w:r>
            <w:r>
              <w:rPr>
                <w:rFonts w:hint="eastAsia" w:ascii="宋体" w:hAnsi="宋体" w:cs="宋体"/>
                <w:color w:val="000000"/>
                <w:kern w:val="0"/>
                <w:sz w:val="18"/>
                <w:szCs w:val="18"/>
                <w:lang w:val="en-US" w:eastAsia="zh-CN"/>
              </w:rPr>
              <w:t>齐全；各项支出均</w:t>
            </w:r>
            <w:r>
              <w:rPr>
                <w:rFonts w:hint="eastAsia" w:ascii="宋体" w:hAnsi="宋体" w:cs="宋体"/>
                <w:color w:val="000000"/>
                <w:kern w:val="0"/>
                <w:sz w:val="18"/>
                <w:szCs w:val="18"/>
              </w:rPr>
              <w:t>符合部门预算批复的用途</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不</w:t>
            </w:r>
            <w:r>
              <w:rPr>
                <w:rFonts w:hint="eastAsia" w:ascii="宋体" w:hAnsi="宋体" w:cs="宋体"/>
                <w:color w:val="000000"/>
                <w:kern w:val="0"/>
                <w:sz w:val="18"/>
                <w:szCs w:val="18"/>
              </w:rPr>
              <w:t>存在截留、挤占、挪用情况</w:t>
            </w:r>
            <w:r>
              <w:rPr>
                <w:rFonts w:hint="eastAsia" w:ascii="宋体" w:hAnsi="宋体" w:cs="宋体"/>
                <w:color w:val="000000"/>
                <w:kern w:val="0"/>
                <w:sz w:val="18"/>
                <w:szCs w:val="18"/>
                <w:lang w:eastAsia="zh-CN"/>
              </w:rPr>
              <w:t>。</w:t>
            </w:r>
          </w:p>
        </w:tc>
        <w:tc>
          <w:tcPr>
            <w:tcW w:w="245"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303" w:type="pct"/>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6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410"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58"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358"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18"/>
                <w:szCs w:val="18"/>
              </w:rPr>
              <w:t>会计基础信息完善</w:t>
            </w:r>
            <w:r>
              <w:rPr>
                <w:rFonts w:hint="eastAsia" w:ascii="宋体" w:hAnsi="宋体" w:cs="宋体"/>
                <w:color w:val="000000"/>
                <w:kern w:val="0"/>
                <w:sz w:val="18"/>
                <w:szCs w:val="18"/>
                <w:lang w:val="en-US" w:eastAsia="zh-CN"/>
              </w:rPr>
              <w:t>程度</w:t>
            </w:r>
            <w:r>
              <w:rPr>
                <w:rFonts w:hint="eastAsia" w:ascii="宋体" w:hAnsi="宋体" w:cs="宋体"/>
                <w:color w:val="000000"/>
                <w:kern w:val="0"/>
                <w:sz w:val="18"/>
                <w:szCs w:val="18"/>
              </w:rPr>
              <w:t>　</w:t>
            </w:r>
          </w:p>
        </w:tc>
        <w:tc>
          <w:tcPr>
            <w:tcW w:w="70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18"/>
                <w:szCs w:val="18"/>
              </w:rPr>
              <w:t>基础数据信息和会计信息资料真实</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完整、准确</w:t>
            </w:r>
            <w:r>
              <w:rPr>
                <w:rFonts w:hint="eastAsia" w:ascii="宋体" w:hAnsi="宋体" w:cs="宋体"/>
                <w:color w:val="000000"/>
                <w:kern w:val="0"/>
                <w:sz w:val="20"/>
                <w:szCs w:val="20"/>
              </w:rPr>
              <w:t>　</w:t>
            </w:r>
          </w:p>
        </w:tc>
        <w:tc>
          <w:tcPr>
            <w:tcW w:w="245"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97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26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2220"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35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18"/>
                <w:szCs w:val="18"/>
                <w:lang w:val="en-US" w:eastAsia="zh-CN"/>
              </w:rPr>
              <w:t>国有资产使用、保管、处置程序合规性</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18"/>
                <w:szCs w:val="18"/>
              </w:rPr>
              <w:t>资产管理制度</w:t>
            </w:r>
            <w:r>
              <w:rPr>
                <w:rFonts w:hint="eastAsia" w:ascii="宋体" w:hAnsi="宋体" w:cs="宋体"/>
                <w:color w:val="000000"/>
                <w:kern w:val="0"/>
                <w:sz w:val="18"/>
                <w:szCs w:val="18"/>
                <w:lang w:val="en-US" w:eastAsia="zh-CN"/>
              </w:rPr>
              <w:t>健全；各项</w:t>
            </w:r>
            <w:r>
              <w:rPr>
                <w:rFonts w:hint="eastAsia" w:ascii="宋体" w:hAnsi="宋体" w:cs="宋体"/>
                <w:color w:val="000000"/>
                <w:kern w:val="0"/>
                <w:sz w:val="18"/>
                <w:szCs w:val="18"/>
              </w:rPr>
              <w:t>资产使用规范，</w:t>
            </w:r>
            <w:r>
              <w:rPr>
                <w:rFonts w:hint="eastAsia" w:ascii="宋体" w:hAnsi="宋体" w:cs="宋体"/>
                <w:color w:val="000000"/>
                <w:kern w:val="0"/>
                <w:sz w:val="18"/>
                <w:szCs w:val="18"/>
                <w:lang w:val="en-US" w:eastAsia="zh-CN"/>
              </w:rPr>
              <w:t>不</w:t>
            </w:r>
            <w:r>
              <w:rPr>
                <w:rFonts w:hint="eastAsia" w:ascii="宋体" w:hAnsi="宋体" w:cs="宋体"/>
                <w:color w:val="000000"/>
                <w:kern w:val="0"/>
                <w:sz w:val="18"/>
                <w:szCs w:val="18"/>
              </w:rPr>
              <w:t>存在未经批准擅自出租、出借资产行为；</w:t>
            </w:r>
            <w:r>
              <w:rPr>
                <w:rFonts w:hint="eastAsia" w:ascii="宋体" w:hAnsi="宋体" w:cs="宋体"/>
                <w:color w:val="000000"/>
                <w:kern w:val="0"/>
                <w:sz w:val="18"/>
                <w:szCs w:val="18"/>
                <w:lang w:val="en-US" w:eastAsia="zh-CN"/>
              </w:rPr>
              <w:t>国有</w:t>
            </w:r>
            <w:r>
              <w:rPr>
                <w:rFonts w:hint="eastAsia" w:ascii="宋体" w:hAnsi="宋体" w:cs="宋体"/>
                <w:color w:val="000000"/>
                <w:kern w:val="0"/>
                <w:sz w:val="18"/>
                <w:szCs w:val="18"/>
              </w:rPr>
              <w:t>资产处置</w:t>
            </w:r>
            <w:r>
              <w:rPr>
                <w:rFonts w:hint="eastAsia" w:ascii="宋体" w:hAnsi="宋体" w:cs="宋体"/>
                <w:color w:val="000000"/>
                <w:kern w:val="0"/>
                <w:sz w:val="18"/>
                <w:szCs w:val="18"/>
                <w:lang w:val="en-US" w:eastAsia="zh-CN"/>
              </w:rPr>
              <w:t>均按照北京市财政相关要求办理</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不</w:t>
            </w:r>
            <w:r>
              <w:rPr>
                <w:rFonts w:hint="eastAsia" w:ascii="宋体" w:hAnsi="宋体" w:cs="宋体"/>
                <w:color w:val="000000"/>
                <w:kern w:val="0"/>
                <w:sz w:val="18"/>
                <w:szCs w:val="18"/>
              </w:rPr>
              <w:t>存在不按要求进行报批或资产不公开处置行为</w:t>
            </w:r>
          </w:p>
        </w:tc>
        <w:tc>
          <w:tcPr>
            <w:tcW w:w="2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26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cantSplit/>
          <w:trHeight w:val="1210"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35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35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绩效管理信息的汇总和应用情况。</w:t>
            </w:r>
          </w:p>
        </w:tc>
        <w:tc>
          <w:tcPr>
            <w:tcW w:w="703" w:type="pct"/>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我院对绩效信息及时进行了汇总分析整理，项目执行过程中不存在偏离绩效目标情况。</w:t>
            </w:r>
          </w:p>
        </w:tc>
        <w:tc>
          <w:tcPr>
            <w:tcW w:w="24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26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cantSplit/>
          <w:trHeight w:val="394"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716"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21</w:t>
            </w:r>
            <w:r>
              <w:rPr>
                <w:rFonts w:hint="eastAsia" w:ascii="宋体" w:hAnsi="宋体" w:cs="宋体"/>
                <w:color w:val="000000"/>
                <w:kern w:val="0"/>
                <w:sz w:val="20"/>
                <w:szCs w:val="20"/>
              </w:rPr>
              <w:t>年</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24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68"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cantSplit/>
          <w:trHeight w:val="1944"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716"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6.17%</w:t>
            </w:r>
            <w:r>
              <w:rPr>
                <w:rFonts w:hint="eastAsia" w:ascii="宋体" w:hAnsi="宋体" w:cs="宋体"/>
                <w:color w:val="000000"/>
                <w:kern w:val="0"/>
                <w:sz w:val="20"/>
                <w:szCs w:val="20"/>
              </w:rPr>
              <w:t>　</w:t>
            </w:r>
          </w:p>
        </w:tc>
        <w:tc>
          <w:tcPr>
            <w:tcW w:w="70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4.26%　</w:t>
            </w:r>
          </w:p>
        </w:tc>
        <w:tc>
          <w:tcPr>
            <w:tcW w:w="245"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97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26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cantSplit/>
          <w:trHeight w:val="1083" w:hRule="atLeast"/>
        </w:trPr>
        <w:tc>
          <w:tcPr>
            <w:tcW w:w="395"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96"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716"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w:t>
            </w:r>
          </w:p>
        </w:tc>
        <w:tc>
          <w:tcPr>
            <w:tcW w:w="245"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97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26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cantSplit/>
          <w:trHeight w:val="484" w:hRule="atLeast"/>
        </w:trPr>
        <w:tc>
          <w:tcPr>
            <w:tcW w:w="2212"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45"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30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97.15</w:t>
            </w:r>
            <w:r>
              <w:rPr>
                <w:rFonts w:hint="eastAsia" w:ascii="宋体" w:hAnsi="宋体" w:cs="宋体"/>
                <w:color w:val="000000"/>
                <w:kern w:val="0"/>
                <w:sz w:val="20"/>
                <w:szCs w:val="20"/>
              </w:rPr>
              <w:t>　</w:t>
            </w:r>
          </w:p>
        </w:tc>
        <w:tc>
          <w:tcPr>
            <w:tcW w:w="2238"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rPr>
        <w:sz w:val="21"/>
        <w:szCs w:val="21"/>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6"/>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mYTkwZjIwMzY3Y2NlNDkzNTcwMDg5YTBmZDZmYjgifQ=="/>
  </w:docVars>
  <w:rsids>
    <w:rsidRoot w:val="F77F09F4"/>
    <w:rsid w:val="0508377C"/>
    <w:rsid w:val="0CB11F5E"/>
    <w:rsid w:val="0FA6149D"/>
    <w:rsid w:val="105877B8"/>
    <w:rsid w:val="10F20D97"/>
    <w:rsid w:val="11D23C3E"/>
    <w:rsid w:val="12063596"/>
    <w:rsid w:val="15CE31E3"/>
    <w:rsid w:val="15FD44F2"/>
    <w:rsid w:val="16256A2C"/>
    <w:rsid w:val="175F53D8"/>
    <w:rsid w:val="188B7B07"/>
    <w:rsid w:val="1A7E7471"/>
    <w:rsid w:val="1F9542DF"/>
    <w:rsid w:val="1FF2346C"/>
    <w:rsid w:val="20D07D2B"/>
    <w:rsid w:val="22887FF6"/>
    <w:rsid w:val="23CC3852"/>
    <w:rsid w:val="24C55340"/>
    <w:rsid w:val="25853561"/>
    <w:rsid w:val="29D55086"/>
    <w:rsid w:val="2C0F2B74"/>
    <w:rsid w:val="2D830895"/>
    <w:rsid w:val="2D9E69BA"/>
    <w:rsid w:val="2EC81659"/>
    <w:rsid w:val="334E6310"/>
    <w:rsid w:val="349F262A"/>
    <w:rsid w:val="358341ED"/>
    <w:rsid w:val="36541EB3"/>
    <w:rsid w:val="365460BD"/>
    <w:rsid w:val="37006DED"/>
    <w:rsid w:val="37173543"/>
    <w:rsid w:val="3B8B6D1D"/>
    <w:rsid w:val="3BB24035"/>
    <w:rsid w:val="3BFC72F9"/>
    <w:rsid w:val="3DC04CC0"/>
    <w:rsid w:val="3FDBA076"/>
    <w:rsid w:val="3FDFB3F0"/>
    <w:rsid w:val="3FDFC9A6"/>
    <w:rsid w:val="3FF76880"/>
    <w:rsid w:val="40B42A67"/>
    <w:rsid w:val="423A3482"/>
    <w:rsid w:val="42622D8C"/>
    <w:rsid w:val="44D52F65"/>
    <w:rsid w:val="47FE04DA"/>
    <w:rsid w:val="4950672E"/>
    <w:rsid w:val="4B2D6F67"/>
    <w:rsid w:val="4CBB3F51"/>
    <w:rsid w:val="4E9C25A4"/>
    <w:rsid w:val="4F817512"/>
    <w:rsid w:val="4FAB314B"/>
    <w:rsid w:val="50FA1179"/>
    <w:rsid w:val="53037F05"/>
    <w:rsid w:val="531563C3"/>
    <w:rsid w:val="54FA435D"/>
    <w:rsid w:val="562876F2"/>
    <w:rsid w:val="56297725"/>
    <w:rsid w:val="5679550D"/>
    <w:rsid w:val="5B122C7A"/>
    <w:rsid w:val="5BB92AD6"/>
    <w:rsid w:val="5BFD4AC2"/>
    <w:rsid w:val="5CA1494A"/>
    <w:rsid w:val="5DDC40D6"/>
    <w:rsid w:val="5F9E593F"/>
    <w:rsid w:val="624C4CEC"/>
    <w:rsid w:val="62702F2C"/>
    <w:rsid w:val="64D7739C"/>
    <w:rsid w:val="672B40EC"/>
    <w:rsid w:val="67759716"/>
    <w:rsid w:val="6821502D"/>
    <w:rsid w:val="69AA605E"/>
    <w:rsid w:val="6ADF4CA8"/>
    <w:rsid w:val="6D090AE2"/>
    <w:rsid w:val="6F7ED27B"/>
    <w:rsid w:val="6F9D760D"/>
    <w:rsid w:val="722F4717"/>
    <w:rsid w:val="74E6097E"/>
    <w:rsid w:val="74E8577D"/>
    <w:rsid w:val="75B17A7C"/>
    <w:rsid w:val="779A5141"/>
    <w:rsid w:val="78FB23E4"/>
    <w:rsid w:val="7A202DEA"/>
    <w:rsid w:val="7A2B7779"/>
    <w:rsid w:val="7AB7FF50"/>
    <w:rsid w:val="7AEAF641"/>
    <w:rsid w:val="7BAD2729"/>
    <w:rsid w:val="7BFEB0DB"/>
    <w:rsid w:val="7CBD74F9"/>
    <w:rsid w:val="7DF05F37"/>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6">
    <w:name w:val="heading 4"/>
    <w:basedOn w:val="1"/>
    <w:next w:val="1"/>
    <w:qFormat/>
    <w:uiPriority w:val="0"/>
    <w:pPr>
      <w:keepNext/>
      <w:keepLines/>
      <w:numPr>
        <w:ilvl w:val="3"/>
        <w:numId w:val="1"/>
      </w:numPr>
      <w:spacing w:before="280" w:after="290" w:line="374" w:lineRule="auto"/>
      <w:outlineLvl w:val="3"/>
    </w:pPr>
    <w:rPr>
      <w:rFonts w:ascii="Arial" w:hAnsi="Arial" w:eastAsia="黑体"/>
      <w:b/>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0"/>
    <w:pPr>
      <w:spacing w:after="360"/>
      <w:ind w:firstLine="840"/>
    </w:pPr>
    <w:rPr>
      <w:rFonts w:eastAsia="仿宋_GB2312"/>
      <w:kern w:val="1"/>
      <w:sz w:val="32"/>
      <w:szCs w:val="20"/>
    </w:rPr>
  </w:style>
  <w:style w:type="paragraph" w:styleId="7">
    <w:name w:val="Normal Indent"/>
    <w:basedOn w:val="1"/>
    <w:next w:val="1"/>
    <w:qFormat/>
    <w:uiPriority w:val="0"/>
    <w:pPr>
      <w:ind w:firstLine="200" w:firstLineChars="200"/>
    </w:p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4">
    <w:name w:val="列出段落1"/>
    <w:basedOn w:val="1"/>
    <w:qFormat/>
    <w:uiPriority w:val="34"/>
    <w:pPr>
      <w:ind w:firstLine="420" w:firstLineChars="200"/>
    </w:pPr>
    <w:rPr>
      <w:rFonts w:ascii="Calibri" w:hAnsi="Calibri" w:cs="黑体"/>
      <w:szCs w:val="22"/>
    </w:rPr>
  </w:style>
  <w:style w:type="paragraph" w:customStyle="1"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6472</Words>
  <Characters>6958</Characters>
  <Lines>0</Lines>
  <Paragraphs>0</Paragraphs>
  <TotalTime>14</TotalTime>
  <ScaleCrop>false</ScaleCrop>
  <LinksUpToDate>false</LinksUpToDate>
  <CharactersWithSpaces>6994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M</cp:lastModifiedBy>
  <cp:lastPrinted>2023-03-06T01:31:00Z</cp:lastPrinted>
  <dcterms:modified xsi:type="dcterms:W3CDTF">2023-08-18T03:18:16Z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27C459021B8642DC9EED6D02EAE86359_12</vt:lpwstr>
  </property>
</Properties>
</file>