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cstheme="minorBidi"/>
          <w:sz w:val="36"/>
          <w:szCs w:val="36"/>
        </w:rPr>
      </w:pPr>
      <w:bookmarkStart w:id="0" w:name="_Toc42592441"/>
      <w:r>
        <w:rPr>
          <w:rFonts w:hint="eastAsia" w:ascii="方正小标宋简体" w:eastAsia="方正小标宋简体" w:cstheme="minorBidi"/>
          <w:sz w:val="36"/>
          <w:szCs w:val="36"/>
        </w:rPr>
        <w:t>项目</w:t>
      </w:r>
      <w:r>
        <w:rPr>
          <w:rFonts w:hint="eastAsia" w:ascii="方正小标宋简体" w:eastAsia="方正小标宋简体" w:cstheme="minorBidi"/>
          <w:sz w:val="36"/>
          <w:szCs w:val="36"/>
          <w:lang w:eastAsia="zh-CN"/>
        </w:rPr>
        <w:t>支出</w:t>
      </w:r>
      <w:r>
        <w:rPr>
          <w:rFonts w:hint="eastAsia" w:ascii="方正小标宋简体" w:eastAsia="方正小标宋简体" w:cstheme="minorBidi"/>
          <w:sz w:val="36"/>
          <w:szCs w:val="36"/>
        </w:rPr>
        <w:t>绩效评价报告</w:t>
      </w:r>
    </w:p>
    <w:p>
      <w:pPr>
        <w:pStyle w:val="2"/>
        <w:rPr>
          <w:rFonts w:hint="eastAsia"/>
        </w:rPr>
      </w:pPr>
    </w:p>
    <w:bookmarkEnd w:id="0"/>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（一）项目概况。</w:t>
      </w:r>
    </w:p>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项目实施主体及主要内容</w:t>
      </w:r>
    </w:p>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“系统运维费”项目（以下简称“该项目”）的申报单位为北京市海淀区人民检察院（以下简称“海淀检察院”），实施主体即海淀检察院。</w:t>
      </w:r>
    </w:p>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的主要内容：全国检察业务应用系统1.5和海淀检察院自建应用系统的维护管理、机房网络设备和服务器运维、信息管理与数据维护、安防监控系统运维、会议系统运维、门禁系统运维、办公终端设备运维和统一业务应用系统2.0及检察工作网网络维护等。保障海淀检察院信息化系统的正常运行，及早发现并及时处理相关问题，提高信息化基础设施运维，如整体系统运行环境设计和应用系统运维如视频会议系统统计等，提升信息安全维护如网络设备安全加固整体安全性。</w:t>
      </w:r>
    </w:p>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项目立项依据及背景</w:t>
      </w:r>
    </w:p>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系统运维费涵盖海淀检察院业务应用系统、终端设备、视频会议、网络节点、安防门禁等方方面面，是确保海淀检察院检察业务工作正常开展的重要手段和保障。随着检察业务信息化、办公自动化进一步发展和检察工作网、全国检察业务应用系统2.0的上线，检察办公、办案业务对信息技术的依赖不断增大，信息化设备不断投入，组织的硬件设施、软件系统规模不断提升，信息化运维复杂性不断增强，工作量不断增加，重要性不断提高。该项目为延续性项目，鉴于系统运维工作量不断提升，运维人员工作负荷显著增加，为了确保系统运维工作高质、高效开展。海淀检察院自2016年至今的网络运行、统一业务应用系统的软件维护以及终端等的运维维护，一直由外包公司负责，2022年将继续延续。</w:t>
      </w:r>
    </w:p>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bookmarkStart w:id="1" w:name="_Toc42592443"/>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项目资金情况</w:t>
      </w:r>
      <w:bookmarkEnd w:id="1"/>
    </w:p>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项目预算及资金组成情况</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该项目预算资金为119.00万元，全部为财政拨款，资金于2022年1月份全部到位。</w:t>
      </w:r>
    </w:p>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资金支出及执行情况</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截至2022年12月31日，该项目资金共计支出119.00万元，资金用于以下内容：</w:t>
      </w:r>
      <w:bookmarkStart w:id="9" w:name="_GoBack"/>
      <w:bookmarkEnd w:id="9"/>
    </w:p>
    <w:tbl>
      <w:tblPr>
        <w:tblStyle w:val="6"/>
        <w:tblW w:w="9270" w:type="dxa"/>
        <w:tblInd w:w="-2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905"/>
        <w:gridCol w:w="4710"/>
        <w:gridCol w:w="1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1905"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服务期</w:t>
            </w:r>
          </w:p>
        </w:tc>
        <w:tc>
          <w:tcPr>
            <w:tcW w:w="4710"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明细内容</w:t>
            </w:r>
          </w:p>
        </w:tc>
        <w:tc>
          <w:tcPr>
            <w:tcW w:w="1965"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firstLine="32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905"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2021年11月25日至2022年11月24日</w:t>
            </w:r>
          </w:p>
        </w:tc>
        <w:tc>
          <w:tcPr>
            <w:tcW w:w="4710"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2021年度系统运维费项目尾款</w:t>
            </w:r>
          </w:p>
        </w:tc>
        <w:tc>
          <w:tcPr>
            <w:tcW w:w="1965"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49500.00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firstLine="32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905"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2022年11月25日至2023年11月24日</w:t>
            </w:r>
          </w:p>
        </w:tc>
        <w:tc>
          <w:tcPr>
            <w:tcW w:w="4710"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2022年度系统运维费项目首付款</w:t>
            </w:r>
          </w:p>
        </w:tc>
        <w:tc>
          <w:tcPr>
            <w:tcW w:w="1965"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1140500.00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5" w:type="dxa"/>
            <w:gridSpan w:val="3"/>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left="0" w:leftChars="0" w:right="0" w:rightChars="0" w:firstLine="640" w:firstLineChars="20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合计</w:t>
            </w:r>
          </w:p>
        </w:tc>
        <w:tc>
          <w:tcPr>
            <w:tcW w:w="1965" w:type="dxa"/>
            <w:noWrap w:val="0"/>
            <w:vAlign w:val="center"/>
          </w:tcPr>
          <w:p>
            <w:pPr>
              <w:keepNext w:val="0"/>
              <w:keepLines w:val="0"/>
              <w:pageBreakBefore w:val="0"/>
              <w:widowControl w:val="0"/>
              <w:kinsoku/>
              <w:wordWrap/>
              <w:overflowPunct/>
              <w:topLinePunct w:val="0"/>
              <w:autoSpaceDE/>
              <w:autoSpaceDN w:val="0"/>
              <w:bidi w:val="0"/>
              <w:adjustRightInd/>
              <w:snapToGrid/>
              <w:spacing w:line="58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1190000.00</w:t>
            </w:r>
          </w:p>
        </w:tc>
      </w:tr>
    </w:tbl>
    <w:p>
      <w:pPr>
        <w:pStyle w:val="2"/>
        <w:ind w:left="0" w:leftChars="0" w:firstLine="0" w:firstLineChars="0"/>
        <w:rPr>
          <w:rFonts w:hint="eastAsia"/>
          <w:sz w:val="32"/>
          <w:szCs w:val="32"/>
        </w:rPr>
      </w:pPr>
    </w:p>
    <w:p>
      <w:pPr>
        <w:keepNext w:val="0"/>
        <w:keepLines w:val="0"/>
        <w:pageBreakBefore w:val="0"/>
        <w:widowControl w:val="0"/>
        <w:numPr>
          <w:ilvl w:val="0"/>
          <w:numId w:val="1"/>
        </w:numPr>
        <w:kinsoku/>
        <w:wordWrap/>
        <w:overflowPunct/>
        <w:topLinePunct w:val="0"/>
        <w:autoSpaceDE/>
        <w:autoSpaceDN w:val="0"/>
        <w:bidi w:val="0"/>
        <w:adjustRightInd/>
        <w:snapToGrid/>
        <w:spacing w:line="58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项目绩效目标。</w:t>
      </w:r>
    </w:p>
    <w:p>
      <w:pPr>
        <w:keepNext w:val="0"/>
        <w:keepLines w:val="0"/>
        <w:pageBreakBefore w:val="0"/>
        <w:widowControl w:val="0"/>
        <w:numPr>
          <w:ilvl w:val="0"/>
          <w:numId w:val="0"/>
        </w:numPr>
        <w:kinsoku/>
        <w:wordWrap/>
        <w:overflowPunct/>
        <w:topLinePunct w:val="0"/>
        <w:autoSpaceDE/>
        <w:autoSpaceDN w:val="0"/>
        <w:bidi w:val="0"/>
        <w:adjustRightInd/>
        <w:snapToGrid/>
        <w:spacing w:line="580" w:lineRule="exact"/>
        <w:ind w:right="0" w:rightChars="0" w:firstLine="640" w:firstLineChars="200"/>
        <w:jc w:val="both"/>
        <w:textAlignment w:val="auto"/>
        <w:outlineLvl w:val="9"/>
        <w:rPr>
          <w:rFonts w:hint="eastAsia"/>
          <w:sz w:val="32"/>
          <w:szCs w:val="32"/>
          <w:lang w:val="en-US" w:eastAsia="zh-CN"/>
        </w:rPr>
      </w:pPr>
      <w:r>
        <w:rPr>
          <w:rFonts w:hint="eastAsia" w:ascii="仿宋_GB2312" w:hAnsi="仿宋_GB2312" w:eastAsia="仿宋_GB2312" w:cs="仿宋_GB2312"/>
          <w:sz w:val="32"/>
          <w:szCs w:val="32"/>
          <w:lang w:val="en-US" w:eastAsia="zh-CN"/>
        </w:rPr>
        <w:t>该项目作为延续性项目逐年实施，总体绩效目标设置为：检察信息化和办公自动化的进一步发展对信息化运维的需求不断增加，结合海淀检察院实际完成如下目标：保障海淀检察院信息化系统的正常运行，及早发现并及时处理相关问题，提高系统的运行效率将是运维工作的主要内容。其中具体包括信息化基础设施运维如整体系统运行环境设计，应用系统运维如视频会议系统统计等以及信息安全维护如网络设备安全加固以提升整体安全性。</w:t>
      </w: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按照市财政局“加强财政支出管理，强化支出责任，建立科学、合理的财政支出绩效评价管理体系，提高财政资金使用效益”的要求，受海淀检察院委托，北京中平</w:t>
      </w:r>
      <w:r>
        <w:rPr>
          <w:rFonts w:hint="eastAsia" w:ascii="仿宋_GB2312" w:hAnsi="仿宋_GB2312" w:eastAsia="仿宋_GB2312" w:cs="仿宋_GB2312"/>
          <w:kern w:val="2"/>
          <w:sz w:val="32"/>
          <w:szCs w:val="32"/>
          <w:lang w:val="en-US" w:eastAsia="zh-CN" w:bidi="ar-SA"/>
        </w:rPr>
        <w:t>建华浩会计师事务所有限公司（以下简称“评价机构”）对海淀检察院2022年“系统运维费”项目的实施效果和资金使用情况等进行绩效评价。</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绩效评价原则、评价指标体系（附表说明）、评价方法、评价标准等。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机构本着独立、科学、规范、客观、公正的原则，依据《北京市财政局关于2023年推进全面实施预算绩效管理工作的通知》和北京市财政局关于印发《北京市项目支出绩效评价管理办法》的通知（京财绩效〔2020〕2146号，以下简称“2146号文”）相关规定，以及项目单位提供的政策文件、制度规范、预算批复文件、项目资料等，本着科学规范、公开公正、绩效相关的原则，运用成本效益分析法、比较法、专家评议法等分析方法，对项目决策、过程、产出、效益四方面进行综合评价。具体如下：</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bookmarkStart w:id="2" w:name="_Toc42592448"/>
      <w:r>
        <w:rPr>
          <w:rFonts w:hint="eastAsia" w:ascii="仿宋_GB2312" w:hAnsi="仿宋_GB2312" w:eastAsia="仿宋_GB2312" w:cs="仿宋_GB2312"/>
          <w:sz w:val="32"/>
          <w:szCs w:val="32"/>
          <w:lang w:val="en-US" w:eastAsia="zh-CN"/>
        </w:rPr>
        <w:t>1.绩效评价原则</w:t>
      </w:r>
      <w:bookmarkEnd w:id="2"/>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科学规范原则。注重财政支出的经济性、效率性和有效性，科学制定绩效指标体系，运用科学的评价方法，按照规范的评价程序进行。</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公开公正原则。评价工作客观、公正、透明，标准统一，资料可靠，依法公开接受有关机构和公众的监督。</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绩效相关原则。针对具体支出及其产出绩效进行评价，评价结果能清晰反映支出和产出绩效之间的紧密对应关系。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bookmarkStart w:id="3" w:name="_Toc42592449"/>
      <w:r>
        <w:rPr>
          <w:rFonts w:hint="eastAsia" w:ascii="仿宋_GB2312" w:hAnsi="仿宋_GB2312" w:eastAsia="仿宋_GB2312" w:cs="仿宋_GB2312"/>
          <w:sz w:val="32"/>
          <w:szCs w:val="32"/>
          <w:lang w:val="en-US" w:eastAsia="zh-CN"/>
        </w:rPr>
        <w:t>2.评价方式方法</w:t>
      </w:r>
      <w:bookmarkEnd w:id="3"/>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机构采用现场评价方式，通过成本效益分析法、比较法、专家评议法等分析方法，对项目进行综合评价。评价机构及专家组通过查阅相关资料，与项目单位沟通交流，对项目决策、项目过程、项目产出、项目效益进行现场评价，形成绩效评价综合结论。</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bookmarkStart w:id="4" w:name="_Toc42592450"/>
      <w:r>
        <w:rPr>
          <w:rFonts w:hint="eastAsia" w:ascii="仿宋_GB2312" w:hAnsi="仿宋_GB2312" w:eastAsia="仿宋_GB2312" w:cs="仿宋_GB2312"/>
          <w:sz w:val="32"/>
          <w:szCs w:val="32"/>
          <w:lang w:val="en-US" w:eastAsia="zh-CN"/>
        </w:rPr>
        <w:t>3.项目绩效体系及评分标准</w:t>
      </w:r>
      <w:bookmarkEnd w:id="4"/>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2146号文等相关文件精神，结合该项目特点，在与专家组、该项目单位充分协商的基础上，评价工作组细化了项目的绩效评价指标体系，详见附件1。评价指标体系总分值为100分，其中项目决策10分，项目过程20分，项目产出40分，项目效益30分。绩效评价综合绩效级别评定结果分为4个等级：</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综合得分90分（含）以上，评定为优秀；</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综合得分80分（含）-90分之间，评定为良好；</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综合得分60分（含）-80分之间，评定为合格；</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综合得分60分以下，评定为不合格。</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于未按预算批复内容执行，部门内部自行在项目子项目间调整资金用途超过项目金额30%的，在相应考评级次基础上下降一个考评级次；存在项目间或单位间挪用资金、违规违纪、弄虚作假等问题的，应评为较差，并视情节移交监督、审计、监察、司法部门。</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综合得分的计算过程如下：</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三级指标评分＝∑本级所含有的四级指标得分</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二级指标评分＝∑本级所含有的三级指标得分</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一级指标得分＝∑本级所含有的二级指标得分</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sz w:val="32"/>
          <w:szCs w:val="32"/>
        </w:rPr>
      </w:pPr>
      <w:r>
        <w:rPr>
          <w:rFonts w:hint="eastAsia" w:ascii="仿宋_GB2312" w:hAnsi="仿宋_GB2312" w:eastAsia="仿宋_GB2312" w:cs="仿宋_GB2312"/>
          <w:sz w:val="32"/>
          <w:szCs w:val="32"/>
          <w:lang w:val="en-US" w:eastAsia="zh-CN"/>
        </w:rPr>
        <w:t>综合得分＝项目决策得分+项目过程得分+项目产出得分+项目效益得分</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绩效评价工作程序主要分为准备评价阶段、实施评价阶段、评价分析阶段三个阶段。</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1.准备评价阶段</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5月8日-2023年5月8日为准备阶段：在明确委托方要求的前提下，编制符合项目特点的绩效评价工作方案；评价机构组建了项目工作组，入户辅导项目单位撰写绩效自评报告、准备资料、完善绩效目标申报表；完成财务专家遴选、专家培训等相关工作。</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bookmarkStart w:id="5" w:name="_Toc340589840"/>
      <w:r>
        <w:rPr>
          <w:rFonts w:hint="eastAsia" w:ascii="仿宋_GB2312" w:hAnsi="仿宋_GB2312" w:eastAsia="仿宋_GB2312" w:cs="仿宋_GB2312"/>
          <w:sz w:val="32"/>
          <w:szCs w:val="32"/>
          <w:lang w:val="en-US" w:eastAsia="zh-CN"/>
        </w:rPr>
        <w:t>2.实施评价阶段</w:t>
      </w:r>
      <w:bookmarkEnd w:id="5"/>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bookmarkStart w:id="6" w:name="_Toc340589841"/>
      <w:r>
        <w:rPr>
          <w:rFonts w:hint="eastAsia" w:ascii="仿宋_GB2312" w:hAnsi="仿宋_GB2312" w:eastAsia="仿宋_GB2312" w:cs="仿宋_GB2312"/>
          <w:sz w:val="32"/>
          <w:szCs w:val="32"/>
          <w:lang w:val="en-US" w:eastAsia="zh-CN"/>
        </w:rPr>
        <w:t>2023年5月9日-2023年5月12日为实施阶段：评价机构完成项目资料收集、整理和分析等工作，辅导项目单位完善绩效自评报告，形成绩效自评报告终稿；2023年5月12日组织项目单位、专家组召开了绩效评价会议，专家组通过听取汇报、质询、查阅资料等方式，了解项目的执行情况，对项目进行了综合评价。</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3.评价分析阶段</w:t>
      </w:r>
      <w:bookmarkEnd w:id="6"/>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黑体" w:hAnsi="黑体" w:eastAsia="黑体" w:cs="黑体"/>
          <w:sz w:val="32"/>
          <w:szCs w:val="32"/>
        </w:rPr>
      </w:pPr>
      <w:r>
        <w:rPr>
          <w:rFonts w:hint="eastAsia" w:ascii="仿宋_GB2312" w:hAnsi="仿宋_GB2312" w:eastAsia="仿宋_GB2312" w:cs="仿宋_GB2312"/>
          <w:sz w:val="32"/>
          <w:szCs w:val="32"/>
          <w:lang w:val="en-US" w:eastAsia="zh-CN"/>
        </w:rPr>
        <w:t>2023年5月15日为评价分析阶段：评价机构对项目决策、项目过程、项目产出、项目效益进行综合分析，按照规定的文本格式和内容撰写绩效评价报告，并提交海淀检察院征求意见。2023年5月18日前，根据反馈意见修改形成绩效评价报告正式稿送达委托方。</w:t>
      </w: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通过评价，该项目综合评价得分84.03分，该项目综合评定结论为“良好”。该项目得分和级别评定情况如下。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3363"/>
        <w:gridCol w:w="2245"/>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363" w:type="dxa"/>
            <w:vMerge w:val="restart"/>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评价内容</w:t>
            </w:r>
          </w:p>
        </w:tc>
        <w:tc>
          <w:tcPr>
            <w:tcW w:w="2245" w:type="dxa"/>
            <w:vMerge w:val="restart"/>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该项分值</w:t>
            </w:r>
          </w:p>
        </w:tc>
        <w:tc>
          <w:tcPr>
            <w:tcW w:w="2973" w:type="dxa"/>
            <w:vMerge w:val="restart"/>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363" w:type="dxa"/>
            <w:vMerge w:val="continue"/>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jc w:val="center"/>
              <w:textAlignment w:val="auto"/>
              <w:rPr>
                <w:rFonts w:hint="eastAsia" w:ascii="仿宋_GB2312" w:hAnsi="仿宋_GB2312" w:eastAsia="仿宋_GB2312" w:cs="仿宋_GB2312"/>
                <w:sz w:val="32"/>
                <w:szCs w:val="32"/>
                <w:shd w:val="clear" w:color="auto" w:fill="auto"/>
                <w:lang w:val="en-US" w:eastAsia="zh-CN"/>
              </w:rPr>
            </w:pPr>
          </w:p>
        </w:tc>
        <w:tc>
          <w:tcPr>
            <w:tcW w:w="2245" w:type="dxa"/>
            <w:vMerge w:val="continue"/>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jc w:val="center"/>
              <w:textAlignment w:val="auto"/>
              <w:rPr>
                <w:rFonts w:hint="eastAsia" w:ascii="仿宋_GB2312" w:hAnsi="仿宋_GB2312" w:eastAsia="仿宋_GB2312" w:cs="仿宋_GB2312"/>
                <w:sz w:val="32"/>
                <w:szCs w:val="32"/>
                <w:shd w:val="clear" w:color="auto" w:fill="auto"/>
                <w:lang w:val="en-US" w:eastAsia="zh-CN"/>
              </w:rPr>
            </w:pPr>
          </w:p>
        </w:tc>
        <w:tc>
          <w:tcPr>
            <w:tcW w:w="2973" w:type="dxa"/>
            <w:vMerge w:val="continue"/>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jc w:val="center"/>
              <w:textAlignment w:val="auto"/>
              <w:rPr>
                <w:rFonts w:hint="eastAsia" w:ascii="仿宋_GB2312" w:hAnsi="仿宋_GB2312" w:eastAsia="仿宋_GB2312" w:cs="仿宋_GB2312"/>
                <w:sz w:val="32"/>
                <w:szCs w:val="32"/>
                <w:shd w:val="clear" w:color="auto" w:fil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36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项目决策</w:t>
            </w:r>
          </w:p>
        </w:tc>
        <w:tc>
          <w:tcPr>
            <w:tcW w:w="2245"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10</w:t>
            </w:r>
          </w:p>
        </w:tc>
        <w:tc>
          <w:tcPr>
            <w:tcW w:w="2973" w:type="dxa"/>
            <w:shd w:val="clear" w:color="auto" w:fill="FFFFFF" w:themeFill="background1"/>
            <w:noWrap w:val="0"/>
            <w:vAlign w:val="top"/>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10" w:hRule="exact"/>
          <w:jc w:val="center"/>
        </w:trPr>
        <w:tc>
          <w:tcPr>
            <w:tcW w:w="336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项目过程</w:t>
            </w:r>
          </w:p>
        </w:tc>
        <w:tc>
          <w:tcPr>
            <w:tcW w:w="2245"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20</w:t>
            </w:r>
          </w:p>
        </w:tc>
        <w:tc>
          <w:tcPr>
            <w:tcW w:w="2973" w:type="dxa"/>
            <w:shd w:val="clear" w:color="auto" w:fill="FFFFFF" w:themeFill="background1"/>
            <w:noWrap w:val="0"/>
            <w:vAlign w:val="top"/>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16.53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10" w:hRule="exact"/>
          <w:jc w:val="center"/>
        </w:trPr>
        <w:tc>
          <w:tcPr>
            <w:tcW w:w="336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项目产出</w:t>
            </w:r>
          </w:p>
        </w:tc>
        <w:tc>
          <w:tcPr>
            <w:tcW w:w="2245"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40</w:t>
            </w:r>
          </w:p>
        </w:tc>
        <w:tc>
          <w:tcPr>
            <w:tcW w:w="2973" w:type="dxa"/>
            <w:shd w:val="clear" w:color="auto" w:fill="FFFFFF" w:themeFill="background1"/>
            <w:noWrap w:val="0"/>
            <w:vAlign w:val="top"/>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10" w:hRule="exact"/>
          <w:jc w:val="center"/>
        </w:trPr>
        <w:tc>
          <w:tcPr>
            <w:tcW w:w="336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项目效益</w:t>
            </w:r>
          </w:p>
        </w:tc>
        <w:tc>
          <w:tcPr>
            <w:tcW w:w="2245"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30</w:t>
            </w:r>
          </w:p>
        </w:tc>
        <w:tc>
          <w:tcPr>
            <w:tcW w:w="2973" w:type="dxa"/>
            <w:shd w:val="clear" w:color="auto" w:fill="FFFFFF" w:themeFill="background1"/>
            <w:noWrap w:val="0"/>
            <w:vAlign w:val="top"/>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25.67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10" w:hRule="exact"/>
          <w:jc w:val="center"/>
        </w:trPr>
        <w:tc>
          <w:tcPr>
            <w:tcW w:w="336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综合评价</w:t>
            </w:r>
          </w:p>
        </w:tc>
        <w:tc>
          <w:tcPr>
            <w:tcW w:w="2245"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100</w:t>
            </w:r>
          </w:p>
        </w:tc>
        <w:tc>
          <w:tcPr>
            <w:tcW w:w="2973" w:type="dxa"/>
            <w:shd w:val="clear" w:color="auto" w:fill="FFFFFF" w:themeFill="background1"/>
            <w:noWrap w:val="0"/>
            <w:vAlign w:val="top"/>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84.03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3363" w:type="dxa"/>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绩效级别评定</w:t>
            </w:r>
          </w:p>
        </w:tc>
        <w:tc>
          <w:tcPr>
            <w:tcW w:w="5218" w:type="dxa"/>
            <w:gridSpan w:val="2"/>
            <w:shd w:val="clear" w:color="auto" w:fill="FFFFFF" w:themeFill="background1"/>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right="0" w:rightChars="0"/>
              <w:jc w:val="center"/>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shd w:val="clear" w:color="auto" w:fill="auto"/>
                <w:lang w:val="en-US" w:eastAsia="zh-CN"/>
              </w:rPr>
              <w:t>良好</w:t>
            </w:r>
          </w:p>
        </w:tc>
      </w:tr>
    </w:tbl>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黑体" w:hAnsi="黑体" w:eastAsia="黑体" w:cs="黑体"/>
          <w:sz w:val="32"/>
          <w:szCs w:val="32"/>
        </w:rPr>
      </w:pPr>
      <w:r>
        <w:rPr>
          <w:rFonts w:hint="eastAsia" w:ascii="仿宋_GB2312" w:hAnsi="仿宋_GB2312" w:eastAsia="仿宋_GB2312" w:cs="仿宋_GB2312"/>
          <w:sz w:val="32"/>
          <w:szCs w:val="32"/>
          <w:lang w:val="en-US" w:eastAsia="zh-CN"/>
        </w:rPr>
        <w:t>该项目立项背景较为充分，决策依据较充分，总体绩效目标较为明确。但需要加强内部控制；推进制度建设；完善工作机制；加强管理监控；在项目实施的过程中存在绩效指标细化量化不足；实施方案不够完善；预算编制不够细化、成果体现不足等问题。</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四、绩效评价指标分析</w:t>
      </w:r>
    </w:p>
    <w:p>
      <w:pPr>
        <w:spacing w:line="600" w:lineRule="exact"/>
        <w:ind w:firstLine="640" w:firstLineChars="200"/>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1.项目申报（立项）</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申报（立项）符合国家法律法规、国民经济发展规划和相关政策、行业发展规划和政策，该项目申报（立项）与海淀检察院部门职责范围、部门履职需求相符，该项目属于公共财政支持范围，符合中央、地方事权支出责任划分原则，该项目与相关部门同类项目或部门内部相关项目不重复。</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2.绩效目标</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目标设定的较为明确，即保障海淀检察院信息化系统的正常运行，及早发现并及时处理相关问题，提高系统的运行效率和提升网络设备整体安全性。绩效目标与实际工作内容具有相关性。该项目为延续性项目，是海淀检察院自2016年至今的网络运行、统一业务应用系统的软件维护以及终端等的维护。总体目标设定较为合理，与预算确定的项目资金量相匹配。</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该项目设定的目标，明确了项目预期要达到的总体目标，但年度指标值设定的不够细化量化，个别指标可衡量性不足。如未结合运维的内容，选取各个系统量化指标，对于运维的效益缺乏趋势性变化性指标，绩效指标对项目运维内容及预期绩效反映不充分。项目预期产出效益和效果基本符合正常的业绩水平。</w:t>
      </w:r>
    </w:p>
    <w:p>
      <w:pPr>
        <w:spacing w:line="600" w:lineRule="exact"/>
        <w:ind w:firstLine="640" w:firstLineChars="200"/>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1.资金管理</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该项目预算资金为119.00万元，全部为财政拨款，资金于2022年1月份全部到位，资金到位率100.00%。截至2022年12月31日，该项目资金共计支出119.00万元，严格按照预算执行无调整，无结余资金，预算执行率100.00%。</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了进一步规范和加强项目经费的管理、规范权力运行、推进廉政建设，保障资金安全、高效运行，提高资金使用效益，根据院党组关于党风廉政建设的部署要求，结合市级有关部门出台的一系列财经法规和制度，办公室（行政事务管理部）以经济业务活动为切入点，对检务保障工作进行了全面梳理，形成了涵盖“三重一大”决策制度、预算管理制度、财务管理制度、经费支出管理制度、采购管理制度、资产管理制度、合同管理制度、外包服务人员管理制度、风险防控制度等内部控制制度体系，海淀检察院制定了</w:t>
      </w:r>
      <w:bookmarkStart w:id="7" w:name="_Toc432690603"/>
      <w:bookmarkStart w:id="8" w:name="_Toc452105250"/>
      <w:r>
        <w:rPr>
          <w:rFonts w:hint="eastAsia" w:ascii="仿宋_GB2312" w:hAnsi="仿宋_GB2312" w:eastAsia="仿宋_GB2312" w:cs="仿宋_GB2312"/>
          <w:sz w:val="32"/>
          <w:szCs w:val="32"/>
          <w:lang w:val="en-US" w:eastAsia="zh-CN"/>
        </w:rPr>
        <w:t>《北京市海淀区人民检察院内部控制手册》</w:t>
      </w:r>
      <w:bookmarkEnd w:id="7"/>
      <w:bookmarkEnd w:id="8"/>
      <w:r>
        <w:rPr>
          <w:rFonts w:hint="eastAsia" w:ascii="仿宋_GB2312" w:hAnsi="仿宋_GB2312" w:eastAsia="仿宋_GB2312" w:cs="仿宋_GB2312"/>
          <w:sz w:val="32"/>
          <w:szCs w:val="32"/>
          <w:lang w:val="en-US" w:eastAsia="zh-CN"/>
        </w:rPr>
        <w:t>。加强资金使用的过程管理具体体现在：</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财务审批权限：金额在500.00元以下的由办公室（行政事务管理部）负责人审批；金额50000.00元以上的需报党组会集体讨论决定，按审批权限签字，严禁未批先报。</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额资金列入年度预算项目，严格执行预算标准、预算进度。对大额资金支出的使用需实行“党组会集体讨论决定”制度。资金需求部门填写工作请示报告，经分管领导审批同意后，由党组会集体讨论决定。根据谁审批谁负责的原则，明确审批责任人、审批权限及其他人员的工作程序和职责。</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单项或批量金额大于100.00万（含）且小于400.00万元的依据采购法确定采购方式。</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大额专项资金必须专款专用，严禁在申请资金过程中弄虚作假、套取大额专项资金的行为。</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认为，该项目资金到位率100.00%，严格按照预算执行无调整，预算执行率100.00%。资金的拨付和使用有完整的审批程序和手续，支出审批单、发票、合同、会议纪要、验收单等附件齐全。资金支出符合项目预算批复且严格按照合同规定执行。资金管理制度基本完善，财务记账完整规范，未发现资金挪用、截留等严重违规情况。</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2.组织实施</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海淀检察院技术运维工作由第九检察部总体负责，为了满足系统运维的需求，海淀检察院自2016年以来委托服务外包公司委派驻场工程师提供系统运维费服务，取得了良好的工作效果。</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11月，按照北京市政府采购相关规定，海淀检察院委托招标代理公司针对“系统运维费”服务进行公开招投标采购，确定了中标单位为方正国际软件（北京）有限公司，中标金额297.00万元，招标服务期限为3年，合同签订方式为一年一续签，并于2019年11月25日与该公司签订了2020年度信息化运维服务外包合同，合同总金额99.00万元。2020年11月与其续签了一年服务合同，服务期2020年11月25日至2021年11月24日，服务内容及费用按照招标条款，未做变更，合同总金额99.00万元。2021年11月与其续签了一年服务合同，服务期2021年11月25日至2022年11月24日，服务内容及费用按照招标条款，未做变更，合同总金额99.00万元。截至2022年11月24日，方正国际软件（北京）有限公司中标3年“系统运维费”服务已完成，针对该运维服务海淀检察院需重新执行政府采购程序确定运维服务外包公司。</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8月，按照北京市政府采购相关规定，海淀检察院委托招标代理公司针对“系统运维费”服务重新进行竞争性磋商采购（招标编号：2207-HXTC-IF1227），确定了中标单位为北京金山顶尖科技股份有限公司，中标金额119.00万元，服务期限为1年。并于2022年9月5日与该公司签订了2022年度信息化运维服务外包合同，合同总金额119.00万元，服务期2022年11月25日至2023年11月24日。服务内容及费用按照招标条款，未做变更。</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该项目由于项目总金额为119.00万元，并属于每年常规性投入，每年由党组会审议论证并通过采购计划的审议后，直接进行政府采购工作。海淀检察院已严格履行了政府采购程序。</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该项目已于签订合同后按合同要求由运维服务外包提供商统一派驻现场驻地运维人员，并按照合同规定的相关运维要求展开运维服务工作。运维服务结束后均有运维记录、验收报告和工作总结。</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方正国际软件（北京）有限公司完成2021年度系统运维费项目（项目尾款），运维工作内容主要包括以下三方面：一是网络和应用系统运维，主要包括全国检察业务应用系统和海淀检察院自建应用系统的维护管理，网络设备和服务器维护、信息管理与数据维护以及其他相关工作，确保业务应用系统和网络环境能够安全稳定运行。二是弱电系统运维服务，主要包括安防监控系统、会议系统、门禁系统等信息化系统的维护，服务保障海淀检察院会议、视频会、远程提讯和远程开庭等工作。三是办公终端设备运维服务，主要包括对计算机、打印机、复印机、扫描仪等终端设备的安装、调试、故障诊断与处理，为检察干警日常办公办案提供技术支持。</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北京金山顶尖科技股份有限公司正在进行2022年度系统运维费项目（项目首付款），运维工作内容主要包括以下四方面：一是网络和信息系统运维服务，主要包括基础网络环境运维、主机系统运维、数据存储系统运维、数据库和数据备份系统运维、机房基础环境运维和应用系统运维。二是弱电和会议系统运维服务，主要包括视频会议系统运维、会议室、功能场所运维、弱电、安防、门禁等系统运维。三是办公终端运维服务，主要包括办公终端运维。四是其他服务，主要包括特殊时期值守服务、派驻监管场所巡检服务、安全应急与演练服务、其他项目配合服务、其他交办任务服务、服务报告。</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right="0" w:rightChars="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该项目共产生2个运维合同（跨年合同导致），运维公司分别为方正国际软件（北京）有限公司（服务期2021年11月25日至2022年11月24日）和北京金山顶尖科技股份有限公司（服务期2022年11月25日至2023年11月24日），预算资金为119.00万元，截至2022年12月31日，该项目资金共计支出119.00万元，无结余资金。</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海淀检察院通过系统运维服务，总体运维情况良好，共处理各类运维服务申请5755件，其中：统一业务、政务平台等应用类事件1622件，PC、复印机、打印机等办公IT相关运维事件2246件，安防监控、会议、门禁等弱电相关运维事件1479件；机房环境、网络、服务器等系统类运维事件408件。2022年网统一业务2.0上线且面临统一业务1.5下线，需完成未结案件点结和案件迁移工作，故2022年的系统配置和业务咨询维护量较大，维护任务较重。</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该项目在执行过程中，执行ISO9001质量管理体系，确保服务质量符合要求。海淀检察院信息化系统是一个庞大而复杂的系统，涉及的技术多而且细，故障点多，给维护工作带来很大的困难。在运维过程中，驻场工程师着重预防，力争在故障发生之前，找到问题、解决问题隐患、规避故障风险。系统的运行过程中，驻场工程师通过日常的监测工具、定期的系统检测，对系统中可能出现的问题进行提前排查，排除系统中存在的问题隐患，避免事故的发生。2022年技术运维人员较好的完成了各项工作任务。驻场工程师能够及时高效地处理各类技术运维事项，各类业务应用系统运行稳定，未出现重大安全事故，为海淀检察院各项工作的正常开展提供了有力的技术支持。在2022年全年的运维服务中，按照既定运维服务指标及内容完成了运维工作。</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outlineLvl w:val="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1.项目实施效益</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的实施，保障了海淀检察院内部系统的正常运行，减少了软硬件问题的出现，提高了检察干警的工作效率。为整个服务体系配备充足的资源，并预留必要的储备。2022年全年的信息化运维服务促进了社会服务业发展，提高了政府管理和服务社会效率，为海淀检察院依法履行检察职能，保障区域安全稳定；自觉强化检察担当，服务海淀跨越式高质量发展，全面推进检察监督；维护社会公平正义，切实践行检察为民，大力增进民生福祉；巩固深化检察改革，确保权力行使规范高效；持续加强检察建设，打造过硬检察队伍，提供了服务支持和技术保障。</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经济效益：</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以全局性需要为服务保障的重点，以应用技能为培训安排的重点，以预防措施为安全管理的重点，以信息资源为数据保护的重点，以稳定运行为系统维护的重点，投入充分有效的人、财、物资源，高标准、严要求，有针对性地保证服务能力、服务效率和服务质量。</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可持续影响：</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随着检察信息化和办公自动化进一步发展，检察办公、办案业务对信息技术的依赖不断增大，信息化设备不断投入，组织的硬件设施、软件系统规模不断增加，信息化运维复杂性不断增强，重要性不断提高，使信息化的运维工作成为可持续的一项工作。</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2.项目相关方满意度</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机构针对2022年度“系统运维费”项目与项目负责人和第九检察部的运维管理人员进行项目交流与访谈，意在了解该项目提供运维服务中的管理监控和日常运维服务内容以及服务后的满意度。经过沟通，该项目服务能够快速响应解决信息系统运行过程中出现的各种问题和故障，保障检察工作的正常有序开展，该项采购服务获得了项目负责人和第九检察部的好评。同时评价机构针对该项目运用小程序制作了调查问卷，随机抽样选取400名检察干警参加满意度调查，经统计，海淀检察院设备使用人员对服务项目的满意度超过95.00%。</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依照既定目标完成了运维服务。通过对系统管理与维护全过程的控制，促使系统维护工作按时、保证质量的完成。引入科学的质量管理方法论，建立系统的、规范的、科学的质量保证体系。从质量管理角度详细划分系统管理与维护中的各个环节，控制各个环节的质量，并进行持续改进，从而有效保证系统建设的质量，确保满足运维服务目标。</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黑体" w:hAnsi="黑体" w:eastAsia="黑体" w:cs="黑体"/>
          <w:sz w:val="32"/>
          <w:szCs w:val="32"/>
        </w:rPr>
      </w:pPr>
      <w:r>
        <w:rPr>
          <w:rFonts w:hint="eastAsia" w:ascii="仿宋_GB2312" w:hAnsi="仿宋_GB2312" w:eastAsia="仿宋_GB2312" w:cs="仿宋_GB2312"/>
          <w:sz w:val="32"/>
          <w:szCs w:val="32"/>
          <w:lang w:val="en-US" w:eastAsia="zh-CN"/>
        </w:rPr>
        <w:t>系统运行过程中，驻场工程师针对随时可能出现各种问题，快速、优质的处理问题，避免问题的扩大，将损失降低到最小，保障系统应用的继续运行。对系统中发生的问题进行实时处理，对重大事故做到及时汇报，提交相关的故障报告；同时针对技术难点不能及时解决的问题反映至运维公司，运维公司调配相关各类资源，全力保障故障的处理。对日常所采集数据进行有效存储，对重要数据进行多介质、多场所、定期备份，对备份介质进行专人保管，制定完备的数据备份策略。建立完整、有效的数据存储、备份管理制度，为海淀检察院业务的正常运行提供可靠的技术数据保障。定期对存储、备份的数据进行可靠性检测，制定完备的数据恢复操作规范，一旦出现数据故障，用最快速度恢复数据，保障海淀检察院业务的正常运行。海淀检察院信息系统内部数据种类多，而且随着应用的推广，数据的存储量将会越来越多，对业务的正常开展所起的作用也越来越大，信息化运维服务确保数据的安全和保密，保障海淀检察院工作的顺利进行。</w:t>
      </w: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目指标设定合理性及细化量化不足，如数量指标将子系统的预算额作为数量指标合理性不足；时效指标未结合运维内容，对年度各项任务完成的时间作出细化安排，指标细化不够；效果指标仅为定性指标值，未结合运维响应要求等选取量化指标值及趋势性变化指标，绩效指标对项目运维内容及预期绩效反映不充分。</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（二）项目预算细化不够，未结合项目运维子系统，分块对项目预算按照工作量投入、计价标准进行细化分解，目前仅为切块预算。</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合同首付款比例过高，存在资金额度与项目执行期的较大差异，对项目执行效果控制力严重不足。如目前与金山顶尖科技公司签订的合同，服务期为2022年11月25日—2023年11月24日，而在签订合同履行15日内首付款95%。</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（四）项目验收环节欠规范，验收内容简单未按合同条款逐项验收，也未规范组成甲方验收专家组，仅有甲方和乙方的签字确认。</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（五）财务核算科目使用欠规范，相关支出内容列支了维修，未列入委托业务费列支。</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（六）项目未制定组织实施方案，未从项目的组织机构、人员分工、项目实施、过程控制、对中标方服务的监管、项目验收及绩效等环节制定项目的组织实施方案，项目过程管理不规范。</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（七）制度建设欠规范，如已制定的绩效管理制度与北京市下发的绩效管理制度内容完全一致，未结合单位特点进行细化，合同管理制度依据的上位合同法已作废，单位尚未修改等。</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（八）对运维单位的监管不够到位，如未按合同约定提供运维季报，仅提供了周报、月报和年报。</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（九）满意度调查后，形成的结果尚未应用（基本满意各项问题在14%—20%之间），满意度指标对项目绩效效果支撑不足。</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（十）对年度运维分析效果数据提炼分析不足，未结合运维单位提供的周报、月报、年报等运维报表信息资料，提炼量化运维效果数据并与上年运维情况进行比较，对项目绩效的支撑不足</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六、有关建议</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（一）加强项目指标设定合理性及细化量化，结合项目内容设定细化量化合理的产出指标及效果指标，并赋予量化指标值及趋势性变化指标值，充分反映项目的预期绩效。</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（二）进一步细化项目预算，结合项目运维子系统，分块对项目预算按照工作量投入、计价标准进行细化分解，提高项目预算的精细化程度。</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（三）进一步降低项目合同首付款比例，提高资金对项目完成质量的约束力，尽量使项目资金支付额度与项目完成工作量进度相匹配。</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（四）进一步规范项目验收环节，成立验收专家组并按照购买服务的要求按照合同约定的条款逐项验收。</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（五）进一步规范使用财务核算科目，相关支出内容直接列入委托业务费。</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（六）制定组织实施方案，从项目的组织机构、人员分工、项目实施、过程控制、对中标方服务的监管、项目验收及绩效等环节制定项目的组织实施方案，规范项目的过程管理。</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（七）进一步完善制度建设，结合上级绩效管理文件精神及单位绩效管理实际制定符合单位特点的绩效管理制度，并对合同管理制度等进行修订。</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（八）加强对运维单位的监管，按合同约定提供运维周报、月报、季报和年报，并对报告内容提出具体要求，提高运维报告的质量。</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（九）强化满意度后对发现不满意情况的整改，提高满意度调查对项目效果的促进作用及对项目绩效的支撑。</w:t>
      </w:r>
    </w:p>
    <w:p>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textAlignment w:val="auto"/>
        <w:rPr>
          <w:rFonts w:hint="eastAsia" w:ascii="黑体" w:hAnsi="黑体" w:eastAsia="黑体" w:cs="黑体"/>
          <w:sz w:val="32"/>
          <w:szCs w:val="32"/>
        </w:rPr>
      </w:pPr>
      <w:r>
        <w:rPr>
          <w:rFonts w:hint="eastAsia" w:ascii="仿宋_GB2312" w:hAnsi="仿宋_GB2312" w:eastAsia="仿宋_GB2312" w:cs="仿宋_GB2312"/>
          <w:sz w:val="32"/>
          <w:szCs w:val="32"/>
          <w:lang w:val="en-US" w:eastAsia="zh-CN"/>
        </w:rPr>
        <w:t>（十）对年度运维分析效果数据提炼分析，结合运维单位提供的周报、月报、年报等运维报表信息资料，提炼量化运维效果数据并与上年运维情况进行比较，提高数据对项目运维效果的支撑。</w:t>
      </w:r>
    </w:p>
    <w:p>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七、其他需要说明的问题</w:t>
      </w:r>
    </w:p>
    <w:p>
      <w:pPr>
        <w:pStyle w:val="2"/>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2A4248"/>
    <w:multiLevelType w:val="singleLevel"/>
    <w:tmpl w:val="792A424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5NzhkMjI1ZTlmYzFlNTg5ZWNmMzBmYmU4MDA4OTgifQ=="/>
  </w:docVars>
  <w:rsids>
    <w:rsidRoot w:val="0CD34F2B"/>
    <w:rsid w:val="00F432B8"/>
    <w:rsid w:val="01EF3980"/>
    <w:rsid w:val="04F03C97"/>
    <w:rsid w:val="05E01F5E"/>
    <w:rsid w:val="05EA3CAA"/>
    <w:rsid w:val="07097CB3"/>
    <w:rsid w:val="094C0250"/>
    <w:rsid w:val="0C5C08A5"/>
    <w:rsid w:val="0CD34F2B"/>
    <w:rsid w:val="0D3818EF"/>
    <w:rsid w:val="0DFF319D"/>
    <w:rsid w:val="0F1E1F98"/>
    <w:rsid w:val="10525806"/>
    <w:rsid w:val="136840DC"/>
    <w:rsid w:val="14F41DDB"/>
    <w:rsid w:val="16AC3E4B"/>
    <w:rsid w:val="170D692B"/>
    <w:rsid w:val="17DD6B2E"/>
    <w:rsid w:val="17E04904"/>
    <w:rsid w:val="1A357F21"/>
    <w:rsid w:val="1A5E3F18"/>
    <w:rsid w:val="1AE4362D"/>
    <w:rsid w:val="1B1A7868"/>
    <w:rsid w:val="1B6F54BE"/>
    <w:rsid w:val="1BD20370"/>
    <w:rsid w:val="21145E34"/>
    <w:rsid w:val="2144212A"/>
    <w:rsid w:val="22C2427D"/>
    <w:rsid w:val="24F26973"/>
    <w:rsid w:val="2A0A0308"/>
    <w:rsid w:val="2A994FFC"/>
    <w:rsid w:val="2C360E21"/>
    <w:rsid w:val="2E9808B0"/>
    <w:rsid w:val="30A94FCD"/>
    <w:rsid w:val="30E3593E"/>
    <w:rsid w:val="346B0DEE"/>
    <w:rsid w:val="368220F2"/>
    <w:rsid w:val="37235A99"/>
    <w:rsid w:val="38905024"/>
    <w:rsid w:val="3A272D2D"/>
    <w:rsid w:val="3D327D41"/>
    <w:rsid w:val="3D4E71D1"/>
    <w:rsid w:val="3E2E7003"/>
    <w:rsid w:val="41436921"/>
    <w:rsid w:val="42EA6567"/>
    <w:rsid w:val="45C142B9"/>
    <w:rsid w:val="48A51C70"/>
    <w:rsid w:val="495836F9"/>
    <w:rsid w:val="4988270E"/>
    <w:rsid w:val="4BEA71A4"/>
    <w:rsid w:val="4C5C727E"/>
    <w:rsid w:val="4C7F1B8C"/>
    <w:rsid w:val="4DDD319F"/>
    <w:rsid w:val="50291EBC"/>
    <w:rsid w:val="52255AD6"/>
    <w:rsid w:val="52990003"/>
    <w:rsid w:val="52D40070"/>
    <w:rsid w:val="553B5E36"/>
    <w:rsid w:val="592732DD"/>
    <w:rsid w:val="59F8539B"/>
    <w:rsid w:val="5A7F3B71"/>
    <w:rsid w:val="5AC86513"/>
    <w:rsid w:val="5C7D2094"/>
    <w:rsid w:val="5D8B5480"/>
    <w:rsid w:val="5E5528FE"/>
    <w:rsid w:val="5FDC6467"/>
    <w:rsid w:val="5FED2422"/>
    <w:rsid w:val="60791F08"/>
    <w:rsid w:val="62593AD5"/>
    <w:rsid w:val="627F18B4"/>
    <w:rsid w:val="64D37E39"/>
    <w:rsid w:val="654D685B"/>
    <w:rsid w:val="6BCD06D0"/>
    <w:rsid w:val="6C517895"/>
    <w:rsid w:val="6E2E1FAA"/>
    <w:rsid w:val="71E74F23"/>
    <w:rsid w:val="72190832"/>
    <w:rsid w:val="72EE7572"/>
    <w:rsid w:val="73981A6B"/>
    <w:rsid w:val="73D74111"/>
    <w:rsid w:val="766227E4"/>
    <w:rsid w:val="79BB29AD"/>
    <w:rsid w:val="7BEF520F"/>
    <w:rsid w:val="7D8515D1"/>
    <w:rsid w:val="7E6E2528"/>
    <w:rsid w:val="7EB36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Times New Roman" w:hAnsi="Times New Roman"/>
      <w:b/>
      <w:bCs/>
      <w:kern w:val="44"/>
      <w:sz w:val="44"/>
      <w:szCs w:val="44"/>
    </w:rPr>
  </w:style>
  <w:style w:type="paragraph" w:styleId="4">
    <w:name w:val="heading 2"/>
    <w:basedOn w:val="1"/>
    <w:next w:val="1"/>
    <w:qFormat/>
    <w:uiPriority w:val="99"/>
    <w:pPr>
      <w:keepNext/>
      <w:keepLines/>
      <w:spacing w:before="260" w:after="260" w:line="416" w:lineRule="auto"/>
      <w:outlineLvl w:val="1"/>
    </w:pPr>
    <w:rPr>
      <w:rFonts w:ascii="Arial" w:hAnsi="Arial" w:eastAsia="黑体"/>
      <w:b/>
      <w:bCs/>
      <w:kern w:val="0"/>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5">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8685</Words>
  <Characters>9167</Characters>
  <Lines>0</Lines>
  <Paragraphs>0</Paragraphs>
  <TotalTime>6</TotalTime>
  <ScaleCrop>false</ScaleCrop>
  <LinksUpToDate>false</LinksUpToDate>
  <CharactersWithSpaces>9167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2023-06-06T07:09:00Z</dcterms:created>
  <dc:creator>李晶</dc:creator>
  <cp:lastModifiedBy>李晶</cp:lastModifiedBy>
  <dcterms:modified xsi:type="dcterms:W3CDTF">2023-06-07T01:59:33Z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BD16C17C0A384D0689FA6EEAE77BD9C3_11</vt:lpwstr>
  </property>
</Properties>
</file>