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81"/>
        <w:gridCol w:w="46"/>
        <w:gridCol w:w="521"/>
        <w:gridCol w:w="183"/>
        <w:gridCol w:w="384"/>
        <w:gridCol w:w="462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安检安保工作经费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北京市海淀区人民检察院(本级)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刘聃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595549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97.86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97.86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通过预算资金的投入，做好检察院办案工作区、检察服务中心的安全检查，妥善处置各类突发事件，维护人民群众生命财产安全，保障我院检察业务工作正常开展。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全面保障各项检察业务工作的正常开展，做好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检察院办案工作区、检察服务中心的安全检查，妥善处置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各类突发事件，维护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人民群众生命财产安全。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加强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检察服务中心的安全检查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提高安全率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做好检察院办案工作区、检察服务中心的安全检查，妥善处置各类突发事件，维护人民群众生命财产安全。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人民群众安全感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，保护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国有财产安全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提升人民群众安全感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，保护国有财产安全，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督促消除安全隐患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12月底前资金支出完毕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97.86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把准政治方向，强化专业建设，自觉接受监督，培养锻造政治过硬、素质一流的检察队伍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有效提升检务接待工作安全水平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切实履行监督职责，共同推进严格执法、公正司法，推进海淀法治环境建设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保障各项检察业务工作的正常开展的经常性支出项目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来访人民群众满意度≥9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10 -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10 -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1NzFhODc0ZjYyMWIxODZkNWQxMWJjZmNjNjhmZDYifQ=="/>
  </w:docVars>
  <w:rsids>
    <w:rsidRoot w:val="F77F09F4"/>
    <w:rsid w:val="004635A4"/>
    <w:rsid w:val="006748FB"/>
    <w:rsid w:val="006D139E"/>
    <w:rsid w:val="00786231"/>
    <w:rsid w:val="00953052"/>
    <w:rsid w:val="00997447"/>
    <w:rsid w:val="00AA78CC"/>
    <w:rsid w:val="00D2663A"/>
    <w:rsid w:val="0E1774A6"/>
    <w:rsid w:val="0ECF9C51"/>
    <w:rsid w:val="37173543"/>
    <w:rsid w:val="3FF76880"/>
    <w:rsid w:val="43F51972"/>
    <w:rsid w:val="4F9F4FB2"/>
    <w:rsid w:val="5DB61C4B"/>
    <w:rsid w:val="613A3D8A"/>
    <w:rsid w:val="66FC5092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1091</Words>
  <Characters>1262</Characters>
  <Lines>35</Lines>
  <Paragraphs>10</Paragraphs>
  <TotalTime>2</TotalTime>
  <ScaleCrop>false</ScaleCrop>
  <LinksUpToDate>false</LinksUpToDate>
  <CharactersWithSpaces>1299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房宇阳</cp:lastModifiedBy>
  <dcterms:modified xsi:type="dcterms:W3CDTF">2023-05-09T08:13:31Z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0EF374D45DE44F159BE4E86939B32689</vt:lpwstr>
  </property>
</Properties>
</file>