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N w:val="0"/>
        <w:spacing w:line="560" w:lineRule="exact"/>
        <w:jc w:val="center"/>
        <w:outlineLvl w:val="0"/>
        <w:rPr>
          <w:rFonts w:asciiTheme="minorEastAsia" w:hAnsiTheme="minorEastAsia" w:eastAsiaTheme="minorEastAsia"/>
          <w:sz w:val="36"/>
          <w:szCs w:val="36"/>
        </w:rPr>
      </w:pPr>
      <w:r>
        <w:rPr>
          <w:rFonts w:hint="eastAsia" w:ascii="方正小标宋简体" w:eastAsia="方正小标宋简体" w:cstheme="minorBidi"/>
          <w:sz w:val="36"/>
          <w:szCs w:val="36"/>
        </w:rPr>
        <w:t>部门整体绩效评价报告</w:t>
      </w:r>
    </w:p>
    <w:p>
      <w:pPr>
        <w:autoSpaceDN w:val="0"/>
        <w:jc w:val="center"/>
        <w:rPr>
          <w:rFonts w:ascii="仿宋_GB2312"/>
          <w:szCs w:val="30"/>
        </w:rPr>
      </w:pPr>
    </w:p>
    <w:p>
      <w:pPr>
        <w:autoSpaceDN w:val="0"/>
        <w:spacing w:line="600" w:lineRule="exact"/>
        <w:ind w:firstLine="640" w:firstLineChars="200"/>
        <w:outlineLvl w:val="0"/>
        <w:rPr>
          <w:rFonts w:ascii="黑体" w:hAnsi="黑体" w:eastAsia="黑体" w:cs="宋体"/>
          <w:color w:val="000000"/>
          <w:kern w:val="0"/>
          <w:sz w:val="32"/>
          <w:szCs w:val="32"/>
        </w:rPr>
      </w:pPr>
      <w:r>
        <w:rPr>
          <w:rFonts w:hint="eastAsia" w:ascii="黑体" w:hAnsi="黑体" w:eastAsia="黑体" w:cs="宋体"/>
          <w:color w:val="000000"/>
          <w:kern w:val="0"/>
          <w:sz w:val="32"/>
          <w:szCs w:val="32"/>
        </w:rPr>
        <w:t>一、部门概况</w:t>
      </w:r>
    </w:p>
    <w:p>
      <w:pPr>
        <w:autoSpaceDN w:val="0"/>
        <w:spacing w:line="600" w:lineRule="exact"/>
        <w:ind w:firstLine="640" w:firstLineChars="200"/>
        <w:rPr>
          <w:rFonts w:ascii="楷体_GB2312" w:eastAsia="楷体_GB2312"/>
          <w:sz w:val="32"/>
          <w:szCs w:val="32"/>
        </w:rPr>
      </w:pPr>
      <w:r>
        <w:rPr>
          <w:rFonts w:hint="eastAsia" w:ascii="楷体_GB2312" w:eastAsia="楷体_GB2312"/>
          <w:sz w:val="32"/>
          <w:szCs w:val="32"/>
        </w:rPr>
        <w:t>（一）机构设置及职责工作任务情况</w:t>
      </w:r>
    </w:p>
    <w:p>
      <w:pPr>
        <w:autoSpaceDN w:val="0"/>
        <w:spacing w:line="60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北京市海淀区人民检察院（以下简称我院）是依法行使检察权的法律监督机关。</w:t>
      </w:r>
    </w:p>
    <w:p>
      <w:pPr>
        <w:autoSpaceDN w:val="0"/>
        <w:spacing w:line="60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北京市海淀区人民检察</w:t>
      </w:r>
      <w:bookmarkStart w:id="0" w:name="_GoBack"/>
      <w:bookmarkEnd w:id="0"/>
      <w:r>
        <w:rPr>
          <w:rFonts w:hint="eastAsia" w:ascii="仿宋_GB2312" w:hAnsi="宋体" w:eastAsia="仿宋_GB2312" w:cs="宋体"/>
          <w:color w:val="000000"/>
          <w:kern w:val="0"/>
          <w:sz w:val="32"/>
          <w:szCs w:val="32"/>
        </w:rPr>
        <w:t>院主要职责是在辖区内依法独立行使检察权。接受北京市人民检察院和区委的领导，对本区人民代表大会及其常务委员会负责并报告工作；负责受理审查我院管辖提请逮捕的案件；负责受理我院管辖提起公诉的案件，并出庭支持公诉；负责对辖区内公民、单位的法制宣传和犯罪预防；负责受理辖区内公民和法人的检举、控告、申诉的案件；负责对辖区内的民事、经济、行政诉讼判决的监督；负责对公安局、国家安全局侦查工作的法律监督；负责对辖区内监管场所收押犯罪嫌疑人、罪犯改造工作的监督；负责我院的党建工作和干部教育管理以及思想政治工作；负责我院党的纪律检查和行政监察工作；负责我院的后勤管理和物资装备工作；负责由上级人民检察院交办的其他工作。</w:t>
      </w:r>
    </w:p>
    <w:p>
      <w:pPr>
        <w:numPr>
          <w:ilvl w:val="0"/>
          <w:numId w:val="1"/>
        </w:numPr>
        <w:autoSpaceDN w:val="0"/>
        <w:spacing w:line="600" w:lineRule="exact"/>
        <w:ind w:firstLine="640" w:firstLineChars="200"/>
        <w:rPr>
          <w:rFonts w:ascii="楷体_GB2312" w:eastAsia="楷体_GB2312"/>
          <w:sz w:val="32"/>
          <w:szCs w:val="32"/>
        </w:rPr>
      </w:pPr>
      <w:r>
        <w:rPr>
          <w:rFonts w:hint="eastAsia" w:ascii="楷体_GB2312" w:eastAsia="楷体_GB2312"/>
          <w:sz w:val="32"/>
          <w:szCs w:val="32"/>
        </w:rPr>
        <w:t>部门整体绩效目标设立情况</w:t>
      </w:r>
    </w:p>
    <w:p>
      <w:pPr>
        <w:autoSpaceDN w:val="0"/>
        <w:spacing w:line="60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 xml:space="preserve">根据《中华人民共和国预算法》《中华人民共和国预算法实施条例》《北京市预算审查监督条例》以及预算公开的有关规定，我院从依法行政、依法理财的高度认真执行预算，完善内部预算管理及监督机制，进一步提升预算资金使用的规范性、时效性和效益性。 </w:t>
      </w:r>
    </w:p>
    <w:p>
      <w:pPr>
        <w:autoSpaceDN w:val="0"/>
        <w:spacing w:line="60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通过202</w:t>
      </w:r>
      <w:r>
        <w:rPr>
          <w:rFonts w:hint="eastAsia" w:ascii="仿宋_GB2312" w:hAnsi="宋体" w:eastAsia="仿宋_GB2312" w:cs="宋体"/>
          <w:color w:val="000000"/>
          <w:kern w:val="0"/>
          <w:sz w:val="32"/>
          <w:szCs w:val="32"/>
          <w:lang w:val="en-US" w:eastAsia="zh-CN"/>
        </w:rPr>
        <w:t>2</w:t>
      </w:r>
      <w:r>
        <w:rPr>
          <w:rFonts w:hint="eastAsia" w:ascii="仿宋_GB2312" w:hAnsi="宋体" w:eastAsia="仿宋_GB2312" w:cs="宋体"/>
          <w:color w:val="000000"/>
          <w:kern w:val="0"/>
          <w:sz w:val="32"/>
          <w:szCs w:val="32"/>
        </w:rPr>
        <w:t>年预算资金的投入，全面保障各项检察业务工作的正常开展，做好检察院办案工作区、检察服务中心的安全检查，妥善处置各类突发事件，维护人民群众生命财产安全，坚持司法办案中心，切实履行好法律监督职责，促进科技强检战略实施，有效保障我院检察业务的正常有序开展。</w:t>
      </w:r>
    </w:p>
    <w:p>
      <w:pPr>
        <w:autoSpaceDN w:val="0"/>
        <w:spacing w:line="600" w:lineRule="exact"/>
        <w:ind w:firstLine="640" w:firstLineChars="200"/>
        <w:outlineLvl w:val="0"/>
        <w:rPr>
          <w:rFonts w:ascii="黑体" w:hAnsi="黑体" w:eastAsia="黑体" w:cs="宋体"/>
          <w:color w:val="000000"/>
          <w:kern w:val="0"/>
          <w:sz w:val="32"/>
          <w:szCs w:val="32"/>
        </w:rPr>
      </w:pPr>
      <w:r>
        <w:rPr>
          <w:rFonts w:hint="eastAsia" w:ascii="黑体" w:hAnsi="黑体" w:eastAsia="黑体" w:cs="宋体"/>
          <w:color w:val="000000"/>
          <w:kern w:val="0"/>
          <w:sz w:val="32"/>
          <w:szCs w:val="32"/>
        </w:rPr>
        <w:t>二</w:t>
      </w:r>
      <w:r>
        <w:rPr>
          <w:rFonts w:ascii="黑体" w:hAnsi="黑体" w:eastAsia="黑体" w:cs="宋体"/>
          <w:color w:val="000000"/>
          <w:kern w:val="0"/>
          <w:sz w:val="32"/>
          <w:szCs w:val="32"/>
        </w:rPr>
        <w:t>、</w:t>
      </w:r>
      <w:r>
        <w:rPr>
          <w:rFonts w:hint="eastAsia" w:ascii="黑体" w:hAnsi="黑体" w:eastAsia="黑体" w:cs="宋体"/>
          <w:color w:val="000000"/>
          <w:kern w:val="0"/>
          <w:sz w:val="32"/>
          <w:szCs w:val="32"/>
        </w:rPr>
        <w:t>当年</w:t>
      </w:r>
      <w:r>
        <w:rPr>
          <w:rFonts w:ascii="黑体" w:hAnsi="黑体" w:eastAsia="黑体" w:cs="宋体"/>
          <w:color w:val="000000"/>
          <w:kern w:val="0"/>
          <w:sz w:val="32"/>
          <w:szCs w:val="32"/>
        </w:rPr>
        <w:t>预算执行情况</w:t>
      </w:r>
    </w:p>
    <w:p>
      <w:pPr>
        <w:autoSpaceDN w:val="0"/>
        <w:spacing w:line="600" w:lineRule="exact"/>
        <w:ind w:firstLine="640" w:firstLineChars="200"/>
        <w:rPr>
          <w:rFonts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highlight w:val="none"/>
        </w:rPr>
        <w:t>202</w:t>
      </w:r>
      <w:r>
        <w:rPr>
          <w:rFonts w:hint="eastAsia" w:ascii="仿宋_GB2312" w:hAnsi="宋体" w:eastAsia="仿宋_GB2312" w:cs="宋体"/>
          <w:color w:val="000000"/>
          <w:kern w:val="0"/>
          <w:sz w:val="32"/>
          <w:szCs w:val="32"/>
          <w:highlight w:val="none"/>
          <w:lang w:val="en-US" w:eastAsia="zh-CN"/>
        </w:rPr>
        <w:t>2</w:t>
      </w:r>
      <w:r>
        <w:rPr>
          <w:rFonts w:hint="eastAsia" w:ascii="仿宋_GB2312" w:hAnsi="宋体" w:eastAsia="仿宋_GB2312" w:cs="宋体"/>
          <w:color w:val="000000"/>
          <w:kern w:val="0"/>
          <w:sz w:val="32"/>
          <w:szCs w:val="32"/>
          <w:highlight w:val="none"/>
        </w:rPr>
        <w:t>年</w:t>
      </w:r>
      <w:r>
        <w:rPr>
          <w:rFonts w:ascii="仿宋_GB2312" w:hAnsi="宋体" w:eastAsia="仿宋_GB2312" w:cs="宋体"/>
          <w:color w:val="000000"/>
          <w:kern w:val="0"/>
          <w:sz w:val="32"/>
          <w:szCs w:val="32"/>
          <w:highlight w:val="none"/>
        </w:rPr>
        <w:t>全年</w:t>
      </w:r>
      <w:r>
        <w:rPr>
          <w:rFonts w:hint="eastAsia" w:ascii="仿宋_GB2312" w:hAnsi="宋体" w:eastAsia="仿宋_GB2312" w:cs="宋体"/>
          <w:color w:val="000000"/>
          <w:kern w:val="0"/>
          <w:sz w:val="32"/>
          <w:szCs w:val="32"/>
          <w:highlight w:val="none"/>
        </w:rPr>
        <w:t>预算数</w:t>
      </w:r>
      <w:r>
        <w:rPr>
          <w:rFonts w:hint="eastAsia" w:ascii="仿宋_GB2312" w:hAnsi="宋体" w:eastAsia="仿宋_GB2312" w:cs="宋体"/>
          <w:color w:val="000000"/>
          <w:kern w:val="0"/>
          <w:sz w:val="32"/>
          <w:szCs w:val="32"/>
          <w:highlight w:val="none"/>
          <w:lang w:val="en-US" w:eastAsia="zh-CN"/>
        </w:rPr>
        <w:t>20,733.55</w:t>
      </w:r>
      <w:r>
        <w:rPr>
          <w:rFonts w:hint="eastAsia" w:ascii="仿宋_GB2312" w:hAnsi="宋体" w:eastAsia="仿宋_GB2312" w:cs="宋体"/>
          <w:color w:val="000000"/>
          <w:kern w:val="0"/>
          <w:sz w:val="32"/>
          <w:szCs w:val="32"/>
          <w:highlight w:val="none"/>
        </w:rPr>
        <w:t>万元</w:t>
      </w:r>
      <w:r>
        <w:rPr>
          <w:rFonts w:ascii="仿宋_GB2312" w:hAnsi="宋体" w:eastAsia="仿宋_GB2312" w:cs="宋体"/>
          <w:color w:val="000000"/>
          <w:kern w:val="0"/>
          <w:sz w:val="32"/>
          <w:szCs w:val="32"/>
          <w:highlight w:val="none"/>
        </w:rPr>
        <w:t>，</w:t>
      </w:r>
      <w:r>
        <w:rPr>
          <w:rFonts w:hint="eastAsia" w:ascii="仿宋_GB2312" w:hAnsi="宋体" w:eastAsia="仿宋_GB2312" w:cs="宋体"/>
          <w:color w:val="000000"/>
          <w:kern w:val="0"/>
          <w:sz w:val="32"/>
          <w:szCs w:val="32"/>
          <w:highlight w:val="none"/>
        </w:rPr>
        <w:t>其中</w:t>
      </w:r>
      <w:r>
        <w:rPr>
          <w:rFonts w:ascii="仿宋_GB2312" w:hAnsi="宋体" w:eastAsia="仿宋_GB2312" w:cs="宋体"/>
          <w:color w:val="000000"/>
          <w:kern w:val="0"/>
          <w:sz w:val="32"/>
          <w:szCs w:val="32"/>
          <w:highlight w:val="none"/>
        </w:rPr>
        <w:t>，基本</w:t>
      </w:r>
      <w:r>
        <w:rPr>
          <w:rFonts w:hint="eastAsia" w:ascii="仿宋_GB2312" w:hAnsi="宋体" w:eastAsia="仿宋_GB2312" w:cs="宋体"/>
          <w:color w:val="000000"/>
          <w:kern w:val="0"/>
          <w:sz w:val="32"/>
          <w:szCs w:val="32"/>
          <w:highlight w:val="none"/>
        </w:rPr>
        <w:t>支出</w:t>
      </w:r>
      <w:r>
        <w:rPr>
          <w:rFonts w:ascii="仿宋_GB2312" w:hAnsi="宋体" w:eastAsia="仿宋_GB2312" w:cs="宋体"/>
          <w:color w:val="000000"/>
          <w:kern w:val="0"/>
          <w:sz w:val="32"/>
          <w:szCs w:val="32"/>
          <w:highlight w:val="none"/>
        </w:rPr>
        <w:t>预算数</w:t>
      </w:r>
      <w:r>
        <w:rPr>
          <w:rFonts w:hint="eastAsia" w:ascii="仿宋_GB2312" w:hAnsi="宋体" w:eastAsia="仿宋_GB2312" w:cs="宋体"/>
          <w:color w:val="000000"/>
          <w:kern w:val="0"/>
          <w:sz w:val="32"/>
          <w:szCs w:val="32"/>
          <w:highlight w:val="none"/>
        </w:rPr>
        <w:t>16</w:t>
      </w:r>
      <w:r>
        <w:rPr>
          <w:rFonts w:hint="eastAsia" w:ascii="仿宋_GB2312" w:hAnsi="宋体" w:eastAsia="仿宋_GB2312" w:cs="宋体"/>
          <w:color w:val="000000"/>
          <w:kern w:val="0"/>
          <w:sz w:val="32"/>
          <w:szCs w:val="32"/>
          <w:highlight w:val="none"/>
          <w:lang w:val="en-US" w:eastAsia="zh-CN"/>
        </w:rPr>
        <w:t>,</w:t>
      </w:r>
      <w:r>
        <w:rPr>
          <w:rFonts w:hint="eastAsia" w:ascii="仿宋_GB2312" w:hAnsi="宋体" w:eastAsia="仿宋_GB2312" w:cs="宋体"/>
          <w:color w:val="000000"/>
          <w:kern w:val="0"/>
          <w:sz w:val="32"/>
          <w:szCs w:val="32"/>
          <w:highlight w:val="none"/>
        </w:rPr>
        <w:t>198</w:t>
      </w:r>
      <w:r>
        <w:rPr>
          <w:rFonts w:hint="eastAsia" w:ascii="仿宋_GB2312" w:hAnsi="宋体" w:eastAsia="仿宋_GB2312" w:cs="宋体"/>
          <w:color w:val="000000"/>
          <w:kern w:val="0"/>
          <w:sz w:val="32"/>
          <w:szCs w:val="32"/>
          <w:highlight w:val="none"/>
          <w:lang w:val="en-US" w:eastAsia="zh-CN"/>
        </w:rPr>
        <w:t>.</w:t>
      </w:r>
      <w:r>
        <w:rPr>
          <w:rFonts w:hint="eastAsia" w:ascii="仿宋_GB2312" w:hAnsi="宋体" w:eastAsia="仿宋_GB2312" w:cs="宋体"/>
          <w:color w:val="000000"/>
          <w:kern w:val="0"/>
          <w:sz w:val="32"/>
          <w:szCs w:val="32"/>
          <w:highlight w:val="none"/>
        </w:rPr>
        <w:t>03</w:t>
      </w:r>
      <w:r>
        <w:rPr>
          <w:rFonts w:ascii="仿宋_GB2312" w:hAnsi="宋体" w:eastAsia="仿宋_GB2312" w:cs="宋体"/>
          <w:color w:val="000000"/>
          <w:kern w:val="0"/>
          <w:sz w:val="32"/>
          <w:szCs w:val="32"/>
          <w:highlight w:val="none"/>
        </w:rPr>
        <w:t>万元，</w:t>
      </w:r>
      <w:r>
        <w:rPr>
          <w:rFonts w:hint="eastAsia" w:ascii="仿宋_GB2312" w:hAnsi="宋体" w:eastAsia="仿宋_GB2312" w:cs="宋体"/>
          <w:color w:val="000000"/>
          <w:kern w:val="0"/>
          <w:sz w:val="32"/>
          <w:szCs w:val="32"/>
          <w:highlight w:val="none"/>
        </w:rPr>
        <w:t>项目支出预算数4</w:t>
      </w:r>
      <w:r>
        <w:rPr>
          <w:rFonts w:hint="eastAsia" w:ascii="仿宋_GB2312" w:hAnsi="宋体" w:eastAsia="仿宋_GB2312" w:cs="宋体"/>
          <w:color w:val="000000"/>
          <w:kern w:val="0"/>
          <w:sz w:val="32"/>
          <w:szCs w:val="32"/>
          <w:highlight w:val="none"/>
          <w:lang w:val="en-US" w:eastAsia="zh-CN"/>
        </w:rPr>
        <w:t>,</w:t>
      </w:r>
      <w:r>
        <w:rPr>
          <w:rFonts w:hint="eastAsia" w:ascii="仿宋_GB2312" w:hAnsi="宋体" w:eastAsia="仿宋_GB2312" w:cs="宋体"/>
          <w:color w:val="000000"/>
          <w:kern w:val="0"/>
          <w:sz w:val="32"/>
          <w:szCs w:val="32"/>
          <w:highlight w:val="none"/>
        </w:rPr>
        <w:t>535</w:t>
      </w:r>
      <w:r>
        <w:rPr>
          <w:rFonts w:hint="eastAsia" w:ascii="仿宋_GB2312" w:hAnsi="宋体" w:eastAsia="仿宋_GB2312" w:cs="宋体"/>
          <w:color w:val="000000"/>
          <w:kern w:val="0"/>
          <w:sz w:val="32"/>
          <w:szCs w:val="32"/>
          <w:highlight w:val="none"/>
          <w:lang w:val="en-US" w:eastAsia="zh-CN"/>
        </w:rPr>
        <w:t>.</w:t>
      </w:r>
      <w:r>
        <w:rPr>
          <w:rFonts w:hint="eastAsia" w:ascii="仿宋_GB2312" w:hAnsi="宋体" w:eastAsia="仿宋_GB2312" w:cs="宋体"/>
          <w:color w:val="000000"/>
          <w:kern w:val="0"/>
          <w:sz w:val="32"/>
          <w:szCs w:val="32"/>
          <w:highlight w:val="none"/>
        </w:rPr>
        <w:t>5</w:t>
      </w:r>
      <w:r>
        <w:rPr>
          <w:rFonts w:hint="eastAsia" w:ascii="仿宋_GB2312" w:hAnsi="宋体" w:eastAsia="仿宋_GB2312" w:cs="宋体"/>
          <w:color w:val="000000"/>
          <w:kern w:val="0"/>
          <w:sz w:val="32"/>
          <w:szCs w:val="32"/>
          <w:highlight w:val="none"/>
          <w:lang w:val="en-US" w:eastAsia="zh-CN"/>
        </w:rPr>
        <w:t>2</w:t>
      </w:r>
      <w:r>
        <w:rPr>
          <w:rFonts w:ascii="仿宋_GB2312" w:hAnsi="宋体" w:eastAsia="仿宋_GB2312" w:cs="宋体"/>
          <w:color w:val="000000"/>
          <w:kern w:val="0"/>
          <w:sz w:val="32"/>
          <w:szCs w:val="32"/>
          <w:highlight w:val="none"/>
        </w:rPr>
        <w:t>万元，其他支出</w:t>
      </w:r>
      <w:r>
        <w:rPr>
          <w:rFonts w:hint="eastAsia" w:ascii="仿宋_GB2312" w:hAnsi="宋体" w:eastAsia="仿宋_GB2312" w:cs="宋体"/>
          <w:color w:val="000000"/>
          <w:kern w:val="0"/>
          <w:sz w:val="32"/>
          <w:szCs w:val="32"/>
          <w:highlight w:val="none"/>
        </w:rPr>
        <w:t>预算数0.00</w:t>
      </w:r>
      <w:r>
        <w:rPr>
          <w:rFonts w:ascii="仿宋_GB2312" w:hAnsi="宋体" w:eastAsia="仿宋_GB2312" w:cs="宋体"/>
          <w:color w:val="000000"/>
          <w:kern w:val="0"/>
          <w:sz w:val="32"/>
          <w:szCs w:val="32"/>
          <w:highlight w:val="none"/>
        </w:rPr>
        <w:t>万元</w:t>
      </w:r>
      <w:r>
        <w:rPr>
          <w:rFonts w:hint="eastAsia" w:ascii="仿宋_GB2312" w:hAnsi="宋体" w:eastAsia="仿宋_GB2312" w:cs="宋体"/>
          <w:color w:val="000000"/>
          <w:kern w:val="0"/>
          <w:sz w:val="32"/>
          <w:szCs w:val="32"/>
          <w:highlight w:val="none"/>
        </w:rPr>
        <w:t>。</w:t>
      </w:r>
      <w:r>
        <w:rPr>
          <w:rFonts w:ascii="仿宋_GB2312" w:hAnsi="宋体" w:eastAsia="仿宋_GB2312" w:cs="宋体"/>
          <w:color w:val="000000"/>
          <w:kern w:val="0"/>
          <w:sz w:val="32"/>
          <w:szCs w:val="32"/>
          <w:highlight w:val="none"/>
        </w:rPr>
        <w:t>资金总体</w:t>
      </w:r>
      <w:r>
        <w:rPr>
          <w:rFonts w:hint="eastAsia" w:ascii="仿宋_GB2312" w:hAnsi="宋体" w:eastAsia="仿宋_GB2312" w:cs="宋体"/>
          <w:color w:val="000000"/>
          <w:kern w:val="0"/>
          <w:sz w:val="32"/>
          <w:szCs w:val="32"/>
          <w:highlight w:val="none"/>
        </w:rPr>
        <w:t>支出20</w:t>
      </w:r>
      <w:r>
        <w:rPr>
          <w:rFonts w:ascii="仿宋_GB2312" w:hAnsi="宋体" w:eastAsia="仿宋_GB2312" w:cs="宋体"/>
          <w:color w:val="000000"/>
          <w:kern w:val="0"/>
          <w:sz w:val="32"/>
          <w:szCs w:val="32"/>
          <w:highlight w:val="none"/>
        </w:rPr>
        <w:t>,</w:t>
      </w:r>
      <w:r>
        <w:rPr>
          <w:rFonts w:hint="eastAsia" w:ascii="仿宋_GB2312" w:hAnsi="宋体" w:eastAsia="仿宋_GB2312" w:cs="宋体"/>
          <w:color w:val="000000"/>
          <w:kern w:val="0"/>
          <w:sz w:val="32"/>
          <w:szCs w:val="32"/>
          <w:highlight w:val="none"/>
        </w:rPr>
        <w:t>582</w:t>
      </w:r>
      <w:r>
        <w:rPr>
          <w:rFonts w:hint="eastAsia" w:ascii="仿宋_GB2312" w:hAnsi="宋体" w:eastAsia="仿宋_GB2312" w:cs="宋体"/>
          <w:color w:val="000000"/>
          <w:kern w:val="0"/>
          <w:sz w:val="32"/>
          <w:szCs w:val="32"/>
          <w:highlight w:val="none"/>
          <w:lang w:val="en-US" w:eastAsia="zh-CN"/>
        </w:rPr>
        <w:t>.</w:t>
      </w:r>
      <w:r>
        <w:rPr>
          <w:rFonts w:hint="eastAsia" w:ascii="仿宋_GB2312" w:hAnsi="宋体" w:eastAsia="仿宋_GB2312" w:cs="宋体"/>
          <w:color w:val="000000"/>
          <w:kern w:val="0"/>
          <w:sz w:val="32"/>
          <w:szCs w:val="32"/>
          <w:highlight w:val="none"/>
        </w:rPr>
        <w:t>1</w:t>
      </w:r>
      <w:r>
        <w:rPr>
          <w:rFonts w:hint="eastAsia" w:ascii="仿宋_GB2312" w:hAnsi="宋体" w:eastAsia="仿宋_GB2312" w:cs="宋体"/>
          <w:color w:val="000000"/>
          <w:kern w:val="0"/>
          <w:sz w:val="32"/>
          <w:szCs w:val="32"/>
          <w:highlight w:val="none"/>
          <w:lang w:val="en-US" w:eastAsia="zh-CN"/>
        </w:rPr>
        <w:t>6</w:t>
      </w:r>
      <w:r>
        <w:rPr>
          <w:rFonts w:ascii="仿宋_GB2312" w:hAnsi="宋体" w:eastAsia="仿宋_GB2312" w:cs="宋体"/>
          <w:color w:val="000000"/>
          <w:kern w:val="0"/>
          <w:sz w:val="32"/>
          <w:szCs w:val="32"/>
          <w:highlight w:val="none"/>
        </w:rPr>
        <w:t>万元，其中，基本支出</w:t>
      </w:r>
      <w:r>
        <w:rPr>
          <w:rFonts w:hint="eastAsia" w:ascii="仿宋_GB2312" w:hAnsi="宋体" w:eastAsia="仿宋_GB2312" w:cs="宋体"/>
          <w:color w:val="000000"/>
          <w:kern w:val="0"/>
          <w:sz w:val="32"/>
          <w:szCs w:val="32"/>
          <w:highlight w:val="none"/>
        </w:rPr>
        <w:t>16</w:t>
      </w:r>
      <w:r>
        <w:rPr>
          <w:rFonts w:ascii="仿宋_GB2312" w:hAnsi="宋体" w:eastAsia="仿宋_GB2312" w:cs="宋体"/>
          <w:color w:val="000000"/>
          <w:kern w:val="0"/>
          <w:sz w:val="32"/>
          <w:szCs w:val="32"/>
          <w:highlight w:val="none"/>
        </w:rPr>
        <w:t>,</w:t>
      </w:r>
      <w:r>
        <w:rPr>
          <w:rFonts w:hint="eastAsia" w:ascii="仿宋_GB2312" w:hAnsi="宋体" w:eastAsia="仿宋_GB2312" w:cs="宋体"/>
          <w:color w:val="000000"/>
          <w:kern w:val="0"/>
          <w:sz w:val="32"/>
          <w:szCs w:val="32"/>
          <w:highlight w:val="none"/>
        </w:rPr>
        <w:t>047</w:t>
      </w:r>
      <w:r>
        <w:rPr>
          <w:rFonts w:hint="eastAsia" w:ascii="仿宋_GB2312" w:hAnsi="宋体" w:eastAsia="仿宋_GB2312" w:cs="宋体"/>
          <w:color w:val="000000"/>
          <w:kern w:val="0"/>
          <w:sz w:val="32"/>
          <w:szCs w:val="32"/>
          <w:highlight w:val="none"/>
          <w:lang w:val="en-US" w:eastAsia="zh-CN"/>
        </w:rPr>
        <w:t>.</w:t>
      </w:r>
      <w:r>
        <w:rPr>
          <w:rFonts w:hint="eastAsia" w:ascii="仿宋_GB2312" w:hAnsi="宋体" w:eastAsia="仿宋_GB2312" w:cs="宋体"/>
          <w:color w:val="000000"/>
          <w:kern w:val="0"/>
          <w:sz w:val="32"/>
          <w:szCs w:val="32"/>
          <w:highlight w:val="none"/>
        </w:rPr>
        <w:t>18</w:t>
      </w:r>
      <w:r>
        <w:rPr>
          <w:rFonts w:ascii="仿宋_GB2312" w:hAnsi="宋体" w:eastAsia="仿宋_GB2312" w:cs="宋体"/>
          <w:color w:val="000000"/>
          <w:kern w:val="0"/>
          <w:sz w:val="32"/>
          <w:szCs w:val="32"/>
          <w:highlight w:val="none"/>
        </w:rPr>
        <w:t>万元，项目</w:t>
      </w:r>
      <w:r>
        <w:rPr>
          <w:rFonts w:hint="eastAsia" w:ascii="仿宋_GB2312" w:hAnsi="宋体" w:eastAsia="仿宋_GB2312" w:cs="宋体"/>
          <w:color w:val="000000"/>
          <w:kern w:val="0"/>
          <w:sz w:val="32"/>
          <w:szCs w:val="32"/>
          <w:highlight w:val="none"/>
        </w:rPr>
        <w:t>支出4</w:t>
      </w:r>
      <w:r>
        <w:rPr>
          <w:rFonts w:ascii="仿宋_GB2312" w:hAnsi="宋体" w:eastAsia="仿宋_GB2312" w:cs="宋体"/>
          <w:color w:val="000000"/>
          <w:kern w:val="0"/>
          <w:sz w:val="32"/>
          <w:szCs w:val="32"/>
          <w:highlight w:val="none"/>
        </w:rPr>
        <w:t>,</w:t>
      </w:r>
      <w:r>
        <w:rPr>
          <w:rFonts w:hint="eastAsia" w:ascii="仿宋_GB2312" w:hAnsi="宋体" w:eastAsia="仿宋_GB2312" w:cs="宋体"/>
          <w:color w:val="000000"/>
          <w:kern w:val="0"/>
          <w:sz w:val="32"/>
          <w:szCs w:val="32"/>
          <w:highlight w:val="none"/>
        </w:rPr>
        <w:t>534</w:t>
      </w:r>
      <w:r>
        <w:rPr>
          <w:rFonts w:hint="eastAsia" w:ascii="仿宋_GB2312" w:hAnsi="宋体" w:eastAsia="仿宋_GB2312" w:cs="宋体"/>
          <w:color w:val="000000"/>
          <w:kern w:val="0"/>
          <w:sz w:val="32"/>
          <w:szCs w:val="32"/>
          <w:highlight w:val="none"/>
          <w:lang w:val="en-US" w:eastAsia="zh-CN"/>
        </w:rPr>
        <w:t>.</w:t>
      </w:r>
      <w:r>
        <w:rPr>
          <w:rFonts w:hint="eastAsia" w:ascii="仿宋_GB2312" w:hAnsi="宋体" w:eastAsia="仿宋_GB2312" w:cs="宋体"/>
          <w:color w:val="000000"/>
          <w:kern w:val="0"/>
          <w:sz w:val="32"/>
          <w:szCs w:val="32"/>
          <w:highlight w:val="none"/>
        </w:rPr>
        <w:t>9</w:t>
      </w:r>
      <w:r>
        <w:rPr>
          <w:rFonts w:hint="eastAsia" w:ascii="仿宋_GB2312" w:hAnsi="宋体" w:eastAsia="仿宋_GB2312" w:cs="宋体"/>
          <w:color w:val="000000"/>
          <w:kern w:val="0"/>
          <w:sz w:val="32"/>
          <w:szCs w:val="32"/>
          <w:highlight w:val="none"/>
          <w:lang w:val="en-US" w:eastAsia="zh-CN"/>
        </w:rPr>
        <w:t>8</w:t>
      </w:r>
      <w:r>
        <w:rPr>
          <w:rFonts w:ascii="仿宋_GB2312" w:hAnsi="宋体" w:eastAsia="仿宋_GB2312" w:cs="宋体"/>
          <w:color w:val="000000"/>
          <w:kern w:val="0"/>
          <w:sz w:val="32"/>
          <w:szCs w:val="32"/>
          <w:highlight w:val="none"/>
        </w:rPr>
        <w:t>万元，其他支出</w:t>
      </w:r>
      <w:r>
        <w:rPr>
          <w:rFonts w:hint="eastAsia" w:ascii="仿宋_GB2312" w:hAnsi="宋体" w:eastAsia="仿宋_GB2312" w:cs="宋体"/>
          <w:color w:val="000000"/>
          <w:kern w:val="0"/>
          <w:sz w:val="32"/>
          <w:szCs w:val="32"/>
          <w:highlight w:val="none"/>
        </w:rPr>
        <w:t>0.00</w:t>
      </w:r>
      <w:r>
        <w:rPr>
          <w:rFonts w:ascii="仿宋_GB2312" w:hAnsi="宋体" w:eastAsia="仿宋_GB2312" w:cs="宋体"/>
          <w:color w:val="000000"/>
          <w:kern w:val="0"/>
          <w:sz w:val="32"/>
          <w:szCs w:val="32"/>
          <w:highlight w:val="none"/>
        </w:rPr>
        <w:t>万元。</w:t>
      </w:r>
      <w:r>
        <w:rPr>
          <w:rFonts w:hint="eastAsia" w:ascii="仿宋_GB2312" w:hAnsi="宋体" w:eastAsia="仿宋_GB2312" w:cs="宋体"/>
          <w:color w:val="000000"/>
          <w:kern w:val="0"/>
          <w:sz w:val="32"/>
          <w:szCs w:val="32"/>
          <w:highlight w:val="none"/>
        </w:rPr>
        <w:t>预算</w:t>
      </w:r>
      <w:r>
        <w:rPr>
          <w:rFonts w:ascii="仿宋_GB2312" w:hAnsi="宋体" w:eastAsia="仿宋_GB2312" w:cs="宋体"/>
          <w:color w:val="000000"/>
          <w:kern w:val="0"/>
          <w:sz w:val="32"/>
          <w:szCs w:val="32"/>
          <w:highlight w:val="none"/>
        </w:rPr>
        <w:t>执行率为</w:t>
      </w:r>
      <w:r>
        <w:rPr>
          <w:rFonts w:hint="eastAsia" w:ascii="仿宋_GB2312" w:hAnsi="宋体" w:eastAsia="仿宋_GB2312" w:cs="宋体"/>
          <w:color w:val="000000"/>
          <w:kern w:val="0"/>
          <w:sz w:val="32"/>
          <w:szCs w:val="32"/>
          <w:highlight w:val="none"/>
          <w:lang w:val="en-US" w:eastAsia="zh-CN"/>
        </w:rPr>
        <w:t>99.27</w:t>
      </w:r>
      <w:r>
        <w:rPr>
          <w:rFonts w:hint="eastAsia" w:ascii="仿宋_GB2312" w:hAnsi="宋体" w:eastAsia="仿宋_GB2312" w:cs="宋体"/>
          <w:color w:val="000000"/>
          <w:kern w:val="0"/>
          <w:sz w:val="32"/>
          <w:szCs w:val="32"/>
          <w:highlight w:val="none"/>
        </w:rPr>
        <w:t>%。</w:t>
      </w:r>
    </w:p>
    <w:p>
      <w:pPr>
        <w:autoSpaceDN w:val="0"/>
        <w:spacing w:line="600" w:lineRule="exact"/>
        <w:ind w:left="105" w:leftChars="50" w:firstLine="480" w:firstLineChars="150"/>
        <w:outlineLvl w:val="0"/>
        <w:rPr>
          <w:rFonts w:ascii="黑体" w:hAnsi="黑体" w:eastAsia="黑体" w:cs="宋体"/>
          <w:color w:val="000000"/>
          <w:kern w:val="0"/>
          <w:sz w:val="32"/>
          <w:szCs w:val="32"/>
        </w:rPr>
      </w:pPr>
      <w:r>
        <w:rPr>
          <w:rFonts w:hint="eastAsia" w:ascii="黑体" w:hAnsi="黑体" w:eastAsia="黑体" w:cs="宋体"/>
          <w:color w:val="000000"/>
          <w:kern w:val="0"/>
          <w:sz w:val="32"/>
          <w:szCs w:val="32"/>
        </w:rPr>
        <w:t>三</w:t>
      </w:r>
      <w:r>
        <w:rPr>
          <w:rFonts w:ascii="黑体" w:hAnsi="黑体" w:eastAsia="黑体" w:cs="宋体"/>
          <w:color w:val="000000"/>
          <w:kern w:val="0"/>
          <w:sz w:val="32"/>
          <w:szCs w:val="32"/>
        </w:rPr>
        <w:t>、整体绩效目标实现情况</w:t>
      </w:r>
    </w:p>
    <w:p>
      <w:pPr>
        <w:autoSpaceDN w:val="0"/>
        <w:spacing w:line="600" w:lineRule="exact"/>
        <w:ind w:left="105" w:leftChars="50" w:firstLine="480" w:firstLineChars="150"/>
        <w:rPr>
          <w:rFonts w:ascii="楷体_GB2312" w:eastAsia="楷体_GB2312"/>
          <w:sz w:val="32"/>
          <w:szCs w:val="32"/>
        </w:rPr>
      </w:pPr>
      <w:r>
        <w:rPr>
          <w:rFonts w:hint="eastAsia" w:ascii="楷体_GB2312" w:eastAsia="楷体_GB2312"/>
          <w:sz w:val="32"/>
          <w:szCs w:val="32"/>
        </w:rPr>
        <w:t>（一）产出完成情况分析</w:t>
      </w:r>
    </w:p>
    <w:p>
      <w:pPr>
        <w:autoSpaceDN w:val="0"/>
        <w:spacing w:line="600" w:lineRule="exact"/>
        <w:ind w:left="105" w:leftChars="50" w:firstLine="480" w:firstLineChars="150"/>
        <w:outlineLvl w:val="1"/>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1.产出数量</w:t>
      </w:r>
    </w:p>
    <w:p>
      <w:pPr>
        <w:autoSpaceDN w:val="0"/>
        <w:spacing w:line="60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highlight w:val="none"/>
        </w:rPr>
        <w:t>202</w:t>
      </w:r>
      <w:r>
        <w:rPr>
          <w:rFonts w:hint="eastAsia" w:ascii="仿宋_GB2312" w:hAnsi="宋体" w:eastAsia="仿宋_GB2312" w:cs="宋体"/>
          <w:color w:val="000000"/>
          <w:kern w:val="0"/>
          <w:sz w:val="32"/>
          <w:szCs w:val="32"/>
          <w:highlight w:val="none"/>
          <w:lang w:val="en-US" w:eastAsia="zh-CN"/>
        </w:rPr>
        <w:t>2</w:t>
      </w:r>
      <w:r>
        <w:rPr>
          <w:rFonts w:hint="eastAsia" w:ascii="仿宋_GB2312" w:hAnsi="宋体" w:eastAsia="仿宋_GB2312" w:cs="宋体"/>
          <w:color w:val="000000"/>
          <w:kern w:val="0"/>
          <w:sz w:val="32"/>
          <w:szCs w:val="32"/>
          <w:highlight w:val="none"/>
        </w:rPr>
        <w:t>年</w:t>
      </w:r>
      <w:r>
        <w:rPr>
          <w:rFonts w:ascii="仿宋_GB2312" w:hAnsi="宋体" w:eastAsia="仿宋_GB2312" w:cs="宋体"/>
          <w:color w:val="000000"/>
          <w:kern w:val="0"/>
          <w:sz w:val="32"/>
          <w:szCs w:val="32"/>
          <w:highlight w:val="none"/>
        </w:rPr>
        <w:t>全年</w:t>
      </w:r>
      <w:r>
        <w:rPr>
          <w:rFonts w:hint="eastAsia" w:ascii="仿宋_GB2312" w:hAnsi="宋体" w:eastAsia="仿宋_GB2312" w:cs="宋体"/>
          <w:color w:val="000000"/>
          <w:kern w:val="0"/>
          <w:sz w:val="32"/>
          <w:szCs w:val="32"/>
          <w:highlight w:val="none"/>
        </w:rPr>
        <w:t>预算数</w:t>
      </w:r>
      <w:r>
        <w:rPr>
          <w:rFonts w:hint="eastAsia" w:ascii="仿宋_GB2312" w:hAnsi="宋体" w:eastAsia="仿宋_GB2312" w:cs="宋体"/>
          <w:color w:val="000000"/>
          <w:kern w:val="0"/>
          <w:sz w:val="32"/>
          <w:szCs w:val="32"/>
          <w:highlight w:val="none"/>
          <w:lang w:val="en-US" w:eastAsia="zh-CN"/>
        </w:rPr>
        <w:t>20,733.55</w:t>
      </w:r>
      <w:r>
        <w:rPr>
          <w:rFonts w:hint="eastAsia" w:ascii="仿宋_GB2312" w:hAnsi="宋体" w:eastAsia="仿宋_GB2312" w:cs="宋体"/>
          <w:color w:val="000000"/>
          <w:kern w:val="0"/>
          <w:sz w:val="32"/>
          <w:szCs w:val="32"/>
          <w:highlight w:val="none"/>
        </w:rPr>
        <w:t>万元，</w:t>
      </w:r>
      <w:r>
        <w:rPr>
          <w:rFonts w:ascii="仿宋_GB2312" w:hAnsi="宋体" w:eastAsia="仿宋_GB2312" w:cs="宋体"/>
          <w:color w:val="000000"/>
          <w:kern w:val="0"/>
          <w:sz w:val="32"/>
          <w:szCs w:val="32"/>
          <w:highlight w:val="none"/>
        </w:rPr>
        <w:t>资金总体</w:t>
      </w:r>
      <w:r>
        <w:rPr>
          <w:rFonts w:hint="eastAsia" w:ascii="仿宋_GB2312" w:hAnsi="宋体" w:eastAsia="仿宋_GB2312" w:cs="宋体"/>
          <w:color w:val="000000"/>
          <w:kern w:val="0"/>
          <w:sz w:val="32"/>
          <w:szCs w:val="32"/>
          <w:highlight w:val="none"/>
        </w:rPr>
        <w:t>支出20</w:t>
      </w:r>
      <w:r>
        <w:rPr>
          <w:rFonts w:ascii="仿宋_GB2312" w:hAnsi="宋体" w:eastAsia="仿宋_GB2312" w:cs="宋体"/>
          <w:color w:val="000000"/>
          <w:kern w:val="0"/>
          <w:sz w:val="32"/>
          <w:szCs w:val="32"/>
          <w:highlight w:val="none"/>
        </w:rPr>
        <w:t>,</w:t>
      </w:r>
      <w:r>
        <w:rPr>
          <w:rFonts w:hint="eastAsia" w:ascii="仿宋_GB2312" w:hAnsi="宋体" w:eastAsia="仿宋_GB2312" w:cs="宋体"/>
          <w:color w:val="000000"/>
          <w:kern w:val="0"/>
          <w:sz w:val="32"/>
          <w:szCs w:val="32"/>
          <w:highlight w:val="none"/>
        </w:rPr>
        <w:t>582</w:t>
      </w:r>
      <w:r>
        <w:rPr>
          <w:rFonts w:hint="eastAsia" w:ascii="仿宋_GB2312" w:hAnsi="宋体" w:eastAsia="仿宋_GB2312" w:cs="宋体"/>
          <w:color w:val="000000"/>
          <w:kern w:val="0"/>
          <w:sz w:val="32"/>
          <w:szCs w:val="32"/>
          <w:highlight w:val="none"/>
          <w:lang w:val="en-US" w:eastAsia="zh-CN"/>
        </w:rPr>
        <w:t>.</w:t>
      </w:r>
      <w:r>
        <w:rPr>
          <w:rFonts w:hint="eastAsia" w:ascii="仿宋_GB2312" w:hAnsi="宋体" w:eastAsia="仿宋_GB2312" w:cs="宋体"/>
          <w:color w:val="000000"/>
          <w:kern w:val="0"/>
          <w:sz w:val="32"/>
          <w:szCs w:val="32"/>
          <w:highlight w:val="none"/>
        </w:rPr>
        <w:t>1</w:t>
      </w:r>
      <w:r>
        <w:rPr>
          <w:rFonts w:hint="eastAsia" w:ascii="仿宋_GB2312" w:hAnsi="宋体" w:eastAsia="仿宋_GB2312" w:cs="宋体"/>
          <w:color w:val="000000"/>
          <w:kern w:val="0"/>
          <w:sz w:val="32"/>
          <w:szCs w:val="32"/>
          <w:highlight w:val="none"/>
          <w:lang w:val="en-US" w:eastAsia="zh-CN"/>
        </w:rPr>
        <w:t>6</w:t>
      </w:r>
      <w:r>
        <w:rPr>
          <w:rFonts w:ascii="仿宋_GB2312" w:hAnsi="宋体" w:eastAsia="仿宋_GB2312" w:cs="宋体"/>
          <w:color w:val="000000"/>
          <w:kern w:val="0"/>
          <w:sz w:val="32"/>
          <w:szCs w:val="32"/>
        </w:rPr>
        <w:t>万元，</w:t>
      </w:r>
      <w:r>
        <w:rPr>
          <w:rFonts w:hint="eastAsia" w:ascii="仿宋_GB2312" w:hAnsi="宋体" w:eastAsia="仿宋_GB2312" w:cs="宋体"/>
          <w:color w:val="000000"/>
          <w:kern w:val="0"/>
          <w:sz w:val="32"/>
          <w:szCs w:val="32"/>
        </w:rPr>
        <w:t>预算</w:t>
      </w:r>
      <w:r>
        <w:rPr>
          <w:rFonts w:ascii="仿宋_GB2312" w:hAnsi="宋体" w:eastAsia="仿宋_GB2312" w:cs="宋体"/>
          <w:color w:val="000000"/>
          <w:kern w:val="0"/>
          <w:sz w:val="32"/>
          <w:szCs w:val="32"/>
        </w:rPr>
        <w:t>执行率为</w:t>
      </w:r>
      <w:r>
        <w:rPr>
          <w:rFonts w:hint="eastAsia" w:ascii="仿宋_GB2312" w:hAnsi="宋体" w:eastAsia="仿宋_GB2312" w:cs="宋体"/>
          <w:color w:val="000000"/>
          <w:kern w:val="0"/>
          <w:sz w:val="32"/>
          <w:szCs w:val="32"/>
          <w:highlight w:val="none"/>
          <w:lang w:val="en-US" w:eastAsia="zh-CN"/>
        </w:rPr>
        <w:t>99.27</w:t>
      </w:r>
      <w:r>
        <w:rPr>
          <w:rFonts w:hint="eastAsia" w:ascii="仿宋_GB2312" w:hAnsi="宋体" w:eastAsia="仿宋_GB2312" w:cs="宋体"/>
          <w:color w:val="000000"/>
          <w:kern w:val="0"/>
          <w:sz w:val="32"/>
          <w:szCs w:val="32"/>
        </w:rPr>
        <w:t>%。</w:t>
      </w:r>
    </w:p>
    <w:p>
      <w:pPr>
        <w:autoSpaceDN w:val="0"/>
        <w:spacing w:line="600" w:lineRule="exact"/>
        <w:ind w:firstLine="640" w:firstLineChars="20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lang w:val="en-US" w:eastAsia="zh-CN"/>
        </w:rPr>
        <w:t>2022</w:t>
      </w:r>
      <w:r>
        <w:rPr>
          <w:rFonts w:hint="eastAsia" w:ascii="仿宋_GB2312" w:hAnsi="宋体" w:eastAsia="仿宋_GB2312" w:cs="宋体"/>
          <w:color w:val="000000"/>
          <w:kern w:val="0"/>
          <w:sz w:val="32"/>
          <w:szCs w:val="32"/>
        </w:rPr>
        <w:t>年，我院共办理各类案件11</w:t>
      </w:r>
      <w:r>
        <w:rPr>
          <w:rFonts w:hint="eastAsia" w:ascii="仿宋_GB2312" w:hAnsi="宋体" w:eastAsia="仿宋_GB2312" w:cs="宋体"/>
          <w:color w:val="000000"/>
          <w:kern w:val="0"/>
          <w:sz w:val="32"/>
          <w:szCs w:val="32"/>
          <w:lang w:val="en-US" w:eastAsia="zh-CN"/>
        </w:rPr>
        <w:t>,</w:t>
      </w:r>
      <w:r>
        <w:rPr>
          <w:rFonts w:hint="eastAsia" w:ascii="仿宋_GB2312" w:hAnsi="宋体" w:eastAsia="仿宋_GB2312" w:cs="宋体"/>
          <w:color w:val="000000"/>
          <w:kern w:val="0"/>
          <w:sz w:val="32"/>
          <w:szCs w:val="32"/>
        </w:rPr>
        <w:t>125件，总体办案规模与去年持平。其中，刑事检察案件数同比下降15.95%，民事、行政、公益诉讼检察案件数同比上升58.65%，“四大检察”发展趋于均衡，同时，监督案件数量明显上升，监督办案与司法办案占比结构首次发生逆转，由2021年的1：1.6转变为1.2：1，检察权的监督和办案属性更趋融合。</w:t>
      </w:r>
    </w:p>
    <w:p>
      <w:pPr>
        <w:autoSpaceDN w:val="0"/>
        <w:spacing w:line="600" w:lineRule="exact"/>
        <w:ind w:left="105" w:leftChars="50" w:firstLine="480" w:firstLineChars="150"/>
        <w:outlineLvl w:val="1"/>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2.产出</w:t>
      </w:r>
      <w:r>
        <w:rPr>
          <w:rFonts w:ascii="仿宋_GB2312" w:hAnsi="宋体" w:eastAsia="仿宋_GB2312" w:cs="宋体"/>
          <w:color w:val="000000"/>
          <w:kern w:val="0"/>
          <w:sz w:val="32"/>
          <w:szCs w:val="32"/>
        </w:rPr>
        <w:t>质量</w:t>
      </w:r>
    </w:p>
    <w:p>
      <w:pPr>
        <w:autoSpaceDN w:val="0"/>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仿宋_GB2312" w:eastAsia="仿宋_GB2312" w:cs="仿宋_GB2312"/>
          <w:sz w:val="32"/>
          <w:szCs w:val="32"/>
        </w:rPr>
        <w:t>我院各项工作又取得了新的成绩，获评“全国检察信息先进单位”“全国检察宣传先进单位”，“五的N次方”知识产权检察工作模式获评全国检察机关“优秀文化品牌”,11个集体及个人获国家级荣誉，18个集体及个人获市级荣誉，24个集体及个人获区级荣誉。</w:t>
      </w:r>
      <w:r>
        <w:rPr>
          <w:rFonts w:hint="eastAsia" w:ascii="仿宋_GB2312" w:hAnsi="宋体" w:eastAsia="仿宋_GB2312" w:cs="宋体"/>
          <w:color w:val="000000"/>
          <w:kern w:val="0"/>
          <w:sz w:val="32"/>
          <w:szCs w:val="32"/>
        </w:rPr>
        <w:t>在执行过程中，各项服务质量符合要求，均达到预期指标，202</w:t>
      </w:r>
      <w:r>
        <w:rPr>
          <w:rFonts w:hint="eastAsia" w:ascii="仿宋_GB2312" w:hAnsi="宋体" w:eastAsia="仿宋_GB2312" w:cs="宋体"/>
          <w:color w:val="000000"/>
          <w:kern w:val="0"/>
          <w:sz w:val="32"/>
          <w:szCs w:val="32"/>
          <w:lang w:val="en-US" w:eastAsia="zh-CN"/>
        </w:rPr>
        <w:t>2</w:t>
      </w:r>
      <w:r>
        <w:rPr>
          <w:rFonts w:hint="eastAsia" w:ascii="仿宋_GB2312" w:hAnsi="宋体" w:eastAsia="仿宋_GB2312" w:cs="宋体"/>
          <w:color w:val="000000"/>
          <w:kern w:val="0"/>
          <w:sz w:val="32"/>
          <w:szCs w:val="32"/>
        </w:rPr>
        <w:t>年我院较好的完成了各项工作。</w:t>
      </w:r>
    </w:p>
    <w:p>
      <w:pPr>
        <w:autoSpaceDN w:val="0"/>
        <w:spacing w:line="600" w:lineRule="exact"/>
        <w:ind w:left="105" w:leftChars="50" w:firstLine="480" w:firstLineChars="150"/>
        <w:outlineLvl w:val="1"/>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3.产出</w:t>
      </w:r>
      <w:r>
        <w:rPr>
          <w:rFonts w:ascii="仿宋_GB2312" w:hAnsi="宋体" w:eastAsia="仿宋_GB2312" w:cs="宋体"/>
          <w:color w:val="000000"/>
          <w:kern w:val="0"/>
          <w:sz w:val="32"/>
          <w:szCs w:val="32"/>
        </w:rPr>
        <w:t>进度</w:t>
      </w:r>
    </w:p>
    <w:p>
      <w:pPr>
        <w:autoSpaceDN w:val="0"/>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我院所有预算项目按照年初计划及整体绩效目标确定的时限较好的完成了各项工作任务。在202</w:t>
      </w:r>
      <w:r>
        <w:rPr>
          <w:rFonts w:hint="eastAsia" w:ascii="仿宋_GB2312" w:hAnsi="宋体" w:eastAsia="仿宋_GB2312" w:cs="宋体"/>
          <w:color w:val="000000"/>
          <w:kern w:val="0"/>
          <w:sz w:val="32"/>
          <w:szCs w:val="32"/>
          <w:lang w:val="en-US" w:eastAsia="zh-CN"/>
        </w:rPr>
        <w:t>2</w:t>
      </w:r>
      <w:r>
        <w:rPr>
          <w:rFonts w:hint="eastAsia" w:ascii="仿宋_GB2312" w:hAnsi="宋体" w:eastAsia="仿宋_GB2312" w:cs="宋体"/>
          <w:color w:val="000000"/>
          <w:kern w:val="0"/>
          <w:sz w:val="32"/>
          <w:szCs w:val="32"/>
        </w:rPr>
        <w:t>年度内完成部门整体预算项目内容，实施进度良好。所有预算项目均在202</w:t>
      </w:r>
      <w:r>
        <w:rPr>
          <w:rFonts w:hint="eastAsia" w:ascii="仿宋_GB2312" w:hAnsi="宋体" w:eastAsia="仿宋_GB2312" w:cs="宋体"/>
          <w:color w:val="000000"/>
          <w:kern w:val="0"/>
          <w:sz w:val="32"/>
          <w:szCs w:val="32"/>
          <w:lang w:val="en-US" w:eastAsia="zh-CN"/>
        </w:rPr>
        <w:t>2</w:t>
      </w:r>
      <w:r>
        <w:rPr>
          <w:rFonts w:hint="eastAsia" w:ascii="仿宋_GB2312" w:hAnsi="宋体" w:eastAsia="仿宋_GB2312" w:cs="宋体"/>
          <w:color w:val="000000"/>
          <w:kern w:val="0"/>
          <w:sz w:val="32"/>
          <w:szCs w:val="32"/>
        </w:rPr>
        <w:t>年度达到预期目标，按时完成率较高。</w:t>
      </w:r>
    </w:p>
    <w:p>
      <w:pPr>
        <w:tabs>
          <w:tab w:val="left" w:pos="312"/>
        </w:tabs>
        <w:autoSpaceDN w:val="0"/>
        <w:spacing w:line="600" w:lineRule="exact"/>
        <w:ind w:left="585"/>
        <w:outlineLvl w:val="1"/>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4.产出</w:t>
      </w:r>
      <w:r>
        <w:rPr>
          <w:rFonts w:ascii="仿宋_GB2312" w:hAnsi="宋体" w:eastAsia="仿宋_GB2312" w:cs="宋体"/>
          <w:color w:val="000000"/>
          <w:kern w:val="0"/>
          <w:sz w:val="32"/>
          <w:szCs w:val="32"/>
        </w:rPr>
        <w:t>成本</w:t>
      </w:r>
      <w:r>
        <w:rPr>
          <w:rFonts w:hint="eastAsia" w:ascii="仿宋_GB2312" w:hAnsi="宋体" w:eastAsia="仿宋_GB2312" w:cs="宋体"/>
          <w:color w:val="000000"/>
          <w:kern w:val="0"/>
          <w:sz w:val="32"/>
          <w:szCs w:val="32"/>
        </w:rPr>
        <w:t xml:space="preserve"> </w:t>
      </w:r>
    </w:p>
    <w:p>
      <w:pPr>
        <w:autoSpaceDN w:val="0"/>
        <w:spacing w:line="600" w:lineRule="exact"/>
        <w:ind w:firstLine="640" w:firstLineChars="200"/>
        <w:jc w:val="left"/>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highlight w:val="none"/>
        </w:rPr>
        <w:t>202</w:t>
      </w:r>
      <w:r>
        <w:rPr>
          <w:rFonts w:hint="eastAsia" w:ascii="仿宋_GB2312" w:hAnsi="宋体" w:eastAsia="仿宋_GB2312" w:cs="宋体"/>
          <w:color w:val="000000"/>
          <w:kern w:val="0"/>
          <w:sz w:val="32"/>
          <w:szCs w:val="32"/>
          <w:highlight w:val="none"/>
          <w:lang w:val="en-US" w:eastAsia="zh-CN"/>
        </w:rPr>
        <w:t>2</w:t>
      </w:r>
      <w:r>
        <w:rPr>
          <w:rFonts w:hint="eastAsia" w:ascii="仿宋_GB2312" w:hAnsi="宋体" w:eastAsia="仿宋_GB2312" w:cs="宋体"/>
          <w:color w:val="000000"/>
          <w:kern w:val="0"/>
          <w:sz w:val="32"/>
          <w:szCs w:val="32"/>
          <w:highlight w:val="none"/>
        </w:rPr>
        <w:t>年</w:t>
      </w:r>
      <w:r>
        <w:rPr>
          <w:rFonts w:ascii="仿宋_GB2312" w:hAnsi="宋体" w:eastAsia="仿宋_GB2312" w:cs="宋体"/>
          <w:color w:val="000000"/>
          <w:kern w:val="0"/>
          <w:sz w:val="32"/>
          <w:szCs w:val="32"/>
          <w:highlight w:val="none"/>
        </w:rPr>
        <w:t>全年</w:t>
      </w:r>
      <w:r>
        <w:rPr>
          <w:rFonts w:hint="eastAsia" w:ascii="仿宋_GB2312" w:hAnsi="宋体" w:eastAsia="仿宋_GB2312" w:cs="宋体"/>
          <w:color w:val="000000"/>
          <w:kern w:val="0"/>
          <w:sz w:val="32"/>
          <w:szCs w:val="32"/>
          <w:highlight w:val="none"/>
        </w:rPr>
        <w:t>预算控制数</w:t>
      </w:r>
      <w:r>
        <w:rPr>
          <w:rFonts w:hint="eastAsia" w:ascii="仿宋_GB2312" w:hAnsi="宋体" w:eastAsia="仿宋_GB2312" w:cs="宋体"/>
          <w:color w:val="000000"/>
          <w:kern w:val="0"/>
          <w:sz w:val="32"/>
          <w:szCs w:val="32"/>
          <w:highlight w:val="none"/>
          <w:lang w:val="en-US" w:eastAsia="zh-CN"/>
        </w:rPr>
        <w:t>20,733.55</w:t>
      </w:r>
      <w:r>
        <w:rPr>
          <w:rFonts w:hint="eastAsia" w:ascii="仿宋_GB2312" w:hAnsi="宋体" w:eastAsia="仿宋_GB2312" w:cs="宋体"/>
          <w:color w:val="000000"/>
          <w:kern w:val="0"/>
          <w:sz w:val="32"/>
          <w:szCs w:val="32"/>
          <w:highlight w:val="none"/>
        </w:rPr>
        <w:t>万元以内，总体资金支出</w:t>
      </w:r>
      <w:r>
        <w:rPr>
          <w:rFonts w:hint="eastAsia" w:ascii="仿宋_GB2312" w:hAnsi="宋体" w:eastAsia="仿宋_GB2312" w:cs="宋体"/>
          <w:color w:val="000000"/>
          <w:kern w:val="0"/>
          <w:sz w:val="32"/>
          <w:szCs w:val="32"/>
          <w:highlight w:val="none"/>
          <w:lang w:val="en-US" w:eastAsia="zh-CN"/>
        </w:rPr>
        <w:t>未</w:t>
      </w:r>
      <w:r>
        <w:rPr>
          <w:rFonts w:hint="eastAsia" w:ascii="仿宋_GB2312" w:hAnsi="宋体" w:eastAsia="仿宋_GB2312" w:cs="宋体"/>
          <w:color w:val="000000"/>
          <w:kern w:val="0"/>
          <w:sz w:val="32"/>
          <w:szCs w:val="32"/>
          <w:highlight w:val="none"/>
        </w:rPr>
        <w:t>超出批复资金，专项资金控制及节约情况较好。我院</w:t>
      </w:r>
      <w:r>
        <w:rPr>
          <w:rFonts w:hint="eastAsia" w:ascii="仿宋_GB2312" w:hAnsi="宋体" w:eastAsia="仿宋_GB2312" w:cs="宋体"/>
          <w:color w:val="000000"/>
          <w:kern w:val="0"/>
          <w:sz w:val="32"/>
          <w:szCs w:val="32"/>
        </w:rPr>
        <w:t>支出相对于上一年度（202</w:t>
      </w:r>
      <w:r>
        <w:rPr>
          <w:rFonts w:hint="eastAsia" w:ascii="仿宋_GB2312" w:hAnsi="宋体" w:eastAsia="仿宋_GB2312" w:cs="宋体"/>
          <w:color w:val="000000"/>
          <w:kern w:val="0"/>
          <w:sz w:val="32"/>
          <w:szCs w:val="32"/>
          <w:lang w:val="en-US" w:eastAsia="zh-CN"/>
        </w:rPr>
        <w:t>1</w:t>
      </w:r>
      <w:r>
        <w:rPr>
          <w:rFonts w:hint="eastAsia" w:ascii="仿宋_GB2312" w:hAnsi="宋体" w:eastAsia="仿宋_GB2312" w:cs="宋体"/>
          <w:color w:val="000000"/>
          <w:kern w:val="0"/>
          <w:sz w:val="32"/>
          <w:szCs w:val="32"/>
        </w:rPr>
        <w:t>年支出数16</w:t>
      </w:r>
      <w:r>
        <w:rPr>
          <w:rFonts w:ascii="仿宋_GB2312" w:hAnsi="宋体" w:eastAsia="仿宋_GB2312" w:cs="宋体"/>
          <w:color w:val="000000"/>
          <w:kern w:val="0"/>
          <w:sz w:val="32"/>
          <w:szCs w:val="32"/>
        </w:rPr>
        <w:t>,</w:t>
      </w:r>
      <w:r>
        <w:rPr>
          <w:rFonts w:hint="eastAsia" w:ascii="仿宋_GB2312" w:hAnsi="宋体" w:eastAsia="仿宋_GB2312" w:cs="宋体"/>
          <w:color w:val="000000"/>
          <w:kern w:val="0"/>
          <w:sz w:val="32"/>
          <w:szCs w:val="32"/>
        </w:rPr>
        <w:t>884.19万元）</w:t>
      </w:r>
      <w:r>
        <w:rPr>
          <w:rFonts w:hint="eastAsia" w:ascii="仿宋_GB2312" w:hAnsi="宋体" w:eastAsia="仿宋_GB2312" w:cs="宋体"/>
          <w:color w:val="000000"/>
          <w:kern w:val="0"/>
          <w:sz w:val="32"/>
          <w:szCs w:val="32"/>
          <w:lang w:val="en-US" w:eastAsia="zh-CN"/>
        </w:rPr>
        <w:t>超出</w:t>
      </w:r>
      <w:r>
        <w:rPr>
          <w:rFonts w:hint="eastAsia" w:ascii="仿宋_GB2312" w:hAnsi="宋体" w:eastAsia="仿宋_GB2312" w:cs="宋体"/>
          <w:color w:val="000000"/>
          <w:kern w:val="0"/>
          <w:sz w:val="32"/>
          <w:szCs w:val="32"/>
        </w:rPr>
        <w:t>3,697.97万元；我院严控各项预算支出，本着厉行节约和提高资金使用效益原则，各项成本产出未超出市场同类产出金额；我院严格控制公用经费的使用情况，202</w:t>
      </w:r>
      <w:r>
        <w:rPr>
          <w:rFonts w:hint="eastAsia" w:ascii="仿宋_GB2312" w:hAnsi="宋体" w:eastAsia="仿宋_GB2312" w:cs="宋体"/>
          <w:color w:val="000000"/>
          <w:kern w:val="0"/>
          <w:sz w:val="32"/>
          <w:szCs w:val="32"/>
          <w:lang w:val="en-US" w:eastAsia="zh-CN"/>
        </w:rPr>
        <w:t>2</w:t>
      </w:r>
      <w:r>
        <w:rPr>
          <w:rFonts w:hint="eastAsia" w:ascii="仿宋_GB2312" w:hAnsi="宋体" w:eastAsia="仿宋_GB2312" w:cs="宋体"/>
          <w:color w:val="000000"/>
          <w:kern w:val="0"/>
          <w:sz w:val="32"/>
          <w:szCs w:val="32"/>
        </w:rPr>
        <w:t>年全年预算数为1</w:t>
      </w:r>
      <w:r>
        <w:rPr>
          <w:rFonts w:hint="eastAsia" w:ascii="仿宋_GB2312" w:hAnsi="宋体" w:eastAsia="仿宋_GB2312" w:cs="宋体"/>
          <w:color w:val="000000"/>
          <w:kern w:val="0"/>
          <w:sz w:val="32"/>
          <w:szCs w:val="32"/>
          <w:lang w:val="en-US" w:eastAsia="zh-CN"/>
        </w:rPr>
        <w:t>,</w:t>
      </w:r>
      <w:r>
        <w:rPr>
          <w:rFonts w:hint="eastAsia" w:ascii="仿宋_GB2312" w:hAnsi="宋体" w:eastAsia="仿宋_GB2312" w:cs="宋体"/>
          <w:color w:val="000000"/>
          <w:kern w:val="0"/>
          <w:sz w:val="32"/>
          <w:szCs w:val="32"/>
        </w:rPr>
        <w:t>899</w:t>
      </w:r>
      <w:r>
        <w:rPr>
          <w:rFonts w:hint="eastAsia" w:ascii="仿宋_GB2312" w:hAnsi="宋体" w:eastAsia="仿宋_GB2312" w:cs="宋体"/>
          <w:color w:val="000000"/>
          <w:kern w:val="0"/>
          <w:sz w:val="32"/>
          <w:szCs w:val="32"/>
          <w:lang w:val="en-US" w:eastAsia="zh-CN"/>
        </w:rPr>
        <w:t>.</w:t>
      </w:r>
      <w:r>
        <w:rPr>
          <w:rFonts w:hint="eastAsia" w:ascii="仿宋_GB2312" w:hAnsi="宋体" w:eastAsia="仿宋_GB2312" w:cs="宋体"/>
          <w:color w:val="000000"/>
          <w:kern w:val="0"/>
          <w:sz w:val="32"/>
          <w:szCs w:val="32"/>
        </w:rPr>
        <w:t>6</w:t>
      </w:r>
      <w:r>
        <w:rPr>
          <w:rFonts w:hint="eastAsia" w:ascii="仿宋_GB2312" w:hAnsi="宋体" w:eastAsia="仿宋_GB2312" w:cs="宋体"/>
          <w:color w:val="000000"/>
          <w:kern w:val="0"/>
          <w:sz w:val="32"/>
          <w:szCs w:val="32"/>
          <w:lang w:val="en-US" w:eastAsia="zh-CN"/>
        </w:rPr>
        <w:t>4</w:t>
      </w:r>
      <w:r>
        <w:rPr>
          <w:rFonts w:hint="eastAsia" w:ascii="仿宋_GB2312" w:hAnsi="宋体" w:eastAsia="仿宋_GB2312" w:cs="宋体"/>
          <w:color w:val="000000"/>
          <w:kern w:val="0"/>
          <w:sz w:val="32"/>
          <w:szCs w:val="32"/>
        </w:rPr>
        <w:t>万元，实际支出1</w:t>
      </w:r>
      <w:r>
        <w:rPr>
          <w:rFonts w:hint="eastAsia" w:ascii="仿宋_GB2312" w:hAnsi="宋体" w:eastAsia="仿宋_GB2312" w:cs="宋体"/>
          <w:color w:val="000000"/>
          <w:kern w:val="0"/>
          <w:sz w:val="32"/>
          <w:szCs w:val="32"/>
          <w:lang w:val="en-US" w:eastAsia="zh-CN"/>
        </w:rPr>
        <w:t>,</w:t>
      </w:r>
      <w:r>
        <w:rPr>
          <w:rFonts w:hint="eastAsia" w:ascii="仿宋_GB2312" w:hAnsi="宋体" w:eastAsia="仿宋_GB2312" w:cs="宋体"/>
          <w:color w:val="000000"/>
          <w:kern w:val="0"/>
          <w:sz w:val="32"/>
          <w:szCs w:val="32"/>
        </w:rPr>
        <w:t>827</w:t>
      </w:r>
      <w:r>
        <w:rPr>
          <w:rFonts w:hint="eastAsia" w:ascii="仿宋_GB2312" w:hAnsi="宋体" w:eastAsia="仿宋_GB2312" w:cs="宋体"/>
          <w:color w:val="000000"/>
          <w:kern w:val="0"/>
          <w:sz w:val="32"/>
          <w:szCs w:val="32"/>
          <w:lang w:val="en-US" w:eastAsia="zh-CN"/>
        </w:rPr>
        <w:t>.</w:t>
      </w:r>
      <w:r>
        <w:rPr>
          <w:rFonts w:hint="eastAsia" w:ascii="仿宋_GB2312" w:hAnsi="宋体" w:eastAsia="仿宋_GB2312" w:cs="宋体"/>
          <w:color w:val="000000"/>
          <w:kern w:val="0"/>
          <w:sz w:val="32"/>
          <w:szCs w:val="32"/>
        </w:rPr>
        <w:t>5</w:t>
      </w:r>
      <w:r>
        <w:rPr>
          <w:rFonts w:hint="eastAsia" w:ascii="仿宋_GB2312" w:hAnsi="宋体" w:eastAsia="仿宋_GB2312" w:cs="宋体"/>
          <w:color w:val="000000"/>
          <w:kern w:val="0"/>
          <w:sz w:val="32"/>
          <w:szCs w:val="32"/>
          <w:lang w:val="en-US" w:eastAsia="zh-CN"/>
        </w:rPr>
        <w:t>3</w:t>
      </w:r>
      <w:r>
        <w:rPr>
          <w:rFonts w:hint="eastAsia" w:ascii="仿宋_GB2312" w:hAnsi="宋体" w:eastAsia="仿宋_GB2312" w:cs="宋体"/>
          <w:color w:val="000000"/>
          <w:kern w:val="0"/>
          <w:sz w:val="32"/>
          <w:szCs w:val="32"/>
        </w:rPr>
        <w:t xml:space="preserve">万元，公用经费使用资金控制及节约情况较好。 </w:t>
      </w:r>
    </w:p>
    <w:p>
      <w:pPr>
        <w:autoSpaceDN w:val="0"/>
        <w:spacing w:line="600" w:lineRule="exact"/>
        <w:ind w:left="105" w:leftChars="50" w:firstLine="480" w:firstLineChars="150"/>
        <w:rPr>
          <w:rFonts w:ascii="楷体_GB2312" w:eastAsia="楷体_GB2312"/>
          <w:sz w:val="32"/>
          <w:szCs w:val="32"/>
        </w:rPr>
      </w:pPr>
      <w:r>
        <w:rPr>
          <w:rFonts w:hint="eastAsia" w:ascii="楷体_GB2312" w:eastAsia="楷体_GB2312"/>
          <w:sz w:val="32"/>
          <w:szCs w:val="32"/>
        </w:rPr>
        <w:t>（二）效果</w:t>
      </w:r>
      <w:r>
        <w:rPr>
          <w:rFonts w:ascii="楷体_GB2312" w:eastAsia="楷体_GB2312"/>
          <w:sz w:val="32"/>
          <w:szCs w:val="32"/>
        </w:rPr>
        <w:t>实现情况分析</w:t>
      </w:r>
    </w:p>
    <w:p>
      <w:pPr>
        <w:autoSpaceDN w:val="0"/>
        <w:spacing w:line="600" w:lineRule="exact"/>
        <w:ind w:left="105" w:leftChars="50" w:firstLine="480" w:firstLineChars="150"/>
        <w:outlineLvl w:val="1"/>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1.经济</w:t>
      </w:r>
      <w:r>
        <w:rPr>
          <w:rFonts w:ascii="仿宋_GB2312" w:hAnsi="宋体" w:eastAsia="仿宋_GB2312" w:cs="宋体"/>
          <w:color w:val="000000"/>
          <w:kern w:val="0"/>
          <w:sz w:val="32"/>
          <w:szCs w:val="32"/>
        </w:rPr>
        <w:t>效益</w:t>
      </w:r>
    </w:p>
    <w:p>
      <w:pPr>
        <w:autoSpaceDN w:val="0"/>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2022年是党和国家历史上具有重要里程碑意义的一年，党的二十大胜利召开，中国共产党团结带领全党全国各族人民奋进新征程创造新伟业。我院在区委和市检察院坚强领导下，在区人大及其常委会有力监督下，在区政府大力支持和区政协民主监督下，坚持以习近平新时代中国特色社会主义思想为指导，深入贯彻习近平法治思想，全面贯彻党的十九大、十九届历次全会和党的二十大精神，按照“传承深化、打造精品、改革创新、稳中求进”的工作思路，依法全面履行刑事、民事、行政和公益诉讼四大检察职能，为我区打造以首都发展为统领的现代化强区高品质海淀提供了有力司法保障。通过各项目的实施，202</w:t>
      </w:r>
      <w:r>
        <w:rPr>
          <w:rFonts w:hint="eastAsia" w:ascii="仿宋_GB2312" w:hAnsi="宋体" w:eastAsia="仿宋_GB2312" w:cs="宋体"/>
          <w:color w:val="000000"/>
          <w:kern w:val="0"/>
          <w:sz w:val="32"/>
          <w:szCs w:val="32"/>
          <w:lang w:val="en-US" w:eastAsia="zh-CN"/>
        </w:rPr>
        <w:t>2</w:t>
      </w:r>
      <w:r>
        <w:rPr>
          <w:rFonts w:hint="eastAsia" w:ascii="仿宋_GB2312" w:hAnsi="宋体" w:eastAsia="仿宋_GB2312" w:cs="宋体"/>
          <w:color w:val="000000"/>
          <w:kern w:val="0"/>
          <w:sz w:val="32"/>
          <w:szCs w:val="32"/>
        </w:rPr>
        <w:t>年依照既定目标完成了部分项目，项目预算控制数</w:t>
      </w:r>
      <w:r>
        <w:rPr>
          <w:rFonts w:hint="eastAsia" w:ascii="仿宋_GB2312" w:hAnsi="宋体" w:eastAsia="仿宋_GB2312" w:cs="宋体"/>
          <w:color w:val="000000"/>
          <w:kern w:val="0"/>
          <w:sz w:val="32"/>
          <w:szCs w:val="32"/>
          <w:highlight w:val="none"/>
          <w:lang w:val="en-US" w:eastAsia="zh-CN"/>
        </w:rPr>
        <w:t>20,733.55</w:t>
      </w:r>
      <w:r>
        <w:rPr>
          <w:rFonts w:hint="eastAsia" w:ascii="仿宋_GB2312" w:hAnsi="宋体" w:eastAsia="仿宋_GB2312" w:cs="宋体"/>
          <w:color w:val="000000"/>
          <w:kern w:val="0"/>
          <w:sz w:val="32"/>
          <w:szCs w:val="32"/>
        </w:rPr>
        <w:t>万元以内，总体资金支出未超出批复资金，专项资金控制及节约情况较好，项目经济性显著。</w:t>
      </w:r>
    </w:p>
    <w:p>
      <w:pPr>
        <w:tabs>
          <w:tab w:val="left" w:pos="312"/>
        </w:tabs>
        <w:autoSpaceDN w:val="0"/>
        <w:spacing w:line="600" w:lineRule="exact"/>
        <w:ind w:left="585"/>
        <w:outlineLvl w:val="1"/>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2.社会效益</w:t>
      </w:r>
    </w:p>
    <w:p>
      <w:pPr>
        <w:autoSpaceDN w:val="0"/>
        <w:spacing w:line="60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202</w:t>
      </w:r>
      <w:r>
        <w:rPr>
          <w:rFonts w:hint="eastAsia" w:ascii="仿宋_GB2312" w:hAnsi="宋体" w:eastAsia="仿宋_GB2312" w:cs="宋体"/>
          <w:color w:val="000000"/>
          <w:kern w:val="0"/>
          <w:sz w:val="32"/>
          <w:szCs w:val="32"/>
          <w:lang w:val="en-US" w:eastAsia="zh-CN"/>
        </w:rPr>
        <w:t>2</w:t>
      </w:r>
      <w:r>
        <w:rPr>
          <w:rFonts w:hint="eastAsia" w:ascii="仿宋_GB2312" w:hAnsi="宋体" w:eastAsia="仿宋_GB2312" w:cs="宋体"/>
          <w:color w:val="000000"/>
          <w:kern w:val="0"/>
          <w:sz w:val="32"/>
          <w:szCs w:val="32"/>
        </w:rPr>
        <w:t>年全年的检察服务促进了社会服务业发展，提高了政府管理和服务社会效率，为我院依法履行检察职能，保障区域安全稳定；自觉强化检察担当，服务海淀跨越式高质量发展，全面推进检察监督；维护社会公平正义，切实践行检察为民，大力增进民生福祉；巩固深化检察改革，确保权力行使规范高效。</w:t>
      </w:r>
    </w:p>
    <w:p>
      <w:pPr>
        <w:tabs>
          <w:tab w:val="left" w:pos="312"/>
        </w:tabs>
        <w:autoSpaceDN w:val="0"/>
        <w:spacing w:line="600" w:lineRule="exact"/>
        <w:ind w:left="585"/>
        <w:outlineLvl w:val="1"/>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3.环境效益</w:t>
      </w:r>
    </w:p>
    <w:p>
      <w:pPr>
        <w:autoSpaceDN w:val="0"/>
        <w:spacing w:line="60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我院切实履行监督职责，共同推进严格执法、公正司法，推进海淀法治环境建设，均达到预期指标。净化政治生态，以政法队伍教育整顿为契机，制定“6+N+n”顽瘴痼疾整治方案，健全执法司法制约监督长效机制。严格落实“三个规定”，筑牢拒腐防变制度堤坝。深入开展“以案为鉴、以案促改”警示教育，引导检察人员存戒惧、守底线。创新检务督察机制，常态化开展业务督察、政务督察，促进各项工作规范高效。</w:t>
      </w:r>
    </w:p>
    <w:p>
      <w:pPr>
        <w:tabs>
          <w:tab w:val="left" w:pos="312"/>
        </w:tabs>
        <w:autoSpaceDN w:val="0"/>
        <w:spacing w:line="600" w:lineRule="exact"/>
        <w:ind w:left="585"/>
        <w:outlineLvl w:val="1"/>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4.可持续</w:t>
      </w:r>
      <w:r>
        <w:rPr>
          <w:rFonts w:ascii="仿宋_GB2312" w:hAnsi="宋体" w:eastAsia="仿宋_GB2312" w:cs="宋体"/>
          <w:color w:val="000000"/>
          <w:kern w:val="0"/>
          <w:sz w:val="32"/>
          <w:szCs w:val="32"/>
        </w:rPr>
        <w:t>性影响</w:t>
      </w:r>
    </w:p>
    <w:p>
      <w:pPr>
        <w:autoSpaceDN w:val="0"/>
        <w:spacing w:line="600" w:lineRule="exact"/>
        <w:ind w:firstLine="640" w:firstLineChars="200"/>
        <w:rPr>
          <w:rFonts w:ascii="仿宋_GB2312" w:hAnsi="宋体" w:eastAsia="仿宋_GB2312" w:cs="宋体"/>
          <w:color w:val="000000"/>
          <w:kern w:val="0"/>
          <w:sz w:val="32"/>
          <w:szCs w:val="32"/>
        </w:rPr>
      </w:pPr>
      <w:r>
        <w:rPr>
          <w:rFonts w:hint="eastAsia" w:ascii="仿宋_GB2312" w:hAnsi="仿宋_GB2312" w:eastAsia="仿宋_GB2312" w:cs="仿宋_GB2312"/>
          <w:bCs/>
          <w:sz w:val="32"/>
          <w:szCs w:val="32"/>
        </w:rPr>
        <w:t>我院注重以政治建设为统领，始终坚持党对检察工作的绝对领导，自觉融入全区经济社会发展大局，持续提高服务保障的针对性和实效性。我院注重改革与时代发展相结合，务实唯新、蹄疾步稳，推动各项改革在叠加运行中实现衔接配套和落地落实。我院注重检察工作规律，推动司法办案与检察监督、案件办理与案件管理、检察权与司法行政事务权的“三个适当分离”，以科学管理助推检察工作现代化。我院注重以人为本，坚持严管厚爱，着力提升专业化能力，以一流的素质能力打造一流检察队伍。202</w:t>
      </w:r>
      <w:r>
        <w:rPr>
          <w:rFonts w:hint="eastAsia" w:ascii="仿宋_GB2312" w:hAnsi="仿宋_GB2312" w:eastAsia="仿宋_GB2312" w:cs="仿宋_GB2312"/>
          <w:bCs/>
          <w:sz w:val="32"/>
          <w:szCs w:val="32"/>
          <w:lang w:val="en-US" w:eastAsia="zh-CN"/>
        </w:rPr>
        <w:t>2</w:t>
      </w:r>
      <w:r>
        <w:rPr>
          <w:rFonts w:hint="eastAsia" w:ascii="仿宋_GB2312" w:hAnsi="仿宋_GB2312" w:eastAsia="仿宋_GB2312" w:cs="仿宋_GB2312"/>
          <w:bCs/>
          <w:sz w:val="32"/>
          <w:szCs w:val="32"/>
        </w:rPr>
        <w:t>年部门整体预算的实施保障各项检察业务工作的正常开展，各类经常性支</w:t>
      </w:r>
      <w:r>
        <w:rPr>
          <w:rFonts w:hint="eastAsia" w:ascii="仿宋_GB2312" w:hAnsi="宋体" w:eastAsia="仿宋_GB2312" w:cs="宋体"/>
          <w:color w:val="000000"/>
          <w:kern w:val="0"/>
          <w:sz w:val="32"/>
          <w:szCs w:val="32"/>
        </w:rPr>
        <w:t>出项目成为可持续的一项工作。</w:t>
      </w:r>
    </w:p>
    <w:p>
      <w:pPr>
        <w:tabs>
          <w:tab w:val="left" w:pos="312"/>
        </w:tabs>
        <w:autoSpaceDN w:val="0"/>
        <w:spacing w:line="600" w:lineRule="exact"/>
        <w:ind w:left="585"/>
        <w:outlineLvl w:val="1"/>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5.服务对象</w:t>
      </w:r>
      <w:r>
        <w:rPr>
          <w:rFonts w:ascii="仿宋_GB2312" w:hAnsi="宋体" w:eastAsia="仿宋_GB2312" w:cs="宋体"/>
          <w:color w:val="000000"/>
          <w:kern w:val="0"/>
          <w:sz w:val="32"/>
          <w:szCs w:val="32"/>
        </w:rPr>
        <w:t>满意度</w:t>
      </w:r>
    </w:p>
    <w:p>
      <w:pPr>
        <w:autoSpaceDN w:val="0"/>
        <w:spacing w:line="600" w:lineRule="exact"/>
        <w:ind w:firstLine="640" w:firstLineChars="200"/>
        <w:rPr>
          <w:rFonts w:ascii="仿宋_GB2312" w:hAnsi="宋体" w:eastAsia="仿宋_GB2312" w:cs="宋体"/>
          <w:color w:val="000000"/>
          <w:kern w:val="0"/>
          <w:sz w:val="32"/>
          <w:szCs w:val="32"/>
        </w:rPr>
      </w:pPr>
      <w:r>
        <w:rPr>
          <w:rFonts w:hint="eastAsia" w:ascii="仿宋_GB2312" w:hAnsi="仿宋_GB2312" w:eastAsia="仿宋_GB2312" w:cs="仿宋_GB2312"/>
          <w:bCs/>
          <w:sz w:val="32"/>
          <w:szCs w:val="32"/>
        </w:rPr>
        <w:t>202</w:t>
      </w:r>
      <w:r>
        <w:rPr>
          <w:rFonts w:hint="eastAsia" w:ascii="仿宋_GB2312" w:hAnsi="仿宋_GB2312" w:eastAsia="仿宋_GB2312" w:cs="仿宋_GB2312"/>
          <w:bCs/>
          <w:sz w:val="32"/>
          <w:szCs w:val="32"/>
          <w:lang w:val="en-US" w:eastAsia="zh-CN"/>
        </w:rPr>
        <w:t>2</w:t>
      </w:r>
      <w:r>
        <w:rPr>
          <w:rFonts w:hint="eastAsia" w:ascii="仿宋_GB2312" w:hAnsi="仿宋_GB2312" w:eastAsia="仿宋_GB2312" w:cs="仿宋_GB2312"/>
          <w:bCs/>
          <w:sz w:val="32"/>
          <w:szCs w:val="32"/>
        </w:rPr>
        <w:t>年部门整体预算的实施，各</w:t>
      </w:r>
      <w:r>
        <w:rPr>
          <w:rFonts w:hint="eastAsia" w:ascii="仿宋_GB2312" w:hAnsi="宋体" w:eastAsia="仿宋_GB2312" w:cs="宋体"/>
          <w:color w:val="000000"/>
          <w:kern w:val="0"/>
          <w:sz w:val="32"/>
          <w:szCs w:val="32"/>
        </w:rPr>
        <w:t>项目均依照既定目标完成了服务。引入科学的管理方法论，建立系统的、规范的、科学的质量保证体系。各项目执行过程中，</w:t>
      </w:r>
      <w:r>
        <w:rPr>
          <w:rFonts w:hint="eastAsia" w:ascii="仿宋_GB2312" w:hAnsi="仿宋_GB2312" w:eastAsia="仿宋_GB2312" w:cs="仿宋_GB2312"/>
          <w:bCs/>
          <w:sz w:val="32"/>
          <w:szCs w:val="32"/>
        </w:rPr>
        <w:t>我院践行“以人民为中心”的司法理念，竭尽全力为人民司法、为百姓服务，以实际行动诠释为民初心。我院注重以人为本，坚持严管厚爱，着力提升专业化能力，以一流的素质能力打造一流检察队伍。202</w:t>
      </w:r>
      <w:r>
        <w:rPr>
          <w:rFonts w:hint="eastAsia" w:ascii="仿宋_GB2312" w:hAnsi="仿宋_GB2312" w:eastAsia="仿宋_GB2312" w:cs="仿宋_GB2312"/>
          <w:bCs/>
          <w:sz w:val="32"/>
          <w:szCs w:val="32"/>
          <w:lang w:val="en-US" w:eastAsia="zh-CN"/>
        </w:rPr>
        <w:t>2</w:t>
      </w:r>
      <w:r>
        <w:rPr>
          <w:rFonts w:hint="eastAsia" w:ascii="仿宋_GB2312" w:hAnsi="仿宋_GB2312" w:eastAsia="仿宋_GB2312" w:cs="仿宋_GB2312"/>
          <w:bCs/>
          <w:sz w:val="32"/>
          <w:szCs w:val="32"/>
        </w:rPr>
        <w:t>年预算的实施</w:t>
      </w:r>
      <w:r>
        <w:rPr>
          <w:rFonts w:hint="eastAsia" w:ascii="仿宋_GB2312" w:hAnsi="宋体" w:eastAsia="仿宋_GB2312" w:cs="宋体"/>
          <w:color w:val="000000"/>
          <w:kern w:val="0"/>
          <w:sz w:val="32"/>
          <w:szCs w:val="32"/>
        </w:rPr>
        <w:t>为我院业务的正常运行提供可靠的资金保障。人民群众对检察业务工作满意度均在90%以上；干警对项目服务满意度均不低于95%。</w:t>
      </w:r>
    </w:p>
    <w:p>
      <w:pPr>
        <w:autoSpaceDN w:val="0"/>
        <w:spacing w:line="600" w:lineRule="exact"/>
        <w:ind w:left="105" w:leftChars="50" w:firstLine="480" w:firstLineChars="150"/>
        <w:outlineLvl w:val="0"/>
        <w:rPr>
          <w:rFonts w:ascii="黑体" w:hAnsi="黑体" w:eastAsia="黑体" w:cs="宋体"/>
          <w:color w:val="000000"/>
          <w:kern w:val="0"/>
          <w:sz w:val="32"/>
          <w:szCs w:val="32"/>
        </w:rPr>
      </w:pPr>
      <w:r>
        <w:rPr>
          <w:rFonts w:hint="eastAsia" w:ascii="黑体" w:hAnsi="黑体" w:eastAsia="黑体" w:cs="宋体"/>
          <w:color w:val="000000"/>
          <w:kern w:val="0"/>
          <w:sz w:val="32"/>
          <w:szCs w:val="32"/>
        </w:rPr>
        <w:t>四</w:t>
      </w:r>
      <w:r>
        <w:rPr>
          <w:rFonts w:ascii="黑体" w:hAnsi="黑体" w:eastAsia="黑体" w:cs="宋体"/>
          <w:color w:val="000000"/>
          <w:kern w:val="0"/>
          <w:sz w:val="32"/>
          <w:szCs w:val="32"/>
        </w:rPr>
        <w:t>、预算管理</w:t>
      </w:r>
      <w:r>
        <w:rPr>
          <w:rFonts w:hint="eastAsia" w:ascii="黑体" w:hAnsi="黑体" w:eastAsia="黑体" w:cs="宋体"/>
          <w:color w:val="000000"/>
          <w:kern w:val="0"/>
          <w:sz w:val="32"/>
          <w:szCs w:val="32"/>
        </w:rPr>
        <w:t>情况分</w:t>
      </w:r>
      <w:r>
        <w:rPr>
          <w:rFonts w:ascii="黑体" w:hAnsi="黑体" w:eastAsia="黑体" w:cs="宋体"/>
          <w:color w:val="000000"/>
          <w:kern w:val="0"/>
          <w:sz w:val="32"/>
          <w:szCs w:val="32"/>
        </w:rPr>
        <w:t>析</w:t>
      </w:r>
    </w:p>
    <w:p>
      <w:pPr>
        <w:autoSpaceDN w:val="0"/>
        <w:spacing w:line="600" w:lineRule="exact"/>
        <w:ind w:left="105" w:leftChars="50" w:firstLine="480" w:firstLineChars="150"/>
        <w:rPr>
          <w:rFonts w:ascii="楷体_GB2312" w:eastAsia="楷体_GB2312"/>
          <w:sz w:val="32"/>
          <w:szCs w:val="32"/>
        </w:rPr>
      </w:pPr>
      <w:r>
        <w:rPr>
          <w:rFonts w:hint="eastAsia" w:ascii="楷体_GB2312" w:eastAsia="楷体_GB2312"/>
          <w:sz w:val="32"/>
          <w:szCs w:val="32"/>
        </w:rPr>
        <w:t>（一）财务管理</w:t>
      </w:r>
    </w:p>
    <w:p>
      <w:pPr>
        <w:autoSpaceDN w:val="0"/>
        <w:spacing w:line="600" w:lineRule="exact"/>
        <w:ind w:left="105" w:leftChars="50" w:firstLine="480" w:firstLineChars="150"/>
        <w:outlineLvl w:val="1"/>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1.财务</w:t>
      </w:r>
      <w:r>
        <w:rPr>
          <w:rFonts w:ascii="仿宋_GB2312" w:hAnsi="宋体" w:eastAsia="仿宋_GB2312" w:cs="宋体"/>
          <w:color w:val="000000"/>
          <w:kern w:val="0"/>
          <w:sz w:val="32"/>
          <w:szCs w:val="32"/>
        </w:rPr>
        <w:t>管理制度健全性</w:t>
      </w:r>
    </w:p>
    <w:p>
      <w:pPr>
        <w:autoSpaceDN w:val="0"/>
        <w:spacing w:line="60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我院制定了《北京市海淀区人民检察院内部控制手册》等一系列财务管理制度。</w:t>
      </w:r>
    </w:p>
    <w:p>
      <w:pPr>
        <w:autoSpaceDN w:val="0"/>
        <w:spacing w:line="600" w:lineRule="exact"/>
        <w:ind w:left="105" w:leftChars="50" w:firstLine="480" w:firstLineChars="150"/>
        <w:outlineLvl w:val="1"/>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2.资金使用合规性</w:t>
      </w:r>
      <w:r>
        <w:rPr>
          <w:rFonts w:ascii="仿宋_GB2312" w:hAnsi="宋体" w:eastAsia="仿宋_GB2312" w:cs="宋体"/>
          <w:color w:val="000000"/>
          <w:kern w:val="0"/>
          <w:sz w:val="32"/>
          <w:szCs w:val="32"/>
        </w:rPr>
        <w:t>和安全性</w:t>
      </w:r>
    </w:p>
    <w:p>
      <w:pPr>
        <w:autoSpaceDN w:val="0"/>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highlight w:val="none"/>
        </w:rPr>
        <w:t>项目全年预算数为</w:t>
      </w:r>
      <w:r>
        <w:rPr>
          <w:rFonts w:hint="eastAsia" w:ascii="仿宋_GB2312" w:hAnsi="宋体" w:eastAsia="仿宋_GB2312" w:cs="宋体"/>
          <w:color w:val="000000"/>
          <w:kern w:val="0"/>
          <w:sz w:val="32"/>
          <w:szCs w:val="32"/>
          <w:highlight w:val="none"/>
          <w:lang w:val="en-US" w:eastAsia="zh-CN"/>
        </w:rPr>
        <w:t>20,733.55</w:t>
      </w:r>
      <w:r>
        <w:rPr>
          <w:rFonts w:hint="eastAsia" w:ascii="仿宋_GB2312" w:hAnsi="宋体" w:eastAsia="仿宋_GB2312" w:cs="宋体"/>
          <w:color w:val="000000"/>
          <w:kern w:val="0"/>
          <w:sz w:val="32"/>
          <w:szCs w:val="32"/>
          <w:highlight w:val="none"/>
        </w:rPr>
        <w:t>万元，截至202</w:t>
      </w:r>
      <w:r>
        <w:rPr>
          <w:rFonts w:hint="eastAsia" w:ascii="仿宋_GB2312" w:hAnsi="宋体" w:eastAsia="仿宋_GB2312" w:cs="宋体"/>
          <w:color w:val="000000"/>
          <w:kern w:val="0"/>
          <w:sz w:val="32"/>
          <w:szCs w:val="32"/>
          <w:highlight w:val="none"/>
          <w:lang w:val="en-US" w:eastAsia="zh-CN"/>
        </w:rPr>
        <w:t>2</w:t>
      </w:r>
      <w:r>
        <w:rPr>
          <w:rFonts w:hint="eastAsia" w:ascii="仿宋_GB2312" w:hAnsi="宋体" w:eastAsia="仿宋_GB2312" w:cs="宋体"/>
          <w:color w:val="000000"/>
          <w:kern w:val="0"/>
          <w:sz w:val="32"/>
          <w:szCs w:val="32"/>
          <w:highlight w:val="none"/>
        </w:rPr>
        <w:t>年12月31日，</w:t>
      </w:r>
      <w:r>
        <w:rPr>
          <w:rFonts w:hint="eastAsia" w:ascii="仿宋_GB2312" w:hAnsi="宋体" w:eastAsia="仿宋_GB2312" w:cs="宋体"/>
          <w:color w:val="000000"/>
          <w:kern w:val="0"/>
          <w:sz w:val="32"/>
          <w:szCs w:val="32"/>
        </w:rPr>
        <w:t>项目资金共计支出</w:t>
      </w:r>
      <w:r>
        <w:rPr>
          <w:rFonts w:hint="eastAsia" w:ascii="仿宋_GB2312" w:hAnsi="宋体" w:eastAsia="仿宋_GB2312" w:cs="宋体"/>
          <w:color w:val="000000"/>
          <w:kern w:val="0"/>
          <w:sz w:val="32"/>
          <w:szCs w:val="32"/>
          <w:highlight w:val="none"/>
        </w:rPr>
        <w:t>20</w:t>
      </w:r>
      <w:r>
        <w:rPr>
          <w:rFonts w:ascii="仿宋_GB2312" w:hAnsi="宋体" w:eastAsia="仿宋_GB2312" w:cs="宋体"/>
          <w:color w:val="000000"/>
          <w:kern w:val="0"/>
          <w:sz w:val="32"/>
          <w:szCs w:val="32"/>
          <w:highlight w:val="none"/>
        </w:rPr>
        <w:t>,</w:t>
      </w:r>
      <w:r>
        <w:rPr>
          <w:rFonts w:hint="eastAsia" w:ascii="仿宋_GB2312" w:hAnsi="宋体" w:eastAsia="仿宋_GB2312" w:cs="宋体"/>
          <w:color w:val="000000"/>
          <w:kern w:val="0"/>
          <w:sz w:val="32"/>
          <w:szCs w:val="32"/>
          <w:highlight w:val="none"/>
        </w:rPr>
        <w:t>582</w:t>
      </w:r>
      <w:r>
        <w:rPr>
          <w:rFonts w:hint="eastAsia" w:ascii="仿宋_GB2312" w:hAnsi="宋体" w:eastAsia="仿宋_GB2312" w:cs="宋体"/>
          <w:color w:val="000000"/>
          <w:kern w:val="0"/>
          <w:sz w:val="32"/>
          <w:szCs w:val="32"/>
          <w:highlight w:val="none"/>
          <w:lang w:val="en-US" w:eastAsia="zh-CN"/>
        </w:rPr>
        <w:t>.</w:t>
      </w:r>
      <w:r>
        <w:rPr>
          <w:rFonts w:hint="eastAsia" w:ascii="仿宋_GB2312" w:hAnsi="宋体" w:eastAsia="仿宋_GB2312" w:cs="宋体"/>
          <w:color w:val="000000"/>
          <w:kern w:val="0"/>
          <w:sz w:val="32"/>
          <w:szCs w:val="32"/>
          <w:highlight w:val="none"/>
        </w:rPr>
        <w:t>1</w:t>
      </w:r>
      <w:r>
        <w:rPr>
          <w:rFonts w:hint="eastAsia" w:ascii="仿宋_GB2312" w:hAnsi="宋体" w:eastAsia="仿宋_GB2312" w:cs="宋体"/>
          <w:color w:val="000000"/>
          <w:kern w:val="0"/>
          <w:sz w:val="32"/>
          <w:szCs w:val="32"/>
          <w:highlight w:val="none"/>
          <w:lang w:val="en-US" w:eastAsia="zh-CN"/>
        </w:rPr>
        <w:t>6</w:t>
      </w:r>
      <w:r>
        <w:rPr>
          <w:rFonts w:hint="eastAsia" w:ascii="仿宋_GB2312" w:hAnsi="宋体" w:eastAsia="仿宋_GB2312" w:cs="宋体"/>
          <w:color w:val="000000"/>
          <w:kern w:val="0"/>
          <w:sz w:val="32"/>
          <w:szCs w:val="32"/>
        </w:rPr>
        <w:t>万元，严格按照预算执行，预算执行率</w:t>
      </w:r>
      <w:r>
        <w:rPr>
          <w:rFonts w:hint="eastAsia" w:ascii="仿宋_GB2312" w:hAnsi="宋体" w:eastAsia="仿宋_GB2312" w:cs="宋体"/>
          <w:color w:val="000000"/>
          <w:kern w:val="0"/>
          <w:sz w:val="32"/>
          <w:szCs w:val="32"/>
          <w:highlight w:val="none"/>
          <w:lang w:val="en-US" w:eastAsia="zh-CN"/>
        </w:rPr>
        <w:t>99.27</w:t>
      </w:r>
      <w:r>
        <w:rPr>
          <w:rFonts w:hint="eastAsia" w:ascii="仿宋_GB2312" w:hAnsi="宋体" w:eastAsia="仿宋_GB2312" w:cs="宋体"/>
          <w:color w:val="000000"/>
          <w:kern w:val="0"/>
          <w:sz w:val="32"/>
          <w:szCs w:val="32"/>
        </w:rPr>
        <w:t>%。</w:t>
      </w:r>
    </w:p>
    <w:p>
      <w:pPr>
        <w:autoSpaceDN w:val="0"/>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为了进一步规范和加强项目经费的管理、规范权力运行、推进廉政建设，保障资金安全、高效运行，提高资金使用效益，根据院党组关于党风廉政建设的部署要求，结合市级有关部门出台的一系列财经法规和制度，办公室（行政事务管理部）以经济业务活动为切入点，对检务保障工作进行了全面梳理，形成了涵盖“三重一大”决策制度、预算管理制度、财务管理制度、经费支出管理制度、采购管理制度、资产管理制度、合同管理制度、外包服务人员管理制度、风险防控制度等内部控制制度体系，我院制定了《北京市海淀区人民检察院内部控制手册》。加强资金使用的过程管理具体体现在：</w:t>
      </w:r>
    </w:p>
    <w:p>
      <w:pPr>
        <w:autoSpaceDN w:val="0"/>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（1）财务审批权限：金额在500.00元以下的由办公室（行政事务管理部）负责人审批；金额50,000.00元以上的需报党组会集体讨论决定，按审批权限签字，严禁未批先报。</w:t>
      </w:r>
    </w:p>
    <w:p>
      <w:pPr>
        <w:autoSpaceDN w:val="0"/>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2）大额资金列入年度预算项目，严格执行预算标准、预算进度。对大额资金支出的使用需实行“党组会集体讨论决定”制度。资金需求部门填写工作请示报告，经分管领导审批同意后，由党组会集体讨论决定。根据谁审批谁负责的原则，明确审批责任人、审批权限及其他人员的工作程序和职责。</w:t>
      </w:r>
    </w:p>
    <w:p>
      <w:pPr>
        <w:autoSpaceDN w:val="0"/>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（3）单项或批量金额大于100.00万（含）且小于400.00万元的依据采购法确定采购方式。</w:t>
      </w:r>
    </w:p>
    <w:p>
      <w:pPr>
        <w:autoSpaceDN w:val="0"/>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（4）大额专项资金必须专款专用，严禁在申请资金过程中弄虚作假、套取大额专项资金的行为。</w:t>
      </w:r>
    </w:p>
    <w:p>
      <w:pPr>
        <w:autoSpaceDN w:val="0"/>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评价认为，项目资金到位率100.00%，严格按照预算执行，预算执行率</w:t>
      </w:r>
      <w:r>
        <w:rPr>
          <w:rFonts w:hint="eastAsia" w:ascii="仿宋_GB2312" w:hAnsi="宋体" w:eastAsia="仿宋_GB2312" w:cs="宋体"/>
          <w:color w:val="000000"/>
          <w:kern w:val="0"/>
          <w:sz w:val="32"/>
          <w:szCs w:val="32"/>
          <w:highlight w:val="none"/>
          <w:lang w:val="en-US" w:eastAsia="zh-CN"/>
        </w:rPr>
        <w:t>99.27</w:t>
      </w:r>
      <w:r>
        <w:rPr>
          <w:rFonts w:hint="eastAsia" w:ascii="仿宋_GB2312" w:hAnsi="宋体" w:eastAsia="仿宋_GB2312" w:cs="宋体"/>
          <w:color w:val="000000"/>
          <w:kern w:val="0"/>
          <w:sz w:val="32"/>
          <w:szCs w:val="32"/>
        </w:rPr>
        <w:t>%。资金的拨付和使用有完整的审批程序和手续，支出审批单、发票、合同、会议纪要、验收单等附件齐全。资金支出符合项目预算批复且严格按照合同规定执行。资金管理制度基本完善，财务记账完整规范，未发现资金挪用、截留等严重违规情况。</w:t>
      </w:r>
    </w:p>
    <w:p>
      <w:pPr>
        <w:autoSpaceDN w:val="0"/>
        <w:spacing w:line="600" w:lineRule="exact"/>
        <w:ind w:left="420" w:leftChars="200"/>
        <w:outlineLvl w:val="1"/>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3.会计</w:t>
      </w:r>
      <w:r>
        <w:rPr>
          <w:rFonts w:ascii="仿宋_GB2312" w:hAnsi="宋体" w:eastAsia="仿宋_GB2312" w:cs="宋体"/>
          <w:color w:val="000000"/>
          <w:kern w:val="0"/>
          <w:sz w:val="32"/>
          <w:szCs w:val="32"/>
        </w:rPr>
        <w:t>基础信息完善性</w:t>
      </w:r>
    </w:p>
    <w:p>
      <w:pPr>
        <w:autoSpaceDN w:val="0"/>
        <w:spacing w:line="60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为保证会计</w:t>
      </w:r>
      <w:r>
        <w:rPr>
          <w:rFonts w:ascii="仿宋_GB2312" w:hAnsi="宋体" w:eastAsia="仿宋_GB2312" w:cs="宋体"/>
          <w:color w:val="000000"/>
          <w:kern w:val="0"/>
          <w:sz w:val="32"/>
          <w:szCs w:val="32"/>
        </w:rPr>
        <w:t>基础信息</w:t>
      </w:r>
      <w:r>
        <w:rPr>
          <w:rFonts w:hint="eastAsia" w:ascii="仿宋_GB2312" w:hAnsi="宋体" w:eastAsia="仿宋_GB2312" w:cs="宋体"/>
          <w:color w:val="000000"/>
          <w:kern w:val="0"/>
          <w:sz w:val="32"/>
          <w:szCs w:val="32"/>
        </w:rPr>
        <w:t>的</w:t>
      </w:r>
      <w:r>
        <w:rPr>
          <w:rFonts w:ascii="仿宋_GB2312" w:hAnsi="宋体" w:eastAsia="仿宋_GB2312" w:cs="宋体"/>
          <w:color w:val="000000"/>
          <w:kern w:val="0"/>
          <w:sz w:val="32"/>
          <w:szCs w:val="32"/>
        </w:rPr>
        <w:t>完善性</w:t>
      </w:r>
      <w:r>
        <w:rPr>
          <w:rFonts w:hint="eastAsia" w:ascii="仿宋_GB2312" w:hAnsi="宋体" w:eastAsia="仿宋_GB2312" w:cs="宋体"/>
          <w:color w:val="000000"/>
          <w:kern w:val="0"/>
          <w:sz w:val="32"/>
          <w:szCs w:val="32"/>
        </w:rPr>
        <w:t>，我院加强财会队伍建设，提高会计人员的综合素质；加强会计凭证的审核与监督，从源头上保证会计信息真实、准确、完整；严肃财经记录，加大执法力度。</w:t>
      </w:r>
    </w:p>
    <w:p>
      <w:pPr>
        <w:autoSpaceDN w:val="0"/>
        <w:spacing w:line="600" w:lineRule="exact"/>
        <w:ind w:left="105" w:leftChars="50" w:firstLine="480" w:firstLineChars="150"/>
        <w:rPr>
          <w:rFonts w:ascii="楷体_GB2312" w:eastAsia="楷体_GB2312"/>
          <w:sz w:val="32"/>
          <w:szCs w:val="32"/>
        </w:rPr>
      </w:pPr>
      <w:r>
        <w:rPr>
          <w:rFonts w:hint="eastAsia" w:ascii="楷体_GB2312" w:eastAsia="楷体_GB2312"/>
          <w:sz w:val="32"/>
          <w:szCs w:val="32"/>
        </w:rPr>
        <w:t>（二）资产管理</w:t>
      </w:r>
    </w:p>
    <w:p>
      <w:pPr>
        <w:autoSpaceDN w:val="0"/>
        <w:spacing w:line="60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我院进一步加强资产的管理，明确了具体责任人，完善了固定资产管理，严格报批、销审等手续，做好资产登记工作，我院无任何资产流失现象。</w:t>
      </w:r>
    </w:p>
    <w:p>
      <w:pPr>
        <w:numPr>
          <w:ilvl w:val="0"/>
          <w:numId w:val="1"/>
        </w:numPr>
        <w:autoSpaceDN w:val="0"/>
        <w:spacing w:line="600" w:lineRule="exact"/>
        <w:ind w:firstLine="640" w:firstLineChars="200"/>
        <w:rPr>
          <w:rFonts w:ascii="楷体_GB2312" w:eastAsia="楷体_GB2312"/>
          <w:sz w:val="32"/>
          <w:szCs w:val="32"/>
        </w:rPr>
      </w:pPr>
      <w:r>
        <w:rPr>
          <w:rFonts w:hint="eastAsia" w:ascii="楷体_GB2312" w:eastAsia="楷体_GB2312"/>
          <w:sz w:val="32"/>
          <w:szCs w:val="32"/>
        </w:rPr>
        <w:t>绩效</w:t>
      </w:r>
      <w:r>
        <w:rPr>
          <w:rFonts w:ascii="楷体_GB2312" w:eastAsia="楷体_GB2312"/>
          <w:sz w:val="32"/>
          <w:szCs w:val="32"/>
        </w:rPr>
        <w:t>管理</w:t>
      </w:r>
    </w:p>
    <w:p>
      <w:pPr>
        <w:autoSpaceDN w:val="0"/>
        <w:spacing w:line="60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我院建立科学、合理的部门支出绩效评价管理体系，提高财政资金使用效益。我院部门支出绩效评价依据设定的绩效目标，运用科学、合理的绩效评价指标、评价标准和评价方法，对部门支出的经济性、效率性、效益性和公平性以及预算资金的投入、使用过程、产出和效果进行客观、公正的测量、分析和评判进一步加强预算绩效管理。</w:t>
      </w:r>
    </w:p>
    <w:p>
      <w:pPr>
        <w:autoSpaceDN w:val="0"/>
        <w:spacing w:line="600" w:lineRule="exact"/>
        <w:ind w:left="105" w:leftChars="50" w:firstLine="480" w:firstLineChars="150"/>
        <w:rPr>
          <w:rFonts w:ascii="楷体_GB2312" w:eastAsia="楷体_GB2312"/>
          <w:sz w:val="32"/>
          <w:szCs w:val="32"/>
        </w:rPr>
      </w:pPr>
      <w:r>
        <w:rPr>
          <w:rFonts w:hint="eastAsia" w:ascii="楷体_GB2312" w:eastAsia="楷体_GB2312"/>
          <w:sz w:val="32"/>
          <w:szCs w:val="32"/>
        </w:rPr>
        <w:t>（四）结转结余率</w:t>
      </w:r>
    </w:p>
    <w:p>
      <w:pPr>
        <w:autoSpaceDN w:val="0"/>
        <w:spacing w:line="600" w:lineRule="exact"/>
        <w:ind w:left="105" w:leftChars="50" w:firstLine="480" w:firstLineChars="150"/>
        <w:rPr>
          <w:rFonts w:hint="eastAsia"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highlight w:val="none"/>
        </w:rPr>
        <w:t>202</w:t>
      </w:r>
      <w:r>
        <w:rPr>
          <w:rFonts w:hint="eastAsia" w:ascii="仿宋_GB2312" w:hAnsi="宋体" w:eastAsia="仿宋_GB2312" w:cs="宋体"/>
          <w:color w:val="000000"/>
          <w:kern w:val="0"/>
          <w:sz w:val="32"/>
          <w:szCs w:val="32"/>
          <w:highlight w:val="none"/>
          <w:lang w:val="en-US" w:eastAsia="zh-CN"/>
        </w:rPr>
        <w:t>2</w:t>
      </w:r>
      <w:r>
        <w:rPr>
          <w:rFonts w:hint="eastAsia" w:ascii="仿宋_GB2312" w:hAnsi="宋体" w:eastAsia="仿宋_GB2312" w:cs="宋体"/>
          <w:color w:val="000000"/>
          <w:kern w:val="0"/>
          <w:sz w:val="32"/>
          <w:szCs w:val="32"/>
          <w:highlight w:val="none"/>
        </w:rPr>
        <w:t>年结转结余资金总额为151</w:t>
      </w:r>
      <w:r>
        <w:rPr>
          <w:rFonts w:hint="eastAsia" w:ascii="仿宋_GB2312" w:hAnsi="宋体" w:eastAsia="仿宋_GB2312" w:cs="宋体"/>
          <w:color w:val="000000"/>
          <w:kern w:val="0"/>
          <w:sz w:val="32"/>
          <w:szCs w:val="32"/>
          <w:highlight w:val="none"/>
          <w:lang w:val="en-US" w:eastAsia="zh-CN"/>
        </w:rPr>
        <w:t>.</w:t>
      </w:r>
      <w:r>
        <w:rPr>
          <w:rFonts w:hint="eastAsia" w:ascii="仿宋_GB2312" w:hAnsi="宋体" w:eastAsia="仿宋_GB2312" w:cs="宋体"/>
          <w:color w:val="000000"/>
          <w:kern w:val="0"/>
          <w:sz w:val="32"/>
          <w:szCs w:val="32"/>
          <w:highlight w:val="none"/>
        </w:rPr>
        <w:t>39万元，项目</w:t>
      </w:r>
      <w:r>
        <w:rPr>
          <w:rFonts w:hint="eastAsia" w:ascii="仿宋_GB2312" w:hAnsi="宋体" w:eastAsia="仿宋_GB2312" w:cs="宋体"/>
          <w:color w:val="000000"/>
          <w:kern w:val="0"/>
          <w:sz w:val="32"/>
          <w:szCs w:val="32"/>
          <w:highlight w:val="none"/>
          <w:lang w:val="en-US" w:eastAsia="zh-CN"/>
        </w:rPr>
        <w:t>支出</w:t>
      </w:r>
      <w:r>
        <w:rPr>
          <w:rFonts w:hint="eastAsia" w:ascii="仿宋_GB2312" w:hAnsi="宋体" w:eastAsia="仿宋_GB2312" w:cs="宋体"/>
          <w:color w:val="000000"/>
          <w:kern w:val="0"/>
          <w:sz w:val="32"/>
          <w:szCs w:val="32"/>
          <w:highlight w:val="none"/>
        </w:rPr>
        <w:t>预算数为</w:t>
      </w:r>
      <w:r>
        <w:rPr>
          <w:rFonts w:hint="eastAsia" w:ascii="仿宋_GB2312" w:hAnsi="宋体" w:eastAsia="仿宋_GB2312" w:cs="宋体"/>
          <w:color w:val="000000"/>
          <w:kern w:val="0"/>
          <w:sz w:val="32"/>
          <w:szCs w:val="32"/>
          <w:highlight w:val="none"/>
          <w:lang w:val="en-US" w:eastAsia="zh-CN"/>
        </w:rPr>
        <w:t>20,733.55</w:t>
      </w:r>
      <w:r>
        <w:rPr>
          <w:rFonts w:hint="eastAsia" w:ascii="仿宋_GB2312" w:hAnsi="宋体" w:eastAsia="仿宋_GB2312" w:cs="宋体"/>
          <w:color w:val="000000"/>
          <w:kern w:val="0"/>
          <w:sz w:val="32"/>
          <w:szCs w:val="32"/>
          <w:highlight w:val="none"/>
        </w:rPr>
        <w:t>万元，结转结余率为</w:t>
      </w:r>
      <w:r>
        <w:rPr>
          <w:rFonts w:hint="eastAsia" w:ascii="仿宋_GB2312" w:hAnsi="宋体" w:eastAsia="仿宋_GB2312" w:cs="宋体"/>
          <w:color w:val="000000"/>
          <w:kern w:val="0"/>
          <w:sz w:val="32"/>
          <w:szCs w:val="32"/>
          <w:highlight w:val="none"/>
          <w:lang w:val="en-US" w:eastAsia="zh-CN"/>
        </w:rPr>
        <w:t>0.73</w:t>
      </w:r>
      <w:r>
        <w:rPr>
          <w:rFonts w:hint="eastAsia" w:ascii="仿宋_GB2312" w:hAnsi="宋体" w:eastAsia="仿宋_GB2312" w:cs="宋体"/>
          <w:color w:val="000000"/>
          <w:kern w:val="0"/>
          <w:sz w:val="32"/>
          <w:szCs w:val="32"/>
          <w:highlight w:val="none"/>
        </w:rPr>
        <w:t>%。</w:t>
      </w:r>
    </w:p>
    <w:p>
      <w:pPr>
        <w:autoSpaceDN w:val="0"/>
        <w:spacing w:line="600" w:lineRule="exact"/>
        <w:ind w:left="105" w:leftChars="50" w:firstLine="480" w:firstLineChars="150"/>
        <w:rPr>
          <w:rFonts w:ascii="楷体_GB2312" w:eastAsia="楷体_GB2312"/>
          <w:sz w:val="32"/>
          <w:szCs w:val="32"/>
        </w:rPr>
      </w:pPr>
      <w:r>
        <w:rPr>
          <w:rFonts w:hint="eastAsia" w:ascii="楷体_GB2312" w:eastAsia="楷体_GB2312"/>
          <w:sz w:val="32"/>
          <w:szCs w:val="32"/>
        </w:rPr>
        <w:t>（五）部门</w:t>
      </w:r>
      <w:r>
        <w:rPr>
          <w:rFonts w:ascii="楷体_GB2312" w:eastAsia="楷体_GB2312"/>
          <w:sz w:val="32"/>
          <w:szCs w:val="32"/>
        </w:rPr>
        <w:t>预决算差异率</w:t>
      </w:r>
    </w:p>
    <w:p>
      <w:pPr>
        <w:autoSpaceDN w:val="0"/>
        <w:spacing w:line="600" w:lineRule="exact"/>
        <w:ind w:firstLine="640" w:firstLineChars="200"/>
        <w:rPr>
          <w:rFonts w:hint="eastAsia"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highlight w:val="none"/>
        </w:rPr>
        <w:t>202</w:t>
      </w:r>
      <w:r>
        <w:rPr>
          <w:rFonts w:hint="eastAsia" w:ascii="仿宋_GB2312" w:hAnsi="宋体" w:eastAsia="仿宋_GB2312" w:cs="宋体"/>
          <w:color w:val="000000"/>
          <w:kern w:val="0"/>
          <w:sz w:val="32"/>
          <w:szCs w:val="32"/>
          <w:highlight w:val="none"/>
          <w:lang w:val="en-US" w:eastAsia="zh-CN"/>
        </w:rPr>
        <w:t>2</w:t>
      </w:r>
      <w:r>
        <w:rPr>
          <w:rFonts w:hint="eastAsia" w:ascii="仿宋_GB2312" w:hAnsi="宋体" w:eastAsia="仿宋_GB2312" w:cs="宋体"/>
          <w:color w:val="000000"/>
          <w:kern w:val="0"/>
          <w:sz w:val="32"/>
          <w:szCs w:val="32"/>
          <w:highlight w:val="none"/>
        </w:rPr>
        <w:t>年年初预算数21</w:t>
      </w:r>
      <w:r>
        <w:rPr>
          <w:rFonts w:hint="eastAsia" w:ascii="仿宋_GB2312" w:hAnsi="宋体" w:eastAsia="仿宋_GB2312" w:cs="宋体"/>
          <w:color w:val="000000"/>
          <w:kern w:val="0"/>
          <w:sz w:val="32"/>
          <w:szCs w:val="32"/>
          <w:highlight w:val="none"/>
          <w:lang w:val="en-US" w:eastAsia="zh-CN"/>
        </w:rPr>
        <w:t>,</w:t>
      </w:r>
      <w:r>
        <w:rPr>
          <w:rFonts w:hint="eastAsia" w:ascii="仿宋_GB2312" w:hAnsi="宋体" w:eastAsia="仿宋_GB2312" w:cs="宋体"/>
          <w:color w:val="000000"/>
          <w:kern w:val="0"/>
          <w:sz w:val="32"/>
          <w:szCs w:val="32"/>
          <w:highlight w:val="none"/>
        </w:rPr>
        <w:t>750</w:t>
      </w:r>
      <w:r>
        <w:rPr>
          <w:rFonts w:hint="eastAsia" w:ascii="仿宋_GB2312" w:hAnsi="宋体" w:eastAsia="仿宋_GB2312" w:cs="宋体"/>
          <w:color w:val="000000"/>
          <w:kern w:val="0"/>
          <w:sz w:val="32"/>
          <w:szCs w:val="32"/>
          <w:highlight w:val="none"/>
          <w:lang w:val="en-US" w:eastAsia="zh-CN"/>
        </w:rPr>
        <w:t>.</w:t>
      </w:r>
      <w:r>
        <w:rPr>
          <w:rFonts w:hint="eastAsia" w:ascii="仿宋_GB2312" w:hAnsi="宋体" w:eastAsia="仿宋_GB2312" w:cs="宋体"/>
          <w:color w:val="000000"/>
          <w:kern w:val="0"/>
          <w:sz w:val="32"/>
          <w:szCs w:val="32"/>
          <w:highlight w:val="none"/>
        </w:rPr>
        <w:t>21万元，全年预算数</w:t>
      </w:r>
      <w:r>
        <w:rPr>
          <w:rFonts w:hint="eastAsia" w:ascii="仿宋_GB2312" w:hAnsi="宋体" w:eastAsia="仿宋_GB2312" w:cs="宋体"/>
          <w:color w:val="000000"/>
          <w:kern w:val="0"/>
          <w:sz w:val="32"/>
          <w:szCs w:val="32"/>
          <w:highlight w:val="none"/>
          <w:lang w:val="en-US" w:eastAsia="zh-CN"/>
        </w:rPr>
        <w:t>20,733.55</w:t>
      </w:r>
      <w:r>
        <w:rPr>
          <w:rFonts w:hint="eastAsia" w:ascii="仿宋_GB2312" w:hAnsi="宋体" w:eastAsia="仿宋_GB2312" w:cs="宋体"/>
          <w:color w:val="000000"/>
          <w:kern w:val="0"/>
          <w:sz w:val="32"/>
          <w:szCs w:val="32"/>
          <w:highlight w:val="none"/>
        </w:rPr>
        <w:t>万元，资金总体支出20</w:t>
      </w:r>
      <w:r>
        <w:rPr>
          <w:rFonts w:ascii="仿宋_GB2312" w:hAnsi="宋体" w:eastAsia="仿宋_GB2312" w:cs="宋体"/>
          <w:color w:val="000000"/>
          <w:kern w:val="0"/>
          <w:sz w:val="32"/>
          <w:szCs w:val="32"/>
          <w:highlight w:val="none"/>
        </w:rPr>
        <w:t>,</w:t>
      </w:r>
      <w:r>
        <w:rPr>
          <w:rFonts w:hint="eastAsia" w:ascii="仿宋_GB2312" w:hAnsi="宋体" w:eastAsia="仿宋_GB2312" w:cs="宋体"/>
          <w:color w:val="000000"/>
          <w:kern w:val="0"/>
          <w:sz w:val="32"/>
          <w:szCs w:val="32"/>
          <w:highlight w:val="none"/>
        </w:rPr>
        <w:t>582</w:t>
      </w:r>
      <w:r>
        <w:rPr>
          <w:rFonts w:hint="eastAsia" w:ascii="仿宋_GB2312" w:hAnsi="宋体" w:eastAsia="仿宋_GB2312" w:cs="宋体"/>
          <w:color w:val="000000"/>
          <w:kern w:val="0"/>
          <w:sz w:val="32"/>
          <w:szCs w:val="32"/>
          <w:highlight w:val="none"/>
          <w:lang w:val="en-US" w:eastAsia="zh-CN"/>
        </w:rPr>
        <w:t>.</w:t>
      </w:r>
      <w:r>
        <w:rPr>
          <w:rFonts w:hint="eastAsia" w:ascii="仿宋_GB2312" w:hAnsi="宋体" w:eastAsia="仿宋_GB2312" w:cs="宋体"/>
          <w:color w:val="000000"/>
          <w:kern w:val="0"/>
          <w:sz w:val="32"/>
          <w:szCs w:val="32"/>
          <w:highlight w:val="none"/>
        </w:rPr>
        <w:t>1</w:t>
      </w:r>
      <w:r>
        <w:rPr>
          <w:rFonts w:hint="eastAsia" w:ascii="仿宋_GB2312" w:hAnsi="宋体" w:eastAsia="仿宋_GB2312" w:cs="宋体"/>
          <w:color w:val="000000"/>
          <w:kern w:val="0"/>
          <w:sz w:val="32"/>
          <w:szCs w:val="32"/>
          <w:highlight w:val="none"/>
          <w:lang w:val="en-US" w:eastAsia="zh-CN"/>
        </w:rPr>
        <w:t>6</w:t>
      </w:r>
      <w:r>
        <w:rPr>
          <w:rFonts w:hint="eastAsia" w:ascii="仿宋_GB2312" w:hAnsi="宋体" w:eastAsia="仿宋_GB2312" w:cs="宋体"/>
          <w:color w:val="000000"/>
          <w:kern w:val="0"/>
          <w:sz w:val="32"/>
          <w:szCs w:val="32"/>
          <w:highlight w:val="none"/>
        </w:rPr>
        <w:t>万元，预算执行率为</w:t>
      </w:r>
      <w:r>
        <w:rPr>
          <w:rFonts w:hint="eastAsia" w:ascii="仿宋_GB2312" w:hAnsi="宋体" w:eastAsia="仿宋_GB2312" w:cs="宋体"/>
          <w:color w:val="000000"/>
          <w:kern w:val="0"/>
          <w:sz w:val="32"/>
          <w:szCs w:val="32"/>
          <w:highlight w:val="none"/>
          <w:lang w:val="en-US" w:eastAsia="zh-CN"/>
        </w:rPr>
        <w:t>99.27</w:t>
      </w:r>
      <w:r>
        <w:rPr>
          <w:rFonts w:hint="eastAsia" w:ascii="仿宋_GB2312" w:hAnsi="宋体" w:eastAsia="仿宋_GB2312" w:cs="宋体"/>
          <w:color w:val="000000"/>
          <w:kern w:val="0"/>
          <w:sz w:val="32"/>
          <w:szCs w:val="32"/>
          <w:highlight w:val="none"/>
        </w:rPr>
        <w:t>%，预决算差异率为-</w:t>
      </w:r>
      <w:r>
        <w:rPr>
          <w:rFonts w:hint="eastAsia" w:ascii="仿宋_GB2312" w:hAnsi="宋体" w:eastAsia="仿宋_GB2312" w:cs="宋体"/>
          <w:color w:val="000000"/>
          <w:kern w:val="0"/>
          <w:sz w:val="32"/>
          <w:szCs w:val="32"/>
          <w:highlight w:val="none"/>
          <w:lang w:val="en-US" w:eastAsia="zh-CN"/>
        </w:rPr>
        <w:t>5.37</w:t>
      </w:r>
      <w:r>
        <w:rPr>
          <w:rFonts w:hint="eastAsia" w:ascii="仿宋_GB2312" w:hAnsi="宋体" w:eastAsia="仿宋_GB2312" w:cs="宋体"/>
          <w:color w:val="000000"/>
          <w:kern w:val="0"/>
          <w:sz w:val="32"/>
          <w:szCs w:val="32"/>
          <w:highlight w:val="none"/>
        </w:rPr>
        <w:t>%。</w:t>
      </w:r>
    </w:p>
    <w:p>
      <w:pPr>
        <w:autoSpaceDN w:val="0"/>
        <w:spacing w:line="600" w:lineRule="exact"/>
        <w:ind w:left="105" w:leftChars="50" w:firstLine="480" w:firstLineChars="150"/>
        <w:outlineLvl w:val="0"/>
        <w:rPr>
          <w:rFonts w:ascii="黑体" w:hAnsi="黑体" w:eastAsia="黑体"/>
          <w:sz w:val="32"/>
          <w:szCs w:val="32"/>
          <w:highlight w:val="none"/>
        </w:rPr>
      </w:pPr>
      <w:r>
        <w:rPr>
          <w:rFonts w:hint="eastAsia" w:ascii="黑体" w:hAnsi="黑体" w:eastAsia="黑体"/>
          <w:sz w:val="32"/>
          <w:szCs w:val="32"/>
          <w:highlight w:val="none"/>
        </w:rPr>
        <w:t>五、总体</w:t>
      </w:r>
      <w:r>
        <w:rPr>
          <w:rFonts w:ascii="黑体" w:hAnsi="黑体" w:eastAsia="黑体"/>
          <w:sz w:val="32"/>
          <w:szCs w:val="32"/>
          <w:highlight w:val="none"/>
        </w:rPr>
        <w:t>评价结论</w:t>
      </w:r>
    </w:p>
    <w:p>
      <w:pPr>
        <w:autoSpaceDN w:val="0"/>
        <w:spacing w:line="600" w:lineRule="exact"/>
        <w:ind w:left="105" w:leftChars="50" w:firstLine="480" w:firstLineChars="150"/>
        <w:rPr>
          <w:rFonts w:ascii="楷体_GB2312" w:eastAsia="楷体_GB2312"/>
          <w:sz w:val="32"/>
          <w:szCs w:val="32"/>
        </w:rPr>
      </w:pPr>
      <w:r>
        <w:rPr>
          <w:rFonts w:hint="eastAsia" w:ascii="楷体_GB2312" w:eastAsia="楷体_GB2312"/>
          <w:sz w:val="32"/>
          <w:szCs w:val="32"/>
        </w:rPr>
        <w:t>（一）评价</w:t>
      </w:r>
      <w:r>
        <w:rPr>
          <w:rFonts w:ascii="楷体_GB2312" w:eastAsia="楷体_GB2312"/>
          <w:sz w:val="32"/>
          <w:szCs w:val="32"/>
        </w:rPr>
        <w:t>得分</w:t>
      </w:r>
      <w:r>
        <w:rPr>
          <w:rFonts w:hint="eastAsia" w:ascii="楷体_GB2312" w:eastAsia="楷体_GB2312"/>
          <w:sz w:val="32"/>
          <w:szCs w:val="32"/>
        </w:rPr>
        <w:t>情况</w:t>
      </w:r>
    </w:p>
    <w:p>
      <w:pPr>
        <w:autoSpaceDN w:val="0"/>
        <w:spacing w:line="600" w:lineRule="exact"/>
        <w:ind w:firstLine="640" w:firstLineChars="200"/>
        <w:rPr>
          <w:rFonts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rPr>
        <w:t>依据202</w:t>
      </w:r>
      <w:r>
        <w:rPr>
          <w:rFonts w:hint="eastAsia" w:ascii="仿宋_GB2312" w:hAnsi="宋体" w:eastAsia="仿宋_GB2312" w:cs="宋体"/>
          <w:color w:val="000000"/>
          <w:kern w:val="0"/>
          <w:sz w:val="32"/>
          <w:szCs w:val="32"/>
          <w:lang w:val="en-US" w:eastAsia="zh-CN"/>
        </w:rPr>
        <w:t>2</w:t>
      </w:r>
      <w:r>
        <w:rPr>
          <w:rFonts w:hint="eastAsia" w:ascii="仿宋_GB2312" w:hAnsi="宋体" w:eastAsia="仿宋_GB2312" w:cs="宋体"/>
          <w:color w:val="000000"/>
          <w:kern w:val="0"/>
          <w:sz w:val="32"/>
          <w:szCs w:val="32"/>
        </w:rPr>
        <w:t>年部门整体绩效评价指标体系评分表，我院部</w:t>
      </w:r>
      <w:r>
        <w:rPr>
          <w:rFonts w:hint="eastAsia" w:ascii="仿宋_GB2312" w:hAnsi="宋体" w:eastAsia="仿宋_GB2312" w:cs="宋体"/>
          <w:color w:val="000000"/>
          <w:kern w:val="0"/>
          <w:sz w:val="32"/>
          <w:szCs w:val="32"/>
          <w:highlight w:val="none"/>
        </w:rPr>
        <w:t>门整体绩效评价得分91分。</w:t>
      </w:r>
    </w:p>
    <w:p>
      <w:pPr>
        <w:numPr>
          <w:ilvl w:val="0"/>
          <w:numId w:val="2"/>
        </w:numPr>
        <w:autoSpaceDN w:val="0"/>
        <w:spacing w:line="600" w:lineRule="exact"/>
        <w:ind w:left="105" w:leftChars="50" w:firstLine="480" w:firstLineChars="150"/>
        <w:rPr>
          <w:rFonts w:ascii="楷体_GB2312" w:eastAsia="楷体_GB2312"/>
          <w:sz w:val="32"/>
          <w:szCs w:val="32"/>
        </w:rPr>
      </w:pPr>
      <w:r>
        <w:rPr>
          <w:rFonts w:hint="eastAsia" w:ascii="楷体_GB2312" w:eastAsia="楷体_GB2312"/>
          <w:sz w:val="32"/>
          <w:szCs w:val="32"/>
        </w:rPr>
        <w:t>存在的问题及原因分析</w:t>
      </w:r>
    </w:p>
    <w:p>
      <w:pPr>
        <w:autoSpaceDN w:val="0"/>
        <w:spacing w:line="600" w:lineRule="exact"/>
        <w:ind w:firstLine="640" w:firstLineChars="200"/>
        <w:rPr>
          <w:rFonts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highlight w:val="none"/>
        </w:rPr>
        <w:t xml:space="preserve">问题：1、项目采购计划过于粗糙，没有具体的明细项目，没有成本测算的依据。2、未提供项目决策过程资料，未见项目的可研及专家论证，未见风险评估，无法评估项目的科学性 。3、未对项目绩效效果进一步分析提炼，充分展现项目的绩效效果，项目绩效体现不明显。  </w:t>
      </w:r>
    </w:p>
    <w:p>
      <w:pPr>
        <w:autoSpaceDN w:val="0"/>
        <w:spacing w:line="600" w:lineRule="exact"/>
        <w:ind w:firstLine="640" w:firstLineChars="200"/>
        <w:rPr>
          <w:rFonts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highlight w:val="none"/>
        </w:rPr>
        <w:t>原因分析：针对部门绩效评价，我院将关注点停留在预算执行率和过程审批合规合理，未深化全过程预算绩效管理，预算部门成本绩效意识不高。</w:t>
      </w:r>
    </w:p>
    <w:p>
      <w:pPr>
        <w:autoSpaceDN w:val="0"/>
        <w:spacing w:line="600" w:lineRule="exact"/>
        <w:ind w:firstLine="640" w:firstLineChars="200"/>
        <w:outlineLvl w:val="0"/>
        <w:rPr>
          <w:rFonts w:ascii="仿宋_GB2312" w:hAnsi="宋体" w:eastAsia="仿宋_GB2312" w:cs="宋体"/>
          <w:color w:val="000000"/>
          <w:kern w:val="0"/>
          <w:sz w:val="32"/>
          <w:szCs w:val="32"/>
          <w:highlight w:val="none"/>
        </w:rPr>
      </w:pPr>
      <w:r>
        <w:rPr>
          <w:rFonts w:hint="eastAsia" w:ascii="黑体" w:hAnsi="黑体" w:eastAsia="黑体" w:cs="宋体"/>
          <w:color w:val="000000"/>
          <w:kern w:val="0"/>
          <w:sz w:val="32"/>
          <w:szCs w:val="32"/>
          <w:highlight w:val="none"/>
        </w:rPr>
        <w:t>六、措施建议</w:t>
      </w:r>
    </w:p>
    <w:p>
      <w:pPr>
        <w:autoSpaceDN w:val="0"/>
        <w:spacing w:line="60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（一）下一步措施</w:t>
      </w:r>
    </w:p>
    <w:p>
      <w:pPr>
        <w:autoSpaceDN w:val="0"/>
        <w:spacing w:line="60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1.</w:t>
      </w:r>
      <w:r>
        <w:rPr>
          <w:rFonts w:hint="eastAsia"/>
        </w:rPr>
        <w:t xml:space="preserve"> </w:t>
      </w:r>
      <w:r>
        <w:rPr>
          <w:rFonts w:hint="eastAsia" w:ascii="仿宋_GB2312" w:hAnsi="宋体" w:eastAsia="仿宋_GB2312" w:cs="宋体"/>
          <w:color w:val="000000"/>
          <w:kern w:val="0"/>
          <w:sz w:val="32"/>
          <w:szCs w:val="32"/>
        </w:rPr>
        <w:t>深化全过程预算绩效管理，促进预算部门提高成本绩效意识。</w:t>
      </w:r>
    </w:p>
    <w:p>
      <w:pPr>
        <w:autoSpaceDN w:val="0"/>
        <w:spacing w:line="60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2.加强过程监督管理，明确项目实施主体的具体责任。</w:t>
      </w:r>
    </w:p>
    <w:p>
      <w:pPr>
        <w:autoSpaceDN w:val="0"/>
        <w:spacing w:line="60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3.在项目实施过程中应注意资料的收集和档案整理，以便于充分体现该项目的经济性、效率性和效果性。</w:t>
      </w:r>
    </w:p>
    <w:p>
      <w:pPr>
        <w:autoSpaceDN w:val="0"/>
        <w:spacing w:line="60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（二）相关建议</w:t>
      </w:r>
    </w:p>
    <w:p>
      <w:pPr>
        <w:autoSpaceDN w:val="0"/>
        <w:spacing w:line="60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1.加强项目预算编制管理，细化项目预算，避免先有预算后按实际需要采购现象。</w:t>
      </w:r>
    </w:p>
    <w:p>
      <w:pPr>
        <w:autoSpaceDN w:val="0"/>
        <w:spacing w:line="60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2.加强项目实施管理，应制定项目的实施方案，从项目组织机构、人员分工、项目实施、过程控制、项目验收及项目绩效管理等方面确定具体管控措施，确保项目有效实施。</w:t>
      </w:r>
    </w:p>
    <w:p>
      <w:pPr>
        <w:autoSpaceDN w:val="0"/>
        <w:spacing w:line="60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3.加强对项目实施效益的归集和分析，明确提供证明材料，对项目绩效效果进一步分析提炼，充分展现项目的绩效效果，证明项目实际产生的绩效。</w:t>
      </w:r>
    </w:p>
    <w:p>
      <w:pPr>
        <w:autoSpaceDN w:val="0"/>
        <w:spacing w:line="600" w:lineRule="exact"/>
        <w:ind w:firstLine="640" w:firstLineChars="200"/>
        <w:rPr>
          <w:rFonts w:ascii="仿宋_GB2312" w:hAnsi="宋体" w:eastAsia="仿宋_GB2312" w:cs="宋体"/>
          <w:color w:val="000000"/>
          <w:kern w:val="0"/>
          <w:sz w:val="32"/>
          <w:szCs w:val="32"/>
        </w:rPr>
      </w:pPr>
    </w:p>
    <w:p>
      <w:pPr>
        <w:autoSpaceDN w:val="0"/>
        <w:spacing w:line="600" w:lineRule="exact"/>
        <w:ind w:firstLine="640" w:firstLineChars="200"/>
        <w:rPr>
          <w:rFonts w:ascii="仿宋_GB2312" w:hAnsi="宋体" w:eastAsia="仿宋_GB2312" w:cs="宋体"/>
          <w:color w:val="000000"/>
          <w:kern w:val="0"/>
          <w:sz w:val="32"/>
          <w:szCs w:val="32"/>
        </w:rPr>
      </w:pPr>
    </w:p>
    <w:p>
      <w:pPr>
        <w:autoSpaceDN w:val="0"/>
        <w:spacing w:line="600" w:lineRule="exact"/>
        <w:ind w:firstLine="640" w:firstLineChars="200"/>
        <w:rPr>
          <w:rFonts w:ascii="仿宋_GB2312" w:hAnsi="宋体" w:eastAsia="仿宋_GB2312" w:cs="宋体"/>
          <w:color w:val="000000"/>
          <w:kern w:val="0"/>
          <w:sz w:val="32"/>
          <w:szCs w:val="32"/>
        </w:rPr>
      </w:pPr>
    </w:p>
    <w:p>
      <w:pPr>
        <w:autoSpaceDN w:val="0"/>
        <w:spacing w:line="600" w:lineRule="exact"/>
        <w:ind w:firstLine="640" w:firstLineChars="200"/>
        <w:rPr>
          <w:rFonts w:ascii="仿宋_GB2312" w:hAnsi="宋体" w:eastAsia="仿宋_GB2312" w:cs="宋体"/>
          <w:color w:val="000000"/>
          <w:kern w:val="0"/>
          <w:sz w:val="32"/>
          <w:szCs w:val="32"/>
        </w:rPr>
      </w:pPr>
    </w:p>
    <w:p>
      <w:pPr>
        <w:widowControl/>
        <w:autoSpaceDN w:val="0"/>
        <w:rPr>
          <w:rFonts w:ascii="方正小标宋简体" w:hAnsi="黑体" w:eastAsia="方正小标宋简体" w:cs="宋体"/>
          <w:color w:val="000000"/>
          <w:kern w:val="0"/>
          <w:sz w:val="44"/>
          <w:szCs w:val="44"/>
        </w:rPr>
        <w:sectPr>
          <w:footerReference r:id="rId3" w:type="default"/>
          <w:pgSz w:w="11906" w:h="16838"/>
          <w:pgMar w:top="1440" w:right="1800" w:bottom="1440" w:left="1800" w:header="851" w:footer="992" w:gutter="0"/>
          <w:pgNumType w:fmt="numberInDash"/>
          <w:cols w:space="425" w:num="1"/>
          <w:docGrid w:type="lines" w:linePitch="312" w:charSpace="0"/>
        </w:sectPr>
      </w:pPr>
    </w:p>
    <w:tbl>
      <w:tblPr>
        <w:tblStyle w:val="6"/>
        <w:tblW w:w="5000" w:type="pct"/>
        <w:tblInd w:w="0" w:type="dxa"/>
        <w:tblLayout w:type="autofit"/>
        <w:tblCellMar>
          <w:top w:w="0" w:type="dxa"/>
          <w:left w:w="108" w:type="dxa"/>
          <w:bottom w:w="0" w:type="dxa"/>
          <w:right w:w="108" w:type="dxa"/>
        </w:tblCellMar>
      </w:tblPr>
      <w:tblGrid>
        <w:gridCol w:w="816"/>
        <w:gridCol w:w="816"/>
        <w:gridCol w:w="1413"/>
        <w:gridCol w:w="1415"/>
        <w:gridCol w:w="1425"/>
        <w:gridCol w:w="616"/>
        <w:gridCol w:w="616"/>
        <w:gridCol w:w="3075"/>
        <w:gridCol w:w="3982"/>
      </w:tblGrid>
      <w:tr>
        <w:tblPrEx>
          <w:tblCellMar>
            <w:top w:w="0" w:type="dxa"/>
            <w:left w:w="108" w:type="dxa"/>
            <w:bottom w:w="0" w:type="dxa"/>
            <w:right w:w="108" w:type="dxa"/>
          </w:tblCellMar>
        </w:tblPrEx>
        <w:trPr>
          <w:trHeight w:val="499" w:hRule="atLeast"/>
        </w:trPr>
        <w:tc>
          <w:tcPr>
            <w:tcW w:w="5000" w:type="pct"/>
            <w:gridSpan w:val="9"/>
            <w:tcBorders>
              <w:top w:val="nil"/>
              <w:left w:val="nil"/>
              <w:bottom w:val="single" w:color="auto" w:sz="4" w:space="0"/>
              <w:right w:val="nil"/>
            </w:tcBorders>
            <w:noWrap/>
            <w:vAlign w:val="bottom"/>
          </w:tcPr>
          <w:p>
            <w:pPr>
              <w:widowControl/>
              <w:autoSpaceDN w:val="0"/>
              <w:jc w:val="center"/>
              <w:rPr>
                <w:rFonts w:cs="宋体" w:asciiTheme="minorEastAsia" w:hAnsiTheme="minorEastAsia" w:eastAsiaTheme="minorEastAsia"/>
                <w:color w:val="000000"/>
                <w:kern w:val="0"/>
                <w:sz w:val="44"/>
                <w:szCs w:val="44"/>
              </w:rPr>
            </w:pPr>
            <w:r>
              <w:rPr>
                <w:rFonts w:hint="eastAsia" w:cs="宋体" w:asciiTheme="minorEastAsia" w:hAnsiTheme="minorEastAsia" w:eastAsiaTheme="minorEastAsia"/>
                <w:color w:val="000000"/>
                <w:kern w:val="0"/>
                <w:sz w:val="44"/>
                <w:szCs w:val="44"/>
              </w:rPr>
              <w:t>202</w:t>
            </w:r>
            <w:r>
              <w:rPr>
                <w:rFonts w:hint="eastAsia" w:cs="宋体" w:asciiTheme="minorEastAsia" w:hAnsiTheme="minorEastAsia" w:eastAsiaTheme="minorEastAsia"/>
                <w:color w:val="000000"/>
                <w:kern w:val="0"/>
                <w:sz w:val="44"/>
                <w:szCs w:val="44"/>
                <w:lang w:val="en-US" w:eastAsia="zh-CN"/>
              </w:rPr>
              <w:t>2</w:t>
            </w:r>
            <w:r>
              <w:rPr>
                <w:rFonts w:hint="eastAsia" w:cs="宋体" w:asciiTheme="minorEastAsia" w:hAnsiTheme="minorEastAsia" w:eastAsiaTheme="minorEastAsia"/>
                <w:color w:val="000000"/>
                <w:kern w:val="0"/>
                <w:sz w:val="44"/>
                <w:szCs w:val="44"/>
              </w:rPr>
              <w:t>年部门整体绩效评价指标体系评分表</w:t>
            </w:r>
          </w:p>
        </w:tc>
      </w:tr>
      <w:tr>
        <w:tblPrEx>
          <w:tblCellMar>
            <w:top w:w="0" w:type="dxa"/>
            <w:left w:w="108" w:type="dxa"/>
            <w:bottom w:w="0" w:type="dxa"/>
            <w:right w:w="108" w:type="dxa"/>
          </w:tblCellMar>
        </w:tblPrEx>
        <w:trPr>
          <w:trHeight w:val="470" w:hRule="atLeast"/>
        </w:trPr>
        <w:tc>
          <w:tcPr>
            <w:tcW w:w="5000" w:type="pct"/>
            <w:gridSpan w:val="9"/>
            <w:tcBorders>
              <w:top w:val="single" w:color="auto" w:sz="4" w:space="0"/>
              <w:left w:val="single" w:color="auto" w:sz="4" w:space="0"/>
              <w:bottom w:val="single" w:color="000000" w:sz="4" w:space="0"/>
              <w:right w:val="single" w:color="auto" w:sz="4" w:space="0"/>
            </w:tcBorders>
            <w:vAlign w:val="center"/>
          </w:tcPr>
          <w:p>
            <w:pPr>
              <w:widowControl/>
              <w:autoSpaceDN w:val="0"/>
              <w:jc w:val="left"/>
              <w:rPr>
                <w:rFonts w:ascii="宋体" w:hAnsi="宋体" w:cs="宋体"/>
                <w:color w:val="000000"/>
                <w:kern w:val="0"/>
                <w:sz w:val="18"/>
                <w:szCs w:val="18"/>
              </w:rPr>
            </w:pPr>
            <w:r>
              <w:rPr>
                <w:rFonts w:hint="eastAsia" w:ascii="宋体" w:hAnsi="宋体" w:cs="宋体"/>
                <w:color w:val="000000"/>
                <w:kern w:val="0"/>
                <w:sz w:val="18"/>
                <w:szCs w:val="18"/>
              </w:rPr>
              <w:t>一、</w:t>
            </w:r>
            <w:r>
              <w:rPr>
                <w:rFonts w:hint="eastAsia" w:ascii="宋体" w:hAnsi="宋体" w:cs="宋体"/>
                <w:color w:val="000000"/>
                <w:kern w:val="0"/>
                <w:sz w:val="20"/>
                <w:szCs w:val="20"/>
              </w:rPr>
              <w:t>当年预算执行情况（20分）</w:t>
            </w:r>
          </w:p>
        </w:tc>
      </w:tr>
      <w:tr>
        <w:tblPrEx>
          <w:tblCellMar>
            <w:top w:w="0" w:type="dxa"/>
            <w:left w:w="108" w:type="dxa"/>
            <w:bottom w:w="0" w:type="dxa"/>
            <w:right w:w="108" w:type="dxa"/>
          </w:tblCellMar>
        </w:tblPrEx>
        <w:trPr>
          <w:trHeight w:val="660" w:hRule="atLeast"/>
        </w:trPr>
        <w:tc>
          <w:tcPr>
            <w:tcW w:w="287" w:type="pct"/>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s="宋体"/>
                <w:color w:val="000000"/>
                <w:kern w:val="0"/>
                <w:sz w:val="20"/>
                <w:szCs w:val="20"/>
              </w:rPr>
            </w:pPr>
            <w:r>
              <w:rPr>
                <w:rFonts w:hint="eastAsia" w:ascii="宋体" w:hAnsi="宋体" w:cs="宋体"/>
                <w:color w:val="000000"/>
                <w:kern w:val="0"/>
                <w:sz w:val="20"/>
                <w:szCs w:val="20"/>
              </w:rPr>
              <w:t>一</w:t>
            </w:r>
            <w:r>
              <w:rPr>
                <w:rFonts w:ascii="宋体" w:hAnsi="宋体" w:cs="宋体"/>
                <w:color w:val="000000"/>
                <w:kern w:val="0"/>
                <w:sz w:val="20"/>
                <w:szCs w:val="20"/>
              </w:rPr>
              <w:t>级指标</w:t>
            </w:r>
            <w:r>
              <w:rPr>
                <w:rFonts w:hint="eastAsia" w:ascii="宋体" w:hAnsi="宋体" w:cs="宋体"/>
                <w:color w:val="000000"/>
                <w:kern w:val="0"/>
                <w:sz w:val="20"/>
                <w:szCs w:val="20"/>
              </w:rPr>
              <w:t>　</w:t>
            </w:r>
          </w:p>
        </w:tc>
        <w:tc>
          <w:tcPr>
            <w:tcW w:w="287" w:type="pct"/>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s="宋体"/>
                <w:color w:val="000000"/>
                <w:kern w:val="0"/>
                <w:sz w:val="20"/>
                <w:szCs w:val="20"/>
              </w:rPr>
            </w:pPr>
            <w:r>
              <w:rPr>
                <w:rFonts w:hint="eastAsia" w:ascii="宋体" w:hAnsi="宋体" w:cs="宋体"/>
                <w:color w:val="000000"/>
                <w:kern w:val="0"/>
                <w:sz w:val="20"/>
                <w:szCs w:val="20"/>
              </w:rPr>
              <w:t>二</w:t>
            </w:r>
            <w:r>
              <w:rPr>
                <w:rFonts w:ascii="宋体" w:hAnsi="宋体" w:cs="宋体"/>
                <w:color w:val="000000"/>
                <w:kern w:val="0"/>
                <w:sz w:val="20"/>
                <w:szCs w:val="20"/>
              </w:rPr>
              <w:t>级指标</w:t>
            </w:r>
            <w:r>
              <w:rPr>
                <w:rFonts w:hint="eastAsia" w:ascii="宋体" w:hAnsi="宋体" w:cs="宋体"/>
                <w:color w:val="000000"/>
                <w:kern w:val="0"/>
                <w:sz w:val="20"/>
                <w:szCs w:val="20"/>
              </w:rPr>
              <w:t>　</w:t>
            </w:r>
          </w:p>
        </w:tc>
        <w:tc>
          <w:tcPr>
            <w:tcW w:w="499" w:type="pct"/>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s="宋体"/>
                <w:color w:val="000000"/>
                <w:kern w:val="0"/>
                <w:sz w:val="20"/>
                <w:szCs w:val="20"/>
              </w:rPr>
            </w:pPr>
            <w:r>
              <w:rPr>
                <w:rFonts w:hint="eastAsia" w:ascii="宋体" w:hAnsi="宋体" w:cs="宋体"/>
                <w:color w:val="000000"/>
                <w:kern w:val="0"/>
                <w:sz w:val="20"/>
                <w:szCs w:val="20"/>
              </w:rPr>
              <w:t>预算数（万元）</w:t>
            </w:r>
          </w:p>
        </w:tc>
        <w:tc>
          <w:tcPr>
            <w:tcW w:w="499" w:type="pct"/>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s="宋体"/>
                <w:color w:val="000000"/>
                <w:kern w:val="0"/>
                <w:sz w:val="20"/>
                <w:szCs w:val="20"/>
              </w:rPr>
            </w:pPr>
            <w:r>
              <w:rPr>
                <w:rFonts w:hint="eastAsia" w:ascii="宋体" w:hAnsi="宋体" w:cs="宋体"/>
                <w:color w:val="000000"/>
                <w:kern w:val="0"/>
                <w:sz w:val="20"/>
                <w:szCs w:val="20"/>
              </w:rPr>
              <w:t>执行数（万元）</w:t>
            </w:r>
          </w:p>
        </w:tc>
        <w:tc>
          <w:tcPr>
            <w:tcW w:w="500" w:type="pct"/>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s="宋体"/>
                <w:color w:val="000000"/>
                <w:kern w:val="0"/>
                <w:sz w:val="20"/>
                <w:szCs w:val="20"/>
              </w:rPr>
            </w:pPr>
            <w:r>
              <w:rPr>
                <w:rFonts w:hint="eastAsia" w:ascii="宋体" w:hAnsi="宋体" w:cs="宋体"/>
                <w:color w:val="000000"/>
                <w:kern w:val="0"/>
                <w:sz w:val="20"/>
                <w:szCs w:val="20"/>
              </w:rPr>
              <w:t>预算执行率</w:t>
            </w:r>
          </w:p>
        </w:tc>
        <w:tc>
          <w:tcPr>
            <w:tcW w:w="217" w:type="pct"/>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s="宋体"/>
                <w:color w:val="000000"/>
                <w:kern w:val="0"/>
                <w:sz w:val="20"/>
                <w:szCs w:val="20"/>
              </w:rPr>
            </w:pPr>
            <w:r>
              <w:rPr>
                <w:rFonts w:hint="eastAsia" w:ascii="宋体" w:hAnsi="宋体" w:cs="宋体"/>
                <w:color w:val="000000"/>
                <w:kern w:val="0"/>
                <w:sz w:val="20"/>
                <w:szCs w:val="20"/>
              </w:rPr>
              <w:t>分值</w:t>
            </w:r>
          </w:p>
        </w:tc>
        <w:tc>
          <w:tcPr>
            <w:tcW w:w="217" w:type="pct"/>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s="宋体"/>
                <w:color w:val="000000"/>
                <w:kern w:val="0"/>
                <w:sz w:val="20"/>
                <w:szCs w:val="20"/>
              </w:rPr>
            </w:pPr>
            <w:r>
              <w:rPr>
                <w:rFonts w:hint="eastAsia" w:ascii="宋体" w:hAnsi="宋体" w:cs="宋体"/>
                <w:color w:val="000000"/>
                <w:kern w:val="0"/>
                <w:sz w:val="20"/>
                <w:szCs w:val="20"/>
              </w:rPr>
              <w:t>得分</w:t>
            </w:r>
          </w:p>
        </w:tc>
        <w:tc>
          <w:tcPr>
            <w:tcW w:w="1085" w:type="pct"/>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s="宋体"/>
                <w:color w:val="000000"/>
                <w:kern w:val="0"/>
                <w:sz w:val="20"/>
                <w:szCs w:val="20"/>
              </w:rPr>
            </w:pPr>
            <w:r>
              <w:rPr>
                <w:rFonts w:hint="eastAsia" w:ascii="宋体" w:hAnsi="宋体" w:cs="宋体"/>
                <w:color w:val="000000"/>
                <w:kern w:val="0"/>
                <w:sz w:val="20"/>
                <w:szCs w:val="20"/>
              </w:rPr>
              <w:t>指标解释</w:t>
            </w:r>
          </w:p>
        </w:tc>
        <w:tc>
          <w:tcPr>
            <w:tcW w:w="1405" w:type="pct"/>
            <w:tcBorders>
              <w:top w:val="single" w:color="auto" w:sz="4" w:space="0"/>
              <w:left w:val="nil"/>
              <w:bottom w:val="single" w:color="auto" w:sz="4" w:space="0"/>
              <w:right w:val="single" w:color="auto" w:sz="4" w:space="0"/>
            </w:tcBorders>
            <w:vAlign w:val="center"/>
          </w:tcPr>
          <w:p>
            <w:pPr>
              <w:widowControl/>
              <w:autoSpaceDN w:val="0"/>
              <w:jc w:val="center"/>
              <w:rPr>
                <w:rFonts w:ascii="宋体" w:hAnsi="宋体" w:cs="宋体"/>
                <w:color w:val="000000"/>
                <w:kern w:val="0"/>
                <w:sz w:val="20"/>
                <w:szCs w:val="20"/>
              </w:rPr>
            </w:pPr>
            <w:r>
              <w:rPr>
                <w:rFonts w:hint="eastAsia" w:ascii="宋体" w:hAnsi="宋体" w:cs="宋体"/>
                <w:color w:val="000000"/>
                <w:kern w:val="0"/>
                <w:sz w:val="20"/>
                <w:szCs w:val="20"/>
              </w:rPr>
              <w:t>评分标准</w:t>
            </w:r>
          </w:p>
        </w:tc>
      </w:tr>
      <w:tr>
        <w:tblPrEx>
          <w:tblCellMar>
            <w:top w:w="0" w:type="dxa"/>
            <w:left w:w="108" w:type="dxa"/>
            <w:bottom w:w="0" w:type="dxa"/>
            <w:right w:w="108" w:type="dxa"/>
          </w:tblCellMar>
        </w:tblPrEx>
        <w:trPr>
          <w:trHeight w:val="630" w:hRule="atLeast"/>
        </w:trPr>
        <w:tc>
          <w:tcPr>
            <w:tcW w:w="287" w:type="pct"/>
            <w:vMerge w:val="restart"/>
            <w:tcBorders>
              <w:top w:val="nil"/>
              <w:left w:val="single" w:color="auto" w:sz="4" w:space="0"/>
              <w:bottom w:val="single" w:color="000000" w:sz="4" w:space="0"/>
              <w:right w:val="single" w:color="auto" w:sz="4" w:space="0"/>
            </w:tcBorders>
            <w:vAlign w:val="center"/>
          </w:tcPr>
          <w:p>
            <w:pPr>
              <w:widowControl/>
              <w:autoSpaceDN w:val="0"/>
              <w:jc w:val="center"/>
              <w:rPr>
                <w:rFonts w:ascii="宋体" w:hAnsi="宋体" w:cs="宋体"/>
                <w:color w:val="000000"/>
                <w:kern w:val="0"/>
                <w:sz w:val="20"/>
                <w:szCs w:val="20"/>
              </w:rPr>
            </w:pPr>
            <w:r>
              <w:rPr>
                <w:rFonts w:hint="eastAsia" w:ascii="宋体" w:hAnsi="宋体" w:cs="宋体"/>
                <w:color w:val="000000"/>
                <w:kern w:val="0"/>
                <w:sz w:val="20"/>
                <w:szCs w:val="20"/>
              </w:rPr>
              <w:t>当年预算执行情况（20）</w:t>
            </w:r>
          </w:p>
        </w:tc>
        <w:tc>
          <w:tcPr>
            <w:tcW w:w="287" w:type="pct"/>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s="宋体"/>
                <w:color w:val="000000"/>
                <w:kern w:val="0"/>
                <w:sz w:val="20"/>
                <w:szCs w:val="20"/>
              </w:rPr>
            </w:pPr>
            <w:r>
              <w:rPr>
                <w:rFonts w:hint="eastAsia" w:ascii="宋体" w:hAnsi="宋体" w:cs="宋体"/>
                <w:color w:val="000000"/>
                <w:kern w:val="0"/>
                <w:sz w:val="20"/>
                <w:szCs w:val="20"/>
              </w:rPr>
              <w:t>资金总体</w:t>
            </w:r>
          </w:p>
        </w:tc>
        <w:tc>
          <w:tcPr>
            <w:tcW w:w="499" w:type="pct"/>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s="宋体"/>
                <w:color w:val="000000"/>
                <w:kern w:val="0"/>
                <w:sz w:val="20"/>
                <w:szCs w:val="20"/>
              </w:rPr>
            </w:pPr>
            <w:r>
              <w:rPr>
                <w:rFonts w:hint="eastAsia" w:ascii="宋体" w:hAnsi="宋体" w:cs="宋体"/>
                <w:color w:val="000000"/>
                <w:kern w:val="0"/>
                <w:sz w:val="20"/>
                <w:szCs w:val="20"/>
              </w:rPr>
              <w:t>20,733.55　</w:t>
            </w:r>
          </w:p>
        </w:tc>
        <w:tc>
          <w:tcPr>
            <w:tcW w:w="499" w:type="pct"/>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s="宋体"/>
                <w:color w:val="000000"/>
                <w:kern w:val="0"/>
                <w:sz w:val="20"/>
                <w:szCs w:val="20"/>
              </w:rPr>
            </w:pPr>
            <w:r>
              <w:rPr>
                <w:rFonts w:hint="eastAsia" w:ascii="宋体" w:hAnsi="宋体" w:cs="宋体"/>
                <w:color w:val="000000"/>
                <w:kern w:val="0"/>
                <w:sz w:val="20"/>
                <w:szCs w:val="20"/>
              </w:rPr>
              <w:t>20,582.16　</w:t>
            </w:r>
          </w:p>
        </w:tc>
        <w:tc>
          <w:tcPr>
            <w:tcW w:w="500" w:type="pct"/>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s="宋体"/>
                <w:color w:val="000000"/>
                <w:kern w:val="0"/>
                <w:sz w:val="20"/>
                <w:szCs w:val="20"/>
              </w:rPr>
            </w:pPr>
            <w:r>
              <w:rPr>
                <w:rFonts w:hint="eastAsia" w:ascii="宋体" w:hAnsi="宋体" w:cs="宋体"/>
                <w:color w:val="000000"/>
                <w:kern w:val="0"/>
                <w:sz w:val="20"/>
                <w:szCs w:val="20"/>
              </w:rPr>
              <w:t>99.27%　</w:t>
            </w:r>
          </w:p>
        </w:tc>
        <w:tc>
          <w:tcPr>
            <w:tcW w:w="217" w:type="pct"/>
            <w:vMerge w:val="restart"/>
            <w:tcBorders>
              <w:top w:val="single" w:color="auto" w:sz="4" w:space="0"/>
              <w:left w:val="single" w:color="auto" w:sz="4" w:space="0"/>
              <w:bottom w:val="single" w:color="auto" w:sz="4" w:space="0"/>
              <w:right w:val="single" w:color="auto" w:sz="4" w:space="0"/>
            </w:tcBorders>
            <w:noWrap/>
            <w:vAlign w:val="center"/>
          </w:tcPr>
          <w:p>
            <w:pPr>
              <w:widowControl/>
              <w:autoSpaceDN w:val="0"/>
              <w:jc w:val="center"/>
              <w:rPr>
                <w:rFonts w:ascii="宋体" w:hAnsi="宋体" w:cs="宋体"/>
                <w:color w:val="000000"/>
                <w:kern w:val="0"/>
                <w:sz w:val="20"/>
                <w:szCs w:val="20"/>
              </w:rPr>
            </w:pPr>
            <w:r>
              <w:rPr>
                <w:rFonts w:hint="eastAsia" w:ascii="宋体" w:hAnsi="宋体" w:cs="宋体"/>
                <w:color w:val="000000"/>
                <w:kern w:val="0"/>
                <w:sz w:val="20"/>
                <w:szCs w:val="20"/>
              </w:rPr>
              <w:t>20</w:t>
            </w:r>
          </w:p>
        </w:tc>
        <w:tc>
          <w:tcPr>
            <w:tcW w:w="217" w:type="pct"/>
            <w:vMerge w:val="restart"/>
            <w:tcBorders>
              <w:top w:val="single" w:color="auto" w:sz="4" w:space="0"/>
              <w:left w:val="single" w:color="auto" w:sz="4" w:space="0"/>
              <w:bottom w:val="single" w:color="auto" w:sz="4" w:space="0"/>
              <w:right w:val="single" w:color="auto" w:sz="4" w:space="0"/>
            </w:tcBorders>
            <w:noWrap/>
            <w:vAlign w:val="center"/>
          </w:tcPr>
          <w:p>
            <w:pPr>
              <w:widowControl/>
              <w:autoSpaceDN w:val="0"/>
              <w:jc w:val="center"/>
              <w:rPr>
                <w:rFonts w:ascii="宋体" w:hAnsi="宋体" w:cs="宋体"/>
                <w:color w:val="000000"/>
                <w:kern w:val="0"/>
                <w:sz w:val="20"/>
                <w:szCs w:val="20"/>
              </w:rPr>
            </w:pPr>
            <w:r>
              <w:rPr>
                <w:rFonts w:hint="eastAsia" w:ascii="宋体" w:hAnsi="宋体" w:cs="宋体"/>
                <w:color w:val="000000"/>
                <w:kern w:val="0"/>
                <w:sz w:val="20"/>
                <w:szCs w:val="20"/>
              </w:rPr>
              <w:t>19　</w:t>
            </w:r>
          </w:p>
        </w:tc>
        <w:tc>
          <w:tcPr>
            <w:tcW w:w="1085" w:type="pct"/>
            <w:vMerge w:val="restart"/>
            <w:tcBorders>
              <w:top w:val="single" w:color="auto" w:sz="4" w:space="0"/>
              <w:left w:val="single" w:color="auto" w:sz="4" w:space="0"/>
              <w:bottom w:val="single" w:color="auto" w:sz="4" w:space="0"/>
              <w:right w:val="single" w:color="auto" w:sz="4" w:space="0"/>
            </w:tcBorders>
            <w:vAlign w:val="center"/>
          </w:tcPr>
          <w:p>
            <w:pPr>
              <w:widowControl/>
              <w:autoSpaceDN w:val="0"/>
              <w:jc w:val="left"/>
              <w:rPr>
                <w:rFonts w:ascii="宋体" w:hAnsi="宋体" w:cs="宋体"/>
                <w:color w:val="000000"/>
                <w:kern w:val="0"/>
                <w:sz w:val="18"/>
                <w:szCs w:val="18"/>
              </w:rPr>
            </w:pPr>
            <w:r>
              <w:rPr>
                <w:rFonts w:hint="eastAsia" w:ascii="宋体" w:hAnsi="宋体" w:cs="宋体"/>
                <w:color w:val="000000"/>
                <w:kern w:val="0"/>
                <w:sz w:val="18"/>
                <w:szCs w:val="18"/>
              </w:rPr>
              <w:t>部门全年执行数与全年预算数的比率。资金总体=基本支出+项目支出+其他</w:t>
            </w:r>
          </w:p>
        </w:tc>
        <w:tc>
          <w:tcPr>
            <w:tcW w:w="1405" w:type="pct"/>
            <w:vMerge w:val="restart"/>
            <w:tcBorders>
              <w:top w:val="nil"/>
              <w:left w:val="single" w:color="auto" w:sz="4" w:space="0"/>
              <w:bottom w:val="single" w:color="auto" w:sz="4" w:space="0"/>
              <w:right w:val="single" w:color="auto" w:sz="4" w:space="0"/>
            </w:tcBorders>
            <w:vAlign w:val="center"/>
          </w:tcPr>
          <w:p>
            <w:pPr>
              <w:widowControl/>
              <w:autoSpaceDN w:val="0"/>
              <w:jc w:val="left"/>
              <w:rPr>
                <w:rFonts w:ascii="宋体" w:hAnsi="宋体" w:cs="宋体"/>
                <w:color w:val="000000"/>
                <w:kern w:val="0"/>
                <w:sz w:val="18"/>
                <w:szCs w:val="18"/>
              </w:rPr>
            </w:pPr>
            <w:r>
              <w:rPr>
                <w:rFonts w:hint="eastAsia" w:ascii="宋体" w:hAnsi="宋体" w:cs="宋体"/>
                <w:color w:val="000000"/>
                <w:kern w:val="0"/>
                <w:sz w:val="18"/>
                <w:szCs w:val="18"/>
              </w:rPr>
              <w:t>①得分一档最高不能超过该指标分值上限（20分）。</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②该指标若为正向指标，则得分计算方法应用全年实际值（B）/年度指标值（A）*该指标分值；若定量指标为反向指标，则得分计算方法应用年度指标值（A）/全年实际值（B）*该指标分值。若年初指标值设定偏低，则得分计算方法应用（全年实际值（B）—年度指标值（A））/年度指标值（A）*100%。若计算结果在200%-300%（含200%）区间，则按照该指标分值的10%扣分；计算结果在300%-500%（含300%）区间，则按照该指标分值的20%扣分；计算结果高于500%（含500%），则按照该指标分值的30%扣分。</w:t>
            </w:r>
          </w:p>
        </w:tc>
      </w:tr>
      <w:tr>
        <w:tblPrEx>
          <w:tblCellMar>
            <w:top w:w="0" w:type="dxa"/>
            <w:left w:w="108" w:type="dxa"/>
            <w:bottom w:w="0" w:type="dxa"/>
            <w:right w:w="108" w:type="dxa"/>
          </w:tblCellMar>
        </w:tblPrEx>
        <w:trPr>
          <w:trHeight w:val="600" w:hRule="atLeast"/>
        </w:trPr>
        <w:tc>
          <w:tcPr>
            <w:tcW w:w="287" w:type="pct"/>
            <w:vMerge w:val="continue"/>
            <w:tcBorders>
              <w:top w:val="nil"/>
              <w:left w:val="single" w:color="auto" w:sz="4" w:space="0"/>
              <w:bottom w:val="single" w:color="000000" w:sz="4" w:space="0"/>
              <w:right w:val="single" w:color="auto" w:sz="4" w:space="0"/>
            </w:tcBorders>
            <w:vAlign w:val="center"/>
          </w:tcPr>
          <w:p>
            <w:pPr>
              <w:widowControl/>
              <w:autoSpaceDN w:val="0"/>
              <w:jc w:val="left"/>
              <w:rPr>
                <w:rFonts w:ascii="宋体" w:hAnsi="宋体" w:cs="宋体"/>
                <w:color w:val="000000"/>
                <w:kern w:val="0"/>
                <w:sz w:val="20"/>
                <w:szCs w:val="20"/>
              </w:rPr>
            </w:pPr>
          </w:p>
        </w:tc>
        <w:tc>
          <w:tcPr>
            <w:tcW w:w="287" w:type="pct"/>
            <w:tcBorders>
              <w:top w:val="single" w:color="auto" w:sz="4" w:space="0"/>
              <w:left w:val="single" w:color="auto" w:sz="4" w:space="0"/>
              <w:bottom w:val="single" w:color="auto" w:sz="4" w:space="0"/>
              <w:right w:val="nil"/>
            </w:tcBorders>
            <w:vAlign w:val="center"/>
          </w:tcPr>
          <w:p>
            <w:pPr>
              <w:widowControl/>
              <w:autoSpaceDN w:val="0"/>
              <w:jc w:val="center"/>
              <w:rPr>
                <w:rFonts w:ascii="宋体" w:hAnsi="宋体" w:cs="宋体"/>
                <w:color w:val="000000"/>
                <w:kern w:val="0"/>
                <w:sz w:val="20"/>
                <w:szCs w:val="20"/>
              </w:rPr>
            </w:pPr>
            <w:r>
              <w:rPr>
                <w:rFonts w:hint="eastAsia" w:ascii="宋体" w:hAnsi="宋体" w:cs="宋体"/>
                <w:color w:val="000000"/>
                <w:kern w:val="0"/>
                <w:sz w:val="20"/>
                <w:szCs w:val="20"/>
              </w:rPr>
              <w:t>基本支出</w:t>
            </w:r>
          </w:p>
        </w:tc>
        <w:tc>
          <w:tcPr>
            <w:tcW w:w="499" w:type="pct"/>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s="宋体"/>
                <w:color w:val="000000"/>
                <w:kern w:val="0"/>
                <w:sz w:val="20"/>
                <w:szCs w:val="20"/>
              </w:rPr>
            </w:pPr>
            <w:r>
              <w:rPr>
                <w:rFonts w:hint="eastAsia" w:ascii="宋体" w:hAnsi="宋体" w:cs="宋体"/>
                <w:color w:val="000000"/>
                <w:kern w:val="0"/>
                <w:sz w:val="20"/>
                <w:szCs w:val="20"/>
              </w:rPr>
              <w:t>16,198.03　</w:t>
            </w:r>
          </w:p>
        </w:tc>
        <w:tc>
          <w:tcPr>
            <w:tcW w:w="499" w:type="pct"/>
            <w:tcBorders>
              <w:top w:val="single" w:color="auto" w:sz="4" w:space="0"/>
              <w:left w:val="nil"/>
              <w:bottom w:val="single" w:color="auto" w:sz="4" w:space="0"/>
              <w:right w:val="single" w:color="auto" w:sz="4" w:space="0"/>
            </w:tcBorders>
            <w:vAlign w:val="center"/>
          </w:tcPr>
          <w:p>
            <w:pPr>
              <w:widowControl/>
              <w:autoSpaceDN w:val="0"/>
              <w:jc w:val="center"/>
              <w:rPr>
                <w:rFonts w:ascii="宋体" w:hAnsi="宋体" w:cs="宋体"/>
                <w:color w:val="000000"/>
                <w:kern w:val="0"/>
                <w:sz w:val="20"/>
                <w:szCs w:val="20"/>
              </w:rPr>
            </w:pPr>
            <w:r>
              <w:rPr>
                <w:rFonts w:hint="eastAsia" w:ascii="宋体" w:hAnsi="宋体" w:cs="宋体"/>
                <w:color w:val="000000"/>
                <w:kern w:val="0"/>
                <w:sz w:val="20"/>
                <w:szCs w:val="20"/>
              </w:rPr>
              <w:t>16,047.18</w:t>
            </w:r>
          </w:p>
        </w:tc>
        <w:tc>
          <w:tcPr>
            <w:tcW w:w="500" w:type="pct"/>
            <w:vMerge w:val="restart"/>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217" w:type="pct"/>
            <w:vMerge w:val="continue"/>
            <w:tcBorders>
              <w:top w:val="single" w:color="auto" w:sz="4" w:space="0"/>
              <w:left w:val="single" w:color="auto" w:sz="4" w:space="0"/>
              <w:bottom w:val="single" w:color="auto" w:sz="4" w:space="0"/>
              <w:right w:val="single" w:color="auto" w:sz="4" w:space="0"/>
            </w:tcBorders>
            <w:vAlign w:val="center"/>
          </w:tcPr>
          <w:p>
            <w:pPr>
              <w:widowControl/>
              <w:autoSpaceDN w:val="0"/>
              <w:jc w:val="left"/>
              <w:rPr>
                <w:rFonts w:ascii="宋体" w:hAnsi="宋体" w:cs="宋体"/>
                <w:color w:val="000000"/>
                <w:kern w:val="0"/>
                <w:sz w:val="20"/>
                <w:szCs w:val="20"/>
              </w:rPr>
            </w:pPr>
          </w:p>
        </w:tc>
        <w:tc>
          <w:tcPr>
            <w:tcW w:w="217" w:type="pct"/>
            <w:vMerge w:val="continue"/>
            <w:tcBorders>
              <w:top w:val="single" w:color="auto" w:sz="4" w:space="0"/>
              <w:left w:val="nil"/>
              <w:bottom w:val="single" w:color="auto" w:sz="4" w:space="0"/>
              <w:right w:val="nil"/>
            </w:tcBorders>
            <w:vAlign w:val="center"/>
          </w:tcPr>
          <w:p>
            <w:pPr>
              <w:widowControl/>
              <w:autoSpaceDN w:val="0"/>
              <w:jc w:val="left"/>
              <w:rPr>
                <w:rFonts w:ascii="宋体" w:hAnsi="宋体" w:cs="宋体"/>
                <w:color w:val="000000"/>
                <w:kern w:val="0"/>
                <w:sz w:val="20"/>
                <w:szCs w:val="20"/>
              </w:rPr>
            </w:pPr>
          </w:p>
        </w:tc>
        <w:tc>
          <w:tcPr>
            <w:tcW w:w="1085" w:type="pct"/>
            <w:vMerge w:val="continue"/>
            <w:tcBorders>
              <w:top w:val="single" w:color="auto" w:sz="4" w:space="0"/>
              <w:left w:val="single" w:color="auto" w:sz="4" w:space="0"/>
              <w:bottom w:val="single" w:color="auto" w:sz="4" w:space="0"/>
              <w:right w:val="single" w:color="auto" w:sz="4" w:space="0"/>
            </w:tcBorders>
            <w:vAlign w:val="center"/>
          </w:tcPr>
          <w:p>
            <w:pPr>
              <w:widowControl/>
              <w:autoSpaceDN w:val="0"/>
              <w:jc w:val="left"/>
              <w:rPr>
                <w:rFonts w:ascii="宋体" w:hAnsi="宋体" w:cs="宋体"/>
                <w:color w:val="000000"/>
                <w:kern w:val="0"/>
                <w:sz w:val="18"/>
                <w:szCs w:val="18"/>
              </w:rPr>
            </w:pPr>
          </w:p>
        </w:tc>
        <w:tc>
          <w:tcPr>
            <w:tcW w:w="1405" w:type="pct"/>
            <w:vMerge w:val="continue"/>
            <w:tcBorders>
              <w:top w:val="nil"/>
              <w:left w:val="single" w:color="auto" w:sz="4" w:space="0"/>
              <w:bottom w:val="single" w:color="auto" w:sz="4" w:space="0"/>
              <w:right w:val="single" w:color="auto" w:sz="4" w:space="0"/>
            </w:tcBorders>
            <w:vAlign w:val="center"/>
          </w:tcPr>
          <w:p>
            <w:pPr>
              <w:widowControl/>
              <w:autoSpaceDN w:val="0"/>
              <w:jc w:val="left"/>
              <w:rPr>
                <w:rFonts w:ascii="宋体" w:hAnsi="宋体" w:cs="宋体"/>
                <w:color w:val="000000"/>
                <w:kern w:val="0"/>
                <w:sz w:val="18"/>
                <w:szCs w:val="18"/>
              </w:rPr>
            </w:pPr>
          </w:p>
        </w:tc>
      </w:tr>
      <w:tr>
        <w:tblPrEx>
          <w:tblCellMar>
            <w:top w:w="0" w:type="dxa"/>
            <w:left w:w="108" w:type="dxa"/>
            <w:bottom w:w="0" w:type="dxa"/>
            <w:right w:w="108" w:type="dxa"/>
          </w:tblCellMar>
        </w:tblPrEx>
        <w:trPr>
          <w:trHeight w:val="615" w:hRule="atLeast"/>
        </w:trPr>
        <w:tc>
          <w:tcPr>
            <w:tcW w:w="287" w:type="pct"/>
            <w:vMerge w:val="continue"/>
            <w:tcBorders>
              <w:top w:val="nil"/>
              <w:left w:val="single" w:color="auto" w:sz="4" w:space="0"/>
              <w:bottom w:val="single" w:color="000000" w:sz="4" w:space="0"/>
              <w:right w:val="single" w:color="auto" w:sz="4" w:space="0"/>
            </w:tcBorders>
            <w:vAlign w:val="center"/>
          </w:tcPr>
          <w:p>
            <w:pPr>
              <w:widowControl/>
              <w:autoSpaceDN w:val="0"/>
              <w:jc w:val="left"/>
              <w:rPr>
                <w:rFonts w:ascii="宋体" w:hAnsi="宋体" w:cs="宋体"/>
                <w:color w:val="000000"/>
                <w:kern w:val="0"/>
                <w:sz w:val="20"/>
                <w:szCs w:val="20"/>
              </w:rPr>
            </w:pPr>
          </w:p>
        </w:tc>
        <w:tc>
          <w:tcPr>
            <w:tcW w:w="287" w:type="pct"/>
            <w:tcBorders>
              <w:top w:val="single" w:color="auto" w:sz="4" w:space="0"/>
              <w:left w:val="single" w:color="auto" w:sz="4" w:space="0"/>
              <w:bottom w:val="single" w:color="auto" w:sz="4" w:space="0"/>
              <w:right w:val="nil"/>
            </w:tcBorders>
            <w:vAlign w:val="center"/>
          </w:tcPr>
          <w:p>
            <w:pPr>
              <w:widowControl/>
              <w:autoSpaceDN w:val="0"/>
              <w:jc w:val="center"/>
              <w:rPr>
                <w:rFonts w:ascii="宋体" w:hAnsi="宋体" w:cs="宋体"/>
                <w:color w:val="000000"/>
                <w:kern w:val="0"/>
                <w:sz w:val="20"/>
                <w:szCs w:val="20"/>
              </w:rPr>
            </w:pPr>
            <w:r>
              <w:rPr>
                <w:rFonts w:hint="eastAsia" w:ascii="宋体" w:hAnsi="宋体" w:cs="宋体"/>
                <w:color w:val="000000"/>
                <w:kern w:val="0"/>
                <w:sz w:val="20"/>
                <w:szCs w:val="20"/>
              </w:rPr>
              <w:t>项目支出</w:t>
            </w:r>
          </w:p>
        </w:tc>
        <w:tc>
          <w:tcPr>
            <w:tcW w:w="499" w:type="pct"/>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s="宋体"/>
                <w:color w:val="000000"/>
                <w:kern w:val="0"/>
                <w:sz w:val="20"/>
                <w:szCs w:val="20"/>
              </w:rPr>
            </w:pPr>
            <w:r>
              <w:rPr>
                <w:rFonts w:hint="eastAsia" w:ascii="宋体" w:hAnsi="宋体" w:cs="宋体"/>
                <w:color w:val="000000"/>
                <w:kern w:val="0"/>
                <w:sz w:val="20"/>
                <w:szCs w:val="20"/>
              </w:rPr>
              <w:t>4,535.52　</w:t>
            </w:r>
          </w:p>
        </w:tc>
        <w:tc>
          <w:tcPr>
            <w:tcW w:w="499" w:type="pct"/>
            <w:tcBorders>
              <w:top w:val="single" w:color="auto" w:sz="4" w:space="0"/>
              <w:left w:val="nil"/>
              <w:bottom w:val="single" w:color="auto" w:sz="4" w:space="0"/>
              <w:right w:val="single" w:color="auto" w:sz="4" w:space="0"/>
            </w:tcBorders>
            <w:vAlign w:val="center"/>
          </w:tcPr>
          <w:p>
            <w:pPr>
              <w:widowControl/>
              <w:autoSpaceDN w:val="0"/>
              <w:jc w:val="center"/>
              <w:rPr>
                <w:rFonts w:ascii="宋体" w:hAnsi="宋体" w:cs="宋体"/>
                <w:color w:val="000000"/>
                <w:kern w:val="0"/>
                <w:sz w:val="20"/>
                <w:szCs w:val="20"/>
              </w:rPr>
            </w:pPr>
            <w:r>
              <w:rPr>
                <w:rFonts w:hint="eastAsia" w:ascii="宋体" w:hAnsi="宋体" w:cs="宋体"/>
                <w:color w:val="000000"/>
                <w:kern w:val="0"/>
                <w:sz w:val="20"/>
                <w:szCs w:val="20"/>
              </w:rPr>
              <w:t>4,534.98　</w:t>
            </w:r>
          </w:p>
        </w:tc>
        <w:tc>
          <w:tcPr>
            <w:tcW w:w="500" w:type="pct"/>
            <w:vMerge w:val="continue"/>
            <w:tcBorders>
              <w:top w:val="single" w:color="auto" w:sz="4" w:space="0"/>
              <w:left w:val="single" w:color="auto" w:sz="4" w:space="0"/>
              <w:bottom w:val="single" w:color="auto" w:sz="4" w:space="0"/>
              <w:right w:val="single" w:color="auto" w:sz="4" w:space="0"/>
            </w:tcBorders>
            <w:vAlign w:val="center"/>
          </w:tcPr>
          <w:p>
            <w:pPr>
              <w:widowControl/>
              <w:autoSpaceDN w:val="0"/>
              <w:jc w:val="left"/>
              <w:rPr>
                <w:rFonts w:ascii="宋体" w:hAnsi="宋体" w:cs="宋体"/>
                <w:color w:val="000000"/>
                <w:kern w:val="0"/>
                <w:sz w:val="20"/>
                <w:szCs w:val="20"/>
              </w:rPr>
            </w:pPr>
          </w:p>
        </w:tc>
        <w:tc>
          <w:tcPr>
            <w:tcW w:w="217" w:type="pct"/>
            <w:vMerge w:val="continue"/>
            <w:tcBorders>
              <w:top w:val="single" w:color="auto" w:sz="4" w:space="0"/>
              <w:left w:val="single" w:color="auto" w:sz="4" w:space="0"/>
              <w:bottom w:val="single" w:color="auto" w:sz="4" w:space="0"/>
              <w:right w:val="single" w:color="auto" w:sz="4" w:space="0"/>
            </w:tcBorders>
            <w:vAlign w:val="center"/>
          </w:tcPr>
          <w:p>
            <w:pPr>
              <w:widowControl/>
              <w:autoSpaceDN w:val="0"/>
              <w:jc w:val="left"/>
              <w:rPr>
                <w:rFonts w:ascii="宋体" w:hAnsi="宋体" w:cs="宋体"/>
                <w:color w:val="000000"/>
                <w:kern w:val="0"/>
                <w:sz w:val="20"/>
                <w:szCs w:val="20"/>
              </w:rPr>
            </w:pPr>
          </w:p>
        </w:tc>
        <w:tc>
          <w:tcPr>
            <w:tcW w:w="217" w:type="pct"/>
            <w:vMerge w:val="continue"/>
            <w:tcBorders>
              <w:top w:val="single" w:color="auto" w:sz="4" w:space="0"/>
              <w:left w:val="nil"/>
              <w:bottom w:val="single" w:color="auto" w:sz="4" w:space="0"/>
              <w:right w:val="nil"/>
            </w:tcBorders>
            <w:vAlign w:val="center"/>
          </w:tcPr>
          <w:p>
            <w:pPr>
              <w:widowControl/>
              <w:autoSpaceDN w:val="0"/>
              <w:jc w:val="left"/>
              <w:rPr>
                <w:rFonts w:ascii="宋体" w:hAnsi="宋体" w:cs="宋体"/>
                <w:color w:val="000000"/>
                <w:kern w:val="0"/>
                <w:sz w:val="20"/>
                <w:szCs w:val="20"/>
              </w:rPr>
            </w:pPr>
          </w:p>
        </w:tc>
        <w:tc>
          <w:tcPr>
            <w:tcW w:w="1085" w:type="pct"/>
            <w:vMerge w:val="continue"/>
            <w:tcBorders>
              <w:top w:val="single" w:color="auto" w:sz="4" w:space="0"/>
              <w:left w:val="single" w:color="auto" w:sz="4" w:space="0"/>
              <w:bottom w:val="single" w:color="auto" w:sz="4" w:space="0"/>
              <w:right w:val="single" w:color="auto" w:sz="4" w:space="0"/>
            </w:tcBorders>
            <w:vAlign w:val="center"/>
          </w:tcPr>
          <w:p>
            <w:pPr>
              <w:widowControl/>
              <w:autoSpaceDN w:val="0"/>
              <w:jc w:val="left"/>
              <w:rPr>
                <w:rFonts w:ascii="宋体" w:hAnsi="宋体" w:cs="宋体"/>
                <w:color w:val="000000"/>
                <w:kern w:val="0"/>
                <w:sz w:val="18"/>
                <w:szCs w:val="18"/>
              </w:rPr>
            </w:pPr>
          </w:p>
        </w:tc>
        <w:tc>
          <w:tcPr>
            <w:tcW w:w="1405" w:type="pct"/>
            <w:vMerge w:val="continue"/>
            <w:tcBorders>
              <w:top w:val="nil"/>
              <w:left w:val="single" w:color="auto" w:sz="4" w:space="0"/>
              <w:bottom w:val="single" w:color="auto" w:sz="4" w:space="0"/>
              <w:right w:val="single" w:color="auto" w:sz="4" w:space="0"/>
            </w:tcBorders>
            <w:vAlign w:val="center"/>
          </w:tcPr>
          <w:p>
            <w:pPr>
              <w:widowControl/>
              <w:autoSpaceDN w:val="0"/>
              <w:jc w:val="left"/>
              <w:rPr>
                <w:rFonts w:ascii="宋体" w:hAnsi="宋体" w:cs="宋体"/>
                <w:color w:val="000000"/>
                <w:kern w:val="0"/>
                <w:sz w:val="18"/>
                <w:szCs w:val="18"/>
              </w:rPr>
            </w:pPr>
          </w:p>
        </w:tc>
      </w:tr>
      <w:tr>
        <w:tblPrEx>
          <w:tblCellMar>
            <w:top w:w="0" w:type="dxa"/>
            <w:left w:w="108" w:type="dxa"/>
            <w:bottom w:w="0" w:type="dxa"/>
            <w:right w:w="108" w:type="dxa"/>
          </w:tblCellMar>
        </w:tblPrEx>
        <w:trPr>
          <w:trHeight w:val="2136" w:hRule="atLeast"/>
        </w:trPr>
        <w:tc>
          <w:tcPr>
            <w:tcW w:w="287" w:type="pct"/>
            <w:vMerge w:val="continue"/>
            <w:tcBorders>
              <w:top w:val="nil"/>
              <w:left w:val="single" w:color="auto" w:sz="4" w:space="0"/>
              <w:bottom w:val="single" w:color="000000" w:sz="4" w:space="0"/>
              <w:right w:val="single" w:color="auto" w:sz="4" w:space="0"/>
            </w:tcBorders>
            <w:vAlign w:val="center"/>
          </w:tcPr>
          <w:p>
            <w:pPr>
              <w:widowControl/>
              <w:autoSpaceDN w:val="0"/>
              <w:jc w:val="left"/>
              <w:rPr>
                <w:rFonts w:ascii="宋体" w:hAnsi="宋体" w:cs="宋体"/>
                <w:color w:val="000000"/>
                <w:kern w:val="0"/>
                <w:sz w:val="20"/>
                <w:szCs w:val="20"/>
              </w:rPr>
            </w:pPr>
          </w:p>
        </w:tc>
        <w:tc>
          <w:tcPr>
            <w:tcW w:w="287" w:type="pct"/>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s="宋体"/>
                <w:color w:val="000000"/>
                <w:kern w:val="0"/>
                <w:sz w:val="20"/>
                <w:szCs w:val="20"/>
              </w:rPr>
            </w:pPr>
            <w:r>
              <w:rPr>
                <w:rFonts w:hint="eastAsia" w:ascii="宋体" w:hAnsi="宋体" w:cs="宋体"/>
                <w:color w:val="000000"/>
                <w:kern w:val="0"/>
                <w:sz w:val="20"/>
                <w:szCs w:val="20"/>
              </w:rPr>
              <w:t>其他</w:t>
            </w:r>
          </w:p>
        </w:tc>
        <w:tc>
          <w:tcPr>
            <w:tcW w:w="499" w:type="pct"/>
            <w:tcBorders>
              <w:top w:val="single" w:color="auto" w:sz="4" w:space="0"/>
              <w:left w:val="nil"/>
              <w:bottom w:val="single" w:color="auto" w:sz="4" w:space="0"/>
              <w:right w:val="single" w:color="auto" w:sz="4" w:space="0"/>
            </w:tcBorders>
            <w:vAlign w:val="center"/>
          </w:tcPr>
          <w:p>
            <w:pPr>
              <w:widowControl/>
              <w:autoSpaceDN w:val="0"/>
              <w:jc w:val="center"/>
              <w:rPr>
                <w:rFonts w:ascii="宋体" w:hAnsi="宋体" w:cs="宋体"/>
                <w:color w:val="000000"/>
                <w:kern w:val="0"/>
                <w:sz w:val="20"/>
                <w:szCs w:val="20"/>
              </w:rPr>
            </w:pPr>
            <w:r>
              <w:rPr>
                <w:rFonts w:hint="eastAsia" w:ascii="宋体" w:hAnsi="宋体" w:cs="宋体"/>
                <w:color w:val="000000"/>
                <w:kern w:val="0"/>
                <w:sz w:val="20"/>
                <w:szCs w:val="20"/>
              </w:rPr>
              <w:t>　0</w:t>
            </w:r>
          </w:p>
        </w:tc>
        <w:tc>
          <w:tcPr>
            <w:tcW w:w="499" w:type="pct"/>
            <w:tcBorders>
              <w:top w:val="single" w:color="auto" w:sz="4" w:space="0"/>
              <w:left w:val="nil"/>
              <w:bottom w:val="single" w:color="auto" w:sz="4" w:space="0"/>
              <w:right w:val="single" w:color="auto" w:sz="4" w:space="0"/>
            </w:tcBorders>
            <w:vAlign w:val="center"/>
          </w:tcPr>
          <w:p>
            <w:pPr>
              <w:widowControl/>
              <w:autoSpaceDN w:val="0"/>
              <w:jc w:val="center"/>
              <w:rPr>
                <w:rFonts w:ascii="宋体" w:hAnsi="宋体" w:cs="宋体"/>
                <w:color w:val="000000"/>
                <w:kern w:val="0"/>
                <w:sz w:val="20"/>
                <w:szCs w:val="20"/>
              </w:rPr>
            </w:pPr>
            <w:r>
              <w:rPr>
                <w:rFonts w:hint="eastAsia" w:ascii="宋体" w:hAnsi="宋体" w:cs="宋体"/>
                <w:color w:val="000000"/>
                <w:kern w:val="0"/>
                <w:sz w:val="20"/>
                <w:szCs w:val="20"/>
              </w:rPr>
              <w:t>0　</w:t>
            </w:r>
          </w:p>
        </w:tc>
        <w:tc>
          <w:tcPr>
            <w:tcW w:w="500" w:type="pct"/>
            <w:vMerge w:val="continue"/>
            <w:tcBorders>
              <w:top w:val="single" w:color="auto" w:sz="4" w:space="0"/>
              <w:left w:val="single" w:color="auto" w:sz="4" w:space="0"/>
              <w:bottom w:val="single" w:color="auto" w:sz="4" w:space="0"/>
              <w:right w:val="single" w:color="auto" w:sz="4" w:space="0"/>
            </w:tcBorders>
            <w:vAlign w:val="center"/>
          </w:tcPr>
          <w:p>
            <w:pPr>
              <w:widowControl/>
              <w:autoSpaceDN w:val="0"/>
              <w:jc w:val="left"/>
              <w:rPr>
                <w:rFonts w:ascii="宋体" w:hAnsi="宋体" w:cs="宋体"/>
                <w:color w:val="000000"/>
                <w:kern w:val="0"/>
                <w:sz w:val="20"/>
                <w:szCs w:val="20"/>
              </w:rPr>
            </w:pPr>
          </w:p>
        </w:tc>
        <w:tc>
          <w:tcPr>
            <w:tcW w:w="217" w:type="pct"/>
            <w:vMerge w:val="continue"/>
            <w:tcBorders>
              <w:top w:val="single" w:color="auto" w:sz="4" w:space="0"/>
              <w:left w:val="single" w:color="auto" w:sz="4" w:space="0"/>
              <w:bottom w:val="single" w:color="auto" w:sz="4" w:space="0"/>
              <w:right w:val="single" w:color="auto" w:sz="4" w:space="0"/>
            </w:tcBorders>
            <w:vAlign w:val="center"/>
          </w:tcPr>
          <w:p>
            <w:pPr>
              <w:widowControl/>
              <w:autoSpaceDN w:val="0"/>
              <w:jc w:val="left"/>
              <w:rPr>
                <w:rFonts w:ascii="宋体" w:hAnsi="宋体" w:cs="宋体"/>
                <w:color w:val="000000"/>
                <w:kern w:val="0"/>
                <w:sz w:val="20"/>
                <w:szCs w:val="20"/>
              </w:rPr>
            </w:pPr>
          </w:p>
        </w:tc>
        <w:tc>
          <w:tcPr>
            <w:tcW w:w="217" w:type="pct"/>
            <w:vMerge w:val="continue"/>
            <w:tcBorders>
              <w:top w:val="single" w:color="auto" w:sz="4" w:space="0"/>
              <w:left w:val="nil"/>
              <w:bottom w:val="single" w:color="auto" w:sz="4" w:space="0"/>
              <w:right w:val="nil"/>
            </w:tcBorders>
            <w:vAlign w:val="center"/>
          </w:tcPr>
          <w:p>
            <w:pPr>
              <w:widowControl/>
              <w:autoSpaceDN w:val="0"/>
              <w:jc w:val="left"/>
              <w:rPr>
                <w:rFonts w:ascii="宋体" w:hAnsi="宋体" w:cs="宋体"/>
                <w:color w:val="000000"/>
                <w:kern w:val="0"/>
                <w:sz w:val="20"/>
                <w:szCs w:val="20"/>
              </w:rPr>
            </w:pPr>
          </w:p>
        </w:tc>
        <w:tc>
          <w:tcPr>
            <w:tcW w:w="1085" w:type="pct"/>
            <w:vMerge w:val="continue"/>
            <w:tcBorders>
              <w:top w:val="single" w:color="auto" w:sz="4" w:space="0"/>
              <w:left w:val="single" w:color="auto" w:sz="4" w:space="0"/>
              <w:bottom w:val="single" w:color="auto" w:sz="4" w:space="0"/>
              <w:right w:val="single" w:color="auto" w:sz="4" w:space="0"/>
            </w:tcBorders>
            <w:vAlign w:val="center"/>
          </w:tcPr>
          <w:p>
            <w:pPr>
              <w:widowControl/>
              <w:autoSpaceDN w:val="0"/>
              <w:jc w:val="left"/>
              <w:rPr>
                <w:rFonts w:ascii="宋体" w:hAnsi="宋体" w:cs="宋体"/>
                <w:color w:val="000000"/>
                <w:kern w:val="0"/>
                <w:sz w:val="18"/>
                <w:szCs w:val="18"/>
              </w:rPr>
            </w:pPr>
          </w:p>
        </w:tc>
        <w:tc>
          <w:tcPr>
            <w:tcW w:w="1405" w:type="pct"/>
            <w:vMerge w:val="continue"/>
            <w:tcBorders>
              <w:top w:val="nil"/>
              <w:left w:val="single" w:color="auto" w:sz="4" w:space="0"/>
              <w:bottom w:val="single" w:color="auto" w:sz="4" w:space="0"/>
              <w:right w:val="single" w:color="auto" w:sz="4" w:space="0"/>
            </w:tcBorders>
            <w:vAlign w:val="center"/>
          </w:tcPr>
          <w:p>
            <w:pPr>
              <w:widowControl/>
              <w:autoSpaceDN w:val="0"/>
              <w:jc w:val="left"/>
              <w:rPr>
                <w:rFonts w:ascii="宋体" w:hAnsi="宋体" w:cs="宋体"/>
                <w:color w:val="000000"/>
                <w:kern w:val="0"/>
                <w:sz w:val="18"/>
                <w:szCs w:val="18"/>
              </w:rPr>
            </w:pPr>
          </w:p>
        </w:tc>
      </w:tr>
      <w:tr>
        <w:tblPrEx>
          <w:tblCellMar>
            <w:top w:w="0" w:type="dxa"/>
            <w:left w:w="108" w:type="dxa"/>
            <w:bottom w:w="0" w:type="dxa"/>
            <w:right w:w="108" w:type="dxa"/>
          </w:tblCellMar>
        </w:tblPrEx>
        <w:trPr>
          <w:trHeight w:val="569" w:hRule="atLeast"/>
        </w:trPr>
        <w:tc>
          <w:tcPr>
            <w:tcW w:w="5000" w:type="pct"/>
            <w:gridSpan w:val="9"/>
            <w:tcBorders>
              <w:top w:val="nil"/>
              <w:left w:val="single" w:color="auto" w:sz="4" w:space="0"/>
              <w:bottom w:val="single" w:color="auto" w:sz="4" w:space="0"/>
              <w:right w:val="single" w:color="auto" w:sz="4" w:space="0"/>
            </w:tcBorders>
            <w:vAlign w:val="center"/>
          </w:tcPr>
          <w:p>
            <w:pPr>
              <w:widowControl/>
              <w:autoSpaceDN w:val="0"/>
              <w:jc w:val="left"/>
              <w:rPr>
                <w:rFonts w:ascii="宋体" w:hAnsi="宋体" w:cs="宋体"/>
                <w:color w:val="000000"/>
                <w:kern w:val="0"/>
                <w:sz w:val="18"/>
                <w:szCs w:val="18"/>
              </w:rPr>
            </w:pPr>
            <w:r>
              <w:rPr>
                <w:rFonts w:hint="eastAsia" w:ascii="宋体" w:hAnsi="宋体" w:cs="宋体"/>
                <w:color w:val="000000"/>
                <w:kern w:val="0"/>
                <w:sz w:val="18"/>
                <w:szCs w:val="18"/>
              </w:rPr>
              <w:t>二</w:t>
            </w:r>
            <w:r>
              <w:rPr>
                <w:rFonts w:ascii="宋体" w:hAnsi="宋体" w:cs="宋体"/>
                <w:color w:val="000000"/>
                <w:kern w:val="0"/>
                <w:sz w:val="18"/>
                <w:szCs w:val="18"/>
              </w:rPr>
              <w:t>、</w:t>
            </w:r>
            <w:r>
              <w:rPr>
                <w:rFonts w:hint="eastAsia" w:ascii="宋体" w:hAnsi="宋体" w:cs="宋体"/>
                <w:color w:val="000000"/>
                <w:kern w:val="0"/>
                <w:sz w:val="20"/>
                <w:szCs w:val="20"/>
              </w:rPr>
              <w:t>整体绩效目标实现情况（60分）</w:t>
            </w:r>
          </w:p>
        </w:tc>
      </w:tr>
      <w:tr>
        <w:tblPrEx>
          <w:tblCellMar>
            <w:top w:w="0" w:type="dxa"/>
            <w:left w:w="108" w:type="dxa"/>
            <w:bottom w:w="0" w:type="dxa"/>
            <w:right w:w="108" w:type="dxa"/>
          </w:tblCellMar>
        </w:tblPrEx>
        <w:trPr>
          <w:trHeight w:val="499" w:hRule="atLeast"/>
        </w:trPr>
        <w:tc>
          <w:tcPr>
            <w:tcW w:w="287" w:type="pct"/>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s="宋体"/>
                <w:color w:val="000000"/>
                <w:kern w:val="0"/>
                <w:sz w:val="20"/>
                <w:szCs w:val="20"/>
              </w:rPr>
            </w:pPr>
            <w:r>
              <w:rPr>
                <w:rFonts w:hint="eastAsia" w:ascii="宋体" w:hAnsi="宋体" w:cs="宋体"/>
                <w:color w:val="000000"/>
                <w:kern w:val="0"/>
                <w:sz w:val="20"/>
                <w:szCs w:val="20"/>
              </w:rPr>
              <w:t>一</w:t>
            </w:r>
            <w:r>
              <w:rPr>
                <w:rFonts w:ascii="宋体" w:hAnsi="宋体" w:cs="宋体"/>
                <w:color w:val="000000"/>
                <w:kern w:val="0"/>
                <w:sz w:val="20"/>
                <w:szCs w:val="20"/>
              </w:rPr>
              <w:t>级指标</w:t>
            </w:r>
          </w:p>
        </w:tc>
        <w:tc>
          <w:tcPr>
            <w:tcW w:w="287" w:type="pct"/>
            <w:tcBorders>
              <w:top w:val="single" w:color="auto" w:sz="4" w:space="0"/>
              <w:left w:val="nil"/>
              <w:bottom w:val="single" w:color="auto" w:sz="4" w:space="0"/>
              <w:right w:val="single" w:color="auto" w:sz="4" w:space="0"/>
            </w:tcBorders>
            <w:vAlign w:val="center"/>
          </w:tcPr>
          <w:p>
            <w:pPr>
              <w:widowControl/>
              <w:autoSpaceDN w:val="0"/>
              <w:jc w:val="center"/>
              <w:rPr>
                <w:rFonts w:ascii="宋体" w:hAnsi="宋体" w:cs="宋体"/>
                <w:color w:val="000000"/>
                <w:kern w:val="0"/>
                <w:sz w:val="20"/>
                <w:szCs w:val="20"/>
              </w:rPr>
            </w:pPr>
            <w:r>
              <w:rPr>
                <w:rFonts w:hint="eastAsia" w:ascii="宋体" w:hAnsi="宋体" w:cs="宋体"/>
                <w:color w:val="000000"/>
                <w:kern w:val="0"/>
                <w:sz w:val="20"/>
                <w:szCs w:val="20"/>
              </w:rPr>
              <w:t>二</w:t>
            </w:r>
            <w:r>
              <w:rPr>
                <w:rFonts w:ascii="宋体" w:hAnsi="宋体" w:cs="宋体"/>
                <w:color w:val="000000"/>
                <w:kern w:val="0"/>
                <w:sz w:val="20"/>
                <w:szCs w:val="20"/>
              </w:rPr>
              <w:t>级指标</w:t>
            </w:r>
            <w:r>
              <w:rPr>
                <w:rFonts w:hint="eastAsia" w:ascii="宋体" w:hAnsi="宋体" w:cs="宋体"/>
                <w:color w:val="000000"/>
                <w:kern w:val="0"/>
                <w:sz w:val="20"/>
                <w:szCs w:val="20"/>
              </w:rPr>
              <w:t>　</w:t>
            </w:r>
          </w:p>
        </w:tc>
        <w:tc>
          <w:tcPr>
            <w:tcW w:w="499" w:type="pct"/>
            <w:tcBorders>
              <w:top w:val="single" w:color="auto" w:sz="4" w:space="0"/>
              <w:left w:val="nil"/>
              <w:bottom w:val="single" w:color="auto" w:sz="4" w:space="0"/>
              <w:right w:val="single" w:color="auto" w:sz="4" w:space="0"/>
            </w:tcBorders>
            <w:vAlign w:val="center"/>
          </w:tcPr>
          <w:p>
            <w:pPr>
              <w:widowControl/>
              <w:autoSpaceDN w:val="0"/>
              <w:jc w:val="center"/>
              <w:rPr>
                <w:rFonts w:ascii="宋体" w:hAnsi="宋体" w:cs="宋体"/>
                <w:color w:val="000000"/>
                <w:kern w:val="0"/>
                <w:sz w:val="20"/>
                <w:szCs w:val="20"/>
              </w:rPr>
            </w:pPr>
            <w:r>
              <w:rPr>
                <w:rFonts w:hint="eastAsia" w:ascii="宋体" w:hAnsi="宋体" w:cs="宋体"/>
                <w:color w:val="000000"/>
                <w:kern w:val="0"/>
                <w:sz w:val="20"/>
                <w:szCs w:val="20"/>
              </w:rPr>
              <w:t>三</w:t>
            </w:r>
            <w:r>
              <w:rPr>
                <w:rFonts w:ascii="宋体" w:hAnsi="宋体" w:cs="宋体"/>
                <w:color w:val="000000"/>
                <w:kern w:val="0"/>
                <w:sz w:val="20"/>
                <w:szCs w:val="20"/>
              </w:rPr>
              <w:t>级指标</w:t>
            </w:r>
            <w:r>
              <w:rPr>
                <w:rFonts w:hint="eastAsia" w:ascii="宋体" w:hAnsi="宋体" w:cs="宋体"/>
                <w:color w:val="000000"/>
                <w:kern w:val="0"/>
                <w:sz w:val="20"/>
                <w:szCs w:val="20"/>
              </w:rPr>
              <w:t>　</w:t>
            </w:r>
          </w:p>
        </w:tc>
        <w:tc>
          <w:tcPr>
            <w:tcW w:w="499" w:type="pct"/>
            <w:tcBorders>
              <w:top w:val="single" w:color="auto" w:sz="4" w:space="0"/>
              <w:left w:val="nil"/>
              <w:bottom w:val="single" w:color="auto" w:sz="4" w:space="0"/>
              <w:right w:val="single" w:color="auto" w:sz="4" w:space="0"/>
            </w:tcBorders>
            <w:vAlign w:val="center"/>
          </w:tcPr>
          <w:p>
            <w:pPr>
              <w:widowControl/>
              <w:autoSpaceDN w:val="0"/>
              <w:jc w:val="center"/>
              <w:rPr>
                <w:rFonts w:ascii="宋体" w:hAnsi="宋体" w:cs="宋体"/>
                <w:color w:val="000000"/>
                <w:kern w:val="0"/>
                <w:sz w:val="20"/>
                <w:szCs w:val="20"/>
              </w:rPr>
            </w:pPr>
            <w:r>
              <w:rPr>
                <w:rFonts w:hint="eastAsia" w:ascii="宋体" w:hAnsi="宋体" w:cs="宋体"/>
                <w:color w:val="000000"/>
                <w:kern w:val="0"/>
                <w:sz w:val="20"/>
                <w:szCs w:val="20"/>
              </w:rPr>
              <w:t>指标值</w:t>
            </w:r>
          </w:p>
        </w:tc>
        <w:tc>
          <w:tcPr>
            <w:tcW w:w="500" w:type="pct"/>
            <w:tcBorders>
              <w:top w:val="single" w:color="auto" w:sz="4" w:space="0"/>
              <w:left w:val="nil"/>
              <w:bottom w:val="single" w:color="auto" w:sz="4" w:space="0"/>
              <w:right w:val="single" w:color="auto" w:sz="4" w:space="0"/>
            </w:tcBorders>
            <w:vAlign w:val="center"/>
          </w:tcPr>
          <w:p>
            <w:pPr>
              <w:widowControl/>
              <w:autoSpaceDN w:val="0"/>
              <w:jc w:val="center"/>
              <w:rPr>
                <w:rFonts w:ascii="宋体" w:hAnsi="宋体" w:cs="宋体"/>
                <w:color w:val="000000"/>
                <w:kern w:val="0"/>
                <w:sz w:val="20"/>
                <w:szCs w:val="20"/>
              </w:rPr>
            </w:pPr>
            <w:r>
              <w:rPr>
                <w:rFonts w:hint="eastAsia" w:ascii="宋体" w:hAnsi="宋体" w:cs="宋体"/>
                <w:color w:val="000000"/>
                <w:kern w:val="0"/>
                <w:sz w:val="20"/>
                <w:szCs w:val="20"/>
              </w:rPr>
              <w:t>完成值</w:t>
            </w:r>
          </w:p>
        </w:tc>
        <w:tc>
          <w:tcPr>
            <w:tcW w:w="217" w:type="pct"/>
            <w:tcBorders>
              <w:top w:val="single" w:color="auto" w:sz="4" w:space="0"/>
              <w:left w:val="nil"/>
              <w:bottom w:val="single" w:color="auto" w:sz="4" w:space="0"/>
              <w:right w:val="single" w:color="auto" w:sz="4" w:space="0"/>
            </w:tcBorders>
            <w:vAlign w:val="center"/>
          </w:tcPr>
          <w:p>
            <w:pPr>
              <w:widowControl/>
              <w:autoSpaceDN w:val="0"/>
              <w:jc w:val="center"/>
              <w:rPr>
                <w:rFonts w:ascii="宋体" w:hAnsi="宋体" w:cs="宋体"/>
                <w:color w:val="000000"/>
                <w:kern w:val="0"/>
                <w:sz w:val="20"/>
                <w:szCs w:val="20"/>
              </w:rPr>
            </w:pPr>
            <w:r>
              <w:rPr>
                <w:rFonts w:hint="eastAsia" w:ascii="宋体" w:hAnsi="宋体" w:cs="宋体"/>
                <w:color w:val="000000"/>
                <w:kern w:val="0"/>
                <w:sz w:val="20"/>
                <w:szCs w:val="20"/>
              </w:rPr>
              <w:t>分值</w:t>
            </w:r>
          </w:p>
        </w:tc>
        <w:tc>
          <w:tcPr>
            <w:tcW w:w="217" w:type="pct"/>
            <w:tcBorders>
              <w:top w:val="single" w:color="auto" w:sz="4" w:space="0"/>
              <w:left w:val="nil"/>
              <w:bottom w:val="single" w:color="auto" w:sz="4" w:space="0"/>
              <w:right w:val="nil"/>
            </w:tcBorders>
            <w:vAlign w:val="center"/>
          </w:tcPr>
          <w:p>
            <w:pPr>
              <w:widowControl/>
              <w:autoSpaceDN w:val="0"/>
              <w:jc w:val="center"/>
              <w:rPr>
                <w:rFonts w:ascii="宋体" w:hAnsi="宋体" w:cs="宋体"/>
                <w:color w:val="000000"/>
                <w:kern w:val="0"/>
                <w:sz w:val="20"/>
                <w:szCs w:val="20"/>
              </w:rPr>
            </w:pPr>
            <w:r>
              <w:rPr>
                <w:rFonts w:hint="eastAsia" w:ascii="宋体" w:hAnsi="宋体" w:cs="宋体"/>
                <w:color w:val="000000"/>
                <w:kern w:val="0"/>
                <w:sz w:val="20"/>
                <w:szCs w:val="20"/>
              </w:rPr>
              <w:t>得分</w:t>
            </w:r>
          </w:p>
        </w:tc>
        <w:tc>
          <w:tcPr>
            <w:tcW w:w="1085" w:type="pct"/>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s="宋体"/>
                <w:bCs/>
                <w:color w:val="000000"/>
                <w:kern w:val="0"/>
                <w:sz w:val="18"/>
                <w:szCs w:val="18"/>
              </w:rPr>
            </w:pPr>
            <w:r>
              <w:rPr>
                <w:rFonts w:hint="eastAsia" w:ascii="宋体" w:hAnsi="宋体" w:cs="宋体"/>
                <w:bCs/>
                <w:color w:val="000000"/>
                <w:kern w:val="0"/>
                <w:sz w:val="18"/>
                <w:szCs w:val="18"/>
              </w:rPr>
              <w:t>指标</w:t>
            </w:r>
            <w:r>
              <w:rPr>
                <w:rFonts w:ascii="宋体" w:hAnsi="宋体" w:cs="宋体"/>
                <w:bCs/>
                <w:color w:val="000000"/>
                <w:kern w:val="0"/>
                <w:sz w:val="18"/>
                <w:szCs w:val="18"/>
              </w:rPr>
              <w:t>解释</w:t>
            </w:r>
          </w:p>
        </w:tc>
        <w:tc>
          <w:tcPr>
            <w:tcW w:w="1405" w:type="pct"/>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s="宋体"/>
                <w:color w:val="000000"/>
                <w:kern w:val="0"/>
                <w:sz w:val="18"/>
                <w:szCs w:val="18"/>
              </w:rPr>
            </w:pPr>
            <w:r>
              <w:rPr>
                <w:rFonts w:hint="eastAsia" w:ascii="宋体" w:hAnsi="宋体" w:cs="宋体"/>
                <w:color w:val="000000"/>
                <w:kern w:val="0"/>
                <w:sz w:val="18"/>
                <w:szCs w:val="18"/>
              </w:rPr>
              <w:t>评</w:t>
            </w:r>
            <w:r>
              <w:rPr>
                <w:rFonts w:ascii="宋体" w:hAnsi="宋体" w:cs="宋体"/>
                <w:color w:val="000000"/>
                <w:kern w:val="0"/>
                <w:sz w:val="18"/>
                <w:szCs w:val="18"/>
              </w:rPr>
              <w:t>分标准</w:t>
            </w:r>
          </w:p>
        </w:tc>
      </w:tr>
      <w:tr>
        <w:tblPrEx>
          <w:tblCellMar>
            <w:top w:w="0" w:type="dxa"/>
            <w:left w:w="108" w:type="dxa"/>
            <w:bottom w:w="0" w:type="dxa"/>
            <w:right w:w="108" w:type="dxa"/>
          </w:tblCellMar>
        </w:tblPrEx>
        <w:trPr>
          <w:trHeight w:val="1196" w:hRule="atLeast"/>
        </w:trPr>
        <w:tc>
          <w:tcPr>
            <w:tcW w:w="287" w:type="pct"/>
            <w:vMerge w:val="restart"/>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s="宋体"/>
                <w:color w:val="000000"/>
                <w:kern w:val="0"/>
                <w:sz w:val="20"/>
                <w:szCs w:val="20"/>
              </w:rPr>
            </w:pPr>
            <w:r>
              <w:rPr>
                <w:rFonts w:hint="eastAsia" w:ascii="宋体" w:hAnsi="宋体" w:cs="宋体"/>
                <w:color w:val="000000"/>
                <w:kern w:val="0"/>
                <w:sz w:val="20"/>
                <w:szCs w:val="20"/>
              </w:rPr>
              <w:t>整体绩效目标实现情况（60）</w:t>
            </w:r>
          </w:p>
        </w:tc>
        <w:tc>
          <w:tcPr>
            <w:tcW w:w="287" w:type="pct"/>
            <w:vMerge w:val="restart"/>
            <w:tcBorders>
              <w:top w:val="single" w:color="auto" w:sz="4" w:space="0"/>
              <w:left w:val="nil"/>
              <w:right w:val="single" w:color="auto" w:sz="4" w:space="0"/>
            </w:tcBorders>
            <w:vAlign w:val="center"/>
          </w:tcPr>
          <w:p>
            <w:pPr>
              <w:widowControl/>
              <w:autoSpaceDN w:val="0"/>
              <w:jc w:val="center"/>
              <w:rPr>
                <w:rFonts w:ascii="宋体" w:hAnsi="宋体" w:cs="宋体"/>
                <w:color w:val="000000"/>
                <w:kern w:val="0"/>
                <w:sz w:val="20"/>
                <w:szCs w:val="20"/>
              </w:rPr>
            </w:pPr>
          </w:p>
          <w:p>
            <w:pPr>
              <w:autoSpaceDN w:val="0"/>
              <w:jc w:val="center"/>
              <w:rPr>
                <w:rFonts w:ascii="宋体" w:hAnsi="宋体" w:cs="宋体"/>
                <w:color w:val="000000"/>
                <w:kern w:val="0"/>
                <w:sz w:val="20"/>
                <w:szCs w:val="20"/>
              </w:rPr>
            </w:pPr>
            <w:r>
              <w:rPr>
                <w:rFonts w:hint="eastAsia" w:ascii="宋体" w:hAnsi="宋体" w:cs="宋体"/>
                <w:color w:val="000000"/>
                <w:kern w:val="0"/>
                <w:sz w:val="20"/>
                <w:szCs w:val="20"/>
              </w:rPr>
              <w:t>产出（30）</w:t>
            </w:r>
          </w:p>
        </w:tc>
        <w:tc>
          <w:tcPr>
            <w:tcW w:w="499" w:type="pct"/>
            <w:tcBorders>
              <w:top w:val="single" w:color="auto" w:sz="4" w:space="0"/>
              <w:left w:val="nil"/>
              <w:bottom w:val="single" w:color="auto" w:sz="4" w:space="0"/>
              <w:right w:val="single" w:color="auto" w:sz="4" w:space="0"/>
            </w:tcBorders>
            <w:vAlign w:val="center"/>
          </w:tcPr>
          <w:p>
            <w:pPr>
              <w:widowControl/>
              <w:autoSpaceDN w:val="0"/>
              <w:jc w:val="center"/>
              <w:rPr>
                <w:rFonts w:ascii="宋体" w:hAnsi="宋体" w:cs="宋体"/>
                <w:color w:val="000000"/>
                <w:kern w:val="0"/>
                <w:sz w:val="20"/>
                <w:szCs w:val="20"/>
              </w:rPr>
            </w:pPr>
          </w:p>
          <w:p>
            <w:pPr>
              <w:autoSpaceDN w:val="0"/>
              <w:jc w:val="center"/>
              <w:rPr>
                <w:rFonts w:ascii="宋体" w:hAnsi="宋体" w:cs="宋体"/>
                <w:color w:val="000000"/>
                <w:kern w:val="0"/>
                <w:sz w:val="20"/>
                <w:szCs w:val="20"/>
              </w:rPr>
            </w:pPr>
            <w:r>
              <w:rPr>
                <w:rFonts w:hint="eastAsia" w:ascii="宋体" w:hAnsi="宋体" w:cs="宋体"/>
                <w:color w:val="000000"/>
                <w:kern w:val="0"/>
                <w:sz w:val="20"/>
                <w:szCs w:val="20"/>
              </w:rPr>
              <w:t>产出数量</w:t>
            </w:r>
          </w:p>
        </w:tc>
        <w:tc>
          <w:tcPr>
            <w:tcW w:w="499" w:type="pct"/>
            <w:tcBorders>
              <w:top w:val="single" w:color="auto" w:sz="4" w:space="0"/>
              <w:left w:val="nil"/>
              <w:bottom w:val="single" w:color="auto" w:sz="4" w:space="0"/>
              <w:right w:val="single" w:color="auto" w:sz="4" w:space="0"/>
            </w:tcBorders>
            <w:vAlign w:val="center"/>
          </w:tcPr>
          <w:p>
            <w:pPr>
              <w:autoSpaceDN w:val="0"/>
              <w:jc w:val="center"/>
              <w:rPr>
                <w:rFonts w:ascii="宋体" w:hAnsi="宋体" w:cs="宋体"/>
                <w:color w:val="000000"/>
                <w:kern w:val="0"/>
                <w:sz w:val="20"/>
                <w:szCs w:val="20"/>
              </w:rPr>
            </w:pPr>
            <w:r>
              <w:rPr>
                <w:rFonts w:hint="eastAsia" w:ascii="宋体" w:hAnsi="宋体" w:cs="宋体"/>
                <w:color w:val="000000"/>
                <w:kern w:val="0"/>
                <w:sz w:val="20"/>
                <w:szCs w:val="20"/>
                <w:highlight w:val="none"/>
              </w:rPr>
              <w:t>办理各类案件不少于</w:t>
            </w:r>
            <w:r>
              <w:rPr>
                <w:rFonts w:hint="eastAsia" w:ascii="宋体" w:hAnsi="宋体" w:cs="宋体"/>
                <w:color w:val="000000"/>
                <w:kern w:val="0"/>
                <w:sz w:val="20"/>
                <w:szCs w:val="20"/>
                <w:highlight w:val="none"/>
                <w:lang w:val="en-US" w:eastAsia="zh-CN"/>
              </w:rPr>
              <w:t>1</w:t>
            </w:r>
            <w:r>
              <w:rPr>
                <w:rFonts w:hint="eastAsia" w:ascii="宋体" w:hAnsi="宋体" w:cs="宋体"/>
                <w:color w:val="000000"/>
                <w:kern w:val="0"/>
                <w:sz w:val="20"/>
                <w:szCs w:val="20"/>
                <w:highlight w:val="none"/>
              </w:rPr>
              <w:t>万件，严重暴力犯罪及重刑率有所下降，确保我区社会治安持续向好。</w:t>
            </w:r>
          </w:p>
        </w:tc>
        <w:tc>
          <w:tcPr>
            <w:tcW w:w="500" w:type="pct"/>
            <w:tcBorders>
              <w:top w:val="single" w:color="auto" w:sz="4" w:space="0"/>
              <w:left w:val="nil"/>
              <w:bottom w:val="single" w:color="auto" w:sz="4" w:space="0"/>
              <w:right w:val="single" w:color="auto" w:sz="4" w:space="0"/>
            </w:tcBorders>
            <w:vAlign w:val="center"/>
          </w:tcPr>
          <w:p>
            <w:pPr>
              <w:widowControl/>
              <w:autoSpaceDN w:val="0"/>
              <w:jc w:val="center"/>
              <w:rPr>
                <w:rFonts w:ascii="宋体" w:hAnsi="宋体" w:cs="宋体"/>
                <w:color w:val="000000"/>
                <w:kern w:val="0"/>
                <w:sz w:val="20"/>
                <w:szCs w:val="20"/>
              </w:rPr>
            </w:pPr>
          </w:p>
          <w:p>
            <w:pPr>
              <w:autoSpaceDN w:val="0"/>
              <w:jc w:val="center"/>
              <w:rPr>
                <w:rFonts w:ascii="宋体" w:hAnsi="宋体" w:cs="宋体"/>
                <w:color w:val="000000"/>
                <w:kern w:val="0"/>
                <w:sz w:val="20"/>
                <w:szCs w:val="20"/>
              </w:rPr>
            </w:pPr>
            <w:r>
              <w:rPr>
                <w:rFonts w:hint="eastAsia" w:ascii="宋体" w:hAnsi="宋体" w:cs="宋体"/>
                <w:color w:val="000000"/>
                <w:kern w:val="0"/>
                <w:sz w:val="20"/>
                <w:szCs w:val="20"/>
              </w:rPr>
              <w:t>达到预期指标　</w:t>
            </w:r>
          </w:p>
        </w:tc>
        <w:tc>
          <w:tcPr>
            <w:tcW w:w="217" w:type="pct"/>
            <w:vMerge w:val="restart"/>
            <w:tcBorders>
              <w:top w:val="single" w:color="auto" w:sz="4" w:space="0"/>
              <w:left w:val="nil"/>
              <w:bottom w:val="single" w:color="auto" w:sz="4" w:space="0"/>
              <w:right w:val="single" w:color="auto" w:sz="4" w:space="0"/>
            </w:tcBorders>
            <w:vAlign w:val="center"/>
          </w:tcPr>
          <w:p>
            <w:pPr>
              <w:widowControl/>
              <w:autoSpaceDN w:val="0"/>
              <w:jc w:val="center"/>
              <w:rPr>
                <w:rFonts w:ascii="宋体" w:hAnsi="宋体" w:cs="宋体"/>
                <w:color w:val="000000"/>
                <w:kern w:val="0"/>
                <w:sz w:val="20"/>
                <w:szCs w:val="20"/>
              </w:rPr>
            </w:pPr>
          </w:p>
          <w:p>
            <w:pPr>
              <w:autoSpaceDN w:val="0"/>
              <w:jc w:val="center"/>
              <w:rPr>
                <w:rFonts w:ascii="宋体" w:hAnsi="宋体" w:cs="宋体"/>
                <w:color w:val="000000"/>
                <w:kern w:val="0"/>
                <w:sz w:val="20"/>
                <w:szCs w:val="20"/>
              </w:rPr>
            </w:pPr>
            <w:r>
              <w:rPr>
                <w:rFonts w:hint="eastAsia" w:ascii="宋体" w:hAnsi="宋体" w:cs="宋体"/>
                <w:color w:val="000000"/>
                <w:kern w:val="0"/>
                <w:sz w:val="20"/>
                <w:szCs w:val="20"/>
              </w:rPr>
              <w:t>30</w:t>
            </w:r>
          </w:p>
        </w:tc>
        <w:tc>
          <w:tcPr>
            <w:tcW w:w="217" w:type="pct"/>
            <w:tcBorders>
              <w:top w:val="single" w:color="auto" w:sz="4" w:space="0"/>
              <w:left w:val="nil"/>
              <w:bottom w:val="single" w:color="auto" w:sz="4" w:space="0"/>
              <w:right w:val="nil"/>
            </w:tcBorders>
            <w:vAlign w:val="center"/>
          </w:tcPr>
          <w:p>
            <w:pPr>
              <w:widowControl/>
              <w:autoSpaceDN w:val="0"/>
              <w:jc w:val="center"/>
              <w:rPr>
                <w:rFonts w:ascii="宋体" w:hAnsi="宋体" w:cs="宋体"/>
                <w:color w:val="000000"/>
                <w:kern w:val="0"/>
                <w:sz w:val="20"/>
                <w:szCs w:val="20"/>
              </w:rPr>
            </w:pPr>
          </w:p>
          <w:p>
            <w:pPr>
              <w:autoSpaceDN w:val="0"/>
              <w:jc w:val="center"/>
              <w:rPr>
                <w:rFonts w:ascii="宋体" w:hAnsi="宋体" w:cs="宋体"/>
                <w:color w:val="000000"/>
                <w:kern w:val="0"/>
                <w:sz w:val="20"/>
                <w:szCs w:val="20"/>
              </w:rPr>
            </w:pPr>
            <w:r>
              <w:rPr>
                <w:rFonts w:hint="eastAsia" w:ascii="宋体" w:hAnsi="宋体" w:cs="宋体"/>
                <w:color w:val="000000"/>
                <w:kern w:val="0"/>
                <w:sz w:val="20"/>
                <w:szCs w:val="20"/>
              </w:rPr>
              <w:t>9　</w:t>
            </w:r>
          </w:p>
        </w:tc>
        <w:tc>
          <w:tcPr>
            <w:tcW w:w="1085" w:type="pct"/>
            <w:vMerge w:val="restart"/>
            <w:tcBorders>
              <w:top w:val="single" w:color="auto" w:sz="4" w:space="0"/>
              <w:left w:val="single" w:color="auto" w:sz="4" w:space="0"/>
              <w:bottom w:val="single" w:color="auto" w:sz="4" w:space="0"/>
              <w:right w:val="single" w:color="auto" w:sz="4" w:space="0"/>
            </w:tcBorders>
            <w:vAlign w:val="center"/>
          </w:tcPr>
          <w:p>
            <w:pPr>
              <w:widowControl/>
              <w:autoSpaceDN w:val="0"/>
              <w:jc w:val="left"/>
              <w:rPr>
                <w:rFonts w:ascii="宋体" w:hAnsi="宋体" w:cs="宋体"/>
                <w:color w:val="000000"/>
                <w:kern w:val="0"/>
                <w:sz w:val="18"/>
                <w:szCs w:val="18"/>
              </w:rPr>
            </w:pPr>
            <w:r>
              <w:rPr>
                <w:rFonts w:hint="eastAsia" w:ascii="宋体" w:hAnsi="宋体" w:cs="宋体"/>
                <w:b/>
                <w:bCs/>
                <w:color w:val="000000"/>
                <w:kern w:val="0"/>
                <w:sz w:val="18"/>
                <w:szCs w:val="18"/>
              </w:rPr>
              <w:t>产出数量</w:t>
            </w:r>
            <w:r>
              <w:rPr>
                <w:rFonts w:hint="eastAsia" w:ascii="宋体" w:hAnsi="宋体" w:cs="宋体"/>
                <w:color w:val="000000"/>
                <w:kern w:val="0"/>
                <w:sz w:val="18"/>
                <w:szCs w:val="18"/>
              </w:rPr>
              <w:t>：计划完成率=（实际完成工作数/计划工作数）×100%。实际完成工作数：一定时期（年度或规划期）内部门（单位）实际完成工作任务的数量。计划工作数：部门（单位）整体绩效目标确定的一定时期（年度或规划期）内预计完成工作任务的数量。</w:t>
            </w:r>
            <w:r>
              <w:rPr>
                <w:rFonts w:hint="eastAsia" w:ascii="宋体" w:hAnsi="宋体" w:cs="宋体"/>
                <w:b/>
                <w:bCs/>
                <w:color w:val="000000"/>
                <w:kern w:val="0"/>
                <w:sz w:val="18"/>
                <w:szCs w:val="18"/>
              </w:rPr>
              <w:t>产出质量</w:t>
            </w:r>
            <w:r>
              <w:rPr>
                <w:rFonts w:hint="eastAsia" w:ascii="宋体" w:hAnsi="宋体" w:cs="宋体"/>
                <w:color w:val="000000"/>
                <w:kern w:val="0"/>
                <w:sz w:val="18"/>
                <w:szCs w:val="18"/>
              </w:rPr>
              <w:t>：质量达标率=质量达标工作数/实际完成工作数×100%。质量达标工作数：一定时期（年度或规划期）内部门（单位）实际完成工作数中达到部门绩效目标要求（绩效标准值）的工作任务数量。</w:t>
            </w:r>
            <w:r>
              <w:rPr>
                <w:rFonts w:hint="eastAsia" w:ascii="宋体" w:hAnsi="宋体" w:cs="宋体"/>
                <w:b/>
                <w:bCs/>
                <w:color w:val="000000"/>
                <w:kern w:val="0"/>
                <w:sz w:val="18"/>
                <w:szCs w:val="18"/>
              </w:rPr>
              <w:t>产出进度：</w:t>
            </w:r>
            <w:r>
              <w:rPr>
                <w:rFonts w:hint="eastAsia" w:ascii="宋体" w:hAnsi="宋体" w:cs="宋体"/>
                <w:color w:val="000000"/>
                <w:kern w:val="0"/>
                <w:sz w:val="18"/>
                <w:szCs w:val="18"/>
              </w:rPr>
              <w:t>按时完成率=（按时完成工作数/实际完成工作数）×100%。按时完成工作数：部门（单位）按照整体绩效目标确定的时限实际完成的工作任务数量。</w:t>
            </w:r>
            <w:r>
              <w:rPr>
                <w:rFonts w:hint="eastAsia" w:ascii="宋体" w:hAnsi="宋体" w:cs="宋体"/>
                <w:b/>
                <w:bCs/>
                <w:color w:val="000000"/>
                <w:kern w:val="0"/>
                <w:sz w:val="18"/>
                <w:szCs w:val="18"/>
              </w:rPr>
              <w:t>产出成本</w:t>
            </w:r>
            <w:r>
              <w:rPr>
                <w:rFonts w:hint="eastAsia" w:ascii="宋体" w:hAnsi="宋体" w:cs="宋体"/>
                <w:color w:val="000000"/>
                <w:kern w:val="0"/>
                <w:sz w:val="18"/>
                <w:szCs w:val="18"/>
              </w:rPr>
              <w:t>：单位产出相对于上一年度的节约额；②单位产出相对于市场同类产出的节约额；③部门公用经费的控制情况。</w:t>
            </w:r>
          </w:p>
        </w:tc>
        <w:tc>
          <w:tcPr>
            <w:tcW w:w="1405" w:type="pct"/>
            <w:vMerge w:val="restart"/>
            <w:tcBorders>
              <w:top w:val="single" w:color="auto" w:sz="4" w:space="0"/>
              <w:left w:val="single" w:color="auto" w:sz="4" w:space="0"/>
              <w:bottom w:val="single" w:color="auto" w:sz="4" w:space="0"/>
              <w:right w:val="single" w:color="auto" w:sz="4" w:space="0"/>
            </w:tcBorders>
            <w:vAlign w:val="center"/>
          </w:tcPr>
          <w:p>
            <w:pPr>
              <w:widowControl/>
              <w:autoSpaceDN w:val="0"/>
              <w:jc w:val="left"/>
              <w:rPr>
                <w:rFonts w:ascii="宋体" w:hAnsi="宋体" w:cs="宋体"/>
                <w:color w:val="000000"/>
                <w:kern w:val="0"/>
                <w:sz w:val="18"/>
                <w:szCs w:val="18"/>
              </w:rPr>
            </w:pPr>
            <w:r>
              <w:rPr>
                <w:rFonts w:hint="eastAsia" w:ascii="宋体" w:hAnsi="宋体" w:cs="宋体"/>
                <w:color w:val="000000"/>
                <w:kern w:val="0"/>
                <w:sz w:val="18"/>
                <w:szCs w:val="18"/>
              </w:rPr>
              <w:t>部门根据本单位情况自行确定并选择产出指标，合理确定各项指标权重。可量化的指标按照比率*单项指标分值即为该指标得分。如果不能定量评价，则以定性的方式进行自评。</w:t>
            </w:r>
          </w:p>
        </w:tc>
      </w:tr>
      <w:tr>
        <w:tblPrEx>
          <w:tblCellMar>
            <w:top w:w="0" w:type="dxa"/>
            <w:left w:w="108" w:type="dxa"/>
            <w:bottom w:w="0" w:type="dxa"/>
            <w:right w:w="108" w:type="dxa"/>
          </w:tblCellMar>
        </w:tblPrEx>
        <w:trPr>
          <w:trHeight w:val="1130" w:hRule="atLeast"/>
        </w:trPr>
        <w:tc>
          <w:tcPr>
            <w:tcW w:w="287" w:type="pct"/>
            <w:vMerge w:val="continue"/>
            <w:tcBorders>
              <w:top w:val="nil"/>
              <w:left w:val="single" w:color="auto" w:sz="4" w:space="0"/>
              <w:bottom w:val="single" w:color="000000" w:sz="4" w:space="0"/>
              <w:right w:val="single" w:color="auto" w:sz="4" w:space="0"/>
            </w:tcBorders>
            <w:vAlign w:val="center"/>
          </w:tcPr>
          <w:p>
            <w:pPr>
              <w:widowControl/>
              <w:autoSpaceDN w:val="0"/>
              <w:jc w:val="left"/>
              <w:rPr>
                <w:rFonts w:ascii="宋体" w:hAnsi="宋体" w:cs="宋体"/>
                <w:color w:val="000000"/>
                <w:kern w:val="0"/>
                <w:sz w:val="20"/>
                <w:szCs w:val="20"/>
              </w:rPr>
            </w:pPr>
          </w:p>
        </w:tc>
        <w:tc>
          <w:tcPr>
            <w:tcW w:w="287" w:type="pct"/>
            <w:vMerge w:val="continue"/>
            <w:tcBorders>
              <w:left w:val="single" w:color="auto" w:sz="4" w:space="0"/>
              <w:right w:val="single" w:color="auto" w:sz="4" w:space="0"/>
            </w:tcBorders>
            <w:vAlign w:val="center"/>
          </w:tcPr>
          <w:p>
            <w:pPr>
              <w:widowControl/>
              <w:autoSpaceDN w:val="0"/>
              <w:jc w:val="left"/>
              <w:rPr>
                <w:rFonts w:ascii="宋体" w:hAnsi="宋体" w:cs="宋体"/>
                <w:color w:val="000000"/>
                <w:kern w:val="0"/>
                <w:sz w:val="20"/>
                <w:szCs w:val="20"/>
              </w:rPr>
            </w:pPr>
          </w:p>
        </w:tc>
        <w:tc>
          <w:tcPr>
            <w:tcW w:w="499" w:type="pct"/>
            <w:tcBorders>
              <w:top w:val="single" w:color="auto" w:sz="4" w:space="0"/>
              <w:left w:val="nil"/>
              <w:bottom w:val="single" w:color="auto" w:sz="4" w:space="0"/>
              <w:right w:val="single" w:color="auto" w:sz="4" w:space="0"/>
            </w:tcBorders>
            <w:vAlign w:val="center"/>
          </w:tcPr>
          <w:p>
            <w:pPr>
              <w:widowControl/>
              <w:autoSpaceDN w:val="0"/>
              <w:jc w:val="center"/>
              <w:rPr>
                <w:rFonts w:ascii="宋体" w:hAnsi="宋体" w:cs="宋体"/>
                <w:color w:val="000000"/>
                <w:kern w:val="0"/>
                <w:sz w:val="20"/>
                <w:szCs w:val="20"/>
              </w:rPr>
            </w:pPr>
            <w:r>
              <w:rPr>
                <w:rFonts w:hint="eastAsia" w:ascii="宋体" w:hAnsi="宋体" w:cs="宋体"/>
                <w:color w:val="000000"/>
                <w:kern w:val="0"/>
                <w:sz w:val="20"/>
                <w:szCs w:val="20"/>
              </w:rPr>
              <w:t>产出质量</w:t>
            </w:r>
          </w:p>
        </w:tc>
        <w:tc>
          <w:tcPr>
            <w:tcW w:w="499" w:type="pct"/>
            <w:tcBorders>
              <w:top w:val="single" w:color="auto" w:sz="4" w:space="0"/>
              <w:left w:val="nil"/>
              <w:bottom w:val="single" w:color="auto" w:sz="4" w:space="0"/>
              <w:right w:val="single" w:color="auto" w:sz="4" w:space="0"/>
            </w:tcBorders>
            <w:vAlign w:val="center"/>
          </w:tcPr>
          <w:p>
            <w:pPr>
              <w:widowControl/>
              <w:autoSpaceDN w:val="0"/>
              <w:jc w:val="center"/>
              <w:rPr>
                <w:rFonts w:ascii="宋体" w:hAnsi="宋体" w:cs="宋体"/>
                <w:color w:val="000000"/>
                <w:kern w:val="0"/>
                <w:sz w:val="20"/>
                <w:szCs w:val="20"/>
              </w:rPr>
            </w:pPr>
            <w:r>
              <w:rPr>
                <w:rFonts w:hint="eastAsia" w:ascii="宋体" w:hAnsi="宋体" w:cs="宋体"/>
                <w:color w:val="000000"/>
                <w:kern w:val="0"/>
                <w:sz w:val="20"/>
                <w:szCs w:val="20"/>
              </w:rPr>
              <w:t>保质保量的满足检察业务实际需求　</w:t>
            </w:r>
          </w:p>
        </w:tc>
        <w:tc>
          <w:tcPr>
            <w:tcW w:w="500" w:type="pct"/>
            <w:tcBorders>
              <w:top w:val="single" w:color="auto" w:sz="4" w:space="0"/>
              <w:left w:val="nil"/>
              <w:bottom w:val="single" w:color="auto" w:sz="4" w:space="0"/>
              <w:right w:val="single" w:color="auto" w:sz="4" w:space="0"/>
            </w:tcBorders>
            <w:vAlign w:val="center"/>
          </w:tcPr>
          <w:p>
            <w:pPr>
              <w:widowControl/>
              <w:autoSpaceDN w:val="0"/>
              <w:jc w:val="center"/>
              <w:rPr>
                <w:rFonts w:ascii="宋体" w:hAnsi="宋体" w:cs="宋体"/>
                <w:color w:val="000000"/>
                <w:kern w:val="0"/>
                <w:sz w:val="20"/>
                <w:szCs w:val="20"/>
              </w:rPr>
            </w:pPr>
            <w:r>
              <w:rPr>
                <w:rFonts w:hint="eastAsia" w:ascii="宋体" w:hAnsi="宋体" w:cs="宋体"/>
                <w:color w:val="000000"/>
                <w:kern w:val="0"/>
                <w:sz w:val="20"/>
                <w:szCs w:val="20"/>
              </w:rPr>
              <w:t>达到预期指标　</w:t>
            </w:r>
          </w:p>
        </w:tc>
        <w:tc>
          <w:tcPr>
            <w:tcW w:w="217" w:type="pct"/>
            <w:vMerge w:val="continue"/>
            <w:tcBorders>
              <w:top w:val="single" w:color="auto" w:sz="4" w:space="0"/>
              <w:left w:val="single" w:color="auto" w:sz="4" w:space="0"/>
              <w:right w:val="single" w:color="auto" w:sz="4" w:space="0"/>
            </w:tcBorders>
            <w:vAlign w:val="center"/>
          </w:tcPr>
          <w:p>
            <w:pPr>
              <w:widowControl/>
              <w:autoSpaceDN w:val="0"/>
              <w:jc w:val="left"/>
              <w:rPr>
                <w:rFonts w:ascii="宋体" w:hAnsi="宋体" w:cs="宋体"/>
                <w:color w:val="000000"/>
                <w:kern w:val="0"/>
                <w:sz w:val="20"/>
                <w:szCs w:val="20"/>
              </w:rPr>
            </w:pPr>
          </w:p>
        </w:tc>
        <w:tc>
          <w:tcPr>
            <w:tcW w:w="217" w:type="pct"/>
            <w:tcBorders>
              <w:top w:val="single" w:color="auto" w:sz="4" w:space="0"/>
              <w:left w:val="nil"/>
              <w:bottom w:val="single" w:color="auto" w:sz="4" w:space="0"/>
              <w:right w:val="nil"/>
            </w:tcBorders>
            <w:noWrap/>
            <w:vAlign w:val="center"/>
          </w:tcPr>
          <w:p>
            <w:pPr>
              <w:widowControl/>
              <w:autoSpaceDN w:val="0"/>
              <w:jc w:val="center"/>
              <w:rPr>
                <w:rFonts w:ascii="宋体" w:hAnsi="宋体" w:cs="宋体"/>
                <w:color w:val="000000"/>
                <w:kern w:val="0"/>
                <w:sz w:val="20"/>
                <w:szCs w:val="20"/>
              </w:rPr>
            </w:pPr>
            <w:r>
              <w:rPr>
                <w:rFonts w:hint="eastAsia" w:ascii="宋体" w:hAnsi="宋体" w:cs="宋体"/>
                <w:color w:val="000000"/>
                <w:kern w:val="0"/>
                <w:sz w:val="20"/>
                <w:szCs w:val="20"/>
              </w:rPr>
              <w:t>9　</w:t>
            </w:r>
          </w:p>
        </w:tc>
        <w:tc>
          <w:tcPr>
            <w:tcW w:w="1085" w:type="pct"/>
            <w:vMerge w:val="continue"/>
            <w:tcBorders>
              <w:top w:val="nil"/>
              <w:left w:val="single" w:color="auto" w:sz="4" w:space="0"/>
              <w:bottom w:val="single" w:color="auto" w:sz="4" w:space="0"/>
              <w:right w:val="single" w:color="auto" w:sz="4" w:space="0"/>
            </w:tcBorders>
            <w:vAlign w:val="center"/>
          </w:tcPr>
          <w:p>
            <w:pPr>
              <w:widowControl/>
              <w:autoSpaceDN w:val="0"/>
              <w:jc w:val="left"/>
              <w:rPr>
                <w:rFonts w:ascii="宋体" w:hAnsi="宋体" w:cs="宋体"/>
                <w:color w:val="000000"/>
                <w:kern w:val="0"/>
                <w:sz w:val="18"/>
                <w:szCs w:val="18"/>
              </w:rPr>
            </w:pPr>
          </w:p>
        </w:tc>
        <w:tc>
          <w:tcPr>
            <w:tcW w:w="1405" w:type="pct"/>
            <w:vMerge w:val="continue"/>
            <w:tcBorders>
              <w:top w:val="nil"/>
              <w:left w:val="single" w:color="auto" w:sz="4" w:space="0"/>
              <w:bottom w:val="single" w:color="auto" w:sz="4" w:space="0"/>
              <w:right w:val="single" w:color="auto" w:sz="4" w:space="0"/>
            </w:tcBorders>
            <w:vAlign w:val="center"/>
          </w:tcPr>
          <w:p>
            <w:pPr>
              <w:widowControl/>
              <w:autoSpaceDN w:val="0"/>
              <w:jc w:val="left"/>
              <w:rPr>
                <w:rFonts w:ascii="宋体" w:hAnsi="宋体" w:cs="宋体"/>
                <w:color w:val="000000"/>
                <w:kern w:val="0"/>
                <w:sz w:val="18"/>
                <w:szCs w:val="18"/>
              </w:rPr>
            </w:pPr>
          </w:p>
        </w:tc>
      </w:tr>
      <w:tr>
        <w:tblPrEx>
          <w:tblCellMar>
            <w:top w:w="0" w:type="dxa"/>
            <w:left w:w="108" w:type="dxa"/>
            <w:bottom w:w="0" w:type="dxa"/>
            <w:right w:w="108" w:type="dxa"/>
          </w:tblCellMar>
        </w:tblPrEx>
        <w:trPr>
          <w:trHeight w:val="1258" w:hRule="atLeast"/>
        </w:trPr>
        <w:tc>
          <w:tcPr>
            <w:tcW w:w="287" w:type="pct"/>
            <w:vMerge w:val="continue"/>
            <w:tcBorders>
              <w:top w:val="nil"/>
              <w:left w:val="single" w:color="auto" w:sz="4" w:space="0"/>
              <w:bottom w:val="single" w:color="000000" w:sz="4" w:space="0"/>
              <w:right w:val="single" w:color="auto" w:sz="4" w:space="0"/>
            </w:tcBorders>
            <w:vAlign w:val="center"/>
          </w:tcPr>
          <w:p>
            <w:pPr>
              <w:widowControl/>
              <w:autoSpaceDN w:val="0"/>
              <w:jc w:val="left"/>
              <w:rPr>
                <w:rFonts w:ascii="宋体" w:hAnsi="宋体" w:cs="宋体"/>
                <w:color w:val="000000"/>
                <w:kern w:val="0"/>
                <w:sz w:val="20"/>
                <w:szCs w:val="20"/>
              </w:rPr>
            </w:pPr>
          </w:p>
        </w:tc>
        <w:tc>
          <w:tcPr>
            <w:tcW w:w="287" w:type="pct"/>
            <w:vMerge w:val="continue"/>
            <w:tcBorders>
              <w:left w:val="single" w:color="auto" w:sz="4" w:space="0"/>
              <w:right w:val="single" w:color="auto" w:sz="4" w:space="0"/>
            </w:tcBorders>
            <w:vAlign w:val="center"/>
          </w:tcPr>
          <w:p>
            <w:pPr>
              <w:widowControl/>
              <w:autoSpaceDN w:val="0"/>
              <w:jc w:val="left"/>
              <w:rPr>
                <w:rFonts w:ascii="宋体" w:hAnsi="宋体" w:cs="宋体"/>
                <w:color w:val="000000"/>
                <w:kern w:val="0"/>
                <w:sz w:val="20"/>
                <w:szCs w:val="20"/>
              </w:rPr>
            </w:pPr>
          </w:p>
        </w:tc>
        <w:tc>
          <w:tcPr>
            <w:tcW w:w="499" w:type="pct"/>
            <w:tcBorders>
              <w:top w:val="nil"/>
              <w:left w:val="nil"/>
              <w:bottom w:val="single" w:color="auto" w:sz="4" w:space="0"/>
              <w:right w:val="single" w:color="auto" w:sz="4" w:space="0"/>
            </w:tcBorders>
            <w:vAlign w:val="center"/>
          </w:tcPr>
          <w:p>
            <w:pPr>
              <w:widowControl/>
              <w:autoSpaceDN w:val="0"/>
              <w:jc w:val="center"/>
              <w:rPr>
                <w:rFonts w:ascii="宋体" w:hAnsi="宋体" w:cs="宋体"/>
                <w:color w:val="000000"/>
                <w:kern w:val="0"/>
                <w:sz w:val="20"/>
                <w:szCs w:val="20"/>
              </w:rPr>
            </w:pPr>
            <w:r>
              <w:rPr>
                <w:rFonts w:hint="eastAsia" w:ascii="宋体" w:hAnsi="宋体" w:cs="宋体"/>
                <w:color w:val="000000"/>
                <w:kern w:val="0"/>
                <w:sz w:val="20"/>
                <w:szCs w:val="20"/>
              </w:rPr>
              <w:t>产出进度</w:t>
            </w:r>
          </w:p>
        </w:tc>
        <w:tc>
          <w:tcPr>
            <w:tcW w:w="499" w:type="pct"/>
            <w:tcBorders>
              <w:top w:val="nil"/>
              <w:left w:val="nil"/>
              <w:bottom w:val="single" w:color="auto" w:sz="4" w:space="0"/>
              <w:right w:val="single" w:color="auto" w:sz="4" w:space="0"/>
            </w:tcBorders>
            <w:vAlign w:val="center"/>
          </w:tcPr>
          <w:p>
            <w:pPr>
              <w:widowControl/>
              <w:autoSpaceDN w:val="0"/>
              <w:jc w:val="center"/>
              <w:rPr>
                <w:rFonts w:ascii="宋体" w:hAnsi="宋体" w:cs="宋体"/>
                <w:color w:val="000000"/>
                <w:kern w:val="0"/>
                <w:sz w:val="20"/>
                <w:szCs w:val="20"/>
              </w:rPr>
            </w:pPr>
            <w:r>
              <w:rPr>
                <w:rFonts w:hint="eastAsia" w:ascii="宋体" w:hAnsi="宋体" w:cs="宋体"/>
                <w:color w:val="000000"/>
                <w:kern w:val="0"/>
                <w:sz w:val="20"/>
                <w:szCs w:val="20"/>
              </w:rPr>
              <w:t>预算项目按照年初计划及整体绩效目标确定的时限完成了各项工作任务。完成部门整体预算项目内容，实施进度良好，所有预算项目均在202</w:t>
            </w:r>
            <w:r>
              <w:rPr>
                <w:rFonts w:hint="eastAsia" w:ascii="宋体" w:hAnsi="宋体" w:cs="宋体"/>
                <w:color w:val="000000"/>
                <w:kern w:val="0"/>
                <w:sz w:val="20"/>
                <w:szCs w:val="20"/>
                <w:lang w:val="en-US" w:eastAsia="zh-CN"/>
              </w:rPr>
              <w:t>2</w:t>
            </w:r>
            <w:r>
              <w:rPr>
                <w:rFonts w:hint="eastAsia" w:ascii="宋体" w:hAnsi="宋体" w:cs="宋体"/>
                <w:color w:val="000000"/>
                <w:kern w:val="0"/>
                <w:sz w:val="20"/>
                <w:szCs w:val="20"/>
              </w:rPr>
              <w:t>年度达到预期目标，提高完成率。　</w:t>
            </w:r>
          </w:p>
        </w:tc>
        <w:tc>
          <w:tcPr>
            <w:tcW w:w="500" w:type="pct"/>
            <w:tcBorders>
              <w:top w:val="nil"/>
              <w:left w:val="nil"/>
              <w:bottom w:val="single" w:color="auto" w:sz="4" w:space="0"/>
              <w:right w:val="single" w:color="auto" w:sz="4" w:space="0"/>
            </w:tcBorders>
            <w:vAlign w:val="center"/>
          </w:tcPr>
          <w:p>
            <w:pPr>
              <w:widowControl/>
              <w:autoSpaceDN w:val="0"/>
              <w:jc w:val="center"/>
              <w:rPr>
                <w:rFonts w:ascii="宋体" w:hAnsi="宋体" w:cs="宋体"/>
                <w:color w:val="000000"/>
                <w:kern w:val="0"/>
                <w:sz w:val="20"/>
                <w:szCs w:val="20"/>
              </w:rPr>
            </w:pPr>
            <w:r>
              <w:rPr>
                <w:rFonts w:hint="eastAsia" w:ascii="宋体" w:hAnsi="宋体" w:cs="宋体"/>
                <w:color w:val="000000"/>
                <w:kern w:val="0"/>
                <w:sz w:val="20"/>
                <w:szCs w:val="20"/>
              </w:rPr>
              <w:t>202</w:t>
            </w:r>
            <w:r>
              <w:rPr>
                <w:rFonts w:hint="eastAsia" w:ascii="宋体" w:hAnsi="宋体" w:cs="宋体"/>
                <w:color w:val="000000"/>
                <w:kern w:val="0"/>
                <w:sz w:val="20"/>
                <w:szCs w:val="20"/>
                <w:lang w:val="en-US" w:eastAsia="zh-CN"/>
              </w:rPr>
              <w:t>2</w:t>
            </w:r>
            <w:r>
              <w:rPr>
                <w:rFonts w:hint="eastAsia" w:ascii="宋体" w:hAnsi="宋体" w:cs="宋体"/>
                <w:color w:val="000000"/>
                <w:kern w:val="0"/>
                <w:sz w:val="20"/>
                <w:szCs w:val="20"/>
              </w:rPr>
              <w:t>年全年　</w:t>
            </w:r>
          </w:p>
        </w:tc>
        <w:tc>
          <w:tcPr>
            <w:tcW w:w="217" w:type="pct"/>
            <w:vMerge w:val="continue"/>
            <w:tcBorders>
              <w:left w:val="single" w:color="auto" w:sz="4" w:space="0"/>
              <w:right w:val="single" w:color="auto" w:sz="4" w:space="0"/>
            </w:tcBorders>
            <w:vAlign w:val="center"/>
          </w:tcPr>
          <w:p>
            <w:pPr>
              <w:widowControl/>
              <w:autoSpaceDN w:val="0"/>
              <w:jc w:val="left"/>
              <w:rPr>
                <w:rFonts w:ascii="宋体" w:hAnsi="宋体" w:cs="宋体"/>
                <w:color w:val="000000"/>
                <w:kern w:val="0"/>
                <w:sz w:val="20"/>
                <w:szCs w:val="20"/>
              </w:rPr>
            </w:pPr>
          </w:p>
        </w:tc>
        <w:tc>
          <w:tcPr>
            <w:tcW w:w="217" w:type="pct"/>
            <w:tcBorders>
              <w:top w:val="nil"/>
              <w:left w:val="nil"/>
              <w:bottom w:val="single" w:color="auto" w:sz="4" w:space="0"/>
              <w:right w:val="nil"/>
            </w:tcBorders>
            <w:noWrap/>
            <w:vAlign w:val="center"/>
          </w:tcPr>
          <w:p>
            <w:pPr>
              <w:widowControl/>
              <w:autoSpaceDN w:val="0"/>
              <w:jc w:val="center"/>
              <w:rPr>
                <w:rFonts w:ascii="宋体" w:hAnsi="宋体" w:cs="宋体"/>
                <w:color w:val="000000"/>
                <w:kern w:val="0"/>
                <w:sz w:val="20"/>
                <w:szCs w:val="20"/>
              </w:rPr>
            </w:pPr>
            <w:r>
              <w:rPr>
                <w:rFonts w:hint="eastAsia" w:ascii="宋体" w:hAnsi="宋体" w:cs="宋体"/>
                <w:color w:val="000000"/>
                <w:kern w:val="0"/>
                <w:sz w:val="20"/>
                <w:szCs w:val="20"/>
              </w:rPr>
              <w:t>4　</w:t>
            </w:r>
          </w:p>
        </w:tc>
        <w:tc>
          <w:tcPr>
            <w:tcW w:w="1085" w:type="pct"/>
            <w:vMerge w:val="continue"/>
            <w:tcBorders>
              <w:top w:val="nil"/>
              <w:left w:val="single" w:color="auto" w:sz="4" w:space="0"/>
              <w:bottom w:val="single" w:color="auto" w:sz="4" w:space="0"/>
              <w:right w:val="single" w:color="auto" w:sz="4" w:space="0"/>
            </w:tcBorders>
            <w:vAlign w:val="center"/>
          </w:tcPr>
          <w:p>
            <w:pPr>
              <w:widowControl/>
              <w:autoSpaceDN w:val="0"/>
              <w:jc w:val="left"/>
              <w:rPr>
                <w:rFonts w:ascii="宋体" w:hAnsi="宋体" w:cs="宋体"/>
                <w:color w:val="000000"/>
                <w:kern w:val="0"/>
                <w:sz w:val="18"/>
                <w:szCs w:val="18"/>
              </w:rPr>
            </w:pPr>
          </w:p>
        </w:tc>
        <w:tc>
          <w:tcPr>
            <w:tcW w:w="1405" w:type="pct"/>
            <w:vMerge w:val="continue"/>
            <w:tcBorders>
              <w:top w:val="nil"/>
              <w:left w:val="single" w:color="auto" w:sz="4" w:space="0"/>
              <w:bottom w:val="single" w:color="auto" w:sz="4" w:space="0"/>
              <w:right w:val="single" w:color="auto" w:sz="4" w:space="0"/>
            </w:tcBorders>
            <w:vAlign w:val="center"/>
          </w:tcPr>
          <w:p>
            <w:pPr>
              <w:widowControl/>
              <w:autoSpaceDN w:val="0"/>
              <w:jc w:val="left"/>
              <w:rPr>
                <w:rFonts w:ascii="宋体" w:hAnsi="宋体" w:cs="宋体"/>
                <w:color w:val="000000"/>
                <w:kern w:val="0"/>
                <w:sz w:val="18"/>
                <w:szCs w:val="18"/>
              </w:rPr>
            </w:pPr>
          </w:p>
        </w:tc>
      </w:tr>
      <w:tr>
        <w:tblPrEx>
          <w:tblCellMar>
            <w:top w:w="0" w:type="dxa"/>
            <w:left w:w="108" w:type="dxa"/>
            <w:bottom w:w="0" w:type="dxa"/>
            <w:right w:w="108" w:type="dxa"/>
          </w:tblCellMar>
        </w:tblPrEx>
        <w:trPr>
          <w:trHeight w:val="975" w:hRule="atLeast"/>
        </w:trPr>
        <w:tc>
          <w:tcPr>
            <w:tcW w:w="287" w:type="pct"/>
            <w:vMerge w:val="continue"/>
            <w:tcBorders>
              <w:top w:val="nil"/>
              <w:left w:val="single" w:color="auto" w:sz="4" w:space="0"/>
              <w:bottom w:val="single" w:color="000000" w:sz="4" w:space="0"/>
              <w:right w:val="single" w:color="auto" w:sz="4" w:space="0"/>
            </w:tcBorders>
            <w:vAlign w:val="center"/>
          </w:tcPr>
          <w:p>
            <w:pPr>
              <w:widowControl/>
              <w:autoSpaceDN w:val="0"/>
              <w:jc w:val="left"/>
              <w:rPr>
                <w:rFonts w:ascii="宋体" w:hAnsi="宋体" w:cs="宋体"/>
                <w:color w:val="000000"/>
                <w:kern w:val="0"/>
                <w:sz w:val="20"/>
                <w:szCs w:val="20"/>
              </w:rPr>
            </w:pPr>
          </w:p>
        </w:tc>
        <w:tc>
          <w:tcPr>
            <w:tcW w:w="287" w:type="pct"/>
            <w:vMerge w:val="continue"/>
            <w:tcBorders>
              <w:left w:val="single" w:color="auto" w:sz="4" w:space="0"/>
              <w:bottom w:val="single" w:color="auto" w:sz="4" w:space="0"/>
              <w:right w:val="single" w:color="auto" w:sz="4" w:space="0"/>
            </w:tcBorders>
            <w:vAlign w:val="center"/>
          </w:tcPr>
          <w:p>
            <w:pPr>
              <w:widowControl/>
              <w:autoSpaceDN w:val="0"/>
              <w:jc w:val="left"/>
              <w:rPr>
                <w:rFonts w:ascii="宋体" w:hAnsi="宋体" w:cs="宋体"/>
                <w:color w:val="000000"/>
                <w:kern w:val="0"/>
                <w:sz w:val="20"/>
                <w:szCs w:val="20"/>
              </w:rPr>
            </w:pPr>
          </w:p>
        </w:tc>
        <w:tc>
          <w:tcPr>
            <w:tcW w:w="499" w:type="pct"/>
            <w:tcBorders>
              <w:top w:val="nil"/>
              <w:left w:val="nil"/>
              <w:bottom w:val="single" w:color="auto" w:sz="4" w:space="0"/>
              <w:right w:val="single" w:color="auto" w:sz="4" w:space="0"/>
            </w:tcBorders>
            <w:vAlign w:val="center"/>
          </w:tcPr>
          <w:p>
            <w:pPr>
              <w:widowControl/>
              <w:autoSpaceDN w:val="0"/>
              <w:jc w:val="center"/>
              <w:rPr>
                <w:rFonts w:ascii="宋体" w:hAnsi="宋体" w:cs="宋体"/>
                <w:color w:val="000000"/>
                <w:kern w:val="0"/>
                <w:sz w:val="20"/>
                <w:szCs w:val="20"/>
              </w:rPr>
            </w:pPr>
            <w:r>
              <w:rPr>
                <w:rFonts w:hint="eastAsia" w:ascii="宋体" w:hAnsi="宋体" w:cs="宋体"/>
                <w:color w:val="000000"/>
                <w:kern w:val="0"/>
                <w:sz w:val="20"/>
                <w:szCs w:val="20"/>
              </w:rPr>
              <w:t>产出成本</w:t>
            </w:r>
          </w:p>
        </w:tc>
        <w:tc>
          <w:tcPr>
            <w:tcW w:w="499" w:type="pct"/>
            <w:tcBorders>
              <w:top w:val="nil"/>
              <w:left w:val="nil"/>
              <w:bottom w:val="single" w:color="auto" w:sz="4" w:space="0"/>
              <w:right w:val="single" w:color="auto" w:sz="4" w:space="0"/>
            </w:tcBorders>
            <w:vAlign w:val="center"/>
          </w:tcPr>
          <w:p>
            <w:pPr>
              <w:widowControl/>
              <w:autoSpaceDN w:val="0"/>
              <w:jc w:val="center"/>
              <w:rPr>
                <w:rFonts w:ascii="宋体" w:hAnsi="宋体" w:cs="宋体"/>
                <w:color w:val="000000"/>
                <w:kern w:val="0"/>
                <w:sz w:val="20"/>
                <w:szCs w:val="20"/>
              </w:rPr>
            </w:pPr>
            <w:r>
              <w:rPr>
                <w:rFonts w:hint="eastAsia" w:ascii="宋体" w:hAnsi="宋体" w:cs="宋体"/>
                <w:color w:val="000000"/>
                <w:kern w:val="0"/>
                <w:sz w:val="20"/>
                <w:szCs w:val="20"/>
              </w:rPr>
              <w:t>项目预算严格控全年预算控制数在预算以内，总体资金支出不超出批复资金；严格控制部门公用经费的使用情况。　</w:t>
            </w:r>
          </w:p>
        </w:tc>
        <w:tc>
          <w:tcPr>
            <w:tcW w:w="500" w:type="pct"/>
            <w:tcBorders>
              <w:top w:val="nil"/>
              <w:left w:val="nil"/>
              <w:bottom w:val="single" w:color="auto" w:sz="4" w:space="0"/>
              <w:right w:val="single" w:color="auto" w:sz="4" w:space="0"/>
            </w:tcBorders>
            <w:vAlign w:val="center"/>
          </w:tcPr>
          <w:p>
            <w:pPr>
              <w:widowControl/>
              <w:autoSpaceDN w:val="0"/>
              <w:jc w:val="center"/>
              <w:rPr>
                <w:rFonts w:ascii="宋体" w:hAnsi="宋体" w:cs="宋体"/>
                <w:color w:val="000000"/>
                <w:kern w:val="0"/>
                <w:sz w:val="20"/>
                <w:szCs w:val="20"/>
              </w:rPr>
            </w:pPr>
            <w:r>
              <w:rPr>
                <w:rFonts w:hint="eastAsia" w:ascii="宋体" w:hAnsi="宋体" w:cs="宋体"/>
                <w:color w:val="000000"/>
                <w:kern w:val="0"/>
                <w:sz w:val="20"/>
                <w:szCs w:val="20"/>
              </w:rPr>
              <w:t>资金总体支出20,582.16万元　</w:t>
            </w:r>
          </w:p>
        </w:tc>
        <w:tc>
          <w:tcPr>
            <w:tcW w:w="217" w:type="pct"/>
            <w:vMerge w:val="continue"/>
            <w:tcBorders>
              <w:left w:val="single" w:color="auto" w:sz="4" w:space="0"/>
              <w:bottom w:val="single" w:color="auto" w:sz="4" w:space="0"/>
              <w:right w:val="single" w:color="auto" w:sz="4" w:space="0"/>
            </w:tcBorders>
            <w:vAlign w:val="center"/>
          </w:tcPr>
          <w:p>
            <w:pPr>
              <w:widowControl/>
              <w:autoSpaceDN w:val="0"/>
              <w:jc w:val="left"/>
              <w:rPr>
                <w:rFonts w:ascii="宋体" w:hAnsi="宋体" w:cs="宋体"/>
                <w:color w:val="000000"/>
                <w:kern w:val="0"/>
                <w:sz w:val="20"/>
                <w:szCs w:val="20"/>
              </w:rPr>
            </w:pPr>
          </w:p>
        </w:tc>
        <w:tc>
          <w:tcPr>
            <w:tcW w:w="217" w:type="pct"/>
            <w:tcBorders>
              <w:top w:val="nil"/>
              <w:left w:val="nil"/>
              <w:bottom w:val="single" w:color="auto" w:sz="4" w:space="0"/>
              <w:right w:val="nil"/>
            </w:tcBorders>
            <w:noWrap/>
            <w:vAlign w:val="center"/>
          </w:tcPr>
          <w:p>
            <w:pPr>
              <w:widowControl/>
              <w:autoSpaceDN w:val="0"/>
              <w:jc w:val="center"/>
              <w:rPr>
                <w:rFonts w:ascii="宋体" w:hAnsi="宋体" w:cs="宋体"/>
                <w:color w:val="000000"/>
                <w:kern w:val="0"/>
                <w:sz w:val="20"/>
                <w:szCs w:val="20"/>
              </w:rPr>
            </w:pPr>
            <w:r>
              <w:rPr>
                <w:rFonts w:hint="eastAsia" w:ascii="宋体" w:hAnsi="宋体" w:cs="宋体"/>
                <w:color w:val="000000"/>
                <w:kern w:val="0"/>
                <w:sz w:val="20"/>
                <w:szCs w:val="20"/>
              </w:rPr>
              <w:t>5　</w:t>
            </w:r>
          </w:p>
        </w:tc>
        <w:tc>
          <w:tcPr>
            <w:tcW w:w="1085" w:type="pct"/>
            <w:vMerge w:val="continue"/>
            <w:tcBorders>
              <w:top w:val="nil"/>
              <w:left w:val="single" w:color="auto" w:sz="4" w:space="0"/>
              <w:bottom w:val="single" w:color="auto" w:sz="4" w:space="0"/>
              <w:right w:val="single" w:color="auto" w:sz="4" w:space="0"/>
            </w:tcBorders>
            <w:vAlign w:val="center"/>
          </w:tcPr>
          <w:p>
            <w:pPr>
              <w:widowControl/>
              <w:autoSpaceDN w:val="0"/>
              <w:jc w:val="left"/>
              <w:rPr>
                <w:rFonts w:ascii="宋体" w:hAnsi="宋体" w:cs="宋体"/>
                <w:color w:val="000000"/>
                <w:kern w:val="0"/>
                <w:sz w:val="18"/>
                <w:szCs w:val="18"/>
              </w:rPr>
            </w:pPr>
          </w:p>
        </w:tc>
        <w:tc>
          <w:tcPr>
            <w:tcW w:w="1405" w:type="pct"/>
            <w:vMerge w:val="continue"/>
            <w:tcBorders>
              <w:top w:val="nil"/>
              <w:left w:val="single" w:color="auto" w:sz="4" w:space="0"/>
              <w:bottom w:val="single" w:color="auto" w:sz="4" w:space="0"/>
              <w:right w:val="single" w:color="auto" w:sz="4" w:space="0"/>
            </w:tcBorders>
            <w:vAlign w:val="center"/>
          </w:tcPr>
          <w:p>
            <w:pPr>
              <w:widowControl/>
              <w:autoSpaceDN w:val="0"/>
              <w:jc w:val="left"/>
              <w:rPr>
                <w:rFonts w:ascii="宋体" w:hAnsi="宋体" w:cs="宋体"/>
                <w:color w:val="000000"/>
                <w:kern w:val="0"/>
                <w:sz w:val="18"/>
                <w:szCs w:val="18"/>
              </w:rPr>
            </w:pPr>
          </w:p>
        </w:tc>
      </w:tr>
      <w:tr>
        <w:tblPrEx>
          <w:tblCellMar>
            <w:top w:w="0" w:type="dxa"/>
            <w:left w:w="108" w:type="dxa"/>
            <w:bottom w:w="0" w:type="dxa"/>
            <w:right w:w="108" w:type="dxa"/>
          </w:tblCellMar>
        </w:tblPrEx>
        <w:trPr>
          <w:trHeight w:val="675" w:hRule="atLeast"/>
        </w:trPr>
        <w:tc>
          <w:tcPr>
            <w:tcW w:w="287" w:type="pct"/>
            <w:vMerge w:val="continue"/>
            <w:tcBorders>
              <w:top w:val="nil"/>
              <w:left w:val="single" w:color="auto" w:sz="4" w:space="0"/>
              <w:bottom w:val="single" w:color="000000" w:sz="4" w:space="0"/>
              <w:right w:val="single" w:color="auto" w:sz="4" w:space="0"/>
            </w:tcBorders>
            <w:vAlign w:val="center"/>
          </w:tcPr>
          <w:p>
            <w:pPr>
              <w:widowControl/>
              <w:autoSpaceDN w:val="0"/>
              <w:jc w:val="left"/>
              <w:rPr>
                <w:rFonts w:ascii="宋体" w:hAnsi="宋体" w:cs="宋体"/>
                <w:color w:val="000000"/>
                <w:kern w:val="0"/>
                <w:sz w:val="20"/>
                <w:szCs w:val="20"/>
              </w:rPr>
            </w:pPr>
          </w:p>
        </w:tc>
        <w:tc>
          <w:tcPr>
            <w:tcW w:w="287" w:type="pct"/>
            <w:vMerge w:val="restart"/>
            <w:tcBorders>
              <w:top w:val="nil"/>
              <w:left w:val="single" w:color="auto" w:sz="4" w:space="0"/>
              <w:bottom w:val="single" w:color="auto" w:sz="4" w:space="0"/>
              <w:right w:val="single" w:color="auto" w:sz="4" w:space="0"/>
            </w:tcBorders>
            <w:vAlign w:val="center"/>
          </w:tcPr>
          <w:p>
            <w:pPr>
              <w:widowControl/>
              <w:autoSpaceDN w:val="0"/>
              <w:jc w:val="center"/>
              <w:rPr>
                <w:rFonts w:ascii="宋体" w:hAnsi="宋体" w:cs="宋体"/>
                <w:color w:val="000000"/>
                <w:kern w:val="0"/>
                <w:sz w:val="20"/>
                <w:szCs w:val="20"/>
              </w:rPr>
            </w:pPr>
            <w:r>
              <w:rPr>
                <w:rFonts w:hint="eastAsia" w:ascii="宋体" w:hAnsi="宋体" w:cs="宋体"/>
                <w:color w:val="000000"/>
                <w:kern w:val="0"/>
                <w:sz w:val="20"/>
                <w:szCs w:val="20"/>
              </w:rPr>
              <w:t>效果（30）</w:t>
            </w:r>
          </w:p>
        </w:tc>
        <w:tc>
          <w:tcPr>
            <w:tcW w:w="499" w:type="pct"/>
            <w:tcBorders>
              <w:top w:val="nil"/>
              <w:left w:val="nil"/>
              <w:bottom w:val="single" w:color="auto" w:sz="4" w:space="0"/>
              <w:right w:val="single" w:color="auto" w:sz="4" w:space="0"/>
            </w:tcBorders>
            <w:vAlign w:val="center"/>
          </w:tcPr>
          <w:p>
            <w:pPr>
              <w:widowControl/>
              <w:autoSpaceDN w:val="0"/>
              <w:jc w:val="center"/>
              <w:rPr>
                <w:rFonts w:ascii="宋体" w:hAnsi="宋体" w:cs="宋体"/>
                <w:color w:val="000000"/>
                <w:kern w:val="0"/>
                <w:sz w:val="20"/>
                <w:szCs w:val="20"/>
              </w:rPr>
            </w:pPr>
            <w:r>
              <w:rPr>
                <w:rFonts w:hint="eastAsia" w:ascii="宋体" w:hAnsi="宋体" w:cs="宋体"/>
                <w:color w:val="000000"/>
                <w:kern w:val="0"/>
                <w:sz w:val="20"/>
                <w:szCs w:val="20"/>
              </w:rPr>
              <w:t>经济效益</w:t>
            </w:r>
          </w:p>
        </w:tc>
        <w:tc>
          <w:tcPr>
            <w:tcW w:w="499" w:type="pct"/>
            <w:tcBorders>
              <w:top w:val="nil"/>
              <w:left w:val="nil"/>
              <w:bottom w:val="single" w:color="auto" w:sz="4" w:space="0"/>
              <w:right w:val="single" w:color="auto" w:sz="4" w:space="0"/>
            </w:tcBorders>
            <w:vAlign w:val="center"/>
          </w:tcPr>
          <w:p>
            <w:pPr>
              <w:widowControl/>
              <w:autoSpaceDN w:val="0"/>
              <w:jc w:val="center"/>
              <w:rPr>
                <w:rFonts w:ascii="宋体" w:hAnsi="宋体" w:cs="宋体"/>
                <w:color w:val="000000"/>
                <w:kern w:val="0"/>
                <w:sz w:val="20"/>
                <w:szCs w:val="20"/>
              </w:rPr>
            </w:pPr>
            <w:r>
              <w:rPr>
                <w:rFonts w:hint="eastAsia" w:ascii="宋体" w:hAnsi="宋体" w:cs="宋体"/>
                <w:color w:val="000000"/>
                <w:kern w:val="0"/>
                <w:sz w:val="20"/>
                <w:szCs w:val="20"/>
              </w:rPr>
              <w:t>进一步促进检察业务工作发展　</w:t>
            </w:r>
          </w:p>
        </w:tc>
        <w:tc>
          <w:tcPr>
            <w:tcW w:w="500" w:type="pct"/>
            <w:tcBorders>
              <w:top w:val="nil"/>
              <w:left w:val="nil"/>
              <w:bottom w:val="single" w:color="auto" w:sz="4" w:space="0"/>
              <w:right w:val="single" w:color="auto" w:sz="4" w:space="0"/>
            </w:tcBorders>
            <w:vAlign w:val="center"/>
          </w:tcPr>
          <w:p>
            <w:pPr>
              <w:widowControl/>
              <w:autoSpaceDN w:val="0"/>
              <w:jc w:val="center"/>
              <w:rPr>
                <w:rFonts w:ascii="宋体" w:hAnsi="宋体" w:cs="宋体"/>
                <w:color w:val="000000"/>
                <w:kern w:val="0"/>
                <w:sz w:val="20"/>
                <w:szCs w:val="20"/>
              </w:rPr>
            </w:pPr>
            <w:r>
              <w:rPr>
                <w:rFonts w:hint="eastAsia" w:ascii="宋体" w:hAnsi="宋体" w:cs="宋体"/>
                <w:color w:val="000000"/>
                <w:kern w:val="0"/>
                <w:sz w:val="20"/>
                <w:szCs w:val="20"/>
              </w:rPr>
              <w:t>达到预期指标　</w:t>
            </w:r>
          </w:p>
        </w:tc>
        <w:tc>
          <w:tcPr>
            <w:tcW w:w="217" w:type="pct"/>
            <w:vMerge w:val="restart"/>
            <w:tcBorders>
              <w:top w:val="nil"/>
              <w:left w:val="single" w:color="auto" w:sz="4" w:space="0"/>
              <w:bottom w:val="single" w:color="auto" w:sz="4" w:space="0"/>
              <w:right w:val="single" w:color="auto" w:sz="4" w:space="0"/>
            </w:tcBorders>
            <w:noWrap/>
            <w:vAlign w:val="center"/>
          </w:tcPr>
          <w:p>
            <w:pPr>
              <w:widowControl/>
              <w:autoSpaceDN w:val="0"/>
              <w:jc w:val="center"/>
              <w:rPr>
                <w:rFonts w:ascii="宋体" w:hAnsi="宋体" w:cs="宋体"/>
                <w:color w:val="000000"/>
                <w:kern w:val="0"/>
                <w:sz w:val="20"/>
                <w:szCs w:val="20"/>
              </w:rPr>
            </w:pPr>
            <w:r>
              <w:rPr>
                <w:rFonts w:hint="eastAsia" w:ascii="宋体" w:hAnsi="宋体" w:cs="宋体"/>
                <w:color w:val="000000"/>
                <w:kern w:val="0"/>
                <w:sz w:val="20"/>
                <w:szCs w:val="20"/>
              </w:rPr>
              <w:t>30</w:t>
            </w:r>
          </w:p>
        </w:tc>
        <w:tc>
          <w:tcPr>
            <w:tcW w:w="217" w:type="pct"/>
            <w:tcBorders>
              <w:top w:val="nil"/>
              <w:left w:val="nil"/>
              <w:bottom w:val="single" w:color="auto" w:sz="4" w:space="0"/>
              <w:right w:val="nil"/>
            </w:tcBorders>
            <w:noWrap/>
            <w:vAlign w:val="center"/>
          </w:tcPr>
          <w:p>
            <w:pPr>
              <w:widowControl/>
              <w:autoSpaceDN w:val="0"/>
              <w:jc w:val="center"/>
              <w:rPr>
                <w:rFonts w:ascii="宋体" w:hAnsi="宋体" w:cs="宋体"/>
                <w:color w:val="000000"/>
                <w:kern w:val="0"/>
                <w:sz w:val="20"/>
                <w:szCs w:val="20"/>
              </w:rPr>
            </w:pPr>
            <w:r>
              <w:rPr>
                <w:rFonts w:hint="eastAsia" w:ascii="宋体" w:hAnsi="宋体" w:cs="宋体"/>
                <w:color w:val="000000"/>
                <w:kern w:val="0"/>
                <w:sz w:val="20"/>
                <w:szCs w:val="20"/>
              </w:rPr>
              <w:t>5　</w:t>
            </w:r>
          </w:p>
        </w:tc>
        <w:tc>
          <w:tcPr>
            <w:tcW w:w="1085" w:type="pct"/>
            <w:vMerge w:val="restart"/>
            <w:tcBorders>
              <w:top w:val="nil"/>
              <w:left w:val="single" w:color="auto" w:sz="4" w:space="0"/>
              <w:bottom w:val="single" w:color="auto" w:sz="4" w:space="0"/>
              <w:right w:val="single" w:color="auto" w:sz="4" w:space="0"/>
            </w:tcBorders>
            <w:vAlign w:val="center"/>
          </w:tcPr>
          <w:p>
            <w:pPr>
              <w:widowControl/>
              <w:autoSpaceDN w:val="0"/>
              <w:jc w:val="left"/>
              <w:rPr>
                <w:rFonts w:ascii="宋体" w:hAnsi="宋体" w:cs="宋体"/>
                <w:color w:val="000000"/>
                <w:kern w:val="0"/>
                <w:sz w:val="18"/>
                <w:szCs w:val="18"/>
              </w:rPr>
            </w:pPr>
            <w:r>
              <w:rPr>
                <w:rFonts w:hint="eastAsia" w:ascii="宋体" w:hAnsi="宋体" w:cs="宋体"/>
                <w:b/>
                <w:bCs/>
                <w:color w:val="000000"/>
                <w:kern w:val="0"/>
                <w:sz w:val="18"/>
                <w:szCs w:val="18"/>
              </w:rPr>
              <w:t>经济效益</w:t>
            </w:r>
            <w:r>
              <w:rPr>
                <w:rFonts w:hint="eastAsia" w:ascii="宋体" w:hAnsi="宋体" w:cs="宋体"/>
                <w:color w:val="000000"/>
                <w:kern w:val="0"/>
                <w:sz w:val="18"/>
                <w:szCs w:val="18"/>
              </w:rPr>
              <w:t>：部门（单位）履行职责对经济发展所带来的直接或间接影响。</w:t>
            </w:r>
            <w:r>
              <w:rPr>
                <w:rFonts w:hint="eastAsia" w:ascii="宋体" w:hAnsi="宋体" w:cs="宋体"/>
                <w:b/>
                <w:bCs/>
                <w:color w:val="000000"/>
                <w:kern w:val="0"/>
                <w:sz w:val="18"/>
                <w:szCs w:val="18"/>
              </w:rPr>
              <w:t>社会效益</w:t>
            </w:r>
            <w:r>
              <w:rPr>
                <w:rFonts w:hint="eastAsia" w:ascii="宋体" w:hAnsi="宋体" w:cs="宋体"/>
                <w:color w:val="000000"/>
                <w:kern w:val="0"/>
                <w:sz w:val="18"/>
                <w:szCs w:val="18"/>
              </w:rPr>
              <w:t>：部门（单位）履行职责对社会发展所带来的直接或间接影响。</w:t>
            </w:r>
            <w:r>
              <w:rPr>
                <w:rFonts w:hint="eastAsia" w:ascii="宋体" w:hAnsi="宋体" w:cs="宋体"/>
                <w:b/>
                <w:bCs/>
                <w:color w:val="000000"/>
                <w:kern w:val="0"/>
                <w:sz w:val="18"/>
                <w:szCs w:val="18"/>
              </w:rPr>
              <w:t>环境效益</w:t>
            </w:r>
            <w:r>
              <w:rPr>
                <w:rFonts w:hint="eastAsia" w:ascii="宋体" w:hAnsi="宋体" w:cs="宋体"/>
                <w:color w:val="000000"/>
                <w:kern w:val="0"/>
                <w:sz w:val="18"/>
                <w:szCs w:val="18"/>
              </w:rPr>
              <w:t>：部门（单位）履行职责对环境所带来的直接或间接影响。</w:t>
            </w:r>
            <w:r>
              <w:rPr>
                <w:rFonts w:hint="eastAsia" w:ascii="宋体" w:hAnsi="宋体" w:cs="宋体"/>
                <w:b/>
                <w:bCs/>
                <w:color w:val="000000"/>
                <w:kern w:val="0"/>
                <w:sz w:val="18"/>
                <w:szCs w:val="18"/>
              </w:rPr>
              <w:t>可持续性影响：</w:t>
            </w:r>
            <w:r>
              <w:rPr>
                <w:rFonts w:hint="eastAsia" w:ascii="宋体" w:hAnsi="宋体" w:cs="宋体"/>
                <w:color w:val="000000"/>
                <w:kern w:val="0"/>
                <w:sz w:val="18"/>
                <w:szCs w:val="18"/>
              </w:rPr>
              <w:t>部门绩效目标实现的长效机制建设情况，部门工作效率提升措施的创新。</w:t>
            </w:r>
            <w:r>
              <w:rPr>
                <w:rFonts w:hint="eastAsia" w:ascii="宋体" w:hAnsi="宋体" w:cs="宋体"/>
                <w:b/>
                <w:bCs/>
                <w:color w:val="000000"/>
                <w:kern w:val="0"/>
                <w:sz w:val="18"/>
                <w:szCs w:val="18"/>
              </w:rPr>
              <w:t>服务对象满意度</w:t>
            </w:r>
            <w:r>
              <w:rPr>
                <w:rFonts w:hint="eastAsia" w:ascii="宋体" w:hAnsi="宋体" w:cs="宋体"/>
                <w:color w:val="000000"/>
                <w:kern w:val="0"/>
                <w:sz w:val="18"/>
                <w:szCs w:val="18"/>
              </w:rPr>
              <w:t>：部门（单位）的服务对象对部门履职效果的满意程度。</w:t>
            </w:r>
          </w:p>
        </w:tc>
        <w:tc>
          <w:tcPr>
            <w:tcW w:w="1405" w:type="pct"/>
            <w:vMerge w:val="restart"/>
            <w:tcBorders>
              <w:top w:val="nil"/>
              <w:left w:val="single" w:color="auto" w:sz="4" w:space="0"/>
              <w:bottom w:val="single" w:color="auto" w:sz="4" w:space="0"/>
              <w:right w:val="single" w:color="auto" w:sz="4" w:space="0"/>
            </w:tcBorders>
            <w:vAlign w:val="center"/>
          </w:tcPr>
          <w:p>
            <w:pPr>
              <w:widowControl/>
              <w:autoSpaceDN w:val="0"/>
              <w:jc w:val="left"/>
              <w:rPr>
                <w:rFonts w:ascii="宋体" w:hAnsi="宋体" w:cs="宋体"/>
                <w:color w:val="000000"/>
                <w:kern w:val="0"/>
                <w:sz w:val="18"/>
                <w:szCs w:val="18"/>
              </w:rPr>
            </w:pPr>
            <w:r>
              <w:rPr>
                <w:rFonts w:hint="eastAsia" w:ascii="宋体" w:hAnsi="宋体" w:cs="宋体"/>
                <w:color w:val="000000"/>
                <w:kern w:val="0"/>
                <w:sz w:val="18"/>
                <w:szCs w:val="18"/>
              </w:rPr>
              <w:t>部门根据实际情况选择指标进行填写，并将其细化为相应的个性化指标。对于效益类指标可从受益对象瞄准度、受益广度和受益深度上进行设计分析。</w:t>
            </w:r>
          </w:p>
        </w:tc>
      </w:tr>
      <w:tr>
        <w:tblPrEx>
          <w:tblCellMar>
            <w:top w:w="0" w:type="dxa"/>
            <w:left w:w="108" w:type="dxa"/>
            <w:bottom w:w="0" w:type="dxa"/>
            <w:right w:w="108" w:type="dxa"/>
          </w:tblCellMar>
        </w:tblPrEx>
        <w:trPr>
          <w:trHeight w:val="630" w:hRule="atLeast"/>
        </w:trPr>
        <w:tc>
          <w:tcPr>
            <w:tcW w:w="287" w:type="pct"/>
            <w:vMerge w:val="continue"/>
            <w:tcBorders>
              <w:top w:val="nil"/>
              <w:left w:val="single" w:color="auto" w:sz="4" w:space="0"/>
              <w:bottom w:val="single" w:color="000000" w:sz="4" w:space="0"/>
              <w:right w:val="single" w:color="auto" w:sz="4" w:space="0"/>
            </w:tcBorders>
            <w:vAlign w:val="center"/>
          </w:tcPr>
          <w:p>
            <w:pPr>
              <w:widowControl/>
              <w:autoSpaceDN w:val="0"/>
              <w:jc w:val="left"/>
              <w:rPr>
                <w:rFonts w:ascii="宋体" w:hAnsi="宋体" w:cs="宋体"/>
                <w:color w:val="000000"/>
                <w:kern w:val="0"/>
                <w:sz w:val="20"/>
                <w:szCs w:val="20"/>
              </w:rPr>
            </w:pPr>
          </w:p>
        </w:tc>
        <w:tc>
          <w:tcPr>
            <w:tcW w:w="287" w:type="pct"/>
            <w:vMerge w:val="continue"/>
            <w:tcBorders>
              <w:top w:val="nil"/>
              <w:left w:val="single" w:color="auto" w:sz="4" w:space="0"/>
              <w:bottom w:val="single" w:color="auto" w:sz="4" w:space="0"/>
              <w:right w:val="single" w:color="auto" w:sz="4" w:space="0"/>
            </w:tcBorders>
            <w:vAlign w:val="center"/>
          </w:tcPr>
          <w:p>
            <w:pPr>
              <w:widowControl/>
              <w:autoSpaceDN w:val="0"/>
              <w:jc w:val="left"/>
              <w:rPr>
                <w:rFonts w:ascii="宋体" w:hAnsi="宋体" w:cs="宋体"/>
                <w:color w:val="000000"/>
                <w:kern w:val="0"/>
                <w:sz w:val="20"/>
                <w:szCs w:val="20"/>
              </w:rPr>
            </w:pPr>
          </w:p>
        </w:tc>
        <w:tc>
          <w:tcPr>
            <w:tcW w:w="499" w:type="pct"/>
            <w:tcBorders>
              <w:top w:val="nil"/>
              <w:left w:val="nil"/>
              <w:bottom w:val="single" w:color="auto" w:sz="4" w:space="0"/>
              <w:right w:val="single" w:color="auto" w:sz="4" w:space="0"/>
            </w:tcBorders>
            <w:vAlign w:val="center"/>
          </w:tcPr>
          <w:p>
            <w:pPr>
              <w:widowControl/>
              <w:autoSpaceDN w:val="0"/>
              <w:jc w:val="center"/>
              <w:rPr>
                <w:rFonts w:ascii="宋体" w:hAnsi="宋体" w:cs="宋体"/>
                <w:color w:val="000000"/>
                <w:kern w:val="0"/>
                <w:sz w:val="20"/>
                <w:szCs w:val="20"/>
              </w:rPr>
            </w:pPr>
            <w:r>
              <w:rPr>
                <w:rFonts w:hint="eastAsia" w:ascii="宋体" w:hAnsi="宋体" w:cs="宋体"/>
                <w:color w:val="000000"/>
                <w:kern w:val="0"/>
                <w:sz w:val="20"/>
                <w:szCs w:val="20"/>
              </w:rPr>
              <w:t>社会效益</w:t>
            </w:r>
          </w:p>
        </w:tc>
        <w:tc>
          <w:tcPr>
            <w:tcW w:w="499" w:type="pct"/>
            <w:tcBorders>
              <w:top w:val="nil"/>
              <w:left w:val="nil"/>
              <w:bottom w:val="single" w:color="auto" w:sz="4" w:space="0"/>
              <w:right w:val="single" w:color="auto" w:sz="4" w:space="0"/>
            </w:tcBorders>
            <w:vAlign w:val="center"/>
          </w:tcPr>
          <w:p>
            <w:pPr>
              <w:widowControl/>
              <w:autoSpaceDN w:val="0"/>
              <w:jc w:val="center"/>
              <w:rPr>
                <w:rFonts w:ascii="宋体" w:hAnsi="宋体" w:cs="宋体"/>
                <w:color w:val="000000"/>
                <w:kern w:val="0"/>
                <w:sz w:val="20"/>
                <w:szCs w:val="20"/>
              </w:rPr>
            </w:pPr>
            <w:r>
              <w:rPr>
                <w:rFonts w:hint="eastAsia" w:ascii="宋体" w:hAnsi="宋体" w:cs="宋体"/>
                <w:color w:val="000000"/>
                <w:kern w:val="0"/>
                <w:sz w:val="20"/>
                <w:szCs w:val="20"/>
              </w:rPr>
              <w:t>社会和谐安定程度得到提升　</w:t>
            </w:r>
          </w:p>
        </w:tc>
        <w:tc>
          <w:tcPr>
            <w:tcW w:w="500" w:type="pct"/>
            <w:tcBorders>
              <w:top w:val="nil"/>
              <w:left w:val="nil"/>
              <w:bottom w:val="single" w:color="auto" w:sz="4" w:space="0"/>
              <w:right w:val="single" w:color="auto" w:sz="4" w:space="0"/>
            </w:tcBorders>
            <w:vAlign w:val="center"/>
          </w:tcPr>
          <w:p>
            <w:pPr>
              <w:widowControl/>
              <w:autoSpaceDN w:val="0"/>
              <w:jc w:val="center"/>
              <w:rPr>
                <w:rFonts w:ascii="宋体" w:hAnsi="宋体" w:cs="宋体"/>
                <w:color w:val="000000"/>
                <w:kern w:val="0"/>
                <w:sz w:val="20"/>
                <w:szCs w:val="20"/>
              </w:rPr>
            </w:pPr>
            <w:r>
              <w:rPr>
                <w:rFonts w:hint="eastAsia" w:ascii="宋体" w:hAnsi="宋体" w:cs="宋体"/>
                <w:color w:val="000000"/>
                <w:kern w:val="0"/>
                <w:sz w:val="20"/>
                <w:szCs w:val="20"/>
              </w:rPr>
              <w:t>达到预期指标　</w:t>
            </w:r>
          </w:p>
        </w:tc>
        <w:tc>
          <w:tcPr>
            <w:tcW w:w="217" w:type="pct"/>
            <w:vMerge w:val="continue"/>
            <w:tcBorders>
              <w:top w:val="nil"/>
              <w:left w:val="single" w:color="auto" w:sz="4" w:space="0"/>
              <w:bottom w:val="single" w:color="auto" w:sz="4" w:space="0"/>
              <w:right w:val="single" w:color="auto" w:sz="4" w:space="0"/>
            </w:tcBorders>
            <w:vAlign w:val="center"/>
          </w:tcPr>
          <w:p>
            <w:pPr>
              <w:widowControl/>
              <w:autoSpaceDN w:val="0"/>
              <w:jc w:val="left"/>
              <w:rPr>
                <w:rFonts w:ascii="宋体" w:hAnsi="宋体" w:cs="宋体"/>
                <w:color w:val="000000"/>
                <w:kern w:val="0"/>
                <w:sz w:val="20"/>
                <w:szCs w:val="20"/>
              </w:rPr>
            </w:pPr>
          </w:p>
        </w:tc>
        <w:tc>
          <w:tcPr>
            <w:tcW w:w="217" w:type="pct"/>
            <w:tcBorders>
              <w:top w:val="nil"/>
              <w:left w:val="nil"/>
              <w:bottom w:val="single" w:color="auto" w:sz="4" w:space="0"/>
              <w:right w:val="nil"/>
            </w:tcBorders>
            <w:noWrap/>
            <w:vAlign w:val="center"/>
          </w:tcPr>
          <w:p>
            <w:pPr>
              <w:widowControl/>
              <w:autoSpaceDN w:val="0"/>
              <w:jc w:val="center"/>
              <w:rPr>
                <w:rFonts w:ascii="宋体" w:hAnsi="宋体" w:cs="宋体"/>
                <w:color w:val="000000"/>
                <w:kern w:val="0"/>
                <w:sz w:val="20"/>
                <w:szCs w:val="20"/>
              </w:rPr>
            </w:pPr>
            <w:r>
              <w:rPr>
                <w:rFonts w:hint="eastAsia" w:ascii="宋体" w:hAnsi="宋体" w:cs="宋体"/>
                <w:color w:val="000000"/>
                <w:kern w:val="0"/>
                <w:sz w:val="20"/>
                <w:szCs w:val="20"/>
              </w:rPr>
              <w:t>6　</w:t>
            </w:r>
          </w:p>
        </w:tc>
        <w:tc>
          <w:tcPr>
            <w:tcW w:w="1085" w:type="pct"/>
            <w:vMerge w:val="continue"/>
            <w:tcBorders>
              <w:top w:val="nil"/>
              <w:left w:val="single" w:color="auto" w:sz="4" w:space="0"/>
              <w:bottom w:val="single" w:color="auto" w:sz="4" w:space="0"/>
              <w:right w:val="single" w:color="auto" w:sz="4" w:space="0"/>
            </w:tcBorders>
            <w:vAlign w:val="center"/>
          </w:tcPr>
          <w:p>
            <w:pPr>
              <w:widowControl/>
              <w:autoSpaceDN w:val="0"/>
              <w:jc w:val="left"/>
              <w:rPr>
                <w:rFonts w:ascii="宋体" w:hAnsi="宋体" w:cs="宋体"/>
                <w:color w:val="000000"/>
                <w:kern w:val="0"/>
                <w:sz w:val="18"/>
                <w:szCs w:val="18"/>
              </w:rPr>
            </w:pPr>
          </w:p>
        </w:tc>
        <w:tc>
          <w:tcPr>
            <w:tcW w:w="1405" w:type="pct"/>
            <w:vMerge w:val="continue"/>
            <w:tcBorders>
              <w:top w:val="nil"/>
              <w:left w:val="single" w:color="auto" w:sz="4" w:space="0"/>
              <w:bottom w:val="single" w:color="auto" w:sz="4" w:space="0"/>
              <w:right w:val="single" w:color="auto" w:sz="4" w:space="0"/>
            </w:tcBorders>
            <w:vAlign w:val="center"/>
          </w:tcPr>
          <w:p>
            <w:pPr>
              <w:widowControl/>
              <w:autoSpaceDN w:val="0"/>
              <w:jc w:val="left"/>
              <w:rPr>
                <w:rFonts w:ascii="宋体" w:hAnsi="宋体" w:cs="宋体"/>
                <w:color w:val="000000"/>
                <w:kern w:val="0"/>
                <w:sz w:val="18"/>
                <w:szCs w:val="18"/>
              </w:rPr>
            </w:pPr>
          </w:p>
        </w:tc>
      </w:tr>
      <w:tr>
        <w:tblPrEx>
          <w:tblCellMar>
            <w:top w:w="0" w:type="dxa"/>
            <w:left w:w="108" w:type="dxa"/>
            <w:bottom w:w="0" w:type="dxa"/>
            <w:right w:w="108" w:type="dxa"/>
          </w:tblCellMar>
        </w:tblPrEx>
        <w:trPr>
          <w:trHeight w:val="690" w:hRule="atLeast"/>
        </w:trPr>
        <w:tc>
          <w:tcPr>
            <w:tcW w:w="287" w:type="pct"/>
            <w:vMerge w:val="continue"/>
            <w:tcBorders>
              <w:top w:val="nil"/>
              <w:left w:val="single" w:color="auto" w:sz="4" w:space="0"/>
              <w:bottom w:val="single" w:color="000000" w:sz="4" w:space="0"/>
              <w:right w:val="single" w:color="auto" w:sz="4" w:space="0"/>
            </w:tcBorders>
            <w:vAlign w:val="center"/>
          </w:tcPr>
          <w:p>
            <w:pPr>
              <w:widowControl/>
              <w:autoSpaceDN w:val="0"/>
              <w:jc w:val="left"/>
              <w:rPr>
                <w:rFonts w:ascii="宋体" w:hAnsi="宋体" w:cs="宋体"/>
                <w:color w:val="000000"/>
                <w:kern w:val="0"/>
                <w:sz w:val="20"/>
                <w:szCs w:val="20"/>
              </w:rPr>
            </w:pPr>
          </w:p>
        </w:tc>
        <w:tc>
          <w:tcPr>
            <w:tcW w:w="287" w:type="pct"/>
            <w:vMerge w:val="continue"/>
            <w:tcBorders>
              <w:top w:val="nil"/>
              <w:left w:val="single" w:color="auto" w:sz="4" w:space="0"/>
              <w:bottom w:val="single" w:color="auto" w:sz="4" w:space="0"/>
              <w:right w:val="single" w:color="auto" w:sz="4" w:space="0"/>
            </w:tcBorders>
            <w:vAlign w:val="center"/>
          </w:tcPr>
          <w:p>
            <w:pPr>
              <w:widowControl/>
              <w:autoSpaceDN w:val="0"/>
              <w:jc w:val="left"/>
              <w:rPr>
                <w:rFonts w:ascii="宋体" w:hAnsi="宋体" w:cs="宋体"/>
                <w:color w:val="000000"/>
                <w:kern w:val="0"/>
                <w:sz w:val="20"/>
                <w:szCs w:val="20"/>
              </w:rPr>
            </w:pPr>
          </w:p>
        </w:tc>
        <w:tc>
          <w:tcPr>
            <w:tcW w:w="499" w:type="pct"/>
            <w:tcBorders>
              <w:top w:val="nil"/>
              <w:left w:val="nil"/>
              <w:bottom w:val="single" w:color="auto" w:sz="4" w:space="0"/>
              <w:right w:val="single" w:color="auto" w:sz="4" w:space="0"/>
            </w:tcBorders>
            <w:vAlign w:val="center"/>
          </w:tcPr>
          <w:p>
            <w:pPr>
              <w:widowControl/>
              <w:autoSpaceDN w:val="0"/>
              <w:jc w:val="center"/>
              <w:rPr>
                <w:rFonts w:ascii="宋体" w:hAnsi="宋体" w:cs="宋体"/>
                <w:color w:val="000000"/>
                <w:kern w:val="0"/>
                <w:sz w:val="20"/>
                <w:szCs w:val="20"/>
              </w:rPr>
            </w:pPr>
            <w:r>
              <w:rPr>
                <w:rFonts w:hint="eastAsia" w:ascii="宋体" w:hAnsi="宋体" w:cs="宋体"/>
                <w:color w:val="000000"/>
                <w:kern w:val="0"/>
                <w:sz w:val="20"/>
                <w:szCs w:val="20"/>
              </w:rPr>
              <w:t>环境效益</w:t>
            </w:r>
          </w:p>
        </w:tc>
        <w:tc>
          <w:tcPr>
            <w:tcW w:w="499" w:type="pct"/>
            <w:tcBorders>
              <w:top w:val="nil"/>
              <w:left w:val="nil"/>
              <w:bottom w:val="single" w:color="auto" w:sz="4" w:space="0"/>
              <w:right w:val="single" w:color="auto" w:sz="4" w:space="0"/>
            </w:tcBorders>
            <w:vAlign w:val="center"/>
          </w:tcPr>
          <w:p>
            <w:pPr>
              <w:widowControl/>
              <w:autoSpaceDN w:val="0"/>
              <w:jc w:val="center"/>
              <w:rPr>
                <w:rFonts w:ascii="宋体" w:hAnsi="宋体" w:cs="宋体"/>
                <w:color w:val="000000"/>
                <w:kern w:val="0"/>
                <w:sz w:val="20"/>
                <w:szCs w:val="20"/>
              </w:rPr>
            </w:pPr>
            <w:r>
              <w:rPr>
                <w:rFonts w:hint="eastAsia" w:ascii="宋体" w:hAnsi="宋体" w:cs="宋体"/>
                <w:color w:val="000000"/>
                <w:kern w:val="0"/>
                <w:sz w:val="20"/>
                <w:szCs w:val="20"/>
              </w:rPr>
              <w:t>推进海淀法治环境建设　</w:t>
            </w:r>
          </w:p>
        </w:tc>
        <w:tc>
          <w:tcPr>
            <w:tcW w:w="500" w:type="pct"/>
            <w:tcBorders>
              <w:top w:val="nil"/>
              <w:left w:val="nil"/>
              <w:bottom w:val="single" w:color="auto" w:sz="4" w:space="0"/>
              <w:right w:val="single" w:color="auto" w:sz="4" w:space="0"/>
            </w:tcBorders>
            <w:vAlign w:val="center"/>
          </w:tcPr>
          <w:p>
            <w:pPr>
              <w:widowControl/>
              <w:autoSpaceDN w:val="0"/>
              <w:jc w:val="center"/>
              <w:rPr>
                <w:rFonts w:ascii="宋体" w:hAnsi="宋体" w:cs="宋体"/>
                <w:color w:val="000000"/>
                <w:kern w:val="0"/>
                <w:sz w:val="20"/>
                <w:szCs w:val="20"/>
              </w:rPr>
            </w:pPr>
            <w:r>
              <w:rPr>
                <w:rFonts w:hint="eastAsia" w:ascii="宋体" w:hAnsi="宋体" w:cs="宋体"/>
                <w:color w:val="000000"/>
                <w:kern w:val="0"/>
                <w:sz w:val="20"/>
                <w:szCs w:val="20"/>
              </w:rPr>
              <w:t>达到预期指标　</w:t>
            </w:r>
          </w:p>
        </w:tc>
        <w:tc>
          <w:tcPr>
            <w:tcW w:w="217" w:type="pct"/>
            <w:vMerge w:val="continue"/>
            <w:tcBorders>
              <w:top w:val="nil"/>
              <w:left w:val="single" w:color="auto" w:sz="4" w:space="0"/>
              <w:bottom w:val="single" w:color="auto" w:sz="4" w:space="0"/>
              <w:right w:val="single" w:color="auto" w:sz="4" w:space="0"/>
            </w:tcBorders>
            <w:vAlign w:val="center"/>
          </w:tcPr>
          <w:p>
            <w:pPr>
              <w:widowControl/>
              <w:autoSpaceDN w:val="0"/>
              <w:jc w:val="left"/>
              <w:rPr>
                <w:rFonts w:ascii="宋体" w:hAnsi="宋体" w:cs="宋体"/>
                <w:color w:val="000000"/>
                <w:kern w:val="0"/>
                <w:sz w:val="20"/>
                <w:szCs w:val="20"/>
              </w:rPr>
            </w:pPr>
          </w:p>
        </w:tc>
        <w:tc>
          <w:tcPr>
            <w:tcW w:w="217" w:type="pct"/>
            <w:tcBorders>
              <w:top w:val="nil"/>
              <w:left w:val="nil"/>
              <w:bottom w:val="single" w:color="auto" w:sz="4" w:space="0"/>
              <w:right w:val="nil"/>
            </w:tcBorders>
            <w:noWrap/>
            <w:vAlign w:val="center"/>
          </w:tcPr>
          <w:p>
            <w:pPr>
              <w:widowControl/>
              <w:autoSpaceDN w:val="0"/>
              <w:jc w:val="center"/>
              <w:rPr>
                <w:rFonts w:ascii="宋体" w:hAnsi="宋体" w:cs="宋体"/>
                <w:color w:val="000000"/>
                <w:kern w:val="0"/>
                <w:sz w:val="20"/>
                <w:szCs w:val="20"/>
              </w:rPr>
            </w:pPr>
            <w:r>
              <w:rPr>
                <w:rFonts w:hint="eastAsia" w:ascii="宋体" w:hAnsi="宋体" w:cs="宋体"/>
                <w:color w:val="000000"/>
                <w:kern w:val="0"/>
                <w:sz w:val="20"/>
                <w:szCs w:val="20"/>
              </w:rPr>
              <w:t>5　</w:t>
            </w:r>
          </w:p>
        </w:tc>
        <w:tc>
          <w:tcPr>
            <w:tcW w:w="1085" w:type="pct"/>
            <w:vMerge w:val="continue"/>
            <w:tcBorders>
              <w:top w:val="nil"/>
              <w:left w:val="single" w:color="auto" w:sz="4" w:space="0"/>
              <w:bottom w:val="single" w:color="auto" w:sz="4" w:space="0"/>
              <w:right w:val="single" w:color="auto" w:sz="4" w:space="0"/>
            </w:tcBorders>
            <w:vAlign w:val="center"/>
          </w:tcPr>
          <w:p>
            <w:pPr>
              <w:widowControl/>
              <w:autoSpaceDN w:val="0"/>
              <w:jc w:val="left"/>
              <w:rPr>
                <w:rFonts w:ascii="宋体" w:hAnsi="宋体" w:cs="宋体"/>
                <w:color w:val="000000"/>
                <w:kern w:val="0"/>
                <w:sz w:val="18"/>
                <w:szCs w:val="18"/>
              </w:rPr>
            </w:pPr>
          </w:p>
        </w:tc>
        <w:tc>
          <w:tcPr>
            <w:tcW w:w="1405" w:type="pct"/>
            <w:vMerge w:val="continue"/>
            <w:tcBorders>
              <w:top w:val="nil"/>
              <w:left w:val="single" w:color="auto" w:sz="4" w:space="0"/>
              <w:bottom w:val="single" w:color="auto" w:sz="4" w:space="0"/>
              <w:right w:val="single" w:color="auto" w:sz="4" w:space="0"/>
            </w:tcBorders>
            <w:vAlign w:val="center"/>
          </w:tcPr>
          <w:p>
            <w:pPr>
              <w:widowControl/>
              <w:autoSpaceDN w:val="0"/>
              <w:jc w:val="left"/>
              <w:rPr>
                <w:rFonts w:ascii="宋体" w:hAnsi="宋体" w:cs="宋体"/>
                <w:color w:val="000000"/>
                <w:kern w:val="0"/>
                <w:sz w:val="18"/>
                <w:szCs w:val="18"/>
              </w:rPr>
            </w:pPr>
          </w:p>
        </w:tc>
      </w:tr>
      <w:tr>
        <w:tblPrEx>
          <w:tblCellMar>
            <w:top w:w="0" w:type="dxa"/>
            <w:left w:w="108" w:type="dxa"/>
            <w:bottom w:w="0" w:type="dxa"/>
            <w:right w:w="108" w:type="dxa"/>
          </w:tblCellMar>
        </w:tblPrEx>
        <w:trPr>
          <w:trHeight w:val="690" w:hRule="atLeast"/>
        </w:trPr>
        <w:tc>
          <w:tcPr>
            <w:tcW w:w="287" w:type="pct"/>
            <w:vMerge w:val="continue"/>
            <w:tcBorders>
              <w:top w:val="nil"/>
              <w:left w:val="single" w:color="auto" w:sz="4" w:space="0"/>
              <w:bottom w:val="single" w:color="000000" w:sz="4" w:space="0"/>
              <w:right w:val="single" w:color="auto" w:sz="4" w:space="0"/>
            </w:tcBorders>
            <w:vAlign w:val="center"/>
          </w:tcPr>
          <w:p>
            <w:pPr>
              <w:widowControl/>
              <w:autoSpaceDN w:val="0"/>
              <w:jc w:val="left"/>
              <w:rPr>
                <w:rFonts w:ascii="宋体" w:hAnsi="宋体" w:cs="宋体"/>
                <w:color w:val="000000"/>
                <w:kern w:val="0"/>
                <w:sz w:val="20"/>
                <w:szCs w:val="20"/>
              </w:rPr>
            </w:pPr>
          </w:p>
        </w:tc>
        <w:tc>
          <w:tcPr>
            <w:tcW w:w="287" w:type="pct"/>
            <w:vMerge w:val="continue"/>
            <w:tcBorders>
              <w:top w:val="nil"/>
              <w:left w:val="single" w:color="auto" w:sz="4" w:space="0"/>
              <w:bottom w:val="single" w:color="auto" w:sz="4" w:space="0"/>
              <w:right w:val="single" w:color="auto" w:sz="4" w:space="0"/>
            </w:tcBorders>
            <w:vAlign w:val="center"/>
          </w:tcPr>
          <w:p>
            <w:pPr>
              <w:widowControl/>
              <w:autoSpaceDN w:val="0"/>
              <w:jc w:val="left"/>
              <w:rPr>
                <w:rFonts w:ascii="宋体" w:hAnsi="宋体" w:cs="宋体"/>
                <w:color w:val="000000"/>
                <w:kern w:val="0"/>
                <w:sz w:val="20"/>
                <w:szCs w:val="20"/>
              </w:rPr>
            </w:pPr>
          </w:p>
        </w:tc>
        <w:tc>
          <w:tcPr>
            <w:tcW w:w="499" w:type="pct"/>
            <w:tcBorders>
              <w:top w:val="nil"/>
              <w:left w:val="nil"/>
              <w:bottom w:val="single" w:color="auto" w:sz="4" w:space="0"/>
              <w:right w:val="single" w:color="auto" w:sz="4" w:space="0"/>
            </w:tcBorders>
            <w:vAlign w:val="center"/>
          </w:tcPr>
          <w:p>
            <w:pPr>
              <w:widowControl/>
              <w:autoSpaceDN w:val="0"/>
              <w:jc w:val="center"/>
              <w:rPr>
                <w:rFonts w:ascii="宋体" w:hAnsi="宋体" w:cs="宋体"/>
                <w:color w:val="000000"/>
                <w:kern w:val="0"/>
                <w:sz w:val="20"/>
                <w:szCs w:val="20"/>
              </w:rPr>
            </w:pPr>
            <w:r>
              <w:rPr>
                <w:rFonts w:hint="eastAsia" w:ascii="宋体" w:hAnsi="宋体" w:cs="宋体"/>
                <w:color w:val="000000"/>
                <w:kern w:val="0"/>
                <w:sz w:val="20"/>
                <w:szCs w:val="20"/>
              </w:rPr>
              <w:t>可持续性影响</w:t>
            </w:r>
          </w:p>
        </w:tc>
        <w:tc>
          <w:tcPr>
            <w:tcW w:w="499" w:type="pct"/>
            <w:tcBorders>
              <w:top w:val="nil"/>
              <w:left w:val="nil"/>
              <w:bottom w:val="single" w:color="auto" w:sz="4" w:space="0"/>
              <w:right w:val="single" w:color="auto" w:sz="4" w:space="0"/>
            </w:tcBorders>
            <w:vAlign w:val="center"/>
          </w:tcPr>
          <w:p>
            <w:pPr>
              <w:widowControl/>
              <w:autoSpaceDN w:val="0"/>
              <w:jc w:val="center"/>
              <w:rPr>
                <w:rFonts w:ascii="宋体" w:hAnsi="宋体" w:cs="宋体"/>
                <w:color w:val="000000"/>
                <w:kern w:val="0"/>
                <w:sz w:val="20"/>
                <w:szCs w:val="20"/>
              </w:rPr>
            </w:pPr>
            <w:r>
              <w:rPr>
                <w:rFonts w:hint="eastAsia" w:ascii="宋体" w:hAnsi="宋体" w:cs="宋体"/>
                <w:color w:val="000000"/>
                <w:kern w:val="0"/>
                <w:sz w:val="20"/>
                <w:szCs w:val="20"/>
              </w:rPr>
              <w:t>保障各项检察业务工作的正常开展的经常性支出项目</w:t>
            </w:r>
          </w:p>
        </w:tc>
        <w:tc>
          <w:tcPr>
            <w:tcW w:w="500" w:type="pct"/>
            <w:tcBorders>
              <w:top w:val="nil"/>
              <w:left w:val="nil"/>
              <w:bottom w:val="single" w:color="auto" w:sz="4" w:space="0"/>
              <w:right w:val="single" w:color="auto" w:sz="4" w:space="0"/>
            </w:tcBorders>
            <w:vAlign w:val="center"/>
          </w:tcPr>
          <w:p>
            <w:pPr>
              <w:widowControl/>
              <w:autoSpaceDN w:val="0"/>
              <w:jc w:val="center"/>
              <w:rPr>
                <w:rFonts w:ascii="宋体" w:hAnsi="宋体" w:cs="宋体"/>
                <w:color w:val="000000"/>
                <w:kern w:val="0"/>
                <w:sz w:val="20"/>
                <w:szCs w:val="20"/>
              </w:rPr>
            </w:pPr>
            <w:r>
              <w:rPr>
                <w:rFonts w:hint="eastAsia" w:ascii="宋体" w:hAnsi="宋体" w:cs="宋体"/>
                <w:color w:val="000000"/>
                <w:kern w:val="0"/>
                <w:sz w:val="20"/>
                <w:szCs w:val="20"/>
              </w:rPr>
              <w:t>达到预期指标</w:t>
            </w:r>
          </w:p>
        </w:tc>
        <w:tc>
          <w:tcPr>
            <w:tcW w:w="217" w:type="pct"/>
            <w:vMerge w:val="continue"/>
            <w:tcBorders>
              <w:top w:val="nil"/>
              <w:left w:val="single" w:color="auto" w:sz="4" w:space="0"/>
              <w:bottom w:val="single" w:color="auto" w:sz="4" w:space="0"/>
              <w:right w:val="single" w:color="auto" w:sz="4" w:space="0"/>
            </w:tcBorders>
            <w:vAlign w:val="center"/>
          </w:tcPr>
          <w:p>
            <w:pPr>
              <w:widowControl/>
              <w:autoSpaceDN w:val="0"/>
              <w:jc w:val="left"/>
              <w:rPr>
                <w:rFonts w:ascii="宋体" w:hAnsi="宋体" w:cs="宋体"/>
                <w:color w:val="000000"/>
                <w:kern w:val="0"/>
                <w:sz w:val="20"/>
                <w:szCs w:val="20"/>
              </w:rPr>
            </w:pPr>
          </w:p>
        </w:tc>
        <w:tc>
          <w:tcPr>
            <w:tcW w:w="217" w:type="pct"/>
            <w:tcBorders>
              <w:top w:val="nil"/>
              <w:left w:val="nil"/>
              <w:bottom w:val="single" w:color="auto" w:sz="4" w:space="0"/>
              <w:right w:val="nil"/>
            </w:tcBorders>
            <w:noWrap/>
            <w:vAlign w:val="center"/>
          </w:tcPr>
          <w:p>
            <w:pPr>
              <w:widowControl/>
              <w:autoSpaceDN w:val="0"/>
              <w:jc w:val="center"/>
              <w:rPr>
                <w:rFonts w:ascii="宋体" w:hAnsi="宋体" w:cs="宋体"/>
                <w:color w:val="000000"/>
                <w:kern w:val="0"/>
                <w:sz w:val="20"/>
                <w:szCs w:val="20"/>
              </w:rPr>
            </w:pPr>
            <w:r>
              <w:rPr>
                <w:rFonts w:hint="eastAsia" w:ascii="宋体" w:hAnsi="宋体" w:cs="宋体"/>
                <w:color w:val="000000"/>
                <w:kern w:val="0"/>
                <w:sz w:val="20"/>
                <w:szCs w:val="20"/>
              </w:rPr>
              <w:t>6</w:t>
            </w:r>
          </w:p>
        </w:tc>
        <w:tc>
          <w:tcPr>
            <w:tcW w:w="1085" w:type="pct"/>
            <w:vMerge w:val="continue"/>
            <w:tcBorders>
              <w:top w:val="nil"/>
              <w:left w:val="single" w:color="auto" w:sz="4" w:space="0"/>
              <w:bottom w:val="single" w:color="auto" w:sz="4" w:space="0"/>
              <w:right w:val="single" w:color="auto" w:sz="4" w:space="0"/>
            </w:tcBorders>
            <w:vAlign w:val="center"/>
          </w:tcPr>
          <w:p>
            <w:pPr>
              <w:widowControl/>
              <w:autoSpaceDN w:val="0"/>
              <w:jc w:val="left"/>
              <w:rPr>
                <w:rFonts w:ascii="宋体" w:hAnsi="宋体" w:cs="宋体"/>
                <w:color w:val="000000"/>
                <w:kern w:val="0"/>
                <w:sz w:val="18"/>
                <w:szCs w:val="18"/>
              </w:rPr>
            </w:pPr>
          </w:p>
        </w:tc>
        <w:tc>
          <w:tcPr>
            <w:tcW w:w="1405" w:type="pct"/>
            <w:vMerge w:val="continue"/>
            <w:tcBorders>
              <w:top w:val="nil"/>
              <w:left w:val="single" w:color="auto" w:sz="4" w:space="0"/>
              <w:bottom w:val="single" w:color="auto" w:sz="4" w:space="0"/>
              <w:right w:val="single" w:color="auto" w:sz="4" w:space="0"/>
            </w:tcBorders>
            <w:vAlign w:val="center"/>
          </w:tcPr>
          <w:p>
            <w:pPr>
              <w:widowControl/>
              <w:autoSpaceDN w:val="0"/>
              <w:jc w:val="left"/>
              <w:rPr>
                <w:rFonts w:ascii="宋体" w:hAnsi="宋体" w:cs="宋体"/>
                <w:color w:val="000000"/>
                <w:kern w:val="0"/>
                <w:sz w:val="18"/>
                <w:szCs w:val="18"/>
              </w:rPr>
            </w:pPr>
          </w:p>
        </w:tc>
      </w:tr>
      <w:tr>
        <w:tblPrEx>
          <w:tblCellMar>
            <w:top w:w="0" w:type="dxa"/>
            <w:left w:w="108" w:type="dxa"/>
            <w:bottom w:w="0" w:type="dxa"/>
            <w:right w:w="108" w:type="dxa"/>
          </w:tblCellMar>
        </w:tblPrEx>
        <w:trPr>
          <w:trHeight w:val="675" w:hRule="atLeast"/>
        </w:trPr>
        <w:tc>
          <w:tcPr>
            <w:tcW w:w="287" w:type="pct"/>
            <w:vMerge w:val="continue"/>
            <w:tcBorders>
              <w:top w:val="nil"/>
              <w:left w:val="single" w:color="auto" w:sz="4" w:space="0"/>
              <w:bottom w:val="single" w:color="auto" w:sz="4" w:space="0"/>
              <w:right w:val="single" w:color="auto" w:sz="4" w:space="0"/>
            </w:tcBorders>
            <w:vAlign w:val="center"/>
          </w:tcPr>
          <w:p>
            <w:pPr>
              <w:widowControl/>
              <w:autoSpaceDN w:val="0"/>
              <w:jc w:val="left"/>
              <w:rPr>
                <w:rFonts w:ascii="宋体" w:hAnsi="宋体" w:cs="宋体"/>
                <w:color w:val="000000"/>
                <w:kern w:val="0"/>
                <w:sz w:val="20"/>
                <w:szCs w:val="20"/>
              </w:rPr>
            </w:pPr>
          </w:p>
        </w:tc>
        <w:tc>
          <w:tcPr>
            <w:tcW w:w="287" w:type="pct"/>
            <w:vMerge w:val="continue"/>
            <w:tcBorders>
              <w:top w:val="nil"/>
              <w:left w:val="single" w:color="auto" w:sz="4" w:space="0"/>
              <w:bottom w:val="single" w:color="auto" w:sz="4" w:space="0"/>
              <w:right w:val="single" w:color="auto" w:sz="4" w:space="0"/>
            </w:tcBorders>
            <w:vAlign w:val="center"/>
          </w:tcPr>
          <w:p>
            <w:pPr>
              <w:widowControl/>
              <w:autoSpaceDN w:val="0"/>
              <w:jc w:val="left"/>
              <w:rPr>
                <w:rFonts w:ascii="宋体" w:hAnsi="宋体" w:cs="宋体"/>
                <w:color w:val="000000"/>
                <w:kern w:val="0"/>
                <w:sz w:val="20"/>
                <w:szCs w:val="20"/>
              </w:rPr>
            </w:pPr>
          </w:p>
        </w:tc>
        <w:tc>
          <w:tcPr>
            <w:tcW w:w="499" w:type="pct"/>
            <w:tcBorders>
              <w:top w:val="nil"/>
              <w:left w:val="nil"/>
              <w:bottom w:val="single" w:color="auto" w:sz="4" w:space="0"/>
              <w:right w:val="single" w:color="auto" w:sz="4" w:space="0"/>
            </w:tcBorders>
            <w:vAlign w:val="center"/>
          </w:tcPr>
          <w:p>
            <w:pPr>
              <w:widowControl/>
              <w:autoSpaceDN w:val="0"/>
              <w:jc w:val="center"/>
              <w:rPr>
                <w:rFonts w:ascii="宋体" w:hAnsi="宋体" w:cs="宋体"/>
                <w:color w:val="000000"/>
                <w:kern w:val="0"/>
                <w:sz w:val="20"/>
                <w:szCs w:val="20"/>
              </w:rPr>
            </w:pPr>
            <w:r>
              <w:rPr>
                <w:rFonts w:hint="eastAsia" w:ascii="宋体" w:hAnsi="宋体" w:cs="宋体"/>
                <w:color w:val="000000"/>
                <w:kern w:val="0"/>
                <w:sz w:val="20"/>
                <w:szCs w:val="20"/>
              </w:rPr>
              <w:t>服务对象满意度</w:t>
            </w:r>
          </w:p>
        </w:tc>
        <w:tc>
          <w:tcPr>
            <w:tcW w:w="499" w:type="pct"/>
            <w:tcBorders>
              <w:top w:val="nil"/>
              <w:left w:val="nil"/>
              <w:bottom w:val="single" w:color="auto" w:sz="4" w:space="0"/>
              <w:right w:val="single" w:color="auto" w:sz="4" w:space="0"/>
            </w:tcBorders>
            <w:vAlign w:val="center"/>
          </w:tcPr>
          <w:p>
            <w:pPr>
              <w:widowControl/>
              <w:autoSpaceDN w:val="0"/>
              <w:jc w:val="center"/>
              <w:rPr>
                <w:rFonts w:ascii="宋体" w:hAnsi="宋体" w:cs="宋体"/>
                <w:color w:val="000000"/>
                <w:kern w:val="0"/>
                <w:sz w:val="20"/>
                <w:szCs w:val="20"/>
              </w:rPr>
            </w:pPr>
            <w:r>
              <w:rPr>
                <w:rFonts w:hint="eastAsia" w:ascii="宋体" w:hAnsi="宋体" w:cs="宋体"/>
                <w:color w:val="000000"/>
                <w:kern w:val="0"/>
                <w:sz w:val="20"/>
                <w:szCs w:val="20"/>
              </w:rPr>
              <w:t>满意度≥90%　</w:t>
            </w:r>
          </w:p>
        </w:tc>
        <w:tc>
          <w:tcPr>
            <w:tcW w:w="500" w:type="pct"/>
            <w:tcBorders>
              <w:top w:val="nil"/>
              <w:left w:val="nil"/>
              <w:bottom w:val="single" w:color="auto" w:sz="4" w:space="0"/>
              <w:right w:val="single" w:color="auto" w:sz="4" w:space="0"/>
            </w:tcBorders>
            <w:vAlign w:val="center"/>
          </w:tcPr>
          <w:p>
            <w:pPr>
              <w:widowControl/>
              <w:autoSpaceDN w:val="0"/>
              <w:jc w:val="center"/>
              <w:rPr>
                <w:rFonts w:ascii="宋体" w:hAnsi="宋体" w:cs="宋体"/>
                <w:color w:val="000000"/>
                <w:kern w:val="0"/>
                <w:sz w:val="20"/>
                <w:szCs w:val="20"/>
              </w:rPr>
            </w:pPr>
            <w:r>
              <w:rPr>
                <w:rFonts w:hint="eastAsia" w:ascii="宋体" w:hAnsi="宋体" w:cs="宋体"/>
                <w:color w:val="000000"/>
                <w:kern w:val="0"/>
                <w:sz w:val="20"/>
                <w:szCs w:val="20"/>
              </w:rPr>
              <w:t>达到预期指标　</w:t>
            </w:r>
          </w:p>
        </w:tc>
        <w:tc>
          <w:tcPr>
            <w:tcW w:w="217" w:type="pct"/>
            <w:vMerge w:val="continue"/>
            <w:tcBorders>
              <w:top w:val="nil"/>
              <w:left w:val="single" w:color="auto" w:sz="4" w:space="0"/>
              <w:bottom w:val="single" w:color="auto" w:sz="4" w:space="0"/>
              <w:right w:val="single" w:color="auto" w:sz="4" w:space="0"/>
            </w:tcBorders>
            <w:vAlign w:val="center"/>
          </w:tcPr>
          <w:p>
            <w:pPr>
              <w:widowControl/>
              <w:autoSpaceDN w:val="0"/>
              <w:jc w:val="left"/>
              <w:rPr>
                <w:rFonts w:ascii="宋体" w:hAnsi="宋体" w:cs="宋体"/>
                <w:color w:val="000000"/>
                <w:kern w:val="0"/>
                <w:sz w:val="20"/>
                <w:szCs w:val="20"/>
              </w:rPr>
            </w:pPr>
          </w:p>
        </w:tc>
        <w:tc>
          <w:tcPr>
            <w:tcW w:w="217" w:type="pct"/>
            <w:tcBorders>
              <w:top w:val="nil"/>
              <w:left w:val="nil"/>
              <w:bottom w:val="single" w:color="auto" w:sz="4" w:space="0"/>
              <w:right w:val="nil"/>
            </w:tcBorders>
            <w:noWrap/>
            <w:vAlign w:val="center"/>
          </w:tcPr>
          <w:p>
            <w:pPr>
              <w:widowControl/>
              <w:autoSpaceDN w:val="0"/>
              <w:jc w:val="center"/>
              <w:rPr>
                <w:rFonts w:ascii="宋体" w:hAnsi="宋体" w:cs="宋体"/>
                <w:color w:val="000000"/>
                <w:kern w:val="0"/>
                <w:sz w:val="20"/>
                <w:szCs w:val="20"/>
              </w:rPr>
            </w:pPr>
            <w:r>
              <w:rPr>
                <w:rFonts w:hint="eastAsia" w:ascii="宋体" w:hAnsi="宋体" w:cs="宋体"/>
                <w:color w:val="000000"/>
                <w:kern w:val="0"/>
                <w:sz w:val="20"/>
                <w:szCs w:val="20"/>
              </w:rPr>
              <w:t>5　</w:t>
            </w:r>
          </w:p>
        </w:tc>
        <w:tc>
          <w:tcPr>
            <w:tcW w:w="1085" w:type="pct"/>
            <w:vMerge w:val="continue"/>
            <w:tcBorders>
              <w:top w:val="nil"/>
              <w:left w:val="single" w:color="auto" w:sz="4" w:space="0"/>
              <w:bottom w:val="single" w:color="auto" w:sz="4" w:space="0"/>
              <w:right w:val="single" w:color="auto" w:sz="4" w:space="0"/>
            </w:tcBorders>
            <w:vAlign w:val="center"/>
          </w:tcPr>
          <w:p>
            <w:pPr>
              <w:widowControl/>
              <w:autoSpaceDN w:val="0"/>
              <w:jc w:val="left"/>
              <w:rPr>
                <w:rFonts w:ascii="宋体" w:hAnsi="宋体" w:cs="宋体"/>
                <w:color w:val="000000"/>
                <w:kern w:val="0"/>
                <w:sz w:val="18"/>
                <w:szCs w:val="18"/>
              </w:rPr>
            </w:pPr>
          </w:p>
        </w:tc>
        <w:tc>
          <w:tcPr>
            <w:tcW w:w="1405" w:type="pct"/>
            <w:vMerge w:val="continue"/>
            <w:tcBorders>
              <w:top w:val="nil"/>
              <w:left w:val="single" w:color="auto" w:sz="4" w:space="0"/>
              <w:bottom w:val="single" w:color="auto" w:sz="4" w:space="0"/>
              <w:right w:val="single" w:color="auto" w:sz="4" w:space="0"/>
            </w:tcBorders>
            <w:vAlign w:val="center"/>
          </w:tcPr>
          <w:p>
            <w:pPr>
              <w:widowControl/>
              <w:autoSpaceDN w:val="0"/>
              <w:jc w:val="left"/>
              <w:rPr>
                <w:rFonts w:ascii="宋体" w:hAnsi="宋体" w:cs="宋体"/>
                <w:color w:val="000000"/>
                <w:kern w:val="0"/>
                <w:sz w:val="18"/>
                <w:szCs w:val="18"/>
              </w:rPr>
            </w:pPr>
          </w:p>
        </w:tc>
      </w:tr>
      <w:tr>
        <w:tblPrEx>
          <w:tblCellMar>
            <w:top w:w="0" w:type="dxa"/>
            <w:left w:w="108" w:type="dxa"/>
            <w:bottom w:w="0" w:type="dxa"/>
            <w:right w:w="108" w:type="dxa"/>
          </w:tblCellMar>
        </w:tblPrEx>
        <w:trPr>
          <w:trHeight w:val="699" w:hRule="atLeast"/>
        </w:trPr>
        <w:tc>
          <w:tcPr>
            <w:tcW w:w="5000" w:type="pct"/>
            <w:gridSpan w:val="9"/>
            <w:tcBorders>
              <w:top w:val="single" w:color="auto" w:sz="4" w:space="0"/>
              <w:left w:val="single" w:color="auto" w:sz="4" w:space="0"/>
              <w:bottom w:val="single" w:color="auto" w:sz="4" w:space="0"/>
              <w:right w:val="single" w:color="auto" w:sz="4" w:space="0"/>
            </w:tcBorders>
            <w:vAlign w:val="center"/>
          </w:tcPr>
          <w:p>
            <w:pPr>
              <w:widowControl/>
              <w:autoSpaceDN w:val="0"/>
              <w:jc w:val="left"/>
              <w:rPr>
                <w:rFonts w:ascii="宋体" w:hAnsi="宋体" w:cs="宋体"/>
                <w:color w:val="000000"/>
                <w:kern w:val="0"/>
                <w:sz w:val="18"/>
                <w:szCs w:val="18"/>
              </w:rPr>
            </w:pPr>
            <w:r>
              <w:rPr>
                <w:rFonts w:hint="eastAsia" w:ascii="宋体" w:hAnsi="宋体" w:cs="宋体"/>
                <w:color w:val="000000"/>
                <w:kern w:val="0"/>
                <w:sz w:val="18"/>
                <w:szCs w:val="18"/>
              </w:rPr>
              <w:t>三</w:t>
            </w:r>
            <w:r>
              <w:rPr>
                <w:rFonts w:ascii="宋体" w:hAnsi="宋体" w:cs="宋体"/>
                <w:color w:val="000000"/>
                <w:kern w:val="0"/>
                <w:sz w:val="18"/>
                <w:szCs w:val="18"/>
              </w:rPr>
              <w:t>、</w:t>
            </w:r>
            <w:r>
              <w:rPr>
                <w:rFonts w:hint="eastAsia" w:ascii="宋体" w:hAnsi="宋体" w:cs="宋体"/>
                <w:color w:val="000000"/>
                <w:kern w:val="0"/>
                <w:sz w:val="20"/>
                <w:szCs w:val="20"/>
              </w:rPr>
              <w:t>预算管理情况（20分）</w:t>
            </w:r>
          </w:p>
        </w:tc>
      </w:tr>
      <w:tr>
        <w:tblPrEx>
          <w:tblCellMar>
            <w:top w:w="0" w:type="dxa"/>
            <w:left w:w="108" w:type="dxa"/>
            <w:bottom w:w="0" w:type="dxa"/>
            <w:right w:w="108" w:type="dxa"/>
          </w:tblCellMar>
        </w:tblPrEx>
        <w:trPr>
          <w:trHeight w:val="702" w:hRule="atLeast"/>
        </w:trPr>
        <w:tc>
          <w:tcPr>
            <w:tcW w:w="287" w:type="pct"/>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s="宋体"/>
                <w:color w:val="000000"/>
                <w:kern w:val="0"/>
                <w:sz w:val="20"/>
                <w:szCs w:val="20"/>
              </w:rPr>
            </w:pPr>
            <w:r>
              <w:rPr>
                <w:rFonts w:hint="eastAsia" w:ascii="宋体" w:hAnsi="宋体" w:cs="宋体"/>
                <w:color w:val="000000"/>
                <w:kern w:val="0"/>
                <w:sz w:val="20"/>
                <w:szCs w:val="20"/>
              </w:rPr>
              <w:t>一</w:t>
            </w:r>
            <w:r>
              <w:rPr>
                <w:rFonts w:ascii="宋体" w:hAnsi="宋体" w:cs="宋体"/>
                <w:color w:val="000000"/>
                <w:kern w:val="0"/>
                <w:sz w:val="20"/>
                <w:szCs w:val="20"/>
              </w:rPr>
              <w:t>级指标</w:t>
            </w:r>
          </w:p>
        </w:tc>
        <w:tc>
          <w:tcPr>
            <w:tcW w:w="287" w:type="pct"/>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s="宋体"/>
                <w:color w:val="000000"/>
                <w:kern w:val="0"/>
                <w:sz w:val="20"/>
                <w:szCs w:val="20"/>
              </w:rPr>
            </w:pPr>
            <w:r>
              <w:rPr>
                <w:rFonts w:hint="eastAsia" w:ascii="宋体" w:hAnsi="宋体" w:cs="宋体"/>
                <w:color w:val="000000"/>
                <w:kern w:val="0"/>
                <w:sz w:val="20"/>
                <w:szCs w:val="20"/>
              </w:rPr>
              <w:t>二</w:t>
            </w:r>
            <w:r>
              <w:rPr>
                <w:rFonts w:ascii="宋体" w:hAnsi="宋体" w:cs="宋体"/>
                <w:color w:val="000000"/>
                <w:kern w:val="0"/>
                <w:sz w:val="20"/>
                <w:szCs w:val="20"/>
              </w:rPr>
              <w:t>级指标</w:t>
            </w:r>
          </w:p>
        </w:tc>
        <w:tc>
          <w:tcPr>
            <w:tcW w:w="499" w:type="pct"/>
            <w:tcBorders>
              <w:top w:val="single" w:color="auto" w:sz="4" w:space="0"/>
              <w:left w:val="nil"/>
              <w:bottom w:val="single" w:color="auto" w:sz="4" w:space="0"/>
              <w:right w:val="single" w:color="auto" w:sz="4" w:space="0"/>
            </w:tcBorders>
            <w:vAlign w:val="center"/>
          </w:tcPr>
          <w:p>
            <w:pPr>
              <w:widowControl/>
              <w:autoSpaceDN w:val="0"/>
              <w:jc w:val="center"/>
              <w:rPr>
                <w:rFonts w:ascii="宋体" w:hAnsi="宋体" w:cs="宋体"/>
                <w:color w:val="000000"/>
                <w:kern w:val="0"/>
                <w:sz w:val="20"/>
                <w:szCs w:val="20"/>
              </w:rPr>
            </w:pPr>
            <w:r>
              <w:rPr>
                <w:rFonts w:hint="eastAsia" w:ascii="宋体" w:hAnsi="宋体" w:cs="宋体"/>
                <w:color w:val="000000"/>
                <w:kern w:val="0"/>
                <w:sz w:val="20"/>
                <w:szCs w:val="20"/>
              </w:rPr>
              <w:t>三</w:t>
            </w:r>
            <w:r>
              <w:rPr>
                <w:rFonts w:ascii="宋体" w:hAnsi="宋体" w:cs="宋体"/>
                <w:color w:val="000000"/>
                <w:kern w:val="0"/>
                <w:sz w:val="20"/>
                <w:szCs w:val="20"/>
              </w:rPr>
              <w:t>级指标</w:t>
            </w:r>
          </w:p>
        </w:tc>
        <w:tc>
          <w:tcPr>
            <w:tcW w:w="499" w:type="pct"/>
            <w:tcBorders>
              <w:top w:val="single" w:color="auto" w:sz="4" w:space="0"/>
              <w:left w:val="nil"/>
              <w:bottom w:val="single" w:color="auto" w:sz="4" w:space="0"/>
              <w:right w:val="single" w:color="auto" w:sz="4" w:space="0"/>
            </w:tcBorders>
            <w:vAlign w:val="center"/>
          </w:tcPr>
          <w:p>
            <w:pPr>
              <w:widowControl/>
              <w:autoSpaceDN w:val="0"/>
              <w:jc w:val="center"/>
              <w:rPr>
                <w:rFonts w:ascii="宋体" w:hAnsi="宋体" w:cs="宋体"/>
                <w:color w:val="000000"/>
                <w:kern w:val="0"/>
                <w:sz w:val="20"/>
                <w:szCs w:val="20"/>
              </w:rPr>
            </w:pPr>
            <w:r>
              <w:rPr>
                <w:rFonts w:hint="eastAsia" w:ascii="宋体" w:hAnsi="宋体" w:cs="宋体"/>
                <w:color w:val="000000"/>
                <w:kern w:val="0"/>
                <w:sz w:val="20"/>
                <w:szCs w:val="20"/>
              </w:rPr>
              <w:t>指标</w:t>
            </w:r>
            <w:r>
              <w:rPr>
                <w:rFonts w:ascii="宋体" w:hAnsi="宋体" w:cs="宋体"/>
                <w:color w:val="000000"/>
                <w:kern w:val="0"/>
                <w:sz w:val="20"/>
                <w:szCs w:val="20"/>
              </w:rPr>
              <w:t>值</w:t>
            </w:r>
          </w:p>
        </w:tc>
        <w:tc>
          <w:tcPr>
            <w:tcW w:w="500" w:type="pct"/>
            <w:tcBorders>
              <w:top w:val="single" w:color="auto" w:sz="4" w:space="0"/>
              <w:left w:val="nil"/>
              <w:bottom w:val="single" w:color="auto" w:sz="4" w:space="0"/>
              <w:right w:val="single" w:color="auto" w:sz="4" w:space="0"/>
            </w:tcBorders>
            <w:vAlign w:val="center"/>
          </w:tcPr>
          <w:p>
            <w:pPr>
              <w:widowControl/>
              <w:autoSpaceDN w:val="0"/>
              <w:jc w:val="center"/>
              <w:rPr>
                <w:rFonts w:ascii="宋体" w:hAnsi="宋体" w:cs="宋体"/>
                <w:color w:val="000000"/>
                <w:kern w:val="0"/>
                <w:sz w:val="20"/>
                <w:szCs w:val="20"/>
              </w:rPr>
            </w:pPr>
            <w:r>
              <w:rPr>
                <w:rFonts w:hint="eastAsia" w:ascii="宋体" w:hAnsi="宋体" w:cs="宋体"/>
                <w:color w:val="000000"/>
                <w:kern w:val="0"/>
                <w:sz w:val="20"/>
                <w:szCs w:val="20"/>
              </w:rPr>
              <w:t>完成</w:t>
            </w:r>
            <w:r>
              <w:rPr>
                <w:rFonts w:ascii="宋体" w:hAnsi="宋体" w:cs="宋体"/>
                <w:color w:val="000000"/>
                <w:kern w:val="0"/>
                <w:sz w:val="20"/>
                <w:szCs w:val="20"/>
              </w:rPr>
              <w:t>值</w:t>
            </w:r>
          </w:p>
        </w:tc>
        <w:tc>
          <w:tcPr>
            <w:tcW w:w="217" w:type="pct"/>
            <w:tcBorders>
              <w:top w:val="single" w:color="auto" w:sz="4" w:space="0"/>
              <w:left w:val="nil"/>
              <w:bottom w:val="single" w:color="auto" w:sz="4" w:space="0"/>
              <w:right w:val="single" w:color="auto" w:sz="4" w:space="0"/>
            </w:tcBorders>
            <w:noWrap/>
            <w:vAlign w:val="center"/>
          </w:tcPr>
          <w:p>
            <w:pPr>
              <w:widowControl/>
              <w:autoSpaceDN w:val="0"/>
              <w:jc w:val="center"/>
              <w:rPr>
                <w:rFonts w:ascii="宋体" w:hAnsi="宋体" w:cs="宋体"/>
                <w:color w:val="000000"/>
                <w:kern w:val="0"/>
                <w:sz w:val="20"/>
                <w:szCs w:val="20"/>
              </w:rPr>
            </w:pPr>
            <w:r>
              <w:rPr>
                <w:rFonts w:hint="eastAsia" w:ascii="宋体" w:hAnsi="宋体" w:cs="宋体"/>
                <w:color w:val="000000"/>
                <w:kern w:val="0"/>
                <w:sz w:val="20"/>
                <w:szCs w:val="20"/>
              </w:rPr>
              <w:t>分</w:t>
            </w:r>
            <w:r>
              <w:rPr>
                <w:rFonts w:ascii="宋体" w:hAnsi="宋体" w:cs="宋体"/>
                <w:color w:val="000000"/>
                <w:kern w:val="0"/>
                <w:sz w:val="20"/>
                <w:szCs w:val="20"/>
              </w:rPr>
              <w:t>值</w:t>
            </w:r>
          </w:p>
        </w:tc>
        <w:tc>
          <w:tcPr>
            <w:tcW w:w="217" w:type="pct"/>
            <w:tcBorders>
              <w:top w:val="single" w:color="auto" w:sz="4" w:space="0"/>
              <w:left w:val="nil"/>
              <w:bottom w:val="single" w:color="auto" w:sz="4" w:space="0"/>
              <w:right w:val="nil"/>
            </w:tcBorders>
            <w:noWrap/>
            <w:vAlign w:val="center"/>
          </w:tcPr>
          <w:p>
            <w:pPr>
              <w:widowControl/>
              <w:autoSpaceDN w:val="0"/>
              <w:jc w:val="center"/>
              <w:rPr>
                <w:rFonts w:ascii="宋体" w:hAnsi="宋体" w:cs="宋体"/>
                <w:color w:val="000000"/>
                <w:kern w:val="0"/>
                <w:sz w:val="20"/>
                <w:szCs w:val="20"/>
              </w:rPr>
            </w:pPr>
            <w:r>
              <w:rPr>
                <w:rFonts w:hint="eastAsia" w:ascii="宋体" w:hAnsi="宋体" w:cs="宋体"/>
                <w:color w:val="000000"/>
                <w:kern w:val="0"/>
                <w:sz w:val="20"/>
                <w:szCs w:val="20"/>
              </w:rPr>
              <w:t>得</w:t>
            </w:r>
            <w:r>
              <w:rPr>
                <w:rFonts w:ascii="宋体" w:hAnsi="宋体" w:cs="宋体"/>
                <w:color w:val="000000"/>
                <w:kern w:val="0"/>
                <w:sz w:val="20"/>
                <w:szCs w:val="20"/>
              </w:rPr>
              <w:t>分</w:t>
            </w:r>
          </w:p>
        </w:tc>
        <w:tc>
          <w:tcPr>
            <w:tcW w:w="1085" w:type="pct"/>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s="宋体"/>
                <w:b/>
                <w:bCs/>
                <w:color w:val="000000"/>
                <w:kern w:val="0"/>
                <w:sz w:val="18"/>
                <w:szCs w:val="18"/>
              </w:rPr>
            </w:pPr>
            <w:r>
              <w:rPr>
                <w:rFonts w:hint="eastAsia" w:ascii="宋体" w:hAnsi="宋体" w:cs="宋体"/>
                <w:bCs/>
                <w:color w:val="000000"/>
                <w:kern w:val="0"/>
                <w:sz w:val="18"/>
                <w:szCs w:val="18"/>
              </w:rPr>
              <w:t>指标</w:t>
            </w:r>
            <w:r>
              <w:rPr>
                <w:rFonts w:ascii="宋体" w:hAnsi="宋体" w:cs="宋体"/>
                <w:bCs/>
                <w:color w:val="000000"/>
                <w:kern w:val="0"/>
                <w:sz w:val="18"/>
                <w:szCs w:val="18"/>
              </w:rPr>
              <w:t>解释</w:t>
            </w:r>
          </w:p>
        </w:tc>
        <w:tc>
          <w:tcPr>
            <w:tcW w:w="1405" w:type="pct"/>
            <w:tcBorders>
              <w:top w:val="single" w:color="auto" w:sz="4" w:space="0"/>
              <w:left w:val="nil"/>
              <w:bottom w:val="single" w:color="auto" w:sz="4" w:space="0"/>
              <w:right w:val="single" w:color="auto" w:sz="4" w:space="0"/>
            </w:tcBorders>
            <w:vAlign w:val="center"/>
          </w:tcPr>
          <w:p>
            <w:pPr>
              <w:widowControl/>
              <w:autoSpaceDN w:val="0"/>
              <w:jc w:val="center"/>
              <w:rPr>
                <w:rFonts w:ascii="宋体" w:hAnsi="宋体" w:cs="宋体"/>
                <w:color w:val="000000"/>
                <w:kern w:val="0"/>
                <w:sz w:val="18"/>
                <w:szCs w:val="18"/>
              </w:rPr>
            </w:pPr>
            <w:r>
              <w:rPr>
                <w:rFonts w:hint="eastAsia" w:ascii="宋体" w:hAnsi="宋体" w:cs="宋体"/>
                <w:color w:val="000000"/>
                <w:kern w:val="0"/>
                <w:sz w:val="18"/>
                <w:szCs w:val="18"/>
              </w:rPr>
              <w:t>评</w:t>
            </w:r>
            <w:r>
              <w:rPr>
                <w:rFonts w:ascii="宋体" w:hAnsi="宋体" w:cs="宋体"/>
                <w:color w:val="000000"/>
                <w:kern w:val="0"/>
                <w:sz w:val="18"/>
                <w:szCs w:val="18"/>
              </w:rPr>
              <w:t>分标准</w:t>
            </w:r>
          </w:p>
        </w:tc>
      </w:tr>
      <w:tr>
        <w:tblPrEx>
          <w:tblCellMar>
            <w:top w:w="0" w:type="dxa"/>
            <w:left w:w="108" w:type="dxa"/>
            <w:bottom w:w="0" w:type="dxa"/>
            <w:right w:w="108" w:type="dxa"/>
          </w:tblCellMar>
        </w:tblPrEx>
        <w:trPr>
          <w:trHeight w:val="1230" w:hRule="atLeast"/>
        </w:trPr>
        <w:tc>
          <w:tcPr>
            <w:tcW w:w="287" w:type="pct"/>
            <w:vMerge w:val="restart"/>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s="宋体"/>
                <w:color w:val="000000"/>
                <w:kern w:val="0"/>
                <w:sz w:val="20"/>
                <w:szCs w:val="20"/>
              </w:rPr>
            </w:pPr>
            <w:r>
              <w:rPr>
                <w:rFonts w:hint="eastAsia" w:ascii="宋体" w:hAnsi="宋体" w:cs="宋体"/>
                <w:color w:val="000000"/>
                <w:kern w:val="0"/>
                <w:sz w:val="20"/>
                <w:szCs w:val="20"/>
              </w:rPr>
              <w:t>预算管理情况（20）</w:t>
            </w:r>
          </w:p>
        </w:tc>
        <w:tc>
          <w:tcPr>
            <w:tcW w:w="287" w:type="pct"/>
            <w:vMerge w:val="restart"/>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s="宋体"/>
                <w:color w:val="000000"/>
                <w:kern w:val="0"/>
                <w:sz w:val="20"/>
                <w:szCs w:val="20"/>
              </w:rPr>
            </w:pPr>
            <w:r>
              <w:rPr>
                <w:rFonts w:hint="eastAsia" w:ascii="宋体" w:hAnsi="宋体" w:cs="宋体"/>
                <w:color w:val="000000"/>
                <w:kern w:val="0"/>
                <w:sz w:val="20"/>
                <w:szCs w:val="20"/>
              </w:rPr>
              <w:t>财务管理（4）</w:t>
            </w:r>
          </w:p>
        </w:tc>
        <w:tc>
          <w:tcPr>
            <w:tcW w:w="499" w:type="pct"/>
            <w:tcBorders>
              <w:top w:val="single" w:color="auto" w:sz="4" w:space="0"/>
              <w:left w:val="nil"/>
              <w:bottom w:val="single" w:color="auto" w:sz="4" w:space="0"/>
              <w:right w:val="single" w:color="auto" w:sz="4" w:space="0"/>
            </w:tcBorders>
            <w:vAlign w:val="center"/>
          </w:tcPr>
          <w:p>
            <w:pPr>
              <w:widowControl/>
              <w:autoSpaceDN w:val="0"/>
              <w:jc w:val="center"/>
              <w:rPr>
                <w:rFonts w:ascii="宋体" w:hAnsi="宋体" w:cs="宋体"/>
                <w:color w:val="000000"/>
                <w:kern w:val="0"/>
                <w:sz w:val="20"/>
                <w:szCs w:val="20"/>
              </w:rPr>
            </w:pPr>
            <w:r>
              <w:rPr>
                <w:rFonts w:hint="eastAsia" w:ascii="宋体" w:hAnsi="宋体" w:cs="宋体"/>
                <w:color w:val="000000"/>
                <w:kern w:val="0"/>
                <w:sz w:val="20"/>
                <w:szCs w:val="20"/>
              </w:rPr>
              <w:t>财务管理制度健全性</w:t>
            </w:r>
          </w:p>
        </w:tc>
        <w:tc>
          <w:tcPr>
            <w:tcW w:w="499" w:type="pct"/>
            <w:tcBorders>
              <w:top w:val="single" w:color="auto" w:sz="4" w:space="0"/>
              <w:left w:val="nil"/>
              <w:bottom w:val="single" w:color="auto" w:sz="4" w:space="0"/>
              <w:right w:val="single" w:color="auto" w:sz="4" w:space="0"/>
            </w:tcBorders>
            <w:vAlign w:val="center"/>
          </w:tcPr>
          <w:p>
            <w:pPr>
              <w:widowControl/>
              <w:autoSpaceDN w:val="0"/>
              <w:jc w:val="center"/>
              <w:rPr>
                <w:rFonts w:ascii="宋体" w:hAnsi="宋体" w:cs="宋体"/>
                <w:color w:val="000000"/>
                <w:kern w:val="0"/>
                <w:sz w:val="20"/>
                <w:szCs w:val="20"/>
              </w:rPr>
            </w:pPr>
            <w:r>
              <w:rPr>
                <w:rFonts w:hint="eastAsia" w:ascii="宋体" w:hAnsi="宋体" w:cs="宋体"/>
                <w:color w:val="000000"/>
                <w:kern w:val="0"/>
                <w:sz w:val="20"/>
                <w:szCs w:val="20"/>
              </w:rPr>
              <w:t>管理制度是否完整、合规　</w:t>
            </w:r>
          </w:p>
        </w:tc>
        <w:tc>
          <w:tcPr>
            <w:tcW w:w="500" w:type="pct"/>
            <w:tcBorders>
              <w:top w:val="single" w:color="auto" w:sz="4" w:space="0"/>
              <w:left w:val="nil"/>
              <w:bottom w:val="single" w:color="auto" w:sz="4" w:space="0"/>
              <w:right w:val="single" w:color="auto" w:sz="4" w:space="0"/>
            </w:tcBorders>
            <w:vAlign w:val="center"/>
          </w:tcPr>
          <w:p>
            <w:pPr>
              <w:widowControl/>
              <w:autoSpaceDN w:val="0"/>
              <w:jc w:val="center"/>
              <w:rPr>
                <w:rFonts w:ascii="宋体" w:hAnsi="宋体" w:cs="宋体"/>
                <w:color w:val="000000"/>
                <w:kern w:val="0"/>
                <w:sz w:val="20"/>
                <w:szCs w:val="20"/>
              </w:rPr>
            </w:pPr>
            <w:r>
              <w:rPr>
                <w:rFonts w:hint="eastAsia" w:ascii="宋体" w:hAnsi="宋体" w:cs="宋体"/>
                <w:color w:val="000000"/>
                <w:kern w:val="0"/>
                <w:sz w:val="20"/>
                <w:szCs w:val="20"/>
              </w:rPr>
              <w:t>《北京市海淀区人民检察院内部控制手册》　</w:t>
            </w:r>
          </w:p>
        </w:tc>
        <w:tc>
          <w:tcPr>
            <w:tcW w:w="217" w:type="pct"/>
            <w:tcBorders>
              <w:top w:val="single" w:color="auto" w:sz="4" w:space="0"/>
              <w:left w:val="nil"/>
              <w:bottom w:val="single" w:color="auto" w:sz="4" w:space="0"/>
              <w:right w:val="single" w:color="auto" w:sz="4" w:space="0"/>
            </w:tcBorders>
            <w:noWrap/>
            <w:vAlign w:val="center"/>
          </w:tcPr>
          <w:p>
            <w:pPr>
              <w:widowControl/>
              <w:autoSpaceDN w:val="0"/>
              <w:jc w:val="center"/>
              <w:rPr>
                <w:rFonts w:ascii="宋体" w:hAnsi="宋体" w:cs="宋体"/>
                <w:color w:val="000000"/>
                <w:kern w:val="0"/>
                <w:sz w:val="20"/>
                <w:szCs w:val="20"/>
              </w:rPr>
            </w:pPr>
            <w:r>
              <w:rPr>
                <w:rFonts w:hint="eastAsia" w:ascii="宋体" w:hAnsi="宋体" w:cs="宋体"/>
                <w:color w:val="000000"/>
                <w:kern w:val="0"/>
                <w:sz w:val="20"/>
                <w:szCs w:val="20"/>
              </w:rPr>
              <w:t>1</w:t>
            </w:r>
          </w:p>
        </w:tc>
        <w:tc>
          <w:tcPr>
            <w:tcW w:w="217" w:type="pct"/>
            <w:tcBorders>
              <w:top w:val="single" w:color="auto" w:sz="4" w:space="0"/>
              <w:left w:val="nil"/>
              <w:bottom w:val="single" w:color="auto" w:sz="4" w:space="0"/>
              <w:right w:val="nil"/>
            </w:tcBorders>
            <w:noWrap/>
            <w:vAlign w:val="center"/>
          </w:tcPr>
          <w:p>
            <w:pPr>
              <w:widowControl/>
              <w:autoSpaceDN w:val="0"/>
              <w:jc w:val="center"/>
              <w:rPr>
                <w:rFonts w:ascii="宋体" w:hAnsi="宋体" w:cs="宋体"/>
                <w:color w:val="000000"/>
                <w:kern w:val="0"/>
                <w:sz w:val="20"/>
                <w:szCs w:val="20"/>
              </w:rPr>
            </w:pPr>
            <w:r>
              <w:rPr>
                <w:rFonts w:hint="eastAsia" w:ascii="宋体" w:hAnsi="宋体" w:cs="宋体"/>
                <w:color w:val="000000"/>
                <w:kern w:val="0"/>
                <w:sz w:val="20"/>
                <w:szCs w:val="20"/>
              </w:rPr>
              <w:t>0.5　</w:t>
            </w:r>
          </w:p>
        </w:tc>
        <w:tc>
          <w:tcPr>
            <w:tcW w:w="1085" w:type="pct"/>
            <w:tcBorders>
              <w:top w:val="single" w:color="auto" w:sz="4" w:space="0"/>
              <w:left w:val="single" w:color="auto" w:sz="4" w:space="0"/>
              <w:bottom w:val="single" w:color="auto" w:sz="4" w:space="0"/>
              <w:right w:val="single" w:color="auto" w:sz="4" w:space="0"/>
            </w:tcBorders>
            <w:vAlign w:val="center"/>
          </w:tcPr>
          <w:p>
            <w:pPr>
              <w:widowControl/>
              <w:autoSpaceDN w:val="0"/>
              <w:jc w:val="left"/>
              <w:rPr>
                <w:rFonts w:ascii="宋体" w:hAnsi="宋体" w:cs="宋体"/>
                <w:color w:val="000000"/>
                <w:kern w:val="0"/>
                <w:sz w:val="18"/>
                <w:szCs w:val="18"/>
              </w:rPr>
            </w:pPr>
            <w:r>
              <w:rPr>
                <w:rFonts w:hint="eastAsia" w:ascii="宋体" w:hAnsi="宋体" w:cs="宋体"/>
                <w:b/>
                <w:bCs/>
                <w:color w:val="000000"/>
                <w:kern w:val="0"/>
                <w:sz w:val="18"/>
                <w:szCs w:val="18"/>
              </w:rPr>
              <w:t>财务管理制度健全性:</w:t>
            </w:r>
            <w:r>
              <w:rPr>
                <w:rFonts w:hint="eastAsia" w:ascii="宋体" w:hAnsi="宋体" w:cs="宋体"/>
                <w:color w:val="000000"/>
                <w:kern w:val="0"/>
                <w:sz w:val="18"/>
                <w:szCs w:val="18"/>
              </w:rPr>
              <w:t>部门（单位）为加强财务管理、规范财务行为而制定的管理制度。</w:t>
            </w:r>
          </w:p>
        </w:tc>
        <w:tc>
          <w:tcPr>
            <w:tcW w:w="1405" w:type="pct"/>
            <w:tcBorders>
              <w:top w:val="single" w:color="auto" w:sz="4" w:space="0"/>
              <w:left w:val="nil"/>
              <w:bottom w:val="single" w:color="auto" w:sz="4" w:space="0"/>
              <w:right w:val="single" w:color="auto" w:sz="4" w:space="0"/>
            </w:tcBorders>
            <w:vAlign w:val="center"/>
          </w:tcPr>
          <w:p>
            <w:pPr>
              <w:widowControl/>
              <w:autoSpaceDN w:val="0"/>
              <w:jc w:val="left"/>
              <w:rPr>
                <w:rFonts w:ascii="宋体" w:hAnsi="宋体" w:cs="宋体"/>
                <w:color w:val="000000"/>
                <w:kern w:val="0"/>
                <w:sz w:val="18"/>
                <w:szCs w:val="18"/>
              </w:rPr>
            </w:pPr>
            <w:r>
              <w:rPr>
                <w:rFonts w:hint="eastAsia" w:ascii="宋体" w:hAnsi="宋体" w:cs="宋体"/>
                <w:color w:val="000000"/>
                <w:kern w:val="0"/>
                <w:sz w:val="18"/>
                <w:szCs w:val="18"/>
              </w:rPr>
              <w:t>①预算资金管理办法、绩效跟踪管理办法、资产管理办法等各项制度是否健全；②部门内部财务管理制度是否完整、合规；③会计核算制度是否完整、合规。每有一项不合格扣0.5分，扣完为止。</w:t>
            </w:r>
          </w:p>
        </w:tc>
      </w:tr>
      <w:tr>
        <w:tblPrEx>
          <w:tblCellMar>
            <w:top w:w="0" w:type="dxa"/>
            <w:left w:w="108" w:type="dxa"/>
            <w:bottom w:w="0" w:type="dxa"/>
            <w:right w:w="108" w:type="dxa"/>
          </w:tblCellMar>
        </w:tblPrEx>
        <w:trPr>
          <w:trHeight w:val="2220" w:hRule="atLeast"/>
        </w:trPr>
        <w:tc>
          <w:tcPr>
            <w:tcW w:w="287" w:type="pct"/>
            <w:vMerge w:val="continue"/>
            <w:tcBorders>
              <w:top w:val="single" w:color="auto" w:sz="4" w:space="0"/>
              <w:left w:val="single" w:color="auto" w:sz="4" w:space="0"/>
              <w:bottom w:val="single" w:color="000000" w:sz="4" w:space="0"/>
              <w:right w:val="single" w:color="auto" w:sz="4" w:space="0"/>
            </w:tcBorders>
            <w:vAlign w:val="center"/>
          </w:tcPr>
          <w:p>
            <w:pPr>
              <w:widowControl/>
              <w:autoSpaceDN w:val="0"/>
              <w:jc w:val="left"/>
              <w:rPr>
                <w:rFonts w:ascii="宋体" w:hAnsi="宋体" w:cs="宋体"/>
                <w:color w:val="000000"/>
                <w:kern w:val="0"/>
                <w:sz w:val="20"/>
                <w:szCs w:val="20"/>
              </w:rPr>
            </w:pPr>
          </w:p>
        </w:tc>
        <w:tc>
          <w:tcPr>
            <w:tcW w:w="287" w:type="pct"/>
            <w:vMerge w:val="continue"/>
            <w:tcBorders>
              <w:top w:val="single" w:color="auto" w:sz="4" w:space="0"/>
              <w:left w:val="single" w:color="auto" w:sz="4" w:space="0"/>
              <w:bottom w:val="single" w:color="auto" w:sz="4" w:space="0"/>
              <w:right w:val="single" w:color="auto" w:sz="4" w:space="0"/>
            </w:tcBorders>
            <w:vAlign w:val="center"/>
          </w:tcPr>
          <w:p>
            <w:pPr>
              <w:widowControl/>
              <w:autoSpaceDN w:val="0"/>
              <w:jc w:val="left"/>
              <w:rPr>
                <w:rFonts w:ascii="宋体" w:hAnsi="宋体" w:cs="宋体"/>
                <w:color w:val="000000"/>
                <w:kern w:val="0"/>
                <w:sz w:val="20"/>
                <w:szCs w:val="20"/>
              </w:rPr>
            </w:pPr>
          </w:p>
        </w:tc>
        <w:tc>
          <w:tcPr>
            <w:tcW w:w="499" w:type="pct"/>
            <w:tcBorders>
              <w:top w:val="single" w:color="auto" w:sz="4" w:space="0"/>
              <w:left w:val="nil"/>
              <w:bottom w:val="single" w:color="auto" w:sz="4" w:space="0"/>
              <w:right w:val="single" w:color="auto" w:sz="4" w:space="0"/>
            </w:tcBorders>
            <w:vAlign w:val="center"/>
          </w:tcPr>
          <w:p>
            <w:pPr>
              <w:widowControl/>
              <w:autoSpaceDN w:val="0"/>
              <w:jc w:val="center"/>
              <w:rPr>
                <w:rFonts w:ascii="宋体" w:hAnsi="宋体" w:cs="宋体"/>
                <w:color w:val="000000"/>
                <w:kern w:val="0"/>
                <w:sz w:val="20"/>
                <w:szCs w:val="20"/>
              </w:rPr>
            </w:pPr>
            <w:r>
              <w:rPr>
                <w:rFonts w:hint="eastAsia" w:ascii="宋体" w:hAnsi="宋体" w:cs="宋体"/>
                <w:color w:val="000000"/>
                <w:kern w:val="0"/>
                <w:sz w:val="20"/>
                <w:szCs w:val="20"/>
              </w:rPr>
              <w:t>资金使用合规性和安全性</w:t>
            </w:r>
          </w:p>
        </w:tc>
        <w:tc>
          <w:tcPr>
            <w:tcW w:w="499" w:type="pct"/>
            <w:tcBorders>
              <w:top w:val="single" w:color="auto" w:sz="4" w:space="0"/>
              <w:left w:val="nil"/>
              <w:bottom w:val="single" w:color="auto" w:sz="4" w:space="0"/>
              <w:right w:val="single" w:color="auto" w:sz="4" w:space="0"/>
            </w:tcBorders>
            <w:vAlign w:val="center"/>
          </w:tcPr>
          <w:p>
            <w:pPr>
              <w:widowControl/>
              <w:autoSpaceDN w:val="0"/>
              <w:jc w:val="center"/>
              <w:rPr>
                <w:rFonts w:ascii="宋体" w:hAnsi="宋体" w:cs="宋体"/>
                <w:color w:val="000000"/>
                <w:kern w:val="0"/>
                <w:sz w:val="20"/>
                <w:szCs w:val="20"/>
              </w:rPr>
            </w:pPr>
            <w:r>
              <w:rPr>
                <w:rFonts w:hint="eastAsia" w:ascii="宋体" w:hAnsi="宋体" w:cs="宋体"/>
                <w:color w:val="000000"/>
                <w:kern w:val="0"/>
                <w:sz w:val="20"/>
                <w:szCs w:val="20"/>
              </w:rPr>
              <w:t>符合相关规定，有完整的审批程序和手续　</w:t>
            </w:r>
          </w:p>
        </w:tc>
        <w:tc>
          <w:tcPr>
            <w:tcW w:w="500" w:type="pct"/>
            <w:tcBorders>
              <w:top w:val="single" w:color="auto" w:sz="4" w:space="0"/>
              <w:left w:val="nil"/>
              <w:bottom w:val="single" w:color="auto" w:sz="4" w:space="0"/>
              <w:right w:val="single" w:color="auto" w:sz="4" w:space="0"/>
            </w:tcBorders>
            <w:vAlign w:val="center"/>
          </w:tcPr>
          <w:p>
            <w:pPr>
              <w:widowControl/>
              <w:autoSpaceDN w:val="0"/>
              <w:jc w:val="center"/>
              <w:rPr>
                <w:rFonts w:ascii="宋体" w:hAnsi="宋体" w:cs="宋体"/>
                <w:color w:val="000000"/>
                <w:kern w:val="0"/>
                <w:sz w:val="20"/>
                <w:szCs w:val="20"/>
              </w:rPr>
            </w:pPr>
            <w:r>
              <w:rPr>
                <w:rFonts w:hint="eastAsia" w:ascii="宋体" w:hAnsi="宋体" w:cs="宋体"/>
                <w:color w:val="000000"/>
                <w:kern w:val="0"/>
                <w:sz w:val="20"/>
                <w:szCs w:val="20"/>
              </w:rPr>
              <w:t>达到预期指标　</w:t>
            </w:r>
          </w:p>
        </w:tc>
        <w:tc>
          <w:tcPr>
            <w:tcW w:w="217" w:type="pct"/>
            <w:tcBorders>
              <w:top w:val="single" w:color="auto" w:sz="4" w:space="0"/>
              <w:left w:val="nil"/>
              <w:bottom w:val="single" w:color="auto" w:sz="4" w:space="0"/>
              <w:right w:val="single" w:color="auto" w:sz="4" w:space="0"/>
            </w:tcBorders>
            <w:noWrap/>
            <w:vAlign w:val="center"/>
          </w:tcPr>
          <w:p>
            <w:pPr>
              <w:widowControl/>
              <w:autoSpaceDN w:val="0"/>
              <w:jc w:val="center"/>
              <w:rPr>
                <w:rFonts w:ascii="宋体" w:hAnsi="宋体" w:cs="宋体"/>
                <w:color w:val="000000"/>
                <w:kern w:val="0"/>
                <w:sz w:val="20"/>
                <w:szCs w:val="20"/>
              </w:rPr>
            </w:pPr>
            <w:r>
              <w:rPr>
                <w:rFonts w:hint="eastAsia" w:ascii="宋体" w:hAnsi="宋体" w:cs="宋体"/>
                <w:color w:val="000000"/>
                <w:kern w:val="0"/>
                <w:sz w:val="20"/>
                <w:szCs w:val="20"/>
              </w:rPr>
              <w:t>2</w:t>
            </w:r>
          </w:p>
        </w:tc>
        <w:tc>
          <w:tcPr>
            <w:tcW w:w="217" w:type="pct"/>
            <w:tcBorders>
              <w:top w:val="single" w:color="auto" w:sz="4" w:space="0"/>
              <w:left w:val="nil"/>
              <w:bottom w:val="single" w:color="auto" w:sz="4" w:space="0"/>
              <w:right w:val="nil"/>
            </w:tcBorders>
            <w:noWrap/>
            <w:vAlign w:val="center"/>
          </w:tcPr>
          <w:p>
            <w:pPr>
              <w:widowControl/>
              <w:autoSpaceDN w:val="0"/>
              <w:jc w:val="center"/>
              <w:rPr>
                <w:rFonts w:ascii="宋体" w:hAnsi="宋体" w:cs="宋体"/>
                <w:color w:val="000000"/>
                <w:kern w:val="0"/>
                <w:sz w:val="20"/>
                <w:szCs w:val="20"/>
              </w:rPr>
            </w:pPr>
            <w:r>
              <w:rPr>
                <w:rFonts w:hint="eastAsia" w:ascii="宋体" w:hAnsi="宋体" w:cs="宋体"/>
                <w:color w:val="000000"/>
                <w:kern w:val="0"/>
                <w:sz w:val="20"/>
                <w:szCs w:val="20"/>
              </w:rPr>
              <w:t>1.5　</w:t>
            </w:r>
          </w:p>
        </w:tc>
        <w:tc>
          <w:tcPr>
            <w:tcW w:w="1085" w:type="pct"/>
            <w:tcBorders>
              <w:top w:val="single" w:color="auto" w:sz="4" w:space="0"/>
              <w:left w:val="single" w:color="auto" w:sz="4" w:space="0"/>
              <w:bottom w:val="single" w:color="auto" w:sz="4" w:space="0"/>
              <w:right w:val="single" w:color="auto" w:sz="4" w:space="0"/>
            </w:tcBorders>
            <w:vAlign w:val="center"/>
          </w:tcPr>
          <w:p>
            <w:pPr>
              <w:widowControl/>
              <w:autoSpaceDN w:val="0"/>
              <w:jc w:val="left"/>
              <w:rPr>
                <w:rFonts w:ascii="宋体" w:hAnsi="宋体" w:cs="宋体"/>
                <w:color w:val="000000"/>
                <w:kern w:val="0"/>
                <w:sz w:val="18"/>
                <w:szCs w:val="18"/>
              </w:rPr>
            </w:pPr>
            <w:r>
              <w:rPr>
                <w:rFonts w:hint="eastAsia" w:ascii="宋体" w:hAnsi="宋体" w:cs="宋体"/>
                <w:b/>
                <w:bCs/>
                <w:color w:val="000000"/>
                <w:kern w:val="0"/>
                <w:sz w:val="18"/>
                <w:szCs w:val="18"/>
              </w:rPr>
              <w:t>资金使用合规性和安全性:</w:t>
            </w:r>
            <w:r>
              <w:rPr>
                <w:rFonts w:hint="eastAsia" w:ascii="宋体" w:hAnsi="宋体" w:cs="宋体"/>
                <w:color w:val="000000"/>
                <w:kern w:val="0"/>
                <w:sz w:val="18"/>
                <w:szCs w:val="18"/>
              </w:rPr>
              <w:t>部门（单位）使用预算资金是否符合相关的预算财务管理制度的规定，是否符合相关规定的开支范围，用以反映考核部门（单位）预算资金的规范运行和安全运行情况。</w:t>
            </w:r>
          </w:p>
        </w:tc>
        <w:tc>
          <w:tcPr>
            <w:tcW w:w="1405" w:type="pct"/>
            <w:tcBorders>
              <w:top w:val="single" w:color="auto" w:sz="4" w:space="0"/>
              <w:left w:val="nil"/>
              <w:bottom w:val="single" w:color="auto" w:sz="4" w:space="0"/>
              <w:right w:val="single" w:color="auto" w:sz="4" w:space="0"/>
            </w:tcBorders>
            <w:vAlign w:val="center"/>
          </w:tcPr>
          <w:p>
            <w:pPr>
              <w:widowControl/>
              <w:autoSpaceDN w:val="0"/>
              <w:jc w:val="left"/>
              <w:rPr>
                <w:rFonts w:ascii="宋体" w:hAnsi="宋体" w:cs="宋体"/>
                <w:color w:val="000000"/>
                <w:kern w:val="0"/>
                <w:sz w:val="18"/>
                <w:szCs w:val="18"/>
              </w:rPr>
            </w:pPr>
            <w:r>
              <w:rPr>
                <w:rFonts w:hint="eastAsia" w:ascii="宋体" w:hAnsi="宋体" w:cs="宋体"/>
                <w:color w:val="000000"/>
                <w:kern w:val="0"/>
                <w:sz w:val="18"/>
                <w:szCs w:val="18"/>
              </w:rPr>
              <w:t>①是否符合国家财经法规和财务管理制度规定以及有关专项资金管理办法的规定；②资金的拨付是否有完整的审批程序和手续；③项目的重大开支是否经过评估论证；④是否符合部门预算批复的用途；⑤是否存在截留、挤占、挪用情况；⑥资金使用是否符合政府采购的程序和流程；⑦资金使用是否符合公务卡结算相关制度和规定。每有一项不合格扣0.5分，扣完为止。</w:t>
            </w:r>
          </w:p>
        </w:tc>
      </w:tr>
      <w:tr>
        <w:tblPrEx>
          <w:tblCellMar>
            <w:top w:w="0" w:type="dxa"/>
            <w:left w:w="108" w:type="dxa"/>
            <w:bottom w:w="0" w:type="dxa"/>
            <w:right w:w="108" w:type="dxa"/>
          </w:tblCellMar>
        </w:tblPrEx>
        <w:trPr>
          <w:trHeight w:val="1035" w:hRule="atLeast"/>
        </w:trPr>
        <w:tc>
          <w:tcPr>
            <w:tcW w:w="287" w:type="pct"/>
            <w:vMerge w:val="continue"/>
            <w:tcBorders>
              <w:top w:val="nil"/>
              <w:left w:val="single" w:color="auto" w:sz="4" w:space="0"/>
              <w:bottom w:val="single" w:color="000000" w:sz="4" w:space="0"/>
              <w:right w:val="single" w:color="auto" w:sz="4" w:space="0"/>
            </w:tcBorders>
            <w:vAlign w:val="center"/>
          </w:tcPr>
          <w:p>
            <w:pPr>
              <w:widowControl/>
              <w:autoSpaceDN w:val="0"/>
              <w:jc w:val="left"/>
              <w:rPr>
                <w:rFonts w:ascii="宋体" w:hAnsi="宋体" w:cs="宋体"/>
                <w:color w:val="000000"/>
                <w:kern w:val="0"/>
                <w:sz w:val="20"/>
                <w:szCs w:val="20"/>
              </w:rPr>
            </w:pPr>
          </w:p>
        </w:tc>
        <w:tc>
          <w:tcPr>
            <w:tcW w:w="287" w:type="pct"/>
            <w:vMerge w:val="continue"/>
            <w:tcBorders>
              <w:top w:val="nil"/>
              <w:left w:val="single" w:color="auto" w:sz="4" w:space="0"/>
              <w:bottom w:val="single" w:color="auto" w:sz="4" w:space="0"/>
              <w:right w:val="single" w:color="auto" w:sz="4" w:space="0"/>
            </w:tcBorders>
            <w:vAlign w:val="center"/>
          </w:tcPr>
          <w:p>
            <w:pPr>
              <w:widowControl/>
              <w:autoSpaceDN w:val="0"/>
              <w:jc w:val="left"/>
              <w:rPr>
                <w:rFonts w:ascii="宋体" w:hAnsi="宋体" w:cs="宋体"/>
                <w:color w:val="000000"/>
                <w:kern w:val="0"/>
                <w:sz w:val="20"/>
                <w:szCs w:val="20"/>
              </w:rPr>
            </w:pPr>
          </w:p>
        </w:tc>
        <w:tc>
          <w:tcPr>
            <w:tcW w:w="499" w:type="pct"/>
            <w:tcBorders>
              <w:top w:val="nil"/>
              <w:left w:val="nil"/>
              <w:bottom w:val="single" w:color="auto" w:sz="4" w:space="0"/>
              <w:right w:val="single" w:color="auto" w:sz="4" w:space="0"/>
            </w:tcBorders>
            <w:vAlign w:val="center"/>
          </w:tcPr>
          <w:p>
            <w:pPr>
              <w:widowControl/>
              <w:autoSpaceDN w:val="0"/>
              <w:jc w:val="center"/>
              <w:rPr>
                <w:rFonts w:ascii="宋体" w:hAnsi="宋体" w:cs="宋体"/>
                <w:color w:val="000000"/>
                <w:kern w:val="0"/>
                <w:sz w:val="20"/>
                <w:szCs w:val="20"/>
              </w:rPr>
            </w:pPr>
            <w:r>
              <w:rPr>
                <w:rFonts w:hint="eastAsia" w:ascii="宋体" w:hAnsi="宋体" w:cs="宋体"/>
                <w:color w:val="000000"/>
                <w:kern w:val="0"/>
                <w:sz w:val="20"/>
                <w:szCs w:val="20"/>
              </w:rPr>
              <w:t>会计基础信息完善性</w:t>
            </w:r>
          </w:p>
        </w:tc>
        <w:tc>
          <w:tcPr>
            <w:tcW w:w="499" w:type="pct"/>
            <w:tcBorders>
              <w:top w:val="nil"/>
              <w:left w:val="nil"/>
              <w:bottom w:val="single" w:color="auto" w:sz="4" w:space="0"/>
              <w:right w:val="single" w:color="auto" w:sz="4" w:space="0"/>
            </w:tcBorders>
            <w:vAlign w:val="center"/>
          </w:tcPr>
          <w:p>
            <w:pPr>
              <w:widowControl/>
              <w:autoSpaceDN w:val="0"/>
              <w:jc w:val="center"/>
              <w:rPr>
                <w:rFonts w:ascii="宋体" w:hAnsi="宋体" w:cs="宋体"/>
                <w:color w:val="000000"/>
                <w:kern w:val="0"/>
                <w:sz w:val="20"/>
                <w:szCs w:val="20"/>
              </w:rPr>
            </w:pPr>
            <w:r>
              <w:rPr>
                <w:rFonts w:hint="eastAsia" w:ascii="宋体" w:hAnsi="宋体" w:cs="宋体"/>
                <w:color w:val="000000"/>
                <w:kern w:val="0"/>
                <w:sz w:val="20"/>
                <w:szCs w:val="20"/>
              </w:rPr>
              <w:t>会计信息资料是否真实、完整、准确　</w:t>
            </w:r>
          </w:p>
        </w:tc>
        <w:tc>
          <w:tcPr>
            <w:tcW w:w="500" w:type="pct"/>
            <w:tcBorders>
              <w:top w:val="nil"/>
              <w:left w:val="nil"/>
              <w:bottom w:val="single" w:color="auto" w:sz="4" w:space="0"/>
              <w:right w:val="single" w:color="auto" w:sz="4" w:space="0"/>
            </w:tcBorders>
            <w:vAlign w:val="center"/>
          </w:tcPr>
          <w:p>
            <w:pPr>
              <w:widowControl/>
              <w:autoSpaceDN w:val="0"/>
              <w:jc w:val="center"/>
              <w:rPr>
                <w:rFonts w:ascii="宋体" w:hAnsi="宋体" w:cs="宋体"/>
                <w:color w:val="000000"/>
                <w:kern w:val="0"/>
                <w:sz w:val="20"/>
                <w:szCs w:val="20"/>
              </w:rPr>
            </w:pPr>
            <w:r>
              <w:rPr>
                <w:rFonts w:hint="eastAsia" w:ascii="宋体" w:hAnsi="宋体" w:cs="宋体"/>
                <w:color w:val="000000"/>
                <w:kern w:val="0"/>
                <w:sz w:val="20"/>
                <w:szCs w:val="20"/>
              </w:rPr>
              <w:t>达到预期指标　</w:t>
            </w:r>
          </w:p>
        </w:tc>
        <w:tc>
          <w:tcPr>
            <w:tcW w:w="217" w:type="pct"/>
            <w:tcBorders>
              <w:top w:val="nil"/>
              <w:left w:val="nil"/>
              <w:bottom w:val="single" w:color="auto" w:sz="4" w:space="0"/>
              <w:right w:val="single" w:color="auto" w:sz="4" w:space="0"/>
            </w:tcBorders>
            <w:noWrap/>
            <w:vAlign w:val="center"/>
          </w:tcPr>
          <w:p>
            <w:pPr>
              <w:widowControl/>
              <w:autoSpaceDN w:val="0"/>
              <w:jc w:val="center"/>
              <w:rPr>
                <w:rFonts w:ascii="宋体" w:hAnsi="宋体" w:cs="宋体"/>
                <w:color w:val="000000"/>
                <w:kern w:val="0"/>
                <w:sz w:val="20"/>
                <w:szCs w:val="20"/>
              </w:rPr>
            </w:pPr>
            <w:r>
              <w:rPr>
                <w:rFonts w:hint="eastAsia" w:ascii="宋体" w:hAnsi="宋体" w:cs="宋体"/>
                <w:color w:val="000000"/>
                <w:kern w:val="0"/>
                <w:sz w:val="20"/>
                <w:szCs w:val="20"/>
              </w:rPr>
              <w:t>1</w:t>
            </w:r>
          </w:p>
        </w:tc>
        <w:tc>
          <w:tcPr>
            <w:tcW w:w="217" w:type="pct"/>
            <w:tcBorders>
              <w:top w:val="nil"/>
              <w:left w:val="nil"/>
              <w:bottom w:val="single" w:color="auto" w:sz="4" w:space="0"/>
              <w:right w:val="nil"/>
            </w:tcBorders>
            <w:noWrap/>
            <w:vAlign w:val="center"/>
          </w:tcPr>
          <w:p>
            <w:pPr>
              <w:widowControl/>
              <w:autoSpaceDN w:val="0"/>
              <w:jc w:val="center"/>
              <w:rPr>
                <w:rFonts w:ascii="宋体" w:hAnsi="宋体" w:cs="宋体"/>
                <w:color w:val="000000"/>
                <w:kern w:val="0"/>
                <w:sz w:val="20"/>
                <w:szCs w:val="20"/>
              </w:rPr>
            </w:pPr>
            <w:r>
              <w:rPr>
                <w:rFonts w:hint="eastAsia" w:ascii="宋体" w:hAnsi="宋体" w:cs="宋体"/>
                <w:color w:val="000000"/>
                <w:kern w:val="0"/>
                <w:sz w:val="20"/>
                <w:szCs w:val="20"/>
              </w:rPr>
              <w:t>1　</w:t>
            </w:r>
          </w:p>
        </w:tc>
        <w:tc>
          <w:tcPr>
            <w:tcW w:w="1085" w:type="pct"/>
            <w:tcBorders>
              <w:top w:val="nil"/>
              <w:left w:val="single" w:color="auto" w:sz="4" w:space="0"/>
              <w:bottom w:val="single" w:color="auto" w:sz="4" w:space="0"/>
              <w:right w:val="single" w:color="auto" w:sz="4" w:space="0"/>
            </w:tcBorders>
            <w:vAlign w:val="center"/>
          </w:tcPr>
          <w:p>
            <w:pPr>
              <w:widowControl/>
              <w:autoSpaceDN w:val="0"/>
              <w:jc w:val="left"/>
              <w:rPr>
                <w:rFonts w:ascii="宋体" w:hAnsi="宋体" w:cs="宋体"/>
                <w:color w:val="000000"/>
                <w:kern w:val="0"/>
                <w:sz w:val="18"/>
                <w:szCs w:val="18"/>
              </w:rPr>
            </w:pPr>
            <w:r>
              <w:rPr>
                <w:rFonts w:hint="eastAsia" w:ascii="宋体" w:hAnsi="宋体" w:cs="宋体"/>
                <w:b/>
                <w:bCs/>
                <w:color w:val="000000"/>
                <w:kern w:val="0"/>
                <w:sz w:val="18"/>
                <w:szCs w:val="18"/>
              </w:rPr>
              <w:t>会计基础信息完善性:</w:t>
            </w:r>
            <w:r>
              <w:rPr>
                <w:rFonts w:hint="eastAsia" w:ascii="宋体" w:hAnsi="宋体" w:cs="宋体"/>
                <w:color w:val="000000"/>
                <w:kern w:val="0"/>
                <w:sz w:val="18"/>
                <w:szCs w:val="18"/>
              </w:rPr>
              <w:t>部门（单位）会计基础信息情况。</w:t>
            </w:r>
          </w:p>
        </w:tc>
        <w:tc>
          <w:tcPr>
            <w:tcW w:w="1405" w:type="pct"/>
            <w:tcBorders>
              <w:top w:val="nil"/>
              <w:left w:val="nil"/>
              <w:bottom w:val="single" w:color="auto" w:sz="4" w:space="0"/>
              <w:right w:val="single" w:color="auto" w:sz="4" w:space="0"/>
            </w:tcBorders>
            <w:vAlign w:val="center"/>
          </w:tcPr>
          <w:p>
            <w:pPr>
              <w:widowControl/>
              <w:autoSpaceDN w:val="0"/>
              <w:jc w:val="left"/>
              <w:rPr>
                <w:rFonts w:ascii="宋体" w:hAnsi="宋体" w:cs="宋体"/>
                <w:color w:val="000000"/>
                <w:kern w:val="0"/>
                <w:sz w:val="18"/>
                <w:szCs w:val="18"/>
              </w:rPr>
            </w:pPr>
            <w:r>
              <w:rPr>
                <w:rFonts w:hint="eastAsia" w:ascii="宋体" w:hAnsi="宋体" w:cs="宋体"/>
                <w:color w:val="000000"/>
                <w:kern w:val="0"/>
                <w:sz w:val="18"/>
                <w:szCs w:val="18"/>
              </w:rPr>
              <w:t>①基础数据信息和会计信息资料是否真实；②基础数据信息和会计信息资料是否完整；③基础数据信息和会计信息资料是否准确。每有一项不合格扣0.5分，扣完为止。</w:t>
            </w:r>
          </w:p>
        </w:tc>
      </w:tr>
      <w:tr>
        <w:tblPrEx>
          <w:tblCellMar>
            <w:top w:w="0" w:type="dxa"/>
            <w:left w:w="108" w:type="dxa"/>
            <w:bottom w:w="0" w:type="dxa"/>
            <w:right w:w="108" w:type="dxa"/>
          </w:tblCellMar>
        </w:tblPrEx>
        <w:trPr>
          <w:trHeight w:val="2220" w:hRule="atLeast"/>
        </w:trPr>
        <w:tc>
          <w:tcPr>
            <w:tcW w:w="287" w:type="pct"/>
            <w:vMerge w:val="continue"/>
            <w:tcBorders>
              <w:top w:val="nil"/>
              <w:left w:val="single" w:color="auto" w:sz="4" w:space="0"/>
              <w:bottom w:val="single" w:color="000000" w:sz="4" w:space="0"/>
              <w:right w:val="single" w:color="auto" w:sz="4" w:space="0"/>
            </w:tcBorders>
            <w:vAlign w:val="center"/>
          </w:tcPr>
          <w:p>
            <w:pPr>
              <w:widowControl/>
              <w:autoSpaceDN w:val="0"/>
              <w:jc w:val="left"/>
              <w:rPr>
                <w:rFonts w:ascii="宋体" w:hAnsi="宋体" w:cs="宋体"/>
                <w:color w:val="000000"/>
                <w:kern w:val="0"/>
                <w:sz w:val="20"/>
                <w:szCs w:val="20"/>
              </w:rPr>
            </w:pPr>
          </w:p>
        </w:tc>
        <w:tc>
          <w:tcPr>
            <w:tcW w:w="287" w:type="pct"/>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s="宋体"/>
                <w:color w:val="000000"/>
                <w:kern w:val="0"/>
                <w:sz w:val="20"/>
                <w:szCs w:val="20"/>
              </w:rPr>
            </w:pPr>
            <w:r>
              <w:rPr>
                <w:rFonts w:hint="eastAsia" w:ascii="宋体" w:hAnsi="宋体" w:cs="宋体"/>
                <w:color w:val="000000"/>
                <w:kern w:val="0"/>
                <w:sz w:val="20"/>
                <w:szCs w:val="20"/>
              </w:rPr>
              <w:t>资产管理（4）</w:t>
            </w:r>
          </w:p>
        </w:tc>
        <w:tc>
          <w:tcPr>
            <w:tcW w:w="499" w:type="pct"/>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s="宋体"/>
                <w:color w:val="000000"/>
                <w:kern w:val="0"/>
                <w:sz w:val="20"/>
                <w:szCs w:val="20"/>
              </w:rPr>
            </w:pPr>
            <w:r>
              <w:rPr>
                <w:rFonts w:hint="eastAsia" w:ascii="宋体" w:hAnsi="宋体" w:cs="宋体"/>
                <w:color w:val="000000"/>
                <w:kern w:val="0"/>
                <w:sz w:val="20"/>
                <w:szCs w:val="20"/>
              </w:rPr>
              <w:t>资产管理规范性</w:t>
            </w:r>
          </w:p>
        </w:tc>
        <w:tc>
          <w:tcPr>
            <w:tcW w:w="499" w:type="pct"/>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s="宋体"/>
                <w:color w:val="000000"/>
                <w:kern w:val="0"/>
                <w:sz w:val="20"/>
                <w:szCs w:val="20"/>
              </w:rPr>
            </w:pPr>
            <w:r>
              <w:rPr>
                <w:rFonts w:hint="eastAsia" w:ascii="宋体" w:hAnsi="宋体" w:cs="宋体"/>
                <w:color w:val="000000"/>
                <w:kern w:val="0"/>
                <w:sz w:val="20"/>
                <w:szCs w:val="20"/>
              </w:rPr>
              <w:t>资产使用、配置、处置规范</w:t>
            </w:r>
          </w:p>
        </w:tc>
        <w:tc>
          <w:tcPr>
            <w:tcW w:w="500" w:type="pct"/>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s="宋体"/>
                <w:color w:val="000000"/>
                <w:kern w:val="0"/>
                <w:sz w:val="20"/>
                <w:szCs w:val="20"/>
              </w:rPr>
            </w:pPr>
            <w:r>
              <w:rPr>
                <w:rFonts w:hint="eastAsia" w:ascii="宋体" w:hAnsi="宋体" w:cs="宋体"/>
                <w:color w:val="000000"/>
                <w:kern w:val="0"/>
                <w:sz w:val="20"/>
                <w:szCs w:val="20"/>
              </w:rPr>
              <w:t>达到预期指标　</w:t>
            </w:r>
          </w:p>
        </w:tc>
        <w:tc>
          <w:tcPr>
            <w:tcW w:w="217" w:type="pct"/>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217" w:type="pct"/>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s="宋体"/>
                <w:color w:val="000000"/>
                <w:kern w:val="0"/>
                <w:sz w:val="20"/>
                <w:szCs w:val="20"/>
              </w:rPr>
            </w:pPr>
            <w:r>
              <w:rPr>
                <w:rFonts w:hint="eastAsia" w:ascii="宋体" w:hAnsi="宋体" w:cs="宋体"/>
                <w:color w:val="000000"/>
                <w:kern w:val="0"/>
                <w:sz w:val="20"/>
                <w:szCs w:val="20"/>
              </w:rPr>
              <w:t>3.5　</w:t>
            </w:r>
          </w:p>
        </w:tc>
        <w:tc>
          <w:tcPr>
            <w:tcW w:w="1085" w:type="pct"/>
            <w:tcBorders>
              <w:top w:val="single" w:color="auto" w:sz="4" w:space="0"/>
              <w:left w:val="single" w:color="auto" w:sz="4" w:space="0"/>
              <w:bottom w:val="single" w:color="auto" w:sz="4" w:space="0"/>
              <w:right w:val="single" w:color="auto" w:sz="4" w:space="0"/>
            </w:tcBorders>
            <w:vAlign w:val="center"/>
          </w:tcPr>
          <w:p>
            <w:pPr>
              <w:widowControl/>
              <w:autoSpaceDN w:val="0"/>
              <w:jc w:val="left"/>
              <w:rPr>
                <w:rFonts w:ascii="宋体" w:hAnsi="宋体" w:cs="宋体"/>
                <w:color w:val="000000"/>
                <w:kern w:val="0"/>
                <w:sz w:val="18"/>
                <w:szCs w:val="18"/>
              </w:rPr>
            </w:pPr>
            <w:r>
              <w:rPr>
                <w:rFonts w:hint="eastAsia" w:ascii="宋体" w:hAnsi="宋体" w:cs="宋体"/>
                <w:b/>
                <w:bCs/>
                <w:color w:val="000000"/>
                <w:kern w:val="0"/>
                <w:sz w:val="18"/>
                <w:szCs w:val="18"/>
              </w:rPr>
              <w:t>资产管理规范性:</w:t>
            </w:r>
            <w:r>
              <w:rPr>
                <w:rFonts w:hint="eastAsia" w:ascii="宋体" w:hAnsi="宋体" w:cs="宋体"/>
                <w:color w:val="000000"/>
                <w:kern w:val="0"/>
                <w:sz w:val="18"/>
                <w:szCs w:val="18"/>
              </w:rPr>
              <w:t>部门（单位）的资产是否保持安全完整，资产配置是否合理，资产使用和资产处理是否规范，用以反映和考核部门（单位）资产管理的整体水平。</w:t>
            </w:r>
          </w:p>
        </w:tc>
        <w:tc>
          <w:tcPr>
            <w:tcW w:w="1405" w:type="pct"/>
            <w:tcBorders>
              <w:top w:val="single" w:color="auto" w:sz="4" w:space="0"/>
              <w:left w:val="single" w:color="auto" w:sz="4" w:space="0"/>
              <w:bottom w:val="single" w:color="auto" w:sz="4" w:space="0"/>
              <w:right w:val="single" w:color="auto" w:sz="4" w:space="0"/>
            </w:tcBorders>
            <w:vAlign w:val="center"/>
          </w:tcPr>
          <w:p>
            <w:pPr>
              <w:widowControl/>
              <w:autoSpaceDN w:val="0"/>
              <w:jc w:val="left"/>
              <w:rPr>
                <w:rFonts w:ascii="宋体" w:hAnsi="宋体" w:cs="宋体"/>
                <w:color w:val="000000"/>
                <w:kern w:val="0"/>
                <w:sz w:val="18"/>
                <w:szCs w:val="18"/>
              </w:rPr>
            </w:pPr>
            <w:r>
              <w:rPr>
                <w:rFonts w:hint="eastAsia" w:ascii="宋体" w:hAnsi="宋体" w:cs="宋体"/>
                <w:color w:val="000000"/>
                <w:kern w:val="0"/>
                <w:sz w:val="18"/>
                <w:szCs w:val="18"/>
              </w:rPr>
              <w:t>①对外投资行为是否经审批，是否存在投资亏损；②是否有因管理不当发生严重资产损失和丢失情况；③是否存在超标准配置资产；④资产使用是否规范，是否存在未经批准擅自出租、出借资产行为；⑤资产处置是否规范，是否存在不按要求进行报批或资产不公开处置行为；⑥其它资产管理制度办法执行情况。每有一项不合格扣0.8分，扣完为止。</w:t>
            </w:r>
          </w:p>
        </w:tc>
      </w:tr>
      <w:tr>
        <w:tblPrEx>
          <w:tblCellMar>
            <w:top w:w="0" w:type="dxa"/>
            <w:left w:w="108" w:type="dxa"/>
            <w:bottom w:w="0" w:type="dxa"/>
            <w:right w:w="108" w:type="dxa"/>
          </w:tblCellMar>
        </w:tblPrEx>
        <w:trPr>
          <w:trHeight w:val="1750" w:hRule="atLeast"/>
        </w:trPr>
        <w:tc>
          <w:tcPr>
            <w:tcW w:w="287" w:type="pct"/>
            <w:vMerge w:val="continue"/>
            <w:tcBorders>
              <w:top w:val="nil"/>
              <w:left w:val="single" w:color="auto" w:sz="4" w:space="0"/>
              <w:bottom w:val="single" w:color="000000" w:sz="4" w:space="0"/>
              <w:right w:val="single" w:color="auto" w:sz="4" w:space="0"/>
            </w:tcBorders>
            <w:vAlign w:val="center"/>
          </w:tcPr>
          <w:p>
            <w:pPr>
              <w:widowControl/>
              <w:autoSpaceDN w:val="0"/>
              <w:jc w:val="left"/>
              <w:rPr>
                <w:rFonts w:ascii="宋体" w:hAnsi="宋体" w:cs="宋体"/>
                <w:color w:val="000000"/>
                <w:kern w:val="0"/>
                <w:sz w:val="20"/>
                <w:szCs w:val="20"/>
              </w:rPr>
            </w:pPr>
          </w:p>
        </w:tc>
        <w:tc>
          <w:tcPr>
            <w:tcW w:w="287" w:type="pct"/>
            <w:tcBorders>
              <w:top w:val="single" w:color="auto" w:sz="4" w:space="0"/>
              <w:left w:val="nil"/>
              <w:bottom w:val="single" w:color="auto" w:sz="4" w:space="0"/>
              <w:right w:val="single" w:color="auto" w:sz="4" w:space="0"/>
            </w:tcBorders>
            <w:vAlign w:val="center"/>
          </w:tcPr>
          <w:p>
            <w:pPr>
              <w:widowControl/>
              <w:autoSpaceDN w:val="0"/>
              <w:jc w:val="center"/>
              <w:rPr>
                <w:rFonts w:ascii="宋体" w:hAnsi="宋体" w:cs="宋体"/>
                <w:color w:val="000000"/>
                <w:kern w:val="0"/>
                <w:sz w:val="20"/>
                <w:szCs w:val="20"/>
              </w:rPr>
            </w:pPr>
            <w:r>
              <w:rPr>
                <w:rFonts w:hint="eastAsia" w:ascii="宋体" w:hAnsi="宋体" w:cs="宋体"/>
                <w:color w:val="000000"/>
                <w:kern w:val="0"/>
                <w:sz w:val="20"/>
                <w:szCs w:val="20"/>
              </w:rPr>
              <w:t>绩效管理（4）</w:t>
            </w:r>
          </w:p>
        </w:tc>
        <w:tc>
          <w:tcPr>
            <w:tcW w:w="499" w:type="pct"/>
            <w:tcBorders>
              <w:top w:val="single" w:color="auto" w:sz="4" w:space="0"/>
              <w:left w:val="nil"/>
              <w:bottom w:val="single" w:color="auto" w:sz="4" w:space="0"/>
              <w:right w:val="single" w:color="auto" w:sz="4" w:space="0"/>
            </w:tcBorders>
            <w:vAlign w:val="center"/>
          </w:tcPr>
          <w:p>
            <w:pPr>
              <w:widowControl/>
              <w:autoSpaceDN w:val="0"/>
              <w:jc w:val="center"/>
              <w:rPr>
                <w:rFonts w:ascii="宋体" w:hAnsi="宋体" w:cs="宋体"/>
                <w:color w:val="000000"/>
                <w:kern w:val="0"/>
                <w:sz w:val="20"/>
                <w:szCs w:val="20"/>
              </w:rPr>
            </w:pPr>
            <w:r>
              <w:rPr>
                <w:rFonts w:hint="eastAsia" w:ascii="宋体" w:hAnsi="宋体" w:cs="宋体"/>
                <w:color w:val="000000"/>
                <w:kern w:val="0"/>
                <w:sz w:val="20"/>
                <w:szCs w:val="20"/>
              </w:rPr>
              <w:t>绩效管理情况</w:t>
            </w:r>
          </w:p>
        </w:tc>
        <w:tc>
          <w:tcPr>
            <w:tcW w:w="499" w:type="pct"/>
            <w:tcBorders>
              <w:top w:val="single" w:color="auto" w:sz="4" w:space="0"/>
              <w:left w:val="nil"/>
              <w:bottom w:val="single" w:color="auto" w:sz="4" w:space="0"/>
              <w:right w:val="single" w:color="auto" w:sz="4" w:space="0"/>
            </w:tcBorders>
            <w:vAlign w:val="center"/>
          </w:tcPr>
          <w:p>
            <w:pPr>
              <w:widowControl/>
              <w:autoSpaceDN w:val="0"/>
              <w:jc w:val="center"/>
              <w:rPr>
                <w:rFonts w:ascii="宋体" w:hAnsi="宋体" w:cs="宋体"/>
                <w:color w:val="000000"/>
                <w:kern w:val="0"/>
                <w:sz w:val="20"/>
                <w:szCs w:val="20"/>
              </w:rPr>
            </w:pPr>
            <w:r>
              <w:rPr>
                <w:rFonts w:hint="eastAsia" w:ascii="宋体" w:hAnsi="宋体" w:cs="宋体"/>
                <w:color w:val="000000"/>
                <w:kern w:val="0"/>
                <w:sz w:val="20"/>
                <w:szCs w:val="20"/>
              </w:rPr>
              <w:t>及时对绩效信息进行汇总分析整理</w:t>
            </w:r>
          </w:p>
        </w:tc>
        <w:tc>
          <w:tcPr>
            <w:tcW w:w="500" w:type="pct"/>
            <w:tcBorders>
              <w:top w:val="single" w:color="auto" w:sz="4" w:space="0"/>
              <w:left w:val="nil"/>
              <w:bottom w:val="single" w:color="auto" w:sz="4" w:space="0"/>
              <w:right w:val="single" w:color="auto" w:sz="4" w:space="0"/>
            </w:tcBorders>
            <w:vAlign w:val="center"/>
          </w:tcPr>
          <w:p>
            <w:pPr>
              <w:widowControl/>
              <w:autoSpaceDN w:val="0"/>
              <w:jc w:val="center"/>
              <w:rPr>
                <w:rFonts w:ascii="宋体" w:hAnsi="宋体" w:cs="宋体"/>
                <w:color w:val="000000"/>
                <w:kern w:val="0"/>
                <w:sz w:val="20"/>
                <w:szCs w:val="20"/>
              </w:rPr>
            </w:pPr>
            <w:r>
              <w:rPr>
                <w:rFonts w:hint="eastAsia" w:ascii="宋体" w:hAnsi="宋体" w:cs="宋体"/>
                <w:color w:val="000000"/>
                <w:kern w:val="0"/>
                <w:sz w:val="20"/>
                <w:szCs w:val="20"/>
              </w:rPr>
              <w:t>达到预期指标　</w:t>
            </w:r>
          </w:p>
        </w:tc>
        <w:tc>
          <w:tcPr>
            <w:tcW w:w="217" w:type="pct"/>
            <w:tcBorders>
              <w:top w:val="single" w:color="auto" w:sz="4" w:space="0"/>
              <w:left w:val="nil"/>
              <w:bottom w:val="single" w:color="auto" w:sz="4" w:space="0"/>
              <w:right w:val="single" w:color="auto" w:sz="4" w:space="0"/>
            </w:tcBorders>
            <w:vAlign w:val="center"/>
          </w:tcPr>
          <w:p>
            <w:pPr>
              <w:widowControl/>
              <w:autoSpaceDN w:val="0"/>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217" w:type="pct"/>
            <w:tcBorders>
              <w:top w:val="single" w:color="auto" w:sz="4" w:space="0"/>
              <w:left w:val="nil"/>
              <w:bottom w:val="single" w:color="auto" w:sz="4" w:space="0"/>
              <w:right w:val="nil"/>
            </w:tcBorders>
            <w:vAlign w:val="center"/>
          </w:tcPr>
          <w:p>
            <w:pPr>
              <w:widowControl/>
              <w:autoSpaceDN w:val="0"/>
              <w:jc w:val="center"/>
              <w:rPr>
                <w:rFonts w:ascii="宋体" w:hAnsi="宋体" w:cs="宋体"/>
                <w:color w:val="000000"/>
                <w:kern w:val="0"/>
                <w:sz w:val="20"/>
                <w:szCs w:val="20"/>
              </w:rPr>
            </w:pPr>
            <w:r>
              <w:rPr>
                <w:rFonts w:hint="eastAsia" w:ascii="宋体" w:hAnsi="宋体" w:cs="宋体"/>
                <w:color w:val="000000"/>
                <w:kern w:val="0"/>
                <w:sz w:val="20"/>
                <w:szCs w:val="20"/>
              </w:rPr>
              <w:t>3.5　</w:t>
            </w:r>
          </w:p>
        </w:tc>
        <w:tc>
          <w:tcPr>
            <w:tcW w:w="1085" w:type="pct"/>
            <w:tcBorders>
              <w:top w:val="single" w:color="auto" w:sz="4" w:space="0"/>
              <w:left w:val="single" w:color="auto" w:sz="4" w:space="0"/>
              <w:bottom w:val="single" w:color="auto" w:sz="4" w:space="0"/>
              <w:right w:val="single" w:color="auto" w:sz="4" w:space="0"/>
            </w:tcBorders>
            <w:vAlign w:val="center"/>
          </w:tcPr>
          <w:p>
            <w:pPr>
              <w:widowControl/>
              <w:autoSpaceDN w:val="0"/>
              <w:jc w:val="left"/>
              <w:rPr>
                <w:rFonts w:ascii="宋体" w:hAnsi="宋体" w:cs="宋体"/>
                <w:color w:val="000000"/>
                <w:kern w:val="0"/>
                <w:sz w:val="18"/>
                <w:szCs w:val="18"/>
              </w:rPr>
            </w:pPr>
            <w:r>
              <w:rPr>
                <w:rFonts w:hint="eastAsia" w:ascii="宋体" w:hAnsi="宋体" w:cs="宋体"/>
                <w:b/>
                <w:bCs/>
                <w:color w:val="000000"/>
                <w:kern w:val="0"/>
                <w:sz w:val="18"/>
                <w:szCs w:val="18"/>
              </w:rPr>
              <w:t>绩效管理情况:</w:t>
            </w:r>
            <w:r>
              <w:rPr>
                <w:rFonts w:hint="eastAsia" w:ascii="宋体" w:hAnsi="宋体" w:cs="宋体"/>
                <w:color w:val="000000"/>
                <w:kern w:val="0"/>
                <w:sz w:val="18"/>
                <w:szCs w:val="18"/>
              </w:rPr>
              <w:t>考核部门（单位）在绩效管理信息的汇总和应用情况。</w:t>
            </w:r>
          </w:p>
        </w:tc>
        <w:tc>
          <w:tcPr>
            <w:tcW w:w="1405" w:type="pct"/>
            <w:tcBorders>
              <w:top w:val="single" w:color="auto" w:sz="4" w:space="0"/>
              <w:left w:val="nil"/>
              <w:bottom w:val="single" w:color="auto" w:sz="4" w:space="0"/>
              <w:right w:val="single" w:color="auto" w:sz="4" w:space="0"/>
            </w:tcBorders>
            <w:vAlign w:val="center"/>
          </w:tcPr>
          <w:p>
            <w:pPr>
              <w:widowControl/>
              <w:autoSpaceDN w:val="0"/>
              <w:jc w:val="left"/>
              <w:rPr>
                <w:rFonts w:ascii="宋体" w:hAnsi="宋体" w:cs="宋体"/>
                <w:color w:val="000000"/>
                <w:kern w:val="0"/>
                <w:sz w:val="18"/>
                <w:szCs w:val="18"/>
              </w:rPr>
            </w:pPr>
            <w:r>
              <w:rPr>
                <w:rFonts w:hint="eastAsia" w:ascii="宋体" w:hAnsi="宋体" w:cs="宋体"/>
                <w:color w:val="000000"/>
                <w:kern w:val="0"/>
                <w:sz w:val="18"/>
                <w:szCs w:val="18"/>
              </w:rPr>
              <w:t>①部门（单位）是否及时对绩效信息进行汇总分析整理；②部门（单位）是否对绩效目标偏离情况及时进行矫正。每有一项不合格扣2分。</w:t>
            </w:r>
          </w:p>
        </w:tc>
      </w:tr>
      <w:tr>
        <w:tblPrEx>
          <w:tblCellMar>
            <w:top w:w="0" w:type="dxa"/>
            <w:left w:w="108" w:type="dxa"/>
            <w:bottom w:w="0" w:type="dxa"/>
            <w:right w:w="108" w:type="dxa"/>
          </w:tblCellMar>
        </w:tblPrEx>
        <w:trPr>
          <w:trHeight w:val="394" w:hRule="atLeast"/>
        </w:trPr>
        <w:tc>
          <w:tcPr>
            <w:tcW w:w="287" w:type="pct"/>
            <w:vMerge w:val="continue"/>
            <w:tcBorders>
              <w:top w:val="nil"/>
              <w:left w:val="single" w:color="auto" w:sz="4" w:space="0"/>
              <w:bottom w:val="single" w:color="000000" w:sz="4" w:space="0"/>
              <w:right w:val="single" w:color="auto" w:sz="4" w:space="0"/>
            </w:tcBorders>
            <w:vAlign w:val="center"/>
          </w:tcPr>
          <w:p>
            <w:pPr>
              <w:widowControl/>
              <w:autoSpaceDN w:val="0"/>
              <w:jc w:val="left"/>
              <w:rPr>
                <w:rFonts w:ascii="宋体" w:hAnsi="宋体" w:cs="宋体"/>
                <w:color w:val="000000"/>
                <w:kern w:val="0"/>
                <w:sz w:val="20"/>
                <w:szCs w:val="20"/>
              </w:rPr>
            </w:pPr>
          </w:p>
        </w:tc>
        <w:tc>
          <w:tcPr>
            <w:tcW w:w="287" w:type="pct"/>
            <w:tcBorders>
              <w:top w:val="single" w:color="auto" w:sz="4" w:space="0"/>
              <w:left w:val="nil"/>
              <w:bottom w:val="single" w:color="auto" w:sz="4" w:space="0"/>
              <w:right w:val="single" w:color="auto" w:sz="4" w:space="0"/>
            </w:tcBorders>
            <w:vAlign w:val="center"/>
          </w:tcPr>
          <w:p>
            <w:pPr>
              <w:widowControl/>
              <w:autoSpaceDN w:val="0"/>
              <w:jc w:val="center"/>
              <w:rPr>
                <w:rFonts w:ascii="宋体" w:hAnsi="宋体" w:cs="宋体"/>
                <w:color w:val="000000"/>
                <w:kern w:val="0"/>
                <w:sz w:val="20"/>
                <w:szCs w:val="20"/>
              </w:rPr>
            </w:pPr>
            <w:r>
              <w:rPr>
                <w:rFonts w:hint="eastAsia" w:ascii="宋体" w:hAnsi="宋体" w:cs="宋体"/>
                <w:color w:val="000000"/>
                <w:kern w:val="0"/>
                <w:sz w:val="20"/>
                <w:szCs w:val="20"/>
              </w:rPr>
              <w:t>指标　</w:t>
            </w:r>
          </w:p>
        </w:tc>
        <w:tc>
          <w:tcPr>
            <w:tcW w:w="999" w:type="pct"/>
            <w:gridSpan w:val="2"/>
            <w:tcBorders>
              <w:top w:val="single" w:color="auto" w:sz="4" w:space="0"/>
              <w:left w:val="nil"/>
              <w:bottom w:val="single" w:color="auto" w:sz="4" w:space="0"/>
              <w:right w:val="single" w:color="000000" w:sz="4" w:space="0"/>
            </w:tcBorders>
            <w:vAlign w:val="center"/>
          </w:tcPr>
          <w:p>
            <w:pPr>
              <w:widowControl/>
              <w:autoSpaceDN w:val="0"/>
              <w:jc w:val="center"/>
              <w:rPr>
                <w:rFonts w:ascii="宋体" w:hAnsi="宋体" w:cs="宋体"/>
                <w:color w:val="000000"/>
                <w:kern w:val="0"/>
                <w:sz w:val="20"/>
                <w:szCs w:val="20"/>
              </w:rPr>
            </w:pPr>
            <w:r>
              <w:rPr>
                <w:rFonts w:hint="eastAsia" w:ascii="宋体" w:hAnsi="宋体" w:cs="宋体"/>
                <w:color w:val="000000"/>
                <w:kern w:val="0"/>
                <w:sz w:val="20"/>
                <w:szCs w:val="20"/>
              </w:rPr>
              <w:t>202</w:t>
            </w:r>
            <w:r>
              <w:rPr>
                <w:rFonts w:hint="eastAsia" w:ascii="宋体" w:hAnsi="宋体" w:cs="宋体"/>
                <w:color w:val="000000"/>
                <w:kern w:val="0"/>
                <w:sz w:val="20"/>
                <w:szCs w:val="20"/>
                <w:lang w:val="en-US" w:eastAsia="zh-CN"/>
              </w:rPr>
              <w:t>1</w:t>
            </w:r>
            <w:r>
              <w:rPr>
                <w:rFonts w:hint="eastAsia" w:ascii="宋体" w:hAnsi="宋体" w:cs="宋体"/>
                <w:color w:val="000000"/>
                <w:kern w:val="0"/>
                <w:sz w:val="20"/>
                <w:szCs w:val="20"/>
              </w:rPr>
              <w:t>年</w:t>
            </w:r>
          </w:p>
        </w:tc>
        <w:tc>
          <w:tcPr>
            <w:tcW w:w="500" w:type="pct"/>
            <w:tcBorders>
              <w:top w:val="single" w:color="auto" w:sz="4" w:space="0"/>
              <w:left w:val="nil"/>
              <w:bottom w:val="single" w:color="auto" w:sz="4" w:space="0"/>
              <w:right w:val="single" w:color="auto" w:sz="4" w:space="0"/>
            </w:tcBorders>
            <w:vAlign w:val="center"/>
          </w:tcPr>
          <w:p>
            <w:pPr>
              <w:widowControl/>
              <w:autoSpaceDN w:val="0"/>
              <w:jc w:val="center"/>
              <w:rPr>
                <w:rFonts w:ascii="宋体" w:hAnsi="宋体" w:cs="宋体"/>
                <w:color w:val="000000"/>
                <w:kern w:val="0"/>
                <w:sz w:val="20"/>
                <w:szCs w:val="20"/>
              </w:rPr>
            </w:pPr>
            <w:r>
              <w:rPr>
                <w:rFonts w:hint="eastAsia" w:ascii="宋体" w:hAnsi="宋体" w:cs="宋体"/>
                <w:color w:val="000000"/>
                <w:kern w:val="0"/>
                <w:sz w:val="20"/>
                <w:szCs w:val="20"/>
              </w:rPr>
              <w:t>202</w:t>
            </w:r>
            <w:r>
              <w:rPr>
                <w:rFonts w:hint="eastAsia" w:ascii="宋体" w:hAnsi="宋体" w:cs="宋体"/>
                <w:color w:val="000000"/>
                <w:kern w:val="0"/>
                <w:sz w:val="20"/>
                <w:szCs w:val="20"/>
                <w:lang w:val="en-US" w:eastAsia="zh-CN"/>
              </w:rPr>
              <w:t>2</w:t>
            </w:r>
            <w:r>
              <w:rPr>
                <w:rFonts w:hint="eastAsia" w:ascii="宋体" w:hAnsi="宋体" w:cs="宋体"/>
                <w:color w:val="000000"/>
                <w:kern w:val="0"/>
                <w:sz w:val="20"/>
                <w:szCs w:val="20"/>
              </w:rPr>
              <w:t>年</w:t>
            </w:r>
          </w:p>
        </w:tc>
        <w:tc>
          <w:tcPr>
            <w:tcW w:w="217" w:type="pct"/>
            <w:tcBorders>
              <w:top w:val="single" w:color="auto" w:sz="4" w:space="0"/>
              <w:left w:val="nil"/>
              <w:bottom w:val="single" w:color="auto" w:sz="4" w:space="0"/>
              <w:right w:val="single" w:color="auto" w:sz="4" w:space="0"/>
            </w:tcBorders>
            <w:vAlign w:val="center"/>
          </w:tcPr>
          <w:p>
            <w:pPr>
              <w:widowControl/>
              <w:autoSpaceDN w:val="0"/>
              <w:jc w:val="center"/>
              <w:rPr>
                <w:rFonts w:ascii="宋体" w:hAnsi="宋体" w:cs="宋体"/>
                <w:color w:val="000000"/>
                <w:kern w:val="0"/>
                <w:sz w:val="20"/>
                <w:szCs w:val="20"/>
              </w:rPr>
            </w:pPr>
            <w:r>
              <w:rPr>
                <w:rFonts w:hint="eastAsia" w:ascii="宋体" w:hAnsi="宋体" w:cs="宋体"/>
                <w:color w:val="000000"/>
                <w:kern w:val="0"/>
                <w:sz w:val="20"/>
                <w:szCs w:val="20"/>
              </w:rPr>
              <w:t>分值</w:t>
            </w:r>
          </w:p>
        </w:tc>
        <w:tc>
          <w:tcPr>
            <w:tcW w:w="217" w:type="pct"/>
            <w:tcBorders>
              <w:top w:val="single" w:color="auto" w:sz="4" w:space="0"/>
              <w:left w:val="nil"/>
              <w:bottom w:val="single" w:color="auto" w:sz="4" w:space="0"/>
              <w:right w:val="single" w:color="auto" w:sz="4" w:space="0"/>
            </w:tcBorders>
            <w:vAlign w:val="center"/>
          </w:tcPr>
          <w:p>
            <w:pPr>
              <w:widowControl/>
              <w:autoSpaceDN w:val="0"/>
              <w:jc w:val="center"/>
              <w:rPr>
                <w:rFonts w:ascii="宋体" w:hAnsi="宋体" w:cs="宋体"/>
                <w:color w:val="000000"/>
                <w:kern w:val="0"/>
                <w:sz w:val="20"/>
                <w:szCs w:val="20"/>
              </w:rPr>
            </w:pPr>
            <w:r>
              <w:rPr>
                <w:rFonts w:hint="eastAsia" w:ascii="宋体" w:hAnsi="宋体" w:cs="宋体"/>
                <w:color w:val="000000"/>
                <w:kern w:val="0"/>
                <w:sz w:val="20"/>
                <w:szCs w:val="20"/>
              </w:rPr>
              <w:t>得分</w:t>
            </w:r>
          </w:p>
        </w:tc>
        <w:tc>
          <w:tcPr>
            <w:tcW w:w="1085" w:type="pct"/>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s="宋体"/>
                <w:color w:val="000000"/>
                <w:kern w:val="0"/>
                <w:sz w:val="20"/>
                <w:szCs w:val="20"/>
              </w:rPr>
            </w:pPr>
            <w:r>
              <w:rPr>
                <w:rFonts w:hint="eastAsia" w:ascii="宋体" w:hAnsi="宋体" w:cs="宋体"/>
                <w:bCs/>
                <w:color w:val="000000"/>
                <w:kern w:val="0"/>
                <w:sz w:val="18"/>
                <w:szCs w:val="18"/>
              </w:rPr>
              <w:t>指标</w:t>
            </w:r>
            <w:r>
              <w:rPr>
                <w:rFonts w:ascii="宋体" w:hAnsi="宋体" w:cs="宋体"/>
                <w:bCs/>
                <w:color w:val="000000"/>
                <w:kern w:val="0"/>
                <w:sz w:val="18"/>
                <w:szCs w:val="18"/>
              </w:rPr>
              <w:t>解释</w:t>
            </w:r>
          </w:p>
        </w:tc>
        <w:tc>
          <w:tcPr>
            <w:tcW w:w="1405" w:type="pct"/>
            <w:tcBorders>
              <w:top w:val="single" w:color="auto" w:sz="4" w:space="0"/>
              <w:left w:val="nil"/>
              <w:bottom w:val="single" w:color="auto" w:sz="4" w:space="0"/>
              <w:right w:val="single" w:color="auto" w:sz="4" w:space="0"/>
            </w:tcBorders>
            <w:vAlign w:val="center"/>
          </w:tcPr>
          <w:p>
            <w:pPr>
              <w:widowControl/>
              <w:autoSpaceDN w:val="0"/>
              <w:jc w:val="center"/>
              <w:rPr>
                <w:rFonts w:eastAsia="Times New Roman"/>
                <w:kern w:val="0"/>
                <w:sz w:val="20"/>
                <w:szCs w:val="20"/>
              </w:rPr>
            </w:pPr>
            <w:r>
              <w:rPr>
                <w:rFonts w:hint="eastAsia" w:ascii="宋体" w:hAnsi="宋体" w:cs="宋体"/>
                <w:color w:val="000000"/>
                <w:kern w:val="0"/>
                <w:sz w:val="18"/>
                <w:szCs w:val="18"/>
              </w:rPr>
              <w:t>评</w:t>
            </w:r>
            <w:r>
              <w:rPr>
                <w:rFonts w:ascii="宋体" w:hAnsi="宋体" w:cs="宋体"/>
                <w:color w:val="000000"/>
                <w:kern w:val="0"/>
                <w:sz w:val="18"/>
                <w:szCs w:val="18"/>
              </w:rPr>
              <w:t>分标准</w:t>
            </w:r>
          </w:p>
        </w:tc>
      </w:tr>
      <w:tr>
        <w:tblPrEx>
          <w:tblCellMar>
            <w:top w:w="0" w:type="dxa"/>
            <w:left w:w="108" w:type="dxa"/>
            <w:bottom w:w="0" w:type="dxa"/>
            <w:right w:w="108" w:type="dxa"/>
          </w:tblCellMar>
        </w:tblPrEx>
        <w:trPr>
          <w:trHeight w:val="1365" w:hRule="atLeast"/>
        </w:trPr>
        <w:tc>
          <w:tcPr>
            <w:tcW w:w="287" w:type="pct"/>
            <w:vMerge w:val="continue"/>
            <w:tcBorders>
              <w:top w:val="nil"/>
              <w:left w:val="single" w:color="auto" w:sz="4" w:space="0"/>
              <w:bottom w:val="single" w:color="000000" w:sz="4" w:space="0"/>
              <w:right w:val="single" w:color="auto" w:sz="4" w:space="0"/>
            </w:tcBorders>
            <w:vAlign w:val="center"/>
          </w:tcPr>
          <w:p>
            <w:pPr>
              <w:widowControl/>
              <w:autoSpaceDN w:val="0"/>
              <w:jc w:val="left"/>
              <w:rPr>
                <w:rFonts w:ascii="宋体" w:hAnsi="宋体" w:cs="宋体"/>
                <w:color w:val="000000"/>
                <w:kern w:val="0"/>
                <w:sz w:val="20"/>
                <w:szCs w:val="20"/>
              </w:rPr>
            </w:pPr>
          </w:p>
        </w:tc>
        <w:tc>
          <w:tcPr>
            <w:tcW w:w="287" w:type="pct"/>
            <w:tcBorders>
              <w:top w:val="nil"/>
              <w:left w:val="nil"/>
              <w:bottom w:val="single" w:color="auto" w:sz="4" w:space="0"/>
              <w:right w:val="single" w:color="auto" w:sz="4" w:space="0"/>
            </w:tcBorders>
            <w:vAlign w:val="center"/>
          </w:tcPr>
          <w:p>
            <w:pPr>
              <w:widowControl/>
              <w:autoSpaceDN w:val="0"/>
              <w:rPr>
                <w:rFonts w:ascii="宋体" w:hAnsi="宋体" w:cs="宋体"/>
                <w:color w:val="000000"/>
                <w:kern w:val="0"/>
                <w:sz w:val="20"/>
                <w:szCs w:val="20"/>
              </w:rPr>
            </w:pPr>
            <w:r>
              <w:rPr>
                <w:rFonts w:hint="eastAsia" w:ascii="宋体" w:hAnsi="宋体" w:cs="宋体"/>
                <w:color w:val="000000"/>
                <w:kern w:val="0"/>
                <w:sz w:val="20"/>
                <w:szCs w:val="20"/>
              </w:rPr>
              <w:t>结转结余率（4）</w:t>
            </w:r>
          </w:p>
        </w:tc>
        <w:tc>
          <w:tcPr>
            <w:tcW w:w="999" w:type="pct"/>
            <w:gridSpan w:val="2"/>
            <w:tcBorders>
              <w:top w:val="single" w:color="auto" w:sz="4" w:space="0"/>
              <w:left w:val="nil"/>
              <w:bottom w:val="single" w:color="auto" w:sz="4" w:space="0"/>
              <w:right w:val="single" w:color="000000" w:sz="4" w:space="0"/>
            </w:tcBorders>
            <w:vAlign w:val="center"/>
          </w:tcPr>
          <w:p>
            <w:pPr>
              <w:widowControl/>
              <w:autoSpaceDN w:val="0"/>
              <w:jc w:val="center"/>
              <w:rPr>
                <w:rFonts w:ascii="宋体" w:hAnsi="宋体" w:cs="宋体"/>
                <w:color w:val="000000"/>
                <w:kern w:val="0"/>
                <w:sz w:val="20"/>
                <w:szCs w:val="20"/>
              </w:rPr>
            </w:pPr>
            <w:r>
              <w:rPr>
                <w:rFonts w:hint="eastAsia" w:ascii="宋体" w:hAnsi="宋体" w:cs="宋体"/>
                <w:color w:val="000000"/>
                <w:kern w:val="0"/>
                <w:sz w:val="20"/>
                <w:szCs w:val="20"/>
                <w:lang w:val="en-US" w:eastAsia="zh-CN"/>
              </w:rPr>
              <w:t>1.78</w:t>
            </w:r>
            <w:r>
              <w:rPr>
                <w:rFonts w:hint="eastAsia" w:ascii="宋体" w:hAnsi="宋体" w:cs="宋体"/>
                <w:color w:val="000000"/>
                <w:kern w:val="0"/>
                <w:sz w:val="20"/>
                <w:szCs w:val="20"/>
              </w:rPr>
              <w:t>%　</w:t>
            </w:r>
          </w:p>
        </w:tc>
        <w:tc>
          <w:tcPr>
            <w:tcW w:w="500" w:type="pct"/>
            <w:tcBorders>
              <w:top w:val="nil"/>
              <w:left w:val="nil"/>
              <w:bottom w:val="single" w:color="auto" w:sz="4" w:space="0"/>
              <w:right w:val="single" w:color="auto" w:sz="4" w:space="0"/>
            </w:tcBorders>
            <w:vAlign w:val="center"/>
          </w:tcPr>
          <w:p>
            <w:pPr>
              <w:widowControl/>
              <w:autoSpaceDN w:val="0"/>
              <w:jc w:val="center"/>
              <w:rPr>
                <w:rFonts w:ascii="宋体" w:hAnsi="宋体" w:cs="宋体"/>
                <w:color w:val="000000"/>
                <w:kern w:val="0"/>
                <w:sz w:val="20"/>
                <w:szCs w:val="20"/>
              </w:rPr>
            </w:pPr>
            <w:r>
              <w:rPr>
                <w:rFonts w:hint="eastAsia" w:ascii="宋体" w:hAnsi="宋体" w:cs="宋体"/>
                <w:color w:val="000000"/>
                <w:kern w:val="0"/>
                <w:sz w:val="20"/>
                <w:szCs w:val="20"/>
                <w:lang w:val="en-US" w:eastAsia="zh-CN"/>
              </w:rPr>
              <w:t>0.73</w:t>
            </w:r>
            <w:r>
              <w:rPr>
                <w:rFonts w:hint="eastAsia" w:ascii="宋体" w:hAnsi="宋体" w:cs="宋体"/>
                <w:color w:val="000000"/>
                <w:kern w:val="0"/>
                <w:sz w:val="20"/>
                <w:szCs w:val="20"/>
              </w:rPr>
              <w:t>%　</w:t>
            </w:r>
          </w:p>
        </w:tc>
        <w:tc>
          <w:tcPr>
            <w:tcW w:w="217" w:type="pct"/>
            <w:tcBorders>
              <w:top w:val="nil"/>
              <w:left w:val="nil"/>
              <w:bottom w:val="single" w:color="auto" w:sz="4" w:space="0"/>
              <w:right w:val="single" w:color="auto" w:sz="4" w:space="0"/>
            </w:tcBorders>
            <w:vAlign w:val="center"/>
          </w:tcPr>
          <w:p>
            <w:pPr>
              <w:widowControl/>
              <w:autoSpaceDN w:val="0"/>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217" w:type="pct"/>
            <w:tcBorders>
              <w:top w:val="nil"/>
              <w:left w:val="nil"/>
              <w:bottom w:val="single" w:color="auto" w:sz="4" w:space="0"/>
              <w:right w:val="nil"/>
            </w:tcBorders>
            <w:vAlign w:val="center"/>
          </w:tcPr>
          <w:p>
            <w:pPr>
              <w:widowControl/>
              <w:autoSpaceDN w:val="0"/>
              <w:jc w:val="center"/>
              <w:rPr>
                <w:rFonts w:ascii="宋体" w:hAnsi="宋体" w:cs="宋体"/>
                <w:color w:val="000000"/>
                <w:kern w:val="0"/>
                <w:sz w:val="20"/>
                <w:szCs w:val="20"/>
              </w:rPr>
            </w:pPr>
            <w:r>
              <w:rPr>
                <w:rFonts w:hint="eastAsia" w:ascii="宋体" w:hAnsi="宋体" w:cs="宋体"/>
                <w:color w:val="000000"/>
                <w:kern w:val="0"/>
                <w:sz w:val="20"/>
                <w:szCs w:val="20"/>
              </w:rPr>
              <w:t>4　</w:t>
            </w:r>
          </w:p>
        </w:tc>
        <w:tc>
          <w:tcPr>
            <w:tcW w:w="1085" w:type="pct"/>
            <w:tcBorders>
              <w:top w:val="single" w:color="auto" w:sz="4" w:space="0"/>
              <w:left w:val="single" w:color="auto" w:sz="4" w:space="0"/>
              <w:bottom w:val="single" w:color="auto" w:sz="4" w:space="0"/>
              <w:right w:val="single" w:color="auto" w:sz="4" w:space="0"/>
            </w:tcBorders>
            <w:vAlign w:val="center"/>
          </w:tcPr>
          <w:p>
            <w:pPr>
              <w:widowControl/>
              <w:autoSpaceDN w:val="0"/>
              <w:jc w:val="left"/>
              <w:rPr>
                <w:rFonts w:ascii="宋体" w:hAnsi="宋体" w:cs="宋体"/>
                <w:color w:val="000000"/>
                <w:kern w:val="0"/>
                <w:sz w:val="18"/>
                <w:szCs w:val="18"/>
              </w:rPr>
            </w:pPr>
            <w:r>
              <w:rPr>
                <w:rFonts w:hint="eastAsia" w:ascii="宋体" w:hAnsi="宋体" w:cs="宋体"/>
                <w:color w:val="000000"/>
                <w:kern w:val="0"/>
                <w:sz w:val="18"/>
                <w:szCs w:val="18"/>
              </w:rPr>
              <w:t>结转结余率=结转结余总额/支出预算数×100%。</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结转结余总额：部门（单位）本年度的结转资金与结余资金之和。</w:t>
            </w:r>
          </w:p>
        </w:tc>
        <w:tc>
          <w:tcPr>
            <w:tcW w:w="1405" w:type="pct"/>
            <w:tcBorders>
              <w:top w:val="single" w:color="auto" w:sz="4" w:space="0"/>
              <w:left w:val="nil"/>
              <w:bottom w:val="single" w:color="auto" w:sz="4" w:space="0"/>
              <w:right w:val="single" w:color="auto" w:sz="4" w:space="0"/>
            </w:tcBorders>
            <w:vAlign w:val="center"/>
          </w:tcPr>
          <w:p>
            <w:pPr>
              <w:widowControl/>
              <w:autoSpaceDN w:val="0"/>
              <w:jc w:val="left"/>
              <w:rPr>
                <w:rFonts w:ascii="宋体" w:hAnsi="宋体" w:cs="宋体"/>
                <w:color w:val="000000"/>
                <w:kern w:val="0"/>
                <w:sz w:val="18"/>
                <w:szCs w:val="18"/>
              </w:rPr>
            </w:pPr>
            <w:r>
              <w:rPr>
                <w:rFonts w:hint="eastAsia" w:ascii="宋体" w:hAnsi="宋体" w:cs="宋体"/>
                <w:color w:val="000000"/>
                <w:kern w:val="0"/>
                <w:sz w:val="18"/>
                <w:szCs w:val="18"/>
              </w:rPr>
              <w:t>部门结转结余率低于上年的不扣分；高于上年结余率，每高出1个百分点扣0.4分，扣完为止。（说明：预算调整和结转结余指标，如非预算部门主观因素导致扣分的，在评分结果征求意见环节，经与相关部门预算主管处室共同研究，可作为例外情况酌情考虑。）</w:t>
            </w:r>
          </w:p>
        </w:tc>
      </w:tr>
      <w:tr>
        <w:tblPrEx>
          <w:tblCellMar>
            <w:top w:w="0" w:type="dxa"/>
            <w:left w:w="108" w:type="dxa"/>
            <w:bottom w:w="0" w:type="dxa"/>
            <w:right w:w="108" w:type="dxa"/>
          </w:tblCellMar>
        </w:tblPrEx>
        <w:trPr>
          <w:trHeight w:val="90" w:hRule="atLeast"/>
        </w:trPr>
        <w:tc>
          <w:tcPr>
            <w:tcW w:w="287" w:type="pct"/>
            <w:vMerge w:val="continue"/>
            <w:tcBorders>
              <w:top w:val="nil"/>
              <w:left w:val="single" w:color="auto" w:sz="4" w:space="0"/>
              <w:bottom w:val="single" w:color="000000" w:sz="4" w:space="0"/>
              <w:right w:val="single" w:color="auto" w:sz="4" w:space="0"/>
            </w:tcBorders>
            <w:vAlign w:val="center"/>
          </w:tcPr>
          <w:p>
            <w:pPr>
              <w:widowControl/>
              <w:autoSpaceDN w:val="0"/>
              <w:jc w:val="left"/>
              <w:rPr>
                <w:rFonts w:ascii="宋体" w:hAnsi="宋体" w:cs="宋体"/>
                <w:color w:val="000000"/>
                <w:kern w:val="0"/>
                <w:sz w:val="20"/>
                <w:szCs w:val="20"/>
              </w:rPr>
            </w:pPr>
          </w:p>
        </w:tc>
        <w:tc>
          <w:tcPr>
            <w:tcW w:w="287" w:type="pct"/>
            <w:tcBorders>
              <w:top w:val="nil"/>
              <w:left w:val="nil"/>
              <w:bottom w:val="single" w:color="auto" w:sz="4" w:space="0"/>
              <w:right w:val="single" w:color="auto" w:sz="4" w:space="0"/>
            </w:tcBorders>
            <w:vAlign w:val="center"/>
          </w:tcPr>
          <w:p>
            <w:pPr>
              <w:widowControl/>
              <w:autoSpaceDN w:val="0"/>
              <w:rPr>
                <w:rFonts w:ascii="宋体" w:hAnsi="宋体" w:cs="宋体"/>
                <w:color w:val="000000"/>
                <w:kern w:val="0"/>
                <w:sz w:val="20"/>
                <w:szCs w:val="20"/>
              </w:rPr>
            </w:pPr>
            <w:r>
              <w:rPr>
                <w:rFonts w:hint="eastAsia" w:ascii="宋体" w:hAnsi="宋体" w:cs="宋体"/>
                <w:color w:val="000000"/>
                <w:kern w:val="0"/>
                <w:sz w:val="20"/>
                <w:szCs w:val="20"/>
              </w:rPr>
              <w:t>部门预决算差异率（4）</w:t>
            </w:r>
          </w:p>
        </w:tc>
        <w:tc>
          <w:tcPr>
            <w:tcW w:w="999" w:type="pct"/>
            <w:gridSpan w:val="2"/>
            <w:tcBorders>
              <w:top w:val="single" w:color="auto" w:sz="4" w:space="0"/>
              <w:left w:val="nil"/>
              <w:bottom w:val="single" w:color="auto" w:sz="4" w:space="0"/>
              <w:right w:val="nil"/>
            </w:tcBorders>
            <w:vAlign w:val="center"/>
          </w:tcPr>
          <w:p>
            <w:pPr>
              <w:widowControl/>
              <w:autoSpaceDN w:val="0"/>
              <w:jc w:val="center"/>
              <w:rPr>
                <w:rFonts w:ascii="宋体" w:hAnsi="宋体" w:cs="宋体"/>
                <w:color w:val="000000"/>
                <w:kern w:val="0"/>
                <w:sz w:val="20"/>
                <w:szCs w:val="20"/>
              </w:rPr>
            </w:pPr>
            <w:r>
              <w:rPr>
                <w:rFonts w:hint="eastAsia" w:ascii="宋体" w:hAnsi="宋体" w:cs="宋体"/>
                <w:color w:val="000000"/>
                <w:kern w:val="0"/>
                <w:sz w:val="20"/>
                <w:szCs w:val="20"/>
                <w:lang w:val="en-US" w:eastAsia="zh-CN"/>
              </w:rPr>
              <w:t>2.35</w:t>
            </w:r>
            <w:r>
              <w:rPr>
                <w:rFonts w:hint="eastAsia" w:ascii="宋体" w:hAnsi="宋体" w:cs="宋体"/>
                <w:color w:val="000000"/>
                <w:kern w:val="0"/>
                <w:sz w:val="20"/>
                <w:szCs w:val="20"/>
              </w:rPr>
              <w:t>%</w:t>
            </w:r>
          </w:p>
        </w:tc>
        <w:tc>
          <w:tcPr>
            <w:tcW w:w="500" w:type="pct"/>
            <w:tcBorders>
              <w:top w:val="nil"/>
              <w:left w:val="single" w:color="auto" w:sz="4" w:space="0"/>
              <w:bottom w:val="single" w:color="auto" w:sz="4" w:space="0"/>
              <w:right w:val="single" w:color="auto" w:sz="4" w:space="0"/>
            </w:tcBorders>
            <w:vAlign w:val="center"/>
          </w:tcPr>
          <w:p>
            <w:pPr>
              <w:widowControl/>
              <w:autoSpaceDN w:val="0"/>
              <w:jc w:val="left"/>
              <w:rPr>
                <w:rFonts w:ascii="宋体" w:hAnsi="宋体" w:cs="宋体"/>
                <w:color w:val="000000"/>
                <w:kern w:val="0"/>
                <w:sz w:val="20"/>
                <w:szCs w:val="20"/>
              </w:rPr>
            </w:pPr>
            <w:r>
              <w:rPr>
                <w:rFonts w:hint="eastAsia" w:ascii="宋体" w:hAnsi="宋体" w:cs="宋体"/>
                <w:color w:val="000000"/>
                <w:kern w:val="0"/>
                <w:sz w:val="20"/>
                <w:szCs w:val="20"/>
              </w:rPr>
              <w:t>　-5.37%</w:t>
            </w:r>
          </w:p>
        </w:tc>
        <w:tc>
          <w:tcPr>
            <w:tcW w:w="217" w:type="pct"/>
            <w:tcBorders>
              <w:top w:val="nil"/>
              <w:left w:val="nil"/>
              <w:bottom w:val="single" w:color="auto" w:sz="4" w:space="0"/>
              <w:right w:val="single" w:color="auto" w:sz="4" w:space="0"/>
            </w:tcBorders>
            <w:vAlign w:val="center"/>
          </w:tcPr>
          <w:p>
            <w:pPr>
              <w:widowControl/>
              <w:autoSpaceDN w:val="0"/>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217" w:type="pct"/>
            <w:tcBorders>
              <w:top w:val="nil"/>
              <w:left w:val="nil"/>
              <w:bottom w:val="single" w:color="auto" w:sz="4" w:space="0"/>
              <w:right w:val="nil"/>
            </w:tcBorders>
            <w:vAlign w:val="center"/>
          </w:tcPr>
          <w:p>
            <w:pPr>
              <w:widowControl/>
              <w:autoSpaceDN w:val="0"/>
              <w:jc w:val="center"/>
              <w:rPr>
                <w:rFonts w:ascii="宋体" w:hAnsi="宋体" w:cs="宋体"/>
                <w:color w:val="000000"/>
                <w:kern w:val="0"/>
                <w:sz w:val="20"/>
                <w:szCs w:val="20"/>
              </w:rPr>
            </w:pPr>
            <w:r>
              <w:rPr>
                <w:rFonts w:hint="eastAsia" w:ascii="宋体" w:hAnsi="宋体" w:cs="宋体"/>
                <w:color w:val="000000"/>
                <w:kern w:val="0"/>
                <w:sz w:val="20"/>
                <w:szCs w:val="20"/>
              </w:rPr>
              <w:t>4　</w:t>
            </w:r>
          </w:p>
        </w:tc>
        <w:tc>
          <w:tcPr>
            <w:tcW w:w="1085" w:type="pct"/>
            <w:tcBorders>
              <w:top w:val="nil"/>
              <w:left w:val="single" w:color="auto" w:sz="4" w:space="0"/>
              <w:bottom w:val="single" w:color="auto" w:sz="4" w:space="0"/>
              <w:right w:val="single" w:color="auto" w:sz="4" w:space="0"/>
            </w:tcBorders>
            <w:vAlign w:val="center"/>
          </w:tcPr>
          <w:p>
            <w:pPr>
              <w:widowControl/>
              <w:autoSpaceDN w:val="0"/>
              <w:jc w:val="left"/>
              <w:rPr>
                <w:rFonts w:ascii="宋体" w:hAnsi="宋体" w:cs="宋体"/>
                <w:color w:val="000000"/>
                <w:kern w:val="0"/>
                <w:sz w:val="18"/>
                <w:szCs w:val="18"/>
              </w:rPr>
            </w:pPr>
            <w:r>
              <w:rPr>
                <w:rFonts w:hint="eastAsia" w:ascii="宋体" w:hAnsi="宋体" w:cs="宋体"/>
                <w:color w:val="000000"/>
                <w:kern w:val="0"/>
                <w:sz w:val="18"/>
                <w:szCs w:val="18"/>
              </w:rPr>
              <w:t>通过年度部门决算与年初部门预算对比，对部门的年度支出情况进行考核，衡量部门预算的约束力。</w:t>
            </w:r>
          </w:p>
        </w:tc>
        <w:tc>
          <w:tcPr>
            <w:tcW w:w="1405" w:type="pct"/>
            <w:tcBorders>
              <w:top w:val="nil"/>
              <w:left w:val="nil"/>
              <w:bottom w:val="single" w:color="auto" w:sz="4" w:space="0"/>
              <w:right w:val="single" w:color="auto" w:sz="4" w:space="0"/>
            </w:tcBorders>
            <w:vAlign w:val="center"/>
          </w:tcPr>
          <w:p>
            <w:pPr>
              <w:widowControl/>
              <w:autoSpaceDN w:val="0"/>
              <w:jc w:val="left"/>
              <w:rPr>
                <w:rFonts w:ascii="宋体" w:hAnsi="宋体" w:cs="宋体"/>
                <w:color w:val="000000"/>
                <w:kern w:val="0"/>
                <w:sz w:val="18"/>
                <w:szCs w:val="18"/>
              </w:rPr>
            </w:pPr>
            <w:r>
              <w:rPr>
                <w:rFonts w:hint="eastAsia" w:ascii="宋体" w:hAnsi="宋体" w:cs="宋体"/>
                <w:color w:val="000000"/>
                <w:kern w:val="0"/>
                <w:sz w:val="18"/>
                <w:szCs w:val="18"/>
              </w:rPr>
              <w:t>部门预决算差异率高于市级平均差异率（28.3%）的，每高出10%（含），扣0.4分，扣完为止。</w:t>
            </w:r>
          </w:p>
        </w:tc>
      </w:tr>
      <w:tr>
        <w:tblPrEx>
          <w:tblCellMar>
            <w:top w:w="0" w:type="dxa"/>
            <w:left w:w="108" w:type="dxa"/>
            <w:bottom w:w="0" w:type="dxa"/>
            <w:right w:w="108" w:type="dxa"/>
          </w:tblCellMar>
        </w:tblPrEx>
        <w:trPr>
          <w:trHeight w:val="404" w:hRule="atLeast"/>
        </w:trPr>
        <w:tc>
          <w:tcPr>
            <w:tcW w:w="2075" w:type="pct"/>
            <w:gridSpan w:val="5"/>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s="宋体"/>
                <w:color w:val="000000"/>
                <w:kern w:val="0"/>
                <w:sz w:val="20"/>
                <w:szCs w:val="20"/>
              </w:rPr>
            </w:pPr>
            <w:r>
              <w:rPr>
                <w:rFonts w:hint="eastAsia" w:ascii="宋体" w:hAnsi="宋体" w:cs="宋体"/>
                <w:color w:val="000000"/>
                <w:kern w:val="0"/>
                <w:sz w:val="20"/>
                <w:szCs w:val="20"/>
              </w:rPr>
              <w:t>合计</w:t>
            </w:r>
          </w:p>
        </w:tc>
        <w:tc>
          <w:tcPr>
            <w:tcW w:w="217" w:type="pct"/>
            <w:tcBorders>
              <w:top w:val="nil"/>
              <w:left w:val="nil"/>
              <w:bottom w:val="single" w:color="auto" w:sz="4" w:space="0"/>
              <w:right w:val="single" w:color="auto" w:sz="4" w:space="0"/>
            </w:tcBorders>
            <w:vAlign w:val="center"/>
          </w:tcPr>
          <w:p>
            <w:pPr>
              <w:widowControl/>
              <w:autoSpaceDN w:val="0"/>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217" w:type="pct"/>
            <w:tcBorders>
              <w:top w:val="nil"/>
              <w:left w:val="nil"/>
              <w:bottom w:val="single" w:color="auto" w:sz="4" w:space="0"/>
              <w:right w:val="nil"/>
            </w:tcBorders>
            <w:vAlign w:val="center"/>
          </w:tcPr>
          <w:p>
            <w:pPr>
              <w:widowControl/>
              <w:autoSpaceDN w:val="0"/>
              <w:jc w:val="center"/>
              <w:rPr>
                <w:rFonts w:ascii="宋体" w:hAnsi="宋体" w:cs="宋体"/>
                <w:color w:val="000000"/>
                <w:kern w:val="0"/>
                <w:sz w:val="20"/>
                <w:szCs w:val="20"/>
              </w:rPr>
            </w:pPr>
            <w:r>
              <w:rPr>
                <w:rFonts w:hint="eastAsia" w:ascii="宋体" w:hAnsi="宋体" w:cs="宋体"/>
                <w:color w:val="000000"/>
                <w:kern w:val="0"/>
                <w:sz w:val="20"/>
                <w:szCs w:val="20"/>
              </w:rPr>
              <w:t>91　</w:t>
            </w:r>
          </w:p>
        </w:tc>
        <w:tc>
          <w:tcPr>
            <w:tcW w:w="2490" w:type="pct"/>
            <w:gridSpan w:val="2"/>
            <w:tcBorders>
              <w:top w:val="single" w:color="auto" w:sz="4" w:space="0"/>
              <w:left w:val="single" w:color="auto" w:sz="4" w:space="0"/>
              <w:bottom w:val="single" w:color="auto" w:sz="4" w:space="0"/>
              <w:right w:val="single" w:color="000000" w:sz="4" w:space="0"/>
            </w:tcBorders>
            <w:vAlign w:val="center"/>
          </w:tcPr>
          <w:p>
            <w:pPr>
              <w:widowControl/>
              <w:autoSpaceDN w:val="0"/>
              <w:jc w:val="center"/>
              <w:rPr>
                <w:rFonts w:ascii="宋体" w:hAnsi="宋体" w:cs="宋体"/>
                <w:color w:val="000000"/>
                <w:kern w:val="0"/>
                <w:sz w:val="18"/>
                <w:szCs w:val="18"/>
              </w:rPr>
            </w:pPr>
            <w:r>
              <w:rPr>
                <w:rFonts w:hint="eastAsia" w:ascii="宋体" w:hAnsi="宋体" w:cs="宋体"/>
                <w:color w:val="000000"/>
                <w:kern w:val="0"/>
                <w:sz w:val="18"/>
                <w:szCs w:val="18"/>
              </w:rPr>
              <w:t>　</w:t>
            </w:r>
          </w:p>
        </w:tc>
      </w:tr>
    </w:tbl>
    <w:p>
      <w:pPr>
        <w:autoSpaceDN w:val="0"/>
        <w:spacing w:line="20" w:lineRule="exact"/>
        <w:ind w:left="-21" w:leftChars="-10" w:right="42" w:rightChars="20"/>
      </w:pPr>
    </w:p>
    <w:sectPr>
      <w:pgSz w:w="16838" w:h="11906" w:orient="landscape"/>
      <w:pgMar w:top="1800" w:right="1440" w:bottom="1800" w:left="144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16 -</w:t>
                          </w:r>
                          <w:r>
                            <w:rPr>
                              <w:rFonts w:ascii="宋体" w:hAnsi="宋体"/>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4"/>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16 -</w:t>
                    </w:r>
                    <w:r>
                      <w:rPr>
                        <w:rFonts w:ascii="宋体" w:hAnsi="宋体"/>
                        <w:sz w:val="28"/>
                        <w:szCs w:val="28"/>
                      </w:rPr>
                      <w:fldChar w:fldCharType="end"/>
                    </w:r>
                  </w:p>
                </w:txbxContent>
              </v:textbox>
            </v:shape>
          </w:pict>
        </mc:Fallback>
      </mc:AlternateContent>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AF701B8"/>
    <w:multiLevelType w:val="singleLevel"/>
    <w:tmpl w:val="FAF701B8"/>
    <w:lvl w:ilvl="0" w:tentative="0">
      <w:start w:val="2"/>
      <w:numFmt w:val="chineseCounting"/>
      <w:suff w:val="nothing"/>
      <w:lvlText w:val="（%1）"/>
      <w:lvlJc w:val="left"/>
      <w:rPr>
        <w:rFonts w:hint="eastAsia"/>
      </w:rPr>
    </w:lvl>
  </w:abstractNum>
  <w:abstractNum w:abstractNumId="1">
    <w:nsid w:val="1D1EAB7A"/>
    <w:multiLevelType w:val="singleLevel"/>
    <w:tmpl w:val="1D1EAB7A"/>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A5NzhkMjI1ZTlmYzFlNTg5ZWNmMzBmYmU4MDA4OTgifQ=="/>
  </w:docVars>
  <w:rsids>
    <w:rsidRoot w:val="00A4469E"/>
    <w:rsid w:val="00002108"/>
    <w:rsid w:val="00082635"/>
    <w:rsid w:val="000A3F7D"/>
    <w:rsid w:val="00143A49"/>
    <w:rsid w:val="00184F1B"/>
    <w:rsid w:val="001A024D"/>
    <w:rsid w:val="001A3AB3"/>
    <w:rsid w:val="0022100C"/>
    <w:rsid w:val="002D7BEF"/>
    <w:rsid w:val="002F6B47"/>
    <w:rsid w:val="00386F35"/>
    <w:rsid w:val="003C09F3"/>
    <w:rsid w:val="00540E24"/>
    <w:rsid w:val="00553570"/>
    <w:rsid w:val="005A7B49"/>
    <w:rsid w:val="005E2F2D"/>
    <w:rsid w:val="0060466C"/>
    <w:rsid w:val="00642421"/>
    <w:rsid w:val="00644766"/>
    <w:rsid w:val="006D5F83"/>
    <w:rsid w:val="00751C89"/>
    <w:rsid w:val="0077054A"/>
    <w:rsid w:val="00792D1F"/>
    <w:rsid w:val="007B667A"/>
    <w:rsid w:val="007F128C"/>
    <w:rsid w:val="008170B9"/>
    <w:rsid w:val="008625D4"/>
    <w:rsid w:val="0086441E"/>
    <w:rsid w:val="008761CC"/>
    <w:rsid w:val="008B49D8"/>
    <w:rsid w:val="00905CD1"/>
    <w:rsid w:val="00982580"/>
    <w:rsid w:val="00995B82"/>
    <w:rsid w:val="00A34507"/>
    <w:rsid w:val="00A4469E"/>
    <w:rsid w:val="00AA11F1"/>
    <w:rsid w:val="00AA4103"/>
    <w:rsid w:val="00AC312E"/>
    <w:rsid w:val="00AE7195"/>
    <w:rsid w:val="00B729C9"/>
    <w:rsid w:val="00B82120"/>
    <w:rsid w:val="00CB0698"/>
    <w:rsid w:val="00CB3536"/>
    <w:rsid w:val="00CB7FE6"/>
    <w:rsid w:val="00CD5923"/>
    <w:rsid w:val="00E22891"/>
    <w:rsid w:val="00E57A95"/>
    <w:rsid w:val="00EB1BD1"/>
    <w:rsid w:val="00F26758"/>
    <w:rsid w:val="08E36902"/>
    <w:rsid w:val="0B122169"/>
    <w:rsid w:val="0BF3436E"/>
    <w:rsid w:val="12791770"/>
    <w:rsid w:val="135A6C5B"/>
    <w:rsid w:val="191F41A5"/>
    <w:rsid w:val="196E1469"/>
    <w:rsid w:val="1D9C70F7"/>
    <w:rsid w:val="22D861F3"/>
    <w:rsid w:val="23E5718F"/>
    <w:rsid w:val="27454253"/>
    <w:rsid w:val="27BB1C73"/>
    <w:rsid w:val="35EB1CA2"/>
    <w:rsid w:val="37852C3D"/>
    <w:rsid w:val="4080170F"/>
    <w:rsid w:val="44332C7D"/>
    <w:rsid w:val="493251EE"/>
    <w:rsid w:val="4A594A35"/>
    <w:rsid w:val="4BE1745A"/>
    <w:rsid w:val="54B60678"/>
    <w:rsid w:val="5A6F5562"/>
    <w:rsid w:val="5C1404C1"/>
    <w:rsid w:val="5F8510A7"/>
    <w:rsid w:val="60816143"/>
    <w:rsid w:val="686C0F86"/>
    <w:rsid w:val="68B04D43"/>
    <w:rsid w:val="7E520716"/>
    <w:rsid w:val="E3CC1CA2"/>
    <w:rsid w:val="E67FB017"/>
    <w:rsid w:val="F9D9C6E4"/>
    <w:rsid w:val="FFFE3C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200" w:firstLineChars="200"/>
    </w:pPr>
  </w:style>
  <w:style w:type="paragraph" w:styleId="3">
    <w:name w:val="Date"/>
    <w:basedOn w:val="1"/>
    <w:next w:val="1"/>
    <w:link w:val="8"/>
    <w:qFormat/>
    <w:uiPriority w:val="0"/>
    <w:pPr>
      <w:ind w:left="100" w:leftChars="2500"/>
    </w:pPr>
  </w:style>
  <w:style w:type="paragraph" w:styleId="4">
    <w:name w:val="footer"/>
    <w:basedOn w:val="1"/>
    <w:qFormat/>
    <w:uiPriority w:val="99"/>
    <w:pPr>
      <w:tabs>
        <w:tab w:val="center" w:pos="4153"/>
        <w:tab w:val="right" w:pos="8306"/>
      </w:tabs>
      <w:snapToGrid w:val="0"/>
      <w:jc w:val="left"/>
    </w:pPr>
    <w:rPr>
      <w:sz w:val="18"/>
      <w:szCs w:val="20"/>
    </w:rPr>
  </w:style>
  <w:style w:type="paragraph" w:styleId="5">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日期 Char"/>
    <w:basedOn w:val="7"/>
    <w:link w:val="3"/>
    <w:qFormat/>
    <w:uiPriority w:val="0"/>
    <w:rPr>
      <w:rFonts w:ascii="Times New Roman" w:hAnsi="Times New Roman" w:eastAsia="宋体" w:cs="Times New Roman"/>
      <w:kern w:val="2"/>
      <w:sz w:val="21"/>
      <w:szCs w:val="24"/>
    </w:rPr>
  </w:style>
  <w:style w:type="character" w:customStyle="1" w:styleId="9">
    <w:name w:val="页眉 Char"/>
    <w:basedOn w:val="7"/>
    <w:link w:val="5"/>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15</Pages>
  <Words>7071</Words>
  <Characters>7600</Characters>
  <Lines>59</Lines>
  <Paragraphs>16</Paragraphs>
  <TotalTime>11</TotalTime>
  <ScaleCrop>false</ScaleCrop>
  <LinksUpToDate>false</LinksUpToDate>
  <CharactersWithSpaces>7664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2022-05-10T15:32:00Z</dcterms:created>
  <dc:creator>ASUS</dc:creator>
  <cp:lastModifiedBy>李晶</cp:lastModifiedBy>
  <dcterms:modified xsi:type="dcterms:W3CDTF">2023-06-07T01:29:33Z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DF4335E4027444F392E5A16F15EE81C6</vt:lpwstr>
  </property>
</Properties>
</file>