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auto"/>
          <w:sz w:val="52"/>
          <w:szCs w:val="52"/>
        </w:rPr>
      </w:pPr>
    </w:p>
    <w:p>
      <w:pPr>
        <w:jc w:val="center"/>
        <w:rPr>
          <w:b/>
          <w:bCs/>
          <w:color w:val="auto"/>
          <w:sz w:val="52"/>
          <w:szCs w:val="52"/>
        </w:rPr>
      </w:pPr>
    </w:p>
    <w:p>
      <w:pPr>
        <w:jc w:val="center"/>
        <w:rPr>
          <w:b/>
          <w:bCs/>
          <w:color w:val="auto"/>
          <w:sz w:val="52"/>
          <w:szCs w:val="52"/>
        </w:rPr>
      </w:pPr>
      <w:r>
        <w:rPr>
          <w:rFonts w:hint="eastAsia"/>
          <w:b/>
          <w:bCs/>
          <w:color w:val="auto"/>
          <w:sz w:val="52"/>
          <w:szCs w:val="52"/>
        </w:rPr>
        <w:t>北京市市级财政支出项目</w:t>
      </w:r>
    </w:p>
    <w:p>
      <w:pPr>
        <w:jc w:val="center"/>
        <w:rPr>
          <w:b/>
          <w:bCs/>
          <w:color w:val="auto"/>
          <w:sz w:val="52"/>
          <w:szCs w:val="52"/>
        </w:rPr>
      </w:pPr>
      <w:r>
        <w:rPr>
          <w:rFonts w:hint="eastAsia"/>
          <w:b/>
          <w:bCs/>
          <w:color w:val="auto"/>
          <w:sz w:val="52"/>
          <w:szCs w:val="52"/>
        </w:rPr>
        <w:t>绩效评价报告</w:t>
      </w:r>
    </w:p>
    <w:p>
      <w:pPr>
        <w:jc w:val="center"/>
        <w:rPr>
          <w:b/>
          <w:bCs/>
          <w:color w:val="auto"/>
          <w:sz w:val="52"/>
        </w:rPr>
      </w:pPr>
    </w:p>
    <w:p>
      <w:pPr>
        <w:rPr>
          <w:rFonts w:eastAsia="黑体"/>
          <w:color w:val="auto"/>
          <w:sz w:val="30"/>
        </w:rPr>
      </w:pPr>
    </w:p>
    <w:p>
      <w:pPr>
        <w:pStyle w:val="2"/>
        <w:rPr>
          <w:color w:val="auto"/>
        </w:rPr>
      </w:pPr>
    </w:p>
    <w:p>
      <w:pPr>
        <w:rPr>
          <w:rFonts w:eastAsia="黑体"/>
          <w:color w:val="auto"/>
          <w:sz w:val="30"/>
        </w:rPr>
      </w:pPr>
    </w:p>
    <w:p>
      <w:pPr>
        <w:pStyle w:val="2"/>
        <w:rPr>
          <w:color w:val="auto"/>
        </w:rPr>
      </w:pPr>
    </w:p>
    <w:p>
      <w:pPr>
        <w:pStyle w:val="2"/>
        <w:rPr>
          <w:color w:val="auto"/>
        </w:rPr>
      </w:pPr>
    </w:p>
    <w:p>
      <w:pPr>
        <w:spacing w:line="800" w:lineRule="exact"/>
        <w:rPr>
          <w:rFonts w:ascii="宋体" w:hAnsi="宋体"/>
          <w:color w:val="auto"/>
          <w:sz w:val="32"/>
          <w:szCs w:val="32"/>
          <w:u w:val="single"/>
        </w:rPr>
      </w:pPr>
      <w:r>
        <w:rPr>
          <w:color w:val="auto"/>
          <w:sz w:val="32"/>
        </w:rPr>
        <mc:AlternateContent>
          <mc:Choice Requires="wps">
            <w:drawing>
              <wp:anchor distT="0" distB="0" distL="114300" distR="114300" simplePos="0" relativeHeight="251660288" behindDoc="0" locked="0" layoutInCell="1" allowOverlap="1">
                <wp:simplePos x="0" y="0"/>
                <wp:positionH relativeFrom="column">
                  <wp:posOffset>1535430</wp:posOffset>
                </wp:positionH>
                <wp:positionV relativeFrom="paragraph">
                  <wp:posOffset>290830</wp:posOffset>
                </wp:positionV>
                <wp:extent cx="2628900"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2628900" cy="635"/>
                        </a:xfrm>
                        <a:prstGeom prst="line">
                          <a:avLst/>
                        </a:prstGeom>
                        <a:ln w="15875">
                          <a:noFill/>
                        </a:ln>
                        <a:effectLst/>
                      </wps:spPr>
                      <wps:bodyPr upright="1"/>
                    </wps:wsp>
                  </a:graphicData>
                </a:graphic>
              </wp:anchor>
            </w:drawing>
          </mc:Choice>
          <mc:Fallback>
            <w:pict>
              <v:line id="_x0000_s1026" o:spid="_x0000_s1026" o:spt="20" style="position:absolute;left:0pt;margin-left:120.9pt;margin-top:22.9pt;height:0.05pt;width:207pt;z-index:251660288;mso-width-relative:page;mso-height-relative:page;" filled="f" stroked="f" coordsize="21600,21600" o:gfxdata="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d&#10;Zpka2AAAAAkBAAAPAAAAAAAAAAEAIAAAACIAAABkcnMvZG93bnJldi54bWxQSwECFAAUAAAACACH&#10;TuJARVAyGbIBAABJAwAADgAAAAAAAAABACAAAAAnAQAAZHJzL2Uyb0RvYy54bWxQSwUGAAAAAAYA&#10;BgBZAQAASwUAAAAA&#10;">
                <v:fill on="f" focussize="0,0"/>
                <v:stroke on="f" weight="1.25pt"/>
                <v:imagedata o:title=""/>
                <o:lock v:ext="edit" aspectratio="f"/>
              </v:line>
            </w:pict>
          </mc:Fallback>
        </mc:AlternateContent>
      </w:r>
      <w:r>
        <w:rPr>
          <w:rFonts w:hint="eastAsia" w:ascii="宋体" w:hAnsi="宋体"/>
          <w:color w:val="auto"/>
          <w:sz w:val="32"/>
        </w:rPr>
        <w:t xml:space="preserve">主管部门  </w:t>
      </w:r>
      <w:r>
        <w:rPr>
          <w:rFonts w:hint="eastAsia" w:ascii="宋体" w:hAnsi="宋体"/>
          <w:color w:val="auto"/>
          <w:sz w:val="32"/>
          <w:szCs w:val="32"/>
          <w:u w:val="single"/>
        </w:rPr>
        <w:t>北京市科学技术委员会、中关村科技园区</w:t>
      </w:r>
    </w:p>
    <w:p>
      <w:pPr>
        <w:spacing w:line="800" w:lineRule="exact"/>
        <w:ind w:firstLine="1600" w:firstLineChars="500"/>
        <w:rPr>
          <w:rFonts w:ascii="宋体" w:hAnsi="宋体"/>
          <w:color w:val="auto"/>
          <w:sz w:val="32"/>
          <w:u w:val="single"/>
        </w:rPr>
      </w:pPr>
      <w:r>
        <w:rPr>
          <w:rFonts w:hint="eastAsia" w:ascii="宋体" w:hAnsi="宋体"/>
          <w:color w:val="auto"/>
          <w:sz w:val="32"/>
          <w:szCs w:val="32"/>
          <w:u w:val="single"/>
        </w:rPr>
        <w:t xml:space="preserve">管理委员会                          </w:t>
      </w:r>
    </w:p>
    <w:p>
      <w:pPr>
        <w:spacing w:line="800" w:lineRule="exact"/>
        <w:rPr>
          <w:rFonts w:ascii="宋体" w:hAnsi="宋体"/>
          <w:color w:val="auto"/>
          <w:sz w:val="32"/>
          <w:szCs w:val="32"/>
          <w:u w:val="single"/>
        </w:rPr>
      </w:pPr>
      <w:r>
        <w:rPr>
          <w:color w:val="auto"/>
          <w:sz w:val="32"/>
        </w:rPr>
        <mc:AlternateContent>
          <mc:Choice Requires="wps">
            <w:drawing>
              <wp:anchor distT="0" distB="0" distL="114300" distR="114300" simplePos="0" relativeHeight="251661312" behindDoc="0" locked="0" layoutInCell="1" allowOverlap="1">
                <wp:simplePos x="0" y="0"/>
                <wp:positionH relativeFrom="column">
                  <wp:posOffset>1535430</wp:posOffset>
                </wp:positionH>
                <wp:positionV relativeFrom="paragraph">
                  <wp:posOffset>304165</wp:posOffset>
                </wp:positionV>
                <wp:extent cx="2628900" cy="635"/>
                <wp:effectExtent l="0" t="0" r="0" b="0"/>
                <wp:wrapNone/>
                <wp:docPr id="9" name="直接连接符 9"/>
                <wp:cNvGraphicFramePr/>
                <a:graphic xmlns:a="http://schemas.openxmlformats.org/drawingml/2006/main">
                  <a:graphicData uri="http://schemas.microsoft.com/office/word/2010/wordprocessingShape">
                    <wps:wsp>
                      <wps:cNvCnPr/>
                      <wps:spPr>
                        <a:xfrm>
                          <a:off x="0" y="0"/>
                          <a:ext cx="2628900" cy="635"/>
                        </a:xfrm>
                        <a:prstGeom prst="line">
                          <a:avLst/>
                        </a:prstGeom>
                        <a:ln w="15875">
                          <a:noFill/>
                        </a:ln>
                        <a:effectLst/>
                      </wps:spPr>
                      <wps:bodyPr upright="1"/>
                    </wps:wsp>
                  </a:graphicData>
                </a:graphic>
              </wp:anchor>
            </w:drawing>
          </mc:Choice>
          <mc:Fallback>
            <w:pict>
              <v:line id="_x0000_s1026" o:spid="_x0000_s1026" o:spt="20" style="position:absolute;left:0pt;margin-left:120.9pt;margin-top:23.95pt;height:0.05pt;width:207pt;z-index:251661312;mso-width-relative:page;mso-height-relative:page;" filled="f" stroked="f" coordsize="21600,21600" o:gfxdata="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cBaj3ZAAAACQEAAA8AAAAAAAAAAQAgAAAAIgAAAGRycy9kb3ducmV2LnhtbFBLAQIUABQAAAAI&#10;AIdO4kAXjCzpswEAAEkDAAAOAAAAAAAAAAEAIAAAACgBAABkcnMvZTJvRG9jLnhtbFBLBQYAAAAA&#10;BgAGAFkBAABNBQAAAAA=&#10;">
                <v:fill on="f" focussize="0,0"/>
                <v:stroke on="f" weight="1.25pt"/>
                <v:imagedata o:title=""/>
                <o:lock v:ext="edit" aspectratio="f"/>
              </v:line>
            </w:pict>
          </mc:Fallback>
        </mc:AlternateContent>
      </w:r>
      <w:r>
        <w:rPr>
          <w:rFonts w:hint="eastAsia" w:ascii="宋体" w:hAnsi="宋体"/>
          <w:color w:val="auto"/>
          <w:sz w:val="32"/>
        </w:rPr>
        <w:t xml:space="preserve">项目单位  </w:t>
      </w:r>
      <w:r>
        <w:rPr>
          <w:rFonts w:hint="eastAsia" w:ascii="宋体" w:hAnsi="宋体"/>
          <w:color w:val="auto"/>
          <w:sz w:val="32"/>
          <w:szCs w:val="32"/>
          <w:u w:val="single"/>
        </w:rPr>
        <w:t>北京市科学技术委员会、中关村科技园区</w:t>
      </w:r>
    </w:p>
    <w:p>
      <w:pPr>
        <w:spacing w:line="800" w:lineRule="exact"/>
        <w:ind w:firstLine="1600" w:firstLineChars="500"/>
        <w:rPr>
          <w:rFonts w:hint="default" w:ascii="宋体" w:hAnsi="宋体" w:eastAsia="宋体"/>
          <w:color w:val="auto"/>
          <w:sz w:val="32"/>
          <w:u w:val="single"/>
          <w:lang w:val="en-US" w:eastAsia="zh-CN"/>
        </w:rPr>
      </w:pPr>
      <w:r>
        <w:rPr>
          <w:rFonts w:hint="eastAsia" w:ascii="宋体" w:hAnsi="宋体"/>
          <w:color w:val="auto"/>
          <w:sz w:val="32"/>
          <w:szCs w:val="32"/>
          <w:u w:val="single"/>
        </w:rPr>
        <w:t>管理委员会</w:t>
      </w:r>
      <w:r>
        <w:rPr>
          <w:rFonts w:hint="eastAsia" w:ascii="宋体" w:hAnsi="宋体"/>
          <w:color w:val="auto"/>
          <w:sz w:val="32"/>
          <w:u w:val="single"/>
        </w:rPr>
        <w:t xml:space="preserve">      </w:t>
      </w:r>
      <w:r>
        <w:rPr>
          <w:rFonts w:hint="eastAsia" w:ascii="宋体" w:hAnsi="宋体"/>
          <w:color w:val="auto"/>
          <w:sz w:val="32"/>
          <w:u w:val="single"/>
          <w:lang w:val="en-US" w:eastAsia="zh-CN"/>
        </w:rPr>
        <w:t xml:space="preserve">                     </w:t>
      </w:r>
    </w:p>
    <w:p>
      <w:pPr>
        <w:spacing w:line="800" w:lineRule="exact"/>
        <w:rPr>
          <w:rFonts w:ascii="宋体" w:hAnsi="宋体"/>
          <w:color w:val="auto"/>
          <w:sz w:val="32"/>
          <w:u w:val="single"/>
        </w:rPr>
      </w:pPr>
      <w:r>
        <w:rPr>
          <w:color w:val="auto"/>
          <w:sz w:val="32"/>
        </w:rPr>
        <mc:AlternateContent>
          <mc:Choice Requires="wps">
            <w:drawing>
              <wp:anchor distT="0" distB="0" distL="114300" distR="114300" simplePos="0" relativeHeight="251661312" behindDoc="0" locked="0" layoutInCell="1" allowOverlap="1">
                <wp:simplePos x="0" y="0"/>
                <wp:positionH relativeFrom="column">
                  <wp:posOffset>1544955</wp:posOffset>
                </wp:positionH>
                <wp:positionV relativeFrom="paragraph">
                  <wp:posOffset>288925</wp:posOffset>
                </wp:positionV>
                <wp:extent cx="2628900"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2628900" cy="635"/>
                        </a:xfrm>
                        <a:prstGeom prst="line">
                          <a:avLst/>
                        </a:prstGeom>
                        <a:ln w="15875">
                          <a:noFill/>
                        </a:ln>
                        <a:effectLst/>
                      </wps:spPr>
                      <wps:bodyPr upright="1"/>
                    </wps:wsp>
                  </a:graphicData>
                </a:graphic>
              </wp:anchor>
            </w:drawing>
          </mc:Choice>
          <mc:Fallback>
            <w:pict>
              <v:line id="_x0000_s1026" o:spid="_x0000_s1026" o:spt="20" style="position:absolute;left:0pt;margin-left:121.65pt;margin-top:22.75pt;height:0.05pt;width:207pt;z-index:251661312;mso-width-relative:page;mso-height-relative:page;" filled="f" stroked="f" coordsize="21600,21600" o:gfxdata="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F+6e2gAAAAkBAAAPAAAAAAAAAAEAIAAAACIAAABkcnMvZG93bnJldi54bWxQSwECFAAUAAAA&#10;CACHTuJAby9Tv7MBAABJAwAADgAAAAAAAAABACAAAAApAQAAZHJzL2Uyb0RvYy54bWxQSwUGAAAA&#10;AAYABgBZAQAATgUAAAAA&#10;">
                <v:fill on="f" focussize="0,0"/>
                <v:stroke on="f" weight="1.25pt"/>
                <v:imagedata o:title=""/>
                <o:lock v:ext="edit" aspectratio="f"/>
              </v:line>
            </w:pict>
          </mc:Fallback>
        </mc:AlternateContent>
      </w:r>
      <w:r>
        <w:rPr>
          <w:rFonts w:hint="eastAsia" w:ascii="宋体" w:hAnsi="宋体"/>
          <w:color w:val="auto"/>
          <w:sz w:val="32"/>
        </w:rPr>
        <w:t>项目名称</w:t>
      </w:r>
      <w:r>
        <w:rPr>
          <w:rFonts w:hint="eastAsia" w:ascii="宋体" w:hAnsi="宋体"/>
          <w:color w:val="auto"/>
          <w:sz w:val="32"/>
          <w:lang w:val="en-US" w:eastAsia="zh-CN"/>
        </w:rPr>
        <w:t xml:space="preserve">  </w:t>
      </w:r>
      <w:r>
        <w:rPr>
          <w:rFonts w:hint="eastAsia" w:ascii="宋体" w:hAnsi="宋体"/>
          <w:color w:val="auto"/>
          <w:sz w:val="32"/>
          <w:u w:val="single"/>
          <w:lang w:val="en-US" w:eastAsia="zh-CN"/>
        </w:rPr>
        <w:t>科技信贷支持项目</w:t>
      </w:r>
      <w:r>
        <w:rPr>
          <w:rFonts w:hint="eastAsia" w:ascii="宋体" w:hAnsi="宋体"/>
          <w:color w:val="auto"/>
          <w:sz w:val="32"/>
          <w:u w:val="single"/>
        </w:rPr>
        <w:t xml:space="preserve">     </w:t>
      </w:r>
      <w:r>
        <w:rPr>
          <w:rFonts w:hint="eastAsia" w:ascii="宋体" w:hAnsi="宋体"/>
          <w:color w:val="auto"/>
          <w:sz w:val="32"/>
          <w:u w:val="single"/>
          <w:lang w:val="en-US" w:eastAsia="zh-CN"/>
        </w:rPr>
        <w:t xml:space="preserve">               </w:t>
      </w:r>
      <w:r>
        <w:rPr>
          <w:rFonts w:hint="eastAsia" w:ascii="宋体" w:hAnsi="宋体"/>
          <w:color w:val="auto"/>
          <w:sz w:val="32"/>
          <w:u w:val="single"/>
        </w:rPr>
        <w:t xml:space="preserve"> </w:t>
      </w:r>
    </w:p>
    <w:p>
      <w:pPr>
        <w:spacing w:line="340" w:lineRule="exact"/>
        <w:jc w:val="left"/>
        <w:rPr>
          <w:rFonts w:ascii="宋体" w:hAnsi="宋体"/>
          <w:color w:val="auto"/>
          <w:sz w:val="32"/>
        </w:rPr>
      </w:pPr>
      <w:r>
        <w:rPr>
          <w:rFonts w:hint="eastAsia" w:ascii="宋体" w:hAnsi="宋体"/>
          <w:color w:val="auto"/>
          <w:sz w:val="32"/>
        </w:rPr>
        <w:t>参与评价</w:t>
      </w:r>
    </w:p>
    <w:p>
      <w:pPr>
        <w:spacing w:line="340" w:lineRule="exact"/>
        <w:jc w:val="left"/>
        <w:rPr>
          <w:rFonts w:hint="eastAsia" w:ascii="宋体" w:hAnsi="宋体" w:eastAsia="宋体"/>
          <w:color w:val="auto"/>
          <w:sz w:val="32"/>
          <w:u w:val="single"/>
          <w:lang w:val="en-US" w:eastAsia="zh-CN"/>
        </w:rPr>
      </w:pPr>
      <w:r>
        <w:rPr>
          <w:rFonts w:hint="eastAsia" w:ascii="宋体" w:hAnsi="宋体"/>
          <w:color w:val="auto"/>
          <w:sz w:val="32"/>
        </w:rPr>
        <w:t xml:space="preserve">中介机构  </w:t>
      </w:r>
      <w:r>
        <w:rPr>
          <w:rFonts w:hint="eastAsia" w:ascii="宋体" w:hAnsi="宋体"/>
          <w:color w:val="auto"/>
          <w:sz w:val="32"/>
          <w:u w:val="single"/>
        </w:rPr>
        <w:t xml:space="preserve">北京源隆会计师事务所有限责任公司    </w:t>
      </w:r>
      <w:r>
        <w:rPr>
          <w:rFonts w:hint="eastAsia" w:ascii="宋体" w:hAnsi="宋体"/>
          <w:color w:val="auto"/>
          <w:sz w:val="32"/>
          <w:u w:val="single"/>
          <w:lang w:val="en-US" w:eastAsia="zh-CN"/>
        </w:rPr>
        <w:t xml:space="preserve"> </w:t>
      </w:r>
    </w:p>
    <w:p>
      <w:pPr>
        <w:pStyle w:val="2"/>
        <w:rPr>
          <w:rFonts w:eastAsia="黑体"/>
          <w:color w:val="auto"/>
          <w:sz w:val="30"/>
        </w:rPr>
      </w:pPr>
    </w:p>
    <w:p>
      <w:pPr>
        <w:pStyle w:val="2"/>
        <w:rPr>
          <w:color w:val="auto"/>
        </w:rPr>
      </w:pPr>
    </w:p>
    <w:p>
      <w:pPr>
        <w:jc w:val="center"/>
        <w:rPr>
          <w:rFonts w:hint="default" w:eastAsia="黑体"/>
          <w:color w:val="auto"/>
          <w:sz w:val="30"/>
          <w:lang w:val="en-US" w:eastAsia="zh-CN"/>
        </w:rPr>
      </w:pPr>
    </w:p>
    <w:p>
      <w:pPr>
        <w:jc w:val="center"/>
        <w:rPr>
          <w:rFonts w:ascii="宋体" w:hAnsi="宋体" w:cs="宋体"/>
          <w:b/>
          <w:bCs/>
          <w:color w:val="auto"/>
          <w:sz w:val="32"/>
          <w:szCs w:val="32"/>
        </w:rPr>
      </w:pPr>
      <w:r>
        <w:rPr>
          <w:rFonts w:hint="eastAsia" w:ascii="宋体" w:hAnsi="宋体" w:cs="宋体"/>
          <w:b/>
          <w:bCs/>
          <w:color w:val="auto"/>
          <w:sz w:val="32"/>
          <w:szCs w:val="32"/>
        </w:rPr>
        <w:t>北京市科学技术委员会、中关村科技园区管理委员会</w:t>
      </w:r>
    </w:p>
    <w:p>
      <w:pPr>
        <w:jc w:val="center"/>
        <w:rPr>
          <w:rFonts w:ascii="宋体" w:hAnsi="宋体" w:cs="宋体"/>
          <w:b/>
          <w:bCs/>
          <w:color w:val="auto"/>
          <w:sz w:val="32"/>
          <w:szCs w:val="32"/>
        </w:rPr>
        <w:sectPr>
          <w:headerReference r:id="rId3" w:type="default"/>
          <w:pgSz w:w="11906" w:h="16838"/>
          <w:pgMar w:top="1440" w:right="1797" w:bottom="1440" w:left="1797" w:header="851" w:footer="992" w:gutter="0"/>
          <w:pgNumType w:start="1"/>
          <w:cols w:space="720" w:num="1"/>
          <w:docGrid w:type="lines" w:linePitch="312" w:charSpace="0"/>
        </w:sectPr>
      </w:pPr>
      <w:r>
        <w:rPr>
          <w:rFonts w:hint="eastAsia" w:ascii="宋体" w:hAnsi="宋体" w:cs="宋体"/>
          <w:b/>
          <w:bCs/>
          <w:color w:val="auto"/>
          <w:sz w:val="32"/>
          <w:szCs w:val="32"/>
        </w:rPr>
        <w:t>二〇二</w:t>
      </w:r>
      <w:r>
        <w:rPr>
          <w:rFonts w:hint="eastAsia" w:ascii="宋体" w:hAnsi="宋体" w:cs="宋体"/>
          <w:b/>
          <w:bCs/>
          <w:color w:val="auto"/>
          <w:sz w:val="32"/>
          <w:szCs w:val="32"/>
          <w:lang w:val="en-US" w:eastAsia="zh-CN"/>
        </w:rPr>
        <w:t>三</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六</w:t>
      </w:r>
      <w:r>
        <w:rPr>
          <w:rFonts w:hint="eastAsia" w:ascii="宋体" w:hAnsi="宋体" w:cs="宋体"/>
          <w:b/>
          <w:bCs/>
          <w:color w:val="auto"/>
          <w:sz w:val="32"/>
          <w:szCs w:val="32"/>
        </w:rPr>
        <w:t>月</w:t>
      </w:r>
    </w:p>
    <w:p>
      <w:pPr>
        <w:pStyle w:val="2"/>
        <w:rPr>
          <w:color w:val="auto"/>
        </w:rPr>
      </w:pPr>
    </w:p>
    <w:p>
      <w:pPr>
        <w:tabs>
          <w:tab w:val="left" w:pos="2850"/>
        </w:tabs>
        <w:spacing w:line="360" w:lineRule="auto"/>
        <w:jc w:val="center"/>
        <w:rPr>
          <w:rFonts w:ascii="仿宋_GB2312" w:hAnsi="仿宋_GB2312" w:eastAsia="仿宋_GB2312" w:cs="仿宋_GB2312"/>
          <w:b/>
          <w:bCs/>
          <w:color w:val="auto"/>
          <w:sz w:val="36"/>
          <w:szCs w:val="36"/>
        </w:rPr>
      </w:pPr>
      <w:r>
        <w:rPr>
          <w:rFonts w:hint="eastAsia" w:ascii="仿宋_GB2312" w:hAnsi="仿宋_GB2312" w:eastAsia="仿宋_GB2312" w:cs="仿宋_GB2312"/>
          <w:b/>
          <w:bCs/>
          <w:color w:val="auto"/>
          <w:sz w:val="36"/>
          <w:szCs w:val="36"/>
          <w:lang w:val="en-US" w:eastAsia="zh-CN"/>
        </w:rPr>
        <w:t>科技信贷支持</w:t>
      </w:r>
      <w:r>
        <w:rPr>
          <w:rFonts w:hint="eastAsia" w:ascii="仿宋_GB2312" w:hAnsi="仿宋_GB2312" w:eastAsia="仿宋_GB2312" w:cs="仿宋_GB2312"/>
          <w:b/>
          <w:bCs/>
          <w:color w:val="auto"/>
          <w:sz w:val="36"/>
          <w:szCs w:val="36"/>
        </w:rPr>
        <w:t>项目绩效评价结论</w:t>
      </w:r>
    </w:p>
    <w:p>
      <w:pPr>
        <w:tabs>
          <w:tab w:val="left" w:pos="2850"/>
        </w:tabs>
        <w:spacing w:line="360" w:lineRule="auto"/>
        <w:jc w:val="center"/>
        <w:rPr>
          <w:rFonts w:ascii="仿宋_GB2312" w:hAnsi="仿宋_GB2312" w:eastAsia="仿宋_GB2312" w:cs="仿宋_GB2312"/>
          <w:bCs/>
          <w:color w:val="auto"/>
          <w:sz w:val="44"/>
          <w:szCs w:val="44"/>
        </w:rPr>
      </w:pPr>
    </w:p>
    <w:p>
      <w:pPr>
        <w:tabs>
          <w:tab w:val="left" w:pos="709"/>
        </w:tabs>
        <w:spacing w:line="360" w:lineRule="auto"/>
        <w:ind w:firstLine="640" w:firstLineChars="200"/>
        <w:jc w:val="left"/>
        <w:rPr>
          <w:rFonts w:ascii="仿宋_GB2312" w:hAnsi="仿宋_GB2312" w:eastAsia="仿宋_GB2312" w:cs="仿宋_GB2312"/>
          <w:b/>
          <w:bCs/>
          <w:color w:val="auto"/>
          <w:sz w:val="28"/>
          <w:szCs w:val="28"/>
        </w:rPr>
      </w:pPr>
      <w:r>
        <w:rPr>
          <w:rFonts w:hint="eastAsia" w:ascii="仿宋_GB2312" w:hAnsi="仿宋_GB2312" w:eastAsia="仿宋_GB2312" w:cs="仿宋_GB2312"/>
          <w:bCs/>
          <w:color w:val="auto"/>
          <w:sz w:val="32"/>
          <w:szCs w:val="32"/>
        </w:rPr>
        <w:t>“科技信贷支持项目”</w:t>
      </w:r>
      <w:r>
        <w:rPr>
          <w:rFonts w:hint="eastAsia" w:ascii="仿宋_GB2312" w:hAnsi="仿宋_GB2312" w:eastAsia="仿宋_GB2312" w:cs="仿宋_GB2312"/>
          <w:color w:val="auto"/>
          <w:sz w:val="32"/>
          <w:szCs w:val="32"/>
        </w:rPr>
        <w:t>综合</w:t>
      </w:r>
      <w:r>
        <w:rPr>
          <w:rFonts w:hint="eastAsia" w:ascii="仿宋_GB2312" w:hAnsi="仿宋_GB2312" w:eastAsia="仿宋_GB2312" w:cs="仿宋_GB2312"/>
          <w:bCs/>
          <w:color w:val="auto"/>
          <w:sz w:val="32"/>
          <w:szCs w:val="32"/>
        </w:rPr>
        <w:t>得分</w:t>
      </w:r>
      <w:r>
        <w:rPr>
          <w:rFonts w:hint="eastAsia" w:ascii="仿宋_GB2312" w:hAnsi="仿宋_GB2312" w:eastAsia="仿宋_GB2312" w:cs="仿宋_GB2312"/>
          <w:bCs/>
          <w:color w:val="auto"/>
          <w:sz w:val="32"/>
          <w:szCs w:val="32"/>
          <w:lang w:eastAsia="zh-CN"/>
        </w:rPr>
        <w:t>8</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96</w:t>
      </w:r>
      <w:r>
        <w:rPr>
          <w:rFonts w:hint="eastAsia" w:ascii="仿宋_GB2312" w:hAnsi="仿宋_GB2312" w:eastAsia="仿宋_GB2312" w:cs="仿宋_GB2312"/>
          <w:bCs/>
          <w:color w:val="auto"/>
          <w:sz w:val="32"/>
          <w:szCs w:val="32"/>
        </w:rPr>
        <w:t>分，其中，项目决策</w:t>
      </w:r>
      <w:r>
        <w:rPr>
          <w:rFonts w:hint="eastAsia" w:ascii="仿宋_GB2312" w:hAnsi="仿宋_GB2312" w:eastAsia="仿宋_GB2312" w:cs="仿宋_GB2312"/>
          <w:bCs/>
          <w:color w:val="auto"/>
          <w:sz w:val="32"/>
          <w:szCs w:val="32"/>
          <w:lang w:eastAsia="zh-CN"/>
        </w:rPr>
        <w:t>9.</w:t>
      </w:r>
      <w:r>
        <w:rPr>
          <w:rFonts w:hint="eastAsia" w:ascii="仿宋_GB2312" w:hAnsi="仿宋_GB2312" w:eastAsia="仿宋_GB2312" w:cs="仿宋_GB2312"/>
          <w:bCs/>
          <w:color w:val="auto"/>
          <w:sz w:val="32"/>
          <w:szCs w:val="32"/>
          <w:lang w:val="en-US" w:eastAsia="zh-CN"/>
        </w:rPr>
        <w:t>03</w:t>
      </w:r>
      <w:r>
        <w:rPr>
          <w:rFonts w:hint="eastAsia" w:ascii="仿宋_GB2312" w:hAnsi="仿宋_GB2312" w:eastAsia="仿宋_GB2312" w:cs="仿宋_GB2312"/>
          <w:bCs/>
          <w:color w:val="auto"/>
          <w:sz w:val="32"/>
          <w:szCs w:val="32"/>
        </w:rPr>
        <w:t>分，项目过程</w:t>
      </w:r>
      <w:r>
        <w:rPr>
          <w:rFonts w:hint="eastAsia" w:ascii="仿宋_GB2312" w:hAnsi="仿宋_GB2312" w:eastAsia="仿宋_GB2312" w:cs="仿宋_GB2312"/>
          <w:bCs/>
          <w:color w:val="auto"/>
          <w:sz w:val="32"/>
          <w:szCs w:val="32"/>
          <w:lang w:eastAsia="zh-CN"/>
        </w:rPr>
        <w:t>17.1</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rPr>
        <w:t>分，项目产出</w:t>
      </w:r>
      <w:r>
        <w:rPr>
          <w:rFonts w:hint="eastAsia" w:ascii="仿宋_GB2312" w:hAnsi="仿宋_GB2312" w:eastAsia="仿宋_GB2312" w:cs="仿宋_GB2312"/>
          <w:bCs/>
          <w:color w:val="auto"/>
          <w:sz w:val="32"/>
          <w:szCs w:val="32"/>
          <w:lang w:eastAsia="zh-CN"/>
        </w:rPr>
        <w:t>3</w:t>
      </w:r>
      <w:r>
        <w:rPr>
          <w:rFonts w:hint="eastAsia" w:ascii="仿宋_GB2312" w:hAnsi="仿宋_GB2312" w:eastAsia="仿宋_GB2312" w:cs="仿宋_GB2312"/>
          <w:bCs/>
          <w:color w:val="auto"/>
          <w:sz w:val="32"/>
          <w:szCs w:val="32"/>
          <w:lang w:val="en-US" w:eastAsia="zh-CN"/>
        </w:rPr>
        <w:t>3</w:t>
      </w:r>
      <w:r>
        <w:rPr>
          <w:rFonts w:hint="eastAsia" w:ascii="仿宋_GB2312" w:hAnsi="仿宋_GB2312" w:eastAsia="仿宋_GB2312" w:cs="仿宋_GB2312"/>
          <w:bCs/>
          <w:color w:val="auto"/>
          <w:sz w:val="32"/>
          <w:szCs w:val="32"/>
          <w:lang w:eastAsia="zh-CN"/>
        </w:rPr>
        <w:t>.9</w:t>
      </w:r>
      <w:r>
        <w:rPr>
          <w:rFonts w:hint="eastAsia" w:ascii="仿宋_GB2312" w:hAnsi="仿宋_GB2312" w:eastAsia="仿宋_GB2312" w:cs="仿宋_GB2312"/>
          <w:bCs/>
          <w:color w:val="auto"/>
          <w:sz w:val="32"/>
          <w:szCs w:val="32"/>
          <w:lang w:val="en-US" w:eastAsia="zh-CN"/>
        </w:rPr>
        <w:t>0</w:t>
      </w:r>
      <w:r>
        <w:rPr>
          <w:rFonts w:hint="eastAsia" w:ascii="仿宋_GB2312" w:hAnsi="仿宋_GB2312" w:eastAsia="仿宋_GB2312" w:cs="仿宋_GB2312"/>
          <w:bCs/>
          <w:color w:val="auto"/>
          <w:sz w:val="32"/>
          <w:szCs w:val="32"/>
        </w:rPr>
        <w:t>分，项目效益</w:t>
      </w:r>
      <w:r>
        <w:rPr>
          <w:rFonts w:hint="eastAsia" w:ascii="仿宋_GB2312" w:hAnsi="仿宋_GB2312" w:eastAsia="仿宋_GB2312" w:cs="仿宋_GB2312"/>
          <w:bCs/>
          <w:color w:val="auto"/>
          <w:sz w:val="32"/>
          <w:szCs w:val="32"/>
          <w:lang w:eastAsia="zh-CN"/>
        </w:rPr>
        <w:t>23.</w:t>
      </w:r>
      <w:r>
        <w:rPr>
          <w:rFonts w:hint="eastAsia" w:ascii="仿宋_GB2312" w:hAnsi="仿宋_GB2312" w:eastAsia="仿宋_GB2312" w:cs="仿宋_GB2312"/>
          <w:bCs/>
          <w:color w:val="auto"/>
          <w:sz w:val="32"/>
          <w:szCs w:val="32"/>
          <w:lang w:val="en-US" w:eastAsia="zh-CN"/>
        </w:rPr>
        <w:t>9</w:t>
      </w:r>
      <w:r>
        <w:rPr>
          <w:rFonts w:hint="eastAsia" w:ascii="仿宋_GB2312" w:hAnsi="仿宋_GB2312" w:eastAsia="仿宋_GB2312" w:cs="仿宋_GB2312"/>
          <w:bCs/>
          <w:color w:val="auto"/>
          <w:sz w:val="32"/>
          <w:szCs w:val="32"/>
          <w:lang w:eastAsia="zh-CN"/>
        </w:rPr>
        <w:t>0</w:t>
      </w:r>
      <w:r>
        <w:rPr>
          <w:rFonts w:hint="eastAsia" w:ascii="仿宋_GB2312" w:hAnsi="仿宋_GB2312" w:eastAsia="仿宋_GB2312" w:cs="仿宋_GB2312"/>
          <w:bCs/>
          <w:color w:val="auto"/>
          <w:sz w:val="32"/>
          <w:szCs w:val="32"/>
        </w:rPr>
        <w:t>分，项目绩效级别为</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良</w:t>
      </w:r>
      <w:r>
        <w:rPr>
          <w:rFonts w:hint="eastAsia" w:ascii="仿宋_GB2312" w:hAnsi="仿宋_GB2312" w:eastAsia="仿宋_GB2312" w:cs="仿宋_GB2312"/>
          <w:bCs/>
          <w:color w:val="auto"/>
          <w:sz w:val="32"/>
          <w:szCs w:val="32"/>
        </w:rPr>
        <w:t>”。</w:t>
      </w:r>
      <w:r>
        <w:rPr>
          <w:rFonts w:hint="eastAsia" w:ascii="仿宋_GB2312" w:hAnsi="仿宋_GB2312" w:eastAsia="仿宋_GB2312" w:cs="仿宋_GB2312"/>
          <w:bCs/>
          <w:color w:val="auto"/>
          <w:sz w:val="32"/>
          <w:szCs w:val="32"/>
        </w:rPr>
        <w:cr/>
      </w:r>
    </w:p>
    <w:p>
      <w:pPr>
        <w:pStyle w:val="6"/>
        <w:spacing w:after="0" w:line="360" w:lineRule="auto"/>
        <w:ind w:left="0" w:leftChars="0"/>
        <w:jc w:val="center"/>
        <w:rPr>
          <w:rFonts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科技信贷支持项目</w:t>
      </w:r>
      <w:r>
        <w:rPr>
          <w:rFonts w:hint="eastAsia" w:ascii="仿宋_GB2312" w:hAnsi="仿宋_GB2312" w:eastAsia="仿宋_GB2312" w:cs="仿宋_GB2312"/>
          <w:b/>
          <w:color w:val="auto"/>
          <w:sz w:val="32"/>
          <w:szCs w:val="32"/>
        </w:rPr>
        <w:t>绩效评价结论一览表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250"/>
        <w:gridCol w:w="3240"/>
        <w:gridCol w:w="2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exact"/>
          <w:jc w:val="center"/>
        </w:trPr>
        <w:tc>
          <w:tcPr>
            <w:tcW w:w="2250" w:type="dxa"/>
            <w:noWrap/>
            <w:vAlign w:val="center"/>
          </w:tcPr>
          <w:p>
            <w:pPr>
              <w:adjustRightInd w:val="0"/>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评价内容</w:t>
            </w:r>
          </w:p>
        </w:tc>
        <w:tc>
          <w:tcPr>
            <w:tcW w:w="3240" w:type="dxa"/>
            <w:noWrap/>
            <w:vAlign w:val="center"/>
          </w:tcPr>
          <w:p>
            <w:pPr>
              <w:adjustRightInd w:val="0"/>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分值</w:t>
            </w:r>
          </w:p>
        </w:tc>
        <w:tc>
          <w:tcPr>
            <w:tcW w:w="2995" w:type="dxa"/>
            <w:noWrap/>
            <w:vAlign w:val="center"/>
          </w:tcPr>
          <w:p>
            <w:pPr>
              <w:adjustRightInd w:val="0"/>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exact"/>
          <w:jc w:val="center"/>
        </w:trPr>
        <w:tc>
          <w:tcPr>
            <w:tcW w:w="2250" w:type="dxa"/>
            <w:noWrap/>
            <w:vAlign w:val="center"/>
          </w:tcPr>
          <w:p>
            <w:pPr>
              <w:pStyle w:val="4"/>
              <w:adjustRightInd w:val="0"/>
              <w:ind w:firstLine="0"/>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项目决策</w:t>
            </w:r>
          </w:p>
        </w:tc>
        <w:tc>
          <w:tcPr>
            <w:tcW w:w="3240" w:type="dxa"/>
            <w:noWrap/>
            <w:vAlign w:val="center"/>
          </w:tcPr>
          <w:p>
            <w:pPr>
              <w:adjustRightInd w:val="0"/>
              <w:jc w:val="center"/>
              <w:rPr>
                <w:rFonts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10</w:t>
            </w:r>
          </w:p>
        </w:tc>
        <w:tc>
          <w:tcPr>
            <w:tcW w:w="2995" w:type="dxa"/>
            <w:noWrap/>
            <w:vAlign w:val="center"/>
          </w:tcPr>
          <w:p>
            <w:pPr>
              <w:adjustRightInd w:val="0"/>
              <w:jc w:val="center"/>
              <w:rPr>
                <w:rFonts w:hint="default"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exact"/>
          <w:jc w:val="center"/>
        </w:trPr>
        <w:tc>
          <w:tcPr>
            <w:tcW w:w="2250" w:type="dxa"/>
            <w:noWrap/>
            <w:vAlign w:val="center"/>
          </w:tcPr>
          <w:p>
            <w:pPr>
              <w:adjustRightInd w:val="0"/>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项目过程</w:t>
            </w:r>
          </w:p>
        </w:tc>
        <w:tc>
          <w:tcPr>
            <w:tcW w:w="3240" w:type="dxa"/>
            <w:noWrap/>
            <w:vAlign w:val="center"/>
          </w:tcPr>
          <w:p>
            <w:pPr>
              <w:adjustRightInd w:val="0"/>
              <w:jc w:val="center"/>
              <w:rPr>
                <w:rFonts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20</w:t>
            </w:r>
          </w:p>
        </w:tc>
        <w:tc>
          <w:tcPr>
            <w:tcW w:w="2995" w:type="dxa"/>
            <w:noWrap/>
            <w:vAlign w:val="center"/>
          </w:tcPr>
          <w:p>
            <w:pPr>
              <w:adjustRightInd w:val="0"/>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17.1</w:t>
            </w:r>
            <w:r>
              <w:rPr>
                <w:rFonts w:hint="eastAsia" w:ascii="仿宋_GB2312" w:hAnsi="仿宋_GB2312" w:eastAsia="仿宋_GB2312" w:cs="仿宋_GB2312"/>
                <w:color w:val="auto"/>
                <w:sz w:val="28"/>
                <w:szCs w:val="28"/>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exact"/>
          <w:jc w:val="center"/>
        </w:trPr>
        <w:tc>
          <w:tcPr>
            <w:tcW w:w="2250" w:type="dxa"/>
            <w:noWrap/>
            <w:vAlign w:val="center"/>
          </w:tcPr>
          <w:p>
            <w:pPr>
              <w:adjustRightInd w:val="0"/>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项目产出</w:t>
            </w:r>
          </w:p>
        </w:tc>
        <w:tc>
          <w:tcPr>
            <w:tcW w:w="3240" w:type="dxa"/>
            <w:noWrap/>
            <w:vAlign w:val="center"/>
          </w:tcPr>
          <w:p>
            <w:pPr>
              <w:adjustRightInd w:val="0"/>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40</w:t>
            </w:r>
          </w:p>
        </w:tc>
        <w:tc>
          <w:tcPr>
            <w:tcW w:w="2995" w:type="dxa"/>
            <w:noWrap/>
            <w:vAlign w:val="center"/>
          </w:tcPr>
          <w:p>
            <w:pPr>
              <w:adjustRightInd w:val="0"/>
              <w:jc w:val="center"/>
              <w:rPr>
                <w:rFonts w:hint="default"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eastAsia="zh-CN"/>
              </w:rPr>
              <w:t>3</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lang w:eastAsia="zh-CN"/>
              </w:rPr>
              <w:t>.9</w:t>
            </w:r>
            <w:r>
              <w:rPr>
                <w:rFonts w:hint="eastAsia" w:ascii="仿宋_GB2312" w:hAnsi="仿宋_GB2312" w:eastAsia="仿宋_GB2312" w:cs="仿宋_GB2312"/>
                <w:color w:val="auto"/>
                <w:sz w:val="28"/>
                <w:szCs w:val="2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exact"/>
          <w:jc w:val="center"/>
        </w:trPr>
        <w:tc>
          <w:tcPr>
            <w:tcW w:w="2250" w:type="dxa"/>
            <w:noWrap/>
            <w:vAlign w:val="center"/>
          </w:tcPr>
          <w:p>
            <w:pPr>
              <w:adjustRightInd w:val="0"/>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项目效益</w:t>
            </w:r>
          </w:p>
        </w:tc>
        <w:tc>
          <w:tcPr>
            <w:tcW w:w="3240" w:type="dxa"/>
            <w:noWrap/>
            <w:vAlign w:val="center"/>
          </w:tcPr>
          <w:p>
            <w:pPr>
              <w:adjustRightInd w:val="0"/>
              <w:jc w:val="center"/>
              <w:rPr>
                <w:rFonts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30</w:t>
            </w:r>
          </w:p>
        </w:tc>
        <w:tc>
          <w:tcPr>
            <w:tcW w:w="2995" w:type="dxa"/>
            <w:noWrap/>
            <w:vAlign w:val="center"/>
          </w:tcPr>
          <w:p>
            <w:pPr>
              <w:adjustRightInd w:val="0"/>
              <w:jc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23.</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exact"/>
          <w:jc w:val="center"/>
        </w:trPr>
        <w:tc>
          <w:tcPr>
            <w:tcW w:w="2250" w:type="dxa"/>
            <w:noWrap/>
            <w:vAlign w:val="center"/>
          </w:tcPr>
          <w:p>
            <w:pPr>
              <w:adjustRightInd w:val="0"/>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综合得分</w:t>
            </w:r>
          </w:p>
        </w:tc>
        <w:tc>
          <w:tcPr>
            <w:tcW w:w="3240" w:type="dxa"/>
            <w:noWrap/>
            <w:vAlign w:val="center"/>
          </w:tcPr>
          <w:p>
            <w:pPr>
              <w:adjustRightInd w:val="0"/>
              <w:jc w:val="center"/>
              <w:rPr>
                <w:rFonts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100</w:t>
            </w:r>
          </w:p>
        </w:tc>
        <w:tc>
          <w:tcPr>
            <w:tcW w:w="2995" w:type="dxa"/>
            <w:noWrap/>
            <w:vAlign w:val="center"/>
          </w:tcPr>
          <w:p>
            <w:pPr>
              <w:adjustRightInd w:val="0"/>
              <w:jc w:val="center"/>
              <w:rPr>
                <w:rFonts w:hint="default"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eastAsia="zh-CN"/>
              </w:rPr>
              <w:t>8</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0" w:hRule="exact"/>
          <w:jc w:val="center"/>
        </w:trPr>
        <w:tc>
          <w:tcPr>
            <w:tcW w:w="2250" w:type="dxa"/>
            <w:noWrap/>
            <w:vAlign w:val="center"/>
          </w:tcPr>
          <w:p>
            <w:pPr>
              <w:adjustRightInd w:val="0"/>
              <w:jc w:val="center"/>
              <w:rPr>
                <w:rFonts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绩效评定级别</w:t>
            </w:r>
          </w:p>
        </w:tc>
        <w:tc>
          <w:tcPr>
            <w:tcW w:w="6235" w:type="dxa"/>
            <w:gridSpan w:val="2"/>
            <w:noWrap/>
            <w:vAlign w:val="center"/>
          </w:tcPr>
          <w:p>
            <w:pPr>
              <w:adjustRightInd w:val="0"/>
              <w:jc w:val="center"/>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highlight w:val="none"/>
                <w:lang w:val="en-US" w:eastAsia="zh-CN"/>
              </w:rPr>
              <w:t>良</w:t>
            </w:r>
          </w:p>
        </w:tc>
      </w:tr>
    </w:tbl>
    <w:p>
      <w:pPr>
        <w:pStyle w:val="3"/>
        <w:bidi w:val="0"/>
        <w:sectPr>
          <w:pgSz w:w="11906" w:h="16838"/>
          <w:pgMar w:top="1440" w:right="1797" w:bottom="1440" w:left="1797" w:header="851" w:footer="992" w:gutter="0"/>
          <w:pgNumType w:start="1"/>
          <w:cols w:space="720" w:num="1"/>
          <w:docGrid w:type="lines" w:linePitch="312" w:charSpace="0"/>
        </w:sectPr>
      </w:pPr>
    </w:p>
    <w:p>
      <w:pPr>
        <w:pStyle w:val="24"/>
        <w:tabs>
          <w:tab w:val="right" w:leader="dot" w:pos="8306"/>
        </w:tabs>
        <w:ind w:leftChars="0"/>
        <w:jc w:val="center"/>
        <w:rPr>
          <w:rFonts w:ascii="仿宋_GB2312" w:hAnsi="宋体" w:eastAsia="仿宋_GB2312" w:cs="宋体"/>
          <w:color w:val="auto"/>
          <w:sz w:val="44"/>
          <w:szCs w:val="44"/>
        </w:rPr>
      </w:pPr>
      <w:r>
        <w:rPr>
          <w:rFonts w:hint="eastAsia" w:ascii="仿宋_GB2312" w:hAnsi="宋体" w:eastAsia="仿宋_GB2312" w:cs="宋体"/>
          <w:color w:val="auto"/>
          <w:sz w:val="44"/>
          <w:szCs w:val="44"/>
        </w:rPr>
        <w:t>目录</w:t>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TOC \o "1-2" \h \u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_Toc7129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_Toc7129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_Toc6140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napToGrid/>
          <w:kern w:val="44"/>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_Toc6140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_Toc12640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napToGrid/>
          <w:kern w:val="2"/>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_Toc12640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_Toc12923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_Toc12923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_Toc9031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napToGrid/>
          <w:kern w:val="2"/>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_Toc9031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_Toc8378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napToGrid/>
          <w:kern w:val="44"/>
          <w:sz w:val="32"/>
          <w:szCs w:val="32"/>
        </w:rPr>
        <w:t>（二）绩效评价原则和方法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_Toc8378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_Toc29770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napToGrid/>
          <w:kern w:val="44"/>
          <w:sz w:val="32"/>
          <w:szCs w:val="32"/>
        </w:rPr>
        <w:t>（三）绩效评价指标体系和评价标准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_Toc9107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napToGrid/>
          <w:kern w:val="44"/>
          <w:sz w:val="32"/>
          <w:szCs w:val="32"/>
        </w:rPr>
        <w:t>（四）绩效评价工作过程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_Toc9107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_Toc11964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三、综合评价情况及评价结论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_Toc11964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_Toc15715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_Toc15715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_Toc20346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_Toc20346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_Toc13245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_Toc13245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_Toc31055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（三）项目产出情况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_Toc31055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_Toc19390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_Toc19390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_Toc15470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_Toc32273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_Toc32273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3"/>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_Toc23298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_Toc23298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_Toc2006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六、有关建议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_Toc31445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七、其他需要说明的问题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_Toc31445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10"/>
        <w:tabs>
          <w:tab w:val="right" w:leader="dot" w:pos="8300"/>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sz w:val="32"/>
          <w:szCs w:val="32"/>
        </w:rPr>
        <w:instrText xml:space="preserve"> HYPERLINK \l _Toc10256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八、附件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_Toc10256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rPr>
        <w:fldChar w:fldCharType="end"/>
      </w:r>
    </w:p>
    <w:p>
      <w:pPr>
        <w:pStyle w:val="6"/>
        <w:spacing w:line="240" w:lineRule="auto"/>
        <w:ind w:left="0" w:leftChars="0"/>
        <w:jc w:val="left"/>
        <w:rPr>
          <w:rFonts w:ascii="宋体" w:hAnsi="宋体"/>
          <w:b/>
          <w:bCs/>
          <w:color w:val="auto"/>
          <w:sz w:val="44"/>
          <w:szCs w:val="44"/>
        </w:rPr>
      </w:pPr>
      <w:r>
        <w:rPr>
          <w:rFonts w:hint="eastAsia" w:ascii="仿宋_GB2312" w:hAnsi="仿宋_GB2312" w:eastAsia="仿宋_GB2312" w:cs="仿宋_GB2312"/>
          <w:color w:val="auto"/>
          <w:sz w:val="32"/>
          <w:szCs w:val="32"/>
        </w:rPr>
        <w:fldChar w:fldCharType="end"/>
      </w:r>
    </w:p>
    <w:p>
      <w:pPr>
        <w:pStyle w:val="6"/>
        <w:ind w:left="0" w:leftChars="0"/>
        <w:jc w:val="center"/>
        <w:outlineLvl w:val="0"/>
        <w:rPr>
          <w:rFonts w:ascii="宋体" w:hAnsi="宋体"/>
          <w:b/>
          <w:bCs/>
          <w:color w:val="auto"/>
          <w:sz w:val="44"/>
          <w:szCs w:val="44"/>
        </w:rPr>
        <w:sectPr>
          <w:footerReference r:id="rId4" w:type="default"/>
          <w:pgSz w:w="11906" w:h="16838"/>
          <w:pgMar w:top="1440" w:right="1803" w:bottom="1440" w:left="1803" w:header="851" w:footer="992" w:gutter="0"/>
          <w:cols w:space="720" w:num="1"/>
          <w:docGrid w:type="lines" w:linePitch="312" w:charSpace="0"/>
        </w:sectPr>
      </w:pPr>
      <w:bookmarkStart w:id="0" w:name="_Toc12515"/>
    </w:p>
    <w:p>
      <w:pPr>
        <w:pStyle w:val="6"/>
        <w:snapToGrid w:val="0"/>
        <w:spacing w:after="0" w:line="240" w:lineRule="auto"/>
        <w:ind w:left="0" w:leftChars="0"/>
        <w:jc w:val="center"/>
        <w:rPr>
          <w:rFonts w:hint="eastAsia" w:ascii="宋体" w:hAnsi="宋体"/>
          <w:b/>
          <w:bCs/>
          <w:color w:val="auto"/>
          <w:sz w:val="44"/>
          <w:szCs w:val="44"/>
          <w:lang w:val="en-US" w:eastAsia="zh-CN"/>
        </w:rPr>
      </w:pPr>
      <w:r>
        <w:rPr>
          <w:rFonts w:hint="eastAsia" w:ascii="宋体" w:hAnsi="宋体"/>
          <w:b/>
          <w:bCs/>
          <w:color w:val="auto"/>
          <w:sz w:val="44"/>
          <w:szCs w:val="44"/>
        </w:rPr>
        <w:t>北京市科学技术委员会、中关村科技园区管理委员会</w:t>
      </w:r>
      <w:r>
        <w:rPr>
          <w:rFonts w:hint="eastAsia" w:ascii="宋体" w:hAnsi="宋体"/>
          <w:b/>
          <w:bCs/>
          <w:color w:val="auto"/>
          <w:sz w:val="44"/>
          <w:szCs w:val="44"/>
          <w:lang w:val="en-US" w:eastAsia="zh-CN"/>
        </w:rPr>
        <w:t>科技信贷支持项目</w:t>
      </w:r>
    </w:p>
    <w:p>
      <w:pPr>
        <w:pStyle w:val="6"/>
        <w:snapToGrid w:val="0"/>
        <w:spacing w:after="0" w:line="240" w:lineRule="auto"/>
        <w:ind w:left="0" w:leftChars="0"/>
        <w:jc w:val="center"/>
        <w:rPr>
          <w:rFonts w:ascii="宋体" w:hAnsi="宋体"/>
          <w:b/>
          <w:bCs/>
          <w:color w:val="auto"/>
          <w:sz w:val="44"/>
          <w:szCs w:val="44"/>
        </w:rPr>
      </w:pPr>
      <w:r>
        <w:rPr>
          <w:rFonts w:hint="eastAsia" w:ascii="宋体" w:hAnsi="宋体"/>
          <w:b/>
          <w:bCs/>
          <w:color w:val="auto"/>
          <w:sz w:val="44"/>
          <w:szCs w:val="44"/>
        </w:rPr>
        <w:t>绩效评价报告</w:t>
      </w:r>
      <w:bookmarkEnd w:id="0"/>
    </w:p>
    <w:p>
      <w:pPr>
        <w:snapToGrid w:val="0"/>
        <w:spacing w:line="360" w:lineRule="auto"/>
        <w:ind w:firstLine="640" w:firstLineChars="200"/>
        <w:rPr>
          <w:rFonts w:ascii="仿宋_GB2312" w:eastAsia="仿宋_GB2312"/>
          <w:color w:val="auto"/>
          <w:sz w:val="32"/>
          <w:szCs w:val="32"/>
          <w:highlight w:val="none"/>
        </w:rPr>
      </w:pPr>
    </w:p>
    <w:p>
      <w:pPr>
        <w:snapToGrid w:val="0"/>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highlight w:val="none"/>
        </w:rPr>
        <w:t>为深入贯彻落实《中共北京市委北京市人民政府关于全面实施预算绩效管理的实施意见》（京发〔2019〕12号），加快建成全方位、全过程、全覆盖的预算绩效管理体系，切实增强部门支出责任和效率意识，提升财政资金使用效率和政府部门管理水平，根据《北京市项目支出绩效评价管理办法》（京财绩效〔2020〕2146号）、《北京市财政局关于开展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年全面预算绩效管理工作的通知》</w:t>
      </w:r>
      <w:r>
        <w:rPr>
          <w:rFonts w:hint="eastAsia" w:ascii="仿宋_GB2312" w:eastAsia="仿宋_GB2312"/>
          <w:color w:val="auto"/>
          <w:sz w:val="32"/>
          <w:szCs w:val="32"/>
        </w:rPr>
        <w:t>等文件要求，北京市科学技术委员会、中关村科技园区管理委员会（以下简称“市科委、中关村管委会”）成立绩效评价工作组，</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kern w:val="2"/>
          <w:sz w:val="32"/>
          <w:szCs w:val="32"/>
          <w:highlight w:val="none"/>
          <w:lang w:eastAsia="zh-CN"/>
        </w:rPr>
        <w:t>市科委、中关村管委会</w:t>
      </w:r>
      <w:r>
        <w:rPr>
          <w:rFonts w:hint="eastAsia" w:ascii="仿宋_GB2312" w:hAnsi="仿宋_GB2312" w:eastAsia="仿宋_GB2312" w:cs="仿宋_GB2312"/>
          <w:kern w:val="2"/>
          <w:sz w:val="32"/>
          <w:szCs w:val="32"/>
          <w:highlight w:val="none"/>
        </w:rPr>
        <w:t>“</w:t>
      </w:r>
      <w:r>
        <w:rPr>
          <w:rFonts w:hint="eastAsia" w:ascii="仿宋_GB2312" w:hAnsi="仿宋_GB2312" w:eastAsia="仿宋_GB2312" w:cs="仿宋_GB2312"/>
          <w:kern w:val="2"/>
          <w:sz w:val="32"/>
          <w:szCs w:val="32"/>
          <w:highlight w:val="none"/>
          <w:lang w:val="en-US" w:eastAsia="zh-CN"/>
        </w:rPr>
        <w:t>科技信贷支持项目</w:t>
      </w:r>
      <w:r>
        <w:rPr>
          <w:rFonts w:hint="eastAsia" w:ascii="仿宋_GB2312" w:hAnsi="仿宋_GB2312" w:eastAsia="仿宋_GB2312" w:cs="仿宋_GB2312"/>
          <w:kern w:val="2"/>
          <w:sz w:val="32"/>
          <w:szCs w:val="32"/>
          <w:highlight w:val="none"/>
        </w:rPr>
        <w:t>”</w:t>
      </w:r>
      <w:r>
        <w:rPr>
          <w:rFonts w:hint="eastAsia" w:ascii="仿宋_GB2312" w:eastAsia="仿宋_GB2312"/>
          <w:color w:val="auto"/>
          <w:sz w:val="32"/>
          <w:szCs w:val="32"/>
        </w:rPr>
        <w:t>实施绩效评价，形成本绩效评价报告。</w:t>
      </w:r>
    </w:p>
    <w:p>
      <w:pPr>
        <w:pStyle w:val="3"/>
        <w:snapToGrid w:val="0"/>
        <w:rPr>
          <w:rFonts w:ascii="黑体" w:hAnsi="黑体" w:eastAsia="黑体" w:cs="黑体"/>
          <w:color w:val="auto"/>
          <w:szCs w:val="32"/>
        </w:rPr>
      </w:pPr>
      <w:bookmarkStart w:id="1" w:name="_Toc169183181"/>
      <w:bookmarkStart w:id="2" w:name="_Toc7129"/>
      <w:r>
        <w:rPr>
          <w:rFonts w:hint="eastAsia" w:ascii="黑体" w:hAnsi="黑体" w:eastAsia="黑体" w:cs="黑体"/>
          <w:color w:val="auto"/>
          <w:szCs w:val="32"/>
        </w:rPr>
        <w:t>一、</w:t>
      </w:r>
      <w:bookmarkEnd w:id="1"/>
      <w:r>
        <w:rPr>
          <w:rFonts w:hint="eastAsia" w:ascii="黑体" w:hAnsi="黑体" w:eastAsia="黑体" w:cs="黑体"/>
          <w:color w:val="auto"/>
          <w:szCs w:val="32"/>
        </w:rPr>
        <w:t>基本情况</w:t>
      </w:r>
      <w:bookmarkEnd w:id="2"/>
    </w:p>
    <w:p>
      <w:pPr>
        <w:pStyle w:val="3"/>
        <w:snapToGrid w:val="0"/>
        <w:rPr>
          <w:rFonts w:ascii="楷体" w:hAnsi="楷体" w:eastAsia="楷体" w:cs="楷体"/>
          <w:color w:val="auto"/>
          <w:szCs w:val="32"/>
        </w:rPr>
      </w:pPr>
      <w:bookmarkStart w:id="3" w:name="_Toc6140"/>
      <w:r>
        <w:rPr>
          <w:rFonts w:hint="eastAsia" w:ascii="楷体" w:hAnsi="楷体" w:eastAsia="楷体" w:cs="楷体"/>
          <w:snapToGrid/>
          <w:color w:val="auto"/>
          <w:kern w:val="44"/>
          <w:szCs w:val="32"/>
        </w:rPr>
        <w:t>（一）项目概况</w:t>
      </w:r>
      <w:bookmarkEnd w:id="3"/>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1.项目立项背景</w:t>
      </w:r>
    </w:p>
    <w:p>
      <w:pPr>
        <w:pStyle w:val="14"/>
        <w:snapToGrid w:val="0"/>
        <w:spacing w:before="0" w:beforeAutospacing="0" w:after="0" w:afterAutospacing="0" w:line="360" w:lineRule="auto"/>
        <w:ind w:firstLine="640" w:firstLineChars="200"/>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一是为落实中关村科创金融改革试验区申设方案，以及《进一步完善北京民营和小微企业金融服务体制机制行动方案（2021-2023年）》《关于中关村国家自主创新示范区建设国家科技金融创新中心的意见》《“十四五”时期中关村国家自主创新示范区发展建设规划》《中关村国家自主创新示范区促进科技金融深度融合创新发展支持资金管理办法》等文件精神，创新知识产权质押融资机制，进一步探索将科创型中小企业纳入知识产权金融服务体系的有效途径；出台并落实好小微企业贷款贴息、融资担保降费奖补、融资租赁贴费等政策，助力小微企业综合融资成本稳中有降；充分发挥融资租赁的融资融物作用，支持民营和小微企业与融资租赁机构开展多层次合作。</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二是为贯彻落实时任北京市政府副市长殷勇同志在“研究推动知识产权质押融资、交易有关工作”会议上的指示精神，建立健全我市知识产权质押融资风险补偿和成本分担机制，提高知识产权质押融资的可获得性，降低企业综合融资成本。</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2.项目主要内容</w:t>
      </w:r>
    </w:p>
    <w:p>
      <w:pPr>
        <w:pStyle w:val="14"/>
        <w:snapToGrid w:val="0"/>
        <w:spacing w:before="0" w:beforeAutospacing="0" w:after="0" w:afterAutospacing="0" w:line="360" w:lineRule="auto"/>
        <w:ind w:firstLine="640" w:firstLineChars="200"/>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（1）支持企业通过融资租赁方式取得新技术、新产品，按照融资费用的20%给予企业补贴，每年每家企业补贴金额不超过50万元。</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2）建立多方参与的知识产权质押融资成本分担和风险补偿机制。支持企业获得知识产权质押贷款，按照贷款实际利息的40%给予企业贴息支持，对单家企业年度利息补贴不超过50万元；支持银行、担保、保险、知识产权专业机构等单独或组合为企业提供知识产权质押贷款，如发生不良贷款的，按照不超过本金中银行、担保、保险、知识产权专业机构各自承担风险部分的50%对相关机构进行风险补偿，涉及单家企业的年度风险补偿资金不超过500万元</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累计不超过1000万元。</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bookmarkStart w:id="4" w:name="_Toc29964"/>
      <w:bookmarkStart w:id="5" w:name="_Toc9928"/>
      <w:r>
        <w:rPr>
          <w:rFonts w:hint="eastAsia" w:ascii="仿宋_GB2312" w:hAnsi="仿宋_GB2312" w:eastAsia="仿宋_GB2312" w:cs="仿宋_GB2312"/>
          <w:color w:val="auto"/>
          <w:kern w:val="2"/>
          <w:sz w:val="32"/>
          <w:szCs w:val="32"/>
        </w:rPr>
        <w:t>3.项目资金情况</w:t>
      </w:r>
      <w:bookmarkEnd w:id="4"/>
      <w:bookmarkEnd w:id="5"/>
    </w:p>
    <w:p>
      <w:pPr>
        <w:snapToGrid w:val="0"/>
        <w:spacing w:line="360" w:lineRule="auto"/>
        <w:ind w:firstLine="640" w:firstLineChars="200"/>
        <w:rPr>
          <w:rFonts w:ascii="仿宋_GB2312" w:hAnsi="仿宋_GB2312" w:eastAsia="仿宋_GB2312" w:cs="仿宋_GB2312"/>
          <w:color w:val="auto"/>
          <w:sz w:val="32"/>
          <w:szCs w:val="32"/>
        </w:rPr>
      </w:pPr>
      <w:r>
        <w:rPr>
          <w:rFonts w:hint="eastAsia" w:ascii="仿宋_GB2312" w:eastAsia="仿宋_GB2312"/>
          <w:sz w:val="32"/>
          <w:szCs w:val="32"/>
        </w:rPr>
        <w:t>该项目财政批复预算经费</w:t>
      </w:r>
      <w:r>
        <w:rPr>
          <w:rFonts w:hint="eastAsia" w:ascii="仿宋_GB2312" w:eastAsia="仿宋_GB2312"/>
          <w:sz w:val="32"/>
          <w:szCs w:val="32"/>
          <w:lang w:val="en-US" w:eastAsia="zh-CN"/>
        </w:rPr>
        <w:t>13000</w:t>
      </w:r>
      <w:r>
        <w:rPr>
          <w:rFonts w:hint="eastAsia" w:ascii="仿宋_GB2312" w:eastAsia="仿宋_GB2312"/>
          <w:sz w:val="32"/>
          <w:szCs w:val="32"/>
        </w:rPr>
        <w:t>万元，该项目资金来源为财政资金，</w:t>
      </w:r>
      <w:r>
        <w:rPr>
          <w:rFonts w:hint="eastAsia" w:ascii="仿宋_GB2312" w:hAnsi="仿宋_GB2312" w:eastAsia="仿宋_GB2312" w:cs="仿宋_GB2312"/>
          <w:kern w:val="0"/>
          <w:sz w:val="32"/>
          <w:szCs w:val="32"/>
          <w:lang w:val="en-US" w:eastAsia="zh-CN"/>
        </w:rPr>
        <w:t>项目预算调减10000万元，全年预算金额3000万元，</w:t>
      </w:r>
      <w:r>
        <w:rPr>
          <w:rFonts w:hint="eastAsia" w:ascii="仿宋_GB2312" w:eastAsia="仿宋_GB2312"/>
          <w:sz w:val="32"/>
          <w:szCs w:val="32"/>
        </w:rPr>
        <w:t>资金到位率100%</w:t>
      </w:r>
      <w:r>
        <w:rPr>
          <w:rFonts w:hint="eastAsia" w:ascii="仿宋_GB2312" w:eastAsia="仿宋_GB2312"/>
          <w:sz w:val="32"/>
          <w:szCs w:val="32"/>
          <w:lang w:eastAsia="zh-CN"/>
        </w:rPr>
        <w:t>，</w:t>
      </w:r>
      <w:r>
        <w:rPr>
          <w:rFonts w:hint="eastAsia" w:ascii="仿宋_GB2312" w:hAnsi="仿宋_GB2312" w:eastAsia="仿宋_GB2312" w:cs="仿宋_GB2312"/>
          <w:kern w:val="0"/>
          <w:sz w:val="32"/>
          <w:szCs w:val="32"/>
          <w:lang w:val="en-US" w:eastAsia="zh-CN"/>
        </w:rPr>
        <w:t>全年支出数1478.44万元，预算执行率49.28%</w:t>
      </w:r>
      <w:r>
        <w:rPr>
          <w:rFonts w:hint="eastAsia" w:ascii="仿宋_GB2312" w:eastAsia="仿宋_GB2312"/>
          <w:sz w:val="32"/>
          <w:szCs w:val="32"/>
        </w:rPr>
        <w:t>。</w:t>
      </w:r>
    </w:p>
    <w:p>
      <w:pPr>
        <w:pStyle w:val="3"/>
        <w:snapToGrid w:val="0"/>
        <w:rPr>
          <w:rFonts w:ascii="楷体" w:hAnsi="楷体" w:eastAsia="楷体" w:cs="楷体"/>
          <w:snapToGrid/>
          <w:color w:val="auto"/>
          <w:kern w:val="2"/>
          <w:szCs w:val="32"/>
        </w:rPr>
      </w:pPr>
      <w:bookmarkStart w:id="6" w:name="_Toc12640"/>
      <w:r>
        <w:rPr>
          <w:rFonts w:hint="eastAsia" w:ascii="楷体" w:hAnsi="楷体" w:eastAsia="楷体" w:cs="楷体"/>
          <w:snapToGrid/>
          <w:color w:val="auto"/>
          <w:kern w:val="2"/>
          <w:szCs w:val="32"/>
        </w:rPr>
        <w:t>（二）项目绩效目标</w:t>
      </w:r>
      <w:bookmarkEnd w:id="6"/>
    </w:p>
    <w:p>
      <w:pPr>
        <w:pStyle w:val="14"/>
        <w:snapToGrid w:val="0"/>
        <w:spacing w:before="0" w:beforeAutospacing="0" w:after="0" w:afterAutospacing="0" w:line="360" w:lineRule="auto"/>
        <w:ind w:firstLine="640" w:firstLineChars="200"/>
        <w:jc w:val="both"/>
        <w:rPr>
          <w:rFonts w:hint="default" w:ascii="仿宋_GB2312" w:hAnsi="仿宋_GB2312" w:eastAsia="仿宋_GB2312" w:cs="仿宋_GB2312"/>
          <w:color w:val="auto"/>
          <w:kern w:val="2"/>
          <w:sz w:val="32"/>
          <w:szCs w:val="32"/>
          <w:lang w:val="en-US" w:eastAsia="zh-CN"/>
        </w:rPr>
      </w:pPr>
      <w:r>
        <w:rPr>
          <w:rFonts w:hint="eastAsia" w:ascii="仿宋_GB2312" w:eastAsia="仿宋_GB2312"/>
          <w:b w:val="0"/>
          <w:bCs w:val="0"/>
          <w:color w:val="auto"/>
          <w:sz w:val="32"/>
          <w:szCs w:val="32"/>
          <w:lang w:val="en-US" w:eastAsia="zh-CN"/>
        </w:rPr>
        <w:t>2022年6月，市科委、中关村管委会修订实施新版《中关村国家自主创新示范区促进科技金融深度融合发展支持资金管理办法》，同步调整预算和绩效目标，调整后绩效目标如下：</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highlight w:val="cyan"/>
        </w:rPr>
      </w:pPr>
      <w:r>
        <w:rPr>
          <w:rFonts w:hint="eastAsia" w:ascii="仿宋_GB2312" w:hAnsi="仿宋_GB2312" w:eastAsia="仿宋_GB2312" w:cs="仿宋_GB2312"/>
          <w:color w:val="auto"/>
          <w:kern w:val="2"/>
          <w:sz w:val="32"/>
          <w:szCs w:val="32"/>
        </w:rPr>
        <w:t>1.总体目标</w:t>
      </w:r>
    </w:p>
    <w:p>
      <w:pPr>
        <w:pStyle w:val="2"/>
        <w:snapToGrid w:val="0"/>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bCs/>
          <w:sz w:val="32"/>
          <w:szCs w:val="32"/>
          <w:highlight w:val="none"/>
        </w:rPr>
        <w:t>支持企业获得知识产权质押贷款，降低企业融资成本，缓解科创企业融资难题，给予科创企业融资租赁费用补贴支持不少于30家次</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支持企业和机构获得贷款贴息或者风险补偿不少于20家次。</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rPr>
        <w:t>2.项目绩效阶段性目标</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（1）数量指标。</w:t>
      </w:r>
      <w:r>
        <w:rPr>
          <w:rFonts w:hint="default" w:ascii="仿宋_GB2312" w:hAnsi="仿宋_GB2312" w:eastAsia="仿宋_GB2312" w:cs="仿宋_GB2312"/>
          <w:bCs/>
          <w:sz w:val="32"/>
          <w:szCs w:val="32"/>
          <w:lang w:val="en-US" w:eastAsia="zh-CN"/>
        </w:rPr>
        <w:t>科创企业融资租赁费用补贴支持数≥30家</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知识产权质押融资及风险补偿支持企业与机构数≥20家</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支持企业开展融资租赁业务获得融资金额≥7亿元</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支持企业获得知识产权质押贷款金额≥3亿元</w:t>
      </w:r>
      <w:r>
        <w:rPr>
          <w:rFonts w:hint="eastAsia" w:ascii="仿宋_GB2312" w:hAnsi="仿宋_GB2312" w:eastAsia="仿宋_GB2312" w:cs="仿宋_GB2312"/>
          <w:color w:val="auto"/>
          <w:sz w:val="32"/>
          <w:szCs w:val="32"/>
        </w:rPr>
        <w:t>。</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（2）质量指标。</w:t>
      </w:r>
      <w:r>
        <w:rPr>
          <w:rFonts w:hint="default" w:ascii="仿宋_GB2312" w:hAnsi="仿宋_GB2312" w:eastAsia="仿宋_GB2312" w:cs="仿宋_GB2312"/>
          <w:bCs/>
          <w:sz w:val="32"/>
          <w:szCs w:val="32"/>
          <w:lang w:val="en-US" w:eastAsia="zh-CN"/>
        </w:rPr>
        <w:t>补贴对象合规率100%</w:t>
      </w:r>
      <w:r>
        <w:rPr>
          <w:rFonts w:hint="eastAsia" w:ascii="仿宋_GB2312" w:hAnsi="仿宋_GB2312" w:eastAsia="仿宋_GB2312" w:cs="仿宋_GB2312"/>
          <w:bCs/>
          <w:sz w:val="32"/>
          <w:szCs w:val="32"/>
          <w:lang w:val="en-US" w:eastAsia="zh-CN"/>
        </w:rPr>
        <w:t>。</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（3）时效指标。</w:t>
      </w:r>
      <w:r>
        <w:rPr>
          <w:rFonts w:hint="default" w:ascii="仿宋_GB2312" w:hAnsi="仿宋_GB2312" w:eastAsia="仿宋_GB2312" w:cs="仿宋_GB2312"/>
          <w:bCs/>
          <w:sz w:val="32"/>
          <w:szCs w:val="32"/>
          <w:lang w:val="en-US" w:eastAsia="zh-CN"/>
        </w:rPr>
        <w:t>完成项目征集时间≤10月</w:t>
      </w:r>
      <w:r>
        <w:rPr>
          <w:rFonts w:hint="eastAsia" w:ascii="仿宋_GB2312" w:hAnsi="仿宋_GB2312" w:eastAsia="仿宋_GB2312" w:cs="仿宋_GB2312"/>
          <w:bCs/>
          <w:sz w:val="32"/>
          <w:szCs w:val="32"/>
          <w:lang w:val="en-US" w:eastAsia="zh-CN"/>
        </w:rPr>
        <w:t>；</w:t>
      </w:r>
      <w:r>
        <w:rPr>
          <w:rFonts w:hint="default" w:ascii="仿宋_GB2312" w:hAnsi="仿宋_GB2312" w:eastAsia="仿宋_GB2312" w:cs="仿宋_GB2312"/>
          <w:bCs/>
          <w:sz w:val="32"/>
          <w:szCs w:val="32"/>
          <w:lang w:val="en-US" w:eastAsia="zh-CN"/>
        </w:rPr>
        <w:t>完成补贴资金审核拨款时间≤12月</w:t>
      </w:r>
      <w:r>
        <w:rPr>
          <w:rFonts w:hint="eastAsia" w:ascii="仿宋_GB2312" w:hAnsi="仿宋_GB2312" w:eastAsia="仿宋_GB2312" w:cs="仿宋_GB2312"/>
          <w:bCs/>
          <w:sz w:val="32"/>
          <w:szCs w:val="32"/>
          <w:lang w:val="en-US" w:eastAsia="zh-CN"/>
        </w:rPr>
        <w:t>。</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（4）成本指标。</w:t>
      </w:r>
      <w:r>
        <w:rPr>
          <w:rFonts w:hint="default" w:ascii="仿宋_GB2312" w:hAnsi="仿宋_GB2312" w:eastAsia="仿宋_GB2312" w:cs="仿宋_GB2312"/>
          <w:bCs/>
          <w:sz w:val="32"/>
          <w:szCs w:val="32"/>
          <w:lang w:val="en-US" w:eastAsia="zh-CN"/>
        </w:rPr>
        <w:t>项目预算控制数1500万元</w:t>
      </w:r>
      <w:r>
        <w:rPr>
          <w:rFonts w:hint="eastAsia" w:ascii="仿宋_GB2312" w:hAnsi="仿宋_GB2312" w:eastAsia="仿宋_GB2312" w:cs="仿宋_GB2312"/>
          <w:bCs/>
          <w:sz w:val="32"/>
          <w:szCs w:val="32"/>
          <w:lang w:val="en-US" w:eastAsia="zh-CN"/>
        </w:rPr>
        <w:t>。</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val="en-US" w:eastAsia="zh-CN"/>
        </w:rPr>
        <w:t>经济</w:t>
      </w:r>
      <w:r>
        <w:rPr>
          <w:rFonts w:hint="eastAsia" w:ascii="仿宋_GB2312" w:hAnsi="仿宋_GB2312" w:eastAsia="仿宋_GB2312" w:cs="仿宋_GB2312"/>
          <w:color w:val="auto"/>
          <w:sz w:val="32"/>
          <w:szCs w:val="32"/>
        </w:rPr>
        <w:t>效益指标。</w:t>
      </w:r>
      <w:r>
        <w:rPr>
          <w:rFonts w:hint="default" w:ascii="仿宋_GB2312" w:hAnsi="仿宋_GB2312" w:eastAsia="仿宋_GB2312" w:cs="仿宋_GB2312"/>
          <w:bCs/>
          <w:sz w:val="32"/>
          <w:szCs w:val="32"/>
          <w:lang w:val="en-US" w:eastAsia="zh-CN"/>
        </w:rPr>
        <w:t>降低科创企业融资成本</w:t>
      </w:r>
      <w:r>
        <w:rPr>
          <w:rFonts w:hint="eastAsia" w:ascii="仿宋_GB2312" w:hAnsi="仿宋_GB2312" w:eastAsia="仿宋_GB2312" w:cs="仿宋_GB2312"/>
          <w:color w:val="auto"/>
          <w:sz w:val="32"/>
          <w:szCs w:val="32"/>
        </w:rPr>
        <w:t>。</w:t>
      </w:r>
    </w:p>
    <w:p>
      <w:pPr>
        <w:pStyle w:val="14"/>
        <w:snapToGrid w:val="0"/>
        <w:spacing w:before="0" w:beforeAutospacing="0" w:after="0" w:afterAutospacing="0" w:line="360" w:lineRule="auto"/>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（6）满意度指标。</w:t>
      </w:r>
      <w:r>
        <w:rPr>
          <w:rFonts w:hint="default" w:ascii="仿宋_GB2312" w:hAnsi="仿宋_GB2312" w:eastAsia="仿宋_GB2312" w:cs="仿宋_GB2312"/>
          <w:color w:val="auto"/>
          <w:sz w:val="32"/>
          <w:szCs w:val="32"/>
          <w:lang w:val="en-US" w:eastAsia="zh-CN"/>
        </w:rPr>
        <w:t>支持对象满意率≥90%</w:t>
      </w:r>
      <w:r>
        <w:rPr>
          <w:rFonts w:hint="eastAsia" w:ascii="仿宋_GB2312" w:hAnsi="仿宋_GB2312" w:eastAsia="仿宋_GB2312" w:cs="仿宋_GB2312"/>
          <w:color w:val="auto"/>
          <w:sz w:val="32"/>
          <w:szCs w:val="32"/>
        </w:rPr>
        <w:t>。</w:t>
      </w:r>
    </w:p>
    <w:p>
      <w:pPr>
        <w:pStyle w:val="3"/>
        <w:snapToGrid w:val="0"/>
        <w:rPr>
          <w:rFonts w:ascii="黑体" w:hAnsi="黑体" w:eastAsia="黑体" w:cs="黑体"/>
          <w:color w:val="auto"/>
          <w:szCs w:val="32"/>
        </w:rPr>
      </w:pPr>
      <w:bookmarkStart w:id="7" w:name="_Toc169183188"/>
      <w:bookmarkStart w:id="8" w:name="_Toc12923"/>
      <w:r>
        <w:rPr>
          <w:rFonts w:hint="eastAsia" w:ascii="黑体" w:hAnsi="黑体" w:eastAsia="黑体" w:cs="黑体"/>
          <w:color w:val="auto"/>
          <w:szCs w:val="32"/>
        </w:rPr>
        <w:t>二、</w:t>
      </w:r>
      <w:bookmarkEnd w:id="7"/>
      <w:r>
        <w:rPr>
          <w:rFonts w:hint="eastAsia" w:ascii="黑体" w:hAnsi="黑体" w:eastAsia="黑体" w:cs="黑体"/>
          <w:color w:val="auto"/>
          <w:szCs w:val="32"/>
        </w:rPr>
        <w:t>绩效评价工作开展情况</w:t>
      </w:r>
      <w:bookmarkEnd w:id="8"/>
    </w:p>
    <w:p>
      <w:pPr>
        <w:pStyle w:val="3"/>
        <w:snapToGrid w:val="0"/>
        <w:rPr>
          <w:rFonts w:ascii="楷体" w:hAnsi="楷体" w:eastAsia="楷体" w:cs="楷体"/>
          <w:snapToGrid/>
          <w:color w:val="auto"/>
          <w:kern w:val="2"/>
          <w:szCs w:val="32"/>
        </w:rPr>
      </w:pPr>
      <w:bookmarkStart w:id="9" w:name="_Toc9031"/>
      <w:r>
        <w:rPr>
          <w:rFonts w:hint="eastAsia" w:ascii="楷体" w:hAnsi="楷体" w:eastAsia="楷体" w:cs="楷体"/>
          <w:snapToGrid/>
          <w:color w:val="auto"/>
          <w:kern w:val="2"/>
          <w:szCs w:val="32"/>
        </w:rPr>
        <w:t>（一）绩效评价目的、对象和范围</w:t>
      </w:r>
      <w:bookmarkEnd w:id="9"/>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1.绩效评价目的</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通过绩效评价，衡量和考核项目资金管理、决策和绩效情况，分析项目资金使用是否达到预期目标、管理是否规范、使用是否有效，提出专业评价意见，进一步改进和加强项目资金管理，提高财政资金使用效益。</w:t>
      </w:r>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2.绩效评价对象和范围</w:t>
      </w:r>
    </w:p>
    <w:p>
      <w:pPr>
        <w:pStyle w:val="14"/>
        <w:snapToGrid w:val="0"/>
        <w:spacing w:before="0" w:beforeAutospacing="0" w:after="0" w:afterAutospacing="0" w:line="360" w:lineRule="auto"/>
        <w:ind w:firstLine="640" w:firstLineChars="200"/>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本次绩效评价对象为</w:t>
      </w:r>
      <w:r>
        <w:rPr>
          <w:rFonts w:hint="eastAsia" w:ascii="仿宋_GB2312" w:hAnsi="仿宋_GB2312" w:eastAsia="仿宋_GB2312" w:cs="仿宋_GB2312"/>
          <w:color w:val="auto"/>
          <w:kern w:val="2"/>
          <w:sz w:val="32"/>
          <w:szCs w:val="32"/>
          <w:lang w:val="en-US" w:eastAsia="zh-CN"/>
        </w:rPr>
        <w:t>市科委、中关村管委会</w:t>
      </w:r>
      <w:r>
        <w:rPr>
          <w:rFonts w:hint="eastAsia" w:ascii="仿宋_GB2312" w:hAnsi="仿宋_GB2312" w:eastAsia="仿宋_GB2312" w:cs="仿宋_GB2312"/>
          <w:color w:val="auto"/>
          <w:kern w:val="2"/>
          <w:sz w:val="32"/>
          <w:szCs w:val="32"/>
        </w:rPr>
        <w:t>“</w:t>
      </w:r>
      <w:r>
        <w:rPr>
          <w:rFonts w:hint="eastAsia" w:ascii="仿宋_GB2312" w:hAnsi="仿宋_GB2312" w:eastAsia="仿宋_GB2312" w:cs="仿宋_GB2312"/>
          <w:color w:val="auto"/>
          <w:kern w:val="2"/>
          <w:sz w:val="32"/>
          <w:szCs w:val="32"/>
          <w:lang w:val="en-US" w:eastAsia="zh-CN"/>
        </w:rPr>
        <w:t>科技信贷支持项目</w:t>
      </w:r>
      <w:r>
        <w:rPr>
          <w:rFonts w:hint="eastAsia" w:ascii="仿宋_GB2312" w:hAnsi="仿宋_GB2312" w:eastAsia="仿宋_GB2312" w:cs="仿宋_GB2312"/>
          <w:color w:val="auto"/>
          <w:kern w:val="2"/>
          <w:sz w:val="32"/>
          <w:szCs w:val="32"/>
        </w:rPr>
        <w:t>”，评价范围为该项目整体执行情况，预算资金</w:t>
      </w:r>
      <w:r>
        <w:rPr>
          <w:rFonts w:hint="eastAsia" w:ascii="仿宋_GB2312" w:hAnsi="仿宋_GB2312" w:eastAsia="仿宋_GB2312" w:cs="仿宋_GB2312"/>
          <w:color w:val="auto"/>
          <w:kern w:val="2"/>
          <w:sz w:val="32"/>
          <w:szCs w:val="32"/>
          <w:lang w:val="en-US" w:eastAsia="zh-CN"/>
        </w:rPr>
        <w:t>3000</w:t>
      </w:r>
      <w:r>
        <w:rPr>
          <w:rFonts w:hint="eastAsia" w:ascii="仿宋_GB2312" w:hAnsi="仿宋_GB2312" w:eastAsia="仿宋_GB2312" w:cs="仿宋_GB2312"/>
          <w:color w:val="auto"/>
          <w:kern w:val="2"/>
          <w:sz w:val="32"/>
          <w:szCs w:val="32"/>
        </w:rPr>
        <w:t>万元。</w:t>
      </w:r>
    </w:p>
    <w:p>
      <w:pPr>
        <w:pStyle w:val="3"/>
        <w:snapToGrid w:val="0"/>
        <w:rPr>
          <w:rFonts w:ascii="楷体" w:hAnsi="楷体" w:eastAsia="楷体" w:cs="楷体"/>
          <w:snapToGrid/>
          <w:color w:val="auto"/>
          <w:kern w:val="44"/>
          <w:szCs w:val="32"/>
        </w:rPr>
      </w:pPr>
      <w:bookmarkStart w:id="10" w:name="_Toc8378"/>
      <w:r>
        <w:rPr>
          <w:rFonts w:hint="eastAsia" w:ascii="楷体" w:hAnsi="楷体" w:eastAsia="楷体" w:cs="楷体"/>
          <w:snapToGrid/>
          <w:color w:val="auto"/>
          <w:kern w:val="44"/>
          <w:szCs w:val="32"/>
        </w:rPr>
        <w:t>（二）绩效评价原则和方法</w:t>
      </w:r>
      <w:bookmarkEnd w:id="10"/>
    </w:p>
    <w:p>
      <w:pPr>
        <w:pStyle w:val="14"/>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本次评价工作遵循“客观、公正、科学、规范”的原则，在评价过程中，依据项目总体绩效目标，评价本年度项目阶段目标任务的执行情况，以及效益的实现情况，结合本项目特点，评价方法主要采用非现场评价形式，审核、分析和评价项目的实施情况，期间结合了比较分析法、因素分析法、成本效益分析法等评价方法进行定性分析和定量分析，上述评价环节同时借助专家对工作进行指导。评价基准日为202</w:t>
      </w:r>
      <w:r>
        <w:rPr>
          <w:rFonts w:hint="eastAsia" w:ascii="仿宋_GB2312" w:hAnsi="仿宋_GB2312" w:eastAsia="仿宋_GB2312" w:cs="仿宋_GB2312"/>
          <w:color w:val="auto"/>
          <w:kern w:val="2"/>
          <w:sz w:val="32"/>
          <w:szCs w:val="32"/>
          <w:lang w:val="en-US" w:eastAsia="zh-CN"/>
        </w:rPr>
        <w:t>2</w:t>
      </w:r>
      <w:r>
        <w:rPr>
          <w:rFonts w:hint="eastAsia" w:ascii="仿宋_GB2312" w:hAnsi="仿宋_GB2312" w:eastAsia="仿宋_GB2312" w:cs="仿宋_GB2312"/>
          <w:color w:val="auto"/>
          <w:kern w:val="2"/>
          <w:sz w:val="32"/>
          <w:szCs w:val="32"/>
        </w:rPr>
        <w:t>年12月31日。</w:t>
      </w:r>
    </w:p>
    <w:p>
      <w:pPr>
        <w:pStyle w:val="3"/>
        <w:snapToGrid w:val="0"/>
        <w:rPr>
          <w:rFonts w:ascii="楷体" w:hAnsi="楷体" w:eastAsia="楷体" w:cs="楷体"/>
          <w:snapToGrid/>
          <w:color w:val="auto"/>
          <w:kern w:val="44"/>
          <w:szCs w:val="32"/>
        </w:rPr>
      </w:pPr>
      <w:bookmarkStart w:id="11" w:name="_Toc29770"/>
      <w:r>
        <w:rPr>
          <w:rFonts w:hint="eastAsia" w:ascii="楷体" w:hAnsi="楷体" w:eastAsia="楷体" w:cs="楷体"/>
          <w:snapToGrid/>
          <w:color w:val="auto"/>
          <w:kern w:val="44"/>
          <w:szCs w:val="32"/>
        </w:rPr>
        <w:t>（三）绩效评价指标体系和评价标准</w:t>
      </w:r>
      <w:bookmarkEnd w:id="11"/>
    </w:p>
    <w:p>
      <w:pPr>
        <w:pStyle w:val="14"/>
        <w:widowControl w:val="0"/>
        <w:snapToGrid w:val="0"/>
        <w:spacing w:before="0" w:beforeAutospacing="0" w:after="0" w:afterAutospacing="0" w:line="360" w:lineRule="auto"/>
        <w:ind w:firstLine="640" w:firstLineChars="200"/>
        <w:jc w:val="both"/>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根据《北京市项目支出绩效评价管理办法》，评价工作组结合项目资金使用的具体情况，以资金使用结果为导向，设定了本次评价指标内容和权重，重点对项目决策、过程、产出及效益进行综合评价，详见下表。</w:t>
      </w:r>
    </w:p>
    <w:p>
      <w:pPr>
        <w:pStyle w:val="6"/>
        <w:keepNext w:val="0"/>
        <w:keepLines w:val="0"/>
        <w:pageBreakBefore w:val="0"/>
        <w:widowControl w:val="0"/>
        <w:kinsoku/>
        <w:wordWrap/>
        <w:overflowPunct/>
        <w:topLinePunct w:val="0"/>
        <w:autoSpaceDE/>
        <w:autoSpaceDN/>
        <w:bidi w:val="0"/>
        <w:adjustRightInd/>
        <w:snapToGrid/>
        <w:spacing w:after="0" w:line="460" w:lineRule="exact"/>
        <w:ind w:left="0" w:leftChars="0"/>
        <w:jc w:val="center"/>
        <w:textAlignment w:val="auto"/>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表1：</w:t>
      </w:r>
      <w:r>
        <w:rPr>
          <w:rFonts w:hint="eastAsia" w:ascii="仿宋_GB2312" w:hAnsi="仿宋_GB2312" w:eastAsia="仿宋_GB2312" w:cs="仿宋_GB2312"/>
          <w:b/>
          <w:bCs/>
          <w:color w:val="auto"/>
          <w:sz w:val="28"/>
          <w:szCs w:val="28"/>
          <w:lang w:val="en-US" w:eastAsia="zh-CN"/>
        </w:rPr>
        <w:t>科技信贷支持项目</w:t>
      </w:r>
      <w:r>
        <w:rPr>
          <w:rFonts w:hint="eastAsia" w:ascii="仿宋_GB2312" w:hAnsi="仿宋_GB2312" w:eastAsia="仿宋_GB2312" w:cs="仿宋_GB2312"/>
          <w:b/>
          <w:bCs/>
          <w:color w:val="auto"/>
          <w:sz w:val="28"/>
          <w:szCs w:val="28"/>
        </w:rPr>
        <w:t>绩效评价指标体系</w:t>
      </w:r>
    </w:p>
    <w:tbl>
      <w:tblPr>
        <w:tblStyle w:val="16"/>
        <w:tblW w:w="8202" w:type="dxa"/>
        <w:jc w:val="center"/>
        <w:tblLayout w:type="fixed"/>
        <w:tblCellMar>
          <w:top w:w="0" w:type="dxa"/>
          <w:left w:w="108" w:type="dxa"/>
          <w:bottom w:w="0" w:type="dxa"/>
          <w:right w:w="108" w:type="dxa"/>
        </w:tblCellMar>
      </w:tblPr>
      <w:tblGrid>
        <w:gridCol w:w="1256"/>
        <w:gridCol w:w="1579"/>
        <w:gridCol w:w="851"/>
        <w:gridCol w:w="3778"/>
        <w:gridCol w:w="738"/>
      </w:tblGrid>
      <w:tr>
        <w:tblPrEx>
          <w:tblCellMar>
            <w:top w:w="0" w:type="dxa"/>
            <w:left w:w="108" w:type="dxa"/>
            <w:bottom w:w="0" w:type="dxa"/>
            <w:right w:w="108" w:type="dxa"/>
          </w:tblCellMar>
        </w:tblPrEx>
        <w:trPr>
          <w:trHeight w:val="535" w:hRule="atLeast"/>
          <w:jc w:val="center"/>
        </w:trPr>
        <w:tc>
          <w:tcPr>
            <w:tcW w:w="1256"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b/>
                <w:bCs/>
                <w:color w:val="auto"/>
                <w:kern w:val="0"/>
                <w:sz w:val="20"/>
                <w:szCs w:val="20"/>
              </w:rPr>
            </w:pPr>
            <w:r>
              <w:rPr>
                <w:rFonts w:hint="eastAsia" w:ascii="仿宋_GB2312" w:hAnsi="仿宋_GB2312" w:eastAsia="仿宋_GB2312" w:cs="仿宋_GB2312"/>
                <w:b/>
                <w:bCs/>
                <w:color w:val="auto"/>
                <w:kern w:val="0"/>
                <w:sz w:val="20"/>
                <w:szCs w:val="20"/>
              </w:rPr>
              <w:t>一级指标</w:t>
            </w:r>
          </w:p>
        </w:tc>
        <w:tc>
          <w:tcPr>
            <w:tcW w:w="1579" w:type="dxa"/>
            <w:tcBorders>
              <w:top w:val="single" w:color="auto" w:sz="4" w:space="0"/>
              <w:left w:val="nil"/>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b/>
                <w:bCs/>
                <w:color w:val="auto"/>
                <w:kern w:val="0"/>
                <w:sz w:val="20"/>
                <w:szCs w:val="20"/>
              </w:rPr>
            </w:pPr>
            <w:r>
              <w:rPr>
                <w:rFonts w:hint="eastAsia" w:ascii="仿宋_GB2312" w:hAnsi="仿宋_GB2312" w:eastAsia="仿宋_GB2312" w:cs="仿宋_GB2312"/>
                <w:b/>
                <w:bCs/>
                <w:color w:val="auto"/>
                <w:kern w:val="0"/>
                <w:sz w:val="20"/>
                <w:szCs w:val="20"/>
              </w:rPr>
              <w:t>二级指标</w:t>
            </w:r>
          </w:p>
        </w:tc>
        <w:tc>
          <w:tcPr>
            <w:tcW w:w="851" w:type="dxa"/>
            <w:tcBorders>
              <w:top w:val="single" w:color="auto" w:sz="4" w:space="0"/>
              <w:left w:val="nil"/>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b/>
                <w:bCs/>
                <w:color w:val="auto"/>
                <w:kern w:val="0"/>
                <w:sz w:val="20"/>
                <w:szCs w:val="20"/>
              </w:rPr>
            </w:pPr>
            <w:r>
              <w:rPr>
                <w:rFonts w:hint="eastAsia" w:ascii="仿宋_GB2312" w:hAnsi="仿宋_GB2312" w:eastAsia="仿宋_GB2312" w:cs="仿宋_GB2312"/>
                <w:b/>
                <w:bCs/>
                <w:color w:val="auto"/>
                <w:kern w:val="0"/>
                <w:sz w:val="20"/>
                <w:szCs w:val="20"/>
              </w:rPr>
              <w:t>分值</w:t>
            </w:r>
          </w:p>
        </w:tc>
        <w:tc>
          <w:tcPr>
            <w:tcW w:w="3778" w:type="dxa"/>
            <w:tcBorders>
              <w:top w:val="single" w:color="auto" w:sz="4" w:space="0"/>
              <w:left w:val="nil"/>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b/>
                <w:bCs/>
                <w:color w:val="auto"/>
                <w:kern w:val="0"/>
                <w:sz w:val="20"/>
                <w:szCs w:val="20"/>
              </w:rPr>
            </w:pPr>
            <w:r>
              <w:rPr>
                <w:rFonts w:hint="eastAsia" w:ascii="仿宋_GB2312" w:hAnsi="仿宋_GB2312" w:eastAsia="仿宋_GB2312" w:cs="仿宋_GB2312"/>
                <w:b/>
                <w:bCs/>
                <w:color w:val="auto"/>
                <w:kern w:val="0"/>
                <w:sz w:val="20"/>
                <w:szCs w:val="20"/>
              </w:rPr>
              <w:t>三级指标</w:t>
            </w:r>
          </w:p>
        </w:tc>
        <w:tc>
          <w:tcPr>
            <w:tcW w:w="738" w:type="dxa"/>
            <w:tcBorders>
              <w:top w:val="single" w:color="auto" w:sz="4" w:space="0"/>
              <w:left w:val="nil"/>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b/>
                <w:bCs/>
                <w:color w:val="auto"/>
                <w:kern w:val="0"/>
                <w:sz w:val="20"/>
                <w:szCs w:val="20"/>
              </w:rPr>
            </w:pPr>
            <w:r>
              <w:rPr>
                <w:rFonts w:hint="eastAsia" w:ascii="仿宋_GB2312" w:hAnsi="仿宋_GB2312" w:eastAsia="仿宋_GB2312" w:cs="仿宋_GB2312"/>
                <w:b/>
                <w:bCs/>
                <w:color w:val="auto"/>
                <w:kern w:val="0"/>
                <w:sz w:val="20"/>
                <w:szCs w:val="20"/>
              </w:rPr>
              <w:t>分值</w:t>
            </w:r>
          </w:p>
        </w:tc>
      </w:tr>
      <w:tr>
        <w:tblPrEx>
          <w:tblCellMar>
            <w:top w:w="0" w:type="dxa"/>
            <w:left w:w="108" w:type="dxa"/>
            <w:bottom w:w="0" w:type="dxa"/>
            <w:right w:w="108" w:type="dxa"/>
          </w:tblCellMar>
        </w:tblPrEx>
        <w:trPr>
          <w:trHeight w:val="397" w:hRule="atLeast"/>
          <w:jc w:val="center"/>
        </w:trPr>
        <w:tc>
          <w:tcPr>
            <w:tcW w:w="1256"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决策</w:t>
            </w:r>
          </w:p>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（10分）</w:t>
            </w:r>
          </w:p>
        </w:tc>
        <w:tc>
          <w:tcPr>
            <w:tcW w:w="1579"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项目立项</w:t>
            </w:r>
          </w:p>
        </w:tc>
        <w:tc>
          <w:tcPr>
            <w:tcW w:w="851"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立项依据充分性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1.5</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1579"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立项程序规范性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1.5</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highlight w:val="yellow"/>
              </w:rPr>
            </w:pPr>
          </w:p>
        </w:tc>
        <w:tc>
          <w:tcPr>
            <w:tcW w:w="1579"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绩效目标</w:t>
            </w:r>
          </w:p>
        </w:tc>
        <w:tc>
          <w:tcPr>
            <w:tcW w:w="851"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绩效目标合理性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1.5</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highlight w:val="yellow"/>
              </w:rPr>
            </w:pPr>
          </w:p>
        </w:tc>
        <w:tc>
          <w:tcPr>
            <w:tcW w:w="1579"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绩效指标明确性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1.5</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highlight w:val="yellow"/>
              </w:rPr>
            </w:pPr>
          </w:p>
        </w:tc>
        <w:tc>
          <w:tcPr>
            <w:tcW w:w="1579"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资金投入</w:t>
            </w:r>
          </w:p>
        </w:tc>
        <w:tc>
          <w:tcPr>
            <w:tcW w:w="851"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4</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预算编制科学性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highlight w:val="yellow"/>
              </w:rPr>
            </w:pPr>
          </w:p>
        </w:tc>
        <w:tc>
          <w:tcPr>
            <w:tcW w:w="1579"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资金分配合理性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w:t>
            </w:r>
          </w:p>
        </w:tc>
      </w:tr>
      <w:tr>
        <w:tblPrEx>
          <w:tblCellMar>
            <w:top w:w="0" w:type="dxa"/>
            <w:left w:w="108" w:type="dxa"/>
            <w:bottom w:w="0" w:type="dxa"/>
            <w:right w:w="108" w:type="dxa"/>
          </w:tblCellMar>
        </w:tblPrEx>
        <w:trPr>
          <w:trHeight w:val="397" w:hRule="atLeast"/>
          <w:jc w:val="center"/>
        </w:trPr>
        <w:tc>
          <w:tcPr>
            <w:tcW w:w="1256"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过程</w:t>
            </w:r>
          </w:p>
          <w:p>
            <w:pPr>
              <w:widowControl/>
              <w:adjustRightInd w:val="0"/>
              <w:snapToGrid w:val="0"/>
              <w:jc w:val="center"/>
              <w:rPr>
                <w:rFonts w:ascii="仿宋_GB2312" w:hAnsi="仿宋_GB2312" w:eastAsia="仿宋_GB2312" w:cs="仿宋_GB2312"/>
                <w:color w:val="auto"/>
                <w:kern w:val="0"/>
                <w:sz w:val="20"/>
                <w:szCs w:val="20"/>
                <w:highlight w:val="yellow"/>
              </w:rPr>
            </w:pPr>
            <w:r>
              <w:rPr>
                <w:rFonts w:hint="eastAsia" w:ascii="仿宋_GB2312" w:hAnsi="仿宋_GB2312" w:eastAsia="仿宋_GB2312" w:cs="仿宋_GB2312"/>
                <w:color w:val="auto"/>
                <w:kern w:val="0"/>
                <w:sz w:val="20"/>
                <w:szCs w:val="20"/>
              </w:rPr>
              <w:t>（20分）</w:t>
            </w:r>
          </w:p>
        </w:tc>
        <w:tc>
          <w:tcPr>
            <w:tcW w:w="1579" w:type="dxa"/>
            <w:vMerge w:val="restart"/>
            <w:tcBorders>
              <w:top w:val="single" w:color="auto" w:sz="4" w:space="0"/>
              <w:left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资金管理</w:t>
            </w:r>
          </w:p>
        </w:tc>
        <w:tc>
          <w:tcPr>
            <w:tcW w:w="851" w:type="dxa"/>
            <w:vMerge w:val="restart"/>
            <w:tcBorders>
              <w:top w:val="single" w:color="auto" w:sz="4" w:space="0"/>
              <w:left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12</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资金到位率</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4</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highlight w:val="yellow"/>
              </w:rPr>
            </w:pPr>
          </w:p>
        </w:tc>
        <w:tc>
          <w:tcPr>
            <w:tcW w:w="1579" w:type="dxa"/>
            <w:vMerge w:val="continue"/>
            <w:tcBorders>
              <w:left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851" w:type="dxa"/>
            <w:vMerge w:val="continue"/>
            <w:tcBorders>
              <w:left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预算执行率</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4</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highlight w:val="yellow"/>
              </w:rPr>
            </w:pPr>
          </w:p>
        </w:tc>
        <w:tc>
          <w:tcPr>
            <w:tcW w:w="1579" w:type="dxa"/>
            <w:vMerge w:val="continue"/>
            <w:tcBorders>
              <w:left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p>
        </w:tc>
        <w:tc>
          <w:tcPr>
            <w:tcW w:w="851" w:type="dxa"/>
            <w:vMerge w:val="continue"/>
            <w:tcBorders>
              <w:left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资金使用合规性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4</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highlight w:val="yellow"/>
              </w:rPr>
            </w:pPr>
          </w:p>
        </w:tc>
        <w:tc>
          <w:tcPr>
            <w:tcW w:w="1579"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组织实施</w:t>
            </w:r>
          </w:p>
        </w:tc>
        <w:tc>
          <w:tcPr>
            <w:tcW w:w="851"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8</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管理制度健全性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2</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highlight w:val="yellow"/>
              </w:rPr>
            </w:pPr>
          </w:p>
        </w:tc>
        <w:tc>
          <w:tcPr>
            <w:tcW w:w="1579"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制度执行有效性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6</w:t>
            </w:r>
          </w:p>
        </w:tc>
      </w:tr>
      <w:tr>
        <w:tblPrEx>
          <w:tblCellMar>
            <w:top w:w="0" w:type="dxa"/>
            <w:left w:w="108" w:type="dxa"/>
            <w:bottom w:w="0" w:type="dxa"/>
            <w:right w:w="108" w:type="dxa"/>
          </w:tblCellMar>
        </w:tblPrEx>
        <w:trPr>
          <w:trHeight w:val="447" w:hRule="atLeast"/>
          <w:jc w:val="center"/>
        </w:trPr>
        <w:tc>
          <w:tcPr>
            <w:tcW w:w="1256"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产出</w:t>
            </w:r>
          </w:p>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（40分）</w:t>
            </w:r>
          </w:p>
        </w:tc>
        <w:tc>
          <w:tcPr>
            <w:tcW w:w="157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产出数量</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10</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实际完成率</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10</w:t>
            </w:r>
          </w:p>
        </w:tc>
      </w:tr>
      <w:tr>
        <w:tblPrEx>
          <w:tblCellMar>
            <w:top w:w="0" w:type="dxa"/>
            <w:left w:w="108" w:type="dxa"/>
            <w:bottom w:w="0" w:type="dxa"/>
            <w:right w:w="108" w:type="dxa"/>
          </w:tblCellMar>
        </w:tblPrEx>
        <w:trPr>
          <w:trHeight w:val="420"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157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产出质量</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10</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质量达标率</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10</w:t>
            </w:r>
          </w:p>
        </w:tc>
      </w:tr>
      <w:tr>
        <w:tblPrEx>
          <w:tblCellMar>
            <w:top w:w="0" w:type="dxa"/>
            <w:left w:w="108" w:type="dxa"/>
            <w:bottom w:w="0" w:type="dxa"/>
            <w:right w:w="108" w:type="dxa"/>
          </w:tblCellMar>
        </w:tblPrEx>
        <w:trPr>
          <w:trHeight w:val="42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157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产出时效</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10</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完成及时性</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10</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157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产出成本</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10</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成本节约率</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10</w:t>
            </w:r>
          </w:p>
        </w:tc>
      </w:tr>
      <w:tr>
        <w:tblPrEx>
          <w:tblCellMar>
            <w:top w:w="0" w:type="dxa"/>
            <w:left w:w="108" w:type="dxa"/>
            <w:bottom w:w="0" w:type="dxa"/>
            <w:right w:w="108" w:type="dxa"/>
          </w:tblCellMar>
        </w:tblPrEx>
        <w:trPr>
          <w:trHeight w:val="453" w:hRule="atLeast"/>
          <w:jc w:val="center"/>
        </w:trPr>
        <w:tc>
          <w:tcPr>
            <w:tcW w:w="1256"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效益</w:t>
            </w:r>
          </w:p>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（30分）</w:t>
            </w:r>
          </w:p>
        </w:tc>
        <w:tc>
          <w:tcPr>
            <w:tcW w:w="1579"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项目效益</w:t>
            </w:r>
          </w:p>
        </w:tc>
        <w:tc>
          <w:tcPr>
            <w:tcW w:w="851" w:type="dxa"/>
            <w:vMerge w:val="restart"/>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r>
              <w:rPr>
                <w:rFonts w:hint="eastAsia" w:ascii="仿宋_GB2312" w:hAnsi="仿宋_GB2312" w:eastAsia="仿宋_GB2312" w:cs="仿宋_GB2312"/>
                <w:color w:val="auto"/>
                <w:kern w:val="0"/>
                <w:sz w:val="20"/>
                <w:szCs w:val="20"/>
              </w:rPr>
              <w:t>30</w:t>
            </w:r>
          </w:p>
        </w:tc>
        <w:tc>
          <w:tcPr>
            <w:tcW w:w="3778" w:type="dxa"/>
            <w:tcBorders>
              <w:top w:val="single" w:color="auto" w:sz="4" w:space="0"/>
              <w:left w:val="single" w:color="auto" w:sz="4" w:space="0"/>
              <w:right w:val="single" w:color="auto" w:sz="4" w:space="0"/>
            </w:tcBorders>
            <w:noWrap/>
            <w:vAlign w:val="center"/>
          </w:tcPr>
          <w:p>
            <w:pPr>
              <w:widowControl/>
              <w:adjustRightInd w:val="0"/>
              <w:snapToGrid w:val="0"/>
              <w:jc w:val="center"/>
              <w:rPr>
                <w:rFonts w:hint="default"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项目效益</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hint="default"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w:t>
            </w:r>
          </w:p>
        </w:tc>
      </w:tr>
      <w:tr>
        <w:tblPrEx>
          <w:tblCellMar>
            <w:top w:w="0" w:type="dxa"/>
            <w:left w:w="108" w:type="dxa"/>
            <w:bottom w:w="0" w:type="dxa"/>
            <w:right w:w="108" w:type="dxa"/>
          </w:tblCellMar>
        </w:tblPrEx>
        <w:trPr>
          <w:trHeight w:val="397" w:hRule="atLeast"/>
          <w:jc w:val="center"/>
        </w:trPr>
        <w:tc>
          <w:tcPr>
            <w:tcW w:w="1256"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1579"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left"/>
              <w:rPr>
                <w:rFonts w:ascii="仿宋_GB2312" w:hAnsi="仿宋_GB2312" w:eastAsia="仿宋_GB2312" w:cs="仿宋_GB2312"/>
                <w:color w:val="auto"/>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rPr>
            </w:pP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服务对象满意度</w:t>
            </w: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hint="default"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w:t>
            </w:r>
          </w:p>
        </w:tc>
      </w:tr>
      <w:tr>
        <w:tblPrEx>
          <w:tblCellMar>
            <w:top w:w="0" w:type="dxa"/>
            <w:left w:w="108" w:type="dxa"/>
            <w:bottom w:w="0" w:type="dxa"/>
            <w:right w:w="108" w:type="dxa"/>
          </w:tblCellMar>
        </w:tblPrEx>
        <w:trPr>
          <w:trHeight w:val="397" w:hRule="atLeast"/>
          <w:jc w:val="center"/>
        </w:trPr>
        <w:tc>
          <w:tcPr>
            <w:tcW w:w="2835"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合计</w:t>
            </w:r>
          </w:p>
        </w:tc>
        <w:tc>
          <w:tcPr>
            <w:tcW w:w="851"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100</w:t>
            </w:r>
          </w:p>
        </w:tc>
        <w:tc>
          <w:tcPr>
            <w:tcW w:w="377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hint="eastAsia" w:ascii="仿宋_GB2312" w:hAnsi="仿宋_GB2312" w:eastAsia="仿宋_GB2312" w:cs="仿宋_GB2312"/>
                <w:color w:val="auto"/>
                <w:kern w:val="0"/>
                <w:sz w:val="20"/>
                <w:szCs w:val="20"/>
                <w:highlight w:val="yellow"/>
              </w:rPr>
            </w:pPr>
          </w:p>
        </w:tc>
        <w:tc>
          <w:tcPr>
            <w:tcW w:w="738"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hint="default"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r>
    </w:tbl>
    <w:p>
      <w:pPr>
        <w:pStyle w:val="3"/>
        <w:pageBreakBefore w:val="0"/>
        <w:kinsoku/>
        <w:wordWrap/>
        <w:overflowPunct/>
        <w:topLinePunct w:val="0"/>
        <w:autoSpaceDE/>
        <w:autoSpaceDN/>
        <w:bidi w:val="0"/>
        <w:adjustRightInd w:val="0"/>
        <w:snapToGrid w:val="0"/>
        <w:spacing w:line="360" w:lineRule="auto"/>
        <w:textAlignment w:val="auto"/>
        <w:rPr>
          <w:rFonts w:hint="eastAsia" w:ascii="楷体" w:hAnsi="楷体" w:eastAsia="楷体" w:cs="楷体"/>
          <w:snapToGrid/>
          <w:color w:val="auto"/>
          <w:kern w:val="44"/>
          <w:szCs w:val="32"/>
          <w:lang w:val="en-US" w:eastAsia="zh-CN"/>
        </w:rPr>
      </w:pPr>
      <w:bookmarkStart w:id="12" w:name="_Toc9107"/>
      <w:r>
        <w:rPr>
          <w:rFonts w:hint="eastAsia" w:ascii="楷体" w:hAnsi="楷体" w:eastAsia="楷体" w:cs="楷体"/>
          <w:snapToGrid/>
          <w:color w:val="auto"/>
          <w:kern w:val="44"/>
          <w:szCs w:val="32"/>
        </w:rPr>
        <w:t>（四）绩效评价工作过程</w:t>
      </w:r>
      <w:bookmarkEnd w:id="12"/>
    </w:p>
    <w:p>
      <w:pPr>
        <w:pStyle w:val="14"/>
        <w:pageBreakBefore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1.前期准备</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一是组建评价工作组。项目评价工作组成员为5名，设组长1名，小组成员4名，明确组长及成员职责。</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二是编制评价方案。为了保证评价方案的可操作性，评价工作组通过了解项目实施背景、立项依据、绩效目标、项目管理及完成绩效，确定评价工作重点和拟采用的评价方法，并对相关材料进行认真分析，结合市科委、中关村管委会</w:t>
      </w:r>
      <w:r>
        <w:rPr>
          <w:rFonts w:hint="eastAsia" w:ascii="仿宋_GB2312" w:hAnsi="仿宋_GB2312" w:eastAsia="仿宋_GB2312" w:cs="仿宋_GB2312"/>
          <w:color w:val="auto"/>
          <w:kern w:val="2"/>
          <w:sz w:val="32"/>
          <w:szCs w:val="32"/>
          <w:highlight w:val="none"/>
        </w:rPr>
        <w:t>202</w:t>
      </w:r>
      <w:r>
        <w:rPr>
          <w:rFonts w:hint="eastAsia" w:ascii="仿宋_GB2312" w:hAnsi="仿宋_GB2312" w:eastAsia="仿宋_GB2312" w:cs="仿宋_GB2312"/>
          <w:color w:val="auto"/>
          <w:kern w:val="2"/>
          <w:sz w:val="32"/>
          <w:szCs w:val="32"/>
          <w:highlight w:val="none"/>
          <w:lang w:val="en-US" w:eastAsia="zh-CN"/>
        </w:rPr>
        <w:t>3</w:t>
      </w:r>
      <w:r>
        <w:rPr>
          <w:rFonts w:hint="eastAsia" w:ascii="仿宋_GB2312" w:hAnsi="仿宋_GB2312" w:eastAsia="仿宋_GB2312" w:cs="仿宋_GB2312"/>
          <w:color w:val="auto"/>
          <w:kern w:val="2"/>
          <w:sz w:val="32"/>
          <w:szCs w:val="32"/>
          <w:highlight w:val="none"/>
        </w:rPr>
        <w:t>年度</w:t>
      </w:r>
      <w:r>
        <w:rPr>
          <w:rFonts w:hint="eastAsia" w:ascii="仿宋_GB2312" w:hAnsi="仿宋_GB2312" w:eastAsia="仿宋_GB2312" w:cs="仿宋_GB2312"/>
          <w:color w:val="auto"/>
          <w:kern w:val="2"/>
          <w:sz w:val="32"/>
          <w:szCs w:val="32"/>
        </w:rPr>
        <w:t>绩效评价工作要求合理安排评价工作进度，在此基础上形成最终评价方案。</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三是指导单位开展自评。被评价单位根据绩效评价相关管理办法，开展自评工作，收集、整理绩效材料，撰写财政支出项目绩效报告。</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2.现场核查</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一是了解绩效目标设立及完成情况。评价工作组通过查阅项目申报文本等资料，了解预期绩效目标设立情况，并将反映项目完成结果的相关材料与各项预期绩效目标进行比对，评价项目绩效目标的完成情况。</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二是了解项目效益实现情况。项目实现的效益情况，主要是参考</w:t>
      </w:r>
      <w:r>
        <w:rPr>
          <w:rFonts w:hint="eastAsia" w:ascii="仿宋_GB2312" w:hAnsi="仿宋_GB2312" w:eastAsia="仿宋_GB2312" w:cs="仿宋_GB2312"/>
          <w:color w:val="auto"/>
          <w:kern w:val="2"/>
          <w:sz w:val="32"/>
          <w:szCs w:val="32"/>
          <w:highlight w:val="none"/>
          <w:lang w:val="en-US" w:eastAsia="zh-CN"/>
        </w:rPr>
        <w:t>市科委、中关村管委会</w:t>
      </w:r>
      <w:r>
        <w:rPr>
          <w:rFonts w:hint="eastAsia" w:ascii="仿宋_GB2312" w:hAnsi="仿宋_GB2312" w:eastAsia="仿宋_GB2312" w:cs="仿宋_GB2312"/>
          <w:color w:val="auto"/>
          <w:kern w:val="2"/>
          <w:sz w:val="32"/>
          <w:szCs w:val="32"/>
          <w:highlight w:val="none"/>
        </w:rPr>
        <w:t>提供的项目社会效益、服务对象满意度等相关资料情况，评价工作组充分了解项目的效益情况，重点评价项目实施后的</w:t>
      </w:r>
      <w:r>
        <w:rPr>
          <w:rFonts w:hint="eastAsia" w:ascii="仿宋_GB2312" w:hAnsi="仿宋_GB2312" w:eastAsia="仿宋_GB2312" w:cs="仿宋_GB2312"/>
          <w:color w:val="auto"/>
          <w:kern w:val="2"/>
          <w:sz w:val="32"/>
          <w:szCs w:val="32"/>
          <w:highlight w:val="none"/>
          <w:lang w:val="en-US" w:eastAsia="zh-CN"/>
        </w:rPr>
        <w:t>经济效益、</w:t>
      </w:r>
      <w:r>
        <w:rPr>
          <w:rFonts w:hint="eastAsia" w:ascii="仿宋_GB2312" w:hAnsi="仿宋_GB2312" w:eastAsia="仿宋_GB2312" w:cs="仿宋_GB2312"/>
          <w:color w:val="auto"/>
          <w:kern w:val="2"/>
          <w:sz w:val="32"/>
          <w:szCs w:val="32"/>
          <w:highlight w:val="none"/>
        </w:rPr>
        <w:t>社会效益、可持续影响及项目服务对象满意度，结合</w:t>
      </w:r>
      <w:r>
        <w:rPr>
          <w:rFonts w:hint="eastAsia" w:ascii="仿宋_GB2312" w:hAnsi="仿宋_GB2312" w:eastAsia="仿宋_GB2312" w:cs="仿宋_GB2312"/>
          <w:color w:val="auto"/>
          <w:kern w:val="2"/>
          <w:sz w:val="32"/>
          <w:szCs w:val="32"/>
          <w:highlight w:val="none"/>
          <w:lang w:val="en-US" w:eastAsia="zh-CN"/>
        </w:rPr>
        <w:t>社会</w:t>
      </w:r>
      <w:r>
        <w:rPr>
          <w:rFonts w:hint="eastAsia" w:ascii="仿宋_GB2312" w:hAnsi="仿宋_GB2312" w:eastAsia="仿宋_GB2312" w:cs="仿宋_GB2312"/>
          <w:color w:val="auto"/>
          <w:kern w:val="2"/>
          <w:sz w:val="32"/>
          <w:szCs w:val="32"/>
          <w:highlight w:val="none"/>
        </w:rPr>
        <w:t>现状综合评价效益实现情况。</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3.专家评价</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一是进行资料信息汇总。评价工作组在充分调研的基础上，对项目资料进行逐一核实。工作组按照指标体系内容和评价重点，对资料进行分类整理</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形成专家资料手册，供专家审阅评议。</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rPr>
        <w:t>二是召开专家评价会。根据项目特点，评价工作组遴选5名专家（其中业务专家2名，管理专家2名，财务专家1名），组成专家评价组，对项目资料进行审</w:t>
      </w:r>
      <w:r>
        <w:rPr>
          <w:rFonts w:hint="eastAsia" w:ascii="仿宋_GB2312" w:hAnsi="仿宋_GB2312" w:eastAsia="仿宋_GB2312" w:cs="仿宋_GB2312"/>
          <w:color w:val="auto"/>
          <w:kern w:val="2"/>
          <w:sz w:val="32"/>
          <w:szCs w:val="32"/>
          <w:highlight w:val="none"/>
        </w:rPr>
        <w:t>核。202</w:t>
      </w:r>
      <w:r>
        <w:rPr>
          <w:rFonts w:hint="eastAsia" w:ascii="仿宋_GB2312" w:hAnsi="仿宋_GB2312" w:eastAsia="仿宋_GB2312" w:cs="仿宋_GB2312"/>
          <w:color w:val="auto"/>
          <w:kern w:val="2"/>
          <w:sz w:val="32"/>
          <w:szCs w:val="32"/>
          <w:highlight w:val="none"/>
          <w:lang w:val="en-US" w:eastAsia="zh-CN"/>
        </w:rPr>
        <w:t>3</w:t>
      </w:r>
      <w:r>
        <w:rPr>
          <w:rFonts w:hint="eastAsia" w:ascii="仿宋_GB2312" w:hAnsi="仿宋_GB2312" w:eastAsia="仿宋_GB2312" w:cs="仿宋_GB2312"/>
          <w:color w:val="auto"/>
          <w:kern w:val="2"/>
          <w:sz w:val="32"/>
          <w:szCs w:val="32"/>
          <w:highlight w:val="none"/>
        </w:rPr>
        <w:t>年</w:t>
      </w:r>
      <w:r>
        <w:rPr>
          <w:rFonts w:hint="eastAsia" w:ascii="仿宋_GB2312" w:hAnsi="仿宋_GB2312" w:eastAsia="仿宋_GB2312" w:cs="仿宋_GB2312"/>
          <w:color w:val="auto"/>
          <w:kern w:val="2"/>
          <w:sz w:val="32"/>
          <w:szCs w:val="32"/>
          <w:highlight w:val="none"/>
          <w:lang w:val="en-US" w:eastAsia="zh-CN"/>
        </w:rPr>
        <w:t>5月25日和6</w:t>
      </w:r>
      <w:r>
        <w:rPr>
          <w:rFonts w:hint="eastAsia" w:ascii="仿宋_GB2312" w:hAnsi="仿宋_GB2312" w:eastAsia="仿宋_GB2312" w:cs="仿宋_GB2312"/>
          <w:color w:val="auto"/>
          <w:kern w:val="2"/>
          <w:sz w:val="32"/>
          <w:szCs w:val="32"/>
          <w:highlight w:val="none"/>
        </w:rPr>
        <w:t>月1日，评价工作组召集专家组</w:t>
      </w:r>
      <w:r>
        <w:rPr>
          <w:rFonts w:ascii="仿宋_GB2312" w:hAnsi="仿宋_GB2312" w:eastAsia="仿宋_GB2312" w:cs="仿宋_GB2312"/>
          <w:color w:val="auto"/>
          <w:kern w:val="2"/>
          <w:sz w:val="32"/>
          <w:szCs w:val="32"/>
          <w:highlight w:val="none"/>
        </w:rPr>
        <w:t>、</w:t>
      </w:r>
      <w:r>
        <w:rPr>
          <w:rFonts w:hint="eastAsia" w:ascii="仿宋_GB2312" w:hAnsi="仿宋_GB2312" w:eastAsia="仿宋_GB2312" w:cs="仿宋_GB2312"/>
          <w:color w:val="auto"/>
          <w:kern w:val="2"/>
          <w:sz w:val="32"/>
          <w:szCs w:val="32"/>
          <w:highlight w:val="none"/>
          <w:lang w:eastAsia="zh-CN"/>
        </w:rPr>
        <w:t>人大代表</w:t>
      </w:r>
      <w:r>
        <w:rPr>
          <w:rFonts w:hint="eastAsia" w:ascii="仿宋_GB2312" w:hAnsi="仿宋_GB2312" w:eastAsia="仿宋_GB2312" w:cs="仿宋_GB2312"/>
          <w:color w:val="auto"/>
          <w:kern w:val="2"/>
          <w:sz w:val="32"/>
          <w:szCs w:val="32"/>
          <w:highlight w:val="none"/>
          <w:lang w:val="en-US" w:eastAsia="zh-CN"/>
        </w:rPr>
        <w:t>以及市科委、中关村管委会</w:t>
      </w:r>
      <w:r>
        <w:rPr>
          <w:rFonts w:hint="eastAsia" w:ascii="仿宋_GB2312" w:hAnsi="仿宋_GB2312" w:eastAsia="仿宋_GB2312" w:cs="仿宋_GB2312"/>
          <w:color w:val="auto"/>
          <w:kern w:val="2"/>
          <w:sz w:val="32"/>
          <w:szCs w:val="32"/>
          <w:highlight w:val="none"/>
        </w:rPr>
        <w:t>召开</w:t>
      </w:r>
      <w:r>
        <w:rPr>
          <w:rFonts w:hint="eastAsia" w:ascii="仿宋_GB2312" w:hAnsi="仿宋_GB2312" w:eastAsia="仿宋_GB2312" w:cs="仿宋_GB2312"/>
          <w:color w:val="auto"/>
          <w:kern w:val="2"/>
          <w:sz w:val="32"/>
          <w:szCs w:val="32"/>
          <w:highlight w:val="none"/>
          <w:lang w:val="en-US" w:eastAsia="zh-CN"/>
        </w:rPr>
        <w:t>了专家评价预备会和</w:t>
      </w:r>
      <w:r>
        <w:rPr>
          <w:rFonts w:hint="eastAsia" w:ascii="仿宋_GB2312" w:hAnsi="仿宋_GB2312" w:eastAsia="仿宋_GB2312" w:cs="仿宋_GB2312"/>
          <w:color w:val="auto"/>
          <w:kern w:val="2"/>
          <w:sz w:val="32"/>
          <w:szCs w:val="32"/>
          <w:highlight w:val="none"/>
        </w:rPr>
        <w:t>专家评价</w:t>
      </w:r>
      <w:r>
        <w:rPr>
          <w:rFonts w:hint="eastAsia" w:ascii="仿宋_GB2312" w:hAnsi="仿宋_GB2312" w:eastAsia="仿宋_GB2312" w:cs="仿宋_GB2312"/>
          <w:color w:val="auto"/>
          <w:kern w:val="2"/>
          <w:sz w:val="32"/>
          <w:szCs w:val="32"/>
          <w:highlight w:val="none"/>
          <w:lang w:val="en-US" w:eastAsia="zh-CN"/>
        </w:rPr>
        <w:t>正式</w:t>
      </w:r>
      <w:r>
        <w:rPr>
          <w:rFonts w:hint="eastAsia" w:ascii="仿宋_GB2312" w:hAnsi="仿宋_GB2312" w:eastAsia="仿宋_GB2312" w:cs="仿宋_GB2312"/>
          <w:color w:val="auto"/>
          <w:kern w:val="2"/>
          <w:sz w:val="32"/>
          <w:szCs w:val="32"/>
          <w:highlight w:val="none"/>
        </w:rPr>
        <w:t>会。评价会上，专家组与</w:t>
      </w:r>
      <w:r>
        <w:rPr>
          <w:rFonts w:hint="eastAsia" w:ascii="仿宋_GB2312" w:hAnsi="仿宋_GB2312" w:eastAsia="仿宋_GB2312" w:cs="仿宋_GB2312"/>
          <w:color w:val="auto"/>
          <w:kern w:val="2"/>
          <w:sz w:val="32"/>
          <w:szCs w:val="32"/>
          <w:highlight w:val="none"/>
          <w:lang w:val="en-US" w:eastAsia="zh-CN"/>
        </w:rPr>
        <w:t>市科委、中关村管委会</w:t>
      </w:r>
      <w:r>
        <w:rPr>
          <w:rFonts w:hint="eastAsia" w:ascii="仿宋_GB2312" w:hAnsi="仿宋_GB2312" w:eastAsia="仿宋_GB2312" w:cs="仿宋_GB2312"/>
          <w:color w:val="auto"/>
          <w:kern w:val="2"/>
          <w:sz w:val="32"/>
          <w:szCs w:val="32"/>
          <w:highlight w:val="none"/>
        </w:rPr>
        <w:t>进行了充分讨论和沟通，最终由专家组结合绩效评价指标进行打分，出具评价意见。</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4.形成绩效评价报告</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rPr>
        <w:t>评价工作组根据专家意见，完成绩效评价报告初稿的撰写工作</w:t>
      </w:r>
      <w:r>
        <w:rPr>
          <w:rFonts w:hint="eastAsia" w:ascii="仿宋_GB2312" w:hAnsi="仿宋_GB2312" w:eastAsia="仿宋_GB2312" w:cs="仿宋_GB2312"/>
          <w:color w:val="auto"/>
          <w:kern w:val="2"/>
          <w:sz w:val="32"/>
          <w:szCs w:val="32"/>
          <w:highlight w:val="none"/>
        </w:rPr>
        <w:t>。经与</w:t>
      </w:r>
      <w:r>
        <w:rPr>
          <w:rFonts w:hint="eastAsia" w:ascii="仿宋_GB2312" w:hAnsi="仿宋_GB2312" w:eastAsia="仿宋_GB2312" w:cs="仿宋_GB2312"/>
          <w:kern w:val="2"/>
          <w:sz w:val="32"/>
          <w:szCs w:val="32"/>
          <w:highlight w:val="none"/>
          <w:lang w:eastAsia="zh-CN"/>
        </w:rPr>
        <w:t>市科委、中关村管委会</w:t>
      </w:r>
      <w:r>
        <w:rPr>
          <w:rFonts w:hint="eastAsia" w:ascii="仿宋_GB2312" w:hAnsi="仿宋_GB2312" w:eastAsia="仿宋_GB2312" w:cs="仿宋_GB2312"/>
          <w:color w:val="auto"/>
          <w:kern w:val="2"/>
          <w:sz w:val="32"/>
          <w:szCs w:val="32"/>
          <w:highlight w:val="none"/>
        </w:rPr>
        <w:t>沟通反馈后，形成评价报告终稿。</w:t>
      </w:r>
    </w:p>
    <w:p>
      <w:pPr>
        <w:pStyle w:val="3"/>
        <w:pageBreakBefore w:val="0"/>
        <w:kinsoku/>
        <w:wordWrap/>
        <w:overflowPunct/>
        <w:topLinePunct w:val="0"/>
        <w:autoSpaceDE/>
        <w:autoSpaceDN/>
        <w:bidi w:val="0"/>
        <w:adjustRightInd w:val="0"/>
        <w:snapToGrid w:val="0"/>
        <w:spacing w:line="360" w:lineRule="auto"/>
        <w:textAlignment w:val="auto"/>
        <w:rPr>
          <w:rFonts w:ascii="黑体" w:hAnsi="黑体" w:eastAsia="黑体" w:cs="黑体"/>
          <w:color w:val="auto"/>
          <w:szCs w:val="32"/>
        </w:rPr>
      </w:pPr>
      <w:bookmarkStart w:id="13" w:name="_Toc11964"/>
      <w:r>
        <w:rPr>
          <w:rFonts w:hint="eastAsia" w:ascii="黑体" w:hAnsi="黑体" w:eastAsia="黑体" w:cs="黑体"/>
          <w:color w:val="auto"/>
          <w:szCs w:val="32"/>
        </w:rPr>
        <w:t>三、综合评价情况及评价结论</w:t>
      </w:r>
      <w:bookmarkEnd w:id="13"/>
    </w:p>
    <w:p>
      <w:pPr>
        <w:pStyle w:val="14"/>
        <w:pageBreakBefore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经专家评议，</w:t>
      </w:r>
      <w:bookmarkStart w:id="14" w:name="_Toc26552"/>
      <w:r>
        <w:rPr>
          <w:rFonts w:hint="eastAsia" w:ascii="仿宋_GB2312" w:hAnsi="仿宋_GB2312" w:eastAsia="仿宋_GB2312" w:cs="仿宋_GB2312"/>
          <w:color w:val="auto"/>
          <w:kern w:val="2"/>
          <w:sz w:val="32"/>
          <w:szCs w:val="32"/>
        </w:rPr>
        <w:t>综合得分83.96分，其中，项目决策9.</w:t>
      </w:r>
      <w:r>
        <w:rPr>
          <w:rFonts w:hint="eastAsia" w:ascii="仿宋_GB2312" w:hAnsi="仿宋_GB2312" w:eastAsia="仿宋_GB2312" w:cs="仿宋_GB2312"/>
          <w:color w:val="auto"/>
          <w:kern w:val="2"/>
          <w:sz w:val="32"/>
          <w:szCs w:val="32"/>
          <w:lang w:val="en-US" w:eastAsia="zh-CN"/>
        </w:rPr>
        <w:t>0</w:t>
      </w:r>
      <w:r>
        <w:rPr>
          <w:rFonts w:hint="eastAsia" w:ascii="仿宋_GB2312" w:hAnsi="仿宋_GB2312" w:eastAsia="仿宋_GB2312" w:cs="仿宋_GB2312"/>
          <w:color w:val="auto"/>
          <w:kern w:val="2"/>
          <w:sz w:val="32"/>
          <w:szCs w:val="32"/>
        </w:rPr>
        <w:t>3分，项目过程17.13分，项目产出33.90分，项目效益23.90分，项目绩效级别为“良”。总体来看，项目立项依据充分，过程管理和资金管理较规范，实现了项目预期产出指标，对于科创型中小企业的融资难、融资贵问题在支持的范围内得到了一定程度的解决。</w:t>
      </w:r>
      <w:bookmarkEnd w:id="14"/>
      <w:r>
        <w:rPr>
          <w:rFonts w:hint="eastAsia" w:ascii="仿宋_GB2312" w:hAnsi="仿宋_GB2312" w:eastAsia="仿宋_GB2312" w:cs="仿宋_GB2312"/>
          <w:color w:val="auto"/>
          <w:kern w:val="2"/>
          <w:sz w:val="32"/>
          <w:szCs w:val="32"/>
        </w:rPr>
        <w:t>但评价发现，</w:t>
      </w:r>
      <w:r>
        <w:rPr>
          <w:rFonts w:hint="eastAsia" w:ascii="仿宋_GB2312" w:hAnsi="仿宋_GB2312" w:eastAsia="仿宋_GB2312" w:cs="仿宋_GB2312"/>
          <w:color w:val="auto"/>
          <w:kern w:val="2"/>
          <w:sz w:val="32"/>
          <w:szCs w:val="32"/>
          <w:lang w:eastAsia="zh-CN"/>
        </w:rPr>
        <w:t>该项目</w:t>
      </w:r>
      <w:r>
        <w:rPr>
          <w:rFonts w:hint="eastAsia" w:ascii="仿宋_GB2312" w:hAnsi="仿宋_GB2312" w:eastAsia="仿宋_GB2312" w:cs="仿宋_GB2312"/>
          <w:color w:val="auto"/>
          <w:kern w:val="2"/>
          <w:sz w:val="32"/>
          <w:szCs w:val="32"/>
        </w:rPr>
        <w:t>绩效目标有待进一步优化，</w:t>
      </w:r>
      <w:r>
        <w:rPr>
          <w:rFonts w:hint="eastAsia" w:ascii="仿宋_GB2312" w:hAnsi="仿宋_GB2312" w:eastAsia="仿宋_GB2312" w:cs="仿宋_GB2312"/>
          <w:color w:val="auto"/>
          <w:kern w:val="2"/>
          <w:sz w:val="32"/>
          <w:szCs w:val="32"/>
          <w:lang w:val="en-US" w:eastAsia="zh-CN"/>
        </w:rPr>
        <w:t>受政策调整与资金统筹管理衔接影响，</w:t>
      </w:r>
      <w:r>
        <w:rPr>
          <w:rFonts w:hint="eastAsia" w:ascii="仿宋_GB2312" w:hAnsi="仿宋_GB2312" w:eastAsia="仿宋_GB2312" w:cs="仿宋_GB2312"/>
          <w:color w:val="auto"/>
          <w:kern w:val="2"/>
          <w:sz w:val="32"/>
          <w:szCs w:val="32"/>
          <w:lang w:eastAsia="zh-CN"/>
        </w:rPr>
        <w:t>项目</w:t>
      </w:r>
      <w:r>
        <w:rPr>
          <w:rFonts w:hint="eastAsia" w:ascii="仿宋_GB2312" w:hAnsi="仿宋_GB2312" w:eastAsia="仿宋_GB2312" w:cs="仿宋_GB2312"/>
          <w:color w:val="auto"/>
          <w:kern w:val="2"/>
          <w:sz w:val="32"/>
          <w:szCs w:val="32"/>
        </w:rPr>
        <w:t>年度预算执行率偏低。</w:t>
      </w:r>
    </w:p>
    <w:p>
      <w:pPr>
        <w:pStyle w:val="3"/>
        <w:pageBreakBefore w:val="0"/>
        <w:kinsoku/>
        <w:wordWrap/>
        <w:overflowPunct/>
        <w:topLinePunct w:val="0"/>
        <w:autoSpaceDE/>
        <w:autoSpaceDN/>
        <w:bidi w:val="0"/>
        <w:adjustRightInd w:val="0"/>
        <w:snapToGrid w:val="0"/>
        <w:spacing w:line="360" w:lineRule="auto"/>
        <w:textAlignment w:val="auto"/>
        <w:rPr>
          <w:rFonts w:ascii="黑体" w:hAnsi="黑体" w:eastAsia="黑体" w:cs="黑体"/>
          <w:color w:val="auto"/>
          <w:szCs w:val="32"/>
        </w:rPr>
      </w:pPr>
      <w:bookmarkStart w:id="15" w:name="_Toc15715"/>
      <w:r>
        <w:rPr>
          <w:rFonts w:hint="eastAsia" w:ascii="黑体" w:hAnsi="黑体" w:eastAsia="黑体" w:cs="黑体"/>
          <w:color w:val="auto"/>
          <w:szCs w:val="32"/>
        </w:rPr>
        <w:t>四、绩效评价指标分析</w:t>
      </w:r>
      <w:bookmarkEnd w:id="15"/>
    </w:p>
    <w:p>
      <w:pPr>
        <w:pageBreakBefore w:val="0"/>
        <w:kinsoku/>
        <w:wordWrap/>
        <w:overflowPunct/>
        <w:topLinePunct w:val="0"/>
        <w:autoSpaceDE/>
        <w:autoSpaceDN/>
        <w:bidi w:val="0"/>
        <w:adjustRightInd w:val="0"/>
        <w:snapToGrid w:val="0"/>
        <w:spacing w:line="360" w:lineRule="auto"/>
        <w:ind w:firstLine="643" w:firstLineChars="200"/>
        <w:textAlignment w:val="auto"/>
        <w:outlineLvl w:val="1"/>
        <w:rPr>
          <w:rFonts w:ascii="楷体" w:hAnsi="楷体" w:eastAsia="楷体" w:cs="楷体"/>
          <w:b/>
          <w:bCs/>
          <w:color w:val="auto"/>
          <w:sz w:val="32"/>
          <w:szCs w:val="32"/>
        </w:rPr>
      </w:pPr>
      <w:bookmarkStart w:id="16" w:name="_Toc20346"/>
      <w:r>
        <w:rPr>
          <w:rFonts w:hint="eastAsia" w:ascii="楷体" w:hAnsi="楷体" w:eastAsia="楷体" w:cs="楷体"/>
          <w:b/>
          <w:bCs/>
          <w:color w:val="auto"/>
          <w:sz w:val="32"/>
          <w:szCs w:val="32"/>
        </w:rPr>
        <w:t>（一）项目决策情况</w:t>
      </w:r>
      <w:bookmarkEnd w:id="16"/>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1.项目立项情况</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rPr>
        <w:t>（1）立项依据充分性分析</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highlight w:val="none"/>
        </w:rPr>
      </w:pPr>
      <w:r>
        <w:rPr>
          <w:rFonts w:hint="eastAsia" w:ascii="仿宋_GB2312" w:hAnsi="仿宋_GB2312" w:eastAsia="仿宋_GB2312" w:cs="仿宋_GB2312"/>
          <w:color w:val="auto"/>
          <w:kern w:val="2"/>
          <w:sz w:val="32"/>
          <w:szCs w:val="32"/>
          <w:highlight w:val="none"/>
          <w:lang w:val="en-US" w:eastAsia="zh-CN"/>
        </w:rPr>
        <w:t>项目立项与</w:t>
      </w:r>
      <w:r>
        <w:rPr>
          <w:rFonts w:hint="eastAsia" w:ascii="仿宋_GB2312" w:hAnsi="仿宋_GB2312" w:eastAsia="仿宋_GB2312" w:cs="仿宋_GB2312"/>
          <w:color w:val="auto"/>
          <w:kern w:val="2"/>
          <w:sz w:val="32"/>
          <w:szCs w:val="32"/>
          <w:highlight w:val="none"/>
        </w:rPr>
        <w:t>《进一步完善北京民营和小微企业金融服务体制机制行动方案（2021-2023年）》《关于中关村国家自主创新示范区建设国家科技金融创新中心的意见》《“十四五”时期中关村国家自主创新示范区发展建设规划》《中关村国家自主创新示范区促进科技金融深度融合创新发展支持资金管理办法》</w:t>
      </w:r>
      <w:r>
        <w:rPr>
          <w:rFonts w:hint="eastAsia" w:ascii="仿宋_GB2312" w:hAnsi="仿宋_GB2312" w:eastAsia="仿宋_GB2312" w:cs="仿宋_GB2312"/>
          <w:color w:val="auto"/>
          <w:kern w:val="2"/>
          <w:sz w:val="32"/>
          <w:szCs w:val="32"/>
          <w:highlight w:val="none"/>
          <w:lang w:val="en-US" w:eastAsia="zh-CN"/>
        </w:rPr>
        <w:t>相关要求及实施细则相符，主要是为了</w:t>
      </w:r>
      <w:r>
        <w:rPr>
          <w:rFonts w:hint="eastAsia" w:ascii="仿宋_GB2312" w:hAnsi="仿宋_GB2312" w:eastAsia="仿宋_GB2312" w:cs="仿宋_GB2312"/>
          <w:color w:val="auto"/>
          <w:kern w:val="2"/>
          <w:sz w:val="32"/>
          <w:szCs w:val="32"/>
          <w:highlight w:val="none"/>
        </w:rPr>
        <w:t>建立健全</w:t>
      </w:r>
      <w:r>
        <w:rPr>
          <w:rFonts w:hint="eastAsia" w:ascii="仿宋_GB2312" w:hAnsi="仿宋_GB2312" w:eastAsia="仿宋_GB2312" w:cs="仿宋_GB2312"/>
          <w:color w:val="auto"/>
          <w:kern w:val="2"/>
          <w:sz w:val="32"/>
          <w:szCs w:val="32"/>
          <w:highlight w:val="none"/>
          <w:lang w:val="en-US" w:eastAsia="zh-CN"/>
        </w:rPr>
        <w:t>北京</w:t>
      </w:r>
      <w:r>
        <w:rPr>
          <w:rFonts w:hint="eastAsia" w:ascii="仿宋_GB2312" w:hAnsi="仿宋_GB2312" w:eastAsia="仿宋_GB2312" w:cs="仿宋_GB2312"/>
          <w:color w:val="auto"/>
          <w:kern w:val="2"/>
          <w:sz w:val="32"/>
          <w:szCs w:val="32"/>
          <w:highlight w:val="none"/>
        </w:rPr>
        <w:t>市知识产权质押融资风险补偿和成本分担机制，提高知识产权质押融资的可获得性，降低企业综合融资成本，</w:t>
      </w:r>
      <w:r>
        <w:rPr>
          <w:rFonts w:hint="eastAsia" w:ascii="仿宋_GB2312" w:hAnsi="仿宋_GB2312" w:eastAsia="仿宋_GB2312" w:cs="仿宋_GB2312"/>
          <w:color w:val="auto"/>
          <w:kern w:val="2"/>
          <w:sz w:val="32"/>
          <w:szCs w:val="32"/>
          <w:highlight w:val="none"/>
          <w:lang w:val="en-US" w:eastAsia="zh-CN"/>
        </w:rPr>
        <w:t>项目立项</w:t>
      </w:r>
      <w:r>
        <w:rPr>
          <w:rFonts w:hint="eastAsia" w:ascii="仿宋_GB2312" w:hAnsi="仿宋_GB2312" w:eastAsia="仿宋_GB2312" w:cs="仿宋_GB2312"/>
          <w:color w:val="auto"/>
          <w:kern w:val="2"/>
          <w:sz w:val="32"/>
          <w:szCs w:val="32"/>
          <w:highlight w:val="none"/>
        </w:rPr>
        <w:t>依据充分。</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（2）立项程序规范性分析</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default" w:ascii="仿宋_GB2312" w:hAnsi="仿宋_GB2312" w:eastAsia="仿宋_GB2312" w:cs="仿宋_GB2312"/>
          <w:color w:val="auto"/>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rPr>
        <w:t>2021年依据《中关村国家自主创新示范区促进科技金融深度融合创新发展支持资金管理办法》，科技信贷支持项目预算包含“科技信贷支持资金”“融资租赁支持资金”“知识产权质押融资成本分担和风险补偿支持资金”三个支持方向。2022年6月，市科委、中关村管委会修订实施新版《中关村国家自主创新示范区促进科技金融深度融合发展支持资金管理办法》。经2022年7月1日第9期预算编审会、</w:t>
      </w:r>
      <w:bookmarkStart w:id="26" w:name="_GoBack"/>
      <w:bookmarkEnd w:id="26"/>
      <w:r>
        <w:rPr>
          <w:rFonts w:hint="eastAsia" w:ascii="仿宋_GB2312" w:hAnsi="仿宋_GB2312" w:eastAsia="仿宋_GB2312" w:cs="仿宋_GB2312"/>
          <w:color w:val="auto"/>
          <w:kern w:val="2"/>
          <w:sz w:val="32"/>
          <w:szCs w:val="32"/>
          <w:highlight w:val="none"/>
          <w:lang w:val="en-US" w:eastAsia="zh-CN"/>
        </w:rPr>
        <w:t>2022年9月30号第16次行政办公会审议通过，项目2022年度主要实施知识产权质押融资成本分担和风险补偿支持资金、融资租赁支持资金</w:t>
      </w:r>
      <w:r>
        <w:rPr>
          <w:rFonts w:hint="eastAsia" w:ascii="仿宋_GB2312" w:hAnsi="仿宋_GB2312" w:eastAsia="仿宋_GB2312" w:cs="仿宋_GB2312"/>
          <w:color w:val="auto"/>
          <w:kern w:val="2"/>
          <w:sz w:val="32"/>
          <w:szCs w:val="32"/>
          <w:highlight w:val="none"/>
        </w:rPr>
        <w:t>。</w:t>
      </w:r>
      <w:r>
        <w:rPr>
          <w:rFonts w:hint="eastAsia" w:ascii="仿宋_GB2312" w:hAnsi="仿宋_GB2312" w:eastAsia="仿宋_GB2312" w:cs="仿宋_GB2312"/>
          <w:color w:val="auto"/>
          <w:kern w:val="2"/>
          <w:sz w:val="32"/>
          <w:szCs w:val="32"/>
          <w:highlight w:val="none"/>
          <w:lang w:val="en-US" w:eastAsia="zh-CN"/>
        </w:rPr>
        <w:t>项目立项审批程序较为规范，但项目的可行性研究报告内容还不够全面、深入。</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2.项目绩效目标情况</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（1）绩效目标合理性分析</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科技金融处</w:t>
      </w:r>
      <w:r>
        <w:rPr>
          <w:rFonts w:hint="eastAsia" w:ascii="仿宋_GB2312" w:hAnsi="仿宋_GB2312" w:eastAsia="仿宋_GB2312" w:cs="仿宋_GB2312"/>
          <w:kern w:val="2"/>
          <w:sz w:val="32"/>
          <w:szCs w:val="32"/>
          <w:highlight w:val="none"/>
        </w:rPr>
        <w:t>根据绩效管理要求，结合项目实施情况编制了项目绩效目标申报表，</w:t>
      </w:r>
      <w:r>
        <w:rPr>
          <w:rFonts w:hint="eastAsia" w:ascii="仿宋_GB2312" w:hAnsi="仿宋_GB2312" w:eastAsia="仿宋_GB2312" w:cs="仿宋_GB2312"/>
          <w:kern w:val="2"/>
          <w:sz w:val="32"/>
          <w:szCs w:val="32"/>
          <w:highlight w:val="none"/>
          <w:lang w:val="en-US" w:eastAsia="zh-CN"/>
        </w:rPr>
        <w:t>明确了项目期目标和年度目标，</w:t>
      </w:r>
      <w:r>
        <w:rPr>
          <w:rFonts w:hint="eastAsia" w:ascii="仿宋_GB2312" w:hAnsi="仿宋_GB2312" w:eastAsia="仿宋_GB2312" w:cs="仿宋_GB2312"/>
          <w:kern w:val="2"/>
          <w:sz w:val="32"/>
          <w:szCs w:val="32"/>
          <w:highlight w:val="none"/>
        </w:rPr>
        <w:t>绩效目标设定符合项目实际需求，项目绩效目标设定较合理。</w:t>
      </w:r>
      <w:r>
        <w:rPr>
          <w:rFonts w:hint="eastAsia" w:ascii="仿宋_GB2312" w:hAnsi="仿宋_GB2312" w:eastAsia="仿宋_GB2312" w:cs="仿宋_GB2312"/>
          <w:kern w:val="2"/>
          <w:sz w:val="32"/>
          <w:szCs w:val="32"/>
          <w:highlight w:val="none"/>
          <w:lang w:val="en-US" w:eastAsia="zh-CN"/>
        </w:rPr>
        <w:t>但个别指标合理性不足，如数量指标“支持企业开展融资租赁业务获得融资金额≥7亿元”和“支持企业获得知识产权质押贷款金额≥3亿元”建议用资金放大倍数来衡量。缺少社会效益指标。</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（2）绩效指标明确性分析</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该项目绩效目标设置较为量化、具体，有利于后期考核和评价，但效益指标设置为“降低科创企业融资成本情况”，明确性不足，也缺乏可衡量可考核性。</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3.项目资金投入情况</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（1）预算编制科学性分析</w:t>
      </w:r>
    </w:p>
    <w:p>
      <w:pPr>
        <w:pageBreakBefore w:val="0"/>
        <w:widowControl/>
        <w:kinsoku/>
        <w:wordWrap/>
        <w:overflowPunct/>
        <w:topLinePunct w:val="0"/>
        <w:autoSpaceDE/>
        <w:autoSpaceDN/>
        <w:bidi w:val="0"/>
        <w:adjustRightInd w:val="0"/>
        <w:snapToGrid w:val="0"/>
        <w:spacing w:line="360" w:lineRule="auto"/>
        <w:ind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2021年，项目按照《中关村国家自主创新示范区促进科技金融深度融合创新发展支持资金管理办法》中“科技信贷支持资金”“融资租赁支持资金”“知识产权质押融资成本分担和风险补偿支持资金”三个支持方向，编制预算</w:t>
      </w:r>
      <w:r>
        <w:rPr>
          <w:rFonts w:hint="eastAsia" w:ascii="仿宋_GB2312" w:hAnsi="仿宋_GB2312" w:eastAsia="仿宋_GB2312" w:cs="仿宋_GB2312"/>
          <w:sz w:val="32"/>
          <w:szCs w:val="32"/>
          <w:highlight w:val="none"/>
          <w:lang w:val="en-US" w:eastAsia="zh-CN"/>
        </w:rPr>
        <w:t>13000万</w:t>
      </w:r>
      <w:r>
        <w:rPr>
          <w:rFonts w:hint="eastAsia" w:ascii="仿宋_GB2312" w:hAnsi="仿宋_GB2312" w:eastAsia="仿宋_GB2312" w:cs="仿宋_GB2312"/>
          <w:kern w:val="2"/>
          <w:sz w:val="32"/>
          <w:szCs w:val="32"/>
          <w:highlight w:val="none"/>
          <w:lang w:val="en-US" w:eastAsia="zh-CN" w:bidi="ar-SA"/>
        </w:rPr>
        <w:t>元。2022年6月，按照修订的《中关村国家自主创新示范区促进科技金融深度融合发展支持资金管理办法》，项目主要包括知识产权质押融资成本分担和风险补偿支持资金、融资租赁支持资金，资金预算约为2000万元，其中，知识产权质押融资成本分担和风险补偿支持资金1000万元，融资租赁支持资金1000万元。根据项目申报和审核情况，将预算目标额度调整为1500万元。项目预算编制依据较为明确，执行中受政策调整影响，预算调整幅度较大。</w:t>
      </w:r>
      <w:r>
        <w:rPr>
          <w:rFonts w:hint="eastAsia" w:ascii="仿宋_GB2312" w:hAnsi="仿宋_GB2312" w:eastAsia="仿宋_GB2312" w:cs="仿宋_GB2312"/>
          <w:kern w:val="2"/>
          <w:sz w:val="32"/>
          <w:szCs w:val="32"/>
          <w:highlight w:val="none"/>
          <w:lang w:val="en-US" w:eastAsia="zh-CN" w:bidi="ar-SA"/>
        </w:rPr>
        <w:tab/>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（2）资金分配合理性分析</w:t>
      </w:r>
    </w:p>
    <w:p>
      <w:pPr>
        <w:pStyle w:val="14"/>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申请预算13000万元，核减10000万元，2022年科技信贷支持项目经费总额3000万元，按照修订的《中关村国家自主创新示范区促进科技金融深度融合发展支持资金管理办法》并结合项目申报和审核情况，将预算额度调整为1500万元，其余资金纳入委内统筹使用，项目预算资金分配经过了科学的测算，资金分配较为合理。</w:t>
      </w:r>
    </w:p>
    <w:p>
      <w:pPr>
        <w:pageBreakBefore w:val="0"/>
        <w:kinsoku/>
        <w:wordWrap/>
        <w:overflowPunct/>
        <w:topLinePunct w:val="0"/>
        <w:autoSpaceDE/>
        <w:autoSpaceDN/>
        <w:bidi w:val="0"/>
        <w:adjustRightInd w:val="0"/>
        <w:snapToGrid w:val="0"/>
        <w:spacing w:line="360" w:lineRule="auto"/>
        <w:ind w:firstLine="643" w:firstLineChars="200"/>
        <w:textAlignment w:val="auto"/>
        <w:outlineLvl w:val="1"/>
        <w:rPr>
          <w:rFonts w:ascii="楷体" w:hAnsi="楷体" w:eastAsia="楷体" w:cs="楷体"/>
          <w:b/>
          <w:bCs/>
          <w:color w:val="auto"/>
          <w:sz w:val="32"/>
          <w:szCs w:val="32"/>
        </w:rPr>
      </w:pPr>
      <w:bookmarkStart w:id="17" w:name="_Toc13245"/>
      <w:r>
        <w:rPr>
          <w:rFonts w:hint="eastAsia" w:ascii="楷体" w:hAnsi="楷体" w:eastAsia="楷体" w:cs="楷体"/>
          <w:b/>
          <w:bCs/>
          <w:color w:val="auto"/>
          <w:sz w:val="32"/>
          <w:szCs w:val="32"/>
        </w:rPr>
        <w:t>（二）项目过程情况</w:t>
      </w:r>
      <w:bookmarkEnd w:id="17"/>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1.项目资金管理情况</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（1）资金到位率</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0000FF"/>
          <w:sz w:val="32"/>
          <w:szCs w:val="32"/>
          <w:highlight w:val="none"/>
        </w:rPr>
      </w:pPr>
      <w:r>
        <w:rPr>
          <w:rFonts w:hint="eastAsia" w:ascii="仿宋_GB2312" w:hAnsi="仿宋_GB2312" w:eastAsia="仿宋_GB2312" w:cs="仿宋_GB2312"/>
          <w:sz w:val="32"/>
          <w:szCs w:val="32"/>
          <w:highlight w:val="none"/>
          <w:lang w:val="en-US" w:eastAsia="zh-CN"/>
        </w:rPr>
        <w:t>该项目年初申请预算13000万元，年中核减10000万元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截至</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年12月31日</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rPr>
        <w:t>实际到位资金</w:t>
      </w:r>
      <w:r>
        <w:rPr>
          <w:rFonts w:hint="eastAsia" w:ascii="仿宋_GB2312" w:hAnsi="仿宋_GB2312" w:eastAsia="仿宋_GB2312" w:cs="仿宋_GB2312"/>
          <w:sz w:val="32"/>
          <w:szCs w:val="32"/>
          <w:highlight w:val="none"/>
          <w:lang w:val="en-US" w:eastAsia="zh-CN"/>
        </w:rPr>
        <w:t>3000</w:t>
      </w:r>
      <w:r>
        <w:rPr>
          <w:rFonts w:hint="eastAsia" w:ascii="仿宋_GB2312" w:hAnsi="仿宋_GB2312" w:eastAsia="仿宋_GB2312" w:cs="仿宋_GB2312"/>
          <w:sz w:val="32"/>
          <w:szCs w:val="32"/>
          <w:highlight w:val="none"/>
        </w:rPr>
        <w:t>万元，资金到位率100%。</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（2）预算执行率</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Times New Roman" w:eastAsia="仿宋_GB2312" w:cs="Times New Roman"/>
          <w:color w:val="auto"/>
          <w:sz w:val="32"/>
          <w:szCs w:val="32"/>
          <w:highlight w:val="none"/>
          <w:lang w:val="en-US" w:eastAsia="zh-CN"/>
        </w:rPr>
        <w:t>截至2022年12月31日，项目支付支持资金1478.44万元，其中，知识产权质押融资成本分担和风险补偿支持资金653.8万元，融资租赁支持资金824.64万元。</w:t>
      </w:r>
      <w:r>
        <w:rPr>
          <w:rFonts w:hint="eastAsia" w:ascii="仿宋_GB2312" w:hAnsi="仿宋_GB2312" w:eastAsia="仿宋_GB2312" w:cs="仿宋_GB2312"/>
          <w:color w:val="auto"/>
          <w:sz w:val="32"/>
          <w:szCs w:val="32"/>
          <w:highlight w:val="none"/>
        </w:rPr>
        <w:t>预算执行率</w:t>
      </w:r>
      <w:r>
        <w:rPr>
          <w:rFonts w:hint="eastAsia" w:ascii="仿宋_GB2312" w:hAnsi="仿宋_GB2312" w:eastAsia="仿宋_GB2312" w:cs="仿宋_GB2312"/>
          <w:color w:val="auto"/>
          <w:sz w:val="32"/>
          <w:szCs w:val="32"/>
          <w:highlight w:val="none"/>
          <w:lang w:val="en-US" w:eastAsia="zh-CN"/>
        </w:rPr>
        <w:t>49.28</w:t>
      </w:r>
      <w:r>
        <w:rPr>
          <w:rFonts w:hint="eastAsia" w:ascii="仿宋_GB2312" w:hAnsi="仿宋_GB2312" w:eastAsia="仿宋_GB2312" w:cs="仿宋_GB2312"/>
          <w:color w:val="auto"/>
          <w:sz w:val="32"/>
          <w:szCs w:val="32"/>
          <w:highlight w:val="none"/>
        </w:rPr>
        <w:t>%。</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（3）资金使用合规性分析</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highlight w:val="none"/>
          <w:lang w:val="en-US" w:eastAsia="zh-CN" w:bidi="ar-SA"/>
        </w:rPr>
        <w:t>资金使用过程中，市科委、中关村管委会按照经费支出审批管理要求执行，资金使用与预算批复内容相符，履行了必要的审批程序，资金使用合规。</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2.项目组织实施情况</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（1）管理制度健全性分析</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市科委、中关村管委会制定了《中关村国家自主创新示范区促进科技金融深度融合发展支持资金管理办法（试行）》，建立健全了内控手册及制度体系，财务方面包括《北京市科学技术委员会、中关村科技园区管理委员会“三重一大”事项决策制度》《财务管理制度》等，制度内容条款制约性措施比较具体明确，管理制度较健全、完整。</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（2）制度执行有效性分析</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项目依据《中关村国家自主创新示范区促进科技金融深度融合发展支持资金管理办法（试行）》执行，主要包括公开征集、项目申报、评审立项、上会审议、结果公示、资金拨付等环节。为保障项目实施，科技金融处编制了项目实施方案，明确了工作分工，建立了</w:t>
      </w:r>
      <w:r>
        <w:rPr>
          <w:rFonts w:hint="eastAsia" w:ascii="仿宋_GB2312" w:eastAsia="仿宋_GB2312"/>
          <w:b w:val="0"/>
          <w:bCs w:val="0"/>
          <w:sz w:val="32"/>
          <w:szCs w:val="32"/>
          <w:lang w:eastAsia="zh-CN"/>
        </w:rPr>
        <w:t>预算统筹、受理审核、阶段</w:t>
      </w:r>
      <w:r>
        <w:rPr>
          <w:rFonts w:hint="eastAsia" w:ascii="仿宋_GB2312" w:hAnsi="仿宋_GB2312" w:eastAsia="仿宋_GB2312" w:cs="仿宋_GB2312"/>
          <w:color w:val="auto"/>
          <w:kern w:val="2"/>
          <w:sz w:val="32"/>
          <w:szCs w:val="32"/>
          <w:highlight w:val="none"/>
          <w:lang w:val="en-US" w:eastAsia="zh-CN" w:bidi="ar-SA"/>
        </w:rPr>
        <w:t>汇报、进程把控、效果评估的全流程管理机制，编制项目审核手册，委托第三方机构对专项进行初审，科技金融处会同科技金融部进行复核的联合审核机制，将审核通过的项目上报委行政办公会审议，审议通过公示后拨款。</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科技信贷支持项目制度执行较为有效，但项目实施方案的内容不够全面，对于职责分工、风险防控等内容体现不够充分，有待进一步优化。</w:t>
      </w:r>
    </w:p>
    <w:p>
      <w:pPr>
        <w:pageBreakBefore w:val="0"/>
        <w:kinsoku/>
        <w:wordWrap/>
        <w:overflowPunct/>
        <w:topLinePunct w:val="0"/>
        <w:autoSpaceDE/>
        <w:autoSpaceDN/>
        <w:bidi w:val="0"/>
        <w:adjustRightInd w:val="0"/>
        <w:snapToGrid w:val="0"/>
        <w:spacing w:line="360" w:lineRule="auto"/>
        <w:ind w:firstLine="643" w:firstLineChars="200"/>
        <w:textAlignment w:val="auto"/>
        <w:outlineLvl w:val="1"/>
        <w:rPr>
          <w:rFonts w:ascii="楷体" w:hAnsi="楷体" w:eastAsia="楷体" w:cs="楷体"/>
          <w:b/>
          <w:bCs/>
          <w:color w:val="auto"/>
          <w:sz w:val="32"/>
          <w:szCs w:val="32"/>
        </w:rPr>
      </w:pPr>
      <w:bookmarkStart w:id="18" w:name="_Toc31055"/>
      <w:r>
        <w:rPr>
          <w:rFonts w:hint="eastAsia" w:ascii="楷体" w:hAnsi="楷体" w:eastAsia="楷体" w:cs="楷体"/>
          <w:b/>
          <w:bCs/>
          <w:color w:val="auto"/>
          <w:sz w:val="32"/>
          <w:szCs w:val="32"/>
        </w:rPr>
        <w:t>（三）项目产出情况</w:t>
      </w:r>
      <w:bookmarkEnd w:id="18"/>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1.项目产出数量分析</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2022年科创中小微企业融资租赁费用补贴支持企业38家，为企业获得融资约10.73亿元；知识产权质押融资及风险补贴支持企业机构27家，支持企业获得知识产权质押贷款金额3.53亿元。该项目按照预期绩效目标完成了2022年项目内容。</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2.项目产出质量分析</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2022年科技信贷支持项目符合《中关村国家自主创新示范区促进科技金融深度融合发展支持资金管理办法（试行）》相关要求，申报、审核、审批程序严谨，资金补贴合规，较好实现预期质量目标。</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3.项目产出时效分析</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政策调整后，</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科技信贷支持</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按照调整后</w:t>
      </w:r>
      <w:r>
        <w:rPr>
          <w:rFonts w:hint="eastAsia" w:ascii="仿宋_GB2312" w:hAnsi="仿宋_GB2312" w:eastAsia="仿宋_GB2312" w:cs="仿宋_GB2312"/>
          <w:color w:val="auto"/>
          <w:sz w:val="32"/>
          <w:szCs w:val="32"/>
        </w:rPr>
        <w:t>计划实施，进度符合预期目标。</w:t>
      </w:r>
    </w:p>
    <w:p>
      <w:pPr>
        <w:pageBreakBefore w:val="0"/>
        <w:kinsoku/>
        <w:wordWrap/>
        <w:overflowPunct/>
        <w:topLinePunct w:val="0"/>
        <w:autoSpaceDE/>
        <w:autoSpaceDN/>
        <w:bidi w:val="0"/>
        <w:adjustRightInd w:val="0"/>
        <w:snapToGrid w:val="0"/>
        <w:spacing w:line="360" w:lineRule="auto"/>
        <w:ind w:firstLine="640" w:firstLineChars="200"/>
        <w:textAlignment w:val="auto"/>
        <w:rPr>
          <w:color w:val="auto"/>
          <w:highlight w:val="yellow"/>
        </w:rPr>
      </w:pPr>
      <w:r>
        <w:rPr>
          <w:rFonts w:hint="eastAsia" w:ascii="仿宋_GB2312" w:hAnsi="仿宋_GB2312" w:eastAsia="仿宋_GB2312" w:cs="仿宋_GB2312"/>
          <w:color w:val="auto"/>
          <w:sz w:val="32"/>
          <w:szCs w:val="32"/>
        </w:rPr>
        <w:t>4.项目产出成本分析</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 w:cs="仿宋_GB2312"/>
          <w:color w:val="0000FF"/>
          <w:sz w:val="32"/>
          <w:szCs w:val="32"/>
          <w:highlight w:val="yellow"/>
          <w:lang w:eastAsia="zh-CN"/>
        </w:rPr>
      </w:pPr>
      <w:r>
        <w:rPr>
          <w:rFonts w:hint="eastAsia" w:ascii="仿宋_GB2312" w:hAnsi="仿宋_GB2312" w:eastAsia="仿宋_GB2312" w:cs="仿宋_GB2312"/>
          <w:color w:val="auto"/>
          <w:sz w:val="32"/>
          <w:szCs w:val="32"/>
          <w:lang w:val="en-US" w:eastAsia="zh-CN"/>
        </w:rPr>
        <w:t>科技信贷支持项目支出金额1478.44万元，项目按照管理办法要求采用后补贴方式，拨付</w:t>
      </w:r>
      <w:r>
        <w:rPr>
          <w:rFonts w:hint="eastAsia" w:ascii="仿宋_GB2312" w:hAnsi="Times New Roman" w:eastAsia="仿宋_GB2312" w:cs="Times New Roman"/>
          <w:color w:val="auto"/>
          <w:sz w:val="32"/>
          <w:szCs w:val="32"/>
          <w:highlight w:val="none"/>
          <w:lang w:val="en-US" w:eastAsia="zh-CN"/>
        </w:rPr>
        <w:t>知识产权质押融资成本分担和风险补偿支持资金653.8万元，融资租赁支持资金824.64万元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项目总成本控制在项目预算批复范围内。</w:t>
      </w:r>
    </w:p>
    <w:p>
      <w:pPr>
        <w:pageBreakBefore w:val="0"/>
        <w:kinsoku/>
        <w:wordWrap/>
        <w:overflowPunct/>
        <w:topLinePunct w:val="0"/>
        <w:autoSpaceDE/>
        <w:autoSpaceDN/>
        <w:bidi w:val="0"/>
        <w:adjustRightInd w:val="0"/>
        <w:snapToGrid w:val="0"/>
        <w:spacing w:line="360" w:lineRule="auto"/>
        <w:ind w:firstLine="643" w:firstLineChars="200"/>
        <w:textAlignment w:val="auto"/>
        <w:outlineLvl w:val="1"/>
        <w:rPr>
          <w:rFonts w:ascii="楷体" w:hAnsi="楷体" w:eastAsia="楷体" w:cs="楷体"/>
          <w:b/>
          <w:bCs/>
          <w:color w:val="auto"/>
          <w:sz w:val="32"/>
          <w:szCs w:val="32"/>
        </w:rPr>
      </w:pPr>
      <w:bookmarkStart w:id="19" w:name="_Toc19390"/>
      <w:r>
        <w:rPr>
          <w:rFonts w:hint="eastAsia" w:ascii="楷体" w:hAnsi="楷体" w:eastAsia="楷体" w:cs="楷体"/>
          <w:b/>
          <w:bCs/>
          <w:color w:val="auto"/>
          <w:sz w:val="32"/>
          <w:szCs w:val="32"/>
        </w:rPr>
        <w:t>（四）项目效益情况</w:t>
      </w:r>
      <w:bookmarkEnd w:id="19"/>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1.项目实施效益分析</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项目达成年度的绩效成果，具体如下：</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融资租赁项目支持成效。支持企业聚焦医药健康、智能装备、新材料、节能环保等领域。融资租赁模式主要包括售后回租（融资）、直接租赁（融物）两类，为企业获得融资约10.73亿元，租赁周期平均为2-3年期，平均费率为6%左右。其中</w:t>
      </w:r>
      <w:r>
        <w:rPr>
          <w:rFonts w:hint="eastAsia" w:ascii="仿宋_GB2312" w:hAnsi="仿宋_GB2312" w:eastAsia="仿宋_GB2312" w:cs="仿宋_GB2312"/>
          <w:color w:val="auto"/>
          <w:sz w:val="32"/>
          <w:szCs w:val="32"/>
        </w:rPr>
        <w:t>直接租赁</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融物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模式较为适合医药健康产业，提供了基因测序仪、全自动生化分析仪等高端装备，在培育、促进医药健康产业发展上起到重要的作用。</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知识产权质押融资成本分担和风险补偿项目成效。一是支持企业聚焦高精尖领域，涉及航空航天、智能装备、新材料、医药健康等领域，均为高新技术企业。二是企业知识产权转化运用成效初显。银行、担保等金融机构不断加强对企业知识产权的评估能力，支持企业共质押知识产权67项，其中发明专利50项，单个企业平均获贷额度527余万元。三是支持企业获得融资规模显著提升。支持企业共获得贷款</w:t>
      </w:r>
      <w:r>
        <w:rPr>
          <w:rFonts w:hint="default" w:ascii="仿宋_GB2312" w:hAnsi="仿宋_GB2312" w:eastAsia="仿宋_GB2312" w:cs="仿宋_GB2312"/>
          <w:color w:val="auto"/>
          <w:sz w:val="32"/>
          <w:szCs w:val="32"/>
          <w:lang w:val="en" w:eastAsia="zh-CN"/>
        </w:rPr>
        <w:t>3.53</w:t>
      </w:r>
      <w:r>
        <w:rPr>
          <w:rFonts w:hint="eastAsia" w:ascii="仿宋_GB2312" w:hAnsi="仿宋_GB2312" w:eastAsia="仿宋_GB2312" w:cs="仿宋_GB2312"/>
          <w:color w:val="auto"/>
          <w:sz w:val="32"/>
          <w:szCs w:val="32"/>
          <w:lang w:val="en-US" w:eastAsia="zh-CN"/>
        </w:rPr>
        <w:t>亿元，全额给予贴息支持后，企业贷款加权平均利率2.57%。四是政策撬动作用逐步放大。2022年，北京市累放知识产权质押贷款42.44亿元，同比增长49.31%；累放贷款户数691户，同比增长35.23%。截至2022年末，知识产权质押贷款余额46.80亿元，同比增长65.08%；存量客户数646户，同比增长34.02%。</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hAnsi="仿宋_GB2312" w:eastAsia="仿宋_GB2312" w:cs="仿宋_GB2312"/>
          <w:color w:val="auto"/>
          <w:sz w:val="32"/>
          <w:szCs w:val="32"/>
          <w:highlight w:val="yellow"/>
        </w:rPr>
      </w:pPr>
      <w:r>
        <w:rPr>
          <w:rFonts w:hint="eastAsia" w:ascii="仿宋_GB2312" w:hAnsi="仿宋_GB2312" w:eastAsia="仿宋_GB2312" w:cs="仿宋_GB2312"/>
          <w:color w:val="auto"/>
          <w:sz w:val="32"/>
          <w:szCs w:val="32"/>
        </w:rPr>
        <w:t>2.项目满意度分析</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项目面向申报企业发布了调查问卷，共设置了补贴标准是否清晰、补贴及时性是否满意、解决问题的速度是否满意、服务态度是否满意、服务水平是否满意等指标，服务对象满意度99%。但缺少满意度调查问卷分析，需根据需求变化做好政策的动态调整与优化。</w:t>
      </w:r>
    </w:p>
    <w:p>
      <w:pPr>
        <w:pStyle w:val="3"/>
        <w:keepNext w:val="0"/>
        <w:keepLines w:val="0"/>
        <w:pageBreakBefore w:val="0"/>
        <w:kinsoku/>
        <w:wordWrap/>
        <w:overflowPunct/>
        <w:topLinePunct w:val="0"/>
        <w:autoSpaceDE/>
        <w:autoSpaceDN/>
        <w:bidi w:val="0"/>
        <w:adjustRightInd w:val="0"/>
        <w:snapToGrid w:val="0"/>
        <w:spacing w:line="360" w:lineRule="auto"/>
        <w:textAlignment w:val="auto"/>
        <w:rPr>
          <w:rFonts w:ascii="黑体" w:hAnsi="黑体" w:eastAsia="黑体" w:cs="黑体"/>
          <w:color w:val="auto"/>
          <w:szCs w:val="32"/>
        </w:rPr>
      </w:pPr>
      <w:bookmarkStart w:id="20" w:name="_Toc15470"/>
      <w:r>
        <w:rPr>
          <w:rFonts w:hint="eastAsia" w:ascii="黑体" w:hAnsi="黑体" w:eastAsia="黑体" w:cs="黑体"/>
          <w:color w:val="auto"/>
          <w:szCs w:val="32"/>
        </w:rPr>
        <w:t>五、主要经验及做法、存在的问题及原因分析</w:t>
      </w:r>
      <w:bookmarkEnd w:id="20"/>
    </w:p>
    <w:p>
      <w:pPr>
        <w:pageBreakBefore w:val="0"/>
        <w:kinsoku/>
        <w:wordWrap/>
        <w:overflowPunct/>
        <w:topLinePunct w:val="0"/>
        <w:autoSpaceDE/>
        <w:autoSpaceDN/>
        <w:bidi w:val="0"/>
        <w:adjustRightInd w:val="0"/>
        <w:snapToGrid w:val="0"/>
        <w:spacing w:line="360" w:lineRule="auto"/>
        <w:ind w:firstLine="643" w:firstLineChars="200"/>
        <w:textAlignment w:val="auto"/>
        <w:outlineLvl w:val="1"/>
        <w:rPr>
          <w:rFonts w:hint="eastAsia" w:ascii="楷体" w:hAnsi="楷体" w:eastAsia="楷体" w:cs="楷体"/>
          <w:b/>
          <w:bCs/>
          <w:color w:val="auto"/>
          <w:sz w:val="32"/>
          <w:szCs w:val="32"/>
        </w:rPr>
      </w:pPr>
      <w:bookmarkStart w:id="21" w:name="_Toc32273"/>
      <w:bookmarkStart w:id="22" w:name="_Toc23298"/>
      <w:r>
        <w:rPr>
          <w:rFonts w:hint="eastAsia" w:ascii="楷体" w:hAnsi="楷体" w:eastAsia="楷体" w:cs="楷体"/>
          <w:b/>
          <w:bCs/>
          <w:color w:val="auto"/>
          <w:sz w:val="32"/>
          <w:szCs w:val="32"/>
        </w:rPr>
        <w:t>（一）主要经验及做法</w:t>
      </w:r>
      <w:bookmarkEnd w:id="21"/>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1.建立部门联动的工作机制。2021年，联合北京银保监局、北京市知识产权局等部门印发《关于进一步做好知识产权质押融资相关工作的通知》，引导我市银行利用好政府补贴、补偿和奖励政策，充分发挥政策的撬动效应，进一步探索将科创型中小企业纳入知识产权金融服务体系的有效途径。提出持续推动知识产权质押融资业务合理增长，实现知识产权质押贷款年累放金额增速不低于20％的倡导性指标要求。2022年，北京市印发《“两区”建设知识产权全环节改革行动方案》等文件，将知识产权质押融资工作纳入北京市优化营商环境、“两区”建设等重点工作的考核任务，推动各部门协同发力，不断优化知识产权质押融资的扶持政策和基础机制。</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2.建立全流程管理机制。明确分工，建立了全流程管理机制、联合审核机制、主动汇报机制等工作机制，进一步加强过程管理。一是建立从预算统筹、受理审核、阶段汇报、进程把控到效果评估的全流程管理机制，做到处内定岗定责，督促委托机构完善内部管理制度，及时开展专项委托验收评价，强化关键环节廉政风控。二是建立联合审核机制，依据政策编制项目审核手册，委托专业第三方机构对专项进行初审，科技金融处会同科技金融部进行复核。三是对于项目管理过程中的重要情况，及时向主管委领导汇报。</w:t>
      </w:r>
    </w:p>
    <w:p>
      <w:pPr>
        <w:pageBreakBefore w:val="0"/>
        <w:kinsoku/>
        <w:wordWrap/>
        <w:overflowPunct/>
        <w:topLinePunct w:val="0"/>
        <w:autoSpaceDE/>
        <w:autoSpaceDN/>
        <w:bidi w:val="0"/>
        <w:adjustRightInd w:val="0"/>
        <w:snapToGrid w:val="0"/>
        <w:spacing w:line="360" w:lineRule="auto"/>
        <w:ind w:firstLine="643" w:firstLineChars="200"/>
        <w:textAlignment w:val="auto"/>
        <w:outlineLvl w:val="1"/>
        <w:rPr>
          <w:rFonts w:hint="eastAsia" w:ascii="楷体" w:hAnsi="楷体" w:eastAsia="楷体" w:cs="楷体"/>
          <w:b/>
          <w:bCs/>
          <w:color w:val="auto"/>
          <w:sz w:val="32"/>
          <w:szCs w:val="32"/>
        </w:rPr>
      </w:pPr>
      <w:r>
        <w:rPr>
          <w:rFonts w:hint="eastAsia" w:ascii="楷体" w:hAnsi="楷体" w:eastAsia="楷体" w:cs="楷体"/>
          <w:b/>
          <w:bCs/>
          <w:color w:val="auto"/>
          <w:sz w:val="32"/>
          <w:szCs w:val="32"/>
        </w:rPr>
        <w:t>（二）存在的问题及原因分析</w:t>
      </w:r>
      <w:bookmarkEnd w:id="22"/>
    </w:p>
    <w:p>
      <w:pPr>
        <w:pStyle w:val="2"/>
        <w:adjustRightInd w:val="0"/>
        <w:snapToGrid w:val="0"/>
        <w:spacing w:line="360" w:lineRule="auto"/>
        <w:ind w:firstLine="640" w:firstLineChars="200"/>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1.项目立项阶段的论证不够深入。作为资金规模相对较大、创新性较强的项目，项目前期论证不够深入，项目预算调整，未针对调整后的预算编制可行性研究报告。</w:t>
      </w:r>
    </w:p>
    <w:p>
      <w:pPr>
        <w:pStyle w:val="2"/>
        <w:adjustRightInd w:val="0"/>
        <w:snapToGrid w:val="0"/>
        <w:spacing w:line="360" w:lineRule="auto"/>
        <w:ind w:firstLine="640" w:firstLineChars="200"/>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2.项目绩效目标有待进一步优化。绩效目标设置细化量化不足。绩效目标申报表中经济效益指标“降低科创企业融资成本情况”缺少可衡量的标准。目标设置较为宽泛。</w:t>
      </w:r>
    </w:p>
    <w:p>
      <w:pPr>
        <w:pStyle w:val="2"/>
        <w:adjustRightInd w:val="0"/>
        <w:snapToGrid w:val="0"/>
        <w:spacing w:line="360" w:lineRule="auto"/>
        <w:ind w:firstLine="640" w:firstLineChars="200"/>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3.项目预算编制的科学性、精准度有待进一步提高，项目调整、调剂幅度较大。项目资金管理过程衔接有待加强，资金预算执行率偏低。</w:t>
      </w:r>
    </w:p>
    <w:p>
      <w:pPr>
        <w:pStyle w:val="2"/>
        <w:adjustRightInd w:val="0"/>
        <w:snapToGrid w:val="0"/>
        <w:spacing w:line="360" w:lineRule="auto"/>
        <w:ind w:firstLine="640" w:firstLineChars="200"/>
        <w:rPr>
          <w:rFonts w:hint="eastAsia" w:ascii="仿宋_GB2312" w:hAnsi="仿宋_GB2312" w:eastAsia="仿宋_GB2312" w:cs="仿宋_GB2312"/>
          <w:b w:val="0"/>
          <w:bCs w:val="0"/>
          <w:snapToGrid/>
          <w:color w:val="auto"/>
          <w:kern w:val="2"/>
          <w:sz w:val="32"/>
          <w:szCs w:val="32"/>
          <w:highlight w:val="none"/>
          <w:lang w:val="en-US" w:eastAsia="zh-CN" w:bidi="ar-SA"/>
        </w:rPr>
      </w:pPr>
      <w:r>
        <w:rPr>
          <w:rFonts w:hint="eastAsia" w:ascii="仿宋_GB2312" w:hAnsi="仿宋_GB2312" w:eastAsia="仿宋_GB2312" w:cs="仿宋_GB2312"/>
          <w:b w:val="0"/>
          <w:bCs w:val="0"/>
          <w:snapToGrid/>
          <w:color w:val="auto"/>
          <w:kern w:val="2"/>
          <w:sz w:val="32"/>
          <w:szCs w:val="32"/>
          <w:highlight w:val="none"/>
          <w:lang w:val="en-US" w:eastAsia="zh-CN" w:bidi="ar-SA"/>
        </w:rPr>
        <w:t>4.项目实施方案严谨性不足。主要体现在实施方案的内容不够全面，对于职责分工、风险防控等内容体现不够充分。</w:t>
      </w:r>
    </w:p>
    <w:p>
      <w:pPr>
        <w:pStyle w:val="3"/>
        <w:keepNext w:val="0"/>
        <w:keepLines w:val="0"/>
        <w:adjustRightInd w:val="0"/>
        <w:snapToGrid w:val="0"/>
        <w:rPr>
          <w:rFonts w:ascii="黑体" w:hAnsi="黑体" w:eastAsia="黑体" w:cs="黑体"/>
          <w:color w:val="auto"/>
          <w:szCs w:val="32"/>
        </w:rPr>
      </w:pPr>
      <w:bookmarkStart w:id="23" w:name="_Toc2006"/>
      <w:r>
        <w:rPr>
          <w:rFonts w:hint="eastAsia" w:ascii="黑体" w:hAnsi="黑体" w:eastAsia="黑体" w:cs="黑体"/>
          <w:color w:val="auto"/>
          <w:szCs w:val="32"/>
        </w:rPr>
        <w:t>六、有关建议</w:t>
      </w:r>
      <w:bookmarkEnd w:id="23"/>
    </w:p>
    <w:p>
      <w:pPr>
        <w:pStyle w:val="2"/>
        <w:adjustRightInd w:val="0"/>
        <w:snapToGrid w:val="0"/>
        <w:spacing w:line="360" w:lineRule="auto"/>
        <w:ind w:firstLine="640" w:firstLineChars="200"/>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（一）建议全面加强项目决策阶段的评估论证，做好项目的顶层设计，严把涉企财政支出的前期论证关口。</w:t>
      </w:r>
    </w:p>
    <w:p>
      <w:pPr>
        <w:pStyle w:val="2"/>
        <w:adjustRightInd w:val="0"/>
        <w:snapToGrid w:val="0"/>
        <w:spacing w:line="360" w:lineRule="auto"/>
        <w:ind w:firstLine="640" w:firstLineChars="200"/>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（二）加强预算绩效管理意识，提高绩效目标编制水平，</w:t>
      </w:r>
      <w:r>
        <w:rPr>
          <w:rFonts w:hint="eastAsia" w:ascii="仿宋_GB2312" w:hAnsi="仿宋_GB2312" w:eastAsia="仿宋_GB2312" w:cs="仿宋_GB2312"/>
          <w:b w:val="0"/>
          <w:bCs w:val="0"/>
          <w:snapToGrid/>
          <w:color w:val="auto"/>
          <w:kern w:val="2"/>
          <w:sz w:val="32"/>
          <w:szCs w:val="32"/>
          <w:lang w:val="en-US" w:eastAsia="zh-Hans" w:bidi="ar-SA"/>
        </w:rPr>
        <w:t>根据项目实施内容、年度工作计划，设定全面、细化、可衡量的绩效</w:t>
      </w:r>
      <w:r>
        <w:rPr>
          <w:rFonts w:hint="eastAsia" w:ascii="仿宋_GB2312" w:hAnsi="仿宋_GB2312" w:eastAsia="仿宋_GB2312" w:cs="仿宋_GB2312"/>
          <w:b w:val="0"/>
          <w:bCs w:val="0"/>
          <w:snapToGrid/>
          <w:color w:val="auto"/>
          <w:kern w:val="2"/>
          <w:sz w:val="32"/>
          <w:szCs w:val="32"/>
          <w:lang w:val="en-US" w:eastAsia="zh-CN" w:bidi="ar-SA"/>
        </w:rPr>
        <w:t>指标，提高项目期目标、年度目标及各项指标间的关联性，以有效支撑总体绩效目标。</w:t>
      </w:r>
    </w:p>
    <w:p>
      <w:pPr>
        <w:pStyle w:val="2"/>
        <w:adjustRightInd w:val="0"/>
        <w:snapToGrid w:val="0"/>
        <w:spacing w:line="360" w:lineRule="auto"/>
        <w:ind w:firstLine="640" w:firstLineChars="200"/>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三）深入开展前期需求调研，全面摸清服务对象需求，合理设置项目支出标准，在需求准确、标准科学的基础上把项目预算做准、做实。进一步硬化预算执行的刚性约束，根据项目特点设计合理可行的预算执行计划。</w:t>
      </w:r>
    </w:p>
    <w:p>
      <w:pPr>
        <w:pStyle w:val="2"/>
        <w:adjustRightInd w:val="0"/>
        <w:snapToGrid w:val="0"/>
        <w:spacing w:line="360" w:lineRule="auto"/>
        <w:ind w:firstLine="640" w:firstLineChars="200"/>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（四）细化项目实施方案，在实施方案设计中，明确人员架构及职责分工，充分考虑各种不确定性和风险，从业务与资金两条线上明确实施路径，力争做到业务与资金匹配。</w:t>
      </w:r>
    </w:p>
    <w:p>
      <w:pPr>
        <w:pStyle w:val="2"/>
        <w:adjustRightInd w:val="0"/>
        <w:snapToGrid w:val="0"/>
        <w:spacing w:line="360" w:lineRule="auto"/>
        <w:ind w:firstLine="640" w:firstLineChars="200"/>
        <w:rPr>
          <w:rFonts w:hint="eastAsia" w:ascii="仿宋_GB2312" w:hAnsi="仿宋_GB2312" w:eastAsia="仿宋_GB2312" w:cs="仿宋_GB2312"/>
          <w:b w:val="0"/>
          <w:bCs w:val="0"/>
          <w:snapToGrid/>
          <w:color w:val="auto"/>
          <w:kern w:val="2"/>
          <w:sz w:val="32"/>
          <w:szCs w:val="32"/>
          <w:lang w:val="en-US" w:eastAsia="zh-CN" w:bidi="ar-SA"/>
        </w:rPr>
      </w:pPr>
      <w:r>
        <w:rPr>
          <w:rFonts w:hint="eastAsia" w:ascii="仿宋_GB2312" w:hAnsi="仿宋_GB2312" w:eastAsia="仿宋_GB2312" w:cs="仿宋_GB2312"/>
          <w:b w:val="0"/>
          <w:bCs w:val="0"/>
          <w:snapToGrid/>
          <w:color w:val="auto"/>
          <w:kern w:val="2"/>
          <w:sz w:val="32"/>
          <w:szCs w:val="32"/>
          <w:lang w:val="en-US" w:eastAsia="zh-CN" w:bidi="ar-SA"/>
        </w:rPr>
        <w:t>（五）进一步优化项目定位。建议研究对于审核达标但补贴额度低于10万元的资金支持情况，同时扩大范围做好服务对象满意度调查，进一步摸清科创型中小企业融资中存在的主要困难，根据需求变化做好政策的动态调整与优化。</w:t>
      </w:r>
    </w:p>
    <w:p>
      <w:pPr>
        <w:pStyle w:val="3"/>
        <w:keepNext w:val="0"/>
        <w:keepLines w:val="0"/>
        <w:adjustRightInd w:val="0"/>
        <w:snapToGrid w:val="0"/>
        <w:rPr>
          <w:rFonts w:ascii="黑体" w:hAnsi="黑体" w:eastAsia="黑体" w:cs="黑体"/>
          <w:color w:val="auto"/>
          <w:szCs w:val="32"/>
        </w:rPr>
      </w:pPr>
      <w:bookmarkStart w:id="24" w:name="_Toc31445"/>
      <w:r>
        <w:rPr>
          <w:rFonts w:hint="eastAsia" w:ascii="黑体" w:hAnsi="黑体" w:eastAsia="黑体" w:cs="黑体"/>
          <w:color w:val="auto"/>
          <w:szCs w:val="32"/>
        </w:rPr>
        <w:t>七、其他需要说明的问题</w:t>
      </w:r>
      <w:bookmarkEnd w:id="24"/>
    </w:p>
    <w:p>
      <w:pPr>
        <w:adjustRightInd w:val="0"/>
        <w:snapToGrid w:val="0"/>
        <w:spacing w:line="360" w:lineRule="auto"/>
        <w:ind w:firstLine="640" w:firstLineChars="200"/>
        <w:rPr>
          <w:rFonts w:ascii="宋体" w:hAnsi="宋体" w:cs="宋体"/>
          <w:color w:val="auto"/>
          <w:sz w:val="32"/>
          <w:szCs w:val="32"/>
        </w:rPr>
      </w:pPr>
      <w:r>
        <w:rPr>
          <w:rFonts w:hint="eastAsia" w:ascii="仿宋_GB2312" w:hAnsi="仿宋_GB2312" w:eastAsia="仿宋_GB2312" w:cs="仿宋_GB2312"/>
          <w:color w:val="auto"/>
          <w:sz w:val="32"/>
          <w:szCs w:val="32"/>
        </w:rPr>
        <w:t>无。</w:t>
      </w:r>
    </w:p>
    <w:p>
      <w:pPr>
        <w:pStyle w:val="3"/>
        <w:keepNext w:val="0"/>
        <w:keepLines w:val="0"/>
        <w:adjustRightInd w:val="0"/>
        <w:snapToGrid w:val="0"/>
        <w:rPr>
          <w:rFonts w:ascii="黑体" w:hAnsi="黑体" w:eastAsia="黑体" w:cs="黑体"/>
          <w:color w:val="auto"/>
          <w:szCs w:val="32"/>
        </w:rPr>
      </w:pPr>
      <w:bookmarkStart w:id="25" w:name="_Toc10256"/>
      <w:r>
        <w:rPr>
          <w:rFonts w:hint="eastAsia" w:ascii="黑体" w:hAnsi="黑体" w:eastAsia="黑体" w:cs="黑体"/>
          <w:color w:val="auto"/>
          <w:szCs w:val="32"/>
        </w:rPr>
        <w:t>八、附件</w:t>
      </w:r>
      <w:bookmarkEnd w:id="25"/>
    </w:p>
    <w:p>
      <w:pPr>
        <w:pStyle w:val="2"/>
        <w:adjustRightInd w:val="0"/>
        <w:snapToGrid w:val="0"/>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科技信贷支持项目</w:t>
      </w:r>
      <w:r>
        <w:rPr>
          <w:rFonts w:hint="eastAsia" w:ascii="仿宋_GB2312" w:hAnsi="仿宋_GB2312" w:eastAsia="仿宋_GB2312" w:cs="仿宋_GB2312"/>
          <w:color w:val="auto"/>
          <w:sz w:val="32"/>
          <w:szCs w:val="32"/>
        </w:rPr>
        <w:t>绩效评价指标体系及评分表</w:t>
      </w:r>
    </w:p>
    <w:p>
      <w:pPr>
        <w:pStyle w:val="2"/>
        <w:adjustRightInd w:val="0"/>
        <w:snapToGrid w:val="0"/>
        <w:spacing w:line="360" w:lineRule="auto"/>
        <w:ind w:firstLine="420" w:firstLineChars="200"/>
        <w:rPr>
          <w:color w:val="auto"/>
        </w:rPr>
      </w:pPr>
    </w:p>
    <w:p>
      <w:pPr>
        <w:pStyle w:val="2"/>
        <w:adjustRightInd w:val="0"/>
        <w:snapToGrid w:val="0"/>
        <w:spacing w:line="360" w:lineRule="auto"/>
        <w:ind w:firstLine="420" w:firstLineChars="200"/>
        <w:rPr>
          <w:color w:val="auto"/>
        </w:rPr>
      </w:pPr>
    </w:p>
    <w:p>
      <w:pPr>
        <w:pStyle w:val="2"/>
        <w:adjustRightInd w:val="0"/>
        <w:snapToGrid w:val="0"/>
        <w:spacing w:line="360" w:lineRule="auto"/>
        <w:ind w:firstLine="420" w:firstLineChars="200"/>
        <w:rPr>
          <w:color w:val="auto"/>
        </w:rPr>
      </w:pPr>
    </w:p>
    <w:p>
      <w:pPr>
        <w:adjustRightInd w:val="0"/>
        <w:snapToGrid w:val="0"/>
        <w:spacing w:line="360" w:lineRule="auto"/>
        <w:rPr>
          <w:rFonts w:ascii="仿宋_GB2312" w:eastAsia="仿宋_GB2312"/>
          <w:color w:val="auto"/>
          <w:sz w:val="32"/>
        </w:rPr>
        <w:sectPr>
          <w:footerReference r:id="rId5" w:type="default"/>
          <w:pgSz w:w="11906" w:h="16838"/>
          <w:pgMar w:top="1440" w:right="1800" w:bottom="1440" w:left="1800" w:header="851" w:footer="992" w:gutter="0"/>
          <w:pgNumType w:start="1"/>
          <w:cols w:space="720" w:num="1"/>
          <w:docGrid w:type="lines" w:linePitch="312" w:charSpace="0"/>
        </w:sectPr>
      </w:pPr>
    </w:p>
    <w:p>
      <w:pPr>
        <w:adjustRightInd w:val="0"/>
        <w:snapToGrid w:val="0"/>
        <w:spacing w:line="360" w:lineRule="auto"/>
        <w:rPr>
          <w:rFonts w:ascii="仿宋_GB2312" w:eastAsia="仿宋_GB2312"/>
          <w:color w:val="auto"/>
          <w:sz w:val="32"/>
        </w:rPr>
      </w:pPr>
      <w:r>
        <w:rPr>
          <w:rFonts w:hint="eastAsia" w:ascii="仿宋_GB2312" w:eastAsia="仿宋_GB2312"/>
          <w:color w:val="auto"/>
          <w:sz w:val="32"/>
        </w:rPr>
        <w:t>附件</w:t>
      </w:r>
    </w:p>
    <w:p>
      <w:pPr>
        <w:pStyle w:val="2"/>
        <w:snapToGrid w:val="0"/>
        <w:jc w:val="center"/>
        <w:rPr>
          <w:rFonts w:ascii="宋体" w:hAnsi="宋体" w:cs="宋体"/>
          <w:b/>
          <w:bCs/>
          <w:color w:val="auto"/>
          <w:kern w:val="0"/>
          <w:sz w:val="28"/>
          <w:szCs w:val="28"/>
        </w:rPr>
      </w:pPr>
      <w:r>
        <w:rPr>
          <w:rFonts w:hint="eastAsia" w:ascii="宋体" w:hAnsi="宋体" w:cs="宋体"/>
          <w:b/>
          <w:bCs/>
          <w:color w:val="auto"/>
          <w:kern w:val="0"/>
          <w:sz w:val="28"/>
          <w:szCs w:val="28"/>
          <w:lang w:val="en-US" w:eastAsia="zh-CN"/>
        </w:rPr>
        <w:t>科技信贷支持</w:t>
      </w:r>
      <w:r>
        <w:rPr>
          <w:rFonts w:hint="eastAsia" w:ascii="宋体" w:hAnsi="宋体" w:cs="宋体"/>
          <w:b/>
          <w:bCs/>
          <w:color w:val="auto"/>
          <w:kern w:val="0"/>
          <w:sz w:val="28"/>
          <w:szCs w:val="28"/>
        </w:rPr>
        <w:t>项目绩效评价指标体系及评分表</w:t>
      </w:r>
    </w:p>
    <w:p>
      <w:pPr>
        <w:pStyle w:val="2"/>
        <w:snapToGrid w:val="0"/>
        <w:jc w:val="center"/>
        <w:rPr>
          <w:rFonts w:ascii="宋体" w:hAnsi="宋体" w:cs="宋体"/>
          <w:b/>
          <w:bCs/>
          <w:color w:val="auto"/>
          <w:kern w:val="0"/>
          <w:sz w:val="28"/>
          <w:szCs w:val="28"/>
        </w:rPr>
      </w:pPr>
    </w:p>
    <w:tbl>
      <w:tblPr>
        <w:tblStyle w:val="16"/>
        <w:tblW w:w="526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5"/>
        <w:gridCol w:w="695"/>
        <w:gridCol w:w="695"/>
        <w:gridCol w:w="1094"/>
        <w:gridCol w:w="745"/>
        <w:gridCol w:w="885"/>
        <w:gridCol w:w="4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blHeader/>
          <w:jc w:val="center"/>
        </w:trPr>
        <w:tc>
          <w:tcPr>
            <w:tcW w:w="695" w:type="dxa"/>
            <w:noWrap/>
            <w:vAlign w:val="center"/>
          </w:tcPr>
          <w:p>
            <w:pPr>
              <w:widowControl/>
              <w:jc w:val="center"/>
              <w:textAlignment w:val="center"/>
              <w:rPr>
                <w:rFonts w:ascii="宋体" w:hAnsi="宋体" w:cs="宋体"/>
                <w:b/>
                <w:bCs/>
                <w:color w:val="auto"/>
                <w:sz w:val="20"/>
                <w:szCs w:val="20"/>
              </w:rPr>
            </w:pPr>
            <w:r>
              <w:rPr>
                <w:rFonts w:hint="eastAsia" w:ascii="宋体" w:hAnsi="宋体" w:cs="宋体"/>
                <w:b/>
                <w:bCs/>
                <w:color w:val="auto"/>
                <w:kern w:val="0"/>
                <w:sz w:val="20"/>
                <w:szCs w:val="20"/>
              </w:rPr>
              <w:t>一级指标</w:t>
            </w:r>
          </w:p>
        </w:tc>
        <w:tc>
          <w:tcPr>
            <w:tcW w:w="695" w:type="dxa"/>
            <w:noWrap/>
            <w:vAlign w:val="center"/>
          </w:tcPr>
          <w:p>
            <w:pPr>
              <w:widowControl/>
              <w:jc w:val="center"/>
              <w:textAlignment w:val="center"/>
              <w:rPr>
                <w:rFonts w:ascii="宋体" w:hAnsi="宋体" w:cs="宋体"/>
                <w:b/>
                <w:bCs/>
                <w:color w:val="auto"/>
                <w:sz w:val="20"/>
                <w:szCs w:val="20"/>
              </w:rPr>
            </w:pPr>
            <w:r>
              <w:rPr>
                <w:rFonts w:hint="eastAsia" w:ascii="宋体" w:hAnsi="宋体" w:cs="宋体"/>
                <w:b/>
                <w:bCs/>
                <w:color w:val="auto"/>
                <w:kern w:val="0"/>
                <w:sz w:val="20"/>
                <w:szCs w:val="20"/>
              </w:rPr>
              <w:t>二级指标</w:t>
            </w:r>
          </w:p>
        </w:tc>
        <w:tc>
          <w:tcPr>
            <w:tcW w:w="695" w:type="dxa"/>
            <w:noWrap/>
            <w:vAlign w:val="center"/>
          </w:tcPr>
          <w:p>
            <w:pPr>
              <w:widowControl/>
              <w:jc w:val="center"/>
              <w:textAlignment w:val="center"/>
              <w:rPr>
                <w:rFonts w:ascii="宋体" w:hAnsi="宋体" w:cs="宋体"/>
                <w:b/>
                <w:bCs/>
                <w:color w:val="auto"/>
                <w:sz w:val="20"/>
                <w:szCs w:val="20"/>
              </w:rPr>
            </w:pPr>
            <w:r>
              <w:rPr>
                <w:rFonts w:hint="eastAsia" w:ascii="宋体" w:hAnsi="宋体" w:cs="宋体"/>
                <w:b/>
                <w:bCs/>
                <w:color w:val="auto"/>
                <w:kern w:val="0"/>
                <w:sz w:val="20"/>
                <w:szCs w:val="20"/>
              </w:rPr>
              <w:t>二级分值</w:t>
            </w:r>
          </w:p>
        </w:tc>
        <w:tc>
          <w:tcPr>
            <w:tcW w:w="1094" w:type="dxa"/>
            <w:noWrap/>
            <w:vAlign w:val="center"/>
          </w:tcPr>
          <w:p>
            <w:pPr>
              <w:widowControl/>
              <w:jc w:val="center"/>
              <w:textAlignment w:val="center"/>
              <w:rPr>
                <w:rFonts w:ascii="宋体" w:hAnsi="宋体" w:cs="宋体"/>
                <w:b/>
                <w:bCs/>
                <w:color w:val="auto"/>
                <w:sz w:val="20"/>
                <w:szCs w:val="20"/>
              </w:rPr>
            </w:pPr>
            <w:r>
              <w:rPr>
                <w:rFonts w:hint="eastAsia" w:ascii="宋体" w:hAnsi="宋体" w:cs="宋体"/>
                <w:b/>
                <w:bCs/>
                <w:color w:val="auto"/>
                <w:kern w:val="0"/>
                <w:sz w:val="20"/>
                <w:szCs w:val="20"/>
              </w:rPr>
              <w:t>三级指标</w:t>
            </w:r>
          </w:p>
        </w:tc>
        <w:tc>
          <w:tcPr>
            <w:tcW w:w="745" w:type="dxa"/>
            <w:noWrap/>
            <w:vAlign w:val="center"/>
          </w:tcPr>
          <w:p>
            <w:pPr>
              <w:widowControl/>
              <w:jc w:val="center"/>
              <w:textAlignment w:val="center"/>
              <w:rPr>
                <w:rFonts w:ascii="宋体" w:hAnsi="宋体" w:cs="宋体"/>
                <w:b/>
                <w:bCs/>
                <w:color w:val="auto"/>
                <w:sz w:val="20"/>
                <w:szCs w:val="20"/>
              </w:rPr>
            </w:pPr>
            <w:r>
              <w:rPr>
                <w:rFonts w:hint="eastAsia" w:ascii="宋体" w:hAnsi="宋体" w:cs="宋体"/>
                <w:b/>
                <w:bCs/>
                <w:color w:val="auto"/>
                <w:kern w:val="0"/>
                <w:sz w:val="20"/>
                <w:szCs w:val="20"/>
              </w:rPr>
              <w:t>三级分值</w:t>
            </w:r>
          </w:p>
        </w:tc>
        <w:tc>
          <w:tcPr>
            <w:tcW w:w="885" w:type="dxa"/>
            <w:noWrap/>
            <w:vAlign w:val="center"/>
          </w:tcPr>
          <w:p>
            <w:pPr>
              <w:widowControl/>
              <w:jc w:val="center"/>
              <w:textAlignment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专家</w:t>
            </w:r>
          </w:p>
          <w:p>
            <w:pPr>
              <w:widowControl/>
              <w:jc w:val="center"/>
              <w:textAlignment w:val="center"/>
              <w:rPr>
                <w:rFonts w:ascii="宋体" w:hAnsi="宋体" w:cs="宋体"/>
                <w:b/>
                <w:bCs/>
                <w:color w:val="auto"/>
                <w:sz w:val="20"/>
                <w:szCs w:val="20"/>
              </w:rPr>
            </w:pPr>
            <w:r>
              <w:rPr>
                <w:rFonts w:hint="eastAsia" w:ascii="宋体" w:hAnsi="宋体" w:cs="宋体"/>
                <w:b/>
                <w:bCs/>
                <w:color w:val="auto"/>
                <w:kern w:val="0"/>
                <w:sz w:val="20"/>
                <w:szCs w:val="20"/>
              </w:rPr>
              <w:t>打分</w:t>
            </w:r>
          </w:p>
        </w:tc>
        <w:tc>
          <w:tcPr>
            <w:tcW w:w="4165" w:type="dxa"/>
            <w:noWrap/>
            <w:vAlign w:val="center"/>
          </w:tcPr>
          <w:p>
            <w:pPr>
              <w:widowControl/>
              <w:jc w:val="center"/>
              <w:textAlignment w:val="center"/>
              <w:rPr>
                <w:rFonts w:ascii="宋体" w:hAnsi="宋体" w:cs="宋体"/>
                <w:b/>
                <w:bCs/>
                <w:color w:val="auto"/>
                <w:sz w:val="20"/>
                <w:szCs w:val="20"/>
              </w:rPr>
            </w:pPr>
            <w:r>
              <w:rPr>
                <w:rFonts w:hint="eastAsia" w:ascii="宋体" w:hAnsi="宋体" w:cs="宋体"/>
                <w:b/>
                <w:bCs/>
                <w:color w:val="auto"/>
                <w:kern w:val="0"/>
                <w:sz w:val="20"/>
                <w:szCs w:val="20"/>
              </w:rPr>
              <w:t>打分分析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决策</w:t>
            </w:r>
            <w:r>
              <w:rPr>
                <w:rFonts w:hint="eastAsia" w:ascii="宋体" w:hAnsi="宋体" w:cs="宋体"/>
                <w:color w:val="auto"/>
                <w:kern w:val="0"/>
                <w:sz w:val="20"/>
                <w:szCs w:val="20"/>
              </w:rPr>
              <w:br w:type="textWrapping"/>
            </w:r>
            <w:r>
              <w:rPr>
                <w:rFonts w:hint="eastAsia" w:ascii="宋体" w:hAnsi="宋体" w:cs="宋体"/>
                <w:color w:val="auto"/>
                <w:kern w:val="0"/>
                <w:sz w:val="20"/>
                <w:szCs w:val="20"/>
              </w:rPr>
              <w:t>（10分）</w:t>
            </w: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项目立项</w:t>
            </w: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3</w:t>
            </w: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立项依据充分性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1.5</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1.47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立项与《进一步完善北京民营和小微企业金融服务体制机制行动方案（2021-2023年）》《关于中关村国家自主创新示范区建设国家科技金融创新中心的意见》《“十四五”时期中关村国家自主创新示范区发展建设规划》《中关村国家自主创新示范区促进科技金融深度融合创新发展支持资金管理办法》相关要求及实施细则相符，项目立项依据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立项程序规范性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1.5</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1.36 </w:t>
            </w:r>
          </w:p>
        </w:tc>
        <w:tc>
          <w:tcPr>
            <w:tcW w:w="4165" w:type="dxa"/>
            <w:noWrap/>
            <w:vAlign w:val="center"/>
          </w:tcPr>
          <w:p>
            <w:pPr>
              <w:keepNext w:val="0"/>
              <w:keepLines w:val="0"/>
              <w:widowControl/>
              <w:suppressLineNumbers w:val="0"/>
              <w:jc w:val="left"/>
              <w:textAlignment w:val="center"/>
              <w:rPr>
                <w:color w:val="auto"/>
                <w:highlight w:val="yellow"/>
              </w:rPr>
            </w:pPr>
            <w:r>
              <w:rPr>
                <w:rFonts w:hint="eastAsia" w:ascii="宋体" w:hAnsi="宋体" w:eastAsia="宋体" w:cs="宋体"/>
                <w:i w:val="0"/>
                <w:iCs w:val="0"/>
                <w:color w:val="000000"/>
                <w:kern w:val="0"/>
                <w:sz w:val="20"/>
                <w:szCs w:val="20"/>
                <w:u w:val="none"/>
                <w:lang w:val="en-US" w:eastAsia="zh-CN" w:bidi="ar"/>
              </w:rPr>
              <w:t>项目立项审批程序较为规范，但项目的可行性研究报告内容还不够全面、深入。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绩效目标</w:t>
            </w: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3</w:t>
            </w: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绩效目标的合理性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1.5</w:t>
            </w:r>
          </w:p>
        </w:tc>
        <w:tc>
          <w:tcPr>
            <w:tcW w:w="885" w:type="dxa"/>
            <w:noWrap/>
            <w:vAlign w:val="center"/>
          </w:tcPr>
          <w:p>
            <w:pPr>
              <w:keepNext w:val="0"/>
              <w:keepLines w:val="0"/>
              <w:widowControl/>
              <w:suppressLineNumbers w:val="0"/>
              <w:jc w:val="right"/>
              <w:textAlignment w:val="center"/>
              <w:rPr>
                <w:rFonts w:ascii="宋体" w:hAnsi="宋体" w:cs="宋体"/>
                <w:color w:val="auto"/>
                <w:kern w:val="0"/>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1.36 </w:t>
            </w:r>
          </w:p>
        </w:tc>
        <w:tc>
          <w:tcPr>
            <w:tcW w:w="4165" w:type="dxa"/>
            <w:noWrap/>
            <w:vAlign w:val="center"/>
          </w:tcPr>
          <w:p>
            <w:pPr>
              <w:keepNext w:val="0"/>
              <w:keepLines w:val="0"/>
              <w:widowControl/>
              <w:suppressLineNumbers w:val="0"/>
              <w:jc w:val="left"/>
              <w:textAlignment w:val="center"/>
              <w:rPr>
                <w:rFonts w:ascii="宋体" w:hAnsi="宋体" w:cs="宋体"/>
                <w:color w:val="auto"/>
                <w:kern w:val="0"/>
                <w:sz w:val="20"/>
                <w:szCs w:val="20"/>
                <w:highlight w:val="yellow"/>
              </w:rPr>
            </w:pPr>
            <w:r>
              <w:rPr>
                <w:rFonts w:hint="eastAsia" w:ascii="宋体" w:hAnsi="宋体" w:eastAsia="宋体" w:cs="宋体"/>
                <w:i w:val="0"/>
                <w:iCs w:val="0"/>
                <w:color w:val="000000"/>
                <w:kern w:val="0"/>
                <w:sz w:val="20"/>
                <w:szCs w:val="20"/>
                <w:u w:val="none"/>
                <w:lang w:val="en-US" w:eastAsia="zh-CN" w:bidi="ar"/>
              </w:rPr>
              <w:t>项目绩效目标设定较合理。但个别指标存在不足，如数量指标“支持企业开展融资租赁业务获得融资金额≥7亿元”和“支持企业获得知识产权质押贷款金额≥</w:t>
            </w: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亿元”建议用资金放大倍数来衡量。缺少社会效益指标。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绩效指标的明确性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1.5</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1.34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该项目绩效目标设置较为量化、具体，有利于后期考核和评价，但效益指标设置为“降低科创企业融资成本情况”，明确性不足，也缺乏可衡量可考核性。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资金投入</w:t>
            </w: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4</w:t>
            </w: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预算编制科学性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2</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1.72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项目预算编制依据较为明确，执行中受政策调整影响，预算调整比较大。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资金分配合理性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2</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1.78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项目预算资金分配经过了科学的测算，但资金在各子项目间的配置有待进一步优化。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过程</w:t>
            </w:r>
            <w:r>
              <w:rPr>
                <w:rFonts w:hint="eastAsia" w:ascii="宋体" w:hAnsi="宋体" w:cs="宋体"/>
                <w:color w:val="auto"/>
                <w:kern w:val="0"/>
                <w:sz w:val="20"/>
                <w:szCs w:val="20"/>
              </w:rPr>
              <w:br w:type="textWrapping"/>
            </w:r>
            <w:r>
              <w:rPr>
                <w:rFonts w:hint="eastAsia" w:ascii="宋体" w:hAnsi="宋体" w:cs="宋体"/>
                <w:color w:val="auto"/>
                <w:kern w:val="0"/>
                <w:sz w:val="20"/>
                <w:szCs w:val="20"/>
              </w:rPr>
              <w:t>（20分）</w:t>
            </w: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资金管理</w:t>
            </w: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12</w:t>
            </w: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资金到位率</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4</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none"/>
              </w:rPr>
            </w:pPr>
            <w:r>
              <w:rPr>
                <w:rFonts w:hint="eastAsia" w:ascii="宋体" w:hAnsi="宋体" w:eastAsia="宋体" w:cs="宋体"/>
                <w:i w:val="0"/>
                <w:iCs w:val="0"/>
                <w:color w:val="000000"/>
                <w:kern w:val="0"/>
                <w:sz w:val="20"/>
                <w:szCs w:val="20"/>
                <w:u w:val="none"/>
                <w:lang w:val="en-US" w:eastAsia="zh-CN" w:bidi="ar"/>
              </w:rPr>
              <w:t>资金到位率100%。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预算执行率</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4</w:t>
            </w:r>
          </w:p>
        </w:tc>
        <w:tc>
          <w:tcPr>
            <w:tcW w:w="885" w:type="dxa"/>
            <w:noWrap/>
            <w:vAlign w:val="center"/>
          </w:tcPr>
          <w:p>
            <w:pPr>
              <w:keepNext w:val="0"/>
              <w:keepLines w:val="0"/>
              <w:widowControl/>
              <w:suppressLineNumbers w:val="0"/>
              <w:jc w:val="right"/>
              <w:textAlignment w:val="center"/>
              <w:rPr>
                <w:rFonts w:hint="eastAsia" w:ascii="宋体" w:hAnsi="宋体" w:eastAsia="宋体" w:cs="宋体"/>
                <w:color w:val="auto"/>
                <w:sz w:val="20"/>
                <w:szCs w:val="20"/>
                <w:highlight w:val="none"/>
                <w:lang w:eastAsia="zh-CN"/>
              </w:rPr>
            </w:pPr>
            <w:r>
              <w:rPr>
                <w:rFonts w:hint="eastAsia" w:ascii="宋体" w:hAnsi="宋体" w:eastAsia="宋体" w:cs="宋体"/>
                <w:i w:val="0"/>
                <w:iCs w:val="0"/>
                <w:color w:val="000000"/>
                <w:kern w:val="0"/>
                <w:sz w:val="20"/>
                <w:szCs w:val="20"/>
                <w:u w:val="none"/>
                <w:lang w:val="en-US" w:eastAsia="zh-CN" w:bidi="ar"/>
              </w:rPr>
              <w:t xml:space="preserve">1.97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none"/>
              </w:rPr>
            </w:pPr>
            <w:r>
              <w:rPr>
                <w:rFonts w:hint="eastAsia" w:ascii="宋体" w:hAnsi="宋体" w:eastAsia="宋体" w:cs="宋体"/>
                <w:i w:val="0"/>
                <w:iCs w:val="0"/>
                <w:color w:val="000000"/>
                <w:kern w:val="0"/>
                <w:sz w:val="20"/>
                <w:szCs w:val="20"/>
                <w:u w:val="none"/>
                <w:lang w:val="en-US" w:eastAsia="zh-CN" w:bidi="ar"/>
              </w:rPr>
              <w:t>预算执行率49.28%。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资金使用合规性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4</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3.76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资金使用合规。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组织实施</w:t>
            </w: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8</w:t>
            </w: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管理制度健全性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2</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1.84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市科委、中关村管委会制定了《中关村国家自主创新示范区促进科技金融深度融合发展支持资金管理办法（试行）》，建立健全了内控手册及制度体系，财务方面包括《北京市科学技术委员会、中关村科技园区管理委员会“三重一大”事项决策制度》《财务管理制度》等，制度内容条款制约性措施比较具体明确，管理制度较健全、完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制度执行有效性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6</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5.56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科技信贷支持项目制度执行较为有效，但项目缺少整体实施方案，实施方案有待进一步优化。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产出</w:t>
            </w:r>
            <w:r>
              <w:rPr>
                <w:rFonts w:hint="eastAsia" w:ascii="宋体" w:hAnsi="宋体" w:cs="宋体"/>
                <w:color w:val="auto"/>
                <w:kern w:val="0"/>
                <w:sz w:val="20"/>
                <w:szCs w:val="20"/>
              </w:rPr>
              <w:br w:type="textWrapping"/>
            </w:r>
            <w:r>
              <w:rPr>
                <w:rFonts w:hint="eastAsia" w:ascii="宋体" w:hAnsi="宋体" w:cs="宋体"/>
                <w:color w:val="auto"/>
                <w:kern w:val="0"/>
                <w:sz w:val="20"/>
                <w:szCs w:val="20"/>
              </w:rPr>
              <w:t>（40分）</w:t>
            </w:r>
          </w:p>
        </w:tc>
        <w:tc>
          <w:tcPr>
            <w:tcW w:w="69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产出数量</w:t>
            </w:r>
          </w:p>
        </w:tc>
        <w:tc>
          <w:tcPr>
            <w:tcW w:w="69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实际完成率</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8.90 </w:t>
            </w:r>
          </w:p>
        </w:tc>
        <w:tc>
          <w:tcPr>
            <w:tcW w:w="4165" w:type="dxa"/>
            <w:noWrap/>
            <w:vAlign w:val="center"/>
          </w:tcPr>
          <w:p>
            <w:pPr>
              <w:keepNext w:val="0"/>
              <w:keepLines w:val="0"/>
              <w:widowControl/>
              <w:suppressLineNumbers w:val="0"/>
              <w:jc w:val="left"/>
              <w:textAlignment w:val="center"/>
              <w:rPr>
                <w:rFonts w:hint="default" w:ascii="宋体" w:hAnsi="宋体" w:cs="宋体"/>
                <w:color w:val="auto"/>
                <w:sz w:val="20"/>
                <w:szCs w:val="20"/>
                <w:highlight w:val="yellow"/>
                <w:lang w:val="en-US"/>
              </w:rPr>
            </w:pPr>
            <w:r>
              <w:rPr>
                <w:rFonts w:hint="eastAsia" w:ascii="宋体" w:hAnsi="宋体" w:eastAsia="宋体" w:cs="宋体"/>
                <w:i w:val="0"/>
                <w:iCs w:val="0"/>
                <w:color w:val="000000"/>
                <w:kern w:val="0"/>
                <w:sz w:val="20"/>
                <w:szCs w:val="20"/>
                <w:u w:val="none"/>
                <w:lang w:val="en-US" w:eastAsia="zh-CN" w:bidi="ar"/>
              </w:rPr>
              <w:t>科创中小微企业融资租赁费用补贴支持企业38家，为企业获得融资约10.73亿元；知识产权质押融资及风险补贴支持企业机构27家，支持企业获得知识产权质押贷款金额3.53亿元</w:t>
            </w:r>
            <w:r>
              <w:rPr>
                <w:rFonts w:hint="eastAsia" w:ascii="宋体" w:hAnsi="宋体" w:cs="宋体"/>
                <w:i w:val="0"/>
                <w:iCs w:val="0"/>
                <w:color w:val="000000"/>
                <w:kern w:val="0"/>
                <w:sz w:val="20"/>
                <w:szCs w:val="20"/>
                <w:u w:val="none"/>
                <w:lang w:val="en-US" w:eastAsia="zh-CN" w:bidi="ar"/>
              </w:rPr>
              <w:t>。基本完成目标，但项目预算执行率总体偏低。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产出质量</w:t>
            </w:r>
          </w:p>
        </w:tc>
        <w:tc>
          <w:tcPr>
            <w:tcW w:w="69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质量达标率</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8.60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符合《中关村国家自主创新示范区促进科技金融深度融合发展支持资金管理办法（试行）》相关要求。</w:t>
            </w:r>
            <w:r>
              <w:rPr>
                <w:rFonts w:hint="eastAsia" w:ascii="宋体" w:hAnsi="宋体" w:cs="宋体"/>
                <w:i w:val="0"/>
                <w:iCs w:val="0"/>
                <w:color w:val="000000"/>
                <w:kern w:val="0"/>
                <w:sz w:val="20"/>
                <w:szCs w:val="20"/>
                <w:u w:val="none"/>
                <w:lang w:val="en-US" w:eastAsia="zh-CN" w:bidi="ar"/>
              </w:rPr>
              <w:t>基本完成目标，但项目预算执行率总全偏低。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产出时效</w:t>
            </w:r>
          </w:p>
        </w:tc>
        <w:tc>
          <w:tcPr>
            <w:tcW w:w="69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完成及时性</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none"/>
              </w:rPr>
            </w:pPr>
            <w:r>
              <w:rPr>
                <w:rFonts w:hint="eastAsia" w:ascii="宋体" w:hAnsi="宋体" w:eastAsia="宋体" w:cs="宋体"/>
                <w:i w:val="0"/>
                <w:iCs w:val="0"/>
                <w:color w:val="000000"/>
                <w:kern w:val="0"/>
                <w:sz w:val="20"/>
                <w:szCs w:val="20"/>
                <w:u w:val="none"/>
                <w:lang w:val="en-US" w:eastAsia="zh-CN" w:bidi="ar"/>
              </w:rPr>
              <w:t xml:space="preserve">8.20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none"/>
              </w:rPr>
            </w:pPr>
            <w:r>
              <w:rPr>
                <w:rFonts w:hint="eastAsia" w:ascii="宋体" w:hAnsi="宋体" w:eastAsia="宋体" w:cs="宋体"/>
                <w:i w:val="0"/>
                <w:iCs w:val="0"/>
                <w:color w:val="000000"/>
                <w:kern w:val="0"/>
                <w:sz w:val="20"/>
                <w:szCs w:val="20"/>
                <w:u w:val="none"/>
                <w:lang w:val="en-US" w:eastAsia="zh-CN" w:bidi="ar"/>
              </w:rPr>
              <w:t>按照</w:t>
            </w:r>
            <w:r>
              <w:rPr>
                <w:rFonts w:hint="eastAsia" w:ascii="宋体" w:hAnsi="宋体" w:cs="宋体"/>
                <w:i w:val="0"/>
                <w:iCs w:val="0"/>
                <w:color w:val="000000"/>
                <w:kern w:val="0"/>
                <w:sz w:val="20"/>
                <w:szCs w:val="20"/>
                <w:u w:val="none"/>
                <w:lang w:val="en-US" w:eastAsia="zh-CN" w:bidi="ar"/>
              </w:rPr>
              <w:t>调整后计划</w:t>
            </w:r>
            <w:r>
              <w:rPr>
                <w:rFonts w:hint="eastAsia" w:ascii="宋体" w:hAnsi="宋体" w:eastAsia="宋体" w:cs="宋体"/>
                <w:i w:val="0"/>
                <w:iCs w:val="0"/>
                <w:color w:val="000000"/>
                <w:kern w:val="0"/>
                <w:sz w:val="20"/>
                <w:szCs w:val="20"/>
                <w:u w:val="none"/>
                <w:lang w:val="en-US" w:eastAsia="zh-CN" w:bidi="ar"/>
              </w:rPr>
              <w:t>实施，进度基本符合预期目标。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产出成本</w:t>
            </w:r>
          </w:p>
        </w:tc>
        <w:tc>
          <w:tcPr>
            <w:tcW w:w="69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成本节约率</w:t>
            </w:r>
          </w:p>
        </w:tc>
        <w:tc>
          <w:tcPr>
            <w:tcW w:w="745"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10</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8.20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科技信贷支持项目2022年到位资金共计3000万元，实际支出1478.44万元，项目按照融资费用、风险补偿标准进行补贴</w:t>
            </w:r>
            <w:r>
              <w:rPr>
                <w:rFonts w:hint="eastAsia" w:ascii="宋体" w:hAnsi="宋体" w:cs="宋体"/>
                <w:i w:val="0"/>
                <w:iCs w:val="0"/>
                <w:color w:val="000000"/>
                <w:kern w:val="0"/>
                <w:sz w:val="20"/>
                <w:szCs w:val="20"/>
                <w:u w:val="none"/>
                <w:lang w:val="en-US"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3" w:hRule="atLeast"/>
          <w:jc w:val="center"/>
        </w:trPr>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效益</w:t>
            </w:r>
            <w:r>
              <w:rPr>
                <w:rFonts w:hint="eastAsia" w:ascii="宋体" w:hAnsi="宋体" w:cs="宋体"/>
                <w:color w:val="auto"/>
                <w:kern w:val="0"/>
                <w:sz w:val="20"/>
                <w:szCs w:val="20"/>
              </w:rPr>
              <w:br w:type="textWrapping"/>
            </w:r>
            <w:r>
              <w:rPr>
                <w:rFonts w:hint="eastAsia" w:ascii="宋体" w:hAnsi="宋体" w:cs="宋体"/>
                <w:color w:val="auto"/>
                <w:kern w:val="0"/>
                <w:sz w:val="20"/>
                <w:szCs w:val="20"/>
              </w:rPr>
              <w:t>（30分）</w:t>
            </w: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项目效益</w:t>
            </w:r>
          </w:p>
        </w:tc>
        <w:tc>
          <w:tcPr>
            <w:tcW w:w="695" w:type="dxa"/>
            <w:vMerge w:val="restart"/>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30</w:t>
            </w:r>
          </w:p>
        </w:tc>
        <w:tc>
          <w:tcPr>
            <w:tcW w:w="1094" w:type="dxa"/>
            <w:noWrap/>
            <w:vAlign w:val="center"/>
          </w:tcPr>
          <w:p>
            <w:pPr>
              <w:widowControl/>
              <w:jc w:val="center"/>
              <w:textAlignment w:val="center"/>
              <w:rPr>
                <w:rFonts w:hint="default" w:ascii="宋体" w:hAnsi="宋体" w:eastAsia="宋体" w:cs="宋体"/>
                <w:color w:val="auto"/>
                <w:sz w:val="20"/>
                <w:szCs w:val="20"/>
                <w:lang w:val="en-US" w:eastAsia="zh-CN"/>
              </w:rPr>
            </w:pPr>
            <w:r>
              <w:rPr>
                <w:rFonts w:hint="eastAsia" w:ascii="宋体" w:hAnsi="宋体" w:cs="宋体"/>
                <w:color w:val="auto"/>
                <w:kern w:val="0"/>
                <w:sz w:val="20"/>
                <w:szCs w:val="20"/>
                <w:lang w:val="en-US" w:eastAsia="zh-CN"/>
              </w:rPr>
              <w:t>项目效益</w:t>
            </w:r>
          </w:p>
        </w:tc>
        <w:tc>
          <w:tcPr>
            <w:tcW w:w="745" w:type="dxa"/>
            <w:noWrap/>
            <w:vAlign w:val="center"/>
          </w:tcPr>
          <w:p>
            <w:pPr>
              <w:widowControl/>
              <w:jc w:val="center"/>
              <w:textAlignment w:val="center"/>
              <w:rPr>
                <w:rFonts w:hint="default" w:ascii="宋体" w:hAnsi="宋体" w:eastAsia="宋体" w:cs="宋体"/>
                <w:color w:val="auto"/>
                <w:sz w:val="20"/>
                <w:szCs w:val="20"/>
                <w:lang w:val="en-US" w:eastAsia="zh-CN"/>
              </w:rPr>
            </w:pPr>
            <w:r>
              <w:rPr>
                <w:rFonts w:hint="eastAsia" w:ascii="宋体" w:hAnsi="宋体" w:cs="宋体"/>
                <w:color w:val="auto"/>
                <w:kern w:val="0"/>
                <w:sz w:val="20"/>
                <w:szCs w:val="20"/>
                <w:lang w:val="en-US" w:eastAsia="zh-CN"/>
              </w:rPr>
              <w:t>20</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16.40 </w:t>
            </w:r>
          </w:p>
        </w:tc>
        <w:tc>
          <w:tcPr>
            <w:tcW w:w="4165" w:type="dxa"/>
            <w:noWrap/>
            <w:vAlign w:val="center"/>
          </w:tcPr>
          <w:p>
            <w:pPr>
              <w:keepNext w:val="0"/>
              <w:keepLines w:val="0"/>
              <w:widowControl/>
              <w:suppressLineNumbers w:val="0"/>
              <w:jc w:val="left"/>
              <w:textAlignment w:val="center"/>
              <w:rPr>
                <w:rFonts w:hint="default" w:ascii="宋体" w:hAnsi="宋体" w:cs="宋体"/>
                <w:color w:val="auto"/>
                <w:sz w:val="20"/>
                <w:szCs w:val="20"/>
                <w:highlight w:val="yellow"/>
                <w:lang w:val="en-US"/>
              </w:rPr>
            </w:pPr>
            <w:r>
              <w:rPr>
                <w:rFonts w:hint="eastAsia" w:ascii="宋体" w:hAnsi="宋体" w:eastAsia="宋体" w:cs="宋体"/>
                <w:i w:val="0"/>
                <w:iCs w:val="0"/>
                <w:color w:val="000000"/>
                <w:kern w:val="0"/>
                <w:sz w:val="20"/>
                <w:szCs w:val="20"/>
                <w:u w:val="none"/>
                <w:lang w:val="en-US" w:eastAsia="zh-CN" w:bidi="ar"/>
              </w:rPr>
              <w:t>融资租赁项目为企业获得融资约10.73亿元，租赁周期平均为2-3年期，平均费率为6%左右。2022年，北京市累放知识产权质押贷款42.44亿元，同比增长49.31%；累放贷款户数691户，同比增长35.23%。截至2022年末，知识产权质押贷款余额46.80亿元，同比增长65.08%；存量客户数646户，同比增长34.02%。</w:t>
            </w:r>
            <w:r>
              <w:rPr>
                <w:rFonts w:hint="eastAsia" w:ascii="宋体" w:hAnsi="宋体" w:cs="宋体"/>
                <w:i w:val="0"/>
                <w:iCs w:val="0"/>
                <w:color w:val="000000"/>
                <w:kern w:val="0"/>
                <w:sz w:val="20"/>
                <w:szCs w:val="20"/>
                <w:u w:val="none"/>
                <w:lang w:val="en-US" w:eastAsia="zh-CN" w:bidi="ar"/>
              </w:rPr>
              <w:t>项目绩效较为显著，但对于解决中小企业融资难、融资贵的问题体现不够充分。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695" w:type="dxa"/>
            <w:vMerge w:val="continue"/>
            <w:noWrap/>
            <w:vAlign w:val="center"/>
          </w:tcPr>
          <w:p>
            <w:pPr>
              <w:jc w:val="center"/>
              <w:rPr>
                <w:rFonts w:ascii="宋体" w:hAnsi="宋体" w:cs="宋体"/>
                <w:color w:val="auto"/>
                <w:sz w:val="20"/>
                <w:szCs w:val="20"/>
              </w:rPr>
            </w:pPr>
          </w:p>
        </w:tc>
        <w:tc>
          <w:tcPr>
            <w:tcW w:w="1094" w:type="dxa"/>
            <w:noWrap/>
            <w:vAlign w:val="center"/>
          </w:tcPr>
          <w:p>
            <w:pPr>
              <w:widowControl/>
              <w:jc w:val="center"/>
              <w:textAlignment w:val="center"/>
              <w:rPr>
                <w:rFonts w:ascii="宋体" w:hAnsi="宋体" w:cs="宋体"/>
                <w:color w:val="auto"/>
                <w:sz w:val="20"/>
                <w:szCs w:val="20"/>
              </w:rPr>
            </w:pPr>
            <w:r>
              <w:rPr>
                <w:rFonts w:hint="eastAsia" w:ascii="宋体" w:hAnsi="宋体" w:cs="宋体"/>
                <w:color w:val="auto"/>
                <w:kern w:val="0"/>
                <w:sz w:val="20"/>
                <w:szCs w:val="20"/>
              </w:rPr>
              <w:t>服务对象满意度</w:t>
            </w:r>
          </w:p>
        </w:tc>
        <w:tc>
          <w:tcPr>
            <w:tcW w:w="745" w:type="dxa"/>
            <w:noWrap/>
            <w:vAlign w:val="center"/>
          </w:tcPr>
          <w:p>
            <w:pPr>
              <w:widowControl/>
              <w:jc w:val="center"/>
              <w:textAlignment w:val="center"/>
              <w:rPr>
                <w:rFonts w:hint="default" w:ascii="宋体" w:hAnsi="宋体" w:eastAsia="宋体" w:cs="宋体"/>
                <w:color w:val="auto"/>
                <w:sz w:val="20"/>
                <w:szCs w:val="20"/>
                <w:lang w:val="en-US" w:eastAsia="zh-CN"/>
              </w:rPr>
            </w:pPr>
            <w:r>
              <w:rPr>
                <w:rFonts w:hint="eastAsia" w:ascii="宋体" w:hAnsi="宋体" w:cs="宋体"/>
                <w:color w:val="auto"/>
                <w:kern w:val="0"/>
                <w:sz w:val="20"/>
                <w:szCs w:val="20"/>
                <w:lang w:val="en-US" w:eastAsia="zh-CN"/>
              </w:rPr>
              <w:t>10</w:t>
            </w:r>
          </w:p>
        </w:tc>
        <w:tc>
          <w:tcPr>
            <w:tcW w:w="885" w:type="dxa"/>
            <w:noWrap/>
            <w:vAlign w:val="center"/>
          </w:tcPr>
          <w:p>
            <w:pPr>
              <w:keepNext w:val="0"/>
              <w:keepLines w:val="0"/>
              <w:widowControl/>
              <w:suppressLineNumbers w:val="0"/>
              <w:jc w:val="righ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 xml:space="preserve">7.50 </w:t>
            </w:r>
          </w:p>
        </w:tc>
        <w:tc>
          <w:tcPr>
            <w:tcW w:w="4165" w:type="dxa"/>
            <w:noWrap/>
            <w:vAlign w:val="center"/>
          </w:tcPr>
          <w:p>
            <w:pPr>
              <w:keepNext w:val="0"/>
              <w:keepLines w:val="0"/>
              <w:widowControl/>
              <w:suppressLineNumbers w:val="0"/>
              <w:jc w:val="left"/>
              <w:textAlignment w:val="center"/>
              <w:rPr>
                <w:rFonts w:ascii="宋体" w:hAnsi="宋体" w:cs="宋体"/>
                <w:color w:val="auto"/>
                <w:sz w:val="20"/>
                <w:szCs w:val="20"/>
                <w:highlight w:val="yellow"/>
              </w:rPr>
            </w:pPr>
            <w:r>
              <w:rPr>
                <w:rFonts w:hint="eastAsia" w:ascii="宋体" w:hAnsi="宋体" w:eastAsia="宋体" w:cs="宋体"/>
                <w:i w:val="0"/>
                <w:iCs w:val="0"/>
                <w:color w:val="000000"/>
                <w:kern w:val="0"/>
                <w:sz w:val="20"/>
                <w:szCs w:val="20"/>
                <w:u w:val="none"/>
                <w:lang w:val="en-US" w:eastAsia="zh-CN" w:bidi="ar"/>
              </w:rPr>
              <w:t>服务对象满意度99%，但缺少满意度调查问卷分析。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1390" w:type="dxa"/>
            <w:gridSpan w:val="2"/>
            <w:noWrap/>
            <w:vAlign w:val="center"/>
          </w:tcPr>
          <w:p>
            <w:pPr>
              <w:widowControl/>
              <w:jc w:val="center"/>
              <w:textAlignment w:val="center"/>
              <w:rPr>
                <w:rFonts w:ascii="宋体" w:hAnsi="宋体" w:cs="宋体"/>
                <w:b/>
                <w:bCs w:val="0"/>
                <w:color w:val="auto"/>
                <w:sz w:val="20"/>
                <w:szCs w:val="20"/>
              </w:rPr>
            </w:pPr>
            <w:r>
              <w:rPr>
                <w:rFonts w:hint="eastAsia" w:ascii="宋体" w:hAnsi="宋体" w:cs="宋体"/>
                <w:b/>
                <w:bCs w:val="0"/>
                <w:color w:val="auto"/>
                <w:kern w:val="0"/>
                <w:sz w:val="20"/>
                <w:szCs w:val="20"/>
              </w:rPr>
              <w:t>合计</w:t>
            </w:r>
          </w:p>
        </w:tc>
        <w:tc>
          <w:tcPr>
            <w:tcW w:w="695" w:type="dxa"/>
            <w:noWrap/>
            <w:vAlign w:val="center"/>
          </w:tcPr>
          <w:p>
            <w:pPr>
              <w:widowControl/>
              <w:jc w:val="center"/>
              <w:textAlignment w:val="center"/>
              <w:rPr>
                <w:rFonts w:ascii="宋体" w:hAnsi="宋体" w:cs="宋体"/>
                <w:b/>
                <w:bCs w:val="0"/>
                <w:color w:val="auto"/>
                <w:sz w:val="20"/>
                <w:szCs w:val="20"/>
              </w:rPr>
            </w:pPr>
            <w:r>
              <w:rPr>
                <w:rFonts w:hint="eastAsia" w:ascii="宋体" w:hAnsi="宋体" w:cs="宋体"/>
                <w:b/>
                <w:bCs w:val="0"/>
                <w:color w:val="auto"/>
                <w:kern w:val="0"/>
                <w:sz w:val="20"/>
                <w:szCs w:val="20"/>
              </w:rPr>
              <w:t>100</w:t>
            </w:r>
          </w:p>
        </w:tc>
        <w:tc>
          <w:tcPr>
            <w:tcW w:w="1094" w:type="dxa"/>
            <w:noWrap/>
            <w:vAlign w:val="center"/>
          </w:tcPr>
          <w:p>
            <w:pPr>
              <w:jc w:val="center"/>
              <w:rPr>
                <w:rFonts w:ascii="宋体" w:hAnsi="宋体" w:cs="宋体"/>
                <w:b/>
                <w:bCs w:val="0"/>
                <w:color w:val="auto"/>
                <w:sz w:val="20"/>
                <w:szCs w:val="20"/>
              </w:rPr>
            </w:pPr>
          </w:p>
        </w:tc>
        <w:tc>
          <w:tcPr>
            <w:tcW w:w="745" w:type="dxa"/>
            <w:noWrap/>
            <w:vAlign w:val="center"/>
          </w:tcPr>
          <w:p>
            <w:pPr>
              <w:widowControl/>
              <w:jc w:val="center"/>
              <w:textAlignment w:val="center"/>
              <w:rPr>
                <w:rFonts w:ascii="宋体" w:hAnsi="宋体" w:cs="宋体"/>
                <w:b/>
                <w:bCs w:val="0"/>
                <w:color w:val="auto"/>
                <w:sz w:val="20"/>
                <w:szCs w:val="20"/>
              </w:rPr>
            </w:pPr>
            <w:r>
              <w:rPr>
                <w:rFonts w:hint="eastAsia" w:ascii="宋体" w:hAnsi="宋体" w:cs="宋体"/>
                <w:b/>
                <w:bCs w:val="0"/>
                <w:color w:val="auto"/>
                <w:kern w:val="0"/>
                <w:sz w:val="20"/>
                <w:szCs w:val="20"/>
              </w:rPr>
              <w:t>100</w:t>
            </w:r>
          </w:p>
        </w:tc>
        <w:tc>
          <w:tcPr>
            <w:tcW w:w="885" w:type="dxa"/>
            <w:noWrap/>
            <w:vAlign w:val="center"/>
          </w:tcPr>
          <w:p>
            <w:pPr>
              <w:keepNext w:val="0"/>
              <w:keepLines w:val="0"/>
              <w:widowControl/>
              <w:suppressLineNumbers w:val="0"/>
              <w:jc w:val="right"/>
              <w:textAlignment w:val="center"/>
              <w:rPr>
                <w:rFonts w:ascii="宋体" w:hAnsi="宋体" w:cs="宋体"/>
                <w:b/>
                <w:bCs w:val="0"/>
                <w:color w:val="auto"/>
                <w:sz w:val="20"/>
                <w:szCs w:val="20"/>
                <w:highlight w:val="yellow"/>
              </w:rPr>
            </w:pPr>
            <w:r>
              <w:rPr>
                <w:rFonts w:hint="eastAsia" w:ascii="宋体" w:hAnsi="宋体" w:eastAsia="宋体" w:cs="宋体"/>
                <w:b/>
                <w:bCs w:val="0"/>
                <w:i w:val="0"/>
                <w:iCs w:val="0"/>
                <w:color w:val="000000"/>
                <w:kern w:val="0"/>
                <w:sz w:val="20"/>
                <w:szCs w:val="20"/>
                <w:u w:val="none"/>
                <w:lang w:val="en-US" w:eastAsia="zh-CN" w:bidi="ar"/>
              </w:rPr>
              <w:t xml:space="preserve">83.96 </w:t>
            </w:r>
          </w:p>
        </w:tc>
        <w:tc>
          <w:tcPr>
            <w:tcW w:w="4165" w:type="dxa"/>
            <w:noWrap/>
            <w:vAlign w:val="center"/>
          </w:tcPr>
          <w:p>
            <w:pPr>
              <w:rPr>
                <w:rFonts w:ascii="宋体" w:hAnsi="宋体" w:cs="宋体"/>
                <w:b/>
                <w:color w:val="auto"/>
                <w:sz w:val="20"/>
                <w:szCs w:val="20"/>
                <w:highlight w:val="yellow"/>
              </w:rPr>
            </w:pPr>
          </w:p>
        </w:tc>
      </w:tr>
    </w:tbl>
    <w:p>
      <w:pPr>
        <w:pStyle w:val="2"/>
        <w:rPr>
          <w:rFonts w:ascii="仿宋_GB2312" w:eastAsia="仿宋_GB2312"/>
          <w:color w:val="auto"/>
          <w:sz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8"/>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LBuaM0BAACo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5LECUsvfvnx/fLz9+XXN1Yl&#10;fQaPNZXdeyqM41sYaWuWOFIw0R67YNOXCDHKE9T5qq4aI5Pp0rpar0tKScotDuEXD9d9wPhOgWXJ&#10;aHig58uqitMHjFPpUpK6ObjTxuQnNO6vAGFOEZV3YL6dmEwTJyuO+3Gmt4f2TOwG2oOGO1p7zsx7&#10;RzLTtHExwmLsF+Pogz70eadSd/RvjpFGypOmDhMsMUwOPWDmOi9b2pDHfq56+MG2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LBuaM0BAACoAwAADgAAAAAAAAABACAAAAAeAQAAZHJzL2Uy&#10;b0RvYy54bWxQSwUGAAAAAAYABgBZAQAAXQU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YmU5Y2I1Y2Y5ZTFkMWQ0ZTNlY2I5NmRhMmIxN2IifQ=="/>
  </w:docVars>
  <w:rsids>
    <w:rsidRoot w:val="0055724C"/>
    <w:rsid w:val="00005E95"/>
    <w:rsid w:val="00011FE4"/>
    <w:rsid w:val="00022E3D"/>
    <w:rsid w:val="000249D6"/>
    <w:rsid w:val="000362DE"/>
    <w:rsid w:val="0004104D"/>
    <w:rsid w:val="00056AEC"/>
    <w:rsid w:val="00063579"/>
    <w:rsid w:val="00070ABB"/>
    <w:rsid w:val="00072393"/>
    <w:rsid w:val="0007445B"/>
    <w:rsid w:val="000863C1"/>
    <w:rsid w:val="00092FC8"/>
    <w:rsid w:val="00094DFD"/>
    <w:rsid w:val="00097A69"/>
    <w:rsid w:val="000A37B2"/>
    <w:rsid w:val="000A643D"/>
    <w:rsid w:val="000B0F92"/>
    <w:rsid w:val="000B5038"/>
    <w:rsid w:val="000B57AF"/>
    <w:rsid w:val="000B7310"/>
    <w:rsid w:val="000D4DAA"/>
    <w:rsid w:val="000D542A"/>
    <w:rsid w:val="000E198D"/>
    <w:rsid w:val="000F38ED"/>
    <w:rsid w:val="001013AB"/>
    <w:rsid w:val="00104739"/>
    <w:rsid w:val="001103D8"/>
    <w:rsid w:val="001229CF"/>
    <w:rsid w:val="00131E06"/>
    <w:rsid w:val="0013751E"/>
    <w:rsid w:val="00150D38"/>
    <w:rsid w:val="00167A30"/>
    <w:rsid w:val="00177137"/>
    <w:rsid w:val="00187375"/>
    <w:rsid w:val="001949E0"/>
    <w:rsid w:val="00194FF1"/>
    <w:rsid w:val="001A6277"/>
    <w:rsid w:val="001D23E6"/>
    <w:rsid w:val="001D7BB0"/>
    <w:rsid w:val="001D7C0C"/>
    <w:rsid w:val="00203190"/>
    <w:rsid w:val="00214FDA"/>
    <w:rsid w:val="002173B2"/>
    <w:rsid w:val="00222EEC"/>
    <w:rsid w:val="00237F02"/>
    <w:rsid w:val="00246823"/>
    <w:rsid w:val="00261295"/>
    <w:rsid w:val="00264082"/>
    <w:rsid w:val="00271DAF"/>
    <w:rsid w:val="00274934"/>
    <w:rsid w:val="002A0CAD"/>
    <w:rsid w:val="002C4C07"/>
    <w:rsid w:val="002D319A"/>
    <w:rsid w:val="002E11DA"/>
    <w:rsid w:val="002E3AE1"/>
    <w:rsid w:val="002E631A"/>
    <w:rsid w:val="00303CD7"/>
    <w:rsid w:val="00321B99"/>
    <w:rsid w:val="00331781"/>
    <w:rsid w:val="0036601D"/>
    <w:rsid w:val="003720C0"/>
    <w:rsid w:val="003914A4"/>
    <w:rsid w:val="003D42E2"/>
    <w:rsid w:val="003D7DE1"/>
    <w:rsid w:val="003E7328"/>
    <w:rsid w:val="004014C1"/>
    <w:rsid w:val="004022EE"/>
    <w:rsid w:val="00404FED"/>
    <w:rsid w:val="00435776"/>
    <w:rsid w:val="0046472A"/>
    <w:rsid w:val="004777E7"/>
    <w:rsid w:val="00482CA2"/>
    <w:rsid w:val="00492772"/>
    <w:rsid w:val="00494BC0"/>
    <w:rsid w:val="004962C5"/>
    <w:rsid w:val="004A00FE"/>
    <w:rsid w:val="004A1196"/>
    <w:rsid w:val="004A138E"/>
    <w:rsid w:val="004B7170"/>
    <w:rsid w:val="004C7601"/>
    <w:rsid w:val="004D0D53"/>
    <w:rsid w:val="004D34CC"/>
    <w:rsid w:val="004D7202"/>
    <w:rsid w:val="004E4F47"/>
    <w:rsid w:val="004E50C9"/>
    <w:rsid w:val="004F0502"/>
    <w:rsid w:val="005006F2"/>
    <w:rsid w:val="0052221D"/>
    <w:rsid w:val="00525C05"/>
    <w:rsid w:val="0053723F"/>
    <w:rsid w:val="00543F8F"/>
    <w:rsid w:val="0055724C"/>
    <w:rsid w:val="00565DD3"/>
    <w:rsid w:val="00573BF8"/>
    <w:rsid w:val="00576214"/>
    <w:rsid w:val="00593241"/>
    <w:rsid w:val="005C0690"/>
    <w:rsid w:val="005E5502"/>
    <w:rsid w:val="005F0EF5"/>
    <w:rsid w:val="005F5A15"/>
    <w:rsid w:val="00616A98"/>
    <w:rsid w:val="00626B81"/>
    <w:rsid w:val="006306F1"/>
    <w:rsid w:val="006773E9"/>
    <w:rsid w:val="006A331A"/>
    <w:rsid w:val="006A6177"/>
    <w:rsid w:val="006B70FA"/>
    <w:rsid w:val="006D6CE7"/>
    <w:rsid w:val="006E1E6C"/>
    <w:rsid w:val="006F0A80"/>
    <w:rsid w:val="0071131B"/>
    <w:rsid w:val="0073781F"/>
    <w:rsid w:val="00741F41"/>
    <w:rsid w:val="00750BE0"/>
    <w:rsid w:val="00756910"/>
    <w:rsid w:val="00770D21"/>
    <w:rsid w:val="0078526A"/>
    <w:rsid w:val="00790479"/>
    <w:rsid w:val="007C1F30"/>
    <w:rsid w:val="007C39D2"/>
    <w:rsid w:val="007C4F62"/>
    <w:rsid w:val="007E05FC"/>
    <w:rsid w:val="00807A11"/>
    <w:rsid w:val="00830D36"/>
    <w:rsid w:val="0084428F"/>
    <w:rsid w:val="00860BBB"/>
    <w:rsid w:val="00870146"/>
    <w:rsid w:val="008774DE"/>
    <w:rsid w:val="00882AE3"/>
    <w:rsid w:val="0088767E"/>
    <w:rsid w:val="008A49BF"/>
    <w:rsid w:val="008A6F27"/>
    <w:rsid w:val="008F4884"/>
    <w:rsid w:val="00924F88"/>
    <w:rsid w:val="00927899"/>
    <w:rsid w:val="00927B3A"/>
    <w:rsid w:val="009428D0"/>
    <w:rsid w:val="00946D28"/>
    <w:rsid w:val="009541EE"/>
    <w:rsid w:val="0096112E"/>
    <w:rsid w:val="0096318A"/>
    <w:rsid w:val="00965599"/>
    <w:rsid w:val="0099020C"/>
    <w:rsid w:val="009B3A0A"/>
    <w:rsid w:val="009E032E"/>
    <w:rsid w:val="009F6EC6"/>
    <w:rsid w:val="00A32A65"/>
    <w:rsid w:val="00A35B25"/>
    <w:rsid w:val="00A45C1C"/>
    <w:rsid w:val="00A65BB0"/>
    <w:rsid w:val="00A9072B"/>
    <w:rsid w:val="00AA3FA9"/>
    <w:rsid w:val="00AA4FFD"/>
    <w:rsid w:val="00AA5F0B"/>
    <w:rsid w:val="00AB28C1"/>
    <w:rsid w:val="00AD2277"/>
    <w:rsid w:val="00AE5014"/>
    <w:rsid w:val="00B00C39"/>
    <w:rsid w:val="00B05AE0"/>
    <w:rsid w:val="00B14C44"/>
    <w:rsid w:val="00B14CFA"/>
    <w:rsid w:val="00B17B51"/>
    <w:rsid w:val="00B444D0"/>
    <w:rsid w:val="00B540CD"/>
    <w:rsid w:val="00B774EF"/>
    <w:rsid w:val="00B8113B"/>
    <w:rsid w:val="00B87BD7"/>
    <w:rsid w:val="00BB737C"/>
    <w:rsid w:val="00BC3933"/>
    <w:rsid w:val="00BC533A"/>
    <w:rsid w:val="00BD24A4"/>
    <w:rsid w:val="00BE2851"/>
    <w:rsid w:val="00BE5E04"/>
    <w:rsid w:val="00BE7BDF"/>
    <w:rsid w:val="00C00428"/>
    <w:rsid w:val="00C032DA"/>
    <w:rsid w:val="00C11207"/>
    <w:rsid w:val="00C17696"/>
    <w:rsid w:val="00C4337D"/>
    <w:rsid w:val="00C441B1"/>
    <w:rsid w:val="00C46579"/>
    <w:rsid w:val="00C521FC"/>
    <w:rsid w:val="00C60D8B"/>
    <w:rsid w:val="00C62B19"/>
    <w:rsid w:val="00C67A57"/>
    <w:rsid w:val="00C67C58"/>
    <w:rsid w:val="00C9383D"/>
    <w:rsid w:val="00C97593"/>
    <w:rsid w:val="00C97EC1"/>
    <w:rsid w:val="00CA0537"/>
    <w:rsid w:val="00CA444D"/>
    <w:rsid w:val="00CB24E1"/>
    <w:rsid w:val="00CB281E"/>
    <w:rsid w:val="00CB6856"/>
    <w:rsid w:val="00CC02D9"/>
    <w:rsid w:val="00CC1D13"/>
    <w:rsid w:val="00CC6D9F"/>
    <w:rsid w:val="00CF7FFE"/>
    <w:rsid w:val="00D00BA5"/>
    <w:rsid w:val="00D01E56"/>
    <w:rsid w:val="00D0734F"/>
    <w:rsid w:val="00D10790"/>
    <w:rsid w:val="00D16BF2"/>
    <w:rsid w:val="00D2474E"/>
    <w:rsid w:val="00D2714F"/>
    <w:rsid w:val="00D345EE"/>
    <w:rsid w:val="00D66BE4"/>
    <w:rsid w:val="00D87593"/>
    <w:rsid w:val="00DA5CA6"/>
    <w:rsid w:val="00DE55CF"/>
    <w:rsid w:val="00E01D66"/>
    <w:rsid w:val="00E021FA"/>
    <w:rsid w:val="00E10A53"/>
    <w:rsid w:val="00E139D5"/>
    <w:rsid w:val="00E22F30"/>
    <w:rsid w:val="00E33B95"/>
    <w:rsid w:val="00E568EA"/>
    <w:rsid w:val="00E66439"/>
    <w:rsid w:val="00E853D7"/>
    <w:rsid w:val="00E87D07"/>
    <w:rsid w:val="00EA1631"/>
    <w:rsid w:val="00EA348F"/>
    <w:rsid w:val="00EA3915"/>
    <w:rsid w:val="00EB169E"/>
    <w:rsid w:val="00EB454E"/>
    <w:rsid w:val="00EC0530"/>
    <w:rsid w:val="00ED3CC0"/>
    <w:rsid w:val="00EE66F4"/>
    <w:rsid w:val="00EE7BB0"/>
    <w:rsid w:val="00EF0092"/>
    <w:rsid w:val="00EF5E89"/>
    <w:rsid w:val="00F04D2E"/>
    <w:rsid w:val="00F06737"/>
    <w:rsid w:val="00F3131E"/>
    <w:rsid w:val="00F344A0"/>
    <w:rsid w:val="00F40BB4"/>
    <w:rsid w:val="00F51E4D"/>
    <w:rsid w:val="00F66774"/>
    <w:rsid w:val="00F705F7"/>
    <w:rsid w:val="00F94598"/>
    <w:rsid w:val="00FA77C8"/>
    <w:rsid w:val="00FB09C9"/>
    <w:rsid w:val="00FC4A28"/>
    <w:rsid w:val="00FD44FE"/>
    <w:rsid w:val="00FE50E3"/>
    <w:rsid w:val="00FF5ABA"/>
    <w:rsid w:val="012E0C10"/>
    <w:rsid w:val="02860405"/>
    <w:rsid w:val="02981E6D"/>
    <w:rsid w:val="02DE7008"/>
    <w:rsid w:val="03384FB0"/>
    <w:rsid w:val="041557BD"/>
    <w:rsid w:val="044A1CAC"/>
    <w:rsid w:val="047D3A82"/>
    <w:rsid w:val="08407306"/>
    <w:rsid w:val="08704DCE"/>
    <w:rsid w:val="09FA0DBA"/>
    <w:rsid w:val="0CE976D6"/>
    <w:rsid w:val="0CFE7CAA"/>
    <w:rsid w:val="0D061A63"/>
    <w:rsid w:val="0D1C4FCD"/>
    <w:rsid w:val="0DC3703B"/>
    <w:rsid w:val="0F0942D3"/>
    <w:rsid w:val="0F0C1E58"/>
    <w:rsid w:val="0F5D3EA5"/>
    <w:rsid w:val="0FB66350"/>
    <w:rsid w:val="106B5714"/>
    <w:rsid w:val="118D718A"/>
    <w:rsid w:val="12132AB4"/>
    <w:rsid w:val="12D952A6"/>
    <w:rsid w:val="130A7FA3"/>
    <w:rsid w:val="147F445B"/>
    <w:rsid w:val="14F16235"/>
    <w:rsid w:val="15482B45"/>
    <w:rsid w:val="15FE745D"/>
    <w:rsid w:val="16701433"/>
    <w:rsid w:val="16981628"/>
    <w:rsid w:val="17E24243"/>
    <w:rsid w:val="18B61AD2"/>
    <w:rsid w:val="19316DB3"/>
    <w:rsid w:val="19AE2588"/>
    <w:rsid w:val="1A4C5241"/>
    <w:rsid w:val="1A701625"/>
    <w:rsid w:val="1B2657ED"/>
    <w:rsid w:val="1CFF6DDD"/>
    <w:rsid w:val="1D44297A"/>
    <w:rsid w:val="1E1276F7"/>
    <w:rsid w:val="1E677E35"/>
    <w:rsid w:val="1E7F0BF7"/>
    <w:rsid w:val="20C22D36"/>
    <w:rsid w:val="21D83ED0"/>
    <w:rsid w:val="23DF6E43"/>
    <w:rsid w:val="247A1BE5"/>
    <w:rsid w:val="252966FC"/>
    <w:rsid w:val="256E2B55"/>
    <w:rsid w:val="25AC53CD"/>
    <w:rsid w:val="27805B2B"/>
    <w:rsid w:val="28087513"/>
    <w:rsid w:val="28333F5D"/>
    <w:rsid w:val="28555EA8"/>
    <w:rsid w:val="28B86808"/>
    <w:rsid w:val="29484EB4"/>
    <w:rsid w:val="29965A92"/>
    <w:rsid w:val="2AAF46DF"/>
    <w:rsid w:val="2BFB3C34"/>
    <w:rsid w:val="2DA96F3B"/>
    <w:rsid w:val="2E040B4A"/>
    <w:rsid w:val="305F7543"/>
    <w:rsid w:val="314D45E3"/>
    <w:rsid w:val="33AA7ED2"/>
    <w:rsid w:val="33EC6C50"/>
    <w:rsid w:val="34A0716B"/>
    <w:rsid w:val="34B174C9"/>
    <w:rsid w:val="356C773A"/>
    <w:rsid w:val="35CE6116"/>
    <w:rsid w:val="362F6759"/>
    <w:rsid w:val="370A37E4"/>
    <w:rsid w:val="37295485"/>
    <w:rsid w:val="37C62806"/>
    <w:rsid w:val="37FA1920"/>
    <w:rsid w:val="383625B0"/>
    <w:rsid w:val="38715AA7"/>
    <w:rsid w:val="38AC39B6"/>
    <w:rsid w:val="38EC29D4"/>
    <w:rsid w:val="391259F7"/>
    <w:rsid w:val="39E49324"/>
    <w:rsid w:val="39E73A96"/>
    <w:rsid w:val="3A3551DB"/>
    <w:rsid w:val="3A6B1783"/>
    <w:rsid w:val="3AF811E3"/>
    <w:rsid w:val="3B773E76"/>
    <w:rsid w:val="3C096970"/>
    <w:rsid w:val="3C9A379E"/>
    <w:rsid w:val="3E4E9580"/>
    <w:rsid w:val="3EB07B13"/>
    <w:rsid w:val="3F101C71"/>
    <w:rsid w:val="404C551E"/>
    <w:rsid w:val="40D40366"/>
    <w:rsid w:val="413F1858"/>
    <w:rsid w:val="425D643F"/>
    <w:rsid w:val="42BA2F80"/>
    <w:rsid w:val="43657E5A"/>
    <w:rsid w:val="44727C49"/>
    <w:rsid w:val="453242DE"/>
    <w:rsid w:val="460F0EFA"/>
    <w:rsid w:val="469A4273"/>
    <w:rsid w:val="47E02444"/>
    <w:rsid w:val="485913CD"/>
    <w:rsid w:val="48DC2CCA"/>
    <w:rsid w:val="4A237985"/>
    <w:rsid w:val="4A356A71"/>
    <w:rsid w:val="4B3F63AB"/>
    <w:rsid w:val="4B6C4D31"/>
    <w:rsid w:val="4B992D10"/>
    <w:rsid w:val="4C5E4704"/>
    <w:rsid w:val="4CAC2D96"/>
    <w:rsid w:val="4DB87E98"/>
    <w:rsid w:val="4E4C7E5D"/>
    <w:rsid w:val="4E973941"/>
    <w:rsid w:val="4F35469E"/>
    <w:rsid w:val="508507C1"/>
    <w:rsid w:val="522605F8"/>
    <w:rsid w:val="54C27A5E"/>
    <w:rsid w:val="550E4DCB"/>
    <w:rsid w:val="55D31366"/>
    <w:rsid w:val="572E104E"/>
    <w:rsid w:val="59112C0A"/>
    <w:rsid w:val="59552FB0"/>
    <w:rsid w:val="599305A3"/>
    <w:rsid w:val="5A9A6A9D"/>
    <w:rsid w:val="5D4748E1"/>
    <w:rsid w:val="5E7E30A3"/>
    <w:rsid w:val="5F3D27BB"/>
    <w:rsid w:val="5F487ACD"/>
    <w:rsid w:val="5F8D039F"/>
    <w:rsid w:val="615A7A68"/>
    <w:rsid w:val="61C04A84"/>
    <w:rsid w:val="62C90629"/>
    <w:rsid w:val="62E52433"/>
    <w:rsid w:val="66265D84"/>
    <w:rsid w:val="662F455A"/>
    <w:rsid w:val="66E945D9"/>
    <w:rsid w:val="66FE5195"/>
    <w:rsid w:val="680D3A18"/>
    <w:rsid w:val="681D13CB"/>
    <w:rsid w:val="689C49E5"/>
    <w:rsid w:val="694566CE"/>
    <w:rsid w:val="69512551"/>
    <w:rsid w:val="697C50DB"/>
    <w:rsid w:val="6A582B8E"/>
    <w:rsid w:val="6B815B5C"/>
    <w:rsid w:val="6D5F2FFF"/>
    <w:rsid w:val="6D9F452A"/>
    <w:rsid w:val="6DC01447"/>
    <w:rsid w:val="6DEF2640"/>
    <w:rsid w:val="6E5A1A0C"/>
    <w:rsid w:val="6F3057A3"/>
    <w:rsid w:val="710110B7"/>
    <w:rsid w:val="71712A6B"/>
    <w:rsid w:val="71D21E98"/>
    <w:rsid w:val="71E23111"/>
    <w:rsid w:val="71FA00AA"/>
    <w:rsid w:val="7459023C"/>
    <w:rsid w:val="751C0B8C"/>
    <w:rsid w:val="756A2981"/>
    <w:rsid w:val="75F7A981"/>
    <w:rsid w:val="776D57A0"/>
    <w:rsid w:val="777158AD"/>
    <w:rsid w:val="796A2F45"/>
    <w:rsid w:val="7BB04763"/>
    <w:rsid w:val="7D0A21A6"/>
    <w:rsid w:val="7D515947"/>
    <w:rsid w:val="7E69197C"/>
    <w:rsid w:val="7EAF180E"/>
    <w:rsid w:val="7ECF7739"/>
    <w:rsid w:val="7EE16DDF"/>
    <w:rsid w:val="7EF42786"/>
    <w:rsid w:val="7EFEF1A3"/>
    <w:rsid w:val="7F3F853C"/>
    <w:rsid w:val="7FBD1C52"/>
    <w:rsid w:val="9EFEEA3E"/>
    <w:rsid w:val="AFF73382"/>
    <w:rsid w:val="B7DFE1A7"/>
    <w:rsid w:val="BDFC33AC"/>
    <w:rsid w:val="D6B19B09"/>
    <w:rsid w:val="DFFEBA34"/>
    <w:rsid w:val="E76DD772"/>
    <w:rsid w:val="F37D6FB1"/>
    <w:rsid w:val="FEF5307F"/>
    <w:rsid w:val="FEF716D3"/>
    <w:rsid w:val="FFAFEF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ind w:firstLine="643" w:firstLineChars="200"/>
      <w:outlineLvl w:val="0"/>
    </w:pPr>
    <w:rPr>
      <w:b/>
      <w:bCs/>
      <w:snapToGrid w:val="0"/>
      <w:kern w:val="0"/>
      <w:sz w:val="32"/>
      <w:szCs w:val="44"/>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4">
    <w:name w:val="Normal Indent"/>
    <w:basedOn w:val="1"/>
    <w:qFormat/>
    <w:uiPriority w:val="0"/>
    <w:pPr>
      <w:ind w:firstLine="420"/>
    </w:pPr>
    <w:rPr>
      <w:szCs w:val="20"/>
    </w:rPr>
  </w:style>
  <w:style w:type="paragraph" w:styleId="5">
    <w:name w:val="annotation text"/>
    <w:basedOn w:val="1"/>
    <w:link w:val="27"/>
    <w:qFormat/>
    <w:uiPriority w:val="0"/>
    <w:pPr>
      <w:jc w:val="left"/>
    </w:pPr>
  </w:style>
  <w:style w:type="paragraph" w:styleId="6">
    <w:name w:val="Body Text Indent 2"/>
    <w:basedOn w:val="1"/>
    <w:qFormat/>
    <w:uiPriority w:val="0"/>
    <w:pPr>
      <w:spacing w:after="120" w:line="480" w:lineRule="auto"/>
      <w:ind w:left="420" w:leftChars="200"/>
    </w:pPr>
  </w:style>
  <w:style w:type="paragraph" w:styleId="7">
    <w:name w:val="Balloon Text"/>
    <w:basedOn w:val="1"/>
    <w:link w:val="29"/>
    <w:unhideWhenUsed/>
    <w:qFormat/>
    <w:uiPriority w:val="0"/>
    <w:rPr>
      <w:sz w:val="18"/>
      <w:szCs w:val="18"/>
    </w:rPr>
  </w:style>
  <w:style w:type="paragraph" w:styleId="8">
    <w:name w:val="footer"/>
    <w:basedOn w:val="1"/>
    <w:next w:val="1"/>
    <w:qFormat/>
    <w:uiPriority w:val="99"/>
    <w:pPr>
      <w:tabs>
        <w:tab w:val="center" w:pos="4153"/>
        <w:tab w:val="right" w:pos="8306"/>
      </w:tabs>
      <w:snapToGrid w:val="0"/>
      <w:jc w:val="left"/>
    </w:pPr>
    <w:rPr>
      <w:sz w:val="18"/>
    </w:rPr>
  </w:style>
  <w:style w:type="paragraph" w:styleId="9">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style>
  <w:style w:type="paragraph" w:styleId="11">
    <w:name w:val="index heading"/>
    <w:basedOn w:val="1"/>
    <w:next w:val="12"/>
    <w:qFormat/>
    <w:uiPriority w:val="0"/>
    <w:rPr>
      <w:rFonts w:ascii="Arial" w:hAnsi="Arial"/>
      <w:b/>
    </w:rPr>
  </w:style>
  <w:style w:type="paragraph" w:styleId="12">
    <w:name w:val="index 1"/>
    <w:basedOn w:val="1"/>
    <w:next w:val="1"/>
    <w:qFormat/>
    <w:uiPriority w:val="99"/>
  </w:style>
  <w:style w:type="paragraph" w:styleId="13">
    <w:name w:val="toc 2"/>
    <w:basedOn w:val="1"/>
    <w:next w:val="1"/>
    <w:qFormat/>
    <w:uiPriority w:val="0"/>
    <w:pPr>
      <w:ind w:left="420" w:leftChars="200"/>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rPr>
  </w:style>
  <w:style w:type="paragraph" w:styleId="15">
    <w:name w:val="annotation subject"/>
    <w:basedOn w:val="5"/>
    <w:next w:val="5"/>
    <w:link w:val="26"/>
    <w:qFormat/>
    <w:uiPriority w:val="0"/>
    <w:rPr>
      <w:b/>
      <w:bCs/>
    </w:rPr>
  </w:style>
  <w:style w:type="character" w:styleId="18">
    <w:name w:val="Strong"/>
    <w:basedOn w:val="17"/>
    <w:qFormat/>
    <w:uiPriority w:val="0"/>
    <w:rPr>
      <w:b/>
    </w:rPr>
  </w:style>
  <w:style w:type="character" w:styleId="19">
    <w:name w:val="page number"/>
    <w:basedOn w:val="17"/>
    <w:qFormat/>
    <w:uiPriority w:val="0"/>
  </w:style>
  <w:style w:type="character" w:styleId="20">
    <w:name w:val="annotation reference"/>
    <w:qFormat/>
    <w:uiPriority w:val="0"/>
    <w:rPr>
      <w:sz w:val="21"/>
      <w:szCs w:val="21"/>
    </w:rPr>
  </w:style>
  <w:style w:type="paragraph" w:customStyle="1" w:styleId="21">
    <w:name w:val="BodyTextIndent2"/>
    <w:basedOn w:val="1"/>
    <w:qFormat/>
    <w:uiPriority w:val="0"/>
    <w:pPr>
      <w:spacing w:line="560" w:lineRule="exact"/>
      <w:ind w:firstLine="552" w:firstLineChars="200"/>
      <w:textAlignment w:val="center"/>
    </w:pPr>
    <w:rPr>
      <w:rFonts w:ascii="宋体" w:hAnsi="Calibri" w:eastAsia="宋体"/>
      <w:color w:val="000000"/>
      <w:spacing w:val="-2"/>
      <w:sz w:val="28"/>
      <w:szCs w:val="28"/>
    </w:rPr>
  </w:style>
  <w:style w:type="paragraph" w:customStyle="1" w:styleId="22">
    <w:name w:val="列出段落1"/>
    <w:basedOn w:val="1"/>
    <w:qFormat/>
    <w:uiPriority w:val="34"/>
    <w:pPr>
      <w:ind w:firstLine="420" w:firstLineChars="200"/>
    </w:p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5">
    <w:name w:val="页眉 Char"/>
    <w:link w:val="9"/>
    <w:qFormat/>
    <w:uiPriority w:val="0"/>
    <w:rPr>
      <w:rFonts w:ascii="Times New Roman" w:hAnsi="Times New Roman"/>
      <w:kern w:val="2"/>
      <w:sz w:val="18"/>
      <w:szCs w:val="18"/>
    </w:rPr>
  </w:style>
  <w:style w:type="character" w:customStyle="1" w:styleId="26">
    <w:name w:val="批注主题 Char"/>
    <w:link w:val="15"/>
    <w:qFormat/>
    <w:uiPriority w:val="0"/>
    <w:rPr>
      <w:rFonts w:ascii="Times New Roman" w:hAnsi="Times New Roman"/>
      <w:b/>
      <w:bCs/>
      <w:kern w:val="2"/>
      <w:sz w:val="21"/>
      <w:szCs w:val="24"/>
    </w:rPr>
  </w:style>
  <w:style w:type="character" w:customStyle="1" w:styleId="27">
    <w:name w:val="批注文字 Char"/>
    <w:link w:val="5"/>
    <w:qFormat/>
    <w:uiPriority w:val="0"/>
    <w:rPr>
      <w:rFonts w:ascii="Times New Roman" w:hAnsi="Times New Roman"/>
      <w:kern w:val="2"/>
      <w:sz w:val="21"/>
      <w:szCs w:val="24"/>
    </w:rPr>
  </w:style>
  <w:style w:type="paragraph" w:customStyle="1" w:styleId="28">
    <w:name w:val="无间隔1"/>
    <w:qFormat/>
    <w:uiPriority w:val="1"/>
    <w:pPr>
      <w:widowControl w:val="0"/>
      <w:jc w:val="both"/>
    </w:pPr>
    <w:rPr>
      <w:rFonts w:ascii="Calibri" w:hAnsi="Calibri" w:eastAsia="宋体" w:cs="Times New Roman"/>
      <w:kern w:val="2"/>
      <w:sz w:val="21"/>
      <w:szCs w:val="22"/>
      <w:lang w:val="en-US" w:eastAsia="zh-CN" w:bidi="ar-SA"/>
    </w:rPr>
  </w:style>
  <w:style w:type="character" w:customStyle="1" w:styleId="29">
    <w:name w:val="批注框文本 Char"/>
    <w:link w:val="7"/>
    <w:semiHidden/>
    <w:qFormat/>
    <w:uiPriority w:val="0"/>
    <w:rPr>
      <w:kern w:val="2"/>
      <w:sz w:val="18"/>
      <w:szCs w:val="18"/>
    </w:rPr>
  </w:style>
  <w:style w:type="paragraph" w:customStyle="1" w:styleId="30">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9215</Words>
  <Characters>9807</Characters>
  <Lines>94</Lines>
  <Paragraphs>26</Paragraphs>
  <TotalTime>30</TotalTime>
  <ScaleCrop>false</ScaleCrop>
  <LinksUpToDate>false</LinksUpToDate>
  <CharactersWithSpaces>9933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2021-05-12T06:38:00Z</dcterms:created>
  <dc:creator>Administrator</dc:creator>
  <cp:lastModifiedBy>刘伟</cp:lastModifiedBy>
  <cp:lastPrinted>2023-08-02T08:22:00Z</cp:lastPrinted>
  <dcterms:modified xsi:type="dcterms:W3CDTF">2023-08-14T06:30:40Z</dcterms:modified>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2A6F8C2F2E8D4F8ABE053DB408F6708E_13</vt:lpwstr>
  </property>
</Properties>
</file>