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黑体" w:hAnsi="黑体" w:eastAsia="黑体"/>
          <w:b/>
          <w:sz w:val="24"/>
          <w:szCs w:val="24"/>
        </w:rPr>
      </w:pPr>
    </w:p>
    <w:p>
      <w:pPr>
        <w:spacing w:line="360" w:lineRule="auto"/>
        <w:jc w:val="center"/>
        <w:rPr>
          <w:rFonts w:ascii="黑体" w:hAnsi="黑体" w:eastAsia="黑体"/>
          <w:b/>
          <w:sz w:val="24"/>
          <w:szCs w:val="24"/>
        </w:rPr>
      </w:pPr>
    </w:p>
    <w:p>
      <w:pPr>
        <w:adjustRightInd w:val="0"/>
        <w:snapToGrid w:val="0"/>
        <w:jc w:val="center"/>
        <w:rPr>
          <w:rFonts w:ascii="黑体" w:hAnsi="黑体" w:eastAsia="黑体"/>
          <w:sz w:val="44"/>
          <w:szCs w:val="44"/>
          <w:lang w:val="zh-CN"/>
        </w:rPr>
      </w:pPr>
    </w:p>
    <w:p>
      <w:pPr>
        <w:adjustRightInd w:val="0"/>
        <w:snapToGrid w:val="0"/>
        <w:spacing w:line="0" w:lineRule="atLeast"/>
        <w:jc w:val="center"/>
        <w:rPr>
          <w:rFonts w:hint="eastAsia" w:ascii="黑体" w:hAnsi="黑体" w:eastAsia="黑体" w:cs="黑体"/>
          <w:b w:val="0"/>
          <w:bCs/>
          <w:sz w:val="72"/>
          <w:szCs w:val="72"/>
        </w:rPr>
      </w:pPr>
      <w:r>
        <w:rPr>
          <w:rFonts w:hint="eastAsia" w:ascii="黑体" w:hAnsi="黑体" w:eastAsia="黑体" w:cs="黑体"/>
          <w:b w:val="0"/>
          <w:bCs/>
          <w:sz w:val="72"/>
          <w:szCs w:val="72"/>
        </w:rPr>
        <w:t>202</w:t>
      </w:r>
      <w:r>
        <w:rPr>
          <w:rFonts w:hint="eastAsia" w:ascii="黑体" w:hAnsi="黑体" w:eastAsia="黑体" w:cs="黑体"/>
          <w:b w:val="0"/>
          <w:bCs/>
          <w:sz w:val="72"/>
          <w:szCs w:val="72"/>
          <w:lang w:val="en-US" w:eastAsia="zh-CN"/>
        </w:rPr>
        <w:t>2</w:t>
      </w:r>
      <w:r>
        <w:rPr>
          <w:rFonts w:hint="eastAsia" w:ascii="黑体" w:hAnsi="黑体" w:eastAsia="黑体" w:cs="黑体"/>
          <w:b w:val="0"/>
          <w:bCs/>
          <w:sz w:val="72"/>
          <w:szCs w:val="72"/>
        </w:rPr>
        <w:t>年部门整体绩效</w:t>
      </w:r>
    </w:p>
    <w:p>
      <w:pPr>
        <w:adjustRightInd w:val="0"/>
        <w:snapToGrid w:val="0"/>
        <w:spacing w:line="0" w:lineRule="atLeast"/>
        <w:jc w:val="center"/>
        <w:rPr>
          <w:rFonts w:hint="eastAsia" w:ascii="黑体" w:hAnsi="黑体" w:eastAsia="黑体" w:cs="黑体"/>
          <w:b w:val="0"/>
          <w:bCs/>
          <w:sz w:val="72"/>
          <w:szCs w:val="72"/>
        </w:rPr>
      </w:pPr>
      <w:r>
        <w:rPr>
          <w:rFonts w:hint="eastAsia" w:ascii="黑体" w:hAnsi="黑体" w:eastAsia="黑体" w:cs="黑体"/>
          <w:b w:val="0"/>
          <w:bCs/>
          <w:sz w:val="72"/>
          <w:szCs w:val="72"/>
        </w:rPr>
        <w:t>评价报告</w:t>
      </w:r>
    </w:p>
    <w:p>
      <w:pPr>
        <w:spacing w:line="360" w:lineRule="auto"/>
        <w:jc w:val="center"/>
        <w:rPr>
          <w:rFonts w:ascii="黑体" w:hAnsi="黑体" w:eastAsia="黑体"/>
          <w:b/>
          <w:sz w:val="72"/>
          <w:szCs w:val="72"/>
          <w:lang w:val="zh-CN"/>
        </w:rPr>
      </w:pPr>
    </w:p>
    <w:p>
      <w:pPr>
        <w:adjustRightInd w:val="0"/>
        <w:snapToGrid w:val="0"/>
        <w:spacing w:line="0" w:lineRule="atLeast"/>
        <w:jc w:val="center"/>
        <w:rPr>
          <w:rFonts w:ascii="黑体" w:hAnsi="黑体" w:eastAsia="黑体"/>
          <w:sz w:val="30"/>
          <w:szCs w:val="30"/>
          <w:lang w:val="zh-CN"/>
        </w:rPr>
      </w:pPr>
    </w:p>
    <w:p>
      <w:pPr>
        <w:spacing w:line="600" w:lineRule="exact"/>
        <w:jc w:val="left"/>
        <w:rPr>
          <w:rFonts w:ascii="黑体" w:hAnsi="黑体" w:eastAsia="黑体"/>
          <w:sz w:val="30"/>
          <w:szCs w:val="30"/>
          <w:lang w:val="zh-CN"/>
        </w:rPr>
      </w:pPr>
    </w:p>
    <w:p>
      <w:pPr>
        <w:spacing w:line="600" w:lineRule="exact"/>
        <w:jc w:val="left"/>
        <w:rPr>
          <w:rFonts w:ascii="黑体" w:hAnsi="黑体" w:eastAsia="黑体"/>
          <w:sz w:val="30"/>
          <w:szCs w:val="30"/>
          <w:lang w:val="zh-CN"/>
        </w:rPr>
      </w:pPr>
    </w:p>
    <w:p>
      <w:pPr>
        <w:spacing w:line="600" w:lineRule="exact"/>
        <w:jc w:val="left"/>
        <w:rPr>
          <w:rFonts w:ascii="黑体" w:hAnsi="黑体" w:eastAsia="黑体"/>
          <w:sz w:val="30"/>
          <w:szCs w:val="30"/>
          <w:lang w:val="zh-CN"/>
        </w:rPr>
      </w:pPr>
    </w:p>
    <w:p>
      <w:pPr>
        <w:spacing w:line="600" w:lineRule="exact"/>
        <w:jc w:val="left"/>
        <w:rPr>
          <w:rFonts w:ascii="黑体" w:hAnsi="黑体" w:eastAsia="黑体"/>
          <w:sz w:val="30"/>
          <w:szCs w:val="30"/>
          <w:lang w:val="zh-CN"/>
        </w:rPr>
      </w:pPr>
    </w:p>
    <w:p>
      <w:pPr>
        <w:spacing w:line="600" w:lineRule="exact"/>
        <w:jc w:val="left"/>
        <w:rPr>
          <w:rFonts w:ascii="黑体" w:hAnsi="黑体" w:eastAsia="黑体"/>
          <w:sz w:val="30"/>
          <w:szCs w:val="30"/>
          <w:lang w:val="zh-CN"/>
        </w:rPr>
      </w:pPr>
    </w:p>
    <w:p>
      <w:pPr>
        <w:spacing w:line="600" w:lineRule="exact"/>
        <w:jc w:val="left"/>
        <w:rPr>
          <w:rFonts w:ascii="黑体" w:hAnsi="黑体" w:eastAsia="黑体"/>
          <w:sz w:val="30"/>
          <w:szCs w:val="30"/>
          <w:lang w:val="zh-CN"/>
        </w:rPr>
      </w:pPr>
    </w:p>
    <w:p>
      <w:pPr>
        <w:pStyle w:val="2"/>
        <w:rPr>
          <w:lang w:val="zh-CN"/>
        </w:rPr>
      </w:pPr>
    </w:p>
    <w:p>
      <w:pPr>
        <w:spacing w:line="600" w:lineRule="exact"/>
        <w:jc w:val="left"/>
        <w:rPr>
          <w:rFonts w:ascii="黑体" w:hAnsi="黑体" w:eastAsia="黑体"/>
          <w:sz w:val="30"/>
          <w:szCs w:val="30"/>
          <w:lang w:val="zh-CN"/>
        </w:rPr>
      </w:pPr>
    </w:p>
    <w:p>
      <w:pPr>
        <w:spacing w:line="600" w:lineRule="exact"/>
        <w:jc w:val="left"/>
        <w:rPr>
          <w:rFonts w:ascii="黑体" w:hAnsi="黑体" w:eastAsia="黑体"/>
          <w:sz w:val="30"/>
          <w:szCs w:val="30"/>
          <w:lang w:val="zh-CN"/>
        </w:rPr>
      </w:pPr>
    </w:p>
    <w:p>
      <w:pPr>
        <w:spacing w:line="600" w:lineRule="exact"/>
        <w:jc w:val="left"/>
        <w:rPr>
          <w:rFonts w:ascii="黑体" w:hAnsi="黑体" w:eastAsia="黑体"/>
          <w:sz w:val="30"/>
          <w:szCs w:val="30"/>
          <w:lang w:val="zh-CN"/>
        </w:rPr>
      </w:pPr>
    </w:p>
    <w:p>
      <w:pPr>
        <w:jc w:val="center"/>
        <w:rPr>
          <w:rFonts w:ascii="楷体" w:hAnsi="楷体" w:eastAsia="楷体" w:cs="楷体"/>
          <w:b/>
          <w:sz w:val="44"/>
          <w:szCs w:val="44"/>
        </w:rPr>
      </w:pPr>
    </w:p>
    <w:p>
      <w:pPr>
        <w:pStyle w:val="2"/>
      </w:pPr>
    </w:p>
    <w:p>
      <w:pPr>
        <w:spacing w:line="660" w:lineRule="exact"/>
        <w:jc w:val="center"/>
        <w:rPr>
          <w:rFonts w:hint="eastAsia" w:ascii="楷体_GB2312" w:hAnsi="楷体_GB2312" w:eastAsia="楷体_GB2312" w:cs="楷体_GB2312"/>
          <w:sz w:val="32"/>
          <w:szCs w:val="32"/>
          <w:lang w:val="zh-CN"/>
        </w:rPr>
      </w:pPr>
      <w:r>
        <w:rPr>
          <w:rFonts w:hint="eastAsia" w:ascii="楷体_GB2312" w:hAnsi="楷体_GB2312" w:eastAsia="楷体_GB2312" w:cs="楷体_GB2312"/>
          <w:sz w:val="32"/>
          <w:szCs w:val="32"/>
          <w:lang w:val="zh-CN"/>
        </w:rPr>
        <w:t>中关村科技园区管理委员会</w:t>
      </w:r>
    </w:p>
    <w:p>
      <w:pPr>
        <w:spacing w:line="660" w:lineRule="exact"/>
        <w:jc w:val="center"/>
        <w:rPr>
          <w:rFonts w:hint="default" w:ascii="楷体_GB2312" w:hAnsi="楷体_GB2312" w:eastAsia="楷体_GB2312" w:cs="楷体_GB2312"/>
          <w:sz w:val="32"/>
          <w:szCs w:val="32"/>
          <w:lang w:val="en-US"/>
        </w:rPr>
      </w:pPr>
      <w:r>
        <w:rPr>
          <w:rFonts w:hint="eastAsia" w:ascii="楷体_GB2312" w:hAnsi="楷体_GB2312" w:eastAsia="楷体_GB2312" w:cs="楷体_GB2312"/>
          <w:sz w:val="32"/>
          <w:szCs w:val="32"/>
        </w:rPr>
        <w:t>202</w:t>
      </w:r>
      <w:r>
        <w:rPr>
          <w:rFonts w:hint="eastAsia" w:ascii="楷体_GB2312" w:hAnsi="楷体_GB2312" w:eastAsia="楷体_GB2312" w:cs="楷体_GB2312"/>
          <w:sz w:val="32"/>
          <w:szCs w:val="32"/>
          <w:lang w:val="en-US" w:eastAsia="zh-CN"/>
        </w:rPr>
        <w:t>3</w:t>
      </w:r>
      <w:r>
        <w:rPr>
          <w:rFonts w:hint="eastAsia" w:ascii="楷体_GB2312" w:hAnsi="楷体_GB2312" w:eastAsia="楷体_GB2312" w:cs="楷体_GB2312"/>
          <w:sz w:val="32"/>
          <w:szCs w:val="32"/>
        </w:rPr>
        <w:t>年</w:t>
      </w:r>
      <w:r>
        <w:rPr>
          <w:rFonts w:hint="eastAsia" w:ascii="楷体_GB2312" w:hAnsi="楷体_GB2312" w:eastAsia="楷体_GB2312" w:cs="楷体_GB2312"/>
          <w:sz w:val="32"/>
          <w:szCs w:val="32"/>
          <w:lang w:val="en-US" w:eastAsia="zh-CN"/>
        </w:rPr>
        <w:t>5月</w:t>
      </w:r>
    </w:p>
    <w:p>
      <w:pPr>
        <w:snapToGrid w:val="0"/>
        <w:jc w:val="center"/>
        <w:rPr>
          <w:rFonts w:ascii="宋体" w:hAnsi="宋体" w:cs="宋体"/>
          <w:sz w:val="36"/>
          <w:szCs w:val="36"/>
        </w:rPr>
      </w:pPr>
    </w:p>
    <w:p>
      <w:pPr>
        <w:adjustRightInd w:val="0"/>
        <w:snapToGrid w:val="0"/>
        <w:rPr>
          <w:rFonts w:ascii="仿宋" w:hAnsi="仿宋" w:eastAsia="仿宋" w:cs="仿宋"/>
          <w:sz w:val="30"/>
          <w:szCs w:val="30"/>
        </w:rPr>
        <w:sectPr>
          <w:headerReference r:id="rId3" w:type="default"/>
          <w:pgSz w:w="11906" w:h="16838"/>
          <w:pgMar w:top="1440" w:right="1800" w:bottom="1440" w:left="1800" w:header="851" w:footer="992" w:gutter="0"/>
          <w:cols w:space="720" w:num="1"/>
          <w:docGrid w:type="lines" w:linePitch="312" w:charSpace="0"/>
        </w:sectPr>
      </w:pPr>
    </w:p>
    <w:p>
      <w:pPr>
        <w:pStyle w:val="16"/>
        <w:rPr>
          <w:sz w:val="36"/>
          <w:szCs w:val="36"/>
        </w:rPr>
        <w:sectPr>
          <w:footerReference r:id="rId4" w:type="default"/>
          <w:footnotePr>
            <w:numFmt w:val="decimalEnclosedCircleChinese"/>
          </w:footnotePr>
          <w:type w:val="continuous"/>
          <w:pgSz w:w="11906" w:h="16838"/>
          <w:pgMar w:top="1440" w:right="1416" w:bottom="1440" w:left="1800" w:header="851" w:footer="992" w:gutter="0"/>
          <w:cols w:space="720" w:num="1"/>
          <w:docGrid w:type="lines" w:linePitch="312" w:charSpace="0"/>
        </w:sectPr>
      </w:pPr>
    </w:p>
    <w:p>
      <w:pPr>
        <w:pStyle w:val="16"/>
        <w:ind w:left="0" w:leftChars="0"/>
        <w:rPr>
          <w:sz w:val="36"/>
          <w:szCs w:val="36"/>
        </w:rPr>
      </w:pPr>
      <w:r>
        <w:rPr>
          <w:rFonts w:hint="eastAsia"/>
          <w:sz w:val="36"/>
          <w:szCs w:val="36"/>
        </w:rPr>
        <w:t>目  录</w:t>
      </w:r>
    </w:p>
    <w:p>
      <w:pPr>
        <w:pStyle w:val="16"/>
        <w:tabs>
          <w:tab w:val="right" w:leader="dot" w:pos="8690"/>
          <w:tab w:val="clear" w:pos="8680"/>
        </w:tabs>
      </w:pPr>
      <w:r>
        <w:rPr>
          <w:rFonts w:hint="eastAsia" w:ascii="仿宋" w:hAnsi="仿宋" w:eastAsia="仿宋" w:cs="仿宋"/>
        </w:rPr>
        <w:fldChar w:fldCharType="begin"/>
      </w:r>
      <w:r>
        <w:rPr>
          <w:rFonts w:hint="eastAsia" w:ascii="仿宋" w:hAnsi="仿宋" w:eastAsia="仿宋" w:cs="仿宋"/>
        </w:rPr>
        <w:instrText xml:space="preserve"> TOC \o "1-2" \h \z \u </w:instrText>
      </w:r>
      <w:r>
        <w:rPr>
          <w:rFonts w:hint="eastAsia" w:ascii="仿宋" w:hAnsi="仿宋" w:eastAsia="仿宋" w:cs="仿宋"/>
        </w:rPr>
        <w:fldChar w:fldCharType="separate"/>
      </w:r>
      <w:r>
        <w:rPr>
          <w:rFonts w:hint="eastAsia" w:ascii="仿宋" w:hAnsi="仿宋" w:eastAsia="仿宋" w:cs="仿宋"/>
        </w:rPr>
        <w:fldChar w:fldCharType="begin"/>
      </w:r>
      <w:r>
        <w:rPr>
          <w:rFonts w:hint="eastAsia" w:ascii="仿宋" w:hAnsi="仿宋" w:eastAsia="仿宋" w:cs="仿宋"/>
        </w:rPr>
        <w:instrText xml:space="preserve"> HYPERLINK \l _Toc31774 </w:instrText>
      </w:r>
      <w:r>
        <w:rPr>
          <w:rFonts w:hint="eastAsia" w:ascii="仿宋" w:hAnsi="仿宋" w:eastAsia="仿宋" w:cs="仿宋"/>
        </w:rPr>
        <w:fldChar w:fldCharType="separate"/>
      </w:r>
      <w:r>
        <w:rPr>
          <w:rFonts w:hint="eastAsia" w:ascii="黑体" w:hAnsi="黑体" w:eastAsia="黑体"/>
          <w:bCs w:val="0"/>
          <w:highlight w:val="none"/>
        </w:rPr>
        <w:t>一、部门概况</w:t>
      </w:r>
      <w:r>
        <w:tab/>
      </w:r>
      <w:r>
        <w:fldChar w:fldCharType="begin"/>
      </w:r>
      <w:r>
        <w:instrText xml:space="preserve"> PAGEREF _Toc31774 \h </w:instrText>
      </w:r>
      <w:r>
        <w:fldChar w:fldCharType="separate"/>
      </w:r>
      <w:r>
        <w:t>1</w:t>
      </w:r>
      <w:r>
        <w:fldChar w:fldCharType="end"/>
      </w:r>
      <w:r>
        <w:rPr>
          <w:rFonts w:hint="eastAsia" w:ascii="仿宋" w:hAnsi="仿宋" w:eastAsia="仿宋" w:cs="仿宋"/>
        </w:rPr>
        <w:fldChar w:fldCharType="end"/>
      </w:r>
    </w:p>
    <w:p>
      <w:pPr>
        <w:pStyle w:val="16"/>
        <w:tabs>
          <w:tab w:val="right" w:leader="dot" w:pos="8690"/>
          <w:tab w:val="clear" w:pos="8680"/>
        </w:tabs>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_Toc31437 </w:instrText>
      </w:r>
      <w:r>
        <w:rPr>
          <w:rFonts w:hint="eastAsia" w:ascii="仿宋" w:hAnsi="仿宋" w:eastAsia="仿宋" w:cs="仿宋"/>
          <w:szCs w:val="32"/>
        </w:rPr>
        <w:fldChar w:fldCharType="separate"/>
      </w:r>
      <w:r>
        <w:rPr>
          <w:rFonts w:hint="eastAsia" w:ascii="楷体" w:hAnsi="楷体" w:eastAsia="楷体" w:cs="楷体"/>
          <w:szCs w:val="32"/>
        </w:rPr>
        <w:t>（一）本部门性质、职责等情况</w:t>
      </w:r>
      <w:r>
        <w:tab/>
      </w:r>
      <w:r>
        <w:fldChar w:fldCharType="begin"/>
      </w:r>
      <w:r>
        <w:instrText xml:space="preserve"> PAGEREF _Toc31437 \h </w:instrText>
      </w:r>
      <w:r>
        <w:fldChar w:fldCharType="separate"/>
      </w:r>
      <w:r>
        <w:t>1</w:t>
      </w:r>
      <w:r>
        <w:fldChar w:fldCharType="end"/>
      </w:r>
      <w:r>
        <w:rPr>
          <w:rFonts w:hint="eastAsia" w:ascii="仿宋" w:hAnsi="仿宋" w:eastAsia="仿宋" w:cs="仿宋"/>
          <w:szCs w:val="32"/>
        </w:rPr>
        <w:fldChar w:fldCharType="end"/>
      </w:r>
    </w:p>
    <w:p>
      <w:pPr>
        <w:pStyle w:val="16"/>
        <w:tabs>
          <w:tab w:val="right" w:leader="dot" w:pos="8690"/>
          <w:tab w:val="clear" w:pos="8680"/>
        </w:tabs>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_Toc18934 </w:instrText>
      </w:r>
      <w:r>
        <w:rPr>
          <w:rFonts w:hint="eastAsia" w:ascii="仿宋" w:hAnsi="仿宋" w:eastAsia="仿宋" w:cs="仿宋"/>
          <w:szCs w:val="32"/>
        </w:rPr>
        <w:fldChar w:fldCharType="separate"/>
      </w:r>
      <w:r>
        <w:rPr>
          <w:rFonts w:hint="eastAsia" w:ascii="楷体" w:hAnsi="楷体" w:eastAsia="楷体"/>
          <w:bCs w:val="0"/>
          <w:szCs w:val="32"/>
          <w:highlight w:val="none"/>
        </w:rPr>
        <w:t>（二）人员构成情况</w:t>
      </w:r>
      <w:r>
        <w:tab/>
      </w:r>
      <w:r>
        <w:fldChar w:fldCharType="begin"/>
      </w:r>
      <w:r>
        <w:instrText xml:space="preserve"> PAGEREF _Toc18934 \h </w:instrText>
      </w:r>
      <w:r>
        <w:fldChar w:fldCharType="separate"/>
      </w:r>
      <w:r>
        <w:t>7</w:t>
      </w:r>
      <w:r>
        <w:fldChar w:fldCharType="end"/>
      </w:r>
      <w:r>
        <w:rPr>
          <w:rFonts w:hint="eastAsia" w:ascii="仿宋" w:hAnsi="仿宋" w:eastAsia="仿宋" w:cs="仿宋"/>
          <w:szCs w:val="32"/>
        </w:rPr>
        <w:fldChar w:fldCharType="end"/>
      </w:r>
    </w:p>
    <w:p>
      <w:pPr>
        <w:pStyle w:val="16"/>
        <w:tabs>
          <w:tab w:val="right" w:leader="dot" w:pos="8690"/>
          <w:tab w:val="clear" w:pos="8680"/>
        </w:tabs>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_Toc462 </w:instrText>
      </w:r>
      <w:r>
        <w:rPr>
          <w:rFonts w:hint="eastAsia" w:ascii="仿宋" w:hAnsi="仿宋" w:eastAsia="仿宋" w:cs="仿宋"/>
          <w:szCs w:val="32"/>
        </w:rPr>
        <w:fldChar w:fldCharType="separate"/>
      </w:r>
      <w:r>
        <w:rPr>
          <w:rFonts w:hint="eastAsia" w:ascii="楷体" w:hAnsi="楷体" w:eastAsia="楷体"/>
          <w:bCs w:val="0"/>
          <w:highlight w:val="none"/>
        </w:rPr>
        <w:t>（</w:t>
      </w:r>
      <w:r>
        <w:rPr>
          <w:rFonts w:hint="eastAsia" w:ascii="楷体" w:hAnsi="楷体" w:eastAsia="楷体"/>
          <w:bCs w:val="0"/>
          <w:highlight w:val="none"/>
          <w:lang w:val="en-US" w:eastAsia="zh-CN"/>
        </w:rPr>
        <w:t>三</w:t>
      </w:r>
      <w:r>
        <w:rPr>
          <w:rFonts w:hint="eastAsia" w:ascii="楷体" w:hAnsi="楷体" w:eastAsia="楷体"/>
          <w:bCs w:val="0"/>
          <w:highlight w:val="none"/>
        </w:rPr>
        <w:t>）部门整体绩效目标设立情况</w:t>
      </w:r>
      <w:r>
        <w:tab/>
      </w:r>
      <w:r>
        <w:fldChar w:fldCharType="begin"/>
      </w:r>
      <w:r>
        <w:instrText xml:space="preserve"> PAGEREF _Toc462 \h </w:instrText>
      </w:r>
      <w:r>
        <w:fldChar w:fldCharType="separate"/>
      </w:r>
      <w:r>
        <w:t>8</w:t>
      </w:r>
      <w:r>
        <w:fldChar w:fldCharType="end"/>
      </w:r>
      <w:r>
        <w:rPr>
          <w:rFonts w:hint="eastAsia" w:ascii="仿宋" w:hAnsi="仿宋" w:eastAsia="仿宋" w:cs="仿宋"/>
          <w:szCs w:val="32"/>
        </w:rPr>
        <w:fldChar w:fldCharType="end"/>
      </w:r>
    </w:p>
    <w:p>
      <w:pPr>
        <w:pStyle w:val="16"/>
        <w:tabs>
          <w:tab w:val="right" w:leader="dot" w:pos="8690"/>
          <w:tab w:val="clear" w:pos="8680"/>
        </w:tabs>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_Toc5505 </w:instrText>
      </w:r>
      <w:r>
        <w:rPr>
          <w:rFonts w:hint="eastAsia" w:ascii="仿宋" w:hAnsi="仿宋" w:eastAsia="仿宋" w:cs="仿宋"/>
          <w:szCs w:val="32"/>
        </w:rPr>
        <w:fldChar w:fldCharType="separate"/>
      </w:r>
      <w:r>
        <w:rPr>
          <w:rFonts w:hint="eastAsia" w:ascii="黑体" w:hAnsi="黑体" w:eastAsia="黑体"/>
          <w:bCs w:val="0"/>
          <w:highlight w:val="none"/>
        </w:rPr>
        <w:t>二、当年预算执行情况</w:t>
      </w:r>
      <w:r>
        <w:tab/>
      </w:r>
      <w:r>
        <w:fldChar w:fldCharType="begin"/>
      </w:r>
      <w:r>
        <w:instrText xml:space="preserve"> PAGEREF _Toc5505 \h </w:instrText>
      </w:r>
      <w:r>
        <w:fldChar w:fldCharType="separate"/>
      </w:r>
      <w:r>
        <w:t>9</w:t>
      </w:r>
      <w:r>
        <w:fldChar w:fldCharType="end"/>
      </w:r>
      <w:r>
        <w:rPr>
          <w:rFonts w:hint="eastAsia" w:ascii="仿宋" w:hAnsi="仿宋" w:eastAsia="仿宋" w:cs="仿宋"/>
          <w:szCs w:val="32"/>
        </w:rPr>
        <w:fldChar w:fldCharType="end"/>
      </w:r>
    </w:p>
    <w:p>
      <w:pPr>
        <w:pStyle w:val="16"/>
        <w:tabs>
          <w:tab w:val="right" w:leader="dot" w:pos="8690"/>
          <w:tab w:val="clear" w:pos="8680"/>
        </w:tabs>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_Toc26401 </w:instrText>
      </w:r>
      <w:r>
        <w:rPr>
          <w:rFonts w:hint="eastAsia" w:ascii="仿宋" w:hAnsi="仿宋" w:eastAsia="仿宋" w:cs="仿宋"/>
          <w:szCs w:val="32"/>
        </w:rPr>
        <w:fldChar w:fldCharType="separate"/>
      </w:r>
      <w:r>
        <w:rPr>
          <w:rFonts w:hint="eastAsia" w:ascii="黑体" w:hAnsi="黑体" w:eastAsia="黑体"/>
          <w:bCs w:val="0"/>
          <w:highlight w:val="none"/>
        </w:rPr>
        <w:t>三、整体绩效目标实现情况</w:t>
      </w:r>
      <w:r>
        <w:tab/>
      </w:r>
      <w:r>
        <w:fldChar w:fldCharType="begin"/>
      </w:r>
      <w:r>
        <w:instrText xml:space="preserve"> PAGEREF _Toc26401 \h </w:instrText>
      </w:r>
      <w:r>
        <w:fldChar w:fldCharType="separate"/>
      </w:r>
      <w:r>
        <w:t>9</w:t>
      </w:r>
      <w:r>
        <w:fldChar w:fldCharType="end"/>
      </w:r>
      <w:r>
        <w:rPr>
          <w:rFonts w:hint="eastAsia" w:ascii="仿宋" w:hAnsi="仿宋" w:eastAsia="仿宋" w:cs="仿宋"/>
          <w:szCs w:val="32"/>
        </w:rPr>
        <w:fldChar w:fldCharType="end"/>
      </w:r>
    </w:p>
    <w:p>
      <w:pPr>
        <w:pStyle w:val="16"/>
        <w:tabs>
          <w:tab w:val="right" w:leader="dot" w:pos="8690"/>
          <w:tab w:val="clear" w:pos="8680"/>
        </w:tabs>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_Toc20677 </w:instrText>
      </w:r>
      <w:r>
        <w:rPr>
          <w:rFonts w:hint="eastAsia" w:ascii="仿宋" w:hAnsi="仿宋" w:eastAsia="仿宋" w:cs="仿宋"/>
          <w:szCs w:val="32"/>
        </w:rPr>
        <w:fldChar w:fldCharType="separate"/>
      </w:r>
      <w:r>
        <w:rPr>
          <w:rFonts w:hint="eastAsia" w:ascii="楷体" w:hAnsi="楷体" w:eastAsia="楷体"/>
          <w:bCs w:val="0"/>
          <w:highlight w:val="none"/>
        </w:rPr>
        <w:t>（一）产出完成情况分析</w:t>
      </w:r>
      <w:r>
        <w:tab/>
      </w:r>
      <w:r>
        <w:fldChar w:fldCharType="begin"/>
      </w:r>
      <w:r>
        <w:instrText xml:space="preserve"> PAGEREF _Toc20677 \h </w:instrText>
      </w:r>
      <w:r>
        <w:fldChar w:fldCharType="separate"/>
      </w:r>
      <w:r>
        <w:t>9</w:t>
      </w:r>
      <w:r>
        <w:fldChar w:fldCharType="end"/>
      </w:r>
      <w:r>
        <w:rPr>
          <w:rFonts w:hint="eastAsia" w:ascii="仿宋" w:hAnsi="仿宋" w:eastAsia="仿宋" w:cs="仿宋"/>
          <w:szCs w:val="32"/>
        </w:rPr>
        <w:fldChar w:fldCharType="end"/>
      </w:r>
    </w:p>
    <w:p>
      <w:pPr>
        <w:pStyle w:val="16"/>
        <w:tabs>
          <w:tab w:val="right" w:leader="dot" w:pos="8690"/>
          <w:tab w:val="clear" w:pos="8680"/>
        </w:tabs>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_Toc10814 </w:instrText>
      </w:r>
      <w:r>
        <w:rPr>
          <w:rFonts w:hint="eastAsia" w:ascii="仿宋" w:hAnsi="仿宋" w:eastAsia="仿宋" w:cs="仿宋"/>
          <w:szCs w:val="32"/>
        </w:rPr>
        <w:fldChar w:fldCharType="separate"/>
      </w:r>
      <w:r>
        <w:rPr>
          <w:rFonts w:hint="eastAsia" w:ascii="楷体" w:hAnsi="楷体" w:eastAsia="楷体"/>
          <w:bCs w:val="0"/>
          <w:highlight w:val="none"/>
        </w:rPr>
        <w:t>（二）效果实现情况分析</w:t>
      </w:r>
      <w:r>
        <w:tab/>
      </w:r>
      <w:r>
        <w:fldChar w:fldCharType="begin"/>
      </w:r>
      <w:r>
        <w:instrText xml:space="preserve"> PAGEREF _Toc10814 \h </w:instrText>
      </w:r>
      <w:r>
        <w:fldChar w:fldCharType="separate"/>
      </w:r>
      <w:r>
        <w:t>13</w:t>
      </w:r>
      <w:r>
        <w:fldChar w:fldCharType="end"/>
      </w:r>
      <w:r>
        <w:rPr>
          <w:rFonts w:hint="eastAsia" w:ascii="仿宋" w:hAnsi="仿宋" w:eastAsia="仿宋" w:cs="仿宋"/>
          <w:szCs w:val="32"/>
        </w:rPr>
        <w:fldChar w:fldCharType="end"/>
      </w:r>
    </w:p>
    <w:p>
      <w:pPr>
        <w:pStyle w:val="16"/>
        <w:tabs>
          <w:tab w:val="right" w:leader="dot" w:pos="8690"/>
          <w:tab w:val="clear" w:pos="8680"/>
        </w:tabs>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_Toc1236 </w:instrText>
      </w:r>
      <w:r>
        <w:rPr>
          <w:rFonts w:hint="eastAsia" w:ascii="仿宋" w:hAnsi="仿宋" w:eastAsia="仿宋" w:cs="仿宋"/>
          <w:szCs w:val="32"/>
        </w:rPr>
        <w:fldChar w:fldCharType="separate"/>
      </w:r>
      <w:r>
        <w:rPr>
          <w:rFonts w:hint="eastAsia" w:ascii="黑体" w:hAnsi="黑体" w:eastAsia="黑体"/>
          <w:bCs w:val="0"/>
          <w:highlight w:val="none"/>
        </w:rPr>
        <w:t>四、预算管理情况分析</w:t>
      </w:r>
      <w:r>
        <w:tab/>
      </w:r>
      <w:r>
        <w:fldChar w:fldCharType="begin"/>
      </w:r>
      <w:r>
        <w:instrText xml:space="preserve"> PAGEREF _Toc1236 \h </w:instrText>
      </w:r>
      <w:r>
        <w:fldChar w:fldCharType="separate"/>
      </w:r>
      <w:r>
        <w:t>16</w:t>
      </w:r>
      <w:r>
        <w:fldChar w:fldCharType="end"/>
      </w:r>
      <w:r>
        <w:rPr>
          <w:rFonts w:hint="eastAsia" w:ascii="仿宋" w:hAnsi="仿宋" w:eastAsia="仿宋" w:cs="仿宋"/>
          <w:szCs w:val="32"/>
        </w:rPr>
        <w:fldChar w:fldCharType="end"/>
      </w:r>
    </w:p>
    <w:p>
      <w:pPr>
        <w:pStyle w:val="16"/>
        <w:tabs>
          <w:tab w:val="right" w:leader="dot" w:pos="8690"/>
          <w:tab w:val="clear" w:pos="8680"/>
        </w:tabs>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_Toc382 </w:instrText>
      </w:r>
      <w:r>
        <w:rPr>
          <w:rFonts w:hint="eastAsia" w:ascii="仿宋" w:hAnsi="仿宋" w:eastAsia="仿宋" w:cs="仿宋"/>
          <w:szCs w:val="32"/>
        </w:rPr>
        <w:fldChar w:fldCharType="separate"/>
      </w:r>
      <w:r>
        <w:rPr>
          <w:rFonts w:hint="eastAsia" w:ascii="楷体" w:hAnsi="楷体" w:eastAsia="楷体"/>
          <w:bCs w:val="0"/>
          <w:highlight w:val="none"/>
        </w:rPr>
        <w:t>（一）财务管理</w:t>
      </w:r>
      <w:r>
        <w:tab/>
      </w:r>
      <w:r>
        <w:fldChar w:fldCharType="begin"/>
      </w:r>
      <w:r>
        <w:instrText xml:space="preserve"> PAGEREF _Toc382 \h </w:instrText>
      </w:r>
      <w:r>
        <w:fldChar w:fldCharType="separate"/>
      </w:r>
      <w:r>
        <w:t>16</w:t>
      </w:r>
      <w:r>
        <w:fldChar w:fldCharType="end"/>
      </w:r>
      <w:r>
        <w:rPr>
          <w:rFonts w:hint="eastAsia" w:ascii="仿宋" w:hAnsi="仿宋" w:eastAsia="仿宋" w:cs="仿宋"/>
          <w:szCs w:val="32"/>
        </w:rPr>
        <w:fldChar w:fldCharType="end"/>
      </w:r>
    </w:p>
    <w:p>
      <w:pPr>
        <w:pStyle w:val="16"/>
        <w:tabs>
          <w:tab w:val="right" w:leader="dot" w:pos="8690"/>
          <w:tab w:val="clear" w:pos="8680"/>
        </w:tabs>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_Toc25072 </w:instrText>
      </w:r>
      <w:r>
        <w:rPr>
          <w:rFonts w:hint="eastAsia" w:ascii="仿宋" w:hAnsi="仿宋" w:eastAsia="仿宋" w:cs="仿宋"/>
          <w:szCs w:val="32"/>
        </w:rPr>
        <w:fldChar w:fldCharType="separate"/>
      </w:r>
      <w:r>
        <w:rPr>
          <w:rFonts w:hint="eastAsia" w:ascii="楷体" w:hAnsi="楷体" w:eastAsia="楷体"/>
          <w:bCs w:val="0"/>
          <w:highlight w:val="none"/>
        </w:rPr>
        <w:t>（二）资产管理</w:t>
      </w:r>
      <w:r>
        <w:tab/>
      </w:r>
      <w:r>
        <w:fldChar w:fldCharType="begin"/>
      </w:r>
      <w:r>
        <w:instrText xml:space="preserve"> PAGEREF _Toc25072 \h </w:instrText>
      </w:r>
      <w:r>
        <w:fldChar w:fldCharType="separate"/>
      </w:r>
      <w:r>
        <w:t>16</w:t>
      </w:r>
      <w:r>
        <w:fldChar w:fldCharType="end"/>
      </w:r>
      <w:r>
        <w:rPr>
          <w:rFonts w:hint="eastAsia" w:ascii="仿宋" w:hAnsi="仿宋" w:eastAsia="仿宋" w:cs="仿宋"/>
          <w:szCs w:val="32"/>
        </w:rPr>
        <w:fldChar w:fldCharType="end"/>
      </w:r>
    </w:p>
    <w:p>
      <w:pPr>
        <w:pStyle w:val="16"/>
        <w:tabs>
          <w:tab w:val="right" w:leader="dot" w:pos="8690"/>
          <w:tab w:val="clear" w:pos="8680"/>
        </w:tabs>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_Toc2622 </w:instrText>
      </w:r>
      <w:r>
        <w:rPr>
          <w:rFonts w:hint="eastAsia" w:ascii="仿宋" w:hAnsi="仿宋" w:eastAsia="仿宋" w:cs="仿宋"/>
          <w:szCs w:val="32"/>
        </w:rPr>
        <w:fldChar w:fldCharType="separate"/>
      </w:r>
      <w:r>
        <w:rPr>
          <w:rFonts w:hint="eastAsia" w:ascii="楷体" w:hAnsi="楷体" w:eastAsia="楷体"/>
          <w:bCs w:val="0"/>
          <w:highlight w:val="none"/>
        </w:rPr>
        <w:t>（三）绩效管理</w:t>
      </w:r>
      <w:r>
        <w:tab/>
      </w:r>
      <w:r>
        <w:fldChar w:fldCharType="begin"/>
      </w:r>
      <w:r>
        <w:instrText xml:space="preserve"> PAGEREF _Toc2622 \h </w:instrText>
      </w:r>
      <w:r>
        <w:fldChar w:fldCharType="separate"/>
      </w:r>
      <w:r>
        <w:t>17</w:t>
      </w:r>
      <w:r>
        <w:fldChar w:fldCharType="end"/>
      </w:r>
      <w:r>
        <w:rPr>
          <w:rFonts w:hint="eastAsia" w:ascii="仿宋" w:hAnsi="仿宋" w:eastAsia="仿宋" w:cs="仿宋"/>
          <w:szCs w:val="32"/>
        </w:rPr>
        <w:fldChar w:fldCharType="end"/>
      </w:r>
    </w:p>
    <w:p>
      <w:pPr>
        <w:pStyle w:val="16"/>
        <w:tabs>
          <w:tab w:val="right" w:leader="dot" w:pos="8690"/>
          <w:tab w:val="clear" w:pos="8680"/>
        </w:tabs>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_Toc3478 </w:instrText>
      </w:r>
      <w:r>
        <w:rPr>
          <w:rFonts w:hint="eastAsia" w:ascii="仿宋" w:hAnsi="仿宋" w:eastAsia="仿宋" w:cs="仿宋"/>
          <w:szCs w:val="32"/>
        </w:rPr>
        <w:fldChar w:fldCharType="separate"/>
      </w:r>
      <w:r>
        <w:rPr>
          <w:rFonts w:hint="eastAsia" w:ascii="楷体" w:hAnsi="楷体" w:eastAsia="楷体"/>
          <w:bCs w:val="0"/>
          <w:highlight w:val="none"/>
        </w:rPr>
        <w:t>（四）结转结余率</w:t>
      </w:r>
      <w:r>
        <w:tab/>
      </w:r>
      <w:r>
        <w:fldChar w:fldCharType="begin"/>
      </w:r>
      <w:r>
        <w:instrText xml:space="preserve"> PAGEREF _Toc3478 \h </w:instrText>
      </w:r>
      <w:r>
        <w:fldChar w:fldCharType="separate"/>
      </w:r>
      <w:r>
        <w:t>18</w:t>
      </w:r>
      <w:r>
        <w:fldChar w:fldCharType="end"/>
      </w:r>
      <w:r>
        <w:rPr>
          <w:rFonts w:hint="eastAsia" w:ascii="仿宋" w:hAnsi="仿宋" w:eastAsia="仿宋" w:cs="仿宋"/>
          <w:szCs w:val="32"/>
        </w:rPr>
        <w:fldChar w:fldCharType="end"/>
      </w:r>
    </w:p>
    <w:p>
      <w:pPr>
        <w:pStyle w:val="16"/>
        <w:tabs>
          <w:tab w:val="right" w:leader="dot" w:pos="8690"/>
          <w:tab w:val="clear" w:pos="8680"/>
        </w:tabs>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_Toc17207 </w:instrText>
      </w:r>
      <w:r>
        <w:rPr>
          <w:rFonts w:hint="eastAsia" w:ascii="仿宋" w:hAnsi="仿宋" w:eastAsia="仿宋" w:cs="仿宋"/>
          <w:szCs w:val="32"/>
        </w:rPr>
        <w:fldChar w:fldCharType="separate"/>
      </w:r>
      <w:r>
        <w:rPr>
          <w:rFonts w:hint="eastAsia" w:ascii="楷体" w:hAnsi="楷体" w:eastAsia="楷体"/>
          <w:bCs w:val="0"/>
          <w:highlight w:val="none"/>
        </w:rPr>
        <w:t>（五）部门预决算差异</w:t>
      </w:r>
      <w:r>
        <w:tab/>
      </w:r>
      <w:r>
        <w:fldChar w:fldCharType="begin"/>
      </w:r>
      <w:r>
        <w:instrText xml:space="preserve"> PAGEREF _Toc17207 \h </w:instrText>
      </w:r>
      <w:r>
        <w:fldChar w:fldCharType="separate"/>
      </w:r>
      <w:r>
        <w:t>18</w:t>
      </w:r>
      <w:r>
        <w:fldChar w:fldCharType="end"/>
      </w:r>
      <w:r>
        <w:rPr>
          <w:rFonts w:hint="eastAsia" w:ascii="仿宋" w:hAnsi="仿宋" w:eastAsia="仿宋" w:cs="仿宋"/>
          <w:szCs w:val="32"/>
        </w:rPr>
        <w:fldChar w:fldCharType="end"/>
      </w:r>
    </w:p>
    <w:p>
      <w:pPr>
        <w:pStyle w:val="16"/>
        <w:tabs>
          <w:tab w:val="right" w:leader="dot" w:pos="8690"/>
          <w:tab w:val="clear" w:pos="8680"/>
        </w:tabs>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_Toc1546 </w:instrText>
      </w:r>
      <w:r>
        <w:rPr>
          <w:rFonts w:hint="eastAsia" w:ascii="仿宋" w:hAnsi="仿宋" w:eastAsia="仿宋" w:cs="仿宋"/>
          <w:szCs w:val="32"/>
        </w:rPr>
        <w:fldChar w:fldCharType="separate"/>
      </w:r>
      <w:r>
        <w:rPr>
          <w:rFonts w:hint="eastAsia" w:ascii="黑体" w:hAnsi="黑体" w:eastAsia="黑体"/>
          <w:bCs w:val="0"/>
          <w:highlight w:val="none"/>
          <w:lang w:val="en-US" w:eastAsia="zh-CN"/>
        </w:rPr>
        <w:t>五、</w:t>
      </w:r>
      <w:r>
        <w:rPr>
          <w:rFonts w:hint="eastAsia" w:ascii="黑体" w:hAnsi="黑体" w:eastAsia="黑体"/>
          <w:bCs w:val="0"/>
          <w:highlight w:val="none"/>
        </w:rPr>
        <w:t>总体评价结论</w:t>
      </w:r>
      <w:r>
        <w:tab/>
      </w:r>
      <w:r>
        <w:fldChar w:fldCharType="begin"/>
      </w:r>
      <w:r>
        <w:instrText xml:space="preserve"> PAGEREF _Toc1546 \h </w:instrText>
      </w:r>
      <w:r>
        <w:fldChar w:fldCharType="separate"/>
      </w:r>
      <w:r>
        <w:t>18</w:t>
      </w:r>
      <w:r>
        <w:fldChar w:fldCharType="end"/>
      </w:r>
      <w:r>
        <w:rPr>
          <w:rFonts w:hint="eastAsia" w:ascii="仿宋" w:hAnsi="仿宋" w:eastAsia="仿宋" w:cs="仿宋"/>
          <w:szCs w:val="32"/>
        </w:rPr>
        <w:fldChar w:fldCharType="end"/>
      </w:r>
    </w:p>
    <w:p>
      <w:pPr>
        <w:pStyle w:val="16"/>
        <w:tabs>
          <w:tab w:val="right" w:leader="dot" w:pos="8690"/>
          <w:tab w:val="clear" w:pos="8680"/>
        </w:tabs>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_Toc27232 </w:instrText>
      </w:r>
      <w:r>
        <w:rPr>
          <w:rFonts w:hint="eastAsia" w:ascii="仿宋" w:hAnsi="仿宋" w:eastAsia="仿宋" w:cs="仿宋"/>
          <w:szCs w:val="32"/>
        </w:rPr>
        <w:fldChar w:fldCharType="separate"/>
      </w:r>
      <w:r>
        <w:rPr>
          <w:rFonts w:hint="eastAsia" w:ascii="楷体" w:hAnsi="楷体" w:eastAsia="楷体" w:cs="楷体"/>
          <w:szCs w:val="32"/>
          <w:highlight w:val="none"/>
        </w:rPr>
        <w:t>（一）评价得分情况</w:t>
      </w:r>
      <w:r>
        <w:tab/>
      </w:r>
      <w:r>
        <w:fldChar w:fldCharType="begin"/>
      </w:r>
      <w:r>
        <w:instrText xml:space="preserve"> PAGEREF _Toc27232 \h </w:instrText>
      </w:r>
      <w:r>
        <w:fldChar w:fldCharType="separate"/>
      </w:r>
      <w:r>
        <w:t>18</w:t>
      </w:r>
      <w:r>
        <w:fldChar w:fldCharType="end"/>
      </w:r>
      <w:r>
        <w:rPr>
          <w:rFonts w:hint="eastAsia" w:ascii="仿宋" w:hAnsi="仿宋" w:eastAsia="仿宋" w:cs="仿宋"/>
          <w:szCs w:val="32"/>
        </w:rPr>
        <w:fldChar w:fldCharType="end"/>
      </w:r>
    </w:p>
    <w:p>
      <w:pPr>
        <w:pStyle w:val="16"/>
        <w:tabs>
          <w:tab w:val="right" w:leader="dot" w:pos="8690"/>
          <w:tab w:val="clear" w:pos="8680"/>
        </w:tabs>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_Toc28446 </w:instrText>
      </w:r>
      <w:r>
        <w:rPr>
          <w:rFonts w:hint="eastAsia" w:ascii="仿宋" w:hAnsi="仿宋" w:eastAsia="仿宋" w:cs="仿宋"/>
          <w:szCs w:val="32"/>
        </w:rPr>
        <w:fldChar w:fldCharType="separate"/>
      </w:r>
      <w:r>
        <w:rPr>
          <w:rFonts w:hint="eastAsia" w:ascii="楷体" w:hAnsi="楷体" w:eastAsia="楷体" w:cs="楷体"/>
          <w:szCs w:val="32"/>
          <w:highlight w:val="none"/>
        </w:rPr>
        <w:t>（二）存在的问题及原因分析</w:t>
      </w:r>
      <w:r>
        <w:tab/>
      </w:r>
      <w:r>
        <w:fldChar w:fldCharType="begin"/>
      </w:r>
      <w:r>
        <w:instrText xml:space="preserve"> PAGEREF _Toc28446 \h </w:instrText>
      </w:r>
      <w:r>
        <w:fldChar w:fldCharType="separate"/>
      </w:r>
      <w:r>
        <w:t>19</w:t>
      </w:r>
      <w:r>
        <w:fldChar w:fldCharType="end"/>
      </w:r>
      <w:r>
        <w:rPr>
          <w:rFonts w:hint="eastAsia" w:ascii="仿宋" w:hAnsi="仿宋" w:eastAsia="仿宋" w:cs="仿宋"/>
          <w:szCs w:val="32"/>
        </w:rPr>
        <w:fldChar w:fldCharType="end"/>
      </w:r>
    </w:p>
    <w:p>
      <w:pPr>
        <w:pStyle w:val="16"/>
        <w:tabs>
          <w:tab w:val="right" w:leader="dot" w:pos="8690"/>
          <w:tab w:val="clear" w:pos="8680"/>
        </w:tabs>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_Toc25367 </w:instrText>
      </w:r>
      <w:r>
        <w:rPr>
          <w:rFonts w:hint="eastAsia" w:ascii="仿宋" w:hAnsi="仿宋" w:eastAsia="仿宋" w:cs="仿宋"/>
          <w:szCs w:val="32"/>
        </w:rPr>
        <w:fldChar w:fldCharType="separate"/>
      </w:r>
      <w:r>
        <w:rPr>
          <w:rFonts w:hint="eastAsia" w:ascii="黑体" w:hAnsi="黑体" w:eastAsia="黑体"/>
          <w:bCs w:val="0"/>
          <w:highlight w:val="none"/>
        </w:rPr>
        <w:t>六、措施建议</w:t>
      </w:r>
      <w:r>
        <w:tab/>
      </w:r>
      <w:r>
        <w:fldChar w:fldCharType="begin"/>
      </w:r>
      <w:r>
        <w:instrText xml:space="preserve"> PAGEREF _Toc25367 \h </w:instrText>
      </w:r>
      <w:r>
        <w:fldChar w:fldCharType="separate"/>
      </w:r>
      <w:r>
        <w:t>19</w:t>
      </w:r>
      <w:r>
        <w:fldChar w:fldCharType="end"/>
      </w:r>
      <w:r>
        <w:rPr>
          <w:rFonts w:hint="eastAsia" w:ascii="仿宋" w:hAnsi="仿宋" w:eastAsia="仿宋" w:cs="仿宋"/>
          <w:szCs w:val="32"/>
        </w:rPr>
        <w:fldChar w:fldCharType="end"/>
      </w:r>
    </w:p>
    <w:p>
      <w:pPr>
        <w:pStyle w:val="16"/>
        <w:tabs>
          <w:tab w:val="right" w:leader="dot" w:pos="8690"/>
          <w:tab w:val="clear" w:pos="8680"/>
        </w:tabs>
      </w:pPr>
      <w:r>
        <w:rPr>
          <w:rFonts w:hint="eastAsia" w:ascii="仿宋" w:hAnsi="仿宋" w:eastAsia="仿宋" w:cs="仿宋"/>
          <w:szCs w:val="32"/>
        </w:rPr>
        <w:fldChar w:fldCharType="begin"/>
      </w:r>
      <w:r>
        <w:rPr>
          <w:rFonts w:hint="eastAsia" w:ascii="仿宋" w:hAnsi="仿宋" w:eastAsia="仿宋" w:cs="仿宋"/>
          <w:szCs w:val="32"/>
        </w:rPr>
        <w:instrText xml:space="preserve"> HYPERLINK \l _Toc31298 </w:instrText>
      </w:r>
      <w:r>
        <w:rPr>
          <w:rFonts w:hint="eastAsia" w:ascii="仿宋" w:hAnsi="仿宋" w:eastAsia="仿宋" w:cs="仿宋"/>
          <w:szCs w:val="32"/>
        </w:rPr>
        <w:fldChar w:fldCharType="separate"/>
      </w:r>
      <w:r>
        <w:rPr>
          <w:rFonts w:hint="eastAsia" w:ascii="黑体" w:hAnsi="黑体" w:eastAsia="黑体" w:cs="Times New Roman"/>
          <w:bCs w:val="0"/>
          <w:highlight w:val="none"/>
        </w:rPr>
        <w:t>七、附件</w:t>
      </w:r>
      <w:r>
        <w:tab/>
      </w:r>
      <w:r>
        <w:fldChar w:fldCharType="begin"/>
      </w:r>
      <w:r>
        <w:instrText xml:space="preserve"> PAGEREF _Toc31298 \h </w:instrText>
      </w:r>
      <w:r>
        <w:fldChar w:fldCharType="separate"/>
      </w:r>
      <w:r>
        <w:t>20</w:t>
      </w:r>
      <w:r>
        <w:fldChar w:fldCharType="end"/>
      </w:r>
      <w:r>
        <w:rPr>
          <w:rFonts w:hint="eastAsia" w:ascii="仿宋" w:hAnsi="仿宋" w:eastAsia="仿宋" w:cs="仿宋"/>
          <w:szCs w:val="32"/>
        </w:rPr>
        <w:fldChar w:fldCharType="end"/>
      </w:r>
    </w:p>
    <w:p>
      <w:pPr>
        <w:keepNext w:val="0"/>
        <w:keepLines w:val="0"/>
        <w:pageBreakBefore w:val="0"/>
        <w:widowControl w:val="0"/>
        <w:kinsoku/>
        <w:wordWrap/>
        <w:overflowPunct/>
        <w:topLinePunct w:val="0"/>
        <w:autoSpaceDE/>
        <w:autoSpaceDN/>
        <w:bidi w:val="0"/>
        <w:adjustRightInd/>
        <w:snapToGrid/>
        <w:textAlignment w:val="auto"/>
        <w:outlineLvl w:val="9"/>
        <w:rPr>
          <w:rFonts w:ascii="黑体" w:hAnsi="黑体" w:eastAsia="黑体" w:cs="黑体"/>
          <w:sz w:val="44"/>
          <w:szCs w:val="44"/>
        </w:rPr>
      </w:pPr>
      <w:r>
        <w:rPr>
          <w:rFonts w:hint="eastAsia" w:ascii="仿宋" w:hAnsi="仿宋" w:eastAsia="仿宋" w:cs="仿宋"/>
          <w:szCs w:val="32"/>
        </w:rPr>
        <w:fldChar w:fldCharType="end"/>
      </w:r>
    </w:p>
    <w:p>
      <w:pPr>
        <w:pStyle w:val="4"/>
        <w:spacing w:before="0" w:after="0" w:line="360" w:lineRule="auto"/>
        <w:ind w:firstLine="643" w:firstLineChars="200"/>
        <w:rPr>
          <w:rFonts w:ascii="黑体" w:hAnsi="黑体" w:eastAsia="黑体"/>
        </w:rPr>
        <w:sectPr>
          <w:footerReference r:id="rId5" w:type="default"/>
          <w:footnotePr>
            <w:numFmt w:val="decimalEnclosedCircleChinese"/>
          </w:footnotePr>
          <w:pgSz w:w="11906" w:h="16838"/>
          <w:pgMar w:top="1440" w:right="1416" w:bottom="1440" w:left="1800" w:header="851" w:footer="992" w:gutter="0"/>
          <w:pgNumType w:start="1"/>
          <w:cols w:space="720" w:num="1"/>
          <w:docGrid w:type="lines" w:linePitch="312" w:charSpace="0"/>
        </w:sectPr>
      </w:pPr>
    </w:p>
    <w:p>
      <w:pPr>
        <w:spacing w:line="560" w:lineRule="exact"/>
        <w:jc w:val="center"/>
        <w:rPr>
          <w:rFonts w:hint="eastAsia" w:ascii="方正小标宋简体" w:hAnsi="Times New Roman" w:eastAsia="方正小标宋简体" w:cs="Times New Roman"/>
          <w:sz w:val="44"/>
          <w:szCs w:val="44"/>
        </w:rPr>
      </w:pPr>
      <w:r>
        <w:rPr>
          <w:rFonts w:hint="eastAsia" w:ascii="方正小标宋简体" w:hAnsi="Times New Roman" w:eastAsia="方正小标宋简体" w:cs="Times New Roman"/>
          <w:sz w:val="44"/>
          <w:szCs w:val="44"/>
          <w:lang w:eastAsia="zh-CN"/>
        </w:rPr>
        <w:t>中关村科技园区管理委员会</w:t>
      </w:r>
      <w:r>
        <w:rPr>
          <w:rFonts w:hint="eastAsia" w:ascii="方正小标宋简体" w:hAnsi="Times New Roman" w:eastAsia="方正小标宋简体" w:cs="Times New Roman"/>
          <w:sz w:val="44"/>
          <w:szCs w:val="44"/>
        </w:rPr>
        <w:t>部门整体</w:t>
      </w:r>
    </w:p>
    <w:p>
      <w:pPr>
        <w:spacing w:line="560" w:lineRule="exact"/>
        <w:jc w:val="center"/>
        <w:rPr>
          <w:rFonts w:hint="eastAsia" w:ascii="方正小标宋简体" w:hAnsi="Times New Roman" w:eastAsia="方正小标宋简体" w:cs="Times New Roman"/>
          <w:sz w:val="44"/>
          <w:szCs w:val="44"/>
        </w:rPr>
      </w:pPr>
      <w:r>
        <w:rPr>
          <w:rFonts w:hint="eastAsia" w:ascii="方正小标宋简体" w:hAnsi="Times New Roman" w:eastAsia="方正小标宋简体" w:cs="Times New Roman"/>
          <w:sz w:val="44"/>
          <w:szCs w:val="44"/>
        </w:rPr>
        <w:t>绩效</w:t>
      </w:r>
      <w:r>
        <w:rPr>
          <w:rFonts w:hint="eastAsia" w:ascii="方正小标宋简体" w:hAnsi="Times New Roman" w:eastAsia="方正小标宋简体" w:cs="Times New Roman"/>
          <w:sz w:val="44"/>
          <w:szCs w:val="44"/>
          <w:lang w:eastAsia="zh-CN"/>
        </w:rPr>
        <w:t>评价</w:t>
      </w:r>
      <w:r>
        <w:rPr>
          <w:rFonts w:hint="eastAsia" w:ascii="方正小标宋简体" w:hAnsi="Times New Roman" w:eastAsia="方正小标宋简体" w:cs="Times New Roman"/>
          <w:sz w:val="44"/>
          <w:szCs w:val="44"/>
        </w:rPr>
        <w:t>报告</w:t>
      </w:r>
    </w:p>
    <w:p>
      <w:pPr>
        <w:pStyle w:val="2"/>
        <w:rPr>
          <w:rFonts w:hint="eastAsia" w:ascii="方正小标宋简体" w:hAnsi="Times New Roman" w:eastAsia="方正小标宋简体" w:cs="Times New Roman"/>
          <w:sz w:val="36"/>
          <w:szCs w:val="36"/>
        </w:rPr>
      </w:pPr>
    </w:p>
    <w:p>
      <w:pPr>
        <w:pStyle w:val="4"/>
        <w:pageBreakBefore w:val="0"/>
        <w:widowControl w:val="0"/>
        <w:kinsoku/>
        <w:wordWrap/>
        <w:overflowPunct/>
        <w:topLinePunct w:val="0"/>
        <w:autoSpaceDE/>
        <w:autoSpaceDN/>
        <w:bidi w:val="0"/>
        <w:adjustRightInd w:val="0"/>
        <w:snapToGrid w:val="0"/>
        <w:spacing w:before="0" w:after="0" w:line="360" w:lineRule="auto"/>
        <w:ind w:leftChars="0" w:firstLine="640" w:firstLineChars="200"/>
        <w:textAlignment w:val="auto"/>
        <w:rPr>
          <w:rFonts w:ascii="黑体" w:hAnsi="黑体" w:eastAsia="黑体"/>
          <w:b w:val="0"/>
          <w:bCs w:val="0"/>
          <w:highlight w:val="none"/>
        </w:rPr>
      </w:pPr>
      <w:bookmarkStart w:id="0" w:name="_Toc31774"/>
      <w:r>
        <w:rPr>
          <w:rFonts w:hint="eastAsia" w:ascii="黑体" w:hAnsi="黑体" w:eastAsia="黑体"/>
          <w:b w:val="0"/>
          <w:bCs w:val="0"/>
          <w:highlight w:val="none"/>
        </w:rPr>
        <w:t>一、部门概况</w:t>
      </w:r>
      <w:bookmarkEnd w:id="0"/>
    </w:p>
    <w:p>
      <w:pPr>
        <w:keepNext w:val="0"/>
        <w:keepLines w:val="0"/>
        <w:pageBreakBefore w:val="0"/>
        <w:widowControl w:val="0"/>
        <w:tabs>
          <w:tab w:val="center" w:pos="6979"/>
        </w:tabs>
        <w:kinsoku/>
        <w:wordWrap/>
        <w:overflowPunct/>
        <w:topLinePunct w:val="0"/>
        <w:autoSpaceDE/>
        <w:autoSpaceDN/>
        <w:bidi w:val="0"/>
        <w:adjustRightInd w:val="0"/>
        <w:snapToGrid w:val="0"/>
        <w:spacing w:line="360" w:lineRule="auto"/>
        <w:ind w:firstLine="640" w:firstLineChars="200"/>
        <w:textAlignment w:val="auto"/>
        <w:outlineLvl w:val="1"/>
        <w:rPr>
          <w:rFonts w:hint="eastAsia" w:ascii="楷体" w:hAnsi="楷体" w:eastAsia="楷体" w:cs="楷体"/>
          <w:sz w:val="32"/>
          <w:szCs w:val="32"/>
        </w:rPr>
      </w:pPr>
      <w:bookmarkStart w:id="1" w:name="_Toc31437"/>
      <w:r>
        <w:rPr>
          <w:rFonts w:hint="eastAsia" w:ascii="楷体" w:hAnsi="楷体" w:eastAsia="楷体" w:cs="楷体"/>
          <w:sz w:val="32"/>
          <w:szCs w:val="32"/>
        </w:rPr>
        <w:t>（一）本部门性质、职责等情况</w:t>
      </w:r>
      <w:bookmarkEnd w:id="1"/>
    </w:p>
    <w:p>
      <w:pPr>
        <w:keepNext w:val="0"/>
        <w:keepLines w:val="0"/>
        <w:pageBreakBefore w:val="0"/>
        <w:widowControl/>
        <w:kinsoku/>
        <w:wordWrap/>
        <w:overflowPunct/>
        <w:topLinePunct w:val="0"/>
        <w:autoSpaceDE/>
        <w:autoSpaceDN/>
        <w:bidi w:val="0"/>
        <w:adjustRightInd w:val="0"/>
        <w:snapToGrid w:val="0"/>
        <w:spacing w:before="0" w:after="0" w:line="360" w:lineRule="auto"/>
        <w:ind w:firstLine="640" w:firstLineChars="200"/>
        <w:textAlignment w:val="auto"/>
        <w:outlineLvl w:val="9"/>
        <w:rPr>
          <w:rFonts w:hint="eastAsia" w:ascii="仿宋_GB2312" w:eastAsia="仿宋_GB2312"/>
          <w:b w:val="0"/>
          <w:bCs w:val="0"/>
          <w:kern w:val="0"/>
          <w:sz w:val="32"/>
          <w:szCs w:val="32"/>
        </w:rPr>
      </w:pPr>
      <w:r>
        <w:rPr>
          <w:rFonts w:hint="eastAsia" w:ascii="仿宋_GB2312" w:eastAsia="仿宋_GB2312"/>
          <w:b w:val="0"/>
          <w:bCs w:val="0"/>
          <w:kern w:val="0"/>
          <w:sz w:val="32"/>
          <w:szCs w:val="32"/>
        </w:rPr>
        <w:t>北京市科学技术委员会（简称市科委）是市政府组成部门，挂北京市外国专家局（简称市外专局）牌子；中关村科技园区管理委员会（简称中关村管委会）是市政府派出机构。市科委与中关村管委会合署办公，为正局级。</w:t>
      </w:r>
    </w:p>
    <w:p>
      <w:pPr>
        <w:keepNext w:val="0"/>
        <w:keepLines w:val="0"/>
        <w:pageBreakBefore w:val="0"/>
        <w:widowControl/>
        <w:kinsoku/>
        <w:wordWrap/>
        <w:overflowPunct/>
        <w:topLinePunct w:val="0"/>
        <w:autoSpaceDE/>
        <w:autoSpaceDN/>
        <w:bidi w:val="0"/>
        <w:adjustRightInd w:val="0"/>
        <w:snapToGrid w:val="0"/>
        <w:spacing w:before="0" w:after="0" w:line="360" w:lineRule="auto"/>
        <w:ind w:firstLine="640" w:firstLineChars="200"/>
        <w:textAlignment w:val="auto"/>
        <w:outlineLvl w:val="9"/>
        <w:rPr>
          <w:rFonts w:hint="eastAsia" w:ascii="仿宋_GB2312" w:eastAsia="仿宋_GB2312"/>
          <w:b w:val="0"/>
          <w:bCs w:val="0"/>
          <w:kern w:val="0"/>
          <w:sz w:val="32"/>
          <w:szCs w:val="32"/>
        </w:rPr>
      </w:pPr>
      <w:r>
        <w:rPr>
          <w:rFonts w:hint="eastAsia" w:ascii="仿宋_GB2312" w:eastAsia="仿宋_GB2312"/>
          <w:b w:val="0"/>
          <w:bCs w:val="0"/>
          <w:kern w:val="0"/>
          <w:sz w:val="32"/>
          <w:szCs w:val="32"/>
        </w:rPr>
        <w:t>市科委、中关村管委会贯彻落实党中央关于科技创新工作的方针政策、决策部署和市委有关工作要求，在履行职责过程中坚持和加强党对科技创新工作的集中统一领导。主要职责是：</w:t>
      </w:r>
    </w:p>
    <w:p>
      <w:pPr>
        <w:keepNext w:val="0"/>
        <w:keepLines w:val="0"/>
        <w:pageBreakBefore w:val="0"/>
        <w:widowControl/>
        <w:kinsoku/>
        <w:wordWrap/>
        <w:overflowPunct/>
        <w:topLinePunct w:val="0"/>
        <w:autoSpaceDE/>
        <w:autoSpaceDN/>
        <w:bidi w:val="0"/>
        <w:adjustRightInd w:val="0"/>
        <w:snapToGrid w:val="0"/>
        <w:spacing w:before="0" w:after="0" w:line="360" w:lineRule="auto"/>
        <w:ind w:firstLine="640" w:firstLineChars="200"/>
        <w:textAlignment w:val="auto"/>
        <w:outlineLvl w:val="9"/>
        <w:rPr>
          <w:rFonts w:hint="eastAsia" w:ascii="仿宋_GB2312" w:eastAsia="仿宋_GB2312"/>
          <w:b w:val="0"/>
          <w:bCs w:val="0"/>
          <w:kern w:val="0"/>
          <w:sz w:val="32"/>
          <w:szCs w:val="32"/>
        </w:rPr>
      </w:pPr>
      <w:r>
        <w:rPr>
          <w:rFonts w:hint="eastAsia" w:ascii="仿宋_GB2312" w:eastAsia="仿宋_GB2312"/>
          <w:b w:val="0"/>
          <w:bCs w:val="0"/>
          <w:kern w:val="0"/>
          <w:sz w:val="32"/>
          <w:szCs w:val="32"/>
        </w:rPr>
        <w:t>1.贯彻落实国家创新驱动发展战略和科技工作的法律法规、规章和政策，起草本市相关地方性法规草案、政府规章草案，组织拟订相关政策措施并组织实施。</w:t>
      </w:r>
    </w:p>
    <w:p>
      <w:pPr>
        <w:keepNext w:val="0"/>
        <w:keepLines w:val="0"/>
        <w:pageBreakBefore w:val="0"/>
        <w:widowControl/>
        <w:kinsoku/>
        <w:wordWrap/>
        <w:overflowPunct/>
        <w:topLinePunct w:val="0"/>
        <w:autoSpaceDE/>
        <w:autoSpaceDN/>
        <w:bidi w:val="0"/>
        <w:adjustRightInd w:val="0"/>
        <w:snapToGrid w:val="0"/>
        <w:spacing w:before="0" w:after="0" w:line="360" w:lineRule="auto"/>
        <w:ind w:firstLine="640" w:firstLineChars="200"/>
        <w:textAlignment w:val="auto"/>
        <w:outlineLvl w:val="9"/>
        <w:rPr>
          <w:rFonts w:hint="eastAsia" w:ascii="仿宋_GB2312" w:eastAsia="仿宋_GB2312"/>
          <w:b w:val="0"/>
          <w:bCs w:val="0"/>
          <w:kern w:val="0"/>
          <w:sz w:val="32"/>
          <w:szCs w:val="32"/>
        </w:rPr>
      </w:pPr>
      <w:r>
        <w:rPr>
          <w:rFonts w:hint="eastAsia" w:ascii="仿宋_GB2312" w:eastAsia="仿宋_GB2312"/>
          <w:b w:val="0"/>
          <w:bCs w:val="0"/>
          <w:kern w:val="0"/>
          <w:sz w:val="32"/>
          <w:szCs w:val="32"/>
        </w:rPr>
        <w:t>2.牵头推进国际科技创新中心建设。承担北京推进科技创新中心建设办公室秘书处职能，组织拟订相关工作方案及年度计划，并开展监督落实。</w:t>
      </w:r>
    </w:p>
    <w:p>
      <w:pPr>
        <w:keepNext w:val="0"/>
        <w:keepLines w:val="0"/>
        <w:pageBreakBefore w:val="0"/>
        <w:widowControl/>
        <w:kinsoku/>
        <w:wordWrap/>
        <w:overflowPunct/>
        <w:topLinePunct w:val="0"/>
        <w:autoSpaceDE/>
        <w:autoSpaceDN/>
        <w:bidi w:val="0"/>
        <w:adjustRightInd w:val="0"/>
        <w:snapToGrid w:val="0"/>
        <w:spacing w:before="0" w:after="0" w:line="360" w:lineRule="auto"/>
        <w:ind w:firstLine="640" w:firstLineChars="200"/>
        <w:textAlignment w:val="auto"/>
        <w:outlineLvl w:val="9"/>
        <w:rPr>
          <w:rFonts w:hint="eastAsia" w:ascii="仿宋_GB2312" w:eastAsia="仿宋_GB2312"/>
          <w:b w:val="0"/>
          <w:bCs w:val="0"/>
          <w:kern w:val="0"/>
          <w:sz w:val="32"/>
          <w:szCs w:val="32"/>
        </w:rPr>
      </w:pPr>
      <w:r>
        <w:rPr>
          <w:rFonts w:hint="eastAsia" w:ascii="仿宋_GB2312" w:eastAsia="仿宋_GB2312"/>
          <w:b w:val="0"/>
          <w:bCs w:val="0"/>
          <w:kern w:val="0"/>
          <w:sz w:val="32"/>
          <w:szCs w:val="32"/>
        </w:rPr>
        <w:t>3.统筹推进首都创新体系建设和科技体制改革，健全技术创新激励机制。统筹推进“三城一区”和“一区十六园”科技创新方面的规划建设发展。优化科研体系建设，指导科研机构改革发展。负责新型研发机构的筹建、管理及服务。牵头推动企业科技创新能力建设。承担推进科技军民融合发展相关工作。</w:t>
      </w:r>
    </w:p>
    <w:p>
      <w:pPr>
        <w:keepNext w:val="0"/>
        <w:keepLines w:val="0"/>
        <w:pageBreakBefore w:val="0"/>
        <w:widowControl/>
        <w:kinsoku/>
        <w:wordWrap/>
        <w:overflowPunct/>
        <w:topLinePunct w:val="0"/>
        <w:autoSpaceDE/>
        <w:autoSpaceDN/>
        <w:bidi w:val="0"/>
        <w:adjustRightInd w:val="0"/>
        <w:snapToGrid w:val="0"/>
        <w:spacing w:before="0" w:after="0" w:line="360" w:lineRule="auto"/>
        <w:ind w:firstLine="640" w:firstLineChars="200"/>
        <w:textAlignment w:val="auto"/>
        <w:outlineLvl w:val="9"/>
        <w:rPr>
          <w:rFonts w:hint="eastAsia" w:ascii="仿宋_GB2312" w:eastAsia="仿宋_GB2312"/>
          <w:b w:val="0"/>
          <w:bCs w:val="0"/>
          <w:kern w:val="0"/>
          <w:sz w:val="32"/>
          <w:szCs w:val="32"/>
        </w:rPr>
      </w:pPr>
      <w:r>
        <w:rPr>
          <w:rFonts w:hint="eastAsia" w:ascii="仿宋_GB2312" w:eastAsia="仿宋_GB2312"/>
          <w:b w:val="0"/>
          <w:bCs w:val="0"/>
          <w:kern w:val="0"/>
          <w:sz w:val="32"/>
          <w:szCs w:val="32"/>
        </w:rPr>
        <w:t>4.推进本市重大科技决策咨询制度建设。负责提出科技发展战略建议。提出科技发展布局和优先发展领域。拟订促进科技文化融合发展、科学普及、科学传播规划政策并组织实施。</w:t>
      </w:r>
    </w:p>
    <w:p>
      <w:pPr>
        <w:keepNext w:val="0"/>
        <w:keepLines w:val="0"/>
        <w:pageBreakBefore w:val="0"/>
        <w:widowControl/>
        <w:kinsoku/>
        <w:wordWrap/>
        <w:overflowPunct/>
        <w:topLinePunct w:val="0"/>
        <w:autoSpaceDE/>
        <w:autoSpaceDN/>
        <w:bidi w:val="0"/>
        <w:adjustRightInd w:val="0"/>
        <w:snapToGrid w:val="0"/>
        <w:spacing w:before="0" w:after="0" w:line="360" w:lineRule="auto"/>
        <w:ind w:firstLine="640" w:firstLineChars="200"/>
        <w:textAlignment w:val="auto"/>
        <w:outlineLvl w:val="9"/>
        <w:rPr>
          <w:rFonts w:hint="eastAsia" w:ascii="仿宋_GB2312" w:eastAsia="仿宋_GB2312"/>
          <w:b w:val="0"/>
          <w:bCs w:val="0"/>
          <w:kern w:val="0"/>
          <w:sz w:val="32"/>
          <w:szCs w:val="32"/>
        </w:rPr>
      </w:pPr>
      <w:r>
        <w:rPr>
          <w:rFonts w:hint="eastAsia" w:ascii="仿宋_GB2312" w:eastAsia="仿宋_GB2312"/>
          <w:b w:val="0"/>
          <w:bCs w:val="0"/>
          <w:kern w:val="0"/>
          <w:sz w:val="32"/>
          <w:szCs w:val="32"/>
        </w:rPr>
        <w:t>5.拟订本市基础研究规划、政策并组织实施，组织协调基础研究和应用基础研究。参与重大科技基础设施建设和运行。提出科研条件保障规划和政策建议，推进科研条件保障建设和科技资源开放共享。</w:t>
      </w:r>
    </w:p>
    <w:p>
      <w:pPr>
        <w:keepNext w:val="0"/>
        <w:keepLines w:val="0"/>
        <w:pageBreakBefore w:val="0"/>
        <w:widowControl/>
        <w:kinsoku/>
        <w:wordWrap/>
        <w:overflowPunct/>
        <w:topLinePunct w:val="0"/>
        <w:autoSpaceDE/>
        <w:autoSpaceDN/>
        <w:bidi w:val="0"/>
        <w:adjustRightInd w:val="0"/>
        <w:snapToGrid w:val="0"/>
        <w:spacing w:before="0" w:after="0" w:line="360" w:lineRule="auto"/>
        <w:ind w:firstLine="640" w:firstLineChars="200"/>
        <w:textAlignment w:val="auto"/>
        <w:outlineLvl w:val="9"/>
        <w:rPr>
          <w:rFonts w:hint="eastAsia" w:ascii="仿宋_GB2312" w:eastAsia="仿宋_GB2312"/>
          <w:b w:val="0"/>
          <w:bCs w:val="0"/>
          <w:kern w:val="0"/>
          <w:sz w:val="32"/>
          <w:szCs w:val="32"/>
        </w:rPr>
      </w:pPr>
      <w:r>
        <w:rPr>
          <w:rFonts w:hint="eastAsia" w:ascii="仿宋_GB2312" w:eastAsia="仿宋_GB2312"/>
          <w:b w:val="0"/>
          <w:bCs w:val="0"/>
          <w:kern w:val="0"/>
          <w:sz w:val="32"/>
          <w:szCs w:val="32"/>
        </w:rPr>
        <w:t>6.组织开展本市重点领域技术发展需求分析，提出重大任务。统筹推进关键共性技术、前沿引领技术、现代工程技术、颠覆性技术研发和创新，牵头组织重大技术攻关和成果应用示范，组织参与国际大科学计划和大科学工程。</w:t>
      </w:r>
    </w:p>
    <w:p>
      <w:pPr>
        <w:keepNext w:val="0"/>
        <w:keepLines w:val="0"/>
        <w:pageBreakBefore w:val="0"/>
        <w:widowControl/>
        <w:kinsoku/>
        <w:wordWrap/>
        <w:overflowPunct/>
        <w:topLinePunct w:val="0"/>
        <w:autoSpaceDE/>
        <w:autoSpaceDN/>
        <w:bidi w:val="0"/>
        <w:adjustRightInd w:val="0"/>
        <w:snapToGrid w:val="0"/>
        <w:spacing w:before="0" w:after="0" w:line="360" w:lineRule="auto"/>
        <w:ind w:firstLine="640" w:firstLineChars="200"/>
        <w:textAlignment w:val="auto"/>
        <w:outlineLvl w:val="9"/>
        <w:rPr>
          <w:rFonts w:hint="eastAsia" w:ascii="仿宋_GB2312" w:eastAsia="仿宋_GB2312"/>
          <w:b w:val="0"/>
          <w:bCs w:val="0"/>
          <w:kern w:val="0"/>
          <w:sz w:val="32"/>
          <w:szCs w:val="32"/>
        </w:rPr>
      </w:pPr>
      <w:r>
        <w:rPr>
          <w:rFonts w:hint="eastAsia" w:ascii="仿宋_GB2312" w:eastAsia="仿宋_GB2312"/>
          <w:b w:val="0"/>
          <w:bCs w:val="0"/>
          <w:kern w:val="0"/>
          <w:sz w:val="32"/>
          <w:szCs w:val="32"/>
        </w:rPr>
        <w:t>7.负责本市科技管理工作。牵头建立本市科技管理平台和科研项目资金协调、评估、监管机制。提出优化配置科技资源的政策措施建议。推动多元化科技投入体系建设。统筹财政科技计划（专项、基金等）实施。拟订科技金融相关政策，开展科技金融促进工作。</w:t>
      </w:r>
    </w:p>
    <w:p>
      <w:pPr>
        <w:keepNext w:val="0"/>
        <w:keepLines w:val="0"/>
        <w:pageBreakBefore w:val="0"/>
        <w:widowControl/>
        <w:kinsoku/>
        <w:wordWrap/>
        <w:overflowPunct/>
        <w:topLinePunct w:val="0"/>
        <w:autoSpaceDE/>
        <w:autoSpaceDN/>
        <w:bidi w:val="0"/>
        <w:adjustRightInd w:val="0"/>
        <w:snapToGrid w:val="0"/>
        <w:spacing w:before="0" w:after="0" w:line="360" w:lineRule="auto"/>
        <w:ind w:firstLine="640" w:firstLineChars="200"/>
        <w:textAlignment w:val="auto"/>
        <w:outlineLvl w:val="9"/>
        <w:rPr>
          <w:rFonts w:hint="eastAsia" w:ascii="仿宋_GB2312" w:eastAsia="仿宋_GB2312"/>
          <w:b w:val="0"/>
          <w:bCs w:val="0"/>
          <w:kern w:val="0"/>
          <w:sz w:val="32"/>
          <w:szCs w:val="32"/>
        </w:rPr>
      </w:pPr>
      <w:r>
        <w:rPr>
          <w:rFonts w:hint="eastAsia" w:ascii="仿宋_GB2312" w:eastAsia="仿宋_GB2312"/>
          <w:b w:val="0"/>
          <w:bCs w:val="0"/>
          <w:kern w:val="0"/>
          <w:sz w:val="32"/>
          <w:szCs w:val="32"/>
        </w:rPr>
        <w:t>8.组织拟订本市高新技术发展及产业化、科技服务业、科技促进城市和农业农村发展的规划、政策及措施。</w:t>
      </w:r>
    </w:p>
    <w:p>
      <w:pPr>
        <w:keepNext w:val="0"/>
        <w:keepLines w:val="0"/>
        <w:pageBreakBefore w:val="0"/>
        <w:widowControl/>
        <w:kinsoku/>
        <w:wordWrap/>
        <w:overflowPunct/>
        <w:topLinePunct w:val="0"/>
        <w:autoSpaceDE/>
        <w:autoSpaceDN/>
        <w:bidi w:val="0"/>
        <w:adjustRightInd w:val="0"/>
        <w:snapToGrid w:val="0"/>
        <w:spacing w:before="0" w:after="0" w:line="360" w:lineRule="auto"/>
        <w:ind w:firstLine="640" w:firstLineChars="200"/>
        <w:textAlignment w:val="auto"/>
        <w:outlineLvl w:val="9"/>
        <w:rPr>
          <w:rFonts w:hint="eastAsia" w:ascii="仿宋_GB2312" w:eastAsia="仿宋_GB2312"/>
          <w:b w:val="0"/>
          <w:bCs w:val="0"/>
          <w:kern w:val="0"/>
          <w:sz w:val="32"/>
          <w:szCs w:val="32"/>
        </w:rPr>
      </w:pPr>
      <w:r>
        <w:rPr>
          <w:rFonts w:hint="eastAsia" w:ascii="仿宋_GB2312" w:eastAsia="仿宋_GB2312"/>
          <w:b w:val="0"/>
          <w:bCs w:val="0"/>
          <w:kern w:val="0"/>
          <w:sz w:val="32"/>
          <w:szCs w:val="32"/>
        </w:rPr>
        <w:t>9.牵头本市技术转移体系建设，拟订科技成果转移转化和促进产学研深度融合的相关政策措施并组织实施。负责应用场景建设相关工作。拟订促进技术市场发展的政策措施并组织实施。促进各类科技中介及协会组织发展。</w:t>
      </w:r>
    </w:p>
    <w:p>
      <w:pPr>
        <w:keepNext w:val="0"/>
        <w:keepLines w:val="0"/>
        <w:pageBreakBefore w:val="0"/>
        <w:widowControl/>
        <w:kinsoku/>
        <w:wordWrap/>
        <w:overflowPunct/>
        <w:topLinePunct w:val="0"/>
        <w:autoSpaceDE/>
        <w:autoSpaceDN/>
        <w:bidi w:val="0"/>
        <w:adjustRightInd w:val="0"/>
        <w:snapToGrid w:val="0"/>
        <w:spacing w:before="0" w:after="0" w:line="360" w:lineRule="auto"/>
        <w:ind w:firstLine="640" w:firstLineChars="200"/>
        <w:textAlignment w:val="auto"/>
        <w:outlineLvl w:val="9"/>
        <w:rPr>
          <w:rFonts w:hint="eastAsia" w:ascii="仿宋_GB2312" w:eastAsia="仿宋_GB2312"/>
          <w:b w:val="0"/>
          <w:bCs w:val="0"/>
          <w:kern w:val="0"/>
          <w:sz w:val="32"/>
          <w:szCs w:val="32"/>
        </w:rPr>
      </w:pPr>
      <w:r>
        <w:rPr>
          <w:rFonts w:hint="eastAsia" w:ascii="仿宋_GB2312" w:eastAsia="仿宋_GB2312"/>
          <w:b w:val="0"/>
          <w:bCs w:val="0"/>
          <w:kern w:val="0"/>
          <w:sz w:val="32"/>
          <w:szCs w:val="32"/>
        </w:rPr>
        <w:t>10.拟订本市科技项目管理的政策措施。负责科学技术奖励组织实施及自然科学基金管理。承担科技信息、科技统计、创新调查和科研成果报告工作。依据市政府授权，履行所监管企业出资人职责，依法对所监管企业国有资产进行监督管理，并加强业务指导。指导科技保密工作。</w:t>
      </w:r>
    </w:p>
    <w:p>
      <w:pPr>
        <w:keepNext w:val="0"/>
        <w:keepLines w:val="0"/>
        <w:pageBreakBefore w:val="0"/>
        <w:widowControl/>
        <w:kinsoku/>
        <w:wordWrap/>
        <w:overflowPunct/>
        <w:topLinePunct w:val="0"/>
        <w:autoSpaceDE/>
        <w:autoSpaceDN/>
        <w:bidi w:val="0"/>
        <w:adjustRightInd w:val="0"/>
        <w:snapToGrid w:val="0"/>
        <w:spacing w:before="0" w:after="0" w:line="360" w:lineRule="auto"/>
        <w:ind w:firstLine="640" w:firstLineChars="200"/>
        <w:textAlignment w:val="auto"/>
        <w:outlineLvl w:val="9"/>
        <w:rPr>
          <w:rFonts w:hint="eastAsia" w:ascii="仿宋_GB2312" w:eastAsia="仿宋_GB2312"/>
          <w:b w:val="0"/>
          <w:bCs w:val="0"/>
          <w:kern w:val="0"/>
          <w:sz w:val="32"/>
          <w:szCs w:val="32"/>
        </w:rPr>
      </w:pPr>
      <w:r>
        <w:rPr>
          <w:rFonts w:hint="eastAsia" w:ascii="仿宋_GB2312" w:eastAsia="仿宋_GB2312"/>
          <w:b w:val="0"/>
          <w:bCs w:val="0"/>
          <w:kern w:val="0"/>
          <w:sz w:val="32"/>
          <w:szCs w:val="32"/>
        </w:rPr>
        <w:t>11.负责本市科技监督评价体系建设和相关科技评估管理，统筹开展全市科研诚信建设工作。开展科技评估评价和监督检查工作。</w:t>
      </w:r>
    </w:p>
    <w:p>
      <w:pPr>
        <w:keepNext w:val="0"/>
        <w:keepLines w:val="0"/>
        <w:pageBreakBefore w:val="0"/>
        <w:widowControl/>
        <w:kinsoku/>
        <w:wordWrap/>
        <w:overflowPunct/>
        <w:topLinePunct w:val="0"/>
        <w:autoSpaceDE/>
        <w:autoSpaceDN/>
        <w:bidi w:val="0"/>
        <w:adjustRightInd w:val="0"/>
        <w:snapToGrid w:val="0"/>
        <w:spacing w:before="0" w:after="0" w:line="360" w:lineRule="auto"/>
        <w:ind w:firstLine="640" w:firstLineChars="200"/>
        <w:textAlignment w:val="auto"/>
        <w:outlineLvl w:val="9"/>
        <w:rPr>
          <w:rFonts w:hint="eastAsia" w:ascii="仿宋_GB2312" w:eastAsia="仿宋_GB2312"/>
          <w:b w:val="0"/>
          <w:bCs w:val="0"/>
          <w:kern w:val="0"/>
          <w:sz w:val="32"/>
          <w:szCs w:val="32"/>
        </w:rPr>
      </w:pPr>
      <w:r>
        <w:rPr>
          <w:rFonts w:hint="eastAsia" w:ascii="仿宋_GB2312" w:eastAsia="仿宋_GB2312"/>
          <w:b w:val="0"/>
          <w:bCs w:val="0"/>
          <w:kern w:val="0"/>
          <w:sz w:val="32"/>
          <w:szCs w:val="32"/>
        </w:rPr>
        <w:t>12.负责本市引进国外智力工作。拟订引进外国专家规划、计划并组织实施。建立外国顶尖科学家及其团队、外国科技人才吸引集聚机制和重点外国专家联系服务机制。拟订出国（境）培训规划、年度计划和政策，并组织实施。</w:t>
      </w:r>
    </w:p>
    <w:p>
      <w:pPr>
        <w:keepNext w:val="0"/>
        <w:keepLines w:val="0"/>
        <w:pageBreakBefore w:val="0"/>
        <w:widowControl/>
        <w:kinsoku/>
        <w:wordWrap/>
        <w:overflowPunct/>
        <w:topLinePunct w:val="0"/>
        <w:autoSpaceDE/>
        <w:autoSpaceDN/>
        <w:bidi w:val="0"/>
        <w:adjustRightInd w:val="0"/>
        <w:snapToGrid w:val="0"/>
        <w:spacing w:before="0" w:after="0" w:line="360" w:lineRule="auto"/>
        <w:ind w:firstLine="640" w:firstLineChars="200"/>
        <w:textAlignment w:val="auto"/>
        <w:outlineLvl w:val="9"/>
        <w:rPr>
          <w:rFonts w:hint="eastAsia" w:ascii="仿宋_GB2312" w:eastAsia="仿宋_GB2312"/>
          <w:b w:val="0"/>
          <w:bCs w:val="0"/>
          <w:kern w:val="0"/>
          <w:sz w:val="32"/>
          <w:szCs w:val="32"/>
        </w:rPr>
      </w:pPr>
      <w:r>
        <w:rPr>
          <w:rFonts w:hint="eastAsia" w:ascii="仿宋_GB2312" w:eastAsia="仿宋_GB2312"/>
          <w:b w:val="0"/>
          <w:bCs w:val="0"/>
          <w:kern w:val="0"/>
          <w:sz w:val="32"/>
          <w:szCs w:val="32"/>
        </w:rPr>
        <w:t>13.拟订本市科技人才队伍建设规划和政策，建立健全科技人才评价和激励机制，组织实施科技人才计划，推动高端科技创新人才队伍建设，统筹推进中关村科技园区人才工作。</w:t>
      </w:r>
    </w:p>
    <w:p>
      <w:pPr>
        <w:keepNext w:val="0"/>
        <w:keepLines w:val="0"/>
        <w:pageBreakBefore w:val="0"/>
        <w:widowControl/>
        <w:kinsoku/>
        <w:wordWrap/>
        <w:overflowPunct/>
        <w:topLinePunct w:val="0"/>
        <w:autoSpaceDE/>
        <w:autoSpaceDN/>
        <w:bidi w:val="0"/>
        <w:adjustRightInd w:val="0"/>
        <w:snapToGrid w:val="0"/>
        <w:spacing w:before="0" w:after="0" w:line="360" w:lineRule="auto"/>
        <w:ind w:firstLine="640" w:firstLineChars="200"/>
        <w:textAlignment w:val="auto"/>
        <w:outlineLvl w:val="9"/>
        <w:rPr>
          <w:rFonts w:hint="eastAsia" w:ascii="仿宋_GB2312" w:eastAsia="仿宋_GB2312"/>
          <w:b w:val="0"/>
          <w:bCs w:val="0"/>
          <w:kern w:val="0"/>
          <w:sz w:val="32"/>
          <w:szCs w:val="32"/>
        </w:rPr>
      </w:pPr>
      <w:r>
        <w:rPr>
          <w:rFonts w:hint="eastAsia" w:ascii="仿宋_GB2312" w:eastAsia="仿宋_GB2312"/>
          <w:b w:val="0"/>
          <w:bCs w:val="0"/>
          <w:kern w:val="0"/>
          <w:sz w:val="32"/>
          <w:szCs w:val="32"/>
        </w:rPr>
        <w:t>14.指导各区科技创新工作，联系市有关部门科技创新工作。统筹推进本市与各省区市的科技领域交流合作、科技协作和支援合作工作。</w:t>
      </w:r>
    </w:p>
    <w:p>
      <w:pPr>
        <w:keepNext w:val="0"/>
        <w:keepLines w:val="0"/>
        <w:pageBreakBefore w:val="0"/>
        <w:widowControl/>
        <w:kinsoku/>
        <w:wordWrap/>
        <w:overflowPunct/>
        <w:topLinePunct w:val="0"/>
        <w:autoSpaceDE/>
        <w:autoSpaceDN/>
        <w:bidi w:val="0"/>
        <w:adjustRightInd w:val="0"/>
        <w:snapToGrid w:val="0"/>
        <w:spacing w:before="0" w:after="0" w:line="360" w:lineRule="auto"/>
        <w:ind w:firstLine="640" w:firstLineChars="200"/>
        <w:textAlignment w:val="auto"/>
        <w:outlineLvl w:val="9"/>
        <w:rPr>
          <w:rFonts w:hint="eastAsia" w:ascii="仿宋_GB2312" w:eastAsia="仿宋_GB2312"/>
          <w:b w:val="0"/>
          <w:bCs w:val="0"/>
          <w:kern w:val="0"/>
          <w:sz w:val="32"/>
          <w:szCs w:val="32"/>
        </w:rPr>
      </w:pPr>
      <w:r>
        <w:rPr>
          <w:rFonts w:hint="eastAsia" w:ascii="仿宋_GB2312" w:eastAsia="仿宋_GB2312"/>
          <w:b w:val="0"/>
          <w:bCs w:val="0"/>
          <w:kern w:val="0"/>
          <w:sz w:val="32"/>
          <w:szCs w:val="32"/>
        </w:rPr>
        <w:t>15.拟订本市科技对外交流与创新能力开放合作的规划、政策和措施。组织开展国际科技合作、中关村科技园区国际交流与合作，推进国际技术转移。牵头组织技术出口和技术引进工作。负责涉港澳台科技合作交流。负责科技外事工作和中关村科技园区外事、宣传、联络等工作。承担中关村论坛筹办相关工作。</w:t>
      </w:r>
    </w:p>
    <w:p>
      <w:pPr>
        <w:keepNext w:val="0"/>
        <w:keepLines w:val="0"/>
        <w:pageBreakBefore w:val="0"/>
        <w:widowControl/>
        <w:kinsoku/>
        <w:wordWrap/>
        <w:overflowPunct/>
        <w:topLinePunct w:val="0"/>
        <w:autoSpaceDE/>
        <w:autoSpaceDN/>
        <w:bidi w:val="0"/>
        <w:adjustRightInd w:val="0"/>
        <w:snapToGrid w:val="0"/>
        <w:spacing w:before="0" w:after="0" w:line="360" w:lineRule="auto"/>
        <w:ind w:firstLine="640" w:firstLineChars="200"/>
        <w:textAlignment w:val="auto"/>
        <w:outlineLvl w:val="9"/>
        <w:rPr>
          <w:rFonts w:hint="eastAsia" w:ascii="仿宋_GB2312" w:eastAsia="仿宋_GB2312"/>
          <w:b w:val="0"/>
          <w:bCs w:val="0"/>
          <w:kern w:val="0"/>
          <w:sz w:val="32"/>
          <w:szCs w:val="32"/>
        </w:rPr>
      </w:pPr>
      <w:r>
        <w:rPr>
          <w:rFonts w:hint="eastAsia" w:ascii="仿宋_GB2312" w:eastAsia="仿宋_GB2312"/>
          <w:b w:val="0"/>
          <w:bCs w:val="0"/>
          <w:kern w:val="0"/>
          <w:sz w:val="32"/>
          <w:szCs w:val="32"/>
        </w:rPr>
        <w:t>16.负责中关村科技园区发展建设工作，承担统筹、规划、组织、协调、服务中关村国家自主创新示范区建设与发展的有关具体工作。组织研究园区发展规划、政策及相关改革方案，并协调落实。</w:t>
      </w:r>
    </w:p>
    <w:p>
      <w:pPr>
        <w:keepNext w:val="0"/>
        <w:keepLines w:val="0"/>
        <w:pageBreakBefore w:val="0"/>
        <w:widowControl/>
        <w:kinsoku/>
        <w:wordWrap/>
        <w:overflowPunct/>
        <w:topLinePunct w:val="0"/>
        <w:autoSpaceDE/>
        <w:autoSpaceDN/>
        <w:bidi w:val="0"/>
        <w:adjustRightInd w:val="0"/>
        <w:snapToGrid w:val="0"/>
        <w:spacing w:before="0" w:after="0" w:line="360" w:lineRule="auto"/>
        <w:ind w:firstLine="640" w:firstLineChars="200"/>
        <w:textAlignment w:val="auto"/>
        <w:outlineLvl w:val="9"/>
        <w:rPr>
          <w:rFonts w:hint="eastAsia" w:ascii="仿宋_GB2312" w:eastAsia="仿宋_GB2312"/>
          <w:b w:val="0"/>
          <w:bCs w:val="0"/>
          <w:kern w:val="0"/>
          <w:sz w:val="32"/>
          <w:szCs w:val="32"/>
        </w:rPr>
      </w:pPr>
      <w:r>
        <w:rPr>
          <w:rFonts w:hint="eastAsia" w:ascii="仿宋_GB2312" w:eastAsia="仿宋_GB2312"/>
          <w:b w:val="0"/>
          <w:bCs w:val="0"/>
          <w:kern w:val="0"/>
          <w:sz w:val="32"/>
          <w:szCs w:val="32"/>
        </w:rPr>
        <w:t>17.组织落实国家和本市促进高新技术产业开发区发展的政策措施，开展中关村科技园区创新创业、高新技术研发及其成果产业化、社会组织发展、知识产权等方面的促进和服务工作，培育战略性新兴产业、未来产业。</w:t>
      </w:r>
    </w:p>
    <w:p>
      <w:pPr>
        <w:keepNext w:val="0"/>
        <w:keepLines w:val="0"/>
        <w:pageBreakBefore w:val="0"/>
        <w:widowControl/>
        <w:kinsoku/>
        <w:wordWrap/>
        <w:overflowPunct/>
        <w:topLinePunct w:val="0"/>
        <w:autoSpaceDE/>
        <w:autoSpaceDN/>
        <w:bidi w:val="0"/>
        <w:adjustRightInd w:val="0"/>
        <w:snapToGrid w:val="0"/>
        <w:spacing w:before="0" w:after="0" w:line="360" w:lineRule="auto"/>
        <w:ind w:firstLine="640" w:firstLineChars="200"/>
        <w:textAlignment w:val="auto"/>
        <w:outlineLvl w:val="9"/>
        <w:rPr>
          <w:rFonts w:hint="eastAsia" w:ascii="仿宋_GB2312" w:eastAsia="仿宋_GB2312"/>
          <w:b w:val="0"/>
          <w:bCs w:val="0"/>
          <w:kern w:val="0"/>
          <w:sz w:val="32"/>
          <w:szCs w:val="32"/>
        </w:rPr>
      </w:pPr>
      <w:r>
        <w:rPr>
          <w:rFonts w:hint="eastAsia" w:ascii="仿宋_GB2312" w:eastAsia="仿宋_GB2312"/>
          <w:b w:val="0"/>
          <w:bCs w:val="0"/>
          <w:kern w:val="0"/>
          <w:sz w:val="32"/>
          <w:szCs w:val="32"/>
        </w:rPr>
        <w:t>18.负责指导中关村科技园区各园工作，参与组织编制中关村科技园区有关空间规划，对各园空间规划、产业布局定位、动态监测、项目准入标准等重要业务实行统一管理，优化空间布局和创新创业载体建设，开展园区发展考核评价工作，促进各园高端化、特色化、差异化发展，服务区域协调发展。</w:t>
      </w:r>
    </w:p>
    <w:p>
      <w:pPr>
        <w:keepNext w:val="0"/>
        <w:keepLines w:val="0"/>
        <w:pageBreakBefore w:val="0"/>
        <w:widowControl/>
        <w:kinsoku/>
        <w:wordWrap/>
        <w:overflowPunct/>
        <w:topLinePunct w:val="0"/>
        <w:autoSpaceDE/>
        <w:autoSpaceDN/>
        <w:bidi w:val="0"/>
        <w:adjustRightInd w:val="0"/>
        <w:snapToGrid w:val="0"/>
        <w:spacing w:before="0" w:after="0" w:line="360" w:lineRule="auto"/>
        <w:ind w:firstLine="640" w:firstLineChars="200"/>
        <w:textAlignment w:val="auto"/>
        <w:outlineLvl w:val="9"/>
        <w:rPr>
          <w:rFonts w:hint="eastAsia" w:ascii="仿宋_GB2312" w:eastAsia="仿宋_GB2312"/>
          <w:b w:val="0"/>
          <w:bCs w:val="0"/>
          <w:kern w:val="0"/>
          <w:sz w:val="32"/>
          <w:szCs w:val="32"/>
        </w:rPr>
      </w:pPr>
      <w:r>
        <w:rPr>
          <w:rFonts w:hint="eastAsia" w:ascii="仿宋_GB2312" w:eastAsia="仿宋_GB2312"/>
          <w:b w:val="0"/>
          <w:bCs w:val="0"/>
          <w:kern w:val="0"/>
          <w:sz w:val="32"/>
          <w:szCs w:val="32"/>
        </w:rPr>
        <w:t>19.完成市委、市政府交办的其他任务。</w:t>
      </w:r>
    </w:p>
    <w:p>
      <w:pPr>
        <w:keepNext w:val="0"/>
        <w:keepLines w:val="0"/>
        <w:pageBreakBefore w:val="0"/>
        <w:widowControl/>
        <w:kinsoku/>
        <w:wordWrap/>
        <w:overflowPunct/>
        <w:topLinePunct w:val="0"/>
        <w:autoSpaceDE/>
        <w:autoSpaceDN/>
        <w:bidi w:val="0"/>
        <w:adjustRightInd w:val="0"/>
        <w:snapToGrid w:val="0"/>
        <w:spacing w:before="0" w:after="0" w:line="360" w:lineRule="auto"/>
        <w:ind w:firstLine="640" w:firstLineChars="200"/>
        <w:textAlignment w:val="auto"/>
        <w:outlineLvl w:val="9"/>
        <w:rPr>
          <w:rFonts w:hint="eastAsia" w:ascii="仿宋_GB2312" w:eastAsia="仿宋_GB2312"/>
          <w:b w:val="0"/>
          <w:bCs w:val="0"/>
          <w:kern w:val="0"/>
          <w:sz w:val="32"/>
          <w:szCs w:val="32"/>
        </w:rPr>
      </w:pPr>
      <w:r>
        <w:rPr>
          <w:rFonts w:hint="eastAsia" w:ascii="仿宋_GB2312" w:eastAsia="仿宋_GB2312"/>
          <w:b w:val="0"/>
          <w:bCs w:val="0"/>
          <w:kern w:val="0"/>
          <w:sz w:val="32"/>
          <w:szCs w:val="32"/>
        </w:rPr>
        <w:t>20.职能转变。</w:t>
      </w:r>
    </w:p>
    <w:p>
      <w:pPr>
        <w:keepNext w:val="0"/>
        <w:keepLines w:val="0"/>
        <w:pageBreakBefore w:val="0"/>
        <w:widowControl/>
        <w:kinsoku/>
        <w:wordWrap/>
        <w:overflowPunct/>
        <w:topLinePunct w:val="0"/>
        <w:autoSpaceDE/>
        <w:autoSpaceDN/>
        <w:bidi w:val="0"/>
        <w:adjustRightInd w:val="0"/>
        <w:snapToGrid w:val="0"/>
        <w:spacing w:before="0" w:after="0" w:line="360" w:lineRule="auto"/>
        <w:ind w:firstLine="640" w:firstLineChars="200"/>
        <w:textAlignment w:val="auto"/>
        <w:outlineLvl w:val="9"/>
        <w:rPr>
          <w:rFonts w:hint="eastAsia" w:ascii="仿宋_GB2312" w:eastAsia="仿宋_GB2312"/>
          <w:b w:val="0"/>
          <w:bCs w:val="0"/>
          <w:kern w:val="0"/>
          <w:sz w:val="32"/>
          <w:szCs w:val="32"/>
        </w:rPr>
      </w:pPr>
      <w:r>
        <w:rPr>
          <w:rFonts w:hint="eastAsia" w:ascii="仿宋_GB2312" w:eastAsia="仿宋_GB2312"/>
          <w:b w:val="0"/>
          <w:bCs w:val="0"/>
          <w:kern w:val="0"/>
          <w:sz w:val="32"/>
          <w:szCs w:val="32"/>
        </w:rPr>
        <w:t>（1）坚持创新驱动发展。贯彻实施科教兴国战略、人才强国战略、创新驱动发展战略，坚持科技自立自强，瞄准世界科技前沿，优化创新资源布局，制定实施战略行动计划，加快建设国际科技创新中心，为科技强国建设提供支撑。</w:t>
      </w:r>
    </w:p>
    <w:p>
      <w:pPr>
        <w:keepNext w:val="0"/>
        <w:keepLines w:val="0"/>
        <w:pageBreakBefore w:val="0"/>
        <w:widowControl/>
        <w:kinsoku/>
        <w:wordWrap/>
        <w:overflowPunct/>
        <w:topLinePunct w:val="0"/>
        <w:autoSpaceDE/>
        <w:autoSpaceDN/>
        <w:bidi w:val="0"/>
        <w:adjustRightInd w:val="0"/>
        <w:snapToGrid w:val="0"/>
        <w:spacing w:before="0" w:after="0" w:line="360" w:lineRule="auto"/>
        <w:ind w:firstLine="640" w:firstLineChars="200"/>
        <w:textAlignment w:val="auto"/>
        <w:outlineLvl w:val="9"/>
        <w:rPr>
          <w:rFonts w:hint="eastAsia" w:ascii="仿宋_GB2312" w:eastAsia="仿宋_GB2312"/>
          <w:b w:val="0"/>
          <w:bCs w:val="0"/>
          <w:kern w:val="0"/>
          <w:sz w:val="32"/>
          <w:szCs w:val="32"/>
        </w:rPr>
      </w:pPr>
      <w:r>
        <w:rPr>
          <w:rFonts w:hint="eastAsia" w:ascii="仿宋_GB2312" w:eastAsia="仿宋_GB2312"/>
          <w:b w:val="0"/>
          <w:bCs w:val="0"/>
          <w:kern w:val="0"/>
          <w:sz w:val="32"/>
          <w:szCs w:val="32"/>
        </w:rPr>
        <w:t>（2）深化科技体制改革。加快科技管理职能转变，加强宏观统筹，减少微观管理。建立公开统一的科技管理平台。优化科技规划体系和运行机制，推动重点领域项目、基地、人才、资金一体化配置。改进科技项目组织管理方式，实行“揭榜挂帅”等制度。完善科技评价机制，优化科技奖励项目。扩大创新主体科研管理自主权。健全以创新能力、质量、实效、贡献为导向的科技人才评价体系。完善科研人员职务发明成果权益分享机制。弘扬科学家精神。实行更加开放的科技人才政策。</w:t>
      </w:r>
    </w:p>
    <w:p>
      <w:pPr>
        <w:keepNext w:val="0"/>
        <w:keepLines w:val="0"/>
        <w:pageBreakBefore w:val="0"/>
        <w:widowControl/>
        <w:kinsoku/>
        <w:wordWrap/>
        <w:overflowPunct/>
        <w:topLinePunct w:val="0"/>
        <w:autoSpaceDE/>
        <w:autoSpaceDN/>
        <w:bidi w:val="0"/>
        <w:adjustRightInd w:val="0"/>
        <w:snapToGrid w:val="0"/>
        <w:spacing w:before="0" w:after="0" w:line="360" w:lineRule="auto"/>
        <w:ind w:firstLine="640" w:firstLineChars="200"/>
        <w:textAlignment w:val="auto"/>
        <w:outlineLvl w:val="9"/>
        <w:rPr>
          <w:rFonts w:hint="eastAsia" w:ascii="仿宋_GB2312" w:eastAsia="仿宋_GB2312"/>
          <w:b w:val="0"/>
          <w:bCs w:val="0"/>
          <w:kern w:val="0"/>
          <w:sz w:val="32"/>
          <w:szCs w:val="32"/>
        </w:rPr>
      </w:pPr>
      <w:r>
        <w:rPr>
          <w:rFonts w:hint="eastAsia" w:ascii="仿宋_GB2312" w:eastAsia="仿宋_GB2312"/>
          <w:b w:val="0"/>
          <w:bCs w:val="0"/>
          <w:kern w:val="0"/>
          <w:sz w:val="32"/>
          <w:szCs w:val="32"/>
        </w:rPr>
        <w:t>（3）加快形成战略科技力量。发挥新型举国体制优势，打好关键核心技术攻坚战，提高创新链整体效能。承接国家重大科技项目建设，参与重大科技基础设施建设和运行。加大对基础研究和原始创新支持力度，优化研发布局。推进科研院所、高校、企业科研力量优化配置和资源共享。</w:t>
      </w:r>
    </w:p>
    <w:p>
      <w:pPr>
        <w:keepNext w:val="0"/>
        <w:keepLines w:val="0"/>
        <w:pageBreakBefore w:val="0"/>
        <w:widowControl/>
        <w:kinsoku/>
        <w:wordWrap/>
        <w:overflowPunct/>
        <w:topLinePunct w:val="0"/>
        <w:autoSpaceDE/>
        <w:autoSpaceDN/>
        <w:bidi w:val="0"/>
        <w:adjustRightInd w:val="0"/>
        <w:snapToGrid w:val="0"/>
        <w:spacing w:before="0" w:after="0" w:line="360" w:lineRule="auto"/>
        <w:ind w:firstLine="640" w:firstLineChars="200"/>
        <w:textAlignment w:val="auto"/>
        <w:outlineLvl w:val="9"/>
        <w:rPr>
          <w:rFonts w:hint="eastAsia" w:ascii="仿宋_GB2312" w:eastAsia="仿宋_GB2312"/>
          <w:b w:val="0"/>
          <w:bCs w:val="0"/>
          <w:kern w:val="0"/>
          <w:sz w:val="32"/>
          <w:szCs w:val="32"/>
        </w:rPr>
      </w:pPr>
      <w:r>
        <w:rPr>
          <w:rFonts w:hint="eastAsia" w:ascii="仿宋_GB2312" w:eastAsia="仿宋_GB2312"/>
          <w:b w:val="0"/>
          <w:bCs w:val="0"/>
          <w:kern w:val="0"/>
          <w:sz w:val="32"/>
          <w:szCs w:val="32"/>
        </w:rPr>
        <w:t>（4）全面促进科技成果转化。加强对创新主体的支持，促进产学研深度融合，加快科技成果转化。提升中关村科技园区自主创新能力建设，推动关键技术的示范应用，支撑高精尖产业高质量发展。</w:t>
      </w:r>
    </w:p>
    <w:p>
      <w:pPr>
        <w:keepNext w:val="0"/>
        <w:keepLines w:val="0"/>
        <w:pageBreakBefore w:val="0"/>
        <w:widowControl/>
        <w:kinsoku/>
        <w:wordWrap/>
        <w:overflowPunct/>
        <w:topLinePunct w:val="0"/>
        <w:autoSpaceDE/>
        <w:autoSpaceDN/>
        <w:bidi w:val="0"/>
        <w:adjustRightInd w:val="0"/>
        <w:snapToGrid w:val="0"/>
        <w:spacing w:before="0" w:after="0" w:line="360" w:lineRule="auto"/>
        <w:ind w:firstLine="640" w:firstLineChars="200"/>
        <w:textAlignment w:val="auto"/>
        <w:outlineLvl w:val="9"/>
        <w:rPr>
          <w:rFonts w:hint="eastAsia" w:ascii="仿宋_GB2312" w:eastAsia="仿宋_GB2312"/>
          <w:b w:val="0"/>
          <w:bCs w:val="0"/>
          <w:kern w:val="0"/>
          <w:sz w:val="32"/>
          <w:szCs w:val="32"/>
        </w:rPr>
      </w:pPr>
      <w:r>
        <w:rPr>
          <w:rFonts w:hint="eastAsia" w:ascii="仿宋_GB2312" w:eastAsia="仿宋_GB2312"/>
          <w:b w:val="0"/>
          <w:bCs w:val="0"/>
          <w:kern w:val="0"/>
          <w:sz w:val="32"/>
          <w:szCs w:val="32"/>
        </w:rPr>
        <w:t>（5）持续优化创新生态。完善科技治理体系，提高创新体系效能，增强创新策源功能。发挥政府制度创新的能动作用和市场配置资源的决定性作用，强化企业创新主体地位，激发创新创造活力。加强科技合作交流和智力引进，加快融入全球科技创新网络，提升科技创新影响力。</w:t>
      </w:r>
    </w:p>
    <w:p>
      <w:pPr>
        <w:keepNext w:val="0"/>
        <w:keepLines w:val="0"/>
        <w:pageBreakBefore w:val="0"/>
        <w:widowControl/>
        <w:kinsoku/>
        <w:wordWrap/>
        <w:overflowPunct/>
        <w:topLinePunct w:val="0"/>
        <w:autoSpaceDE/>
        <w:autoSpaceDN/>
        <w:bidi w:val="0"/>
        <w:adjustRightInd w:val="0"/>
        <w:snapToGrid w:val="0"/>
        <w:spacing w:before="0" w:after="0" w:line="360" w:lineRule="auto"/>
        <w:ind w:firstLine="640" w:firstLineChars="200"/>
        <w:textAlignment w:val="auto"/>
        <w:outlineLvl w:val="9"/>
        <w:rPr>
          <w:rFonts w:hint="eastAsia" w:ascii="仿宋_GB2312" w:eastAsia="仿宋_GB2312"/>
          <w:b w:val="0"/>
          <w:bCs w:val="0"/>
          <w:kern w:val="0"/>
          <w:sz w:val="32"/>
          <w:szCs w:val="32"/>
        </w:rPr>
      </w:pPr>
      <w:r>
        <w:rPr>
          <w:rFonts w:hint="eastAsia" w:ascii="仿宋_GB2312" w:eastAsia="仿宋_GB2312"/>
          <w:b w:val="0"/>
          <w:bCs w:val="0"/>
          <w:kern w:val="0"/>
          <w:sz w:val="32"/>
          <w:szCs w:val="32"/>
        </w:rPr>
        <w:t>21.与市经济和信息化局有关职责分工。市科委、中关村管委会与市经济和信息化局要加强在创新驱动发展方面协同联动，推动产学研深度融合。市科委、中关村管委会负责组织和服务企业技术创新和科研攻关，牵头负责科技成果转化的管理、指导、协调和服务工作，拟订本市科技成果转移转化、促进产学研深度融合的政策措施，并组织实施。市经济和信息化局负责组织推进产业布局调整和产业结构优化升级，协调解决产业运行和发展中有关问题，重点组织产业规划发展、市场要素配置和产品推广应用，支持企业做大做强。</w:t>
      </w:r>
    </w:p>
    <w:p>
      <w:pPr>
        <w:keepNext w:val="0"/>
        <w:keepLines w:val="0"/>
        <w:pageBreakBefore w:val="0"/>
        <w:widowControl/>
        <w:kinsoku/>
        <w:wordWrap/>
        <w:overflowPunct/>
        <w:topLinePunct w:val="0"/>
        <w:autoSpaceDE/>
        <w:autoSpaceDN/>
        <w:bidi w:val="0"/>
        <w:adjustRightInd w:val="0"/>
        <w:snapToGrid w:val="0"/>
        <w:spacing w:before="0" w:after="0" w:line="360" w:lineRule="auto"/>
        <w:ind w:firstLine="640" w:firstLineChars="200"/>
        <w:textAlignment w:val="auto"/>
        <w:outlineLvl w:val="9"/>
        <w:rPr>
          <w:rFonts w:hint="eastAsia" w:ascii="仿宋_GB2312" w:eastAsia="仿宋_GB2312"/>
          <w:b w:val="0"/>
          <w:bCs w:val="0"/>
          <w:kern w:val="0"/>
          <w:sz w:val="32"/>
          <w:szCs w:val="32"/>
        </w:rPr>
      </w:pPr>
      <w:r>
        <w:rPr>
          <w:rFonts w:hint="eastAsia" w:ascii="仿宋_GB2312" w:eastAsia="仿宋_GB2312"/>
          <w:b w:val="0"/>
          <w:bCs w:val="0"/>
          <w:kern w:val="0"/>
          <w:sz w:val="32"/>
          <w:szCs w:val="32"/>
        </w:rPr>
        <w:t>根据中共北京市委办公厅、北京市人民政府办公厅关于印发《北京市科学技术委员会、中关村科技园区管理委员会职能配置、内设机构和人员编制规定》（京办字〔2021〕5号）的通知，北京市科学技术委员会、中关村科技园区管理委员会（简称市科委、中关村管委会）内设处室分别为：办公室、科创中心建设综合协调处、发展规划处、政策法规处（研究室）、资源配置与管理处、科技监督与诚信建设处、重大专项处、科技成果转化处、科研机构管理处、科技金融处、国际合作处（港澳台科技合作办公室）、科技协作与支援合作处、外国专家服务与科技人才处（港澳台专家服务处）、科技统计分析处、信息科技处、新材料与智能制造科技处、医药健康科技处、社会发展科技处、文化科技处（科普处）、科技服务业处、园区发展建设处、创新创业服务处、中关村新技术新产品促进处、宣传处、财务处（资产监管处）、人事处、机关党委（党建工作处）、机关纪委、工会、离退休干部处。另设有市纪委市监委驻市科委、中关村管委会纪检监察组。</w:t>
      </w:r>
    </w:p>
    <w:p>
      <w:pPr>
        <w:keepNext w:val="0"/>
        <w:keepLines w:val="0"/>
        <w:pageBreakBefore w:val="0"/>
        <w:widowControl/>
        <w:kinsoku/>
        <w:wordWrap/>
        <w:overflowPunct/>
        <w:topLinePunct w:val="0"/>
        <w:autoSpaceDE/>
        <w:autoSpaceDN/>
        <w:bidi w:val="0"/>
        <w:adjustRightInd w:val="0"/>
        <w:snapToGrid w:val="0"/>
        <w:spacing w:before="0" w:after="0" w:line="360" w:lineRule="auto"/>
        <w:ind w:firstLine="640" w:firstLineChars="200"/>
        <w:textAlignment w:val="auto"/>
        <w:outlineLvl w:val="9"/>
        <w:rPr>
          <w:rFonts w:hint="eastAsia" w:ascii="仿宋_GB2312" w:eastAsia="仿宋_GB2312"/>
          <w:b w:val="0"/>
          <w:bCs w:val="0"/>
          <w:kern w:val="0"/>
          <w:sz w:val="32"/>
          <w:szCs w:val="32"/>
        </w:rPr>
      </w:pPr>
      <w:r>
        <w:rPr>
          <w:rFonts w:hint="eastAsia" w:ascii="仿宋_GB2312" w:eastAsia="仿宋_GB2312"/>
          <w:b w:val="0"/>
          <w:bCs w:val="0"/>
          <w:kern w:val="0"/>
          <w:sz w:val="32"/>
          <w:szCs w:val="32"/>
        </w:rPr>
        <w:t>纳入市科委、中关村管委会部门决算范围共24个预算单位，分别为：北京市科学技术委员会本级行政，中关村科技园区管理委员会(本级)，北京市科学技术委员会本级事业，北京市自然科学基金委员会办公室，北京市实验动物管理办公室（北京市人类遗传资源管理办公室），北京科技创新研究中心，北京市科学技术奖励工作办公室，北京医药健康科技发展中心，北京国际科技合作中心（北京港澳台科技合作中心），北京软件产品质量检测检验中心，北京新材料和新能源科技发展中心，北京技术市场管理办公室，北京科技创新促进中心，北京科技成果转化服务中心，北京市实验室服务保障中心，北京科技审评中心，北京科技人才发展中心（北京海外学人中心中关村分中心），北京信息科技发展中心，北京市科学技术委员会、中关村科技园区管理委员会综合事务中心，中关村高科技产业促进中心，中关村政府采购促进中心，北京市科技信息中心，北京市可持续发展科技促进中心和中关村人才特区建设促进中心。</w:t>
      </w:r>
    </w:p>
    <w:p>
      <w:pPr>
        <w:pStyle w:val="4"/>
        <w:keepNext w:val="0"/>
        <w:keepLines w:val="0"/>
        <w:pageBreakBefore w:val="0"/>
        <w:widowControl/>
        <w:kinsoku/>
        <w:wordWrap/>
        <w:overflowPunct/>
        <w:topLinePunct w:val="0"/>
        <w:autoSpaceDE/>
        <w:autoSpaceDN/>
        <w:bidi w:val="0"/>
        <w:adjustRightInd w:val="0"/>
        <w:snapToGrid w:val="0"/>
        <w:spacing w:before="0" w:after="0" w:line="360" w:lineRule="auto"/>
        <w:ind w:firstLine="640" w:firstLineChars="200"/>
        <w:textAlignment w:val="auto"/>
        <w:rPr>
          <w:rFonts w:hint="eastAsia" w:ascii="楷体" w:hAnsi="楷体" w:eastAsia="楷体"/>
          <w:b w:val="0"/>
          <w:bCs w:val="0"/>
          <w:sz w:val="32"/>
          <w:szCs w:val="32"/>
          <w:highlight w:val="none"/>
        </w:rPr>
      </w:pPr>
      <w:bookmarkStart w:id="2" w:name="_Toc18934"/>
      <w:r>
        <w:rPr>
          <w:rFonts w:hint="eastAsia" w:ascii="楷体" w:hAnsi="楷体" w:eastAsia="楷体"/>
          <w:b w:val="0"/>
          <w:bCs w:val="0"/>
          <w:sz w:val="32"/>
          <w:szCs w:val="32"/>
          <w:highlight w:val="none"/>
        </w:rPr>
        <w:t>（二）人员构成情况</w:t>
      </w:r>
      <w:bookmarkEnd w:id="2"/>
    </w:p>
    <w:p>
      <w:pPr>
        <w:keepNext w:val="0"/>
        <w:keepLines w:val="0"/>
        <w:pageBreakBefore w:val="0"/>
        <w:widowControl/>
        <w:kinsoku/>
        <w:wordWrap/>
        <w:overflowPunct/>
        <w:topLinePunct w:val="0"/>
        <w:autoSpaceDE/>
        <w:autoSpaceDN/>
        <w:bidi w:val="0"/>
        <w:adjustRightInd w:val="0"/>
        <w:snapToGrid w:val="0"/>
        <w:spacing w:before="0" w:after="0" w:line="360" w:lineRule="auto"/>
        <w:ind w:leftChars="0" w:firstLine="640" w:firstLineChars="200"/>
        <w:textAlignment w:val="auto"/>
        <w:outlineLvl w:val="9"/>
        <w:rPr>
          <w:rFonts w:hint="eastAsia" w:ascii="仿宋_GB2312" w:hAnsi="仿宋" w:eastAsia="仿宋_GB2312" w:cs="Times New Roman"/>
          <w:b w:val="0"/>
          <w:bCs/>
          <w:kern w:val="2"/>
          <w:sz w:val="32"/>
          <w:szCs w:val="32"/>
          <w:highlight w:val="none"/>
          <w:lang w:val="en-US" w:eastAsia="zh-CN" w:bidi="ar-SA"/>
        </w:rPr>
      </w:pPr>
      <w:r>
        <w:rPr>
          <w:rFonts w:hint="eastAsia" w:ascii="仿宋_GB2312" w:hAnsi="仿宋" w:eastAsia="仿宋_GB2312" w:cs="Times New Roman"/>
          <w:b w:val="0"/>
          <w:bCs/>
          <w:kern w:val="2"/>
          <w:sz w:val="32"/>
          <w:szCs w:val="32"/>
          <w:highlight w:val="none"/>
          <w:lang w:val="en-US" w:eastAsia="zh-CN" w:bidi="ar-SA"/>
        </w:rPr>
        <w:t>行政编制209人，实有人数210人（含纪检组13人）；事业编制796人，实有人数680人。</w:t>
      </w:r>
    </w:p>
    <w:p>
      <w:pPr>
        <w:pStyle w:val="4"/>
        <w:keepNext w:val="0"/>
        <w:keepLines w:val="0"/>
        <w:pageBreakBefore w:val="0"/>
        <w:widowControl/>
        <w:kinsoku/>
        <w:wordWrap/>
        <w:overflowPunct/>
        <w:topLinePunct w:val="0"/>
        <w:autoSpaceDE/>
        <w:autoSpaceDN/>
        <w:bidi w:val="0"/>
        <w:adjustRightInd w:val="0"/>
        <w:snapToGrid w:val="0"/>
        <w:spacing w:before="0" w:after="0" w:line="360" w:lineRule="auto"/>
        <w:ind w:leftChars="0" w:firstLine="640" w:firstLineChars="200"/>
        <w:textAlignment w:val="auto"/>
        <w:rPr>
          <w:rFonts w:ascii="楷体" w:hAnsi="楷体" w:eastAsia="楷体"/>
          <w:b w:val="0"/>
          <w:bCs w:val="0"/>
          <w:highlight w:val="none"/>
        </w:rPr>
      </w:pPr>
      <w:bookmarkStart w:id="3" w:name="_Toc462"/>
      <w:r>
        <w:rPr>
          <w:rFonts w:hint="eastAsia" w:ascii="楷体" w:hAnsi="楷体" w:eastAsia="楷体"/>
          <w:b w:val="0"/>
          <w:bCs w:val="0"/>
          <w:highlight w:val="none"/>
        </w:rPr>
        <w:t>（</w:t>
      </w:r>
      <w:r>
        <w:rPr>
          <w:rFonts w:hint="eastAsia" w:ascii="楷体" w:hAnsi="楷体" w:eastAsia="楷体"/>
          <w:b w:val="0"/>
          <w:bCs w:val="0"/>
          <w:highlight w:val="none"/>
          <w:lang w:val="en-US" w:eastAsia="zh-CN"/>
        </w:rPr>
        <w:t>三</w:t>
      </w:r>
      <w:r>
        <w:rPr>
          <w:rFonts w:hint="eastAsia" w:ascii="楷体" w:hAnsi="楷体" w:eastAsia="楷体"/>
          <w:b w:val="0"/>
          <w:bCs w:val="0"/>
          <w:highlight w:val="none"/>
        </w:rPr>
        <w:t>）部门整体绩效目标设立情况</w:t>
      </w:r>
      <w:bookmarkEnd w:id="3"/>
    </w:p>
    <w:p>
      <w:pPr>
        <w:keepNext w:val="0"/>
        <w:keepLines w:val="0"/>
        <w:pageBreakBefore w:val="0"/>
        <w:widowControl w:val="0"/>
        <w:kinsoku/>
        <w:wordWrap/>
        <w:overflowPunct/>
        <w:topLinePunct w:val="0"/>
        <w:autoSpaceDE/>
        <w:autoSpaceDN/>
        <w:bidi w:val="0"/>
        <w:adjustRightInd w:val="0"/>
        <w:snapToGrid w:val="0"/>
        <w:spacing w:line="360" w:lineRule="auto"/>
        <w:ind w:leftChars="0" w:firstLine="640" w:firstLineChars="200"/>
        <w:textAlignment w:val="auto"/>
        <w:rPr>
          <w:rFonts w:hint="eastAsia" w:ascii="仿宋_GB2312" w:hAnsi="仿宋" w:eastAsia="仿宋_GB2312"/>
          <w:bCs/>
          <w:sz w:val="32"/>
          <w:szCs w:val="32"/>
          <w:highlight w:val="none"/>
        </w:rPr>
      </w:pPr>
      <w:r>
        <w:rPr>
          <w:rFonts w:hint="eastAsia" w:ascii="仿宋_GB2312" w:hAnsi="仿宋" w:eastAsia="仿宋_GB2312"/>
          <w:bCs/>
          <w:sz w:val="32"/>
          <w:szCs w:val="32"/>
          <w:highlight w:val="none"/>
        </w:rPr>
        <w:t>市科委、中关村管委会结合部门职责、2022年重点工作任务及财政资金分配使用计划，制定了《中关村科技园区管理委员会2022年部门整体支出绩效目标申报表》，明确了部门总体绩效目标：认真贯彻落实党中央关于科技创新工作的部署，围绕贯彻落实习近平总书记对北京重要讲话精神，特别是9月24日在中关村论坛重要视频致辞中对中关村提出的“加快建设世界领先的科技园区”指示要求，准确把握首都城市战略定位和国内外科技创新的新趋势，结合新一轮中关村国家自主创新示范区先行先试改革和中关村“十四五”规划实施，在做强创新主体、集聚创新要素、优化创新机制上加大先行先试力度，确保新一轮先行先试改革落地见效。加强一区多园优化提升，打造高质量特色园区，编制世界领先的科技园区行动计划；强化企业创新能力建设，构建“领军企业强、独角兽企业多、前沿颠覆企业新、中小企业活”的创新企业矩阵；建立科创企业全生命周期的科技金融服务体系，建设高质量创投集聚区；进一步提升中关村论坛国家级平台的影响力；优化人才服务保障，持续深化中关村人才特区建设；优化创新支撑能力，着力推动科技成果转化，营造一流创新创业生态环境。</w:t>
      </w:r>
    </w:p>
    <w:p>
      <w:pPr>
        <w:pageBreakBefore w:val="0"/>
        <w:widowControl w:val="0"/>
        <w:kinsoku/>
        <w:wordWrap/>
        <w:overflowPunct/>
        <w:topLinePunct w:val="0"/>
        <w:autoSpaceDE/>
        <w:autoSpaceDN/>
        <w:bidi w:val="0"/>
        <w:adjustRightInd w:val="0"/>
        <w:snapToGrid w:val="0"/>
        <w:spacing w:line="360" w:lineRule="auto"/>
        <w:ind w:leftChars="0" w:firstLine="640" w:firstLineChars="200"/>
        <w:textAlignment w:val="auto"/>
        <w:rPr>
          <w:rFonts w:hint="eastAsia" w:ascii="仿宋_GB2312" w:hAnsi="仿宋" w:eastAsia="仿宋_GB2312"/>
          <w:bCs/>
          <w:sz w:val="32"/>
          <w:szCs w:val="32"/>
          <w:highlight w:val="none"/>
        </w:rPr>
      </w:pPr>
      <w:r>
        <w:rPr>
          <w:rFonts w:hint="eastAsia" w:ascii="仿宋_GB2312" w:hAnsi="仿宋" w:eastAsia="仿宋_GB2312"/>
          <w:bCs/>
          <w:sz w:val="32"/>
          <w:szCs w:val="32"/>
          <w:highlight w:val="none"/>
        </w:rPr>
        <w:t>根据总体目标并结合工作重点，我委推进园区特色化高质量创新发展、积极培育创新型企业、促进科技金融深度融合、加快国际开放合作与人才特区建设、持续优化创新创业生态等方面设定了绩效指标，指标设定与全委职能任务匹配，符合相关法律法规的要求及部门整体支出的客观实际，目标依据充分，具有一定的可操作性和可实现性。</w:t>
      </w:r>
    </w:p>
    <w:p>
      <w:pPr>
        <w:pStyle w:val="4"/>
        <w:keepNext w:val="0"/>
        <w:keepLines w:val="0"/>
        <w:pageBreakBefore w:val="0"/>
        <w:widowControl w:val="0"/>
        <w:kinsoku/>
        <w:wordWrap/>
        <w:overflowPunct/>
        <w:topLinePunct w:val="0"/>
        <w:autoSpaceDE/>
        <w:autoSpaceDN/>
        <w:bidi w:val="0"/>
        <w:adjustRightInd w:val="0"/>
        <w:snapToGrid w:val="0"/>
        <w:spacing w:before="0" w:after="0" w:line="360" w:lineRule="auto"/>
        <w:ind w:leftChars="0" w:firstLine="640" w:firstLineChars="200"/>
        <w:textAlignment w:val="auto"/>
        <w:rPr>
          <w:rFonts w:ascii="黑体" w:hAnsi="黑体" w:eastAsia="黑体"/>
          <w:b w:val="0"/>
          <w:bCs w:val="0"/>
          <w:highlight w:val="none"/>
        </w:rPr>
      </w:pPr>
      <w:bookmarkStart w:id="4" w:name="_Toc5505"/>
      <w:r>
        <w:rPr>
          <w:rFonts w:hint="eastAsia" w:ascii="黑体" w:hAnsi="黑体" w:eastAsia="黑体"/>
          <w:b w:val="0"/>
          <w:bCs w:val="0"/>
          <w:highlight w:val="none"/>
        </w:rPr>
        <w:t>二、当年预算执行情况</w:t>
      </w:r>
      <w:bookmarkEnd w:id="4"/>
    </w:p>
    <w:p>
      <w:pPr>
        <w:keepNext w:val="0"/>
        <w:keepLines w:val="0"/>
        <w:pageBreakBefore w:val="0"/>
        <w:widowControl w:val="0"/>
        <w:kinsoku/>
        <w:wordWrap/>
        <w:overflowPunct/>
        <w:topLinePunct w:val="0"/>
        <w:autoSpaceDE/>
        <w:autoSpaceDN/>
        <w:bidi w:val="0"/>
        <w:adjustRightInd w:val="0"/>
        <w:snapToGrid w:val="0"/>
        <w:spacing w:before="0" w:after="0" w:line="360" w:lineRule="auto"/>
        <w:ind w:leftChars="0" w:firstLine="640" w:firstLineChars="200"/>
        <w:textAlignment w:val="auto"/>
        <w:outlineLvl w:val="9"/>
        <w:rPr>
          <w:rFonts w:hint="eastAsia" w:ascii="仿宋_GB2312" w:hAnsi="仿宋" w:eastAsia="仿宋_GB2312" w:cs="Times New Roman"/>
          <w:b w:val="0"/>
          <w:bCs w:val="0"/>
          <w:kern w:val="2"/>
          <w:sz w:val="32"/>
          <w:szCs w:val="32"/>
          <w:highlight w:val="none"/>
          <w:lang w:val="en-US" w:eastAsia="zh-CN" w:bidi="ar-SA"/>
        </w:rPr>
      </w:pPr>
      <w:r>
        <w:rPr>
          <w:rFonts w:hint="eastAsia" w:ascii="仿宋_GB2312" w:hAnsi="仿宋" w:eastAsia="仿宋_GB2312" w:cs="Times New Roman"/>
          <w:b w:val="0"/>
          <w:bCs w:val="0"/>
          <w:kern w:val="2"/>
          <w:sz w:val="32"/>
          <w:szCs w:val="32"/>
          <w:highlight w:val="none"/>
          <w:lang w:val="en-US" w:eastAsia="zh-CN" w:bidi="ar-SA"/>
        </w:rPr>
        <w:t>2022年全年预算268,805.39万元，其中，基本支出预算数7,691.78万元、项目支出预算数261,113.61万元。</w:t>
      </w:r>
      <w:r>
        <w:rPr>
          <w:rFonts w:ascii="仿宋_GB2312" w:hAnsi="宋体" w:eastAsia="仿宋_GB2312" w:cs="宋体"/>
          <w:color w:val="000000"/>
          <w:kern w:val="0"/>
          <w:sz w:val="32"/>
          <w:szCs w:val="32"/>
          <w:highlight w:val="none"/>
        </w:rPr>
        <w:t>资金总体</w:t>
      </w:r>
      <w:r>
        <w:rPr>
          <w:rFonts w:hint="eastAsia" w:ascii="仿宋_GB2312" w:hAnsi="宋体" w:eastAsia="仿宋_GB2312" w:cs="宋体"/>
          <w:color w:val="000000"/>
          <w:kern w:val="0"/>
          <w:sz w:val="32"/>
          <w:szCs w:val="32"/>
          <w:highlight w:val="none"/>
        </w:rPr>
        <w:t>支出</w:t>
      </w:r>
      <w:r>
        <w:rPr>
          <w:rFonts w:hint="eastAsia" w:ascii="仿宋_GB2312" w:hAnsi="仿宋" w:eastAsia="仿宋_GB2312" w:cs="Times New Roman"/>
          <w:b w:val="0"/>
          <w:bCs w:val="0"/>
          <w:kern w:val="2"/>
          <w:sz w:val="32"/>
          <w:szCs w:val="32"/>
          <w:highlight w:val="none"/>
          <w:lang w:val="en-US" w:eastAsia="zh-CN" w:bidi="ar-SA"/>
        </w:rPr>
        <w:t>238,171.91万元，其中，基本支出7,085.23万元、项目支出231,086.68万元，预算执行率为88.60%。</w:t>
      </w:r>
    </w:p>
    <w:p>
      <w:pPr>
        <w:pStyle w:val="4"/>
        <w:keepNext w:val="0"/>
        <w:keepLines w:val="0"/>
        <w:pageBreakBefore w:val="0"/>
        <w:widowControl w:val="0"/>
        <w:kinsoku/>
        <w:wordWrap/>
        <w:overflowPunct/>
        <w:topLinePunct w:val="0"/>
        <w:autoSpaceDE/>
        <w:autoSpaceDN/>
        <w:bidi w:val="0"/>
        <w:adjustRightInd w:val="0"/>
        <w:snapToGrid w:val="0"/>
        <w:spacing w:before="0" w:after="0" w:line="360" w:lineRule="auto"/>
        <w:ind w:leftChars="0" w:firstLine="640" w:firstLineChars="200"/>
        <w:textAlignment w:val="auto"/>
        <w:rPr>
          <w:rFonts w:ascii="黑体" w:hAnsi="黑体" w:eastAsia="黑体"/>
          <w:b w:val="0"/>
          <w:bCs w:val="0"/>
          <w:highlight w:val="none"/>
        </w:rPr>
      </w:pPr>
      <w:bookmarkStart w:id="5" w:name="_Toc26401"/>
      <w:r>
        <w:rPr>
          <w:rFonts w:hint="eastAsia" w:ascii="黑体" w:hAnsi="黑体" w:eastAsia="黑体"/>
          <w:b w:val="0"/>
          <w:bCs w:val="0"/>
          <w:highlight w:val="none"/>
        </w:rPr>
        <w:t>三、整体绩效目标实现情况</w:t>
      </w:r>
      <w:bookmarkEnd w:id="5"/>
      <w:r>
        <w:rPr>
          <w:rFonts w:ascii="黑体" w:hAnsi="黑体" w:eastAsia="黑体"/>
          <w:b w:val="0"/>
          <w:bCs w:val="0"/>
          <w:highlight w:val="none"/>
        </w:rPr>
        <w:tab/>
      </w:r>
    </w:p>
    <w:p>
      <w:pPr>
        <w:keepNext w:val="0"/>
        <w:keepLines w:val="0"/>
        <w:pageBreakBefore w:val="0"/>
        <w:widowControl/>
        <w:shd w:val="clear"/>
        <w:kinsoku/>
        <w:wordWrap/>
        <w:overflowPunct/>
        <w:topLinePunct w:val="0"/>
        <w:autoSpaceDE/>
        <w:autoSpaceDN/>
        <w:bidi w:val="0"/>
        <w:adjustRightInd w:val="0"/>
        <w:snapToGrid w:val="0"/>
        <w:spacing w:before="0" w:after="0" w:line="360" w:lineRule="auto"/>
        <w:ind w:leftChars="0" w:firstLine="640" w:firstLineChars="200"/>
        <w:textAlignment w:val="auto"/>
        <w:outlineLvl w:val="9"/>
        <w:rPr>
          <w:rFonts w:hint="eastAsia" w:ascii="仿宋_GB2312" w:hAnsi="仿宋" w:eastAsia="仿宋_GB2312" w:cs="Times New Roman"/>
          <w:b w:val="0"/>
          <w:bCs w:val="0"/>
          <w:kern w:val="2"/>
          <w:sz w:val="32"/>
          <w:szCs w:val="32"/>
          <w:highlight w:val="none"/>
          <w:lang w:val="en-US" w:eastAsia="zh-CN" w:bidi="ar-SA"/>
        </w:rPr>
      </w:pPr>
      <w:r>
        <w:rPr>
          <w:rFonts w:hint="eastAsia" w:ascii="仿宋_GB2312" w:hAnsi="仿宋" w:eastAsia="仿宋_GB2312" w:cs="Times New Roman"/>
          <w:b w:val="0"/>
          <w:bCs w:val="0"/>
          <w:kern w:val="2"/>
          <w:sz w:val="32"/>
          <w:szCs w:val="32"/>
          <w:highlight w:val="none"/>
          <w:lang w:val="en-US" w:eastAsia="zh-CN" w:bidi="ar-SA"/>
        </w:rPr>
        <w:t>2022年我委按照部门职责，确定了年度重点工作任务，明确了任务目标及牵头处室、</w:t>
      </w:r>
      <w:r>
        <w:rPr>
          <w:rFonts w:hint="eastAsia" w:ascii="仿宋_GB2312" w:hAnsi="仿宋" w:eastAsia="仿宋_GB2312"/>
          <w:sz w:val="32"/>
          <w:szCs w:val="32"/>
          <w:highlight w:val="none"/>
          <w:lang w:val="en-US" w:eastAsia="zh-CN"/>
        </w:rPr>
        <w:t>印发《2023年预算绩效管理工作方案》</w:t>
      </w:r>
      <w:r>
        <w:rPr>
          <w:rFonts w:hint="eastAsia" w:ascii="仿宋_GB2312" w:hAnsi="仿宋" w:eastAsia="仿宋_GB2312" w:cs="Times New Roman"/>
          <w:b w:val="0"/>
          <w:bCs w:val="0"/>
          <w:kern w:val="2"/>
          <w:sz w:val="32"/>
          <w:szCs w:val="32"/>
          <w:highlight w:val="none"/>
          <w:lang w:val="en-US" w:eastAsia="zh-CN" w:bidi="ar-SA"/>
        </w:rPr>
        <w:t>，根据年度重点工作任务安排项目预算，并于2023年4-5月按照《北京市财政局关于2023年推进全面实施预算绩效管理工作的通知》要求对2022年度部门项目支出实施绩效自评，评价项目45个，涉及金额220,448.40万元。开展部门绩效评价项目1个，涉及金额3,000万元，评价得分83.96分。单位自评项目45个，评价得分在90（含）-100分的41个、评价得分在80（含）-90分的3个、评价得分在60（含）-80分的1个。</w:t>
      </w:r>
    </w:p>
    <w:p>
      <w:pPr>
        <w:pStyle w:val="4"/>
        <w:pageBreakBefore w:val="0"/>
        <w:widowControl w:val="0"/>
        <w:shd w:val="clear"/>
        <w:kinsoku/>
        <w:wordWrap/>
        <w:overflowPunct/>
        <w:topLinePunct w:val="0"/>
        <w:autoSpaceDE/>
        <w:autoSpaceDN/>
        <w:bidi w:val="0"/>
        <w:adjustRightInd w:val="0"/>
        <w:snapToGrid w:val="0"/>
        <w:spacing w:before="0" w:after="0" w:line="360" w:lineRule="auto"/>
        <w:ind w:leftChars="0" w:firstLine="640" w:firstLineChars="200"/>
        <w:textAlignment w:val="auto"/>
        <w:rPr>
          <w:rFonts w:ascii="楷体" w:hAnsi="楷体" w:eastAsia="楷体"/>
          <w:b w:val="0"/>
          <w:bCs w:val="0"/>
          <w:highlight w:val="none"/>
        </w:rPr>
      </w:pPr>
      <w:bookmarkStart w:id="6" w:name="_Toc20677"/>
      <w:r>
        <w:rPr>
          <w:rFonts w:hint="eastAsia" w:ascii="楷体" w:hAnsi="楷体" w:eastAsia="楷体"/>
          <w:b w:val="0"/>
          <w:bCs w:val="0"/>
          <w:highlight w:val="none"/>
        </w:rPr>
        <w:t>（一）产出完成情况分析</w:t>
      </w:r>
      <w:bookmarkEnd w:id="6"/>
    </w:p>
    <w:p>
      <w:pPr>
        <w:pageBreakBefore w:val="0"/>
        <w:widowControl w:val="0"/>
        <w:shd w:val="clear"/>
        <w:kinsoku/>
        <w:wordWrap/>
        <w:overflowPunct/>
        <w:topLinePunct w:val="0"/>
        <w:autoSpaceDE/>
        <w:autoSpaceDN/>
        <w:bidi w:val="0"/>
        <w:adjustRightInd w:val="0"/>
        <w:snapToGrid w:val="0"/>
        <w:spacing w:line="360" w:lineRule="auto"/>
        <w:ind w:leftChars="0" w:firstLine="640" w:firstLineChars="200"/>
        <w:textAlignment w:val="auto"/>
      </w:pPr>
      <w:r>
        <w:rPr>
          <w:rFonts w:hint="eastAsia" w:ascii="仿宋_GB2312" w:eastAsia="仿宋_GB2312"/>
          <w:sz w:val="32"/>
          <w:szCs w:val="32"/>
          <w:highlight w:val="none"/>
        </w:rPr>
        <w:t>202</w:t>
      </w:r>
      <w:r>
        <w:rPr>
          <w:rFonts w:hint="eastAsia" w:ascii="仿宋_GB2312" w:eastAsia="仿宋_GB2312"/>
          <w:sz w:val="32"/>
          <w:szCs w:val="32"/>
          <w:highlight w:val="none"/>
          <w:lang w:val="en-US" w:eastAsia="zh-CN"/>
        </w:rPr>
        <w:t>2</w:t>
      </w:r>
      <w:r>
        <w:rPr>
          <w:rFonts w:hint="eastAsia" w:ascii="仿宋_GB2312" w:eastAsia="仿宋_GB2312"/>
          <w:sz w:val="32"/>
          <w:szCs w:val="32"/>
          <w:highlight w:val="none"/>
        </w:rPr>
        <w:t>年全年</w:t>
      </w:r>
      <w:r>
        <w:rPr>
          <w:rFonts w:hint="eastAsia" w:ascii="仿宋_GB2312" w:eastAsia="仿宋_GB2312"/>
          <w:sz w:val="32"/>
          <w:szCs w:val="32"/>
          <w:highlight w:val="none"/>
          <w:lang w:val="en-US" w:eastAsia="zh-CN"/>
        </w:rPr>
        <w:t>我委</w:t>
      </w:r>
      <w:r>
        <w:rPr>
          <w:rFonts w:hint="eastAsia" w:ascii="仿宋_GB2312" w:eastAsia="仿宋_GB2312"/>
          <w:sz w:val="32"/>
          <w:szCs w:val="32"/>
          <w:highlight w:val="none"/>
        </w:rPr>
        <w:t>按照任务目标的数量、质量、进度和成本要求完成了各项工作。具体情况如下：</w:t>
      </w:r>
    </w:p>
    <w:p>
      <w:pPr>
        <w:keepNext w:val="0"/>
        <w:keepLines w:val="0"/>
        <w:pageBreakBefore w:val="0"/>
        <w:widowControl w:val="0"/>
        <w:numPr>
          <w:ilvl w:val="0"/>
          <w:numId w:val="0"/>
        </w:numPr>
        <w:shd w:val="clear"/>
        <w:kinsoku/>
        <w:wordWrap/>
        <w:overflowPunct/>
        <w:topLinePunct w:val="0"/>
        <w:autoSpaceDE/>
        <w:autoSpaceDN/>
        <w:bidi w:val="0"/>
        <w:adjustRightInd w:val="0"/>
        <w:snapToGrid w:val="0"/>
        <w:spacing w:line="360" w:lineRule="auto"/>
        <w:ind w:leftChars="0" w:firstLine="640" w:firstLineChars="200"/>
        <w:textAlignment w:val="auto"/>
        <w:rPr>
          <w:rFonts w:hint="eastAsia" w:ascii="仿宋_GB2312" w:hAnsi="黑体" w:eastAsia="仿宋_GB2312" w:cs="黑体"/>
          <w:sz w:val="32"/>
          <w:szCs w:val="32"/>
          <w:highlight w:val="none"/>
        </w:rPr>
      </w:pPr>
      <w:r>
        <w:rPr>
          <w:rFonts w:hint="eastAsia" w:ascii="仿宋_GB2312" w:hAnsi="黑体" w:eastAsia="仿宋_GB2312" w:cs="黑体"/>
          <w:sz w:val="32"/>
          <w:szCs w:val="32"/>
          <w:highlight w:val="none"/>
          <w:lang w:val="en-US" w:eastAsia="zh-CN"/>
        </w:rPr>
        <w:t>1.</w:t>
      </w:r>
      <w:r>
        <w:rPr>
          <w:rFonts w:hint="eastAsia" w:ascii="仿宋_GB2312" w:hAnsi="黑体" w:eastAsia="仿宋_GB2312" w:cs="黑体"/>
          <w:sz w:val="32"/>
          <w:szCs w:val="32"/>
          <w:highlight w:val="none"/>
        </w:rPr>
        <w:t>推进园区特色化高质量创新发展</w:t>
      </w:r>
    </w:p>
    <w:p>
      <w:pPr>
        <w:pageBreakBefore w:val="0"/>
        <w:kinsoku/>
        <w:wordWrap/>
        <w:overflowPunct/>
        <w:topLinePunct w:val="0"/>
        <w:autoSpaceDE/>
        <w:autoSpaceDN/>
        <w:bidi w:val="0"/>
        <w:adjustRightInd w:val="0"/>
        <w:snapToGrid w:val="0"/>
        <w:spacing w:line="360" w:lineRule="auto"/>
        <w:ind w:firstLine="640" w:firstLineChars="200"/>
        <w:textAlignment w:val="auto"/>
        <w:rPr>
          <w:rFonts w:ascii="仿宋_GB2312" w:eastAsia="仿宋_GB2312"/>
          <w:sz w:val="32"/>
          <w:szCs w:val="32"/>
          <w:highlight w:val="none"/>
        </w:rPr>
      </w:pPr>
      <w:r>
        <w:rPr>
          <w:rFonts w:hint="eastAsia" w:ascii="仿宋_GB2312" w:eastAsia="仿宋_GB2312"/>
          <w:sz w:val="32"/>
          <w:szCs w:val="32"/>
          <w:highlight w:val="none"/>
        </w:rPr>
        <w:t>我</w:t>
      </w:r>
      <w:r>
        <w:rPr>
          <w:rFonts w:hint="eastAsia" w:ascii="仿宋_GB2312" w:eastAsia="仿宋_GB2312"/>
          <w:sz w:val="32"/>
          <w:szCs w:val="32"/>
          <w:highlight w:val="none"/>
          <w:lang w:val="en-US" w:eastAsia="zh-CN"/>
        </w:rPr>
        <w:t>委</w:t>
      </w:r>
      <w:r>
        <w:rPr>
          <w:rFonts w:hint="eastAsia" w:ascii="仿宋_GB2312" w:eastAsia="仿宋_GB2312"/>
          <w:sz w:val="32"/>
          <w:szCs w:val="32"/>
          <w:highlight w:val="none"/>
        </w:rPr>
        <w:t>202</w:t>
      </w:r>
      <w:r>
        <w:rPr>
          <w:rFonts w:hint="eastAsia" w:ascii="仿宋_GB2312" w:eastAsia="仿宋_GB2312"/>
          <w:sz w:val="32"/>
          <w:szCs w:val="32"/>
          <w:highlight w:val="none"/>
          <w:lang w:val="en-US" w:eastAsia="zh-CN"/>
        </w:rPr>
        <w:t>2</w:t>
      </w:r>
      <w:r>
        <w:rPr>
          <w:rFonts w:hint="eastAsia" w:ascii="仿宋_GB2312" w:eastAsia="仿宋_GB2312"/>
          <w:sz w:val="32"/>
          <w:szCs w:val="32"/>
          <w:highlight w:val="none"/>
        </w:rPr>
        <w:t>年</w:t>
      </w:r>
      <w:r>
        <w:rPr>
          <w:rFonts w:hint="eastAsia" w:ascii="仿宋_GB2312" w:hAnsi="黑体" w:eastAsia="仿宋_GB2312" w:cs="黑体"/>
          <w:sz w:val="32"/>
          <w:szCs w:val="32"/>
          <w:highlight w:val="none"/>
        </w:rPr>
        <w:t>推进园区特色化高质量创新发展</w:t>
      </w:r>
      <w:r>
        <w:rPr>
          <w:rFonts w:hint="eastAsia" w:ascii="仿宋_GB2312" w:eastAsia="仿宋_GB2312"/>
          <w:sz w:val="32"/>
          <w:szCs w:val="32"/>
          <w:highlight w:val="none"/>
        </w:rPr>
        <w:t>工作任务主要包括</w:t>
      </w:r>
      <w:r>
        <w:rPr>
          <w:rFonts w:hint="eastAsia" w:ascii="仿宋_GB2312" w:hAnsi="仿宋_GB2312" w:eastAsia="仿宋_GB2312" w:cs="仿宋_GB2312"/>
          <w:bCs/>
          <w:sz w:val="32"/>
          <w:szCs w:val="32"/>
          <w:highlight w:val="none"/>
        </w:rPr>
        <w:t>打造标杆性产业园</w:t>
      </w:r>
      <w:r>
        <w:rPr>
          <w:rFonts w:hint="eastAsia" w:ascii="仿宋_GB2312" w:hAnsi="仿宋_GB2312" w:eastAsia="仿宋_GB2312" w:cs="仿宋_GB2312"/>
          <w:bCs/>
          <w:sz w:val="32"/>
          <w:szCs w:val="32"/>
          <w:highlight w:val="none"/>
          <w:lang w:val="en-US" w:eastAsia="zh-CN"/>
        </w:rPr>
        <w:t>和支持电子城老工业基地入驻企业两</w:t>
      </w:r>
      <w:r>
        <w:rPr>
          <w:rFonts w:hint="eastAsia" w:ascii="仿宋_GB2312" w:eastAsia="仿宋_GB2312"/>
          <w:sz w:val="32"/>
          <w:szCs w:val="32"/>
          <w:highlight w:val="none"/>
        </w:rPr>
        <w:t>方面内容，各项工作完成情况如下：</w:t>
      </w:r>
    </w:p>
    <w:p>
      <w:pPr>
        <w:keepNext w:val="0"/>
        <w:keepLines w:val="0"/>
        <w:pageBreakBefore w:val="0"/>
        <w:widowControl w:val="0"/>
        <w:numPr>
          <w:ilvl w:val="0"/>
          <w:numId w:val="0"/>
        </w:numPr>
        <w:shd w:val="clear"/>
        <w:kinsoku/>
        <w:wordWrap/>
        <w:overflowPunct/>
        <w:topLinePunct w:val="0"/>
        <w:autoSpaceDE/>
        <w:autoSpaceDN/>
        <w:bidi w:val="0"/>
        <w:adjustRightInd w:val="0"/>
        <w:snapToGrid w:val="0"/>
        <w:spacing w:line="360" w:lineRule="auto"/>
        <w:ind w:leftChars="0" w:firstLine="640" w:firstLineChars="200"/>
        <w:textAlignment w:val="auto"/>
        <w:rPr>
          <w:rFonts w:hint="eastAsia" w:ascii="仿宋_GB2312" w:hAnsi="仿宋_GB2312" w:eastAsia="仿宋_GB2312" w:cs="仿宋_GB2312"/>
          <w:bCs/>
          <w:sz w:val="32"/>
          <w:szCs w:val="32"/>
          <w:highlight w:val="none"/>
          <w:lang w:val="en-US" w:eastAsia="zh-CN"/>
        </w:rPr>
      </w:pPr>
      <w:r>
        <w:rPr>
          <w:rFonts w:hint="eastAsia" w:ascii="仿宋_GB2312" w:hAnsi="仿宋_GB2312" w:eastAsia="仿宋_GB2312" w:cs="仿宋_GB2312"/>
          <w:bCs/>
          <w:sz w:val="32"/>
          <w:szCs w:val="32"/>
          <w:highlight w:val="none"/>
          <w:lang w:eastAsia="zh-CN"/>
        </w:rPr>
        <w:t>（</w:t>
      </w:r>
      <w:r>
        <w:rPr>
          <w:rFonts w:hint="eastAsia" w:ascii="仿宋_GB2312" w:hAnsi="仿宋_GB2312" w:eastAsia="仿宋_GB2312" w:cs="仿宋_GB2312"/>
          <w:bCs/>
          <w:sz w:val="32"/>
          <w:szCs w:val="32"/>
          <w:highlight w:val="none"/>
          <w:lang w:val="en-US" w:eastAsia="zh-CN"/>
        </w:rPr>
        <w:t>1）</w:t>
      </w:r>
      <w:r>
        <w:rPr>
          <w:rFonts w:hint="eastAsia" w:ascii="仿宋_GB2312" w:hAnsi="仿宋_GB2312" w:eastAsia="仿宋_GB2312" w:cs="仿宋_GB2312"/>
          <w:bCs/>
          <w:sz w:val="32"/>
          <w:szCs w:val="32"/>
          <w:highlight w:val="none"/>
        </w:rPr>
        <w:t>打造标杆性产业园</w:t>
      </w:r>
    </w:p>
    <w:p>
      <w:pPr>
        <w:keepNext w:val="0"/>
        <w:keepLines w:val="0"/>
        <w:pageBreakBefore w:val="0"/>
        <w:widowControl w:val="0"/>
        <w:kinsoku/>
        <w:wordWrap/>
        <w:overflowPunct/>
        <w:topLinePunct w:val="0"/>
        <w:autoSpaceDE/>
        <w:autoSpaceDN/>
        <w:bidi w:val="0"/>
        <w:adjustRightInd w:val="0"/>
        <w:snapToGrid w:val="0"/>
        <w:spacing w:line="360" w:lineRule="auto"/>
        <w:ind w:leftChars="0" w:firstLine="640" w:firstLineChars="200"/>
        <w:textAlignment w:val="auto"/>
        <w:rPr>
          <w:rFonts w:hint="eastAsia" w:ascii="仿宋_GB2312" w:hAnsi="仿宋_GB2312" w:eastAsia="仿宋_GB2312" w:cs="仿宋_GB2312"/>
          <w:bCs/>
          <w:sz w:val="32"/>
          <w:szCs w:val="32"/>
          <w:highlight w:val="none"/>
        </w:rPr>
      </w:pPr>
      <w:r>
        <w:rPr>
          <w:rFonts w:hint="eastAsia" w:ascii="仿宋_GB2312" w:hAnsi="仿宋_GB2312" w:eastAsia="仿宋_GB2312" w:cs="仿宋_GB2312"/>
          <w:bCs/>
          <w:sz w:val="32"/>
          <w:szCs w:val="32"/>
          <w:highlight w:val="none"/>
        </w:rPr>
        <w:t>按照各分园产业布局，支持10家园区加强软硬件条件建设，提升专业化服务能力，打造基础设施完善、环境清新优美、产业高度集聚、机制高效有力、开放创新活跃的高品质园区</w:t>
      </w:r>
      <w:r>
        <w:rPr>
          <w:rFonts w:hint="eastAsia" w:ascii="仿宋_GB2312" w:hAnsi="仿宋_GB2312" w:eastAsia="仿宋_GB2312" w:cs="仿宋_GB2312"/>
          <w:bCs/>
          <w:sz w:val="32"/>
          <w:szCs w:val="32"/>
          <w:highlight w:val="none"/>
          <w:lang w:eastAsia="zh-CN"/>
        </w:rPr>
        <w:t>；</w:t>
      </w:r>
      <w:r>
        <w:rPr>
          <w:rFonts w:hint="eastAsia" w:ascii="仿宋_GB2312" w:hAnsi="仿宋_GB2312" w:eastAsia="仿宋_GB2312" w:cs="仿宋_GB2312"/>
          <w:bCs/>
          <w:sz w:val="32"/>
          <w:szCs w:val="32"/>
          <w:highlight w:val="none"/>
        </w:rPr>
        <w:t>支持6个改造提升存量空间项目，提升园区产业承载能力，打造集中连片的科技产业园区。</w:t>
      </w:r>
    </w:p>
    <w:p>
      <w:pPr>
        <w:keepNext w:val="0"/>
        <w:keepLines w:val="0"/>
        <w:pageBreakBefore w:val="0"/>
        <w:widowControl w:val="0"/>
        <w:kinsoku/>
        <w:wordWrap/>
        <w:overflowPunct/>
        <w:topLinePunct w:val="0"/>
        <w:autoSpaceDE/>
        <w:autoSpaceDN/>
        <w:bidi w:val="0"/>
        <w:adjustRightInd w:val="0"/>
        <w:snapToGrid w:val="0"/>
        <w:spacing w:line="360" w:lineRule="auto"/>
        <w:ind w:leftChars="0" w:firstLine="640" w:firstLineChars="200"/>
        <w:textAlignment w:val="auto"/>
        <w:rPr>
          <w:rFonts w:hint="eastAsia" w:ascii="仿宋_GB2312" w:hAnsi="仿宋_GB2312" w:eastAsia="仿宋_GB2312" w:cs="仿宋_GB2312"/>
          <w:bCs/>
          <w:sz w:val="32"/>
          <w:szCs w:val="32"/>
          <w:highlight w:val="none"/>
          <w:lang w:val="en-US" w:eastAsia="zh-CN"/>
        </w:rPr>
      </w:pPr>
      <w:r>
        <w:rPr>
          <w:rFonts w:hint="eastAsia" w:ascii="仿宋_GB2312" w:hAnsi="仿宋_GB2312" w:eastAsia="仿宋_GB2312" w:cs="仿宋_GB2312"/>
          <w:bCs/>
          <w:sz w:val="32"/>
          <w:szCs w:val="32"/>
          <w:highlight w:val="none"/>
          <w:lang w:eastAsia="zh-CN"/>
        </w:rPr>
        <w:t>（</w:t>
      </w:r>
      <w:r>
        <w:rPr>
          <w:rFonts w:hint="eastAsia" w:ascii="仿宋_GB2312" w:hAnsi="仿宋_GB2312" w:eastAsia="仿宋_GB2312" w:cs="仿宋_GB2312"/>
          <w:bCs/>
          <w:sz w:val="32"/>
          <w:szCs w:val="32"/>
          <w:highlight w:val="none"/>
          <w:lang w:val="en-US" w:eastAsia="zh-CN"/>
        </w:rPr>
        <w:t>2）</w:t>
      </w:r>
      <w:r>
        <w:rPr>
          <w:rFonts w:hint="eastAsia" w:ascii="仿宋_GB2312" w:hAnsi="仿宋_GB2312" w:eastAsia="仿宋_GB2312" w:cs="仿宋_GB2312"/>
          <w:bCs/>
          <w:sz w:val="32"/>
          <w:szCs w:val="32"/>
          <w:highlight w:val="none"/>
        </w:rPr>
        <w:t>支持电子城老工业基地入驻企业</w:t>
      </w:r>
    </w:p>
    <w:p>
      <w:pPr>
        <w:keepNext w:val="0"/>
        <w:keepLines w:val="0"/>
        <w:pageBreakBefore w:val="0"/>
        <w:widowControl w:val="0"/>
        <w:kinsoku/>
        <w:wordWrap/>
        <w:overflowPunct/>
        <w:topLinePunct w:val="0"/>
        <w:autoSpaceDE/>
        <w:autoSpaceDN/>
        <w:bidi w:val="0"/>
        <w:adjustRightInd w:val="0"/>
        <w:snapToGrid w:val="0"/>
        <w:spacing w:line="360" w:lineRule="auto"/>
        <w:ind w:leftChars="0" w:firstLine="640" w:firstLineChars="200"/>
        <w:textAlignment w:val="auto"/>
        <w:rPr>
          <w:rFonts w:ascii="仿宋_GB2312" w:hAnsi="仿宋_GB2312" w:eastAsia="仿宋_GB2312" w:cs="仿宋_GB2312"/>
          <w:bCs/>
          <w:color w:val="auto"/>
          <w:sz w:val="32"/>
          <w:szCs w:val="32"/>
          <w:highlight w:val="none"/>
        </w:rPr>
      </w:pPr>
      <w:r>
        <w:rPr>
          <w:rFonts w:hint="eastAsia" w:ascii="仿宋_GB2312" w:hAnsi="仿宋_GB2312" w:eastAsia="仿宋_GB2312" w:cs="仿宋_GB2312"/>
          <w:bCs/>
          <w:sz w:val="32"/>
          <w:szCs w:val="32"/>
          <w:highlight w:val="none"/>
        </w:rPr>
        <w:t>面向成果转化产业化、园区低碳节能科技成果转化及产业化、提升园区创新发展环境等方向</w:t>
      </w:r>
      <w:r>
        <w:rPr>
          <w:rFonts w:hint="eastAsia" w:ascii="仿宋_GB2312" w:hAnsi="仿宋_GB2312" w:eastAsia="仿宋_GB2312" w:cs="仿宋_GB2312"/>
          <w:bCs/>
          <w:sz w:val="32"/>
          <w:szCs w:val="32"/>
          <w:highlight w:val="none"/>
          <w:lang w:eastAsia="zh-CN"/>
        </w:rPr>
        <w:t>，</w:t>
      </w:r>
      <w:r>
        <w:rPr>
          <w:rFonts w:hint="eastAsia" w:ascii="仿宋_GB2312" w:hAnsi="仿宋_GB2312" w:eastAsia="仿宋_GB2312" w:cs="仿宋_GB2312"/>
          <w:sz w:val="32"/>
          <w:szCs w:val="32"/>
          <w:highlight w:val="none"/>
        </w:rPr>
        <w:t>对11个分园37个产业园区的86家企业给予支持，产业领域覆盖新一代信息技术、医药</w:t>
      </w:r>
      <w:r>
        <w:rPr>
          <w:rFonts w:hint="eastAsia" w:ascii="仿宋_GB2312" w:hAnsi="仿宋_GB2312" w:eastAsia="仿宋_GB2312" w:cs="仿宋_GB2312"/>
          <w:color w:val="auto"/>
          <w:sz w:val="32"/>
          <w:szCs w:val="32"/>
          <w:highlight w:val="none"/>
        </w:rPr>
        <w:t>健康、先进制造等，对企业开展技术研发、平台搭建、产业化落地等起到了促进作用，使产业园区的产业更加集聚、高端、差异和特色化。</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640" w:firstLineChars="200"/>
        <w:rPr>
          <w:rFonts w:hint="eastAsia" w:ascii="仿宋_GB2312" w:hAnsi="黑体" w:eastAsia="仿宋_GB2312" w:cs="黑体"/>
          <w:color w:val="auto"/>
          <w:sz w:val="32"/>
          <w:szCs w:val="32"/>
          <w:highlight w:val="none"/>
        </w:rPr>
      </w:pPr>
      <w:r>
        <w:rPr>
          <w:rFonts w:hint="eastAsia" w:ascii="仿宋_GB2312" w:hAnsi="黑体" w:eastAsia="仿宋_GB2312" w:cs="黑体"/>
          <w:color w:val="auto"/>
          <w:sz w:val="32"/>
          <w:szCs w:val="32"/>
          <w:highlight w:val="none"/>
          <w:lang w:val="en-US" w:eastAsia="zh-CN"/>
        </w:rPr>
        <w:t>2.</w:t>
      </w:r>
      <w:r>
        <w:rPr>
          <w:rFonts w:hint="eastAsia" w:ascii="仿宋_GB2312" w:hAnsi="黑体" w:eastAsia="仿宋_GB2312" w:cs="黑体"/>
          <w:color w:val="auto"/>
          <w:sz w:val="32"/>
          <w:szCs w:val="32"/>
          <w:highlight w:val="none"/>
        </w:rPr>
        <w:t>积极培育创新型企业</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640" w:firstLineChars="200"/>
        <w:textAlignment w:val="auto"/>
        <w:rPr>
          <w:rFonts w:hint="eastAsia" w:ascii="仿宋_GB2312" w:hAnsi="黑体" w:eastAsia="仿宋_GB2312" w:cs="黑体"/>
          <w:color w:val="auto"/>
          <w:sz w:val="32"/>
          <w:szCs w:val="32"/>
          <w:highlight w:val="none"/>
          <w:lang w:eastAsia="zh-CN"/>
        </w:rPr>
      </w:pPr>
      <w:r>
        <w:rPr>
          <w:rFonts w:hint="eastAsia" w:ascii="仿宋_GB2312" w:hAnsi="黑体" w:eastAsia="仿宋_GB2312" w:cs="黑体"/>
          <w:color w:val="auto"/>
          <w:sz w:val="32"/>
          <w:szCs w:val="32"/>
          <w:highlight w:val="none"/>
          <w:lang w:val="en-US" w:eastAsia="zh-CN"/>
        </w:rPr>
        <w:t>2022年，我委</w:t>
      </w:r>
      <w:r>
        <w:rPr>
          <w:rFonts w:hint="eastAsia" w:ascii="仿宋_GB2312" w:hAnsi="黑体" w:eastAsia="仿宋_GB2312" w:cs="黑体"/>
          <w:color w:val="auto"/>
          <w:sz w:val="32"/>
          <w:szCs w:val="32"/>
          <w:highlight w:val="none"/>
        </w:rPr>
        <w:t>强化企业创新能力建设，积极培育创新型企业</w:t>
      </w:r>
      <w:r>
        <w:rPr>
          <w:rFonts w:hint="eastAsia" w:ascii="仿宋_GB2312" w:eastAsia="仿宋_GB2312"/>
          <w:color w:val="auto"/>
          <w:sz w:val="32"/>
          <w:szCs w:val="32"/>
          <w:highlight w:val="none"/>
        </w:rPr>
        <w:t>工作任务主要包括</w:t>
      </w:r>
      <w:r>
        <w:rPr>
          <w:rFonts w:hint="eastAsia" w:ascii="仿宋_GB2312" w:hAnsi="黑体" w:eastAsia="仿宋_GB2312" w:cs="黑体"/>
          <w:color w:val="auto"/>
          <w:sz w:val="32"/>
          <w:szCs w:val="32"/>
          <w:highlight w:val="none"/>
        </w:rPr>
        <w:t>持续培育中关村前沿技术企业</w:t>
      </w:r>
      <w:r>
        <w:rPr>
          <w:rFonts w:hint="eastAsia" w:ascii="仿宋_GB2312" w:eastAsia="仿宋_GB2312"/>
          <w:color w:val="auto"/>
          <w:sz w:val="32"/>
          <w:szCs w:val="32"/>
          <w:highlight w:val="none"/>
          <w:lang w:eastAsia="zh-CN"/>
        </w:rPr>
        <w:t>、</w:t>
      </w:r>
      <w:r>
        <w:rPr>
          <w:rFonts w:hint="eastAsia" w:ascii="仿宋_GB2312" w:hAnsi="黑体" w:eastAsia="仿宋_GB2312" w:cs="黑体"/>
          <w:color w:val="auto"/>
          <w:sz w:val="32"/>
          <w:szCs w:val="32"/>
          <w:highlight w:val="none"/>
        </w:rPr>
        <w:t>支持颠覆性技术</w:t>
      </w:r>
      <w:r>
        <w:rPr>
          <w:rFonts w:hint="eastAsia" w:ascii="仿宋_GB2312" w:hAnsi="黑体" w:eastAsia="仿宋_GB2312" w:cs="黑体"/>
          <w:color w:val="auto"/>
          <w:sz w:val="32"/>
          <w:szCs w:val="32"/>
          <w:highlight w:val="none"/>
          <w:lang w:val="en-US" w:eastAsia="zh-CN"/>
        </w:rPr>
        <w:t>，</w:t>
      </w:r>
      <w:r>
        <w:rPr>
          <w:rFonts w:hint="eastAsia" w:ascii="仿宋_GB2312" w:eastAsia="仿宋_GB2312"/>
          <w:color w:val="auto"/>
          <w:sz w:val="32"/>
          <w:szCs w:val="32"/>
          <w:highlight w:val="none"/>
        </w:rPr>
        <w:t>工作完成情况如下：</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640" w:firstLineChars="200"/>
        <w:textAlignment w:val="auto"/>
        <w:rPr>
          <w:rFonts w:hint="eastAsia" w:ascii="仿宋_GB2312" w:hAnsi="黑体" w:eastAsia="仿宋_GB2312" w:cs="黑体"/>
          <w:color w:val="auto"/>
          <w:sz w:val="32"/>
          <w:szCs w:val="32"/>
          <w:highlight w:val="none"/>
          <w:lang w:eastAsia="zh-CN"/>
        </w:rPr>
      </w:pPr>
      <w:r>
        <w:rPr>
          <w:rFonts w:hint="eastAsia" w:ascii="仿宋_GB2312" w:hAnsi="黑体" w:eastAsia="仿宋_GB2312" w:cs="黑体"/>
          <w:color w:val="auto"/>
          <w:sz w:val="32"/>
          <w:szCs w:val="32"/>
          <w:highlight w:val="none"/>
        </w:rPr>
        <w:t>围绕底层技术迭代创新，支持培育前沿颠覆性企业</w:t>
      </w:r>
      <w:r>
        <w:rPr>
          <w:rFonts w:hint="eastAsia" w:ascii="仿宋_GB2312" w:hAnsi="黑体" w:eastAsia="仿宋_GB2312" w:cs="黑体"/>
          <w:color w:val="auto"/>
          <w:sz w:val="32"/>
          <w:szCs w:val="32"/>
          <w:highlight w:val="none"/>
          <w:lang w:eastAsia="zh-CN"/>
        </w:rPr>
        <w:t>，</w:t>
      </w:r>
      <w:r>
        <w:rPr>
          <w:rFonts w:hint="eastAsia" w:ascii="仿宋_GB2312" w:hAnsi="黑体" w:eastAsia="仿宋_GB2312" w:cs="黑体"/>
          <w:color w:val="auto"/>
          <w:sz w:val="32"/>
          <w:szCs w:val="32"/>
          <w:highlight w:val="none"/>
        </w:rPr>
        <w:t>挖掘支持颠覆性技术创新项目。持续培育中关村前沿技术企业创新，支持前沿技术企业27</w:t>
      </w:r>
      <w:r>
        <w:rPr>
          <w:rFonts w:hint="eastAsia" w:ascii="仿宋_GB2312" w:hAnsi="黑体" w:eastAsia="仿宋_GB2312" w:cs="黑体"/>
          <w:color w:val="auto"/>
          <w:sz w:val="32"/>
          <w:szCs w:val="32"/>
          <w:highlight w:val="none"/>
          <w:lang w:val="en-US" w:eastAsia="zh-CN"/>
        </w:rPr>
        <w:t>家</w:t>
      </w:r>
      <w:r>
        <w:rPr>
          <w:rFonts w:hint="eastAsia" w:ascii="仿宋_GB2312" w:hAnsi="黑体" w:eastAsia="仿宋_GB2312" w:cs="黑体"/>
          <w:color w:val="auto"/>
          <w:sz w:val="32"/>
          <w:szCs w:val="32"/>
          <w:highlight w:val="none"/>
          <w:lang w:eastAsia="zh-CN"/>
        </w:rPr>
        <w:t>，</w:t>
      </w:r>
      <w:r>
        <w:rPr>
          <w:rFonts w:hint="eastAsia" w:ascii="仿宋_GB2312" w:hAnsi="黑体" w:eastAsia="仿宋_GB2312" w:cs="黑体"/>
          <w:color w:val="auto"/>
          <w:sz w:val="32"/>
          <w:szCs w:val="32"/>
          <w:highlight w:val="none"/>
        </w:rPr>
        <w:t>支持颠覆性技术项目10个</w:t>
      </w:r>
      <w:r>
        <w:rPr>
          <w:rFonts w:hint="eastAsia" w:ascii="仿宋_GB2312" w:hAnsi="黑体" w:eastAsia="仿宋_GB2312" w:cs="黑体"/>
          <w:color w:val="auto"/>
          <w:sz w:val="32"/>
          <w:szCs w:val="32"/>
          <w:highlight w:val="none"/>
          <w:lang w:eastAsia="zh-CN"/>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640" w:firstLineChars="200"/>
        <w:textAlignment w:val="auto"/>
        <w:rPr>
          <w:rFonts w:hint="eastAsia" w:ascii="仿宋_GB2312" w:hAnsi="黑体" w:eastAsia="仿宋_GB2312" w:cs="黑体"/>
          <w:color w:val="auto"/>
          <w:sz w:val="32"/>
          <w:szCs w:val="32"/>
          <w:highlight w:val="none"/>
          <w:lang w:val="en-US" w:eastAsia="zh-CN"/>
        </w:rPr>
      </w:pPr>
      <w:r>
        <w:rPr>
          <w:rFonts w:hint="eastAsia" w:ascii="仿宋_GB2312" w:hAnsi="黑体" w:eastAsia="仿宋_GB2312" w:cs="黑体"/>
          <w:color w:val="auto"/>
          <w:sz w:val="32"/>
          <w:szCs w:val="32"/>
          <w:highlight w:val="none"/>
          <w:lang w:val="en-US" w:eastAsia="zh-CN"/>
        </w:rPr>
        <w:t>3.促进科技金融深度融合</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640" w:firstLineChars="200"/>
        <w:textAlignment w:val="auto"/>
        <w:rPr>
          <w:rFonts w:hint="eastAsia" w:ascii="仿宋_GB2312" w:hAnsi="黑体" w:eastAsia="仿宋_GB2312" w:cs="黑体"/>
          <w:color w:val="auto"/>
          <w:sz w:val="32"/>
          <w:szCs w:val="32"/>
          <w:highlight w:val="none"/>
          <w:lang w:val="en-US" w:eastAsia="zh-CN"/>
        </w:rPr>
      </w:pPr>
      <w:r>
        <w:rPr>
          <w:rFonts w:hint="eastAsia" w:ascii="仿宋_GB2312" w:hAnsi="黑体" w:eastAsia="仿宋_GB2312" w:cs="黑体"/>
          <w:color w:val="auto"/>
          <w:sz w:val="32"/>
          <w:szCs w:val="32"/>
          <w:highlight w:val="none"/>
          <w:lang w:val="en-US" w:eastAsia="zh-CN"/>
        </w:rPr>
        <w:t>2022年我委在促进科技金融深度融合的工作任务主要包括支持金融科技创新发展、支持科创中小微企业融资、支持天使和创业投资机构三方面内容，各项工作完成情况如下：</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640" w:firstLineChars="200"/>
        <w:textAlignment w:val="auto"/>
        <w:rPr>
          <w:rFonts w:hint="eastAsia" w:ascii="仿宋_GB2312" w:hAnsi="黑体" w:eastAsia="仿宋_GB2312" w:cs="黑体"/>
          <w:color w:val="auto"/>
          <w:sz w:val="32"/>
          <w:szCs w:val="32"/>
          <w:highlight w:val="none"/>
          <w:lang w:val="en-US" w:eastAsia="zh-CN"/>
        </w:rPr>
      </w:pPr>
      <w:r>
        <w:rPr>
          <w:rFonts w:hint="eastAsia" w:ascii="仿宋_GB2312" w:hAnsi="黑体" w:eastAsia="仿宋_GB2312" w:cs="黑体"/>
          <w:color w:val="auto"/>
          <w:sz w:val="32"/>
          <w:szCs w:val="32"/>
          <w:highlight w:val="none"/>
          <w:lang w:val="en-US" w:eastAsia="zh-CN"/>
        </w:rPr>
        <w:t>（1）支持金融科技创新发展</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640" w:firstLineChars="200"/>
        <w:textAlignment w:val="auto"/>
        <w:rPr>
          <w:rFonts w:hint="eastAsia" w:ascii="仿宋_GB2312" w:hAnsi="黑体" w:eastAsia="仿宋_GB2312" w:cs="黑体"/>
          <w:color w:val="auto"/>
          <w:sz w:val="32"/>
          <w:szCs w:val="32"/>
          <w:highlight w:val="none"/>
          <w:lang w:val="en-US" w:eastAsia="zh-CN"/>
        </w:rPr>
      </w:pPr>
      <w:r>
        <w:rPr>
          <w:rFonts w:hint="eastAsia" w:ascii="仿宋_GB2312" w:hAnsi="黑体" w:eastAsia="仿宋_GB2312" w:cs="黑体"/>
          <w:color w:val="auto"/>
          <w:sz w:val="32"/>
          <w:szCs w:val="32"/>
          <w:highlight w:val="none"/>
          <w:lang w:val="en-US" w:eastAsia="zh-CN"/>
        </w:rPr>
        <w:t>支持金融科技示范应用，推动优质金融科技企业落户金科示范区等金融科技功能区。支持金融科技企业开展金融科技底层技术创新和示范应用项目6个。支持企业利用资本市场融资发展，2022年支持129家在新三板和北京四板市场挂牌的科创企业，支持北京区域性股权市场开展企业挂牌上市培育和服务。</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640" w:firstLineChars="200"/>
        <w:textAlignment w:val="auto"/>
        <w:rPr>
          <w:rFonts w:hint="eastAsia" w:ascii="仿宋_GB2312" w:hAnsi="黑体" w:eastAsia="仿宋_GB2312" w:cs="黑体"/>
          <w:color w:val="auto"/>
          <w:sz w:val="32"/>
          <w:szCs w:val="32"/>
          <w:highlight w:val="none"/>
          <w:lang w:val="en-US" w:eastAsia="zh-CN"/>
        </w:rPr>
      </w:pPr>
      <w:r>
        <w:rPr>
          <w:rFonts w:hint="eastAsia" w:ascii="仿宋_GB2312" w:hAnsi="黑体" w:eastAsia="仿宋_GB2312" w:cs="黑体"/>
          <w:color w:val="auto"/>
          <w:sz w:val="32"/>
          <w:szCs w:val="32"/>
          <w:highlight w:val="none"/>
          <w:lang w:val="en-US" w:eastAsia="zh-CN"/>
        </w:rPr>
        <w:t>（2）支持科创中小微企业融资</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640" w:firstLineChars="200"/>
        <w:textAlignment w:val="auto"/>
        <w:rPr>
          <w:rFonts w:hint="eastAsia" w:ascii="仿宋_GB2312" w:hAnsi="黑体" w:eastAsia="仿宋_GB2312" w:cs="黑体"/>
          <w:color w:val="auto"/>
          <w:sz w:val="32"/>
          <w:szCs w:val="32"/>
          <w:highlight w:val="none"/>
          <w:lang w:val="en-US" w:eastAsia="zh-CN"/>
        </w:rPr>
      </w:pPr>
      <w:r>
        <w:rPr>
          <w:rFonts w:hint="eastAsia" w:ascii="仿宋_GB2312" w:hAnsi="黑体" w:eastAsia="仿宋_GB2312" w:cs="黑体"/>
          <w:color w:val="auto"/>
          <w:sz w:val="32"/>
          <w:szCs w:val="32"/>
          <w:highlight w:val="none"/>
          <w:lang w:val="en-US" w:eastAsia="zh-CN"/>
        </w:rPr>
        <w:t>支持科创中小微企业通过信用贷款、知识产权质押贷款等开展融资，支持金融机构开展首贷和中长期贷服务，完善知识产权质押融资成本分担和风险补偿机制。支持科创中小微企业、融资租赁支持企业和知识产权质押融资成本分担和风险补偿支持科创企业及相关机构数量68家。</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640" w:firstLineChars="200"/>
        <w:textAlignment w:val="auto"/>
        <w:rPr>
          <w:rFonts w:hint="default" w:ascii="仿宋_GB2312" w:hAnsi="黑体" w:eastAsia="仿宋_GB2312" w:cs="黑体"/>
          <w:color w:val="auto"/>
          <w:sz w:val="32"/>
          <w:szCs w:val="32"/>
          <w:highlight w:val="none"/>
          <w:lang w:val="en-US" w:eastAsia="zh-CN"/>
        </w:rPr>
      </w:pPr>
      <w:r>
        <w:rPr>
          <w:rFonts w:hint="eastAsia" w:ascii="仿宋_GB2312" w:hAnsi="黑体" w:eastAsia="仿宋_GB2312" w:cs="黑体"/>
          <w:color w:val="auto"/>
          <w:sz w:val="32"/>
          <w:szCs w:val="32"/>
          <w:highlight w:val="none"/>
          <w:lang w:val="en-US" w:eastAsia="zh-CN"/>
        </w:rPr>
        <w:t>（3）支持天使和创业投资机构</w:t>
      </w:r>
    </w:p>
    <w:p>
      <w:pPr>
        <w:keepNext w:val="0"/>
        <w:keepLines w:val="0"/>
        <w:pageBreakBefore w:val="0"/>
        <w:widowControl w:val="0"/>
        <w:numPr>
          <w:ilvl w:val="0"/>
          <w:numId w:val="0"/>
        </w:numPr>
        <w:kinsoku/>
        <w:wordWrap/>
        <w:overflowPunct/>
        <w:topLinePunct w:val="0"/>
        <w:autoSpaceDE/>
        <w:autoSpaceDN/>
        <w:bidi w:val="0"/>
        <w:adjustRightInd w:val="0"/>
        <w:snapToGrid w:val="0"/>
        <w:spacing w:line="360" w:lineRule="auto"/>
        <w:ind w:leftChars="0" w:firstLine="640" w:firstLineChars="200"/>
        <w:textAlignment w:val="auto"/>
        <w:rPr>
          <w:rFonts w:hint="eastAsia" w:ascii="仿宋_GB2312" w:hAnsi="黑体" w:eastAsia="仿宋_GB2312" w:cs="黑体"/>
          <w:color w:val="auto"/>
          <w:sz w:val="32"/>
          <w:szCs w:val="32"/>
          <w:highlight w:val="none"/>
          <w:lang w:val="en-US" w:eastAsia="zh-CN"/>
        </w:rPr>
      </w:pPr>
      <w:r>
        <w:rPr>
          <w:rFonts w:hint="eastAsia" w:ascii="仿宋_GB2312" w:hAnsi="黑体" w:eastAsia="仿宋_GB2312" w:cs="黑体"/>
          <w:color w:val="auto"/>
          <w:sz w:val="32"/>
          <w:szCs w:val="32"/>
          <w:highlight w:val="none"/>
          <w:lang w:val="en-US" w:eastAsia="zh-CN"/>
        </w:rPr>
        <w:t>支持投资机构聚焦新一代信息技术、医药健康、智能制造、新材料、新能源等高精尖产业领域开展早期投资，2022年度共支持投资机构35家。</w:t>
      </w:r>
    </w:p>
    <w:p>
      <w:pPr>
        <w:keepNext w:val="0"/>
        <w:keepLines w:val="0"/>
        <w:pageBreakBefore w:val="0"/>
        <w:widowControl w:val="0"/>
        <w:numPr>
          <w:ilvl w:val="0"/>
          <w:numId w:val="0"/>
        </w:numPr>
        <w:suppressAutoHyphens/>
        <w:kinsoku/>
        <w:wordWrap/>
        <w:overflowPunct/>
        <w:topLinePunct w:val="0"/>
        <w:autoSpaceDE/>
        <w:autoSpaceDN/>
        <w:bidi w:val="0"/>
        <w:adjustRightInd w:val="0"/>
        <w:snapToGrid w:val="0"/>
        <w:spacing w:line="360" w:lineRule="auto"/>
        <w:ind w:leftChars="0" w:firstLine="640" w:firstLineChars="200"/>
        <w:textAlignment w:val="baseline"/>
        <w:rPr>
          <w:rFonts w:hint="default" w:ascii="仿宋_GB2312" w:hAnsi="黑体" w:eastAsia="仿宋_GB2312" w:cs="黑体"/>
          <w:color w:val="auto"/>
          <w:sz w:val="32"/>
          <w:szCs w:val="32"/>
          <w:highlight w:val="none"/>
          <w:lang w:val="en-US" w:eastAsia="zh-CN"/>
        </w:rPr>
      </w:pPr>
      <w:r>
        <w:rPr>
          <w:rFonts w:hint="eastAsia" w:ascii="仿宋_GB2312" w:hAnsi="黑体" w:eastAsia="仿宋_GB2312" w:cs="黑体"/>
          <w:color w:val="auto"/>
          <w:sz w:val="32"/>
          <w:szCs w:val="32"/>
          <w:highlight w:val="none"/>
          <w:lang w:val="en-US" w:eastAsia="zh-CN"/>
        </w:rPr>
        <w:t>4.加快国际开放合作与人才特区建设</w:t>
      </w:r>
    </w:p>
    <w:p>
      <w:pPr>
        <w:pageBreakBefore w:val="0"/>
        <w:widowControl w:val="0"/>
        <w:kinsoku/>
        <w:wordWrap/>
        <w:overflowPunct/>
        <w:topLinePunct w:val="0"/>
        <w:autoSpaceDE/>
        <w:autoSpaceDN/>
        <w:bidi w:val="0"/>
        <w:adjustRightInd w:val="0"/>
        <w:snapToGrid w:val="0"/>
        <w:spacing w:line="360" w:lineRule="auto"/>
        <w:ind w:firstLine="640" w:firstLineChars="200"/>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2022年我委在加快国际开放合作与人才特区建设工作任务主要包括促进国际交流合作、加大人才引进、扩大中关村在国际国内的影响力三方面内容，各项工作完成情况如下：</w:t>
      </w:r>
    </w:p>
    <w:p>
      <w:pPr>
        <w:keepNext w:val="0"/>
        <w:keepLines w:val="0"/>
        <w:pageBreakBefore w:val="0"/>
        <w:widowControl w:val="0"/>
        <w:numPr>
          <w:ilvl w:val="0"/>
          <w:numId w:val="0"/>
        </w:numPr>
        <w:suppressAutoHyphens/>
        <w:kinsoku/>
        <w:wordWrap/>
        <w:overflowPunct/>
        <w:topLinePunct w:val="0"/>
        <w:autoSpaceDE/>
        <w:autoSpaceDN/>
        <w:bidi w:val="0"/>
        <w:adjustRightInd w:val="0"/>
        <w:snapToGrid w:val="0"/>
        <w:spacing w:line="360" w:lineRule="auto"/>
        <w:ind w:leftChars="0" w:firstLine="640" w:firstLineChars="200"/>
        <w:textAlignment w:val="baseline"/>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1）促进</w:t>
      </w:r>
      <w:r>
        <w:rPr>
          <w:rFonts w:hint="eastAsia" w:ascii="仿宋_GB2312" w:hAnsi="仿宋_GB2312" w:eastAsia="仿宋_GB2312" w:cs="仿宋_GB2312"/>
          <w:color w:val="auto"/>
          <w:kern w:val="0"/>
          <w:sz w:val="32"/>
          <w:szCs w:val="32"/>
          <w:highlight w:val="none"/>
        </w:rPr>
        <w:t>国际交流合作</w:t>
      </w:r>
    </w:p>
    <w:p>
      <w:pPr>
        <w:pStyle w:val="6"/>
        <w:pageBreakBefore w:val="0"/>
        <w:widowControl w:val="0"/>
        <w:kinsoku/>
        <w:wordWrap/>
        <w:overflowPunct/>
        <w:topLinePunct w:val="0"/>
        <w:autoSpaceDE/>
        <w:autoSpaceDN/>
        <w:bidi w:val="0"/>
        <w:adjustRightInd w:val="0"/>
        <w:snapToGrid w:val="0"/>
        <w:spacing w:line="360" w:lineRule="auto"/>
        <w:rPr>
          <w:rFonts w:hint="eastAsia" w:ascii="仿宋_GB2312" w:hAnsi="黑体" w:eastAsia="仿宋_GB2312" w:cs="黑体"/>
          <w:color w:val="auto"/>
          <w:kern w:val="2"/>
          <w:sz w:val="32"/>
          <w:szCs w:val="32"/>
          <w:highlight w:val="none"/>
          <w:lang w:val="en-US" w:eastAsia="zh-CN" w:bidi="ar-SA"/>
        </w:rPr>
      </w:pPr>
      <w:r>
        <w:rPr>
          <w:rFonts w:hint="eastAsia" w:ascii="仿宋_GB2312" w:hAnsi="黑体" w:eastAsia="仿宋_GB2312" w:cs="黑体"/>
          <w:color w:val="auto"/>
          <w:kern w:val="2"/>
          <w:sz w:val="32"/>
          <w:szCs w:val="32"/>
          <w:highlight w:val="none"/>
          <w:lang w:val="en-US" w:eastAsia="zh-CN" w:bidi="ar-SA"/>
        </w:rPr>
        <w:t>一是对接国际科技前沿，融入</w:t>
      </w:r>
      <w:r>
        <w:rPr>
          <w:rFonts w:hint="eastAsia" w:ascii="仿宋_GB2312" w:hAnsi="黑体" w:eastAsia="仿宋_GB2312" w:cs="黑体"/>
          <w:kern w:val="2"/>
          <w:sz w:val="32"/>
          <w:szCs w:val="32"/>
          <w:highlight w:val="none"/>
          <w:lang w:val="en-US" w:eastAsia="zh-CN" w:bidi="ar-SA"/>
        </w:rPr>
        <w:t>全球创新网络。研究形成《开放科学北京行动计划》，服务中关村国家实验室、中科院国家</w:t>
      </w:r>
      <w:r>
        <w:rPr>
          <w:rFonts w:hint="eastAsia" w:ascii="仿宋_GB2312" w:hAnsi="黑体" w:eastAsia="仿宋_GB2312" w:cs="黑体"/>
          <w:color w:val="auto"/>
          <w:kern w:val="2"/>
          <w:sz w:val="32"/>
          <w:szCs w:val="32"/>
          <w:highlight w:val="none"/>
          <w:lang w:val="en-US" w:eastAsia="zh-CN" w:bidi="ar-SA"/>
        </w:rPr>
        <w:t>空间科学中心做好申报国际大科学计划前期筹备及预研工作。二是促进技术成果双向落地。印发实施《北京市关于支持外资研发中心设立和发展的规定》，对诺和诺德、日立等6家外资研发中心实施研发激励计划。三是打造品牌科技交流活动。举办“净零未来：脱碳之路”“医学的未来—AI赋能医疗健康”和“大脑功能和病理的神经通路”等活动。</w:t>
      </w:r>
    </w:p>
    <w:p>
      <w:pPr>
        <w:keepNext w:val="0"/>
        <w:keepLines w:val="0"/>
        <w:pageBreakBefore w:val="0"/>
        <w:widowControl w:val="0"/>
        <w:numPr>
          <w:ilvl w:val="0"/>
          <w:numId w:val="0"/>
        </w:numPr>
        <w:suppressAutoHyphens/>
        <w:kinsoku/>
        <w:wordWrap/>
        <w:overflowPunct/>
        <w:topLinePunct w:val="0"/>
        <w:autoSpaceDE/>
        <w:autoSpaceDN/>
        <w:bidi w:val="0"/>
        <w:adjustRightInd w:val="0"/>
        <w:snapToGrid w:val="0"/>
        <w:spacing w:line="360" w:lineRule="auto"/>
        <w:ind w:leftChars="0" w:firstLine="640" w:firstLineChars="200"/>
        <w:textAlignment w:val="baseline"/>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2）中关村雏鹰人才支持</w:t>
      </w:r>
    </w:p>
    <w:p>
      <w:pPr>
        <w:keepNext w:val="0"/>
        <w:keepLines w:val="0"/>
        <w:pageBreakBefore w:val="0"/>
        <w:widowControl w:val="0"/>
        <w:numPr>
          <w:ilvl w:val="0"/>
          <w:numId w:val="0"/>
        </w:numPr>
        <w:suppressAutoHyphens/>
        <w:kinsoku/>
        <w:wordWrap/>
        <w:overflowPunct/>
        <w:topLinePunct w:val="0"/>
        <w:autoSpaceDE/>
        <w:autoSpaceDN/>
        <w:bidi w:val="0"/>
        <w:adjustRightInd w:val="0"/>
        <w:snapToGrid w:val="0"/>
        <w:spacing w:line="360" w:lineRule="auto"/>
        <w:ind w:leftChars="0" w:firstLine="640" w:firstLineChars="200"/>
        <w:textAlignment w:val="baseline"/>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sz w:val="32"/>
          <w:szCs w:val="32"/>
          <w:highlight w:val="none"/>
        </w:rPr>
        <w:t>创新体制机制</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kern w:val="0"/>
          <w:sz w:val="32"/>
          <w:szCs w:val="32"/>
          <w:highlight w:val="none"/>
        </w:rPr>
        <w:t>加快培育青年创新创业人才，实施好雏鹰计划</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rPr>
        <w:t>重点支持一批30岁以下人才</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rPr>
        <w:t>支持14家优秀青年人才创办的硬科技企业，所属领域分别为新一代信息技术</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rPr>
        <w:t>集成电路</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rPr>
        <w:t>智能装备</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rPr>
        <w:t>人工智能</w:t>
      </w:r>
      <w:r>
        <w:rPr>
          <w:rFonts w:hint="eastAsia" w:ascii="仿宋_GB2312" w:hAnsi="仿宋_GB2312" w:eastAsia="仿宋_GB2312" w:cs="仿宋_GB2312"/>
          <w:color w:val="auto"/>
          <w:kern w:val="0"/>
          <w:sz w:val="32"/>
          <w:szCs w:val="32"/>
          <w:highlight w:val="none"/>
          <w:lang w:val="en-US" w:eastAsia="zh-CN"/>
        </w:rPr>
        <w:t>和</w:t>
      </w:r>
      <w:r>
        <w:rPr>
          <w:rFonts w:hint="eastAsia" w:ascii="仿宋_GB2312" w:hAnsi="仿宋_GB2312" w:eastAsia="仿宋_GB2312" w:cs="仿宋_GB2312"/>
          <w:color w:val="auto"/>
          <w:kern w:val="0"/>
          <w:sz w:val="32"/>
          <w:szCs w:val="32"/>
          <w:highlight w:val="none"/>
        </w:rPr>
        <w:t>医药健康。</w:t>
      </w:r>
    </w:p>
    <w:p>
      <w:pPr>
        <w:keepNext w:val="0"/>
        <w:keepLines w:val="0"/>
        <w:pageBreakBefore w:val="0"/>
        <w:widowControl w:val="0"/>
        <w:numPr>
          <w:ilvl w:val="0"/>
          <w:numId w:val="0"/>
        </w:numPr>
        <w:suppressAutoHyphens/>
        <w:kinsoku/>
        <w:wordWrap/>
        <w:overflowPunct/>
        <w:topLinePunct w:val="0"/>
        <w:autoSpaceDE/>
        <w:autoSpaceDN/>
        <w:bidi w:val="0"/>
        <w:adjustRightInd w:val="0"/>
        <w:snapToGrid w:val="0"/>
        <w:spacing w:line="360" w:lineRule="auto"/>
        <w:ind w:leftChars="0" w:firstLine="640" w:firstLineChars="200"/>
        <w:textAlignment w:val="baseline"/>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3）</w:t>
      </w:r>
      <w:r>
        <w:rPr>
          <w:rFonts w:hint="eastAsia" w:ascii="仿宋_GB2312" w:hAnsi="仿宋_GB2312" w:eastAsia="仿宋_GB2312" w:cs="仿宋_GB2312"/>
          <w:color w:val="auto"/>
          <w:kern w:val="0"/>
          <w:sz w:val="32"/>
          <w:szCs w:val="32"/>
          <w:highlight w:val="none"/>
          <w:lang w:eastAsia="zh-CN"/>
        </w:rPr>
        <w:t>扩大中关村在国际国内的影响力</w:t>
      </w:r>
    </w:p>
    <w:p>
      <w:pPr>
        <w:pageBreakBefore w:val="0"/>
        <w:widowControl w:val="0"/>
        <w:kinsoku/>
        <w:wordWrap/>
        <w:overflowPunct/>
        <w:topLinePunct w:val="0"/>
        <w:autoSpaceDE/>
        <w:autoSpaceDN/>
        <w:bidi w:val="0"/>
        <w:adjustRightInd w:val="0"/>
        <w:snapToGrid w:val="0"/>
        <w:spacing w:line="360" w:lineRule="auto"/>
        <w:ind w:leftChars="0" w:firstLine="640" w:firstLineChars="20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举办中关村国际前沿科技创新大赛</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rPr>
        <w:t>中关村5G创新应用大赛</w:t>
      </w:r>
      <w:r>
        <w:rPr>
          <w:rFonts w:hint="eastAsia" w:ascii="仿宋_GB2312" w:hAnsi="仿宋_GB2312" w:eastAsia="仿宋_GB2312" w:cs="仿宋_GB2312"/>
          <w:color w:val="auto"/>
          <w:sz w:val="32"/>
          <w:szCs w:val="32"/>
          <w:highlight w:val="none"/>
        </w:rPr>
        <w:t>等一系列活动，开展中关村先行先试改革政策宣贯，扩大中关村在国际国内的影响力。</w:t>
      </w:r>
      <w:r>
        <w:rPr>
          <w:rFonts w:hint="eastAsia" w:ascii="仿宋_GB2312" w:hAnsi="仿宋_GB2312" w:eastAsia="仿宋_GB2312" w:cs="仿宋_GB2312"/>
          <w:color w:val="auto"/>
          <w:sz w:val="32"/>
          <w:szCs w:val="32"/>
          <w:highlight w:val="none"/>
          <w:lang w:val="en-US" w:eastAsia="zh-CN"/>
        </w:rPr>
        <w:t>举办各类活动场次40场，中关村国际前沿科技创新大赛举办了14个领域的初赛、决赛共28场活动；中关村5G创新应用大赛已组织各赛道初赛及决赛、中小企业对接朝阳园等9场活动；北京发明创新大赛完成参赛项目初评、复评和终评等活动。</w:t>
      </w:r>
    </w:p>
    <w:p>
      <w:pPr>
        <w:pageBreakBefore w:val="0"/>
        <w:widowControl w:val="0"/>
        <w:kinsoku/>
        <w:wordWrap/>
        <w:overflowPunct/>
        <w:topLinePunct w:val="0"/>
        <w:autoSpaceDE/>
        <w:autoSpaceDN/>
        <w:bidi w:val="0"/>
        <w:adjustRightInd w:val="0"/>
        <w:snapToGrid w:val="0"/>
        <w:spacing w:line="360" w:lineRule="auto"/>
        <w:ind w:leftChars="0"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持续优化创新创业生态</w:t>
      </w:r>
    </w:p>
    <w:p>
      <w:pPr>
        <w:pageBreakBefore w:val="0"/>
        <w:widowControl w:val="0"/>
        <w:kinsoku/>
        <w:wordWrap/>
        <w:overflowPunct/>
        <w:topLinePunct w:val="0"/>
        <w:autoSpaceDE/>
        <w:autoSpaceDN/>
        <w:bidi w:val="0"/>
        <w:adjustRightInd w:val="0"/>
        <w:snapToGrid w:val="0"/>
        <w:spacing w:line="360" w:lineRule="auto"/>
        <w:ind w:firstLine="640" w:firstLineChars="200"/>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eastAsia="仿宋_GB2312"/>
          <w:color w:val="auto"/>
          <w:sz w:val="32"/>
          <w:szCs w:val="32"/>
          <w:highlight w:val="none"/>
          <w:lang w:val="en-US" w:eastAsia="zh-CN"/>
        </w:rPr>
        <w:t>2022年我委在</w:t>
      </w:r>
      <w:r>
        <w:rPr>
          <w:rFonts w:hint="eastAsia" w:ascii="仿宋_GB2312" w:hAnsi="仿宋_GB2312" w:eastAsia="仿宋_GB2312" w:cs="仿宋_GB2312"/>
          <w:color w:val="auto"/>
          <w:sz w:val="32"/>
          <w:szCs w:val="32"/>
          <w:highlight w:val="none"/>
        </w:rPr>
        <w:t>持续优化创新创业生态</w:t>
      </w:r>
      <w:r>
        <w:rPr>
          <w:rFonts w:hint="eastAsia" w:ascii="仿宋_GB2312" w:hAnsi="仿宋_GB2312" w:eastAsia="仿宋_GB2312" w:cs="仿宋_GB2312"/>
          <w:color w:val="auto"/>
          <w:sz w:val="32"/>
          <w:szCs w:val="32"/>
          <w:highlight w:val="none"/>
          <w:lang w:val="en-US" w:eastAsia="zh-CN"/>
        </w:rPr>
        <w:t>工作任务</w:t>
      </w:r>
      <w:r>
        <w:rPr>
          <w:rFonts w:hint="eastAsia" w:ascii="仿宋_GB2312" w:eastAsia="仿宋_GB2312"/>
          <w:color w:val="auto"/>
          <w:sz w:val="32"/>
          <w:szCs w:val="32"/>
          <w:highlight w:val="none"/>
          <w:lang w:val="en-US" w:eastAsia="zh-CN"/>
        </w:rPr>
        <w:t>的</w:t>
      </w:r>
      <w:r>
        <w:rPr>
          <w:rFonts w:hint="eastAsia" w:ascii="仿宋_GB2312" w:eastAsia="仿宋_GB2312"/>
          <w:color w:val="auto"/>
          <w:sz w:val="32"/>
          <w:szCs w:val="32"/>
          <w:highlight w:val="none"/>
        </w:rPr>
        <w:t>完成情况如下：</w:t>
      </w:r>
    </w:p>
    <w:p>
      <w:pPr>
        <w:pageBreakBefore w:val="0"/>
        <w:widowControl w:val="0"/>
        <w:kinsoku/>
        <w:wordWrap/>
        <w:overflowPunct/>
        <w:topLinePunct w:val="0"/>
        <w:autoSpaceDE/>
        <w:autoSpaceDN/>
        <w:bidi w:val="0"/>
        <w:adjustRightInd w:val="0"/>
        <w:snapToGrid w:val="0"/>
        <w:spacing w:line="360" w:lineRule="auto"/>
        <w:ind w:leftChars="0" w:firstLine="640" w:firstLineChars="200"/>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支持围绕高精尖产业领域建设12家概念验证平台，为高等学校、科研机构、医疗卫生机构及企业等提供概念验证服务；支持59家单位建设技术转移机构</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进一步健全科技成果转化管理制度、夯实转化人才队伍、深化开放合作、加强供需对接，激发在京高校院所科技成果转移转化潜力；支持12家机构拟聘用24名技术经理人开展成果转化相关工作。</w:t>
      </w:r>
    </w:p>
    <w:p>
      <w:pPr>
        <w:pStyle w:val="4"/>
        <w:pageBreakBefore w:val="0"/>
        <w:widowControl w:val="0"/>
        <w:shd w:val="clear"/>
        <w:kinsoku/>
        <w:wordWrap/>
        <w:overflowPunct/>
        <w:topLinePunct w:val="0"/>
        <w:autoSpaceDE/>
        <w:autoSpaceDN/>
        <w:bidi w:val="0"/>
        <w:adjustRightInd w:val="0"/>
        <w:snapToGrid w:val="0"/>
        <w:spacing w:before="0" w:after="0" w:line="360" w:lineRule="auto"/>
        <w:ind w:leftChars="0" w:firstLine="640" w:firstLineChars="200"/>
        <w:textAlignment w:val="auto"/>
        <w:rPr>
          <w:rFonts w:ascii="楷体" w:hAnsi="楷体" w:eastAsia="楷体"/>
          <w:b w:val="0"/>
          <w:bCs w:val="0"/>
          <w:highlight w:val="none"/>
        </w:rPr>
      </w:pPr>
      <w:bookmarkStart w:id="7" w:name="_Toc10814"/>
      <w:r>
        <w:rPr>
          <w:rFonts w:hint="eastAsia" w:ascii="楷体" w:hAnsi="楷体" w:eastAsia="楷体"/>
          <w:b w:val="0"/>
          <w:bCs w:val="0"/>
          <w:highlight w:val="none"/>
        </w:rPr>
        <w:t>（二）效果实现情况分析</w:t>
      </w:r>
      <w:bookmarkEnd w:id="7"/>
    </w:p>
    <w:p>
      <w:pPr>
        <w:pageBreakBefore w:val="0"/>
        <w:widowControl w:val="0"/>
        <w:shd w:val="clear"/>
        <w:kinsoku/>
        <w:wordWrap/>
        <w:overflowPunct/>
        <w:topLinePunct w:val="0"/>
        <w:autoSpaceDE/>
        <w:autoSpaceDN/>
        <w:bidi w:val="0"/>
        <w:adjustRightInd w:val="0"/>
        <w:snapToGrid w:val="0"/>
        <w:spacing w:line="360" w:lineRule="auto"/>
        <w:ind w:leftChars="0" w:firstLine="640" w:firstLineChars="200"/>
        <w:textAlignment w:val="auto"/>
        <w:rPr>
          <w:rFonts w:ascii="仿宋_GB2312" w:hAnsi="仿宋" w:eastAsia="仿宋_GB2312"/>
          <w:bCs/>
          <w:sz w:val="32"/>
          <w:szCs w:val="32"/>
          <w:highlight w:val="none"/>
        </w:rPr>
      </w:pPr>
      <w:r>
        <w:rPr>
          <w:rFonts w:hint="eastAsia" w:ascii="仿宋_GB2312" w:hAnsi="仿宋" w:eastAsia="仿宋_GB2312"/>
          <w:bCs/>
          <w:sz w:val="32"/>
          <w:szCs w:val="32"/>
          <w:highlight w:val="none"/>
        </w:rPr>
        <w:t>202</w:t>
      </w:r>
      <w:r>
        <w:rPr>
          <w:rFonts w:hint="eastAsia" w:ascii="仿宋_GB2312" w:hAnsi="仿宋" w:eastAsia="仿宋_GB2312"/>
          <w:bCs/>
          <w:sz w:val="32"/>
          <w:szCs w:val="32"/>
          <w:highlight w:val="none"/>
          <w:lang w:val="en-US" w:eastAsia="zh-CN"/>
        </w:rPr>
        <w:t>2</w:t>
      </w:r>
      <w:r>
        <w:rPr>
          <w:rFonts w:hint="eastAsia" w:ascii="仿宋_GB2312" w:hAnsi="仿宋" w:eastAsia="仿宋_GB2312"/>
          <w:bCs/>
          <w:sz w:val="32"/>
          <w:szCs w:val="32"/>
          <w:highlight w:val="none"/>
        </w:rPr>
        <w:t>年，在市委市政府的坚强领导下，在市财政局等部门的支持配合下，我</w:t>
      </w:r>
      <w:r>
        <w:rPr>
          <w:rFonts w:hint="eastAsia" w:ascii="仿宋_GB2312" w:hAnsi="仿宋" w:eastAsia="仿宋_GB2312"/>
          <w:bCs/>
          <w:sz w:val="32"/>
          <w:szCs w:val="32"/>
          <w:highlight w:val="none"/>
          <w:lang w:val="en-US" w:eastAsia="zh-CN"/>
        </w:rPr>
        <w:t>委</w:t>
      </w:r>
      <w:r>
        <w:rPr>
          <w:rFonts w:hint="eastAsia" w:ascii="仿宋_GB2312" w:hAnsi="仿宋" w:eastAsia="仿宋_GB2312"/>
          <w:bCs/>
          <w:sz w:val="32"/>
          <w:szCs w:val="32"/>
          <w:highlight w:val="none"/>
        </w:rPr>
        <w:t>团结一心、迎难而上，各项工作取得明显成效，经济效益、社会效益显著。</w:t>
      </w:r>
    </w:p>
    <w:p>
      <w:pPr>
        <w:pageBreakBefore w:val="0"/>
        <w:widowControl w:val="0"/>
        <w:shd w:val="clear"/>
        <w:kinsoku/>
        <w:wordWrap/>
        <w:overflowPunct/>
        <w:topLinePunct w:val="0"/>
        <w:autoSpaceDE/>
        <w:autoSpaceDN/>
        <w:bidi w:val="0"/>
        <w:adjustRightInd w:val="0"/>
        <w:snapToGrid w:val="0"/>
        <w:spacing w:line="360" w:lineRule="auto"/>
        <w:ind w:leftChars="0" w:firstLine="640" w:firstLineChars="200"/>
        <w:textAlignment w:val="auto"/>
        <w:rPr>
          <w:rFonts w:hint="eastAsia" w:ascii="仿宋_GB2312" w:hAnsi="仿宋" w:eastAsia="仿宋_GB2312" w:cs="Times New Roman"/>
          <w:sz w:val="32"/>
          <w:szCs w:val="32"/>
          <w:highlight w:val="none"/>
        </w:rPr>
      </w:pPr>
      <w:r>
        <w:rPr>
          <w:rFonts w:hint="eastAsia" w:ascii="仿宋_GB2312" w:hAnsi="仿宋" w:eastAsia="仿宋_GB2312" w:cs="Times New Roman"/>
          <w:sz w:val="32"/>
          <w:szCs w:val="32"/>
          <w:highlight w:val="none"/>
        </w:rPr>
        <w:t>1.经济效益</w:t>
      </w:r>
    </w:p>
    <w:p>
      <w:pPr>
        <w:pageBreakBefore w:val="0"/>
        <w:widowControl w:val="0"/>
        <w:shd w:val="clear"/>
        <w:kinsoku/>
        <w:wordWrap/>
        <w:overflowPunct/>
        <w:topLinePunct w:val="0"/>
        <w:autoSpaceDE/>
        <w:autoSpaceDN/>
        <w:bidi w:val="0"/>
        <w:adjustRightInd w:val="0"/>
        <w:snapToGrid w:val="0"/>
        <w:spacing w:line="360" w:lineRule="auto"/>
        <w:ind w:leftChars="0" w:firstLine="640" w:firstLineChars="200"/>
        <w:textAlignment w:val="auto"/>
        <w:rPr>
          <w:rFonts w:hint="eastAsia" w:ascii="仿宋_GB2312" w:hAnsi="仿宋" w:eastAsia="仿宋_GB2312" w:cs="Times New Roman"/>
          <w:sz w:val="32"/>
          <w:szCs w:val="32"/>
          <w:highlight w:val="none"/>
        </w:rPr>
      </w:pPr>
      <w:r>
        <w:rPr>
          <w:rFonts w:hint="eastAsia" w:ascii="仿宋_GB2312" w:hAnsi="仿宋" w:eastAsia="仿宋_GB2312" w:cs="Times New Roman"/>
          <w:sz w:val="32"/>
          <w:szCs w:val="32"/>
          <w:highlight w:val="none"/>
          <w:lang w:val="en-US" w:eastAsia="zh-CN"/>
        </w:rPr>
        <w:t>①</w:t>
      </w:r>
      <w:r>
        <w:rPr>
          <w:rFonts w:hint="eastAsia" w:ascii="仿宋_GB2312" w:hAnsi="仿宋" w:eastAsia="仿宋_GB2312" w:cs="Times New Roman"/>
          <w:sz w:val="32"/>
          <w:szCs w:val="32"/>
          <w:highlight w:val="none"/>
        </w:rPr>
        <w:t>帮助企业降低融资成本</w:t>
      </w:r>
      <w:r>
        <w:rPr>
          <w:rFonts w:hint="eastAsia" w:ascii="仿宋_GB2312" w:hAnsi="仿宋" w:eastAsia="仿宋_GB2312" w:cs="Times New Roman"/>
          <w:sz w:val="32"/>
          <w:szCs w:val="32"/>
          <w:highlight w:val="none"/>
          <w:lang w:eastAsia="zh-CN"/>
        </w:rPr>
        <w:t>。</w:t>
      </w:r>
      <w:r>
        <w:rPr>
          <w:rFonts w:hint="eastAsia" w:ascii="仿宋_GB2312" w:hAnsi="仿宋" w:eastAsia="仿宋_GB2312" w:cs="Times New Roman"/>
          <w:sz w:val="32"/>
          <w:szCs w:val="32"/>
          <w:highlight w:val="none"/>
          <w:lang w:val="en-US" w:eastAsia="zh-CN"/>
        </w:rPr>
        <w:t>2022年</w:t>
      </w:r>
      <w:r>
        <w:rPr>
          <w:rFonts w:hint="eastAsia" w:ascii="仿宋_GB2312" w:hAnsi="仿宋" w:eastAsia="仿宋_GB2312" w:cs="Times New Roman"/>
          <w:sz w:val="32"/>
          <w:szCs w:val="32"/>
          <w:highlight w:val="none"/>
        </w:rPr>
        <w:t>帮助企业平均降低融资成本超过10%，支持科创中小微企业贷款增速高于各项贷款增速10个百分点以上。支持企业获得知识产权质押贷款金额3.53亿元；支持企业开展融资租赁业务获得融资金额10.73亿元。</w:t>
      </w:r>
    </w:p>
    <w:p>
      <w:pPr>
        <w:pageBreakBefore w:val="0"/>
        <w:widowControl w:val="0"/>
        <w:shd w:val="clear"/>
        <w:kinsoku/>
        <w:wordWrap/>
        <w:overflowPunct/>
        <w:topLinePunct w:val="0"/>
        <w:autoSpaceDE/>
        <w:autoSpaceDN/>
        <w:bidi w:val="0"/>
        <w:adjustRightInd w:val="0"/>
        <w:snapToGrid w:val="0"/>
        <w:spacing w:line="360" w:lineRule="auto"/>
        <w:ind w:leftChars="0" w:firstLine="640" w:firstLineChars="200"/>
        <w:textAlignment w:val="auto"/>
        <w:rPr>
          <w:rFonts w:hint="default" w:ascii="仿宋_GB2312" w:hAnsi="仿宋" w:eastAsia="仿宋_GB2312" w:cs="Times New Roman"/>
          <w:sz w:val="32"/>
          <w:szCs w:val="32"/>
          <w:highlight w:val="none"/>
          <w:lang w:val="en-US" w:eastAsia="zh-CN"/>
        </w:rPr>
      </w:pPr>
      <w:r>
        <w:rPr>
          <w:rFonts w:hint="eastAsia" w:ascii="仿宋_GB2312" w:hAnsi="仿宋" w:eastAsia="仿宋_GB2312" w:cs="Times New Roman"/>
          <w:sz w:val="32"/>
          <w:szCs w:val="32"/>
          <w:highlight w:val="none"/>
          <w:lang w:eastAsia="zh-CN"/>
        </w:rPr>
        <w:t>②</w:t>
      </w:r>
      <w:r>
        <w:rPr>
          <w:rFonts w:hint="eastAsia" w:ascii="仿宋_GB2312" w:hAnsi="仿宋" w:eastAsia="仿宋_GB2312" w:cs="Times New Roman"/>
          <w:sz w:val="32"/>
          <w:szCs w:val="32"/>
          <w:highlight w:val="none"/>
          <w:lang w:val="en-US" w:eastAsia="zh-CN"/>
        </w:rPr>
        <w:t>进一步扩宽投资机构募资渠道，提高资金使用效率。2022年引导保险、社保、理财子公司等长期资本参与创业投资，带动创投机构对中关村企业投资6.5亿元，引导社会资本投向具有核心技术或自主知识产权的中关村创新型企业。</w:t>
      </w:r>
    </w:p>
    <w:p>
      <w:pPr>
        <w:pageBreakBefore w:val="0"/>
        <w:widowControl w:val="0"/>
        <w:shd w:val="clear"/>
        <w:kinsoku/>
        <w:wordWrap/>
        <w:overflowPunct/>
        <w:topLinePunct w:val="0"/>
        <w:autoSpaceDE/>
        <w:autoSpaceDN/>
        <w:bidi w:val="0"/>
        <w:adjustRightInd w:val="0"/>
        <w:snapToGrid w:val="0"/>
        <w:spacing w:line="360" w:lineRule="auto"/>
        <w:ind w:leftChars="0" w:firstLine="640" w:firstLineChars="200"/>
        <w:textAlignment w:val="auto"/>
        <w:rPr>
          <w:rFonts w:hint="eastAsia" w:ascii="仿宋_GB2312" w:hAnsi="仿宋" w:eastAsia="仿宋_GB2312" w:cs="Times New Roman"/>
          <w:sz w:val="32"/>
          <w:szCs w:val="32"/>
          <w:highlight w:val="none"/>
        </w:rPr>
      </w:pPr>
      <w:r>
        <w:rPr>
          <w:rFonts w:hint="eastAsia" w:ascii="仿宋_GB2312" w:hAnsi="仿宋" w:eastAsia="仿宋_GB2312" w:cs="Times New Roman"/>
          <w:sz w:val="32"/>
          <w:szCs w:val="32"/>
          <w:highlight w:val="none"/>
        </w:rPr>
        <w:t>2.社会效益</w:t>
      </w:r>
    </w:p>
    <w:p>
      <w:pPr>
        <w:pageBreakBefore w:val="0"/>
        <w:widowControl w:val="0"/>
        <w:shd w:val="clear"/>
        <w:kinsoku/>
        <w:wordWrap/>
        <w:overflowPunct/>
        <w:topLinePunct w:val="0"/>
        <w:autoSpaceDE/>
        <w:autoSpaceDN/>
        <w:bidi w:val="0"/>
        <w:adjustRightInd w:val="0"/>
        <w:snapToGrid w:val="0"/>
        <w:spacing w:line="360" w:lineRule="auto"/>
        <w:ind w:leftChars="0" w:firstLine="640" w:firstLineChars="200"/>
        <w:textAlignment w:val="auto"/>
        <w:rPr>
          <w:rFonts w:hint="eastAsia" w:ascii="仿宋_GB2312" w:hAnsi="仿宋" w:eastAsia="仿宋_GB2312" w:cs="Times New Roman"/>
          <w:sz w:val="32"/>
          <w:szCs w:val="32"/>
          <w:highlight w:val="none"/>
        </w:rPr>
      </w:pPr>
      <w:r>
        <w:rPr>
          <w:rFonts w:hint="eastAsia" w:ascii="仿宋_GB2312" w:hAnsi="仿宋" w:eastAsia="仿宋_GB2312" w:cs="Times New Roman"/>
          <w:sz w:val="32"/>
          <w:szCs w:val="32"/>
          <w:highlight w:val="none"/>
          <w:lang w:val="en-US" w:eastAsia="zh-CN"/>
        </w:rPr>
        <w:t>①</w:t>
      </w:r>
      <w:r>
        <w:rPr>
          <w:rFonts w:hint="eastAsia" w:ascii="仿宋_GB2312" w:hAnsi="仿宋" w:eastAsia="仿宋_GB2312" w:cs="Times New Roman"/>
          <w:sz w:val="32"/>
          <w:szCs w:val="32"/>
          <w:highlight w:val="none"/>
        </w:rPr>
        <w:t>加快国际开放合作与人才特区建设，加大世界一流人才集聚力度。吸引一批优秀青年人才创办硬科技企业，助力北京高精尖产业发展，在重点领域培养一批青年创新创业人才，形成人才后备力量，支撑北京人才高地建设。</w:t>
      </w:r>
    </w:p>
    <w:p>
      <w:pPr>
        <w:pageBreakBefore w:val="0"/>
        <w:widowControl w:val="0"/>
        <w:shd w:val="clear"/>
        <w:kinsoku/>
        <w:wordWrap/>
        <w:overflowPunct/>
        <w:topLinePunct w:val="0"/>
        <w:autoSpaceDE/>
        <w:autoSpaceDN/>
        <w:bidi w:val="0"/>
        <w:adjustRightInd w:val="0"/>
        <w:snapToGrid w:val="0"/>
        <w:spacing w:line="360" w:lineRule="auto"/>
        <w:ind w:leftChars="0" w:firstLine="640" w:firstLineChars="200"/>
        <w:textAlignment w:val="auto"/>
        <w:rPr>
          <w:rFonts w:hint="eastAsia" w:ascii="仿宋_GB2312" w:hAnsi="仿宋" w:eastAsia="仿宋_GB2312" w:cs="Times New Roman"/>
          <w:sz w:val="32"/>
          <w:szCs w:val="32"/>
          <w:highlight w:val="none"/>
          <w:lang w:val="en-US" w:eastAsia="zh-CN"/>
        </w:rPr>
      </w:pPr>
      <w:r>
        <w:rPr>
          <w:rFonts w:hint="eastAsia" w:ascii="仿宋_GB2312" w:hAnsi="仿宋" w:eastAsia="仿宋_GB2312" w:cs="Times New Roman"/>
          <w:sz w:val="32"/>
          <w:szCs w:val="32"/>
          <w:highlight w:val="none"/>
          <w:lang w:eastAsia="zh-CN"/>
        </w:rPr>
        <w:t>②</w:t>
      </w:r>
      <w:r>
        <w:rPr>
          <w:rFonts w:hint="eastAsia" w:ascii="仿宋_GB2312" w:hAnsi="仿宋" w:eastAsia="仿宋_GB2312" w:cs="Times New Roman"/>
          <w:sz w:val="32"/>
          <w:szCs w:val="32"/>
          <w:highlight w:val="none"/>
          <w:lang w:val="en-US" w:eastAsia="zh-CN"/>
        </w:rPr>
        <w:t>促进科技资源开放共享，撬动在京高校院所科技资源，服务中关村中小微企业和创业团队创新能力提升。深入推进科技资源的梳理与整合，90家开放单位共促进1.59万台套、原值151亿元的科研设施与仪器向社会开放共享，为6388家企业提供测试分析、联合研发等服务，服务合同达到38.9亿元，为本市企业开展研发创新提供了良好支撑服务作用，不断将科技资源优势转化为创新发展优势，为实施创新驱动发展战略、建设国际科技创新中心提供有力支撑；继续开展首都科技创新券政策，通过进一步推进首都科技创新券工作，推动北大、清华、北科大以及中科院等实验室与46家小微企业和创业团队签订合同，开展科研合作，共开展46项创新券项目合作。</w:t>
      </w:r>
    </w:p>
    <w:p>
      <w:pPr>
        <w:pageBreakBefore w:val="0"/>
        <w:widowControl w:val="0"/>
        <w:shd w:val="clear"/>
        <w:kinsoku/>
        <w:wordWrap/>
        <w:overflowPunct/>
        <w:topLinePunct w:val="0"/>
        <w:autoSpaceDE/>
        <w:autoSpaceDN/>
        <w:bidi w:val="0"/>
        <w:adjustRightInd w:val="0"/>
        <w:snapToGrid w:val="0"/>
        <w:spacing w:line="360" w:lineRule="auto"/>
        <w:ind w:leftChars="0" w:firstLine="640" w:firstLineChars="200"/>
        <w:textAlignment w:val="auto"/>
        <w:rPr>
          <w:rFonts w:hint="eastAsia" w:ascii="仿宋_GB2312" w:hAnsi="仿宋" w:eastAsia="仿宋_GB2312" w:cs="Times New Roman"/>
          <w:sz w:val="32"/>
          <w:szCs w:val="32"/>
          <w:highlight w:val="none"/>
        </w:rPr>
      </w:pPr>
      <w:r>
        <w:rPr>
          <w:rFonts w:hint="eastAsia" w:ascii="仿宋_GB2312" w:hAnsi="仿宋" w:eastAsia="仿宋_GB2312" w:cs="Times New Roman"/>
          <w:sz w:val="32"/>
          <w:szCs w:val="32"/>
          <w:highlight w:val="none"/>
          <w:lang w:eastAsia="zh-CN"/>
        </w:rPr>
        <w:t>③</w:t>
      </w:r>
      <w:r>
        <w:rPr>
          <w:rFonts w:hint="eastAsia" w:ascii="仿宋_GB2312" w:hAnsi="仿宋" w:eastAsia="仿宋_GB2312" w:cs="Times New Roman"/>
          <w:sz w:val="32"/>
          <w:szCs w:val="32"/>
          <w:highlight w:val="none"/>
        </w:rPr>
        <w:t>围绕各区的主导产业定位，综合考虑区域和领域布局，加强市区协同联动，精准策划和支持建设了奇绩创坛、新生巢等8家孵化模式先进、专业化水平突出、硬科技企业培育和产业集聚带动作用显著的引领类标杆孵化器，覆盖原创新药、细胞基因治疗、智能装备关键材料等高精尖细分领域，推动孵化器提升硬科技企业培育效能，更好</w:t>
      </w:r>
      <w:r>
        <w:rPr>
          <w:rFonts w:hint="eastAsia" w:ascii="仿宋_GB2312" w:hAnsi="仿宋" w:eastAsia="仿宋_GB2312" w:cs="Times New Roman"/>
          <w:sz w:val="32"/>
          <w:szCs w:val="32"/>
          <w:highlight w:val="none"/>
          <w:lang w:val="en-US" w:eastAsia="zh-CN"/>
        </w:rPr>
        <w:t>地</w:t>
      </w:r>
      <w:r>
        <w:rPr>
          <w:rFonts w:hint="eastAsia" w:ascii="仿宋_GB2312" w:hAnsi="仿宋" w:eastAsia="仿宋_GB2312" w:cs="Times New Roman"/>
          <w:sz w:val="32"/>
          <w:szCs w:val="32"/>
          <w:highlight w:val="none"/>
        </w:rPr>
        <w:t>服务高精尖产业集群发展和未来产业战略布局。</w:t>
      </w:r>
    </w:p>
    <w:p>
      <w:pPr>
        <w:pageBreakBefore w:val="0"/>
        <w:widowControl w:val="0"/>
        <w:shd w:val="clear"/>
        <w:kinsoku/>
        <w:wordWrap/>
        <w:overflowPunct/>
        <w:topLinePunct w:val="0"/>
        <w:autoSpaceDE/>
        <w:autoSpaceDN/>
        <w:bidi w:val="0"/>
        <w:adjustRightInd w:val="0"/>
        <w:snapToGrid w:val="0"/>
        <w:spacing w:line="360" w:lineRule="auto"/>
        <w:ind w:leftChars="0" w:firstLine="640" w:firstLineChars="200"/>
        <w:textAlignment w:val="auto"/>
        <w:rPr>
          <w:rFonts w:hint="eastAsia" w:ascii="仿宋_GB2312" w:hAnsi="仿宋" w:eastAsia="仿宋_GB2312" w:cs="Times New Roman"/>
          <w:sz w:val="32"/>
          <w:szCs w:val="32"/>
          <w:highlight w:val="none"/>
          <w:lang w:val="en-US" w:eastAsia="zh-CN"/>
        </w:rPr>
      </w:pPr>
      <w:r>
        <w:rPr>
          <w:rFonts w:hint="eastAsia" w:ascii="仿宋_GB2312" w:hAnsi="仿宋_GB2312" w:eastAsia="仿宋_GB2312" w:cs="仿宋_GB2312"/>
          <w:bCs/>
          <w:sz w:val="32"/>
          <w:szCs w:val="32"/>
        </w:rPr>
        <w:t>④</w:t>
      </w:r>
      <w:r>
        <w:rPr>
          <w:rFonts w:hint="eastAsia" w:ascii="仿宋_GB2312" w:hAnsi="仿宋" w:eastAsia="仿宋_GB2312" w:cs="Times New Roman"/>
          <w:sz w:val="32"/>
          <w:szCs w:val="32"/>
          <w:highlight w:val="none"/>
          <w:lang w:val="en-US" w:eastAsia="zh-CN"/>
        </w:rPr>
        <w:t>支持中关村社会组织建设，发挥桥梁纽带作用，集聚各方力量参与中关村示范区建设。</w:t>
      </w:r>
    </w:p>
    <w:p>
      <w:pPr>
        <w:pageBreakBefore w:val="0"/>
        <w:widowControl w:val="0"/>
        <w:shd w:val="clear"/>
        <w:kinsoku/>
        <w:wordWrap/>
        <w:overflowPunct/>
        <w:topLinePunct w:val="0"/>
        <w:autoSpaceDE/>
        <w:autoSpaceDN/>
        <w:bidi w:val="0"/>
        <w:adjustRightInd w:val="0"/>
        <w:snapToGrid w:val="0"/>
        <w:spacing w:line="360" w:lineRule="auto"/>
        <w:ind w:leftChars="0" w:firstLine="640" w:firstLineChars="200"/>
        <w:textAlignment w:val="auto"/>
        <w:rPr>
          <w:rFonts w:hint="eastAsia" w:ascii="仿宋_GB2312" w:hAnsi="仿宋" w:eastAsia="仿宋_GB2312" w:cs="Times New Roman"/>
          <w:sz w:val="32"/>
          <w:szCs w:val="32"/>
          <w:highlight w:val="none"/>
          <w:lang w:val="en-US" w:eastAsia="zh-CN"/>
        </w:rPr>
      </w:pPr>
      <w:r>
        <w:rPr>
          <w:rFonts w:hint="eastAsia" w:ascii="仿宋_GB2312" w:hAnsi="仿宋_GB2312" w:eastAsia="仿宋_GB2312" w:cs="仿宋_GB2312"/>
          <w:bCs/>
          <w:sz w:val="32"/>
          <w:szCs w:val="32"/>
        </w:rPr>
        <w:t>⑤</w:t>
      </w:r>
      <w:r>
        <w:rPr>
          <w:rFonts w:hint="eastAsia" w:ascii="仿宋_GB2312" w:hAnsi="仿宋" w:eastAsia="仿宋_GB2312" w:cs="Times New Roman"/>
          <w:sz w:val="32"/>
          <w:szCs w:val="32"/>
          <w:highlight w:val="none"/>
          <w:lang w:val="en-US" w:eastAsia="zh-CN"/>
        </w:rPr>
        <w:t>开展全国双创周北京会场主题展、中关村品牌推广和创新文化培育等一系列活动，开展中关村先行先试改革政策宣贯，扩大中关村在国际国内的影响力。落实国家关于“大众创业、万众创新”的总体安排部署以及北京市全国双创周北京会场实施方案，完成全国“大众创业、万众创新”活动周北京会场活动主题展及相关活动组织实施工作，开展双创线上主题展，组织举办中关村国际前沿科技创新大赛、中关村5G创新应用大赛、北京发明创新大赛等创新创业活动，充分宣传北京创新创业成就，提升优化创新创业氛围。</w:t>
      </w:r>
    </w:p>
    <w:p>
      <w:pPr>
        <w:pageBreakBefore w:val="0"/>
        <w:widowControl w:val="0"/>
        <w:shd w:val="clear"/>
        <w:kinsoku/>
        <w:wordWrap/>
        <w:overflowPunct/>
        <w:topLinePunct w:val="0"/>
        <w:autoSpaceDE/>
        <w:autoSpaceDN/>
        <w:bidi w:val="0"/>
        <w:adjustRightInd w:val="0"/>
        <w:snapToGrid w:val="0"/>
        <w:spacing w:line="360" w:lineRule="auto"/>
        <w:ind w:leftChars="0" w:firstLine="640" w:firstLineChars="200"/>
        <w:textAlignment w:val="auto"/>
        <w:rPr>
          <w:rFonts w:ascii="仿宋_GB2312" w:hAnsi="仿宋" w:eastAsia="仿宋_GB2312"/>
          <w:sz w:val="32"/>
          <w:szCs w:val="32"/>
          <w:highlight w:val="none"/>
        </w:rPr>
      </w:pPr>
      <w:r>
        <w:rPr>
          <w:rFonts w:hint="eastAsia" w:ascii="仿宋_GB2312" w:hAnsi="仿宋" w:eastAsia="仿宋_GB2312"/>
          <w:sz w:val="32"/>
          <w:szCs w:val="32"/>
          <w:highlight w:val="none"/>
          <w:lang w:val="en-US" w:eastAsia="zh-CN"/>
        </w:rPr>
        <w:t>3</w:t>
      </w:r>
      <w:r>
        <w:rPr>
          <w:rFonts w:hint="eastAsia" w:ascii="仿宋_GB2312" w:hAnsi="仿宋" w:eastAsia="仿宋_GB2312"/>
          <w:sz w:val="32"/>
          <w:szCs w:val="32"/>
          <w:highlight w:val="none"/>
        </w:rPr>
        <w:t>.服务对象满意度</w:t>
      </w:r>
    </w:p>
    <w:p>
      <w:pPr>
        <w:pageBreakBefore w:val="0"/>
        <w:widowControl w:val="0"/>
        <w:shd w:val="clear"/>
        <w:kinsoku/>
        <w:wordWrap/>
        <w:overflowPunct/>
        <w:topLinePunct w:val="0"/>
        <w:autoSpaceDE/>
        <w:autoSpaceDN/>
        <w:bidi w:val="0"/>
        <w:adjustRightInd w:val="0"/>
        <w:snapToGrid w:val="0"/>
        <w:spacing w:line="360" w:lineRule="auto"/>
        <w:ind w:leftChars="0" w:firstLine="640" w:firstLineChars="200"/>
        <w:textAlignment w:val="auto"/>
        <w:rPr>
          <w:rFonts w:hint="eastAsia" w:ascii="仿宋_GB2312" w:hAnsi="仿宋" w:eastAsia="仿宋_GB2312"/>
          <w:sz w:val="32"/>
          <w:szCs w:val="32"/>
          <w:highlight w:val="none"/>
          <w:lang w:eastAsia="zh-CN"/>
        </w:rPr>
      </w:pPr>
      <w:r>
        <w:rPr>
          <w:rFonts w:hint="eastAsia" w:ascii="仿宋_GB2312" w:hAnsi="仿宋" w:eastAsia="仿宋_GB2312"/>
          <w:sz w:val="32"/>
          <w:szCs w:val="32"/>
          <w:highlight w:val="none"/>
        </w:rPr>
        <w:t>北京市人民政府办公厅对我</w:t>
      </w:r>
      <w:r>
        <w:rPr>
          <w:rFonts w:hint="eastAsia" w:ascii="仿宋_GB2312" w:hAnsi="仿宋" w:eastAsia="仿宋_GB2312"/>
          <w:sz w:val="32"/>
          <w:szCs w:val="32"/>
          <w:highlight w:val="none"/>
          <w:lang w:val="en-US" w:eastAsia="zh-CN"/>
        </w:rPr>
        <w:t>委</w:t>
      </w:r>
      <w:r>
        <w:rPr>
          <w:rFonts w:hint="eastAsia" w:ascii="仿宋_GB2312" w:hAnsi="仿宋" w:eastAsia="仿宋_GB2312"/>
          <w:sz w:val="32"/>
          <w:szCs w:val="32"/>
          <w:highlight w:val="none"/>
        </w:rPr>
        <w:t>202</w:t>
      </w:r>
      <w:r>
        <w:rPr>
          <w:rFonts w:hint="eastAsia" w:ascii="仿宋_GB2312" w:hAnsi="仿宋" w:eastAsia="仿宋_GB2312"/>
          <w:sz w:val="32"/>
          <w:szCs w:val="32"/>
          <w:highlight w:val="none"/>
          <w:lang w:val="en-US" w:eastAsia="zh-CN"/>
        </w:rPr>
        <w:t>2</w:t>
      </w:r>
      <w:r>
        <w:rPr>
          <w:rFonts w:hint="eastAsia" w:ascii="仿宋_GB2312" w:hAnsi="仿宋" w:eastAsia="仿宋_GB2312"/>
          <w:sz w:val="32"/>
          <w:szCs w:val="32"/>
          <w:highlight w:val="none"/>
        </w:rPr>
        <w:t>年的绩效考评结果为</w:t>
      </w:r>
      <w:r>
        <w:rPr>
          <w:rFonts w:hint="eastAsia" w:ascii="仿宋_GB2312" w:hAnsi="宋体" w:eastAsia="仿宋_GB2312" w:cs="宋体"/>
          <w:color w:val="auto"/>
          <w:sz w:val="32"/>
          <w:szCs w:val="32"/>
          <w:highlight w:val="none"/>
          <w:lang w:val="en-US" w:eastAsia="zh-CN"/>
        </w:rPr>
        <w:t>97</w:t>
      </w:r>
      <w:r>
        <w:rPr>
          <w:rFonts w:hint="eastAsia" w:ascii="仿宋_GB2312" w:hAnsi="宋体" w:eastAsia="仿宋_GB2312" w:cs="宋体"/>
          <w:color w:val="auto"/>
          <w:sz w:val="32"/>
          <w:szCs w:val="32"/>
          <w:highlight w:val="none"/>
        </w:rPr>
        <w:t>分，其中，日常考核</w:t>
      </w:r>
      <w:r>
        <w:rPr>
          <w:rFonts w:hint="eastAsia" w:ascii="仿宋_GB2312" w:hAnsi="宋体" w:eastAsia="仿宋_GB2312" w:cs="宋体"/>
          <w:color w:val="auto"/>
          <w:sz w:val="32"/>
          <w:szCs w:val="32"/>
          <w:highlight w:val="none"/>
          <w:lang w:val="en-US" w:eastAsia="zh-CN"/>
        </w:rPr>
        <w:t>59.46分</w:t>
      </w:r>
      <w:r>
        <w:rPr>
          <w:rFonts w:hint="eastAsia" w:ascii="仿宋_GB2312" w:hAnsi="宋体" w:eastAsia="仿宋_GB2312" w:cs="宋体"/>
          <w:color w:val="auto"/>
          <w:sz w:val="32"/>
          <w:szCs w:val="32"/>
          <w:highlight w:val="none"/>
        </w:rPr>
        <w:t>、综合评价</w:t>
      </w:r>
      <w:r>
        <w:rPr>
          <w:rFonts w:hint="eastAsia" w:ascii="仿宋_GB2312" w:hAnsi="宋体" w:eastAsia="仿宋_GB2312" w:cs="宋体"/>
          <w:color w:val="auto"/>
          <w:sz w:val="32"/>
          <w:szCs w:val="32"/>
          <w:highlight w:val="none"/>
          <w:lang w:val="en-US" w:eastAsia="zh-CN"/>
        </w:rPr>
        <w:t>37.44</w:t>
      </w:r>
      <w:r>
        <w:rPr>
          <w:rFonts w:hint="eastAsia" w:ascii="仿宋_GB2312" w:hAnsi="宋体" w:eastAsia="仿宋_GB2312" w:cs="宋体"/>
          <w:color w:val="auto"/>
          <w:sz w:val="32"/>
          <w:szCs w:val="32"/>
          <w:highlight w:val="none"/>
        </w:rPr>
        <w:t>分，考评等次为“优秀”。</w:t>
      </w:r>
    </w:p>
    <w:p>
      <w:pPr>
        <w:pStyle w:val="4"/>
        <w:pageBreakBefore w:val="0"/>
        <w:widowControl w:val="0"/>
        <w:kinsoku/>
        <w:wordWrap/>
        <w:overflowPunct/>
        <w:topLinePunct w:val="0"/>
        <w:autoSpaceDE/>
        <w:autoSpaceDN/>
        <w:bidi w:val="0"/>
        <w:adjustRightInd w:val="0"/>
        <w:snapToGrid w:val="0"/>
        <w:spacing w:before="0" w:after="0" w:line="360" w:lineRule="auto"/>
        <w:ind w:leftChars="0" w:firstLine="640" w:firstLineChars="200"/>
        <w:textAlignment w:val="auto"/>
        <w:rPr>
          <w:rFonts w:ascii="仿宋" w:hAnsi="仿宋" w:eastAsia="仿宋" w:cs="仿宋"/>
          <w:b w:val="0"/>
          <w:bCs w:val="0"/>
          <w:szCs w:val="36"/>
          <w:highlight w:val="none"/>
        </w:rPr>
      </w:pPr>
      <w:bookmarkStart w:id="8" w:name="_Toc1236"/>
      <w:r>
        <w:rPr>
          <w:rFonts w:hint="eastAsia" w:ascii="黑体" w:hAnsi="黑体" w:eastAsia="黑体"/>
          <w:b w:val="0"/>
          <w:bCs w:val="0"/>
          <w:highlight w:val="none"/>
        </w:rPr>
        <w:t>四、预算管理情况分析</w:t>
      </w:r>
      <w:bookmarkEnd w:id="8"/>
    </w:p>
    <w:p>
      <w:pPr>
        <w:pStyle w:val="4"/>
        <w:pageBreakBefore w:val="0"/>
        <w:widowControl w:val="0"/>
        <w:kinsoku/>
        <w:wordWrap/>
        <w:overflowPunct/>
        <w:topLinePunct w:val="0"/>
        <w:autoSpaceDE/>
        <w:autoSpaceDN/>
        <w:bidi w:val="0"/>
        <w:adjustRightInd w:val="0"/>
        <w:snapToGrid w:val="0"/>
        <w:spacing w:before="0" w:after="0" w:line="360" w:lineRule="auto"/>
        <w:ind w:leftChars="0" w:firstLine="640" w:firstLineChars="200"/>
        <w:textAlignment w:val="auto"/>
        <w:rPr>
          <w:rFonts w:ascii="楷体" w:hAnsi="楷体" w:eastAsia="楷体"/>
          <w:b w:val="0"/>
          <w:bCs w:val="0"/>
          <w:highlight w:val="none"/>
        </w:rPr>
      </w:pPr>
      <w:bookmarkStart w:id="9" w:name="_Toc382"/>
      <w:r>
        <w:rPr>
          <w:rFonts w:hint="eastAsia" w:ascii="楷体" w:hAnsi="楷体" w:eastAsia="楷体"/>
          <w:b w:val="0"/>
          <w:bCs w:val="0"/>
          <w:highlight w:val="none"/>
        </w:rPr>
        <w:t>（一）财务管理</w:t>
      </w:r>
      <w:bookmarkEnd w:id="9"/>
    </w:p>
    <w:p>
      <w:pPr>
        <w:pageBreakBefore w:val="0"/>
        <w:widowControl w:val="0"/>
        <w:kinsoku/>
        <w:wordWrap/>
        <w:overflowPunct/>
        <w:topLinePunct w:val="0"/>
        <w:autoSpaceDE/>
        <w:autoSpaceDN/>
        <w:bidi w:val="0"/>
        <w:adjustRightInd w:val="0"/>
        <w:snapToGrid w:val="0"/>
        <w:spacing w:line="360" w:lineRule="auto"/>
        <w:ind w:leftChars="0" w:firstLine="640" w:firstLineChars="200"/>
        <w:textAlignment w:val="auto"/>
        <w:rPr>
          <w:rFonts w:hint="eastAsia" w:ascii="仿宋_GB2312" w:hAnsi="仿宋" w:eastAsia="仿宋_GB2312"/>
          <w:sz w:val="32"/>
          <w:szCs w:val="32"/>
          <w:highlight w:val="none"/>
        </w:rPr>
      </w:pPr>
      <w:r>
        <w:rPr>
          <w:rFonts w:hint="eastAsia" w:ascii="仿宋_GB2312" w:hAnsi="仿宋" w:eastAsia="仿宋_GB2312"/>
          <w:sz w:val="32"/>
          <w:szCs w:val="32"/>
          <w:highlight w:val="none"/>
        </w:rPr>
        <w:t>1.财务管理制度完善健全</w:t>
      </w:r>
    </w:p>
    <w:p>
      <w:pPr>
        <w:pageBreakBefore w:val="0"/>
        <w:widowControl w:val="0"/>
        <w:kinsoku/>
        <w:wordWrap/>
        <w:overflowPunct/>
        <w:topLinePunct w:val="0"/>
        <w:autoSpaceDE/>
        <w:autoSpaceDN/>
        <w:bidi w:val="0"/>
        <w:adjustRightInd w:val="0"/>
        <w:snapToGrid w:val="0"/>
        <w:spacing w:line="360" w:lineRule="auto"/>
        <w:ind w:leftChars="0" w:firstLine="640" w:firstLineChars="200"/>
        <w:textAlignment w:val="auto"/>
        <w:rPr>
          <w:rFonts w:hint="eastAsia" w:ascii="仿宋_GB2312" w:hAnsi="仿宋" w:eastAsia="仿宋_GB2312"/>
          <w:sz w:val="32"/>
          <w:szCs w:val="32"/>
          <w:highlight w:val="none"/>
        </w:rPr>
      </w:pPr>
      <w:r>
        <w:rPr>
          <w:rFonts w:hint="eastAsia" w:ascii="仿宋_GB2312" w:hAnsi="仿宋" w:eastAsia="仿宋_GB2312"/>
          <w:sz w:val="32"/>
          <w:szCs w:val="32"/>
          <w:highlight w:val="none"/>
        </w:rPr>
        <w:t>为进一步提高全</w:t>
      </w:r>
      <w:r>
        <w:rPr>
          <w:rFonts w:hint="eastAsia" w:ascii="仿宋_GB2312" w:hAnsi="仿宋" w:eastAsia="仿宋_GB2312"/>
          <w:sz w:val="32"/>
          <w:szCs w:val="32"/>
          <w:highlight w:val="none"/>
          <w:lang w:val="en-US" w:eastAsia="zh-CN"/>
        </w:rPr>
        <w:t>委</w:t>
      </w:r>
      <w:r>
        <w:rPr>
          <w:rFonts w:hint="eastAsia" w:ascii="仿宋_GB2312" w:hAnsi="仿宋" w:eastAsia="仿宋_GB2312"/>
          <w:sz w:val="32"/>
          <w:szCs w:val="32"/>
          <w:highlight w:val="none"/>
        </w:rPr>
        <w:t>财务管理能力和水平，我</w:t>
      </w:r>
      <w:r>
        <w:rPr>
          <w:rFonts w:hint="default" w:ascii="仿宋_GB2312" w:hAnsi="仿宋" w:eastAsia="仿宋_GB2312"/>
          <w:sz w:val="32"/>
          <w:szCs w:val="32"/>
          <w:highlight w:val="none"/>
        </w:rPr>
        <w:t>委</w:t>
      </w:r>
      <w:r>
        <w:rPr>
          <w:rFonts w:hint="eastAsia" w:ascii="仿宋_GB2312" w:hAnsi="仿宋" w:eastAsia="仿宋_GB2312"/>
          <w:sz w:val="32"/>
          <w:szCs w:val="32"/>
          <w:highlight w:val="none"/>
        </w:rPr>
        <w:t>建立了完善的财务管理制度体系，从资金审批、预算管理、经费支出、资产管理、政府采购等方面对财务工作进行了规范监督，保障日常工作有章可循、稳步推进。</w:t>
      </w:r>
    </w:p>
    <w:p>
      <w:pPr>
        <w:pageBreakBefore w:val="0"/>
        <w:widowControl w:val="0"/>
        <w:kinsoku/>
        <w:wordWrap/>
        <w:overflowPunct/>
        <w:topLinePunct w:val="0"/>
        <w:autoSpaceDE/>
        <w:autoSpaceDN/>
        <w:bidi w:val="0"/>
        <w:adjustRightInd w:val="0"/>
        <w:snapToGrid w:val="0"/>
        <w:spacing w:line="360" w:lineRule="auto"/>
        <w:ind w:leftChars="0" w:firstLine="640" w:firstLineChars="200"/>
        <w:textAlignment w:val="auto"/>
        <w:rPr>
          <w:rFonts w:hint="eastAsia" w:ascii="仿宋_GB2312" w:hAnsi="仿宋" w:eastAsia="仿宋_GB2312"/>
          <w:sz w:val="32"/>
          <w:szCs w:val="32"/>
          <w:highlight w:val="none"/>
        </w:rPr>
      </w:pPr>
      <w:r>
        <w:rPr>
          <w:rFonts w:hint="eastAsia" w:ascii="仿宋_GB2312" w:hAnsi="仿宋" w:eastAsia="仿宋_GB2312"/>
          <w:sz w:val="32"/>
          <w:szCs w:val="32"/>
          <w:highlight w:val="none"/>
        </w:rPr>
        <w:t>2.资金使用安全合规</w:t>
      </w:r>
    </w:p>
    <w:p>
      <w:pPr>
        <w:pageBreakBefore w:val="0"/>
        <w:widowControl w:val="0"/>
        <w:kinsoku/>
        <w:wordWrap/>
        <w:overflowPunct/>
        <w:topLinePunct w:val="0"/>
        <w:autoSpaceDE/>
        <w:autoSpaceDN/>
        <w:bidi w:val="0"/>
        <w:adjustRightInd w:val="0"/>
        <w:snapToGrid w:val="0"/>
        <w:spacing w:line="360" w:lineRule="auto"/>
        <w:ind w:leftChars="0" w:firstLine="640" w:firstLineChars="200"/>
        <w:textAlignment w:val="auto"/>
        <w:rPr>
          <w:rFonts w:hint="eastAsia" w:ascii="仿宋_GB2312" w:hAnsi="仿宋" w:eastAsia="仿宋_GB2312"/>
          <w:sz w:val="32"/>
          <w:szCs w:val="32"/>
          <w:highlight w:val="none"/>
        </w:rPr>
      </w:pPr>
      <w:r>
        <w:rPr>
          <w:rFonts w:hint="eastAsia" w:ascii="仿宋_GB2312" w:hAnsi="仿宋" w:eastAsia="仿宋_GB2312"/>
          <w:sz w:val="32"/>
          <w:szCs w:val="32"/>
          <w:highlight w:val="none"/>
        </w:rPr>
        <w:t>资金使用严格遵照国家法律法规和有关管理制度执行，资金拨付审批程序完整规范，资金使用安全合规。内部审计和监督机制完善，审计监督全面、纵深发展，为资金高效安全的使用保驾护航。</w:t>
      </w:r>
    </w:p>
    <w:p>
      <w:pPr>
        <w:pageBreakBefore w:val="0"/>
        <w:widowControl w:val="0"/>
        <w:kinsoku/>
        <w:wordWrap/>
        <w:overflowPunct/>
        <w:topLinePunct w:val="0"/>
        <w:autoSpaceDE/>
        <w:autoSpaceDN/>
        <w:bidi w:val="0"/>
        <w:adjustRightInd w:val="0"/>
        <w:snapToGrid w:val="0"/>
        <w:spacing w:line="360" w:lineRule="auto"/>
        <w:ind w:leftChars="0" w:firstLine="640" w:firstLineChars="200"/>
        <w:textAlignment w:val="auto"/>
        <w:rPr>
          <w:rFonts w:hint="eastAsia" w:ascii="仿宋_GB2312" w:hAnsi="仿宋" w:eastAsia="仿宋_GB2312"/>
          <w:sz w:val="32"/>
          <w:szCs w:val="32"/>
          <w:highlight w:val="none"/>
        </w:rPr>
      </w:pPr>
      <w:r>
        <w:rPr>
          <w:rFonts w:hint="eastAsia" w:ascii="仿宋_GB2312" w:hAnsi="仿宋" w:eastAsia="仿宋_GB2312"/>
          <w:sz w:val="32"/>
          <w:szCs w:val="32"/>
          <w:highlight w:val="none"/>
        </w:rPr>
        <w:t>3.会计基础信息完整准确</w:t>
      </w:r>
    </w:p>
    <w:p>
      <w:pPr>
        <w:pageBreakBefore w:val="0"/>
        <w:widowControl w:val="0"/>
        <w:kinsoku/>
        <w:wordWrap/>
        <w:overflowPunct/>
        <w:topLinePunct w:val="0"/>
        <w:autoSpaceDE/>
        <w:autoSpaceDN/>
        <w:bidi w:val="0"/>
        <w:adjustRightInd w:val="0"/>
        <w:snapToGrid w:val="0"/>
        <w:spacing w:line="360" w:lineRule="auto"/>
        <w:ind w:leftChars="0" w:firstLine="640" w:firstLineChars="200"/>
        <w:textAlignment w:val="auto"/>
        <w:rPr>
          <w:rFonts w:hint="eastAsia" w:ascii="仿宋_GB2312" w:hAnsi="仿宋" w:eastAsia="仿宋_GB2312"/>
          <w:sz w:val="32"/>
          <w:szCs w:val="32"/>
          <w:highlight w:val="none"/>
        </w:rPr>
      </w:pPr>
      <w:r>
        <w:rPr>
          <w:rFonts w:hint="eastAsia" w:ascii="仿宋_GB2312" w:hAnsi="仿宋" w:eastAsia="仿宋_GB2312"/>
          <w:sz w:val="32"/>
          <w:szCs w:val="32"/>
          <w:highlight w:val="none"/>
        </w:rPr>
        <w:t>在费用报销及合同付款过程中，严格审批原始凭证，对内容不全、手续不完备的原始凭证以及未审批完成的支出不予办理支付。</w:t>
      </w:r>
    </w:p>
    <w:p>
      <w:pPr>
        <w:pStyle w:val="4"/>
        <w:keepNext w:val="0"/>
        <w:keepLines w:val="0"/>
        <w:pageBreakBefore w:val="0"/>
        <w:widowControl/>
        <w:kinsoku/>
        <w:wordWrap/>
        <w:overflowPunct/>
        <w:topLinePunct w:val="0"/>
        <w:autoSpaceDE/>
        <w:autoSpaceDN/>
        <w:bidi w:val="0"/>
        <w:adjustRightInd w:val="0"/>
        <w:snapToGrid w:val="0"/>
        <w:spacing w:before="0" w:after="0" w:line="360" w:lineRule="auto"/>
        <w:ind w:leftChars="0" w:firstLine="640" w:firstLineChars="200"/>
        <w:textAlignment w:val="auto"/>
        <w:rPr>
          <w:rFonts w:ascii="楷体" w:hAnsi="楷体" w:eastAsia="楷体"/>
          <w:b w:val="0"/>
          <w:bCs w:val="0"/>
          <w:highlight w:val="none"/>
        </w:rPr>
      </w:pPr>
      <w:bookmarkStart w:id="10" w:name="_Toc25072"/>
      <w:r>
        <w:rPr>
          <w:rFonts w:hint="eastAsia" w:ascii="楷体" w:hAnsi="楷体" w:eastAsia="楷体"/>
          <w:b w:val="0"/>
          <w:bCs w:val="0"/>
          <w:highlight w:val="none"/>
        </w:rPr>
        <w:t>（二）资产管理</w:t>
      </w:r>
      <w:bookmarkEnd w:id="10"/>
    </w:p>
    <w:p>
      <w:pPr>
        <w:keepNext w:val="0"/>
        <w:keepLines w:val="0"/>
        <w:pageBreakBefore w:val="0"/>
        <w:widowControl/>
        <w:kinsoku/>
        <w:wordWrap/>
        <w:overflowPunct/>
        <w:topLinePunct w:val="0"/>
        <w:autoSpaceDE/>
        <w:autoSpaceDN/>
        <w:bidi w:val="0"/>
        <w:adjustRightInd w:val="0"/>
        <w:snapToGrid w:val="0"/>
        <w:spacing w:before="0" w:after="0" w:line="360" w:lineRule="auto"/>
        <w:ind w:firstLine="640" w:firstLineChars="200"/>
        <w:textAlignment w:val="auto"/>
        <w:outlineLvl w:val="9"/>
        <w:rPr>
          <w:rFonts w:hint="eastAsia" w:ascii="仿宋_GB2312" w:hAnsi="仿宋_GB2312" w:eastAsia="仿宋_GB2312" w:cs="仿宋_GB2312"/>
          <w:b w:val="0"/>
          <w:bCs w:val="0"/>
          <w:color w:val="000000"/>
          <w:kern w:val="2"/>
          <w:sz w:val="32"/>
          <w:szCs w:val="32"/>
          <w:lang w:val="en-US" w:eastAsia="zh-CN" w:bidi="ar-SA"/>
        </w:rPr>
      </w:pPr>
      <w:r>
        <w:rPr>
          <w:rFonts w:hint="eastAsia" w:ascii="仿宋_GB2312" w:hAnsi="仿宋_GB2312" w:eastAsia="仿宋_GB2312" w:cs="仿宋_GB2312"/>
          <w:b w:val="0"/>
          <w:bCs w:val="0"/>
          <w:color w:val="000000"/>
          <w:kern w:val="2"/>
          <w:sz w:val="32"/>
          <w:szCs w:val="32"/>
          <w:lang w:val="en-US" w:eastAsia="zh-CN" w:bidi="ar-SA"/>
        </w:rPr>
        <w:t>2022年我委进一步加强和完善资产管理，重点抓管理机制和流程规范化，提升资产管理质效。一是成立工作小组，健全工作机制，摸清底数，建立48个资产清查难点问题台账，分类推进15家涉改单位资产清查工作。二是制定固定资产报废工作指引，细化具体工作程序和标准，规范现场技术鉴定要求。三是建立资产与预算管理相结合的工作运行机制。编制资产购置指南，强化国有资产购置预算管理。</w:t>
      </w:r>
    </w:p>
    <w:p>
      <w:pPr>
        <w:pStyle w:val="4"/>
        <w:keepNext w:val="0"/>
        <w:keepLines w:val="0"/>
        <w:pageBreakBefore w:val="0"/>
        <w:widowControl/>
        <w:kinsoku/>
        <w:wordWrap/>
        <w:overflowPunct/>
        <w:topLinePunct w:val="0"/>
        <w:autoSpaceDE/>
        <w:autoSpaceDN/>
        <w:bidi w:val="0"/>
        <w:adjustRightInd w:val="0"/>
        <w:snapToGrid w:val="0"/>
        <w:spacing w:before="0" w:after="0" w:line="360" w:lineRule="auto"/>
        <w:ind w:leftChars="0" w:firstLine="640" w:firstLineChars="200"/>
        <w:textAlignment w:val="auto"/>
        <w:rPr>
          <w:rFonts w:hint="eastAsia" w:ascii="楷体" w:hAnsi="楷体" w:eastAsia="楷体"/>
          <w:b w:val="0"/>
          <w:bCs w:val="0"/>
          <w:highlight w:val="none"/>
        </w:rPr>
      </w:pPr>
      <w:bookmarkStart w:id="11" w:name="_Toc2622"/>
      <w:r>
        <w:rPr>
          <w:rFonts w:hint="eastAsia" w:ascii="楷体" w:hAnsi="楷体" w:eastAsia="楷体"/>
          <w:b w:val="0"/>
          <w:bCs w:val="0"/>
          <w:highlight w:val="none"/>
        </w:rPr>
        <w:t>（三）绩效管理</w:t>
      </w:r>
      <w:bookmarkEnd w:id="11"/>
    </w:p>
    <w:p>
      <w:pPr>
        <w:keepNext w:val="0"/>
        <w:keepLines w:val="0"/>
        <w:pageBreakBefore w:val="0"/>
        <w:widowControl/>
        <w:kinsoku/>
        <w:wordWrap/>
        <w:overflowPunct/>
        <w:topLinePunct w:val="0"/>
        <w:autoSpaceDE/>
        <w:autoSpaceDN/>
        <w:bidi w:val="0"/>
        <w:adjustRightInd w:val="0"/>
        <w:snapToGrid w:val="0"/>
        <w:spacing w:line="360" w:lineRule="auto"/>
        <w:ind w:leftChars="0"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color w:val="000000"/>
          <w:sz w:val="32"/>
          <w:szCs w:val="32"/>
          <w:highlight w:val="none"/>
        </w:rPr>
        <w:t>我</w:t>
      </w:r>
      <w:r>
        <w:rPr>
          <w:rFonts w:hint="eastAsia" w:ascii="仿宋_GB2312" w:hAnsi="仿宋_GB2312" w:eastAsia="仿宋_GB2312" w:cs="仿宋_GB2312"/>
          <w:color w:val="000000"/>
          <w:sz w:val="32"/>
          <w:szCs w:val="32"/>
          <w:highlight w:val="none"/>
          <w:lang w:val="en-US" w:eastAsia="zh-CN"/>
        </w:rPr>
        <w:t>委</w:t>
      </w:r>
      <w:r>
        <w:rPr>
          <w:rFonts w:hint="eastAsia" w:ascii="仿宋_GB2312" w:hAnsi="仿宋_GB2312" w:eastAsia="仿宋_GB2312" w:cs="仿宋_GB2312"/>
          <w:color w:val="000000"/>
          <w:sz w:val="32"/>
          <w:szCs w:val="32"/>
          <w:highlight w:val="none"/>
        </w:rPr>
        <w:t>高度重视绩效管理工作，将</w:t>
      </w:r>
      <w:r>
        <w:rPr>
          <w:rFonts w:ascii="仿宋_GB2312" w:hAnsi="仿宋_GB2312" w:eastAsia="仿宋_GB2312" w:cs="仿宋_GB2312"/>
          <w:color w:val="000000"/>
          <w:sz w:val="32"/>
          <w:szCs w:val="32"/>
          <w:highlight w:val="none"/>
        </w:rPr>
        <w:t>绩效理念深度融入预算编制、执行</w:t>
      </w:r>
      <w:r>
        <w:rPr>
          <w:rFonts w:hint="eastAsia" w:ascii="仿宋_GB2312" w:hAnsi="仿宋_GB2312" w:eastAsia="仿宋_GB2312" w:cs="仿宋_GB2312"/>
          <w:color w:val="000000"/>
          <w:sz w:val="32"/>
          <w:szCs w:val="32"/>
          <w:highlight w:val="none"/>
        </w:rPr>
        <w:t>和</w:t>
      </w:r>
      <w:r>
        <w:rPr>
          <w:rFonts w:ascii="仿宋_GB2312" w:hAnsi="仿宋_GB2312" w:eastAsia="仿宋_GB2312" w:cs="仿宋_GB2312"/>
          <w:color w:val="000000"/>
          <w:sz w:val="32"/>
          <w:szCs w:val="32"/>
          <w:highlight w:val="none"/>
        </w:rPr>
        <w:t>监督全过程，构建事前、事中、事后绩效管理闭环系统，创新预算管理方式，</w:t>
      </w:r>
      <w:r>
        <w:rPr>
          <w:rFonts w:hint="eastAsia" w:ascii="仿宋_GB2312" w:hAnsi="仿宋_GB2312" w:eastAsia="仿宋_GB2312" w:cs="仿宋_GB2312"/>
          <w:color w:val="000000"/>
          <w:sz w:val="32"/>
          <w:szCs w:val="32"/>
          <w:highlight w:val="none"/>
        </w:rPr>
        <w:t>扎实做好各项绩效管理工作。</w:t>
      </w:r>
      <w:r>
        <w:rPr>
          <w:rFonts w:hint="eastAsia" w:ascii="仿宋_GB2312" w:hAnsi="仿宋_GB2312" w:eastAsia="仿宋_GB2312" w:cs="仿宋_GB2312"/>
          <w:sz w:val="32"/>
          <w:szCs w:val="32"/>
          <w:highlight w:val="none"/>
        </w:rPr>
        <w:t>成立了由我</w:t>
      </w:r>
      <w:r>
        <w:rPr>
          <w:rFonts w:hint="eastAsia" w:ascii="仿宋_GB2312" w:hAnsi="仿宋_GB2312" w:eastAsia="仿宋_GB2312" w:cs="仿宋_GB2312"/>
          <w:sz w:val="32"/>
          <w:szCs w:val="32"/>
          <w:highlight w:val="none"/>
          <w:lang w:val="en-US" w:eastAsia="zh-CN"/>
        </w:rPr>
        <w:t>委财务处</w:t>
      </w:r>
      <w:r>
        <w:rPr>
          <w:rFonts w:hint="eastAsia" w:ascii="仿宋_GB2312" w:hAnsi="仿宋_GB2312" w:eastAsia="仿宋_GB2312" w:cs="仿宋_GB2312"/>
          <w:sz w:val="32"/>
          <w:szCs w:val="32"/>
          <w:highlight w:val="none"/>
        </w:rPr>
        <w:t>牵头的预算绩效管理工作组，具体负责预算绩效管理工作的整体协调管理工作。</w:t>
      </w:r>
      <w:r>
        <w:rPr>
          <w:rFonts w:hint="eastAsia" w:ascii="仿宋" w:hAnsi="仿宋" w:eastAsia="仿宋_GB2312"/>
          <w:sz w:val="32"/>
          <w:szCs w:val="32"/>
          <w:highlight w:val="none"/>
        </w:rPr>
        <w:t>各处室和</w:t>
      </w:r>
      <w:r>
        <w:rPr>
          <w:rFonts w:hint="eastAsia" w:ascii="仿宋" w:hAnsi="仿宋" w:eastAsia="仿宋_GB2312"/>
          <w:sz w:val="32"/>
          <w:szCs w:val="32"/>
          <w:highlight w:val="none"/>
          <w:lang w:val="en-US" w:eastAsia="zh-CN"/>
        </w:rPr>
        <w:t>所</w:t>
      </w:r>
      <w:r>
        <w:rPr>
          <w:rFonts w:hint="eastAsia" w:ascii="仿宋" w:hAnsi="仿宋" w:eastAsia="仿宋_GB2312"/>
          <w:sz w:val="32"/>
          <w:szCs w:val="32"/>
          <w:highlight w:val="none"/>
        </w:rPr>
        <w:t>属各单位为绩效管理的具体实施单位，负责绩效目标申报、绩效监控和绩效自评</w:t>
      </w:r>
      <w:r>
        <w:rPr>
          <w:rFonts w:hint="eastAsia" w:ascii="仿宋_GB2312" w:hAnsi="仿宋_GB2312" w:eastAsia="仿宋_GB2312" w:cs="仿宋_GB2312"/>
          <w:sz w:val="32"/>
          <w:szCs w:val="32"/>
          <w:highlight w:val="none"/>
        </w:rPr>
        <w:t>等相关工作。</w:t>
      </w:r>
    </w:p>
    <w:p>
      <w:pPr>
        <w:keepNext w:val="0"/>
        <w:keepLines w:val="0"/>
        <w:pageBreakBefore w:val="0"/>
        <w:widowControl/>
        <w:kinsoku/>
        <w:wordWrap/>
        <w:overflowPunct/>
        <w:topLinePunct w:val="0"/>
        <w:autoSpaceDE/>
        <w:autoSpaceDN/>
        <w:bidi w:val="0"/>
        <w:adjustRightInd w:val="0"/>
        <w:snapToGrid w:val="0"/>
        <w:spacing w:line="360" w:lineRule="auto"/>
        <w:ind w:leftChars="0"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一是加强绩效目标管理。按照市财政局要求，将202</w:t>
      </w:r>
      <w:r>
        <w:rPr>
          <w:rFonts w:hint="eastAsia" w:ascii="仿宋_GB2312" w:hAnsi="仿宋_GB2312" w:eastAsia="仿宋_GB2312" w:cs="仿宋_GB2312"/>
          <w:sz w:val="32"/>
          <w:szCs w:val="32"/>
          <w:highlight w:val="none"/>
          <w:lang w:val="en-US" w:eastAsia="zh-CN"/>
        </w:rPr>
        <w:t>3</w:t>
      </w:r>
      <w:r>
        <w:rPr>
          <w:rFonts w:hint="eastAsia" w:ascii="仿宋_GB2312" w:hAnsi="仿宋_GB2312" w:eastAsia="仿宋_GB2312" w:cs="仿宋_GB2312"/>
          <w:sz w:val="32"/>
          <w:szCs w:val="32"/>
          <w:highlight w:val="none"/>
        </w:rPr>
        <w:t>年项目全部纳入绩效目标填报范围，完成</w:t>
      </w:r>
      <w:r>
        <w:rPr>
          <w:rFonts w:hint="eastAsia" w:ascii="仿宋_GB2312" w:hAnsi="仿宋_GB2312" w:eastAsia="仿宋_GB2312" w:cs="仿宋_GB2312"/>
          <w:sz w:val="32"/>
          <w:szCs w:val="32"/>
          <w:highlight w:val="none"/>
          <w:lang w:val="en-US" w:eastAsia="zh-CN"/>
        </w:rPr>
        <w:t>了36</w:t>
      </w:r>
      <w:r>
        <w:rPr>
          <w:rFonts w:hint="eastAsia" w:ascii="仿宋_GB2312" w:hAnsi="仿宋_GB2312" w:eastAsia="仿宋_GB2312" w:cs="仿宋_GB2312"/>
          <w:sz w:val="32"/>
          <w:szCs w:val="32"/>
          <w:highlight w:val="none"/>
        </w:rPr>
        <w:t>个项目绩效目标申报表的审核及系统录入工作。</w:t>
      </w:r>
    </w:p>
    <w:p>
      <w:pPr>
        <w:keepNext w:val="0"/>
        <w:keepLines w:val="0"/>
        <w:pageBreakBefore w:val="0"/>
        <w:widowControl/>
        <w:kinsoku/>
        <w:wordWrap/>
        <w:overflowPunct/>
        <w:topLinePunct w:val="0"/>
        <w:autoSpaceDE/>
        <w:autoSpaceDN/>
        <w:bidi w:val="0"/>
        <w:adjustRightInd w:val="0"/>
        <w:snapToGrid w:val="0"/>
        <w:spacing w:line="360" w:lineRule="auto"/>
        <w:ind w:leftChars="0"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二是开展事后绩效自评及事中</w:t>
      </w:r>
      <w:r>
        <w:rPr>
          <w:rFonts w:hint="eastAsia" w:ascii="仿宋_GB2312" w:hAnsi="仿宋_GB2312" w:eastAsia="仿宋_GB2312" w:cs="仿宋_GB2312"/>
          <w:sz w:val="32"/>
          <w:szCs w:val="32"/>
          <w:highlight w:val="none"/>
          <w:lang w:val="en-US" w:eastAsia="zh-CN"/>
        </w:rPr>
        <w:t>绩效监控</w:t>
      </w:r>
      <w:r>
        <w:rPr>
          <w:rFonts w:hint="eastAsia" w:ascii="仿宋_GB2312" w:hAnsi="仿宋_GB2312" w:eastAsia="仿宋_GB2312" w:cs="仿宋_GB2312"/>
          <w:sz w:val="32"/>
          <w:szCs w:val="32"/>
          <w:highlight w:val="none"/>
        </w:rPr>
        <w:t>。2021年度部门项目支出实施绩效自评，评价项目54个，涉及金额149,935.41万元。其中，单位自评项目54个，评价得分在90（含）-100分的46个、评价得分在80（含）-90分的8个。</w:t>
      </w:r>
      <w:r>
        <w:rPr>
          <w:rFonts w:hint="eastAsia" w:ascii="仿宋_GB2312" w:hAnsi="仿宋_GB2312" w:eastAsia="仿宋_GB2312" w:cs="仿宋_GB2312"/>
          <w:sz w:val="32"/>
          <w:szCs w:val="32"/>
          <w:highlight w:val="none"/>
          <w:lang w:val="en-US" w:eastAsia="zh-CN"/>
        </w:rPr>
        <w:t>2022年度</w:t>
      </w:r>
      <w:r>
        <w:rPr>
          <w:rFonts w:hint="eastAsia" w:ascii="仿宋_GB2312" w:hAnsi="仿宋_GB2312" w:eastAsia="仿宋_GB2312" w:cs="仿宋_GB2312"/>
          <w:sz w:val="32"/>
          <w:szCs w:val="32"/>
          <w:highlight w:val="none"/>
        </w:rPr>
        <w:t>绩效运行监控项目39个，金额190,163.22万元。</w:t>
      </w:r>
    </w:p>
    <w:p>
      <w:pPr>
        <w:pStyle w:val="9"/>
        <w:keepNext w:val="0"/>
        <w:keepLines w:val="0"/>
        <w:pageBreakBefore w:val="0"/>
        <w:widowControl/>
        <w:kinsoku/>
        <w:wordWrap/>
        <w:overflowPunct/>
        <w:topLinePunct w:val="0"/>
        <w:autoSpaceDE/>
        <w:autoSpaceDN/>
        <w:bidi w:val="0"/>
        <w:adjustRightInd w:val="0"/>
        <w:snapToGrid w:val="0"/>
        <w:spacing w:after="0" w:line="360" w:lineRule="auto"/>
        <w:ind w:firstLine="640" w:firstLineChars="200"/>
        <w:textAlignment w:val="auto"/>
        <w:rPr>
          <w:rFonts w:hint="default" w:ascii="仿宋_GB2312" w:hAnsi="仿宋_GB2312" w:eastAsia="仿宋_GB2312" w:cs="仿宋_GB2312"/>
          <w:kern w:val="2"/>
          <w:sz w:val="32"/>
          <w:szCs w:val="32"/>
          <w:highlight w:val="none"/>
          <w:lang w:val="en-US" w:eastAsia="zh-CN" w:bidi="ar-SA"/>
        </w:rPr>
      </w:pPr>
      <w:r>
        <w:rPr>
          <w:rFonts w:hint="eastAsia" w:ascii="仿宋_GB2312" w:hAnsi="仿宋_GB2312" w:eastAsia="仿宋_GB2312" w:cs="仿宋_GB2312"/>
          <w:sz w:val="32"/>
          <w:szCs w:val="32"/>
          <w:highlight w:val="none"/>
          <w:lang w:val="en-US" w:eastAsia="zh-CN"/>
        </w:rPr>
        <w:t>三是</w:t>
      </w:r>
      <w:r>
        <w:rPr>
          <w:rFonts w:hint="eastAsia" w:ascii="仿宋_GB2312" w:hAnsi="仿宋_GB2312" w:eastAsia="仿宋_GB2312" w:cs="仿宋_GB2312"/>
          <w:kern w:val="2"/>
          <w:sz w:val="32"/>
          <w:szCs w:val="32"/>
          <w:highlight w:val="none"/>
          <w:lang w:val="en-US" w:eastAsia="zh-CN" w:bidi="ar-SA"/>
        </w:rPr>
        <w:t>组织事前绩效评估。我委组织开展《关于推动中关村加快建设世界领先科技园区的若干政策措施》《中关村国家自主创新示范区提升企业创新能力支持资金管理办法》《中关村国家自主创新示范区促进科技金融深度融合发展支持资金管理办法》《中关村国家自主创新示范区促进园区高质量发展支持资金管理办法》《中关村国家自主创新示范区优化创新创业生态环境支持资金管理办法》《中关村国家自主创新示范区提升国际化发展水平支持资金管理办法》（简称“1+5”政策体系）和《科技军民融合统筹发展支持资金管理办法（试行）》政策的事前绩效评估工作。</w:t>
      </w:r>
    </w:p>
    <w:p>
      <w:pPr>
        <w:pStyle w:val="4"/>
        <w:keepNext w:val="0"/>
        <w:keepLines w:val="0"/>
        <w:pageBreakBefore w:val="0"/>
        <w:widowControl/>
        <w:kinsoku/>
        <w:wordWrap/>
        <w:overflowPunct/>
        <w:topLinePunct w:val="0"/>
        <w:autoSpaceDE/>
        <w:autoSpaceDN/>
        <w:bidi w:val="0"/>
        <w:adjustRightInd w:val="0"/>
        <w:snapToGrid w:val="0"/>
        <w:spacing w:before="0" w:after="0" w:line="360" w:lineRule="auto"/>
        <w:ind w:leftChars="0" w:firstLine="640" w:firstLineChars="200"/>
        <w:textAlignment w:val="auto"/>
        <w:rPr>
          <w:rFonts w:ascii="楷体" w:hAnsi="楷体" w:eastAsia="楷体"/>
          <w:b w:val="0"/>
          <w:bCs w:val="0"/>
          <w:highlight w:val="none"/>
        </w:rPr>
      </w:pPr>
      <w:bookmarkStart w:id="12" w:name="_Toc3478"/>
      <w:r>
        <w:rPr>
          <w:rFonts w:hint="eastAsia" w:ascii="楷体" w:hAnsi="楷体" w:eastAsia="楷体"/>
          <w:b w:val="0"/>
          <w:bCs w:val="0"/>
          <w:highlight w:val="none"/>
        </w:rPr>
        <w:t>（四）结转结余率</w:t>
      </w:r>
      <w:bookmarkEnd w:id="12"/>
    </w:p>
    <w:p>
      <w:pPr>
        <w:keepNext w:val="0"/>
        <w:keepLines w:val="0"/>
        <w:pageBreakBefore w:val="0"/>
        <w:widowControl/>
        <w:kinsoku/>
        <w:wordWrap/>
        <w:overflowPunct/>
        <w:topLinePunct w:val="0"/>
        <w:autoSpaceDE/>
        <w:autoSpaceDN/>
        <w:bidi w:val="0"/>
        <w:adjustRightInd w:val="0"/>
        <w:snapToGrid w:val="0"/>
        <w:spacing w:line="360" w:lineRule="auto"/>
        <w:ind w:leftChars="0" w:firstLine="640" w:firstLineChars="20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202</w:t>
      </w: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rPr>
        <w:t>年末结转结余30,633.48万元，占全年支出预算金额268,805.39万元的11.40%，较上年结转结余率27.65%</w:t>
      </w:r>
      <w:r>
        <w:rPr>
          <w:rFonts w:hint="eastAsia" w:ascii="仿宋_GB2312" w:hAnsi="仿宋_GB2312" w:eastAsia="仿宋_GB2312" w:cs="仿宋_GB2312"/>
          <w:sz w:val="32"/>
          <w:szCs w:val="32"/>
          <w:highlight w:val="none"/>
          <w:lang w:val="en-US" w:eastAsia="zh-CN"/>
        </w:rPr>
        <w:t>降低16个百分点</w:t>
      </w:r>
      <w:r>
        <w:rPr>
          <w:rFonts w:hint="eastAsia" w:ascii="仿宋_GB2312" w:hAnsi="仿宋_GB2312" w:eastAsia="仿宋_GB2312" w:cs="仿宋_GB2312"/>
          <w:sz w:val="32"/>
          <w:szCs w:val="32"/>
          <w:highlight w:val="none"/>
          <w:lang w:eastAsia="zh-CN"/>
        </w:rPr>
        <w:t>。</w:t>
      </w:r>
    </w:p>
    <w:p>
      <w:pPr>
        <w:pStyle w:val="4"/>
        <w:keepNext w:val="0"/>
        <w:keepLines w:val="0"/>
        <w:pageBreakBefore w:val="0"/>
        <w:widowControl/>
        <w:kinsoku/>
        <w:wordWrap/>
        <w:overflowPunct/>
        <w:topLinePunct w:val="0"/>
        <w:autoSpaceDE/>
        <w:autoSpaceDN/>
        <w:bidi w:val="0"/>
        <w:adjustRightInd w:val="0"/>
        <w:snapToGrid w:val="0"/>
        <w:spacing w:before="0" w:after="0" w:line="360" w:lineRule="auto"/>
        <w:ind w:leftChars="0" w:firstLine="640" w:firstLineChars="200"/>
        <w:textAlignment w:val="auto"/>
        <w:rPr>
          <w:rFonts w:ascii="楷体" w:hAnsi="楷体" w:eastAsia="楷体"/>
          <w:b w:val="0"/>
          <w:bCs w:val="0"/>
          <w:highlight w:val="none"/>
        </w:rPr>
      </w:pPr>
      <w:bookmarkStart w:id="13" w:name="_Toc17207"/>
      <w:r>
        <w:rPr>
          <w:rFonts w:hint="eastAsia" w:ascii="楷体" w:hAnsi="楷体" w:eastAsia="楷体"/>
          <w:b w:val="0"/>
          <w:bCs w:val="0"/>
          <w:highlight w:val="none"/>
        </w:rPr>
        <w:t>（五）部门预决算差异</w:t>
      </w:r>
      <w:bookmarkEnd w:id="13"/>
    </w:p>
    <w:p>
      <w:pPr>
        <w:keepNext w:val="0"/>
        <w:keepLines w:val="0"/>
        <w:pageBreakBefore w:val="0"/>
        <w:widowControl/>
        <w:kinsoku/>
        <w:wordWrap/>
        <w:overflowPunct/>
        <w:topLinePunct w:val="0"/>
        <w:autoSpaceDE/>
        <w:autoSpaceDN/>
        <w:bidi w:val="0"/>
        <w:adjustRightInd w:val="0"/>
        <w:snapToGrid w:val="0"/>
        <w:spacing w:line="360" w:lineRule="auto"/>
        <w:ind w:leftChars="0"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202</w:t>
      </w:r>
      <w:r>
        <w:rPr>
          <w:rFonts w:hint="eastAsia" w:ascii="仿宋_GB2312" w:hAnsi="仿宋_GB2312" w:eastAsia="仿宋_GB2312" w:cs="仿宋_GB2312"/>
          <w:sz w:val="32"/>
          <w:szCs w:val="32"/>
          <w:highlight w:val="none"/>
          <w:lang w:val="en-US" w:eastAsia="zh-CN"/>
        </w:rPr>
        <w:t>2年</w:t>
      </w:r>
      <w:r>
        <w:rPr>
          <w:rFonts w:hint="eastAsia" w:ascii="仿宋_GB2312" w:hAnsi="仿宋_GB2312" w:eastAsia="仿宋_GB2312" w:cs="仿宋_GB2312"/>
          <w:color w:val="000000"/>
          <w:sz w:val="32"/>
          <w:szCs w:val="32"/>
          <w:highlight w:val="none"/>
        </w:rPr>
        <w:t>末决算支出</w:t>
      </w:r>
      <w:r>
        <w:rPr>
          <w:rFonts w:hint="eastAsia" w:ascii="仿宋_GB2312" w:hAnsi="仿宋_GB2312" w:eastAsia="仿宋_GB2312" w:cs="仿宋_GB2312"/>
          <w:sz w:val="32"/>
          <w:szCs w:val="32"/>
          <w:highlight w:val="none"/>
        </w:rPr>
        <w:t>238,171.91万元，年初预算收入229,882.76万元，部门预算决算差异率为</w:t>
      </w:r>
      <w:r>
        <w:rPr>
          <w:rFonts w:hint="eastAsia" w:ascii="仿宋_GB2312" w:hAnsi="仿宋_GB2312" w:eastAsia="仿宋_GB2312" w:cs="仿宋_GB2312"/>
          <w:sz w:val="32"/>
          <w:szCs w:val="32"/>
          <w:highlight w:val="none"/>
          <w:lang w:val="en-US" w:eastAsia="zh-CN"/>
        </w:rPr>
        <w:t>3.61</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eastAsia="zh-CN"/>
        </w:rPr>
        <w:t>，</w:t>
      </w:r>
      <w:r>
        <w:rPr>
          <w:rFonts w:hint="eastAsia" w:ascii="仿宋_GB2312" w:hAnsi="仿宋_GB2312" w:eastAsia="仿宋_GB2312" w:cs="仿宋_GB2312"/>
          <w:sz w:val="32"/>
          <w:szCs w:val="32"/>
          <w:highlight w:val="none"/>
        </w:rPr>
        <w:t>低于全市平均部门预决算差异率。</w:t>
      </w:r>
    </w:p>
    <w:p>
      <w:pPr>
        <w:pStyle w:val="4"/>
        <w:keepNext w:val="0"/>
        <w:keepLines w:val="0"/>
        <w:pageBreakBefore w:val="0"/>
        <w:widowControl/>
        <w:kinsoku/>
        <w:wordWrap/>
        <w:overflowPunct/>
        <w:topLinePunct w:val="0"/>
        <w:autoSpaceDE/>
        <w:autoSpaceDN/>
        <w:bidi w:val="0"/>
        <w:adjustRightInd w:val="0"/>
        <w:snapToGrid w:val="0"/>
        <w:spacing w:before="0" w:after="0" w:line="360" w:lineRule="auto"/>
        <w:ind w:leftChars="0" w:firstLine="640" w:firstLineChars="200"/>
        <w:textAlignment w:val="auto"/>
        <w:rPr>
          <w:rFonts w:hint="eastAsia" w:ascii="黑体" w:hAnsi="黑体" w:eastAsia="黑体"/>
          <w:b w:val="0"/>
          <w:bCs w:val="0"/>
          <w:highlight w:val="none"/>
        </w:rPr>
      </w:pPr>
      <w:bookmarkStart w:id="14" w:name="_Toc1546"/>
      <w:r>
        <w:rPr>
          <w:rFonts w:hint="eastAsia" w:ascii="黑体" w:hAnsi="黑体" w:eastAsia="黑体"/>
          <w:b w:val="0"/>
          <w:bCs w:val="0"/>
          <w:highlight w:val="none"/>
          <w:lang w:val="en-US" w:eastAsia="zh-CN"/>
        </w:rPr>
        <w:t>五、</w:t>
      </w:r>
      <w:r>
        <w:rPr>
          <w:rFonts w:hint="eastAsia" w:ascii="黑体" w:hAnsi="黑体" w:eastAsia="黑体"/>
          <w:b w:val="0"/>
          <w:bCs w:val="0"/>
          <w:highlight w:val="none"/>
        </w:rPr>
        <w:t>总体评价结论</w:t>
      </w:r>
      <w:bookmarkEnd w:id="14"/>
    </w:p>
    <w:p>
      <w:pPr>
        <w:keepNext w:val="0"/>
        <w:keepLines w:val="0"/>
        <w:pageBreakBefore w:val="0"/>
        <w:widowControl/>
        <w:kinsoku/>
        <w:wordWrap/>
        <w:overflowPunct/>
        <w:topLinePunct w:val="0"/>
        <w:autoSpaceDE/>
        <w:autoSpaceDN/>
        <w:bidi w:val="0"/>
        <w:adjustRightInd w:val="0"/>
        <w:snapToGrid w:val="0"/>
        <w:spacing w:line="360" w:lineRule="auto"/>
        <w:ind w:leftChars="0" w:firstLine="640" w:firstLineChars="200"/>
        <w:textAlignment w:val="auto"/>
        <w:outlineLvl w:val="1"/>
        <w:rPr>
          <w:rFonts w:hint="eastAsia" w:ascii="楷体" w:hAnsi="楷体" w:eastAsia="楷体" w:cs="楷体"/>
          <w:sz w:val="32"/>
          <w:szCs w:val="32"/>
          <w:highlight w:val="none"/>
        </w:rPr>
      </w:pPr>
      <w:bookmarkStart w:id="15" w:name="_Toc27232"/>
      <w:r>
        <w:rPr>
          <w:rFonts w:hint="eastAsia" w:ascii="楷体" w:hAnsi="楷体" w:eastAsia="楷体" w:cs="楷体"/>
          <w:sz w:val="32"/>
          <w:szCs w:val="32"/>
          <w:highlight w:val="none"/>
        </w:rPr>
        <w:t>（一）评价得分情况</w:t>
      </w:r>
      <w:bookmarkEnd w:id="15"/>
    </w:p>
    <w:p>
      <w:pPr>
        <w:keepNext w:val="0"/>
        <w:keepLines w:val="0"/>
        <w:pageBreakBefore w:val="0"/>
        <w:widowControl/>
        <w:kinsoku/>
        <w:wordWrap/>
        <w:overflowPunct/>
        <w:topLinePunct w:val="0"/>
        <w:autoSpaceDE/>
        <w:autoSpaceDN/>
        <w:bidi w:val="0"/>
        <w:adjustRightInd w:val="0"/>
        <w:snapToGrid w:val="0"/>
        <w:spacing w:line="360" w:lineRule="auto"/>
        <w:ind w:leftChars="0" w:firstLine="640" w:firstLineChars="20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t>本次部门整体绩效评价通过资料分析、专家评议等多种方式开展了全面、系统、客观的分析评价，最终得分为9</w:t>
      </w:r>
      <w:r>
        <w:rPr>
          <w:rFonts w:hint="eastAsia" w:ascii="仿宋_GB2312" w:hAnsi="仿宋_GB2312" w:eastAsia="仿宋_GB2312" w:cs="仿宋_GB2312"/>
          <w:sz w:val="32"/>
          <w:szCs w:val="32"/>
          <w:highlight w:val="none"/>
          <w:lang w:val="en-US" w:eastAsia="zh-CN"/>
        </w:rPr>
        <w:t>6</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92</w:t>
      </w:r>
      <w:r>
        <w:rPr>
          <w:rFonts w:hint="eastAsia" w:ascii="仿宋_GB2312" w:hAnsi="仿宋_GB2312" w:eastAsia="仿宋_GB2312" w:cs="仿宋_GB2312"/>
          <w:sz w:val="32"/>
          <w:szCs w:val="32"/>
          <w:highlight w:val="none"/>
        </w:rPr>
        <w:t>分，综合评价等级为“优秀”。其中：当年预算执行情况1</w:t>
      </w:r>
      <w:r>
        <w:rPr>
          <w:rFonts w:hint="eastAsia" w:ascii="仿宋_GB2312" w:hAnsi="仿宋_GB2312" w:eastAsia="仿宋_GB2312" w:cs="仿宋_GB2312"/>
          <w:sz w:val="32"/>
          <w:szCs w:val="32"/>
          <w:highlight w:val="none"/>
          <w:lang w:val="en-US" w:eastAsia="zh-CN"/>
        </w:rPr>
        <w:t>7</w:t>
      </w:r>
      <w:r>
        <w:rPr>
          <w:rFonts w:hint="eastAsia" w:ascii="仿宋_GB2312" w:hAnsi="仿宋_GB2312" w:eastAsia="仿宋_GB2312" w:cs="仿宋_GB2312"/>
          <w:sz w:val="32"/>
          <w:szCs w:val="32"/>
          <w:highlight w:val="none"/>
        </w:rPr>
        <w:t>.</w:t>
      </w:r>
      <w:r>
        <w:rPr>
          <w:rFonts w:hint="eastAsia" w:ascii="仿宋_GB2312" w:hAnsi="仿宋_GB2312" w:eastAsia="仿宋_GB2312" w:cs="仿宋_GB2312"/>
          <w:sz w:val="32"/>
          <w:szCs w:val="32"/>
          <w:highlight w:val="none"/>
          <w:lang w:val="en-US" w:eastAsia="zh-CN"/>
        </w:rPr>
        <w:t>72</w:t>
      </w:r>
      <w:r>
        <w:rPr>
          <w:rFonts w:hint="eastAsia" w:ascii="仿宋_GB2312" w:hAnsi="仿宋_GB2312" w:eastAsia="仿宋_GB2312" w:cs="仿宋_GB2312"/>
          <w:sz w:val="32"/>
          <w:szCs w:val="32"/>
          <w:highlight w:val="none"/>
        </w:rPr>
        <w:t>分，整体绩效目标实际情况</w:t>
      </w:r>
      <w:r>
        <w:rPr>
          <w:rFonts w:hint="eastAsia" w:ascii="仿宋_GB2312" w:hAnsi="仿宋_GB2312" w:eastAsia="仿宋_GB2312" w:cs="仿宋_GB2312"/>
          <w:sz w:val="32"/>
          <w:szCs w:val="32"/>
          <w:highlight w:val="none"/>
          <w:lang w:val="en-US" w:eastAsia="zh-CN"/>
        </w:rPr>
        <w:t>59.20</w:t>
      </w:r>
      <w:r>
        <w:rPr>
          <w:rFonts w:hint="eastAsia" w:ascii="仿宋_GB2312" w:hAnsi="仿宋_GB2312" w:eastAsia="仿宋_GB2312" w:cs="仿宋_GB2312"/>
          <w:sz w:val="32"/>
          <w:szCs w:val="32"/>
          <w:highlight w:val="none"/>
        </w:rPr>
        <w:t>分，预算管理情况</w:t>
      </w:r>
      <w:r>
        <w:rPr>
          <w:rFonts w:hint="eastAsia" w:ascii="仿宋_GB2312" w:hAnsi="仿宋_GB2312" w:eastAsia="仿宋_GB2312" w:cs="仿宋_GB2312"/>
          <w:sz w:val="32"/>
          <w:szCs w:val="32"/>
          <w:highlight w:val="none"/>
          <w:lang w:val="en-US" w:eastAsia="zh-CN"/>
        </w:rPr>
        <w:t>20</w:t>
      </w:r>
      <w:r>
        <w:rPr>
          <w:rFonts w:hint="eastAsia" w:ascii="仿宋_GB2312" w:hAnsi="仿宋_GB2312" w:eastAsia="仿宋_GB2312" w:cs="仿宋_GB2312"/>
          <w:sz w:val="32"/>
          <w:szCs w:val="32"/>
          <w:highlight w:val="none"/>
        </w:rPr>
        <w:t>分，具体评分见《</w:t>
      </w:r>
      <w:r>
        <w:rPr>
          <w:rFonts w:hint="eastAsia" w:ascii="仿宋_GB2312" w:hAnsi="仿宋_GB2312" w:eastAsia="仿宋_GB2312" w:cs="仿宋_GB2312"/>
          <w:sz w:val="32"/>
          <w:szCs w:val="32"/>
          <w:highlight w:val="none"/>
          <w:lang w:eastAsia="zh-CN"/>
        </w:rPr>
        <w:t>中关村科技园区管理委员会</w:t>
      </w:r>
      <w:r>
        <w:rPr>
          <w:rFonts w:hint="eastAsia" w:ascii="仿宋_GB2312" w:hAnsi="仿宋_GB2312" w:eastAsia="仿宋_GB2312" w:cs="仿宋_GB2312"/>
          <w:sz w:val="32"/>
          <w:szCs w:val="32"/>
          <w:highlight w:val="none"/>
        </w:rPr>
        <w:t>202</w:t>
      </w:r>
      <w:r>
        <w:rPr>
          <w:rFonts w:hint="eastAsia" w:ascii="仿宋_GB2312" w:hAnsi="仿宋_GB2312" w:eastAsia="仿宋_GB2312" w:cs="仿宋_GB2312"/>
          <w:sz w:val="32"/>
          <w:szCs w:val="32"/>
          <w:highlight w:val="none"/>
          <w:lang w:val="en-US" w:eastAsia="zh-CN"/>
        </w:rPr>
        <w:t>2</w:t>
      </w:r>
      <w:r>
        <w:rPr>
          <w:rFonts w:hint="eastAsia" w:ascii="仿宋_GB2312" w:hAnsi="仿宋_GB2312" w:eastAsia="仿宋_GB2312" w:cs="仿宋_GB2312"/>
          <w:sz w:val="32"/>
          <w:szCs w:val="32"/>
          <w:highlight w:val="none"/>
        </w:rPr>
        <w:t>年度部门整体绩效评价指标体系评分表》。</w:t>
      </w:r>
    </w:p>
    <w:p>
      <w:pPr>
        <w:keepNext w:val="0"/>
        <w:keepLines w:val="0"/>
        <w:pageBreakBefore w:val="0"/>
        <w:widowControl/>
        <w:kinsoku/>
        <w:wordWrap/>
        <w:overflowPunct/>
        <w:topLinePunct w:val="0"/>
        <w:autoSpaceDE/>
        <w:autoSpaceDN/>
        <w:bidi w:val="0"/>
        <w:adjustRightInd w:val="0"/>
        <w:snapToGrid w:val="0"/>
        <w:spacing w:line="360" w:lineRule="auto"/>
        <w:ind w:leftChars="0" w:firstLine="640" w:firstLineChars="200"/>
        <w:textAlignment w:val="auto"/>
        <w:outlineLvl w:val="1"/>
        <w:rPr>
          <w:rFonts w:hint="eastAsia" w:ascii="楷体" w:hAnsi="楷体" w:eastAsia="楷体" w:cs="楷体"/>
          <w:sz w:val="32"/>
          <w:szCs w:val="32"/>
          <w:highlight w:val="none"/>
        </w:rPr>
      </w:pPr>
      <w:bookmarkStart w:id="16" w:name="_Toc28446"/>
      <w:r>
        <w:rPr>
          <w:rFonts w:hint="eastAsia" w:ascii="楷体" w:hAnsi="楷体" w:eastAsia="楷体" w:cs="楷体"/>
          <w:sz w:val="32"/>
          <w:szCs w:val="32"/>
          <w:highlight w:val="none"/>
        </w:rPr>
        <w:t>（二）存在的问题及原因分析</w:t>
      </w:r>
      <w:bookmarkEnd w:id="16"/>
    </w:p>
    <w:p>
      <w:pPr>
        <w:keepNext w:val="0"/>
        <w:keepLines w:val="0"/>
        <w:pageBreakBefore w:val="0"/>
        <w:widowControl/>
        <w:kinsoku/>
        <w:wordWrap/>
        <w:overflowPunct/>
        <w:topLinePunct w:val="0"/>
        <w:autoSpaceDE/>
        <w:autoSpaceDN/>
        <w:bidi w:val="0"/>
        <w:adjustRightInd w:val="0"/>
        <w:snapToGrid w:val="0"/>
        <w:spacing w:line="360" w:lineRule="auto"/>
        <w:ind w:firstLine="640" w:firstLineChars="200"/>
        <w:textAlignment w:val="auto"/>
        <w:outlineLvl w:val="9"/>
        <w:rPr>
          <w:rFonts w:hint="eastAsia" w:ascii="仿宋_GB2312" w:eastAsia="仿宋_GB2312"/>
          <w:color w:val="auto"/>
          <w:sz w:val="32"/>
          <w:szCs w:val="32"/>
        </w:rPr>
      </w:pPr>
      <w:r>
        <w:rPr>
          <w:rFonts w:hint="eastAsia" w:ascii="仿宋_GB2312" w:eastAsia="仿宋_GB2312"/>
          <w:color w:val="auto"/>
          <w:sz w:val="32"/>
          <w:szCs w:val="32"/>
        </w:rPr>
        <w:t>1.项目绩效目标设定的系统性、科学性有待提升。个别项目绩效指标的细化程度及</w:t>
      </w:r>
      <w:r>
        <w:rPr>
          <w:rFonts w:hint="eastAsia" w:ascii="仿宋_GB2312" w:eastAsia="仿宋_GB2312"/>
          <w:color w:val="auto"/>
          <w:sz w:val="32"/>
          <w:szCs w:val="32"/>
          <w:lang w:val="en-US" w:eastAsia="zh-CN"/>
        </w:rPr>
        <w:t>量化</w:t>
      </w:r>
      <w:r>
        <w:rPr>
          <w:rFonts w:hint="eastAsia" w:ascii="仿宋_GB2312" w:eastAsia="仿宋_GB2312"/>
          <w:color w:val="auto"/>
          <w:sz w:val="32"/>
          <w:szCs w:val="32"/>
        </w:rPr>
        <w:t>不足，导致绩效目标实现程度的可衡量性较弱。</w:t>
      </w:r>
    </w:p>
    <w:p>
      <w:pPr>
        <w:keepNext w:val="0"/>
        <w:keepLines w:val="0"/>
        <w:pageBreakBefore w:val="0"/>
        <w:widowControl/>
        <w:kinsoku/>
        <w:wordWrap/>
        <w:overflowPunct/>
        <w:topLinePunct w:val="0"/>
        <w:autoSpaceDE/>
        <w:autoSpaceDN/>
        <w:bidi w:val="0"/>
        <w:adjustRightInd w:val="0"/>
        <w:snapToGrid w:val="0"/>
        <w:spacing w:line="360" w:lineRule="auto"/>
        <w:ind w:firstLine="640" w:firstLineChars="200"/>
        <w:textAlignment w:val="auto"/>
        <w:outlineLvl w:val="9"/>
        <w:rPr>
          <w:rFonts w:hint="eastAsia" w:ascii="仿宋_GB2312" w:eastAsia="仿宋_GB2312"/>
          <w:color w:val="auto"/>
          <w:sz w:val="32"/>
          <w:szCs w:val="32"/>
        </w:rPr>
      </w:pPr>
      <w:r>
        <w:rPr>
          <w:rFonts w:hint="eastAsia" w:ascii="仿宋_GB2312" w:eastAsia="仿宋_GB2312"/>
          <w:color w:val="auto"/>
          <w:sz w:val="32"/>
          <w:szCs w:val="32"/>
        </w:rPr>
        <w:t>2.项目管理的严谨性有待加强。个别项目的实施方案不够全面和严谨，未</w:t>
      </w:r>
      <w:r>
        <w:rPr>
          <w:rFonts w:hint="eastAsia" w:ascii="仿宋_GB2312" w:eastAsia="仿宋_GB2312"/>
          <w:color w:val="auto"/>
          <w:sz w:val="32"/>
          <w:szCs w:val="32"/>
          <w:lang w:val="en-US" w:eastAsia="zh-CN"/>
        </w:rPr>
        <w:t>能</w:t>
      </w:r>
      <w:r>
        <w:rPr>
          <w:rFonts w:hint="eastAsia" w:ascii="仿宋_GB2312" w:eastAsia="仿宋_GB2312"/>
          <w:color w:val="auto"/>
          <w:sz w:val="32"/>
          <w:szCs w:val="32"/>
        </w:rPr>
        <w:t>充分反映项目的</w:t>
      </w:r>
      <w:r>
        <w:rPr>
          <w:rFonts w:hint="eastAsia" w:ascii="仿宋_GB2312" w:eastAsia="仿宋_GB2312"/>
          <w:color w:val="auto"/>
          <w:sz w:val="32"/>
          <w:szCs w:val="32"/>
          <w:lang w:val="en-US" w:eastAsia="zh-CN"/>
        </w:rPr>
        <w:t>组织架构、人员分工</w:t>
      </w:r>
      <w:r>
        <w:rPr>
          <w:rFonts w:hint="eastAsia" w:ascii="仿宋_GB2312" w:eastAsia="仿宋_GB2312"/>
          <w:color w:val="auto"/>
          <w:sz w:val="32"/>
          <w:szCs w:val="32"/>
        </w:rPr>
        <w:t>等</w:t>
      </w:r>
      <w:r>
        <w:rPr>
          <w:rFonts w:hint="eastAsia" w:ascii="仿宋_GB2312" w:eastAsia="仿宋_GB2312"/>
          <w:color w:val="auto"/>
          <w:sz w:val="32"/>
          <w:szCs w:val="32"/>
          <w:lang w:eastAsia="zh-CN"/>
        </w:rPr>
        <w:t>，</w:t>
      </w:r>
      <w:r>
        <w:rPr>
          <w:rFonts w:hint="eastAsia" w:ascii="仿宋_GB2312" w:eastAsia="仿宋_GB2312"/>
          <w:color w:val="auto"/>
          <w:sz w:val="32"/>
          <w:szCs w:val="32"/>
          <w:lang w:val="en-US" w:eastAsia="zh-CN"/>
        </w:rPr>
        <w:t>风险防控措施不够明确</w:t>
      </w:r>
      <w:r>
        <w:rPr>
          <w:rFonts w:hint="eastAsia" w:ascii="仿宋_GB2312" w:eastAsia="仿宋_GB2312"/>
          <w:color w:val="auto"/>
          <w:sz w:val="32"/>
          <w:szCs w:val="32"/>
        </w:rPr>
        <w:t>。</w:t>
      </w:r>
    </w:p>
    <w:p>
      <w:pPr>
        <w:keepNext w:val="0"/>
        <w:keepLines w:val="0"/>
        <w:pageBreakBefore w:val="0"/>
        <w:widowControl/>
        <w:kinsoku/>
        <w:wordWrap/>
        <w:overflowPunct/>
        <w:topLinePunct w:val="0"/>
        <w:autoSpaceDE/>
        <w:autoSpaceDN/>
        <w:bidi w:val="0"/>
        <w:adjustRightInd w:val="0"/>
        <w:snapToGrid w:val="0"/>
        <w:spacing w:line="360" w:lineRule="auto"/>
        <w:ind w:firstLine="640" w:firstLineChars="200"/>
        <w:textAlignment w:val="auto"/>
        <w:outlineLvl w:val="9"/>
        <w:rPr>
          <w:rFonts w:hint="eastAsia" w:ascii="仿宋_GB2312" w:eastAsia="仿宋_GB2312"/>
          <w:color w:val="auto"/>
          <w:sz w:val="32"/>
          <w:szCs w:val="32"/>
        </w:rPr>
      </w:pPr>
      <w:r>
        <w:rPr>
          <w:rFonts w:hint="eastAsia" w:ascii="仿宋_GB2312" w:eastAsia="仿宋_GB2312"/>
          <w:color w:val="auto"/>
          <w:sz w:val="32"/>
          <w:szCs w:val="32"/>
        </w:rPr>
        <w:t>3.项目绩效信息体现</w:t>
      </w:r>
      <w:r>
        <w:rPr>
          <w:rFonts w:hint="eastAsia" w:ascii="仿宋_GB2312" w:eastAsia="仿宋_GB2312"/>
          <w:color w:val="auto"/>
          <w:sz w:val="32"/>
          <w:szCs w:val="32"/>
          <w:lang w:val="en-US" w:eastAsia="zh-CN"/>
        </w:rPr>
        <w:t>还</w:t>
      </w:r>
      <w:r>
        <w:rPr>
          <w:rFonts w:hint="eastAsia" w:ascii="仿宋_GB2312" w:eastAsia="仿宋_GB2312"/>
          <w:color w:val="auto"/>
          <w:sz w:val="32"/>
          <w:szCs w:val="32"/>
        </w:rPr>
        <w:t>不够充分。</w:t>
      </w:r>
      <w:r>
        <w:rPr>
          <w:rFonts w:hint="eastAsia" w:ascii="仿宋_GB2312" w:eastAsia="仿宋_GB2312"/>
          <w:color w:val="auto"/>
          <w:sz w:val="32"/>
          <w:szCs w:val="32"/>
          <w:lang w:val="en-US" w:eastAsia="zh-CN"/>
        </w:rPr>
        <w:t>项目效益</w:t>
      </w:r>
      <w:r>
        <w:rPr>
          <w:rFonts w:hint="eastAsia" w:ascii="仿宋_GB2312" w:eastAsia="仿宋_GB2312"/>
          <w:color w:val="auto"/>
          <w:sz w:val="32"/>
          <w:szCs w:val="32"/>
        </w:rPr>
        <w:t>指标的实现情况缺乏材料支撑，</w:t>
      </w:r>
      <w:r>
        <w:rPr>
          <w:rFonts w:hint="eastAsia" w:ascii="仿宋_GB2312" w:eastAsia="仿宋_GB2312"/>
          <w:color w:val="auto"/>
          <w:sz w:val="32"/>
          <w:szCs w:val="32"/>
          <w:lang w:val="en-US" w:eastAsia="zh-CN"/>
        </w:rPr>
        <w:t>体现</w:t>
      </w:r>
      <w:r>
        <w:rPr>
          <w:rFonts w:hint="eastAsia" w:ascii="仿宋_GB2312" w:eastAsia="仿宋_GB2312"/>
          <w:color w:val="auto"/>
          <w:sz w:val="32"/>
          <w:szCs w:val="32"/>
        </w:rPr>
        <w:t>项目绩效成果</w:t>
      </w:r>
      <w:r>
        <w:rPr>
          <w:rFonts w:hint="eastAsia" w:ascii="仿宋_GB2312" w:eastAsia="仿宋_GB2312"/>
          <w:color w:val="auto"/>
          <w:sz w:val="32"/>
          <w:szCs w:val="32"/>
          <w:lang w:val="en-US" w:eastAsia="zh-CN"/>
        </w:rPr>
        <w:t>和满意度调查</w:t>
      </w:r>
      <w:r>
        <w:rPr>
          <w:rFonts w:hint="eastAsia" w:ascii="仿宋_GB2312" w:eastAsia="仿宋_GB2312"/>
          <w:color w:val="auto"/>
          <w:sz w:val="32"/>
          <w:szCs w:val="32"/>
        </w:rPr>
        <w:t>的统计分析</w:t>
      </w:r>
      <w:r>
        <w:rPr>
          <w:rFonts w:hint="eastAsia" w:ascii="仿宋_GB2312" w:eastAsia="仿宋_GB2312"/>
          <w:color w:val="auto"/>
          <w:sz w:val="32"/>
          <w:szCs w:val="32"/>
          <w:lang w:val="en-US" w:eastAsia="zh-CN"/>
        </w:rPr>
        <w:t>还不够充分</w:t>
      </w:r>
      <w:r>
        <w:rPr>
          <w:rFonts w:hint="eastAsia" w:ascii="仿宋_GB2312" w:eastAsia="仿宋_GB2312"/>
          <w:color w:val="auto"/>
          <w:sz w:val="32"/>
          <w:szCs w:val="32"/>
        </w:rPr>
        <w:t>，</w:t>
      </w:r>
      <w:r>
        <w:rPr>
          <w:rFonts w:hint="eastAsia" w:ascii="仿宋_GB2312" w:eastAsia="仿宋_GB2312"/>
          <w:color w:val="auto"/>
          <w:sz w:val="32"/>
          <w:szCs w:val="32"/>
          <w:lang w:val="en-US" w:eastAsia="zh-CN"/>
        </w:rPr>
        <w:t>此外科技类项目</w:t>
      </w:r>
      <w:r>
        <w:rPr>
          <w:rFonts w:hint="eastAsia" w:ascii="仿宋_GB2312" w:eastAsia="仿宋_GB2312"/>
          <w:color w:val="auto"/>
          <w:sz w:val="32"/>
          <w:szCs w:val="32"/>
        </w:rPr>
        <w:t>在实施过程中，由于诸多因素的影响，项目的实际绩效产出可能与预期产出存在差距。</w:t>
      </w:r>
    </w:p>
    <w:p>
      <w:pPr>
        <w:pStyle w:val="4"/>
        <w:keepNext w:val="0"/>
        <w:keepLines w:val="0"/>
        <w:pageBreakBefore w:val="0"/>
        <w:widowControl/>
        <w:kinsoku/>
        <w:wordWrap/>
        <w:overflowPunct/>
        <w:topLinePunct w:val="0"/>
        <w:autoSpaceDE/>
        <w:autoSpaceDN/>
        <w:bidi w:val="0"/>
        <w:adjustRightInd w:val="0"/>
        <w:snapToGrid w:val="0"/>
        <w:spacing w:before="0" w:after="0" w:line="360" w:lineRule="auto"/>
        <w:ind w:leftChars="0" w:firstLine="640" w:firstLineChars="200"/>
        <w:textAlignment w:val="auto"/>
        <w:rPr>
          <w:rFonts w:ascii="黑体" w:hAnsi="黑体" w:eastAsia="黑体"/>
          <w:b w:val="0"/>
          <w:bCs w:val="0"/>
          <w:highlight w:val="none"/>
        </w:rPr>
      </w:pPr>
      <w:bookmarkStart w:id="17" w:name="_Toc25367"/>
      <w:r>
        <w:rPr>
          <w:rFonts w:hint="eastAsia" w:ascii="黑体" w:hAnsi="黑体" w:eastAsia="黑体"/>
          <w:b w:val="0"/>
          <w:bCs w:val="0"/>
          <w:highlight w:val="none"/>
        </w:rPr>
        <w:t>六、措施建议</w:t>
      </w:r>
      <w:bookmarkEnd w:id="17"/>
    </w:p>
    <w:p>
      <w:pPr>
        <w:keepNext w:val="0"/>
        <w:keepLines w:val="0"/>
        <w:pageBreakBefore w:val="0"/>
        <w:widowControl/>
        <w:kinsoku/>
        <w:wordWrap/>
        <w:overflowPunct/>
        <w:topLinePunct w:val="0"/>
        <w:autoSpaceDE/>
        <w:autoSpaceDN/>
        <w:bidi w:val="0"/>
        <w:adjustRightInd w:val="0"/>
        <w:snapToGrid w:val="0"/>
        <w:spacing w:line="360" w:lineRule="auto"/>
        <w:ind w:firstLine="640" w:firstLineChars="200"/>
        <w:textAlignment w:val="auto"/>
        <w:rPr>
          <w:rFonts w:hint="eastAsia" w:ascii="仿宋_GB2312" w:eastAsia="仿宋_GB2312"/>
          <w:color w:val="auto"/>
          <w:sz w:val="32"/>
          <w:szCs w:val="32"/>
        </w:rPr>
      </w:pPr>
      <w:bookmarkStart w:id="18" w:name="_Toc103006301"/>
      <w:r>
        <w:rPr>
          <w:rFonts w:ascii="仿宋_GB2312" w:eastAsia="仿宋_GB2312"/>
          <w:color w:val="auto"/>
          <w:sz w:val="32"/>
          <w:szCs w:val="32"/>
        </w:rPr>
        <w:t>（一）</w:t>
      </w:r>
      <w:r>
        <w:rPr>
          <w:rFonts w:hint="eastAsia" w:ascii="仿宋_GB2312" w:eastAsia="仿宋_GB2312"/>
          <w:color w:val="auto"/>
          <w:sz w:val="32"/>
          <w:szCs w:val="32"/>
        </w:rPr>
        <w:t>组织开展财政科技项目绩效指标研究</w:t>
      </w:r>
      <w:r>
        <w:rPr>
          <w:rFonts w:hint="eastAsia" w:ascii="仿宋_GB2312" w:eastAsia="仿宋_GB2312"/>
          <w:color w:val="auto"/>
          <w:sz w:val="32"/>
          <w:szCs w:val="32"/>
          <w:lang w:val="en-US" w:eastAsia="zh-CN"/>
        </w:rPr>
        <w:t>工作</w:t>
      </w:r>
      <w:r>
        <w:rPr>
          <w:rFonts w:hint="eastAsia" w:ascii="仿宋_GB2312" w:eastAsia="仿宋_GB2312"/>
          <w:color w:val="auto"/>
          <w:sz w:val="32"/>
          <w:szCs w:val="32"/>
        </w:rPr>
        <w:t>，按照机构类、科研类、政策类、</w:t>
      </w:r>
      <w:r>
        <w:rPr>
          <w:rFonts w:hint="eastAsia" w:ascii="仿宋_GB2312" w:eastAsia="仿宋_GB2312"/>
          <w:color w:val="auto"/>
          <w:sz w:val="32"/>
          <w:szCs w:val="32"/>
          <w:lang w:val="en-US" w:eastAsia="zh-CN"/>
        </w:rPr>
        <w:t>履职类</w:t>
      </w:r>
      <w:r>
        <w:rPr>
          <w:rFonts w:hint="eastAsia" w:ascii="仿宋_GB2312" w:eastAsia="仿宋_GB2312"/>
          <w:color w:val="auto"/>
          <w:sz w:val="32"/>
          <w:szCs w:val="32"/>
        </w:rPr>
        <w:t>四类梳理并制定分行业分领域指标体系，并做好绩效预算管理的培训工作。</w:t>
      </w:r>
    </w:p>
    <w:p>
      <w:pPr>
        <w:keepNext w:val="0"/>
        <w:keepLines w:val="0"/>
        <w:pageBreakBefore w:val="0"/>
        <w:widowControl/>
        <w:kinsoku/>
        <w:wordWrap/>
        <w:overflowPunct/>
        <w:topLinePunct w:val="0"/>
        <w:autoSpaceDE/>
        <w:autoSpaceDN/>
        <w:bidi w:val="0"/>
        <w:adjustRightInd w:val="0"/>
        <w:snapToGrid w:val="0"/>
        <w:spacing w:line="360" w:lineRule="auto"/>
        <w:ind w:firstLine="640" w:firstLineChars="200"/>
        <w:textAlignment w:val="auto"/>
        <w:rPr>
          <w:rFonts w:hint="eastAsia" w:ascii="仿宋_GB2312" w:eastAsia="仿宋_GB2312"/>
          <w:color w:val="auto"/>
          <w:sz w:val="32"/>
          <w:szCs w:val="32"/>
        </w:rPr>
      </w:pPr>
      <w:r>
        <w:rPr>
          <w:rFonts w:ascii="仿宋_GB2312" w:eastAsia="仿宋_GB2312"/>
          <w:color w:val="auto"/>
          <w:sz w:val="32"/>
          <w:szCs w:val="32"/>
        </w:rPr>
        <w:t>（</w:t>
      </w:r>
      <w:r>
        <w:rPr>
          <w:rFonts w:hint="eastAsia" w:ascii="仿宋_GB2312" w:eastAsia="仿宋_GB2312"/>
          <w:color w:val="auto"/>
          <w:sz w:val="32"/>
          <w:szCs w:val="32"/>
          <w:lang w:val="en-US" w:eastAsia="zh-CN"/>
        </w:rPr>
        <w:t>二</w:t>
      </w:r>
      <w:r>
        <w:rPr>
          <w:rFonts w:ascii="仿宋_GB2312" w:eastAsia="仿宋_GB2312"/>
          <w:color w:val="auto"/>
          <w:sz w:val="32"/>
          <w:szCs w:val="32"/>
        </w:rPr>
        <w:t>）</w:t>
      </w:r>
      <w:r>
        <w:rPr>
          <w:rFonts w:hint="eastAsia" w:ascii="仿宋_GB2312" w:eastAsia="仿宋_GB2312"/>
          <w:color w:val="auto"/>
          <w:sz w:val="32"/>
          <w:szCs w:val="32"/>
        </w:rPr>
        <w:t>加强项目管理。进一步加强项目风险控制、风险应对措施、绩效管理机制建设等方面，注重管理痕迹的留存和归档，提升管理的规范性和精细化程度。</w:t>
      </w:r>
    </w:p>
    <w:p>
      <w:pPr>
        <w:keepNext w:val="0"/>
        <w:keepLines w:val="0"/>
        <w:pageBreakBefore w:val="0"/>
        <w:widowControl/>
        <w:kinsoku/>
        <w:wordWrap/>
        <w:overflowPunct/>
        <w:topLinePunct w:val="0"/>
        <w:autoSpaceDE/>
        <w:autoSpaceDN/>
        <w:bidi w:val="0"/>
        <w:adjustRightInd w:val="0"/>
        <w:snapToGrid w:val="0"/>
        <w:spacing w:line="360" w:lineRule="auto"/>
        <w:ind w:firstLine="640" w:firstLineChars="200"/>
        <w:textAlignment w:val="auto"/>
        <w:rPr>
          <w:rFonts w:hint="eastAsia" w:ascii="仿宋_GB2312" w:eastAsia="仿宋_GB2312"/>
          <w:color w:val="auto"/>
          <w:sz w:val="32"/>
          <w:szCs w:val="32"/>
        </w:rPr>
      </w:pPr>
      <w:r>
        <w:rPr>
          <w:rFonts w:ascii="仿宋_GB2312" w:eastAsia="仿宋_GB2312"/>
          <w:color w:val="auto"/>
          <w:sz w:val="32"/>
          <w:szCs w:val="32"/>
        </w:rPr>
        <w:t>（</w:t>
      </w:r>
      <w:r>
        <w:rPr>
          <w:rFonts w:hint="eastAsia" w:ascii="仿宋_GB2312" w:eastAsia="仿宋_GB2312"/>
          <w:color w:val="auto"/>
          <w:sz w:val="32"/>
          <w:szCs w:val="32"/>
          <w:lang w:val="en-US" w:eastAsia="zh-CN"/>
        </w:rPr>
        <w:t>三</w:t>
      </w:r>
      <w:r>
        <w:rPr>
          <w:rFonts w:ascii="仿宋_GB2312" w:eastAsia="仿宋_GB2312"/>
          <w:color w:val="auto"/>
          <w:sz w:val="32"/>
          <w:szCs w:val="32"/>
        </w:rPr>
        <w:t>）</w:t>
      </w:r>
      <w:r>
        <w:rPr>
          <w:rFonts w:hint="eastAsia" w:ascii="仿宋_GB2312" w:eastAsia="仿宋_GB2312"/>
          <w:color w:val="auto"/>
          <w:sz w:val="32"/>
          <w:szCs w:val="32"/>
        </w:rPr>
        <w:t>加强绩效成果资料的归集，开展绩效分析。针对实施周期较长的项目探索建立绩效信息的跟踪机制，加强对绩效成果的跟踪及统计分析。</w:t>
      </w:r>
    </w:p>
    <w:p>
      <w:pPr>
        <w:pStyle w:val="4"/>
        <w:keepNext w:val="0"/>
        <w:keepLines w:val="0"/>
        <w:pageBreakBefore w:val="0"/>
        <w:widowControl/>
        <w:kinsoku/>
        <w:wordWrap/>
        <w:overflowPunct/>
        <w:topLinePunct w:val="0"/>
        <w:autoSpaceDE/>
        <w:autoSpaceDN/>
        <w:bidi w:val="0"/>
        <w:adjustRightInd w:val="0"/>
        <w:snapToGrid w:val="0"/>
        <w:spacing w:before="0" w:after="0" w:line="360" w:lineRule="auto"/>
        <w:ind w:leftChars="0" w:firstLine="640" w:firstLineChars="200"/>
        <w:textAlignment w:val="auto"/>
        <w:rPr>
          <w:rFonts w:hint="eastAsia" w:ascii="黑体" w:hAnsi="黑体" w:eastAsia="黑体" w:cs="Times New Roman"/>
          <w:b w:val="0"/>
          <w:bCs w:val="0"/>
          <w:highlight w:val="none"/>
        </w:rPr>
      </w:pPr>
      <w:bookmarkStart w:id="19" w:name="_Toc31298"/>
      <w:r>
        <w:rPr>
          <w:rFonts w:hint="eastAsia" w:ascii="黑体" w:hAnsi="黑体" w:eastAsia="黑体" w:cs="Times New Roman"/>
          <w:b w:val="0"/>
          <w:bCs w:val="0"/>
          <w:highlight w:val="none"/>
        </w:rPr>
        <w:t>七、附件</w:t>
      </w:r>
      <w:bookmarkEnd w:id="18"/>
      <w:bookmarkEnd w:id="19"/>
    </w:p>
    <w:p>
      <w:pPr>
        <w:keepNext w:val="0"/>
        <w:keepLines w:val="0"/>
        <w:pageBreakBefore w:val="0"/>
        <w:widowControl/>
        <w:kinsoku/>
        <w:wordWrap/>
        <w:overflowPunct/>
        <w:topLinePunct w:val="0"/>
        <w:autoSpaceDE/>
        <w:autoSpaceDN/>
        <w:bidi w:val="0"/>
        <w:adjustRightInd w:val="0"/>
        <w:snapToGrid w:val="0"/>
        <w:spacing w:line="360" w:lineRule="auto"/>
        <w:ind w:firstLine="640" w:firstLineChars="200"/>
        <w:textAlignment w:val="auto"/>
      </w:pPr>
      <w:r>
        <w:rPr>
          <w:rFonts w:hint="eastAsia" w:ascii="仿宋_GB2312" w:hAnsi="仿宋_GB2312" w:eastAsia="仿宋_GB2312" w:cs="仿宋_GB2312"/>
          <w:sz w:val="32"/>
          <w:szCs w:val="32"/>
          <w:highlight w:val="none"/>
        </w:rPr>
        <w:t>中关村科技园区管理委员会2022年度部门整体绩效评价指标体系评分表</w:t>
      </w:r>
      <w:bookmarkStart w:id="20" w:name="_GoBack"/>
      <w:bookmarkEnd w:id="20"/>
    </w:p>
    <w:sectPr>
      <w:footerReference r:id="rId6" w:type="default"/>
      <w:footnotePr>
        <w:numFmt w:val="decimalEnclosedCircleChinese"/>
      </w:footnotePr>
      <w:pgSz w:w="11906" w:h="16838"/>
      <w:pgMar w:top="1440" w:right="1416"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auto"/>
    <w:pitch w:val="default"/>
    <w:sig w:usb0="00000000" w:usb1="00000000" w:usb2="00000009" w:usb3="00000000" w:csb0="400001FF" w:csb1="FFFF0000"/>
  </w:font>
  <w:font w:name="宋体">
    <w:altName w:val="方正书宋_GBK"/>
    <w:panose1 w:val="02010600030101010101"/>
    <w:charset w:val="50"/>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Calibri Light">
    <w:altName w:val="DejaVu Sans"/>
    <w:panose1 w:val="020F0302020204030204"/>
    <w:charset w:val="00"/>
    <w:family w:val="swiss"/>
    <w:pitch w:val="default"/>
    <w:sig w:usb0="00000000" w:usb1="00000000" w:usb2="00000009" w:usb3="00000000" w:csb0="200001FF" w:csb1="00000000"/>
  </w:font>
  <w:font w:name="Cambria">
    <w:altName w:val="Noto Sans Syriac Eastern"/>
    <w:panose1 w:val="02040503050406030204"/>
    <w:charset w:val="00"/>
    <w:family w:val="roman"/>
    <w:pitch w:val="default"/>
    <w:sig w:usb0="00000000" w:usb1="00000000" w:usb2="02000000" w:usb3="00000000" w:csb0="2000019F" w:csb1="00000000"/>
  </w:font>
  <w:font w:name="仿宋_GB2312">
    <w:altName w:val="方正仿宋_GBK"/>
    <w:panose1 w:val="02010609030101010101"/>
    <w:charset w:val="86"/>
    <w:family w:val="modern"/>
    <w:pitch w:val="default"/>
    <w:sig w:usb0="00000000" w:usb1="00000000" w:usb2="00000000" w:usb3="00000000" w:csb0="00040000" w:csb1="00000000"/>
  </w:font>
  <w:font w:name="Tahoma">
    <w:altName w:val="DejaVu Sans"/>
    <w:panose1 w:val="020B0604030504040204"/>
    <w:charset w:val="00"/>
    <w:family w:val="swiss"/>
    <w:pitch w:val="default"/>
    <w:sig w:usb0="00000000" w:usb1="00000000" w:usb2="00000029" w:usb3="00000000" w:csb0="200101FF" w:csb1="20280000"/>
  </w:font>
  <w:font w:name="楷体">
    <w:altName w:val="方正楷体_GBK"/>
    <w:panose1 w:val="02010609060101010101"/>
    <w:charset w:val="86"/>
    <w:family w:val="modern"/>
    <w:pitch w:val="default"/>
    <w:sig w:usb0="00000000" w:usb1="00000000" w:usb2="00000016" w:usb3="00000000" w:csb0="00040001" w:csb1="00000000"/>
  </w:font>
  <w:font w:name="楷体_GB2312">
    <w:altName w:val="方正楷体_GBK"/>
    <w:panose1 w:val="02010609030101010101"/>
    <w:charset w:val="86"/>
    <w:family w:val="modern"/>
    <w:pitch w:val="default"/>
    <w:sig w:usb0="00000000" w:usb1="00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楷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027"/>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9525">
                        <a:noFill/>
                      </a:ln>
                      <a:effectLst/>
                    </wps:spPr>
                    <wps:txbx>
                      <w:txbxContent>
                        <w:p>
                          <w:pPr>
                            <w:pStyle w:val="2"/>
                            <w:jc w:val="center"/>
                          </w:pPr>
                          <w:r>
                            <w:fldChar w:fldCharType="begin"/>
                          </w:r>
                          <w:r>
                            <w:instrText xml:space="preserve">PAGE   \* MERGEFORMAT</w:instrText>
                          </w:r>
                          <w:r>
                            <w:fldChar w:fldCharType="separate"/>
                          </w:r>
                          <w:r>
                            <w:rPr>
                              <w:lang w:val="zh-CN"/>
                            </w:rPr>
                            <w:t>34</w:t>
                          </w:r>
                          <w:r>
                            <w:rPr>
                              <w:lang w:val="zh-CN"/>
                            </w:rPr>
                            <w:fldChar w:fldCharType="end"/>
                          </w:r>
                        </w:p>
                      </w:txbxContent>
                    </wps:txbx>
                    <wps:bodyPr vert="horz" wrap="none" lIns="0" tIns="0" rIns="0" bIns="0" anchor="t" upright="false">
                      <a:spAutoFit/>
                    </wps:bodyPr>
                  </wps:wsp>
                </a:graphicData>
              </a:graphic>
            </wp:anchor>
          </w:drawing>
        </mc:Choice>
        <mc:Fallback>
          <w:pict>
            <v:shape id="文本框 1027"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BYAAABkcnMvUEsBAhQAFAAAAAgAh07iQM6pebnPAAAABQEA&#10;AA8AAAAAAAAAAQAgAAAAOAAAAGRycy9kb3ducmV2LnhtbFBLAQIUABQAAAAIAIdO4kA5uomr1AEA&#10;AIMDAAAOAAAAAAAAAAEAIAAAADQBAABkcnMvZTJvRG9jLnhtbFBLBQYAAAAABgAGAFkBAAB6BQAA&#10;AAA=&#10;">
              <v:fill on="f" focussize="0,0"/>
              <v:stroke on="f"/>
              <v:imagedata o:title=""/>
              <o:lock v:ext="edit" aspectratio="f"/>
              <v:textbox inset="0mm,0mm,0mm,0mm" style="mso-fit-shape-to-text:t;">
                <w:txbxContent>
                  <w:p>
                    <w:pPr>
                      <w:pStyle w:val="2"/>
                      <w:jc w:val="center"/>
                    </w:pPr>
                    <w:r>
                      <w:fldChar w:fldCharType="begin"/>
                    </w:r>
                    <w:r>
                      <w:instrText xml:space="preserve">PAGE   \* MERGEFORMAT</w:instrText>
                    </w:r>
                    <w:r>
                      <w:fldChar w:fldCharType="separate"/>
                    </w:r>
                    <w:r>
                      <w:rPr>
                        <w:lang w:val="zh-CN"/>
                      </w:rPr>
                      <w:t>34</w:t>
                    </w:r>
                    <w:r>
                      <w:rPr>
                        <w:lang w:val="zh-CN"/>
                      </w:rPr>
                      <w:fldChar w:fldCharType="end"/>
                    </w:r>
                  </w:p>
                </w:txbxContent>
              </v:textbox>
            </v:shape>
          </w:pict>
        </mc:Fallback>
      </mc:AlternateContent>
    </w:r>
  </w:p>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Quad Arrow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9525">
                        <a:noFill/>
                      </a:ln>
                      <a:effectLst/>
                    </wps:spPr>
                    <wps:txbx>
                      <w:txbxContent>
                        <w:p>
                          <w:pPr>
                            <w:pStyle w:val="2"/>
                            <w:jc w:val="center"/>
                          </w:pPr>
                          <w:r>
                            <w:fldChar w:fldCharType="begin"/>
                          </w:r>
                          <w:r>
                            <w:instrText xml:space="preserve">PAGE   \* MERGEFORMAT</w:instrText>
                          </w:r>
                          <w:r>
                            <w:fldChar w:fldCharType="separate"/>
                          </w:r>
                          <w:r>
                            <w:rPr>
                              <w:lang w:val="zh-CN"/>
                            </w:rPr>
                            <w:t>20</w:t>
                          </w:r>
                          <w:r>
                            <w:rPr>
                              <w:lang w:val="zh-CN"/>
                            </w:rPr>
                            <w:fldChar w:fldCharType="end"/>
                          </w:r>
                        </w:p>
                        <w:p/>
                      </w:txbxContent>
                    </wps:txbx>
                    <wps:bodyPr wrap="none" lIns="0" tIns="0" rIns="0" bIns="0" upright="true">
                      <a:spAutoFit/>
                    </wps:bodyPr>
                  </wps:wsp>
                </a:graphicData>
              </a:graphic>
            </wp:anchor>
          </w:drawing>
        </mc:Choice>
        <mc:Fallback>
          <w:pict>
            <v:shape id="Quad Arrow 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GBxGQrQBAABpAwAADgAAAAAAAAABACAAAAA0AQAAZHJzL2Uyb0Rv&#10;Yy54bWxQSwUGAAAAAAYABgBZAQAAWgUAAAAA&#10;">
              <v:fill on="f" focussize="0,0"/>
              <v:stroke on="f"/>
              <v:imagedata o:title=""/>
              <o:lock v:ext="edit" aspectratio="f"/>
              <v:textbox inset="0mm,0mm,0mm,0mm" style="mso-fit-shape-to-text:t;">
                <w:txbxContent>
                  <w:p>
                    <w:pPr>
                      <w:pStyle w:val="2"/>
                      <w:jc w:val="center"/>
                    </w:pPr>
                    <w:r>
                      <w:fldChar w:fldCharType="begin"/>
                    </w:r>
                    <w:r>
                      <w:instrText xml:space="preserve">PAGE   \* MERGEFORMAT</w:instrText>
                    </w:r>
                    <w:r>
                      <w:fldChar w:fldCharType="separate"/>
                    </w:r>
                    <w:r>
                      <w:rPr>
                        <w:lang w:val="zh-CN"/>
                      </w:rPr>
                      <w:t>20</w:t>
                    </w:r>
                    <w:r>
                      <w:rPr>
                        <w:lang w:val="zh-CN"/>
                      </w:rPr>
                      <w:fldChar w:fldCharType="end"/>
                    </w:r>
                  </w:p>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false"/>
  <w:bordersDoNotSurroundFooter w:val="false"/>
  <w:doNotTrackMoves/>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I3MmQ0NTE3MTE1Nzk1ZWMzMTMxZTgxNmRjNDZmZWIifQ=="/>
  </w:docVars>
  <w:rsids>
    <w:rsidRoot w:val="008F65C7"/>
    <w:rsid w:val="00001B05"/>
    <w:rsid w:val="00004C74"/>
    <w:rsid w:val="00005A47"/>
    <w:rsid w:val="0000744B"/>
    <w:rsid w:val="00007E49"/>
    <w:rsid w:val="00014393"/>
    <w:rsid w:val="00014C28"/>
    <w:rsid w:val="0001735C"/>
    <w:rsid w:val="000178DB"/>
    <w:rsid w:val="00021247"/>
    <w:rsid w:val="000227B4"/>
    <w:rsid w:val="000259C5"/>
    <w:rsid w:val="00026745"/>
    <w:rsid w:val="000277F2"/>
    <w:rsid w:val="000334C0"/>
    <w:rsid w:val="000357A9"/>
    <w:rsid w:val="000359AF"/>
    <w:rsid w:val="00036BFA"/>
    <w:rsid w:val="000379C4"/>
    <w:rsid w:val="0005553D"/>
    <w:rsid w:val="00055E6A"/>
    <w:rsid w:val="00056D2A"/>
    <w:rsid w:val="0005742C"/>
    <w:rsid w:val="00057D1B"/>
    <w:rsid w:val="0006148C"/>
    <w:rsid w:val="000626EB"/>
    <w:rsid w:val="00062839"/>
    <w:rsid w:val="0006286F"/>
    <w:rsid w:val="00062BC6"/>
    <w:rsid w:val="00063A95"/>
    <w:rsid w:val="00063FE1"/>
    <w:rsid w:val="00065636"/>
    <w:rsid w:val="0006595C"/>
    <w:rsid w:val="00065C74"/>
    <w:rsid w:val="000704A9"/>
    <w:rsid w:val="00071BD7"/>
    <w:rsid w:val="000739F2"/>
    <w:rsid w:val="00075439"/>
    <w:rsid w:val="000830C3"/>
    <w:rsid w:val="0008321C"/>
    <w:rsid w:val="000839B8"/>
    <w:rsid w:val="00084CE9"/>
    <w:rsid w:val="00084F29"/>
    <w:rsid w:val="00091C0B"/>
    <w:rsid w:val="00097ACA"/>
    <w:rsid w:val="000A1AE9"/>
    <w:rsid w:val="000A39E6"/>
    <w:rsid w:val="000A5039"/>
    <w:rsid w:val="000A5AFD"/>
    <w:rsid w:val="000A74AC"/>
    <w:rsid w:val="000A7EDF"/>
    <w:rsid w:val="000B7BF3"/>
    <w:rsid w:val="000C352A"/>
    <w:rsid w:val="000C6B89"/>
    <w:rsid w:val="000C7684"/>
    <w:rsid w:val="000D2EC2"/>
    <w:rsid w:val="000D5841"/>
    <w:rsid w:val="000E09B2"/>
    <w:rsid w:val="000E2154"/>
    <w:rsid w:val="000F5CCA"/>
    <w:rsid w:val="00101D13"/>
    <w:rsid w:val="0010271A"/>
    <w:rsid w:val="001027AB"/>
    <w:rsid w:val="0010413F"/>
    <w:rsid w:val="00105782"/>
    <w:rsid w:val="00106AD3"/>
    <w:rsid w:val="00115276"/>
    <w:rsid w:val="00123963"/>
    <w:rsid w:val="0012746E"/>
    <w:rsid w:val="00130134"/>
    <w:rsid w:val="00134F8B"/>
    <w:rsid w:val="00135D90"/>
    <w:rsid w:val="00136629"/>
    <w:rsid w:val="00144C17"/>
    <w:rsid w:val="00145C82"/>
    <w:rsid w:val="00160221"/>
    <w:rsid w:val="001630E1"/>
    <w:rsid w:val="00163465"/>
    <w:rsid w:val="001664F0"/>
    <w:rsid w:val="00166862"/>
    <w:rsid w:val="00166DE3"/>
    <w:rsid w:val="001673D2"/>
    <w:rsid w:val="00167F5C"/>
    <w:rsid w:val="00173614"/>
    <w:rsid w:val="001742A7"/>
    <w:rsid w:val="00174A50"/>
    <w:rsid w:val="0017588C"/>
    <w:rsid w:val="001773FE"/>
    <w:rsid w:val="001818A7"/>
    <w:rsid w:val="001829C8"/>
    <w:rsid w:val="001867C6"/>
    <w:rsid w:val="00186C38"/>
    <w:rsid w:val="00186EC6"/>
    <w:rsid w:val="001909EF"/>
    <w:rsid w:val="00191DA2"/>
    <w:rsid w:val="00193788"/>
    <w:rsid w:val="00194469"/>
    <w:rsid w:val="00195E08"/>
    <w:rsid w:val="00197475"/>
    <w:rsid w:val="001974E1"/>
    <w:rsid w:val="001A1360"/>
    <w:rsid w:val="001A3085"/>
    <w:rsid w:val="001A3281"/>
    <w:rsid w:val="001A371C"/>
    <w:rsid w:val="001A7857"/>
    <w:rsid w:val="001B030A"/>
    <w:rsid w:val="001B1FD2"/>
    <w:rsid w:val="001B77A4"/>
    <w:rsid w:val="001C4ECE"/>
    <w:rsid w:val="001C51A5"/>
    <w:rsid w:val="001C7500"/>
    <w:rsid w:val="001D3D44"/>
    <w:rsid w:val="001D4548"/>
    <w:rsid w:val="001D6DAC"/>
    <w:rsid w:val="001D7E7F"/>
    <w:rsid w:val="001E1F9F"/>
    <w:rsid w:val="001E2B5C"/>
    <w:rsid w:val="001E4671"/>
    <w:rsid w:val="001E61FB"/>
    <w:rsid w:val="001E753D"/>
    <w:rsid w:val="001F089B"/>
    <w:rsid w:val="001F0D1C"/>
    <w:rsid w:val="001F15F3"/>
    <w:rsid w:val="001F364A"/>
    <w:rsid w:val="0020372A"/>
    <w:rsid w:val="002063B0"/>
    <w:rsid w:val="0021202E"/>
    <w:rsid w:val="00217F5D"/>
    <w:rsid w:val="00223ADF"/>
    <w:rsid w:val="0022607D"/>
    <w:rsid w:val="002277D5"/>
    <w:rsid w:val="00232AD8"/>
    <w:rsid w:val="002408C5"/>
    <w:rsid w:val="00242033"/>
    <w:rsid w:val="002422CC"/>
    <w:rsid w:val="0024261C"/>
    <w:rsid w:val="0024426E"/>
    <w:rsid w:val="0024602F"/>
    <w:rsid w:val="00250B0E"/>
    <w:rsid w:val="002521AD"/>
    <w:rsid w:val="00252548"/>
    <w:rsid w:val="00256018"/>
    <w:rsid w:val="00262AEF"/>
    <w:rsid w:val="002631A0"/>
    <w:rsid w:val="00263DC9"/>
    <w:rsid w:val="002655B8"/>
    <w:rsid w:val="00270119"/>
    <w:rsid w:val="0027283B"/>
    <w:rsid w:val="00273671"/>
    <w:rsid w:val="00282CEB"/>
    <w:rsid w:val="00282D8C"/>
    <w:rsid w:val="00282E74"/>
    <w:rsid w:val="002845FC"/>
    <w:rsid w:val="00285F41"/>
    <w:rsid w:val="002A4156"/>
    <w:rsid w:val="002A55A7"/>
    <w:rsid w:val="002A6DFF"/>
    <w:rsid w:val="002A6E10"/>
    <w:rsid w:val="002A7824"/>
    <w:rsid w:val="002B0F61"/>
    <w:rsid w:val="002B6452"/>
    <w:rsid w:val="002B6FF1"/>
    <w:rsid w:val="002C1CC5"/>
    <w:rsid w:val="002C277F"/>
    <w:rsid w:val="002C7047"/>
    <w:rsid w:val="002D3791"/>
    <w:rsid w:val="002E030B"/>
    <w:rsid w:val="002E354C"/>
    <w:rsid w:val="002E3D34"/>
    <w:rsid w:val="002E6D1F"/>
    <w:rsid w:val="002F3D8C"/>
    <w:rsid w:val="002F4D90"/>
    <w:rsid w:val="0030355D"/>
    <w:rsid w:val="00310C24"/>
    <w:rsid w:val="0031251F"/>
    <w:rsid w:val="00312DE7"/>
    <w:rsid w:val="00314126"/>
    <w:rsid w:val="00315AC6"/>
    <w:rsid w:val="00317136"/>
    <w:rsid w:val="00317E13"/>
    <w:rsid w:val="00323756"/>
    <w:rsid w:val="00325946"/>
    <w:rsid w:val="00330EDB"/>
    <w:rsid w:val="00331499"/>
    <w:rsid w:val="00335FCB"/>
    <w:rsid w:val="00340601"/>
    <w:rsid w:val="00340C1A"/>
    <w:rsid w:val="00343D71"/>
    <w:rsid w:val="0034725D"/>
    <w:rsid w:val="003475D9"/>
    <w:rsid w:val="00353D19"/>
    <w:rsid w:val="00356E1C"/>
    <w:rsid w:val="0035769A"/>
    <w:rsid w:val="003613BC"/>
    <w:rsid w:val="003633D7"/>
    <w:rsid w:val="003658DD"/>
    <w:rsid w:val="00365B74"/>
    <w:rsid w:val="003660D4"/>
    <w:rsid w:val="00371172"/>
    <w:rsid w:val="00373CDA"/>
    <w:rsid w:val="003742A8"/>
    <w:rsid w:val="0037594A"/>
    <w:rsid w:val="003839F5"/>
    <w:rsid w:val="00391557"/>
    <w:rsid w:val="00391D7E"/>
    <w:rsid w:val="00395AA3"/>
    <w:rsid w:val="00396B4A"/>
    <w:rsid w:val="00396E7B"/>
    <w:rsid w:val="00396E95"/>
    <w:rsid w:val="003A2161"/>
    <w:rsid w:val="003A363E"/>
    <w:rsid w:val="003A4238"/>
    <w:rsid w:val="003A4D6F"/>
    <w:rsid w:val="003A6D5E"/>
    <w:rsid w:val="003A721A"/>
    <w:rsid w:val="003B0D04"/>
    <w:rsid w:val="003B3685"/>
    <w:rsid w:val="003B3C68"/>
    <w:rsid w:val="003B4353"/>
    <w:rsid w:val="003B43F3"/>
    <w:rsid w:val="003C0693"/>
    <w:rsid w:val="003C08C0"/>
    <w:rsid w:val="003C1173"/>
    <w:rsid w:val="003C5F90"/>
    <w:rsid w:val="003D17A3"/>
    <w:rsid w:val="003D21DD"/>
    <w:rsid w:val="003D239E"/>
    <w:rsid w:val="003D4456"/>
    <w:rsid w:val="003D52A0"/>
    <w:rsid w:val="003E040B"/>
    <w:rsid w:val="003E07B3"/>
    <w:rsid w:val="003E2BF4"/>
    <w:rsid w:val="003E397B"/>
    <w:rsid w:val="003E4C1B"/>
    <w:rsid w:val="003E7732"/>
    <w:rsid w:val="003E79EB"/>
    <w:rsid w:val="003F3FF6"/>
    <w:rsid w:val="003F430F"/>
    <w:rsid w:val="003F5833"/>
    <w:rsid w:val="003F619E"/>
    <w:rsid w:val="003F6B8F"/>
    <w:rsid w:val="003F741C"/>
    <w:rsid w:val="00400B2B"/>
    <w:rsid w:val="00400E83"/>
    <w:rsid w:val="00401614"/>
    <w:rsid w:val="00401B02"/>
    <w:rsid w:val="004047BA"/>
    <w:rsid w:val="004067F0"/>
    <w:rsid w:val="004072A8"/>
    <w:rsid w:val="00413C0C"/>
    <w:rsid w:val="00413D35"/>
    <w:rsid w:val="00415A10"/>
    <w:rsid w:val="00416375"/>
    <w:rsid w:val="0042305C"/>
    <w:rsid w:val="0042307D"/>
    <w:rsid w:val="00423D52"/>
    <w:rsid w:val="00425433"/>
    <w:rsid w:val="00445B90"/>
    <w:rsid w:val="004463E0"/>
    <w:rsid w:val="004502BB"/>
    <w:rsid w:val="0045206A"/>
    <w:rsid w:val="00462472"/>
    <w:rsid w:val="0046768C"/>
    <w:rsid w:val="004733A9"/>
    <w:rsid w:val="00473F05"/>
    <w:rsid w:val="00474699"/>
    <w:rsid w:val="00476E4C"/>
    <w:rsid w:val="00480A56"/>
    <w:rsid w:val="0048680F"/>
    <w:rsid w:val="004873D3"/>
    <w:rsid w:val="00494834"/>
    <w:rsid w:val="00497AE0"/>
    <w:rsid w:val="004A2348"/>
    <w:rsid w:val="004A28DB"/>
    <w:rsid w:val="004A30D6"/>
    <w:rsid w:val="004A6F1F"/>
    <w:rsid w:val="004B13A1"/>
    <w:rsid w:val="004B4687"/>
    <w:rsid w:val="004B7105"/>
    <w:rsid w:val="004B7901"/>
    <w:rsid w:val="004C21FC"/>
    <w:rsid w:val="004C299C"/>
    <w:rsid w:val="004C3184"/>
    <w:rsid w:val="004D13E3"/>
    <w:rsid w:val="004D31B5"/>
    <w:rsid w:val="004D32AA"/>
    <w:rsid w:val="004E0083"/>
    <w:rsid w:val="004E1992"/>
    <w:rsid w:val="004E2911"/>
    <w:rsid w:val="004E3D6C"/>
    <w:rsid w:val="004E5942"/>
    <w:rsid w:val="004E5C5B"/>
    <w:rsid w:val="004E5D3F"/>
    <w:rsid w:val="004E64C7"/>
    <w:rsid w:val="004F06FD"/>
    <w:rsid w:val="004F1FD5"/>
    <w:rsid w:val="004F3F0F"/>
    <w:rsid w:val="004F4686"/>
    <w:rsid w:val="004F560A"/>
    <w:rsid w:val="004F7CEC"/>
    <w:rsid w:val="00502428"/>
    <w:rsid w:val="0050611D"/>
    <w:rsid w:val="00510E51"/>
    <w:rsid w:val="005110EE"/>
    <w:rsid w:val="0051775D"/>
    <w:rsid w:val="00523AF4"/>
    <w:rsid w:val="005271B2"/>
    <w:rsid w:val="0053300C"/>
    <w:rsid w:val="00533707"/>
    <w:rsid w:val="005401A7"/>
    <w:rsid w:val="0054416C"/>
    <w:rsid w:val="005451AC"/>
    <w:rsid w:val="00546B56"/>
    <w:rsid w:val="00550470"/>
    <w:rsid w:val="00551231"/>
    <w:rsid w:val="00554BDE"/>
    <w:rsid w:val="00554E33"/>
    <w:rsid w:val="00555705"/>
    <w:rsid w:val="0055705F"/>
    <w:rsid w:val="00561483"/>
    <w:rsid w:val="0056224D"/>
    <w:rsid w:val="005666A9"/>
    <w:rsid w:val="0056768A"/>
    <w:rsid w:val="005702D7"/>
    <w:rsid w:val="00570A3A"/>
    <w:rsid w:val="005716A7"/>
    <w:rsid w:val="00572A0D"/>
    <w:rsid w:val="005751B3"/>
    <w:rsid w:val="00575990"/>
    <w:rsid w:val="00575ABF"/>
    <w:rsid w:val="00577B86"/>
    <w:rsid w:val="00583CB9"/>
    <w:rsid w:val="005902E1"/>
    <w:rsid w:val="005A0A27"/>
    <w:rsid w:val="005A1CEB"/>
    <w:rsid w:val="005A3577"/>
    <w:rsid w:val="005A3D65"/>
    <w:rsid w:val="005A60AB"/>
    <w:rsid w:val="005B1F78"/>
    <w:rsid w:val="005B39D8"/>
    <w:rsid w:val="005B40A1"/>
    <w:rsid w:val="005B48F6"/>
    <w:rsid w:val="005B55F9"/>
    <w:rsid w:val="005B69DE"/>
    <w:rsid w:val="005C295E"/>
    <w:rsid w:val="005D20B5"/>
    <w:rsid w:val="005D73E0"/>
    <w:rsid w:val="005E37AD"/>
    <w:rsid w:val="0060142A"/>
    <w:rsid w:val="006014F4"/>
    <w:rsid w:val="00601DE4"/>
    <w:rsid w:val="0060525D"/>
    <w:rsid w:val="00612758"/>
    <w:rsid w:val="006141B9"/>
    <w:rsid w:val="00617108"/>
    <w:rsid w:val="006205B9"/>
    <w:rsid w:val="00620ACB"/>
    <w:rsid w:val="00620EC5"/>
    <w:rsid w:val="00621EA9"/>
    <w:rsid w:val="00622FC9"/>
    <w:rsid w:val="00632225"/>
    <w:rsid w:val="00633A3A"/>
    <w:rsid w:val="0063470B"/>
    <w:rsid w:val="00635CCA"/>
    <w:rsid w:val="00636B3B"/>
    <w:rsid w:val="00640F00"/>
    <w:rsid w:val="00643EE4"/>
    <w:rsid w:val="00652577"/>
    <w:rsid w:val="006538C2"/>
    <w:rsid w:val="00653D34"/>
    <w:rsid w:val="00653DB7"/>
    <w:rsid w:val="0065589A"/>
    <w:rsid w:val="00655931"/>
    <w:rsid w:val="00656A14"/>
    <w:rsid w:val="0066282A"/>
    <w:rsid w:val="00662E88"/>
    <w:rsid w:val="00664856"/>
    <w:rsid w:val="00664B2F"/>
    <w:rsid w:val="006660D2"/>
    <w:rsid w:val="00667394"/>
    <w:rsid w:val="00670C84"/>
    <w:rsid w:val="00671FB5"/>
    <w:rsid w:val="00673854"/>
    <w:rsid w:val="00676984"/>
    <w:rsid w:val="00681EA4"/>
    <w:rsid w:val="006856AA"/>
    <w:rsid w:val="00686366"/>
    <w:rsid w:val="0069091A"/>
    <w:rsid w:val="00692465"/>
    <w:rsid w:val="006A1C39"/>
    <w:rsid w:val="006A2C3A"/>
    <w:rsid w:val="006A37B8"/>
    <w:rsid w:val="006A46D3"/>
    <w:rsid w:val="006A5CBA"/>
    <w:rsid w:val="006B1794"/>
    <w:rsid w:val="006B2703"/>
    <w:rsid w:val="006C0CC3"/>
    <w:rsid w:val="006C2891"/>
    <w:rsid w:val="006C326D"/>
    <w:rsid w:val="006D0EE0"/>
    <w:rsid w:val="006D7C6E"/>
    <w:rsid w:val="006E1605"/>
    <w:rsid w:val="006E1B08"/>
    <w:rsid w:val="006E2202"/>
    <w:rsid w:val="006E2AA3"/>
    <w:rsid w:val="006E4154"/>
    <w:rsid w:val="006E464D"/>
    <w:rsid w:val="006F57FA"/>
    <w:rsid w:val="006F713E"/>
    <w:rsid w:val="006F716B"/>
    <w:rsid w:val="00700719"/>
    <w:rsid w:val="00700871"/>
    <w:rsid w:val="00701674"/>
    <w:rsid w:val="00705BCE"/>
    <w:rsid w:val="00705CDC"/>
    <w:rsid w:val="007064A4"/>
    <w:rsid w:val="00707BB1"/>
    <w:rsid w:val="00711E3E"/>
    <w:rsid w:val="007141FF"/>
    <w:rsid w:val="007164DB"/>
    <w:rsid w:val="007224D6"/>
    <w:rsid w:val="00723049"/>
    <w:rsid w:val="00723753"/>
    <w:rsid w:val="00724001"/>
    <w:rsid w:val="00730D65"/>
    <w:rsid w:val="00733341"/>
    <w:rsid w:val="007375C6"/>
    <w:rsid w:val="0073777D"/>
    <w:rsid w:val="00740583"/>
    <w:rsid w:val="0074493F"/>
    <w:rsid w:val="00745E2E"/>
    <w:rsid w:val="00750CE7"/>
    <w:rsid w:val="0075643B"/>
    <w:rsid w:val="007564C7"/>
    <w:rsid w:val="00756629"/>
    <w:rsid w:val="00761CB0"/>
    <w:rsid w:val="00767CDC"/>
    <w:rsid w:val="0077011B"/>
    <w:rsid w:val="00771B04"/>
    <w:rsid w:val="00774D7D"/>
    <w:rsid w:val="00777085"/>
    <w:rsid w:val="007800E4"/>
    <w:rsid w:val="00781D2C"/>
    <w:rsid w:val="00785F13"/>
    <w:rsid w:val="00786B97"/>
    <w:rsid w:val="00787617"/>
    <w:rsid w:val="00790841"/>
    <w:rsid w:val="0079313D"/>
    <w:rsid w:val="0079315A"/>
    <w:rsid w:val="007958BB"/>
    <w:rsid w:val="00796312"/>
    <w:rsid w:val="0079746A"/>
    <w:rsid w:val="007A3E6F"/>
    <w:rsid w:val="007B2A8F"/>
    <w:rsid w:val="007B44F5"/>
    <w:rsid w:val="007B4581"/>
    <w:rsid w:val="007B5414"/>
    <w:rsid w:val="007C10F0"/>
    <w:rsid w:val="007C2CC6"/>
    <w:rsid w:val="007C78A8"/>
    <w:rsid w:val="007D4084"/>
    <w:rsid w:val="007D5F3A"/>
    <w:rsid w:val="007D6CE9"/>
    <w:rsid w:val="007E0F3C"/>
    <w:rsid w:val="007E2BFF"/>
    <w:rsid w:val="007E4E60"/>
    <w:rsid w:val="007E6AEE"/>
    <w:rsid w:val="007E72DA"/>
    <w:rsid w:val="007E7B59"/>
    <w:rsid w:val="007F178D"/>
    <w:rsid w:val="007F1B3A"/>
    <w:rsid w:val="0080263D"/>
    <w:rsid w:val="008041F0"/>
    <w:rsid w:val="00804BD9"/>
    <w:rsid w:val="008052A8"/>
    <w:rsid w:val="00805CB8"/>
    <w:rsid w:val="00807E8F"/>
    <w:rsid w:val="00810062"/>
    <w:rsid w:val="00812094"/>
    <w:rsid w:val="00812F06"/>
    <w:rsid w:val="0081306A"/>
    <w:rsid w:val="0081481F"/>
    <w:rsid w:val="0081630F"/>
    <w:rsid w:val="0081637F"/>
    <w:rsid w:val="008168C4"/>
    <w:rsid w:val="00822FE2"/>
    <w:rsid w:val="00824813"/>
    <w:rsid w:val="00825276"/>
    <w:rsid w:val="0082669C"/>
    <w:rsid w:val="00826E2F"/>
    <w:rsid w:val="00830CC6"/>
    <w:rsid w:val="00831FB1"/>
    <w:rsid w:val="008323CB"/>
    <w:rsid w:val="008343E8"/>
    <w:rsid w:val="00845002"/>
    <w:rsid w:val="0085330D"/>
    <w:rsid w:val="0085370A"/>
    <w:rsid w:val="008548F9"/>
    <w:rsid w:val="00854F5E"/>
    <w:rsid w:val="00855166"/>
    <w:rsid w:val="00861D9F"/>
    <w:rsid w:val="00862678"/>
    <w:rsid w:val="00863ACE"/>
    <w:rsid w:val="0086589C"/>
    <w:rsid w:val="0086626D"/>
    <w:rsid w:val="0087392F"/>
    <w:rsid w:val="00873AF4"/>
    <w:rsid w:val="00877CFB"/>
    <w:rsid w:val="008818F2"/>
    <w:rsid w:val="0088457A"/>
    <w:rsid w:val="00891AC2"/>
    <w:rsid w:val="00894046"/>
    <w:rsid w:val="0089580E"/>
    <w:rsid w:val="008974A5"/>
    <w:rsid w:val="008A1D45"/>
    <w:rsid w:val="008A296E"/>
    <w:rsid w:val="008A4CB1"/>
    <w:rsid w:val="008A6381"/>
    <w:rsid w:val="008A6409"/>
    <w:rsid w:val="008B2ABB"/>
    <w:rsid w:val="008B4CA2"/>
    <w:rsid w:val="008B4FFB"/>
    <w:rsid w:val="008B6EB1"/>
    <w:rsid w:val="008C00E6"/>
    <w:rsid w:val="008C340E"/>
    <w:rsid w:val="008C4D06"/>
    <w:rsid w:val="008D1643"/>
    <w:rsid w:val="008D23FB"/>
    <w:rsid w:val="008D3EF0"/>
    <w:rsid w:val="008E0E2D"/>
    <w:rsid w:val="008E10CC"/>
    <w:rsid w:val="008E4659"/>
    <w:rsid w:val="008F487D"/>
    <w:rsid w:val="008F5C84"/>
    <w:rsid w:val="008F65C7"/>
    <w:rsid w:val="008F6A76"/>
    <w:rsid w:val="00900475"/>
    <w:rsid w:val="009044E5"/>
    <w:rsid w:val="009139CD"/>
    <w:rsid w:val="0091555B"/>
    <w:rsid w:val="0092022D"/>
    <w:rsid w:val="00922A68"/>
    <w:rsid w:val="0092617E"/>
    <w:rsid w:val="00930001"/>
    <w:rsid w:val="009306A4"/>
    <w:rsid w:val="00932C19"/>
    <w:rsid w:val="00933F93"/>
    <w:rsid w:val="00946044"/>
    <w:rsid w:val="00947346"/>
    <w:rsid w:val="00950A67"/>
    <w:rsid w:val="009541B5"/>
    <w:rsid w:val="00954591"/>
    <w:rsid w:val="00960423"/>
    <w:rsid w:val="009606C8"/>
    <w:rsid w:val="00961994"/>
    <w:rsid w:val="00961E68"/>
    <w:rsid w:val="0096345F"/>
    <w:rsid w:val="00964944"/>
    <w:rsid w:val="00973D5E"/>
    <w:rsid w:val="00975C73"/>
    <w:rsid w:val="0097643E"/>
    <w:rsid w:val="009777AC"/>
    <w:rsid w:val="00983667"/>
    <w:rsid w:val="00983BCD"/>
    <w:rsid w:val="00983CB7"/>
    <w:rsid w:val="00984091"/>
    <w:rsid w:val="009915D6"/>
    <w:rsid w:val="009A2834"/>
    <w:rsid w:val="009A3FEF"/>
    <w:rsid w:val="009A5C9F"/>
    <w:rsid w:val="009A761D"/>
    <w:rsid w:val="009B0659"/>
    <w:rsid w:val="009B17DD"/>
    <w:rsid w:val="009B3D55"/>
    <w:rsid w:val="009B585C"/>
    <w:rsid w:val="009C08CA"/>
    <w:rsid w:val="009C2DA5"/>
    <w:rsid w:val="009C3D93"/>
    <w:rsid w:val="009C3F78"/>
    <w:rsid w:val="009C4FC2"/>
    <w:rsid w:val="009C75D8"/>
    <w:rsid w:val="009D37B7"/>
    <w:rsid w:val="009D5306"/>
    <w:rsid w:val="009D64C6"/>
    <w:rsid w:val="009D7223"/>
    <w:rsid w:val="009E10C2"/>
    <w:rsid w:val="009E42D9"/>
    <w:rsid w:val="009F022D"/>
    <w:rsid w:val="009F2FF0"/>
    <w:rsid w:val="009F391C"/>
    <w:rsid w:val="009F3CA2"/>
    <w:rsid w:val="009F3FE2"/>
    <w:rsid w:val="009F494A"/>
    <w:rsid w:val="00A01C19"/>
    <w:rsid w:val="00A14E8E"/>
    <w:rsid w:val="00A1504E"/>
    <w:rsid w:val="00A20B44"/>
    <w:rsid w:val="00A24BFA"/>
    <w:rsid w:val="00A24D19"/>
    <w:rsid w:val="00A2551B"/>
    <w:rsid w:val="00A2622A"/>
    <w:rsid w:val="00A263B9"/>
    <w:rsid w:val="00A274BD"/>
    <w:rsid w:val="00A27C99"/>
    <w:rsid w:val="00A31353"/>
    <w:rsid w:val="00A318CC"/>
    <w:rsid w:val="00A33D4E"/>
    <w:rsid w:val="00A34A87"/>
    <w:rsid w:val="00A34AC7"/>
    <w:rsid w:val="00A3535B"/>
    <w:rsid w:val="00A35D34"/>
    <w:rsid w:val="00A37723"/>
    <w:rsid w:val="00A40A54"/>
    <w:rsid w:val="00A41D0F"/>
    <w:rsid w:val="00A4234C"/>
    <w:rsid w:val="00A4353B"/>
    <w:rsid w:val="00A43BF8"/>
    <w:rsid w:val="00A45916"/>
    <w:rsid w:val="00A50E4C"/>
    <w:rsid w:val="00A5298A"/>
    <w:rsid w:val="00A53693"/>
    <w:rsid w:val="00A549DA"/>
    <w:rsid w:val="00A5608C"/>
    <w:rsid w:val="00A571CB"/>
    <w:rsid w:val="00A7112F"/>
    <w:rsid w:val="00A73212"/>
    <w:rsid w:val="00A76731"/>
    <w:rsid w:val="00A7742B"/>
    <w:rsid w:val="00A805AC"/>
    <w:rsid w:val="00A80953"/>
    <w:rsid w:val="00A81A9C"/>
    <w:rsid w:val="00A8254E"/>
    <w:rsid w:val="00A837A1"/>
    <w:rsid w:val="00A87A0A"/>
    <w:rsid w:val="00A91E05"/>
    <w:rsid w:val="00A92D01"/>
    <w:rsid w:val="00A93308"/>
    <w:rsid w:val="00A9722C"/>
    <w:rsid w:val="00A97EA2"/>
    <w:rsid w:val="00AA70CD"/>
    <w:rsid w:val="00AB0B2A"/>
    <w:rsid w:val="00AB1167"/>
    <w:rsid w:val="00AB1CD7"/>
    <w:rsid w:val="00AB1E80"/>
    <w:rsid w:val="00AB2044"/>
    <w:rsid w:val="00AB28BD"/>
    <w:rsid w:val="00AC1E04"/>
    <w:rsid w:val="00AC3572"/>
    <w:rsid w:val="00AC6A2A"/>
    <w:rsid w:val="00AD02BC"/>
    <w:rsid w:val="00AD279C"/>
    <w:rsid w:val="00AD4B6D"/>
    <w:rsid w:val="00AD6A1E"/>
    <w:rsid w:val="00AD6D32"/>
    <w:rsid w:val="00AE6EA1"/>
    <w:rsid w:val="00AE710C"/>
    <w:rsid w:val="00AF18EC"/>
    <w:rsid w:val="00AF59D9"/>
    <w:rsid w:val="00AF769D"/>
    <w:rsid w:val="00B07457"/>
    <w:rsid w:val="00B10D0A"/>
    <w:rsid w:val="00B111EA"/>
    <w:rsid w:val="00B11C1F"/>
    <w:rsid w:val="00B12EC8"/>
    <w:rsid w:val="00B15CE5"/>
    <w:rsid w:val="00B21570"/>
    <w:rsid w:val="00B23601"/>
    <w:rsid w:val="00B23750"/>
    <w:rsid w:val="00B2497E"/>
    <w:rsid w:val="00B27190"/>
    <w:rsid w:val="00B34521"/>
    <w:rsid w:val="00B36B24"/>
    <w:rsid w:val="00B43537"/>
    <w:rsid w:val="00B45A08"/>
    <w:rsid w:val="00B5185B"/>
    <w:rsid w:val="00B54387"/>
    <w:rsid w:val="00B55207"/>
    <w:rsid w:val="00B56A8D"/>
    <w:rsid w:val="00B62368"/>
    <w:rsid w:val="00B62B68"/>
    <w:rsid w:val="00B65A54"/>
    <w:rsid w:val="00B65AA7"/>
    <w:rsid w:val="00B678A0"/>
    <w:rsid w:val="00B7465A"/>
    <w:rsid w:val="00B7512B"/>
    <w:rsid w:val="00B75F2B"/>
    <w:rsid w:val="00B77C63"/>
    <w:rsid w:val="00B80311"/>
    <w:rsid w:val="00B841AC"/>
    <w:rsid w:val="00B84595"/>
    <w:rsid w:val="00B84F75"/>
    <w:rsid w:val="00B86DB3"/>
    <w:rsid w:val="00B872BE"/>
    <w:rsid w:val="00B90342"/>
    <w:rsid w:val="00B9168B"/>
    <w:rsid w:val="00B91C04"/>
    <w:rsid w:val="00B955A1"/>
    <w:rsid w:val="00BA282D"/>
    <w:rsid w:val="00BA2975"/>
    <w:rsid w:val="00BA3D7A"/>
    <w:rsid w:val="00BA7A2D"/>
    <w:rsid w:val="00BB00B2"/>
    <w:rsid w:val="00BB1489"/>
    <w:rsid w:val="00BB1A1D"/>
    <w:rsid w:val="00BB35E7"/>
    <w:rsid w:val="00BB51E2"/>
    <w:rsid w:val="00BC30A1"/>
    <w:rsid w:val="00BC5EBF"/>
    <w:rsid w:val="00BC7ECB"/>
    <w:rsid w:val="00BD094F"/>
    <w:rsid w:val="00BD7E40"/>
    <w:rsid w:val="00BD7EFA"/>
    <w:rsid w:val="00BE3B9D"/>
    <w:rsid w:val="00BE3CA3"/>
    <w:rsid w:val="00BE5E86"/>
    <w:rsid w:val="00BF181E"/>
    <w:rsid w:val="00BF4937"/>
    <w:rsid w:val="00BF5913"/>
    <w:rsid w:val="00BF620C"/>
    <w:rsid w:val="00BF78E2"/>
    <w:rsid w:val="00C00B9C"/>
    <w:rsid w:val="00C03B1D"/>
    <w:rsid w:val="00C03B6E"/>
    <w:rsid w:val="00C05FAE"/>
    <w:rsid w:val="00C07890"/>
    <w:rsid w:val="00C10A45"/>
    <w:rsid w:val="00C13853"/>
    <w:rsid w:val="00C14EB3"/>
    <w:rsid w:val="00C23C00"/>
    <w:rsid w:val="00C25E9D"/>
    <w:rsid w:val="00C2691D"/>
    <w:rsid w:val="00C36E92"/>
    <w:rsid w:val="00C372C0"/>
    <w:rsid w:val="00C37304"/>
    <w:rsid w:val="00C41B74"/>
    <w:rsid w:val="00C4596D"/>
    <w:rsid w:val="00C50D9E"/>
    <w:rsid w:val="00C524F4"/>
    <w:rsid w:val="00C52613"/>
    <w:rsid w:val="00C539F4"/>
    <w:rsid w:val="00C53DAC"/>
    <w:rsid w:val="00C53F79"/>
    <w:rsid w:val="00C5439B"/>
    <w:rsid w:val="00C54A75"/>
    <w:rsid w:val="00C54BC3"/>
    <w:rsid w:val="00C54FF3"/>
    <w:rsid w:val="00C579E1"/>
    <w:rsid w:val="00C61F53"/>
    <w:rsid w:val="00C6773F"/>
    <w:rsid w:val="00C67CE5"/>
    <w:rsid w:val="00C758C0"/>
    <w:rsid w:val="00C77BB7"/>
    <w:rsid w:val="00C80F7D"/>
    <w:rsid w:val="00C855A4"/>
    <w:rsid w:val="00C86865"/>
    <w:rsid w:val="00C8775A"/>
    <w:rsid w:val="00C92603"/>
    <w:rsid w:val="00C95693"/>
    <w:rsid w:val="00C9631C"/>
    <w:rsid w:val="00C963B3"/>
    <w:rsid w:val="00C97408"/>
    <w:rsid w:val="00CA4862"/>
    <w:rsid w:val="00CA5021"/>
    <w:rsid w:val="00CB0E79"/>
    <w:rsid w:val="00CB276E"/>
    <w:rsid w:val="00CB286A"/>
    <w:rsid w:val="00CB531E"/>
    <w:rsid w:val="00CB63E1"/>
    <w:rsid w:val="00CB7A72"/>
    <w:rsid w:val="00CC2726"/>
    <w:rsid w:val="00CD05A4"/>
    <w:rsid w:val="00CD2F65"/>
    <w:rsid w:val="00CD3477"/>
    <w:rsid w:val="00CE08D0"/>
    <w:rsid w:val="00CE15D8"/>
    <w:rsid w:val="00CE3893"/>
    <w:rsid w:val="00CE645C"/>
    <w:rsid w:val="00CE6FEE"/>
    <w:rsid w:val="00CE76D1"/>
    <w:rsid w:val="00CF1AD5"/>
    <w:rsid w:val="00CF1F70"/>
    <w:rsid w:val="00CF266B"/>
    <w:rsid w:val="00CF335E"/>
    <w:rsid w:val="00CF5F0E"/>
    <w:rsid w:val="00CF6F6C"/>
    <w:rsid w:val="00CF71AD"/>
    <w:rsid w:val="00CF75C6"/>
    <w:rsid w:val="00CF779E"/>
    <w:rsid w:val="00D02D0A"/>
    <w:rsid w:val="00D02E7C"/>
    <w:rsid w:val="00D0731C"/>
    <w:rsid w:val="00D147ED"/>
    <w:rsid w:val="00D156C4"/>
    <w:rsid w:val="00D22686"/>
    <w:rsid w:val="00D237BC"/>
    <w:rsid w:val="00D24692"/>
    <w:rsid w:val="00D26BCF"/>
    <w:rsid w:val="00D3331D"/>
    <w:rsid w:val="00D343F0"/>
    <w:rsid w:val="00D373FF"/>
    <w:rsid w:val="00D449AB"/>
    <w:rsid w:val="00D4537C"/>
    <w:rsid w:val="00D47115"/>
    <w:rsid w:val="00D607C2"/>
    <w:rsid w:val="00D60A84"/>
    <w:rsid w:val="00D621C9"/>
    <w:rsid w:val="00D64D92"/>
    <w:rsid w:val="00D67702"/>
    <w:rsid w:val="00D67BE6"/>
    <w:rsid w:val="00D75171"/>
    <w:rsid w:val="00D759CE"/>
    <w:rsid w:val="00D760D4"/>
    <w:rsid w:val="00D7732F"/>
    <w:rsid w:val="00D806D8"/>
    <w:rsid w:val="00D835E3"/>
    <w:rsid w:val="00D91964"/>
    <w:rsid w:val="00D97A56"/>
    <w:rsid w:val="00D97CE4"/>
    <w:rsid w:val="00DA1CAE"/>
    <w:rsid w:val="00DA2BFA"/>
    <w:rsid w:val="00DA3701"/>
    <w:rsid w:val="00DA4AB1"/>
    <w:rsid w:val="00DA795B"/>
    <w:rsid w:val="00DB079B"/>
    <w:rsid w:val="00DB4DE3"/>
    <w:rsid w:val="00DB7EB0"/>
    <w:rsid w:val="00DC2568"/>
    <w:rsid w:val="00DC3630"/>
    <w:rsid w:val="00DC4906"/>
    <w:rsid w:val="00DC5B60"/>
    <w:rsid w:val="00DD0579"/>
    <w:rsid w:val="00DD0D20"/>
    <w:rsid w:val="00DD3BBD"/>
    <w:rsid w:val="00DD4EA5"/>
    <w:rsid w:val="00DD5061"/>
    <w:rsid w:val="00DD5B05"/>
    <w:rsid w:val="00DD6ABF"/>
    <w:rsid w:val="00DD75CD"/>
    <w:rsid w:val="00DD79B0"/>
    <w:rsid w:val="00DE109C"/>
    <w:rsid w:val="00DE112E"/>
    <w:rsid w:val="00DE5CE2"/>
    <w:rsid w:val="00DE66A7"/>
    <w:rsid w:val="00DE7F49"/>
    <w:rsid w:val="00DF3421"/>
    <w:rsid w:val="00DF4121"/>
    <w:rsid w:val="00DF5C10"/>
    <w:rsid w:val="00E01E45"/>
    <w:rsid w:val="00E02812"/>
    <w:rsid w:val="00E0696E"/>
    <w:rsid w:val="00E06C04"/>
    <w:rsid w:val="00E11893"/>
    <w:rsid w:val="00E11D62"/>
    <w:rsid w:val="00E1564B"/>
    <w:rsid w:val="00E159BF"/>
    <w:rsid w:val="00E16416"/>
    <w:rsid w:val="00E172F7"/>
    <w:rsid w:val="00E1736F"/>
    <w:rsid w:val="00E1757D"/>
    <w:rsid w:val="00E206DD"/>
    <w:rsid w:val="00E2474A"/>
    <w:rsid w:val="00E25610"/>
    <w:rsid w:val="00E26EAB"/>
    <w:rsid w:val="00E30A20"/>
    <w:rsid w:val="00E32DF8"/>
    <w:rsid w:val="00E40B34"/>
    <w:rsid w:val="00E41C73"/>
    <w:rsid w:val="00E5356B"/>
    <w:rsid w:val="00E5445A"/>
    <w:rsid w:val="00E54672"/>
    <w:rsid w:val="00E5508D"/>
    <w:rsid w:val="00E573B1"/>
    <w:rsid w:val="00E616F0"/>
    <w:rsid w:val="00E62739"/>
    <w:rsid w:val="00E62B68"/>
    <w:rsid w:val="00E63B35"/>
    <w:rsid w:val="00E66B5A"/>
    <w:rsid w:val="00E71A87"/>
    <w:rsid w:val="00E727D9"/>
    <w:rsid w:val="00E749E3"/>
    <w:rsid w:val="00E768AD"/>
    <w:rsid w:val="00E81BCA"/>
    <w:rsid w:val="00E82EDA"/>
    <w:rsid w:val="00E8541E"/>
    <w:rsid w:val="00E9343D"/>
    <w:rsid w:val="00EA215D"/>
    <w:rsid w:val="00EB0101"/>
    <w:rsid w:val="00EB2895"/>
    <w:rsid w:val="00EB323A"/>
    <w:rsid w:val="00EB67A7"/>
    <w:rsid w:val="00EB6EB6"/>
    <w:rsid w:val="00EB760E"/>
    <w:rsid w:val="00EC4313"/>
    <w:rsid w:val="00EC6525"/>
    <w:rsid w:val="00ED2B7C"/>
    <w:rsid w:val="00ED4F7F"/>
    <w:rsid w:val="00ED4F8D"/>
    <w:rsid w:val="00EE0494"/>
    <w:rsid w:val="00EE117C"/>
    <w:rsid w:val="00EE16B6"/>
    <w:rsid w:val="00EF0CF2"/>
    <w:rsid w:val="00EF1016"/>
    <w:rsid w:val="00EF5EB4"/>
    <w:rsid w:val="00EF6D64"/>
    <w:rsid w:val="00F00391"/>
    <w:rsid w:val="00F021E2"/>
    <w:rsid w:val="00F03BCB"/>
    <w:rsid w:val="00F04CC3"/>
    <w:rsid w:val="00F04D9C"/>
    <w:rsid w:val="00F0641A"/>
    <w:rsid w:val="00F06E05"/>
    <w:rsid w:val="00F123FB"/>
    <w:rsid w:val="00F20980"/>
    <w:rsid w:val="00F20EFE"/>
    <w:rsid w:val="00F21240"/>
    <w:rsid w:val="00F21381"/>
    <w:rsid w:val="00F241D8"/>
    <w:rsid w:val="00F24C10"/>
    <w:rsid w:val="00F315F3"/>
    <w:rsid w:val="00F32B82"/>
    <w:rsid w:val="00F35106"/>
    <w:rsid w:val="00F4218D"/>
    <w:rsid w:val="00F435E4"/>
    <w:rsid w:val="00F45D2E"/>
    <w:rsid w:val="00F55172"/>
    <w:rsid w:val="00F6026B"/>
    <w:rsid w:val="00F612C7"/>
    <w:rsid w:val="00F620F1"/>
    <w:rsid w:val="00F63B8D"/>
    <w:rsid w:val="00F66CD0"/>
    <w:rsid w:val="00F724E5"/>
    <w:rsid w:val="00F74A85"/>
    <w:rsid w:val="00F74F03"/>
    <w:rsid w:val="00F765C5"/>
    <w:rsid w:val="00F81415"/>
    <w:rsid w:val="00F856E9"/>
    <w:rsid w:val="00F873FC"/>
    <w:rsid w:val="00F916A4"/>
    <w:rsid w:val="00F92352"/>
    <w:rsid w:val="00FA3C24"/>
    <w:rsid w:val="00FA70BF"/>
    <w:rsid w:val="00FB4412"/>
    <w:rsid w:val="00FB46F0"/>
    <w:rsid w:val="00FC0768"/>
    <w:rsid w:val="00FC11B6"/>
    <w:rsid w:val="00FC4750"/>
    <w:rsid w:val="00FC5848"/>
    <w:rsid w:val="00FD385B"/>
    <w:rsid w:val="00FD484F"/>
    <w:rsid w:val="00FD7096"/>
    <w:rsid w:val="00FD7DB1"/>
    <w:rsid w:val="00FD7E2E"/>
    <w:rsid w:val="00FE273B"/>
    <w:rsid w:val="00FE29BC"/>
    <w:rsid w:val="00FE3D99"/>
    <w:rsid w:val="00FF1E6B"/>
    <w:rsid w:val="00FF279F"/>
    <w:rsid w:val="00FF4842"/>
    <w:rsid w:val="00FF51E8"/>
    <w:rsid w:val="00FF6780"/>
    <w:rsid w:val="010F0552"/>
    <w:rsid w:val="01171186"/>
    <w:rsid w:val="011D0840"/>
    <w:rsid w:val="011D78AE"/>
    <w:rsid w:val="011E00B5"/>
    <w:rsid w:val="011E3AF5"/>
    <w:rsid w:val="012A4928"/>
    <w:rsid w:val="01340AE2"/>
    <w:rsid w:val="01405697"/>
    <w:rsid w:val="01456907"/>
    <w:rsid w:val="014976A0"/>
    <w:rsid w:val="016F346A"/>
    <w:rsid w:val="01702627"/>
    <w:rsid w:val="01783D85"/>
    <w:rsid w:val="01873853"/>
    <w:rsid w:val="018841CA"/>
    <w:rsid w:val="019C597A"/>
    <w:rsid w:val="01A03A4F"/>
    <w:rsid w:val="01A75904"/>
    <w:rsid w:val="01A907B7"/>
    <w:rsid w:val="01A90B8E"/>
    <w:rsid w:val="01C743A2"/>
    <w:rsid w:val="01D00747"/>
    <w:rsid w:val="01D23D77"/>
    <w:rsid w:val="01DB0CC9"/>
    <w:rsid w:val="01DE44F6"/>
    <w:rsid w:val="01E10A6D"/>
    <w:rsid w:val="01E1780B"/>
    <w:rsid w:val="01E41120"/>
    <w:rsid w:val="01E71180"/>
    <w:rsid w:val="01E77BEE"/>
    <w:rsid w:val="01EA4B85"/>
    <w:rsid w:val="01ED6321"/>
    <w:rsid w:val="01F74DB5"/>
    <w:rsid w:val="0202330B"/>
    <w:rsid w:val="02045909"/>
    <w:rsid w:val="0209253A"/>
    <w:rsid w:val="020F790C"/>
    <w:rsid w:val="02150167"/>
    <w:rsid w:val="021C2000"/>
    <w:rsid w:val="022C5A80"/>
    <w:rsid w:val="02436BA8"/>
    <w:rsid w:val="02437B74"/>
    <w:rsid w:val="024B0640"/>
    <w:rsid w:val="024B2998"/>
    <w:rsid w:val="02517C05"/>
    <w:rsid w:val="02706069"/>
    <w:rsid w:val="02787649"/>
    <w:rsid w:val="028A2470"/>
    <w:rsid w:val="029570D5"/>
    <w:rsid w:val="02981110"/>
    <w:rsid w:val="02A164F1"/>
    <w:rsid w:val="02A323B6"/>
    <w:rsid w:val="02A44DE3"/>
    <w:rsid w:val="02AA6CBC"/>
    <w:rsid w:val="02AB48D4"/>
    <w:rsid w:val="02AD74A7"/>
    <w:rsid w:val="02B820A2"/>
    <w:rsid w:val="02C167B1"/>
    <w:rsid w:val="02C64921"/>
    <w:rsid w:val="02C66D77"/>
    <w:rsid w:val="02D0613D"/>
    <w:rsid w:val="02D2627B"/>
    <w:rsid w:val="02D265ED"/>
    <w:rsid w:val="02DA6B1D"/>
    <w:rsid w:val="02DB0BD0"/>
    <w:rsid w:val="02DF5557"/>
    <w:rsid w:val="02EC6598"/>
    <w:rsid w:val="02FF5323"/>
    <w:rsid w:val="03034D08"/>
    <w:rsid w:val="03054189"/>
    <w:rsid w:val="03116497"/>
    <w:rsid w:val="0330015E"/>
    <w:rsid w:val="03304D38"/>
    <w:rsid w:val="0334635D"/>
    <w:rsid w:val="033C7A10"/>
    <w:rsid w:val="0346219A"/>
    <w:rsid w:val="034958B1"/>
    <w:rsid w:val="03574AA3"/>
    <w:rsid w:val="03575611"/>
    <w:rsid w:val="035A5EA0"/>
    <w:rsid w:val="03710A9A"/>
    <w:rsid w:val="03736871"/>
    <w:rsid w:val="03750DAF"/>
    <w:rsid w:val="03790286"/>
    <w:rsid w:val="037A1943"/>
    <w:rsid w:val="037C08E4"/>
    <w:rsid w:val="0381116F"/>
    <w:rsid w:val="03844EF2"/>
    <w:rsid w:val="038A40B4"/>
    <w:rsid w:val="038A5D17"/>
    <w:rsid w:val="03932568"/>
    <w:rsid w:val="039B53AE"/>
    <w:rsid w:val="03A031C4"/>
    <w:rsid w:val="03A15394"/>
    <w:rsid w:val="03B70B13"/>
    <w:rsid w:val="03C031D2"/>
    <w:rsid w:val="03CA6159"/>
    <w:rsid w:val="03CF0143"/>
    <w:rsid w:val="03D940EE"/>
    <w:rsid w:val="03E02175"/>
    <w:rsid w:val="03EB13E4"/>
    <w:rsid w:val="03F741E7"/>
    <w:rsid w:val="03FB29D5"/>
    <w:rsid w:val="04020C75"/>
    <w:rsid w:val="040B40E1"/>
    <w:rsid w:val="040D72D1"/>
    <w:rsid w:val="04106487"/>
    <w:rsid w:val="04132C74"/>
    <w:rsid w:val="041C0F50"/>
    <w:rsid w:val="042010F0"/>
    <w:rsid w:val="04216019"/>
    <w:rsid w:val="04272C7E"/>
    <w:rsid w:val="04297A57"/>
    <w:rsid w:val="042D12B1"/>
    <w:rsid w:val="043819F3"/>
    <w:rsid w:val="043E6D61"/>
    <w:rsid w:val="044040F4"/>
    <w:rsid w:val="044D2740"/>
    <w:rsid w:val="04542A5D"/>
    <w:rsid w:val="04585A8B"/>
    <w:rsid w:val="045A2820"/>
    <w:rsid w:val="046200EF"/>
    <w:rsid w:val="04655950"/>
    <w:rsid w:val="046736EA"/>
    <w:rsid w:val="0467541C"/>
    <w:rsid w:val="046B6145"/>
    <w:rsid w:val="047432EE"/>
    <w:rsid w:val="04776C81"/>
    <w:rsid w:val="047A192B"/>
    <w:rsid w:val="047A3324"/>
    <w:rsid w:val="047D0309"/>
    <w:rsid w:val="048707FB"/>
    <w:rsid w:val="049B5A51"/>
    <w:rsid w:val="049F0E2C"/>
    <w:rsid w:val="04A36B65"/>
    <w:rsid w:val="04A918BC"/>
    <w:rsid w:val="04AD4A1F"/>
    <w:rsid w:val="04AE5E3F"/>
    <w:rsid w:val="04B34F96"/>
    <w:rsid w:val="04BC0624"/>
    <w:rsid w:val="04BD5B8F"/>
    <w:rsid w:val="04C0574D"/>
    <w:rsid w:val="04CE5AB2"/>
    <w:rsid w:val="04E36FED"/>
    <w:rsid w:val="04F375BD"/>
    <w:rsid w:val="04F76DEF"/>
    <w:rsid w:val="04F87901"/>
    <w:rsid w:val="04FE52A6"/>
    <w:rsid w:val="05014155"/>
    <w:rsid w:val="05032F9C"/>
    <w:rsid w:val="050372C2"/>
    <w:rsid w:val="050774D4"/>
    <w:rsid w:val="051E2627"/>
    <w:rsid w:val="05372082"/>
    <w:rsid w:val="05452C6A"/>
    <w:rsid w:val="054A1787"/>
    <w:rsid w:val="05556088"/>
    <w:rsid w:val="05591693"/>
    <w:rsid w:val="055F1886"/>
    <w:rsid w:val="056748D2"/>
    <w:rsid w:val="056A77DD"/>
    <w:rsid w:val="056B10F6"/>
    <w:rsid w:val="057023DA"/>
    <w:rsid w:val="05767A5C"/>
    <w:rsid w:val="05782413"/>
    <w:rsid w:val="05791C40"/>
    <w:rsid w:val="058B57D3"/>
    <w:rsid w:val="058D3611"/>
    <w:rsid w:val="05A7707C"/>
    <w:rsid w:val="05B25A51"/>
    <w:rsid w:val="05B34024"/>
    <w:rsid w:val="05BA54C3"/>
    <w:rsid w:val="05BC2B39"/>
    <w:rsid w:val="05C171C2"/>
    <w:rsid w:val="05DA0ADE"/>
    <w:rsid w:val="05DD43A7"/>
    <w:rsid w:val="05E029A5"/>
    <w:rsid w:val="05E20BC3"/>
    <w:rsid w:val="05E537C2"/>
    <w:rsid w:val="05E66CB7"/>
    <w:rsid w:val="05F82144"/>
    <w:rsid w:val="05F928F8"/>
    <w:rsid w:val="060047D8"/>
    <w:rsid w:val="060E7F2A"/>
    <w:rsid w:val="061A0D30"/>
    <w:rsid w:val="06275FBE"/>
    <w:rsid w:val="06292B4D"/>
    <w:rsid w:val="062D3580"/>
    <w:rsid w:val="062E1D6B"/>
    <w:rsid w:val="062F3A10"/>
    <w:rsid w:val="06321CA7"/>
    <w:rsid w:val="0632264C"/>
    <w:rsid w:val="06475461"/>
    <w:rsid w:val="06527E2F"/>
    <w:rsid w:val="06595547"/>
    <w:rsid w:val="066C3EB1"/>
    <w:rsid w:val="066E3B75"/>
    <w:rsid w:val="067B6CBA"/>
    <w:rsid w:val="069822D9"/>
    <w:rsid w:val="069A5C01"/>
    <w:rsid w:val="069E6492"/>
    <w:rsid w:val="06A527F0"/>
    <w:rsid w:val="06AC171C"/>
    <w:rsid w:val="06AE3964"/>
    <w:rsid w:val="06B324FE"/>
    <w:rsid w:val="06B37627"/>
    <w:rsid w:val="06B62719"/>
    <w:rsid w:val="06C504CE"/>
    <w:rsid w:val="06C53D03"/>
    <w:rsid w:val="06C93C5E"/>
    <w:rsid w:val="06CA5C18"/>
    <w:rsid w:val="06CC0BD5"/>
    <w:rsid w:val="06D25D71"/>
    <w:rsid w:val="06D34459"/>
    <w:rsid w:val="06D974E8"/>
    <w:rsid w:val="06ED1021"/>
    <w:rsid w:val="06F657D0"/>
    <w:rsid w:val="06F70BF4"/>
    <w:rsid w:val="071D128A"/>
    <w:rsid w:val="073711F4"/>
    <w:rsid w:val="07376561"/>
    <w:rsid w:val="073830AF"/>
    <w:rsid w:val="07386D26"/>
    <w:rsid w:val="073B4F81"/>
    <w:rsid w:val="073D03C6"/>
    <w:rsid w:val="073F714A"/>
    <w:rsid w:val="074D7D48"/>
    <w:rsid w:val="075563C9"/>
    <w:rsid w:val="07710F49"/>
    <w:rsid w:val="077146A3"/>
    <w:rsid w:val="07793CB7"/>
    <w:rsid w:val="078305C4"/>
    <w:rsid w:val="07894BBF"/>
    <w:rsid w:val="0789741D"/>
    <w:rsid w:val="078C12A5"/>
    <w:rsid w:val="078C35BD"/>
    <w:rsid w:val="0797656A"/>
    <w:rsid w:val="07A1237B"/>
    <w:rsid w:val="07AB31B8"/>
    <w:rsid w:val="07AF5CBD"/>
    <w:rsid w:val="07B36280"/>
    <w:rsid w:val="07BB756C"/>
    <w:rsid w:val="07C67BEF"/>
    <w:rsid w:val="07C74585"/>
    <w:rsid w:val="07CC25FA"/>
    <w:rsid w:val="07CD1F3F"/>
    <w:rsid w:val="07DB6A3D"/>
    <w:rsid w:val="07DF3AF2"/>
    <w:rsid w:val="07E62052"/>
    <w:rsid w:val="07EF6B7D"/>
    <w:rsid w:val="07FB705E"/>
    <w:rsid w:val="08177C1C"/>
    <w:rsid w:val="081866CE"/>
    <w:rsid w:val="082309F3"/>
    <w:rsid w:val="082B0362"/>
    <w:rsid w:val="082B5213"/>
    <w:rsid w:val="082F38AB"/>
    <w:rsid w:val="08324C29"/>
    <w:rsid w:val="08326169"/>
    <w:rsid w:val="083971E1"/>
    <w:rsid w:val="08432B91"/>
    <w:rsid w:val="084714FA"/>
    <w:rsid w:val="085D5A5A"/>
    <w:rsid w:val="086462CD"/>
    <w:rsid w:val="08740339"/>
    <w:rsid w:val="087414B6"/>
    <w:rsid w:val="08761325"/>
    <w:rsid w:val="087613FE"/>
    <w:rsid w:val="08827DF0"/>
    <w:rsid w:val="08974F89"/>
    <w:rsid w:val="08A42035"/>
    <w:rsid w:val="08B920A2"/>
    <w:rsid w:val="08BB321D"/>
    <w:rsid w:val="08C517A0"/>
    <w:rsid w:val="08D144DB"/>
    <w:rsid w:val="08D151C5"/>
    <w:rsid w:val="08D37234"/>
    <w:rsid w:val="08D6248A"/>
    <w:rsid w:val="08DD60B9"/>
    <w:rsid w:val="08DE318F"/>
    <w:rsid w:val="08E4633B"/>
    <w:rsid w:val="08F36BAC"/>
    <w:rsid w:val="08F809AA"/>
    <w:rsid w:val="08F92DB8"/>
    <w:rsid w:val="09012991"/>
    <w:rsid w:val="091453FE"/>
    <w:rsid w:val="091974DF"/>
    <w:rsid w:val="09236970"/>
    <w:rsid w:val="092905B8"/>
    <w:rsid w:val="0932664F"/>
    <w:rsid w:val="09342126"/>
    <w:rsid w:val="093B5F8B"/>
    <w:rsid w:val="09436560"/>
    <w:rsid w:val="094F59DA"/>
    <w:rsid w:val="09575089"/>
    <w:rsid w:val="095B255C"/>
    <w:rsid w:val="095C2537"/>
    <w:rsid w:val="095F1305"/>
    <w:rsid w:val="09623EF2"/>
    <w:rsid w:val="097125A0"/>
    <w:rsid w:val="09804807"/>
    <w:rsid w:val="09853C90"/>
    <w:rsid w:val="098C17B9"/>
    <w:rsid w:val="09936FC3"/>
    <w:rsid w:val="09946D5C"/>
    <w:rsid w:val="09A64E42"/>
    <w:rsid w:val="09AD59EE"/>
    <w:rsid w:val="09AE12C5"/>
    <w:rsid w:val="09B12A44"/>
    <w:rsid w:val="09C32654"/>
    <w:rsid w:val="09C702DD"/>
    <w:rsid w:val="09CB0B0D"/>
    <w:rsid w:val="09D3769D"/>
    <w:rsid w:val="09DA1166"/>
    <w:rsid w:val="09E366DE"/>
    <w:rsid w:val="09E5583C"/>
    <w:rsid w:val="09ED02CC"/>
    <w:rsid w:val="09EE3AD3"/>
    <w:rsid w:val="09EE6657"/>
    <w:rsid w:val="09F66D64"/>
    <w:rsid w:val="0A031F61"/>
    <w:rsid w:val="0A0C347C"/>
    <w:rsid w:val="0A127B6F"/>
    <w:rsid w:val="0A222A1C"/>
    <w:rsid w:val="0A29722D"/>
    <w:rsid w:val="0A2C16CF"/>
    <w:rsid w:val="0A362975"/>
    <w:rsid w:val="0A384148"/>
    <w:rsid w:val="0A3A7D09"/>
    <w:rsid w:val="0A437D58"/>
    <w:rsid w:val="0A492346"/>
    <w:rsid w:val="0A4D0BCF"/>
    <w:rsid w:val="0A4F0699"/>
    <w:rsid w:val="0A566443"/>
    <w:rsid w:val="0A634F6F"/>
    <w:rsid w:val="0A6D6118"/>
    <w:rsid w:val="0A707775"/>
    <w:rsid w:val="0A744864"/>
    <w:rsid w:val="0A7B0AEE"/>
    <w:rsid w:val="0A7F0818"/>
    <w:rsid w:val="0A81023E"/>
    <w:rsid w:val="0A840B51"/>
    <w:rsid w:val="0A93351A"/>
    <w:rsid w:val="0A974E90"/>
    <w:rsid w:val="0AA3430A"/>
    <w:rsid w:val="0AB24423"/>
    <w:rsid w:val="0AB90A56"/>
    <w:rsid w:val="0ABC1246"/>
    <w:rsid w:val="0ABD7E7A"/>
    <w:rsid w:val="0AC811C3"/>
    <w:rsid w:val="0AC8329E"/>
    <w:rsid w:val="0ACE2920"/>
    <w:rsid w:val="0ADC5956"/>
    <w:rsid w:val="0ADF714A"/>
    <w:rsid w:val="0AE51545"/>
    <w:rsid w:val="0AEC1707"/>
    <w:rsid w:val="0AEF3257"/>
    <w:rsid w:val="0AF6400E"/>
    <w:rsid w:val="0B0750F0"/>
    <w:rsid w:val="0B181B0D"/>
    <w:rsid w:val="0B185FC3"/>
    <w:rsid w:val="0B1A38DA"/>
    <w:rsid w:val="0B397DE7"/>
    <w:rsid w:val="0B3F6ED7"/>
    <w:rsid w:val="0B4E68F3"/>
    <w:rsid w:val="0B5B7494"/>
    <w:rsid w:val="0B5D2FEC"/>
    <w:rsid w:val="0B752406"/>
    <w:rsid w:val="0B781007"/>
    <w:rsid w:val="0B8B4E56"/>
    <w:rsid w:val="0B974136"/>
    <w:rsid w:val="0B9A53DA"/>
    <w:rsid w:val="0BAA094B"/>
    <w:rsid w:val="0BB95620"/>
    <w:rsid w:val="0BC46F87"/>
    <w:rsid w:val="0BC97E2A"/>
    <w:rsid w:val="0BD453CF"/>
    <w:rsid w:val="0BDB1723"/>
    <w:rsid w:val="0BE46C37"/>
    <w:rsid w:val="0BE47AEA"/>
    <w:rsid w:val="0BF31B2B"/>
    <w:rsid w:val="0BF735AB"/>
    <w:rsid w:val="0BFE6929"/>
    <w:rsid w:val="0C06165F"/>
    <w:rsid w:val="0C1D2405"/>
    <w:rsid w:val="0C3211CF"/>
    <w:rsid w:val="0C3F1F4B"/>
    <w:rsid w:val="0C4E53DC"/>
    <w:rsid w:val="0C520F4C"/>
    <w:rsid w:val="0C5307CD"/>
    <w:rsid w:val="0C547855"/>
    <w:rsid w:val="0C564C94"/>
    <w:rsid w:val="0C623E5B"/>
    <w:rsid w:val="0C640BA5"/>
    <w:rsid w:val="0C83191D"/>
    <w:rsid w:val="0C8B2068"/>
    <w:rsid w:val="0C945B0C"/>
    <w:rsid w:val="0C9F3036"/>
    <w:rsid w:val="0CA1108E"/>
    <w:rsid w:val="0CA627DE"/>
    <w:rsid w:val="0CA92FCB"/>
    <w:rsid w:val="0CAC6A0C"/>
    <w:rsid w:val="0CBD156E"/>
    <w:rsid w:val="0CCB0863"/>
    <w:rsid w:val="0CCB5BE0"/>
    <w:rsid w:val="0CCE325B"/>
    <w:rsid w:val="0CCF611E"/>
    <w:rsid w:val="0CD02B56"/>
    <w:rsid w:val="0CE65050"/>
    <w:rsid w:val="0CF01379"/>
    <w:rsid w:val="0CF04C03"/>
    <w:rsid w:val="0D011728"/>
    <w:rsid w:val="0D094F4C"/>
    <w:rsid w:val="0D0A3016"/>
    <w:rsid w:val="0D112C42"/>
    <w:rsid w:val="0D142DA3"/>
    <w:rsid w:val="0D1611BE"/>
    <w:rsid w:val="0D1F7808"/>
    <w:rsid w:val="0D232094"/>
    <w:rsid w:val="0D2B69AC"/>
    <w:rsid w:val="0D3F3238"/>
    <w:rsid w:val="0D403D50"/>
    <w:rsid w:val="0D5930B4"/>
    <w:rsid w:val="0D6C37CA"/>
    <w:rsid w:val="0D6D52FB"/>
    <w:rsid w:val="0D804A00"/>
    <w:rsid w:val="0D804AF7"/>
    <w:rsid w:val="0D8A2318"/>
    <w:rsid w:val="0D8C3B39"/>
    <w:rsid w:val="0D8D2BB1"/>
    <w:rsid w:val="0D947909"/>
    <w:rsid w:val="0D9C1F69"/>
    <w:rsid w:val="0DA51B8A"/>
    <w:rsid w:val="0DA731A8"/>
    <w:rsid w:val="0DA77AA8"/>
    <w:rsid w:val="0DAB5E3E"/>
    <w:rsid w:val="0DB5208C"/>
    <w:rsid w:val="0DC96F2A"/>
    <w:rsid w:val="0DCD21C8"/>
    <w:rsid w:val="0DCF3F5F"/>
    <w:rsid w:val="0DDE1014"/>
    <w:rsid w:val="0DE10940"/>
    <w:rsid w:val="0DE36AA8"/>
    <w:rsid w:val="0DE538B8"/>
    <w:rsid w:val="0DF50F71"/>
    <w:rsid w:val="0DF80FE8"/>
    <w:rsid w:val="0DF8136C"/>
    <w:rsid w:val="0E1D4B14"/>
    <w:rsid w:val="0E297F0A"/>
    <w:rsid w:val="0E351ED5"/>
    <w:rsid w:val="0E494D17"/>
    <w:rsid w:val="0E500971"/>
    <w:rsid w:val="0E5C0B54"/>
    <w:rsid w:val="0E6200BA"/>
    <w:rsid w:val="0E92229F"/>
    <w:rsid w:val="0EB74FB6"/>
    <w:rsid w:val="0EBA3E96"/>
    <w:rsid w:val="0EBD00B9"/>
    <w:rsid w:val="0EBD14BB"/>
    <w:rsid w:val="0EC11770"/>
    <w:rsid w:val="0ECE7C05"/>
    <w:rsid w:val="0EDA4193"/>
    <w:rsid w:val="0EE36FFE"/>
    <w:rsid w:val="0EE471DF"/>
    <w:rsid w:val="0EEF4888"/>
    <w:rsid w:val="0EF86BAF"/>
    <w:rsid w:val="0EFF695E"/>
    <w:rsid w:val="0F0A266B"/>
    <w:rsid w:val="0F0E72E0"/>
    <w:rsid w:val="0F19183D"/>
    <w:rsid w:val="0F2335AB"/>
    <w:rsid w:val="0F250BAF"/>
    <w:rsid w:val="0F262023"/>
    <w:rsid w:val="0F26508B"/>
    <w:rsid w:val="0F2817A1"/>
    <w:rsid w:val="0F2A0028"/>
    <w:rsid w:val="0F303C1E"/>
    <w:rsid w:val="0F362667"/>
    <w:rsid w:val="0F3C7401"/>
    <w:rsid w:val="0F3E3E38"/>
    <w:rsid w:val="0F4015B0"/>
    <w:rsid w:val="0F402224"/>
    <w:rsid w:val="0F451577"/>
    <w:rsid w:val="0F4F4996"/>
    <w:rsid w:val="0F5229B3"/>
    <w:rsid w:val="0F58009F"/>
    <w:rsid w:val="0F612436"/>
    <w:rsid w:val="0F694AA9"/>
    <w:rsid w:val="0F6956E4"/>
    <w:rsid w:val="0F81737E"/>
    <w:rsid w:val="0F872E0F"/>
    <w:rsid w:val="0FA062F3"/>
    <w:rsid w:val="0FAE784A"/>
    <w:rsid w:val="0FB22494"/>
    <w:rsid w:val="0FB41949"/>
    <w:rsid w:val="0FB90369"/>
    <w:rsid w:val="0FBC5D75"/>
    <w:rsid w:val="0FC475B0"/>
    <w:rsid w:val="0FCB4D59"/>
    <w:rsid w:val="0FCD6509"/>
    <w:rsid w:val="0FCE27E7"/>
    <w:rsid w:val="0FD82F98"/>
    <w:rsid w:val="0FE035A6"/>
    <w:rsid w:val="0FE231CA"/>
    <w:rsid w:val="0FE82539"/>
    <w:rsid w:val="0FF45F0D"/>
    <w:rsid w:val="0FFC4CE5"/>
    <w:rsid w:val="0FFD2047"/>
    <w:rsid w:val="101677BE"/>
    <w:rsid w:val="101773DB"/>
    <w:rsid w:val="102612F5"/>
    <w:rsid w:val="102F73C2"/>
    <w:rsid w:val="10374854"/>
    <w:rsid w:val="103B4A6E"/>
    <w:rsid w:val="10500BE0"/>
    <w:rsid w:val="105110FF"/>
    <w:rsid w:val="105F0F86"/>
    <w:rsid w:val="10672A05"/>
    <w:rsid w:val="10785AA8"/>
    <w:rsid w:val="107A607D"/>
    <w:rsid w:val="107D5524"/>
    <w:rsid w:val="108816F7"/>
    <w:rsid w:val="10925381"/>
    <w:rsid w:val="10A16005"/>
    <w:rsid w:val="10A446AE"/>
    <w:rsid w:val="10B5541F"/>
    <w:rsid w:val="10C27421"/>
    <w:rsid w:val="10E155EE"/>
    <w:rsid w:val="10E66CBA"/>
    <w:rsid w:val="10EA6828"/>
    <w:rsid w:val="10EC452A"/>
    <w:rsid w:val="10EF4A7E"/>
    <w:rsid w:val="10F31B4F"/>
    <w:rsid w:val="10F35DD7"/>
    <w:rsid w:val="10F4276D"/>
    <w:rsid w:val="10FA4B0D"/>
    <w:rsid w:val="110E3A82"/>
    <w:rsid w:val="11132A39"/>
    <w:rsid w:val="1117761D"/>
    <w:rsid w:val="11196308"/>
    <w:rsid w:val="111C3718"/>
    <w:rsid w:val="11222B03"/>
    <w:rsid w:val="11297EBD"/>
    <w:rsid w:val="11365503"/>
    <w:rsid w:val="11427DE1"/>
    <w:rsid w:val="1147189A"/>
    <w:rsid w:val="114A7560"/>
    <w:rsid w:val="114B4B74"/>
    <w:rsid w:val="114E04E2"/>
    <w:rsid w:val="11506F7F"/>
    <w:rsid w:val="115D5315"/>
    <w:rsid w:val="11683BE9"/>
    <w:rsid w:val="11765A51"/>
    <w:rsid w:val="11783DD5"/>
    <w:rsid w:val="117D7A64"/>
    <w:rsid w:val="118273A1"/>
    <w:rsid w:val="118B349C"/>
    <w:rsid w:val="11A030D6"/>
    <w:rsid w:val="11B408EE"/>
    <w:rsid w:val="11B45EBA"/>
    <w:rsid w:val="11B54E0F"/>
    <w:rsid w:val="11C8237D"/>
    <w:rsid w:val="11CD1B5E"/>
    <w:rsid w:val="11D41AF6"/>
    <w:rsid w:val="11D55DA8"/>
    <w:rsid w:val="11E331E0"/>
    <w:rsid w:val="11F00300"/>
    <w:rsid w:val="11F934CC"/>
    <w:rsid w:val="11FD0BCA"/>
    <w:rsid w:val="1205755A"/>
    <w:rsid w:val="1214783D"/>
    <w:rsid w:val="12191EC2"/>
    <w:rsid w:val="122901DE"/>
    <w:rsid w:val="1229525E"/>
    <w:rsid w:val="123477BF"/>
    <w:rsid w:val="123B5BA0"/>
    <w:rsid w:val="124720AA"/>
    <w:rsid w:val="124C0A08"/>
    <w:rsid w:val="124D16D2"/>
    <w:rsid w:val="12544FD8"/>
    <w:rsid w:val="125A788A"/>
    <w:rsid w:val="125B0AC3"/>
    <w:rsid w:val="125C2979"/>
    <w:rsid w:val="125D114D"/>
    <w:rsid w:val="12604A06"/>
    <w:rsid w:val="1269054F"/>
    <w:rsid w:val="12691ED8"/>
    <w:rsid w:val="126A0311"/>
    <w:rsid w:val="127316B6"/>
    <w:rsid w:val="12784A53"/>
    <w:rsid w:val="1288245E"/>
    <w:rsid w:val="128B3B27"/>
    <w:rsid w:val="1291433D"/>
    <w:rsid w:val="129220B8"/>
    <w:rsid w:val="12937CB3"/>
    <w:rsid w:val="12946345"/>
    <w:rsid w:val="12952467"/>
    <w:rsid w:val="129A7DC3"/>
    <w:rsid w:val="129D78EB"/>
    <w:rsid w:val="129E39A6"/>
    <w:rsid w:val="12A80A90"/>
    <w:rsid w:val="12AC62D3"/>
    <w:rsid w:val="12B80C15"/>
    <w:rsid w:val="12C43FAF"/>
    <w:rsid w:val="12CE5301"/>
    <w:rsid w:val="12D17696"/>
    <w:rsid w:val="12DE050E"/>
    <w:rsid w:val="12E65846"/>
    <w:rsid w:val="12E73C34"/>
    <w:rsid w:val="12EE7A34"/>
    <w:rsid w:val="12F57336"/>
    <w:rsid w:val="12F65C29"/>
    <w:rsid w:val="12FD3485"/>
    <w:rsid w:val="13022974"/>
    <w:rsid w:val="13033C0C"/>
    <w:rsid w:val="1306576C"/>
    <w:rsid w:val="130E26E1"/>
    <w:rsid w:val="131A31F0"/>
    <w:rsid w:val="131D7B8F"/>
    <w:rsid w:val="131E5414"/>
    <w:rsid w:val="13236E43"/>
    <w:rsid w:val="13283B41"/>
    <w:rsid w:val="132F480C"/>
    <w:rsid w:val="13393182"/>
    <w:rsid w:val="134145B5"/>
    <w:rsid w:val="134625FD"/>
    <w:rsid w:val="134A1A56"/>
    <w:rsid w:val="13526C9F"/>
    <w:rsid w:val="1353235A"/>
    <w:rsid w:val="136B4542"/>
    <w:rsid w:val="137A2A6A"/>
    <w:rsid w:val="13966FD3"/>
    <w:rsid w:val="13A041CC"/>
    <w:rsid w:val="13A15104"/>
    <w:rsid w:val="13A51648"/>
    <w:rsid w:val="13A66E07"/>
    <w:rsid w:val="13B0617B"/>
    <w:rsid w:val="13B32590"/>
    <w:rsid w:val="13C32C46"/>
    <w:rsid w:val="13C72E82"/>
    <w:rsid w:val="13C74753"/>
    <w:rsid w:val="13CF6522"/>
    <w:rsid w:val="13D43765"/>
    <w:rsid w:val="13D521F9"/>
    <w:rsid w:val="13DB6AF6"/>
    <w:rsid w:val="13EB31F1"/>
    <w:rsid w:val="13ED31BA"/>
    <w:rsid w:val="13F4549E"/>
    <w:rsid w:val="140B2C94"/>
    <w:rsid w:val="140D0883"/>
    <w:rsid w:val="140D56A0"/>
    <w:rsid w:val="1410457B"/>
    <w:rsid w:val="141131A0"/>
    <w:rsid w:val="14122E98"/>
    <w:rsid w:val="1414340A"/>
    <w:rsid w:val="14162F2D"/>
    <w:rsid w:val="14176A23"/>
    <w:rsid w:val="141A121C"/>
    <w:rsid w:val="142B3EC9"/>
    <w:rsid w:val="142B5F52"/>
    <w:rsid w:val="143A03C2"/>
    <w:rsid w:val="144168A3"/>
    <w:rsid w:val="144A0B11"/>
    <w:rsid w:val="144B56EF"/>
    <w:rsid w:val="144C008F"/>
    <w:rsid w:val="144C59B5"/>
    <w:rsid w:val="144D46EF"/>
    <w:rsid w:val="144F7241"/>
    <w:rsid w:val="14680762"/>
    <w:rsid w:val="146B69E4"/>
    <w:rsid w:val="146F5296"/>
    <w:rsid w:val="14782755"/>
    <w:rsid w:val="14801919"/>
    <w:rsid w:val="14861714"/>
    <w:rsid w:val="1492637A"/>
    <w:rsid w:val="14983A4A"/>
    <w:rsid w:val="14A94FED"/>
    <w:rsid w:val="14A9504A"/>
    <w:rsid w:val="14AB3FC0"/>
    <w:rsid w:val="14AE4E20"/>
    <w:rsid w:val="14B05AE3"/>
    <w:rsid w:val="14B247CF"/>
    <w:rsid w:val="14B63EC6"/>
    <w:rsid w:val="14BB3D85"/>
    <w:rsid w:val="14C432E7"/>
    <w:rsid w:val="14C87271"/>
    <w:rsid w:val="14C9149D"/>
    <w:rsid w:val="14C91B58"/>
    <w:rsid w:val="14D62DCD"/>
    <w:rsid w:val="14D6585D"/>
    <w:rsid w:val="14E21AEC"/>
    <w:rsid w:val="14EB5121"/>
    <w:rsid w:val="14ED1AF1"/>
    <w:rsid w:val="14EF4729"/>
    <w:rsid w:val="15050DB6"/>
    <w:rsid w:val="15054273"/>
    <w:rsid w:val="150B7290"/>
    <w:rsid w:val="150D49E0"/>
    <w:rsid w:val="15135019"/>
    <w:rsid w:val="151625F0"/>
    <w:rsid w:val="151725C0"/>
    <w:rsid w:val="15227D0B"/>
    <w:rsid w:val="15256486"/>
    <w:rsid w:val="15277D13"/>
    <w:rsid w:val="15294E2D"/>
    <w:rsid w:val="15344EF4"/>
    <w:rsid w:val="15374C81"/>
    <w:rsid w:val="154532F3"/>
    <w:rsid w:val="154630B6"/>
    <w:rsid w:val="154A0E69"/>
    <w:rsid w:val="155F0F2F"/>
    <w:rsid w:val="156170C6"/>
    <w:rsid w:val="15643FF0"/>
    <w:rsid w:val="15726376"/>
    <w:rsid w:val="15831973"/>
    <w:rsid w:val="158E0D42"/>
    <w:rsid w:val="158E1DA9"/>
    <w:rsid w:val="1592589C"/>
    <w:rsid w:val="159769BC"/>
    <w:rsid w:val="159A5864"/>
    <w:rsid w:val="159B697B"/>
    <w:rsid w:val="159F5416"/>
    <w:rsid w:val="15A54F38"/>
    <w:rsid w:val="15A602F2"/>
    <w:rsid w:val="15A912C8"/>
    <w:rsid w:val="15A97536"/>
    <w:rsid w:val="15B06493"/>
    <w:rsid w:val="15B32753"/>
    <w:rsid w:val="15B63097"/>
    <w:rsid w:val="15C34D2D"/>
    <w:rsid w:val="15C70747"/>
    <w:rsid w:val="15CF072B"/>
    <w:rsid w:val="15D565F9"/>
    <w:rsid w:val="15D90D6D"/>
    <w:rsid w:val="15DD3E84"/>
    <w:rsid w:val="15E04E1F"/>
    <w:rsid w:val="15E503B5"/>
    <w:rsid w:val="15E77567"/>
    <w:rsid w:val="15E917E8"/>
    <w:rsid w:val="15EA62E9"/>
    <w:rsid w:val="15FC1C8E"/>
    <w:rsid w:val="15FE2D6C"/>
    <w:rsid w:val="16123768"/>
    <w:rsid w:val="1617097C"/>
    <w:rsid w:val="16184C36"/>
    <w:rsid w:val="161C3E21"/>
    <w:rsid w:val="16200801"/>
    <w:rsid w:val="162674E6"/>
    <w:rsid w:val="162D6022"/>
    <w:rsid w:val="16385C65"/>
    <w:rsid w:val="163C02B5"/>
    <w:rsid w:val="163C0349"/>
    <w:rsid w:val="164D199F"/>
    <w:rsid w:val="164D5E99"/>
    <w:rsid w:val="165C683C"/>
    <w:rsid w:val="166164A5"/>
    <w:rsid w:val="16625CB6"/>
    <w:rsid w:val="1676111C"/>
    <w:rsid w:val="167F411B"/>
    <w:rsid w:val="167F4EFC"/>
    <w:rsid w:val="1685774E"/>
    <w:rsid w:val="16875C9E"/>
    <w:rsid w:val="16894593"/>
    <w:rsid w:val="168E1F79"/>
    <w:rsid w:val="169110E8"/>
    <w:rsid w:val="169644A9"/>
    <w:rsid w:val="169A7B3B"/>
    <w:rsid w:val="16AC6366"/>
    <w:rsid w:val="16B107C7"/>
    <w:rsid w:val="16B5338C"/>
    <w:rsid w:val="16B8722B"/>
    <w:rsid w:val="16BF6881"/>
    <w:rsid w:val="16C5250B"/>
    <w:rsid w:val="16C70099"/>
    <w:rsid w:val="16C87A82"/>
    <w:rsid w:val="16CB3BCC"/>
    <w:rsid w:val="16CD6F5D"/>
    <w:rsid w:val="16D9579A"/>
    <w:rsid w:val="16ED61F6"/>
    <w:rsid w:val="16F11E7F"/>
    <w:rsid w:val="16F36502"/>
    <w:rsid w:val="16F8500B"/>
    <w:rsid w:val="16FC56A3"/>
    <w:rsid w:val="171152DE"/>
    <w:rsid w:val="17180376"/>
    <w:rsid w:val="172A45AF"/>
    <w:rsid w:val="172B063D"/>
    <w:rsid w:val="17366025"/>
    <w:rsid w:val="173970B9"/>
    <w:rsid w:val="173C129F"/>
    <w:rsid w:val="173D5C8D"/>
    <w:rsid w:val="17414199"/>
    <w:rsid w:val="174677BB"/>
    <w:rsid w:val="174B21FD"/>
    <w:rsid w:val="174B7873"/>
    <w:rsid w:val="17563CDB"/>
    <w:rsid w:val="17620EEE"/>
    <w:rsid w:val="17641D0C"/>
    <w:rsid w:val="17666B8B"/>
    <w:rsid w:val="17672AE0"/>
    <w:rsid w:val="17673B2D"/>
    <w:rsid w:val="176F7856"/>
    <w:rsid w:val="177E19D4"/>
    <w:rsid w:val="1780159D"/>
    <w:rsid w:val="178907EB"/>
    <w:rsid w:val="1789394D"/>
    <w:rsid w:val="1792438C"/>
    <w:rsid w:val="17950266"/>
    <w:rsid w:val="179B410F"/>
    <w:rsid w:val="17A32EA2"/>
    <w:rsid w:val="17A3464C"/>
    <w:rsid w:val="17A42247"/>
    <w:rsid w:val="17AB0E90"/>
    <w:rsid w:val="17AE3DF9"/>
    <w:rsid w:val="17B17001"/>
    <w:rsid w:val="17B66C8C"/>
    <w:rsid w:val="17B7390A"/>
    <w:rsid w:val="17CE4EE8"/>
    <w:rsid w:val="17D30995"/>
    <w:rsid w:val="17D51474"/>
    <w:rsid w:val="17E14BE0"/>
    <w:rsid w:val="17E9009B"/>
    <w:rsid w:val="17F04B0C"/>
    <w:rsid w:val="17F9514B"/>
    <w:rsid w:val="17FA028A"/>
    <w:rsid w:val="18052C62"/>
    <w:rsid w:val="18222D01"/>
    <w:rsid w:val="18233912"/>
    <w:rsid w:val="182F4000"/>
    <w:rsid w:val="18320EDA"/>
    <w:rsid w:val="1842371C"/>
    <w:rsid w:val="18465356"/>
    <w:rsid w:val="184675AA"/>
    <w:rsid w:val="184D75B5"/>
    <w:rsid w:val="184E57AD"/>
    <w:rsid w:val="18570F48"/>
    <w:rsid w:val="185D7F03"/>
    <w:rsid w:val="18651308"/>
    <w:rsid w:val="18691228"/>
    <w:rsid w:val="187D68BE"/>
    <w:rsid w:val="187E61D4"/>
    <w:rsid w:val="188405EE"/>
    <w:rsid w:val="18870B3C"/>
    <w:rsid w:val="18887FCB"/>
    <w:rsid w:val="188D113E"/>
    <w:rsid w:val="188D2C31"/>
    <w:rsid w:val="189221DA"/>
    <w:rsid w:val="189B0340"/>
    <w:rsid w:val="18AB5F50"/>
    <w:rsid w:val="18C50DCA"/>
    <w:rsid w:val="18CC5680"/>
    <w:rsid w:val="18D351C1"/>
    <w:rsid w:val="18DA0C0E"/>
    <w:rsid w:val="18E273C9"/>
    <w:rsid w:val="18E31592"/>
    <w:rsid w:val="18E46383"/>
    <w:rsid w:val="18E77C11"/>
    <w:rsid w:val="18EA422C"/>
    <w:rsid w:val="18EB2C9C"/>
    <w:rsid w:val="18EB4D39"/>
    <w:rsid w:val="18EC1531"/>
    <w:rsid w:val="190C148B"/>
    <w:rsid w:val="1915664F"/>
    <w:rsid w:val="19286A05"/>
    <w:rsid w:val="192D6677"/>
    <w:rsid w:val="193619AF"/>
    <w:rsid w:val="19377763"/>
    <w:rsid w:val="193A1063"/>
    <w:rsid w:val="193D169B"/>
    <w:rsid w:val="19483488"/>
    <w:rsid w:val="19541E21"/>
    <w:rsid w:val="195B2677"/>
    <w:rsid w:val="19615618"/>
    <w:rsid w:val="19726221"/>
    <w:rsid w:val="19774296"/>
    <w:rsid w:val="197A5974"/>
    <w:rsid w:val="19882C6F"/>
    <w:rsid w:val="198C7D58"/>
    <w:rsid w:val="19915327"/>
    <w:rsid w:val="19AD174C"/>
    <w:rsid w:val="19B11F24"/>
    <w:rsid w:val="19BC0BC7"/>
    <w:rsid w:val="19C94B44"/>
    <w:rsid w:val="19CA6F8B"/>
    <w:rsid w:val="19CF0F3E"/>
    <w:rsid w:val="19D72D72"/>
    <w:rsid w:val="19DE2F19"/>
    <w:rsid w:val="19E03225"/>
    <w:rsid w:val="19E172C1"/>
    <w:rsid w:val="19E222FF"/>
    <w:rsid w:val="19F517D2"/>
    <w:rsid w:val="19F6750F"/>
    <w:rsid w:val="1A086052"/>
    <w:rsid w:val="1A0F270F"/>
    <w:rsid w:val="1A1B6926"/>
    <w:rsid w:val="1A1D0E5F"/>
    <w:rsid w:val="1A1E3D8E"/>
    <w:rsid w:val="1A255D45"/>
    <w:rsid w:val="1A2B3E01"/>
    <w:rsid w:val="1A2D042A"/>
    <w:rsid w:val="1A373710"/>
    <w:rsid w:val="1A3E3664"/>
    <w:rsid w:val="1A536F52"/>
    <w:rsid w:val="1A54786E"/>
    <w:rsid w:val="1A5E0937"/>
    <w:rsid w:val="1A647A89"/>
    <w:rsid w:val="1A661089"/>
    <w:rsid w:val="1A6747D5"/>
    <w:rsid w:val="1A6C4EB1"/>
    <w:rsid w:val="1A704D89"/>
    <w:rsid w:val="1A754AB6"/>
    <w:rsid w:val="1A7A3149"/>
    <w:rsid w:val="1A7F4F97"/>
    <w:rsid w:val="1A8E5240"/>
    <w:rsid w:val="1A953D98"/>
    <w:rsid w:val="1A9E55BE"/>
    <w:rsid w:val="1AAA5D29"/>
    <w:rsid w:val="1AAB017A"/>
    <w:rsid w:val="1AAE7847"/>
    <w:rsid w:val="1AB0305E"/>
    <w:rsid w:val="1AB12E86"/>
    <w:rsid w:val="1AB61DCB"/>
    <w:rsid w:val="1AC34736"/>
    <w:rsid w:val="1AC807BD"/>
    <w:rsid w:val="1ACF4628"/>
    <w:rsid w:val="1AD305F7"/>
    <w:rsid w:val="1AD8671D"/>
    <w:rsid w:val="1ADE1CE9"/>
    <w:rsid w:val="1ADF68C2"/>
    <w:rsid w:val="1AE313A7"/>
    <w:rsid w:val="1AEB2657"/>
    <w:rsid w:val="1AED2AC5"/>
    <w:rsid w:val="1AF21441"/>
    <w:rsid w:val="1AF7720B"/>
    <w:rsid w:val="1AF86173"/>
    <w:rsid w:val="1B043150"/>
    <w:rsid w:val="1B0A0449"/>
    <w:rsid w:val="1B214344"/>
    <w:rsid w:val="1B2618AA"/>
    <w:rsid w:val="1B282A1F"/>
    <w:rsid w:val="1B2C2900"/>
    <w:rsid w:val="1B2E270D"/>
    <w:rsid w:val="1B3A6ABC"/>
    <w:rsid w:val="1B411CAD"/>
    <w:rsid w:val="1B472C60"/>
    <w:rsid w:val="1B481F20"/>
    <w:rsid w:val="1B525520"/>
    <w:rsid w:val="1B5D658A"/>
    <w:rsid w:val="1B6810CA"/>
    <w:rsid w:val="1B847190"/>
    <w:rsid w:val="1B855D1B"/>
    <w:rsid w:val="1B901D24"/>
    <w:rsid w:val="1B9238C5"/>
    <w:rsid w:val="1BA330E6"/>
    <w:rsid w:val="1BAA12C3"/>
    <w:rsid w:val="1BB11D65"/>
    <w:rsid w:val="1BBB4785"/>
    <w:rsid w:val="1BC842A7"/>
    <w:rsid w:val="1BCE55CD"/>
    <w:rsid w:val="1BCE7283"/>
    <w:rsid w:val="1BD22422"/>
    <w:rsid w:val="1BD758BF"/>
    <w:rsid w:val="1BD85C0F"/>
    <w:rsid w:val="1BE665A9"/>
    <w:rsid w:val="1BEA7134"/>
    <w:rsid w:val="1BEF752C"/>
    <w:rsid w:val="1C094D52"/>
    <w:rsid w:val="1C09660A"/>
    <w:rsid w:val="1C0C12F3"/>
    <w:rsid w:val="1C0C5FC4"/>
    <w:rsid w:val="1C121A2E"/>
    <w:rsid w:val="1C213CA2"/>
    <w:rsid w:val="1C2166E4"/>
    <w:rsid w:val="1C3450D3"/>
    <w:rsid w:val="1C395626"/>
    <w:rsid w:val="1C411BAD"/>
    <w:rsid w:val="1C4214B8"/>
    <w:rsid w:val="1C446FD1"/>
    <w:rsid w:val="1C5E4C20"/>
    <w:rsid w:val="1C627F5F"/>
    <w:rsid w:val="1C694234"/>
    <w:rsid w:val="1C6B0791"/>
    <w:rsid w:val="1C6C0803"/>
    <w:rsid w:val="1C6C2F64"/>
    <w:rsid w:val="1C6C7F45"/>
    <w:rsid w:val="1C75055D"/>
    <w:rsid w:val="1C78079F"/>
    <w:rsid w:val="1C7A5560"/>
    <w:rsid w:val="1C8F5CE6"/>
    <w:rsid w:val="1CA33E9F"/>
    <w:rsid w:val="1CA607B5"/>
    <w:rsid w:val="1CA8077E"/>
    <w:rsid w:val="1CAD3C39"/>
    <w:rsid w:val="1CAD3C3E"/>
    <w:rsid w:val="1CBE1C0E"/>
    <w:rsid w:val="1CC2215E"/>
    <w:rsid w:val="1CC94337"/>
    <w:rsid w:val="1CE449DF"/>
    <w:rsid w:val="1CED2ECD"/>
    <w:rsid w:val="1CF54195"/>
    <w:rsid w:val="1CF93E83"/>
    <w:rsid w:val="1CFA75FA"/>
    <w:rsid w:val="1D0761EB"/>
    <w:rsid w:val="1D0A56B3"/>
    <w:rsid w:val="1D0B255B"/>
    <w:rsid w:val="1D0C052F"/>
    <w:rsid w:val="1D16136B"/>
    <w:rsid w:val="1D1979CC"/>
    <w:rsid w:val="1D200E8A"/>
    <w:rsid w:val="1D24489F"/>
    <w:rsid w:val="1D276E31"/>
    <w:rsid w:val="1D324838"/>
    <w:rsid w:val="1D4A6C0C"/>
    <w:rsid w:val="1D4E0F11"/>
    <w:rsid w:val="1D544CD0"/>
    <w:rsid w:val="1D570664"/>
    <w:rsid w:val="1D5959B8"/>
    <w:rsid w:val="1D662D00"/>
    <w:rsid w:val="1D6715D4"/>
    <w:rsid w:val="1D731564"/>
    <w:rsid w:val="1D7F48D9"/>
    <w:rsid w:val="1D800675"/>
    <w:rsid w:val="1D883C26"/>
    <w:rsid w:val="1D901466"/>
    <w:rsid w:val="1D916CA9"/>
    <w:rsid w:val="1D986D58"/>
    <w:rsid w:val="1DA03981"/>
    <w:rsid w:val="1DA436CC"/>
    <w:rsid w:val="1DAA548B"/>
    <w:rsid w:val="1DAE6C6E"/>
    <w:rsid w:val="1DB03F77"/>
    <w:rsid w:val="1DBB5F1A"/>
    <w:rsid w:val="1DBC6165"/>
    <w:rsid w:val="1DCB6C52"/>
    <w:rsid w:val="1DD332A5"/>
    <w:rsid w:val="1DE75E8F"/>
    <w:rsid w:val="1DE819A8"/>
    <w:rsid w:val="1DEC5DFD"/>
    <w:rsid w:val="1DEE6BE7"/>
    <w:rsid w:val="1DF00C8B"/>
    <w:rsid w:val="1DF57CC0"/>
    <w:rsid w:val="1E0631EA"/>
    <w:rsid w:val="1E07035C"/>
    <w:rsid w:val="1E0A72C5"/>
    <w:rsid w:val="1E0E1D8B"/>
    <w:rsid w:val="1E136084"/>
    <w:rsid w:val="1E152737"/>
    <w:rsid w:val="1E19443F"/>
    <w:rsid w:val="1E1A4A82"/>
    <w:rsid w:val="1E1E7098"/>
    <w:rsid w:val="1E414076"/>
    <w:rsid w:val="1E444ACF"/>
    <w:rsid w:val="1E4809CB"/>
    <w:rsid w:val="1E4D2C6C"/>
    <w:rsid w:val="1E560B35"/>
    <w:rsid w:val="1E583CD3"/>
    <w:rsid w:val="1E5F1645"/>
    <w:rsid w:val="1E5F35E9"/>
    <w:rsid w:val="1E6142BE"/>
    <w:rsid w:val="1E7A5305"/>
    <w:rsid w:val="1E7F64D3"/>
    <w:rsid w:val="1E820C8A"/>
    <w:rsid w:val="1E86624C"/>
    <w:rsid w:val="1E9021F3"/>
    <w:rsid w:val="1EA57CBE"/>
    <w:rsid w:val="1EA920DC"/>
    <w:rsid w:val="1EAA3A02"/>
    <w:rsid w:val="1EAC1876"/>
    <w:rsid w:val="1EB31215"/>
    <w:rsid w:val="1EB41EF0"/>
    <w:rsid w:val="1ED627B8"/>
    <w:rsid w:val="1EDC0CE5"/>
    <w:rsid w:val="1EDC6549"/>
    <w:rsid w:val="1F0513B1"/>
    <w:rsid w:val="1F0C3501"/>
    <w:rsid w:val="1F1375E7"/>
    <w:rsid w:val="1F165715"/>
    <w:rsid w:val="1F1A0957"/>
    <w:rsid w:val="1F1B3A0D"/>
    <w:rsid w:val="1F1F3FCD"/>
    <w:rsid w:val="1F1F4D89"/>
    <w:rsid w:val="1F236E35"/>
    <w:rsid w:val="1F291469"/>
    <w:rsid w:val="1F2C754B"/>
    <w:rsid w:val="1F2F45FF"/>
    <w:rsid w:val="1F2F5EFC"/>
    <w:rsid w:val="1F332C99"/>
    <w:rsid w:val="1F3F43A2"/>
    <w:rsid w:val="1F46517B"/>
    <w:rsid w:val="1F490484"/>
    <w:rsid w:val="1F4E7A1B"/>
    <w:rsid w:val="1F50248D"/>
    <w:rsid w:val="1F57217C"/>
    <w:rsid w:val="1F677E03"/>
    <w:rsid w:val="1F727F37"/>
    <w:rsid w:val="1F8320D0"/>
    <w:rsid w:val="1F9920A5"/>
    <w:rsid w:val="1FA0216D"/>
    <w:rsid w:val="1FAD225B"/>
    <w:rsid w:val="1FB31D0A"/>
    <w:rsid w:val="1FB524DE"/>
    <w:rsid w:val="1FB572A9"/>
    <w:rsid w:val="1FBC7C24"/>
    <w:rsid w:val="1FC4563B"/>
    <w:rsid w:val="1FC76D3D"/>
    <w:rsid w:val="1FC81159"/>
    <w:rsid w:val="1FE34BC6"/>
    <w:rsid w:val="1FE41856"/>
    <w:rsid w:val="1FE83DDC"/>
    <w:rsid w:val="1FEB7446"/>
    <w:rsid w:val="1FFE0A77"/>
    <w:rsid w:val="20055C68"/>
    <w:rsid w:val="2008261D"/>
    <w:rsid w:val="202B2AF4"/>
    <w:rsid w:val="20316D2A"/>
    <w:rsid w:val="203F0F39"/>
    <w:rsid w:val="20461C42"/>
    <w:rsid w:val="204D2584"/>
    <w:rsid w:val="204E57D3"/>
    <w:rsid w:val="20515FBA"/>
    <w:rsid w:val="20517BEC"/>
    <w:rsid w:val="20555725"/>
    <w:rsid w:val="206538A3"/>
    <w:rsid w:val="206755AB"/>
    <w:rsid w:val="20703A0E"/>
    <w:rsid w:val="207B7A31"/>
    <w:rsid w:val="20807B83"/>
    <w:rsid w:val="208A1412"/>
    <w:rsid w:val="20925FB2"/>
    <w:rsid w:val="20B220B5"/>
    <w:rsid w:val="20B517CC"/>
    <w:rsid w:val="20C874CF"/>
    <w:rsid w:val="20D43928"/>
    <w:rsid w:val="20D44D86"/>
    <w:rsid w:val="20DA02A4"/>
    <w:rsid w:val="20DB5196"/>
    <w:rsid w:val="20F1332C"/>
    <w:rsid w:val="20FF2023"/>
    <w:rsid w:val="21012B73"/>
    <w:rsid w:val="21052FDF"/>
    <w:rsid w:val="210543B3"/>
    <w:rsid w:val="210B1F41"/>
    <w:rsid w:val="211A0F79"/>
    <w:rsid w:val="21305EA8"/>
    <w:rsid w:val="21331C19"/>
    <w:rsid w:val="213754B1"/>
    <w:rsid w:val="213C22A1"/>
    <w:rsid w:val="213E37E4"/>
    <w:rsid w:val="213E5369"/>
    <w:rsid w:val="21446326"/>
    <w:rsid w:val="21467F17"/>
    <w:rsid w:val="214833CD"/>
    <w:rsid w:val="214E64EF"/>
    <w:rsid w:val="215163F7"/>
    <w:rsid w:val="21523A44"/>
    <w:rsid w:val="21526A50"/>
    <w:rsid w:val="21590FA5"/>
    <w:rsid w:val="2159361F"/>
    <w:rsid w:val="217043C3"/>
    <w:rsid w:val="217334F8"/>
    <w:rsid w:val="21847EDE"/>
    <w:rsid w:val="21863A96"/>
    <w:rsid w:val="219011FB"/>
    <w:rsid w:val="21A17DBB"/>
    <w:rsid w:val="21AB744A"/>
    <w:rsid w:val="21AC46EE"/>
    <w:rsid w:val="21AD38FB"/>
    <w:rsid w:val="21BA3FD6"/>
    <w:rsid w:val="21BA7D0C"/>
    <w:rsid w:val="21BD0253"/>
    <w:rsid w:val="21CE1B27"/>
    <w:rsid w:val="21CF3FE7"/>
    <w:rsid w:val="21D05CDD"/>
    <w:rsid w:val="21D35012"/>
    <w:rsid w:val="21D604E6"/>
    <w:rsid w:val="21DC43C2"/>
    <w:rsid w:val="21FC6987"/>
    <w:rsid w:val="22054593"/>
    <w:rsid w:val="22190DF0"/>
    <w:rsid w:val="221966A6"/>
    <w:rsid w:val="22346226"/>
    <w:rsid w:val="223660EF"/>
    <w:rsid w:val="2246615D"/>
    <w:rsid w:val="22467831"/>
    <w:rsid w:val="225709AF"/>
    <w:rsid w:val="226264E4"/>
    <w:rsid w:val="22712124"/>
    <w:rsid w:val="22756396"/>
    <w:rsid w:val="2277737E"/>
    <w:rsid w:val="227D3DD3"/>
    <w:rsid w:val="227D50AF"/>
    <w:rsid w:val="228A32ED"/>
    <w:rsid w:val="229F0FDC"/>
    <w:rsid w:val="22AB34FD"/>
    <w:rsid w:val="22B00FE3"/>
    <w:rsid w:val="22B412BB"/>
    <w:rsid w:val="22B921DA"/>
    <w:rsid w:val="22B94355"/>
    <w:rsid w:val="22C00FF6"/>
    <w:rsid w:val="22C31AB2"/>
    <w:rsid w:val="22C93511"/>
    <w:rsid w:val="22C97A4D"/>
    <w:rsid w:val="22CA1123"/>
    <w:rsid w:val="22D448A9"/>
    <w:rsid w:val="22DA4910"/>
    <w:rsid w:val="22DB44FC"/>
    <w:rsid w:val="22E67F1C"/>
    <w:rsid w:val="22E76EF6"/>
    <w:rsid w:val="22E92F5A"/>
    <w:rsid w:val="22EE232A"/>
    <w:rsid w:val="22F834E5"/>
    <w:rsid w:val="22F846D3"/>
    <w:rsid w:val="22FC38E3"/>
    <w:rsid w:val="22FF54B6"/>
    <w:rsid w:val="23140095"/>
    <w:rsid w:val="23157F61"/>
    <w:rsid w:val="231D5C46"/>
    <w:rsid w:val="232936D0"/>
    <w:rsid w:val="232B5E1B"/>
    <w:rsid w:val="232D4051"/>
    <w:rsid w:val="23314992"/>
    <w:rsid w:val="2332113F"/>
    <w:rsid w:val="23351FA9"/>
    <w:rsid w:val="23393DBB"/>
    <w:rsid w:val="234472BE"/>
    <w:rsid w:val="2345336D"/>
    <w:rsid w:val="234A76EF"/>
    <w:rsid w:val="234B2789"/>
    <w:rsid w:val="234E4970"/>
    <w:rsid w:val="235B61C9"/>
    <w:rsid w:val="236E3CBA"/>
    <w:rsid w:val="23764990"/>
    <w:rsid w:val="238A6CD1"/>
    <w:rsid w:val="239E0AFE"/>
    <w:rsid w:val="23A36852"/>
    <w:rsid w:val="23A42FE5"/>
    <w:rsid w:val="23A80A91"/>
    <w:rsid w:val="23B52E13"/>
    <w:rsid w:val="23B53DAB"/>
    <w:rsid w:val="23B963A3"/>
    <w:rsid w:val="23C960C1"/>
    <w:rsid w:val="23CE7222"/>
    <w:rsid w:val="23D52154"/>
    <w:rsid w:val="23D8590C"/>
    <w:rsid w:val="23DE3EE7"/>
    <w:rsid w:val="23DF237D"/>
    <w:rsid w:val="23ED5C81"/>
    <w:rsid w:val="23EF3C87"/>
    <w:rsid w:val="23FF7332"/>
    <w:rsid w:val="24001527"/>
    <w:rsid w:val="24060475"/>
    <w:rsid w:val="240772B1"/>
    <w:rsid w:val="24134A87"/>
    <w:rsid w:val="241A34FB"/>
    <w:rsid w:val="242949C1"/>
    <w:rsid w:val="242B3B88"/>
    <w:rsid w:val="242F5319"/>
    <w:rsid w:val="24366057"/>
    <w:rsid w:val="24395BC7"/>
    <w:rsid w:val="243E1454"/>
    <w:rsid w:val="24480B04"/>
    <w:rsid w:val="244B00C0"/>
    <w:rsid w:val="24504564"/>
    <w:rsid w:val="245E4B1C"/>
    <w:rsid w:val="245E65F7"/>
    <w:rsid w:val="246063DF"/>
    <w:rsid w:val="246451CA"/>
    <w:rsid w:val="246A734E"/>
    <w:rsid w:val="246B20E8"/>
    <w:rsid w:val="247C4CC8"/>
    <w:rsid w:val="247C711F"/>
    <w:rsid w:val="24AD0773"/>
    <w:rsid w:val="24AD5999"/>
    <w:rsid w:val="24B35271"/>
    <w:rsid w:val="24B521B5"/>
    <w:rsid w:val="24B545C8"/>
    <w:rsid w:val="24BA19EE"/>
    <w:rsid w:val="24CE4AF6"/>
    <w:rsid w:val="24D20846"/>
    <w:rsid w:val="24DD64FC"/>
    <w:rsid w:val="24E329D4"/>
    <w:rsid w:val="24E57B81"/>
    <w:rsid w:val="24E61D5B"/>
    <w:rsid w:val="24E65598"/>
    <w:rsid w:val="24E96743"/>
    <w:rsid w:val="24EA675F"/>
    <w:rsid w:val="24EE5A0B"/>
    <w:rsid w:val="25072191"/>
    <w:rsid w:val="250A037F"/>
    <w:rsid w:val="250C1650"/>
    <w:rsid w:val="25110489"/>
    <w:rsid w:val="25160237"/>
    <w:rsid w:val="251850C4"/>
    <w:rsid w:val="251C5DE8"/>
    <w:rsid w:val="251D141E"/>
    <w:rsid w:val="251F4CB8"/>
    <w:rsid w:val="254210BC"/>
    <w:rsid w:val="254A3B8D"/>
    <w:rsid w:val="254F2870"/>
    <w:rsid w:val="255C18BB"/>
    <w:rsid w:val="255C5353"/>
    <w:rsid w:val="255C5DFA"/>
    <w:rsid w:val="25614D56"/>
    <w:rsid w:val="25634FB9"/>
    <w:rsid w:val="256A3635"/>
    <w:rsid w:val="258249F5"/>
    <w:rsid w:val="25852F8D"/>
    <w:rsid w:val="258C1E50"/>
    <w:rsid w:val="25963BDC"/>
    <w:rsid w:val="259E0F52"/>
    <w:rsid w:val="25A131B1"/>
    <w:rsid w:val="25A56969"/>
    <w:rsid w:val="25AC209F"/>
    <w:rsid w:val="25AF5AD1"/>
    <w:rsid w:val="25B0694C"/>
    <w:rsid w:val="25C03F3E"/>
    <w:rsid w:val="25C913AC"/>
    <w:rsid w:val="25C94238"/>
    <w:rsid w:val="25D90F75"/>
    <w:rsid w:val="25DA3DD7"/>
    <w:rsid w:val="25E17531"/>
    <w:rsid w:val="260A62CD"/>
    <w:rsid w:val="260C0317"/>
    <w:rsid w:val="260D0F43"/>
    <w:rsid w:val="261B2A21"/>
    <w:rsid w:val="261E1AA8"/>
    <w:rsid w:val="26230FB3"/>
    <w:rsid w:val="26277D9A"/>
    <w:rsid w:val="26280A3A"/>
    <w:rsid w:val="262C2DFB"/>
    <w:rsid w:val="26362445"/>
    <w:rsid w:val="264B79AC"/>
    <w:rsid w:val="265D2C36"/>
    <w:rsid w:val="266863CC"/>
    <w:rsid w:val="266D068F"/>
    <w:rsid w:val="26771D77"/>
    <w:rsid w:val="267A3EA7"/>
    <w:rsid w:val="26811112"/>
    <w:rsid w:val="26881D7F"/>
    <w:rsid w:val="269162C2"/>
    <w:rsid w:val="26941211"/>
    <w:rsid w:val="269A39CE"/>
    <w:rsid w:val="26A364C5"/>
    <w:rsid w:val="26A44093"/>
    <w:rsid w:val="26AA72BE"/>
    <w:rsid w:val="26AC0A54"/>
    <w:rsid w:val="26B079EB"/>
    <w:rsid w:val="26B56802"/>
    <w:rsid w:val="26B93D6C"/>
    <w:rsid w:val="26B972F5"/>
    <w:rsid w:val="26CA4E13"/>
    <w:rsid w:val="26E12CEB"/>
    <w:rsid w:val="26E165B9"/>
    <w:rsid w:val="27001A1C"/>
    <w:rsid w:val="2707669F"/>
    <w:rsid w:val="27093B41"/>
    <w:rsid w:val="270975D9"/>
    <w:rsid w:val="270B0F88"/>
    <w:rsid w:val="270F6DCE"/>
    <w:rsid w:val="27104E2C"/>
    <w:rsid w:val="271D074B"/>
    <w:rsid w:val="272A076F"/>
    <w:rsid w:val="273A6D23"/>
    <w:rsid w:val="2744508E"/>
    <w:rsid w:val="27475DA8"/>
    <w:rsid w:val="27514BF7"/>
    <w:rsid w:val="275B2D4B"/>
    <w:rsid w:val="27675135"/>
    <w:rsid w:val="277D0B81"/>
    <w:rsid w:val="27811362"/>
    <w:rsid w:val="278334F7"/>
    <w:rsid w:val="278A44E6"/>
    <w:rsid w:val="279C45E8"/>
    <w:rsid w:val="27A25E51"/>
    <w:rsid w:val="27A8737C"/>
    <w:rsid w:val="27AC2852"/>
    <w:rsid w:val="27B14F29"/>
    <w:rsid w:val="27BB232A"/>
    <w:rsid w:val="27BC7000"/>
    <w:rsid w:val="27C34BCB"/>
    <w:rsid w:val="27D03B58"/>
    <w:rsid w:val="27D711E9"/>
    <w:rsid w:val="27E17E6D"/>
    <w:rsid w:val="27E5487F"/>
    <w:rsid w:val="27EC3678"/>
    <w:rsid w:val="27F87B30"/>
    <w:rsid w:val="27FC3FF5"/>
    <w:rsid w:val="27FC5B66"/>
    <w:rsid w:val="28001066"/>
    <w:rsid w:val="280964C0"/>
    <w:rsid w:val="281A3EA5"/>
    <w:rsid w:val="28271983"/>
    <w:rsid w:val="28273F08"/>
    <w:rsid w:val="282D4A2F"/>
    <w:rsid w:val="28494535"/>
    <w:rsid w:val="284D0039"/>
    <w:rsid w:val="285F1B5C"/>
    <w:rsid w:val="2864350E"/>
    <w:rsid w:val="286706B6"/>
    <w:rsid w:val="286E406A"/>
    <w:rsid w:val="28713AB4"/>
    <w:rsid w:val="287B2CA8"/>
    <w:rsid w:val="287C7545"/>
    <w:rsid w:val="28923372"/>
    <w:rsid w:val="28977F29"/>
    <w:rsid w:val="289B7D7E"/>
    <w:rsid w:val="28A36416"/>
    <w:rsid w:val="28B134F3"/>
    <w:rsid w:val="28C7538A"/>
    <w:rsid w:val="28CF2658"/>
    <w:rsid w:val="28DB5F36"/>
    <w:rsid w:val="28E62AF5"/>
    <w:rsid w:val="28E667CC"/>
    <w:rsid w:val="28F93D04"/>
    <w:rsid w:val="28FE1AB3"/>
    <w:rsid w:val="28FE4B2D"/>
    <w:rsid w:val="29041E6B"/>
    <w:rsid w:val="29162F3C"/>
    <w:rsid w:val="291C315B"/>
    <w:rsid w:val="29336423"/>
    <w:rsid w:val="29362C39"/>
    <w:rsid w:val="293C308A"/>
    <w:rsid w:val="293D7E8D"/>
    <w:rsid w:val="29415C67"/>
    <w:rsid w:val="2944459C"/>
    <w:rsid w:val="294B48E7"/>
    <w:rsid w:val="295623BD"/>
    <w:rsid w:val="29572119"/>
    <w:rsid w:val="295F59C2"/>
    <w:rsid w:val="29611C40"/>
    <w:rsid w:val="29763832"/>
    <w:rsid w:val="297B3133"/>
    <w:rsid w:val="297E1B70"/>
    <w:rsid w:val="29852C66"/>
    <w:rsid w:val="29887F9D"/>
    <w:rsid w:val="29893502"/>
    <w:rsid w:val="29965DD0"/>
    <w:rsid w:val="299A5C41"/>
    <w:rsid w:val="29A61CF2"/>
    <w:rsid w:val="29A81854"/>
    <w:rsid w:val="29A935D8"/>
    <w:rsid w:val="29B36F12"/>
    <w:rsid w:val="29C17AA0"/>
    <w:rsid w:val="29CD7459"/>
    <w:rsid w:val="29D44229"/>
    <w:rsid w:val="29E17195"/>
    <w:rsid w:val="29E22061"/>
    <w:rsid w:val="29E41979"/>
    <w:rsid w:val="29E6213E"/>
    <w:rsid w:val="29E672C5"/>
    <w:rsid w:val="29E77616"/>
    <w:rsid w:val="29E80F86"/>
    <w:rsid w:val="29F30E61"/>
    <w:rsid w:val="29F96629"/>
    <w:rsid w:val="29FB045E"/>
    <w:rsid w:val="29FD43DC"/>
    <w:rsid w:val="29FD7288"/>
    <w:rsid w:val="2A053F98"/>
    <w:rsid w:val="2A0659E1"/>
    <w:rsid w:val="2A0B4CFD"/>
    <w:rsid w:val="2A0F566E"/>
    <w:rsid w:val="2A0F5AD0"/>
    <w:rsid w:val="2A122202"/>
    <w:rsid w:val="2A152DB6"/>
    <w:rsid w:val="2A1A285E"/>
    <w:rsid w:val="2A2468B8"/>
    <w:rsid w:val="2A2F2E6F"/>
    <w:rsid w:val="2A301D68"/>
    <w:rsid w:val="2A357449"/>
    <w:rsid w:val="2A4D0573"/>
    <w:rsid w:val="2A5B012D"/>
    <w:rsid w:val="2A5E6191"/>
    <w:rsid w:val="2A67601F"/>
    <w:rsid w:val="2A6932E0"/>
    <w:rsid w:val="2A6E71D0"/>
    <w:rsid w:val="2A7C0FEE"/>
    <w:rsid w:val="2AA33CFD"/>
    <w:rsid w:val="2AAE40CF"/>
    <w:rsid w:val="2AC2238B"/>
    <w:rsid w:val="2AC5066A"/>
    <w:rsid w:val="2AC805B9"/>
    <w:rsid w:val="2ACC748C"/>
    <w:rsid w:val="2ACF6A8A"/>
    <w:rsid w:val="2AE23FC9"/>
    <w:rsid w:val="2AE609CA"/>
    <w:rsid w:val="2AE6274F"/>
    <w:rsid w:val="2AE70EB2"/>
    <w:rsid w:val="2AE75AFF"/>
    <w:rsid w:val="2AEF405A"/>
    <w:rsid w:val="2AF37208"/>
    <w:rsid w:val="2AF50B76"/>
    <w:rsid w:val="2AFD31AB"/>
    <w:rsid w:val="2B205BA3"/>
    <w:rsid w:val="2B285E7C"/>
    <w:rsid w:val="2B2C5116"/>
    <w:rsid w:val="2B3136F7"/>
    <w:rsid w:val="2B3559C2"/>
    <w:rsid w:val="2B3F1E1C"/>
    <w:rsid w:val="2B4A3D8D"/>
    <w:rsid w:val="2B4A471E"/>
    <w:rsid w:val="2B4A5FA4"/>
    <w:rsid w:val="2B4C6985"/>
    <w:rsid w:val="2B501B65"/>
    <w:rsid w:val="2B613C4D"/>
    <w:rsid w:val="2B6F182C"/>
    <w:rsid w:val="2B74171E"/>
    <w:rsid w:val="2B7C62E4"/>
    <w:rsid w:val="2B841A50"/>
    <w:rsid w:val="2B873A41"/>
    <w:rsid w:val="2BA0294D"/>
    <w:rsid w:val="2BA11B99"/>
    <w:rsid w:val="2BA864FF"/>
    <w:rsid w:val="2BC91F60"/>
    <w:rsid w:val="2BD73FEB"/>
    <w:rsid w:val="2BDC3C01"/>
    <w:rsid w:val="2BEC6C7A"/>
    <w:rsid w:val="2BF0238C"/>
    <w:rsid w:val="2BF07ED6"/>
    <w:rsid w:val="2BF44B30"/>
    <w:rsid w:val="2BF7191D"/>
    <w:rsid w:val="2C020E52"/>
    <w:rsid w:val="2C051307"/>
    <w:rsid w:val="2C0819FF"/>
    <w:rsid w:val="2C091F09"/>
    <w:rsid w:val="2C140305"/>
    <w:rsid w:val="2C155EFF"/>
    <w:rsid w:val="2C1E2655"/>
    <w:rsid w:val="2C290AD7"/>
    <w:rsid w:val="2C36789D"/>
    <w:rsid w:val="2C37579C"/>
    <w:rsid w:val="2C413362"/>
    <w:rsid w:val="2C471CC1"/>
    <w:rsid w:val="2C554F9D"/>
    <w:rsid w:val="2C6124BC"/>
    <w:rsid w:val="2C6203AC"/>
    <w:rsid w:val="2C696F2A"/>
    <w:rsid w:val="2C764051"/>
    <w:rsid w:val="2C7B30C7"/>
    <w:rsid w:val="2C801670"/>
    <w:rsid w:val="2C83561C"/>
    <w:rsid w:val="2C86296A"/>
    <w:rsid w:val="2C8B4EF3"/>
    <w:rsid w:val="2C8F1FC8"/>
    <w:rsid w:val="2C8F4CA1"/>
    <w:rsid w:val="2C93279C"/>
    <w:rsid w:val="2C955175"/>
    <w:rsid w:val="2CA366B4"/>
    <w:rsid w:val="2CA75A8F"/>
    <w:rsid w:val="2CAA59A1"/>
    <w:rsid w:val="2CB60393"/>
    <w:rsid w:val="2CB6664F"/>
    <w:rsid w:val="2CBA7EE4"/>
    <w:rsid w:val="2CBC5E92"/>
    <w:rsid w:val="2CC16776"/>
    <w:rsid w:val="2CD53BF3"/>
    <w:rsid w:val="2CDF1C79"/>
    <w:rsid w:val="2CFA45B1"/>
    <w:rsid w:val="2D08622F"/>
    <w:rsid w:val="2D0D0C73"/>
    <w:rsid w:val="2D2345C7"/>
    <w:rsid w:val="2D261723"/>
    <w:rsid w:val="2D307812"/>
    <w:rsid w:val="2D494825"/>
    <w:rsid w:val="2D4C0DCE"/>
    <w:rsid w:val="2D4F3BDF"/>
    <w:rsid w:val="2D533460"/>
    <w:rsid w:val="2D581CCF"/>
    <w:rsid w:val="2D5C1DB2"/>
    <w:rsid w:val="2D5E173E"/>
    <w:rsid w:val="2D650E42"/>
    <w:rsid w:val="2D66368B"/>
    <w:rsid w:val="2D75475C"/>
    <w:rsid w:val="2D7B4B2E"/>
    <w:rsid w:val="2D801ABC"/>
    <w:rsid w:val="2D8258F3"/>
    <w:rsid w:val="2D856830"/>
    <w:rsid w:val="2D8613F9"/>
    <w:rsid w:val="2D882515"/>
    <w:rsid w:val="2D8D74A4"/>
    <w:rsid w:val="2D926137"/>
    <w:rsid w:val="2DA22417"/>
    <w:rsid w:val="2DA500D9"/>
    <w:rsid w:val="2DAC06F5"/>
    <w:rsid w:val="2DAE0F14"/>
    <w:rsid w:val="2DAF5AAF"/>
    <w:rsid w:val="2DB65AAE"/>
    <w:rsid w:val="2DC8442F"/>
    <w:rsid w:val="2DD32C8F"/>
    <w:rsid w:val="2DDD25EF"/>
    <w:rsid w:val="2DE45CFD"/>
    <w:rsid w:val="2DEF5A58"/>
    <w:rsid w:val="2DFA7F9E"/>
    <w:rsid w:val="2DFF4613"/>
    <w:rsid w:val="2E0105C4"/>
    <w:rsid w:val="2E0138AD"/>
    <w:rsid w:val="2E1B4AFC"/>
    <w:rsid w:val="2E1C2D47"/>
    <w:rsid w:val="2E2022A8"/>
    <w:rsid w:val="2E245F9F"/>
    <w:rsid w:val="2E2603E5"/>
    <w:rsid w:val="2E2D43B8"/>
    <w:rsid w:val="2E2F11A0"/>
    <w:rsid w:val="2E316F3F"/>
    <w:rsid w:val="2E3F49AD"/>
    <w:rsid w:val="2E4462D2"/>
    <w:rsid w:val="2E4E530C"/>
    <w:rsid w:val="2E6D227D"/>
    <w:rsid w:val="2E6D7E65"/>
    <w:rsid w:val="2E787995"/>
    <w:rsid w:val="2E79424B"/>
    <w:rsid w:val="2E7C45AD"/>
    <w:rsid w:val="2E8554FA"/>
    <w:rsid w:val="2E8D7461"/>
    <w:rsid w:val="2EA60516"/>
    <w:rsid w:val="2EA8442B"/>
    <w:rsid w:val="2EAD2145"/>
    <w:rsid w:val="2EB81B62"/>
    <w:rsid w:val="2EBC2263"/>
    <w:rsid w:val="2EBD0643"/>
    <w:rsid w:val="2EC233F9"/>
    <w:rsid w:val="2EC35595"/>
    <w:rsid w:val="2EC547F2"/>
    <w:rsid w:val="2ED07EF2"/>
    <w:rsid w:val="2EDE0469"/>
    <w:rsid w:val="2EE37FA0"/>
    <w:rsid w:val="2EE711B6"/>
    <w:rsid w:val="2EEB49FA"/>
    <w:rsid w:val="2F06315B"/>
    <w:rsid w:val="2F0B0AE3"/>
    <w:rsid w:val="2F14652F"/>
    <w:rsid w:val="2F1F7372"/>
    <w:rsid w:val="2F24468F"/>
    <w:rsid w:val="2F270AC3"/>
    <w:rsid w:val="2F2D4FF3"/>
    <w:rsid w:val="2F342A84"/>
    <w:rsid w:val="2F3454EE"/>
    <w:rsid w:val="2F371654"/>
    <w:rsid w:val="2F395E92"/>
    <w:rsid w:val="2F3A4E04"/>
    <w:rsid w:val="2F4003EC"/>
    <w:rsid w:val="2F4076BB"/>
    <w:rsid w:val="2F430FF7"/>
    <w:rsid w:val="2F481044"/>
    <w:rsid w:val="2F4A7913"/>
    <w:rsid w:val="2F5A149E"/>
    <w:rsid w:val="2F5A334B"/>
    <w:rsid w:val="2F5C7A53"/>
    <w:rsid w:val="2F604ED2"/>
    <w:rsid w:val="2F6B07A4"/>
    <w:rsid w:val="2F6F6E22"/>
    <w:rsid w:val="2F75606A"/>
    <w:rsid w:val="2F780359"/>
    <w:rsid w:val="2F8E6C98"/>
    <w:rsid w:val="2F9327A7"/>
    <w:rsid w:val="2FA6537A"/>
    <w:rsid w:val="2FA67D1F"/>
    <w:rsid w:val="2FA867E1"/>
    <w:rsid w:val="2FAB76D1"/>
    <w:rsid w:val="2FB56B98"/>
    <w:rsid w:val="2FBA0D9A"/>
    <w:rsid w:val="2FBE5B8D"/>
    <w:rsid w:val="2FBF713D"/>
    <w:rsid w:val="2FC77845"/>
    <w:rsid w:val="2FC9676A"/>
    <w:rsid w:val="2FCB4DD1"/>
    <w:rsid w:val="2FDC4FF1"/>
    <w:rsid w:val="2FDC5166"/>
    <w:rsid w:val="2FDE194E"/>
    <w:rsid w:val="2FDE6B46"/>
    <w:rsid w:val="2FE232A7"/>
    <w:rsid w:val="2FE3161C"/>
    <w:rsid w:val="2FE754B4"/>
    <w:rsid w:val="2FE94B9A"/>
    <w:rsid w:val="2FF108F6"/>
    <w:rsid w:val="2FF67A42"/>
    <w:rsid w:val="30077136"/>
    <w:rsid w:val="30090875"/>
    <w:rsid w:val="300C16BD"/>
    <w:rsid w:val="3016617D"/>
    <w:rsid w:val="30251522"/>
    <w:rsid w:val="302C1774"/>
    <w:rsid w:val="30345EE8"/>
    <w:rsid w:val="30370F83"/>
    <w:rsid w:val="30372891"/>
    <w:rsid w:val="30396B10"/>
    <w:rsid w:val="303B336D"/>
    <w:rsid w:val="30433157"/>
    <w:rsid w:val="304F6B17"/>
    <w:rsid w:val="30516C77"/>
    <w:rsid w:val="30600370"/>
    <w:rsid w:val="306741DB"/>
    <w:rsid w:val="30780DFA"/>
    <w:rsid w:val="307B4F89"/>
    <w:rsid w:val="308B5CBA"/>
    <w:rsid w:val="30A706D1"/>
    <w:rsid w:val="30AB2825"/>
    <w:rsid w:val="30AB3B6B"/>
    <w:rsid w:val="30AD36ED"/>
    <w:rsid w:val="30CD2327"/>
    <w:rsid w:val="30D0530A"/>
    <w:rsid w:val="30D55375"/>
    <w:rsid w:val="30D9094A"/>
    <w:rsid w:val="30DA1C8A"/>
    <w:rsid w:val="30DB6191"/>
    <w:rsid w:val="30DD06A7"/>
    <w:rsid w:val="30DD29CE"/>
    <w:rsid w:val="30DE37F5"/>
    <w:rsid w:val="30E57BC8"/>
    <w:rsid w:val="30E6523C"/>
    <w:rsid w:val="30E7578F"/>
    <w:rsid w:val="30E91822"/>
    <w:rsid w:val="30ED62B1"/>
    <w:rsid w:val="30EE18BE"/>
    <w:rsid w:val="30EE58FA"/>
    <w:rsid w:val="30F12587"/>
    <w:rsid w:val="30F8450D"/>
    <w:rsid w:val="30F94B3F"/>
    <w:rsid w:val="30FA66F9"/>
    <w:rsid w:val="3102477E"/>
    <w:rsid w:val="31026961"/>
    <w:rsid w:val="3105390F"/>
    <w:rsid w:val="311E3592"/>
    <w:rsid w:val="31225802"/>
    <w:rsid w:val="3138432A"/>
    <w:rsid w:val="313D5697"/>
    <w:rsid w:val="314E4954"/>
    <w:rsid w:val="31500B3C"/>
    <w:rsid w:val="31542211"/>
    <w:rsid w:val="315E2D3B"/>
    <w:rsid w:val="316124DC"/>
    <w:rsid w:val="31643D76"/>
    <w:rsid w:val="31682BB3"/>
    <w:rsid w:val="3168625F"/>
    <w:rsid w:val="31704633"/>
    <w:rsid w:val="3172332D"/>
    <w:rsid w:val="31864D3E"/>
    <w:rsid w:val="318F6100"/>
    <w:rsid w:val="31910D55"/>
    <w:rsid w:val="31991C66"/>
    <w:rsid w:val="319C7B3C"/>
    <w:rsid w:val="31A3175F"/>
    <w:rsid w:val="31A60F66"/>
    <w:rsid w:val="31A87ADD"/>
    <w:rsid w:val="31AA213A"/>
    <w:rsid w:val="31AB33E4"/>
    <w:rsid w:val="31B000F0"/>
    <w:rsid w:val="31BB57B1"/>
    <w:rsid w:val="31BD7DC2"/>
    <w:rsid w:val="31C50591"/>
    <w:rsid w:val="31CB53D5"/>
    <w:rsid w:val="31D36060"/>
    <w:rsid w:val="31E51C34"/>
    <w:rsid w:val="31E73000"/>
    <w:rsid w:val="31EC21BD"/>
    <w:rsid w:val="31EC7522"/>
    <w:rsid w:val="31ED2EF1"/>
    <w:rsid w:val="32017785"/>
    <w:rsid w:val="322721C8"/>
    <w:rsid w:val="32381C5F"/>
    <w:rsid w:val="323C4A2E"/>
    <w:rsid w:val="324030EE"/>
    <w:rsid w:val="32422E19"/>
    <w:rsid w:val="324E140C"/>
    <w:rsid w:val="324E4E8C"/>
    <w:rsid w:val="32614B4A"/>
    <w:rsid w:val="326B6851"/>
    <w:rsid w:val="326F4E9C"/>
    <w:rsid w:val="32702BD5"/>
    <w:rsid w:val="32811F79"/>
    <w:rsid w:val="32864655"/>
    <w:rsid w:val="32893451"/>
    <w:rsid w:val="329965F5"/>
    <w:rsid w:val="329A6A9E"/>
    <w:rsid w:val="329A736B"/>
    <w:rsid w:val="32A04A94"/>
    <w:rsid w:val="32A427CA"/>
    <w:rsid w:val="32A7197B"/>
    <w:rsid w:val="32B33797"/>
    <w:rsid w:val="32B37E0D"/>
    <w:rsid w:val="32B51BDE"/>
    <w:rsid w:val="32BC3D75"/>
    <w:rsid w:val="32C40A07"/>
    <w:rsid w:val="32CA0686"/>
    <w:rsid w:val="32D228DB"/>
    <w:rsid w:val="32D2292A"/>
    <w:rsid w:val="32D8332E"/>
    <w:rsid w:val="32DD110C"/>
    <w:rsid w:val="32E27584"/>
    <w:rsid w:val="32E4274D"/>
    <w:rsid w:val="32EA4356"/>
    <w:rsid w:val="32EA7272"/>
    <w:rsid w:val="32F87F99"/>
    <w:rsid w:val="32FB3799"/>
    <w:rsid w:val="33083D6C"/>
    <w:rsid w:val="330B4E46"/>
    <w:rsid w:val="33102D67"/>
    <w:rsid w:val="33125B66"/>
    <w:rsid w:val="331414B9"/>
    <w:rsid w:val="33190E82"/>
    <w:rsid w:val="331A4778"/>
    <w:rsid w:val="331D2FB2"/>
    <w:rsid w:val="33304D51"/>
    <w:rsid w:val="33346406"/>
    <w:rsid w:val="33412A47"/>
    <w:rsid w:val="33443787"/>
    <w:rsid w:val="33482C37"/>
    <w:rsid w:val="335131FB"/>
    <w:rsid w:val="335C7E19"/>
    <w:rsid w:val="3360622F"/>
    <w:rsid w:val="336205A2"/>
    <w:rsid w:val="336D2C26"/>
    <w:rsid w:val="337269A6"/>
    <w:rsid w:val="33791790"/>
    <w:rsid w:val="33834D7C"/>
    <w:rsid w:val="33852819"/>
    <w:rsid w:val="33871999"/>
    <w:rsid w:val="338C37F9"/>
    <w:rsid w:val="33900DD8"/>
    <w:rsid w:val="33933FAE"/>
    <w:rsid w:val="33AC185A"/>
    <w:rsid w:val="33AD4603"/>
    <w:rsid w:val="33AD67B5"/>
    <w:rsid w:val="33B900C0"/>
    <w:rsid w:val="33BC00F2"/>
    <w:rsid w:val="33BF13B4"/>
    <w:rsid w:val="33CF792F"/>
    <w:rsid w:val="33DD1044"/>
    <w:rsid w:val="33E22A9F"/>
    <w:rsid w:val="33E252DE"/>
    <w:rsid w:val="33EF4903"/>
    <w:rsid w:val="33F319D8"/>
    <w:rsid w:val="340D1BC5"/>
    <w:rsid w:val="340D4B04"/>
    <w:rsid w:val="342B76AC"/>
    <w:rsid w:val="342F7562"/>
    <w:rsid w:val="34364B8B"/>
    <w:rsid w:val="34375332"/>
    <w:rsid w:val="34442D5D"/>
    <w:rsid w:val="34443210"/>
    <w:rsid w:val="344D76D4"/>
    <w:rsid w:val="34577CDD"/>
    <w:rsid w:val="345965FA"/>
    <w:rsid w:val="3461183B"/>
    <w:rsid w:val="34674748"/>
    <w:rsid w:val="346B2570"/>
    <w:rsid w:val="34716A18"/>
    <w:rsid w:val="34716D4F"/>
    <w:rsid w:val="347C5154"/>
    <w:rsid w:val="3482183C"/>
    <w:rsid w:val="34850D8B"/>
    <w:rsid w:val="348659F9"/>
    <w:rsid w:val="34887FF5"/>
    <w:rsid w:val="348A1767"/>
    <w:rsid w:val="34920DBA"/>
    <w:rsid w:val="3493711F"/>
    <w:rsid w:val="349F5C3D"/>
    <w:rsid w:val="34AE00F1"/>
    <w:rsid w:val="34AE5218"/>
    <w:rsid w:val="34B070F1"/>
    <w:rsid w:val="34B271E0"/>
    <w:rsid w:val="34B57A6A"/>
    <w:rsid w:val="34B90A4C"/>
    <w:rsid w:val="34BC2AEE"/>
    <w:rsid w:val="34BE4EFB"/>
    <w:rsid w:val="34CB4A12"/>
    <w:rsid w:val="34D21EE8"/>
    <w:rsid w:val="34D47537"/>
    <w:rsid w:val="34D53539"/>
    <w:rsid w:val="34E205A8"/>
    <w:rsid w:val="34EA761F"/>
    <w:rsid w:val="34F262D6"/>
    <w:rsid w:val="34F368AB"/>
    <w:rsid w:val="34F74066"/>
    <w:rsid w:val="34F741B9"/>
    <w:rsid w:val="34FA0D1C"/>
    <w:rsid w:val="34FE0255"/>
    <w:rsid w:val="350730B8"/>
    <w:rsid w:val="35124BDF"/>
    <w:rsid w:val="351547F2"/>
    <w:rsid w:val="351847DE"/>
    <w:rsid w:val="352164B6"/>
    <w:rsid w:val="35263A2B"/>
    <w:rsid w:val="3528176C"/>
    <w:rsid w:val="352A1A45"/>
    <w:rsid w:val="352B2DCA"/>
    <w:rsid w:val="352F5D97"/>
    <w:rsid w:val="35383E18"/>
    <w:rsid w:val="353E2CF6"/>
    <w:rsid w:val="353F4A21"/>
    <w:rsid w:val="35434E58"/>
    <w:rsid w:val="354E17ED"/>
    <w:rsid w:val="355149E3"/>
    <w:rsid w:val="35526504"/>
    <w:rsid w:val="355C5A55"/>
    <w:rsid w:val="356660A7"/>
    <w:rsid w:val="357C663A"/>
    <w:rsid w:val="357D5641"/>
    <w:rsid w:val="35815594"/>
    <w:rsid w:val="35825DFF"/>
    <w:rsid w:val="35985A19"/>
    <w:rsid w:val="359B36CE"/>
    <w:rsid w:val="359C2E88"/>
    <w:rsid w:val="35BB566F"/>
    <w:rsid w:val="35C04EAE"/>
    <w:rsid w:val="35C55293"/>
    <w:rsid w:val="35CA2A36"/>
    <w:rsid w:val="35D178B2"/>
    <w:rsid w:val="35D43014"/>
    <w:rsid w:val="35D650EC"/>
    <w:rsid w:val="35DB6B26"/>
    <w:rsid w:val="35DE3A4D"/>
    <w:rsid w:val="35E22D8D"/>
    <w:rsid w:val="35E55251"/>
    <w:rsid w:val="35F81772"/>
    <w:rsid w:val="36011A02"/>
    <w:rsid w:val="36094C87"/>
    <w:rsid w:val="36170DC0"/>
    <w:rsid w:val="362A1DFA"/>
    <w:rsid w:val="362B427C"/>
    <w:rsid w:val="362D0BBA"/>
    <w:rsid w:val="362D138E"/>
    <w:rsid w:val="362D79C7"/>
    <w:rsid w:val="363B3F7C"/>
    <w:rsid w:val="363F6804"/>
    <w:rsid w:val="36403255"/>
    <w:rsid w:val="36530F8F"/>
    <w:rsid w:val="365F6233"/>
    <w:rsid w:val="36604F52"/>
    <w:rsid w:val="36631EBB"/>
    <w:rsid w:val="36710540"/>
    <w:rsid w:val="367914DA"/>
    <w:rsid w:val="36816BEC"/>
    <w:rsid w:val="36944A6B"/>
    <w:rsid w:val="36963D16"/>
    <w:rsid w:val="36A03182"/>
    <w:rsid w:val="36A46123"/>
    <w:rsid w:val="36AB75A5"/>
    <w:rsid w:val="36CB7422"/>
    <w:rsid w:val="36D24FE3"/>
    <w:rsid w:val="36D44FD1"/>
    <w:rsid w:val="36E147DC"/>
    <w:rsid w:val="36E66A2E"/>
    <w:rsid w:val="36F8159F"/>
    <w:rsid w:val="370658EE"/>
    <w:rsid w:val="370C5A67"/>
    <w:rsid w:val="370E6C9A"/>
    <w:rsid w:val="371C792D"/>
    <w:rsid w:val="371F7C4F"/>
    <w:rsid w:val="37216194"/>
    <w:rsid w:val="37292D18"/>
    <w:rsid w:val="372944A5"/>
    <w:rsid w:val="372B5434"/>
    <w:rsid w:val="372F2B17"/>
    <w:rsid w:val="373204C6"/>
    <w:rsid w:val="3733618B"/>
    <w:rsid w:val="373524E8"/>
    <w:rsid w:val="373A4572"/>
    <w:rsid w:val="37446F64"/>
    <w:rsid w:val="374638CE"/>
    <w:rsid w:val="374E1C28"/>
    <w:rsid w:val="37584853"/>
    <w:rsid w:val="37687349"/>
    <w:rsid w:val="37774AF1"/>
    <w:rsid w:val="37825B07"/>
    <w:rsid w:val="37AF4CE7"/>
    <w:rsid w:val="37BE70F0"/>
    <w:rsid w:val="37C279E6"/>
    <w:rsid w:val="37C75D9B"/>
    <w:rsid w:val="37CA1B5C"/>
    <w:rsid w:val="37D92B41"/>
    <w:rsid w:val="37DF4A7F"/>
    <w:rsid w:val="37E420C4"/>
    <w:rsid w:val="37EB040A"/>
    <w:rsid w:val="37F43B51"/>
    <w:rsid w:val="37F976E5"/>
    <w:rsid w:val="38110CEC"/>
    <w:rsid w:val="38290DB3"/>
    <w:rsid w:val="38326A66"/>
    <w:rsid w:val="38376340"/>
    <w:rsid w:val="383D70E7"/>
    <w:rsid w:val="38664E2E"/>
    <w:rsid w:val="386A5665"/>
    <w:rsid w:val="38735FE6"/>
    <w:rsid w:val="38754BF2"/>
    <w:rsid w:val="3876702E"/>
    <w:rsid w:val="387828C4"/>
    <w:rsid w:val="387B6682"/>
    <w:rsid w:val="387C42B2"/>
    <w:rsid w:val="387E7637"/>
    <w:rsid w:val="387F773D"/>
    <w:rsid w:val="38872071"/>
    <w:rsid w:val="388B73AC"/>
    <w:rsid w:val="388D2005"/>
    <w:rsid w:val="38935752"/>
    <w:rsid w:val="38A16812"/>
    <w:rsid w:val="38A81F49"/>
    <w:rsid w:val="38AA4DCF"/>
    <w:rsid w:val="38AA6CCD"/>
    <w:rsid w:val="38B067ED"/>
    <w:rsid w:val="38B61C08"/>
    <w:rsid w:val="38C016C5"/>
    <w:rsid w:val="38C5631F"/>
    <w:rsid w:val="38CA6981"/>
    <w:rsid w:val="38CE5788"/>
    <w:rsid w:val="38D0041A"/>
    <w:rsid w:val="38D03CA5"/>
    <w:rsid w:val="38D56E7C"/>
    <w:rsid w:val="38DA4C4D"/>
    <w:rsid w:val="38DF49DC"/>
    <w:rsid w:val="38E13451"/>
    <w:rsid w:val="38E16704"/>
    <w:rsid w:val="38E511CC"/>
    <w:rsid w:val="38F14A9A"/>
    <w:rsid w:val="38F55363"/>
    <w:rsid w:val="38FC27C1"/>
    <w:rsid w:val="39086667"/>
    <w:rsid w:val="390F2FF9"/>
    <w:rsid w:val="3910200E"/>
    <w:rsid w:val="391C61E0"/>
    <w:rsid w:val="391D1AF6"/>
    <w:rsid w:val="391F121C"/>
    <w:rsid w:val="39227ED6"/>
    <w:rsid w:val="39247565"/>
    <w:rsid w:val="39275CC8"/>
    <w:rsid w:val="39373005"/>
    <w:rsid w:val="39425244"/>
    <w:rsid w:val="39447834"/>
    <w:rsid w:val="39452CF0"/>
    <w:rsid w:val="394B1976"/>
    <w:rsid w:val="39576EF4"/>
    <w:rsid w:val="395A0C8B"/>
    <w:rsid w:val="39623066"/>
    <w:rsid w:val="397F20EE"/>
    <w:rsid w:val="39826C0F"/>
    <w:rsid w:val="39834066"/>
    <w:rsid w:val="39946946"/>
    <w:rsid w:val="39A40146"/>
    <w:rsid w:val="39A66893"/>
    <w:rsid w:val="39B11BBD"/>
    <w:rsid w:val="39BD380D"/>
    <w:rsid w:val="39BF7B7D"/>
    <w:rsid w:val="39C678D5"/>
    <w:rsid w:val="39C8188B"/>
    <w:rsid w:val="39D33090"/>
    <w:rsid w:val="39D6511B"/>
    <w:rsid w:val="39DB63B7"/>
    <w:rsid w:val="39EC63B4"/>
    <w:rsid w:val="39EF3E2E"/>
    <w:rsid w:val="39F14B5C"/>
    <w:rsid w:val="39F31198"/>
    <w:rsid w:val="39FC5027"/>
    <w:rsid w:val="3A0251EF"/>
    <w:rsid w:val="3A052141"/>
    <w:rsid w:val="3A106E99"/>
    <w:rsid w:val="3A22354D"/>
    <w:rsid w:val="3A281AFF"/>
    <w:rsid w:val="3A334EF5"/>
    <w:rsid w:val="3A3C4A01"/>
    <w:rsid w:val="3A4241F8"/>
    <w:rsid w:val="3A4246A7"/>
    <w:rsid w:val="3A5D13E2"/>
    <w:rsid w:val="3A657FBD"/>
    <w:rsid w:val="3A6A0A69"/>
    <w:rsid w:val="3A6D151C"/>
    <w:rsid w:val="3A6D6026"/>
    <w:rsid w:val="3A7B0FED"/>
    <w:rsid w:val="3A8C4B88"/>
    <w:rsid w:val="3A92109E"/>
    <w:rsid w:val="3A94135D"/>
    <w:rsid w:val="3A975E8B"/>
    <w:rsid w:val="3AA143DE"/>
    <w:rsid w:val="3AA77A0B"/>
    <w:rsid w:val="3AA8108F"/>
    <w:rsid w:val="3AAC1FDD"/>
    <w:rsid w:val="3AB01D59"/>
    <w:rsid w:val="3AB31CB2"/>
    <w:rsid w:val="3ABC3EC1"/>
    <w:rsid w:val="3ABE3B67"/>
    <w:rsid w:val="3AC419C7"/>
    <w:rsid w:val="3AC86074"/>
    <w:rsid w:val="3AD07FD8"/>
    <w:rsid w:val="3AE30733"/>
    <w:rsid w:val="3AE42081"/>
    <w:rsid w:val="3AFA2A62"/>
    <w:rsid w:val="3B022044"/>
    <w:rsid w:val="3B0320C2"/>
    <w:rsid w:val="3B050AD6"/>
    <w:rsid w:val="3B057691"/>
    <w:rsid w:val="3B070A8E"/>
    <w:rsid w:val="3B0F7440"/>
    <w:rsid w:val="3B1212F4"/>
    <w:rsid w:val="3B1337B8"/>
    <w:rsid w:val="3B172B4F"/>
    <w:rsid w:val="3B185FF2"/>
    <w:rsid w:val="3B1C653F"/>
    <w:rsid w:val="3B27041B"/>
    <w:rsid w:val="3B31003F"/>
    <w:rsid w:val="3B332AD5"/>
    <w:rsid w:val="3B3701AA"/>
    <w:rsid w:val="3B457E78"/>
    <w:rsid w:val="3B4A44AC"/>
    <w:rsid w:val="3B595F92"/>
    <w:rsid w:val="3B615221"/>
    <w:rsid w:val="3B662AA0"/>
    <w:rsid w:val="3B7B2F20"/>
    <w:rsid w:val="3B7F5877"/>
    <w:rsid w:val="3B800C8A"/>
    <w:rsid w:val="3B8915E1"/>
    <w:rsid w:val="3B904CA9"/>
    <w:rsid w:val="3B9E4948"/>
    <w:rsid w:val="3BB85C1D"/>
    <w:rsid w:val="3BBD0A80"/>
    <w:rsid w:val="3BBD3523"/>
    <w:rsid w:val="3BD00E93"/>
    <w:rsid w:val="3BD13884"/>
    <w:rsid w:val="3BDB1D94"/>
    <w:rsid w:val="3BE3271A"/>
    <w:rsid w:val="3BF0187E"/>
    <w:rsid w:val="3BF24721"/>
    <w:rsid w:val="3BF35B55"/>
    <w:rsid w:val="3BF80CB4"/>
    <w:rsid w:val="3BFE6FB8"/>
    <w:rsid w:val="3C022CB9"/>
    <w:rsid w:val="3C0269F3"/>
    <w:rsid w:val="3C064D0A"/>
    <w:rsid w:val="3C0D6273"/>
    <w:rsid w:val="3C1220DB"/>
    <w:rsid w:val="3C1A5D98"/>
    <w:rsid w:val="3C200389"/>
    <w:rsid w:val="3C265A11"/>
    <w:rsid w:val="3C300A38"/>
    <w:rsid w:val="3C372852"/>
    <w:rsid w:val="3C383425"/>
    <w:rsid w:val="3C392C95"/>
    <w:rsid w:val="3C3950B9"/>
    <w:rsid w:val="3C3E244B"/>
    <w:rsid w:val="3C416A98"/>
    <w:rsid w:val="3C4A7F1D"/>
    <w:rsid w:val="3C62410F"/>
    <w:rsid w:val="3C877A7E"/>
    <w:rsid w:val="3C8D6DE4"/>
    <w:rsid w:val="3C953614"/>
    <w:rsid w:val="3CBA1FE0"/>
    <w:rsid w:val="3CC44CC1"/>
    <w:rsid w:val="3CCD425B"/>
    <w:rsid w:val="3CCE048D"/>
    <w:rsid w:val="3CDA219E"/>
    <w:rsid w:val="3CDA5A95"/>
    <w:rsid w:val="3CE0091C"/>
    <w:rsid w:val="3CE30C99"/>
    <w:rsid w:val="3CE7312D"/>
    <w:rsid w:val="3CF00162"/>
    <w:rsid w:val="3CF15B83"/>
    <w:rsid w:val="3CFA2C61"/>
    <w:rsid w:val="3CFA340A"/>
    <w:rsid w:val="3CFC1871"/>
    <w:rsid w:val="3D0C3C0C"/>
    <w:rsid w:val="3D0F32E4"/>
    <w:rsid w:val="3D21752B"/>
    <w:rsid w:val="3D2363DE"/>
    <w:rsid w:val="3D236C6B"/>
    <w:rsid w:val="3D257B7D"/>
    <w:rsid w:val="3D295CEB"/>
    <w:rsid w:val="3D2B1C09"/>
    <w:rsid w:val="3D372DF7"/>
    <w:rsid w:val="3D4C63C7"/>
    <w:rsid w:val="3D5C5D0B"/>
    <w:rsid w:val="3D5C74E1"/>
    <w:rsid w:val="3D626116"/>
    <w:rsid w:val="3D661F9E"/>
    <w:rsid w:val="3D697B45"/>
    <w:rsid w:val="3D6B1CC2"/>
    <w:rsid w:val="3D7224BB"/>
    <w:rsid w:val="3D794F2B"/>
    <w:rsid w:val="3D803C2A"/>
    <w:rsid w:val="3D885CA9"/>
    <w:rsid w:val="3D921760"/>
    <w:rsid w:val="3D935DC9"/>
    <w:rsid w:val="3D9C74E3"/>
    <w:rsid w:val="3D9C7BE7"/>
    <w:rsid w:val="3D9C7D4F"/>
    <w:rsid w:val="3D9F4DE4"/>
    <w:rsid w:val="3DA73AC3"/>
    <w:rsid w:val="3DAB3355"/>
    <w:rsid w:val="3DAB6840"/>
    <w:rsid w:val="3DB260AE"/>
    <w:rsid w:val="3DBA16D5"/>
    <w:rsid w:val="3DC76976"/>
    <w:rsid w:val="3DDA4C2C"/>
    <w:rsid w:val="3DE906D1"/>
    <w:rsid w:val="3DE92602"/>
    <w:rsid w:val="3DEA7231"/>
    <w:rsid w:val="3DEC7A38"/>
    <w:rsid w:val="3DED276E"/>
    <w:rsid w:val="3DF3277A"/>
    <w:rsid w:val="3DF8397D"/>
    <w:rsid w:val="3DFA7DC1"/>
    <w:rsid w:val="3E04260E"/>
    <w:rsid w:val="3E045DF4"/>
    <w:rsid w:val="3E0735F6"/>
    <w:rsid w:val="3E0A10D6"/>
    <w:rsid w:val="3E0F5A7C"/>
    <w:rsid w:val="3E110F37"/>
    <w:rsid w:val="3E161447"/>
    <w:rsid w:val="3E195271"/>
    <w:rsid w:val="3E213816"/>
    <w:rsid w:val="3E233C25"/>
    <w:rsid w:val="3E2675E7"/>
    <w:rsid w:val="3E287A32"/>
    <w:rsid w:val="3E2E097B"/>
    <w:rsid w:val="3E3370B2"/>
    <w:rsid w:val="3E3434AD"/>
    <w:rsid w:val="3E370B80"/>
    <w:rsid w:val="3E3B6B03"/>
    <w:rsid w:val="3E4337BF"/>
    <w:rsid w:val="3E452CEA"/>
    <w:rsid w:val="3E4937FB"/>
    <w:rsid w:val="3E4D2593"/>
    <w:rsid w:val="3E564287"/>
    <w:rsid w:val="3E746C96"/>
    <w:rsid w:val="3E7A29C4"/>
    <w:rsid w:val="3E7C0A8B"/>
    <w:rsid w:val="3E7E5709"/>
    <w:rsid w:val="3E814541"/>
    <w:rsid w:val="3E9416B0"/>
    <w:rsid w:val="3E955332"/>
    <w:rsid w:val="3E972947"/>
    <w:rsid w:val="3E977B78"/>
    <w:rsid w:val="3E9B0BD0"/>
    <w:rsid w:val="3EA831CB"/>
    <w:rsid w:val="3EAF3365"/>
    <w:rsid w:val="3EAF4DE2"/>
    <w:rsid w:val="3EB02CF7"/>
    <w:rsid w:val="3EB472EA"/>
    <w:rsid w:val="3EBA58E4"/>
    <w:rsid w:val="3EC171DE"/>
    <w:rsid w:val="3ED13664"/>
    <w:rsid w:val="3ED260B2"/>
    <w:rsid w:val="3EDC311B"/>
    <w:rsid w:val="3EEC4975"/>
    <w:rsid w:val="3EED5649"/>
    <w:rsid w:val="3EF32E4D"/>
    <w:rsid w:val="3F0119A3"/>
    <w:rsid w:val="3F085415"/>
    <w:rsid w:val="3F0F58EA"/>
    <w:rsid w:val="3F166C0A"/>
    <w:rsid w:val="3F1B3A62"/>
    <w:rsid w:val="3F20737D"/>
    <w:rsid w:val="3F2675AA"/>
    <w:rsid w:val="3F2759A8"/>
    <w:rsid w:val="3F2B4A98"/>
    <w:rsid w:val="3F323A33"/>
    <w:rsid w:val="3F352B64"/>
    <w:rsid w:val="3F3674B2"/>
    <w:rsid w:val="3F3E0999"/>
    <w:rsid w:val="3F404C89"/>
    <w:rsid w:val="3F450FDB"/>
    <w:rsid w:val="3F4E3420"/>
    <w:rsid w:val="3F5C462C"/>
    <w:rsid w:val="3F5E78C6"/>
    <w:rsid w:val="3F635A61"/>
    <w:rsid w:val="3F681639"/>
    <w:rsid w:val="3F693A5A"/>
    <w:rsid w:val="3F8F79C6"/>
    <w:rsid w:val="3F9160E8"/>
    <w:rsid w:val="3F96388E"/>
    <w:rsid w:val="3F992E13"/>
    <w:rsid w:val="3FAE571D"/>
    <w:rsid w:val="3FB07776"/>
    <w:rsid w:val="3FB266B6"/>
    <w:rsid w:val="3FB52A2F"/>
    <w:rsid w:val="3FBA4B49"/>
    <w:rsid w:val="3FC82785"/>
    <w:rsid w:val="3FC82F10"/>
    <w:rsid w:val="3FD354C0"/>
    <w:rsid w:val="3FD77C27"/>
    <w:rsid w:val="3FD96C3E"/>
    <w:rsid w:val="3FDE5A2C"/>
    <w:rsid w:val="3FE70A09"/>
    <w:rsid w:val="3FEF5FE4"/>
    <w:rsid w:val="3FF34101"/>
    <w:rsid w:val="3FFC0C43"/>
    <w:rsid w:val="40010DA8"/>
    <w:rsid w:val="40130AB9"/>
    <w:rsid w:val="401C527C"/>
    <w:rsid w:val="401E24FE"/>
    <w:rsid w:val="402A405C"/>
    <w:rsid w:val="40366D92"/>
    <w:rsid w:val="404A4B00"/>
    <w:rsid w:val="40541512"/>
    <w:rsid w:val="405B69B7"/>
    <w:rsid w:val="406225E0"/>
    <w:rsid w:val="406A07A5"/>
    <w:rsid w:val="407435D3"/>
    <w:rsid w:val="407B46EF"/>
    <w:rsid w:val="407B7720"/>
    <w:rsid w:val="408C60C9"/>
    <w:rsid w:val="40986F7A"/>
    <w:rsid w:val="40A57F06"/>
    <w:rsid w:val="40CB1D2F"/>
    <w:rsid w:val="40D9702B"/>
    <w:rsid w:val="40DE16DE"/>
    <w:rsid w:val="40F036ED"/>
    <w:rsid w:val="40F2481C"/>
    <w:rsid w:val="40F31DB4"/>
    <w:rsid w:val="40F70084"/>
    <w:rsid w:val="40FC556D"/>
    <w:rsid w:val="410E63CA"/>
    <w:rsid w:val="411879D0"/>
    <w:rsid w:val="411C5801"/>
    <w:rsid w:val="412F3AFF"/>
    <w:rsid w:val="412F4602"/>
    <w:rsid w:val="412F5C87"/>
    <w:rsid w:val="413167F0"/>
    <w:rsid w:val="41367747"/>
    <w:rsid w:val="41413401"/>
    <w:rsid w:val="41422405"/>
    <w:rsid w:val="414C0EAA"/>
    <w:rsid w:val="414E0B3E"/>
    <w:rsid w:val="414F6FF2"/>
    <w:rsid w:val="4153045F"/>
    <w:rsid w:val="41546154"/>
    <w:rsid w:val="41572F62"/>
    <w:rsid w:val="415B40DB"/>
    <w:rsid w:val="4160648B"/>
    <w:rsid w:val="41612A11"/>
    <w:rsid w:val="416A659E"/>
    <w:rsid w:val="416E52D2"/>
    <w:rsid w:val="417A4050"/>
    <w:rsid w:val="417F6B37"/>
    <w:rsid w:val="41834EAD"/>
    <w:rsid w:val="419F7587"/>
    <w:rsid w:val="41AC5BFD"/>
    <w:rsid w:val="41B24D0C"/>
    <w:rsid w:val="41B62584"/>
    <w:rsid w:val="41BD7C6A"/>
    <w:rsid w:val="41DA46A9"/>
    <w:rsid w:val="41DC6E65"/>
    <w:rsid w:val="41E21A59"/>
    <w:rsid w:val="41E32E1B"/>
    <w:rsid w:val="41E52704"/>
    <w:rsid w:val="41EB3A2C"/>
    <w:rsid w:val="41EE4E31"/>
    <w:rsid w:val="41F03646"/>
    <w:rsid w:val="41F13142"/>
    <w:rsid w:val="41F43008"/>
    <w:rsid w:val="4209746C"/>
    <w:rsid w:val="420F1061"/>
    <w:rsid w:val="421319BB"/>
    <w:rsid w:val="4217286E"/>
    <w:rsid w:val="421D13C7"/>
    <w:rsid w:val="421E3260"/>
    <w:rsid w:val="42392B6D"/>
    <w:rsid w:val="423C17F5"/>
    <w:rsid w:val="424A7C49"/>
    <w:rsid w:val="424B7D79"/>
    <w:rsid w:val="42682B55"/>
    <w:rsid w:val="42687C4C"/>
    <w:rsid w:val="426C0E01"/>
    <w:rsid w:val="426D3625"/>
    <w:rsid w:val="42763B2F"/>
    <w:rsid w:val="427F01E0"/>
    <w:rsid w:val="42962F4C"/>
    <w:rsid w:val="429A03F4"/>
    <w:rsid w:val="42A47574"/>
    <w:rsid w:val="42A5183F"/>
    <w:rsid w:val="42A94991"/>
    <w:rsid w:val="42AC7708"/>
    <w:rsid w:val="42B55834"/>
    <w:rsid w:val="42C20EF5"/>
    <w:rsid w:val="42C24E97"/>
    <w:rsid w:val="42C953BF"/>
    <w:rsid w:val="42CB5598"/>
    <w:rsid w:val="42CC3676"/>
    <w:rsid w:val="42DC7894"/>
    <w:rsid w:val="42DD12B8"/>
    <w:rsid w:val="42E7080D"/>
    <w:rsid w:val="42EF1ECA"/>
    <w:rsid w:val="42F1358E"/>
    <w:rsid w:val="42F44D74"/>
    <w:rsid w:val="42F93A0F"/>
    <w:rsid w:val="42FA2C71"/>
    <w:rsid w:val="43001F84"/>
    <w:rsid w:val="43043A39"/>
    <w:rsid w:val="43120CA1"/>
    <w:rsid w:val="431A7B55"/>
    <w:rsid w:val="432951F6"/>
    <w:rsid w:val="432B3B3F"/>
    <w:rsid w:val="43401E67"/>
    <w:rsid w:val="434206D5"/>
    <w:rsid w:val="43627F42"/>
    <w:rsid w:val="43631EF9"/>
    <w:rsid w:val="4363310A"/>
    <w:rsid w:val="436B21D8"/>
    <w:rsid w:val="436B341D"/>
    <w:rsid w:val="437A5975"/>
    <w:rsid w:val="438A0835"/>
    <w:rsid w:val="438B52E0"/>
    <w:rsid w:val="43916981"/>
    <w:rsid w:val="439C45A4"/>
    <w:rsid w:val="43B901A7"/>
    <w:rsid w:val="43BC7EBD"/>
    <w:rsid w:val="43C64ECB"/>
    <w:rsid w:val="43CB0869"/>
    <w:rsid w:val="43D00944"/>
    <w:rsid w:val="43D25F89"/>
    <w:rsid w:val="43DD4C04"/>
    <w:rsid w:val="43E37A0E"/>
    <w:rsid w:val="43E75AC5"/>
    <w:rsid w:val="43F41C3D"/>
    <w:rsid w:val="43F44980"/>
    <w:rsid w:val="43F60B10"/>
    <w:rsid w:val="43FB6C70"/>
    <w:rsid w:val="44040CCC"/>
    <w:rsid w:val="440E51B7"/>
    <w:rsid w:val="441373B9"/>
    <w:rsid w:val="4417428C"/>
    <w:rsid w:val="4419668D"/>
    <w:rsid w:val="442E6DCD"/>
    <w:rsid w:val="443F168F"/>
    <w:rsid w:val="44416A28"/>
    <w:rsid w:val="445A16E7"/>
    <w:rsid w:val="44695A64"/>
    <w:rsid w:val="446A1F2B"/>
    <w:rsid w:val="446B2A97"/>
    <w:rsid w:val="44785348"/>
    <w:rsid w:val="44883E1A"/>
    <w:rsid w:val="448C1652"/>
    <w:rsid w:val="448D112C"/>
    <w:rsid w:val="4494718F"/>
    <w:rsid w:val="44B37920"/>
    <w:rsid w:val="44B81C74"/>
    <w:rsid w:val="44C412E0"/>
    <w:rsid w:val="44C6239C"/>
    <w:rsid w:val="44C90E74"/>
    <w:rsid w:val="44CD7B5D"/>
    <w:rsid w:val="44D242F0"/>
    <w:rsid w:val="44E25EC8"/>
    <w:rsid w:val="44ED1AB7"/>
    <w:rsid w:val="44EF5927"/>
    <w:rsid w:val="44F1176D"/>
    <w:rsid w:val="44F33246"/>
    <w:rsid w:val="450A1C94"/>
    <w:rsid w:val="450A5E13"/>
    <w:rsid w:val="451262FD"/>
    <w:rsid w:val="4516721D"/>
    <w:rsid w:val="45194E52"/>
    <w:rsid w:val="451C6E79"/>
    <w:rsid w:val="451D4342"/>
    <w:rsid w:val="451D691D"/>
    <w:rsid w:val="451D6BCE"/>
    <w:rsid w:val="452766AE"/>
    <w:rsid w:val="452B1D79"/>
    <w:rsid w:val="4538439A"/>
    <w:rsid w:val="453C6751"/>
    <w:rsid w:val="4541256D"/>
    <w:rsid w:val="45554DA6"/>
    <w:rsid w:val="45591BF3"/>
    <w:rsid w:val="455F4AC8"/>
    <w:rsid w:val="456C373B"/>
    <w:rsid w:val="456D33B0"/>
    <w:rsid w:val="45746190"/>
    <w:rsid w:val="457A6482"/>
    <w:rsid w:val="45805174"/>
    <w:rsid w:val="45812E66"/>
    <w:rsid w:val="4583686C"/>
    <w:rsid w:val="45845D76"/>
    <w:rsid w:val="458B3FE8"/>
    <w:rsid w:val="459643F7"/>
    <w:rsid w:val="459A7348"/>
    <w:rsid w:val="459F53F5"/>
    <w:rsid w:val="45AC2415"/>
    <w:rsid w:val="45AC7BA2"/>
    <w:rsid w:val="45B413A4"/>
    <w:rsid w:val="45BA740D"/>
    <w:rsid w:val="45BE5366"/>
    <w:rsid w:val="45C72682"/>
    <w:rsid w:val="45CD5527"/>
    <w:rsid w:val="45CE42DE"/>
    <w:rsid w:val="45D87BEF"/>
    <w:rsid w:val="45E657C3"/>
    <w:rsid w:val="45F25875"/>
    <w:rsid w:val="45F32D90"/>
    <w:rsid w:val="45F864BD"/>
    <w:rsid w:val="45FA0300"/>
    <w:rsid w:val="45FF0F3E"/>
    <w:rsid w:val="45FF17EF"/>
    <w:rsid w:val="460075EB"/>
    <w:rsid w:val="46035A57"/>
    <w:rsid w:val="460B47C4"/>
    <w:rsid w:val="462264EF"/>
    <w:rsid w:val="463246FD"/>
    <w:rsid w:val="46371A60"/>
    <w:rsid w:val="464014DD"/>
    <w:rsid w:val="46495061"/>
    <w:rsid w:val="4649770B"/>
    <w:rsid w:val="464A6A97"/>
    <w:rsid w:val="464C72CE"/>
    <w:rsid w:val="46521EE5"/>
    <w:rsid w:val="46525093"/>
    <w:rsid w:val="4661125D"/>
    <w:rsid w:val="468269BA"/>
    <w:rsid w:val="46861B61"/>
    <w:rsid w:val="46891BFD"/>
    <w:rsid w:val="46902F03"/>
    <w:rsid w:val="46966495"/>
    <w:rsid w:val="46975376"/>
    <w:rsid w:val="469E5829"/>
    <w:rsid w:val="46A132A1"/>
    <w:rsid w:val="46AF5785"/>
    <w:rsid w:val="46B00BEB"/>
    <w:rsid w:val="46B017DC"/>
    <w:rsid w:val="46B11DA1"/>
    <w:rsid w:val="46B3719C"/>
    <w:rsid w:val="46C7595A"/>
    <w:rsid w:val="46CA3EAC"/>
    <w:rsid w:val="46CD108A"/>
    <w:rsid w:val="46CF2B8E"/>
    <w:rsid w:val="46D039A6"/>
    <w:rsid w:val="46D1570C"/>
    <w:rsid w:val="46D835E4"/>
    <w:rsid w:val="46E90864"/>
    <w:rsid w:val="46F3301E"/>
    <w:rsid w:val="46F35F18"/>
    <w:rsid w:val="46F61C13"/>
    <w:rsid w:val="46FA6CB1"/>
    <w:rsid w:val="470A7C30"/>
    <w:rsid w:val="47141380"/>
    <w:rsid w:val="471472EB"/>
    <w:rsid w:val="47177045"/>
    <w:rsid w:val="472D330E"/>
    <w:rsid w:val="474110AE"/>
    <w:rsid w:val="474430FA"/>
    <w:rsid w:val="474D4F88"/>
    <w:rsid w:val="475340F0"/>
    <w:rsid w:val="47562583"/>
    <w:rsid w:val="475C53EC"/>
    <w:rsid w:val="476452CA"/>
    <w:rsid w:val="47837970"/>
    <w:rsid w:val="47845F6A"/>
    <w:rsid w:val="478522B7"/>
    <w:rsid w:val="47A76B68"/>
    <w:rsid w:val="47B47089"/>
    <w:rsid w:val="47B54119"/>
    <w:rsid w:val="47D559FD"/>
    <w:rsid w:val="47DB1730"/>
    <w:rsid w:val="47DB22FE"/>
    <w:rsid w:val="47DF492E"/>
    <w:rsid w:val="47E7533C"/>
    <w:rsid w:val="47F55F20"/>
    <w:rsid w:val="47FC24A8"/>
    <w:rsid w:val="48045892"/>
    <w:rsid w:val="480C7137"/>
    <w:rsid w:val="4810371F"/>
    <w:rsid w:val="4814777E"/>
    <w:rsid w:val="481E346C"/>
    <w:rsid w:val="482F2574"/>
    <w:rsid w:val="483D36B2"/>
    <w:rsid w:val="484A37E9"/>
    <w:rsid w:val="485C6BBC"/>
    <w:rsid w:val="485D6CD3"/>
    <w:rsid w:val="48613C9F"/>
    <w:rsid w:val="48642C1F"/>
    <w:rsid w:val="486432FB"/>
    <w:rsid w:val="4871207B"/>
    <w:rsid w:val="48751272"/>
    <w:rsid w:val="48780CF1"/>
    <w:rsid w:val="488324B7"/>
    <w:rsid w:val="488E4989"/>
    <w:rsid w:val="488F47FC"/>
    <w:rsid w:val="48905215"/>
    <w:rsid w:val="48947D88"/>
    <w:rsid w:val="48952D8E"/>
    <w:rsid w:val="489768B9"/>
    <w:rsid w:val="48990266"/>
    <w:rsid w:val="489B64E0"/>
    <w:rsid w:val="48A05398"/>
    <w:rsid w:val="48A55824"/>
    <w:rsid w:val="48AA47E4"/>
    <w:rsid w:val="48AD0D6E"/>
    <w:rsid w:val="48AF0222"/>
    <w:rsid w:val="48B118D1"/>
    <w:rsid w:val="48C32F97"/>
    <w:rsid w:val="48C82506"/>
    <w:rsid w:val="48D34DBE"/>
    <w:rsid w:val="48D42328"/>
    <w:rsid w:val="48DF2E1E"/>
    <w:rsid w:val="48E85F04"/>
    <w:rsid w:val="48EB6147"/>
    <w:rsid w:val="48EF4857"/>
    <w:rsid w:val="48F053BB"/>
    <w:rsid w:val="48F3112A"/>
    <w:rsid w:val="48F90735"/>
    <w:rsid w:val="49042FB8"/>
    <w:rsid w:val="490F71F1"/>
    <w:rsid w:val="491E1F88"/>
    <w:rsid w:val="492A51F8"/>
    <w:rsid w:val="492D76E6"/>
    <w:rsid w:val="49307255"/>
    <w:rsid w:val="49313764"/>
    <w:rsid w:val="4933374B"/>
    <w:rsid w:val="493957EA"/>
    <w:rsid w:val="493A0A08"/>
    <w:rsid w:val="494224B8"/>
    <w:rsid w:val="494275AE"/>
    <w:rsid w:val="494707A3"/>
    <w:rsid w:val="49485C35"/>
    <w:rsid w:val="495D3DC1"/>
    <w:rsid w:val="49617F11"/>
    <w:rsid w:val="49627A95"/>
    <w:rsid w:val="496B39E2"/>
    <w:rsid w:val="49721D88"/>
    <w:rsid w:val="497929CF"/>
    <w:rsid w:val="497C0DC1"/>
    <w:rsid w:val="497E39DE"/>
    <w:rsid w:val="497E4960"/>
    <w:rsid w:val="49856A68"/>
    <w:rsid w:val="49870AFA"/>
    <w:rsid w:val="49891DB7"/>
    <w:rsid w:val="498A3DFA"/>
    <w:rsid w:val="499450B3"/>
    <w:rsid w:val="4994719C"/>
    <w:rsid w:val="49964DD5"/>
    <w:rsid w:val="49994538"/>
    <w:rsid w:val="49994B15"/>
    <w:rsid w:val="499969AB"/>
    <w:rsid w:val="49A26F46"/>
    <w:rsid w:val="49A51C8E"/>
    <w:rsid w:val="49A71AE5"/>
    <w:rsid w:val="49A94277"/>
    <w:rsid w:val="49AF1190"/>
    <w:rsid w:val="49B44777"/>
    <w:rsid w:val="49BA19D7"/>
    <w:rsid w:val="49BB114E"/>
    <w:rsid w:val="49BC645D"/>
    <w:rsid w:val="49C9661F"/>
    <w:rsid w:val="49D071F1"/>
    <w:rsid w:val="49D71A3A"/>
    <w:rsid w:val="49DB050B"/>
    <w:rsid w:val="49DD728F"/>
    <w:rsid w:val="49E62680"/>
    <w:rsid w:val="49E72BDC"/>
    <w:rsid w:val="49EA7937"/>
    <w:rsid w:val="49F028E0"/>
    <w:rsid w:val="49F43609"/>
    <w:rsid w:val="49FB25F1"/>
    <w:rsid w:val="4A065FDF"/>
    <w:rsid w:val="4A0B14BE"/>
    <w:rsid w:val="4A0B3E80"/>
    <w:rsid w:val="4A0C125A"/>
    <w:rsid w:val="4A0E15C8"/>
    <w:rsid w:val="4A10048D"/>
    <w:rsid w:val="4A1D0F7A"/>
    <w:rsid w:val="4A1E2952"/>
    <w:rsid w:val="4A2234C7"/>
    <w:rsid w:val="4A2B42BD"/>
    <w:rsid w:val="4A2B5503"/>
    <w:rsid w:val="4A2E2790"/>
    <w:rsid w:val="4A3A5F22"/>
    <w:rsid w:val="4A480433"/>
    <w:rsid w:val="4A4D3C6C"/>
    <w:rsid w:val="4A6253CB"/>
    <w:rsid w:val="4A6927CE"/>
    <w:rsid w:val="4A7D1D31"/>
    <w:rsid w:val="4A847C04"/>
    <w:rsid w:val="4A865E58"/>
    <w:rsid w:val="4A9E31C7"/>
    <w:rsid w:val="4AAD74CC"/>
    <w:rsid w:val="4ABA375D"/>
    <w:rsid w:val="4AC25DDB"/>
    <w:rsid w:val="4AC86E3C"/>
    <w:rsid w:val="4AD0632C"/>
    <w:rsid w:val="4ADB024C"/>
    <w:rsid w:val="4ADF4A04"/>
    <w:rsid w:val="4AE05C37"/>
    <w:rsid w:val="4AE87EF3"/>
    <w:rsid w:val="4AFF57A0"/>
    <w:rsid w:val="4B0222FB"/>
    <w:rsid w:val="4B070135"/>
    <w:rsid w:val="4B0F34C3"/>
    <w:rsid w:val="4B1576F3"/>
    <w:rsid w:val="4B2731A5"/>
    <w:rsid w:val="4B360CA0"/>
    <w:rsid w:val="4B3E7214"/>
    <w:rsid w:val="4B465D0E"/>
    <w:rsid w:val="4B500FBC"/>
    <w:rsid w:val="4B51247A"/>
    <w:rsid w:val="4B553168"/>
    <w:rsid w:val="4B644B6E"/>
    <w:rsid w:val="4B6A4E3B"/>
    <w:rsid w:val="4B7052C7"/>
    <w:rsid w:val="4B733C5D"/>
    <w:rsid w:val="4B766759"/>
    <w:rsid w:val="4B7C3483"/>
    <w:rsid w:val="4B893B8A"/>
    <w:rsid w:val="4B8A766E"/>
    <w:rsid w:val="4B9C0FA4"/>
    <w:rsid w:val="4BBC7F50"/>
    <w:rsid w:val="4BC17D85"/>
    <w:rsid w:val="4BC31389"/>
    <w:rsid w:val="4BD22EDF"/>
    <w:rsid w:val="4BD42EDC"/>
    <w:rsid w:val="4BE3154E"/>
    <w:rsid w:val="4BE61D31"/>
    <w:rsid w:val="4BEC3947"/>
    <w:rsid w:val="4BFA060C"/>
    <w:rsid w:val="4C01015B"/>
    <w:rsid w:val="4C0479CE"/>
    <w:rsid w:val="4C176BC6"/>
    <w:rsid w:val="4C1B1631"/>
    <w:rsid w:val="4C1B5304"/>
    <w:rsid w:val="4C1B72E7"/>
    <w:rsid w:val="4C1C1F65"/>
    <w:rsid w:val="4C22424A"/>
    <w:rsid w:val="4C2B166D"/>
    <w:rsid w:val="4C2D2E4F"/>
    <w:rsid w:val="4C2D72A5"/>
    <w:rsid w:val="4C2E589B"/>
    <w:rsid w:val="4C350015"/>
    <w:rsid w:val="4C375EA1"/>
    <w:rsid w:val="4C3C7C87"/>
    <w:rsid w:val="4C424792"/>
    <w:rsid w:val="4C504585"/>
    <w:rsid w:val="4C566AB8"/>
    <w:rsid w:val="4C577AB7"/>
    <w:rsid w:val="4C5904D7"/>
    <w:rsid w:val="4C6C3DA3"/>
    <w:rsid w:val="4C7154D0"/>
    <w:rsid w:val="4C790F23"/>
    <w:rsid w:val="4C7925D2"/>
    <w:rsid w:val="4C8245B0"/>
    <w:rsid w:val="4C8347F8"/>
    <w:rsid w:val="4C863110"/>
    <w:rsid w:val="4C8D1F8F"/>
    <w:rsid w:val="4CA36DF1"/>
    <w:rsid w:val="4CAE0D95"/>
    <w:rsid w:val="4CBA06D4"/>
    <w:rsid w:val="4CBA10CB"/>
    <w:rsid w:val="4CC05F59"/>
    <w:rsid w:val="4CC12BE0"/>
    <w:rsid w:val="4CCA1913"/>
    <w:rsid w:val="4CD45F49"/>
    <w:rsid w:val="4CDA60FF"/>
    <w:rsid w:val="4CEA5424"/>
    <w:rsid w:val="4CEC3C0A"/>
    <w:rsid w:val="4CEE4CBB"/>
    <w:rsid w:val="4CF02834"/>
    <w:rsid w:val="4CF527BF"/>
    <w:rsid w:val="4CF7206F"/>
    <w:rsid w:val="4D000B99"/>
    <w:rsid w:val="4D070D9A"/>
    <w:rsid w:val="4D076CF6"/>
    <w:rsid w:val="4D106337"/>
    <w:rsid w:val="4D111596"/>
    <w:rsid w:val="4D1332A6"/>
    <w:rsid w:val="4D16248A"/>
    <w:rsid w:val="4D2772AE"/>
    <w:rsid w:val="4D317C62"/>
    <w:rsid w:val="4D3D2579"/>
    <w:rsid w:val="4D4E7D77"/>
    <w:rsid w:val="4D5A7C22"/>
    <w:rsid w:val="4D5C74F5"/>
    <w:rsid w:val="4D632858"/>
    <w:rsid w:val="4D6412B2"/>
    <w:rsid w:val="4D646D2F"/>
    <w:rsid w:val="4D6C0EFF"/>
    <w:rsid w:val="4D7D11B1"/>
    <w:rsid w:val="4D833718"/>
    <w:rsid w:val="4D852A7F"/>
    <w:rsid w:val="4D86234D"/>
    <w:rsid w:val="4D89150A"/>
    <w:rsid w:val="4D896AAB"/>
    <w:rsid w:val="4D8B25FA"/>
    <w:rsid w:val="4D941C0B"/>
    <w:rsid w:val="4DA36B48"/>
    <w:rsid w:val="4DA611C9"/>
    <w:rsid w:val="4DA61737"/>
    <w:rsid w:val="4DAA2F1E"/>
    <w:rsid w:val="4DAC4A4D"/>
    <w:rsid w:val="4DAD45AB"/>
    <w:rsid w:val="4DBB5F38"/>
    <w:rsid w:val="4DC4607F"/>
    <w:rsid w:val="4DC80C04"/>
    <w:rsid w:val="4DD42F7A"/>
    <w:rsid w:val="4DDA5AB5"/>
    <w:rsid w:val="4DDC1174"/>
    <w:rsid w:val="4DDC5F80"/>
    <w:rsid w:val="4DE244DC"/>
    <w:rsid w:val="4DED3507"/>
    <w:rsid w:val="4DED59D8"/>
    <w:rsid w:val="4DEE0BA6"/>
    <w:rsid w:val="4DF3379E"/>
    <w:rsid w:val="4E017AF8"/>
    <w:rsid w:val="4E053E33"/>
    <w:rsid w:val="4E0F3079"/>
    <w:rsid w:val="4E137F97"/>
    <w:rsid w:val="4E155F51"/>
    <w:rsid w:val="4E161CDB"/>
    <w:rsid w:val="4E2719DE"/>
    <w:rsid w:val="4E274868"/>
    <w:rsid w:val="4E293BFF"/>
    <w:rsid w:val="4E317A5B"/>
    <w:rsid w:val="4E32646C"/>
    <w:rsid w:val="4E3C091D"/>
    <w:rsid w:val="4E417944"/>
    <w:rsid w:val="4E4361B3"/>
    <w:rsid w:val="4E4C3DFB"/>
    <w:rsid w:val="4E4E5217"/>
    <w:rsid w:val="4E4F5C66"/>
    <w:rsid w:val="4E56224C"/>
    <w:rsid w:val="4E6661C9"/>
    <w:rsid w:val="4E67415E"/>
    <w:rsid w:val="4E69167C"/>
    <w:rsid w:val="4E7439DF"/>
    <w:rsid w:val="4E7A05C3"/>
    <w:rsid w:val="4E850A83"/>
    <w:rsid w:val="4E864833"/>
    <w:rsid w:val="4E89095B"/>
    <w:rsid w:val="4E8E7512"/>
    <w:rsid w:val="4E8F722D"/>
    <w:rsid w:val="4EA932FE"/>
    <w:rsid w:val="4EAC78C0"/>
    <w:rsid w:val="4EAD02DF"/>
    <w:rsid w:val="4EAE0C37"/>
    <w:rsid w:val="4EAE4D4D"/>
    <w:rsid w:val="4EB46637"/>
    <w:rsid w:val="4EBE7FEA"/>
    <w:rsid w:val="4EC1332E"/>
    <w:rsid w:val="4EC2456A"/>
    <w:rsid w:val="4EC81BF7"/>
    <w:rsid w:val="4EC847BA"/>
    <w:rsid w:val="4EE03590"/>
    <w:rsid w:val="4EE450CC"/>
    <w:rsid w:val="4EE67D8A"/>
    <w:rsid w:val="4EEC0D10"/>
    <w:rsid w:val="4EFB1846"/>
    <w:rsid w:val="4EFC3CE7"/>
    <w:rsid w:val="4F0024E4"/>
    <w:rsid w:val="4F01550E"/>
    <w:rsid w:val="4F071A2A"/>
    <w:rsid w:val="4F2D7545"/>
    <w:rsid w:val="4F3019E1"/>
    <w:rsid w:val="4F4C3DD2"/>
    <w:rsid w:val="4F541BD1"/>
    <w:rsid w:val="4F671B40"/>
    <w:rsid w:val="4F732E08"/>
    <w:rsid w:val="4F755ABA"/>
    <w:rsid w:val="4F7D7B6F"/>
    <w:rsid w:val="4F88708C"/>
    <w:rsid w:val="4F9471C8"/>
    <w:rsid w:val="4F9C59BD"/>
    <w:rsid w:val="4FA554D0"/>
    <w:rsid w:val="4FB50C3D"/>
    <w:rsid w:val="4FB70C9E"/>
    <w:rsid w:val="4FBC6C28"/>
    <w:rsid w:val="4FC2174E"/>
    <w:rsid w:val="4FC95D22"/>
    <w:rsid w:val="4FC96BDD"/>
    <w:rsid w:val="4FD84FFC"/>
    <w:rsid w:val="4FEE56C6"/>
    <w:rsid w:val="4FEF62BA"/>
    <w:rsid w:val="4FF223AF"/>
    <w:rsid w:val="4FF3250C"/>
    <w:rsid w:val="4FF4635F"/>
    <w:rsid w:val="4FF52176"/>
    <w:rsid w:val="4FFF3ACF"/>
    <w:rsid w:val="50014F85"/>
    <w:rsid w:val="500801EE"/>
    <w:rsid w:val="501577E6"/>
    <w:rsid w:val="501B12FA"/>
    <w:rsid w:val="502A3FE7"/>
    <w:rsid w:val="50437F47"/>
    <w:rsid w:val="504E0A1C"/>
    <w:rsid w:val="504F5E58"/>
    <w:rsid w:val="5050366A"/>
    <w:rsid w:val="50524B42"/>
    <w:rsid w:val="505F6968"/>
    <w:rsid w:val="50674DF4"/>
    <w:rsid w:val="506812DC"/>
    <w:rsid w:val="507546FB"/>
    <w:rsid w:val="5087340C"/>
    <w:rsid w:val="509120EA"/>
    <w:rsid w:val="50945719"/>
    <w:rsid w:val="50957357"/>
    <w:rsid w:val="50985A88"/>
    <w:rsid w:val="509C6BA1"/>
    <w:rsid w:val="509D641C"/>
    <w:rsid w:val="50A0282F"/>
    <w:rsid w:val="50A33D09"/>
    <w:rsid w:val="50A77B3B"/>
    <w:rsid w:val="50A97965"/>
    <w:rsid w:val="50B131BD"/>
    <w:rsid w:val="50B8301B"/>
    <w:rsid w:val="50CC0E90"/>
    <w:rsid w:val="50CD0B1D"/>
    <w:rsid w:val="50DC2512"/>
    <w:rsid w:val="50DE4D41"/>
    <w:rsid w:val="50E47B0A"/>
    <w:rsid w:val="50ED166F"/>
    <w:rsid w:val="50F12DEB"/>
    <w:rsid w:val="50F24353"/>
    <w:rsid w:val="50FA1F48"/>
    <w:rsid w:val="50FB0C27"/>
    <w:rsid w:val="50FF230B"/>
    <w:rsid w:val="51082401"/>
    <w:rsid w:val="510B0A7B"/>
    <w:rsid w:val="510B1E42"/>
    <w:rsid w:val="510D415F"/>
    <w:rsid w:val="511139A2"/>
    <w:rsid w:val="5116134F"/>
    <w:rsid w:val="5118245E"/>
    <w:rsid w:val="51191774"/>
    <w:rsid w:val="511E0724"/>
    <w:rsid w:val="512013C3"/>
    <w:rsid w:val="51220351"/>
    <w:rsid w:val="51224F3F"/>
    <w:rsid w:val="51296729"/>
    <w:rsid w:val="512970B2"/>
    <w:rsid w:val="51323A6D"/>
    <w:rsid w:val="513736F6"/>
    <w:rsid w:val="514D7F52"/>
    <w:rsid w:val="51515572"/>
    <w:rsid w:val="5157778E"/>
    <w:rsid w:val="5158272B"/>
    <w:rsid w:val="516F0D9A"/>
    <w:rsid w:val="51832318"/>
    <w:rsid w:val="518971ED"/>
    <w:rsid w:val="51967504"/>
    <w:rsid w:val="51A100F9"/>
    <w:rsid w:val="51A134CC"/>
    <w:rsid w:val="51B10993"/>
    <w:rsid w:val="51B31CDE"/>
    <w:rsid w:val="51B5657C"/>
    <w:rsid w:val="51B97320"/>
    <w:rsid w:val="51CB2862"/>
    <w:rsid w:val="51D35AC5"/>
    <w:rsid w:val="51DF5EE2"/>
    <w:rsid w:val="51E10EC5"/>
    <w:rsid w:val="51E11A88"/>
    <w:rsid w:val="51E4639C"/>
    <w:rsid w:val="51FE1EB4"/>
    <w:rsid w:val="520157DD"/>
    <w:rsid w:val="52042995"/>
    <w:rsid w:val="52087915"/>
    <w:rsid w:val="520F474A"/>
    <w:rsid w:val="521366A5"/>
    <w:rsid w:val="521427E5"/>
    <w:rsid w:val="52153D05"/>
    <w:rsid w:val="52203C7C"/>
    <w:rsid w:val="52204E3C"/>
    <w:rsid w:val="522119F4"/>
    <w:rsid w:val="5222456F"/>
    <w:rsid w:val="522409F1"/>
    <w:rsid w:val="523E0171"/>
    <w:rsid w:val="52443F13"/>
    <w:rsid w:val="52465F54"/>
    <w:rsid w:val="52527F91"/>
    <w:rsid w:val="5255718B"/>
    <w:rsid w:val="52626852"/>
    <w:rsid w:val="52647786"/>
    <w:rsid w:val="52660409"/>
    <w:rsid w:val="52691CEF"/>
    <w:rsid w:val="527A116F"/>
    <w:rsid w:val="52826223"/>
    <w:rsid w:val="52833F88"/>
    <w:rsid w:val="528D054C"/>
    <w:rsid w:val="5291550A"/>
    <w:rsid w:val="529156DF"/>
    <w:rsid w:val="529A1137"/>
    <w:rsid w:val="52A622E2"/>
    <w:rsid w:val="52AC685B"/>
    <w:rsid w:val="52B1645E"/>
    <w:rsid w:val="52C418D2"/>
    <w:rsid w:val="52C41EA5"/>
    <w:rsid w:val="52C45067"/>
    <w:rsid w:val="52C836EB"/>
    <w:rsid w:val="52D16561"/>
    <w:rsid w:val="52D9769B"/>
    <w:rsid w:val="52DB3C85"/>
    <w:rsid w:val="52DE7FEB"/>
    <w:rsid w:val="52E129E7"/>
    <w:rsid w:val="52E701B7"/>
    <w:rsid w:val="52E82EC3"/>
    <w:rsid w:val="52EE34B2"/>
    <w:rsid w:val="52FB1613"/>
    <w:rsid w:val="53084914"/>
    <w:rsid w:val="532B1F08"/>
    <w:rsid w:val="53316ED2"/>
    <w:rsid w:val="533C5A79"/>
    <w:rsid w:val="53455292"/>
    <w:rsid w:val="53461A42"/>
    <w:rsid w:val="53461D72"/>
    <w:rsid w:val="53483DF3"/>
    <w:rsid w:val="53485467"/>
    <w:rsid w:val="534F794F"/>
    <w:rsid w:val="53502C2C"/>
    <w:rsid w:val="53621C23"/>
    <w:rsid w:val="53653D3E"/>
    <w:rsid w:val="536900F0"/>
    <w:rsid w:val="536D1C35"/>
    <w:rsid w:val="53750EF7"/>
    <w:rsid w:val="5390208E"/>
    <w:rsid w:val="53917015"/>
    <w:rsid w:val="539B1075"/>
    <w:rsid w:val="53A37B0D"/>
    <w:rsid w:val="53A86CFC"/>
    <w:rsid w:val="53AC17E0"/>
    <w:rsid w:val="53AC42AC"/>
    <w:rsid w:val="53B275F6"/>
    <w:rsid w:val="53B612F2"/>
    <w:rsid w:val="53B724AF"/>
    <w:rsid w:val="53BC1D1A"/>
    <w:rsid w:val="53BC7D8A"/>
    <w:rsid w:val="53C3550A"/>
    <w:rsid w:val="53CF4463"/>
    <w:rsid w:val="53D75012"/>
    <w:rsid w:val="53DB0468"/>
    <w:rsid w:val="53F342C8"/>
    <w:rsid w:val="53F84C14"/>
    <w:rsid w:val="53FB3F6A"/>
    <w:rsid w:val="54045D31"/>
    <w:rsid w:val="540817BB"/>
    <w:rsid w:val="540E41E7"/>
    <w:rsid w:val="54106CA6"/>
    <w:rsid w:val="54123EA6"/>
    <w:rsid w:val="541F126E"/>
    <w:rsid w:val="54230505"/>
    <w:rsid w:val="542B7D85"/>
    <w:rsid w:val="543512B2"/>
    <w:rsid w:val="5438056D"/>
    <w:rsid w:val="543D38C7"/>
    <w:rsid w:val="544B19FF"/>
    <w:rsid w:val="544B51E5"/>
    <w:rsid w:val="544C3429"/>
    <w:rsid w:val="54523A54"/>
    <w:rsid w:val="54545D5F"/>
    <w:rsid w:val="5456436D"/>
    <w:rsid w:val="546537C4"/>
    <w:rsid w:val="54667494"/>
    <w:rsid w:val="547D04CD"/>
    <w:rsid w:val="5491674B"/>
    <w:rsid w:val="54A4171E"/>
    <w:rsid w:val="54A57BB3"/>
    <w:rsid w:val="54B906EA"/>
    <w:rsid w:val="54BF419A"/>
    <w:rsid w:val="54C96C6D"/>
    <w:rsid w:val="54CD26B0"/>
    <w:rsid w:val="54E10573"/>
    <w:rsid w:val="54E90C9C"/>
    <w:rsid w:val="54F43B90"/>
    <w:rsid w:val="55066F08"/>
    <w:rsid w:val="5507381A"/>
    <w:rsid w:val="550E01BD"/>
    <w:rsid w:val="551415E2"/>
    <w:rsid w:val="551A6C6B"/>
    <w:rsid w:val="55235E30"/>
    <w:rsid w:val="55432EB8"/>
    <w:rsid w:val="55463F5B"/>
    <w:rsid w:val="55475B0D"/>
    <w:rsid w:val="5548157C"/>
    <w:rsid w:val="554863B8"/>
    <w:rsid w:val="5555770C"/>
    <w:rsid w:val="55560268"/>
    <w:rsid w:val="55661533"/>
    <w:rsid w:val="556F5E1A"/>
    <w:rsid w:val="55741056"/>
    <w:rsid w:val="55791361"/>
    <w:rsid w:val="557B6B2B"/>
    <w:rsid w:val="558351D1"/>
    <w:rsid w:val="55877DF9"/>
    <w:rsid w:val="558A4132"/>
    <w:rsid w:val="559F173A"/>
    <w:rsid w:val="55AC2A2D"/>
    <w:rsid w:val="55B0300F"/>
    <w:rsid w:val="55B10E0C"/>
    <w:rsid w:val="55B62D99"/>
    <w:rsid w:val="55BD63A9"/>
    <w:rsid w:val="55C946A6"/>
    <w:rsid w:val="55CB06E3"/>
    <w:rsid w:val="55CC0B49"/>
    <w:rsid w:val="55D53A3D"/>
    <w:rsid w:val="55D66F30"/>
    <w:rsid w:val="55D8703F"/>
    <w:rsid w:val="55DA611C"/>
    <w:rsid w:val="55E15A70"/>
    <w:rsid w:val="55F93187"/>
    <w:rsid w:val="560D181B"/>
    <w:rsid w:val="561815A2"/>
    <w:rsid w:val="561977E3"/>
    <w:rsid w:val="5630661A"/>
    <w:rsid w:val="563B18C7"/>
    <w:rsid w:val="56494199"/>
    <w:rsid w:val="56581D07"/>
    <w:rsid w:val="565E398E"/>
    <w:rsid w:val="565F4B00"/>
    <w:rsid w:val="56611F01"/>
    <w:rsid w:val="56791DE5"/>
    <w:rsid w:val="56AC7BCD"/>
    <w:rsid w:val="56B87265"/>
    <w:rsid w:val="56C2705A"/>
    <w:rsid w:val="56DA7B4D"/>
    <w:rsid w:val="56E21353"/>
    <w:rsid w:val="56F23A4F"/>
    <w:rsid w:val="56F718D3"/>
    <w:rsid w:val="56FA6595"/>
    <w:rsid w:val="56FF2BE5"/>
    <w:rsid w:val="57000B67"/>
    <w:rsid w:val="57002D2C"/>
    <w:rsid w:val="57006A64"/>
    <w:rsid w:val="570850AA"/>
    <w:rsid w:val="570A3450"/>
    <w:rsid w:val="57155229"/>
    <w:rsid w:val="57200B63"/>
    <w:rsid w:val="57213C62"/>
    <w:rsid w:val="5723178A"/>
    <w:rsid w:val="572E3655"/>
    <w:rsid w:val="572F1200"/>
    <w:rsid w:val="5730000D"/>
    <w:rsid w:val="573B2D6F"/>
    <w:rsid w:val="5740796C"/>
    <w:rsid w:val="574166D2"/>
    <w:rsid w:val="5749576E"/>
    <w:rsid w:val="575B25B7"/>
    <w:rsid w:val="57636C94"/>
    <w:rsid w:val="576471A6"/>
    <w:rsid w:val="57695050"/>
    <w:rsid w:val="576F67EC"/>
    <w:rsid w:val="57882CFD"/>
    <w:rsid w:val="57950F4C"/>
    <w:rsid w:val="57952103"/>
    <w:rsid w:val="57966FD7"/>
    <w:rsid w:val="5797100C"/>
    <w:rsid w:val="579A6E67"/>
    <w:rsid w:val="57A501B2"/>
    <w:rsid w:val="57A50274"/>
    <w:rsid w:val="57A61C5F"/>
    <w:rsid w:val="57A646D9"/>
    <w:rsid w:val="57AA2D40"/>
    <w:rsid w:val="57AD6BB5"/>
    <w:rsid w:val="57AD6F26"/>
    <w:rsid w:val="57B152DB"/>
    <w:rsid w:val="57B64263"/>
    <w:rsid w:val="57BA517D"/>
    <w:rsid w:val="57BF2AC3"/>
    <w:rsid w:val="57C156C8"/>
    <w:rsid w:val="57C17085"/>
    <w:rsid w:val="57C31E4A"/>
    <w:rsid w:val="57F10061"/>
    <w:rsid w:val="582E41C9"/>
    <w:rsid w:val="583120BF"/>
    <w:rsid w:val="58367BFA"/>
    <w:rsid w:val="5839331D"/>
    <w:rsid w:val="583969CB"/>
    <w:rsid w:val="584302DC"/>
    <w:rsid w:val="58477C34"/>
    <w:rsid w:val="584D0815"/>
    <w:rsid w:val="585760A2"/>
    <w:rsid w:val="586324DA"/>
    <w:rsid w:val="58663D34"/>
    <w:rsid w:val="58683E50"/>
    <w:rsid w:val="58696917"/>
    <w:rsid w:val="586C6EBC"/>
    <w:rsid w:val="588102A4"/>
    <w:rsid w:val="58824593"/>
    <w:rsid w:val="588805DE"/>
    <w:rsid w:val="58922414"/>
    <w:rsid w:val="58922742"/>
    <w:rsid w:val="589E1A25"/>
    <w:rsid w:val="58A558F7"/>
    <w:rsid w:val="58A573F5"/>
    <w:rsid w:val="58AA5221"/>
    <w:rsid w:val="58B606CF"/>
    <w:rsid w:val="58CC409F"/>
    <w:rsid w:val="58CD4299"/>
    <w:rsid w:val="58D300C1"/>
    <w:rsid w:val="58DE775E"/>
    <w:rsid w:val="58E440FE"/>
    <w:rsid w:val="58E73BE7"/>
    <w:rsid w:val="58E95FEA"/>
    <w:rsid w:val="58F92870"/>
    <w:rsid w:val="590609C7"/>
    <w:rsid w:val="590A1350"/>
    <w:rsid w:val="590C1FEF"/>
    <w:rsid w:val="59174765"/>
    <w:rsid w:val="591F3D4C"/>
    <w:rsid w:val="5932025B"/>
    <w:rsid w:val="593B4D1E"/>
    <w:rsid w:val="593C7301"/>
    <w:rsid w:val="5957333B"/>
    <w:rsid w:val="596003EE"/>
    <w:rsid w:val="59641F24"/>
    <w:rsid w:val="59681C3C"/>
    <w:rsid w:val="596C65FC"/>
    <w:rsid w:val="59741E09"/>
    <w:rsid w:val="59747622"/>
    <w:rsid w:val="59767BF5"/>
    <w:rsid w:val="59771D9E"/>
    <w:rsid w:val="5979418C"/>
    <w:rsid w:val="597E0270"/>
    <w:rsid w:val="5986345F"/>
    <w:rsid w:val="598C7E42"/>
    <w:rsid w:val="5995408F"/>
    <w:rsid w:val="5998557D"/>
    <w:rsid w:val="599A76C2"/>
    <w:rsid w:val="599C0813"/>
    <w:rsid w:val="599F0359"/>
    <w:rsid w:val="59A607BC"/>
    <w:rsid w:val="59AE3C0F"/>
    <w:rsid w:val="59B07300"/>
    <w:rsid w:val="59B07FB1"/>
    <w:rsid w:val="59B57FA8"/>
    <w:rsid w:val="59BE09ED"/>
    <w:rsid w:val="59C406D1"/>
    <w:rsid w:val="59D05500"/>
    <w:rsid w:val="59DD28A6"/>
    <w:rsid w:val="59DD4297"/>
    <w:rsid w:val="59E75A1E"/>
    <w:rsid w:val="59EB6439"/>
    <w:rsid w:val="59F4357E"/>
    <w:rsid w:val="59F827D9"/>
    <w:rsid w:val="59FA6429"/>
    <w:rsid w:val="59FD602A"/>
    <w:rsid w:val="5A041AD7"/>
    <w:rsid w:val="5A070E9C"/>
    <w:rsid w:val="5A0B0154"/>
    <w:rsid w:val="5A0D6618"/>
    <w:rsid w:val="5A251C8F"/>
    <w:rsid w:val="5A367E74"/>
    <w:rsid w:val="5A5058CB"/>
    <w:rsid w:val="5A555F76"/>
    <w:rsid w:val="5A604C8F"/>
    <w:rsid w:val="5A6760B5"/>
    <w:rsid w:val="5A6B46D9"/>
    <w:rsid w:val="5A7652F3"/>
    <w:rsid w:val="5A7E7A8F"/>
    <w:rsid w:val="5A836FDF"/>
    <w:rsid w:val="5A8A56BF"/>
    <w:rsid w:val="5A8C18DD"/>
    <w:rsid w:val="5A8F5646"/>
    <w:rsid w:val="5A94004B"/>
    <w:rsid w:val="5A98006A"/>
    <w:rsid w:val="5AA07A36"/>
    <w:rsid w:val="5AA258CA"/>
    <w:rsid w:val="5AA90BDD"/>
    <w:rsid w:val="5AAB6BA6"/>
    <w:rsid w:val="5AB87E0B"/>
    <w:rsid w:val="5AC05D65"/>
    <w:rsid w:val="5AC9244F"/>
    <w:rsid w:val="5ACA6932"/>
    <w:rsid w:val="5ADE2BBA"/>
    <w:rsid w:val="5AE802C5"/>
    <w:rsid w:val="5AEA6B64"/>
    <w:rsid w:val="5AEE6466"/>
    <w:rsid w:val="5AF74542"/>
    <w:rsid w:val="5AF97841"/>
    <w:rsid w:val="5AFC1DFF"/>
    <w:rsid w:val="5B02167F"/>
    <w:rsid w:val="5B093548"/>
    <w:rsid w:val="5B09715C"/>
    <w:rsid w:val="5B0E549E"/>
    <w:rsid w:val="5B130D39"/>
    <w:rsid w:val="5B1A68F5"/>
    <w:rsid w:val="5B1D34B1"/>
    <w:rsid w:val="5B2B7067"/>
    <w:rsid w:val="5B2F694C"/>
    <w:rsid w:val="5B304F60"/>
    <w:rsid w:val="5B32089C"/>
    <w:rsid w:val="5B39513D"/>
    <w:rsid w:val="5B3E3807"/>
    <w:rsid w:val="5B443E3A"/>
    <w:rsid w:val="5B4F1FDC"/>
    <w:rsid w:val="5B685FE2"/>
    <w:rsid w:val="5B6A0AD0"/>
    <w:rsid w:val="5B6E342D"/>
    <w:rsid w:val="5B7F6D96"/>
    <w:rsid w:val="5B8158C8"/>
    <w:rsid w:val="5B8541C5"/>
    <w:rsid w:val="5B8A7460"/>
    <w:rsid w:val="5B8B09AB"/>
    <w:rsid w:val="5B923CD5"/>
    <w:rsid w:val="5B9D3914"/>
    <w:rsid w:val="5BAB4D57"/>
    <w:rsid w:val="5BB02991"/>
    <w:rsid w:val="5BBF2701"/>
    <w:rsid w:val="5BED535D"/>
    <w:rsid w:val="5BED7BB2"/>
    <w:rsid w:val="5BEE3ADC"/>
    <w:rsid w:val="5BFC7B76"/>
    <w:rsid w:val="5C094DB3"/>
    <w:rsid w:val="5C1102B0"/>
    <w:rsid w:val="5C184EF3"/>
    <w:rsid w:val="5C1D60C8"/>
    <w:rsid w:val="5C200928"/>
    <w:rsid w:val="5C3D18C9"/>
    <w:rsid w:val="5C4F18D5"/>
    <w:rsid w:val="5C57422B"/>
    <w:rsid w:val="5C5920B9"/>
    <w:rsid w:val="5C5B2FE8"/>
    <w:rsid w:val="5C742923"/>
    <w:rsid w:val="5C79451E"/>
    <w:rsid w:val="5C8678C1"/>
    <w:rsid w:val="5C8869EB"/>
    <w:rsid w:val="5C8C2731"/>
    <w:rsid w:val="5C93243D"/>
    <w:rsid w:val="5C933B25"/>
    <w:rsid w:val="5C9C7311"/>
    <w:rsid w:val="5CA819CD"/>
    <w:rsid w:val="5CAC54B9"/>
    <w:rsid w:val="5CAD75BC"/>
    <w:rsid w:val="5CC03785"/>
    <w:rsid w:val="5CC30737"/>
    <w:rsid w:val="5CC30B73"/>
    <w:rsid w:val="5CC65634"/>
    <w:rsid w:val="5CC65D8C"/>
    <w:rsid w:val="5CC8798E"/>
    <w:rsid w:val="5CCF592A"/>
    <w:rsid w:val="5CD00C39"/>
    <w:rsid w:val="5CDB5C2B"/>
    <w:rsid w:val="5CE43EE0"/>
    <w:rsid w:val="5CE963C2"/>
    <w:rsid w:val="5CEF7531"/>
    <w:rsid w:val="5CF15B09"/>
    <w:rsid w:val="5CF313EF"/>
    <w:rsid w:val="5CFF436D"/>
    <w:rsid w:val="5D083D48"/>
    <w:rsid w:val="5D090453"/>
    <w:rsid w:val="5D0A5312"/>
    <w:rsid w:val="5D0B519F"/>
    <w:rsid w:val="5D0C1626"/>
    <w:rsid w:val="5D0F1FBD"/>
    <w:rsid w:val="5D1718BE"/>
    <w:rsid w:val="5D1F240F"/>
    <w:rsid w:val="5D254995"/>
    <w:rsid w:val="5D485840"/>
    <w:rsid w:val="5D51714C"/>
    <w:rsid w:val="5D535034"/>
    <w:rsid w:val="5D54036D"/>
    <w:rsid w:val="5D6B6FDD"/>
    <w:rsid w:val="5D711D7F"/>
    <w:rsid w:val="5D7602B3"/>
    <w:rsid w:val="5D7621CE"/>
    <w:rsid w:val="5D766ADE"/>
    <w:rsid w:val="5D7F1010"/>
    <w:rsid w:val="5D8240E3"/>
    <w:rsid w:val="5D86445A"/>
    <w:rsid w:val="5D897178"/>
    <w:rsid w:val="5D962018"/>
    <w:rsid w:val="5D9A703F"/>
    <w:rsid w:val="5DA40595"/>
    <w:rsid w:val="5DAC1755"/>
    <w:rsid w:val="5DAC7E65"/>
    <w:rsid w:val="5DB13ADE"/>
    <w:rsid w:val="5DB4019F"/>
    <w:rsid w:val="5DBB72FE"/>
    <w:rsid w:val="5DC70600"/>
    <w:rsid w:val="5DC717A6"/>
    <w:rsid w:val="5DC8665F"/>
    <w:rsid w:val="5DCD3D6F"/>
    <w:rsid w:val="5DCE5C1F"/>
    <w:rsid w:val="5DDA33C1"/>
    <w:rsid w:val="5DDC1927"/>
    <w:rsid w:val="5DE247A3"/>
    <w:rsid w:val="5DE53D04"/>
    <w:rsid w:val="5DE65116"/>
    <w:rsid w:val="5DEE00B1"/>
    <w:rsid w:val="5DF12A41"/>
    <w:rsid w:val="5DF5215D"/>
    <w:rsid w:val="5DFA2928"/>
    <w:rsid w:val="5DFD670B"/>
    <w:rsid w:val="5DFE1DC2"/>
    <w:rsid w:val="5E006CAF"/>
    <w:rsid w:val="5E0B0CF6"/>
    <w:rsid w:val="5E0C09BB"/>
    <w:rsid w:val="5E0F3961"/>
    <w:rsid w:val="5E143748"/>
    <w:rsid w:val="5E1A5910"/>
    <w:rsid w:val="5E2106E9"/>
    <w:rsid w:val="5E2978A3"/>
    <w:rsid w:val="5E2D1087"/>
    <w:rsid w:val="5E3522CF"/>
    <w:rsid w:val="5E3F07D8"/>
    <w:rsid w:val="5E4D12DF"/>
    <w:rsid w:val="5E4D4FC9"/>
    <w:rsid w:val="5E617B22"/>
    <w:rsid w:val="5E6F15A4"/>
    <w:rsid w:val="5E706F71"/>
    <w:rsid w:val="5E733AFE"/>
    <w:rsid w:val="5E786107"/>
    <w:rsid w:val="5E803A23"/>
    <w:rsid w:val="5E8237DF"/>
    <w:rsid w:val="5E8B3284"/>
    <w:rsid w:val="5E9F73EE"/>
    <w:rsid w:val="5EB3655C"/>
    <w:rsid w:val="5EB70C72"/>
    <w:rsid w:val="5EBD7906"/>
    <w:rsid w:val="5EC12590"/>
    <w:rsid w:val="5EC4123A"/>
    <w:rsid w:val="5EC72E48"/>
    <w:rsid w:val="5ED0419C"/>
    <w:rsid w:val="5ED27DCA"/>
    <w:rsid w:val="5ED44AFC"/>
    <w:rsid w:val="5ED722D9"/>
    <w:rsid w:val="5ED908A4"/>
    <w:rsid w:val="5EDB38C8"/>
    <w:rsid w:val="5EDD75E8"/>
    <w:rsid w:val="5EDF3EB7"/>
    <w:rsid w:val="5EF0691C"/>
    <w:rsid w:val="5EF25A1B"/>
    <w:rsid w:val="5F0A54CE"/>
    <w:rsid w:val="5F215264"/>
    <w:rsid w:val="5F3B7E49"/>
    <w:rsid w:val="5F460402"/>
    <w:rsid w:val="5F4D03DB"/>
    <w:rsid w:val="5F5E0D5A"/>
    <w:rsid w:val="5F5E5CA5"/>
    <w:rsid w:val="5F645D67"/>
    <w:rsid w:val="5F6B3D85"/>
    <w:rsid w:val="5F6B564E"/>
    <w:rsid w:val="5F6B7DEC"/>
    <w:rsid w:val="5F6E0461"/>
    <w:rsid w:val="5F747AD1"/>
    <w:rsid w:val="5F78397E"/>
    <w:rsid w:val="5F794CF2"/>
    <w:rsid w:val="5F7E2D90"/>
    <w:rsid w:val="5F801DE2"/>
    <w:rsid w:val="5F8550C7"/>
    <w:rsid w:val="5F86408B"/>
    <w:rsid w:val="5F982EAC"/>
    <w:rsid w:val="5F9A3E47"/>
    <w:rsid w:val="5FAA6187"/>
    <w:rsid w:val="5FBF19D4"/>
    <w:rsid w:val="5FCA2C2A"/>
    <w:rsid w:val="5FD712CD"/>
    <w:rsid w:val="5FE66AE4"/>
    <w:rsid w:val="5FEB593B"/>
    <w:rsid w:val="5FFC34AB"/>
    <w:rsid w:val="5FFF190C"/>
    <w:rsid w:val="601005C2"/>
    <w:rsid w:val="60174A4F"/>
    <w:rsid w:val="601B33EC"/>
    <w:rsid w:val="60303445"/>
    <w:rsid w:val="603303D1"/>
    <w:rsid w:val="60395379"/>
    <w:rsid w:val="603F6EDC"/>
    <w:rsid w:val="60406A93"/>
    <w:rsid w:val="60450393"/>
    <w:rsid w:val="6045087B"/>
    <w:rsid w:val="60567839"/>
    <w:rsid w:val="6059292E"/>
    <w:rsid w:val="60595F9E"/>
    <w:rsid w:val="606A0FF4"/>
    <w:rsid w:val="606B478A"/>
    <w:rsid w:val="606E27FE"/>
    <w:rsid w:val="607C75C6"/>
    <w:rsid w:val="608E41C0"/>
    <w:rsid w:val="60942943"/>
    <w:rsid w:val="60DD641D"/>
    <w:rsid w:val="60E00A33"/>
    <w:rsid w:val="60EF3B13"/>
    <w:rsid w:val="60F63980"/>
    <w:rsid w:val="60FC68D3"/>
    <w:rsid w:val="61021F62"/>
    <w:rsid w:val="610E38FC"/>
    <w:rsid w:val="611722A2"/>
    <w:rsid w:val="61180C9D"/>
    <w:rsid w:val="611C0456"/>
    <w:rsid w:val="61204E0C"/>
    <w:rsid w:val="61252B28"/>
    <w:rsid w:val="61314937"/>
    <w:rsid w:val="6152291A"/>
    <w:rsid w:val="61551AF2"/>
    <w:rsid w:val="615578FA"/>
    <w:rsid w:val="61561F9F"/>
    <w:rsid w:val="616C61A7"/>
    <w:rsid w:val="616F44B1"/>
    <w:rsid w:val="617764AE"/>
    <w:rsid w:val="617827A7"/>
    <w:rsid w:val="61784E29"/>
    <w:rsid w:val="617F501C"/>
    <w:rsid w:val="61860707"/>
    <w:rsid w:val="61952AD8"/>
    <w:rsid w:val="61981216"/>
    <w:rsid w:val="619858D0"/>
    <w:rsid w:val="619E0BD0"/>
    <w:rsid w:val="619E41CF"/>
    <w:rsid w:val="61BB7D24"/>
    <w:rsid w:val="61BC6B36"/>
    <w:rsid w:val="61BE39F8"/>
    <w:rsid w:val="61C54A2C"/>
    <w:rsid w:val="61C839A7"/>
    <w:rsid w:val="61CA47AE"/>
    <w:rsid w:val="61DA72AB"/>
    <w:rsid w:val="61E43D0E"/>
    <w:rsid w:val="61F9272E"/>
    <w:rsid w:val="61FA1902"/>
    <w:rsid w:val="62156036"/>
    <w:rsid w:val="622A6EC2"/>
    <w:rsid w:val="622F47B0"/>
    <w:rsid w:val="62365F09"/>
    <w:rsid w:val="62390CB6"/>
    <w:rsid w:val="623A5F53"/>
    <w:rsid w:val="62435DCB"/>
    <w:rsid w:val="624A10A9"/>
    <w:rsid w:val="624B58DB"/>
    <w:rsid w:val="628407B1"/>
    <w:rsid w:val="628E2E22"/>
    <w:rsid w:val="62932032"/>
    <w:rsid w:val="62934A57"/>
    <w:rsid w:val="629813F8"/>
    <w:rsid w:val="62A60A16"/>
    <w:rsid w:val="62A97D63"/>
    <w:rsid w:val="62AB777F"/>
    <w:rsid w:val="62AD5A83"/>
    <w:rsid w:val="62AE20B2"/>
    <w:rsid w:val="62B01350"/>
    <w:rsid w:val="62C40A78"/>
    <w:rsid w:val="62CA45A4"/>
    <w:rsid w:val="62CD3C18"/>
    <w:rsid w:val="62D154F4"/>
    <w:rsid w:val="62DB45F3"/>
    <w:rsid w:val="62DB66DB"/>
    <w:rsid w:val="62DD2D1D"/>
    <w:rsid w:val="62E06987"/>
    <w:rsid w:val="62E3363E"/>
    <w:rsid w:val="62E46E82"/>
    <w:rsid w:val="62EC2A0D"/>
    <w:rsid w:val="62ED2730"/>
    <w:rsid w:val="62ED4F35"/>
    <w:rsid w:val="62EF4F95"/>
    <w:rsid w:val="62F2372C"/>
    <w:rsid w:val="62FC2F6E"/>
    <w:rsid w:val="63005F59"/>
    <w:rsid w:val="63026CED"/>
    <w:rsid w:val="63097573"/>
    <w:rsid w:val="631509E4"/>
    <w:rsid w:val="631B5D73"/>
    <w:rsid w:val="631E6003"/>
    <w:rsid w:val="631F2AB3"/>
    <w:rsid w:val="632161A3"/>
    <w:rsid w:val="632A37BB"/>
    <w:rsid w:val="632D4F26"/>
    <w:rsid w:val="63343DAE"/>
    <w:rsid w:val="63366CF1"/>
    <w:rsid w:val="633D491F"/>
    <w:rsid w:val="633F7C7C"/>
    <w:rsid w:val="6347004C"/>
    <w:rsid w:val="6348218C"/>
    <w:rsid w:val="634906C0"/>
    <w:rsid w:val="634D119A"/>
    <w:rsid w:val="634F1A75"/>
    <w:rsid w:val="63662614"/>
    <w:rsid w:val="636B4C33"/>
    <w:rsid w:val="636C64F0"/>
    <w:rsid w:val="636F4D01"/>
    <w:rsid w:val="637C52E7"/>
    <w:rsid w:val="637F5EF4"/>
    <w:rsid w:val="63801807"/>
    <w:rsid w:val="63821837"/>
    <w:rsid w:val="638A5C12"/>
    <w:rsid w:val="63983B46"/>
    <w:rsid w:val="63A04041"/>
    <w:rsid w:val="63AF30A8"/>
    <w:rsid w:val="63AF460F"/>
    <w:rsid w:val="63B66091"/>
    <w:rsid w:val="63B84349"/>
    <w:rsid w:val="63B87B36"/>
    <w:rsid w:val="63BD2CDF"/>
    <w:rsid w:val="63BE441F"/>
    <w:rsid w:val="63C30706"/>
    <w:rsid w:val="63CE07EC"/>
    <w:rsid w:val="63D64C7A"/>
    <w:rsid w:val="63EA18E6"/>
    <w:rsid w:val="63EE35EE"/>
    <w:rsid w:val="63F66E28"/>
    <w:rsid w:val="63F71815"/>
    <w:rsid w:val="63FD003F"/>
    <w:rsid w:val="64012899"/>
    <w:rsid w:val="640A3456"/>
    <w:rsid w:val="641360FB"/>
    <w:rsid w:val="64183B3A"/>
    <w:rsid w:val="641A2856"/>
    <w:rsid w:val="64254CA9"/>
    <w:rsid w:val="643D4780"/>
    <w:rsid w:val="643E241F"/>
    <w:rsid w:val="644E6B71"/>
    <w:rsid w:val="645050FA"/>
    <w:rsid w:val="64533603"/>
    <w:rsid w:val="645F5C12"/>
    <w:rsid w:val="64695447"/>
    <w:rsid w:val="646A3702"/>
    <w:rsid w:val="64704A63"/>
    <w:rsid w:val="64725549"/>
    <w:rsid w:val="647532BD"/>
    <w:rsid w:val="647A288D"/>
    <w:rsid w:val="647B128B"/>
    <w:rsid w:val="647B3E17"/>
    <w:rsid w:val="64910CD9"/>
    <w:rsid w:val="64A30365"/>
    <w:rsid w:val="64AA3309"/>
    <w:rsid w:val="64AA3E10"/>
    <w:rsid w:val="64AE4354"/>
    <w:rsid w:val="64B972BE"/>
    <w:rsid w:val="64BD1347"/>
    <w:rsid w:val="64BD4E54"/>
    <w:rsid w:val="64C24FBD"/>
    <w:rsid w:val="64C5082B"/>
    <w:rsid w:val="64C8345D"/>
    <w:rsid w:val="64CB72F5"/>
    <w:rsid w:val="64D70E03"/>
    <w:rsid w:val="64DA45FF"/>
    <w:rsid w:val="64DE09CD"/>
    <w:rsid w:val="64E06343"/>
    <w:rsid w:val="64EA0439"/>
    <w:rsid w:val="64EF7A50"/>
    <w:rsid w:val="64F06511"/>
    <w:rsid w:val="64FF6DF5"/>
    <w:rsid w:val="65026A30"/>
    <w:rsid w:val="650B60F2"/>
    <w:rsid w:val="650E3602"/>
    <w:rsid w:val="6514571A"/>
    <w:rsid w:val="6514758F"/>
    <w:rsid w:val="65165191"/>
    <w:rsid w:val="65227FE9"/>
    <w:rsid w:val="65274189"/>
    <w:rsid w:val="65314887"/>
    <w:rsid w:val="654273A2"/>
    <w:rsid w:val="654D3A68"/>
    <w:rsid w:val="65515A8C"/>
    <w:rsid w:val="655227FD"/>
    <w:rsid w:val="65540770"/>
    <w:rsid w:val="65664E54"/>
    <w:rsid w:val="656665D3"/>
    <w:rsid w:val="657B03B2"/>
    <w:rsid w:val="657C3D1E"/>
    <w:rsid w:val="658D070D"/>
    <w:rsid w:val="65907A4E"/>
    <w:rsid w:val="65950EF8"/>
    <w:rsid w:val="65AB40C0"/>
    <w:rsid w:val="65B338D0"/>
    <w:rsid w:val="65B445B5"/>
    <w:rsid w:val="65C203DF"/>
    <w:rsid w:val="65C653AB"/>
    <w:rsid w:val="65C80D0D"/>
    <w:rsid w:val="65CA6433"/>
    <w:rsid w:val="65D917F2"/>
    <w:rsid w:val="65EC4BEC"/>
    <w:rsid w:val="65F42A8E"/>
    <w:rsid w:val="65FD452A"/>
    <w:rsid w:val="66061444"/>
    <w:rsid w:val="6606776F"/>
    <w:rsid w:val="66180394"/>
    <w:rsid w:val="661F2D41"/>
    <w:rsid w:val="66366F92"/>
    <w:rsid w:val="66375B80"/>
    <w:rsid w:val="663A5677"/>
    <w:rsid w:val="66426477"/>
    <w:rsid w:val="66474439"/>
    <w:rsid w:val="66495441"/>
    <w:rsid w:val="664A2444"/>
    <w:rsid w:val="66540D83"/>
    <w:rsid w:val="66581BBC"/>
    <w:rsid w:val="66672105"/>
    <w:rsid w:val="66677CAC"/>
    <w:rsid w:val="666845A2"/>
    <w:rsid w:val="66714D68"/>
    <w:rsid w:val="66760DC5"/>
    <w:rsid w:val="667D480D"/>
    <w:rsid w:val="66887617"/>
    <w:rsid w:val="66984910"/>
    <w:rsid w:val="669B59E7"/>
    <w:rsid w:val="66A71BBE"/>
    <w:rsid w:val="66AD7F94"/>
    <w:rsid w:val="66B12236"/>
    <w:rsid w:val="66C855FF"/>
    <w:rsid w:val="66CF62BF"/>
    <w:rsid w:val="66D37B8D"/>
    <w:rsid w:val="66E8423D"/>
    <w:rsid w:val="66EA6D79"/>
    <w:rsid w:val="66EC2A73"/>
    <w:rsid w:val="66F028E3"/>
    <w:rsid w:val="66F5749B"/>
    <w:rsid w:val="6703581A"/>
    <w:rsid w:val="671359B7"/>
    <w:rsid w:val="67185A8E"/>
    <w:rsid w:val="671A19D9"/>
    <w:rsid w:val="671A3D72"/>
    <w:rsid w:val="671F2D72"/>
    <w:rsid w:val="67204A56"/>
    <w:rsid w:val="67255FB2"/>
    <w:rsid w:val="67271BB3"/>
    <w:rsid w:val="672826E9"/>
    <w:rsid w:val="6733494D"/>
    <w:rsid w:val="673522BC"/>
    <w:rsid w:val="673A79C2"/>
    <w:rsid w:val="674459AF"/>
    <w:rsid w:val="6753060D"/>
    <w:rsid w:val="675C67AF"/>
    <w:rsid w:val="67791B52"/>
    <w:rsid w:val="677A29C5"/>
    <w:rsid w:val="677E45A0"/>
    <w:rsid w:val="677F5D0D"/>
    <w:rsid w:val="6786497D"/>
    <w:rsid w:val="67872A49"/>
    <w:rsid w:val="67882A93"/>
    <w:rsid w:val="678F38BC"/>
    <w:rsid w:val="67965B48"/>
    <w:rsid w:val="67A943E9"/>
    <w:rsid w:val="67AA4760"/>
    <w:rsid w:val="67AD6DC0"/>
    <w:rsid w:val="67BA53CE"/>
    <w:rsid w:val="67C2591A"/>
    <w:rsid w:val="67C30CA4"/>
    <w:rsid w:val="67E13153"/>
    <w:rsid w:val="67E3779A"/>
    <w:rsid w:val="67ED58FA"/>
    <w:rsid w:val="67F507A9"/>
    <w:rsid w:val="67FA1B66"/>
    <w:rsid w:val="680A4D64"/>
    <w:rsid w:val="680E7852"/>
    <w:rsid w:val="681165DF"/>
    <w:rsid w:val="68206AA8"/>
    <w:rsid w:val="682072E8"/>
    <w:rsid w:val="68260E76"/>
    <w:rsid w:val="682D67EB"/>
    <w:rsid w:val="682F05C2"/>
    <w:rsid w:val="683A7919"/>
    <w:rsid w:val="683E7E47"/>
    <w:rsid w:val="68440EEC"/>
    <w:rsid w:val="684A6FFD"/>
    <w:rsid w:val="685378CE"/>
    <w:rsid w:val="6857778C"/>
    <w:rsid w:val="685B2AEB"/>
    <w:rsid w:val="685B5BC2"/>
    <w:rsid w:val="68613875"/>
    <w:rsid w:val="68622599"/>
    <w:rsid w:val="686A7AC1"/>
    <w:rsid w:val="686A7D67"/>
    <w:rsid w:val="687A3BC8"/>
    <w:rsid w:val="687B5854"/>
    <w:rsid w:val="68804EFC"/>
    <w:rsid w:val="688130BA"/>
    <w:rsid w:val="688346B4"/>
    <w:rsid w:val="688410AC"/>
    <w:rsid w:val="6886258F"/>
    <w:rsid w:val="688E188A"/>
    <w:rsid w:val="689147D1"/>
    <w:rsid w:val="68956F32"/>
    <w:rsid w:val="68A34C36"/>
    <w:rsid w:val="68A8486E"/>
    <w:rsid w:val="68A940B5"/>
    <w:rsid w:val="68C16AA1"/>
    <w:rsid w:val="68C271D0"/>
    <w:rsid w:val="68C426A5"/>
    <w:rsid w:val="68DA12D9"/>
    <w:rsid w:val="68F40B67"/>
    <w:rsid w:val="68F70E78"/>
    <w:rsid w:val="68FA3A40"/>
    <w:rsid w:val="69097D44"/>
    <w:rsid w:val="69143A90"/>
    <w:rsid w:val="69177FA7"/>
    <w:rsid w:val="69234727"/>
    <w:rsid w:val="69307509"/>
    <w:rsid w:val="694309C6"/>
    <w:rsid w:val="69457549"/>
    <w:rsid w:val="694D423C"/>
    <w:rsid w:val="694E623A"/>
    <w:rsid w:val="69547C77"/>
    <w:rsid w:val="695A0E2F"/>
    <w:rsid w:val="69643C47"/>
    <w:rsid w:val="69695D38"/>
    <w:rsid w:val="69732F52"/>
    <w:rsid w:val="69741E70"/>
    <w:rsid w:val="69847201"/>
    <w:rsid w:val="69860B94"/>
    <w:rsid w:val="698E6255"/>
    <w:rsid w:val="6990295B"/>
    <w:rsid w:val="69956DD0"/>
    <w:rsid w:val="69984E80"/>
    <w:rsid w:val="699A3C99"/>
    <w:rsid w:val="69A24F0E"/>
    <w:rsid w:val="69AD2238"/>
    <w:rsid w:val="69B71D81"/>
    <w:rsid w:val="69B7411A"/>
    <w:rsid w:val="69BC243A"/>
    <w:rsid w:val="69BE53C7"/>
    <w:rsid w:val="69CA5A8F"/>
    <w:rsid w:val="69CB015D"/>
    <w:rsid w:val="69CF3BF9"/>
    <w:rsid w:val="69D00CF3"/>
    <w:rsid w:val="69DD51EA"/>
    <w:rsid w:val="69E51F20"/>
    <w:rsid w:val="69E80700"/>
    <w:rsid w:val="69E8185C"/>
    <w:rsid w:val="69E94859"/>
    <w:rsid w:val="69F556AB"/>
    <w:rsid w:val="69FD6977"/>
    <w:rsid w:val="69FD7122"/>
    <w:rsid w:val="69FE19B4"/>
    <w:rsid w:val="6A1F30FE"/>
    <w:rsid w:val="6A235975"/>
    <w:rsid w:val="6A2971AA"/>
    <w:rsid w:val="6A2D0CE2"/>
    <w:rsid w:val="6A321D74"/>
    <w:rsid w:val="6A34587C"/>
    <w:rsid w:val="6A397855"/>
    <w:rsid w:val="6A400776"/>
    <w:rsid w:val="6A473146"/>
    <w:rsid w:val="6A4D00FD"/>
    <w:rsid w:val="6A5307D8"/>
    <w:rsid w:val="6A6642AA"/>
    <w:rsid w:val="6A6A346F"/>
    <w:rsid w:val="6A6E5CE5"/>
    <w:rsid w:val="6A721764"/>
    <w:rsid w:val="6A826FDA"/>
    <w:rsid w:val="6A857977"/>
    <w:rsid w:val="6AA45E3A"/>
    <w:rsid w:val="6AA7685F"/>
    <w:rsid w:val="6AAE7655"/>
    <w:rsid w:val="6AB077AD"/>
    <w:rsid w:val="6ABD00BE"/>
    <w:rsid w:val="6AD27C22"/>
    <w:rsid w:val="6ADB7183"/>
    <w:rsid w:val="6AE560B0"/>
    <w:rsid w:val="6AEA28C6"/>
    <w:rsid w:val="6AF33CFE"/>
    <w:rsid w:val="6AFB49D0"/>
    <w:rsid w:val="6AFC42A9"/>
    <w:rsid w:val="6AFD7431"/>
    <w:rsid w:val="6B051DF1"/>
    <w:rsid w:val="6B15539D"/>
    <w:rsid w:val="6B1A2310"/>
    <w:rsid w:val="6B246E34"/>
    <w:rsid w:val="6B28101E"/>
    <w:rsid w:val="6B2F0D68"/>
    <w:rsid w:val="6B2F162A"/>
    <w:rsid w:val="6B3F03D2"/>
    <w:rsid w:val="6B456EEE"/>
    <w:rsid w:val="6B4673DF"/>
    <w:rsid w:val="6B492CC0"/>
    <w:rsid w:val="6B500F24"/>
    <w:rsid w:val="6B510123"/>
    <w:rsid w:val="6B5A451D"/>
    <w:rsid w:val="6B6B33D1"/>
    <w:rsid w:val="6B6F155C"/>
    <w:rsid w:val="6B70322F"/>
    <w:rsid w:val="6B7F2304"/>
    <w:rsid w:val="6B8E126B"/>
    <w:rsid w:val="6B971742"/>
    <w:rsid w:val="6B991C92"/>
    <w:rsid w:val="6B9D6FDD"/>
    <w:rsid w:val="6BA02CFA"/>
    <w:rsid w:val="6BB027CC"/>
    <w:rsid w:val="6BB0499C"/>
    <w:rsid w:val="6BB8620A"/>
    <w:rsid w:val="6BBA043C"/>
    <w:rsid w:val="6BBC0552"/>
    <w:rsid w:val="6BBF61CF"/>
    <w:rsid w:val="6BC36779"/>
    <w:rsid w:val="6BC527DF"/>
    <w:rsid w:val="6BC668BD"/>
    <w:rsid w:val="6BC84E73"/>
    <w:rsid w:val="6BC94361"/>
    <w:rsid w:val="6BCB165A"/>
    <w:rsid w:val="6BCC27B1"/>
    <w:rsid w:val="6BD10DD4"/>
    <w:rsid w:val="6BE434AD"/>
    <w:rsid w:val="6BE837B9"/>
    <w:rsid w:val="6BFA4DC1"/>
    <w:rsid w:val="6C121948"/>
    <w:rsid w:val="6C144F2A"/>
    <w:rsid w:val="6C17550E"/>
    <w:rsid w:val="6C1C1335"/>
    <w:rsid w:val="6C1D51FA"/>
    <w:rsid w:val="6C1D73C1"/>
    <w:rsid w:val="6C1E79B4"/>
    <w:rsid w:val="6C351E27"/>
    <w:rsid w:val="6C3B043A"/>
    <w:rsid w:val="6C55338F"/>
    <w:rsid w:val="6C5B638C"/>
    <w:rsid w:val="6C6241DE"/>
    <w:rsid w:val="6C6A69EB"/>
    <w:rsid w:val="6C764B91"/>
    <w:rsid w:val="6C7B3BAF"/>
    <w:rsid w:val="6C7F3CD0"/>
    <w:rsid w:val="6C835F93"/>
    <w:rsid w:val="6C8961C2"/>
    <w:rsid w:val="6C972684"/>
    <w:rsid w:val="6CA94313"/>
    <w:rsid w:val="6CB5554F"/>
    <w:rsid w:val="6CB772F1"/>
    <w:rsid w:val="6CB77D36"/>
    <w:rsid w:val="6CB87C36"/>
    <w:rsid w:val="6CC401BC"/>
    <w:rsid w:val="6CC81647"/>
    <w:rsid w:val="6CCB1C40"/>
    <w:rsid w:val="6CCC082F"/>
    <w:rsid w:val="6CE114A1"/>
    <w:rsid w:val="6CEE7B90"/>
    <w:rsid w:val="6CF66A19"/>
    <w:rsid w:val="6D0C2C53"/>
    <w:rsid w:val="6D0F5955"/>
    <w:rsid w:val="6D14133C"/>
    <w:rsid w:val="6D176763"/>
    <w:rsid w:val="6D1A573A"/>
    <w:rsid w:val="6D1E0752"/>
    <w:rsid w:val="6D236497"/>
    <w:rsid w:val="6D293037"/>
    <w:rsid w:val="6D3B41A8"/>
    <w:rsid w:val="6D430603"/>
    <w:rsid w:val="6D43540D"/>
    <w:rsid w:val="6D4A769A"/>
    <w:rsid w:val="6D4D2999"/>
    <w:rsid w:val="6D535AF6"/>
    <w:rsid w:val="6D550BA5"/>
    <w:rsid w:val="6D5B3A36"/>
    <w:rsid w:val="6D62557E"/>
    <w:rsid w:val="6D6F38F1"/>
    <w:rsid w:val="6D7919D3"/>
    <w:rsid w:val="6D83148D"/>
    <w:rsid w:val="6D853FBC"/>
    <w:rsid w:val="6D9510D7"/>
    <w:rsid w:val="6D9F7FB2"/>
    <w:rsid w:val="6DA140E4"/>
    <w:rsid w:val="6DA459DA"/>
    <w:rsid w:val="6DA767C8"/>
    <w:rsid w:val="6DA94EFF"/>
    <w:rsid w:val="6DB21D88"/>
    <w:rsid w:val="6DC81284"/>
    <w:rsid w:val="6DE05A9F"/>
    <w:rsid w:val="6DE201E9"/>
    <w:rsid w:val="6DF02946"/>
    <w:rsid w:val="6DF77AEA"/>
    <w:rsid w:val="6DFC0A3C"/>
    <w:rsid w:val="6E06513A"/>
    <w:rsid w:val="6E144771"/>
    <w:rsid w:val="6E203CB8"/>
    <w:rsid w:val="6E220E46"/>
    <w:rsid w:val="6E255F8D"/>
    <w:rsid w:val="6E3709A6"/>
    <w:rsid w:val="6E3A0DA2"/>
    <w:rsid w:val="6E520F94"/>
    <w:rsid w:val="6E592F9E"/>
    <w:rsid w:val="6E5B502D"/>
    <w:rsid w:val="6E600C41"/>
    <w:rsid w:val="6E665ABD"/>
    <w:rsid w:val="6E6F0A3D"/>
    <w:rsid w:val="6E6F3964"/>
    <w:rsid w:val="6E7D2ECF"/>
    <w:rsid w:val="6E893F46"/>
    <w:rsid w:val="6E922F2C"/>
    <w:rsid w:val="6E964C2C"/>
    <w:rsid w:val="6E975B13"/>
    <w:rsid w:val="6E9A52B7"/>
    <w:rsid w:val="6EA52E09"/>
    <w:rsid w:val="6EAC4704"/>
    <w:rsid w:val="6EBC18CC"/>
    <w:rsid w:val="6EC6178C"/>
    <w:rsid w:val="6ECC4ECD"/>
    <w:rsid w:val="6ED506EB"/>
    <w:rsid w:val="6ED63D08"/>
    <w:rsid w:val="6ED92756"/>
    <w:rsid w:val="6EDF783E"/>
    <w:rsid w:val="6EE234C0"/>
    <w:rsid w:val="6EE25BB6"/>
    <w:rsid w:val="6F0125BE"/>
    <w:rsid w:val="6F0C7590"/>
    <w:rsid w:val="6F224465"/>
    <w:rsid w:val="6F257CCA"/>
    <w:rsid w:val="6F2C3D0A"/>
    <w:rsid w:val="6F2E02B8"/>
    <w:rsid w:val="6F31606A"/>
    <w:rsid w:val="6F331D37"/>
    <w:rsid w:val="6F415B22"/>
    <w:rsid w:val="6F482CA1"/>
    <w:rsid w:val="6F4B198F"/>
    <w:rsid w:val="6F4B44FC"/>
    <w:rsid w:val="6F4E452C"/>
    <w:rsid w:val="6F55416B"/>
    <w:rsid w:val="6F575EF7"/>
    <w:rsid w:val="6F5C4C8E"/>
    <w:rsid w:val="6F5D7C5B"/>
    <w:rsid w:val="6F5E5CDC"/>
    <w:rsid w:val="6F6850FA"/>
    <w:rsid w:val="6F6B59B5"/>
    <w:rsid w:val="6F8155C5"/>
    <w:rsid w:val="6F8263E4"/>
    <w:rsid w:val="6F864B2A"/>
    <w:rsid w:val="6F867DB2"/>
    <w:rsid w:val="6FAD62FF"/>
    <w:rsid w:val="6FB9429E"/>
    <w:rsid w:val="6FBA0265"/>
    <w:rsid w:val="6FBA670D"/>
    <w:rsid w:val="6FBD79D4"/>
    <w:rsid w:val="6FBF2D4F"/>
    <w:rsid w:val="6FBF7414"/>
    <w:rsid w:val="6FD259FE"/>
    <w:rsid w:val="6FDC46A0"/>
    <w:rsid w:val="6FDC661D"/>
    <w:rsid w:val="6FDD2BC8"/>
    <w:rsid w:val="6FE17C4F"/>
    <w:rsid w:val="6FEF0DA0"/>
    <w:rsid w:val="6FF13AE2"/>
    <w:rsid w:val="6FF776EA"/>
    <w:rsid w:val="6FFD2AB2"/>
    <w:rsid w:val="700919A0"/>
    <w:rsid w:val="700B1AE0"/>
    <w:rsid w:val="700B6273"/>
    <w:rsid w:val="70212DD3"/>
    <w:rsid w:val="70247F45"/>
    <w:rsid w:val="7032387B"/>
    <w:rsid w:val="705F5B0A"/>
    <w:rsid w:val="706327C9"/>
    <w:rsid w:val="70671D09"/>
    <w:rsid w:val="706F05D6"/>
    <w:rsid w:val="707B3087"/>
    <w:rsid w:val="707E384E"/>
    <w:rsid w:val="707E4706"/>
    <w:rsid w:val="70877E2E"/>
    <w:rsid w:val="70892D0A"/>
    <w:rsid w:val="708A4F7F"/>
    <w:rsid w:val="708F583A"/>
    <w:rsid w:val="70950B2D"/>
    <w:rsid w:val="709915CE"/>
    <w:rsid w:val="709E2E9C"/>
    <w:rsid w:val="70A02205"/>
    <w:rsid w:val="70A02682"/>
    <w:rsid w:val="70A36C22"/>
    <w:rsid w:val="70A46059"/>
    <w:rsid w:val="70A56E6A"/>
    <w:rsid w:val="70A81615"/>
    <w:rsid w:val="70B537C6"/>
    <w:rsid w:val="70B7016A"/>
    <w:rsid w:val="70C80224"/>
    <w:rsid w:val="70C918EC"/>
    <w:rsid w:val="70CD2E7A"/>
    <w:rsid w:val="70D3117C"/>
    <w:rsid w:val="70DE0B4B"/>
    <w:rsid w:val="70DF6B8E"/>
    <w:rsid w:val="70E55C74"/>
    <w:rsid w:val="70E81623"/>
    <w:rsid w:val="70E86DC3"/>
    <w:rsid w:val="70F05911"/>
    <w:rsid w:val="70F461D1"/>
    <w:rsid w:val="70F61403"/>
    <w:rsid w:val="70F76FA1"/>
    <w:rsid w:val="71045217"/>
    <w:rsid w:val="710A2629"/>
    <w:rsid w:val="710B7772"/>
    <w:rsid w:val="710C4EEB"/>
    <w:rsid w:val="711457A4"/>
    <w:rsid w:val="71175C91"/>
    <w:rsid w:val="71177F52"/>
    <w:rsid w:val="7124733D"/>
    <w:rsid w:val="712C09D6"/>
    <w:rsid w:val="71324AC6"/>
    <w:rsid w:val="71361676"/>
    <w:rsid w:val="71401124"/>
    <w:rsid w:val="71494FD3"/>
    <w:rsid w:val="714A1050"/>
    <w:rsid w:val="715D16C2"/>
    <w:rsid w:val="71680E31"/>
    <w:rsid w:val="717042FD"/>
    <w:rsid w:val="7171353D"/>
    <w:rsid w:val="71762C8C"/>
    <w:rsid w:val="717D392C"/>
    <w:rsid w:val="718C3F37"/>
    <w:rsid w:val="718E0997"/>
    <w:rsid w:val="71923367"/>
    <w:rsid w:val="71A36753"/>
    <w:rsid w:val="71AE0D5E"/>
    <w:rsid w:val="71B86D22"/>
    <w:rsid w:val="71CD71C6"/>
    <w:rsid w:val="71F008A9"/>
    <w:rsid w:val="71F35DEE"/>
    <w:rsid w:val="71F57D11"/>
    <w:rsid w:val="71FA2F95"/>
    <w:rsid w:val="71FE3A37"/>
    <w:rsid w:val="71FF799F"/>
    <w:rsid w:val="72037E55"/>
    <w:rsid w:val="720B0937"/>
    <w:rsid w:val="72261CA4"/>
    <w:rsid w:val="72274F07"/>
    <w:rsid w:val="722A124C"/>
    <w:rsid w:val="72392D35"/>
    <w:rsid w:val="723949DB"/>
    <w:rsid w:val="72413A6B"/>
    <w:rsid w:val="7245415D"/>
    <w:rsid w:val="724C7958"/>
    <w:rsid w:val="725176AD"/>
    <w:rsid w:val="72563254"/>
    <w:rsid w:val="725B3204"/>
    <w:rsid w:val="726114CD"/>
    <w:rsid w:val="726808B1"/>
    <w:rsid w:val="726E223C"/>
    <w:rsid w:val="726F5195"/>
    <w:rsid w:val="7272211D"/>
    <w:rsid w:val="727779F9"/>
    <w:rsid w:val="727907FE"/>
    <w:rsid w:val="7279451E"/>
    <w:rsid w:val="727D60A5"/>
    <w:rsid w:val="727F4E3F"/>
    <w:rsid w:val="72806044"/>
    <w:rsid w:val="7286436D"/>
    <w:rsid w:val="728A2A12"/>
    <w:rsid w:val="728C5C63"/>
    <w:rsid w:val="72910D60"/>
    <w:rsid w:val="72923A89"/>
    <w:rsid w:val="72924838"/>
    <w:rsid w:val="7295436B"/>
    <w:rsid w:val="729B795B"/>
    <w:rsid w:val="72A52784"/>
    <w:rsid w:val="72A71A1A"/>
    <w:rsid w:val="72A87141"/>
    <w:rsid w:val="72A940B7"/>
    <w:rsid w:val="72AE543E"/>
    <w:rsid w:val="72B378B8"/>
    <w:rsid w:val="72B40D47"/>
    <w:rsid w:val="72B54CCC"/>
    <w:rsid w:val="72BD17A4"/>
    <w:rsid w:val="72C33283"/>
    <w:rsid w:val="72C57F43"/>
    <w:rsid w:val="72C6633C"/>
    <w:rsid w:val="72CB537A"/>
    <w:rsid w:val="72CE2A28"/>
    <w:rsid w:val="72D56631"/>
    <w:rsid w:val="72DE4F1F"/>
    <w:rsid w:val="72EC5980"/>
    <w:rsid w:val="72EC6E4B"/>
    <w:rsid w:val="72F115C9"/>
    <w:rsid w:val="72F70B14"/>
    <w:rsid w:val="72FA3E4C"/>
    <w:rsid w:val="72FB0D9E"/>
    <w:rsid w:val="73040B82"/>
    <w:rsid w:val="730608CD"/>
    <w:rsid w:val="730B28B2"/>
    <w:rsid w:val="731514BB"/>
    <w:rsid w:val="731B07E3"/>
    <w:rsid w:val="731C4035"/>
    <w:rsid w:val="732A4806"/>
    <w:rsid w:val="73376512"/>
    <w:rsid w:val="733D14CA"/>
    <w:rsid w:val="73406EDC"/>
    <w:rsid w:val="73481144"/>
    <w:rsid w:val="73540DC4"/>
    <w:rsid w:val="735839A5"/>
    <w:rsid w:val="736D2851"/>
    <w:rsid w:val="736D2A16"/>
    <w:rsid w:val="7376152A"/>
    <w:rsid w:val="73793495"/>
    <w:rsid w:val="73874146"/>
    <w:rsid w:val="738B71C1"/>
    <w:rsid w:val="739502A2"/>
    <w:rsid w:val="73954268"/>
    <w:rsid w:val="73B62154"/>
    <w:rsid w:val="73D2314C"/>
    <w:rsid w:val="73DA7F87"/>
    <w:rsid w:val="73DB6245"/>
    <w:rsid w:val="73DC4929"/>
    <w:rsid w:val="73DC7E17"/>
    <w:rsid w:val="73DD387B"/>
    <w:rsid w:val="73E871A3"/>
    <w:rsid w:val="74026476"/>
    <w:rsid w:val="74113740"/>
    <w:rsid w:val="74144CE1"/>
    <w:rsid w:val="7416763C"/>
    <w:rsid w:val="74183CC8"/>
    <w:rsid w:val="742363C8"/>
    <w:rsid w:val="74300D0F"/>
    <w:rsid w:val="743D3EB9"/>
    <w:rsid w:val="744011C6"/>
    <w:rsid w:val="74475758"/>
    <w:rsid w:val="74513757"/>
    <w:rsid w:val="7454028C"/>
    <w:rsid w:val="74545BB4"/>
    <w:rsid w:val="745E570F"/>
    <w:rsid w:val="74612566"/>
    <w:rsid w:val="747959BF"/>
    <w:rsid w:val="747E1A70"/>
    <w:rsid w:val="7483161A"/>
    <w:rsid w:val="74882F4D"/>
    <w:rsid w:val="748B05FD"/>
    <w:rsid w:val="74A51B18"/>
    <w:rsid w:val="74A938A5"/>
    <w:rsid w:val="74AE24F7"/>
    <w:rsid w:val="74B763D6"/>
    <w:rsid w:val="74B768C6"/>
    <w:rsid w:val="74C0442B"/>
    <w:rsid w:val="74C55B3F"/>
    <w:rsid w:val="74C7154E"/>
    <w:rsid w:val="74D813B3"/>
    <w:rsid w:val="74DF0013"/>
    <w:rsid w:val="74E249AE"/>
    <w:rsid w:val="74E62DCB"/>
    <w:rsid w:val="74EE25E0"/>
    <w:rsid w:val="74F738DE"/>
    <w:rsid w:val="750556FE"/>
    <w:rsid w:val="750F57C8"/>
    <w:rsid w:val="750F6250"/>
    <w:rsid w:val="751A009B"/>
    <w:rsid w:val="75365D06"/>
    <w:rsid w:val="753C4B9E"/>
    <w:rsid w:val="75436915"/>
    <w:rsid w:val="75446D15"/>
    <w:rsid w:val="75507D71"/>
    <w:rsid w:val="75622AAC"/>
    <w:rsid w:val="756A1004"/>
    <w:rsid w:val="756C3DC1"/>
    <w:rsid w:val="756E607F"/>
    <w:rsid w:val="757E63E1"/>
    <w:rsid w:val="75833381"/>
    <w:rsid w:val="7588189D"/>
    <w:rsid w:val="75890EEE"/>
    <w:rsid w:val="758977A2"/>
    <w:rsid w:val="758B5C71"/>
    <w:rsid w:val="75A35A3E"/>
    <w:rsid w:val="75A4194B"/>
    <w:rsid w:val="75B71A94"/>
    <w:rsid w:val="75C1144A"/>
    <w:rsid w:val="75C12685"/>
    <w:rsid w:val="75C51C20"/>
    <w:rsid w:val="75C8076E"/>
    <w:rsid w:val="75D2544B"/>
    <w:rsid w:val="75D75691"/>
    <w:rsid w:val="75E02F4D"/>
    <w:rsid w:val="75E072E7"/>
    <w:rsid w:val="75E52D02"/>
    <w:rsid w:val="75E77356"/>
    <w:rsid w:val="75E9409A"/>
    <w:rsid w:val="760B666C"/>
    <w:rsid w:val="760E2C16"/>
    <w:rsid w:val="76133896"/>
    <w:rsid w:val="76203741"/>
    <w:rsid w:val="762439CB"/>
    <w:rsid w:val="76282E2B"/>
    <w:rsid w:val="763703BC"/>
    <w:rsid w:val="763B2448"/>
    <w:rsid w:val="764366DD"/>
    <w:rsid w:val="764E6FED"/>
    <w:rsid w:val="76500980"/>
    <w:rsid w:val="765731F0"/>
    <w:rsid w:val="765E1290"/>
    <w:rsid w:val="765F5194"/>
    <w:rsid w:val="76673987"/>
    <w:rsid w:val="76695353"/>
    <w:rsid w:val="766C20C2"/>
    <w:rsid w:val="766D79B8"/>
    <w:rsid w:val="766F5CA9"/>
    <w:rsid w:val="76735C01"/>
    <w:rsid w:val="76753696"/>
    <w:rsid w:val="767845D6"/>
    <w:rsid w:val="767E6647"/>
    <w:rsid w:val="76823A9B"/>
    <w:rsid w:val="76836646"/>
    <w:rsid w:val="76907353"/>
    <w:rsid w:val="7696076E"/>
    <w:rsid w:val="76974B9D"/>
    <w:rsid w:val="76984760"/>
    <w:rsid w:val="769A22F1"/>
    <w:rsid w:val="769A300E"/>
    <w:rsid w:val="769C1F21"/>
    <w:rsid w:val="76A51258"/>
    <w:rsid w:val="76A73C3A"/>
    <w:rsid w:val="76AB7AC3"/>
    <w:rsid w:val="76B11A70"/>
    <w:rsid w:val="76BF486A"/>
    <w:rsid w:val="76CC4BE7"/>
    <w:rsid w:val="76CC763E"/>
    <w:rsid w:val="76CF105C"/>
    <w:rsid w:val="76DF4924"/>
    <w:rsid w:val="76E34668"/>
    <w:rsid w:val="76F02098"/>
    <w:rsid w:val="76F35976"/>
    <w:rsid w:val="76FB7C23"/>
    <w:rsid w:val="76FC595B"/>
    <w:rsid w:val="770539C1"/>
    <w:rsid w:val="77154F40"/>
    <w:rsid w:val="7719221D"/>
    <w:rsid w:val="771D7AFA"/>
    <w:rsid w:val="772F28D5"/>
    <w:rsid w:val="773E131C"/>
    <w:rsid w:val="77514A70"/>
    <w:rsid w:val="775556B3"/>
    <w:rsid w:val="77560535"/>
    <w:rsid w:val="77583D64"/>
    <w:rsid w:val="775D310E"/>
    <w:rsid w:val="77653ACF"/>
    <w:rsid w:val="776B2934"/>
    <w:rsid w:val="776C2FF9"/>
    <w:rsid w:val="77823383"/>
    <w:rsid w:val="7783056B"/>
    <w:rsid w:val="778B2327"/>
    <w:rsid w:val="778D2A54"/>
    <w:rsid w:val="77915E48"/>
    <w:rsid w:val="7792467E"/>
    <w:rsid w:val="77A908D4"/>
    <w:rsid w:val="77AC4A81"/>
    <w:rsid w:val="77B82832"/>
    <w:rsid w:val="77C91CB8"/>
    <w:rsid w:val="77D0750B"/>
    <w:rsid w:val="77D81491"/>
    <w:rsid w:val="77D93481"/>
    <w:rsid w:val="77DA1060"/>
    <w:rsid w:val="77DC668C"/>
    <w:rsid w:val="77DF065C"/>
    <w:rsid w:val="77E66378"/>
    <w:rsid w:val="77F273D8"/>
    <w:rsid w:val="77FB2812"/>
    <w:rsid w:val="78022FDE"/>
    <w:rsid w:val="78072EA4"/>
    <w:rsid w:val="780D421E"/>
    <w:rsid w:val="78120E1B"/>
    <w:rsid w:val="7821427B"/>
    <w:rsid w:val="783F411A"/>
    <w:rsid w:val="78576968"/>
    <w:rsid w:val="78625B50"/>
    <w:rsid w:val="78666846"/>
    <w:rsid w:val="786B48F9"/>
    <w:rsid w:val="786C5D85"/>
    <w:rsid w:val="786E4DD2"/>
    <w:rsid w:val="78704B5F"/>
    <w:rsid w:val="787410D9"/>
    <w:rsid w:val="78787F87"/>
    <w:rsid w:val="787A14BF"/>
    <w:rsid w:val="788E1BEE"/>
    <w:rsid w:val="78951396"/>
    <w:rsid w:val="789575A2"/>
    <w:rsid w:val="789772EA"/>
    <w:rsid w:val="789978D2"/>
    <w:rsid w:val="789A3FB0"/>
    <w:rsid w:val="78A6102E"/>
    <w:rsid w:val="78AB7035"/>
    <w:rsid w:val="78AC2C4D"/>
    <w:rsid w:val="78B77947"/>
    <w:rsid w:val="78C64762"/>
    <w:rsid w:val="78CF07AC"/>
    <w:rsid w:val="78DF761C"/>
    <w:rsid w:val="78E27CBF"/>
    <w:rsid w:val="78E41E10"/>
    <w:rsid w:val="78E90148"/>
    <w:rsid w:val="78E9381B"/>
    <w:rsid w:val="78F271D7"/>
    <w:rsid w:val="78F31C00"/>
    <w:rsid w:val="790009B6"/>
    <w:rsid w:val="79041A64"/>
    <w:rsid w:val="79073292"/>
    <w:rsid w:val="79083113"/>
    <w:rsid w:val="79101DE6"/>
    <w:rsid w:val="79150DEB"/>
    <w:rsid w:val="791A77A8"/>
    <w:rsid w:val="791E479F"/>
    <w:rsid w:val="791F6672"/>
    <w:rsid w:val="79215340"/>
    <w:rsid w:val="792C20EC"/>
    <w:rsid w:val="792E1E94"/>
    <w:rsid w:val="793F37B1"/>
    <w:rsid w:val="794814AA"/>
    <w:rsid w:val="79507CCE"/>
    <w:rsid w:val="79527482"/>
    <w:rsid w:val="796C3D0C"/>
    <w:rsid w:val="797875E2"/>
    <w:rsid w:val="7988126F"/>
    <w:rsid w:val="798B7B54"/>
    <w:rsid w:val="798E5438"/>
    <w:rsid w:val="799114EA"/>
    <w:rsid w:val="79A876C5"/>
    <w:rsid w:val="79AF3DC5"/>
    <w:rsid w:val="79C3570F"/>
    <w:rsid w:val="79C6076E"/>
    <w:rsid w:val="79CF12D7"/>
    <w:rsid w:val="79D80BE1"/>
    <w:rsid w:val="79DE0095"/>
    <w:rsid w:val="79EC0EF4"/>
    <w:rsid w:val="79ED5DA7"/>
    <w:rsid w:val="79ED7BF5"/>
    <w:rsid w:val="79F375CC"/>
    <w:rsid w:val="79F968C8"/>
    <w:rsid w:val="79FB505C"/>
    <w:rsid w:val="7A0E3DF3"/>
    <w:rsid w:val="7A165A8A"/>
    <w:rsid w:val="7A1E6D59"/>
    <w:rsid w:val="7A221A11"/>
    <w:rsid w:val="7A2D70B2"/>
    <w:rsid w:val="7A326D3D"/>
    <w:rsid w:val="7A424AD9"/>
    <w:rsid w:val="7A497DC2"/>
    <w:rsid w:val="7A612E31"/>
    <w:rsid w:val="7A626B2C"/>
    <w:rsid w:val="7A6F1486"/>
    <w:rsid w:val="7A761088"/>
    <w:rsid w:val="7A7715A2"/>
    <w:rsid w:val="7A7F60D1"/>
    <w:rsid w:val="7A8025F7"/>
    <w:rsid w:val="7A8650BD"/>
    <w:rsid w:val="7A98500E"/>
    <w:rsid w:val="7A9C4FF3"/>
    <w:rsid w:val="7A9F5728"/>
    <w:rsid w:val="7AA56864"/>
    <w:rsid w:val="7AAA217C"/>
    <w:rsid w:val="7AAE3407"/>
    <w:rsid w:val="7AB55B92"/>
    <w:rsid w:val="7AB86D75"/>
    <w:rsid w:val="7AB902F6"/>
    <w:rsid w:val="7AB93D30"/>
    <w:rsid w:val="7ABD18FF"/>
    <w:rsid w:val="7AC0670E"/>
    <w:rsid w:val="7ACE0684"/>
    <w:rsid w:val="7AD81B7E"/>
    <w:rsid w:val="7ADA6124"/>
    <w:rsid w:val="7AE45532"/>
    <w:rsid w:val="7AE82707"/>
    <w:rsid w:val="7AF226B1"/>
    <w:rsid w:val="7AF27D45"/>
    <w:rsid w:val="7AF609B5"/>
    <w:rsid w:val="7AFF4711"/>
    <w:rsid w:val="7B007416"/>
    <w:rsid w:val="7B0940E7"/>
    <w:rsid w:val="7B182183"/>
    <w:rsid w:val="7B19134A"/>
    <w:rsid w:val="7B28225E"/>
    <w:rsid w:val="7B29084A"/>
    <w:rsid w:val="7B3319CF"/>
    <w:rsid w:val="7B354382"/>
    <w:rsid w:val="7B372F65"/>
    <w:rsid w:val="7B3A6BDF"/>
    <w:rsid w:val="7B3C1F7D"/>
    <w:rsid w:val="7B47007E"/>
    <w:rsid w:val="7B544A64"/>
    <w:rsid w:val="7B68023D"/>
    <w:rsid w:val="7B691DCE"/>
    <w:rsid w:val="7B7E1F95"/>
    <w:rsid w:val="7B863477"/>
    <w:rsid w:val="7B8E47AF"/>
    <w:rsid w:val="7B9663F0"/>
    <w:rsid w:val="7B977DAA"/>
    <w:rsid w:val="7B981B14"/>
    <w:rsid w:val="7B9A151E"/>
    <w:rsid w:val="7B9B473C"/>
    <w:rsid w:val="7BA74C09"/>
    <w:rsid w:val="7BA80D18"/>
    <w:rsid w:val="7BA9632A"/>
    <w:rsid w:val="7BAD61C9"/>
    <w:rsid w:val="7BAE13D5"/>
    <w:rsid w:val="7BAE275F"/>
    <w:rsid w:val="7BB46FAC"/>
    <w:rsid w:val="7BB52976"/>
    <w:rsid w:val="7BB56A53"/>
    <w:rsid w:val="7BC021B0"/>
    <w:rsid w:val="7BC77989"/>
    <w:rsid w:val="7BCD576B"/>
    <w:rsid w:val="7BD161A0"/>
    <w:rsid w:val="7BD953C3"/>
    <w:rsid w:val="7BEF71C2"/>
    <w:rsid w:val="7BF05623"/>
    <w:rsid w:val="7BFB35B2"/>
    <w:rsid w:val="7BFF6F6F"/>
    <w:rsid w:val="7C0915AE"/>
    <w:rsid w:val="7C1065EC"/>
    <w:rsid w:val="7C1449D0"/>
    <w:rsid w:val="7C1B6C7E"/>
    <w:rsid w:val="7C1D3961"/>
    <w:rsid w:val="7C2A6DEA"/>
    <w:rsid w:val="7C2E3626"/>
    <w:rsid w:val="7C395C46"/>
    <w:rsid w:val="7C3A1137"/>
    <w:rsid w:val="7C3D4391"/>
    <w:rsid w:val="7C40528B"/>
    <w:rsid w:val="7C444CF8"/>
    <w:rsid w:val="7C4E6C7C"/>
    <w:rsid w:val="7C512E85"/>
    <w:rsid w:val="7C561191"/>
    <w:rsid w:val="7C6823BE"/>
    <w:rsid w:val="7C6975A9"/>
    <w:rsid w:val="7C7160C9"/>
    <w:rsid w:val="7C7F77DF"/>
    <w:rsid w:val="7C821FDC"/>
    <w:rsid w:val="7C8371B3"/>
    <w:rsid w:val="7C8426BC"/>
    <w:rsid w:val="7C94769A"/>
    <w:rsid w:val="7C9A5D0B"/>
    <w:rsid w:val="7CAE3FDD"/>
    <w:rsid w:val="7CBA63FB"/>
    <w:rsid w:val="7CBC6D70"/>
    <w:rsid w:val="7CBD2654"/>
    <w:rsid w:val="7CBF5429"/>
    <w:rsid w:val="7CD607F6"/>
    <w:rsid w:val="7CE84271"/>
    <w:rsid w:val="7CEC027A"/>
    <w:rsid w:val="7CEC5AA8"/>
    <w:rsid w:val="7CEC6FE9"/>
    <w:rsid w:val="7CED5325"/>
    <w:rsid w:val="7CF2748B"/>
    <w:rsid w:val="7CF35DDE"/>
    <w:rsid w:val="7CF51B63"/>
    <w:rsid w:val="7CF8049C"/>
    <w:rsid w:val="7CF84703"/>
    <w:rsid w:val="7CFE5896"/>
    <w:rsid w:val="7D0554BA"/>
    <w:rsid w:val="7D0D7D48"/>
    <w:rsid w:val="7D12671E"/>
    <w:rsid w:val="7D273622"/>
    <w:rsid w:val="7D287965"/>
    <w:rsid w:val="7D4251BD"/>
    <w:rsid w:val="7D431846"/>
    <w:rsid w:val="7D4448E3"/>
    <w:rsid w:val="7D451CAD"/>
    <w:rsid w:val="7D493283"/>
    <w:rsid w:val="7D4C09B1"/>
    <w:rsid w:val="7D607ABF"/>
    <w:rsid w:val="7D673CA9"/>
    <w:rsid w:val="7D67461A"/>
    <w:rsid w:val="7D696795"/>
    <w:rsid w:val="7D762D06"/>
    <w:rsid w:val="7D766C94"/>
    <w:rsid w:val="7D8313FA"/>
    <w:rsid w:val="7D8A0046"/>
    <w:rsid w:val="7D931EC1"/>
    <w:rsid w:val="7DBF451B"/>
    <w:rsid w:val="7DC139B5"/>
    <w:rsid w:val="7DC518DD"/>
    <w:rsid w:val="7DC774DD"/>
    <w:rsid w:val="7DCA747B"/>
    <w:rsid w:val="7DD441EB"/>
    <w:rsid w:val="7DD71D69"/>
    <w:rsid w:val="7DE92089"/>
    <w:rsid w:val="7DEE23C1"/>
    <w:rsid w:val="7DF11250"/>
    <w:rsid w:val="7DF258AE"/>
    <w:rsid w:val="7DF93975"/>
    <w:rsid w:val="7E187C04"/>
    <w:rsid w:val="7E1C4369"/>
    <w:rsid w:val="7E33329E"/>
    <w:rsid w:val="7E434B4D"/>
    <w:rsid w:val="7E44281B"/>
    <w:rsid w:val="7E4703D6"/>
    <w:rsid w:val="7E592945"/>
    <w:rsid w:val="7E602E4A"/>
    <w:rsid w:val="7E61127B"/>
    <w:rsid w:val="7E620F92"/>
    <w:rsid w:val="7E641663"/>
    <w:rsid w:val="7E6A2E14"/>
    <w:rsid w:val="7E6D011C"/>
    <w:rsid w:val="7E706E3E"/>
    <w:rsid w:val="7E722F3A"/>
    <w:rsid w:val="7E750F24"/>
    <w:rsid w:val="7E8660D0"/>
    <w:rsid w:val="7E885B32"/>
    <w:rsid w:val="7E975F10"/>
    <w:rsid w:val="7E9C140B"/>
    <w:rsid w:val="7EA03E00"/>
    <w:rsid w:val="7EA22DFC"/>
    <w:rsid w:val="7EA36D0F"/>
    <w:rsid w:val="7EA66BD6"/>
    <w:rsid w:val="7EA7120C"/>
    <w:rsid w:val="7EA87E0C"/>
    <w:rsid w:val="7EB43B0B"/>
    <w:rsid w:val="7EB72412"/>
    <w:rsid w:val="7EBC3294"/>
    <w:rsid w:val="7EBE46D0"/>
    <w:rsid w:val="7EBF44B5"/>
    <w:rsid w:val="7EC05132"/>
    <w:rsid w:val="7EC81B12"/>
    <w:rsid w:val="7EC932C7"/>
    <w:rsid w:val="7ED47721"/>
    <w:rsid w:val="7ED92421"/>
    <w:rsid w:val="7EDC23EC"/>
    <w:rsid w:val="7EE31608"/>
    <w:rsid w:val="7EE73F34"/>
    <w:rsid w:val="7EED11CF"/>
    <w:rsid w:val="7EFB3D84"/>
    <w:rsid w:val="7F04112D"/>
    <w:rsid w:val="7F0D5B31"/>
    <w:rsid w:val="7F124073"/>
    <w:rsid w:val="7F15741E"/>
    <w:rsid w:val="7F1A28F4"/>
    <w:rsid w:val="7F1C6EF2"/>
    <w:rsid w:val="7F1E4274"/>
    <w:rsid w:val="7F291E09"/>
    <w:rsid w:val="7F310F6B"/>
    <w:rsid w:val="7F323B39"/>
    <w:rsid w:val="7F445491"/>
    <w:rsid w:val="7F5168FF"/>
    <w:rsid w:val="7F544A77"/>
    <w:rsid w:val="7F555F62"/>
    <w:rsid w:val="7F5851AA"/>
    <w:rsid w:val="7F6E2514"/>
    <w:rsid w:val="7F7B7F13"/>
    <w:rsid w:val="7F7C7785"/>
    <w:rsid w:val="7F7E5882"/>
    <w:rsid w:val="7F8C32F3"/>
    <w:rsid w:val="7F9F7615"/>
    <w:rsid w:val="7FAA15DA"/>
    <w:rsid w:val="7FAB1120"/>
    <w:rsid w:val="7FBE2049"/>
    <w:rsid w:val="7FBF0D15"/>
    <w:rsid w:val="7FC33949"/>
    <w:rsid w:val="7FC7322C"/>
    <w:rsid w:val="7FD15A2A"/>
    <w:rsid w:val="7FDE029F"/>
    <w:rsid w:val="7FE9691C"/>
    <w:rsid w:val="9FF7A44C"/>
    <w:rsid w:val="E7EEAD1A"/>
    <w:rsid w:val="FFC90F49"/>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31"/>
    <w:unhideWhenUsed/>
    <w:qFormat/>
    <w:uiPriority w:val="9"/>
    <w:pPr>
      <w:keepNext/>
      <w:keepLines/>
      <w:spacing w:before="260" w:after="260" w:line="416" w:lineRule="auto"/>
      <w:outlineLvl w:val="1"/>
    </w:pPr>
    <w:rPr>
      <w:rFonts w:ascii="Calibri Light" w:hAnsi="Calibri Light"/>
      <w:b/>
      <w:bCs/>
      <w:sz w:val="32"/>
      <w:szCs w:val="32"/>
    </w:rPr>
  </w:style>
  <w:style w:type="paragraph" w:styleId="5">
    <w:name w:val="heading 3"/>
    <w:basedOn w:val="1"/>
    <w:next w:val="1"/>
    <w:unhideWhenUsed/>
    <w:qFormat/>
    <w:uiPriority w:val="0"/>
    <w:pPr>
      <w:spacing w:beforeAutospacing="1" w:afterAutospacing="1"/>
      <w:jc w:val="left"/>
      <w:outlineLvl w:val="2"/>
    </w:pPr>
    <w:rPr>
      <w:rFonts w:hint="eastAsia" w:ascii="宋体" w:hAnsi="宋体"/>
      <w:b/>
      <w:kern w:val="0"/>
      <w:sz w:val="27"/>
      <w:szCs w:val="27"/>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2">
    <w:name w:val="footer"/>
    <w:basedOn w:val="1"/>
    <w:next w:val="1"/>
    <w:unhideWhenUsed/>
    <w:qFormat/>
    <w:uiPriority w:val="99"/>
    <w:pPr>
      <w:tabs>
        <w:tab w:val="center" w:pos="4153"/>
        <w:tab w:val="right" w:pos="8306"/>
      </w:tabs>
      <w:snapToGrid w:val="0"/>
      <w:jc w:val="left"/>
    </w:pPr>
    <w:rPr>
      <w:sz w:val="18"/>
      <w:szCs w:val="18"/>
    </w:rPr>
  </w:style>
  <w:style w:type="paragraph" w:styleId="6">
    <w:name w:val="Normal Indent"/>
    <w:basedOn w:val="1"/>
    <w:qFormat/>
    <w:uiPriority w:val="0"/>
    <w:pPr>
      <w:ind w:firstLine="200" w:firstLineChars="200"/>
    </w:pPr>
  </w:style>
  <w:style w:type="paragraph" w:styleId="7">
    <w:name w:val="caption"/>
    <w:basedOn w:val="1"/>
    <w:next w:val="1"/>
    <w:unhideWhenUsed/>
    <w:qFormat/>
    <w:uiPriority w:val="0"/>
    <w:rPr>
      <w:rFonts w:ascii="Arial" w:hAnsi="Arial" w:eastAsia="黑体"/>
      <w:sz w:val="20"/>
    </w:rPr>
  </w:style>
  <w:style w:type="paragraph" w:styleId="8">
    <w:name w:val="annotation text"/>
    <w:basedOn w:val="1"/>
    <w:link w:val="34"/>
    <w:qFormat/>
    <w:uiPriority w:val="0"/>
    <w:pPr>
      <w:jc w:val="left"/>
    </w:pPr>
  </w:style>
  <w:style w:type="paragraph" w:styleId="9">
    <w:name w:val="Body Text"/>
    <w:basedOn w:val="1"/>
    <w:link w:val="38"/>
    <w:unhideWhenUsed/>
    <w:qFormat/>
    <w:uiPriority w:val="0"/>
    <w:pPr>
      <w:spacing w:after="120"/>
    </w:pPr>
    <w:rPr>
      <w:rFonts w:ascii="Times New Roman" w:hAnsi="Times New Roman"/>
      <w:szCs w:val="24"/>
    </w:rPr>
  </w:style>
  <w:style w:type="paragraph" w:styleId="10">
    <w:name w:val="toc 3"/>
    <w:basedOn w:val="1"/>
    <w:next w:val="1"/>
    <w:qFormat/>
    <w:uiPriority w:val="39"/>
    <w:pPr>
      <w:ind w:left="840" w:leftChars="400"/>
    </w:pPr>
  </w:style>
  <w:style w:type="paragraph" w:styleId="11">
    <w:name w:val="endnote text"/>
    <w:basedOn w:val="1"/>
    <w:link w:val="37"/>
    <w:qFormat/>
    <w:uiPriority w:val="0"/>
    <w:pPr>
      <w:snapToGrid w:val="0"/>
      <w:jc w:val="left"/>
    </w:pPr>
  </w:style>
  <w:style w:type="paragraph" w:styleId="12">
    <w:name w:val="Balloon Text"/>
    <w:basedOn w:val="1"/>
    <w:link w:val="36"/>
    <w:qFormat/>
    <w:uiPriority w:val="0"/>
    <w:rPr>
      <w:sz w:val="18"/>
      <w:szCs w:val="18"/>
    </w:rPr>
  </w:style>
  <w:style w:type="paragraph" w:styleId="13">
    <w:name w:val="header"/>
    <w:basedOn w:val="1"/>
    <w:link w:val="30"/>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39"/>
    <w:pPr>
      <w:spacing w:before="360"/>
      <w:jc w:val="left"/>
    </w:pPr>
    <w:rPr>
      <w:rFonts w:ascii="Cambria" w:hAnsi="Cambria" w:eastAsia="仿宋_GB2312"/>
      <w:b/>
      <w:bCs/>
      <w:caps/>
      <w:w w:val="90"/>
      <w:sz w:val="24"/>
      <w:szCs w:val="24"/>
    </w:rPr>
  </w:style>
  <w:style w:type="paragraph" w:styleId="15">
    <w:name w:val="footnote text"/>
    <w:basedOn w:val="1"/>
    <w:link w:val="29"/>
    <w:qFormat/>
    <w:uiPriority w:val="99"/>
    <w:pPr>
      <w:snapToGrid w:val="0"/>
      <w:jc w:val="left"/>
    </w:pPr>
    <w:rPr>
      <w:sz w:val="18"/>
      <w:szCs w:val="18"/>
    </w:rPr>
  </w:style>
  <w:style w:type="paragraph" w:styleId="16">
    <w:name w:val="toc 2"/>
    <w:basedOn w:val="1"/>
    <w:next w:val="1"/>
    <w:qFormat/>
    <w:uiPriority w:val="39"/>
    <w:pPr>
      <w:tabs>
        <w:tab w:val="right" w:leader="dot" w:pos="8680"/>
      </w:tabs>
      <w:ind w:left="420" w:leftChars="200"/>
      <w:jc w:val="center"/>
    </w:pPr>
    <w:rPr>
      <w:rFonts w:ascii="黑体" w:hAnsi="黑体" w:eastAsia="黑体" w:cs="黑体"/>
      <w:sz w:val="32"/>
      <w:szCs w:val="32"/>
    </w:rPr>
  </w:style>
  <w:style w:type="paragraph" w:styleId="17">
    <w:name w:val="Normal (Web)"/>
    <w:basedOn w:val="1"/>
    <w:unhideWhenUsed/>
    <w:qFormat/>
    <w:uiPriority w:val="0"/>
    <w:pPr>
      <w:widowControl/>
      <w:spacing w:before="100" w:beforeAutospacing="1" w:after="100" w:afterAutospacing="1"/>
      <w:jc w:val="left"/>
    </w:pPr>
    <w:rPr>
      <w:rFonts w:ascii="宋体" w:hAnsi="宋体" w:cs="宋体"/>
      <w:kern w:val="0"/>
      <w:sz w:val="24"/>
      <w:szCs w:val="24"/>
    </w:rPr>
  </w:style>
  <w:style w:type="paragraph" w:styleId="18">
    <w:name w:val="annotation subject"/>
    <w:basedOn w:val="8"/>
    <w:next w:val="8"/>
    <w:link w:val="33"/>
    <w:qFormat/>
    <w:uiPriority w:val="0"/>
    <w:rPr>
      <w:b/>
      <w:bCs/>
    </w:r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2">
    <w:name w:val="endnote reference"/>
    <w:basedOn w:val="21"/>
    <w:qFormat/>
    <w:uiPriority w:val="0"/>
    <w:rPr>
      <w:vertAlign w:val="superscript"/>
    </w:rPr>
  </w:style>
  <w:style w:type="character" w:styleId="23">
    <w:name w:val="Hyperlink"/>
    <w:qFormat/>
    <w:uiPriority w:val="99"/>
    <w:rPr>
      <w:rFonts w:cs="Times New Roman"/>
      <w:color w:val="0000FF"/>
      <w:u w:val="single"/>
    </w:rPr>
  </w:style>
  <w:style w:type="character" w:styleId="24">
    <w:name w:val="annotation reference"/>
    <w:basedOn w:val="21"/>
    <w:qFormat/>
    <w:uiPriority w:val="0"/>
    <w:rPr>
      <w:sz w:val="21"/>
      <w:szCs w:val="21"/>
    </w:rPr>
  </w:style>
  <w:style w:type="character" w:styleId="25">
    <w:name w:val="footnote reference"/>
    <w:basedOn w:val="21"/>
    <w:qFormat/>
    <w:uiPriority w:val="0"/>
    <w:rPr>
      <w:vertAlign w:val="superscript"/>
    </w:rPr>
  </w:style>
  <w:style w:type="paragraph" w:customStyle="1" w:styleId="26">
    <w:name w:val="Char Char Char Char"/>
    <w:basedOn w:val="1"/>
    <w:qFormat/>
    <w:uiPriority w:val="0"/>
    <w:pPr>
      <w:widowControl/>
      <w:spacing w:after="160" w:line="240" w:lineRule="exact"/>
      <w:jc w:val="left"/>
    </w:pPr>
    <w:rPr>
      <w:rFonts w:ascii="Tahoma" w:hAnsi="Tahoma" w:cs="黑体"/>
      <w:kern w:val="0"/>
      <w:sz w:val="24"/>
    </w:rPr>
  </w:style>
  <w:style w:type="paragraph" w:customStyle="1" w:styleId="27">
    <w:name w:val="列出段落1"/>
    <w:basedOn w:val="1"/>
    <w:unhideWhenUsed/>
    <w:qFormat/>
    <w:uiPriority w:val="34"/>
    <w:pPr>
      <w:ind w:firstLine="420" w:firstLineChars="200"/>
    </w:pPr>
  </w:style>
  <w:style w:type="paragraph" w:customStyle="1" w:styleId="28">
    <w:name w:val="默认段落字体 Para Char Char Char Char Char Char Char"/>
    <w:basedOn w:val="1"/>
    <w:qFormat/>
    <w:uiPriority w:val="0"/>
    <w:rPr>
      <w:rFonts w:ascii="Tahoma" w:hAnsi="Tahoma"/>
      <w:sz w:val="24"/>
      <w:szCs w:val="20"/>
    </w:rPr>
  </w:style>
  <w:style w:type="character" w:customStyle="1" w:styleId="29">
    <w:name w:val="脚注文本 Char"/>
    <w:basedOn w:val="21"/>
    <w:link w:val="15"/>
    <w:qFormat/>
    <w:uiPriority w:val="99"/>
    <w:rPr>
      <w:rFonts w:ascii="Calibri" w:hAnsi="Calibri"/>
      <w:kern w:val="2"/>
      <w:sz w:val="18"/>
      <w:szCs w:val="18"/>
    </w:rPr>
  </w:style>
  <w:style w:type="character" w:customStyle="1" w:styleId="30">
    <w:name w:val="页眉 Char"/>
    <w:basedOn w:val="21"/>
    <w:link w:val="13"/>
    <w:qFormat/>
    <w:uiPriority w:val="0"/>
    <w:rPr>
      <w:rFonts w:ascii="Calibri" w:hAnsi="Calibri"/>
      <w:kern w:val="2"/>
      <w:sz w:val="18"/>
      <w:szCs w:val="18"/>
    </w:rPr>
  </w:style>
  <w:style w:type="character" w:customStyle="1" w:styleId="31">
    <w:name w:val="标题 2 Char"/>
    <w:basedOn w:val="21"/>
    <w:link w:val="4"/>
    <w:qFormat/>
    <w:uiPriority w:val="9"/>
    <w:rPr>
      <w:rFonts w:ascii="Calibri Light" w:hAnsi="Calibri Light" w:eastAsia="宋体" w:cs="Times New Roman"/>
      <w:b/>
      <w:bCs/>
      <w:kern w:val="2"/>
      <w:sz w:val="32"/>
      <w:szCs w:val="32"/>
    </w:rPr>
  </w:style>
  <w:style w:type="character" w:customStyle="1" w:styleId="32">
    <w:name w:val="font11"/>
    <w:basedOn w:val="21"/>
    <w:qFormat/>
    <w:uiPriority w:val="0"/>
    <w:rPr>
      <w:rFonts w:hint="eastAsia" w:ascii="宋体" w:hAnsi="宋体" w:eastAsia="宋体" w:cs="宋体"/>
      <w:color w:val="000000"/>
      <w:sz w:val="20"/>
      <w:szCs w:val="20"/>
      <w:u w:val="none"/>
    </w:rPr>
  </w:style>
  <w:style w:type="character" w:customStyle="1" w:styleId="33">
    <w:name w:val="批注主题 Char"/>
    <w:basedOn w:val="34"/>
    <w:link w:val="18"/>
    <w:qFormat/>
    <w:uiPriority w:val="0"/>
    <w:rPr>
      <w:rFonts w:ascii="Calibri" w:hAnsi="Calibri"/>
      <w:b/>
      <w:bCs/>
      <w:kern w:val="2"/>
      <w:sz w:val="21"/>
      <w:szCs w:val="22"/>
    </w:rPr>
  </w:style>
  <w:style w:type="character" w:customStyle="1" w:styleId="34">
    <w:name w:val="批注文字 Char"/>
    <w:basedOn w:val="21"/>
    <w:link w:val="8"/>
    <w:qFormat/>
    <w:uiPriority w:val="0"/>
    <w:rPr>
      <w:rFonts w:ascii="Calibri" w:hAnsi="Calibri"/>
      <w:kern w:val="2"/>
      <w:sz w:val="21"/>
      <w:szCs w:val="22"/>
    </w:rPr>
  </w:style>
  <w:style w:type="character" w:customStyle="1" w:styleId="35">
    <w:name w:val="font31"/>
    <w:basedOn w:val="21"/>
    <w:qFormat/>
    <w:uiPriority w:val="0"/>
    <w:rPr>
      <w:rFonts w:hint="eastAsia" w:ascii="宋体" w:hAnsi="宋体" w:eastAsia="宋体" w:cs="宋体"/>
      <w:color w:val="000000"/>
      <w:sz w:val="20"/>
      <w:szCs w:val="20"/>
      <w:u w:val="none"/>
    </w:rPr>
  </w:style>
  <w:style w:type="character" w:customStyle="1" w:styleId="36">
    <w:name w:val="批注框文本 Char"/>
    <w:basedOn w:val="21"/>
    <w:link w:val="12"/>
    <w:qFormat/>
    <w:uiPriority w:val="0"/>
    <w:rPr>
      <w:rFonts w:ascii="Calibri" w:hAnsi="Calibri"/>
      <w:kern w:val="2"/>
      <w:sz w:val="18"/>
      <w:szCs w:val="18"/>
    </w:rPr>
  </w:style>
  <w:style w:type="character" w:customStyle="1" w:styleId="37">
    <w:name w:val="尾注文本 Char"/>
    <w:basedOn w:val="21"/>
    <w:link w:val="11"/>
    <w:qFormat/>
    <w:uiPriority w:val="0"/>
    <w:rPr>
      <w:rFonts w:ascii="Calibri" w:hAnsi="Calibri"/>
      <w:kern w:val="2"/>
      <w:sz w:val="21"/>
      <w:szCs w:val="22"/>
    </w:rPr>
  </w:style>
  <w:style w:type="character" w:customStyle="1" w:styleId="38">
    <w:name w:val="正文文本 Char"/>
    <w:basedOn w:val="21"/>
    <w:link w:val="9"/>
    <w:qFormat/>
    <w:uiPriority w:val="0"/>
    <w:rPr>
      <w:rFonts w:ascii="Times New Roman" w:hAnsi="Times New Roman"/>
      <w:kern w:val="2"/>
      <w:sz w:val="21"/>
      <w:szCs w:val="24"/>
    </w:rPr>
  </w:style>
  <w:style w:type="paragraph" w:styleId="39">
    <w:name w:val="List Paragraph"/>
    <w:basedOn w:val="1"/>
    <w:qFormat/>
    <w:uiPriority w:val="99"/>
    <w:pPr>
      <w:ind w:firstLine="420" w:firstLineChars="200"/>
    </w:pPr>
  </w:style>
  <w:style w:type="character" w:customStyle="1" w:styleId="40">
    <w:name w:val="UserStyle_0"/>
    <w:qFormat/>
    <w:uiPriority w:val="0"/>
    <w:rPr>
      <w:rFonts w:ascii="Times New Roman" w:hAnsi="Times New Roman" w:eastAsia="宋体" w:cs="Times New Roman"/>
    </w:rPr>
  </w:style>
  <w:style w:type="character" w:customStyle="1" w:styleId="41">
    <w:name w:val="UserStyle_1"/>
    <w:link w:val="42"/>
    <w:qFormat/>
    <w:locked/>
    <w:uiPriority w:val="0"/>
    <w:rPr>
      <w:kern w:val="0"/>
      <w:sz w:val="20"/>
      <w:szCs w:val="20"/>
    </w:rPr>
  </w:style>
  <w:style w:type="paragraph" w:customStyle="1" w:styleId="42">
    <w:name w:val="UserStyle_2"/>
    <w:basedOn w:val="1"/>
    <w:link w:val="41"/>
    <w:qFormat/>
    <w:uiPriority w:val="0"/>
    <w:rPr>
      <w:kern w:val="0"/>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22</Pages>
  <Words>9657</Words>
  <Characters>10062</Characters>
  <Lines>90</Lines>
  <Paragraphs>25</Paragraphs>
  <TotalTime>13</TotalTime>
  <ScaleCrop>false</ScaleCrop>
  <LinksUpToDate>false</LinksUpToDate>
  <CharactersWithSpaces>10084</CharactersWithSpaces>
  <Application>WPS Office_11.8.2.10489_F1E327BC-269C-435d-A152-05C5408002CA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2019-06-29T15:15:00Z</dcterms:created>
  <dc:creator>Administrator</dc:creator>
  <cp:lastModifiedBy>uos</cp:lastModifiedBy>
  <cp:lastPrinted>2022-06-07T14:40:00Z</cp:lastPrinted>
  <dcterms:modified xsi:type="dcterms:W3CDTF">2023-08-24T16:56:08Z</dcterms:modified>
  <dc:title>2020年度北京市规划和自然资源委员会</dc:title>
  <cp:revision>74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2052-11.8.2.10489</vt:lpwstr>
  </property>
  <property fmtid="{D5CDD505-2E9C-101B-9397-08002B2CF9AE}" pid="3" name="ICV">
    <vt:lpwstr>D64F898BD64F4E318F7CA80F674354E6_13</vt:lpwstr>
  </property>
</Properties>
</file>