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EC6FD">
      <w:pPr>
        <w:widowControl/>
        <w:spacing w:line="320" w:lineRule="exact"/>
        <w:rPr>
          <w:rFonts w:hint="eastAsia" w:ascii="黑体" w:hAnsi="黑体" w:eastAsia="黑体"/>
          <w:color w:val="auto"/>
          <w:sz w:val="32"/>
          <w:szCs w:val="32"/>
        </w:rPr>
      </w:pPr>
    </w:p>
    <w:p w14:paraId="0FB95F4B">
      <w:pPr>
        <w:spacing w:after="240" w:line="540" w:lineRule="exact"/>
        <w:jc w:val="center"/>
        <w:rPr>
          <w:rFonts w:hint="eastAsia" w:ascii="仿宋_GB2312" w:eastAsia="黑体"/>
          <w:b/>
          <w:bCs/>
          <w:color w:val="auto"/>
          <w:sz w:val="48"/>
          <w:szCs w:val="48"/>
        </w:rPr>
      </w:pPr>
    </w:p>
    <w:p w14:paraId="45D72EDA">
      <w:pPr>
        <w:spacing w:after="240" w:line="540" w:lineRule="exact"/>
        <w:jc w:val="center"/>
        <w:rPr>
          <w:rFonts w:hint="eastAsia" w:ascii="仿宋_GB2312" w:eastAsia="黑体"/>
          <w:b/>
          <w:bCs/>
          <w:color w:val="auto"/>
          <w:sz w:val="48"/>
          <w:szCs w:val="48"/>
        </w:rPr>
      </w:pPr>
    </w:p>
    <w:p w14:paraId="51F3EC59">
      <w:pPr>
        <w:spacing w:after="312" w:afterLines="100" w:line="560" w:lineRule="exact"/>
        <w:jc w:val="center"/>
        <w:rPr>
          <w:rFonts w:hint="default" w:ascii="方正小标宋简体" w:hAnsi="Leelawadee UI" w:eastAsia="方正小标宋简体" w:cs="Leelawadee UI"/>
          <w:bCs/>
          <w:color w:val="auto"/>
          <w:kern w:val="0"/>
          <w:sz w:val="52"/>
          <w:szCs w:val="36"/>
          <w:lang w:val="en-US" w:eastAsia="zh-CN"/>
        </w:rPr>
      </w:pPr>
      <w:r>
        <w:rPr>
          <w:rFonts w:hint="eastAsia" w:ascii="方正小标宋简体" w:hAnsi="Leelawadee UI" w:eastAsia="方正小标宋简体" w:cs="Leelawadee UI"/>
          <w:bCs/>
          <w:color w:val="auto"/>
          <w:kern w:val="0"/>
          <w:sz w:val="52"/>
          <w:szCs w:val="36"/>
        </w:rPr>
        <w:t>北京市</w:t>
      </w:r>
      <w:r>
        <w:rPr>
          <w:rFonts w:hint="eastAsia" w:ascii="方正小标宋简体" w:hAnsi="Leelawadee UI" w:eastAsia="方正小标宋简体" w:cs="Leelawadee UI"/>
          <w:bCs/>
          <w:color w:val="auto"/>
          <w:kern w:val="0"/>
          <w:sz w:val="52"/>
          <w:szCs w:val="36"/>
          <w:lang w:val="en-US" w:eastAsia="zh-CN"/>
        </w:rPr>
        <w:t>人民政府参事室</w:t>
      </w:r>
    </w:p>
    <w:p w14:paraId="372B01C8">
      <w:pPr>
        <w:spacing w:after="312" w:afterLines="100" w:line="560" w:lineRule="exact"/>
        <w:jc w:val="center"/>
        <w:rPr>
          <w:rFonts w:hint="eastAsia" w:ascii="方正小标宋简体" w:hAnsi="Leelawadee UI" w:eastAsia="方正小标宋简体" w:cs="Leelawadee UI"/>
          <w:bCs/>
          <w:color w:val="auto"/>
          <w:kern w:val="0"/>
          <w:sz w:val="52"/>
          <w:szCs w:val="36"/>
        </w:rPr>
      </w:pPr>
      <w:r>
        <w:rPr>
          <w:rFonts w:hint="eastAsia" w:ascii="方正小标宋简体" w:hAnsi="Leelawadee UI" w:eastAsia="方正小标宋简体" w:cs="Leelawadee UI"/>
          <w:bCs/>
          <w:color w:val="auto"/>
          <w:kern w:val="0"/>
          <w:sz w:val="52"/>
          <w:szCs w:val="36"/>
        </w:rPr>
        <w:t>部门整体绩效评价报告</w:t>
      </w:r>
    </w:p>
    <w:p w14:paraId="74E00A47">
      <w:pPr>
        <w:snapToGrid w:val="0"/>
        <w:spacing w:after="312" w:afterLines="100" w:line="300" w:lineRule="auto"/>
        <w:rPr>
          <w:rFonts w:hint="eastAsia" w:eastAsia="仿宋_GB2312"/>
          <w:b/>
          <w:bCs/>
          <w:color w:val="auto"/>
          <w:sz w:val="36"/>
          <w:szCs w:val="20"/>
        </w:rPr>
      </w:pPr>
    </w:p>
    <w:p w14:paraId="1EAEDA95">
      <w:pPr>
        <w:snapToGrid w:val="0"/>
        <w:spacing w:after="312" w:afterLines="100" w:line="300" w:lineRule="auto"/>
        <w:rPr>
          <w:rFonts w:hint="eastAsia" w:eastAsia="仿宋_GB2312"/>
          <w:b/>
          <w:bCs/>
          <w:color w:val="auto"/>
          <w:sz w:val="36"/>
          <w:szCs w:val="20"/>
        </w:rPr>
      </w:pPr>
    </w:p>
    <w:p w14:paraId="10057C57">
      <w:pPr>
        <w:snapToGrid w:val="0"/>
        <w:spacing w:after="312" w:afterLines="100" w:line="300" w:lineRule="auto"/>
        <w:ind w:firstLine="723" w:firstLineChars="200"/>
        <w:rPr>
          <w:rFonts w:hint="eastAsia" w:eastAsia="仿宋_GB2312"/>
          <w:b/>
          <w:bCs/>
          <w:color w:val="auto"/>
          <w:sz w:val="36"/>
          <w:szCs w:val="20"/>
        </w:rPr>
      </w:pPr>
    </w:p>
    <w:p w14:paraId="62B83F68">
      <w:pPr>
        <w:spacing w:line="480" w:lineRule="auto"/>
        <w:jc w:val="center"/>
        <w:rPr>
          <w:rFonts w:hint="eastAsia" w:ascii="黑体" w:eastAsia="黑体"/>
          <w:b/>
          <w:color w:val="auto"/>
          <w:sz w:val="32"/>
          <w:szCs w:val="20"/>
        </w:rPr>
      </w:pPr>
    </w:p>
    <w:p w14:paraId="00ACE67D">
      <w:pPr>
        <w:pStyle w:val="2"/>
        <w:rPr>
          <w:rFonts w:hint="eastAsia"/>
          <w:color w:val="auto"/>
        </w:rPr>
      </w:pPr>
    </w:p>
    <w:p w14:paraId="54BCA995">
      <w:pPr>
        <w:rPr>
          <w:rFonts w:hint="eastAsia"/>
          <w:color w:val="auto"/>
        </w:rPr>
      </w:pPr>
    </w:p>
    <w:p w14:paraId="262B9900">
      <w:pPr>
        <w:pStyle w:val="2"/>
        <w:outlineLvl w:val="9"/>
        <w:rPr>
          <w:rFonts w:hint="eastAsia" w:ascii="黑体" w:eastAsia="黑体"/>
          <w:color w:val="auto"/>
          <w:sz w:val="32"/>
          <w:szCs w:val="20"/>
        </w:rPr>
      </w:pPr>
    </w:p>
    <w:p w14:paraId="1B913FBA">
      <w:pPr>
        <w:rPr>
          <w:rFonts w:hint="eastAsia"/>
          <w:color w:val="auto"/>
        </w:rPr>
      </w:pPr>
    </w:p>
    <w:p w14:paraId="64C6F7C6">
      <w:pPr>
        <w:spacing w:line="480" w:lineRule="auto"/>
        <w:jc w:val="center"/>
        <w:rPr>
          <w:rFonts w:hint="eastAsia" w:ascii="黑体" w:eastAsia="黑体"/>
          <w:b/>
          <w:color w:val="auto"/>
          <w:sz w:val="32"/>
          <w:szCs w:val="20"/>
        </w:rPr>
      </w:pPr>
      <w:r>
        <w:rPr>
          <w:rFonts w:hint="eastAsia" w:ascii="黑体" w:eastAsia="黑体"/>
          <w:b/>
          <w:color w:val="auto"/>
          <w:sz w:val="32"/>
          <w:szCs w:val="20"/>
        </w:rPr>
        <w:t xml:space="preserve">2022年5月   </w:t>
      </w:r>
    </w:p>
    <w:p w14:paraId="51DD1496">
      <w:pPr>
        <w:spacing w:line="480" w:lineRule="auto"/>
        <w:jc w:val="center"/>
        <w:rPr>
          <w:rFonts w:ascii="方正小标宋简体" w:hAnsi="Leelawadee UI" w:eastAsia="方正小标宋简体" w:cs="Leelawadee UI"/>
          <w:bCs/>
          <w:color w:val="auto"/>
          <w:kern w:val="0"/>
          <w:sz w:val="44"/>
          <w:szCs w:val="28"/>
        </w:rPr>
        <w:sectPr>
          <w:pgSz w:w="11906" w:h="16838"/>
          <w:pgMar w:top="2098" w:right="1474" w:bottom="1984" w:left="1587" w:header="851" w:footer="992" w:gutter="0"/>
          <w:cols w:space="0" w:num="1"/>
          <w:rtlGutter w:val="0"/>
          <w:docGrid w:type="lines" w:linePitch="318" w:charSpace="0"/>
        </w:sectPr>
      </w:pPr>
    </w:p>
    <w:sdt>
      <w:sdtPr>
        <w:rPr>
          <w:rFonts w:hint="eastAsia" w:ascii="方正小标宋简体" w:hAnsi="方正小标宋简体" w:eastAsia="方正小标宋简体" w:cs="方正小标宋简体"/>
          <w:b w:val="0"/>
          <w:bCs w:val="0"/>
          <w:color w:val="auto"/>
          <w:kern w:val="2"/>
          <w:sz w:val="44"/>
          <w:szCs w:val="44"/>
          <w:lang w:val="en-US" w:eastAsia="zh-CN" w:bidi="ar-SA"/>
        </w:rPr>
        <w:id w:val="147481714"/>
        <w15:color w:val="DBDBDB"/>
        <w:docPartObj>
          <w:docPartGallery w:val="Table of Contents"/>
          <w:docPartUnique/>
        </w:docPartObj>
      </w:sdtPr>
      <w:sdtEndPr>
        <w:rPr>
          <w:rFonts w:hint="eastAsia" w:ascii="方正小标宋简体" w:hAnsi="Times New Roman" w:eastAsia="方正小标宋简体" w:cs="Times New Roman"/>
          <w:b/>
          <w:bCs w:val="0"/>
          <w:color w:val="auto"/>
          <w:kern w:val="2"/>
          <w:sz w:val="21"/>
          <w:szCs w:val="36"/>
          <w:lang w:val="en-US" w:eastAsia="zh-CN" w:bidi="ar-SA"/>
        </w:rPr>
      </w:sdtEndPr>
      <w:sdtContent>
        <w:p w14:paraId="5FE5267B">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目</w:t>
          </w:r>
          <w:r>
            <w:rPr>
              <w:rFonts w:hint="eastAsia" w:ascii="方正小标宋简体" w:hAnsi="方正小标宋简体" w:eastAsia="方正小标宋简体" w:cs="方正小标宋简体"/>
              <w:b w:val="0"/>
              <w:bCs w:val="0"/>
              <w:color w:val="auto"/>
              <w:sz w:val="44"/>
              <w:szCs w:val="44"/>
              <w:lang w:val="en-US" w:eastAsia="zh-CN"/>
            </w:rPr>
            <w:t xml:space="preserve">  </w:t>
          </w:r>
          <w:r>
            <w:rPr>
              <w:rFonts w:hint="eastAsia" w:ascii="方正小标宋简体" w:hAnsi="方正小标宋简体" w:eastAsia="方正小标宋简体" w:cs="方正小标宋简体"/>
              <w:b w:val="0"/>
              <w:bCs w:val="0"/>
              <w:color w:val="auto"/>
              <w:sz w:val="44"/>
              <w:szCs w:val="44"/>
            </w:rPr>
            <w:t>录</w:t>
          </w:r>
        </w:p>
        <w:p w14:paraId="4761DA20">
          <w:pPr>
            <w:pStyle w:val="7"/>
            <w:tabs>
              <w:tab w:val="right" w:leader="dot" w:pos="8306"/>
            </w:tabs>
            <w:rPr>
              <w:rFonts w:hint="eastAsia" w:ascii="仿宋_GB2312" w:hAnsi="仿宋_GB2312" w:eastAsia="仿宋_GB2312" w:cs="仿宋_GB2312"/>
              <w:b/>
              <w:bCs/>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color w:val="auto"/>
              <w:sz w:val="32"/>
              <w:szCs w:val="32"/>
              <w:lang w:val="en-US" w:eastAsia="zh-CN"/>
            </w:rPr>
            <w:instrText xml:space="preserve">TOC \o "1-2" \h \u </w:instrText>
          </w:r>
          <w:r>
            <w:rPr>
              <w:rFonts w:hint="eastAsia" w:ascii="仿宋_GB2312" w:hAnsi="仿宋_GB2312" w:eastAsia="仿宋_GB2312" w:cs="仿宋_GB2312"/>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sz w:val="32"/>
              <w:szCs w:val="32"/>
              <w:lang w:val="en-US" w:eastAsia="zh-CN"/>
            </w:rPr>
            <w:instrText xml:space="preserve"> HYPERLINK \l _Toc24113 </w:instrText>
          </w:r>
          <w:r>
            <w:rPr>
              <w:rFonts w:hint="eastAsia" w:ascii="仿宋_GB2312" w:hAnsi="仿宋_GB2312" w:eastAsia="仿宋_GB2312" w:cs="仿宋_GB2312"/>
              <w:b/>
              <w:bCs/>
              <w:sz w:val="32"/>
              <w:szCs w:val="32"/>
              <w:lang w:val="en-US" w:eastAsia="zh-CN"/>
            </w:rPr>
            <w:fldChar w:fldCharType="separate"/>
          </w:r>
          <w:r>
            <w:rPr>
              <w:rFonts w:hint="eastAsia" w:ascii="仿宋_GB2312" w:hAnsi="仿宋_GB2312" w:eastAsia="仿宋_GB2312" w:cs="仿宋_GB2312"/>
              <w:b/>
              <w:bCs/>
              <w:kern w:val="0"/>
              <w:sz w:val="32"/>
              <w:szCs w:val="32"/>
            </w:rPr>
            <w:t>一、部门概况</w:t>
          </w:r>
          <w:r>
            <w:rPr>
              <w:rFonts w:hint="eastAsia" w:ascii="仿宋_GB2312" w:hAnsi="仿宋_GB2312" w:eastAsia="仿宋_GB2312" w:cs="仿宋_GB2312"/>
              <w:b/>
              <w:bCs/>
              <w:sz w:val="32"/>
              <w:szCs w:val="32"/>
            </w:rPr>
            <w:tab/>
          </w: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PAGEREF _Toc24113 \h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1</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color w:val="auto"/>
              <w:sz w:val="32"/>
              <w:szCs w:val="32"/>
              <w:lang w:val="en-US" w:eastAsia="zh-CN"/>
            </w:rPr>
            <w:fldChar w:fldCharType="end"/>
          </w:r>
        </w:p>
        <w:p w14:paraId="3D05242B">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_Toc11402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（一）机构设置及职责工作任务情况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_Toc11402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13FF1A43">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_Toc9921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（二）部门整体绩效目标设立情况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_Toc9921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71DBE30D">
          <w:pPr>
            <w:pStyle w:val="7"/>
            <w:tabs>
              <w:tab w:val="right" w:leader="dot" w:pos="8306"/>
            </w:tabs>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HYPERLINK \l _Toc10185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二、当年预算执行情况</w:t>
          </w:r>
          <w:r>
            <w:rPr>
              <w:rFonts w:hint="eastAsia" w:ascii="仿宋_GB2312" w:hAnsi="仿宋_GB2312" w:eastAsia="仿宋_GB2312" w:cs="仿宋_GB2312"/>
              <w:b/>
              <w:bCs/>
              <w:color w:val="auto"/>
              <w:sz w:val="32"/>
              <w:szCs w:val="32"/>
              <w:lang w:val="en-US" w:eastAsia="zh-CN"/>
            </w:rPr>
            <w:tab/>
          </w: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PAGEREF _Toc10185 \h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8</w:t>
          </w:r>
          <w:r>
            <w:rPr>
              <w:rFonts w:hint="eastAsia" w:ascii="仿宋_GB2312" w:hAnsi="仿宋_GB2312" w:eastAsia="仿宋_GB2312" w:cs="仿宋_GB2312"/>
              <w:b/>
              <w:bCs/>
              <w:color w:val="auto"/>
              <w:sz w:val="32"/>
              <w:szCs w:val="32"/>
              <w:lang w:val="en-US" w:eastAsia="zh-CN"/>
            </w:rPr>
            <w:fldChar w:fldCharType="end"/>
          </w:r>
          <w:r>
            <w:rPr>
              <w:rFonts w:hint="eastAsia" w:ascii="仿宋_GB2312" w:hAnsi="仿宋_GB2312" w:eastAsia="仿宋_GB2312" w:cs="仿宋_GB2312"/>
              <w:b/>
              <w:bCs/>
              <w:color w:val="auto"/>
              <w:sz w:val="32"/>
              <w:szCs w:val="32"/>
              <w:lang w:val="en-US" w:eastAsia="zh-CN"/>
            </w:rPr>
            <w:fldChar w:fldCharType="end"/>
          </w:r>
        </w:p>
        <w:p w14:paraId="6C036E70">
          <w:pPr>
            <w:pStyle w:val="7"/>
            <w:tabs>
              <w:tab w:val="right" w:leader="dot" w:pos="8306"/>
            </w:tabs>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HYPERLINK \l _Toc14170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三、整体绩效目标实现情况</w:t>
          </w:r>
          <w:r>
            <w:rPr>
              <w:rFonts w:hint="eastAsia" w:ascii="仿宋_GB2312" w:hAnsi="仿宋_GB2312" w:eastAsia="仿宋_GB2312" w:cs="仿宋_GB2312"/>
              <w:b/>
              <w:bCs/>
              <w:color w:val="auto"/>
              <w:sz w:val="32"/>
              <w:szCs w:val="32"/>
              <w:lang w:val="en-US" w:eastAsia="zh-CN"/>
            </w:rPr>
            <w:tab/>
          </w: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PAGEREF _Toc14170 \h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8</w:t>
          </w:r>
          <w:r>
            <w:rPr>
              <w:rFonts w:hint="eastAsia" w:ascii="仿宋_GB2312" w:hAnsi="仿宋_GB2312" w:eastAsia="仿宋_GB2312" w:cs="仿宋_GB2312"/>
              <w:b/>
              <w:bCs/>
              <w:color w:val="auto"/>
              <w:sz w:val="32"/>
              <w:szCs w:val="32"/>
              <w:lang w:val="en-US" w:eastAsia="zh-CN"/>
            </w:rPr>
            <w:fldChar w:fldCharType="end"/>
          </w:r>
          <w:r>
            <w:rPr>
              <w:rFonts w:hint="eastAsia" w:ascii="仿宋_GB2312" w:hAnsi="仿宋_GB2312" w:eastAsia="仿宋_GB2312" w:cs="仿宋_GB2312"/>
              <w:b/>
              <w:bCs/>
              <w:color w:val="auto"/>
              <w:sz w:val="32"/>
              <w:szCs w:val="32"/>
              <w:lang w:val="en-US" w:eastAsia="zh-CN"/>
            </w:rPr>
            <w:fldChar w:fldCharType="end"/>
          </w:r>
        </w:p>
        <w:p w14:paraId="20934C94">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_Toc27545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（一）产出完成情况分析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_Toc27545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74546462">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_Toc5431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（二）效果实现情况分析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_Toc5431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7893C305">
          <w:pPr>
            <w:pStyle w:val="7"/>
            <w:tabs>
              <w:tab w:val="right" w:leader="dot" w:pos="8306"/>
            </w:tabs>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HYPERLINK \l _Toc14272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四、预算管理情况分析</w:t>
          </w:r>
          <w:r>
            <w:rPr>
              <w:rFonts w:hint="eastAsia" w:ascii="仿宋_GB2312" w:hAnsi="仿宋_GB2312" w:eastAsia="仿宋_GB2312" w:cs="仿宋_GB2312"/>
              <w:b/>
              <w:bCs/>
              <w:color w:val="auto"/>
              <w:sz w:val="32"/>
              <w:szCs w:val="32"/>
              <w:lang w:val="en-US" w:eastAsia="zh-CN"/>
            </w:rPr>
            <w:tab/>
          </w: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PAGEREF _Toc14272 \h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11</w:t>
          </w:r>
          <w:r>
            <w:rPr>
              <w:rFonts w:hint="eastAsia" w:ascii="仿宋_GB2312" w:hAnsi="仿宋_GB2312" w:eastAsia="仿宋_GB2312" w:cs="仿宋_GB2312"/>
              <w:b/>
              <w:bCs/>
              <w:color w:val="auto"/>
              <w:sz w:val="32"/>
              <w:szCs w:val="32"/>
              <w:lang w:val="en-US" w:eastAsia="zh-CN"/>
            </w:rPr>
            <w:fldChar w:fldCharType="end"/>
          </w:r>
          <w:r>
            <w:rPr>
              <w:rFonts w:hint="eastAsia" w:ascii="仿宋_GB2312" w:hAnsi="仿宋_GB2312" w:eastAsia="仿宋_GB2312" w:cs="仿宋_GB2312"/>
              <w:b/>
              <w:bCs/>
              <w:color w:val="auto"/>
              <w:sz w:val="32"/>
              <w:szCs w:val="32"/>
              <w:lang w:val="en-US" w:eastAsia="zh-CN"/>
            </w:rPr>
            <w:fldChar w:fldCharType="end"/>
          </w:r>
        </w:p>
        <w:p w14:paraId="4871C5D5">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_Toc23213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（一）财务管理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_Toc23213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74338EAF">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_Toc22587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（二）资产管理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_Toc22587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4E95208C">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_Toc23231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（三）绩效管理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_Toc23231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509B5963">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_Toc5913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（四）结转结余率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_Toc5913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2CCB67EE">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_Toc13839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（五）部门预决算差异率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_Toc13839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78A21112">
          <w:pPr>
            <w:pStyle w:val="7"/>
            <w:tabs>
              <w:tab w:val="right" w:leader="dot" w:pos="8306"/>
            </w:tabs>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HYPERLINK \l _Toc15890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五、总体评价结论</w:t>
          </w:r>
          <w:r>
            <w:rPr>
              <w:rFonts w:hint="eastAsia" w:ascii="仿宋_GB2312" w:hAnsi="仿宋_GB2312" w:eastAsia="仿宋_GB2312" w:cs="仿宋_GB2312"/>
              <w:b/>
              <w:bCs/>
              <w:color w:val="auto"/>
              <w:sz w:val="32"/>
              <w:szCs w:val="32"/>
              <w:lang w:val="en-US" w:eastAsia="zh-CN"/>
            </w:rPr>
            <w:tab/>
          </w: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PAGEREF _Toc15890 \h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15</w:t>
          </w:r>
          <w:r>
            <w:rPr>
              <w:rFonts w:hint="eastAsia" w:ascii="仿宋_GB2312" w:hAnsi="仿宋_GB2312" w:eastAsia="仿宋_GB2312" w:cs="仿宋_GB2312"/>
              <w:b/>
              <w:bCs/>
              <w:color w:val="auto"/>
              <w:sz w:val="32"/>
              <w:szCs w:val="32"/>
              <w:lang w:val="en-US" w:eastAsia="zh-CN"/>
            </w:rPr>
            <w:fldChar w:fldCharType="end"/>
          </w:r>
          <w:r>
            <w:rPr>
              <w:rFonts w:hint="eastAsia" w:ascii="仿宋_GB2312" w:hAnsi="仿宋_GB2312" w:eastAsia="仿宋_GB2312" w:cs="仿宋_GB2312"/>
              <w:b/>
              <w:bCs/>
              <w:color w:val="auto"/>
              <w:sz w:val="32"/>
              <w:szCs w:val="32"/>
              <w:lang w:val="en-US" w:eastAsia="zh-CN"/>
            </w:rPr>
            <w:fldChar w:fldCharType="end"/>
          </w:r>
        </w:p>
        <w:p w14:paraId="1201727D">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_Toc5255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（一）评价得分情况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_Toc5255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024E0715">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\l _Toc11802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（二）存在的问题</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_Toc11802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color w:val="auto"/>
              <w:sz w:val="32"/>
              <w:szCs w:val="32"/>
              <w:lang w:val="en-US" w:eastAsia="zh-CN"/>
            </w:rPr>
            <w:fldChar w:fldCharType="end"/>
          </w:r>
        </w:p>
        <w:p w14:paraId="4D10BED7">
          <w:pPr>
            <w:pStyle w:val="7"/>
            <w:tabs>
              <w:tab w:val="right" w:leader="dot" w:pos="8306"/>
            </w:tabs>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HYPERLINK \l _Toc4411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六、措施建议</w:t>
          </w:r>
          <w:r>
            <w:rPr>
              <w:rFonts w:hint="eastAsia" w:ascii="仿宋_GB2312" w:hAnsi="仿宋_GB2312" w:eastAsia="仿宋_GB2312" w:cs="仿宋_GB2312"/>
              <w:b/>
              <w:bCs/>
              <w:color w:val="auto"/>
              <w:sz w:val="32"/>
              <w:szCs w:val="32"/>
              <w:lang w:val="en-US" w:eastAsia="zh-CN"/>
            </w:rPr>
            <w:tab/>
          </w: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PAGEREF _Toc4411 \h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17</w:t>
          </w:r>
          <w:r>
            <w:rPr>
              <w:rFonts w:hint="eastAsia" w:ascii="仿宋_GB2312" w:hAnsi="仿宋_GB2312" w:eastAsia="仿宋_GB2312" w:cs="仿宋_GB2312"/>
              <w:b/>
              <w:bCs/>
              <w:color w:val="auto"/>
              <w:sz w:val="32"/>
              <w:szCs w:val="32"/>
              <w:lang w:val="en-US" w:eastAsia="zh-CN"/>
            </w:rPr>
            <w:fldChar w:fldCharType="end"/>
          </w:r>
          <w:r>
            <w:rPr>
              <w:rFonts w:hint="eastAsia" w:ascii="仿宋_GB2312" w:hAnsi="仿宋_GB2312" w:eastAsia="仿宋_GB2312" w:cs="仿宋_GB2312"/>
              <w:b/>
              <w:bCs/>
              <w:color w:val="auto"/>
              <w:sz w:val="32"/>
              <w:szCs w:val="32"/>
              <w:lang w:val="en-US" w:eastAsia="zh-CN"/>
            </w:rPr>
            <w:fldChar w:fldCharType="end"/>
          </w:r>
        </w:p>
        <w:p w14:paraId="277FAF41">
          <w:pPr>
            <w:pStyle w:val="7"/>
            <w:tabs>
              <w:tab w:val="right" w:leader="dot" w:pos="8306"/>
            </w:tabs>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HYPERLINK \l _Toc1083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七、主要经验</w:t>
          </w:r>
          <w:r>
            <w:rPr>
              <w:rFonts w:hint="eastAsia" w:ascii="仿宋_GB2312" w:hAnsi="仿宋_GB2312" w:eastAsia="仿宋_GB2312" w:cs="仿宋_GB2312"/>
              <w:b/>
              <w:bCs/>
              <w:color w:val="auto"/>
              <w:sz w:val="32"/>
              <w:szCs w:val="32"/>
              <w:lang w:val="en-US" w:eastAsia="zh-CN"/>
            </w:rPr>
            <w:tab/>
          </w:r>
          <w:r>
            <w:rPr>
              <w:rFonts w:hint="eastAsia" w:ascii="仿宋_GB2312" w:hAnsi="仿宋_GB2312" w:eastAsia="仿宋_GB2312" w:cs="仿宋_GB2312"/>
              <w:b/>
              <w:bCs/>
              <w:color w:val="auto"/>
              <w:sz w:val="32"/>
              <w:szCs w:val="32"/>
              <w:lang w:val="en-US" w:eastAsia="zh-CN"/>
            </w:rPr>
            <w:fldChar w:fldCharType="begin"/>
          </w:r>
          <w:r>
            <w:rPr>
              <w:rFonts w:hint="eastAsia" w:ascii="仿宋_GB2312" w:hAnsi="仿宋_GB2312" w:eastAsia="仿宋_GB2312" w:cs="仿宋_GB2312"/>
              <w:b/>
              <w:bCs/>
              <w:color w:val="auto"/>
              <w:sz w:val="32"/>
              <w:szCs w:val="32"/>
              <w:lang w:val="en-US" w:eastAsia="zh-CN"/>
            </w:rPr>
            <w:instrText xml:space="preserve"> PAGEREF _Toc1083 \h </w:instrText>
          </w:r>
          <w:r>
            <w:rPr>
              <w:rFonts w:hint="eastAsia" w:ascii="仿宋_GB2312" w:hAnsi="仿宋_GB2312" w:eastAsia="仿宋_GB2312" w:cs="仿宋_GB2312"/>
              <w:b/>
              <w:bCs/>
              <w:color w:val="auto"/>
              <w:sz w:val="32"/>
              <w:szCs w:val="32"/>
              <w:lang w:val="en-US" w:eastAsia="zh-CN"/>
            </w:rPr>
            <w:fldChar w:fldCharType="separate"/>
          </w:r>
          <w:r>
            <w:rPr>
              <w:rFonts w:hint="eastAsia" w:ascii="仿宋_GB2312" w:hAnsi="仿宋_GB2312" w:eastAsia="仿宋_GB2312" w:cs="仿宋_GB2312"/>
              <w:b/>
              <w:bCs/>
              <w:color w:val="auto"/>
              <w:sz w:val="32"/>
              <w:szCs w:val="32"/>
              <w:lang w:val="en-US" w:eastAsia="zh-CN"/>
            </w:rPr>
            <w:t>18</w:t>
          </w:r>
          <w:r>
            <w:rPr>
              <w:rFonts w:hint="eastAsia" w:ascii="仿宋_GB2312" w:hAnsi="仿宋_GB2312" w:eastAsia="仿宋_GB2312" w:cs="仿宋_GB2312"/>
              <w:b/>
              <w:bCs/>
              <w:color w:val="auto"/>
              <w:sz w:val="32"/>
              <w:szCs w:val="32"/>
              <w:lang w:val="en-US" w:eastAsia="zh-CN"/>
            </w:rPr>
            <w:fldChar w:fldCharType="end"/>
          </w:r>
          <w:r>
            <w:rPr>
              <w:rFonts w:hint="eastAsia" w:ascii="仿宋_GB2312" w:hAnsi="仿宋_GB2312" w:eastAsia="仿宋_GB2312" w:cs="仿宋_GB2312"/>
              <w:b/>
              <w:bCs/>
              <w:color w:val="auto"/>
              <w:sz w:val="32"/>
              <w:szCs w:val="32"/>
              <w:lang w:val="en-US" w:eastAsia="zh-CN"/>
            </w:rPr>
            <w:fldChar w:fldCharType="end"/>
          </w:r>
        </w:p>
        <w:p w14:paraId="242112FB">
          <w:pPr>
            <w:spacing w:line="560" w:lineRule="exact"/>
            <w:jc w:val="center"/>
            <w:rPr>
              <w:rFonts w:hint="eastAsia" w:ascii="方正小标宋简体" w:hAnsi="Times New Roman" w:eastAsia="方正小标宋简体" w:cs="Times New Roman"/>
              <w:b/>
              <w:color w:val="auto"/>
              <w:kern w:val="2"/>
              <w:sz w:val="21"/>
              <w:szCs w:val="36"/>
              <w:lang w:val="en-US" w:eastAsia="zh-CN" w:bidi="ar-SA"/>
            </w:rPr>
          </w:pPr>
          <w:r>
            <w:rPr>
              <w:rFonts w:hint="eastAsia" w:ascii="仿宋_GB2312" w:hAnsi="仿宋_GB2312" w:eastAsia="仿宋_GB2312" w:cs="仿宋_GB2312"/>
              <w:color w:val="auto"/>
              <w:sz w:val="32"/>
              <w:szCs w:val="32"/>
              <w:lang w:val="en-US" w:eastAsia="zh-CN"/>
            </w:rPr>
            <w:fldChar w:fldCharType="end"/>
          </w:r>
        </w:p>
      </w:sdtContent>
    </w:sdt>
    <w:p w14:paraId="63BA219E">
      <w:pPr>
        <w:spacing w:line="560" w:lineRule="exact"/>
        <w:jc w:val="center"/>
        <w:rPr>
          <w:rFonts w:hint="eastAsia" w:ascii="方正小标宋简体" w:eastAsia="方正小标宋简体"/>
          <w:color w:val="auto"/>
          <w:sz w:val="36"/>
          <w:szCs w:val="36"/>
        </w:rPr>
        <w:sectPr>
          <w:footerReference r:id="rId3" w:type="default"/>
          <w:pgSz w:w="11906" w:h="16838"/>
          <w:pgMar w:top="1440" w:right="1800" w:bottom="1440" w:left="1800" w:header="851" w:footer="992" w:gutter="0"/>
          <w:pgNumType w:fmt="numberInDash"/>
          <w:cols w:space="0" w:num="1"/>
          <w:rtlGutter w:val="0"/>
          <w:docGrid w:type="lines" w:linePitch="312" w:charSpace="0"/>
        </w:sectPr>
      </w:pPr>
    </w:p>
    <w:p w14:paraId="249C16C0">
      <w:pPr>
        <w:spacing w:line="560" w:lineRule="exact"/>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部门整体绩效</w:t>
      </w:r>
      <w:r>
        <w:rPr>
          <w:rFonts w:hint="eastAsia" w:ascii="方正小标宋简体" w:eastAsia="方正小标宋简体"/>
          <w:color w:val="auto"/>
          <w:sz w:val="44"/>
          <w:szCs w:val="44"/>
          <w:lang w:eastAsia="zh-CN"/>
        </w:rPr>
        <w:t>评价</w:t>
      </w:r>
      <w:r>
        <w:rPr>
          <w:rFonts w:hint="eastAsia" w:ascii="方正小标宋简体" w:eastAsia="方正小标宋简体"/>
          <w:color w:val="auto"/>
          <w:sz w:val="44"/>
          <w:szCs w:val="44"/>
        </w:rPr>
        <w:t>报告</w:t>
      </w:r>
    </w:p>
    <w:p w14:paraId="79ECEF1B">
      <w:pPr>
        <w:spacing w:line="560" w:lineRule="exact"/>
        <w:jc w:val="center"/>
        <w:rPr>
          <w:rFonts w:hint="eastAsia" w:ascii="方正小标宋简体" w:eastAsia="方正小标宋简体"/>
          <w:color w:val="auto"/>
          <w:sz w:val="36"/>
          <w:szCs w:val="36"/>
        </w:rPr>
      </w:pPr>
    </w:p>
    <w:p w14:paraId="0B4C73CC">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 w:eastAsia="zh-CN"/>
        </w:rPr>
        <w:t>为深化全</w:t>
      </w:r>
      <w:r>
        <w:rPr>
          <w:rFonts w:hint="eastAsia" w:ascii="仿宋_GB2312" w:hAnsi="仿宋_GB2312" w:eastAsia="仿宋_GB2312" w:cs="仿宋_GB2312"/>
          <w:color w:val="auto"/>
          <w:sz w:val="32"/>
          <w:szCs w:val="32"/>
          <w:lang w:val="en-US" w:eastAsia="zh-CN"/>
        </w:rPr>
        <w:t>面</w:t>
      </w:r>
      <w:r>
        <w:rPr>
          <w:rFonts w:hint="eastAsia" w:ascii="仿宋_GB2312" w:hAnsi="仿宋_GB2312" w:eastAsia="仿宋_GB2312" w:cs="仿宋_GB2312"/>
          <w:color w:val="auto"/>
          <w:sz w:val="32"/>
          <w:szCs w:val="32"/>
          <w:lang w:val="en" w:eastAsia="zh-CN"/>
        </w:rPr>
        <w:t>预算绩效管理，</w:t>
      </w:r>
      <w:r>
        <w:rPr>
          <w:rFonts w:hint="eastAsia" w:ascii="仿宋_GB2312" w:hAnsi="仿宋_GB2312" w:eastAsia="仿宋_GB2312" w:cs="仿宋_GB2312"/>
          <w:color w:val="auto"/>
          <w:sz w:val="32"/>
          <w:szCs w:val="32"/>
          <w:lang w:val="en-US" w:eastAsia="zh-CN"/>
        </w:rPr>
        <w:t>强化部门支出责任，</w:t>
      </w:r>
      <w:r>
        <w:rPr>
          <w:rFonts w:hint="eastAsia" w:ascii="仿宋_GB2312" w:hAnsi="仿宋_GB2312" w:eastAsia="仿宋_GB2312" w:cs="仿宋_GB2312"/>
          <w:color w:val="auto"/>
          <w:sz w:val="32"/>
          <w:szCs w:val="32"/>
          <w:lang w:val="en" w:eastAsia="zh-CN"/>
        </w:rPr>
        <w:t>提高预算执行效率和资金使用效益</w:t>
      </w:r>
      <w:r>
        <w:rPr>
          <w:rFonts w:hint="eastAsia" w:ascii="仿宋_GB2312" w:hAnsi="仿宋_GB2312" w:eastAsia="仿宋_GB2312" w:cs="仿宋_GB2312"/>
          <w:color w:val="auto"/>
          <w:sz w:val="32"/>
          <w:szCs w:val="32"/>
          <w:lang w:val="en-US" w:eastAsia="zh-CN"/>
        </w:rPr>
        <w:t>，根据《</w:t>
      </w:r>
      <w:r>
        <w:rPr>
          <w:rFonts w:hint="eastAsia" w:ascii="仿宋_GB2312" w:hAnsi="仿宋_GB2312" w:eastAsia="仿宋_GB2312" w:cs="仿宋_GB2312"/>
          <w:color w:val="auto"/>
          <w:sz w:val="32"/>
          <w:szCs w:val="32"/>
          <w:lang w:val="en" w:eastAsia="zh-CN"/>
        </w:rPr>
        <w:t>北京市财政局关于开展2022年全面预算绩效管理工作的通知</w:t>
      </w:r>
      <w:r>
        <w:rPr>
          <w:rFonts w:hint="eastAsia" w:ascii="仿宋_GB2312" w:hAnsi="仿宋_GB2312" w:eastAsia="仿宋_GB2312" w:cs="仿宋_GB2312"/>
          <w:color w:val="auto"/>
          <w:sz w:val="32"/>
          <w:szCs w:val="32"/>
          <w:lang w:val="en-US" w:eastAsia="zh-CN"/>
        </w:rPr>
        <w:t>》（京财</w:t>
      </w:r>
      <w:r>
        <w:rPr>
          <w:rFonts w:hint="default" w:ascii="仿宋_GB2312" w:hAnsi="仿宋_GB2312" w:eastAsia="仿宋_GB2312" w:cs="仿宋_GB2312"/>
          <w:color w:val="auto"/>
          <w:sz w:val="32"/>
          <w:szCs w:val="32"/>
          <w:lang w:val="en" w:eastAsia="zh-CN"/>
        </w:rPr>
        <w:t>绩效</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 w:eastAsia="zh-CN"/>
        </w:rPr>
        <w:t>2022</w:t>
      </w:r>
      <w:r>
        <w:rPr>
          <w:rFonts w:hint="eastAsia" w:ascii="仿宋_GB2312" w:hAnsi="仿宋_GB2312" w:eastAsia="仿宋_GB2312" w:cs="仿宋_GB2312"/>
          <w:color w:val="auto"/>
          <w:sz w:val="32"/>
          <w:szCs w:val="32"/>
          <w:lang w:val="en-US" w:eastAsia="zh-CN"/>
        </w:rPr>
        <w:t>〕</w:t>
      </w:r>
      <w:r>
        <w:rPr>
          <w:rFonts w:hint="default" w:ascii="仿宋_GB2312" w:hAnsi="仿宋_GB2312" w:eastAsia="仿宋_GB2312" w:cs="仿宋_GB2312"/>
          <w:color w:val="auto"/>
          <w:sz w:val="32"/>
          <w:szCs w:val="32"/>
          <w:lang w:val="en" w:eastAsia="zh-CN"/>
        </w:rPr>
        <w:t>669</w:t>
      </w:r>
      <w:r>
        <w:rPr>
          <w:rFonts w:hint="eastAsia" w:ascii="仿宋_GB2312" w:hAnsi="仿宋_GB2312" w:eastAsia="仿宋_GB2312" w:cs="仿宋_GB2312"/>
          <w:color w:val="auto"/>
          <w:sz w:val="32"/>
          <w:szCs w:val="32"/>
          <w:lang w:val="en-US" w:eastAsia="zh-CN"/>
        </w:rPr>
        <w:t>号）工作安排，北京市人民政府参事室</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以下简称“</w:t>
      </w:r>
      <w:r>
        <w:rPr>
          <w:rFonts w:hint="eastAsia" w:ascii="仿宋_GB2312" w:eastAsia="仿宋_GB2312"/>
          <w:color w:val="auto"/>
          <w:sz w:val="32"/>
          <w:szCs w:val="32"/>
        </w:rPr>
        <w:t>市政府参事室</w:t>
      </w:r>
      <w:r>
        <w:rPr>
          <w:rFonts w:hint="eastAsia" w:ascii="仿宋_GB2312" w:eastAsia="仿宋_GB2312"/>
          <w:color w:val="auto"/>
          <w:sz w:val="32"/>
          <w:szCs w:val="32"/>
          <w:lang w:eastAsia="zh-CN"/>
        </w:rPr>
        <w:t>”</w:t>
      </w:r>
      <w:r>
        <w:rPr>
          <w:rFonts w:hint="eastAsia" w:ascii="仿宋_GB2312" w:eastAsia="仿宋_GB2312"/>
          <w:color w:val="auto"/>
          <w:sz w:val="32"/>
          <w:szCs w:val="32"/>
        </w:rPr>
        <w:t>）</w:t>
      </w:r>
      <w:r>
        <w:rPr>
          <w:rFonts w:hint="eastAsia" w:ascii="仿宋_GB2312" w:hAnsi="仿宋_GB2312" w:eastAsia="仿宋_GB2312" w:cs="仿宋_GB2312"/>
          <w:color w:val="auto"/>
          <w:sz w:val="32"/>
          <w:szCs w:val="32"/>
          <w:lang w:val="en-US" w:eastAsia="zh-CN"/>
        </w:rPr>
        <w:t>组织</w:t>
      </w:r>
      <w:r>
        <w:rPr>
          <w:rFonts w:hint="eastAsia" w:ascii="仿宋_GB2312" w:hAnsi="仿宋_GB2312" w:eastAsia="仿宋_GB2312" w:cs="仿宋_GB2312"/>
          <w:color w:val="auto"/>
          <w:sz w:val="32"/>
          <w:szCs w:val="32"/>
          <w:lang w:val="en" w:eastAsia="zh-CN"/>
        </w:rPr>
        <w:t>开展部门整体绩效评价，全方位把握部门整体预算执行、绩效目标实现和预算管理情况，</w:t>
      </w:r>
      <w:r>
        <w:rPr>
          <w:rFonts w:hint="eastAsia" w:ascii="仿宋_GB2312" w:hAnsi="仿宋_GB2312" w:eastAsia="仿宋_GB2312" w:cs="仿宋_GB2312"/>
          <w:color w:val="auto"/>
          <w:sz w:val="32"/>
          <w:szCs w:val="32"/>
          <w:lang w:val="en-US" w:eastAsia="zh-CN"/>
        </w:rPr>
        <w:t>形成本部门整体绩效评价报告。</w:t>
      </w:r>
    </w:p>
    <w:p w14:paraId="57C502B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宋体"/>
          <w:color w:val="auto"/>
          <w:kern w:val="0"/>
          <w:sz w:val="32"/>
          <w:szCs w:val="32"/>
        </w:rPr>
      </w:pPr>
      <w:bookmarkStart w:id="0" w:name="_Toc24113"/>
      <w:r>
        <w:rPr>
          <w:rFonts w:hint="eastAsia" w:ascii="黑体" w:hAnsi="黑体" w:eastAsia="黑体" w:cs="宋体"/>
          <w:color w:val="auto"/>
          <w:kern w:val="0"/>
          <w:sz w:val="32"/>
          <w:szCs w:val="32"/>
        </w:rPr>
        <w:t>一、部门概况</w:t>
      </w:r>
      <w:bookmarkEnd w:id="0"/>
    </w:p>
    <w:p w14:paraId="4C9256F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color w:val="auto"/>
          <w:sz w:val="32"/>
          <w:szCs w:val="32"/>
        </w:rPr>
      </w:pPr>
      <w:bookmarkStart w:id="1" w:name="_Toc11402"/>
      <w:r>
        <w:rPr>
          <w:rFonts w:hint="eastAsia" w:ascii="楷体_GB2312" w:eastAsia="楷体_GB2312"/>
          <w:color w:val="auto"/>
          <w:sz w:val="32"/>
          <w:szCs w:val="32"/>
        </w:rPr>
        <w:t>（一）机构设置及职责工作任务情况</w:t>
      </w:r>
      <w:bookmarkEnd w:id="1"/>
    </w:p>
    <w:p w14:paraId="42E4210F">
      <w:pPr>
        <w:keepNext w:val="0"/>
        <w:keepLines w:val="0"/>
        <w:pageBreakBefore w:val="0"/>
        <w:widowControl w:val="0"/>
        <w:kinsoku/>
        <w:wordWrap/>
        <w:overflowPunct/>
        <w:topLinePunct w:val="0"/>
        <w:autoSpaceDE/>
        <w:autoSpaceDN/>
        <w:bidi w:val="0"/>
        <w:adjustRightInd/>
        <w:spacing w:line="560" w:lineRule="exact"/>
        <w:ind w:left="0" w:leftChars="0" w:firstLine="643" w:firstLineChars="200"/>
        <w:textAlignment w:val="auto"/>
        <w:rPr>
          <w:rFonts w:hint="default" w:ascii="仿宋_GB2312" w:eastAsia="仿宋_GB2312"/>
          <w:b/>
          <w:bCs/>
          <w:color w:val="auto"/>
          <w:sz w:val="32"/>
          <w:szCs w:val="32"/>
          <w:lang w:val="en-US" w:eastAsia="zh-CN"/>
        </w:rPr>
      </w:pPr>
      <w:r>
        <w:rPr>
          <w:rFonts w:hint="eastAsia" w:ascii="仿宋_GB2312" w:eastAsia="仿宋_GB2312"/>
          <w:b/>
          <w:bCs/>
          <w:color w:val="auto"/>
          <w:sz w:val="32"/>
          <w:szCs w:val="32"/>
          <w:lang w:val="en-US" w:eastAsia="zh-CN"/>
        </w:rPr>
        <w:t>1.机构设置</w:t>
      </w:r>
    </w:p>
    <w:p w14:paraId="77D53499">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根据《中共北京市委办公厅 北京市人民政府办公厅关于印发〈北京市人民政府参事室职能配置、内设机构和人员编制规定〉的通知》（京办字</w:t>
      </w:r>
      <w:r>
        <w:rPr>
          <w:rFonts w:hint="eastAsia" w:ascii="仿宋_GB2312" w:hAnsi="仿宋" w:eastAsia="仿宋_GB2312"/>
          <w:color w:val="auto"/>
          <w:sz w:val="32"/>
          <w:szCs w:val="32"/>
        </w:rPr>
        <w:t>〔20</w:t>
      </w:r>
      <w:r>
        <w:rPr>
          <w:rFonts w:hint="eastAsia" w:ascii="仿宋_GB2312" w:hAnsi="仿宋" w:eastAsia="仿宋_GB2312"/>
          <w:color w:val="auto"/>
          <w:sz w:val="32"/>
          <w:szCs w:val="32"/>
          <w:lang w:val="en-US" w:eastAsia="zh-CN"/>
        </w:rPr>
        <w:t>18</w:t>
      </w:r>
      <w:r>
        <w:rPr>
          <w:rFonts w:hint="eastAsia" w:ascii="仿宋_GB2312" w:hAnsi="仿宋" w:eastAsia="仿宋_GB2312"/>
          <w:color w:val="auto"/>
          <w:sz w:val="32"/>
          <w:szCs w:val="32"/>
        </w:rPr>
        <w:t>〕</w:t>
      </w:r>
      <w:r>
        <w:rPr>
          <w:rFonts w:hint="eastAsia" w:ascii="仿宋_GB2312" w:hAnsi="仿宋" w:eastAsia="仿宋_GB2312"/>
          <w:color w:val="auto"/>
          <w:sz w:val="32"/>
          <w:szCs w:val="32"/>
          <w:lang w:val="en-US" w:eastAsia="zh-CN"/>
        </w:rPr>
        <w:t>36</w:t>
      </w:r>
      <w:r>
        <w:rPr>
          <w:rFonts w:hint="eastAsia" w:ascii="仿宋_GB2312" w:hAnsi="仿宋" w:eastAsia="仿宋_GB2312"/>
          <w:color w:val="auto"/>
          <w:sz w:val="32"/>
          <w:szCs w:val="32"/>
        </w:rPr>
        <w:t>号</w:t>
      </w:r>
      <w:r>
        <w:rPr>
          <w:rFonts w:hint="eastAsia" w:ascii="仿宋_GB2312" w:eastAsia="仿宋_GB2312"/>
          <w:color w:val="auto"/>
          <w:sz w:val="32"/>
          <w:szCs w:val="32"/>
          <w:lang w:val="en-US" w:eastAsia="zh-CN"/>
        </w:rPr>
        <w:t>）的规定，</w:t>
      </w:r>
      <w:r>
        <w:rPr>
          <w:rFonts w:hint="eastAsia" w:ascii="仿宋_GB2312" w:eastAsia="仿宋_GB2312"/>
          <w:color w:val="auto"/>
          <w:sz w:val="32"/>
          <w:szCs w:val="32"/>
        </w:rPr>
        <w:t>北京市人民政府参事室</w:t>
      </w:r>
      <w:r>
        <w:rPr>
          <w:rFonts w:hint="eastAsia" w:ascii="仿宋_GB2312" w:eastAsia="仿宋_GB2312"/>
          <w:color w:val="auto"/>
          <w:sz w:val="32"/>
          <w:szCs w:val="32"/>
          <w:lang w:eastAsia="zh-CN"/>
        </w:rPr>
        <w:t>是市政府直属机构，为副局级。</w:t>
      </w:r>
      <w:r>
        <w:rPr>
          <w:rFonts w:hint="eastAsia" w:ascii="仿宋_GB2312" w:eastAsia="仿宋_GB2312"/>
          <w:color w:val="auto"/>
          <w:sz w:val="32"/>
          <w:szCs w:val="32"/>
        </w:rPr>
        <w:t>北京市人民政府参事室与北京市文史研究馆合署办公。</w:t>
      </w:r>
    </w:p>
    <w:p w14:paraId="237654F8">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市政府参事室设处级职能部门5个，分别是：秘书处</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en-US" w:eastAsia="zh-CN"/>
        </w:rPr>
        <w:t>人事处</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en-US" w:eastAsia="zh-CN"/>
        </w:rPr>
        <w:t>参事处</w:t>
      </w:r>
      <w:r>
        <w:rPr>
          <w:rFonts w:hint="eastAsia" w:ascii="仿宋_GB2312" w:eastAsia="仿宋_GB2312" w:cs="Times New Roman"/>
          <w:color w:val="auto"/>
          <w:sz w:val="32"/>
          <w:szCs w:val="32"/>
          <w:highlight w:val="none"/>
          <w:lang w:val="en-US" w:eastAsia="zh-CN"/>
        </w:rPr>
        <w:t>、</w:t>
      </w:r>
      <w:r>
        <w:rPr>
          <w:rFonts w:hint="eastAsia" w:ascii="仿宋_GB2312" w:hAnsi="Times New Roman" w:eastAsia="仿宋_GB2312" w:cs="Times New Roman"/>
          <w:color w:val="auto"/>
          <w:sz w:val="32"/>
          <w:szCs w:val="32"/>
          <w:highlight w:val="none"/>
          <w:lang w:val="en-US" w:eastAsia="zh-CN"/>
        </w:rPr>
        <w:t>文史处、机关党委；内设事业单位1个：文史研究中心。</w:t>
      </w:r>
    </w:p>
    <w:p w14:paraId="297245B6">
      <w:pPr>
        <w:keepNext w:val="0"/>
        <w:keepLines w:val="0"/>
        <w:pageBreakBefore w:val="0"/>
        <w:widowControl w:val="0"/>
        <w:kinsoku/>
        <w:wordWrap/>
        <w:overflowPunct/>
        <w:topLinePunct w:val="0"/>
        <w:autoSpaceDE/>
        <w:autoSpaceDN/>
        <w:bidi w:val="0"/>
        <w:adjustRightInd/>
        <w:spacing w:line="560" w:lineRule="exact"/>
        <w:ind w:left="0" w:leftChars="0" w:firstLine="643" w:firstLineChars="200"/>
        <w:textAlignment w:val="auto"/>
        <w:rPr>
          <w:rFonts w:hint="eastAsia" w:ascii="仿宋_GB2312" w:hAnsi="Times New Roman" w:eastAsia="仿宋_GB2312" w:cs="Times New Roman"/>
          <w:b/>
          <w:bCs/>
          <w:color w:val="auto"/>
          <w:sz w:val="32"/>
          <w:szCs w:val="32"/>
          <w:highlight w:val="none"/>
          <w:lang w:val="en-US" w:eastAsia="zh-CN"/>
        </w:rPr>
      </w:pPr>
      <w:r>
        <w:rPr>
          <w:rFonts w:hint="eastAsia" w:ascii="仿宋_GB2312" w:hAnsi="Times New Roman" w:eastAsia="仿宋_GB2312" w:cs="Times New Roman"/>
          <w:b/>
          <w:bCs/>
          <w:color w:val="auto"/>
          <w:sz w:val="32"/>
          <w:szCs w:val="32"/>
          <w:highlight w:val="none"/>
          <w:lang w:val="en-US" w:eastAsia="zh-CN"/>
        </w:rPr>
        <w:t>2.职责</w:t>
      </w:r>
      <w:r>
        <w:rPr>
          <w:rFonts w:hint="eastAsia" w:ascii="仿宋_GB2312" w:eastAsia="仿宋_GB2312" w:cs="Times New Roman"/>
          <w:b/>
          <w:bCs/>
          <w:color w:val="auto"/>
          <w:sz w:val="32"/>
          <w:szCs w:val="32"/>
          <w:highlight w:val="none"/>
          <w:lang w:val="en-US" w:eastAsia="zh-CN"/>
        </w:rPr>
        <w:t>和</w:t>
      </w:r>
      <w:r>
        <w:rPr>
          <w:rFonts w:hint="eastAsia" w:ascii="仿宋_GB2312" w:hAnsi="Times New Roman" w:eastAsia="仿宋_GB2312" w:cs="Times New Roman"/>
          <w:b/>
          <w:bCs/>
          <w:color w:val="auto"/>
          <w:sz w:val="32"/>
          <w:szCs w:val="32"/>
          <w:highlight w:val="none"/>
          <w:lang w:val="en-US" w:eastAsia="zh-CN"/>
        </w:rPr>
        <w:t>工作任务情况</w:t>
      </w:r>
    </w:p>
    <w:p w14:paraId="4107456D">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（1）主要职责</w:t>
      </w:r>
    </w:p>
    <w:p w14:paraId="49166DDA">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市政府参事室贯彻落实党中央关于参事工作的方针政策、决策部署和市委有关工作要求，在履行职责过程中坚持和加强党对参事工作的集中统一领导，主要职责是：</w:t>
      </w:r>
    </w:p>
    <w:p w14:paraId="7E4DD5F3">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1）组织市政府参事对政府有关政策的实施情况进行调查研究、参政咨询，向市政府提出意见和建议。</w:t>
      </w:r>
    </w:p>
    <w:p w14:paraId="318D0D44">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2）组织市政府参事参与本市有关地方性法规草案的研究。</w:t>
      </w:r>
    </w:p>
    <w:p w14:paraId="19A0D4B9">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3）贯彻执行党的统一战线政策，支持、组织市政府参事和市文史馆馆员参加爱国统一战线工作。</w:t>
      </w:r>
    </w:p>
    <w:p w14:paraId="497C6880">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4）组织市政府参事、市文史馆馆员及时了解和掌握党中央国务院的方针政策及市委、市政府的决策部署。</w:t>
      </w:r>
    </w:p>
    <w:p w14:paraId="70A578CF">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5）支持市政府参事、市文史馆馆员同社会各界人士的联系，了解和反映社情民意。</w:t>
      </w:r>
    </w:p>
    <w:p w14:paraId="52E69344">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6）组织市政府参事开展同国外相关机构交流与合作，组织市文史馆馆员开展对外文化交流等活动。</w:t>
      </w:r>
    </w:p>
    <w:p w14:paraId="4634DDB3">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7）负责为市政府参事、市文史馆馆员履行职责提供服务。</w:t>
      </w:r>
    </w:p>
    <w:p w14:paraId="0E743307">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8）承办市政府参事、市文史馆馆员的选聘工作。</w:t>
      </w:r>
    </w:p>
    <w:p w14:paraId="4C59402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9）完成市委、市政府交办的其他任务。</w:t>
      </w:r>
    </w:p>
    <w:p w14:paraId="59F3F4A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color w:val="auto"/>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工作情况</w:t>
      </w:r>
    </w:p>
    <w:p w14:paraId="31069CC4">
      <w:pPr>
        <w:keepNext w:val="0"/>
        <w:keepLines w:val="0"/>
        <w:pageBreakBefore w:val="0"/>
        <w:widowControl w:val="0"/>
        <w:kinsoku/>
        <w:wordWrap/>
        <w:overflowPunct/>
        <w:topLinePunct w:val="0"/>
        <w:autoSpaceDE/>
        <w:autoSpaceDN/>
        <w:bidi w:val="0"/>
        <w:adjustRightInd/>
        <w:snapToGrid w:val="0"/>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2021年，市政府参事室</w:t>
      </w:r>
      <w:r>
        <w:rPr>
          <w:rFonts w:hint="eastAsia" w:ascii="仿宋_GB2312" w:hAnsi="仿宋_GB2312" w:eastAsia="仿宋_GB2312" w:cs="仿宋_GB2312"/>
          <w:color w:val="auto"/>
          <w:sz w:val="32"/>
          <w:szCs w:val="32"/>
        </w:rPr>
        <w:t>扎实推进党史学习教育</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发挥参事馆员作用，积极开展为群众办实事活动。</w:t>
      </w:r>
      <w:r>
        <w:rPr>
          <w:rFonts w:hint="eastAsia" w:ascii="仿宋_GB2312" w:hAnsi="仿宋_GB2312" w:eastAsia="仿宋_GB2312" w:cs="仿宋_GB2312"/>
          <w:snapToGrid w:val="0"/>
          <w:color w:val="auto"/>
          <w:sz w:val="32"/>
          <w:szCs w:val="32"/>
        </w:rPr>
        <w:t>发挥</w:t>
      </w:r>
      <w:r>
        <w:rPr>
          <w:rFonts w:hint="eastAsia" w:ascii="仿宋_GB2312" w:hAnsi="仿宋_GB2312" w:eastAsia="仿宋_GB2312" w:cs="仿宋_GB2312"/>
          <w:color w:val="auto"/>
          <w:sz w:val="32"/>
          <w:szCs w:val="32"/>
        </w:rPr>
        <w:t>红色资源作用，积极组织党员</w:t>
      </w:r>
      <w:r>
        <w:rPr>
          <w:rFonts w:hint="eastAsia" w:ascii="仿宋_GB2312" w:hAnsi="仿宋_GB2312" w:eastAsia="仿宋_GB2312" w:cs="仿宋_GB2312"/>
          <w:snapToGrid w:val="0"/>
          <w:color w:val="auto"/>
          <w:sz w:val="32"/>
          <w:szCs w:val="32"/>
        </w:rPr>
        <w:t>参观党史展览馆、北大红楼等建党百年展览</w:t>
      </w:r>
      <w:r>
        <w:rPr>
          <w:rFonts w:hint="eastAsia" w:ascii="仿宋_GB2312" w:hAnsi="仿宋_GB2312" w:eastAsia="仿宋_GB2312" w:cs="仿宋_GB2312"/>
          <w:snapToGrid w:val="0"/>
          <w:color w:val="auto"/>
          <w:sz w:val="32"/>
          <w:szCs w:val="32"/>
          <w:lang w:eastAsia="zh-CN"/>
        </w:rPr>
        <w:t>。</w:t>
      </w:r>
      <w:r>
        <w:rPr>
          <w:rFonts w:hint="eastAsia" w:ascii="仿宋_GB2312" w:hAnsi="仿宋_GB2312" w:eastAsia="仿宋_GB2312" w:cs="仿宋_GB2312"/>
          <w:color w:val="auto"/>
          <w:sz w:val="32"/>
          <w:szCs w:val="32"/>
        </w:rPr>
        <w:t>认真学习中办国办印发的关于坚持和完善新时代政府参事制度文史馆员制度的文件精神，按照国参要求，起草北京市实施意见</w:t>
      </w:r>
      <w:r>
        <w:rPr>
          <w:rFonts w:hint="eastAsia" w:ascii="仿宋_GB2312" w:hAnsi="仿宋_GB2312" w:eastAsia="仿宋_GB2312" w:cs="仿宋_GB2312"/>
          <w:color w:val="auto"/>
          <w:sz w:val="32"/>
          <w:szCs w:val="32"/>
          <w:lang w:eastAsia="zh-CN"/>
        </w:rPr>
        <w:t>，</w:t>
      </w:r>
      <w:r>
        <w:rPr>
          <w:rFonts w:hint="eastAsia" w:ascii="仿宋_GB2312" w:eastAsia="仿宋_GB2312"/>
          <w:color w:val="auto"/>
          <w:sz w:val="32"/>
          <w:szCs w:val="32"/>
        </w:rPr>
        <w:t>研究制定了《关于改进完善北京市政府参事聘任工作的意见》</w:t>
      </w:r>
      <w:r>
        <w:rPr>
          <w:rFonts w:hint="eastAsia" w:ascii="仿宋_GB2312" w:eastAsia="仿宋_GB2312"/>
          <w:color w:val="auto"/>
          <w:sz w:val="32"/>
          <w:szCs w:val="32"/>
          <w:lang w:eastAsia="zh-CN"/>
        </w:rPr>
        <w:t>、</w:t>
      </w:r>
      <w:r>
        <w:rPr>
          <w:rFonts w:hint="eastAsia" w:ascii="仿宋_GB2312" w:eastAsia="仿宋_GB2312"/>
          <w:color w:val="auto"/>
          <w:sz w:val="32"/>
          <w:szCs w:val="32"/>
        </w:rPr>
        <w:t>《北京市文史研究馆馆员聘任工作办法》，在各方面推荐的基础上进行遴选，提出了参事、馆员初步人选名单。研究制定了《北京市人民政府参事室关于聘请特约研究员暂行办法》，聘任首批特约研究员41名。</w:t>
      </w:r>
      <w:r>
        <w:rPr>
          <w:rFonts w:hint="eastAsia" w:ascii="仿宋_GB2312" w:hAnsi="仿宋_GB2312" w:eastAsia="仿宋_GB2312" w:cs="仿宋_GB2312"/>
          <w:color w:val="auto"/>
          <w:sz w:val="32"/>
          <w:szCs w:val="32"/>
        </w:rPr>
        <w:t>持续深化巡视整改</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研究制定了《市政府参事室（市文史馆）“十四五”时期事业发展规划和2035年远景目标》。加强信息化建设，在“首都之窗”开设了专栏，建立了“北京参事室文史馆”微信公众号。开通办公自动化系统。</w:t>
      </w:r>
    </w:p>
    <w:p w14:paraId="1C849B8E">
      <w:pPr>
        <w:pStyle w:val="4"/>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协调市委、市政府办公厅，初步建立参事、特约研究员的《参事建议》和社情民意信息的报送与领导批示定期反馈机制</w:t>
      </w:r>
      <w:r>
        <w:rPr>
          <w:rFonts w:hint="eastAsia" w:ascii="仿宋_GB2312" w:hAnsi="仿宋_GB2312" w:eastAsia="仿宋_GB2312" w:cs="仿宋_GB2312"/>
          <w:color w:val="auto"/>
          <w:sz w:val="32"/>
          <w:szCs w:val="32"/>
          <w:lang w:eastAsia="zh-CN"/>
        </w:rPr>
        <w:t>等一系列工作机制</w:t>
      </w:r>
      <w:r>
        <w:rPr>
          <w:rFonts w:hint="eastAsia" w:ascii="仿宋_GB2312" w:hAnsi="仿宋_GB2312" w:eastAsia="仿宋_GB2312" w:cs="仿宋_GB2312"/>
          <w:color w:val="auto"/>
          <w:sz w:val="32"/>
          <w:szCs w:val="32"/>
        </w:rPr>
        <w:t>。与中外智库、职能部门和高校开展合作交流与研究，提升建言资政的专业化水平。集中优势力量组织开展年度重点调研工作，顺利完成市长下达的本年度重点调研任务，均得到市委市政府主要领导批示。全年共报送参事建议11篇，</w:t>
      </w:r>
      <w:r>
        <w:rPr>
          <w:rFonts w:hint="eastAsia" w:ascii="仿宋_GB2312" w:hAnsi="仿宋_GB2312" w:eastAsia="仿宋_GB2312" w:cs="仿宋_GB2312"/>
          <w:color w:val="auto"/>
          <w:sz w:val="32"/>
          <w:szCs w:val="32"/>
          <w:lang w:val="en-US" w:eastAsia="zh-CN"/>
        </w:rPr>
        <w:t>据</w:t>
      </w:r>
      <w:r>
        <w:rPr>
          <w:rFonts w:hint="eastAsia" w:ascii="仿宋_GB2312" w:hAnsi="仿宋_GB2312" w:eastAsia="仿宋_GB2312" w:cs="仿宋_GB2312"/>
          <w:color w:val="auto"/>
          <w:sz w:val="32"/>
          <w:szCs w:val="32"/>
        </w:rPr>
        <w:t>不完全统计，其中4篇获市委市政府领导批示5次。报送社情民意信息30篇，其中8篇被采用，3篇获市委市政府领导批示5次，2篇被国办采用。其中《万宁桥不堪重负》的信息，经市委主要领导批示后，推动公交车改线，桥体下方进一步保护修缮，有力推动了中轴线申遗的文物保护工作。</w:t>
      </w:r>
    </w:p>
    <w:p w14:paraId="511BF913">
      <w:pPr>
        <w:pStyle w:val="4"/>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color w:val="auto"/>
          <w:lang w:val="en-US" w:eastAsia="zh-CN"/>
        </w:rPr>
      </w:pPr>
      <w:r>
        <w:rPr>
          <w:rFonts w:ascii="仿宋_GB2312" w:eastAsia="仿宋_GB2312"/>
          <w:color w:val="auto"/>
          <w:sz w:val="32"/>
          <w:szCs w:val="32"/>
        </w:rPr>
        <w:t>组织参事馆员</w:t>
      </w:r>
      <w:r>
        <w:rPr>
          <w:rFonts w:hint="eastAsia" w:ascii="仿宋_GB2312" w:eastAsia="仿宋_GB2312"/>
          <w:color w:val="auto"/>
          <w:sz w:val="32"/>
          <w:szCs w:val="32"/>
        </w:rPr>
        <w:t>中轴线历史文化</w:t>
      </w:r>
      <w:r>
        <w:rPr>
          <w:rFonts w:ascii="仿宋_GB2312" w:eastAsia="仿宋_GB2312"/>
          <w:color w:val="auto"/>
          <w:sz w:val="32"/>
          <w:szCs w:val="32"/>
        </w:rPr>
        <w:t>宣讲团，宣传中轴线历史文化，</w:t>
      </w:r>
      <w:r>
        <w:rPr>
          <w:rFonts w:hint="eastAsia" w:ascii="仿宋_GB2312" w:eastAsia="仿宋_GB2312"/>
          <w:color w:val="auto"/>
          <w:sz w:val="32"/>
          <w:szCs w:val="32"/>
        </w:rPr>
        <w:t>助力中轴线申遗</w:t>
      </w:r>
      <w:r>
        <w:rPr>
          <w:rFonts w:ascii="仿宋_GB2312" w:eastAsia="仿宋_GB2312"/>
          <w:color w:val="auto"/>
          <w:sz w:val="32"/>
          <w:szCs w:val="32"/>
        </w:rPr>
        <w:t>。</w:t>
      </w:r>
      <w:r>
        <w:rPr>
          <w:rFonts w:hint="eastAsia" w:ascii="仿宋_GB2312" w:eastAsia="仿宋_GB2312"/>
          <w:color w:val="auto"/>
          <w:sz w:val="32"/>
          <w:szCs w:val="32"/>
          <w:lang w:val="en-US" w:eastAsia="zh-CN"/>
        </w:rPr>
        <w:t>2021</w:t>
      </w:r>
      <w:r>
        <w:rPr>
          <w:rFonts w:hint="eastAsia" w:ascii="仿宋_GB2312" w:eastAsia="仿宋_GB2312"/>
          <w:color w:val="auto"/>
          <w:sz w:val="32"/>
          <w:szCs w:val="32"/>
        </w:rPr>
        <w:t>年内以东城区、西城区为重点共</w:t>
      </w:r>
      <w:r>
        <w:rPr>
          <w:rFonts w:ascii="仿宋_GB2312" w:eastAsia="仿宋_GB2312"/>
          <w:color w:val="auto"/>
          <w:sz w:val="32"/>
          <w:szCs w:val="32"/>
        </w:rPr>
        <w:t>宣讲</w:t>
      </w:r>
      <w:r>
        <w:rPr>
          <w:rFonts w:hint="eastAsia" w:ascii="仿宋_GB2312" w:eastAsia="仿宋_GB2312"/>
          <w:color w:val="auto"/>
          <w:sz w:val="32"/>
          <w:szCs w:val="32"/>
        </w:rPr>
        <w:t>51</w:t>
      </w:r>
      <w:r>
        <w:rPr>
          <w:rFonts w:ascii="仿宋_GB2312" w:eastAsia="仿宋_GB2312"/>
          <w:color w:val="auto"/>
          <w:sz w:val="32"/>
          <w:szCs w:val="32"/>
        </w:rPr>
        <w:t>场。</w:t>
      </w:r>
      <w:r>
        <w:rPr>
          <w:rFonts w:hint="eastAsia" w:ascii="仿宋_GB2312" w:eastAsia="仿宋_GB2312"/>
          <w:color w:val="auto"/>
          <w:sz w:val="32"/>
          <w:szCs w:val="32"/>
        </w:rPr>
        <w:t>启动《北京地域文化通览》分区卷的编辑出版工作。</w:t>
      </w:r>
      <w:r>
        <w:rPr>
          <w:rFonts w:hint="eastAsia" w:ascii="仿宋_GB2312" w:hAnsi="仿宋_GB2312" w:eastAsia="仿宋_GB2312" w:cs="仿宋_GB2312"/>
          <w:color w:val="auto"/>
          <w:sz w:val="32"/>
          <w:szCs w:val="32"/>
        </w:rPr>
        <w:t>目前《东城卷》初稿已全部完成。与中国文史出版社合作，完成了“馆员文库”—林岫馆员《紫竹斋诗话》的编辑出版工作。</w:t>
      </w:r>
      <w:r>
        <w:rPr>
          <w:rFonts w:hint="eastAsia" w:ascii="仿宋_GB2312" w:eastAsia="仿宋_GB2312"/>
          <w:color w:val="auto"/>
          <w:sz w:val="32"/>
          <w:szCs w:val="32"/>
        </w:rPr>
        <w:t>完成北京重大历史题材美术作品《阪泉之战》创作任务</w:t>
      </w:r>
      <w:r>
        <w:rPr>
          <w:rFonts w:hint="eastAsia" w:ascii="仿宋_GB2312" w:hAnsi="仿宋_GB2312" w:eastAsia="仿宋_GB2312" w:cs="仿宋_GB2312"/>
          <w:color w:val="auto"/>
          <w:sz w:val="32"/>
          <w:szCs w:val="40"/>
        </w:rPr>
        <w:t>。</w:t>
      </w:r>
      <w:r>
        <w:rPr>
          <w:rFonts w:hint="eastAsia" w:ascii="仿宋_GB2312" w:eastAsia="仿宋_GB2312"/>
          <w:color w:val="auto"/>
          <w:sz w:val="32"/>
          <w:szCs w:val="32"/>
        </w:rPr>
        <w:t>在首都博物馆举办“换了人间”——北京市文史研究馆馆藏书画作品展。</w:t>
      </w:r>
      <w:r>
        <w:rPr>
          <w:rFonts w:hint="eastAsia" w:ascii="仿宋_GB2312" w:hAnsi="仿宋_GB2312" w:eastAsia="仿宋_GB2312" w:cs="仿宋_GB2312"/>
          <w:color w:val="auto"/>
          <w:sz w:val="32"/>
          <w:szCs w:val="32"/>
        </w:rPr>
        <w:t>按计划编辑出版四期《北京文史》。继续推进精品图书出版工程，完成《京剧探源·昆梆卷》《清康熙帝玄烨》《清雍正帝胤禛》《清北京》4册专辑的出版工作。依托公众号，开办“北京文史”专栏</w:t>
      </w:r>
      <w:r>
        <w:rPr>
          <w:rFonts w:ascii="仿宋_GB2312" w:eastAsia="仿宋_GB2312"/>
          <w:color w:val="auto"/>
          <w:sz w:val="32"/>
          <w:szCs w:val="32"/>
        </w:rPr>
        <w:t>。</w:t>
      </w:r>
      <w:r>
        <w:rPr>
          <w:rFonts w:hint="eastAsia" w:ascii="仿宋_GB2312" w:hAnsi="仿宋_GB2312" w:eastAsia="仿宋_GB2312" w:cs="仿宋_GB2312"/>
          <w:color w:val="auto"/>
          <w:sz w:val="32"/>
          <w:szCs w:val="32"/>
        </w:rPr>
        <w:t>北京重大历史题材人物画系列画册荣获国家新闻出版总署颁发的装帧设计奖，与中央新影合作拍摄的中轴线纪录片《永恒之轴》荣获中国电视艺术家协会颁发的优秀奖。</w:t>
      </w:r>
    </w:p>
    <w:p w14:paraId="4EE993B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color w:val="auto"/>
        </w:rPr>
      </w:pPr>
      <w:bookmarkStart w:id="2" w:name="_Toc9921"/>
      <w:r>
        <w:rPr>
          <w:rFonts w:hint="eastAsia" w:ascii="楷体_GB2312" w:eastAsia="楷体_GB2312"/>
          <w:color w:val="auto"/>
          <w:sz w:val="32"/>
          <w:szCs w:val="32"/>
        </w:rPr>
        <w:t>（二）部门整体绩效目标设立情况</w:t>
      </w:r>
      <w:bookmarkEnd w:id="2"/>
    </w:p>
    <w:p w14:paraId="065908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1.绩效目标设立依据</w:t>
      </w:r>
    </w:p>
    <w:p w14:paraId="3B0220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color w:val="auto"/>
          <w:lang w:val="en-US" w:eastAsia="zh-CN"/>
        </w:rPr>
      </w:pPr>
      <w:r>
        <w:rPr>
          <w:rFonts w:hint="eastAsia" w:ascii="仿宋_GB2312" w:hAnsi="仿宋_GB2312" w:eastAsia="仿宋_GB2312" w:cs="仿宋_GB2312"/>
          <w:color w:val="auto"/>
          <w:sz w:val="32"/>
          <w:szCs w:val="32"/>
          <w:lang w:val="en-US" w:eastAsia="zh-CN"/>
        </w:rPr>
        <w:t>（1）中华人民共和国国民经济和社会发展第十四个五年规划和2035年远景目标纲要；</w:t>
      </w:r>
    </w:p>
    <w:p w14:paraId="3B8A9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（2）北京市人民政府参事室单位职能；</w:t>
      </w:r>
    </w:p>
    <w:p w14:paraId="34DDB0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（3）北京市人民政府参事室中长期发展规划；</w:t>
      </w:r>
    </w:p>
    <w:p w14:paraId="0DC5C8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（4）北京市人民政府参事室年度工作计划；</w:t>
      </w:r>
    </w:p>
    <w:p w14:paraId="624B5B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（5）国家相关</w:t>
      </w:r>
      <w:r>
        <w:rPr>
          <w:rFonts w:hint="eastAsia" w:ascii="仿宋_GB2312" w:hAnsi="仿宋_GB2312" w:eastAsia="仿宋_GB2312" w:cs="仿宋_GB2312"/>
          <w:color w:val="auto"/>
          <w:sz w:val="32"/>
          <w:szCs w:val="32"/>
          <w:highlight w:val="none"/>
          <w:lang w:val="en-US" w:eastAsia="zh-CN"/>
        </w:rPr>
        <w:t>法律、法规</w:t>
      </w:r>
      <w:r>
        <w:rPr>
          <w:rFonts w:hint="eastAsia" w:ascii="仿宋_GB2312" w:hAnsi="仿宋_GB2312" w:eastAsia="仿宋_GB2312" w:cs="仿宋_GB2312"/>
          <w:color w:val="auto"/>
          <w:sz w:val="32"/>
          <w:szCs w:val="32"/>
          <w:lang w:val="en-US" w:eastAsia="zh-CN"/>
        </w:rPr>
        <w:t>和规章制度；</w:t>
      </w:r>
    </w:p>
    <w:p w14:paraId="256079D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（6）北京市相关法规、规章制度；</w:t>
      </w:r>
    </w:p>
    <w:p w14:paraId="03B962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（7）北京市人民政府参事室内部控制制度。</w:t>
      </w:r>
    </w:p>
    <w:p w14:paraId="6CF734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2.目标设置情况</w:t>
      </w:r>
    </w:p>
    <w:p w14:paraId="0C2173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市政府参事室</w:t>
      </w:r>
      <w:r>
        <w:rPr>
          <w:rFonts w:hint="eastAsia" w:ascii="仿宋_GB2312" w:hAnsi="仿宋_GB2312" w:eastAsia="仿宋_GB2312" w:cs="仿宋_GB2312"/>
          <w:sz w:val="32"/>
          <w:szCs w:val="32"/>
        </w:rPr>
        <w:t>根据单位职责，结合“十四五”规划和年度任务计划设置了部门整体绩效目标，绩效目标设置较为合理，具体情况如下：</w:t>
      </w:r>
    </w:p>
    <w:p w14:paraId="61B73597">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（1）部门绩效目标</w:t>
      </w:r>
    </w:p>
    <w:p w14:paraId="59F4E06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市政府参事室2021年主要工作任务是牢牢把握首都城市战略定位，紧扣“四个中心”、“四个服务”和三件大事，围绕全市中心工作，选择重大战略性、现实性、规律性问题，深入调查研究，积极建言献策，为新时代首都发展提供高水平智力支持；凝聚馆员力量，积极参与文化中心建设。继续开展北京文史研究、重大历史题材创作、系列精品图书编撰等工作，打造更多精品力作。加强文化交流，讲好北京故事。</w:t>
      </w:r>
    </w:p>
    <w:p w14:paraId="49EBB18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参事调研费</w:t>
      </w:r>
      <w:r>
        <w:rPr>
          <w:rFonts w:hint="eastAsia" w:ascii="仿宋_GB2312" w:hAnsi="仿宋_GB2312" w:eastAsia="仿宋_GB2312" w:cs="仿宋_GB2312"/>
          <w:color w:val="auto"/>
          <w:kern w:val="2"/>
          <w:sz w:val="32"/>
          <w:szCs w:val="32"/>
          <w:lang w:val="en-US" w:eastAsia="zh-CN" w:bidi="ar-SA"/>
        </w:rPr>
        <w:t>项目，</w:t>
      </w:r>
      <w:r>
        <w:rPr>
          <w:rFonts w:hint="default" w:ascii="仿宋_GB2312" w:hAnsi="仿宋_GB2312" w:eastAsia="仿宋_GB2312" w:cs="仿宋_GB2312"/>
          <w:color w:val="auto"/>
          <w:kern w:val="2"/>
          <w:sz w:val="32"/>
          <w:szCs w:val="32"/>
          <w:lang w:val="en-US" w:eastAsia="zh-CN" w:bidi="ar-SA"/>
        </w:rPr>
        <w:t>落实北京市新版城市总体规划，围绕北京市“四个中心”建设和在经济社会发展中遇到的重点难点问题，按照市领导要求，组织参事开展调研，提出对策建议，供市领导参考。</w:t>
      </w:r>
    </w:p>
    <w:p w14:paraId="4FA2662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文史研究</w:t>
      </w:r>
      <w:r>
        <w:rPr>
          <w:rFonts w:hint="eastAsia" w:ascii="仿宋_GB2312" w:hAnsi="仿宋_GB2312" w:eastAsia="仿宋_GB2312" w:cs="仿宋_GB2312"/>
          <w:color w:val="auto"/>
          <w:kern w:val="2"/>
          <w:sz w:val="32"/>
          <w:szCs w:val="32"/>
          <w:lang w:val="en-US" w:eastAsia="zh-CN" w:bidi="ar-SA"/>
        </w:rPr>
        <w:t>项目，深入挖掘北京地区特别是各区有特色的、有亮点的历史文化，以核心区为主（东城区或西城区），</w:t>
      </w:r>
      <w:r>
        <w:rPr>
          <w:rFonts w:hint="default" w:ascii="仿宋_GB2312" w:hAnsi="仿宋_GB2312" w:eastAsia="仿宋_GB2312" w:cs="仿宋_GB2312"/>
          <w:color w:val="auto"/>
          <w:kern w:val="2"/>
          <w:sz w:val="32"/>
          <w:szCs w:val="32"/>
          <w:lang w:val="en-US" w:eastAsia="zh-CN" w:bidi="ar-SA"/>
        </w:rPr>
        <w:t>用5-10年的时间，按区编辑出版《</w:t>
      </w:r>
      <w:r>
        <w:rPr>
          <w:rFonts w:hint="eastAsia" w:ascii="仿宋_GB2312" w:hAnsi="仿宋_GB2312" w:eastAsia="仿宋_GB2312" w:cs="仿宋_GB2312"/>
          <w:color w:val="auto"/>
          <w:kern w:val="2"/>
          <w:sz w:val="32"/>
          <w:szCs w:val="32"/>
          <w:lang w:val="en-US" w:eastAsia="zh-CN" w:bidi="ar-SA"/>
        </w:rPr>
        <w:t>北京地域文化通览》分区卷14部；通过宣传北京的历史文化精神，增强人民群众保护中轴线、热爱中轴线、利用中轴线的意识，积极助力弘扬中华民族伟大复兴中国梦，为中轴线申遗贡献力量；北京文史馆馆员大多都是文史领域的学科带头人，一生从事相</w:t>
      </w:r>
      <w:r>
        <w:rPr>
          <w:rFonts w:hint="default" w:ascii="仿宋_GB2312" w:hAnsi="仿宋_GB2312" w:eastAsia="仿宋_GB2312" w:cs="仿宋_GB2312"/>
          <w:color w:val="auto"/>
          <w:kern w:val="2"/>
          <w:sz w:val="32"/>
          <w:szCs w:val="32"/>
          <w:lang w:val="en-US" w:eastAsia="zh-CN" w:bidi="ar-SA"/>
        </w:rPr>
        <w:t>关专业的研究工作，研究成果极具开发利用价值，出版馆员文库，既是宣传工作的需要，更是抢救性的需要。</w:t>
      </w:r>
    </w:p>
    <w:p w14:paraId="1CEB168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馆员书画作品展览</w:t>
      </w:r>
      <w:r>
        <w:rPr>
          <w:rFonts w:hint="eastAsia" w:ascii="仿宋_GB2312" w:hAnsi="仿宋_GB2312" w:eastAsia="仿宋_GB2312" w:cs="仿宋_GB2312"/>
          <w:color w:val="auto"/>
          <w:kern w:val="2"/>
          <w:sz w:val="32"/>
          <w:szCs w:val="32"/>
          <w:lang w:val="en-US" w:eastAsia="zh-CN" w:bidi="ar-SA"/>
        </w:rPr>
        <w:t>项目，</w:t>
      </w:r>
      <w:r>
        <w:rPr>
          <w:rFonts w:hint="default" w:ascii="仿宋_GB2312" w:hAnsi="仿宋_GB2312" w:eastAsia="仿宋_GB2312" w:cs="仿宋_GB2312"/>
          <w:color w:val="auto"/>
          <w:kern w:val="2"/>
          <w:sz w:val="32"/>
          <w:szCs w:val="32"/>
          <w:lang w:val="en-US" w:eastAsia="zh-CN" w:bidi="ar-SA"/>
        </w:rPr>
        <w:t>展示</w:t>
      </w:r>
      <w:r>
        <w:rPr>
          <w:rFonts w:hint="eastAsia" w:ascii="仿宋_GB2312" w:hAnsi="仿宋_GB2312" w:eastAsia="仿宋_GB2312" w:cs="仿宋_GB2312"/>
          <w:color w:val="auto"/>
          <w:kern w:val="2"/>
          <w:sz w:val="32"/>
          <w:szCs w:val="32"/>
          <w:lang w:val="en-US" w:eastAsia="zh-CN" w:bidi="ar-SA"/>
        </w:rPr>
        <w:t>参事室</w:t>
      </w:r>
      <w:r>
        <w:rPr>
          <w:rFonts w:hint="default" w:ascii="仿宋_GB2312" w:hAnsi="仿宋_GB2312" w:eastAsia="仿宋_GB2312" w:cs="仿宋_GB2312"/>
          <w:color w:val="auto"/>
          <w:kern w:val="2"/>
          <w:sz w:val="32"/>
          <w:szCs w:val="32"/>
          <w:lang w:val="en-US" w:eastAsia="zh-CN" w:bidi="ar-SA"/>
        </w:rPr>
        <w:t>馆员书画家的创作成果和馆藏精品的艺术水平</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通过举办美术展览进一步宣传底蕴深厚的北京历史文化，为“人文北京”和首都文化的大发展、大繁荣贡献力量</w:t>
      </w:r>
      <w:r>
        <w:rPr>
          <w:rFonts w:hint="eastAsia" w:ascii="仿宋_GB2312" w:hAnsi="仿宋_GB2312" w:eastAsia="仿宋_GB2312" w:cs="仿宋_GB2312"/>
          <w:color w:val="auto"/>
          <w:kern w:val="2"/>
          <w:sz w:val="32"/>
          <w:szCs w:val="32"/>
          <w:lang w:val="en-US" w:eastAsia="zh-CN" w:bidi="ar-SA"/>
        </w:rPr>
        <w:t>；</w:t>
      </w:r>
      <w:r>
        <w:rPr>
          <w:rFonts w:hint="default" w:ascii="仿宋_GB2312" w:hAnsi="仿宋_GB2312" w:eastAsia="仿宋_GB2312" w:cs="仿宋_GB2312"/>
          <w:color w:val="auto"/>
          <w:kern w:val="2"/>
          <w:sz w:val="32"/>
          <w:szCs w:val="32"/>
          <w:lang w:val="en-US" w:eastAsia="zh-CN" w:bidi="ar-SA"/>
        </w:rPr>
        <w:t>保证画展展品的展出质量。</w:t>
      </w:r>
    </w:p>
    <w:p w14:paraId="31E8057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北京文史》刊物出版，权威介绍和分析北京的历史文化；多方面、多角度反映北京历史文化重要信息，深度挖掘人文北京的历史文化内涵；推进树立首都“大文化”发展理念，坚持继承与发展并重，力争打造高品位的优秀刊物及文化读本。</w:t>
      </w:r>
    </w:p>
    <w:p w14:paraId="068BE87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《定都北京系列·清北京》出版经费</w:t>
      </w:r>
      <w:r>
        <w:rPr>
          <w:rFonts w:hint="eastAsia" w:ascii="仿宋_GB2312" w:hAnsi="仿宋_GB2312" w:eastAsia="仿宋_GB2312" w:cs="仿宋_GB2312"/>
          <w:color w:val="auto"/>
          <w:kern w:val="2"/>
          <w:sz w:val="32"/>
          <w:szCs w:val="32"/>
          <w:lang w:val="en-US" w:eastAsia="zh-CN" w:bidi="ar-SA"/>
        </w:rPr>
        <w:t>项目，</w:t>
      </w:r>
      <w:r>
        <w:rPr>
          <w:rFonts w:hint="default" w:ascii="仿宋_GB2312" w:hAnsi="仿宋_GB2312" w:eastAsia="仿宋_GB2312" w:cs="仿宋_GB2312"/>
          <w:color w:val="auto"/>
          <w:kern w:val="2"/>
          <w:sz w:val="32"/>
          <w:szCs w:val="32"/>
          <w:lang w:val="en-US" w:eastAsia="zh-CN" w:bidi="ar-SA"/>
        </w:rPr>
        <w:t>以《定都北京系列·清北京》为抓手，深入挖掘北京历史文化，梳理古都北京作为都城的历史，反映清代北京的历史文化内涵；进一步充实定都北京系列专辑内容，打造系列精品专辑；为挖掘和宣传北京历史文化，擦亮首都历史文化金名片做出贡献。</w:t>
      </w:r>
    </w:p>
    <w:p w14:paraId="64F3C9F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《人物系列·清康熙帝》出版经费</w:t>
      </w:r>
      <w:r>
        <w:rPr>
          <w:rFonts w:hint="eastAsia" w:ascii="仿宋_GB2312" w:hAnsi="仿宋_GB2312" w:eastAsia="仿宋_GB2312" w:cs="仿宋_GB2312"/>
          <w:color w:val="auto"/>
          <w:kern w:val="2"/>
          <w:sz w:val="32"/>
          <w:szCs w:val="32"/>
          <w:lang w:val="en-US" w:eastAsia="zh-CN" w:bidi="ar-SA"/>
        </w:rPr>
        <w:t>项目，</w:t>
      </w:r>
      <w:r>
        <w:rPr>
          <w:rFonts w:hint="default" w:ascii="仿宋_GB2312" w:hAnsi="仿宋_GB2312" w:eastAsia="仿宋_GB2312" w:cs="仿宋_GB2312"/>
          <w:color w:val="auto"/>
          <w:kern w:val="2"/>
          <w:sz w:val="32"/>
          <w:szCs w:val="32"/>
          <w:lang w:val="en-US" w:eastAsia="zh-CN" w:bidi="ar-SA"/>
        </w:rPr>
        <w:t>以《人物系列·清康熙帝》专辑为载体，进一步发挥社会各领域学者权威性，社会影响力大的优势，集中刊载关于北京历史人物研究的重要成果，多方面、多角度反映北京历史文化，深度挖掘北京古代历史人物文化内涵，为北京的历史文化研究、人文北京和建设中国特色世界城市贡献。</w:t>
      </w:r>
    </w:p>
    <w:p w14:paraId="3099DA7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lang w:val="en-US" w:eastAsia="zh-CN"/>
        </w:rPr>
      </w:pPr>
      <w:r>
        <w:rPr>
          <w:rFonts w:hint="default" w:ascii="仿宋_GB2312" w:hAnsi="仿宋_GB2312" w:eastAsia="仿宋_GB2312" w:cs="仿宋_GB2312"/>
          <w:color w:val="auto"/>
          <w:kern w:val="2"/>
          <w:sz w:val="32"/>
          <w:szCs w:val="32"/>
          <w:lang w:val="en-US" w:eastAsia="zh-CN" w:bidi="ar-SA"/>
        </w:rPr>
        <w:t>《人物系列·清雍正帝》出版经费</w:t>
      </w:r>
      <w:r>
        <w:rPr>
          <w:rFonts w:hint="eastAsia" w:ascii="仿宋_GB2312" w:hAnsi="仿宋_GB2312" w:eastAsia="仿宋_GB2312" w:cs="仿宋_GB2312"/>
          <w:color w:val="auto"/>
          <w:kern w:val="2"/>
          <w:sz w:val="32"/>
          <w:szCs w:val="32"/>
          <w:lang w:val="en-US" w:eastAsia="zh-CN" w:bidi="ar-SA"/>
        </w:rPr>
        <w:t>项目，</w:t>
      </w:r>
      <w:r>
        <w:rPr>
          <w:rFonts w:hint="default" w:ascii="仿宋_GB2312" w:hAnsi="仿宋_GB2312" w:eastAsia="仿宋_GB2312" w:cs="仿宋_GB2312"/>
          <w:color w:val="auto"/>
          <w:kern w:val="2"/>
          <w:sz w:val="32"/>
          <w:szCs w:val="32"/>
          <w:lang w:val="en-US" w:eastAsia="zh-CN" w:bidi="ar-SA"/>
        </w:rPr>
        <w:t>以《人物系列·清雍正帝》专辑为载体，进一步发挥社会各领域学者权威性，社会影响力大的优势，集中刊载关于北京历史人物研究的重要成果，多方面、多角度反映北京历史文化，深度挖掘北京古代历史人物文化内涵，为北京的历史文化研究、人文北京和建设中国特色世界城市贡献。</w:t>
      </w:r>
    </w:p>
    <w:p w14:paraId="0630C73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历史文化研究经费</w:t>
      </w:r>
      <w:r>
        <w:rPr>
          <w:rFonts w:hint="eastAsia" w:ascii="仿宋_GB2312" w:hAnsi="仿宋_GB2312" w:eastAsia="仿宋_GB2312" w:cs="仿宋_GB2312"/>
          <w:color w:val="auto"/>
          <w:kern w:val="2"/>
          <w:sz w:val="32"/>
          <w:szCs w:val="32"/>
          <w:lang w:val="en-US" w:eastAsia="zh-CN" w:bidi="ar-SA"/>
        </w:rPr>
        <w:t>项目，</w:t>
      </w:r>
      <w:r>
        <w:rPr>
          <w:rFonts w:hint="default" w:ascii="仿宋_GB2312" w:hAnsi="仿宋_GB2312" w:eastAsia="仿宋_GB2312" w:cs="仿宋_GB2312"/>
          <w:color w:val="auto"/>
          <w:kern w:val="2"/>
          <w:sz w:val="32"/>
          <w:szCs w:val="32"/>
          <w:lang w:val="en-US" w:eastAsia="zh-CN" w:bidi="ar-SA"/>
        </w:rPr>
        <w:t>深入挖掘北京历史文化底蕴，围绕北京“一城三带”的历史文化，在历史、地理、人文、艺术等方面开展调研、采风、座谈、参观等工作。以北京“一城三带”文化踏查和相关研讨等活动为抓手，收集相关资料，形成相关成果，梳理和宣传北京历史文化，满足人民群众对历史文化的新需求。</w:t>
      </w:r>
    </w:p>
    <w:p w14:paraId="1B0A48B0">
      <w:pPr>
        <w:pStyle w:val="4"/>
        <w:keepNext w:val="0"/>
        <w:keepLines w:val="0"/>
        <w:pageBreakBefore w:val="0"/>
        <w:widowControl w:val="0"/>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2.绩效指标</w:t>
      </w:r>
    </w:p>
    <w:p w14:paraId="16B629B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（1）产出数量</w:t>
      </w:r>
    </w:p>
    <w:p w14:paraId="03545A3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z w:val="32"/>
          <w:szCs w:val="32"/>
          <w:lang w:val="en-US" w:eastAsia="zh-CN"/>
        </w:rPr>
        <w:t>组织参事开展调研活动，提出对策建议；</w:t>
      </w:r>
    </w:p>
    <w:p w14:paraId="5C120D2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2）完成《北京地域文化通览》前期编辑工作；</w:t>
      </w:r>
    </w:p>
    <w:p w14:paraId="6B21839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组织参事馆员中轴线历史文化宣讲团</w:t>
      </w:r>
      <w:r>
        <w:rPr>
          <w:rFonts w:hint="eastAsia" w:ascii="仿宋_GB2312" w:hAnsi="仿宋_GB2312" w:eastAsia="仿宋_GB2312" w:cs="仿宋_GB2312"/>
          <w:color w:val="auto"/>
          <w:sz w:val="32"/>
          <w:szCs w:val="32"/>
          <w:lang w:val="en-US" w:eastAsia="zh-CN"/>
        </w:rPr>
        <w:t>进行宣讲50次；</w:t>
      </w:r>
    </w:p>
    <w:p w14:paraId="240DBEA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lang w:eastAsia="zh-CN"/>
        </w:rPr>
      </w:pPr>
      <w:r>
        <w:rPr>
          <w:rFonts w:hint="eastAsia" w:ascii="仿宋_GB2312" w:hAnsi="仿宋_GB2312" w:eastAsia="仿宋_GB2312" w:cs="仿宋_GB2312"/>
          <w:color w:val="auto"/>
          <w:sz w:val="32"/>
          <w:szCs w:val="32"/>
          <w:lang w:val="en-US" w:eastAsia="zh-CN"/>
        </w:rPr>
        <w:t>4）编辑出版</w:t>
      </w:r>
      <w:r>
        <w:rPr>
          <w:rFonts w:hint="eastAsia" w:ascii="仿宋_GB2312" w:hAnsi="仿宋_GB2312" w:eastAsia="仿宋_GB2312" w:cs="仿宋_GB2312"/>
          <w:color w:val="auto"/>
          <w:sz w:val="32"/>
          <w:szCs w:val="32"/>
        </w:rPr>
        <w:t>“馆员文库”—林岫馆员《紫竹斋诗话》</w:t>
      </w:r>
      <w:r>
        <w:rPr>
          <w:rFonts w:hint="eastAsia" w:ascii="仿宋_GB2312" w:hAnsi="仿宋_GB2312" w:eastAsia="仿宋_GB2312" w:cs="仿宋_GB2312"/>
          <w:color w:val="auto"/>
          <w:sz w:val="32"/>
          <w:szCs w:val="32"/>
          <w:lang w:eastAsia="zh-CN"/>
        </w:rPr>
        <w:t>；</w:t>
      </w:r>
    </w:p>
    <w:p w14:paraId="1F056D6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lang w:eastAsia="zh-CN"/>
        </w:rPr>
        <w:t>组织馆员创作的馆藏书画作品</w:t>
      </w:r>
      <w:r>
        <w:rPr>
          <w:rFonts w:hint="eastAsia" w:ascii="仿宋_GB2312" w:hAnsi="仿宋_GB2312" w:eastAsia="仿宋_GB2312" w:cs="仿宋_GB2312"/>
          <w:color w:val="auto"/>
          <w:sz w:val="32"/>
          <w:szCs w:val="32"/>
          <w:lang w:val="en-US" w:eastAsia="zh-CN"/>
        </w:rPr>
        <w:t>进行</w:t>
      </w:r>
      <w:r>
        <w:rPr>
          <w:rFonts w:hint="eastAsia" w:ascii="仿宋_GB2312" w:hAnsi="仿宋_GB2312" w:eastAsia="仿宋_GB2312" w:cs="仿宋_GB2312"/>
          <w:color w:val="auto"/>
          <w:sz w:val="32"/>
          <w:szCs w:val="32"/>
          <w:lang w:eastAsia="zh-CN"/>
        </w:rPr>
        <w:t>展览；</w:t>
      </w:r>
    </w:p>
    <w:p w14:paraId="401A324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6）编辑出版四期《北京文史》；</w:t>
      </w:r>
    </w:p>
    <w:p w14:paraId="617B328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7）进行《定都北京系列·清北京》《人物系列·清康熙帝》《人物系列·清雍正帝》专辑出版工作。</w:t>
      </w:r>
    </w:p>
    <w:p w14:paraId="3AC6D62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（2）产出质量</w:t>
      </w:r>
    </w:p>
    <w:p w14:paraId="142094C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《北京文史》《定都北京系列·清北京》《人物系列·清康熙帝》《人物系列·清雍正帝》等刊物出版质量、印刷质量达到国家有关技术标准和规定。</w:t>
      </w:r>
    </w:p>
    <w:p w14:paraId="68A19510">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（3）产出进度</w:t>
      </w:r>
    </w:p>
    <w:p w14:paraId="5A49C5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 w:eastAsia="仿宋_GB2312" w:cs="DejaVu Sans"/>
          <w:color w:val="auto"/>
          <w:sz w:val="32"/>
          <w:lang w:val="en-US" w:eastAsia="zh-CN"/>
        </w:rPr>
        <w:t>各刊物专辑在计划时间内完成出版或送出版社审校。</w:t>
      </w:r>
    </w:p>
    <w:p w14:paraId="614599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（4）产出成本</w:t>
      </w:r>
    </w:p>
    <w:p w14:paraId="72A276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为实现相关目标的投入控制在预算范围，支出费用严格控制在财政资金支出标准范围内。</w:t>
      </w:r>
    </w:p>
    <w:p w14:paraId="2DB3C8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 w:eastAsia="仿宋_GB2312" w:cs="DejaVu Sans"/>
          <w:color w:val="auto"/>
          <w:sz w:val="32"/>
          <w:lang w:val="en-US" w:eastAsia="zh-CN"/>
        </w:rPr>
      </w:pPr>
      <w:r>
        <w:rPr>
          <w:rFonts w:hint="eastAsia" w:ascii="仿宋_GB2312" w:hAnsi="仿宋" w:eastAsia="仿宋_GB2312" w:cs="DejaVu Sans"/>
          <w:color w:val="auto"/>
          <w:sz w:val="32"/>
          <w:lang w:val="en-US" w:eastAsia="zh-CN"/>
        </w:rPr>
        <w:t>（5）效益指标</w:t>
      </w:r>
    </w:p>
    <w:p w14:paraId="33C969E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 w:eastAsia="仿宋_GB2312" w:cs="DejaVu Sans"/>
          <w:color w:val="auto"/>
          <w:sz w:val="32"/>
          <w:lang w:val="en-US" w:eastAsia="zh-CN"/>
        </w:rPr>
      </w:pPr>
      <w:r>
        <w:rPr>
          <w:rFonts w:hint="eastAsia" w:ascii="仿宋_GB2312" w:hAnsi="仿宋" w:eastAsia="仿宋_GB2312" w:cs="DejaVu Sans"/>
          <w:color w:val="auto"/>
          <w:sz w:val="32"/>
          <w:lang w:val="en-US" w:eastAsia="zh-CN"/>
        </w:rPr>
        <w:t>1）围绕北京市“四个中心”建设和在经济社会发展中遇到的重点难点问题，组织参事开展调研，提出对策建议。</w:t>
      </w:r>
    </w:p>
    <w:p w14:paraId="61D41A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仿宋_GB2312" w:hAnsi="仿宋" w:eastAsia="仿宋_GB2312" w:cs="DejaVu Sans"/>
          <w:color w:val="auto"/>
          <w:sz w:val="32"/>
          <w:lang w:val="en-US" w:eastAsia="zh-CN"/>
        </w:rPr>
      </w:pPr>
      <w:r>
        <w:rPr>
          <w:rFonts w:hint="eastAsia" w:ascii="仿宋_GB2312" w:hAnsi="仿宋" w:eastAsia="仿宋_GB2312" w:cs="DejaVu Sans"/>
          <w:color w:val="auto"/>
          <w:sz w:val="32"/>
          <w:lang w:val="en-US" w:eastAsia="zh-CN"/>
        </w:rPr>
        <w:t>2）通过各专辑刊物出版，</w:t>
      </w:r>
      <w:r>
        <w:rPr>
          <w:rFonts w:hint="default" w:ascii="仿宋_GB2312" w:hAnsi="仿宋" w:eastAsia="仿宋_GB2312" w:cs="DejaVu Sans"/>
          <w:color w:val="auto"/>
          <w:sz w:val="32"/>
          <w:lang w:val="en-US" w:eastAsia="zh-CN"/>
        </w:rPr>
        <w:t>反映北京深厚的历史文化底蕴</w:t>
      </w:r>
      <w:r>
        <w:rPr>
          <w:rFonts w:hint="eastAsia" w:ascii="仿宋_GB2312" w:hAnsi="仿宋" w:eastAsia="仿宋_GB2312" w:cs="DejaVu Sans"/>
          <w:color w:val="auto"/>
          <w:sz w:val="32"/>
          <w:lang w:val="en-US" w:eastAsia="zh-CN"/>
        </w:rPr>
        <w:t>，</w:t>
      </w:r>
      <w:r>
        <w:rPr>
          <w:rFonts w:hint="default" w:ascii="仿宋_GB2312" w:hAnsi="仿宋" w:eastAsia="仿宋_GB2312" w:cs="DejaVu Sans"/>
          <w:color w:val="auto"/>
          <w:sz w:val="32"/>
          <w:lang w:val="en-US" w:eastAsia="zh-CN"/>
        </w:rPr>
        <w:t>梳理古都北京的都城史</w:t>
      </w:r>
      <w:r>
        <w:rPr>
          <w:rFonts w:hint="eastAsia" w:ascii="仿宋_GB2312" w:hAnsi="仿宋" w:eastAsia="仿宋_GB2312" w:cs="DejaVu Sans"/>
          <w:color w:val="auto"/>
          <w:sz w:val="32"/>
          <w:lang w:val="en-US" w:eastAsia="zh-CN"/>
        </w:rPr>
        <w:t>，进一步</w:t>
      </w:r>
      <w:r>
        <w:rPr>
          <w:rFonts w:hint="default" w:ascii="仿宋_GB2312" w:hAnsi="仿宋" w:eastAsia="仿宋_GB2312" w:cs="DejaVu Sans"/>
          <w:color w:val="auto"/>
          <w:sz w:val="32"/>
          <w:lang w:val="en-US" w:eastAsia="zh-CN"/>
        </w:rPr>
        <w:t>满足读者了解北京历史文化的精神文化需求。</w:t>
      </w:r>
    </w:p>
    <w:p w14:paraId="151A1F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color w:val="auto"/>
          <w:lang w:val="en-US" w:eastAsia="zh-CN"/>
        </w:rPr>
      </w:pPr>
      <w:r>
        <w:rPr>
          <w:rFonts w:hint="eastAsia" w:ascii="仿宋_GB2312" w:hAnsi="仿宋" w:eastAsia="仿宋_GB2312" w:cs="DejaVu Sans"/>
          <w:color w:val="auto"/>
          <w:sz w:val="32"/>
          <w:lang w:val="en-US" w:eastAsia="zh-CN"/>
        </w:rPr>
        <w:t>3）</w:t>
      </w:r>
      <w:r>
        <w:rPr>
          <w:rFonts w:hint="default" w:ascii="仿宋_GB2312" w:hAnsi="仿宋" w:eastAsia="仿宋_GB2312" w:cs="DejaVu Sans"/>
          <w:color w:val="auto"/>
          <w:sz w:val="32"/>
          <w:lang w:val="en-US" w:eastAsia="zh-CN"/>
        </w:rPr>
        <w:t>挖掘北京丰富的文史资源</w:t>
      </w:r>
      <w:r>
        <w:rPr>
          <w:rFonts w:hint="eastAsia" w:ascii="仿宋_GB2312" w:hAnsi="仿宋" w:eastAsia="仿宋_GB2312" w:cs="DejaVu Sans"/>
          <w:color w:val="auto"/>
          <w:sz w:val="32"/>
          <w:lang w:val="en-US" w:eastAsia="zh-CN"/>
        </w:rPr>
        <w:t>，</w:t>
      </w:r>
      <w:r>
        <w:rPr>
          <w:rFonts w:hint="default" w:ascii="仿宋_GB2312" w:hAnsi="仿宋" w:eastAsia="仿宋_GB2312" w:cs="DejaVu Sans"/>
          <w:color w:val="auto"/>
          <w:sz w:val="32"/>
          <w:lang w:val="en-US" w:eastAsia="zh-CN"/>
        </w:rPr>
        <w:t>传播北京历史文化知识</w:t>
      </w:r>
      <w:r>
        <w:rPr>
          <w:rFonts w:hint="eastAsia" w:ascii="仿宋_GB2312" w:hAnsi="仿宋" w:eastAsia="仿宋_GB2312" w:cs="DejaVu Sans"/>
          <w:color w:val="auto"/>
          <w:sz w:val="32"/>
          <w:lang w:val="en-US" w:eastAsia="zh-CN"/>
        </w:rPr>
        <w:t>，为扎实推进全国文化中心建设，建设人文北京，弘扬中华民族优秀传统文化做出贡献。</w:t>
      </w:r>
    </w:p>
    <w:p w14:paraId="3FEDB4D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宋体"/>
          <w:color w:val="auto"/>
          <w:kern w:val="0"/>
          <w:sz w:val="32"/>
          <w:szCs w:val="32"/>
        </w:rPr>
      </w:pPr>
      <w:bookmarkStart w:id="3" w:name="_Toc10185"/>
      <w:r>
        <w:rPr>
          <w:rFonts w:hint="eastAsia" w:ascii="黑体" w:hAnsi="黑体" w:eastAsia="黑体" w:cs="宋体"/>
          <w:color w:val="auto"/>
          <w:kern w:val="0"/>
          <w:sz w:val="32"/>
          <w:szCs w:val="32"/>
        </w:rPr>
        <w:t>二、当年预算执行情况</w:t>
      </w:r>
      <w:bookmarkEnd w:id="3"/>
    </w:p>
    <w:p w14:paraId="56226141">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2021年市财政批复部门预算2,830.302080万元，其中：基本支出预算1,693.641506万元，项目支出预算1,136.660574万元。实际预算支出2,486.492400万元，其中：基本支出1,594.578627万元，项目支出891.913773万元，预算执行率为87.85%。</w:t>
      </w:r>
    </w:p>
    <w:p w14:paraId="243E144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宋体"/>
          <w:color w:val="auto"/>
          <w:kern w:val="0"/>
          <w:sz w:val="32"/>
          <w:szCs w:val="32"/>
        </w:rPr>
      </w:pPr>
      <w:bookmarkStart w:id="4" w:name="_Toc14170"/>
      <w:r>
        <w:rPr>
          <w:rFonts w:hint="eastAsia" w:ascii="黑体" w:hAnsi="黑体" w:eastAsia="黑体" w:cs="宋体"/>
          <w:color w:val="auto"/>
          <w:kern w:val="0"/>
          <w:sz w:val="32"/>
          <w:szCs w:val="32"/>
        </w:rPr>
        <w:t>三、整体绩效目标实现情况</w:t>
      </w:r>
      <w:bookmarkEnd w:id="4"/>
    </w:p>
    <w:p w14:paraId="5B18F98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ascii="楷体_GB2312" w:eastAsia="楷体_GB2312"/>
          <w:color w:val="auto"/>
          <w:sz w:val="32"/>
          <w:szCs w:val="32"/>
        </w:rPr>
      </w:pPr>
      <w:bookmarkStart w:id="5" w:name="_Toc27545"/>
      <w:r>
        <w:rPr>
          <w:rFonts w:hint="eastAsia" w:ascii="楷体_GB2312" w:eastAsia="楷体_GB2312"/>
          <w:color w:val="auto"/>
          <w:sz w:val="32"/>
          <w:szCs w:val="32"/>
        </w:rPr>
        <w:t>（一）产出完成情况分析</w:t>
      </w:r>
      <w:bookmarkEnd w:id="5"/>
    </w:p>
    <w:p w14:paraId="1891413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1.产出数量</w:t>
      </w:r>
    </w:p>
    <w:p w14:paraId="11DD22C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color w:val="auto"/>
          <w:kern w:val="0"/>
          <w:sz w:val="32"/>
          <w:szCs w:val="32"/>
          <w:lang w:eastAsia="zh-CN"/>
        </w:rPr>
      </w:pPr>
      <w:r>
        <w:rPr>
          <w:rFonts w:hint="eastAsia" w:ascii="仿宋_GB2312" w:hAnsi="仿宋_GB2312" w:eastAsia="仿宋_GB2312" w:cs="仿宋_GB2312"/>
          <w:color w:val="auto"/>
          <w:sz w:val="32"/>
          <w:szCs w:val="32"/>
        </w:rPr>
        <w:t>报送参事建议11篇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筹备成立《北京地域文化通览东城卷》编委会，开展前期调研，邀请东城区相关委办局进行座谈讨论，共同商定书稿内容框架；在东城区和西城区政府的大力协助下，分别在两个城区图书馆、街道等地举办中轴线历史文化宣讲51场；经林岫馆员和中国文史出版社通力协助，完成馆员文库《紫竹斋诗话》编辑出版工作；通过高质量的画展，展示了参事室馆员书画家的创作成果和馆藏精品的艺术水平；组织参事馆员赴房山开展“一城三带”文化踏查，通过考察西山—永定河文化带古遗迹，对相关历史文化遗存的发掘、保护、利用现状进行实地深入了解；编辑出版了四期《北京文史》；完成了《定都北京系列·清北京》《人物系列·清康熙帝》《人物系列·清雍正帝》专辑出版工作</w:t>
      </w:r>
      <w:r>
        <w:rPr>
          <w:rFonts w:hint="eastAsia" w:ascii="仿宋_GB2312" w:hAnsi="仿宋_GB2312" w:eastAsia="仿宋_GB2312" w:cs="仿宋_GB2312"/>
          <w:color w:val="auto"/>
          <w:sz w:val="32"/>
          <w:szCs w:val="32"/>
          <w:lang w:eastAsia="zh-CN"/>
        </w:rPr>
        <w:t>。</w:t>
      </w:r>
    </w:p>
    <w:p w14:paraId="4A10F008">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2.产出</w:t>
      </w:r>
      <w:r>
        <w:rPr>
          <w:rFonts w:ascii="仿宋_GB2312" w:hAnsi="宋体" w:eastAsia="仿宋_GB2312" w:cs="宋体"/>
          <w:color w:val="auto"/>
          <w:kern w:val="0"/>
          <w:sz w:val="32"/>
          <w:szCs w:val="32"/>
        </w:rPr>
        <w:t>质量</w:t>
      </w:r>
    </w:p>
    <w:p w14:paraId="76761BF9">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宋体" w:eastAsia="仿宋_GB2312" w:cs="宋体"/>
          <w:color w:val="auto"/>
          <w:kern w:val="0"/>
          <w:sz w:val="32"/>
          <w:szCs w:val="32"/>
          <w:lang w:eastAsia="zh-CN"/>
        </w:rPr>
      </w:pPr>
      <w:r>
        <w:rPr>
          <w:rFonts w:hint="eastAsia" w:ascii="仿宋_GB2312" w:hAnsi="宋体" w:eastAsia="仿宋_GB2312" w:cs="宋体"/>
          <w:color w:val="auto"/>
          <w:kern w:val="0"/>
          <w:sz w:val="32"/>
          <w:szCs w:val="32"/>
          <w:lang w:eastAsia="zh-CN"/>
        </w:rPr>
        <w:t>《北京文史》共发稿件127篇，字数80万字，刊登图片1200余幅；平均每期刊稿30余篇，20万字，图片300幅。刊物自采自编率达到100%，首发稿件109篇，首发率86%；《北京文史》出版质量符合国家新闻出版广电总局发布的《图书质量管理规定》要求，差错率不超过1/10000，刊物的整体设计和封面（包括封二、三及封底、勒口、书脊）、扉页、插图等设计均符合国家有关技术标准和规定，设计印刷质量合格。《定都北京系列·清北京》《人物系列·清康熙帝》《人物系列·清雍正帝》出版质量符合国家新闻出版总署发布的《编校质量标准与规范》要求，差错率低于0.2/10000。</w:t>
      </w:r>
    </w:p>
    <w:p w14:paraId="4B523652">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3.产出</w:t>
      </w:r>
      <w:r>
        <w:rPr>
          <w:rFonts w:ascii="仿宋_GB2312" w:hAnsi="宋体" w:eastAsia="仿宋_GB2312" w:cs="宋体"/>
          <w:color w:val="auto"/>
          <w:kern w:val="0"/>
          <w:sz w:val="32"/>
          <w:szCs w:val="32"/>
        </w:rPr>
        <w:t>进度</w:t>
      </w:r>
    </w:p>
    <w:p w14:paraId="59FA1E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按照各项工作任务量制定了各项目实施方案，明确了时间进度安排与人员分工，各项工作按照各项目实施方案执行，为顺利完成绩效目标奠定了基础，为在规定时间完成提供了保障。</w:t>
      </w:r>
      <w:r>
        <w:rPr>
          <w:rFonts w:hint="eastAsia" w:ascii="仿宋_GB2312" w:hAnsi="仿宋" w:eastAsia="仿宋_GB2312" w:cs="DejaVu Sans"/>
          <w:color w:val="auto"/>
          <w:sz w:val="32"/>
          <w:lang w:val="en-US" w:eastAsia="zh-CN"/>
        </w:rPr>
        <w:t>各刊物专辑在计划时间内完成了出版或送出版社审校工作。</w:t>
      </w:r>
    </w:p>
    <w:p w14:paraId="5D6FFC7D">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4.</w:t>
      </w:r>
      <w:r>
        <w:rPr>
          <w:rFonts w:hint="eastAsia" w:ascii="仿宋_GB2312" w:hAnsi="宋体" w:eastAsia="仿宋_GB2312" w:cs="宋体"/>
          <w:color w:val="auto"/>
          <w:kern w:val="0"/>
          <w:sz w:val="32"/>
          <w:szCs w:val="32"/>
        </w:rPr>
        <w:t>产出</w:t>
      </w:r>
      <w:r>
        <w:rPr>
          <w:rFonts w:ascii="仿宋_GB2312" w:hAnsi="宋体" w:eastAsia="仿宋_GB2312" w:cs="宋体"/>
          <w:color w:val="auto"/>
          <w:kern w:val="0"/>
          <w:sz w:val="32"/>
          <w:szCs w:val="32"/>
        </w:rPr>
        <w:t>成本</w:t>
      </w:r>
    </w:p>
    <w:p w14:paraId="1C57FAD6">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宋体" w:eastAsia="仿宋_GB2312" w:cs="宋体"/>
          <w:b w:val="0"/>
          <w:bCs w:val="0"/>
          <w:color w:val="auto"/>
          <w:kern w:val="0"/>
          <w:sz w:val="32"/>
          <w:szCs w:val="32"/>
          <w:lang w:val="en-US" w:eastAsia="zh-CN" w:bidi="ar-SA"/>
        </w:rPr>
      </w:pPr>
      <w:r>
        <w:rPr>
          <w:rFonts w:hint="eastAsia" w:ascii="仿宋_GB2312" w:hAnsi="宋体" w:eastAsia="仿宋_GB2312" w:cs="宋体"/>
          <w:b w:val="0"/>
          <w:bCs w:val="0"/>
          <w:color w:val="auto"/>
          <w:kern w:val="0"/>
          <w:sz w:val="32"/>
          <w:szCs w:val="32"/>
          <w:lang w:val="en-US" w:eastAsia="zh-CN" w:bidi="ar-SA"/>
        </w:rPr>
        <w:t>2021年全年预算数2,830.302080万元，实际支出数2,486.492400万元，预算执行率为87.85%，实际支出数控制在预算范围内。</w:t>
      </w:r>
    </w:p>
    <w:p w14:paraId="3F91657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ascii="楷体_GB2312" w:eastAsia="楷体_GB2312"/>
          <w:color w:val="auto"/>
          <w:sz w:val="32"/>
          <w:szCs w:val="32"/>
        </w:rPr>
      </w:pPr>
      <w:bookmarkStart w:id="6" w:name="_Toc5431"/>
      <w:r>
        <w:rPr>
          <w:rFonts w:hint="eastAsia" w:ascii="楷体_GB2312" w:eastAsia="楷体_GB2312"/>
          <w:color w:val="auto"/>
          <w:sz w:val="32"/>
          <w:szCs w:val="32"/>
        </w:rPr>
        <w:t>（二）效果</w:t>
      </w:r>
      <w:r>
        <w:rPr>
          <w:rFonts w:ascii="楷体_GB2312" w:eastAsia="楷体_GB2312"/>
          <w:color w:val="auto"/>
          <w:sz w:val="32"/>
          <w:szCs w:val="32"/>
        </w:rPr>
        <w:t>实现情况分析</w:t>
      </w:r>
      <w:bookmarkEnd w:id="6"/>
    </w:p>
    <w:p w14:paraId="6E647D2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color w:val="auto"/>
          <w:kern w:val="0"/>
          <w:sz w:val="32"/>
          <w:szCs w:val="32"/>
          <w:lang w:eastAsia="zh-CN"/>
        </w:rPr>
      </w:pPr>
      <w:r>
        <w:rPr>
          <w:rFonts w:hint="eastAsia" w:ascii="仿宋_GB2312" w:hAnsi="仿宋_GB2312" w:eastAsia="仿宋_GB2312" w:cs="仿宋_GB2312"/>
          <w:color w:val="auto"/>
          <w:sz w:val="32"/>
          <w:szCs w:val="32"/>
          <w:lang w:val="en-US" w:eastAsia="zh-CN"/>
        </w:rPr>
        <w:t>完成了“北京中轴线申遗工作”“推进碳中和相关工作”“促进乡村产业振兴”三个重点课题本年度调研任务，三项重点课题调研成果全部获市主要领导批示。</w:t>
      </w:r>
    </w:p>
    <w:p w14:paraId="049C72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仿宋" w:eastAsia="仿宋_GB2312" w:cs="DejaVu Sans"/>
          <w:color w:val="auto"/>
          <w:sz w:val="32"/>
        </w:rPr>
      </w:pPr>
      <w:r>
        <w:rPr>
          <w:rFonts w:hint="eastAsia" w:ascii="仿宋_GB2312" w:hAnsi="仿宋_GB2312" w:eastAsia="仿宋_GB2312" w:cs="仿宋_GB2312"/>
          <w:color w:val="auto"/>
          <w:sz w:val="32"/>
          <w:szCs w:val="32"/>
          <w:lang w:val="en-US" w:eastAsia="zh-CN"/>
        </w:rPr>
        <w:t>通过出版</w:t>
      </w:r>
      <w:r>
        <w:rPr>
          <w:rFonts w:hint="eastAsia" w:ascii="仿宋_GB2312" w:hAnsi="仿宋_GB2312" w:eastAsia="仿宋_GB2312" w:cs="仿宋_GB2312"/>
          <w:color w:val="auto"/>
          <w:sz w:val="32"/>
          <w:szCs w:val="32"/>
        </w:rPr>
        <w:t>《北京文史》</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举办中轴线历史文化宣讲</w:t>
      </w:r>
      <w:r>
        <w:rPr>
          <w:rFonts w:hint="eastAsia" w:ascii="仿宋_GB2312" w:hAnsi="仿宋_GB2312" w:eastAsia="仿宋_GB2312" w:cs="仿宋_GB2312"/>
          <w:color w:val="auto"/>
          <w:sz w:val="32"/>
          <w:szCs w:val="32"/>
          <w:lang w:val="en-US" w:eastAsia="zh-CN"/>
        </w:rPr>
        <w:t>等活动，</w:t>
      </w:r>
      <w:r>
        <w:rPr>
          <w:rFonts w:hint="eastAsia" w:ascii="仿宋_GB2312" w:hAnsi="仿宋_GB2312" w:eastAsia="仿宋_GB2312" w:cs="仿宋_GB2312"/>
          <w:color w:val="auto"/>
          <w:sz w:val="32"/>
          <w:szCs w:val="32"/>
        </w:rPr>
        <w:t>深入开展习近平新时代中国特色社会主义思想学习教育，围绕“一核一城三带两区”总体框架，立足于大文史的角度弘扬正能量，突出权威性、学术性、艺术性、可读性和史料性，在强化首都风范、古都风韵、时代风貌等城市特色的基础上，持续做好首都文化这篇大文章。为扎实推进全国文化中心建设，建设人文北京，弘扬中华民族优秀传统文化做出贡献。</w:t>
      </w:r>
    </w:p>
    <w:p w14:paraId="54763FF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outlineLvl w:val="9"/>
        <w:rPr>
          <w:rFonts w:hint="default" w:ascii="仿宋_GB2312" w:hAnsi="仿宋" w:eastAsia="仿宋_GB2312" w:cs="DejaVu Sans"/>
          <w:color w:val="auto"/>
          <w:sz w:val="32"/>
          <w:lang w:val="en-US" w:eastAsia="zh-CN"/>
        </w:rPr>
      </w:pPr>
      <w:r>
        <w:rPr>
          <w:rFonts w:hint="default" w:ascii="仿宋_GB2312" w:hAnsi="仿宋" w:eastAsia="仿宋_GB2312" w:cs="DejaVu Sans"/>
          <w:color w:val="auto"/>
          <w:sz w:val="32"/>
          <w:lang w:val="en-US" w:eastAsia="zh-CN"/>
        </w:rPr>
        <w:t>通过《人物系列</w:t>
      </w:r>
      <w:r>
        <w:rPr>
          <w:rFonts w:hint="eastAsia" w:ascii="仿宋_GB2312" w:hAnsi="仿宋_GB2312" w:eastAsia="仿宋_GB2312" w:cs="仿宋_GB2312"/>
          <w:color w:val="auto"/>
          <w:sz w:val="32"/>
          <w:szCs w:val="32"/>
          <w:lang w:val="en-US" w:eastAsia="zh-CN"/>
        </w:rPr>
        <w:t>·</w:t>
      </w:r>
      <w:r>
        <w:rPr>
          <w:rFonts w:hint="default" w:ascii="仿宋_GB2312" w:hAnsi="仿宋" w:eastAsia="仿宋_GB2312" w:cs="DejaVu Sans"/>
          <w:color w:val="auto"/>
          <w:sz w:val="32"/>
          <w:lang w:val="en-US" w:eastAsia="zh-CN"/>
        </w:rPr>
        <w:t>清康熙帝》《人物系列</w:t>
      </w:r>
      <w:r>
        <w:rPr>
          <w:rFonts w:hint="eastAsia" w:ascii="仿宋_GB2312" w:hAnsi="仿宋_GB2312" w:eastAsia="仿宋_GB2312" w:cs="仿宋_GB2312"/>
          <w:color w:val="auto"/>
          <w:sz w:val="32"/>
          <w:szCs w:val="32"/>
          <w:lang w:val="en-US" w:eastAsia="zh-CN"/>
        </w:rPr>
        <w:t>·</w:t>
      </w:r>
      <w:r>
        <w:rPr>
          <w:rFonts w:hint="default" w:ascii="仿宋_GB2312" w:hAnsi="仿宋" w:eastAsia="仿宋_GB2312" w:cs="DejaVu Sans"/>
          <w:color w:val="auto"/>
          <w:sz w:val="32"/>
          <w:lang w:val="en-US" w:eastAsia="zh-CN"/>
        </w:rPr>
        <w:t>清雍正帝》</w:t>
      </w:r>
      <w:r>
        <w:rPr>
          <w:rFonts w:hint="eastAsia" w:ascii="仿宋_GB2312" w:hAnsi="仿宋" w:eastAsia="仿宋_GB2312" w:cs="DejaVu Sans"/>
          <w:color w:val="auto"/>
          <w:sz w:val="32"/>
          <w:lang w:val="en-US" w:eastAsia="zh-CN"/>
        </w:rPr>
        <w:t>专辑出版，</w:t>
      </w:r>
      <w:r>
        <w:rPr>
          <w:rFonts w:hint="default" w:ascii="仿宋_GB2312" w:hAnsi="仿宋" w:eastAsia="仿宋_GB2312" w:cs="DejaVu Sans"/>
          <w:color w:val="auto"/>
          <w:sz w:val="32"/>
          <w:lang w:val="en-US" w:eastAsia="zh-CN"/>
        </w:rPr>
        <w:t>为读者呈现出一位性格鲜明的帝王形象，进而揭示</w:t>
      </w:r>
      <w:r>
        <w:rPr>
          <w:rFonts w:hint="eastAsia" w:ascii="仿宋_GB2312" w:hAnsi="仿宋" w:eastAsia="仿宋_GB2312" w:cs="DejaVu Sans"/>
          <w:color w:val="auto"/>
          <w:sz w:val="32"/>
          <w:lang w:val="en-US" w:eastAsia="zh-CN"/>
        </w:rPr>
        <w:t>了</w:t>
      </w:r>
      <w:r>
        <w:rPr>
          <w:rFonts w:hint="default" w:ascii="仿宋_GB2312" w:hAnsi="仿宋" w:eastAsia="仿宋_GB2312" w:cs="DejaVu Sans"/>
          <w:color w:val="auto"/>
          <w:sz w:val="32"/>
          <w:lang w:val="en-US" w:eastAsia="zh-CN"/>
        </w:rPr>
        <w:t>清代政治、经济、军事、文化等社会生活的方方面面，将真实的历史还原给大众，</w:t>
      </w:r>
      <w:r>
        <w:rPr>
          <w:rFonts w:hint="eastAsia" w:ascii="仿宋_GB2312" w:hAnsi="仿宋" w:eastAsia="仿宋_GB2312" w:cs="DejaVu Sans"/>
          <w:color w:val="auto"/>
          <w:sz w:val="32"/>
          <w:lang w:val="en-US" w:eastAsia="zh-CN"/>
        </w:rPr>
        <w:t>并</w:t>
      </w:r>
      <w:r>
        <w:rPr>
          <w:rFonts w:hint="default" w:ascii="仿宋_GB2312" w:hAnsi="仿宋" w:eastAsia="仿宋_GB2312" w:cs="DejaVu Sans"/>
          <w:color w:val="auto"/>
          <w:sz w:val="32"/>
          <w:lang w:val="en-US" w:eastAsia="zh-CN"/>
        </w:rPr>
        <w:t>通过《定都北京系列</w:t>
      </w:r>
      <w:r>
        <w:rPr>
          <w:rFonts w:hint="eastAsia" w:ascii="仿宋_GB2312" w:hAnsi="仿宋_GB2312" w:eastAsia="仿宋_GB2312" w:cs="仿宋_GB2312"/>
          <w:color w:val="auto"/>
          <w:sz w:val="32"/>
          <w:szCs w:val="32"/>
          <w:lang w:val="en-US" w:eastAsia="zh-CN"/>
        </w:rPr>
        <w:t>·</w:t>
      </w:r>
      <w:r>
        <w:rPr>
          <w:rFonts w:hint="default" w:ascii="仿宋_GB2312" w:hAnsi="仿宋" w:eastAsia="仿宋_GB2312" w:cs="DejaVu Sans"/>
          <w:color w:val="auto"/>
          <w:sz w:val="32"/>
          <w:lang w:val="en-US" w:eastAsia="zh-CN"/>
        </w:rPr>
        <w:t>清北京》</w:t>
      </w:r>
      <w:r>
        <w:rPr>
          <w:rFonts w:hint="eastAsia" w:ascii="仿宋_GB2312" w:hAnsi="仿宋" w:eastAsia="仿宋_GB2312" w:cs="DejaVu Sans"/>
          <w:color w:val="auto"/>
          <w:sz w:val="32"/>
          <w:lang w:val="en-US" w:eastAsia="zh-CN"/>
        </w:rPr>
        <w:t>专辑出版，</w:t>
      </w:r>
      <w:r>
        <w:rPr>
          <w:rFonts w:hint="default" w:ascii="仿宋_GB2312" w:hAnsi="仿宋" w:eastAsia="仿宋_GB2312" w:cs="DejaVu Sans"/>
          <w:color w:val="auto"/>
          <w:sz w:val="32"/>
          <w:lang w:val="en-US" w:eastAsia="zh-CN"/>
        </w:rPr>
        <w:t>反映北京深厚的历史文化底蕴，梳理古都北京的都城史，擦亮首都历史文化金名片，</w:t>
      </w:r>
      <w:r>
        <w:rPr>
          <w:rFonts w:hint="eastAsia" w:ascii="仿宋_GB2312" w:hAnsi="仿宋" w:eastAsia="仿宋_GB2312" w:cs="DejaVu Sans"/>
          <w:color w:val="auto"/>
          <w:sz w:val="32"/>
          <w:lang w:val="en-US" w:eastAsia="zh-CN"/>
        </w:rPr>
        <w:t>进一步</w:t>
      </w:r>
      <w:r>
        <w:rPr>
          <w:rFonts w:hint="default" w:ascii="仿宋_GB2312" w:hAnsi="仿宋" w:eastAsia="仿宋_GB2312" w:cs="DejaVu Sans"/>
          <w:color w:val="auto"/>
          <w:sz w:val="32"/>
          <w:lang w:val="en-US" w:eastAsia="zh-CN"/>
        </w:rPr>
        <w:t>满足</w:t>
      </w:r>
      <w:r>
        <w:rPr>
          <w:rFonts w:hint="eastAsia" w:ascii="仿宋_GB2312" w:hAnsi="仿宋" w:eastAsia="仿宋_GB2312" w:cs="DejaVu Sans"/>
          <w:color w:val="auto"/>
          <w:sz w:val="32"/>
          <w:lang w:val="en-US" w:eastAsia="zh-CN"/>
        </w:rPr>
        <w:t>了</w:t>
      </w:r>
      <w:r>
        <w:rPr>
          <w:rFonts w:hint="default" w:ascii="仿宋_GB2312" w:hAnsi="仿宋" w:eastAsia="仿宋_GB2312" w:cs="DejaVu Sans"/>
          <w:color w:val="auto"/>
          <w:sz w:val="32"/>
          <w:lang w:val="en-US" w:eastAsia="zh-CN"/>
        </w:rPr>
        <w:t>读者了解北京历史文化的精神文化需求。</w:t>
      </w:r>
    </w:p>
    <w:p w14:paraId="55E6DA4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宋体"/>
          <w:color w:val="auto"/>
          <w:kern w:val="0"/>
          <w:sz w:val="32"/>
          <w:szCs w:val="32"/>
        </w:rPr>
      </w:pPr>
      <w:bookmarkStart w:id="7" w:name="_Toc14272"/>
      <w:r>
        <w:rPr>
          <w:rFonts w:hint="eastAsia" w:ascii="黑体" w:hAnsi="黑体" w:eastAsia="黑体" w:cs="宋体"/>
          <w:color w:val="auto"/>
          <w:kern w:val="0"/>
          <w:sz w:val="32"/>
          <w:szCs w:val="32"/>
        </w:rPr>
        <w:t>四、预算管理情况分析</w:t>
      </w:r>
      <w:bookmarkEnd w:id="7"/>
    </w:p>
    <w:p w14:paraId="1A7DF10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color w:val="auto"/>
          <w:sz w:val="32"/>
          <w:szCs w:val="32"/>
        </w:rPr>
      </w:pPr>
      <w:bookmarkStart w:id="8" w:name="_Toc23213"/>
      <w:r>
        <w:rPr>
          <w:rFonts w:hint="eastAsia" w:ascii="楷体_GB2312" w:eastAsia="楷体_GB2312"/>
          <w:color w:val="auto"/>
          <w:sz w:val="32"/>
          <w:szCs w:val="32"/>
        </w:rPr>
        <w:t>（一）财务管理</w:t>
      </w:r>
      <w:bookmarkEnd w:id="8"/>
    </w:p>
    <w:p w14:paraId="1B63AA8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1.财务</w:t>
      </w:r>
      <w:r>
        <w:rPr>
          <w:rFonts w:ascii="仿宋_GB2312" w:hAnsi="宋体" w:eastAsia="仿宋_GB2312" w:cs="宋体"/>
          <w:color w:val="auto"/>
          <w:kern w:val="0"/>
          <w:sz w:val="32"/>
          <w:szCs w:val="32"/>
        </w:rPr>
        <w:t>管理制度健全性</w:t>
      </w:r>
    </w:p>
    <w:p w14:paraId="2AC5FBE2">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（1）预算管理</w:t>
      </w:r>
    </w:p>
    <w:p w14:paraId="0DD123D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宋体" w:eastAsia="仿宋_GB2312" w:cs="宋体"/>
          <w:color w:val="auto"/>
          <w:kern w:val="0"/>
          <w:sz w:val="32"/>
          <w:szCs w:val="32"/>
          <w:lang w:val="en-US" w:eastAsia="zh-CN"/>
        </w:rPr>
      </w:pPr>
      <w:r>
        <w:rPr>
          <w:rFonts w:hint="eastAsia" w:ascii="仿宋_GB2312" w:hAnsi="宋体" w:eastAsia="仿宋_GB2312" w:cs="宋体"/>
          <w:color w:val="auto"/>
          <w:kern w:val="0"/>
          <w:sz w:val="32"/>
          <w:szCs w:val="32"/>
          <w:lang w:val="en-US" w:eastAsia="zh-CN"/>
        </w:rPr>
        <w:t>市政府参事室预算管理严格依规使用财政资金，强化财务监督，严格依照《中华</w:t>
      </w:r>
      <w:bookmarkStart w:id="19" w:name="_GoBack"/>
      <w:bookmarkEnd w:id="19"/>
      <w:r>
        <w:rPr>
          <w:rFonts w:hint="eastAsia" w:ascii="仿宋_GB2312" w:hAnsi="宋体" w:eastAsia="仿宋_GB2312" w:cs="宋体"/>
          <w:color w:val="auto"/>
          <w:kern w:val="0"/>
          <w:sz w:val="32"/>
          <w:szCs w:val="32"/>
          <w:lang w:val="en-US" w:eastAsia="zh-CN"/>
        </w:rPr>
        <w:t>人民共和国预算法》、《行政单位财务规则》、《北京市市级基本支出预算管理办法》、《北京市市级项目支出预算管理办法》等有关法律法规使用财政资金，杜绝挤占挪用财政资金的现象，并结合北京市政府参事室实际情况建立了《市政府参事室（市文史馆）内部控制手册》，纳入了《市政府参事室（市文史馆）财务管理制度》《市政府参事室（市文史馆）预算管理办法》《市政府参事室（市文史馆）预算绩效管理办法》《市政府参事室（市文史馆）收入管理办法》《市政府参事室（市文史馆）票据管理办法》《市政府参事室（市文史馆）资金支出管理办法》《市政府参事室（市文史馆）公务卡管理办法》《市政府参事室（市文史馆）印刷费管理办法》《市政府参事室（市文史馆）采购工作管理办法》《市政府参事室（市文史馆）货币资金管理办法》《市政府参事室（市文史馆）合同管理办法》等制度办法，</w:t>
      </w:r>
      <w:r>
        <w:rPr>
          <w:rFonts w:hint="eastAsia" w:ascii="仿宋_GB2312" w:hAnsi="宋体" w:eastAsia="仿宋_GB2312" w:cs="宋体"/>
          <w:color w:val="auto"/>
          <w:kern w:val="0"/>
          <w:sz w:val="32"/>
          <w:szCs w:val="32"/>
        </w:rPr>
        <w:t>各项</w:t>
      </w:r>
      <w:r>
        <w:rPr>
          <w:rFonts w:hint="eastAsia" w:ascii="仿宋_GB2312" w:hAnsi="宋体" w:eastAsia="仿宋_GB2312" w:cs="宋体"/>
          <w:color w:val="auto"/>
          <w:kern w:val="0"/>
          <w:sz w:val="32"/>
          <w:szCs w:val="32"/>
          <w:lang w:val="en-US" w:eastAsia="zh-CN"/>
        </w:rPr>
        <w:t>制度比较</w:t>
      </w:r>
      <w:r>
        <w:rPr>
          <w:rFonts w:hint="eastAsia" w:ascii="仿宋_GB2312" w:hAnsi="宋体" w:eastAsia="仿宋_GB2312" w:cs="宋体"/>
          <w:color w:val="auto"/>
          <w:kern w:val="0"/>
          <w:sz w:val="32"/>
          <w:szCs w:val="32"/>
        </w:rPr>
        <w:t>完整、合规</w:t>
      </w:r>
      <w:r>
        <w:rPr>
          <w:rFonts w:hint="eastAsia" w:ascii="仿宋_GB2312" w:hAnsi="宋体" w:eastAsia="仿宋_GB2312" w:cs="宋体"/>
          <w:color w:val="auto"/>
          <w:kern w:val="0"/>
          <w:sz w:val="32"/>
          <w:szCs w:val="32"/>
          <w:lang w:val="en-US" w:eastAsia="zh-CN"/>
        </w:rPr>
        <w:t>。市政府参事室严格按照批复下达的预算明细执行预算，各项资金要按照收支平衡的原则合理安排，不得超预算安排支出。预算在执行中原则上不予调整。因特殊情况确需调整预算的，按规定程序报送审批。</w:t>
      </w:r>
    </w:p>
    <w:p w14:paraId="4BA2728C">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2.资金使用合规性</w:t>
      </w:r>
      <w:r>
        <w:rPr>
          <w:rFonts w:ascii="仿宋_GB2312" w:hAnsi="宋体" w:eastAsia="仿宋_GB2312" w:cs="宋体"/>
          <w:color w:val="auto"/>
          <w:kern w:val="0"/>
          <w:sz w:val="32"/>
          <w:szCs w:val="32"/>
        </w:rPr>
        <w:t>和安全性</w:t>
      </w:r>
    </w:p>
    <w:p w14:paraId="0F71F7A1">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color w:val="auto"/>
        </w:rPr>
      </w:pPr>
      <w:r>
        <w:rPr>
          <w:rFonts w:hint="eastAsia" w:ascii="仿宋_GB2312" w:hAnsi="宋体" w:eastAsia="仿宋_GB2312" w:cs="宋体"/>
          <w:color w:val="auto"/>
          <w:kern w:val="0"/>
          <w:sz w:val="32"/>
          <w:szCs w:val="32"/>
          <w:lang w:val="en-US" w:eastAsia="zh-CN"/>
        </w:rPr>
        <w:t>为加强市政府参事室财务管理工作，进一步明确财务管理的职责和工作程序，促进财务工作规范化、制度化和科学化，保证财政资金安全完整，切实降低单位运行成本，保障单位各项工作发展，市政府参事室建立了《市政府参事室（市文史馆）财务管理制度》《市政府参事室（市文史馆）资金支出管理办法》《市政府参事室（市文史馆）公务卡管理办法》《市政府参事室（市文史馆）货币资金管理办法》等制度。并严</w:t>
      </w:r>
      <w:r>
        <w:rPr>
          <w:rFonts w:hint="eastAsia" w:ascii="仿宋_GB2312" w:eastAsia="仿宋_GB2312"/>
          <w:color w:val="auto"/>
          <w:sz w:val="32"/>
          <w:szCs w:val="32"/>
        </w:rPr>
        <w:t>格按照管理制度规定，对执行程序等环节进行把控，</w:t>
      </w:r>
      <w:r>
        <w:rPr>
          <w:rFonts w:hint="eastAsia" w:ascii="仿宋_GB2312" w:eastAsia="仿宋_GB2312"/>
          <w:color w:val="auto"/>
          <w:sz w:val="32"/>
          <w:szCs w:val="32"/>
          <w:lang w:val="en-US" w:eastAsia="zh-CN"/>
        </w:rPr>
        <w:t>履行</w:t>
      </w:r>
      <w:r>
        <w:rPr>
          <w:rFonts w:hint="eastAsia" w:ascii="仿宋_GB2312" w:hAnsi="宋体" w:eastAsia="仿宋_GB2312" w:cs="宋体"/>
          <w:color w:val="auto"/>
          <w:kern w:val="0"/>
          <w:sz w:val="32"/>
          <w:szCs w:val="32"/>
        </w:rPr>
        <w:t>审批程序和手续</w:t>
      </w:r>
      <w:r>
        <w:rPr>
          <w:rFonts w:hint="eastAsia" w:ascii="仿宋_GB2312" w:hAnsi="宋体" w:eastAsia="仿宋_GB2312" w:cs="宋体"/>
          <w:color w:val="auto"/>
          <w:kern w:val="0"/>
          <w:sz w:val="32"/>
          <w:szCs w:val="32"/>
          <w:lang w:eastAsia="zh-CN"/>
        </w:rPr>
        <w:t>，</w:t>
      </w:r>
      <w:r>
        <w:rPr>
          <w:rFonts w:hint="eastAsia" w:ascii="仿宋_GB2312" w:eastAsia="仿宋_GB2312"/>
          <w:color w:val="auto"/>
          <w:sz w:val="32"/>
          <w:szCs w:val="32"/>
        </w:rPr>
        <w:t>防范经济活动风险</w:t>
      </w:r>
      <w:r>
        <w:rPr>
          <w:rFonts w:hint="eastAsia" w:ascii="仿宋_GB2312" w:eastAsia="仿宋_GB2312"/>
          <w:color w:val="auto"/>
          <w:sz w:val="32"/>
          <w:szCs w:val="32"/>
          <w:lang w:eastAsia="zh-CN"/>
        </w:rPr>
        <w:t>。</w:t>
      </w:r>
    </w:p>
    <w:p w14:paraId="24E0E06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3.</w:t>
      </w:r>
      <w:r>
        <w:rPr>
          <w:rFonts w:hint="eastAsia" w:ascii="仿宋_GB2312" w:hAnsi="宋体" w:eastAsia="仿宋_GB2312" w:cs="宋体"/>
          <w:color w:val="auto"/>
          <w:kern w:val="0"/>
          <w:sz w:val="32"/>
          <w:szCs w:val="32"/>
        </w:rPr>
        <w:t>会计</w:t>
      </w:r>
      <w:r>
        <w:rPr>
          <w:rFonts w:ascii="仿宋_GB2312" w:hAnsi="宋体" w:eastAsia="仿宋_GB2312" w:cs="宋体"/>
          <w:color w:val="auto"/>
          <w:kern w:val="0"/>
          <w:sz w:val="32"/>
          <w:szCs w:val="32"/>
        </w:rPr>
        <w:t>基础信息完善性</w:t>
      </w:r>
    </w:p>
    <w:p w14:paraId="745159B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color w:val="auto"/>
        </w:rPr>
      </w:pPr>
      <w:r>
        <w:rPr>
          <w:rFonts w:hint="eastAsia" w:ascii="仿宋_GB2312" w:hAnsi="仿宋_GB2312" w:eastAsia="仿宋_GB2312" w:cs="仿宋_GB2312"/>
          <w:color w:val="auto"/>
          <w:sz w:val="32"/>
          <w:szCs w:val="32"/>
          <w:lang w:val="en-US" w:eastAsia="zh-CN"/>
        </w:rPr>
        <w:t>市政府参事室严格按照《中华人民共和国会计法》《中华人民共和国预算法》《政府会计准则——基本准则》《政府会计制度——行政事业单位会计科目和报表》等要求，对市政府参事室发生的各项经济业务或事项进行会计核算，具备财务会计与预算会计双重功能，能够全面、清晰地反映财务信息和预算执行信息。规范了会计核算，保证会计信息质量。</w:t>
      </w:r>
    </w:p>
    <w:p w14:paraId="67BC486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color w:val="auto"/>
          <w:sz w:val="32"/>
          <w:szCs w:val="32"/>
        </w:rPr>
      </w:pPr>
      <w:bookmarkStart w:id="9" w:name="_Toc22587"/>
      <w:r>
        <w:rPr>
          <w:rFonts w:hint="eastAsia" w:ascii="楷体_GB2312" w:eastAsia="楷体_GB2312"/>
          <w:color w:val="auto"/>
          <w:sz w:val="32"/>
          <w:szCs w:val="32"/>
        </w:rPr>
        <w:t>（二）资产管理</w:t>
      </w:r>
      <w:bookmarkEnd w:id="9"/>
    </w:p>
    <w:p w14:paraId="17693C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outlineLvl w:val="9"/>
        <w:rPr>
          <w:rFonts w:hint="eastAsia" w:ascii="仿宋_GB2312" w:hAnsi="楷体" w:eastAsia="仿宋_GB2312"/>
          <w:color w:val="auto"/>
          <w:kern w:val="0"/>
          <w:sz w:val="32"/>
          <w:szCs w:val="32"/>
          <w:lang w:eastAsia="zh-CN"/>
        </w:rPr>
      </w:pPr>
      <w:r>
        <w:rPr>
          <w:rFonts w:hint="eastAsia" w:ascii="仿宋_GB2312" w:hAnsi="仿宋_GB2312" w:eastAsia="仿宋_GB2312" w:cs="仿宋_GB2312"/>
          <w:color w:val="auto"/>
          <w:sz w:val="32"/>
          <w:szCs w:val="32"/>
          <w:lang w:val="en-US" w:eastAsia="zh-CN"/>
        </w:rPr>
        <w:t>2021年度，市政府参事室</w:t>
      </w:r>
      <w:r>
        <w:rPr>
          <w:rFonts w:hint="eastAsia" w:ascii="仿宋_GB2312" w:hAnsi="楷体" w:eastAsia="仿宋_GB2312"/>
          <w:color w:val="auto"/>
          <w:kern w:val="0"/>
          <w:sz w:val="32"/>
          <w:szCs w:val="32"/>
          <w:highlight w:val="none"/>
          <w:lang w:val="en-US" w:eastAsia="zh-CN"/>
        </w:rPr>
        <w:t>严格</w:t>
      </w:r>
      <w:r>
        <w:rPr>
          <w:rFonts w:hint="eastAsia" w:ascii="仿宋_GB2312" w:hAnsi="楷体" w:eastAsia="仿宋_GB2312"/>
          <w:color w:val="auto"/>
          <w:kern w:val="0"/>
          <w:sz w:val="32"/>
          <w:szCs w:val="32"/>
        </w:rPr>
        <w:t>贯彻落实《行政事业性国有资产管理条例》</w:t>
      </w:r>
      <w:r>
        <w:rPr>
          <w:rFonts w:hint="eastAsia" w:ascii="仿宋_GB2312" w:eastAsia="仿宋_GB2312"/>
          <w:color w:val="auto"/>
          <w:sz w:val="32"/>
          <w:szCs w:val="32"/>
        </w:rPr>
        <w:t>（国务院令第738号）</w:t>
      </w:r>
      <w:r>
        <w:rPr>
          <w:rFonts w:hint="eastAsia" w:ascii="仿宋_GB2312" w:eastAsia="仿宋_GB2312"/>
          <w:color w:val="auto"/>
          <w:sz w:val="32"/>
          <w:szCs w:val="32"/>
          <w:lang w:eastAsia="zh-CN"/>
        </w:rPr>
        <w:t>和</w:t>
      </w:r>
      <w:r>
        <w:rPr>
          <w:rFonts w:hint="eastAsia" w:ascii="仿宋_GB2312" w:hAnsi="楷体" w:eastAsia="仿宋_GB2312"/>
          <w:color w:val="auto"/>
          <w:kern w:val="0"/>
          <w:sz w:val="32"/>
          <w:szCs w:val="32"/>
          <w:highlight w:val="none"/>
          <w:lang w:val="en-US" w:eastAsia="zh-CN"/>
        </w:rPr>
        <w:t>各项固定资产管理制度，细化资产管理流程，切实增强各部门规范管理意识，认真履行国有资产管理职责。</w:t>
      </w:r>
      <w:r>
        <w:rPr>
          <w:rFonts w:hint="eastAsia" w:ascii="仿宋_GB2312" w:hAnsi="楷体" w:eastAsia="仿宋_GB2312"/>
          <w:color w:val="auto"/>
          <w:kern w:val="0"/>
          <w:sz w:val="32"/>
          <w:szCs w:val="32"/>
        </w:rPr>
        <w:t>为</w:t>
      </w:r>
      <w:r>
        <w:rPr>
          <w:rFonts w:hint="eastAsia" w:ascii="仿宋_GB2312" w:hAnsi="楷体" w:eastAsia="仿宋_GB2312"/>
          <w:color w:val="auto"/>
          <w:kern w:val="0"/>
          <w:sz w:val="32"/>
          <w:szCs w:val="32"/>
          <w:lang w:eastAsia="zh-CN"/>
        </w:rPr>
        <w:t>进一步</w:t>
      </w:r>
      <w:r>
        <w:rPr>
          <w:rFonts w:hint="eastAsia" w:ascii="仿宋_GB2312" w:hAnsi="楷体" w:eastAsia="仿宋_GB2312"/>
          <w:color w:val="auto"/>
          <w:kern w:val="0"/>
          <w:sz w:val="32"/>
          <w:szCs w:val="32"/>
        </w:rPr>
        <w:t>加强资产管理，</w:t>
      </w:r>
      <w:r>
        <w:rPr>
          <w:rFonts w:hint="eastAsia" w:ascii="仿宋_GB2312" w:hAnsi="楷体" w:eastAsia="仿宋_GB2312"/>
          <w:color w:val="auto"/>
          <w:kern w:val="0"/>
          <w:sz w:val="32"/>
          <w:szCs w:val="32"/>
          <w:lang w:eastAsia="zh-CN"/>
        </w:rPr>
        <w:t>保证国有资产的安全、完整，</w:t>
      </w:r>
      <w:r>
        <w:rPr>
          <w:rFonts w:hint="eastAsia" w:ascii="仿宋_GB2312" w:hAnsi="楷体" w:eastAsia="仿宋_GB2312"/>
          <w:color w:val="auto"/>
          <w:kern w:val="0"/>
          <w:sz w:val="32"/>
          <w:szCs w:val="32"/>
        </w:rPr>
        <w:t>提高</w:t>
      </w:r>
      <w:r>
        <w:rPr>
          <w:rFonts w:hint="eastAsia" w:ascii="仿宋_GB2312" w:hAnsi="楷体" w:eastAsia="仿宋_GB2312"/>
          <w:color w:val="auto"/>
          <w:kern w:val="0"/>
          <w:sz w:val="32"/>
          <w:szCs w:val="32"/>
          <w:lang w:eastAsia="zh-CN"/>
        </w:rPr>
        <w:t>固定</w:t>
      </w:r>
      <w:r>
        <w:rPr>
          <w:rFonts w:hint="eastAsia" w:ascii="仿宋_GB2312" w:hAnsi="楷体" w:eastAsia="仿宋_GB2312"/>
          <w:color w:val="auto"/>
          <w:kern w:val="0"/>
          <w:sz w:val="32"/>
          <w:szCs w:val="32"/>
        </w:rPr>
        <w:t>资产使用效</w:t>
      </w:r>
      <w:r>
        <w:rPr>
          <w:rFonts w:hint="eastAsia" w:ascii="仿宋_GB2312" w:hAnsi="楷体" w:eastAsia="仿宋_GB2312"/>
          <w:color w:val="auto"/>
          <w:kern w:val="0"/>
          <w:sz w:val="32"/>
          <w:szCs w:val="32"/>
          <w:lang w:eastAsia="zh-CN"/>
        </w:rPr>
        <w:t>率</w:t>
      </w:r>
      <w:r>
        <w:rPr>
          <w:rFonts w:hint="eastAsia" w:ascii="仿宋_GB2312" w:hAnsi="楷体" w:eastAsia="仿宋_GB2312"/>
          <w:color w:val="auto"/>
          <w:kern w:val="0"/>
          <w:sz w:val="32"/>
          <w:szCs w:val="32"/>
        </w:rPr>
        <w:t>，</w:t>
      </w:r>
      <w:r>
        <w:rPr>
          <w:rFonts w:hint="eastAsia" w:ascii="仿宋_GB2312" w:hAnsi="楷体" w:eastAsia="仿宋_GB2312"/>
          <w:color w:val="auto"/>
          <w:kern w:val="0"/>
          <w:sz w:val="32"/>
          <w:szCs w:val="32"/>
          <w:lang w:eastAsia="zh-CN"/>
        </w:rPr>
        <w:t>制定了</w:t>
      </w:r>
      <w:r>
        <w:rPr>
          <w:rFonts w:hint="eastAsia" w:ascii="仿宋_GB2312" w:hAnsi="仿宋_GB2312" w:eastAsia="仿宋_GB2312" w:cs="仿宋_GB2312"/>
          <w:color w:val="auto"/>
          <w:sz w:val="32"/>
          <w:szCs w:val="32"/>
        </w:rPr>
        <w:t>《市政府参事室（市文史馆）固定资产管理办法》</w:t>
      </w:r>
      <w:r>
        <w:rPr>
          <w:rFonts w:hint="eastAsia" w:ascii="仿宋_GB2312" w:hAnsi="仿宋_GB2312" w:eastAsia="仿宋_GB2312" w:cs="仿宋_GB2312"/>
          <w:color w:val="auto"/>
          <w:sz w:val="32"/>
          <w:szCs w:val="32"/>
          <w:lang w:eastAsia="zh-CN"/>
        </w:rPr>
        <w:t>，该办法从</w:t>
      </w:r>
      <w:r>
        <w:rPr>
          <w:rFonts w:hint="eastAsia" w:ascii="仿宋_GB2312" w:hAnsi="仿宋_GB2312" w:eastAsia="仿宋_GB2312" w:cs="仿宋_GB2312"/>
          <w:color w:val="auto"/>
          <w:sz w:val="32"/>
          <w:szCs w:val="32"/>
          <w:lang w:val="en-US" w:eastAsia="zh-CN"/>
        </w:rPr>
        <w:t>固定资产的范围及分类、固定资产管理机构和职责、固定资产的增加、固定资产的领用、固定资产的处置、固定资产的清查、固定资产的日常管理</w:t>
      </w:r>
      <w:r>
        <w:rPr>
          <w:rFonts w:hint="eastAsia" w:ascii="仿宋_GB2312" w:hAnsi="楷体" w:eastAsia="仿宋_GB2312"/>
          <w:color w:val="auto"/>
          <w:kern w:val="0"/>
          <w:sz w:val="32"/>
          <w:szCs w:val="32"/>
        </w:rPr>
        <w:t>等方面明确和规范了固定资产全流程管理</w:t>
      </w:r>
      <w:r>
        <w:rPr>
          <w:rFonts w:hint="eastAsia" w:ascii="仿宋_GB2312" w:hAnsi="楷体" w:eastAsia="仿宋_GB2312"/>
          <w:color w:val="auto"/>
          <w:kern w:val="0"/>
          <w:sz w:val="32"/>
          <w:szCs w:val="32"/>
          <w:lang w:eastAsia="zh-CN"/>
        </w:rPr>
        <w:t>制度。</w:t>
      </w:r>
    </w:p>
    <w:p w14:paraId="66C265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textAlignment w:val="auto"/>
        <w:outlineLvl w:val="9"/>
        <w:rPr>
          <w:color w:val="auto"/>
        </w:rPr>
      </w:pPr>
      <w:r>
        <w:rPr>
          <w:rFonts w:hint="eastAsia" w:ascii="仿宋_GB2312" w:hAnsi="楷体" w:eastAsia="仿宋_GB2312"/>
          <w:color w:val="auto"/>
          <w:kern w:val="0"/>
          <w:sz w:val="32"/>
          <w:szCs w:val="32"/>
          <w:lang w:eastAsia="zh-CN"/>
        </w:rPr>
        <w:t>资产日常管理</w:t>
      </w:r>
      <w:r>
        <w:rPr>
          <w:rFonts w:hint="eastAsia" w:ascii="仿宋_GB2312" w:hAnsi="楷体" w:eastAsia="仿宋_GB2312"/>
          <w:color w:val="auto"/>
          <w:kern w:val="0"/>
          <w:sz w:val="32"/>
          <w:szCs w:val="32"/>
          <w:lang w:val="en-US" w:eastAsia="zh-CN"/>
        </w:rPr>
        <w:t>中</w:t>
      </w:r>
      <w:r>
        <w:rPr>
          <w:rFonts w:hint="eastAsia" w:ascii="仿宋_GB2312" w:hAnsi="楷体" w:eastAsia="仿宋_GB2312"/>
          <w:color w:val="auto"/>
          <w:kern w:val="0"/>
          <w:sz w:val="32"/>
          <w:szCs w:val="32"/>
          <w:lang w:eastAsia="zh-CN"/>
        </w:rPr>
        <w:t>严格规范固定资产的录入、使用、</w:t>
      </w:r>
      <w:r>
        <w:rPr>
          <w:rFonts w:hint="eastAsia" w:ascii="仿宋_GB2312" w:hAnsi="楷体" w:eastAsia="仿宋_GB2312"/>
          <w:color w:val="auto"/>
          <w:kern w:val="0"/>
          <w:sz w:val="32"/>
          <w:szCs w:val="32"/>
          <w:lang w:val="en-US" w:eastAsia="zh-CN"/>
        </w:rPr>
        <w:t>移交</w:t>
      </w:r>
      <w:r>
        <w:rPr>
          <w:rFonts w:hint="eastAsia" w:ascii="仿宋_GB2312" w:hAnsi="楷体" w:eastAsia="仿宋_GB2312"/>
          <w:color w:val="auto"/>
          <w:kern w:val="0"/>
          <w:sz w:val="32"/>
          <w:szCs w:val="32"/>
          <w:lang w:eastAsia="zh-CN"/>
        </w:rPr>
        <w:t>、处置等环节流程。加大与实物管理部门的沟通，确保资产变动信息得到及时更新。</w:t>
      </w:r>
    </w:p>
    <w:p w14:paraId="1E7B2E3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color w:val="auto"/>
          <w:sz w:val="32"/>
          <w:szCs w:val="32"/>
        </w:rPr>
      </w:pPr>
      <w:bookmarkStart w:id="10" w:name="_Toc23231"/>
      <w:r>
        <w:rPr>
          <w:rFonts w:hint="eastAsia" w:ascii="楷体_GB2312" w:eastAsia="楷体_GB2312"/>
          <w:color w:val="auto"/>
          <w:sz w:val="32"/>
          <w:szCs w:val="32"/>
        </w:rPr>
        <w:t>（三）绩效管理</w:t>
      </w:r>
      <w:bookmarkEnd w:id="10"/>
    </w:p>
    <w:p w14:paraId="5A1376EE">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全面实施预算绩效管理，建立科学、合理的项目支出绩效评价管理体系，市政府参事室根据《北京市项目支出绩效评价管理办法》（京财绩效〔2020〕2146号）和《北京市财政局关于开展2022年全面预算绩效管理工作的通知》（京财绩效〔2022〕669号），</w:t>
      </w:r>
      <w:r>
        <w:rPr>
          <w:rFonts w:hint="eastAsia" w:ascii="仿宋_GB2312" w:eastAsia="仿宋_GB2312"/>
          <w:color w:val="auto"/>
          <w:sz w:val="32"/>
          <w:szCs w:val="32"/>
        </w:rPr>
        <w:t>成立了绩效评价工作组，</w:t>
      </w:r>
      <w:r>
        <w:rPr>
          <w:rFonts w:hint="eastAsia" w:ascii="仿宋_GB2312" w:hAnsi="仿宋_GB2312" w:eastAsia="仿宋_GB2312" w:cs="仿宋_GB2312"/>
          <w:color w:val="auto"/>
          <w:sz w:val="32"/>
          <w:szCs w:val="32"/>
          <w:lang w:val="en-US" w:eastAsia="zh-CN"/>
        </w:rPr>
        <w:t>制定了实施方案，由</w:t>
      </w:r>
      <w:r>
        <w:rPr>
          <w:rFonts w:hint="eastAsia" w:ascii="仿宋_GB2312" w:eastAsia="仿宋_GB2312"/>
          <w:color w:val="auto"/>
          <w:sz w:val="32"/>
          <w:szCs w:val="32"/>
        </w:rPr>
        <w:t>主要领导担任工作组组长，负责协调、处理、决定绩效评价工作中的重大事项，研究解决工作中遇到的重大问题。</w:t>
      </w:r>
      <w:r>
        <w:rPr>
          <w:rFonts w:hint="eastAsia" w:ascii="仿宋_GB2312" w:eastAsia="仿宋_GB2312"/>
          <w:color w:val="auto"/>
          <w:sz w:val="32"/>
          <w:szCs w:val="32"/>
          <w:lang w:val="en-US" w:eastAsia="zh-CN"/>
        </w:rPr>
        <w:t>秘书处</w:t>
      </w:r>
      <w:r>
        <w:rPr>
          <w:rFonts w:hint="eastAsia" w:ascii="仿宋_GB2312" w:eastAsia="仿宋_GB2312"/>
          <w:color w:val="auto"/>
          <w:sz w:val="32"/>
          <w:szCs w:val="32"/>
        </w:rPr>
        <w:t>及项目实施部门作为成员单位，其中</w:t>
      </w:r>
      <w:r>
        <w:rPr>
          <w:rFonts w:hint="eastAsia" w:ascii="仿宋_GB2312" w:eastAsia="仿宋_GB2312"/>
          <w:color w:val="auto"/>
          <w:sz w:val="32"/>
          <w:szCs w:val="32"/>
          <w:lang w:val="en-US" w:eastAsia="zh-CN"/>
        </w:rPr>
        <w:t>秘书处</w:t>
      </w:r>
      <w:r>
        <w:rPr>
          <w:rFonts w:hint="eastAsia" w:ascii="仿宋_GB2312" w:eastAsia="仿宋_GB2312"/>
          <w:color w:val="auto"/>
          <w:sz w:val="32"/>
          <w:szCs w:val="32"/>
        </w:rPr>
        <w:t>为牵头部门，负责具体组织绩效评价工作，组织审核相关资料、撰写报告等。项目实施部门负责项目资料的归集和整理，并填写项目支出绩效自评表，由</w:t>
      </w:r>
      <w:r>
        <w:rPr>
          <w:rFonts w:hint="eastAsia" w:ascii="仿宋_GB2312" w:eastAsia="仿宋_GB2312"/>
          <w:color w:val="auto"/>
          <w:sz w:val="32"/>
          <w:szCs w:val="32"/>
          <w:lang w:val="en-US" w:eastAsia="zh-CN"/>
        </w:rPr>
        <w:t>秘书处</w:t>
      </w:r>
      <w:r>
        <w:rPr>
          <w:rFonts w:hint="eastAsia" w:ascii="仿宋_GB2312" w:eastAsia="仿宋_GB2312"/>
          <w:color w:val="auto"/>
          <w:sz w:val="32"/>
          <w:szCs w:val="32"/>
        </w:rPr>
        <w:t>审核</w:t>
      </w:r>
      <w:r>
        <w:rPr>
          <w:rFonts w:hint="eastAsia" w:ascii="仿宋_GB2312" w:hAnsi="仿宋_GB2312" w:eastAsia="仿宋_GB2312" w:cs="仿宋_GB2312"/>
          <w:color w:val="auto"/>
          <w:sz w:val="32"/>
          <w:szCs w:val="32"/>
          <w:lang w:val="en-US" w:eastAsia="zh-CN"/>
        </w:rPr>
        <w:t>。包括：部门绩效评价、单位自评和部门整体绩效评价。开展评价项目共计7个，涉及金额</w:t>
      </w:r>
      <w:r>
        <w:rPr>
          <w:rFonts w:hint="eastAsia" w:ascii="仿宋_GB2312" w:hAnsi="宋体" w:eastAsia="仿宋_GB2312" w:cs="宋体"/>
          <w:color w:val="auto"/>
          <w:kern w:val="0"/>
          <w:sz w:val="32"/>
          <w:szCs w:val="32"/>
          <w:lang w:val="en-US" w:eastAsia="zh-CN"/>
        </w:rPr>
        <w:t>259.00506</w:t>
      </w:r>
      <w:r>
        <w:rPr>
          <w:rFonts w:hint="eastAsia" w:ascii="仿宋_GB2312" w:hAnsi="仿宋_GB2312" w:eastAsia="仿宋_GB2312" w:cs="仿宋_GB2312"/>
          <w:color w:val="auto"/>
          <w:sz w:val="32"/>
          <w:szCs w:val="32"/>
          <w:lang w:val="en-US" w:eastAsia="zh-CN"/>
        </w:rPr>
        <w:t>万元。其中：</w:t>
      </w:r>
    </w:p>
    <w:p w14:paraId="0EF8C2D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宋体" w:eastAsia="仿宋_GB2312" w:cs="宋体"/>
          <w:color w:val="auto"/>
          <w:kern w:val="0"/>
          <w:sz w:val="32"/>
          <w:szCs w:val="32"/>
          <w:lang w:val="en-US" w:eastAsia="zh-CN"/>
        </w:rPr>
        <w:t>部门评价项目2个，为“《北京文史》出版经费项目”和“馆员文库项目”，涉及金额110.817749万元，</w:t>
      </w:r>
      <w:r>
        <w:rPr>
          <w:rFonts w:hint="eastAsia" w:ascii="仿宋_GB2312" w:hAnsi="仿宋_GB2312" w:eastAsia="仿宋_GB2312" w:cs="仿宋_GB2312"/>
          <w:color w:val="auto"/>
          <w:sz w:val="32"/>
          <w:szCs w:val="32"/>
          <w:lang w:val="en-US" w:eastAsia="zh-CN"/>
        </w:rPr>
        <w:t>评价得分均在80（含）-90分之间。</w:t>
      </w:r>
    </w:p>
    <w:p w14:paraId="0CC6F18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宋体" w:eastAsia="仿宋_GB2312" w:cs="宋体"/>
          <w:color w:val="auto"/>
          <w:kern w:val="0"/>
          <w:sz w:val="32"/>
          <w:szCs w:val="32"/>
          <w:lang w:val="en-US" w:eastAsia="zh-CN"/>
        </w:rPr>
      </w:pPr>
      <w:r>
        <w:rPr>
          <w:rFonts w:hint="eastAsia" w:ascii="仿宋_GB2312" w:hAnsi="仿宋_GB2312" w:eastAsia="仿宋_GB2312" w:cs="仿宋_GB2312"/>
          <w:color w:val="auto"/>
          <w:sz w:val="32"/>
          <w:szCs w:val="32"/>
          <w:lang w:val="en-US" w:eastAsia="zh-CN"/>
        </w:rPr>
        <w:t>单位自评项目5个，涉及金额148.187311万元，评价得分在90（含）-100分的3个，评价得分在80（含）-90分的2个。</w:t>
      </w:r>
    </w:p>
    <w:p w14:paraId="2EEF1F6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从评价情况来看，各项目能够较好地按照预算编制要求完成，各项目标及指标的完成情况较好，项目执行过程比较规范，符合相关制度要求，项目执行金额能够控制在全年预算范围内，项目效果基本达到预定目标。</w:t>
      </w:r>
    </w:p>
    <w:p w14:paraId="5BDBF3D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通过组织绩效评价工作，全面、客观地反映了项目实施的工作成效，对项目决策、项目过程、项目产出、项目效益方面存在的不足提出了合理化建议，使预算管理更加科学、完善，进而规范了资金的使用管理，强化了项目实施部门预算成本控制、完善了绩效管理工作，以点带面提升了全局预算绩效管理水平。</w:t>
      </w:r>
    </w:p>
    <w:p w14:paraId="4561237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color w:val="auto"/>
          <w:sz w:val="32"/>
          <w:szCs w:val="32"/>
        </w:rPr>
      </w:pPr>
      <w:bookmarkStart w:id="11" w:name="_Toc5913"/>
      <w:r>
        <w:rPr>
          <w:rFonts w:hint="eastAsia" w:ascii="楷体_GB2312" w:eastAsia="楷体_GB2312"/>
          <w:color w:val="auto"/>
          <w:sz w:val="32"/>
          <w:szCs w:val="32"/>
        </w:rPr>
        <w:t>（四）结转结余率</w:t>
      </w:r>
      <w:bookmarkEnd w:id="11"/>
    </w:p>
    <w:p w14:paraId="06E5DD0E">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2021年末部门预算结转结余总额343.809680万元，与支出预算数2,830.302080万元比，结转结余率12.15%；2020年末部门预算结转结余总额393.252390万元，支出预算数2,739.467968万元，结转结余率14.36%，2021年度结转结余率低于2020年度2.21个百分点。</w:t>
      </w:r>
    </w:p>
    <w:p w14:paraId="04B051F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color w:val="auto"/>
          <w:sz w:val="32"/>
          <w:szCs w:val="32"/>
        </w:rPr>
      </w:pPr>
      <w:bookmarkStart w:id="12" w:name="_Toc13839"/>
      <w:r>
        <w:rPr>
          <w:rFonts w:hint="eastAsia" w:ascii="楷体_GB2312" w:eastAsia="楷体_GB2312"/>
          <w:color w:val="auto"/>
          <w:sz w:val="32"/>
          <w:szCs w:val="32"/>
        </w:rPr>
        <w:t>（五）部门预决算差异率</w:t>
      </w:r>
      <w:bookmarkEnd w:id="12"/>
    </w:p>
    <w:p w14:paraId="6F4B1015">
      <w:pPr>
        <w:keepNext w:val="0"/>
        <w:keepLines w:val="0"/>
        <w:pageBreakBefore w:val="0"/>
        <w:widowControl w:val="0"/>
        <w:kinsoku/>
        <w:wordWrap/>
        <w:overflowPunct/>
        <w:topLinePunct w:val="0"/>
        <w:autoSpaceDE/>
        <w:autoSpaceDN/>
        <w:bidi w:val="0"/>
        <w:adjustRightInd/>
        <w:spacing w:line="560" w:lineRule="exact"/>
        <w:ind w:left="0" w:leftChars="0"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2021年度年初预算数2,711.995386万元，2021年度决算数2,486.492400万元，预决算差异率-8.32%，低于市级平均差异率28.30%，部门预算的约束力较好。</w:t>
      </w:r>
    </w:p>
    <w:p w14:paraId="3481F14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宋体"/>
          <w:color w:val="auto"/>
          <w:kern w:val="0"/>
          <w:sz w:val="32"/>
          <w:szCs w:val="32"/>
        </w:rPr>
      </w:pPr>
      <w:bookmarkStart w:id="13" w:name="_Toc15890"/>
      <w:r>
        <w:rPr>
          <w:rFonts w:hint="eastAsia" w:ascii="黑体" w:hAnsi="黑体" w:eastAsia="黑体" w:cs="宋体"/>
          <w:color w:val="auto"/>
          <w:kern w:val="0"/>
          <w:sz w:val="32"/>
          <w:szCs w:val="32"/>
        </w:rPr>
        <w:t>五、总体评价结论</w:t>
      </w:r>
      <w:bookmarkEnd w:id="13"/>
    </w:p>
    <w:p w14:paraId="79E448E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color w:val="auto"/>
          <w:sz w:val="32"/>
          <w:szCs w:val="32"/>
        </w:rPr>
      </w:pPr>
      <w:bookmarkStart w:id="14" w:name="_Toc5255"/>
      <w:r>
        <w:rPr>
          <w:rFonts w:hint="eastAsia" w:ascii="楷体_GB2312" w:eastAsia="楷体_GB2312"/>
          <w:color w:val="auto"/>
          <w:sz w:val="32"/>
          <w:szCs w:val="32"/>
        </w:rPr>
        <w:t>（一）评价得分情况</w:t>
      </w:r>
      <w:bookmarkEnd w:id="14"/>
    </w:p>
    <w:p w14:paraId="03C7E3B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部门整体绩效评价综合得分90.37分，其中：当年预算执行情况17.57分、整体绩效目标实现情况54.00分、预算管理情况18.80分。</w:t>
      </w:r>
    </w:p>
    <w:p w14:paraId="1426E84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2021年部门整体绩效评价指标体系评分一览表</w:t>
      </w:r>
    </w:p>
    <w:tbl>
      <w:tblPr>
        <w:tblStyle w:val="10"/>
        <w:tblW w:w="9210" w:type="dxa"/>
        <w:tblInd w:w="-94" w:type="dxa"/>
        <w:shd w:val="clear" w:color="auto" w:fill="auto"/>
        <w:tblLayout w:type="fixed"/>
        <w:tblCellMar>
          <w:top w:w="0" w:type="dxa"/>
          <w:left w:w="0" w:type="dxa"/>
          <w:bottom w:w="0" w:type="dxa"/>
          <w:right w:w="0" w:type="dxa"/>
        </w:tblCellMar>
      </w:tblPr>
      <w:tblGrid>
        <w:gridCol w:w="2003"/>
        <w:gridCol w:w="1695"/>
        <w:gridCol w:w="3360"/>
        <w:gridCol w:w="1095"/>
        <w:gridCol w:w="1057"/>
      </w:tblGrid>
      <w:tr w14:paraId="73004EF9">
        <w:tblPrEx>
          <w:shd w:val="clear" w:color="auto" w:fill="auto"/>
        </w:tblPrEx>
        <w:trPr>
          <w:trHeight w:val="572" w:hRule="atLeast"/>
          <w:tblHeader/>
        </w:trPr>
        <w:tc>
          <w:tcPr>
            <w:tcW w:w="200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B463560">
            <w:pPr>
              <w:keepNext w:val="0"/>
              <w:keepLines w:val="0"/>
              <w:pageBreakBefore w:val="0"/>
              <w:widowControl/>
              <w:suppressLineNumbers w:val="0"/>
              <w:kinsoku/>
              <w:wordWrap/>
              <w:overflowPunct/>
              <w:topLinePunct w:val="0"/>
              <w:autoSpaceDE/>
              <w:autoSpaceDN/>
              <w:bidi w:val="0"/>
              <w:adjustRightInd/>
              <w:spacing w:line="560" w:lineRule="exact"/>
              <w:ind w:left="0" w:leftChars="0"/>
              <w:jc w:val="center"/>
              <w:textAlignment w:val="center"/>
              <w:rPr>
                <w:rFonts w:ascii="仿宋_GB2312" w:hAnsi="Arial" w:eastAsia="仿宋_GB2312" w:cs="仿宋_GB2312"/>
                <w:b/>
                <w:i w:val="0"/>
                <w:color w:val="auto"/>
                <w:sz w:val="24"/>
                <w:szCs w:val="24"/>
                <w:u w:val="none"/>
              </w:rPr>
            </w:pPr>
            <w:r>
              <w:rPr>
                <w:rFonts w:hint="eastAsia" w:ascii="仿宋_GB2312" w:hAnsi="Arial" w:eastAsia="仿宋_GB2312" w:cs="仿宋_GB2312"/>
                <w:b/>
                <w:i w:val="0"/>
                <w:color w:val="auto"/>
                <w:kern w:val="0"/>
                <w:sz w:val="24"/>
                <w:szCs w:val="24"/>
                <w:u w:val="none"/>
                <w:lang w:val="en-US" w:eastAsia="zh-CN" w:bidi="ar"/>
              </w:rPr>
              <w:t>一级指标</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39CBE5D">
            <w:pPr>
              <w:keepNext w:val="0"/>
              <w:keepLines w:val="0"/>
              <w:pageBreakBefore w:val="0"/>
              <w:widowControl/>
              <w:suppressLineNumbers w:val="0"/>
              <w:kinsoku/>
              <w:wordWrap/>
              <w:overflowPunct/>
              <w:topLinePunct w:val="0"/>
              <w:autoSpaceDE/>
              <w:autoSpaceDN/>
              <w:bidi w:val="0"/>
              <w:adjustRightInd/>
              <w:spacing w:line="560" w:lineRule="exact"/>
              <w:ind w:left="0" w:leftChars="0"/>
              <w:jc w:val="center"/>
              <w:textAlignment w:val="center"/>
              <w:rPr>
                <w:rFonts w:hint="eastAsia" w:ascii="仿宋_GB2312" w:hAnsi="Arial" w:eastAsia="仿宋_GB2312" w:cs="仿宋_GB2312"/>
                <w:b/>
                <w:i w:val="0"/>
                <w:color w:val="auto"/>
                <w:sz w:val="24"/>
                <w:szCs w:val="24"/>
                <w:u w:val="none"/>
              </w:rPr>
            </w:pPr>
            <w:r>
              <w:rPr>
                <w:rFonts w:hint="eastAsia" w:ascii="仿宋_GB2312" w:hAnsi="Arial" w:eastAsia="仿宋_GB2312" w:cs="仿宋_GB2312"/>
                <w:b/>
                <w:i w:val="0"/>
                <w:color w:val="auto"/>
                <w:kern w:val="0"/>
                <w:sz w:val="24"/>
                <w:szCs w:val="24"/>
                <w:u w:val="none"/>
                <w:lang w:val="en-US" w:eastAsia="zh-CN" w:bidi="ar"/>
              </w:rPr>
              <w:t>二级指标</w:t>
            </w: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462DB3C">
            <w:pPr>
              <w:keepNext w:val="0"/>
              <w:keepLines w:val="0"/>
              <w:pageBreakBefore w:val="0"/>
              <w:widowControl/>
              <w:suppressLineNumbers w:val="0"/>
              <w:kinsoku/>
              <w:wordWrap/>
              <w:overflowPunct/>
              <w:topLinePunct w:val="0"/>
              <w:autoSpaceDE/>
              <w:autoSpaceDN/>
              <w:bidi w:val="0"/>
              <w:adjustRightInd/>
              <w:spacing w:line="560" w:lineRule="exact"/>
              <w:ind w:left="0" w:leftChars="0"/>
              <w:jc w:val="center"/>
              <w:textAlignment w:val="center"/>
              <w:rPr>
                <w:rFonts w:hint="eastAsia" w:ascii="仿宋_GB2312" w:hAnsi="Arial" w:eastAsia="仿宋_GB2312" w:cs="仿宋_GB2312"/>
                <w:b/>
                <w:i w:val="0"/>
                <w:color w:val="auto"/>
                <w:sz w:val="24"/>
                <w:szCs w:val="24"/>
                <w:u w:val="none"/>
              </w:rPr>
            </w:pPr>
            <w:r>
              <w:rPr>
                <w:rFonts w:hint="eastAsia" w:ascii="仿宋_GB2312" w:hAnsi="Arial" w:eastAsia="仿宋_GB2312" w:cs="仿宋_GB2312"/>
                <w:b/>
                <w:i w:val="0"/>
                <w:color w:val="auto"/>
                <w:kern w:val="0"/>
                <w:sz w:val="24"/>
                <w:szCs w:val="24"/>
                <w:u w:val="none"/>
                <w:lang w:val="en-US" w:eastAsia="zh-CN" w:bidi="ar"/>
              </w:rPr>
              <w:t>三级指标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14AEE98">
            <w:pPr>
              <w:keepNext w:val="0"/>
              <w:keepLines w:val="0"/>
              <w:pageBreakBefore w:val="0"/>
              <w:widowControl/>
              <w:suppressLineNumbers w:val="0"/>
              <w:kinsoku/>
              <w:wordWrap/>
              <w:overflowPunct/>
              <w:topLinePunct w:val="0"/>
              <w:autoSpaceDE/>
              <w:autoSpaceDN/>
              <w:bidi w:val="0"/>
              <w:adjustRightInd/>
              <w:spacing w:line="560" w:lineRule="exact"/>
              <w:ind w:left="0" w:leftChars="0"/>
              <w:jc w:val="center"/>
              <w:textAlignment w:val="center"/>
              <w:rPr>
                <w:rFonts w:hint="eastAsia" w:ascii="仿宋_GB2312" w:hAnsi="Arial" w:eastAsia="仿宋_GB2312" w:cs="仿宋_GB2312"/>
                <w:b/>
                <w:i w:val="0"/>
                <w:color w:val="auto"/>
                <w:sz w:val="24"/>
                <w:szCs w:val="24"/>
                <w:u w:val="none"/>
              </w:rPr>
            </w:pPr>
            <w:r>
              <w:rPr>
                <w:rFonts w:hint="eastAsia" w:ascii="仿宋_GB2312" w:hAnsi="Arial" w:eastAsia="仿宋_GB2312" w:cs="仿宋_GB2312"/>
                <w:b/>
                <w:i w:val="0"/>
                <w:color w:val="auto"/>
                <w:kern w:val="0"/>
                <w:sz w:val="24"/>
                <w:szCs w:val="24"/>
                <w:u w:val="none"/>
                <w:lang w:val="en-US" w:eastAsia="zh-CN" w:bidi="ar"/>
              </w:rPr>
              <w:t>分值</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160484B">
            <w:pPr>
              <w:keepNext w:val="0"/>
              <w:keepLines w:val="0"/>
              <w:pageBreakBefore w:val="0"/>
              <w:widowControl/>
              <w:suppressLineNumbers w:val="0"/>
              <w:kinsoku/>
              <w:wordWrap/>
              <w:overflowPunct/>
              <w:topLinePunct w:val="0"/>
              <w:autoSpaceDE/>
              <w:autoSpaceDN/>
              <w:bidi w:val="0"/>
              <w:adjustRightInd/>
              <w:spacing w:line="560" w:lineRule="exact"/>
              <w:ind w:left="0" w:leftChars="0"/>
              <w:jc w:val="center"/>
              <w:textAlignment w:val="center"/>
              <w:rPr>
                <w:rFonts w:hint="eastAsia" w:ascii="仿宋_GB2312" w:hAnsi="Arial" w:eastAsia="仿宋_GB2312" w:cs="仿宋_GB2312"/>
                <w:b/>
                <w:i w:val="0"/>
                <w:color w:val="auto"/>
                <w:sz w:val="24"/>
                <w:szCs w:val="24"/>
                <w:u w:val="none"/>
              </w:rPr>
            </w:pPr>
            <w:r>
              <w:rPr>
                <w:rFonts w:hint="eastAsia" w:ascii="仿宋_GB2312" w:hAnsi="Arial" w:eastAsia="仿宋_GB2312" w:cs="仿宋_GB2312"/>
                <w:b/>
                <w:i w:val="0"/>
                <w:color w:val="auto"/>
                <w:kern w:val="0"/>
                <w:sz w:val="24"/>
                <w:szCs w:val="24"/>
                <w:u w:val="none"/>
                <w:lang w:val="en-US" w:eastAsia="zh-CN" w:bidi="ar"/>
              </w:rPr>
              <w:t>得分</w:t>
            </w:r>
          </w:p>
        </w:tc>
      </w:tr>
      <w:tr w14:paraId="4C387598">
        <w:tblPrEx>
          <w:shd w:val="clear" w:color="auto" w:fill="auto"/>
        </w:tblPrEx>
        <w:trPr>
          <w:trHeight w:val="764" w:hRule="atLeast"/>
        </w:trPr>
        <w:tc>
          <w:tcPr>
            <w:tcW w:w="200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EAF091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Arial" w:eastAsia="仿宋_GB2312" w:cs="仿宋_GB2312"/>
                <w:i w:val="0"/>
                <w:color w:val="auto"/>
                <w:sz w:val="24"/>
                <w:szCs w:val="24"/>
                <w:u w:val="none"/>
              </w:rPr>
            </w:pPr>
            <w:r>
              <w:rPr>
                <w:rFonts w:hint="eastAsia" w:ascii="仿宋_GB2312" w:hAnsi="Arial" w:eastAsia="仿宋_GB2312" w:cs="仿宋_GB2312"/>
                <w:i w:val="0"/>
                <w:color w:val="auto"/>
                <w:kern w:val="0"/>
                <w:sz w:val="24"/>
                <w:szCs w:val="24"/>
                <w:u w:val="none"/>
                <w:lang w:val="en-US" w:eastAsia="zh-CN" w:bidi="ar"/>
              </w:rPr>
              <w:t>当年预算执行情况（20分）</w:t>
            </w: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C92F0F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w:t>
            </w: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7029DA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94E3A7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18FE4D3">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17.57</w:t>
            </w:r>
          </w:p>
        </w:tc>
      </w:tr>
      <w:tr w14:paraId="5ED0D3AF">
        <w:tblPrEx>
          <w:shd w:val="clear" w:color="auto" w:fill="auto"/>
        </w:tblPrEx>
        <w:trPr>
          <w:trHeight w:val="809" w:hRule="atLeast"/>
        </w:trPr>
        <w:tc>
          <w:tcPr>
            <w:tcW w:w="20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1463819">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Arial" w:eastAsia="仿宋_GB2312" w:cs="仿宋_GB2312"/>
                <w:i w:val="0"/>
                <w:color w:val="auto"/>
                <w:sz w:val="24"/>
                <w:szCs w:val="24"/>
                <w:u w:val="none"/>
              </w:rPr>
            </w:pPr>
            <w:r>
              <w:rPr>
                <w:rFonts w:hint="eastAsia" w:ascii="仿宋_GB2312" w:hAnsi="Arial" w:eastAsia="仿宋_GB2312" w:cs="仿宋_GB2312"/>
                <w:i w:val="0"/>
                <w:color w:val="auto"/>
                <w:kern w:val="0"/>
                <w:sz w:val="24"/>
                <w:szCs w:val="24"/>
                <w:u w:val="none"/>
                <w:lang w:val="en-US" w:eastAsia="zh-CN" w:bidi="ar"/>
              </w:rPr>
              <w:t>整体绩效目标实现情况（60分）</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04CB36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产出（30）</w:t>
            </w: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5E3FD141">
            <w:pPr>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rPr>
              <w:t>组织参事开展调研活动，提出对策建议</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E14D43A">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B45759A">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r>
      <w:tr w14:paraId="3793E2A4">
        <w:tblPrEx>
          <w:shd w:val="clear" w:color="auto" w:fill="auto"/>
        </w:tblPrEx>
        <w:trPr>
          <w:trHeight w:val="794"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6FB450F">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5D1A4F2">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70E84A9D">
            <w:pPr>
              <w:widowControl/>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rPr>
              <w:t>完成《北京地域文化通览》前期编辑工作</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83CF2EB">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A9B9CA4">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lang w:val="en-US" w:eastAsia="zh-CN"/>
              </w:rPr>
              <w:t>3</w:t>
            </w:r>
          </w:p>
        </w:tc>
      </w:tr>
      <w:tr w14:paraId="5B1280BF">
        <w:tblPrEx>
          <w:shd w:val="clear" w:color="auto" w:fill="auto"/>
        </w:tblPrEx>
        <w:trPr>
          <w:trHeight w:val="917"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6A8E71A">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8A5EAE3">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4A391C3F">
            <w:pPr>
              <w:widowControl/>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rPr>
              <w:t>组织参事馆员中轴线历史文化宣讲团进行宣讲50次</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46D7002">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6C77269">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lang w:val="en-US" w:eastAsia="zh-CN"/>
              </w:rPr>
              <w:t>3</w:t>
            </w:r>
          </w:p>
        </w:tc>
      </w:tr>
      <w:tr w14:paraId="36BB9420">
        <w:tblPrEx>
          <w:shd w:val="clear" w:color="auto" w:fill="auto"/>
        </w:tblPrEx>
        <w:trPr>
          <w:trHeight w:val="884"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50C5F24">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EB6BE36">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64EC1630">
            <w:pPr>
              <w:widowControl/>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rPr>
              <w:t>编辑出版“馆员文库”—林岫馆员《紫竹斋诗话》</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9166CA3">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D0798DA">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lang w:val="en-US" w:eastAsia="zh-CN"/>
              </w:rPr>
              <w:t>3</w:t>
            </w:r>
          </w:p>
        </w:tc>
      </w:tr>
      <w:tr w14:paraId="11031D6E">
        <w:tblPrEx>
          <w:shd w:val="clear" w:color="auto" w:fill="auto"/>
        </w:tblPrEx>
        <w:trPr>
          <w:trHeight w:val="916"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B9AFB01">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0D2703E">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7C2BC887">
            <w:pPr>
              <w:widowControl/>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rPr>
              <w:t>组织馆员创作的馆藏书画作品进行展览</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A8559FD">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D298595">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color w:val="auto"/>
                <w:kern w:val="0"/>
                <w:sz w:val="24"/>
                <w:szCs w:val="24"/>
                <w:lang w:val="en-US" w:eastAsia="zh-CN"/>
              </w:rPr>
              <w:t>3</w:t>
            </w:r>
          </w:p>
        </w:tc>
      </w:tr>
      <w:tr w14:paraId="06C9FB28">
        <w:tblPrEx>
          <w:shd w:val="clear" w:color="auto" w:fill="auto"/>
        </w:tblPrEx>
        <w:trPr>
          <w:trHeight w:val="1253"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758D77B">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86F5AB9">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696DB842">
            <w:pPr>
              <w:widowControl/>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eastAsia="zh-CN"/>
              </w:rPr>
              <w:t>编辑出版四期《北京文史》</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1106D25">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DACD993">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r>
      <w:tr w14:paraId="7C1F1B0A">
        <w:tblPrEx>
          <w:shd w:val="clear" w:color="auto" w:fill="auto"/>
        </w:tblPrEx>
        <w:trPr>
          <w:trHeight w:val="869"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5FA45C4">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3DAF4C3">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6875671C">
            <w:pPr>
              <w:widowControl/>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rPr>
              <w:t>进行《定都北京系列·清北京》《人物系列·清康熙帝》《人物系列·清雍正帝》专辑出版工作</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4FC8441">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ABA151C">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r>
      <w:tr w14:paraId="2432CD6B">
        <w:tblPrEx>
          <w:shd w:val="clear" w:color="auto" w:fill="auto"/>
        </w:tblPrEx>
        <w:trPr>
          <w:trHeight w:val="1783"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0EE2E53">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2348B86">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4B06033A">
            <w:pPr>
              <w:widowControl/>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rPr>
              <w:t>《北京文史》《定都北京系列·清北京》《人物系列·清康熙帝》《人物系列·清雍正帝》等刊物出版</w:t>
            </w:r>
            <w:r>
              <w:rPr>
                <w:rFonts w:hint="eastAsia" w:ascii="仿宋_GB2312" w:hAnsi="仿宋_GB2312" w:eastAsia="仿宋_GB2312" w:cs="仿宋_GB2312"/>
                <w:color w:val="auto"/>
                <w:kern w:val="0"/>
                <w:sz w:val="24"/>
                <w:szCs w:val="24"/>
                <w:lang w:val="en-US" w:eastAsia="zh-CN"/>
              </w:rPr>
              <w:t>质量和</w:t>
            </w:r>
            <w:r>
              <w:rPr>
                <w:rFonts w:hint="eastAsia" w:ascii="仿宋_GB2312" w:hAnsi="仿宋_GB2312" w:eastAsia="仿宋_GB2312" w:cs="仿宋_GB2312"/>
                <w:color w:val="auto"/>
                <w:kern w:val="0"/>
                <w:sz w:val="24"/>
                <w:szCs w:val="24"/>
              </w:rPr>
              <w:t>印刷质量达到国家有关技术标准和规定</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9D1D13B">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98ED0CE">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r>
      <w:tr w14:paraId="7DB8A6B2">
        <w:tblPrEx>
          <w:shd w:val="clear" w:color="auto" w:fill="auto"/>
        </w:tblPrEx>
        <w:trPr>
          <w:trHeight w:val="978"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F597455">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AF0E513">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0C7F3063">
            <w:pPr>
              <w:widowControl/>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rPr>
              <w:t>各刊物专辑在计划时间内完成出版或送出版社审校</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23F4BB2">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5D0E7A6">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r>
      <w:tr w14:paraId="723CA0A5">
        <w:tblPrEx>
          <w:shd w:val="clear" w:color="auto" w:fill="auto"/>
        </w:tblPrEx>
        <w:trPr>
          <w:trHeight w:val="1383"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24F2FDC">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796D092">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7DC0942F">
            <w:pPr>
              <w:widowControl/>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为实现相关目标的投入控制在预算范围，支出费用严格控制在财政资金支出标准范围内。</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7B287C9">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EBF9BF7">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3</w:t>
            </w:r>
          </w:p>
        </w:tc>
      </w:tr>
      <w:tr w14:paraId="36759B89">
        <w:tblPrEx>
          <w:shd w:val="clear" w:color="auto" w:fill="auto"/>
        </w:tblPrEx>
        <w:trPr>
          <w:trHeight w:val="1687"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B1CA08D">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97229D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效果（30）</w:t>
            </w: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6A8F5B98">
            <w:pPr>
              <w:widowControl/>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rPr>
              <w:t>围绕北京市“四个中心”建设和在经济社会发展中遇到的重点难点问题，组织参事开展调研，提出对策建议。</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9E89E07">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lang w:val="en-US"/>
              </w:rPr>
            </w:pPr>
            <w:r>
              <w:rPr>
                <w:rFonts w:hint="eastAsia" w:ascii="仿宋_GB2312" w:hAnsi="仿宋_GB2312" w:eastAsia="仿宋_GB2312" w:cs="仿宋_GB2312"/>
                <w:color w:val="auto"/>
                <w:kern w:val="0"/>
                <w:sz w:val="24"/>
                <w:szCs w:val="24"/>
                <w:lang w:val="en-US" w:eastAsia="zh-CN"/>
              </w:rPr>
              <w:t>10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A09F079">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8</w:t>
            </w:r>
          </w:p>
        </w:tc>
      </w:tr>
      <w:tr w14:paraId="6F3EE767">
        <w:tblPrEx>
          <w:shd w:val="clear" w:color="auto" w:fill="auto"/>
        </w:tblPrEx>
        <w:trPr>
          <w:trHeight w:val="2066"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E97587A">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E323251">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6A362A50">
            <w:pPr>
              <w:widowControl/>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rPr>
              <w:t>通过各专辑刊物出版，反映北京深厚的历史文化底蕴，梳理古都北京的都城史，进一步满足读者了解北京历史文化的精神文化需求。</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AA51EA6">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lang w:val="en-US"/>
              </w:rPr>
            </w:pPr>
            <w:r>
              <w:rPr>
                <w:rFonts w:hint="eastAsia" w:ascii="仿宋_GB2312" w:hAnsi="仿宋_GB2312" w:eastAsia="仿宋_GB2312" w:cs="仿宋_GB2312"/>
                <w:color w:val="auto"/>
                <w:kern w:val="0"/>
                <w:sz w:val="24"/>
                <w:szCs w:val="24"/>
                <w:lang w:val="en-US" w:eastAsia="zh-CN"/>
              </w:rPr>
              <w:t>10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6E6A05A">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8</w:t>
            </w:r>
          </w:p>
        </w:tc>
      </w:tr>
      <w:tr w14:paraId="78D1C7BF">
        <w:tblPrEx>
          <w:shd w:val="clear" w:color="auto" w:fill="auto"/>
        </w:tblPrEx>
        <w:trPr>
          <w:trHeight w:val="1778"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DACC6BE">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EA90348">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tcMar>
              <w:top w:w="8" w:type="dxa"/>
              <w:left w:w="8" w:type="dxa"/>
              <w:right w:w="8" w:type="dxa"/>
            </w:tcMar>
            <w:vAlign w:val="center"/>
          </w:tcPr>
          <w:p w14:paraId="69EE69ED">
            <w:pPr>
              <w:widowControl/>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rPr>
              <w:t>挖掘北京丰富的文史资源，传播北京历史文化知识，为扎实推进全国文化中心建设，建设人文北京，弘扬中华民族优秀传统文化做出贡献。</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896E781">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lang w:val="en-US"/>
              </w:rPr>
            </w:pPr>
            <w:r>
              <w:rPr>
                <w:rFonts w:hint="eastAsia" w:ascii="仿宋_GB2312" w:hAnsi="仿宋_GB2312" w:eastAsia="仿宋_GB2312" w:cs="仿宋_GB2312"/>
                <w:color w:val="auto"/>
                <w:kern w:val="0"/>
                <w:sz w:val="24"/>
                <w:szCs w:val="24"/>
                <w:lang w:val="en-US" w:eastAsia="zh-CN"/>
              </w:rPr>
              <w:t>10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5154DA6">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color w:val="auto"/>
                <w:kern w:val="0"/>
                <w:sz w:val="24"/>
                <w:szCs w:val="24"/>
                <w:lang w:val="en-US" w:eastAsia="zh-CN"/>
              </w:rPr>
              <w:t>8</w:t>
            </w:r>
          </w:p>
        </w:tc>
      </w:tr>
      <w:tr w14:paraId="627509A2">
        <w:tblPrEx>
          <w:shd w:val="clear" w:color="auto" w:fill="auto"/>
        </w:tblPrEx>
        <w:trPr>
          <w:trHeight w:val="693" w:hRule="atLeast"/>
        </w:trPr>
        <w:tc>
          <w:tcPr>
            <w:tcW w:w="200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7AC27F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Arial" w:eastAsia="仿宋_GB2312" w:cs="仿宋_GB2312"/>
                <w:i w:val="0"/>
                <w:color w:val="auto"/>
                <w:kern w:val="0"/>
                <w:sz w:val="24"/>
                <w:szCs w:val="24"/>
                <w:u w:val="none"/>
                <w:lang w:val="en-US" w:eastAsia="zh-CN" w:bidi="ar"/>
              </w:rPr>
            </w:pPr>
            <w:r>
              <w:rPr>
                <w:rFonts w:hint="eastAsia" w:ascii="仿宋_GB2312" w:hAnsi="Arial" w:eastAsia="仿宋_GB2312" w:cs="仿宋_GB2312"/>
                <w:i w:val="0"/>
                <w:color w:val="auto"/>
                <w:kern w:val="0"/>
                <w:sz w:val="24"/>
                <w:szCs w:val="24"/>
                <w:u w:val="none"/>
                <w:lang w:val="en-US" w:eastAsia="zh-CN" w:bidi="ar"/>
              </w:rPr>
              <w:t>预算管理情况</w:t>
            </w:r>
          </w:p>
          <w:p w14:paraId="48818904">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Arial" w:eastAsia="仿宋_GB2312" w:cs="仿宋_GB2312"/>
                <w:i w:val="0"/>
                <w:color w:val="auto"/>
                <w:sz w:val="24"/>
                <w:szCs w:val="24"/>
                <w:u w:val="none"/>
              </w:rPr>
            </w:pPr>
            <w:r>
              <w:rPr>
                <w:rFonts w:hint="eastAsia" w:ascii="仿宋_GB2312" w:hAnsi="Arial" w:eastAsia="仿宋_GB2312" w:cs="仿宋_GB2312"/>
                <w:i w:val="0"/>
                <w:color w:val="auto"/>
                <w:kern w:val="0"/>
                <w:sz w:val="24"/>
                <w:szCs w:val="24"/>
                <w:u w:val="none"/>
                <w:lang w:val="en-US" w:eastAsia="zh-CN" w:bidi="ar"/>
              </w:rPr>
              <w:t>（20分）</w:t>
            </w:r>
          </w:p>
        </w:tc>
        <w:tc>
          <w:tcPr>
            <w:tcW w:w="169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20759F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财务管理</w:t>
            </w: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1687C1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财务管理制度健全性</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BC211D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0CF30A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w:t>
            </w:r>
          </w:p>
        </w:tc>
      </w:tr>
      <w:tr w14:paraId="53D520FB">
        <w:tblPrEx>
          <w:shd w:val="clear" w:color="auto" w:fill="auto"/>
        </w:tblPrEx>
        <w:trPr>
          <w:trHeight w:val="745"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9223344">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CB0B5ED">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5076AD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资金使用合规性和安全性</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8D2B66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D17BE9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2</w:t>
            </w:r>
          </w:p>
        </w:tc>
      </w:tr>
      <w:tr w14:paraId="495871E3">
        <w:tblPrEx>
          <w:shd w:val="clear" w:color="auto" w:fill="auto"/>
        </w:tblPrEx>
        <w:trPr>
          <w:trHeight w:val="625"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33C9DDB">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D10DE24">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仿宋_GB2312" w:eastAsia="仿宋_GB2312" w:cs="仿宋_GB2312"/>
                <w:i w:val="0"/>
                <w:color w:val="auto"/>
                <w:sz w:val="24"/>
                <w:szCs w:val="24"/>
                <w:u w:val="none"/>
              </w:rPr>
            </w:pP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DD1737B">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会计基础信息完善性</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B5BCBB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9CF9C0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1</w:t>
            </w:r>
          </w:p>
        </w:tc>
      </w:tr>
      <w:tr w14:paraId="5167E2F6">
        <w:tblPrEx>
          <w:shd w:val="clear" w:color="auto" w:fill="auto"/>
        </w:tblPrEx>
        <w:trPr>
          <w:trHeight w:val="663"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1274DD8">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DABFD4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资产管理</w:t>
            </w: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F87E43A">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资产管理规范性</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6BD6A36">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2F6F28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w:t>
            </w:r>
          </w:p>
        </w:tc>
      </w:tr>
      <w:tr w14:paraId="340F6728">
        <w:tblPrEx>
          <w:shd w:val="clear" w:color="auto" w:fill="auto"/>
        </w:tblPrEx>
        <w:trPr>
          <w:trHeight w:val="716"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D60BCF9">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32739F1">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绩效管理</w:t>
            </w: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34D15F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绩效管理情况</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426CE5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6D4709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w:t>
            </w:r>
          </w:p>
        </w:tc>
      </w:tr>
      <w:tr w14:paraId="6BDE93D3">
        <w:tblPrEx>
          <w:shd w:val="clear" w:color="auto" w:fill="auto"/>
        </w:tblPrEx>
        <w:trPr>
          <w:trHeight w:val="678"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3BA3D94">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96E33EC">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结转结余率</w:t>
            </w: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9A2065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D4D80A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1A053F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lang w:val="en-US"/>
              </w:rPr>
            </w:pPr>
            <w:r>
              <w:rPr>
                <w:rFonts w:hint="eastAsia" w:ascii="仿宋_GB2312" w:hAnsi="仿宋_GB2312" w:eastAsia="仿宋_GB2312" w:cs="仿宋_GB2312"/>
                <w:i w:val="0"/>
                <w:color w:val="auto"/>
                <w:kern w:val="0"/>
                <w:sz w:val="24"/>
                <w:szCs w:val="24"/>
                <w:u w:val="none"/>
                <w:lang w:val="en-US" w:eastAsia="zh-CN" w:bidi="ar"/>
              </w:rPr>
              <w:t>2.8</w:t>
            </w:r>
          </w:p>
        </w:tc>
      </w:tr>
      <w:tr w14:paraId="28757771">
        <w:tblPrEx>
          <w:shd w:val="clear" w:color="auto" w:fill="auto"/>
        </w:tblPrEx>
        <w:trPr>
          <w:trHeight w:val="787" w:hRule="atLeast"/>
        </w:trPr>
        <w:tc>
          <w:tcPr>
            <w:tcW w:w="200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50BCA5E">
            <w:pPr>
              <w:keepNext w:val="0"/>
              <w:keepLines w:val="0"/>
              <w:pageBreakBefore w:val="0"/>
              <w:widowControl/>
              <w:kinsoku/>
              <w:wordWrap/>
              <w:overflowPunct/>
              <w:topLinePunct w:val="0"/>
              <w:autoSpaceDE/>
              <w:autoSpaceDN/>
              <w:bidi w:val="0"/>
              <w:adjustRightInd/>
              <w:snapToGrid/>
              <w:spacing w:line="240" w:lineRule="auto"/>
              <w:ind w:left="0" w:leftChars="0"/>
              <w:jc w:val="center"/>
              <w:rPr>
                <w:rFonts w:hint="eastAsia" w:ascii="仿宋_GB2312" w:hAnsi="Arial" w:eastAsia="仿宋_GB2312" w:cs="仿宋_GB2312"/>
                <w:i w:val="0"/>
                <w:color w:val="auto"/>
                <w:sz w:val="24"/>
                <w:szCs w:val="24"/>
                <w:u w:val="none"/>
              </w:rPr>
            </w:pPr>
          </w:p>
        </w:tc>
        <w:tc>
          <w:tcPr>
            <w:tcW w:w="16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BAEF02D">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部门预决算差异率</w:t>
            </w:r>
          </w:p>
        </w:tc>
        <w:tc>
          <w:tcPr>
            <w:tcW w:w="336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CD9AEAE">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D96FFF8">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7817752">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仿宋_GB2312" w:eastAsia="仿宋_GB2312" w:cs="仿宋_GB2312"/>
                <w:i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4</w:t>
            </w:r>
          </w:p>
        </w:tc>
      </w:tr>
      <w:tr w14:paraId="0953AD32">
        <w:tblPrEx>
          <w:shd w:val="clear" w:color="auto" w:fill="auto"/>
        </w:tblPrEx>
        <w:trPr>
          <w:trHeight w:val="740" w:hRule="atLeast"/>
        </w:trPr>
        <w:tc>
          <w:tcPr>
            <w:tcW w:w="705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0527AC7">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Arial" w:eastAsia="仿宋_GB2312" w:cs="仿宋_GB2312"/>
                <w:b/>
                <w:bCs/>
                <w:i w:val="0"/>
                <w:color w:val="auto"/>
                <w:sz w:val="24"/>
                <w:szCs w:val="24"/>
                <w:u w:val="none"/>
              </w:rPr>
            </w:pPr>
            <w:r>
              <w:rPr>
                <w:rFonts w:hint="eastAsia" w:ascii="仿宋_GB2312" w:hAnsi="Arial" w:eastAsia="仿宋_GB2312" w:cs="仿宋_GB2312"/>
                <w:b/>
                <w:bCs/>
                <w:i w:val="0"/>
                <w:color w:val="auto"/>
                <w:kern w:val="0"/>
                <w:sz w:val="24"/>
                <w:szCs w:val="24"/>
                <w:u w:val="none"/>
                <w:lang w:val="en-US" w:eastAsia="zh-CN" w:bidi="ar"/>
              </w:rPr>
              <w:t>合计</w:t>
            </w:r>
          </w:p>
        </w:tc>
        <w:tc>
          <w:tcPr>
            <w:tcW w:w="109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7465A20">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Arial" w:eastAsia="仿宋_GB2312" w:cs="仿宋_GB2312"/>
                <w:b/>
                <w:bCs/>
                <w:i w:val="0"/>
                <w:color w:val="auto"/>
                <w:sz w:val="24"/>
                <w:szCs w:val="24"/>
                <w:u w:val="none"/>
              </w:rPr>
            </w:pPr>
            <w:r>
              <w:rPr>
                <w:rFonts w:hint="eastAsia" w:ascii="仿宋_GB2312" w:hAnsi="Arial" w:eastAsia="仿宋_GB2312" w:cs="仿宋_GB2312"/>
                <w:b/>
                <w:bCs/>
                <w:i w:val="0"/>
                <w:color w:val="auto"/>
                <w:kern w:val="0"/>
                <w:sz w:val="24"/>
                <w:szCs w:val="24"/>
                <w:u w:val="none"/>
                <w:lang w:val="en-US" w:eastAsia="zh-CN" w:bidi="ar"/>
              </w:rPr>
              <w:t>100</w:t>
            </w:r>
          </w:p>
        </w:tc>
        <w:tc>
          <w:tcPr>
            <w:tcW w:w="105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31804EF">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jc w:val="center"/>
              <w:textAlignment w:val="center"/>
              <w:rPr>
                <w:rFonts w:hint="eastAsia" w:ascii="仿宋_GB2312" w:hAnsi="Arial" w:eastAsia="仿宋_GB2312" w:cs="仿宋_GB2312"/>
                <w:b/>
                <w:bCs/>
                <w:i w:val="0"/>
                <w:color w:val="auto"/>
                <w:sz w:val="24"/>
                <w:szCs w:val="24"/>
                <w:u w:val="none"/>
              </w:rPr>
            </w:pPr>
            <w:r>
              <w:rPr>
                <w:rFonts w:hint="eastAsia" w:ascii="仿宋_GB2312" w:hAnsi="Arial" w:eastAsia="仿宋_GB2312" w:cs="仿宋_GB2312"/>
                <w:b/>
                <w:bCs/>
                <w:i w:val="0"/>
                <w:color w:val="auto"/>
                <w:kern w:val="0"/>
                <w:sz w:val="24"/>
                <w:szCs w:val="24"/>
                <w:u w:val="none"/>
                <w:lang w:val="en-US" w:eastAsia="zh-CN" w:bidi="ar"/>
              </w:rPr>
              <w:t>90.37</w:t>
            </w:r>
          </w:p>
        </w:tc>
      </w:tr>
    </w:tbl>
    <w:p w14:paraId="1BC2466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1"/>
        <w:rPr>
          <w:rFonts w:hint="eastAsia" w:ascii="楷体_GB2312" w:eastAsia="楷体_GB2312"/>
          <w:color w:val="auto"/>
          <w:sz w:val="32"/>
          <w:szCs w:val="32"/>
        </w:rPr>
      </w:pPr>
      <w:bookmarkStart w:id="15" w:name="_Toc11802"/>
      <w:r>
        <w:rPr>
          <w:rFonts w:hint="eastAsia" w:ascii="楷体_GB2312" w:eastAsia="楷体_GB2312"/>
          <w:color w:val="auto"/>
          <w:sz w:val="32"/>
          <w:szCs w:val="32"/>
        </w:rPr>
        <w:t>（二）存在的问题</w:t>
      </w:r>
      <w:bookmarkEnd w:id="15"/>
    </w:p>
    <w:p w14:paraId="70383A2A">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1.部门整体</w:t>
      </w:r>
      <w:r>
        <w:rPr>
          <w:rFonts w:hint="eastAsia" w:ascii="仿宋_GB2312" w:hAnsi="仿宋_GB2312" w:eastAsia="仿宋_GB2312" w:cs="仿宋_GB2312"/>
          <w:color w:val="auto"/>
          <w:sz w:val="32"/>
          <w:szCs w:val="32"/>
        </w:rPr>
        <w:t>绩效目标设置不够明确，与实施内容相关性不足，有待进一步细化、量化。效益指标过于笼统，不能准确</w:t>
      </w:r>
      <w:r>
        <w:rPr>
          <w:rFonts w:hint="eastAsia" w:ascii="仿宋_GB2312" w:hAnsi="仿宋_GB2312" w:eastAsia="仿宋_GB2312" w:cs="仿宋_GB2312"/>
          <w:color w:val="auto"/>
          <w:sz w:val="32"/>
          <w:szCs w:val="32"/>
          <w:lang w:val="en-US" w:eastAsia="zh-CN"/>
        </w:rPr>
        <w:t>对应</w:t>
      </w:r>
      <w:r>
        <w:rPr>
          <w:rFonts w:hint="eastAsia" w:ascii="仿宋_GB2312" w:hAnsi="仿宋_GB2312" w:eastAsia="仿宋_GB2312" w:cs="仿宋_GB2312"/>
          <w:color w:val="auto"/>
          <w:sz w:val="32"/>
          <w:szCs w:val="32"/>
        </w:rPr>
        <w:t>项目</w:t>
      </w:r>
      <w:r>
        <w:rPr>
          <w:rFonts w:hint="eastAsia" w:ascii="仿宋_GB2312" w:hAnsi="仿宋_GB2312" w:eastAsia="仿宋_GB2312" w:cs="仿宋_GB2312"/>
          <w:color w:val="auto"/>
          <w:sz w:val="32"/>
          <w:szCs w:val="32"/>
          <w:lang w:val="en-US" w:eastAsia="zh-CN"/>
        </w:rPr>
        <w:t>情况</w:t>
      </w:r>
      <w:r>
        <w:rPr>
          <w:rFonts w:hint="eastAsia" w:ascii="仿宋_GB2312" w:hAnsi="仿宋_GB2312" w:eastAsia="仿宋_GB2312" w:cs="仿宋_GB2312"/>
          <w:color w:val="auto"/>
          <w:sz w:val="32"/>
          <w:szCs w:val="32"/>
        </w:rPr>
        <w:t>。</w:t>
      </w:r>
    </w:p>
    <w:p w14:paraId="31B98A4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楷体_GB2312" w:eastAsia="楷体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项目成果产生的效益相关资料和数据呈现不足，有待进一步提炼挖掘。</w:t>
      </w:r>
    </w:p>
    <w:p w14:paraId="649ABBA4">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宋体"/>
          <w:color w:val="auto"/>
          <w:kern w:val="0"/>
          <w:sz w:val="32"/>
          <w:szCs w:val="32"/>
        </w:rPr>
      </w:pPr>
      <w:bookmarkStart w:id="16" w:name="_Toc4411"/>
      <w:r>
        <w:rPr>
          <w:rFonts w:hint="eastAsia" w:ascii="黑体" w:hAnsi="黑体" w:eastAsia="黑体" w:cs="宋体"/>
          <w:color w:val="auto"/>
          <w:kern w:val="0"/>
          <w:sz w:val="32"/>
          <w:szCs w:val="32"/>
        </w:rPr>
        <w:t>六、措施建议</w:t>
      </w:r>
      <w:bookmarkEnd w:id="16"/>
    </w:p>
    <w:p w14:paraId="1E6FC86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ascii="仿宋_GB2312" w:hAnsi="仿宋_GB2312" w:eastAsia="仿宋_GB2312" w:cs="仿宋_GB2312"/>
          <w:color w:val="auto"/>
          <w:sz w:val="32"/>
          <w:szCs w:val="32"/>
        </w:rPr>
      </w:pPr>
      <w:r>
        <w:rPr>
          <w:rFonts w:hint="eastAsia" w:ascii="仿宋_GB2312" w:eastAsia="仿宋_GB2312" w:cs="宋体"/>
          <w:color w:val="auto"/>
          <w:kern w:val="0"/>
          <w:sz w:val="32"/>
          <w:szCs w:val="32"/>
          <w:lang w:val="en-US" w:eastAsia="zh-CN"/>
        </w:rPr>
        <w:t>1.</w:t>
      </w:r>
      <w:r>
        <w:rPr>
          <w:rFonts w:hint="eastAsia" w:ascii="仿宋_GB2312" w:eastAsia="仿宋_GB2312" w:cs="宋体"/>
          <w:color w:val="auto"/>
          <w:kern w:val="0"/>
          <w:sz w:val="32"/>
          <w:szCs w:val="32"/>
        </w:rPr>
        <w:t>加强对绩效指标体系的认识与理解</w:t>
      </w:r>
      <w:r>
        <w:rPr>
          <w:rFonts w:hint="eastAsia" w:ascii="仿宋_GB2312" w:hAnsi="仿宋_GB2312" w:eastAsia="仿宋_GB2312" w:cs="仿宋_GB2312"/>
          <w:color w:val="auto"/>
          <w:sz w:val="32"/>
          <w:szCs w:val="32"/>
        </w:rPr>
        <w:t>，项目绩效目标设定应与实施内容相匹配，</w:t>
      </w:r>
      <w:r>
        <w:rPr>
          <w:rFonts w:hint="eastAsia" w:ascii="仿宋_GB2312" w:eastAsia="仿宋_GB2312" w:cs="宋体"/>
          <w:color w:val="auto"/>
          <w:kern w:val="0"/>
          <w:sz w:val="32"/>
          <w:szCs w:val="32"/>
        </w:rPr>
        <w:t>并做到细化、量化，增强绩效目标可衡量性、明确性，</w:t>
      </w:r>
      <w:r>
        <w:rPr>
          <w:rFonts w:hint="eastAsia" w:ascii="仿宋_GB2312" w:hAnsi="仿宋_GB2312" w:eastAsia="仿宋_GB2312" w:cs="仿宋_GB2312"/>
          <w:color w:val="auto"/>
          <w:sz w:val="32"/>
          <w:szCs w:val="32"/>
        </w:rPr>
        <w:t>提高项目目标和指标设置的科学性、合理性。</w:t>
      </w:r>
    </w:p>
    <w:p w14:paraId="4807D4D9">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eastAsia="仿宋_GB2312" w:cs="宋体"/>
          <w:color w:val="auto"/>
          <w:kern w:val="0"/>
          <w:sz w:val="32"/>
          <w:szCs w:val="32"/>
        </w:rPr>
      </w:pPr>
      <w:r>
        <w:rPr>
          <w:rFonts w:hint="eastAsia" w:ascii="仿宋_GB2312" w:hAnsi="楷体" w:eastAsia="仿宋_GB2312"/>
          <w:bCs/>
          <w:color w:val="auto"/>
          <w:kern w:val="0"/>
          <w:sz w:val="32"/>
          <w:szCs w:val="28"/>
          <w:lang w:val="en-US" w:eastAsia="zh-CN"/>
        </w:rPr>
        <w:t>2.加强</w:t>
      </w:r>
      <w:r>
        <w:rPr>
          <w:rFonts w:hint="eastAsia" w:ascii="仿宋_GB2312" w:hAnsi="仿宋_GB2312" w:eastAsia="仿宋_GB2312" w:cs="仿宋_GB2312"/>
          <w:color w:val="auto"/>
          <w:sz w:val="32"/>
          <w:szCs w:val="32"/>
        </w:rPr>
        <w:t>项目</w:t>
      </w:r>
      <w:r>
        <w:rPr>
          <w:rFonts w:hint="eastAsia" w:ascii="仿宋_GB2312" w:eastAsia="仿宋_GB2312" w:cs="宋体"/>
          <w:color w:val="auto"/>
          <w:kern w:val="0"/>
          <w:sz w:val="32"/>
          <w:szCs w:val="32"/>
        </w:rPr>
        <w:t>效益、效果资料</w:t>
      </w:r>
      <w:r>
        <w:rPr>
          <w:rFonts w:hint="eastAsia" w:ascii="仿宋_GB2312" w:hAnsi="仿宋_GB2312" w:eastAsia="仿宋_GB2312" w:cs="仿宋_GB2312"/>
          <w:color w:val="auto"/>
          <w:sz w:val="32"/>
          <w:szCs w:val="32"/>
        </w:rPr>
        <w:t>的归集提炼，</w:t>
      </w:r>
      <w:r>
        <w:rPr>
          <w:rFonts w:hint="eastAsia" w:ascii="仿宋_GB2312" w:hAnsi="仿宋_GB2312" w:eastAsia="仿宋_GB2312" w:cs="仿宋_GB2312"/>
          <w:color w:val="auto"/>
          <w:kern w:val="0"/>
          <w:sz w:val="32"/>
          <w:szCs w:val="32"/>
        </w:rPr>
        <w:t>注重绩效产出证明材料的充分性和完整性</w:t>
      </w:r>
      <w:r>
        <w:rPr>
          <w:rFonts w:hint="eastAsia" w:ascii="仿宋_GB2312" w:hAnsi="仿宋_GB2312" w:eastAsia="仿宋_GB2312" w:cs="仿宋_GB2312"/>
          <w:color w:val="auto"/>
          <w:kern w:val="0"/>
          <w:sz w:val="32"/>
          <w:szCs w:val="32"/>
          <w:lang w:eastAsia="zh-CN"/>
        </w:rPr>
        <w:t>，</w:t>
      </w:r>
      <w:r>
        <w:rPr>
          <w:rFonts w:hint="eastAsia" w:ascii="仿宋_GB2312" w:eastAsia="仿宋_GB2312" w:cs="宋体"/>
          <w:color w:val="auto"/>
          <w:kern w:val="0"/>
          <w:sz w:val="32"/>
          <w:szCs w:val="32"/>
        </w:rPr>
        <w:t>对应产出体现相应的效果资料，充分证明绩效目标的实施效果。</w:t>
      </w:r>
      <w:bookmarkStart w:id="17" w:name="_Toc10191653"/>
    </w:p>
    <w:p w14:paraId="03DDE10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0"/>
        <w:rPr>
          <w:rFonts w:hint="eastAsia" w:ascii="黑体" w:hAnsi="黑体" w:eastAsia="黑体" w:cs="宋体"/>
          <w:color w:val="auto"/>
          <w:kern w:val="0"/>
          <w:sz w:val="32"/>
          <w:szCs w:val="32"/>
        </w:rPr>
      </w:pPr>
      <w:bookmarkStart w:id="18" w:name="_Toc1083"/>
      <w:r>
        <w:rPr>
          <w:rFonts w:hint="eastAsia" w:ascii="黑体" w:hAnsi="黑体" w:eastAsia="黑体" w:cs="宋体"/>
          <w:color w:val="auto"/>
          <w:kern w:val="0"/>
          <w:sz w:val="32"/>
          <w:szCs w:val="32"/>
          <w:lang w:val="en-US" w:eastAsia="zh-CN"/>
        </w:rPr>
        <w:t>七、</w:t>
      </w:r>
      <w:r>
        <w:rPr>
          <w:rFonts w:hint="eastAsia" w:ascii="黑体" w:hAnsi="黑体" w:eastAsia="黑体" w:cs="宋体"/>
          <w:color w:val="auto"/>
          <w:kern w:val="0"/>
          <w:sz w:val="32"/>
          <w:szCs w:val="32"/>
        </w:rPr>
        <w:t>主要经验</w:t>
      </w:r>
      <w:bookmarkEnd w:id="17"/>
      <w:bookmarkEnd w:id="18"/>
    </w:p>
    <w:p w14:paraId="242A83C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Times New Roman" w:eastAsia="仿宋_GB2312" w:cs="Times New Roman"/>
          <w:color w:val="auto"/>
          <w:sz w:val="32"/>
          <w:szCs w:val="32"/>
        </w:rPr>
      </w:pPr>
      <w:r>
        <w:rPr>
          <w:rFonts w:hint="eastAsia" w:ascii="仿宋_GB2312" w:hAnsi="Times New Roman" w:eastAsia="仿宋_GB2312" w:cs="Times New Roman"/>
          <w:color w:val="auto"/>
          <w:sz w:val="32"/>
          <w:szCs w:val="32"/>
        </w:rPr>
        <w:t>本次部门绩效</w:t>
      </w:r>
      <w:r>
        <w:rPr>
          <w:rFonts w:hint="eastAsia" w:ascii="仿宋_GB2312" w:hAnsi="Times New Roman" w:eastAsia="仿宋_GB2312" w:cs="Times New Roman"/>
          <w:color w:val="auto"/>
          <w:sz w:val="32"/>
          <w:szCs w:val="32"/>
          <w:lang w:val="en-US" w:eastAsia="zh-CN"/>
        </w:rPr>
        <w:t>评价</w:t>
      </w:r>
      <w:r>
        <w:rPr>
          <w:rFonts w:hint="eastAsia" w:ascii="仿宋_GB2312" w:hAnsi="Times New Roman" w:eastAsia="仿宋_GB2312" w:cs="Times New Roman"/>
          <w:color w:val="auto"/>
          <w:sz w:val="32"/>
          <w:szCs w:val="32"/>
        </w:rPr>
        <w:t>工作在领导高度重视的基础上，各部门</w:t>
      </w:r>
      <w:r>
        <w:rPr>
          <w:rFonts w:hint="eastAsia" w:ascii="仿宋_GB2312" w:hAnsi="Times New Roman" w:eastAsia="仿宋_GB2312" w:cs="Times New Roman"/>
          <w:color w:val="auto"/>
          <w:sz w:val="32"/>
          <w:szCs w:val="32"/>
          <w:lang w:eastAsia="zh-CN"/>
        </w:rPr>
        <w:t>通力协作</w:t>
      </w:r>
      <w:r>
        <w:rPr>
          <w:rFonts w:hint="eastAsia" w:ascii="仿宋_GB2312" w:hAnsi="Times New Roman" w:eastAsia="仿宋_GB2312" w:cs="Times New Roman"/>
          <w:color w:val="auto"/>
          <w:sz w:val="32"/>
          <w:szCs w:val="32"/>
        </w:rPr>
        <w:t>，</w:t>
      </w:r>
      <w:r>
        <w:rPr>
          <w:rFonts w:hint="eastAsia" w:ascii="仿宋_GB2312" w:eastAsia="仿宋_GB2312" w:cs="Times New Roman"/>
          <w:color w:val="auto"/>
          <w:sz w:val="32"/>
          <w:szCs w:val="32"/>
          <w:lang w:val="en-US" w:eastAsia="zh-CN"/>
        </w:rPr>
        <w:t>北京市人民政府参事室</w:t>
      </w:r>
      <w:r>
        <w:rPr>
          <w:rFonts w:hint="eastAsia" w:ascii="仿宋_GB2312" w:hAnsi="Times New Roman" w:eastAsia="仿宋_GB2312" w:cs="Times New Roman"/>
          <w:color w:val="auto"/>
          <w:sz w:val="32"/>
          <w:szCs w:val="32"/>
        </w:rPr>
        <w:t>成立组织机构，负责组织开展此次部门绩效</w:t>
      </w:r>
      <w:r>
        <w:rPr>
          <w:rFonts w:hint="eastAsia" w:ascii="仿宋_GB2312" w:hAnsi="Times New Roman" w:eastAsia="仿宋_GB2312" w:cs="Times New Roman"/>
          <w:color w:val="auto"/>
          <w:sz w:val="32"/>
          <w:szCs w:val="32"/>
          <w:lang w:val="en-US" w:eastAsia="zh-CN"/>
        </w:rPr>
        <w:t>评价</w:t>
      </w:r>
      <w:r>
        <w:rPr>
          <w:rFonts w:hint="eastAsia" w:ascii="仿宋_GB2312" w:hAnsi="Times New Roman" w:eastAsia="仿宋_GB2312" w:cs="Times New Roman"/>
          <w:color w:val="auto"/>
          <w:sz w:val="32"/>
          <w:szCs w:val="32"/>
        </w:rPr>
        <w:t>工作。细化责任分工，狠抓落实，</w:t>
      </w:r>
      <w:r>
        <w:rPr>
          <w:rFonts w:hint="eastAsia" w:ascii="仿宋_GB2312" w:hAnsi="Times New Roman" w:eastAsia="仿宋_GB2312" w:cs="Times New Roman"/>
          <w:color w:val="auto"/>
          <w:sz w:val="32"/>
          <w:szCs w:val="32"/>
          <w:lang w:val="en-US" w:eastAsia="zh-CN"/>
        </w:rPr>
        <w:t>各</w:t>
      </w:r>
      <w:r>
        <w:rPr>
          <w:rFonts w:hint="eastAsia" w:ascii="仿宋_GB2312" w:hAnsi="Times New Roman" w:eastAsia="仿宋_GB2312" w:cs="Times New Roman"/>
          <w:color w:val="auto"/>
          <w:sz w:val="32"/>
          <w:szCs w:val="32"/>
        </w:rPr>
        <w:t>部门全力配合。吸收专家团队的意见和建议，提高绩效评价工作水平，从而保障了部门绩效</w:t>
      </w:r>
      <w:r>
        <w:rPr>
          <w:rFonts w:hint="eastAsia" w:ascii="仿宋_GB2312" w:hAnsi="Times New Roman" w:eastAsia="仿宋_GB2312" w:cs="Times New Roman"/>
          <w:color w:val="auto"/>
          <w:sz w:val="32"/>
          <w:szCs w:val="32"/>
          <w:lang w:val="en-US" w:eastAsia="zh-CN"/>
        </w:rPr>
        <w:t>评价</w:t>
      </w:r>
      <w:r>
        <w:rPr>
          <w:rFonts w:hint="eastAsia" w:ascii="仿宋_GB2312" w:hAnsi="Times New Roman" w:eastAsia="仿宋_GB2312" w:cs="Times New Roman"/>
          <w:color w:val="auto"/>
          <w:sz w:val="32"/>
          <w:szCs w:val="32"/>
        </w:rPr>
        <w:t>工作的顺利推进。</w:t>
      </w:r>
    </w:p>
    <w:p w14:paraId="276E2C8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Times New Roman" w:eastAsia="仿宋_GB2312" w:cs="Times New Roman"/>
          <w:color w:val="auto"/>
          <w:sz w:val="32"/>
          <w:szCs w:val="32"/>
        </w:rPr>
      </w:pPr>
    </w:p>
    <w:p w14:paraId="5DE76A8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仿宋_GB2312" w:hAnsi="Times New Roman" w:eastAsia="仿宋_GB2312" w:cs="Times New Roman"/>
          <w:color w:val="auto"/>
          <w:sz w:val="32"/>
          <w:szCs w:val="32"/>
        </w:rPr>
      </w:pPr>
    </w:p>
    <w:p w14:paraId="3C0CA8A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outlineLvl w:val="9"/>
        <w:rPr>
          <w:rFonts w:hint="eastAsia" w:ascii="方正小标宋简体" w:hAnsi="黑体" w:eastAsia="方正小标宋简体" w:cs="宋体"/>
          <w:color w:val="auto"/>
          <w:kern w:val="0"/>
          <w:sz w:val="44"/>
          <w:szCs w:val="44"/>
          <w:lang w:val="en-US" w:eastAsia="zh-CN"/>
        </w:rPr>
      </w:pPr>
      <w:r>
        <w:rPr>
          <w:rFonts w:hint="eastAsia" w:ascii="仿宋_GB2312" w:hAnsi="Times New Roman" w:eastAsia="仿宋_GB2312" w:cs="Times New Roman"/>
          <w:color w:val="auto"/>
          <w:sz w:val="32"/>
          <w:szCs w:val="32"/>
          <w:lang w:val="en-US" w:eastAsia="zh-CN"/>
        </w:rPr>
        <w:t>附件：</w:t>
      </w:r>
      <w:r>
        <w:rPr>
          <w:rFonts w:hint="eastAsia" w:ascii="仿宋_GB2312" w:hAnsi="Times New Roman" w:eastAsia="仿宋_GB2312" w:cs="Times New Roman"/>
          <w:color w:val="auto"/>
          <w:sz w:val="32"/>
          <w:szCs w:val="32"/>
          <w:lang w:val="en"/>
        </w:rPr>
        <w:t>202</w:t>
      </w:r>
      <w:r>
        <w:rPr>
          <w:rFonts w:hint="eastAsia" w:ascii="仿宋_GB2312" w:hAnsi="Times New Roman" w:eastAsia="仿宋_GB2312" w:cs="Times New Roman"/>
          <w:color w:val="auto"/>
          <w:sz w:val="32"/>
          <w:szCs w:val="32"/>
          <w:lang w:val="en-US" w:eastAsia="zh-CN"/>
        </w:rPr>
        <w:t>1</w:t>
      </w:r>
      <w:r>
        <w:rPr>
          <w:rFonts w:hint="eastAsia" w:ascii="仿宋_GB2312" w:hAnsi="Times New Roman" w:eastAsia="仿宋_GB2312" w:cs="Times New Roman"/>
          <w:color w:val="auto"/>
          <w:sz w:val="32"/>
          <w:szCs w:val="32"/>
          <w:lang w:val="en"/>
        </w:rPr>
        <w:t>年部门整体绩效评价指标体系评分表</w:t>
      </w:r>
    </w:p>
    <w:p w14:paraId="619376A5">
      <w:pPr>
        <w:widowControl/>
        <w:jc w:val="left"/>
        <w:rPr>
          <w:rFonts w:hint="eastAsia" w:ascii="方正小标宋简体" w:hAnsi="黑体" w:eastAsia="方正小标宋简体" w:cs="宋体"/>
          <w:color w:val="auto"/>
          <w:kern w:val="0"/>
          <w:sz w:val="44"/>
          <w:szCs w:val="44"/>
          <w:lang w:val="en-US" w:eastAsia="zh-CN"/>
        </w:rPr>
        <w:sectPr>
          <w:footerReference r:id="rId4" w:type="default"/>
          <w:pgSz w:w="11906" w:h="16838"/>
          <w:pgMar w:top="2098" w:right="1474" w:bottom="1984" w:left="1587" w:header="851" w:footer="992" w:gutter="0"/>
          <w:pgNumType w:fmt="decimal" w:start="1"/>
          <w:cols w:space="0" w:num="1"/>
          <w:rtlGutter w:val="0"/>
          <w:docGrid w:type="lines" w:linePitch="312" w:charSpace="0"/>
        </w:sectPr>
      </w:pPr>
    </w:p>
    <w:p w14:paraId="2A92858A">
      <w:pPr>
        <w:widowControl/>
        <w:jc w:val="left"/>
        <w:rPr>
          <w:rFonts w:hint="default"/>
          <w:lang w:val="en-US" w:eastAsia="zh-CN"/>
        </w:rPr>
      </w:pPr>
      <w:r>
        <w:rPr>
          <w:rFonts w:hint="eastAsia" w:ascii="方正小标宋简体" w:hAnsi="黑体" w:eastAsia="方正小标宋简体" w:cs="宋体"/>
          <w:color w:val="auto"/>
          <w:kern w:val="0"/>
          <w:sz w:val="32"/>
          <w:szCs w:val="32"/>
          <w:lang w:val="en-US" w:eastAsia="zh-CN"/>
        </w:rPr>
        <w:t>附件</w:t>
      </w:r>
    </w:p>
    <w:tbl>
      <w:tblPr>
        <w:tblStyle w:val="10"/>
        <w:tblW w:w="5000" w:type="pct"/>
        <w:tblInd w:w="0" w:type="dxa"/>
        <w:tblLayout w:type="fixed"/>
        <w:tblCellMar>
          <w:top w:w="0" w:type="dxa"/>
          <w:left w:w="108" w:type="dxa"/>
          <w:bottom w:w="0" w:type="dxa"/>
          <w:right w:w="108" w:type="dxa"/>
        </w:tblCellMar>
      </w:tblPr>
      <w:tblGrid>
        <w:gridCol w:w="745"/>
        <w:gridCol w:w="668"/>
        <w:gridCol w:w="1559"/>
        <w:gridCol w:w="1118"/>
        <w:gridCol w:w="1274"/>
        <w:gridCol w:w="569"/>
        <w:gridCol w:w="788"/>
        <w:gridCol w:w="2645"/>
        <w:gridCol w:w="3606"/>
      </w:tblGrid>
      <w:tr w14:paraId="77450194">
        <w:trPr>
          <w:trHeight w:val="499" w:hRule="atLeast"/>
        </w:trPr>
        <w:tc>
          <w:tcPr>
            <w:tcW w:w="5000" w:type="pct"/>
            <w:gridSpan w:val="9"/>
            <w:tcBorders>
              <w:top w:val="nil"/>
              <w:left w:val="nil"/>
              <w:bottom w:val="single" w:color="auto" w:sz="4" w:space="0"/>
              <w:right w:val="nil"/>
            </w:tcBorders>
            <w:noWrap/>
            <w:vAlign w:val="bottom"/>
          </w:tcPr>
          <w:p w14:paraId="5A97BEDF">
            <w:pPr>
              <w:widowControl/>
              <w:jc w:val="center"/>
              <w:rPr>
                <w:rFonts w:hint="eastAsia" w:ascii="方正小标宋简体" w:hAnsi="黑体" w:eastAsia="方正小标宋简体" w:cs="宋体"/>
                <w:color w:val="auto"/>
                <w:kern w:val="0"/>
                <w:sz w:val="44"/>
                <w:szCs w:val="44"/>
                <w:lang w:eastAsia="zh-CN"/>
              </w:rPr>
            </w:pPr>
            <w:r>
              <w:rPr>
                <w:rFonts w:hint="eastAsia" w:ascii="方正小标宋简体" w:hAnsi="黑体" w:eastAsia="方正小标宋简体" w:cs="宋体"/>
                <w:color w:val="auto"/>
                <w:kern w:val="0"/>
                <w:sz w:val="44"/>
                <w:szCs w:val="44"/>
              </w:rPr>
              <w:t>202</w:t>
            </w:r>
            <w:r>
              <w:rPr>
                <w:rFonts w:hint="eastAsia" w:ascii="方正小标宋简体" w:hAnsi="黑体" w:eastAsia="方正小标宋简体" w:cs="宋体"/>
                <w:color w:val="auto"/>
                <w:kern w:val="0"/>
                <w:sz w:val="44"/>
                <w:szCs w:val="44"/>
                <w:lang w:val="en-US" w:eastAsia="zh-CN"/>
              </w:rPr>
              <w:t>1</w:t>
            </w:r>
            <w:r>
              <w:rPr>
                <w:rFonts w:hint="eastAsia" w:ascii="方正小标宋简体" w:hAnsi="黑体" w:eastAsia="方正小标宋简体" w:cs="宋体"/>
                <w:color w:val="auto"/>
                <w:kern w:val="0"/>
                <w:sz w:val="44"/>
                <w:szCs w:val="44"/>
              </w:rPr>
              <w:t>年部门整体绩效评价指标体系评分表</w:t>
            </w:r>
          </w:p>
        </w:tc>
      </w:tr>
      <w:tr w14:paraId="6EC2FE50">
        <w:trPr>
          <w:trHeight w:val="470" w:hRule="atLeast"/>
        </w:trPr>
        <w:tc>
          <w:tcPr>
            <w:tcW w:w="5000" w:type="pct"/>
            <w:gridSpan w:val="9"/>
            <w:tcBorders>
              <w:top w:val="single" w:color="auto" w:sz="4" w:space="0"/>
              <w:left w:val="single" w:color="auto" w:sz="4" w:space="0"/>
              <w:bottom w:val="single" w:color="000000" w:sz="4" w:space="0"/>
              <w:right w:val="single" w:color="auto" w:sz="4" w:space="0"/>
            </w:tcBorders>
            <w:noWrap w:val="0"/>
            <w:vAlign w:val="center"/>
          </w:tcPr>
          <w:p w14:paraId="29A513BC">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一、</w:t>
            </w:r>
            <w:r>
              <w:rPr>
                <w:rFonts w:hint="eastAsia" w:ascii="宋体" w:hAnsi="宋体" w:cs="宋体"/>
                <w:color w:val="auto"/>
                <w:kern w:val="0"/>
                <w:sz w:val="20"/>
                <w:szCs w:val="20"/>
              </w:rPr>
              <w:t>当年预算执行情况（20分）</w:t>
            </w:r>
          </w:p>
        </w:tc>
      </w:tr>
      <w:tr w14:paraId="294D1479">
        <w:trPr>
          <w:trHeight w:val="660" w:hRule="atLeast"/>
        </w:trPr>
        <w:tc>
          <w:tcPr>
            <w:tcW w:w="287" w:type="pct"/>
            <w:tcBorders>
              <w:top w:val="single" w:color="auto" w:sz="4" w:space="0"/>
              <w:left w:val="single" w:color="auto" w:sz="4" w:space="0"/>
              <w:bottom w:val="single" w:color="auto" w:sz="4" w:space="0"/>
              <w:right w:val="single" w:color="auto" w:sz="4" w:space="0"/>
            </w:tcBorders>
            <w:noWrap w:val="0"/>
            <w:vAlign w:val="center"/>
          </w:tcPr>
          <w:p w14:paraId="78C09A2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一</w:t>
            </w:r>
            <w:r>
              <w:rPr>
                <w:rFonts w:ascii="宋体" w:hAnsi="宋体" w:cs="宋体"/>
                <w:color w:val="auto"/>
                <w:kern w:val="0"/>
                <w:sz w:val="20"/>
                <w:szCs w:val="20"/>
              </w:rPr>
              <w:t>级指标</w:t>
            </w:r>
            <w:r>
              <w:rPr>
                <w:rFonts w:hint="eastAsia" w:ascii="宋体" w:hAnsi="宋体" w:cs="宋体"/>
                <w:color w:val="auto"/>
                <w:kern w:val="0"/>
                <w:sz w:val="20"/>
                <w:szCs w:val="20"/>
              </w:rPr>
              <w:t>　</w:t>
            </w:r>
          </w:p>
        </w:tc>
        <w:tc>
          <w:tcPr>
            <w:tcW w:w="257" w:type="pct"/>
            <w:tcBorders>
              <w:top w:val="single" w:color="auto" w:sz="4" w:space="0"/>
              <w:left w:val="single" w:color="auto" w:sz="4" w:space="0"/>
              <w:bottom w:val="single" w:color="auto" w:sz="4" w:space="0"/>
              <w:right w:val="single" w:color="auto" w:sz="4" w:space="0"/>
            </w:tcBorders>
            <w:noWrap w:val="0"/>
            <w:vAlign w:val="center"/>
          </w:tcPr>
          <w:p w14:paraId="6CDBECD8">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二</w:t>
            </w:r>
            <w:r>
              <w:rPr>
                <w:rFonts w:ascii="宋体" w:hAnsi="宋体" w:cs="宋体"/>
                <w:color w:val="auto"/>
                <w:kern w:val="0"/>
                <w:sz w:val="20"/>
                <w:szCs w:val="20"/>
              </w:rPr>
              <w:t>级指标</w:t>
            </w:r>
            <w:r>
              <w:rPr>
                <w:rFonts w:hint="eastAsia" w:ascii="宋体" w:hAnsi="宋体" w:cs="宋体"/>
                <w:color w:val="auto"/>
                <w:kern w:val="0"/>
                <w:sz w:val="20"/>
                <w:szCs w:val="20"/>
              </w:rPr>
              <w:t>　</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4D148447">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预算数（万元）</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3BDA0A0A">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执行数（万元）</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6BBFC8F">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预算执行率</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3E24152F">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390D43DC">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得分</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0132FC25">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指标解释</w:t>
            </w:r>
          </w:p>
        </w:tc>
        <w:tc>
          <w:tcPr>
            <w:tcW w:w="1389" w:type="pct"/>
            <w:tcBorders>
              <w:top w:val="single" w:color="auto" w:sz="4" w:space="0"/>
              <w:left w:val="nil"/>
              <w:bottom w:val="single" w:color="auto" w:sz="4" w:space="0"/>
              <w:right w:val="single" w:color="auto" w:sz="4" w:space="0"/>
            </w:tcBorders>
            <w:noWrap w:val="0"/>
            <w:vAlign w:val="center"/>
          </w:tcPr>
          <w:p w14:paraId="65A38BE2">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评分标准</w:t>
            </w:r>
          </w:p>
        </w:tc>
      </w:tr>
      <w:tr w14:paraId="04923F44">
        <w:trPr>
          <w:trHeight w:val="1512" w:hRule="atLeast"/>
        </w:trPr>
        <w:tc>
          <w:tcPr>
            <w:tcW w:w="287" w:type="pct"/>
            <w:vMerge w:val="restart"/>
            <w:tcBorders>
              <w:top w:val="single" w:color="auto" w:sz="4" w:space="0"/>
              <w:left w:val="single" w:color="auto" w:sz="4" w:space="0"/>
              <w:bottom w:val="single" w:color="auto" w:sz="4" w:space="0"/>
              <w:right w:val="single" w:color="auto" w:sz="4" w:space="0"/>
            </w:tcBorders>
            <w:noWrap w:val="0"/>
            <w:vAlign w:val="center"/>
          </w:tcPr>
          <w:p w14:paraId="548F284C">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当年预算执行情况（20）</w:t>
            </w:r>
          </w:p>
        </w:tc>
        <w:tc>
          <w:tcPr>
            <w:tcW w:w="257" w:type="pct"/>
            <w:tcBorders>
              <w:top w:val="single" w:color="auto" w:sz="4" w:space="0"/>
              <w:left w:val="single" w:color="auto" w:sz="4" w:space="0"/>
              <w:bottom w:val="single" w:color="auto" w:sz="4" w:space="0"/>
              <w:right w:val="single" w:color="auto" w:sz="4" w:space="0"/>
            </w:tcBorders>
            <w:noWrap w:val="0"/>
            <w:vAlign w:val="center"/>
          </w:tcPr>
          <w:p w14:paraId="02292F8E">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资金总体</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266BDED7">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2830.30208</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54956EA2">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2486.4924</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2EDC2950">
            <w:pPr>
              <w:widowControl/>
              <w:jc w:val="center"/>
              <w:rPr>
                <w:rFonts w:hint="eastAsia" w:ascii="宋体" w:hAnsi="宋体" w:cs="宋体"/>
                <w:color w:val="auto"/>
                <w:kern w:val="0"/>
                <w:sz w:val="20"/>
                <w:szCs w:val="20"/>
              </w:rPr>
            </w:pPr>
            <w:r>
              <w:rPr>
                <w:rFonts w:hint="eastAsia" w:ascii="宋体" w:hAnsi="宋体" w:cs="宋体"/>
                <w:color w:val="auto"/>
                <w:kern w:val="0"/>
                <w:sz w:val="20"/>
                <w:szCs w:val="20"/>
                <w:lang w:val="en-US" w:eastAsia="zh-CN"/>
              </w:rPr>
              <w:t>87.85%</w:t>
            </w:r>
          </w:p>
        </w:tc>
        <w:tc>
          <w:tcPr>
            <w:tcW w:w="219" w:type="pct"/>
            <w:vMerge w:val="restart"/>
            <w:tcBorders>
              <w:top w:val="single" w:color="auto" w:sz="4" w:space="0"/>
              <w:left w:val="single" w:color="auto" w:sz="4" w:space="0"/>
              <w:bottom w:val="single" w:color="auto" w:sz="4" w:space="0"/>
              <w:right w:val="single" w:color="auto" w:sz="4" w:space="0"/>
            </w:tcBorders>
            <w:noWrap/>
            <w:vAlign w:val="center"/>
          </w:tcPr>
          <w:p w14:paraId="65320CED">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20</w:t>
            </w:r>
          </w:p>
        </w:tc>
        <w:tc>
          <w:tcPr>
            <w:tcW w:w="303" w:type="pct"/>
            <w:vMerge w:val="restart"/>
            <w:tcBorders>
              <w:top w:val="single" w:color="auto" w:sz="4" w:space="0"/>
              <w:left w:val="single" w:color="auto" w:sz="4" w:space="0"/>
              <w:bottom w:val="single" w:color="auto" w:sz="4" w:space="0"/>
              <w:right w:val="single" w:color="auto" w:sz="4" w:space="0"/>
            </w:tcBorders>
            <w:noWrap/>
            <w:vAlign w:val="center"/>
          </w:tcPr>
          <w:p w14:paraId="7C2AF6D8">
            <w:pPr>
              <w:widowControl/>
              <w:jc w:val="center"/>
              <w:rPr>
                <w:rFonts w:hint="eastAsia" w:ascii="宋体" w:hAnsi="宋体" w:cs="宋体"/>
                <w:color w:val="auto"/>
                <w:kern w:val="0"/>
                <w:sz w:val="20"/>
                <w:szCs w:val="20"/>
              </w:rPr>
            </w:pPr>
            <w:r>
              <w:rPr>
                <w:rFonts w:hint="eastAsia" w:ascii="宋体" w:hAnsi="宋体" w:cs="宋体"/>
                <w:color w:val="auto"/>
                <w:kern w:val="0"/>
                <w:sz w:val="20"/>
                <w:szCs w:val="20"/>
                <w:lang w:val="en-US" w:eastAsia="zh-CN"/>
              </w:rPr>
              <w:t>17.57</w:t>
            </w:r>
          </w:p>
        </w:tc>
        <w:tc>
          <w:tcPr>
            <w:tcW w:w="1019" w:type="pct"/>
            <w:vMerge w:val="restart"/>
            <w:tcBorders>
              <w:top w:val="single" w:color="auto" w:sz="4" w:space="0"/>
              <w:left w:val="single" w:color="auto" w:sz="4" w:space="0"/>
              <w:bottom w:val="single" w:color="auto" w:sz="4" w:space="0"/>
              <w:right w:val="single" w:color="auto" w:sz="4" w:space="0"/>
            </w:tcBorders>
            <w:noWrap w:val="0"/>
            <w:vAlign w:val="center"/>
          </w:tcPr>
          <w:p w14:paraId="1E260382">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部门全年执行数与全年预算数的比率。资金总体=基本支出+项目支出+其他</w:t>
            </w:r>
          </w:p>
        </w:tc>
        <w:tc>
          <w:tcPr>
            <w:tcW w:w="1389" w:type="pct"/>
            <w:vMerge w:val="restart"/>
            <w:tcBorders>
              <w:top w:val="single" w:color="auto" w:sz="4" w:space="0"/>
              <w:left w:val="single" w:color="auto" w:sz="4" w:space="0"/>
              <w:bottom w:val="single" w:color="auto" w:sz="4" w:space="0"/>
              <w:right w:val="single" w:color="auto" w:sz="4" w:space="0"/>
            </w:tcBorders>
            <w:noWrap w:val="0"/>
            <w:vAlign w:val="center"/>
          </w:tcPr>
          <w:p w14:paraId="36147BEA">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①得分一档最高不能超过该指标分值上限（20分）。</w:t>
            </w:r>
            <w:r>
              <w:rPr>
                <w:rFonts w:hint="eastAsia" w:ascii="宋体" w:hAnsi="宋体" w:cs="宋体"/>
                <w:color w:val="auto"/>
                <w:kern w:val="0"/>
                <w:sz w:val="18"/>
                <w:szCs w:val="18"/>
              </w:rPr>
              <w:br w:type="textWrapping"/>
            </w:r>
            <w:r>
              <w:rPr>
                <w:rFonts w:hint="eastAsia" w:ascii="宋体" w:hAnsi="宋体" w:cs="宋体"/>
                <w:color w:val="auto"/>
                <w:kern w:val="0"/>
                <w:sz w:val="18"/>
                <w:szCs w:val="18"/>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14:paraId="1E28B22A">
        <w:trPr>
          <w:trHeight w:val="1697"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5C282DD0">
            <w:pPr>
              <w:widowControl/>
              <w:jc w:val="left"/>
              <w:rPr>
                <w:rFonts w:ascii="宋体" w:hAnsi="宋体" w:cs="宋体"/>
                <w:color w:val="auto"/>
                <w:kern w:val="0"/>
                <w:sz w:val="20"/>
                <w:szCs w:val="20"/>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3E763E34">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基本支出</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4A8DB63F">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1693.641506</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6DB2EACF">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1594.578627</w:t>
            </w:r>
          </w:p>
        </w:tc>
        <w:tc>
          <w:tcPr>
            <w:tcW w:w="491" w:type="pct"/>
            <w:vMerge w:val="restart"/>
            <w:tcBorders>
              <w:top w:val="single" w:color="auto" w:sz="4" w:space="0"/>
              <w:left w:val="single" w:color="auto" w:sz="4" w:space="0"/>
              <w:bottom w:val="single" w:color="auto" w:sz="4" w:space="0"/>
              <w:right w:val="single" w:color="auto" w:sz="4" w:space="0"/>
            </w:tcBorders>
            <w:noWrap w:val="0"/>
            <w:vAlign w:val="center"/>
          </w:tcPr>
          <w:p w14:paraId="51D1FEBC">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11655B98">
            <w:pPr>
              <w:widowControl/>
              <w:jc w:val="left"/>
              <w:rPr>
                <w:rFonts w:ascii="宋体" w:hAnsi="宋体" w:cs="宋体"/>
                <w:color w:val="auto"/>
                <w:kern w:val="0"/>
                <w:sz w:val="20"/>
                <w:szCs w:val="20"/>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14:paraId="5E344328">
            <w:pPr>
              <w:widowControl/>
              <w:jc w:val="left"/>
              <w:rPr>
                <w:rFonts w:ascii="宋体" w:hAnsi="宋体" w:cs="宋体"/>
                <w:color w:val="auto"/>
                <w:kern w:val="0"/>
                <w:sz w:val="20"/>
                <w:szCs w:val="20"/>
              </w:rPr>
            </w:pP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44400C23">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42745A18">
            <w:pPr>
              <w:widowControl/>
              <w:jc w:val="left"/>
              <w:rPr>
                <w:rFonts w:ascii="宋体" w:hAnsi="宋体" w:cs="宋体"/>
                <w:color w:val="auto"/>
                <w:kern w:val="0"/>
                <w:sz w:val="18"/>
                <w:szCs w:val="18"/>
              </w:rPr>
            </w:pPr>
          </w:p>
        </w:tc>
      </w:tr>
      <w:tr w14:paraId="5F4ECE2F">
        <w:trPr>
          <w:trHeight w:val="1168"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580210ED">
            <w:pPr>
              <w:widowControl/>
              <w:jc w:val="left"/>
              <w:rPr>
                <w:rFonts w:ascii="宋体" w:hAnsi="宋体" w:cs="宋体"/>
                <w:color w:val="auto"/>
                <w:kern w:val="0"/>
                <w:sz w:val="20"/>
                <w:szCs w:val="20"/>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5DB5B0F7">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项目支出</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68AAEC4E">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1136.660574</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08849E3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891.913773</w:t>
            </w:r>
          </w:p>
        </w:tc>
        <w:tc>
          <w:tcPr>
            <w:tcW w:w="491" w:type="pct"/>
            <w:vMerge w:val="continue"/>
            <w:tcBorders>
              <w:top w:val="single" w:color="auto" w:sz="4" w:space="0"/>
              <w:left w:val="single" w:color="auto" w:sz="4" w:space="0"/>
              <w:bottom w:val="single" w:color="auto" w:sz="4" w:space="0"/>
              <w:right w:val="single" w:color="auto" w:sz="4" w:space="0"/>
            </w:tcBorders>
            <w:noWrap w:val="0"/>
            <w:vAlign w:val="center"/>
          </w:tcPr>
          <w:p w14:paraId="2A704109">
            <w:pPr>
              <w:widowControl/>
              <w:jc w:val="left"/>
              <w:rPr>
                <w:rFonts w:ascii="宋体" w:hAnsi="宋体" w:cs="宋体"/>
                <w:color w:val="auto"/>
                <w:kern w:val="0"/>
                <w:sz w:val="20"/>
                <w:szCs w:val="20"/>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6044F71F">
            <w:pPr>
              <w:widowControl/>
              <w:jc w:val="left"/>
              <w:rPr>
                <w:rFonts w:ascii="宋体" w:hAnsi="宋体" w:cs="宋体"/>
                <w:color w:val="auto"/>
                <w:kern w:val="0"/>
                <w:sz w:val="20"/>
                <w:szCs w:val="20"/>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14:paraId="73605862">
            <w:pPr>
              <w:widowControl/>
              <w:jc w:val="left"/>
              <w:rPr>
                <w:rFonts w:ascii="宋体" w:hAnsi="宋体" w:cs="宋体"/>
                <w:color w:val="auto"/>
                <w:kern w:val="0"/>
                <w:sz w:val="20"/>
                <w:szCs w:val="20"/>
              </w:rPr>
            </w:pP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6BE99A2E">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4526B00D">
            <w:pPr>
              <w:widowControl/>
              <w:jc w:val="left"/>
              <w:rPr>
                <w:rFonts w:ascii="宋体" w:hAnsi="宋体" w:cs="宋体"/>
                <w:color w:val="auto"/>
                <w:kern w:val="0"/>
                <w:sz w:val="18"/>
                <w:szCs w:val="18"/>
              </w:rPr>
            </w:pPr>
          </w:p>
        </w:tc>
      </w:tr>
      <w:tr w14:paraId="4FDD490A">
        <w:trPr>
          <w:trHeight w:val="1168"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7C50EC59">
            <w:pPr>
              <w:widowControl/>
              <w:jc w:val="left"/>
              <w:rPr>
                <w:rFonts w:ascii="宋体" w:hAnsi="宋体" w:cs="宋体"/>
                <w:color w:val="auto"/>
                <w:kern w:val="0"/>
                <w:sz w:val="20"/>
                <w:szCs w:val="20"/>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3A31314E">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其他</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5C43AB01">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0.000000</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14975211">
            <w:pPr>
              <w:widowControl/>
              <w:jc w:val="center"/>
              <w:rPr>
                <w:rFonts w:hint="eastAsia" w:ascii="宋体" w:hAnsi="宋体" w:cs="宋体"/>
                <w:color w:val="auto"/>
                <w:kern w:val="0"/>
                <w:sz w:val="20"/>
                <w:szCs w:val="20"/>
              </w:rPr>
            </w:pPr>
            <w:r>
              <w:rPr>
                <w:rFonts w:hint="eastAsia" w:ascii="宋体" w:hAnsi="宋体" w:cs="宋体"/>
                <w:color w:val="auto"/>
                <w:kern w:val="0"/>
                <w:sz w:val="20"/>
                <w:szCs w:val="20"/>
                <w:lang w:val="en-US" w:eastAsia="zh-CN"/>
              </w:rPr>
              <w:t>0.000000</w:t>
            </w:r>
          </w:p>
        </w:tc>
        <w:tc>
          <w:tcPr>
            <w:tcW w:w="491" w:type="pct"/>
            <w:vMerge w:val="continue"/>
            <w:tcBorders>
              <w:top w:val="single" w:color="auto" w:sz="4" w:space="0"/>
              <w:left w:val="single" w:color="auto" w:sz="4" w:space="0"/>
              <w:bottom w:val="single" w:color="auto" w:sz="4" w:space="0"/>
              <w:right w:val="single" w:color="auto" w:sz="4" w:space="0"/>
            </w:tcBorders>
            <w:noWrap w:val="0"/>
            <w:vAlign w:val="center"/>
          </w:tcPr>
          <w:p w14:paraId="340426B0">
            <w:pPr>
              <w:widowControl/>
              <w:jc w:val="left"/>
              <w:rPr>
                <w:rFonts w:ascii="宋体" w:hAnsi="宋体" w:cs="宋体"/>
                <w:color w:val="auto"/>
                <w:kern w:val="0"/>
                <w:sz w:val="20"/>
                <w:szCs w:val="20"/>
              </w:rPr>
            </w:pP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5FF22E6D">
            <w:pPr>
              <w:widowControl/>
              <w:jc w:val="left"/>
              <w:rPr>
                <w:rFonts w:ascii="宋体" w:hAnsi="宋体" w:cs="宋体"/>
                <w:color w:val="auto"/>
                <w:kern w:val="0"/>
                <w:sz w:val="20"/>
                <w:szCs w:val="20"/>
              </w:rPr>
            </w:pPr>
          </w:p>
        </w:tc>
        <w:tc>
          <w:tcPr>
            <w:tcW w:w="303" w:type="pct"/>
            <w:vMerge w:val="continue"/>
            <w:tcBorders>
              <w:top w:val="single" w:color="auto" w:sz="4" w:space="0"/>
              <w:left w:val="single" w:color="auto" w:sz="4" w:space="0"/>
              <w:bottom w:val="single" w:color="auto" w:sz="4" w:space="0"/>
              <w:right w:val="single" w:color="auto" w:sz="4" w:space="0"/>
            </w:tcBorders>
            <w:noWrap w:val="0"/>
            <w:vAlign w:val="center"/>
          </w:tcPr>
          <w:p w14:paraId="02B3B314">
            <w:pPr>
              <w:widowControl/>
              <w:jc w:val="left"/>
              <w:rPr>
                <w:rFonts w:ascii="宋体" w:hAnsi="宋体" w:cs="宋体"/>
                <w:color w:val="auto"/>
                <w:kern w:val="0"/>
                <w:sz w:val="20"/>
                <w:szCs w:val="20"/>
              </w:rPr>
            </w:pP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41F82C28">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4EED1721">
            <w:pPr>
              <w:widowControl/>
              <w:jc w:val="left"/>
              <w:rPr>
                <w:rFonts w:ascii="宋体" w:hAnsi="宋体" w:cs="宋体"/>
                <w:color w:val="auto"/>
                <w:kern w:val="0"/>
                <w:sz w:val="18"/>
                <w:szCs w:val="18"/>
              </w:rPr>
            </w:pPr>
          </w:p>
        </w:tc>
      </w:tr>
      <w:tr w14:paraId="251FCAF5">
        <w:trPr>
          <w:trHeight w:val="569"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14:paraId="578DE815">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二</w:t>
            </w:r>
            <w:r>
              <w:rPr>
                <w:rFonts w:ascii="宋体" w:hAnsi="宋体" w:cs="宋体"/>
                <w:color w:val="auto"/>
                <w:kern w:val="0"/>
                <w:sz w:val="18"/>
                <w:szCs w:val="18"/>
              </w:rPr>
              <w:t>、</w:t>
            </w:r>
            <w:r>
              <w:rPr>
                <w:rFonts w:hint="eastAsia" w:ascii="宋体" w:hAnsi="宋体" w:cs="宋体"/>
                <w:color w:val="auto"/>
                <w:kern w:val="0"/>
                <w:sz w:val="20"/>
                <w:szCs w:val="20"/>
              </w:rPr>
              <w:t>整体绩效目标实现情况（60分）</w:t>
            </w:r>
          </w:p>
        </w:tc>
      </w:tr>
      <w:tr w14:paraId="055A6E10">
        <w:trPr>
          <w:trHeight w:val="499" w:hRule="atLeast"/>
        </w:trPr>
        <w:tc>
          <w:tcPr>
            <w:tcW w:w="287" w:type="pct"/>
            <w:tcBorders>
              <w:top w:val="single" w:color="auto" w:sz="4" w:space="0"/>
              <w:left w:val="single" w:color="auto" w:sz="4" w:space="0"/>
              <w:bottom w:val="single" w:color="auto" w:sz="4" w:space="0"/>
              <w:right w:val="single" w:color="auto" w:sz="4" w:space="0"/>
            </w:tcBorders>
            <w:noWrap w:val="0"/>
            <w:vAlign w:val="center"/>
          </w:tcPr>
          <w:p w14:paraId="19AFA962">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一</w:t>
            </w:r>
            <w:r>
              <w:rPr>
                <w:rFonts w:ascii="宋体" w:hAnsi="宋体" w:cs="宋体"/>
                <w:color w:val="auto"/>
                <w:kern w:val="0"/>
                <w:sz w:val="20"/>
                <w:szCs w:val="20"/>
              </w:rPr>
              <w:t>级指标</w:t>
            </w:r>
          </w:p>
        </w:tc>
        <w:tc>
          <w:tcPr>
            <w:tcW w:w="257" w:type="pct"/>
            <w:tcBorders>
              <w:top w:val="single" w:color="auto" w:sz="4" w:space="0"/>
              <w:left w:val="single" w:color="auto" w:sz="4" w:space="0"/>
              <w:bottom w:val="single" w:color="auto" w:sz="4" w:space="0"/>
              <w:right w:val="single" w:color="auto" w:sz="4" w:space="0"/>
            </w:tcBorders>
            <w:noWrap w:val="0"/>
            <w:vAlign w:val="center"/>
          </w:tcPr>
          <w:p w14:paraId="1708479F">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二</w:t>
            </w:r>
            <w:r>
              <w:rPr>
                <w:rFonts w:ascii="宋体" w:hAnsi="宋体" w:cs="宋体"/>
                <w:color w:val="auto"/>
                <w:kern w:val="0"/>
                <w:sz w:val="20"/>
                <w:szCs w:val="20"/>
              </w:rPr>
              <w:t>级指标</w:t>
            </w:r>
            <w:r>
              <w:rPr>
                <w:rFonts w:hint="eastAsia" w:ascii="宋体" w:hAnsi="宋体" w:cs="宋体"/>
                <w:color w:val="auto"/>
                <w:kern w:val="0"/>
                <w:sz w:val="20"/>
                <w:szCs w:val="20"/>
              </w:rPr>
              <w:t>　</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1B9663D3">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三</w:t>
            </w:r>
            <w:r>
              <w:rPr>
                <w:rFonts w:ascii="宋体" w:hAnsi="宋体" w:cs="宋体"/>
                <w:color w:val="auto"/>
                <w:kern w:val="0"/>
                <w:sz w:val="20"/>
                <w:szCs w:val="20"/>
              </w:rPr>
              <w:t>级指标</w:t>
            </w:r>
            <w:r>
              <w:rPr>
                <w:rFonts w:hint="eastAsia" w:ascii="宋体" w:hAnsi="宋体" w:cs="宋体"/>
                <w:color w:val="auto"/>
                <w:kern w:val="0"/>
                <w:sz w:val="20"/>
                <w:szCs w:val="20"/>
              </w:rPr>
              <w:t>　</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6CFC6268">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指标值</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50C583F5">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完成值</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2CFE16EA">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3EE5D392">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得分</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65983879">
            <w:pPr>
              <w:widowControl/>
              <w:jc w:val="center"/>
              <w:rPr>
                <w:rFonts w:hint="eastAsia" w:ascii="宋体" w:hAnsi="宋体" w:cs="宋体"/>
                <w:bCs/>
                <w:color w:val="auto"/>
                <w:kern w:val="0"/>
                <w:sz w:val="18"/>
                <w:szCs w:val="18"/>
              </w:rPr>
            </w:pPr>
            <w:r>
              <w:rPr>
                <w:rFonts w:hint="eastAsia" w:ascii="宋体" w:hAnsi="宋体" w:cs="宋体"/>
                <w:bCs/>
                <w:color w:val="auto"/>
                <w:kern w:val="0"/>
                <w:sz w:val="18"/>
                <w:szCs w:val="18"/>
              </w:rPr>
              <w:t>指标</w:t>
            </w:r>
            <w:r>
              <w:rPr>
                <w:rFonts w:ascii="宋体" w:hAnsi="宋体" w:cs="宋体"/>
                <w:bCs/>
                <w:color w:val="auto"/>
                <w:kern w:val="0"/>
                <w:sz w:val="18"/>
                <w:szCs w:val="18"/>
              </w:rPr>
              <w:t>解释</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4A967A84">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评</w:t>
            </w:r>
            <w:r>
              <w:rPr>
                <w:rFonts w:ascii="宋体" w:hAnsi="宋体" w:cs="宋体"/>
                <w:color w:val="auto"/>
                <w:kern w:val="0"/>
                <w:sz w:val="18"/>
                <w:szCs w:val="18"/>
              </w:rPr>
              <w:t>分标准</w:t>
            </w:r>
          </w:p>
        </w:tc>
      </w:tr>
      <w:tr w14:paraId="33B0F3D8">
        <w:trPr>
          <w:trHeight w:val="1196" w:hRule="atLeast"/>
        </w:trPr>
        <w:tc>
          <w:tcPr>
            <w:tcW w:w="287" w:type="pct"/>
            <w:vMerge w:val="restart"/>
            <w:tcBorders>
              <w:top w:val="single" w:color="auto" w:sz="4" w:space="0"/>
              <w:left w:val="single" w:color="auto" w:sz="4" w:space="0"/>
              <w:bottom w:val="single" w:color="auto" w:sz="4" w:space="0"/>
              <w:right w:val="single" w:color="auto" w:sz="4" w:space="0"/>
            </w:tcBorders>
            <w:noWrap w:val="0"/>
            <w:vAlign w:val="center"/>
          </w:tcPr>
          <w:p w14:paraId="2C393729">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整体绩效目标实现情况（60）</w:t>
            </w:r>
          </w:p>
        </w:tc>
        <w:tc>
          <w:tcPr>
            <w:tcW w:w="257" w:type="pct"/>
            <w:vMerge w:val="restart"/>
            <w:tcBorders>
              <w:top w:val="single" w:color="auto" w:sz="4" w:space="0"/>
              <w:left w:val="single" w:color="auto" w:sz="4" w:space="0"/>
              <w:bottom w:val="single" w:color="auto" w:sz="4" w:space="0"/>
              <w:right w:val="single" w:color="auto" w:sz="4" w:space="0"/>
            </w:tcBorders>
            <w:noWrap w:val="0"/>
            <w:vAlign w:val="center"/>
          </w:tcPr>
          <w:p w14:paraId="1C4374BC">
            <w:pPr>
              <w:widowControl/>
              <w:jc w:val="center"/>
              <w:rPr>
                <w:rFonts w:ascii="宋体" w:hAnsi="宋体" w:cs="宋体"/>
                <w:color w:val="auto"/>
                <w:kern w:val="0"/>
                <w:sz w:val="20"/>
                <w:szCs w:val="20"/>
              </w:rPr>
            </w:pPr>
          </w:p>
          <w:p w14:paraId="449CA02B">
            <w:pPr>
              <w:jc w:val="center"/>
              <w:rPr>
                <w:rFonts w:hint="eastAsia" w:ascii="宋体" w:hAnsi="宋体" w:cs="宋体"/>
                <w:color w:val="auto"/>
                <w:kern w:val="0"/>
                <w:sz w:val="20"/>
                <w:szCs w:val="20"/>
              </w:rPr>
            </w:pPr>
            <w:r>
              <w:rPr>
                <w:rFonts w:hint="eastAsia" w:ascii="宋体" w:hAnsi="宋体" w:cs="宋体"/>
                <w:color w:val="auto"/>
                <w:kern w:val="0"/>
                <w:sz w:val="20"/>
                <w:szCs w:val="20"/>
              </w:rPr>
              <w:t>产出（30）</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15BA8A8A">
            <w:pPr>
              <w:jc w:val="center"/>
              <w:rPr>
                <w:rFonts w:hint="eastAsia" w:ascii="宋体" w:hAnsi="宋体" w:cs="宋体"/>
                <w:color w:val="auto"/>
                <w:kern w:val="0"/>
                <w:sz w:val="20"/>
                <w:szCs w:val="20"/>
              </w:rPr>
            </w:pPr>
            <w:r>
              <w:rPr>
                <w:rFonts w:hint="eastAsia" w:ascii="宋体" w:hAnsi="宋体" w:cs="宋体"/>
                <w:color w:val="auto"/>
                <w:kern w:val="0"/>
                <w:sz w:val="20"/>
                <w:szCs w:val="20"/>
              </w:rPr>
              <w:t>组织参事开展调研活动，提出对策建议</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625FA098">
            <w:pPr>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1C48E7E">
            <w:pPr>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w:t>
            </w:r>
          </w:p>
        </w:tc>
        <w:tc>
          <w:tcPr>
            <w:tcW w:w="219" w:type="pct"/>
            <w:vMerge w:val="restart"/>
            <w:tcBorders>
              <w:top w:val="single" w:color="auto" w:sz="4" w:space="0"/>
              <w:left w:val="single" w:color="auto" w:sz="4" w:space="0"/>
              <w:bottom w:val="single" w:color="auto" w:sz="4" w:space="0"/>
              <w:right w:val="single" w:color="auto" w:sz="4" w:space="0"/>
            </w:tcBorders>
            <w:noWrap w:val="0"/>
            <w:vAlign w:val="center"/>
          </w:tcPr>
          <w:p w14:paraId="4A06A594">
            <w:pPr>
              <w:widowControl/>
              <w:jc w:val="center"/>
              <w:rPr>
                <w:rFonts w:ascii="宋体" w:hAnsi="宋体" w:cs="宋体"/>
                <w:color w:val="auto"/>
                <w:kern w:val="0"/>
                <w:sz w:val="20"/>
                <w:szCs w:val="20"/>
              </w:rPr>
            </w:pPr>
          </w:p>
          <w:p w14:paraId="71410F6A">
            <w:pPr>
              <w:jc w:val="center"/>
              <w:rPr>
                <w:rFonts w:hint="eastAsia" w:ascii="宋体" w:hAnsi="宋体" w:cs="宋体"/>
                <w:color w:val="auto"/>
                <w:kern w:val="0"/>
                <w:sz w:val="20"/>
                <w:szCs w:val="20"/>
              </w:rPr>
            </w:pPr>
            <w:r>
              <w:rPr>
                <w:rFonts w:hint="eastAsia" w:ascii="宋体" w:hAnsi="宋体" w:cs="宋体"/>
                <w:color w:val="auto"/>
                <w:kern w:val="0"/>
                <w:sz w:val="20"/>
                <w:szCs w:val="20"/>
              </w:rPr>
              <w:t>30</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620FBC76">
            <w:pPr>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3</w:t>
            </w:r>
          </w:p>
        </w:tc>
        <w:tc>
          <w:tcPr>
            <w:tcW w:w="1019" w:type="pct"/>
            <w:vMerge w:val="restart"/>
            <w:tcBorders>
              <w:top w:val="single" w:color="auto" w:sz="4" w:space="0"/>
              <w:left w:val="single" w:color="auto" w:sz="4" w:space="0"/>
              <w:bottom w:val="single" w:color="auto" w:sz="4" w:space="0"/>
              <w:right w:val="single" w:color="auto" w:sz="4" w:space="0"/>
            </w:tcBorders>
            <w:noWrap w:val="0"/>
            <w:vAlign w:val="center"/>
          </w:tcPr>
          <w:p w14:paraId="1C115582">
            <w:pPr>
              <w:widowControl/>
              <w:jc w:val="left"/>
              <w:rPr>
                <w:rFonts w:hint="eastAsia" w:ascii="宋体" w:hAnsi="宋体" w:cs="宋体"/>
                <w:color w:val="auto"/>
                <w:kern w:val="0"/>
                <w:sz w:val="18"/>
                <w:szCs w:val="18"/>
              </w:rPr>
            </w:pPr>
            <w:r>
              <w:rPr>
                <w:rFonts w:hint="eastAsia" w:ascii="宋体" w:hAnsi="宋体" w:cs="宋体"/>
                <w:b/>
                <w:bCs/>
                <w:color w:val="auto"/>
                <w:kern w:val="0"/>
                <w:sz w:val="18"/>
                <w:szCs w:val="18"/>
              </w:rPr>
              <w:t>产出数量</w:t>
            </w:r>
            <w:r>
              <w:rPr>
                <w:rFonts w:hint="eastAsia" w:ascii="宋体" w:hAnsi="宋体" w:cs="宋体"/>
                <w:color w:val="auto"/>
                <w:kern w:val="0"/>
                <w:sz w:val="18"/>
                <w:szCs w:val="18"/>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auto"/>
                <w:kern w:val="0"/>
                <w:sz w:val="18"/>
                <w:szCs w:val="18"/>
              </w:rPr>
              <w:t>产出质量</w:t>
            </w:r>
            <w:r>
              <w:rPr>
                <w:rFonts w:hint="eastAsia" w:ascii="宋体" w:hAnsi="宋体" w:cs="宋体"/>
                <w:color w:val="auto"/>
                <w:kern w:val="0"/>
                <w:sz w:val="18"/>
                <w:szCs w:val="18"/>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auto"/>
                <w:kern w:val="0"/>
                <w:sz w:val="18"/>
                <w:szCs w:val="18"/>
              </w:rPr>
              <w:t>产出进度：</w:t>
            </w:r>
            <w:r>
              <w:rPr>
                <w:rFonts w:hint="eastAsia" w:ascii="宋体" w:hAnsi="宋体" w:cs="宋体"/>
                <w:color w:val="auto"/>
                <w:kern w:val="0"/>
                <w:sz w:val="18"/>
                <w:szCs w:val="18"/>
              </w:rPr>
              <w:t>按时完成率=（按时完成工作数/实际完成工作数）×100%。按时完成工作数：部门（单位）按照整体绩效目标确定的时限实际完成的工作任务数量。</w:t>
            </w:r>
            <w:r>
              <w:rPr>
                <w:rFonts w:hint="eastAsia" w:ascii="宋体" w:hAnsi="宋体" w:cs="宋体"/>
                <w:b/>
                <w:bCs/>
                <w:color w:val="auto"/>
                <w:kern w:val="0"/>
                <w:sz w:val="18"/>
                <w:szCs w:val="18"/>
              </w:rPr>
              <w:t>产出成本</w:t>
            </w:r>
            <w:r>
              <w:rPr>
                <w:rFonts w:hint="eastAsia" w:ascii="宋体" w:hAnsi="宋体" w:cs="宋体"/>
                <w:color w:val="auto"/>
                <w:kern w:val="0"/>
                <w:sz w:val="18"/>
                <w:szCs w:val="18"/>
              </w:rPr>
              <w:t>：单位产出相对于上一年度的节约额；②单位产出相对于市场同类产出的节约额；③部门公用经费的控制情况。</w:t>
            </w:r>
          </w:p>
        </w:tc>
        <w:tc>
          <w:tcPr>
            <w:tcW w:w="1389" w:type="pct"/>
            <w:vMerge w:val="restart"/>
            <w:tcBorders>
              <w:top w:val="single" w:color="auto" w:sz="4" w:space="0"/>
              <w:left w:val="single" w:color="auto" w:sz="4" w:space="0"/>
              <w:bottom w:val="single" w:color="auto" w:sz="4" w:space="0"/>
              <w:right w:val="single" w:color="auto" w:sz="4" w:space="0"/>
            </w:tcBorders>
            <w:noWrap w:val="0"/>
            <w:vAlign w:val="center"/>
          </w:tcPr>
          <w:p w14:paraId="1E3B4D9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部门根据本单位情况自行确定并选择产出指标，合理确定各项指标权重。可量化的指标按照比率*单项指标分值即为该指标得分。如果不能定量评价，则以定性的方式进行自评。</w:t>
            </w:r>
          </w:p>
        </w:tc>
      </w:tr>
      <w:tr w14:paraId="673A9B63">
        <w:trPr>
          <w:trHeight w:val="1130"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52D10558">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16D7D122">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1F549F8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完成《北京地域文化通览》前期编辑工作</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571FB59E">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1</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299189EC">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1</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4EC1AB28">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4F73A06C">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4E7E3D38">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55317D00">
            <w:pPr>
              <w:widowControl/>
              <w:jc w:val="left"/>
              <w:rPr>
                <w:rFonts w:ascii="宋体" w:hAnsi="宋体" w:cs="宋体"/>
                <w:color w:val="auto"/>
                <w:kern w:val="0"/>
                <w:sz w:val="18"/>
                <w:szCs w:val="18"/>
              </w:rPr>
            </w:pPr>
          </w:p>
        </w:tc>
      </w:tr>
      <w:tr w14:paraId="0488BE04">
        <w:trPr>
          <w:trHeight w:val="1559"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1430D67B">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79C05747">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12AF00D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组织参事馆员中轴线历史文化宣讲团进行宣讲50次</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15E5BC3B">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50次</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4158DCD9">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51次</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4D863F5C">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696B8BF6">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00C8B0AA">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1671D429">
            <w:pPr>
              <w:widowControl/>
              <w:jc w:val="left"/>
              <w:rPr>
                <w:rFonts w:ascii="宋体" w:hAnsi="宋体" w:cs="宋体"/>
                <w:color w:val="auto"/>
                <w:kern w:val="0"/>
                <w:sz w:val="18"/>
                <w:szCs w:val="18"/>
              </w:rPr>
            </w:pPr>
          </w:p>
        </w:tc>
      </w:tr>
      <w:tr w14:paraId="668EDE9B">
        <w:trPr>
          <w:trHeight w:val="1474"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6AC54176">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7F385FDD">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0438EF3C">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rPr>
              <w:t>编辑出版“馆员文库”—林岫馆员《紫竹斋诗话》</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279AED16">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5661F59F">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4A0D92A2">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45429DCC">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201418B6">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7110CE9A">
            <w:pPr>
              <w:widowControl/>
              <w:jc w:val="left"/>
              <w:rPr>
                <w:rFonts w:ascii="宋体" w:hAnsi="宋体" w:cs="宋体"/>
                <w:color w:val="auto"/>
                <w:kern w:val="0"/>
                <w:sz w:val="18"/>
                <w:szCs w:val="18"/>
              </w:rPr>
            </w:pPr>
          </w:p>
        </w:tc>
      </w:tr>
      <w:tr w14:paraId="1C2D26DD">
        <w:trPr>
          <w:trHeight w:val="1357"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261D54E2">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303E74E6">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4C71FD63">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rPr>
              <w:t>组织馆员创作的馆藏书画作品进行展览</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270A4C89">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1</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0A79AAF8">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1</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7868E001">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77473483">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510CDDC4">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4D542536">
            <w:pPr>
              <w:widowControl/>
              <w:jc w:val="left"/>
              <w:rPr>
                <w:rFonts w:ascii="宋体" w:hAnsi="宋体" w:cs="宋体"/>
                <w:color w:val="auto"/>
                <w:kern w:val="0"/>
                <w:sz w:val="18"/>
                <w:szCs w:val="18"/>
              </w:rPr>
            </w:pPr>
          </w:p>
        </w:tc>
      </w:tr>
      <w:tr w14:paraId="7E872822">
        <w:trPr>
          <w:trHeight w:val="90"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293CB36D">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6273A846">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086AF9FC">
            <w:pPr>
              <w:widowControl/>
              <w:jc w:val="center"/>
              <w:rPr>
                <w:rFonts w:hint="eastAsia" w:ascii="宋体" w:hAnsi="宋体" w:eastAsia="宋体" w:cs="宋体"/>
                <w:color w:val="auto"/>
                <w:kern w:val="0"/>
                <w:sz w:val="20"/>
                <w:szCs w:val="20"/>
                <w:lang w:eastAsia="zh-CN"/>
              </w:rPr>
            </w:pPr>
            <w:r>
              <w:rPr>
                <w:rFonts w:hint="eastAsia" w:ascii="宋体" w:hAnsi="宋体" w:eastAsia="宋体" w:cs="宋体"/>
                <w:color w:val="auto"/>
                <w:kern w:val="0"/>
                <w:sz w:val="20"/>
                <w:szCs w:val="20"/>
                <w:lang w:eastAsia="zh-CN"/>
              </w:rPr>
              <w:t>编辑出版四期《北京文史》</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16852B39">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4期</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784CDB3B">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4期</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0A3E60C0">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216C4908">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7B4EB61D">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39E31B04">
            <w:pPr>
              <w:widowControl/>
              <w:jc w:val="left"/>
              <w:rPr>
                <w:rFonts w:ascii="宋体" w:hAnsi="宋体" w:cs="宋体"/>
                <w:color w:val="auto"/>
                <w:kern w:val="0"/>
                <w:sz w:val="18"/>
                <w:szCs w:val="18"/>
              </w:rPr>
            </w:pPr>
          </w:p>
        </w:tc>
      </w:tr>
      <w:tr w14:paraId="4F9AAE65">
        <w:trPr>
          <w:trHeight w:val="1312"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7726A805">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3B319065">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4BF369FB">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rPr>
              <w:t>进行《定都北京系列·清北京》《人物系列·清康熙帝》《人物系列·清雍正帝》专辑出版工作</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1C9F2068">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1</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551A2D4B">
            <w:pPr>
              <w:widowControl/>
              <w:jc w:val="center"/>
              <w:rPr>
                <w:rFonts w:hint="default" w:ascii="宋体" w:hAnsi="宋体" w:cs="宋体"/>
                <w:color w:val="auto"/>
                <w:kern w:val="0"/>
                <w:sz w:val="20"/>
                <w:szCs w:val="20"/>
                <w:lang w:val="en-US"/>
              </w:rPr>
            </w:pPr>
            <w:r>
              <w:rPr>
                <w:rFonts w:hint="eastAsia" w:ascii="宋体" w:hAnsi="宋体" w:cs="宋体"/>
                <w:color w:val="auto"/>
                <w:kern w:val="0"/>
                <w:sz w:val="20"/>
                <w:szCs w:val="20"/>
                <w:lang w:val="en-US" w:eastAsia="zh-CN"/>
              </w:rPr>
              <w:t>1</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5EAB7DB7">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5114EADA">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3B91B965">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298547BF">
            <w:pPr>
              <w:widowControl/>
              <w:jc w:val="left"/>
              <w:rPr>
                <w:rFonts w:ascii="宋体" w:hAnsi="宋体" w:cs="宋体"/>
                <w:color w:val="auto"/>
                <w:kern w:val="0"/>
                <w:sz w:val="18"/>
                <w:szCs w:val="18"/>
              </w:rPr>
            </w:pPr>
          </w:p>
        </w:tc>
      </w:tr>
      <w:tr w14:paraId="1805543F">
        <w:trPr>
          <w:trHeight w:val="3872"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705C2236">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362DCFE9">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4DDEE740">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rPr>
              <w:t>《北京文史》《定都北京系列·清北京》《人物系列·清康熙帝》《人物系列·清雍正帝》等刊物出版</w:t>
            </w:r>
            <w:r>
              <w:rPr>
                <w:rFonts w:hint="eastAsia" w:ascii="宋体" w:hAnsi="宋体" w:cs="宋体"/>
                <w:color w:val="auto"/>
                <w:kern w:val="0"/>
                <w:sz w:val="20"/>
                <w:szCs w:val="20"/>
                <w:lang w:val="en-US" w:eastAsia="zh-CN"/>
              </w:rPr>
              <w:t>质量和</w:t>
            </w:r>
            <w:r>
              <w:rPr>
                <w:rFonts w:hint="eastAsia" w:ascii="宋体" w:hAnsi="宋体" w:cs="宋体"/>
                <w:color w:val="auto"/>
                <w:kern w:val="0"/>
                <w:sz w:val="20"/>
                <w:szCs w:val="20"/>
              </w:rPr>
              <w:t>印刷质量达到国家有关技术标准和规定</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3C4D224B">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刊物出版</w:t>
            </w:r>
            <w:r>
              <w:rPr>
                <w:rFonts w:hint="eastAsia" w:ascii="宋体" w:hAnsi="宋体" w:cs="宋体"/>
                <w:color w:val="auto"/>
                <w:kern w:val="0"/>
                <w:sz w:val="20"/>
                <w:szCs w:val="20"/>
                <w:lang w:val="en-US" w:eastAsia="zh-CN"/>
              </w:rPr>
              <w:t>质量和</w:t>
            </w:r>
            <w:r>
              <w:rPr>
                <w:rFonts w:hint="eastAsia" w:ascii="宋体" w:hAnsi="宋体" w:cs="宋体"/>
                <w:color w:val="auto"/>
                <w:kern w:val="0"/>
                <w:sz w:val="20"/>
                <w:szCs w:val="20"/>
              </w:rPr>
              <w:t>印刷质量达到国家有关技术标准和规定</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1AC2DB00">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达到了标准</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7EF33759">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6F54CCEC">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3A33D310">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001E17E7">
            <w:pPr>
              <w:widowControl/>
              <w:jc w:val="left"/>
              <w:rPr>
                <w:rFonts w:ascii="宋体" w:hAnsi="宋体" w:cs="宋体"/>
                <w:color w:val="auto"/>
                <w:kern w:val="0"/>
                <w:sz w:val="18"/>
                <w:szCs w:val="18"/>
              </w:rPr>
            </w:pPr>
          </w:p>
        </w:tc>
      </w:tr>
      <w:tr w14:paraId="0D3D7285">
        <w:trPr>
          <w:trHeight w:val="1817"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5B9B8948">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678F24A7">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3E0F2365">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rPr>
              <w:t>各刊物专辑在计划时间内完成出版或送出版社审校</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2E9CFB10">
            <w:pPr>
              <w:widowControl/>
              <w:jc w:val="center"/>
              <w:rPr>
                <w:rFonts w:hint="eastAsia" w:ascii="宋体" w:hAnsi="宋体" w:cs="宋体"/>
                <w:color w:val="auto"/>
                <w:kern w:val="0"/>
                <w:sz w:val="20"/>
                <w:szCs w:val="20"/>
              </w:rPr>
            </w:pPr>
            <w:r>
              <w:rPr>
                <w:rFonts w:hint="eastAsia" w:ascii="宋体" w:hAnsi="宋体" w:cs="宋体"/>
                <w:color w:val="auto"/>
                <w:kern w:val="0"/>
                <w:sz w:val="20"/>
                <w:szCs w:val="20"/>
                <w:lang w:val="en-US" w:eastAsia="zh-CN"/>
              </w:rPr>
              <w:t>在规定时间内完成</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54EF4B87">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在规定的时间内完成</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084BF845">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0C1646E6">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55181616">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7FC04FFD">
            <w:pPr>
              <w:widowControl/>
              <w:jc w:val="left"/>
              <w:rPr>
                <w:rFonts w:ascii="宋体" w:hAnsi="宋体" w:cs="宋体"/>
                <w:color w:val="auto"/>
                <w:kern w:val="0"/>
                <w:sz w:val="18"/>
                <w:szCs w:val="18"/>
              </w:rPr>
            </w:pPr>
          </w:p>
        </w:tc>
      </w:tr>
      <w:tr w14:paraId="3F1C1E3D">
        <w:trPr>
          <w:trHeight w:val="2131"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0D905B72">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5B802070">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5C6BFAC7">
            <w:pPr>
              <w:widowControl/>
              <w:jc w:val="center"/>
              <w:rPr>
                <w:rFonts w:hint="default" w:ascii="宋体" w:hAnsi="宋体" w:eastAsia="宋体" w:cs="宋体"/>
                <w:color w:val="auto"/>
                <w:kern w:val="0"/>
                <w:sz w:val="20"/>
                <w:szCs w:val="20"/>
                <w:lang w:val="en-US" w:eastAsia="zh-CN"/>
              </w:rPr>
            </w:pPr>
            <w:r>
              <w:rPr>
                <w:rFonts w:hint="default" w:ascii="宋体" w:hAnsi="宋体" w:eastAsia="宋体" w:cs="宋体"/>
                <w:color w:val="auto"/>
                <w:kern w:val="0"/>
                <w:sz w:val="20"/>
                <w:szCs w:val="20"/>
                <w:lang w:val="en-US" w:eastAsia="zh-CN"/>
              </w:rPr>
              <w:t>为实现相关目标的投入控制在预算范围，支出费用严格控制在财政资金支出标准范围内。</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49A6C9DD">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rPr>
              <w:t>2830.30208</w:t>
            </w:r>
            <w:r>
              <w:rPr>
                <w:rFonts w:hint="eastAsia" w:ascii="宋体" w:hAnsi="宋体" w:cs="宋体"/>
                <w:color w:val="auto"/>
                <w:kern w:val="0"/>
                <w:sz w:val="20"/>
                <w:szCs w:val="20"/>
                <w:lang w:val="en-US" w:eastAsia="zh-CN"/>
              </w:rPr>
              <w:t>万元</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4ED5CE96">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rPr>
              <w:t>2486.4924</w:t>
            </w:r>
            <w:r>
              <w:rPr>
                <w:rFonts w:hint="eastAsia" w:ascii="宋体" w:hAnsi="宋体" w:cs="宋体"/>
                <w:color w:val="auto"/>
                <w:kern w:val="0"/>
                <w:sz w:val="20"/>
                <w:szCs w:val="20"/>
                <w:lang w:val="en-US" w:eastAsia="zh-CN"/>
              </w:rPr>
              <w:t>万元</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55A74635">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19AC4DE9">
            <w:pPr>
              <w:widowControl/>
              <w:jc w:val="center"/>
              <w:rPr>
                <w:rFonts w:hint="eastAsia"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3</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166A0D53">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458B590D">
            <w:pPr>
              <w:widowControl/>
              <w:jc w:val="left"/>
              <w:rPr>
                <w:rFonts w:ascii="宋体" w:hAnsi="宋体" w:cs="宋体"/>
                <w:color w:val="auto"/>
                <w:kern w:val="0"/>
                <w:sz w:val="18"/>
                <w:szCs w:val="18"/>
              </w:rPr>
            </w:pPr>
          </w:p>
        </w:tc>
      </w:tr>
      <w:tr w14:paraId="78474BCD">
        <w:trPr>
          <w:trHeight w:val="675"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465C1233">
            <w:pPr>
              <w:widowControl/>
              <w:jc w:val="left"/>
              <w:rPr>
                <w:rFonts w:ascii="宋体" w:hAnsi="宋体" w:cs="宋体"/>
                <w:color w:val="auto"/>
                <w:kern w:val="0"/>
                <w:sz w:val="20"/>
                <w:szCs w:val="20"/>
              </w:rPr>
            </w:pPr>
          </w:p>
        </w:tc>
        <w:tc>
          <w:tcPr>
            <w:tcW w:w="257" w:type="pct"/>
            <w:vMerge w:val="restart"/>
            <w:tcBorders>
              <w:top w:val="single" w:color="auto" w:sz="4" w:space="0"/>
              <w:left w:val="single" w:color="auto" w:sz="4" w:space="0"/>
              <w:bottom w:val="single" w:color="auto" w:sz="4" w:space="0"/>
              <w:right w:val="single" w:color="auto" w:sz="4" w:space="0"/>
            </w:tcBorders>
            <w:noWrap w:val="0"/>
            <w:vAlign w:val="center"/>
          </w:tcPr>
          <w:p w14:paraId="075CF875">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效果（30）</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70BEE693">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围绕北京市“四个中心”建设和在经济社会发展中遇到的重点难点问题，组织参事开展调研，提出对策建议。</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30A483B1">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提出对策建议</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54F0A95A">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提出了对策建议</w:t>
            </w:r>
          </w:p>
        </w:tc>
        <w:tc>
          <w:tcPr>
            <w:tcW w:w="219" w:type="pct"/>
            <w:vMerge w:val="restart"/>
            <w:tcBorders>
              <w:top w:val="single" w:color="auto" w:sz="4" w:space="0"/>
              <w:left w:val="single" w:color="auto" w:sz="4" w:space="0"/>
              <w:bottom w:val="single" w:color="auto" w:sz="4" w:space="0"/>
              <w:right w:val="single" w:color="auto" w:sz="4" w:space="0"/>
            </w:tcBorders>
            <w:noWrap/>
            <w:vAlign w:val="center"/>
          </w:tcPr>
          <w:p w14:paraId="4F49B5CE">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30</w:t>
            </w:r>
          </w:p>
        </w:tc>
        <w:tc>
          <w:tcPr>
            <w:tcW w:w="303" w:type="pct"/>
            <w:tcBorders>
              <w:top w:val="single" w:color="auto" w:sz="4" w:space="0"/>
              <w:left w:val="single" w:color="auto" w:sz="4" w:space="0"/>
              <w:bottom w:val="single" w:color="auto" w:sz="4" w:space="0"/>
              <w:right w:val="single" w:color="auto" w:sz="4" w:space="0"/>
            </w:tcBorders>
            <w:noWrap/>
            <w:vAlign w:val="center"/>
          </w:tcPr>
          <w:p w14:paraId="2C6E6A4F">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8</w:t>
            </w:r>
          </w:p>
        </w:tc>
        <w:tc>
          <w:tcPr>
            <w:tcW w:w="1019" w:type="pct"/>
            <w:vMerge w:val="restart"/>
            <w:tcBorders>
              <w:top w:val="single" w:color="auto" w:sz="4" w:space="0"/>
              <w:left w:val="single" w:color="auto" w:sz="4" w:space="0"/>
              <w:bottom w:val="single" w:color="auto" w:sz="4" w:space="0"/>
              <w:right w:val="single" w:color="auto" w:sz="4" w:space="0"/>
            </w:tcBorders>
            <w:noWrap w:val="0"/>
            <w:vAlign w:val="center"/>
          </w:tcPr>
          <w:p w14:paraId="0608AAEB">
            <w:pPr>
              <w:widowControl/>
              <w:jc w:val="left"/>
              <w:rPr>
                <w:rFonts w:hint="eastAsia" w:ascii="宋体" w:hAnsi="宋体" w:cs="宋体"/>
                <w:color w:val="auto"/>
                <w:kern w:val="0"/>
                <w:sz w:val="18"/>
                <w:szCs w:val="18"/>
              </w:rPr>
            </w:pPr>
            <w:r>
              <w:rPr>
                <w:rFonts w:hint="eastAsia" w:ascii="宋体" w:hAnsi="宋体" w:cs="宋体"/>
                <w:b/>
                <w:bCs/>
                <w:color w:val="auto"/>
                <w:kern w:val="0"/>
                <w:sz w:val="18"/>
                <w:szCs w:val="18"/>
              </w:rPr>
              <w:t>经济效益</w:t>
            </w:r>
            <w:r>
              <w:rPr>
                <w:rFonts w:hint="eastAsia" w:ascii="宋体" w:hAnsi="宋体" w:cs="宋体"/>
                <w:color w:val="auto"/>
                <w:kern w:val="0"/>
                <w:sz w:val="18"/>
                <w:szCs w:val="18"/>
              </w:rPr>
              <w:t>：部门（单位）履行职责对经济发展所带来的直接或间接影响。</w:t>
            </w:r>
            <w:r>
              <w:rPr>
                <w:rFonts w:hint="eastAsia" w:ascii="宋体" w:hAnsi="宋体" w:cs="宋体"/>
                <w:b/>
                <w:bCs/>
                <w:color w:val="auto"/>
                <w:kern w:val="0"/>
                <w:sz w:val="18"/>
                <w:szCs w:val="18"/>
              </w:rPr>
              <w:t>社会效益</w:t>
            </w:r>
            <w:r>
              <w:rPr>
                <w:rFonts w:hint="eastAsia" w:ascii="宋体" w:hAnsi="宋体" w:cs="宋体"/>
                <w:color w:val="auto"/>
                <w:kern w:val="0"/>
                <w:sz w:val="18"/>
                <w:szCs w:val="18"/>
              </w:rPr>
              <w:t>：部门（单位）履行职责对社会发展所带来的直接或间接影响。</w:t>
            </w:r>
            <w:r>
              <w:rPr>
                <w:rFonts w:hint="eastAsia" w:ascii="宋体" w:hAnsi="宋体" w:cs="宋体"/>
                <w:b/>
                <w:bCs/>
                <w:color w:val="auto"/>
                <w:kern w:val="0"/>
                <w:sz w:val="18"/>
                <w:szCs w:val="18"/>
              </w:rPr>
              <w:t>环境效益</w:t>
            </w:r>
            <w:r>
              <w:rPr>
                <w:rFonts w:hint="eastAsia" w:ascii="宋体" w:hAnsi="宋体" w:cs="宋体"/>
                <w:color w:val="auto"/>
                <w:kern w:val="0"/>
                <w:sz w:val="18"/>
                <w:szCs w:val="18"/>
              </w:rPr>
              <w:t>：部门（单位）履行职责对环境所带来的直接或间接影响。</w:t>
            </w:r>
            <w:r>
              <w:rPr>
                <w:rFonts w:hint="eastAsia" w:ascii="宋体" w:hAnsi="宋体" w:cs="宋体"/>
                <w:b/>
                <w:bCs/>
                <w:color w:val="auto"/>
                <w:kern w:val="0"/>
                <w:sz w:val="18"/>
                <w:szCs w:val="18"/>
              </w:rPr>
              <w:t>可持续性影响：</w:t>
            </w:r>
            <w:r>
              <w:rPr>
                <w:rFonts w:hint="eastAsia" w:ascii="宋体" w:hAnsi="宋体" w:cs="宋体"/>
                <w:color w:val="auto"/>
                <w:kern w:val="0"/>
                <w:sz w:val="18"/>
                <w:szCs w:val="18"/>
              </w:rPr>
              <w:t>部门绩效目标实现的长效机制建设情况，部门工作效率提升措施的创新。</w:t>
            </w:r>
            <w:r>
              <w:rPr>
                <w:rFonts w:hint="eastAsia" w:ascii="宋体" w:hAnsi="宋体" w:cs="宋体"/>
                <w:b/>
                <w:bCs/>
                <w:color w:val="auto"/>
                <w:kern w:val="0"/>
                <w:sz w:val="18"/>
                <w:szCs w:val="18"/>
              </w:rPr>
              <w:t>服务对象满意度</w:t>
            </w:r>
            <w:r>
              <w:rPr>
                <w:rFonts w:hint="eastAsia" w:ascii="宋体" w:hAnsi="宋体" w:cs="宋体"/>
                <w:color w:val="auto"/>
                <w:kern w:val="0"/>
                <w:sz w:val="18"/>
                <w:szCs w:val="18"/>
              </w:rPr>
              <w:t>：部门（单位）的服务对象对部门履职效果的满意程度。</w:t>
            </w:r>
          </w:p>
        </w:tc>
        <w:tc>
          <w:tcPr>
            <w:tcW w:w="1389" w:type="pct"/>
            <w:vMerge w:val="restart"/>
            <w:tcBorders>
              <w:top w:val="single" w:color="auto" w:sz="4" w:space="0"/>
              <w:left w:val="single" w:color="auto" w:sz="4" w:space="0"/>
              <w:bottom w:val="single" w:color="auto" w:sz="4" w:space="0"/>
              <w:right w:val="single" w:color="auto" w:sz="4" w:space="0"/>
            </w:tcBorders>
            <w:noWrap w:val="0"/>
            <w:vAlign w:val="center"/>
          </w:tcPr>
          <w:p w14:paraId="4018BC0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部门根据实际情况选择指标进行填写，并将其细化为相应的个性化指标。对于效益类指标可从受益对象瞄准度、受益广度和受益深度上进行设计分析。</w:t>
            </w:r>
          </w:p>
        </w:tc>
      </w:tr>
      <w:tr w14:paraId="223BD611">
        <w:trPr>
          <w:trHeight w:val="2804"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2CA5A6D2">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7B7C1FDB">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499C0620">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通过各专辑刊物出版，反映北京深厚的历史文化底蕴，梳理古都北京的都城史，进一步满足读者了解北京历史文化的精神文化需求。</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4BF627D5">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进一步满足读者了解北京历史文化的精神文化需求</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19C1866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进一步满足</w:t>
            </w:r>
            <w:r>
              <w:rPr>
                <w:rFonts w:hint="eastAsia" w:ascii="宋体" w:hAnsi="宋体" w:cs="宋体"/>
                <w:color w:val="auto"/>
                <w:kern w:val="0"/>
                <w:sz w:val="20"/>
                <w:szCs w:val="20"/>
                <w:lang w:val="en-US" w:eastAsia="zh-CN"/>
              </w:rPr>
              <w:t>了</w:t>
            </w:r>
            <w:r>
              <w:rPr>
                <w:rFonts w:hint="eastAsia" w:ascii="宋体" w:hAnsi="宋体" w:cs="宋体"/>
                <w:color w:val="auto"/>
                <w:kern w:val="0"/>
                <w:sz w:val="20"/>
                <w:szCs w:val="20"/>
              </w:rPr>
              <w:t>读者了解北京历史文化的精神文化需求</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051ADCE2">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79A78E63">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8</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185D4B82">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114B1ABC">
            <w:pPr>
              <w:widowControl/>
              <w:jc w:val="left"/>
              <w:rPr>
                <w:rFonts w:ascii="宋体" w:hAnsi="宋体" w:cs="宋体"/>
                <w:color w:val="auto"/>
                <w:kern w:val="0"/>
                <w:sz w:val="18"/>
                <w:szCs w:val="18"/>
              </w:rPr>
            </w:pPr>
          </w:p>
        </w:tc>
      </w:tr>
      <w:tr w14:paraId="10F9C608">
        <w:trPr>
          <w:trHeight w:val="2264"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2B5ACD57">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298553B4">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144517DB">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挖掘北京丰富的文史资源，传播北京历史文化知识，为扎实推进全国文化中心建设，建设人文北京，弘扬中华民族优秀传统文化做出贡献。</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001673E1">
            <w:pPr>
              <w:widowControl/>
              <w:jc w:val="center"/>
              <w:rPr>
                <w:rFonts w:hint="eastAsia" w:ascii="宋体" w:hAnsi="宋体" w:cs="宋体"/>
                <w:color w:val="auto"/>
                <w:kern w:val="0"/>
                <w:sz w:val="20"/>
                <w:szCs w:val="20"/>
              </w:rPr>
            </w:pPr>
            <w:r>
              <w:rPr>
                <w:rFonts w:hint="eastAsia" w:ascii="宋体" w:hAnsi="宋体" w:cs="宋体"/>
                <w:color w:val="auto"/>
                <w:kern w:val="0"/>
                <w:sz w:val="20"/>
                <w:szCs w:val="20"/>
                <w:lang w:val="en-US" w:eastAsia="zh-CN"/>
              </w:rPr>
              <w:t>做</w:t>
            </w:r>
            <w:r>
              <w:rPr>
                <w:rFonts w:hint="eastAsia" w:ascii="宋体" w:hAnsi="宋体" w:cs="宋体"/>
                <w:color w:val="auto"/>
                <w:kern w:val="0"/>
                <w:sz w:val="20"/>
                <w:szCs w:val="20"/>
                <w:lang w:eastAsia="zh-CN"/>
              </w:rPr>
              <w:t>出</w:t>
            </w:r>
            <w:r>
              <w:rPr>
                <w:rFonts w:hint="eastAsia" w:ascii="宋体" w:hAnsi="宋体" w:cs="宋体"/>
                <w:color w:val="auto"/>
                <w:kern w:val="0"/>
                <w:sz w:val="20"/>
                <w:szCs w:val="20"/>
              </w:rPr>
              <w:t>贡献</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3AFAF7A">
            <w:pPr>
              <w:widowControl/>
              <w:jc w:val="center"/>
              <w:rPr>
                <w:rFonts w:hint="eastAsia" w:ascii="宋体" w:hAnsi="宋体" w:cs="宋体"/>
                <w:color w:val="auto"/>
                <w:kern w:val="0"/>
                <w:sz w:val="20"/>
                <w:szCs w:val="20"/>
              </w:rPr>
            </w:pPr>
            <w:r>
              <w:rPr>
                <w:rFonts w:hint="eastAsia" w:ascii="宋体" w:hAnsi="宋体" w:cs="宋体"/>
                <w:color w:val="auto"/>
                <w:kern w:val="0"/>
                <w:sz w:val="20"/>
                <w:szCs w:val="20"/>
                <w:lang w:val="en-US" w:eastAsia="zh-CN"/>
              </w:rPr>
              <w:t>做</w:t>
            </w:r>
            <w:r>
              <w:rPr>
                <w:rFonts w:hint="eastAsia" w:ascii="宋体" w:hAnsi="宋体" w:cs="宋体"/>
                <w:color w:val="auto"/>
                <w:kern w:val="0"/>
                <w:sz w:val="20"/>
                <w:szCs w:val="20"/>
                <w:lang w:eastAsia="zh-CN"/>
              </w:rPr>
              <w:t>出</w:t>
            </w:r>
            <w:r>
              <w:rPr>
                <w:rFonts w:hint="eastAsia" w:ascii="宋体" w:hAnsi="宋体" w:cs="宋体"/>
                <w:color w:val="auto"/>
                <w:kern w:val="0"/>
                <w:sz w:val="20"/>
                <w:szCs w:val="20"/>
                <w:lang w:val="en-US" w:eastAsia="zh-CN"/>
              </w:rPr>
              <w:t>了</w:t>
            </w:r>
            <w:r>
              <w:rPr>
                <w:rFonts w:hint="eastAsia" w:ascii="宋体" w:hAnsi="宋体" w:cs="宋体"/>
                <w:color w:val="auto"/>
                <w:kern w:val="0"/>
                <w:sz w:val="20"/>
                <w:szCs w:val="20"/>
              </w:rPr>
              <w:t>贡献</w:t>
            </w:r>
          </w:p>
        </w:tc>
        <w:tc>
          <w:tcPr>
            <w:tcW w:w="219" w:type="pct"/>
            <w:vMerge w:val="continue"/>
            <w:tcBorders>
              <w:top w:val="single" w:color="auto" w:sz="4" w:space="0"/>
              <w:left w:val="single" w:color="auto" w:sz="4" w:space="0"/>
              <w:bottom w:val="single" w:color="auto" w:sz="4" w:space="0"/>
              <w:right w:val="single" w:color="auto" w:sz="4" w:space="0"/>
            </w:tcBorders>
            <w:noWrap w:val="0"/>
            <w:vAlign w:val="center"/>
          </w:tcPr>
          <w:p w14:paraId="24928C6F">
            <w:pPr>
              <w:widowControl/>
              <w:jc w:val="left"/>
              <w:rPr>
                <w:rFonts w:ascii="宋体" w:hAnsi="宋体" w:cs="宋体"/>
                <w:color w:val="auto"/>
                <w:kern w:val="0"/>
                <w:sz w:val="20"/>
                <w:szCs w:val="20"/>
              </w:rPr>
            </w:pPr>
          </w:p>
        </w:tc>
        <w:tc>
          <w:tcPr>
            <w:tcW w:w="303" w:type="pct"/>
            <w:tcBorders>
              <w:top w:val="single" w:color="auto" w:sz="4" w:space="0"/>
              <w:left w:val="single" w:color="auto" w:sz="4" w:space="0"/>
              <w:bottom w:val="single" w:color="auto" w:sz="4" w:space="0"/>
              <w:right w:val="single" w:color="auto" w:sz="4" w:space="0"/>
            </w:tcBorders>
            <w:noWrap/>
            <w:vAlign w:val="center"/>
          </w:tcPr>
          <w:p w14:paraId="5A9E8338">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8</w:t>
            </w:r>
          </w:p>
        </w:tc>
        <w:tc>
          <w:tcPr>
            <w:tcW w:w="1019" w:type="pct"/>
            <w:vMerge w:val="continue"/>
            <w:tcBorders>
              <w:top w:val="single" w:color="auto" w:sz="4" w:space="0"/>
              <w:left w:val="single" w:color="auto" w:sz="4" w:space="0"/>
              <w:bottom w:val="single" w:color="auto" w:sz="4" w:space="0"/>
              <w:right w:val="single" w:color="auto" w:sz="4" w:space="0"/>
            </w:tcBorders>
            <w:noWrap w:val="0"/>
            <w:vAlign w:val="center"/>
          </w:tcPr>
          <w:p w14:paraId="092F3E64">
            <w:pPr>
              <w:widowControl/>
              <w:jc w:val="left"/>
              <w:rPr>
                <w:rFonts w:ascii="宋体" w:hAnsi="宋体" w:cs="宋体"/>
                <w:color w:val="auto"/>
                <w:kern w:val="0"/>
                <w:sz w:val="18"/>
                <w:szCs w:val="18"/>
              </w:rPr>
            </w:pPr>
          </w:p>
        </w:tc>
        <w:tc>
          <w:tcPr>
            <w:tcW w:w="1389" w:type="pct"/>
            <w:vMerge w:val="continue"/>
            <w:tcBorders>
              <w:top w:val="single" w:color="auto" w:sz="4" w:space="0"/>
              <w:left w:val="single" w:color="auto" w:sz="4" w:space="0"/>
              <w:bottom w:val="single" w:color="auto" w:sz="4" w:space="0"/>
              <w:right w:val="single" w:color="auto" w:sz="4" w:space="0"/>
            </w:tcBorders>
            <w:noWrap w:val="0"/>
            <w:vAlign w:val="center"/>
          </w:tcPr>
          <w:p w14:paraId="64C2A3A3">
            <w:pPr>
              <w:widowControl/>
              <w:jc w:val="left"/>
              <w:rPr>
                <w:rFonts w:ascii="宋体" w:hAnsi="宋体" w:cs="宋体"/>
                <w:color w:val="auto"/>
                <w:kern w:val="0"/>
                <w:sz w:val="18"/>
                <w:szCs w:val="18"/>
              </w:rPr>
            </w:pPr>
          </w:p>
        </w:tc>
      </w:tr>
      <w:tr w14:paraId="103C9A38">
        <w:trPr>
          <w:trHeight w:val="699" w:hRule="atLeast"/>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14:paraId="664CDC3C">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三</w:t>
            </w:r>
            <w:r>
              <w:rPr>
                <w:rFonts w:ascii="宋体" w:hAnsi="宋体" w:cs="宋体"/>
                <w:color w:val="auto"/>
                <w:kern w:val="0"/>
                <w:sz w:val="18"/>
                <w:szCs w:val="18"/>
              </w:rPr>
              <w:t>、</w:t>
            </w:r>
            <w:r>
              <w:rPr>
                <w:rFonts w:hint="eastAsia" w:ascii="宋体" w:hAnsi="宋体" w:cs="宋体"/>
                <w:color w:val="auto"/>
                <w:kern w:val="0"/>
                <w:sz w:val="20"/>
                <w:szCs w:val="20"/>
              </w:rPr>
              <w:t>预算管理情况（20分）</w:t>
            </w:r>
          </w:p>
        </w:tc>
      </w:tr>
      <w:tr w14:paraId="328B2BF9">
        <w:trPr>
          <w:trHeight w:val="702" w:hRule="atLeast"/>
        </w:trPr>
        <w:tc>
          <w:tcPr>
            <w:tcW w:w="287" w:type="pct"/>
            <w:tcBorders>
              <w:top w:val="single" w:color="auto" w:sz="4" w:space="0"/>
              <w:left w:val="single" w:color="auto" w:sz="4" w:space="0"/>
              <w:bottom w:val="single" w:color="auto" w:sz="4" w:space="0"/>
              <w:right w:val="single" w:color="auto" w:sz="4" w:space="0"/>
            </w:tcBorders>
            <w:noWrap w:val="0"/>
            <w:vAlign w:val="center"/>
          </w:tcPr>
          <w:p w14:paraId="5A617FBA">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一</w:t>
            </w:r>
            <w:r>
              <w:rPr>
                <w:rFonts w:ascii="宋体" w:hAnsi="宋体" w:cs="宋体"/>
                <w:color w:val="auto"/>
                <w:kern w:val="0"/>
                <w:sz w:val="20"/>
                <w:szCs w:val="20"/>
              </w:rPr>
              <w:t>级指标</w:t>
            </w:r>
          </w:p>
        </w:tc>
        <w:tc>
          <w:tcPr>
            <w:tcW w:w="257" w:type="pct"/>
            <w:tcBorders>
              <w:top w:val="single" w:color="auto" w:sz="4" w:space="0"/>
              <w:left w:val="single" w:color="auto" w:sz="4" w:space="0"/>
              <w:bottom w:val="single" w:color="auto" w:sz="4" w:space="0"/>
              <w:right w:val="single" w:color="auto" w:sz="4" w:space="0"/>
            </w:tcBorders>
            <w:noWrap w:val="0"/>
            <w:vAlign w:val="center"/>
          </w:tcPr>
          <w:p w14:paraId="0A6E3191">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二</w:t>
            </w:r>
            <w:r>
              <w:rPr>
                <w:rFonts w:ascii="宋体" w:hAnsi="宋体" w:cs="宋体"/>
                <w:color w:val="auto"/>
                <w:kern w:val="0"/>
                <w:sz w:val="20"/>
                <w:szCs w:val="20"/>
              </w:rPr>
              <w:t>级指标</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3C54A3B4">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三</w:t>
            </w:r>
            <w:r>
              <w:rPr>
                <w:rFonts w:ascii="宋体" w:hAnsi="宋体" w:cs="宋体"/>
                <w:color w:val="auto"/>
                <w:kern w:val="0"/>
                <w:sz w:val="20"/>
                <w:szCs w:val="20"/>
              </w:rPr>
              <w:t>级指标</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01EF0E10">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指标</w:t>
            </w:r>
            <w:r>
              <w:rPr>
                <w:rFonts w:ascii="宋体" w:hAnsi="宋体" w:cs="宋体"/>
                <w:color w:val="auto"/>
                <w:kern w:val="0"/>
                <w:sz w:val="20"/>
                <w:szCs w:val="20"/>
              </w:rPr>
              <w:t>值</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15D1B6C">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完成</w:t>
            </w:r>
            <w:r>
              <w:rPr>
                <w:rFonts w:ascii="宋体" w:hAnsi="宋体" w:cs="宋体"/>
                <w:color w:val="auto"/>
                <w:kern w:val="0"/>
                <w:sz w:val="20"/>
                <w:szCs w:val="20"/>
              </w:rPr>
              <w:t>值</w:t>
            </w:r>
          </w:p>
        </w:tc>
        <w:tc>
          <w:tcPr>
            <w:tcW w:w="219" w:type="pct"/>
            <w:tcBorders>
              <w:top w:val="single" w:color="auto" w:sz="4" w:space="0"/>
              <w:left w:val="single" w:color="auto" w:sz="4" w:space="0"/>
              <w:bottom w:val="single" w:color="auto" w:sz="4" w:space="0"/>
              <w:right w:val="single" w:color="auto" w:sz="4" w:space="0"/>
            </w:tcBorders>
            <w:noWrap/>
            <w:vAlign w:val="center"/>
          </w:tcPr>
          <w:p w14:paraId="25716939">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分</w:t>
            </w:r>
            <w:r>
              <w:rPr>
                <w:rFonts w:ascii="宋体" w:hAnsi="宋体" w:cs="宋体"/>
                <w:color w:val="auto"/>
                <w:kern w:val="0"/>
                <w:sz w:val="20"/>
                <w:szCs w:val="20"/>
              </w:rPr>
              <w:t>值</w:t>
            </w:r>
          </w:p>
        </w:tc>
        <w:tc>
          <w:tcPr>
            <w:tcW w:w="303" w:type="pct"/>
            <w:tcBorders>
              <w:top w:val="single" w:color="auto" w:sz="4" w:space="0"/>
              <w:left w:val="single" w:color="auto" w:sz="4" w:space="0"/>
              <w:bottom w:val="single" w:color="auto" w:sz="4" w:space="0"/>
              <w:right w:val="single" w:color="auto" w:sz="4" w:space="0"/>
            </w:tcBorders>
            <w:noWrap/>
            <w:vAlign w:val="center"/>
          </w:tcPr>
          <w:p w14:paraId="3169FBB7">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得</w:t>
            </w:r>
            <w:r>
              <w:rPr>
                <w:rFonts w:ascii="宋体" w:hAnsi="宋体" w:cs="宋体"/>
                <w:color w:val="auto"/>
                <w:kern w:val="0"/>
                <w:sz w:val="20"/>
                <w:szCs w:val="20"/>
              </w:rPr>
              <w:t>分</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55CB78CD">
            <w:pPr>
              <w:widowControl/>
              <w:jc w:val="center"/>
              <w:rPr>
                <w:rFonts w:hint="eastAsia" w:ascii="宋体" w:hAnsi="宋体" w:cs="宋体"/>
                <w:b/>
                <w:bCs/>
                <w:color w:val="auto"/>
                <w:kern w:val="0"/>
                <w:sz w:val="18"/>
                <w:szCs w:val="18"/>
              </w:rPr>
            </w:pPr>
            <w:r>
              <w:rPr>
                <w:rFonts w:hint="eastAsia" w:ascii="宋体" w:hAnsi="宋体" w:cs="宋体"/>
                <w:bCs/>
                <w:color w:val="auto"/>
                <w:kern w:val="0"/>
                <w:sz w:val="18"/>
                <w:szCs w:val="18"/>
              </w:rPr>
              <w:t>指标</w:t>
            </w:r>
            <w:r>
              <w:rPr>
                <w:rFonts w:ascii="宋体" w:hAnsi="宋体" w:cs="宋体"/>
                <w:bCs/>
                <w:color w:val="auto"/>
                <w:kern w:val="0"/>
                <w:sz w:val="18"/>
                <w:szCs w:val="18"/>
              </w:rPr>
              <w:t>解释</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71177140">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评</w:t>
            </w:r>
            <w:r>
              <w:rPr>
                <w:rFonts w:ascii="宋体" w:hAnsi="宋体" w:cs="宋体"/>
                <w:color w:val="auto"/>
                <w:kern w:val="0"/>
                <w:sz w:val="18"/>
                <w:szCs w:val="18"/>
              </w:rPr>
              <w:t>分标准</w:t>
            </w:r>
          </w:p>
        </w:tc>
      </w:tr>
      <w:tr w14:paraId="7D0B47C7">
        <w:trPr>
          <w:trHeight w:val="90" w:hRule="atLeast"/>
        </w:trPr>
        <w:tc>
          <w:tcPr>
            <w:tcW w:w="287" w:type="pct"/>
            <w:vMerge w:val="restart"/>
            <w:tcBorders>
              <w:top w:val="single" w:color="auto" w:sz="4" w:space="0"/>
              <w:left w:val="single" w:color="auto" w:sz="4" w:space="0"/>
              <w:bottom w:val="single" w:color="auto" w:sz="4" w:space="0"/>
              <w:right w:val="single" w:color="auto" w:sz="4" w:space="0"/>
            </w:tcBorders>
            <w:noWrap w:val="0"/>
            <w:vAlign w:val="center"/>
          </w:tcPr>
          <w:p w14:paraId="3D677C15">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预算管理情况（20）</w:t>
            </w:r>
          </w:p>
        </w:tc>
        <w:tc>
          <w:tcPr>
            <w:tcW w:w="257" w:type="pct"/>
            <w:vMerge w:val="restart"/>
            <w:tcBorders>
              <w:top w:val="single" w:color="auto" w:sz="4" w:space="0"/>
              <w:left w:val="single" w:color="auto" w:sz="4" w:space="0"/>
              <w:bottom w:val="single" w:color="auto" w:sz="4" w:space="0"/>
              <w:right w:val="single" w:color="auto" w:sz="4" w:space="0"/>
            </w:tcBorders>
            <w:noWrap w:val="0"/>
            <w:vAlign w:val="center"/>
          </w:tcPr>
          <w:p w14:paraId="4E4AEF31">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财务管理（4）</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34B35E6B">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财务管理制度健全性</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6BBEA20D">
            <w:pPr>
              <w:widowControl/>
              <w:jc w:val="center"/>
              <w:rPr>
                <w:rFonts w:hint="eastAsia" w:ascii="宋体" w:hAnsi="宋体" w:eastAsia="宋体" w:cs="宋体"/>
                <w:color w:val="auto"/>
                <w:kern w:val="0"/>
                <w:sz w:val="20"/>
                <w:szCs w:val="20"/>
                <w:lang w:eastAsia="zh-CN"/>
              </w:rPr>
            </w:pPr>
            <w:r>
              <w:rPr>
                <w:rFonts w:hint="eastAsia" w:ascii="宋体" w:hAnsi="宋体" w:eastAsia="宋体" w:cs="宋体"/>
                <w:color w:val="auto"/>
                <w:kern w:val="0"/>
                <w:sz w:val="20"/>
                <w:szCs w:val="20"/>
                <w:lang w:val="en-US" w:eastAsia="zh-CN"/>
              </w:rPr>
              <w:t>健全</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3D5CB8FE">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健全</w:t>
            </w:r>
          </w:p>
        </w:tc>
        <w:tc>
          <w:tcPr>
            <w:tcW w:w="219" w:type="pct"/>
            <w:tcBorders>
              <w:top w:val="single" w:color="auto" w:sz="4" w:space="0"/>
              <w:left w:val="single" w:color="auto" w:sz="4" w:space="0"/>
              <w:bottom w:val="single" w:color="auto" w:sz="4" w:space="0"/>
              <w:right w:val="single" w:color="auto" w:sz="4" w:space="0"/>
            </w:tcBorders>
            <w:noWrap/>
            <w:vAlign w:val="center"/>
          </w:tcPr>
          <w:p w14:paraId="0B4F3FAA">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303" w:type="pct"/>
            <w:tcBorders>
              <w:top w:val="single" w:color="auto" w:sz="4" w:space="0"/>
              <w:left w:val="single" w:color="auto" w:sz="4" w:space="0"/>
              <w:bottom w:val="single" w:color="auto" w:sz="4" w:space="0"/>
              <w:right w:val="single" w:color="auto" w:sz="4" w:space="0"/>
            </w:tcBorders>
            <w:noWrap/>
            <w:vAlign w:val="center"/>
          </w:tcPr>
          <w:p w14:paraId="59832892">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lang w:val="en-US" w:eastAsia="zh-CN"/>
              </w:rPr>
              <w:t>1</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0996BFB2">
            <w:pPr>
              <w:widowControl/>
              <w:jc w:val="left"/>
              <w:rPr>
                <w:rFonts w:hint="eastAsia" w:ascii="宋体" w:hAnsi="宋体" w:cs="宋体"/>
                <w:color w:val="auto"/>
                <w:kern w:val="0"/>
                <w:sz w:val="18"/>
                <w:szCs w:val="18"/>
              </w:rPr>
            </w:pPr>
            <w:r>
              <w:rPr>
                <w:rFonts w:hint="eastAsia" w:ascii="宋体" w:hAnsi="宋体" w:cs="宋体"/>
                <w:b/>
                <w:bCs/>
                <w:color w:val="auto"/>
                <w:kern w:val="0"/>
                <w:sz w:val="18"/>
                <w:szCs w:val="18"/>
              </w:rPr>
              <w:t>财务管理制度健全性:</w:t>
            </w:r>
            <w:r>
              <w:rPr>
                <w:rFonts w:hint="eastAsia" w:ascii="宋体" w:hAnsi="宋体" w:cs="宋体"/>
                <w:color w:val="auto"/>
                <w:kern w:val="0"/>
                <w:sz w:val="18"/>
                <w:szCs w:val="18"/>
              </w:rPr>
              <w:t>部门（单位）为加强财务管理、规范财务行为而制定的管理制度。</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61FF98E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①预算资金管理办法、绩效跟踪管理办法、资产管理办法等各项制度是否健全；②部门内部财务管理制度是否完整、合规；③会计核算制度是否完整、合规。每有一项不合格扣0.5分，扣完为止。</w:t>
            </w:r>
          </w:p>
        </w:tc>
      </w:tr>
      <w:tr w14:paraId="73C13027">
        <w:trPr>
          <w:trHeight w:val="2432"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5A2A8F94">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3549494D">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2B93A958">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资金使用合规性和安全性</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058B0EAA">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合规</w:t>
            </w:r>
            <w:r>
              <w:rPr>
                <w:rFonts w:hint="eastAsia" w:ascii="宋体" w:hAnsi="宋体" w:eastAsia="宋体" w:cs="宋体"/>
                <w:color w:val="auto"/>
                <w:kern w:val="0"/>
                <w:sz w:val="20"/>
                <w:szCs w:val="20"/>
                <w:lang w:eastAsia="zh-CN"/>
              </w:rPr>
              <w:t>、</w:t>
            </w:r>
            <w:r>
              <w:rPr>
                <w:rFonts w:hint="eastAsia" w:ascii="宋体" w:hAnsi="宋体" w:eastAsia="宋体" w:cs="宋体"/>
                <w:color w:val="auto"/>
                <w:kern w:val="0"/>
                <w:sz w:val="20"/>
                <w:szCs w:val="20"/>
                <w:lang w:val="en-US" w:eastAsia="zh-CN"/>
              </w:rPr>
              <w:t>安全</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9FD426B">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合规</w:t>
            </w:r>
            <w:r>
              <w:rPr>
                <w:rFonts w:hint="eastAsia" w:ascii="宋体" w:hAnsi="宋体" w:eastAsia="宋体" w:cs="宋体"/>
                <w:color w:val="auto"/>
                <w:kern w:val="0"/>
                <w:sz w:val="20"/>
                <w:szCs w:val="20"/>
                <w:lang w:eastAsia="zh-CN"/>
              </w:rPr>
              <w:t>、</w:t>
            </w:r>
            <w:r>
              <w:rPr>
                <w:rFonts w:hint="eastAsia" w:ascii="宋体" w:hAnsi="宋体" w:eastAsia="宋体" w:cs="宋体"/>
                <w:color w:val="auto"/>
                <w:kern w:val="0"/>
                <w:sz w:val="20"/>
                <w:szCs w:val="20"/>
                <w:lang w:val="en-US" w:eastAsia="zh-CN"/>
              </w:rPr>
              <w:t>安全</w:t>
            </w:r>
          </w:p>
        </w:tc>
        <w:tc>
          <w:tcPr>
            <w:tcW w:w="219" w:type="pct"/>
            <w:tcBorders>
              <w:top w:val="single" w:color="auto" w:sz="4" w:space="0"/>
              <w:left w:val="single" w:color="auto" w:sz="4" w:space="0"/>
              <w:bottom w:val="single" w:color="auto" w:sz="4" w:space="0"/>
              <w:right w:val="single" w:color="auto" w:sz="4" w:space="0"/>
            </w:tcBorders>
            <w:noWrap/>
            <w:vAlign w:val="center"/>
          </w:tcPr>
          <w:p w14:paraId="38BC9FFF">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2</w:t>
            </w:r>
          </w:p>
        </w:tc>
        <w:tc>
          <w:tcPr>
            <w:tcW w:w="303" w:type="pct"/>
            <w:tcBorders>
              <w:top w:val="single" w:color="auto" w:sz="4" w:space="0"/>
              <w:left w:val="single" w:color="auto" w:sz="4" w:space="0"/>
              <w:bottom w:val="single" w:color="auto" w:sz="4" w:space="0"/>
              <w:right w:val="single" w:color="auto" w:sz="4" w:space="0"/>
            </w:tcBorders>
            <w:noWrap/>
            <w:vAlign w:val="center"/>
          </w:tcPr>
          <w:p w14:paraId="523F0876">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lang w:val="en-US" w:eastAsia="zh-CN"/>
              </w:rPr>
              <w:t>2</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63254347">
            <w:pPr>
              <w:widowControl/>
              <w:jc w:val="left"/>
              <w:rPr>
                <w:rFonts w:hint="eastAsia" w:ascii="宋体" w:hAnsi="宋体" w:cs="宋体"/>
                <w:color w:val="auto"/>
                <w:kern w:val="0"/>
                <w:sz w:val="18"/>
                <w:szCs w:val="18"/>
              </w:rPr>
            </w:pPr>
            <w:r>
              <w:rPr>
                <w:rFonts w:hint="eastAsia" w:ascii="宋体" w:hAnsi="宋体" w:cs="宋体"/>
                <w:b/>
                <w:bCs/>
                <w:color w:val="auto"/>
                <w:kern w:val="0"/>
                <w:sz w:val="18"/>
                <w:szCs w:val="18"/>
              </w:rPr>
              <w:t>资金使用合规性和安全性:</w:t>
            </w:r>
            <w:r>
              <w:rPr>
                <w:rFonts w:hint="eastAsia" w:ascii="宋体" w:hAnsi="宋体" w:cs="宋体"/>
                <w:color w:val="auto"/>
                <w:kern w:val="0"/>
                <w:sz w:val="18"/>
                <w:szCs w:val="18"/>
              </w:rPr>
              <w:t>部门（单位）使用预算资金是否符合相关的预算财务管理制度的规定，是否符合相关规定的开支范围，用以反映考核部门（单位）预算资金的规范运行和安全运行情况。</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29646D2D">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①是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14:paraId="00DD4C51">
        <w:trPr>
          <w:trHeight w:val="2011"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5B92074C">
            <w:pPr>
              <w:widowControl/>
              <w:jc w:val="left"/>
              <w:rPr>
                <w:rFonts w:ascii="宋体" w:hAnsi="宋体" w:cs="宋体"/>
                <w:color w:val="auto"/>
                <w:kern w:val="0"/>
                <w:sz w:val="20"/>
                <w:szCs w:val="20"/>
              </w:rPr>
            </w:pPr>
          </w:p>
        </w:tc>
        <w:tc>
          <w:tcPr>
            <w:tcW w:w="257" w:type="pct"/>
            <w:vMerge w:val="continue"/>
            <w:tcBorders>
              <w:top w:val="single" w:color="auto" w:sz="4" w:space="0"/>
              <w:left w:val="single" w:color="auto" w:sz="4" w:space="0"/>
              <w:bottom w:val="single" w:color="auto" w:sz="4" w:space="0"/>
              <w:right w:val="single" w:color="auto" w:sz="4" w:space="0"/>
            </w:tcBorders>
            <w:noWrap w:val="0"/>
            <w:vAlign w:val="center"/>
          </w:tcPr>
          <w:p w14:paraId="484D8320">
            <w:pPr>
              <w:widowControl/>
              <w:jc w:val="left"/>
              <w:rPr>
                <w:rFonts w:ascii="宋体" w:hAnsi="宋体" w:cs="宋体"/>
                <w:color w:val="auto"/>
                <w:kern w:val="0"/>
                <w:sz w:val="20"/>
                <w:szCs w:val="20"/>
              </w:rPr>
            </w:pPr>
          </w:p>
        </w:tc>
        <w:tc>
          <w:tcPr>
            <w:tcW w:w="600" w:type="pct"/>
            <w:tcBorders>
              <w:top w:val="single" w:color="auto" w:sz="4" w:space="0"/>
              <w:left w:val="single" w:color="auto" w:sz="4" w:space="0"/>
              <w:bottom w:val="single" w:color="auto" w:sz="4" w:space="0"/>
              <w:right w:val="single" w:color="auto" w:sz="4" w:space="0"/>
            </w:tcBorders>
            <w:noWrap w:val="0"/>
            <w:vAlign w:val="center"/>
          </w:tcPr>
          <w:p w14:paraId="0C43557E">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会计基础信息完善性</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456D961B">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完善</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5940E0AC">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完善</w:t>
            </w:r>
          </w:p>
        </w:tc>
        <w:tc>
          <w:tcPr>
            <w:tcW w:w="219" w:type="pct"/>
            <w:tcBorders>
              <w:top w:val="single" w:color="auto" w:sz="4" w:space="0"/>
              <w:left w:val="single" w:color="auto" w:sz="4" w:space="0"/>
              <w:bottom w:val="single" w:color="auto" w:sz="4" w:space="0"/>
              <w:right w:val="single" w:color="auto" w:sz="4" w:space="0"/>
            </w:tcBorders>
            <w:noWrap/>
            <w:vAlign w:val="center"/>
          </w:tcPr>
          <w:p w14:paraId="1C45CC33">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1</w:t>
            </w:r>
          </w:p>
        </w:tc>
        <w:tc>
          <w:tcPr>
            <w:tcW w:w="303" w:type="pct"/>
            <w:tcBorders>
              <w:top w:val="single" w:color="auto" w:sz="4" w:space="0"/>
              <w:left w:val="single" w:color="auto" w:sz="4" w:space="0"/>
              <w:bottom w:val="single" w:color="auto" w:sz="4" w:space="0"/>
              <w:right w:val="single" w:color="auto" w:sz="4" w:space="0"/>
            </w:tcBorders>
            <w:noWrap/>
            <w:vAlign w:val="center"/>
          </w:tcPr>
          <w:p w14:paraId="509BC665">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lang w:val="en-US" w:eastAsia="zh-CN"/>
              </w:rPr>
              <w:t>1</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69762B0E">
            <w:pPr>
              <w:widowControl/>
              <w:jc w:val="left"/>
              <w:rPr>
                <w:rFonts w:hint="eastAsia" w:ascii="宋体" w:hAnsi="宋体" w:cs="宋体"/>
                <w:color w:val="auto"/>
                <w:kern w:val="0"/>
                <w:sz w:val="18"/>
                <w:szCs w:val="18"/>
              </w:rPr>
            </w:pPr>
            <w:r>
              <w:rPr>
                <w:rFonts w:hint="eastAsia" w:ascii="宋体" w:hAnsi="宋体" w:cs="宋体"/>
                <w:b/>
                <w:bCs/>
                <w:color w:val="auto"/>
                <w:kern w:val="0"/>
                <w:sz w:val="18"/>
                <w:szCs w:val="18"/>
              </w:rPr>
              <w:t>会计基础信息完善性:</w:t>
            </w:r>
            <w:r>
              <w:rPr>
                <w:rFonts w:hint="eastAsia" w:ascii="宋体" w:hAnsi="宋体" w:cs="宋体"/>
                <w:color w:val="auto"/>
                <w:kern w:val="0"/>
                <w:sz w:val="18"/>
                <w:szCs w:val="18"/>
              </w:rPr>
              <w:t>部门（单位）会计基础信息情况。</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5834D84A">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①基础数据信息和会计信息资料是否真实；②基础数据信息和会计信息资料是否完整；③基础数据信息和会计信息资料是否准确。每有一项不合格扣0.5分，扣完为止。</w:t>
            </w:r>
          </w:p>
        </w:tc>
      </w:tr>
      <w:tr w14:paraId="055E8B44">
        <w:trPr>
          <w:trHeight w:val="3184"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1A0B328E">
            <w:pPr>
              <w:widowControl/>
              <w:jc w:val="left"/>
              <w:rPr>
                <w:rFonts w:ascii="宋体" w:hAnsi="宋体" w:cs="宋体"/>
                <w:color w:val="auto"/>
                <w:kern w:val="0"/>
                <w:sz w:val="20"/>
                <w:szCs w:val="20"/>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000E28C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资产管理（4）</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6E96ABB1">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资产管理规范性</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5A9A889D">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规范</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A4B2B44">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规范</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089530A5">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5D3286FE">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lang w:val="en-US" w:eastAsia="zh-CN"/>
              </w:rPr>
              <w:t>4</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75C2FB63">
            <w:pPr>
              <w:widowControl/>
              <w:jc w:val="left"/>
              <w:rPr>
                <w:rFonts w:hint="eastAsia" w:ascii="宋体" w:hAnsi="宋体" w:cs="宋体"/>
                <w:color w:val="auto"/>
                <w:kern w:val="0"/>
                <w:sz w:val="18"/>
                <w:szCs w:val="18"/>
              </w:rPr>
            </w:pPr>
            <w:r>
              <w:rPr>
                <w:rFonts w:hint="eastAsia" w:ascii="宋体" w:hAnsi="宋体" w:cs="宋体"/>
                <w:b/>
                <w:bCs/>
                <w:color w:val="auto"/>
                <w:kern w:val="0"/>
                <w:sz w:val="18"/>
                <w:szCs w:val="18"/>
              </w:rPr>
              <w:t>资产管理规范性:</w:t>
            </w:r>
            <w:r>
              <w:rPr>
                <w:rFonts w:hint="eastAsia" w:ascii="宋体" w:hAnsi="宋体" w:cs="宋体"/>
                <w:color w:val="auto"/>
                <w:kern w:val="0"/>
                <w:sz w:val="18"/>
                <w:szCs w:val="18"/>
              </w:rPr>
              <w:t>部门（单位）的资产是否保持安全完整，资产配置是否合理，资产使用和资产处理是否规范，用以反映和考核部门（单位）资产管理的整体水平。</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3EEB6A79">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①对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14:paraId="58DAA72E">
        <w:trPr>
          <w:trHeight w:val="3481"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0D519B99">
            <w:pPr>
              <w:widowControl/>
              <w:jc w:val="left"/>
              <w:rPr>
                <w:rFonts w:ascii="宋体" w:hAnsi="宋体" w:cs="宋体"/>
                <w:color w:val="auto"/>
                <w:kern w:val="0"/>
                <w:sz w:val="20"/>
                <w:szCs w:val="20"/>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31E6C28D">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绩效管理（4）</w:t>
            </w:r>
          </w:p>
        </w:tc>
        <w:tc>
          <w:tcPr>
            <w:tcW w:w="600" w:type="pct"/>
            <w:tcBorders>
              <w:top w:val="single" w:color="auto" w:sz="4" w:space="0"/>
              <w:left w:val="single" w:color="auto" w:sz="4" w:space="0"/>
              <w:bottom w:val="single" w:color="auto" w:sz="4" w:space="0"/>
              <w:right w:val="single" w:color="auto" w:sz="4" w:space="0"/>
            </w:tcBorders>
            <w:noWrap w:val="0"/>
            <w:vAlign w:val="center"/>
          </w:tcPr>
          <w:p w14:paraId="184CD1AD">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绩效管理情况</w:t>
            </w:r>
          </w:p>
        </w:tc>
        <w:tc>
          <w:tcPr>
            <w:tcW w:w="430" w:type="pct"/>
            <w:tcBorders>
              <w:top w:val="single" w:color="auto" w:sz="4" w:space="0"/>
              <w:left w:val="single" w:color="auto" w:sz="4" w:space="0"/>
              <w:bottom w:val="single" w:color="auto" w:sz="4" w:space="0"/>
              <w:right w:val="single" w:color="auto" w:sz="4" w:space="0"/>
            </w:tcBorders>
            <w:noWrap w:val="0"/>
            <w:vAlign w:val="center"/>
          </w:tcPr>
          <w:p w14:paraId="73BA9E7F">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lang w:val="en-US" w:eastAsia="zh-CN"/>
              </w:rPr>
              <w:t>进行汇总整理并</w:t>
            </w:r>
            <w:r>
              <w:rPr>
                <w:rFonts w:hint="eastAsia" w:ascii="宋体" w:hAnsi="宋体" w:eastAsia="宋体" w:cs="宋体"/>
                <w:color w:val="auto"/>
                <w:kern w:val="0"/>
                <w:sz w:val="20"/>
                <w:szCs w:val="20"/>
              </w:rPr>
              <w:t>对绩效目标偏离情况</w:t>
            </w:r>
            <w:r>
              <w:rPr>
                <w:rFonts w:hint="eastAsia" w:ascii="宋体" w:hAnsi="宋体" w:eastAsia="宋体" w:cs="宋体"/>
                <w:color w:val="auto"/>
                <w:kern w:val="0"/>
                <w:sz w:val="20"/>
                <w:szCs w:val="20"/>
                <w:lang w:val="en-US" w:eastAsia="zh-CN"/>
              </w:rPr>
              <w:t>及时进行矫正</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6F9F4A43">
            <w:pPr>
              <w:widowControl/>
              <w:jc w:val="left"/>
              <w:rPr>
                <w:rFonts w:hint="eastAsia" w:ascii="宋体" w:hAnsi="宋体" w:eastAsia="宋体" w:cs="宋体"/>
                <w:color w:val="auto"/>
                <w:kern w:val="0"/>
                <w:sz w:val="20"/>
                <w:szCs w:val="20"/>
              </w:rPr>
            </w:pPr>
            <w:r>
              <w:rPr>
                <w:rFonts w:hint="eastAsia" w:ascii="宋体" w:hAnsi="宋体" w:eastAsia="宋体" w:cs="宋体"/>
                <w:color w:val="auto"/>
                <w:kern w:val="0"/>
                <w:sz w:val="20"/>
                <w:szCs w:val="20"/>
                <w:lang w:val="en-US" w:eastAsia="zh-CN"/>
              </w:rPr>
              <w:t>进行了汇总整理并</w:t>
            </w:r>
            <w:r>
              <w:rPr>
                <w:rFonts w:hint="eastAsia" w:ascii="宋体" w:hAnsi="宋体" w:eastAsia="宋体" w:cs="宋体"/>
                <w:color w:val="auto"/>
                <w:kern w:val="0"/>
                <w:sz w:val="20"/>
                <w:szCs w:val="20"/>
              </w:rPr>
              <w:t>对绩效目标偏离情况</w:t>
            </w:r>
            <w:r>
              <w:rPr>
                <w:rFonts w:hint="eastAsia" w:ascii="宋体" w:hAnsi="宋体" w:eastAsia="宋体" w:cs="宋体"/>
                <w:color w:val="auto"/>
                <w:kern w:val="0"/>
                <w:sz w:val="20"/>
                <w:szCs w:val="20"/>
                <w:lang w:val="en-US" w:eastAsia="zh-CN"/>
              </w:rPr>
              <w:t>及时进行了矫正</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02006FEC">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rPr>
              <w:t>4</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5B1316C6">
            <w:pPr>
              <w:widowControl/>
              <w:jc w:val="center"/>
              <w:rPr>
                <w:rFonts w:hint="eastAsia" w:ascii="宋体" w:hAnsi="宋体" w:eastAsia="宋体" w:cs="宋体"/>
                <w:color w:val="auto"/>
                <w:kern w:val="0"/>
                <w:sz w:val="20"/>
                <w:szCs w:val="20"/>
              </w:rPr>
            </w:pPr>
            <w:r>
              <w:rPr>
                <w:rFonts w:hint="eastAsia" w:ascii="宋体" w:hAnsi="宋体" w:eastAsia="宋体" w:cs="宋体"/>
                <w:color w:val="auto"/>
                <w:kern w:val="0"/>
                <w:sz w:val="20"/>
                <w:szCs w:val="20"/>
                <w:lang w:val="en-US" w:eastAsia="zh-CN"/>
              </w:rPr>
              <w:t>4</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3DB2B0A7">
            <w:pPr>
              <w:widowControl/>
              <w:jc w:val="left"/>
              <w:rPr>
                <w:rFonts w:hint="eastAsia" w:ascii="宋体" w:hAnsi="宋体" w:cs="宋体"/>
                <w:color w:val="auto"/>
                <w:kern w:val="0"/>
                <w:sz w:val="18"/>
                <w:szCs w:val="18"/>
              </w:rPr>
            </w:pPr>
            <w:r>
              <w:rPr>
                <w:rFonts w:hint="eastAsia" w:ascii="宋体" w:hAnsi="宋体" w:cs="宋体"/>
                <w:b/>
                <w:bCs/>
                <w:color w:val="auto"/>
                <w:kern w:val="0"/>
                <w:sz w:val="18"/>
                <w:szCs w:val="18"/>
              </w:rPr>
              <w:t>绩效管理情况:</w:t>
            </w:r>
            <w:r>
              <w:rPr>
                <w:rFonts w:hint="eastAsia" w:ascii="宋体" w:hAnsi="宋体" w:cs="宋体"/>
                <w:color w:val="auto"/>
                <w:kern w:val="0"/>
                <w:sz w:val="18"/>
                <w:szCs w:val="18"/>
              </w:rPr>
              <w:t>考核部门（单位）在绩效管理信息的汇总和应用情况。</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4524C77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①部门（单位）是否及时对绩效信息进行汇总分析整理；②部门（单位）是否对绩效目标偏离情况及时进行矫正。每有一项不合格扣2分。</w:t>
            </w:r>
          </w:p>
        </w:tc>
      </w:tr>
      <w:tr w14:paraId="1934B2B5">
        <w:trPr>
          <w:trHeight w:val="394"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60841E05">
            <w:pPr>
              <w:widowControl/>
              <w:jc w:val="left"/>
              <w:rPr>
                <w:rFonts w:ascii="宋体" w:hAnsi="宋体" w:cs="宋体"/>
                <w:color w:val="auto"/>
                <w:kern w:val="0"/>
                <w:sz w:val="20"/>
                <w:szCs w:val="20"/>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08F50DA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指标　</w:t>
            </w:r>
          </w:p>
        </w:tc>
        <w:tc>
          <w:tcPr>
            <w:tcW w:w="1031" w:type="pct"/>
            <w:gridSpan w:val="2"/>
            <w:tcBorders>
              <w:top w:val="single" w:color="auto" w:sz="4" w:space="0"/>
              <w:left w:val="single" w:color="auto" w:sz="4" w:space="0"/>
              <w:bottom w:val="single" w:color="auto" w:sz="4" w:space="0"/>
              <w:right w:val="single" w:color="auto" w:sz="4" w:space="0"/>
            </w:tcBorders>
            <w:noWrap w:val="0"/>
            <w:vAlign w:val="center"/>
          </w:tcPr>
          <w:p w14:paraId="382C9A4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20</w:t>
            </w:r>
            <w:r>
              <w:rPr>
                <w:rFonts w:hint="eastAsia" w:ascii="宋体" w:hAnsi="宋体" w:cs="宋体"/>
                <w:color w:val="auto"/>
                <w:kern w:val="0"/>
                <w:sz w:val="20"/>
                <w:szCs w:val="20"/>
                <w:lang w:val="en-US" w:eastAsia="zh-CN"/>
              </w:rPr>
              <w:t>20</w:t>
            </w:r>
            <w:r>
              <w:rPr>
                <w:rFonts w:hint="eastAsia" w:ascii="宋体" w:hAnsi="宋体" w:cs="宋体"/>
                <w:color w:val="auto"/>
                <w:kern w:val="0"/>
                <w:sz w:val="20"/>
                <w:szCs w:val="20"/>
              </w:rPr>
              <w:t>年</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299055BC">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202</w:t>
            </w:r>
            <w:r>
              <w:rPr>
                <w:rFonts w:hint="eastAsia" w:ascii="宋体" w:hAnsi="宋体" w:cs="宋体"/>
                <w:color w:val="auto"/>
                <w:kern w:val="0"/>
                <w:sz w:val="20"/>
                <w:szCs w:val="20"/>
                <w:lang w:val="en-US" w:eastAsia="zh-CN"/>
              </w:rPr>
              <w:t>1</w:t>
            </w:r>
            <w:r>
              <w:rPr>
                <w:rFonts w:hint="eastAsia" w:ascii="宋体" w:hAnsi="宋体" w:cs="宋体"/>
                <w:color w:val="auto"/>
                <w:kern w:val="0"/>
                <w:sz w:val="20"/>
                <w:szCs w:val="20"/>
              </w:rPr>
              <w:t>年</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4850DD73">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分值</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2CD42941">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得分</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00D3C36E">
            <w:pPr>
              <w:widowControl/>
              <w:jc w:val="center"/>
              <w:rPr>
                <w:rFonts w:hint="eastAsia" w:ascii="宋体" w:hAnsi="宋体" w:cs="宋体"/>
                <w:color w:val="auto"/>
                <w:kern w:val="0"/>
                <w:sz w:val="20"/>
                <w:szCs w:val="20"/>
              </w:rPr>
            </w:pPr>
            <w:r>
              <w:rPr>
                <w:rFonts w:hint="eastAsia" w:ascii="宋体" w:hAnsi="宋体" w:cs="宋体"/>
                <w:bCs/>
                <w:color w:val="auto"/>
                <w:kern w:val="0"/>
                <w:sz w:val="18"/>
                <w:szCs w:val="18"/>
              </w:rPr>
              <w:t>指标</w:t>
            </w:r>
            <w:r>
              <w:rPr>
                <w:rFonts w:ascii="宋体" w:hAnsi="宋体" w:cs="宋体"/>
                <w:bCs/>
                <w:color w:val="auto"/>
                <w:kern w:val="0"/>
                <w:sz w:val="18"/>
                <w:szCs w:val="18"/>
              </w:rPr>
              <w:t>解释</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0B299B3D">
            <w:pPr>
              <w:widowControl/>
              <w:jc w:val="center"/>
              <w:rPr>
                <w:rFonts w:eastAsia="Times New Roman"/>
                <w:color w:val="auto"/>
                <w:kern w:val="0"/>
                <w:sz w:val="20"/>
                <w:szCs w:val="20"/>
              </w:rPr>
            </w:pPr>
            <w:r>
              <w:rPr>
                <w:rFonts w:hint="eastAsia" w:ascii="宋体" w:hAnsi="宋体" w:cs="宋体"/>
                <w:color w:val="auto"/>
                <w:kern w:val="0"/>
                <w:sz w:val="18"/>
                <w:szCs w:val="18"/>
              </w:rPr>
              <w:t>评</w:t>
            </w:r>
            <w:r>
              <w:rPr>
                <w:rFonts w:ascii="宋体" w:hAnsi="宋体" w:cs="宋体"/>
                <w:color w:val="auto"/>
                <w:kern w:val="0"/>
                <w:sz w:val="18"/>
                <w:szCs w:val="18"/>
              </w:rPr>
              <w:t>分标准</w:t>
            </w:r>
          </w:p>
        </w:tc>
      </w:tr>
      <w:tr w14:paraId="2667B0B8">
        <w:trPr>
          <w:trHeight w:val="1365"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6D125DB5">
            <w:pPr>
              <w:widowControl/>
              <w:jc w:val="left"/>
              <w:rPr>
                <w:rFonts w:ascii="宋体" w:hAnsi="宋体" w:cs="宋体"/>
                <w:color w:val="auto"/>
                <w:kern w:val="0"/>
                <w:sz w:val="20"/>
                <w:szCs w:val="20"/>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3F67776E">
            <w:pPr>
              <w:widowControl/>
              <w:rPr>
                <w:rFonts w:ascii="宋体" w:hAnsi="宋体" w:cs="宋体"/>
                <w:color w:val="auto"/>
                <w:kern w:val="0"/>
                <w:sz w:val="20"/>
                <w:szCs w:val="20"/>
              </w:rPr>
            </w:pPr>
            <w:r>
              <w:rPr>
                <w:rFonts w:hint="eastAsia" w:ascii="宋体" w:hAnsi="宋体" w:cs="宋体"/>
                <w:color w:val="auto"/>
                <w:kern w:val="0"/>
                <w:sz w:val="20"/>
                <w:szCs w:val="20"/>
              </w:rPr>
              <w:t>结转结余率（4）</w:t>
            </w:r>
          </w:p>
        </w:tc>
        <w:tc>
          <w:tcPr>
            <w:tcW w:w="1031" w:type="pct"/>
            <w:gridSpan w:val="2"/>
            <w:tcBorders>
              <w:top w:val="single" w:color="auto" w:sz="4" w:space="0"/>
              <w:left w:val="single" w:color="auto" w:sz="4" w:space="0"/>
              <w:bottom w:val="single" w:color="auto" w:sz="4" w:space="0"/>
              <w:right w:val="single" w:color="auto" w:sz="4" w:space="0"/>
            </w:tcBorders>
            <w:noWrap w:val="0"/>
            <w:vAlign w:val="center"/>
          </w:tcPr>
          <w:p w14:paraId="740AFC71">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12.15%</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186963BC">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14.36%</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37D2B1D8">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4</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0625BE46">
            <w:pPr>
              <w:widowControl/>
              <w:jc w:val="center"/>
              <w:rPr>
                <w:rFonts w:hint="default" w:ascii="宋体" w:hAnsi="宋体" w:eastAsia="宋体" w:cs="宋体"/>
                <w:color w:val="auto"/>
                <w:kern w:val="0"/>
                <w:sz w:val="20"/>
                <w:szCs w:val="20"/>
                <w:lang w:val="en-US" w:eastAsia="zh-CN"/>
              </w:rPr>
            </w:pPr>
            <w:r>
              <w:rPr>
                <w:rFonts w:hint="eastAsia" w:ascii="宋体" w:hAnsi="宋体" w:cs="宋体"/>
                <w:color w:val="auto"/>
                <w:kern w:val="0"/>
                <w:sz w:val="20"/>
                <w:szCs w:val="20"/>
                <w:lang w:val="en-US" w:eastAsia="zh-CN"/>
              </w:rPr>
              <w:t>2.8</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0591C64E">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结转结余率=结转结余总额/支出预算数×100%。</w:t>
            </w:r>
            <w:r>
              <w:rPr>
                <w:rFonts w:hint="eastAsia" w:ascii="宋体" w:hAnsi="宋体" w:cs="宋体"/>
                <w:color w:val="auto"/>
                <w:kern w:val="0"/>
                <w:sz w:val="18"/>
                <w:szCs w:val="18"/>
              </w:rPr>
              <w:br w:type="textWrapping"/>
            </w:r>
            <w:r>
              <w:rPr>
                <w:rFonts w:hint="eastAsia" w:ascii="宋体" w:hAnsi="宋体" w:cs="宋体"/>
                <w:color w:val="auto"/>
                <w:kern w:val="0"/>
                <w:sz w:val="18"/>
                <w:szCs w:val="18"/>
              </w:rPr>
              <w:t>结转结余总额：部门（单位）本年度的结转资金与结余资金之和。</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4E69403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14:paraId="63F31FCB">
        <w:trPr>
          <w:trHeight w:val="90" w:hRule="atLeast"/>
        </w:trPr>
        <w:tc>
          <w:tcPr>
            <w:tcW w:w="287" w:type="pct"/>
            <w:vMerge w:val="continue"/>
            <w:tcBorders>
              <w:top w:val="single" w:color="auto" w:sz="4" w:space="0"/>
              <w:left w:val="single" w:color="auto" w:sz="4" w:space="0"/>
              <w:bottom w:val="single" w:color="auto" w:sz="4" w:space="0"/>
              <w:right w:val="single" w:color="auto" w:sz="4" w:space="0"/>
            </w:tcBorders>
            <w:noWrap w:val="0"/>
            <w:vAlign w:val="center"/>
          </w:tcPr>
          <w:p w14:paraId="1D2D4003">
            <w:pPr>
              <w:widowControl/>
              <w:jc w:val="left"/>
              <w:rPr>
                <w:rFonts w:ascii="宋体" w:hAnsi="宋体" w:cs="宋体"/>
                <w:color w:val="auto"/>
                <w:kern w:val="0"/>
                <w:sz w:val="20"/>
                <w:szCs w:val="20"/>
              </w:rPr>
            </w:pPr>
          </w:p>
        </w:tc>
        <w:tc>
          <w:tcPr>
            <w:tcW w:w="257" w:type="pct"/>
            <w:tcBorders>
              <w:top w:val="single" w:color="auto" w:sz="4" w:space="0"/>
              <w:left w:val="single" w:color="auto" w:sz="4" w:space="0"/>
              <w:bottom w:val="single" w:color="auto" w:sz="4" w:space="0"/>
              <w:right w:val="single" w:color="auto" w:sz="4" w:space="0"/>
            </w:tcBorders>
            <w:noWrap w:val="0"/>
            <w:vAlign w:val="center"/>
          </w:tcPr>
          <w:p w14:paraId="7432E9CD">
            <w:pPr>
              <w:widowControl/>
              <w:rPr>
                <w:rFonts w:hint="eastAsia" w:ascii="宋体" w:hAnsi="宋体" w:cs="宋体"/>
                <w:color w:val="auto"/>
                <w:kern w:val="0"/>
                <w:sz w:val="20"/>
                <w:szCs w:val="20"/>
              </w:rPr>
            </w:pPr>
            <w:r>
              <w:rPr>
                <w:rFonts w:hint="eastAsia" w:ascii="宋体" w:hAnsi="宋体" w:cs="宋体"/>
                <w:color w:val="auto"/>
                <w:kern w:val="0"/>
                <w:sz w:val="20"/>
                <w:szCs w:val="20"/>
              </w:rPr>
              <w:t>部门预决算差异率（4）</w:t>
            </w:r>
          </w:p>
        </w:tc>
        <w:tc>
          <w:tcPr>
            <w:tcW w:w="1031" w:type="pct"/>
            <w:gridSpan w:val="2"/>
            <w:tcBorders>
              <w:top w:val="single" w:color="auto" w:sz="4" w:space="0"/>
              <w:left w:val="single" w:color="auto" w:sz="4" w:space="0"/>
              <w:bottom w:val="single" w:color="auto" w:sz="4" w:space="0"/>
              <w:right w:val="single" w:color="auto" w:sz="4" w:space="0"/>
            </w:tcBorders>
            <w:noWrap w:val="0"/>
            <w:vAlign w:val="center"/>
          </w:tcPr>
          <w:p w14:paraId="05A11A0F">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w:t>
            </w:r>
          </w:p>
        </w:tc>
        <w:tc>
          <w:tcPr>
            <w:tcW w:w="491" w:type="pct"/>
            <w:tcBorders>
              <w:top w:val="single" w:color="auto" w:sz="4" w:space="0"/>
              <w:left w:val="single" w:color="auto" w:sz="4" w:space="0"/>
              <w:bottom w:val="single" w:color="auto" w:sz="4" w:space="0"/>
              <w:right w:val="single" w:color="auto" w:sz="4" w:space="0"/>
            </w:tcBorders>
            <w:noWrap w:val="0"/>
            <w:vAlign w:val="center"/>
          </w:tcPr>
          <w:p w14:paraId="2ED49526">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-8.32%</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3A86DEC0">
            <w:pPr>
              <w:widowControl/>
              <w:jc w:val="center"/>
              <w:rPr>
                <w:rFonts w:hint="eastAsia" w:ascii="宋体" w:hAnsi="宋体" w:cs="宋体"/>
                <w:color w:val="auto"/>
                <w:kern w:val="0"/>
                <w:sz w:val="20"/>
                <w:szCs w:val="20"/>
              </w:rPr>
            </w:pPr>
            <w:r>
              <w:rPr>
                <w:rFonts w:hint="eastAsia" w:ascii="宋体" w:hAnsi="宋体" w:cs="宋体"/>
                <w:color w:val="auto"/>
                <w:kern w:val="0"/>
                <w:sz w:val="20"/>
                <w:szCs w:val="20"/>
              </w:rPr>
              <w:t>4</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14E217B8">
            <w:pPr>
              <w:widowControl/>
              <w:jc w:val="center"/>
              <w:rPr>
                <w:rFonts w:hint="eastAsia" w:ascii="宋体" w:hAnsi="宋体" w:eastAsia="宋体" w:cs="宋体"/>
                <w:color w:val="auto"/>
                <w:kern w:val="0"/>
                <w:sz w:val="20"/>
                <w:szCs w:val="20"/>
                <w:lang w:eastAsia="zh-CN"/>
              </w:rPr>
            </w:pPr>
            <w:r>
              <w:rPr>
                <w:rFonts w:hint="eastAsia" w:ascii="宋体" w:hAnsi="宋体" w:cs="宋体"/>
                <w:color w:val="auto"/>
                <w:kern w:val="0"/>
                <w:sz w:val="20"/>
                <w:szCs w:val="20"/>
                <w:lang w:val="en-US" w:eastAsia="zh-CN"/>
              </w:rPr>
              <w:t>4</w:t>
            </w:r>
          </w:p>
        </w:tc>
        <w:tc>
          <w:tcPr>
            <w:tcW w:w="1019" w:type="pct"/>
            <w:tcBorders>
              <w:top w:val="single" w:color="auto" w:sz="4" w:space="0"/>
              <w:left w:val="single" w:color="auto" w:sz="4" w:space="0"/>
              <w:bottom w:val="single" w:color="auto" w:sz="4" w:space="0"/>
              <w:right w:val="single" w:color="auto" w:sz="4" w:space="0"/>
            </w:tcBorders>
            <w:noWrap w:val="0"/>
            <w:vAlign w:val="center"/>
          </w:tcPr>
          <w:p w14:paraId="77EEAE93">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通过年度部门决算与年初部门预算对比，对部门的年度支出情况进行考核，衡量部门预算的约束力。</w:t>
            </w:r>
          </w:p>
        </w:tc>
        <w:tc>
          <w:tcPr>
            <w:tcW w:w="1389" w:type="pct"/>
            <w:tcBorders>
              <w:top w:val="single" w:color="auto" w:sz="4" w:space="0"/>
              <w:left w:val="single" w:color="auto" w:sz="4" w:space="0"/>
              <w:bottom w:val="single" w:color="auto" w:sz="4" w:space="0"/>
              <w:right w:val="single" w:color="auto" w:sz="4" w:space="0"/>
            </w:tcBorders>
            <w:noWrap w:val="0"/>
            <w:vAlign w:val="center"/>
          </w:tcPr>
          <w:p w14:paraId="019EAFB4">
            <w:pPr>
              <w:widowControl/>
              <w:jc w:val="left"/>
              <w:rPr>
                <w:rFonts w:hint="eastAsia" w:ascii="宋体" w:hAnsi="宋体" w:cs="宋体"/>
                <w:color w:val="auto"/>
                <w:kern w:val="0"/>
                <w:sz w:val="18"/>
                <w:szCs w:val="18"/>
              </w:rPr>
            </w:pPr>
            <w:r>
              <w:rPr>
                <w:rFonts w:hint="eastAsia" w:ascii="宋体" w:hAnsi="宋体" w:cs="宋体"/>
                <w:color w:val="auto"/>
                <w:kern w:val="0"/>
                <w:sz w:val="18"/>
                <w:szCs w:val="18"/>
              </w:rPr>
              <w:t>部门预决算差异率高于市级平均差异率（28.3%）的，每高出10%（含），扣0.4分，扣完为止。</w:t>
            </w:r>
          </w:p>
        </w:tc>
      </w:tr>
      <w:tr w14:paraId="3F988B6C">
        <w:trPr>
          <w:trHeight w:val="404" w:hRule="atLeast"/>
        </w:trPr>
        <w:tc>
          <w:tcPr>
            <w:tcW w:w="2067" w:type="pct"/>
            <w:gridSpan w:val="5"/>
            <w:tcBorders>
              <w:top w:val="single" w:color="auto" w:sz="4" w:space="0"/>
              <w:left w:val="single" w:color="auto" w:sz="4" w:space="0"/>
              <w:bottom w:val="single" w:color="auto" w:sz="4" w:space="0"/>
              <w:right w:val="single" w:color="auto" w:sz="4" w:space="0"/>
            </w:tcBorders>
            <w:noWrap w:val="0"/>
            <w:vAlign w:val="center"/>
          </w:tcPr>
          <w:p w14:paraId="48268212">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合计</w:t>
            </w:r>
          </w:p>
        </w:tc>
        <w:tc>
          <w:tcPr>
            <w:tcW w:w="219" w:type="pct"/>
            <w:tcBorders>
              <w:top w:val="single" w:color="auto" w:sz="4" w:space="0"/>
              <w:left w:val="single" w:color="auto" w:sz="4" w:space="0"/>
              <w:bottom w:val="single" w:color="auto" w:sz="4" w:space="0"/>
              <w:right w:val="single" w:color="auto" w:sz="4" w:space="0"/>
            </w:tcBorders>
            <w:noWrap w:val="0"/>
            <w:vAlign w:val="center"/>
          </w:tcPr>
          <w:p w14:paraId="153A8000">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100</w:t>
            </w:r>
          </w:p>
        </w:tc>
        <w:tc>
          <w:tcPr>
            <w:tcW w:w="303" w:type="pct"/>
            <w:tcBorders>
              <w:top w:val="single" w:color="auto" w:sz="4" w:space="0"/>
              <w:left w:val="single" w:color="auto" w:sz="4" w:space="0"/>
              <w:bottom w:val="single" w:color="auto" w:sz="4" w:space="0"/>
              <w:right w:val="single" w:color="auto" w:sz="4" w:space="0"/>
            </w:tcBorders>
            <w:noWrap w:val="0"/>
            <w:vAlign w:val="center"/>
          </w:tcPr>
          <w:p w14:paraId="6BD37CA1">
            <w:pPr>
              <w:widowControl/>
              <w:jc w:val="center"/>
              <w:rPr>
                <w:rFonts w:hint="eastAsia" w:ascii="宋体" w:hAnsi="宋体" w:cs="宋体"/>
                <w:b/>
                <w:bCs/>
                <w:color w:val="auto"/>
                <w:kern w:val="0"/>
                <w:sz w:val="20"/>
                <w:szCs w:val="20"/>
              </w:rPr>
            </w:pPr>
            <w:r>
              <w:rPr>
                <w:rFonts w:hint="eastAsia" w:ascii="宋体" w:hAnsi="宋体" w:cs="宋体"/>
                <w:b/>
                <w:bCs/>
                <w:color w:val="auto"/>
                <w:kern w:val="0"/>
                <w:sz w:val="20"/>
                <w:szCs w:val="20"/>
              </w:rPr>
              <w:t>9</w:t>
            </w:r>
            <w:r>
              <w:rPr>
                <w:rFonts w:hint="eastAsia" w:ascii="宋体" w:hAnsi="宋体" w:cs="宋体"/>
                <w:b/>
                <w:bCs/>
                <w:color w:val="auto"/>
                <w:kern w:val="0"/>
                <w:sz w:val="20"/>
                <w:szCs w:val="20"/>
                <w:lang w:val="en-US" w:eastAsia="zh-CN"/>
              </w:rPr>
              <w:t>0</w:t>
            </w:r>
            <w:r>
              <w:rPr>
                <w:rFonts w:hint="eastAsia" w:ascii="宋体" w:hAnsi="宋体" w:cs="宋体"/>
                <w:b/>
                <w:bCs/>
                <w:color w:val="auto"/>
                <w:kern w:val="0"/>
                <w:sz w:val="20"/>
                <w:szCs w:val="20"/>
              </w:rPr>
              <w:t>.37</w:t>
            </w:r>
          </w:p>
        </w:tc>
        <w:tc>
          <w:tcPr>
            <w:tcW w:w="2409" w:type="pct"/>
            <w:gridSpan w:val="2"/>
            <w:tcBorders>
              <w:top w:val="single" w:color="auto" w:sz="4" w:space="0"/>
              <w:left w:val="single" w:color="auto" w:sz="4" w:space="0"/>
              <w:bottom w:val="single" w:color="auto" w:sz="4" w:space="0"/>
              <w:right w:val="single" w:color="auto" w:sz="4" w:space="0"/>
            </w:tcBorders>
            <w:noWrap w:val="0"/>
            <w:vAlign w:val="center"/>
          </w:tcPr>
          <w:p w14:paraId="05E8AFDC">
            <w:pPr>
              <w:widowControl/>
              <w:jc w:val="center"/>
              <w:rPr>
                <w:rFonts w:hint="eastAsia" w:ascii="宋体" w:hAnsi="宋体" w:cs="宋体"/>
                <w:color w:val="auto"/>
                <w:kern w:val="0"/>
                <w:sz w:val="18"/>
                <w:szCs w:val="18"/>
              </w:rPr>
            </w:pPr>
            <w:r>
              <w:rPr>
                <w:rFonts w:hint="eastAsia" w:ascii="宋体" w:hAnsi="宋体" w:cs="宋体"/>
                <w:color w:val="auto"/>
                <w:kern w:val="0"/>
                <w:sz w:val="18"/>
                <w:szCs w:val="18"/>
              </w:rPr>
              <w:t>　</w:t>
            </w:r>
          </w:p>
        </w:tc>
      </w:tr>
    </w:tbl>
    <w:p w14:paraId="3A7B4152">
      <w:pPr>
        <w:spacing w:line="20" w:lineRule="exact"/>
        <w:ind w:left="-21" w:leftChars="-10" w:right="42" w:rightChars="20"/>
        <w:rPr>
          <w:rFonts w:hint="eastAsia"/>
          <w:color w:val="auto"/>
        </w:rPr>
      </w:pPr>
    </w:p>
    <w:p w14:paraId="789FE654">
      <w:pPr>
        <w:rPr>
          <w:color w:val="auto"/>
        </w:rPr>
      </w:pPr>
    </w:p>
    <w:sectPr>
      <w:pgSz w:w="16838" w:h="11906" w:orient="landscape"/>
      <w:pgMar w:top="1587" w:right="2098" w:bottom="1474" w:left="198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Leelawadee UI">
    <w:altName w:val="苹方-简"/>
    <w:panose1 w:val="020B0502040204020203"/>
    <w:charset w:val="00"/>
    <w:family w:val="swiss"/>
    <w:pitch w:val="default"/>
    <w:sig w:usb0="00000000" w:usb1="00000000" w:usb2="00010000" w:usb3="00000001" w:csb0="00010101" w:csb1="00000000"/>
  </w:font>
  <w:font w:name="楷体_GB2312">
    <w:altName w:val="汉仪楷体简"/>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DejaVu Sans">
    <w:altName w:val="苹方-简"/>
    <w:panose1 w:val="00000000000000000000"/>
    <w:charset w:val="00"/>
    <w:family w:val="roman"/>
    <w:pitch w:val="default"/>
    <w:sig w:usb0="00000000" w:usb1="00000000" w:usb2="0A246029" w:usb3="0400200C" w:csb0="600001FF" w:csb1="DFFF0000"/>
  </w:font>
  <w:font w:name="楷体">
    <w:altName w:val="汉仪楷体KW"/>
    <w:panose1 w:val="02010609060101010101"/>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CBAFF">
    <w:pPr>
      <w:pStyle w:val="5"/>
      <w:jc w:val="right"/>
      <w:rPr>
        <w:rFonts w:ascii="宋体" w:hAnsi="宋体"/>
        <w:sz w:val="28"/>
        <w:szCs w:val="28"/>
      </w:rPr>
    </w:pPr>
  </w:p>
  <w:p w14:paraId="37A5B38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2C52E">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095EF4">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3</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095EF4">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3</w:t>
                    </w:r>
                    <w:r>
                      <w:rPr>
                        <w:sz w:val="24"/>
                        <w:szCs w:val="24"/>
                      </w:rPr>
                      <w:fldChar w:fldCharType="end"/>
                    </w:r>
                  </w:p>
                </w:txbxContent>
              </v:textbox>
            </v:shape>
          </w:pict>
        </mc:Fallback>
      </mc:AlternateContent>
    </w:r>
  </w:p>
  <w:p w14:paraId="4F6F5DE5">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MjU4YjFmZTI4MGY4M2ZlMTZjNmRjOGFkZjM4NzMifQ=="/>
  </w:docVars>
  <w:rsids>
    <w:rsidRoot w:val="F77F09F4"/>
    <w:rsid w:val="062D376D"/>
    <w:rsid w:val="068B1EC9"/>
    <w:rsid w:val="08B33599"/>
    <w:rsid w:val="09D26061"/>
    <w:rsid w:val="0A23386B"/>
    <w:rsid w:val="0CE87971"/>
    <w:rsid w:val="0ECF9C51"/>
    <w:rsid w:val="13750189"/>
    <w:rsid w:val="14FE41AE"/>
    <w:rsid w:val="1A201C10"/>
    <w:rsid w:val="1F5F2B25"/>
    <w:rsid w:val="230820AF"/>
    <w:rsid w:val="23BA7F4B"/>
    <w:rsid w:val="26887D7C"/>
    <w:rsid w:val="29806BEE"/>
    <w:rsid w:val="31B5579D"/>
    <w:rsid w:val="362E436F"/>
    <w:rsid w:val="37173543"/>
    <w:rsid w:val="37E112BF"/>
    <w:rsid w:val="393578EF"/>
    <w:rsid w:val="3B430836"/>
    <w:rsid w:val="3E7C1BC0"/>
    <w:rsid w:val="3FF76880"/>
    <w:rsid w:val="41883ADF"/>
    <w:rsid w:val="44113C33"/>
    <w:rsid w:val="44363B07"/>
    <w:rsid w:val="45A94691"/>
    <w:rsid w:val="48094037"/>
    <w:rsid w:val="484A2C8B"/>
    <w:rsid w:val="49647D7D"/>
    <w:rsid w:val="5325232B"/>
    <w:rsid w:val="559322FE"/>
    <w:rsid w:val="56F00EA2"/>
    <w:rsid w:val="573E4846"/>
    <w:rsid w:val="586A3CFA"/>
    <w:rsid w:val="58A957AC"/>
    <w:rsid w:val="5AD1347A"/>
    <w:rsid w:val="5C7FD8BB"/>
    <w:rsid w:val="5CC21B4D"/>
    <w:rsid w:val="5CEE4D19"/>
    <w:rsid w:val="5F97635E"/>
    <w:rsid w:val="611E1395"/>
    <w:rsid w:val="65E13ED2"/>
    <w:rsid w:val="69523A19"/>
    <w:rsid w:val="6BB734DD"/>
    <w:rsid w:val="6BC52E3F"/>
    <w:rsid w:val="72786A0A"/>
    <w:rsid w:val="7A2C3931"/>
    <w:rsid w:val="7AB7FF50"/>
    <w:rsid w:val="7AEA6B74"/>
    <w:rsid w:val="7BFEB0DB"/>
    <w:rsid w:val="7E6A1DB7"/>
    <w:rsid w:val="7E9C06C2"/>
    <w:rsid w:val="7FFF3306"/>
    <w:rsid w:val="C36F37B1"/>
    <w:rsid w:val="CEFD3F3D"/>
    <w:rsid w:val="EA3F77F2"/>
    <w:rsid w:val="EEFE5989"/>
    <w:rsid w:val="EFCF3EAE"/>
    <w:rsid w:val="F5B764A2"/>
    <w:rsid w:val="F77F09F4"/>
    <w:rsid w:val="FFD7B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2">
    <w:name w:val="heading 4"/>
    <w:basedOn w:val="1"/>
    <w:next w:val="1"/>
    <w:qFormat/>
    <w:uiPriority w:val="0"/>
    <w:pPr>
      <w:keepNext/>
      <w:keepLines/>
      <w:spacing w:before="280" w:after="290" w:line="372" w:lineRule="auto"/>
      <w:outlineLvl w:val="3"/>
    </w:pPr>
    <w:rPr>
      <w:rFonts w:ascii="Cambria" w:hAnsi="Cambria" w:eastAsia="宋体" w:cs="Cambria"/>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toc 3"/>
    <w:basedOn w:val="1"/>
    <w:next w:val="1"/>
    <w:qFormat/>
    <w:uiPriority w:val="0"/>
    <w:pPr>
      <w:ind w:left="840" w:leftChars="400"/>
    </w:p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page number"/>
    <w:basedOn w:val="11"/>
    <w:qFormat/>
    <w:uiPriority w:val="0"/>
  </w:style>
  <w:style w:type="character" w:styleId="13">
    <w:name w:val="Hyperlink"/>
    <w:unhideWhenUsed/>
    <w:qFormat/>
    <w:uiPriority w:val="99"/>
    <w:rPr>
      <w:color w:val="0000FF"/>
      <w:u w:val="single"/>
    </w:rPr>
  </w:style>
  <w:style w:type="paragraph" w:customStyle="1" w:styleId="14">
    <w:name w:val="列出段落1"/>
    <w:basedOn w:val="1"/>
    <w:qFormat/>
    <w:uiPriority w:val="34"/>
    <w:pPr>
      <w:ind w:firstLine="420" w:firstLineChars="200"/>
    </w:pPr>
    <w:rPr>
      <w:rFonts w:ascii="Calibri" w:hAnsi="Calibri" w:cs="黑体"/>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11400</Words>
  <Characters>12015</Characters>
  <Lines>0</Lines>
  <Paragraphs>0</Paragraphs>
  <TotalTime>3</TotalTime>
  <ScaleCrop>false</ScaleCrop>
  <LinksUpToDate>false</LinksUpToDate>
  <CharactersWithSpaces>12081</CharactersWithSpaces>
  <Application>WPS Office_12.1.22218.22218_F1E327BC-269C-435d-A152-05C5408002CA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2022-03-11T03:16:00Z</dcterms:created>
  <dc:creator>user</dc:creator>
  <cp:lastModifiedBy>谢梦琦</cp:lastModifiedBy>
  <dcterms:modified xsi:type="dcterms:W3CDTF">2025-09-09T12:07:21Z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2052-12.1.22218.22218</vt:lpwstr>
  </property>
  <property fmtid="{D5CDD505-2E9C-101B-9397-08002B2CF9AE}" pid="3" name="ICV">
    <vt:lpwstr>E7A3A33CC8314BE48DB579403D88EF77</vt:lpwstr>
  </property>
</Properties>
</file>