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北京市法学会部门整体绩效评价报告</w:t>
      </w:r>
    </w:p>
    <w:p>
      <w:pPr>
        <w:jc w:val="center"/>
        <w:rPr>
          <w:rFonts w:ascii="仿宋_GB2312"/>
          <w:szCs w:val="30"/>
        </w:rPr>
      </w:pP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（一）机构设置及职责工作任务情况</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1</w:t>
      </w:r>
      <w:r>
        <w:rPr>
          <w:rFonts w:ascii="楷体_GB2312" w:eastAsia="楷体_GB2312"/>
          <w:sz w:val="32"/>
          <w:szCs w:val="32"/>
        </w:rPr>
        <w:t>.</w:t>
      </w:r>
      <w:r>
        <w:rPr>
          <w:rFonts w:hint="eastAsia" w:ascii="楷体_GB2312" w:eastAsia="楷体_GB2312"/>
          <w:sz w:val="32"/>
          <w:szCs w:val="32"/>
        </w:rPr>
        <w:t>机构设置情况</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根据北京市机构编制委员会办公室《关于印发北京市法学会机关主要职责、内设机构和人员编制方案的通知》（京编办函【2002】11号），设立北京市法学会。内设4个处室，分别为：办公室、研究部、联络部、社会工作部；下属2个预算单位，为：北京市法学会本级、北京市应用法学研究中心。</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2</w:t>
      </w:r>
      <w:r>
        <w:rPr>
          <w:rFonts w:ascii="楷体_GB2312" w:eastAsia="楷体_GB2312"/>
          <w:sz w:val="32"/>
          <w:szCs w:val="32"/>
        </w:rPr>
        <w:t>.</w:t>
      </w:r>
      <w:r>
        <w:rPr>
          <w:rFonts w:hint="eastAsia" w:ascii="楷体_GB2312" w:eastAsia="楷体_GB2312"/>
          <w:sz w:val="32"/>
          <w:szCs w:val="32"/>
        </w:rPr>
        <w:t>单位性质及主要职责</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北京市法学会是市委领导的人民团体、学术团体和群众团体，是政法战线的重要组成部分，是市委和市政府联系和团结首都广大法学法律工作者的桥梁和纽带，是加强社会主义民主法治建设，推进全面依法治市、建设法治中国首善之区的重要力量。主要职责是：</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（1）建设首都核心法治智库，为市委市政府领导决策发挥“智囊团”和“参谋库”作用；</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（2）团结首都广大法学工作者、法律工作者，围绕全市工作大局，为本市经济和社会发展服务，为政法工作服务；</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（3）组织和指导各研究会开展多学科、多层次的法学研究活动，为社会主义法治建设提供理论支持；</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（4）参与法律、法规的草拟、论证工作，对本市立法、司法、执法、普法等实践活动中的重大问题提出对策和建议；</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（5）同境内外法学团体和法律团体联系工作，开展学术交流与合作，发挥对外法学交流的渠道作用；</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（6）参与法治宣传和法学教育，普及法律常识，参与培养法学人才、法律人才工作；</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（7）建立法学会系统的信息网络，收集和介绍境内外法学研究动态，宣传和推广创新研究成果，编辑出版法学、法律图书和刊物；</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（8）负责会员及所属研究会的管理和联系工作，了解和反映法学界、法律界的意见和要求，维护会员的合法权益；</w:t>
      </w:r>
    </w:p>
    <w:p>
      <w:pPr>
        <w:spacing w:line="600" w:lineRule="exact"/>
        <w:ind w:firstLine="320" w:firstLineChars="1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（9）贯彻市委关于加强社会建设的决议、决定，统筹指导全市法学研究组织和涉法类社会组织积极参与社会管理创新，组织形式多样的法律服务；</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10</w:t>
      </w:r>
      <w:r>
        <w:rPr>
          <w:rFonts w:hint="eastAsia" w:ascii="仿宋_GB2312" w:hAnsi="宋体" w:eastAsia="仿宋_GB2312" w:cs="宋体"/>
          <w:color w:val="000000"/>
          <w:kern w:val="0"/>
          <w:sz w:val="32"/>
          <w:szCs w:val="32"/>
        </w:rPr>
        <w:t>）承担全市政法工作中的重大课题研究。</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（二）部门整体绩效目标设立情况。</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北京市法学会2</w:t>
      </w:r>
      <w:r>
        <w:rPr>
          <w:rFonts w:ascii="仿宋_GB2312" w:hAnsi="宋体" w:eastAsia="仿宋_GB2312" w:cs="宋体"/>
          <w:color w:val="000000"/>
          <w:kern w:val="0"/>
          <w:sz w:val="32"/>
          <w:szCs w:val="32"/>
        </w:rPr>
        <w:t>021</w:t>
      </w:r>
      <w:r>
        <w:rPr>
          <w:rFonts w:hint="eastAsia" w:ascii="仿宋_GB2312" w:hAnsi="宋体" w:eastAsia="仿宋_GB2312" w:cs="宋体"/>
          <w:color w:val="000000"/>
          <w:kern w:val="0"/>
          <w:sz w:val="32"/>
          <w:szCs w:val="32"/>
        </w:rPr>
        <w:t>年度部门整体支出绩效目标是：深入贯彻落实习近平新时代中国特色社会主义思想，增强“四个意识”，坚定“四个自信”，做到“两个维护”，毫不动摇用习近平总书记全面依法治国新理念新思想新战略武装头脑、指导实践、推进工作。坚持北京市法学会是党领导的人民团体，是首都法学法律界的群众团体和学术团体，是政法战线重要组成部分的职能定位，履行好团结和带领首都广大法学法律工作者自觉做中国特色社会主义法治道路的践行者、法治中国首善之区的建设者、中国特色社会主义法治理论的发展者、德才兼备的社会主义法治人才的培养者的职责，去除“机关化、行政化、贵族化、娱乐化”，加强思想政治引领、推进组织体系建设、繁荣法学理论研究、提升法治宣传和法律服务水平、拓展法学交流、加强青年法学人才培养，不断增强政治性、先进性、群众性，全面提升履职能力和工作质效。</w:t>
      </w: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2021年</w:t>
      </w:r>
      <w:r>
        <w:rPr>
          <w:rFonts w:ascii="仿宋_GB2312" w:hAnsi="宋体" w:eastAsia="仿宋_GB2312" w:cs="宋体"/>
          <w:color w:val="000000"/>
          <w:kern w:val="0"/>
          <w:sz w:val="32"/>
          <w:szCs w:val="32"/>
        </w:rPr>
        <w:t>全年</w:t>
      </w:r>
      <w:r>
        <w:rPr>
          <w:rFonts w:hint="eastAsia" w:ascii="仿宋_GB2312" w:hAnsi="宋体" w:eastAsia="仿宋_GB2312" w:cs="宋体"/>
          <w:color w:val="000000"/>
          <w:kern w:val="0"/>
          <w:sz w:val="32"/>
          <w:szCs w:val="32"/>
        </w:rPr>
        <w:t>预算数2,031.28万元</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其中</w:t>
      </w:r>
      <w:r>
        <w:rPr>
          <w:rFonts w:ascii="仿宋_GB2312" w:hAnsi="宋体" w:eastAsia="仿宋_GB2312" w:cs="宋体"/>
          <w:color w:val="000000"/>
          <w:kern w:val="0"/>
          <w:sz w:val="32"/>
          <w:szCs w:val="32"/>
        </w:rPr>
        <w:t>，基本</w:t>
      </w:r>
      <w:r>
        <w:rPr>
          <w:rFonts w:hint="eastAsia" w:ascii="仿宋_GB2312" w:hAnsi="宋体" w:eastAsia="仿宋_GB2312" w:cs="宋体"/>
          <w:color w:val="000000"/>
          <w:kern w:val="0"/>
          <w:sz w:val="32"/>
          <w:szCs w:val="32"/>
        </w:rPr>
        <w:t>支出</w:t>
      </w:r>
      <w:r>
        <w:rPr>
          <w:rFonts w:ascii="仿宋_GB2312" w:hAnsi="宋体" w:eastAsia="仿宋_GB2312" w:cs="宋体"/>
          <w:color w:val="000000"/>
          <w:kern w:val="0"/>
          <w:sz w:val="32"/>
          <w:szCs w:val="32"/>
        </w:rPr>
        <w:t>预算数</w:t>
      </w:r>
      <w:r>
        <w:rPr>
          <w:rFonts w:hint="eastAsia" w:ascii="仿宋_GB2312" w:hAnsi="宋体" w:eastAsia="仿宋_GB2312" w:cs="宋体"/>
          <w:color w:val="000000"/>
          <w:kern w:val="0"/>
          <w:sz w:val="32"/>
          <w:szCs w:val="32"/>
        </w:rPr>
        <w:t>1,351.74</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项目支出预算数679.54</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资金总体</w:t>
      </w:r>
      <w:r>
        <w:rPr>
          <w:rFonts w:hint="eastAsia" w:ascii="仿宋_GB2312" w:hAnsi="宋体" w:eastAsia="仿宋_GB2312" w:cs="宋体"/>
          <w:color w:val="000000"/>
          <w:kern w:val="0"/>
          <w:sz w:val="32"/>
          <w:szCs w:val="32"/>
        </w:rPr>
        <w:t>支出1,940.88</w:t>
      </w:r>
      <w:r>
        <w:rPr>
          <w:rFonts w:ascii="仿宋_GB2312" w:hAnsi="宋体" w:eastAsia="仿宋_GB2312" w:cs="宋体"/>
          <w:color w:val="000000"/>
          <w:kern w:val="0"/>
          <w:sz w:val="32"/>
          <w:szCs w:val="32"/>
        </w:rPr>
        <w:t>万元，其中，基本支出</w:t>
      </w:r>
      <w:r>
        <w:rPr>
          <w:rFonts w:hint="eastAsia" w:ascii="仿宋_GB2312" w:hAnsi="宋体" w:eastAsia="仿宋_GB2312" w:cs="宋体"/>
          <w:color w:val="000000"/>
          <w:kern w:val="0"/>
          <w:sz w:val="32"/>
          <w:szCs w:val="32"/>
        </w:rPr>
        <w:t>1,347.20</w:t>
      </w:r>
      <w:r>
        <w:rPr>
          <w:rFonts w:ascii="仿宋_GB2312" w:hAnsi="宋体" w:eastAsia="仿宋_GB2312" w:cs="宋体"/>
          <w:color w:val="000000"/>
          <w:kern w:val="0"/>
          <w:sz w:val="32"/>
          <w:szCs w:val="32"/>
        </w:rPr>
        <w:t>万元，项目</w:t>
      </w:r>
      <w:r>
        <w:rPr>
          <w:rFonts w:hint="eastAsia" w:ascii="仿宋_GB2312" w:hAnsi="宋体" w:eastAsia="仿宋_GB2312" w:cs="宋体"/>
          <w:color w:val="000000"/>
          <w:kern w:val="0"/>
          <w:sz w:val="32"/>
          <w:szCs w:val="32"/>
        </w:rPr>
        <w:t>支出593.68</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预算</w:t>
      </w:r>
      <w:r>
        <w:rPr>
          <w:rFonts w:ascii="仿宋_GB2312" w:hAnsi="宋体" w:eastAsia="仿宋_GB2312" w:cs="宋体"/>
          <w:color w:val="000000"/>
          <w:kern w:val="0"/>
          <w:sz w:val="32"/>
          <w:szCs w:val="32"/>
        </w:rPr>
        <w:t>执行率为95.</w:t>
      </w:r>
      <w:r>
        <w:rPr>
          <w:rFonts w:hint="eastAsia" w:ascii="仿宋_GB2312" w:hAnsi="宋体" w:eastAsia="仿宋_GB2312" w:cs="宋体"/>
          <w:color w:val="000000"/>
          <w:kern w:val="0"/>
          <w:sz w:val="32"/>
          <w:szCs w:val="32"/>
          <w:lang w:val="en-US" w:eastAsia="zh-CN"/>
        </w:rPr>
        <w:t>55</w:t>
      </w:r>
      <w:r>
        <w:rPr>
          <w:rFonts w:hint="eastAsia" w:ascii="仿宋_GB2312" w:hAnsi="宋体" w:eastAsia="仿宋_GB2312" w:cs="宋体"/>
          <w:color w:val="000000"/>
          <w:kern w:val="0"/>
          <w:sz w:val="32"/>
          <w:szCs w:val="32"/>
        </w:rPr>
        <w:t>%。</w:t>
      </w:r>
    </w:p>
    <w:p>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（一）产出完成情况分析</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1.产出数量</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产出实际完成率和质量达标率都达到年初指标值。</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2.产出</w:t>
      </w:r>
      <w:r>
        <w:rPr>
          <w:rFonts w:ascii="仿宋_GB2312" w:hAnsi="宋体" w:eastAsia="仿宋_GB2312" w:cs="宋体"/>
          <w:color w:val="000000"/>
          <w:kern w:val="0"/>
          <w:sz w:val="32"/>
          <w:szCs w:val="32"/>
        </w:rPr>
        <w:t>质量</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产出实际完成率和质量达标率都达到预期目标。</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3.产出</w:t>
      </w:r>
      <w:r>
        <w:rPr>
          <w:rFonts w:ascii="仿宋_GB2312" w:hAnsi="宋体" w:eastAsia="仿宋_GB2312" w:cs="宋体"/>
          <w:color w:val="000000"/>
          <w:kern w:val="0"/>
          <w:sz w:val="32"/>
          <w:szCs w:val="32"/>
        </w:rPr>
        <w:t>进度</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产出时效性达到年初预算指标。</w:t>
      </w:r>
    </w:p>
    <w:p>
      <w:pPr>
        <w:spacing w:line="600" w:lineRule="exact"/>
        <w:ind w:left="105" w:leftChars="50" w:firstLine="480" w:firstLineChars="15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成本</w:t>
      </w:r>
      <w:r>
        <w:rPr>
          <w:rFonts w:hint="eastAsia" w:ascii="仿宋_GB2312" w:hAnsi="宋体" w:eastAsia="仿宋_GB2312" w:cs="宋体"/>
          <w:color w:val="000000"/>
          <w:kern w:val="0"/>
          <w:sz w:val="32"/>
          <w:szCs w:val="32"/>
        </w:rPr>
        <w:t xml:space="preserve">  </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我单位202</w:t>
      </w: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rPr>
        <w:t>年部门预算执行情况：总体支出率</w:t>
      </w:r>
      <w:r>
        <w:rPr>
          <w:rFonts w:ascii="仿宋_GB2312" w:hAnsi="宋体" w:eastAsia="仿宋_GB2312" w:cs="宋体"/>
          <w:color w:val="000000"/>
          <w:kern w:val="0"/>
          <w:sz w:val="32"/>
          <w:szCs w:val="32"/>
        </w:rPr>
        <w:t>95.</w:t>
      </w:r>
      <w:r>
        <w:rPr>
          <w:rFonts w:hint="eastAsia" w:ascii="仿宋_GB2312" w:hAnsi="宋体" w:eastAsia="仿宋_GB2312" w:cs="宋体"/>
          <w:color w:val="000000"/>
          <w:kern w:val="0"/>
          <w:sz w:val="32"/>
          <w:szCs w:val="32"/>
          <w:lang w:val="en-US" w:eastAsia="zh-CN"/>
        </w:rPr>
        <w:t>55</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，其中基本经费支出率</w:t>
      </w:r>
      <w:r>
        <w:rPr>
          <w:rFonts w:ascii="仿宋_GB2312" w:hAnsi="宋体" w:eastAsia="仿宋_GB2312" w:cs="宋体"/>
          <w:color w:val="000000"/>
          <w:kern w:val="0"/>
          <w:sz w:val="32"/>
          <w:szCs w:val="32"/>
        </w:rPr>
        <w:t>99.6</w:t>
      </w:r>
      <w:r>
        <w:rPr>
          <w:rFonts w:hint="eastAsia" w:ascii="仿宋_GB2312" w:hAnsi="宋体" w:eastAsia="仿宋_GB2312" w:cs="宋体"/>
          <w:color w:val="000000"/>
          <w:kern w:val="0"/>
          <w:sz w:val="32"/>
          <w:szCs w:val="32"/>
          <w:lang w:val="en-US" w:eastAsia="zh-CN"/>
        </w:rPr>
        <w:t>6</w:t>
      </w:r>
      <w:r>
        <w:rPr>
          <w:rFonts w:hint="eastAsia" w:ascii="仿宋_GB2312" w:hAnsi="宋体" w:eastAsia="仿宋_GB2312" w:cs="宋体"/>
          <w:color w:val="000000"/>
          <w:kern w:val="0"/>
          <w:sz w:val="32"/>
          <w:szCs w:val="32"/>
        </w:rPr>
        <w:t>%，项目经费支出率</w:t>
      </w:r>
      <w:r>
        <w:rPr>
          <w:rFonts w:ascii="仿宋_GB2312" w:hAnsi="宋体" w:eastAsia="仿宋_GB2312" w:cs="宋体"/>
          <w:color w:val="000000"/>
          <w:kern w:val="0"/>
          <w:sz w:val="32"/>
          <w:szCs w:val="32"/>
        </w:rPr>
        <w:t>8</w:t>
      </w:r>
      <w:r>
        <w:rPr>
          <w:rFonts w:hint="eastAsia" w:ascii="仿宋_GB2312" w:hAnsi="宋体" w:eastAsia="仿宋_GB2312" w:cs="宋体"/>
          <w:color w:val="000000"/>
          <w:kern w:val="0"/>
          <w:sz w:val="32"/>
          <w:szCs w:val="32"/>
          <w:lang w:val="en-US" w:eastAsia="zh-CN"/>
        </w:rPr>
        <w:t>7</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lang w:val="en-US" w:eastAsia="zh-CN"/>
        </w:rPr>
        <w:t>37</w:t>
      </w:r>
      <w:r>
        <w:rPr>
          <w:rFonts w:hint="eastAsia" w:ascii="仿宋_GB2312" w:hAnsi="宋体" w:eastAsia="仿宋_GB2312" w:cs="宋体"/>
          <w:color w:val="000000"/>
          <w:kern w:val="0"/>
          <w:sz w:val="32"/>
          <w:szCs w:val="32"/>
        </w:rPr>
        <w:t>%，由于疫情原因结余</w:t>
      </w: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lang w:val="en-US" w:eastAsia="zh-CN"/>
        </w:rPr>
        <w:t>4</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lang w:val="en-US" w:eastAsia="zh-CN"/>
        </w:rPr>
        <w:t>95</w:t>
      </w:r>
      <w:r>
        <w:rPr>
          <w:rFonts w:hint="eastAsia" w:ascii="仿宋_GB2312" w:hAnsi="宋体" w:eastAsia="仿宋_GB2312" w:cs="宋体"/>
          <w:color w:val="000000"/>
          <w:kern w:val="0"/>
          <w:sz w:val="32"/>
          <w:szCs w:val="32"/>
        </w:rPr>
        <w:t>万元。基本支出保障了北京市法学会机构日常正常运行，项目产出基本与部门年度计划和部门职能相匹配。</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（二）效果</w:t>
      </w:r>
      <w:r>
        <w:rPr>
          <w:rFonts w:ascii="楷体_GB2312" w:eastAsia="楷体_GB2312"/>
          <w:sz w:val="32"/>
          <w:szCs w:val="32"/>
        </w:rPr>
        <w:t>实现情况分析</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1.经济</w:t>
      </w:r>
      <w:r>
        <w:rPr>
          <w:rFonts w:ascii="仿宋_GB2312" w:hAnsi="宋体" w:eastAsia="仿宋_GB2312" w:cs="宋体"/>
          <w:color w:val="000000"/>
          <w:kern w:val="0"/>
          <w:sz w:val="32"/>
          <w:szCs w:val="32"/>
        </w:rPr>
        <w:t>效益</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无。</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2.社会效益</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积极推动法治宣传工作，以学习贯彻宣传习近平新时代中国特色社会主义法治思想为主题，组织系列“双百”活动；突出重点，服务改革，提升质量，不断提积极开展法律服务。服务社会治理创新，服务人民群众，服务经济社会发展。</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3.环境效益</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无。</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4.可持续</w:t>
      </w:r>
      <w:r>
        <w:rPr>
          <w:rFonts w:ascii="仿宋_GB2312" w:hAnsi="宋体" w:eastAsia="仿宋_GB2312" w:cs="宋体"/>
          <w:color w:val="000000"/>
          <w:kern w:val="0"/>
          <w:sz w:val="32"/>
          <w:szCs w:val="32"/>
        </w:rPr>
        <w:t>性影响</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服务社会治理创新，服务人民群众，服务经济社会发展。</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5.服务对象</w:t>
      </w:r>
      <w:r>
        <w:rPr>
          <w:rFonts w:ascii="仿宋_GB2312" w:hAnsi="宋体" w:eastAsia="仿宋_GB2312" w:cs="宋体"/>
          <w:color w:val="000000"/>
          <w:kern w:val="0"/>
          <w:sz w:val="32"/>
          <w:szCs w:val="32"/>
        </w:rPr>
        <w:t>满意度</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加强思想政治引领、推进组织体系建设、繁荣法学理论研究、提升法治宣传和法律服务水平、拓展法学交流、加强青年法学人才培养，不断增强政治性、先进性、群众性，全面提升履职能力和工作质效。</w:t>
      </w:r>
    </w:p>
    <w:p>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（一）财务管理</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1.财务</w:t>
      </w:r>
      <w:r>
        <w:rPr>
          <w:rFonts w:ascii="仿宋_GB2312" w:hAnsi="宋体" w:eastAsia="仿宋_GB2312" w:cs="宋体"/>
          <w:color w:val="000000"/>
          <w:kern w:val="0"/>
          <w:sz w:val="32"/>
          <w:szCs w:val="32"/>
        </w:rPr>
        <w:t>管理制度健全性</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我单位为加强预算管理已制定预算资金管理办法、内部财务管理制度、会计核算制度等管理制度；相关管理制度合法、合规、完整；相关管理制度已得到有效执行。</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2.资金使用合规性</w:t>
      </w:r>
      <w:r>
        <w:rPr>
          <w:rFonts w:ascii="仿宋_GB2312" w:hAnsi="宋体" w:eastAsia="仿宋_GB2312" w:cs="宋体"/>
          <w:color w:val="000000"/>
          <w:kern w:val="0"/>
          <w:sz w:val="32"/>
          <w:szCs w:val="32"/>
        </w:rPr>
        <w:t>和安全性</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我单位使用预算资金符合国家财经法规和财务管理制度规定以及专项资金管理办法的规定；资金的使用有完整的审批程序和手续；资金使用符合部门预算批复的用途；不存在截留、挤占、挪用、虚列支出等情况。</w:t>
      </w:r>
    </w:p>
    <w:p>
      <w:pPr>
        <w:spacing w:line="600" w:lineRule="exact"/>
        <w:ind w:left="105" w:leftChars="50" w:firstLine="480" w:firstLineChars="15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会计</w:t>
      </w:r>
      <w:r>
        <w:rPr>
          <w:rFonts w:ascii="仿宋_GB2312" w:hAnsi="宋体" w:eastAsia="仿宋_GB2312" w:cs="宋体"/>
          <w:color w:val="000000"/>
          <w:kern w:val="0"/>
          <w:sz w:val="32"/>
          <w:szCs w:val="32"/>
        </w:rPr>
        <w:t>基础信息完善性</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我单位基础数据信息和会计信息资料真实、完整、准确。</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（二）资产管理</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1）管理制度健全性</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我单位已制定资产管理制度；相关资金管理制度合法、合规、完整；相关资产管理制度有效执行。</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我单位资产保存完整；资产配置合理；资产处置合规；资产账务管理合规账实相符。</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（三）绩效</w:t>
      </w:r>
      <w:r>
        <w:rPr>
          <w:rFonts w:ascii="楷体_GB2312" w:eastAsia="楷体_GB2312"/>
          <w:sz w:val="32"/>
          <w:szCs w:val="32"/>
        </w:rPr>
        <w:t>管理</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我单位及时对绩效信息进行汇总分析整理。</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（四）结转结余率</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w:t>
      </w:r>
      <w:r>
        <w:rPr>
          <w:rFonts w:ascii="仿宋_GB2312" w:hAnsi="宋体" w:eastAsia="仿宋_GB2312" w:cs="宋体"/>
          <w:color w:val="000000"/>
          <w:kern w:val="0"/>
          <w:sz w:val="32"/>
          <w:szCs w:val="32"/>
        </w:rPr>
        <w:t>21</w:t>
      </w:r>
      <w:r>
        <w:rPr>
          <w:rFonts w:hint="eastAsia" w:ascii="仿宋_GB2312" w:hAnsi="宋体" w:eastAsia="仿宋_GB2312" w:cs="宋体"/>
          <w:color w:val="000000"/>
          <w:kern w:val="0"/>
          <w:sz w:val="32"/>
          <w:szCs w:val="32"/>
        </w:rPr>
        <w:t>年底我单位财政拨款结转结余</w:t>
      </w: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lang w:val="en-US" w:eastAsia="zh-CN"/>
        </w:rPr>
        <w:t>4</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lang w:val="en-US" w:eastAsia="zh-CN"/>
        </w:rPr>
        <w:t>95</w:t>
      </w:r>
      <w:r>
        <w:rPr>
          <w:rFonts w:hint="eastAsia" w:ascii="仿宋_GB2312" w:hAnsi="宋体" w:eastAsia="仿宋_GB2312" w:cs="宋体"/>
          <w:color w:val="000000"/>
          <w:kern w:val="0"/>
          <w:sz w:val="32"/>
          <w:szCs w:val="32"/>
        </w:rPr>
        <w:t>万元，</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结转结余率＝结转结余总额/支出预算数×100%=</w:t>
      </w: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lang w:val="en-US" w:eastAsia="zh-CN"/>
        </w:rPr>
        <w:t>4</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lang w:val="en-US" w:eastAsia="zh-CN"/>
        </w:rPr>
        <w:t>95</w:t>
      </w:r>
      <w:r>
        <w:rPr>
          <w:rFonts w:hint="eastAsia" w:ascii="仿宋_GB2312" w:hAnsi="宋体" w:eastAsia="仿宋_GB2312" w:cs="宋体"/>
          <w:color w:val="000000"/>
          <w:kern w:val="0"/>
          <w:sz w:val="32"/>
          <w:szCs w:val="32"/>
        </w:rPr>
        <w:t>/2,031.28×100%=</w:t>
      </w:r>
      <w:r>
        <w:rPr>
          <w:rFonts w:ascii="仿宋_GB2312" w:hAnsi="宋体" w:eastAsia="仿宋_GB2312" w:cs="宋体"/>
          <w:color w:val="000000"/>
          <w:kern w:val="0"/>
          <w:sz w:val="32"/>
          <w:szCs w:val="32"/>
        </w:rPr>
        <w:t>2.</w:t>
      </w:r>
      <w:r>
        <w:rPr>
          <w:rFonts w:hint="eastAsia" w:ascii="仿宋_GB2312" w:hAnsi="宋体" w:eastAsia="仿宋_GB2312" w:cs="宋体"/>
          <w:color w:val="000000"/>
          <w:kern w:val="0"/>
          <w:sz w:val="32"/>
          <w:szCs w:val="32"/>
          <w:lang w:val="en-US" w:eastAsia="zh-CN"/>
        </w:rPr>
        <w:t>21</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w:t>
      </w:r>
      <w:bookmarkStart w:id="1" w:name="_GoBack"/>
      <w:bookmarkEnd w:id="1"/>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（五）部门</w:t>
      </w:r>
      <w:r>
        <w:rPr>
          <w:rFonts w:ascii="楷体_GB2312" w:eastAsia="楷体_GB2312"/>
          <w:sz w:val="32"/>
          <w:szCs w:val="32"/>
        </w:rPr>
        <w:t>预决算差异率</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我单位20</w:t>
      </w:r>
      <w:r>
        <w:rPr>
          <w:rFonts w:ascii="仿宋_GB2312" w:hAnsi="宋体" w:eastAsia="仿宋_GB2312" w:cs="宋体"/>
          <w:color w:val="000000"/>
          <w:kern w:val="0"/>
          <w:sz w:val="32"/>
          <w:szCs w:val="32"/>
        </w:rPr>
        <w:t>21</w:t>
      </w:r>
      <w:r>
        <w:rPr>
          <w:rFonts w:hint="eastAsia" w:ascii="仿宋_GB2312" w:hAnsi="宋体" w:eastAsia="仿宋_GB2312" w:cs="宋体"/>
          <w:color w:val="000000"/>
          <w:kern w:val="0"/>
          <w:sz w:val="32"/>
          <w:szCs w:val="32"/>
        </w:rPr>
        <w:t>年决算收入为1,985.83 万元，年初预算收入为</w:t>
      </w:r>
      <w:bookmarkStart w:id="0" w:name="_Hlk104881187"/>
      <w:r>
        <w:rPr>
          <w:rFonts w:ascii="仿宋_GB2312" w:hAnsi="宋体" w:eastAsia="仿宋_GB2312" w:cs="宋体"/>
          <w:color w:val="000000"/>
          <w:kern w:val="0"/>
          <w:sz w:val="32"/>
          <w:szCs w:val="32"/>
          <w:highlight w:val="none"/>
        </w:rPr>
        <w:t>1</w:t>
      </w:r>
      <w:r>
        <w:rPr>
          <w:rFonts w:hint="eastAsia" w:ascii="仿宋_GB2312" w:hAnsi="宋体" w:eastAsia="仿宋_GB2312" w:cs="宋体"/>
          <w:color w:val="000000"/>
          <w:kern w:val="0"/>
          <w:sz w:val="32"/>
          <w:szCs w:val="32"/>
          <w:highlight w:val="none"/>
          <w:lang w:val="en-US" w:eastAsia="zh-CN"/>
        </w:rPr>
        <w:t>,</w:t>
      </w:r>
      <w:r>
        <w:rPr>
          <w:rFonts w:ascii="仿宋_GB2312" w:hAnsi="宋体" w:eastAsia="仿宋_GB2312" w:cs="宋体"/>
          <w:color w:val="000000"/>
          <w:kern w:val="0"/>
          <w:sz w:val="32"/>
          <w:szCs w:val="32"/>
          <w:highlight w:val="none"/>
        </w:rPr>
        <w:t>967.39</w:t>
      </w:r>
      <w:bookmarkEnd w:id="0"/>
      <w:r>
        <w:rPr>
          <w:rFonts w:hint="eastAsia"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rPr>
        <w:t>；决算支出为1,940.88 万元，年初预算支出为</w:t>
      </w:r>
      <w:r>
        <w:rPr>
          <w:rFonts w:ascii="仿宋_GB2312" w:hAnsi="宋体" w:eastAsia="仿宋_GB2312" w:cs="宋体"/>
          <w:color w:val="000000"/>
          <w:kern w:val="0"/>
          <w:sz w:val="32"/>
          <w:szCs w:val="32"/>
        </w:rPr>
        <w:t>1967.39</w:t>
      </w:r>
      <w:r>
        <w:rPr>
          <w:rFonts w:hint="eastAsia" w:ascii="仿宋_GB2312" w:hAnsi="宋体" w:eastAsia="仿宋_GB2312" w:cs="宋体"/>
          <w:color w:val="000000"/>
          <w:kern w:val="0"/>
          <w:sz w:val="32"/>
          <w:szCs w:val="32"/>
        </w:rPr>
        <w:t>万元。</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部门预算收入差异率＝(部门决算收入数－部门预算收入数)/部门预算收入数×100%=（</w:t>
      </w: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lang w:val="en-US" w:eastAsia="zh-CN"/>
        </w:rPr>
        <w:t>,</w:t>
      </w:r>
      <w:r>
        <w:rPr>
          <w:rFonts w:ascii="仿宋_GB2312" w:hAnsi="宋体" w:eastAsia="仿宋_GB2312" w:cs="宋体"/>
          <w:color w:val="000000"/>
          <w:kern w:val="0"/>
          <w:sz w:val="32"/>
          <w:szCs w:val="32"/>
        </w:rPr>
        <w:t>985.</w:t>
      </w:r>
      <w:r>
        <w:rPr>
          <w:rFonts w:hint="eastAsia" w:ascii="仿宋_GB2312" w:hAnsi="宋体" w:eastAsia="仿宋_GB2312" w:cs="宋体"/>
          <w:color w:val="000000"/>
          <w:kern w:val="0"/>
          <w:sz w:val="32"/>
          <w:szCs w:val="32"/>
          <w:lang w:val="en-US" w:eastAsia="zh-CN"/>
        </w:rPr>
        <w:t>83</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lang w:val="en-US" w:eastAsia="zh-CN"/>
        </w:rPr>
        <w:t>,</w:t>
      </w:r>
      <w:r>
        <w:rPr>
          <w:rFonts w:ascii="仿宋_GB2312" w:hAnsi="宋体" w:eastAsia="仿宋_GB2312" w:cs="宋体"/>
          <w:color w:val="000000"/>
          <w:kern w:val="0"/>
          <w:sz w:val="32"/>
          <w:szCs w:val="32"/>
        </w:rPr>
        <w:t>967.39</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lang w:val="en-US" w:eastAsia="zh-CN"/>
        </w:rPr>
        <w:t>,</w:t>
      </w:r>
      <w:r>
        <w:rPr>
          <w:rFonts w:ascii="仿宋_GB2312" w:hAnsi="宋体" w:eastAsia="仿宋_GB2312" w:cs="宋体"/>
          <w:color w:val="000000"/>
          <w:kern w:val="0"/>
          <w:sz w:val="32"/>
          <w:szCs w:val="32"/>
        </w:rPr>
        <w:t>967.39</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0</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94</w:t>
      </w:r>
      <w:r>
        <w:rPr>
          <w:rFonts w:hint="eastAsia" w:ascii="仿宋_GB2312" w:hAnsi="宋体" w:eastAsia="仿宋_GB2312" w:cs="宋体"/>
          <w:color w:val="000000"/>
          <w:kern w:val="0"/>
          <w:sz w:val="32"/>
          <w:szCs w:val="32"/>
        </w:rPr>
        <w:t xml:space="preserve">%； </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部门预算支出差异率＝(部门决算支出数－部门预算支出数)/部门预算支出数×100%=（</w:t>
      </w: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lang w:val="en-US" w:eastAsia="zh-CN"/>
        </w:rPr>
        <w:t>,</w:t>
      </w:r>
      <w:r>
        <w:rPr>
          <w:rFonts w:ascii="仿宋_GB2312" w:hAnsi="宋体" w:eastAsia="仿宋_GB2312" w:cs="宋体"/>
          <w:color w:val="000000"/>
          <w:kern w:val="0"/>
          <w:sz w:val="32"/>
          <w:szCs w:val="32"/>
        </w:rPr>
        <w:t>94</w:t>
      </w:r>
      <w:r>
        <w:rPr>
          <w:rFonts w:hint="eastAsia" w:ascii="仿宋_GB2312" w:hAnsi="宋体" w:eastAsia="仿宋_GB2312" w:cs="宋体"/>
          <w:color w:val="000000"/>
          <w:kern w:val="0"/>
          <w:sz w:val="32"/>
          <w:szCs w:val="32"/>
          <w:lang w:val="en-US" w:eastAsia="zh-CN"/>
        </w:rPr>
        <w:t>0</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lang w:val="en-US" w:eastAsia="zh-CN"/>
        </w:rPr>
        <w:t>88</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1967.39</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lang w:val="en-US" w:eastAsia="zh-CN"/>
        </w:rPr>
        <w:t>,</w:t>
      </w:r>
      <w:r>
        <w:rPr>
          <w:rFonts w:ascii="仿宋_GB2312" w:hAnsi="宋体" w:eastAsia="仿宋_GB2312" w:cs="宋体"/>
          <w:color w:val="000000"/>
          <w:kern w:val="0"/>
          <w:sz w:val="32"/>
          <w:szCs w:val="32"/>
        </w:rPr>
        <w:t>967.39</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lang w:val="en-US" w:eastAsia="zh-CN"/>
        </w:rPr>
        <w:t>35</w:t>
      </w:r>
      <w:r>
        <w:rPr>
          <w:rFonts w:hint="eastAsia" w:ascii="仿宋_GB2312" w:hAnsi="宋体" w:eastAsia="仿宋_GB2312" w:cs="宋体"/>
          <w:color w:val="000000"/>
          <w:kern w:val="0"/>
          <w:sz w:val="32"/>
          <w:szCs w:val="32"/>
        </w:rPr>
        <w:t>%。</w:t>
      </w:r>
    </w:p>
    <w:p>
      <w:pPr>
        <w:spacing w:line="600" w:lineRule="exact"/>
        <w:ind w:left="105" w:leftChars="50" w:firstLine="480" w:firstLineChars="150"/>
        <w:rPr>
          <w:rFonts w:ascii="黑体" w:hAnsi="黑体" w:eastAsia="黑体"/>
          <w:sz w:val="32"/>
          <w:szCs w:val="32"/>
        </w:rPr>
      </w:pPr>
      <w:r>
        <w:rPr>
          <w:rFonts w:hint="eastAsia" w:ascii="黑体" w:hAnsi="黑体" w:eastAsia="黑体"/>
          <w:sz w:val="32"/>
          <w:szCs w:val="32"/>
        </w:rPr>
        <w:t>五、总体</w:t>
      </w:r>
      <w:r>
        <w:rPr>
          <w:rFonts w:ascii="黑体" w:hAnsi="黑体" w:eastAsia="黑体"/>
          <w:sz w:val="32"/>
          <w:szCs w:val="32"/>
        </w:rPr>
        <w:t>评价结论</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根据评价指标体系测算，本单位部门整体支出绩效评价得分是：当年预算执行情况绩效为</w:t>
      </w:r>
      <w:r>
        <w:rPr>
          <w:rFonts w:ascii="仿宋_GB2312" w:hAnsi="宋体" w:eastAsia="仿宋_GB2312" w:cs="宋体"/>
          <w:color w:val="000000"/>
          <w:kern w:val="0"/>
          <w:sz w:val="32"/>
          <w:szCs w:val="32"/>
        </w:rPr>
        <w:t>19.16</w:t>
      </w:r>
      <w:r>
        <w:rPr>
          <w:rFonts w:hint="eastAsia" w:ascii="仿宋_GB2312" w:hAnsi="宋体" w:eastAsia="仿宋_GB2312" w:cs="宋体"/>
          <w:color w:val="000000"/>
          <w:kern w:val="0"/>
          <w:sz w:val="32"/>
          <w:szCs w:val="32"/>
        </w:rPr>
        <w:t>分，整体绩效目标实现情况绩效为</w:t>
      </w:r>
      <w:r>
        <w:rPr>
          <w:rFonts w:ascii="仿宋_GB2312" w:hAnsi="宋体" w:eastAsia="仿宋_GB2312" w:cs="宋体"/>
          <w:color w:val="000000"/>
          <w:kern w:val="0"/>
          <w:sz w:val="32"/>
          <w:szCs w:val="32"/>
        </w:rPr>
        <w:t>56</w:t>
      </w:r>
      <w:r>
        <w:rPr>
          <w:rFonts w:hint="eastAsia" w:ascii="仿宋_GB2312" w:hAnsi="宋体" w:eastAsia="仿宋_GB2312" w:cs="宋体"/>
          <w:color w:val="000000"/>
          <w:kern w:val="0"/>
          <w:sz w:val="32"/>
          <w:szCs w:val="32"/>
        </w:rPr>
        <w:t>分，预算管理情况绩效为2</w:t>
      </w:r>
      <w:r>
        <w:rPr>
          <w:rFonts w:ascii="仿宋_GB2312" w:hAnsi="宋体" w:eastAsia="仿宋_GB2312" w:cs="宋体"/>
          <w:color w:val="000000"/>
          <w:kern w:val="0"/>
          <w:sz w:val="32"/>
          <w:szCs w:val="32"/>
        </w:rPr>
        <w:t>0</w:t>
      </w:r>
      <w:r>
        <w:rPr>
          <w:rFonts w:hint="eastAsia" w:ascii="仿宋_GB2312" w:hAnsi="宋体" w:eastAsia="仿宋_GB2312" w:cs="宋体"/>
          <w:color w:val="000000"/>
          <w:kern w:val="0"/>
          <w:sz w:val="32"/>
          <w:szCs w:val="32"/>
        </w:rPr>
        <w:t>分，总绩效为</w:t>
      </w:r>
      <w:r>
        <w:rPr>
          <w:rFonts w:ascii="仿宋_GB2312" w:hAnsi="宋体" w:eastAsia="仿宋_GB2312" w:cs="宋体"/>
          <w:color w:val="000000"/>
          <w:kern w:val="0"/>
          <w:sz w:val="32"/>
          <w:szCs w:val="32"/>
        </w:rPr>
        <w:t>95.16</w:t>
      </w:r>
      <w:r>
        <w:rPr>
          <w:rFonts w:hint="eastAsia" w:ascii="仿宋_GB2312" w:hAnsi="宋体" w:eastAsia="仿宋_GB2312" w:cs="宋体"/>
          <w:color w:val="000000"/>
          <w:kern w:val="0"/>
          <w:sz w:val="32"/>
          <w:szCs w:val="32"/>
        </w:rPr>
        <w:t>分。</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（二）存在的问题</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部门总体绩效目标申报表填报不够科学，量化程度不够。部门整体绩效目标申报表中产出指标未设置“质量指标”“进度指标”和“成本指标”，后续的可考量性不足。</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绩效目标和指标往往根据项目实际完成情况制定。对项目执行过程有效约束不够，存在一定的偏差。</w:t>
      </w:r>
    </w:p>
    <w:p>
      <w:pPr>
        <w:spacing w:line="600" w:lineRule="exact"/>
        <w:ind w:firstLine="641" w:firstLineChars="200"/>
        <w:rPr>
          <w:rFonts w:ascii="仿宋_GB2312" w:hAnsi="宋体" w:eastAsia="仿宋_GB2312" w:cs="宋体"/>
          <w:b/>
          <w:bCs/>
          <w:color w:val="000000"/>
          <w:kern w:val="0"/>
          <w:sz w:val="32"/>
          <w:szCs w:val="32"/>
        </w:rPr>
      </w:pPr>
      <w:r>
        <w:rPr>
          <w:rFonts w:hint="eastAsia" w:ascii="黑体" w:hAnsi="黑体" w:eastAsia="黑体" w:cs="宋体"/>
          <w:b/>
          <w:bCs/>
          <w:color w:val="000000"/>
          <w:kern w:val="0"/>
          <w:sz w:val="32"/>
          <w:szCs w:val="32"/>
        </w:rPr>
        <w:t>六、措施建议</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应科学、合理、规范地确定部门绩效目标，以部门的职能定位和年度工作任务作为切入点，全面反映部门绩效，并将各相关职能（或工作）内容反映在分项指标中，将要进行的工作按照数量、质量、进度分别确定，提升各项指标的可考量性和完整性。</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提高绩效管理水平。首先，建立健全部门绩效管理制度，包括建立绩效管理组织机构及人员分工、绩效指标设置、绩效跟踪、绩效自评、绩效资料收集整理分析等制度，切实提高资金使用效益，强化预算绩效意识，提高绩效的管控力；其次，重视项目绩效资料的收集，对于受益群体较明显的项目应及时开展对服务对象的满意度调查，提升项目的社会效益。</w:t>
      </w:r>
    </w:p>
    <w:p>
      <w:pPr>
        <w:spacing w:line="600" w:lineRule="exact"/>
        <w:ind w:left="105" w:leftChars="50" w:firstLine="480" w:firstLineChars="150"/>
        <w:rPr>
          <w:rFonts w:ascii="仿宋_GB2312" w:hAnsi="宋体" w:eastAsia="仿宋_GB2312" w:cs="宋体"/>
          <w:color w:val="000000"/>
          <w:kern w:val="0"/>
          <w:sz w:val="32"/>
          <w:szCs w:val="32"/>
        </w:rPr>
        <w:sectPr>
          <w:pgSz w:w="11906" w:h="16838"/>
          <w:pgMar w:top="1440" w:right="1800" w:bottom="1440" w:left="1800" w:header="851" w:footer="992" w:gutter="0"/>
          <w:cols w:space="425" w:num="1"/>
          <w:docGrid w:type="lines" w:linePitch="312" w:charSpace="0"/>
        </w:sectPr>
      </w:pPr>
    </w:p>
    <w:p>
      <w:pPr>
        <w:spacing w:line="600" w:lineRule="exact"/>
        <w:rPr>
          <w:rFonts w:hint="eastAsia" w:ascii="仿宋_GB2312" w:hAnsi="宋体" w:eastAsia="仿宋_GB2312" w:cs="宋体"/>
          <w:color w:val="000000"/>
          <w:kern w:val="0"/>
          <w:sz w:val="32"/>
          <w:szCs w:val="32"/>
        </w:rPr>
        <w:sectPr>
          <w:type w:val="continuous"/>
          <w:pgSz w:w="11906" w:h="16838"/>
          <w:pgMar w:top="1440" w:right="1800" w:bottom="1440" w:left="1800" w:header="851" w:footer="992" w:gutter="0"/>
          <w:cols w:space="425" w:num="1"/>
          <w:docGrid w:type="lines" w:linePitch="312" w:charSpace="0"/>
        </w:sectPr>
      </w:pPr>
    </w:p>
    <w:p>
      <w:pPr>
        <w:tabs>
          <w:tab w:val="left" w:pos="3130"/>
        </w:tabs>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方正小标宋简体">
    <w:altName w:val="汉仪书宋二KW"/>
    <w:panose1 w:val="00000000000000000000"/>
    <w:charset w:val="86"/>
    <w:family w:val="script"/>
    <w:pitch w:val="default"/>
    <w:sig w:usb0="00000000" w:usb1="00000000" w:usb2="00000010" w:usb3="00000000" w:csb0="00040000" w:csb1="00000000"/>
  </w:font>
  <w:font w:name="仿宋_GB2312">
    <w:altName w:val="方正仿宋_GBK"/>
    <w:panose1 w:val="00000000000000000000"/>
    <w:charset w:val="86"/>
    <w:family w:val="modern"/>
    <w:pitch w:val="default"/>
    <w:sig w:usb0="00000000" w:usb1="00000000" w:usb2="00000010" w:usb3="00000000" w:csb0="00040000" w:csb1="00000000"/>
  </w:font>
  <w:font w:name="楷体_GB2312">
    <w:altName w:val="汉仪楷体简"/>
    <w:panose1 w:val="00000000000000000000"/>
    <w:charset w:val="86"/>
    <w:family w:val="modern"/>
    <w:pitch w:val="default"/>
    <w:sig w:usb0="00000000" w:usb1="00000000" w:usb2="00000010" w:usb3="00000000" w:csb0="00040000" w:csb1="00000000"/>
  </w:font>
  <w:font w:name="汉仪中等线KW">
    <w:panose1 w:val="01010104010101010101"/>
    <w:charset w:val="86"/>
    <w:family w:val="auto"/>
    <w:pitch w:val="default"/>
    <w:sig w:usb0="00000000" w:usb1="00000000" w:usb2="00000000" w:usb3="00000000" w:csb0="00160000" w:csb1="00000000"/>
  </w:font>
  <w:font w:name="汉仪书宋二KW">
    <w:panose1 w:val="00020600040101010101"/>
    <w:charset w:val="86"/>
    <w:family w:val="auto"/>
    <w:pitch w:val="default"/>
    <w:sig w:usb0="00000000" w:usb1="00000000" w:usb2="00000000" w:usb3="00000000" w:csb0="00160000" w:csb1="00000000"/>
  </w:font>
  <w:font w:name="方正仿宋_GBK">
    <w:panose1 w:val="02000000000000000000"/>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汉仪楷体简">
    <w:panose1 w:val="02010600000101010101"/>
    <w:charset w:val="86"/>
    <w:family w:val="auto"/>
    <w:pitch w:val="default"/>
    <w:sig w:usb0="00000000" w:usb1="00000000" w:usb2="00000000" w:usb3="00000000" w:csb0="00060000" w:csb1="00000000"/>
  </w:font>
  <w:font w:name="Kingsoft Sign">
    <w:panose1 w:val="05050102010706020507"/>
    <w:charset w:val="00"/>
    <w:family w:val="auto"/>
    <w:pitch w:val="default"/>
    <w:sig w:usb0="00000000" w:usb1="00000000" w:usb2="00000000" w:usb3="00000000" w:csb0="00000000" w:csb1="00000000"/>
  </w:font>
  <w:font w:name="Helvetica Neue">
    <w:panose1 w:val="02000503000000020004"/>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3E3"/>
    <w:rsid w:val="00092336"/>
    <w:rsid w:val="000938E2"/>
    <w:rsid w:val="000B1640"/>
    <w:rsid w:val="00163135"/>
    <w:rsid w:val="00165B60"/>
    <w:rsid w:val="00185982"/>
    <w:rsid w:val="00197540"/>
    <w:rsid w:val="001E7886"/>
    <w:rsid w:val="00202E27"/>
    <w:rsid w:val="002E19A7"/>
    <w:rsid w:val="00362E76"/>
    <w:rsid w:val="003D0B07"/>
    <w:rsid w:val="003E032C"/>
    <w:rsid w:val="00456BD3"/>
    <w:rsid w:val="004D3320"/>
    <w:rsid w:val="004D60FE"/>
    <w:rsid w:val="004E09CC"/>
    <w:rsid w:val="00524936"/>
    <w:rsid w:val="0054691E"/>
    <w:rsid w:val="00580B6F"/>
    <w:rsid w:val="005945A7"/>
    <w:rsid w:val="00597DE0"/>
    <w:rsid w:val="006B3306"/>
    <w:rsid w:val="006E04E9"/>
    <w:rsid w:val="00700103"/>
    <w:rsid w:val="00763A47"/>
    <w:rsid w:val="00776029"/>
    <w:rsid w:val="007F53E3"/>
    <w:rsid w:val="008142F7"/>
    <w:rsid w:val="00826E37"/>
    <w:rsid w:val="008F6B05"/>
    <w:rsid w:val="00A37472"/>
    <w:rsid w:val="00A83A63"/>
    <w:rsid w:val="00AA51CC"/>
    <w:rsid w:val="00B1445E"/>
    <w:rsid w:val="00B55FCF"/>
    <w:rsid w:val="00B70D56"/>
    <w:rsid w:val="00B71941"/>
    <w:rsid w:val="00B940DF"/>
    <w:rsid w:val="00BC352B"/>
    <w:rsid w:val="00BD7A04"/>
    <w:rsid w:val="00BF6FE9"/>
    <w:rsid w:val="00C07D4B"/>
    <w:rsid w:val="00C20127"/>
    <w:rsid w:val="00C43102"/>
    <w:rsid w:val="00C47507"/>
    <w:rsid w:val="00C73AD7"/>
    <w:rsid w:val="00C87B92"/>
    <w:rsid w:val="00CC34C9"/>
    <w:rsid w:val="00CE69EC"/>
    <w:rsid w:val="00CE717F"/>
    <w:rsid w:val="00CF703E"/>
    <w:rsid w:val="00D07DD7"/>
    <w:rsid w:val="00D41F0C"/>
    <w:rsid w:val="00D51890"/>
    <w:rsid w:val="00D824C8"/>
    <w:rsid w:val="00DC3721"/>
    <w:rsid w:val="00DD14F2"/>
    <w:rsid w:val="00E43FB9"/>
    <w:rsid w:val="00F00330"/>
    <w:rsid w:val="00F25EAE"/>
    <w:rsid w:val="00F3417D"/>
    <w:rsid w:val="00F35AF5"/>
    <w:rsid w:val="00F80AB7"/>
    <w:rsid w:val="00FD0752"/>
    <w:rsid w:val="3BF702CE"/>
    <w:rsid w:val="AF3D6CFA"/>
    <w:rsid w:val="BE2F7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452</Words>
  <Characters>2578</Characters>
  <Lines>21</Lines>
  <Paragraphs>6</Paragraphs>
  <TotalTime>10</TotalTime>
  <ScaleCrop>false</ScaleCrop>
  <LinksUpToDate>false</LinksUpToDate>
  <CharactersWithSpaces>3024</CharactersWithSpaces>
  <Application>WPS Office_6.0.2.8225_F1E327BC-269C-435d-A152-05C5408002CA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2022-05-26T09:24:00Z</dcterms:created>
  <dc:creator>薇 薛</dc:creator>
  <cp:lastModifiedBy>染柒</cp:lastModifiedBy>
  <dcterms:modified xsi:type="dcterms:W3CDTF">2023-10-04T19:36:53Z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2052-6.0.2.8225</vt:lpwstr>
  </property>
  <property fmtid="{D5CDD505-2E9C-101B-9397-08002B2CF9AE}" pid="3" name="ICV">
    <vt:lpwstr>4F25C28F563CC284FC491D6599692B9E_42</vt:lpwstr>
  </property>
</Properties>
</file>