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29"/>
        <w:gridCol w:w="610"/>
        <w:gridCol w:w="1004"/>
        <w:gridCol w:w="1255"/>
        <w:gridCol w:w="1429"/>
        <w:gridCol w:w="1499"/>
        <w:gridCol w:w="1201"/>
        <w:gridCol w:w="2449"/>
        <w:gridCol w:w="1117"/>
        <w:gridCol w:w="1645"/>
        <w:gridCol w:w="1220"/>
      </w:tblGrid>
      <w:tr w:rsidR="005F7697" w:rsidRPr="005F7697" w14:paraId="1B1160C5" w14:textId="77777777" w:rsidTr="005F7697">
        <w:trPr>
          <w:trHeight w:val="414"/>
        </w:trPr>
        <w:tc>
          <w:tcPr>
            <w:tcW w:w="0" w:type="auto"/>
            <w:gridSpan w:val="11"/>
            <w:tcBorders>
              <w:top w:val="nil"/>
              <w:left w:val="nil"/>
              <w:bottom w:val="nil"/>
              <w:right w:val="nil"/>
            </w:tcBorders>
            <w:shd w:val="clear" w:color="auto" w:fill="auto"/>
            <w:vAlign w:val="center"/>
            <w:hideMark/>
          </w:tcPr>
          <w:p w14:paraId="63B11221" w14:textId="77777777" w:rsidR="005F7697" w:rsidRPr="005F7697" w:rsidRDefault="005F7697" w:rsidP="005F7697">
            <w:pPr>
              <w:widowControl/>
              <w:jc w:val="center"/>
              <w:rPr>
                <w:rFonts w:ascii="宋体" w:eastAsia="宋体" w:hAnsi="宋体" w:cs="宋体"/>
                <w:b/>
                <w:bCs/>
                <w:color w:val="000000"/>
                <w:kern w:val="0"/>
                <w:sz w:val="32"/>
                <w:szCs w:val="32"/>
              </w:rPr>
            </w:pPr>
            <w:bookmarkStart w:id="0" w:name="RANGE!A2:K69"/>
            <w:r w:rsidRPr="005F7697">
              <w:rPr>
                <w:rFonts w:ascii="宋体" w:eastAsia="宋体" w:hAnsi="宋体" w:cs="宋体" w:hint="eastAsia"/>
                <w:b/>
                <w:bCs/>
                <w:color w:val="000000"/>
                <w:kern w:val="0"/>
                <w:sz w:val="32"/>
                <w:szCs w:val="32"/>
              </w:rPr>
              <w:t>项目支出绩效自评表</w:t>
            </w:r>
            <w:r w:rsidRPr="005F7697">
              <w:rPr>
                <w:rFonts w:ascii="宋体" w:eastAsia="宋体" w:hAnsi="宋体" w:cs="宋体" w:hint="eastAsia"/>
                <w:color w:val="000000"/>
                <w:kern w:val="0"/>
                <w:sz w:val="32"/>
                <w:szCs w:val="32"/>
              </w:rPr>
              <w:t xml:space="preserve"> </w:t>
            </w:r>
            <w:bookmarkEnd w:id="0"/>
          </w:p>
        </w:tc>
      </w:tr>
      <w:tr w:rsidR="005F7697" w:rsidRPr="005F7697" w14:paraId="7422D85C" w14:textId="77777777" w:rsidTr="005F7697">
        <w:trPr>
          <w:trHeight w:val="287"/>
        </w:trPr>
        <w:tc>
          <w:tcPr>
            <w:tcW w:w="0" w:type="auto"/>
            <w:gridSpan w:val="11"/>
            <w:tcBorders>
              <w:top w:val="nil"/>
              <w:left w:val="nil"/>
              <w:bottom w:val="nil"/>
              <w:right w:val="nil"/>
            </w:tcBorders>
            <w:shd w:val="clear" w:color="auto" w:fill="auto"/>
            <w:vAlign w:val="center"/>
            <w:hideMark/>
          </w:tcPr>
          <w:p w14:paraId="04BA24CF" w14:textId="77777777" w:rsidR="005F7697" w:rsidRPr="005F7697" w:rsidRDefault="005F7697" w:rsidP="005F7697">
            <w:pPr>
              <w:widowControl/>
              <w:jc w:val="center"/>
              <w:rPr>
                <w:rFonts w:ascii="宋体" w:eastAsia="宋体" w:hAnsi="宋体" w:cs="宋体"/>
                <w:color w:val="000000"/>
                <w:kern w:val="0"/>
                <w:sz w:val="22"/>
              </w:rPr>
            </w:pPr>
            <w:r w:rsidRPr="005F7697">
              <w:rPr>
                <w:rFonts w:ascii="宋体" w:eastAsia="宋体" w:hAnsi="宋体" w:cs="宋体" w:hint="eastAsia"/>
                <w:color w:val="000000"/>
                <w:kern w:val="0"/>
                <w:sz w:val="22"/>
              </w:rPr>
              <w:t>（2021年度）</w:t>
            </w:r>
          </w:p>
        </w:tc>
      </w:tr>
      <w:tr w:rsidR="005F7697" w:rsidRPr="005F7697" w14:paraId="530A824E" w14:textId="77777777" w:rsidTr="00B32413">
        <w:trPr>
          <w:trHeight w:val="287"/>
        </w:trPr>
        <w:tc>
          <w:tcPr>
            <w:tcW w:w="0" w:type="auto"/>
            <w:tcBorders>
              <w:top w:val="nil"/>
              <w:left w:val="nil"/>
              <w:bottom w:val="single" w:sz="4" w:space="0" w:color="auto"/>
              <w:right w:val="nil"/>
            </w:tcBorders>
            <w:shd w:val="clear" w:color="auto" w:fill="auto"/>
            <w:vAlign w:val="center"/>
            <w:hideMark/>
          </w:tcPr>
          <w:p w14:paraId="77D34657" w14:textId="77777777" w:rsidR="005F7697" w:rsidRPr="005F7697" w:rsidRDefault="005F7697" w:rsidP="005F7697">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7F3E80CC"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BE0026E" w14:textId="77777777" w:rsidR="005F7697" w:rsidRPr="005F7697" w:rsidRDefault="005F7697" w:rsidP="005F7697">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BC9F439"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DAB2CBD"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AE01637"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1C127BB"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A1DEC33"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8FB545F"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CE083F2" w14:textId="77777777" w:rsidR="005F7697" w:rsidRPr="005F7697" w:rsidRDefault="005F7697" w:rsidP="005F7697">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4C32C709" w14:textId="77777777" w:rsidR="005F7697" w:rsidRPr="005F7697" w:rsidRDefault="005F7697" w:rsidP="005F7697">
            <w:pPr>
              <w:widowControl/>
              <w:jc w:val="left"/>
              <w:rPr>
                <w:rFonts w:ascii="Times New Roman" w:eastAsia="Times New Roman" w:hAnsi="Times New Roman" w:cs="Times New Roman"/>
                <w:kern w:val="0"/>
                <w:sz w:val="20"/>
                <w:szCs w:val="20"/>
              </w:rPr>
            </w:pPr>
          </w:p>
        </w:tc>
      </w:tr>
      <w:tr w:rsidR="005F7697" w:rsidRPr="005F7697" w14:paraId="21AD1D81" w14:textId="77777777" w:rsidTr="005F7697">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5C29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0A7766B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创新团队-科技创新服务能力建设-2021年北京市创新团队奶牛团队岗位专家工作经费（科研类)</w:t>
            </w:r>
          </w:p>
        </w:tc>
      </w:tr>
      <w:tr w:rsidR="005F7697" w:rsidRPr="005F7697" w14:paraId="1219F8B7" w14:textId="77777777" w:rsidTr="00B32413">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1A43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5E7B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621A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4FD6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北京农学院</w:t>
            </w:r>
          </w:p>
        </w:tc>
      </w:tr>
      <w:tr w:rsidR="005F7697" w:rsidRPr="005F7697" w14:paraId="14983BF6" w14:textId="77777777" w:rsidTr="00B32413">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742F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110A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蒋林树、刘芳、郭凯军、鲁琳、倪和民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92B2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C93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13801059171、13693113736、18710133105、13911829843、13601129177</w:t>
            </w:r>
          </w:p>
        </w:tc>
      </w:tr>
      <w:tr w:rsidR="005F7697" w:rsidRPr="005F7697" w14:paraId="2F4A5B7E" w14:textId="77777777" w:rsidTr="00B32413">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11A1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项目资金</w:t>
            </w:r>
            <w:r w:rsidRPr="005F7697">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F91E5E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2CAB3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B0A1D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3E691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51531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EE8A9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48149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得分</w:t>
            </w:r>
          </w:p>
        </w:tc>
      </w:tr>
      <w:tr w:rsidR="005F7697" w:rsidRPr="005F7697" w14:paraId="002155E1" w14:textId="77777777" w:rsidTr="00B32413">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2A4AFA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2F2E944"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EBA28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C60FA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54070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147.993637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9EBE0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ED2A1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98.66%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75D2B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9.8</w:t>
            </w:r>
          </w:p>
        </w:tc>
      </w:tr>
      <w:tr w:rsidR="005F7697" w:rsidRPr="005F7697" w14:paraId="089A2434" w14:textId="77777777" w:rsidTr="00B32413">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9E8505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05EC48C"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A6CD6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231B0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D0CCD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147.993637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4EF9CC"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D1C89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0965FB"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5A6C0390" w14:textId="77777777" w:rsidTr="00B32413">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C6BA67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D4F2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2B96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E7DC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C165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18907"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2BCB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9DA267"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672E3EFB" w14:textId="77777777" w:rsidTr="00B32413">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CD1835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8FDF2"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2F64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E883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D577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138C2"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B641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90B7257"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1648088E" w14:textId="77777777" w:rsidTr="00B32413">
        <w:trPr>
          <w:trHeight w:val="56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7433190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754B07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357B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实际完成情况</w:t>
            </w:r>
          </w:p>
        </w:tc>
      </w:tr>
      <w:tr w:rsidR="005F7697" w:rsidRPr="005F7697" w14:paraId="401A6A24" w14:textId="77777777" w:rsidTr="00B32413">
        <w:trPr>
          <w:trHeight w:val="57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7CEE9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7DA5A92" w14:textId="77777777" w:rsidR="005F7697" w:rsidRPr="005F7697" w:rsidRDefault="005F7697" w:rsidP="005F7697">
            <w:pPr>
              <w:widowControl/>
              <w:jc w:val="left"/>
              <w:rPr>
                <w:rFonts w:ascii="宋体" w:eastAsia="宋体" w:hAnsi="宋体" w:cs="宋体"/>
                <w:color w:val="000000"/>
                <w:kern w:val="0"/>
                <w:sz w:val="16"/>
                <w:szCs w:val="16"/>
              </w:rPr>
            </w:pPr>
            <w:r w:rsidRPr="005F7697">
              <w:rPr>
                <w:rFonts w:ascii="宋体" w:eastAsia="宋体" w:hAnsi="宋体" w:cs="宋体" w:hint="eastAsia"/>
                <w:color w:val="000000"/>
                <w:kern w:val="0"/>
                <w:sz w:val="16"/>
                <w:szCs w:val="16"/>
              </w:rPr>
              <w:t>年度目标：                                                                                                                          郭凯军：                                                                                                                          1. 在京津冀奶牛生产全产业</w:t>
            </w:r>
            <w:proofErr w:type="gramStart"/>
            <w:r w:rsidRPr="005F7697">
              <w:rPr>
                <w:rFonts w:ascii="宋体" w:eastAsia="宋体" w:hAnsi="宋体" w:cs="宋体" w:hint="eastAsia"/>
                <w:color w:val="000000"/>
                <w:kern w:val="0"/>
                <w:sz w:val="16"/>
                <w:szCs w:val="16"/>
              </w:rPr>
              <w:t>链记录</w:t>
            </w:r>
            <w:proofErr w:type="gramEnd"/>
            <w:r w:rsidRPr="005F7697">
              <w:rPr>
                <w:rFonts w:ascii="宋体" w:eastAsia="宋体" w:hAnsi="宋体" w:cs="宋体" w:hint="eastAsia"/>
                <w:color w:val="000000"/>
                <w:kern w:val="0"/>
                <w:sz w:val="16"/>
                <w:szCs w:val="16"/>
              </w:rPr>
              <w:t>标准规范基础上形成奶牛评价体系和奶牛价值排名及育种值评价系统各1套</w:t>
            </w:r>
            <w:r w:rsidRPr="005F7697">
              <w:rPr>
                <w:rFonts w:ascii="宋体" w:eastAsia="宋体" w:hAnsi="宋体" w:cs="宋体" w:hint="eastAsia"/>
                <w:color w:val="000000"/>
                <w:kern w:val="0"/>
                <w:sz w:val="16"/>
                <w:szCs w:val="16"/>
              </w:rPr>
              <w:br/>
              <w:t>2. 提交4-5个牧场数据分析和优化管理方案8-10份</w:t>
            </w:r>
            <w:r w:rsidRPr="005F7697">
              <w:rPr>
                <w:rFonts w:ascii="宋体" w:eastAsia="宋体" w:hAnsi="宋体" w:cs="宋体" w:hint="eastAsia"/>
                <w:color w:val="000000"/>
                <w:kern w:val="0"/>
                <w:sz w:val="16"/>
                <w:szCs w:val="16"/>
              </w:rPr>
              <w:br/>
              <w:t>3.自主研发药食同源添加剂1个，为牧场优化管理方案提供实验数据支撑3-4套</w:t>
            </w:r>
            <w:r w:rsidRPr="005F7697">
              <w:rPr>
                <w:rFonts w:ascii="宋体" w:eastAsia="宋体" w:hAnsi="宋体" w:cs="宋体" w:hint="eastAsia"/>
                <w:color w:val="000000"/>
                <w:kern w:val="0"/>
                <w:sz w:val="16"/>
                <w:szCs w:val="16"/>
              </w:rPr>
              <w:br/>
              <w:t>4. 培训牧场骨干技术力量100人次左右</w:t>
            </w:r>
            <w:r w:rsidRPr="005F7697">
              <w:rPr>
                <w:rFonts w:ascii="宋体" w:eastAsia="宋体" w:hAnsi="宋体" w:cs="宋体" w:hint="eastAsia"/>
                <w:color w:val="000000"/>
                <w:kern w:val="0"/>
                <w:sz w:val="16"/>
                <w:szCs w:val="16"/>
              </w:rPr>
              <w:br/>
              <w:t>5.申请专利1-2项，发表文章1-2篇</w:t>
            </w:r>
            <w:r w:rsidRPr="005F7697">
              <w:rPr>
                <w:rFonts w:ascii="宋体" w:eastAsia="宋体" w:hAnsi="宋体" w:cs="宋体" w:hint="eastAsia"/>
                <w:color w:val="000000"/>
                <w:kern w:val="0"/>
                <w:sz w:val="16"/>
                <w:szCs w:val="16"/>
              </w:rPr>
              <w:br/>
              <w:t xml:space="preserve">6.培养研究生8人、本科生5人。                                                                                                 蒋林树：                                                                                                                </w:t>
            </w:r>
            <w:r w:rsidRPr="005F7697">
              <w:rPr>
                <w:rFonts w:ascii="宋体" w:eastAsia="宋体" w:hAnsi="宋体" w:cs="宋体" w:hint="eastAsia"/>
                <w:color w:val="000000"/>
                <w:kern w:val="0"/>
                <w:sz w:val="16"/>
                <w:szCs w:val="16"/>
              </w:rPr>
              <w:br/>
              <w:t>1. 初步建立基于HPLC-MS 构建的奶牛饲料营养活性物质指纹图谱数据库。</w:t>
            </w:r>
            <w:r w:rsidRPr="005F7697">
              <w:rPr>
                <w:rFonts w:ascii="宋体" w:eastAsia="宋体" w:hAnsi="宋体" w:cs="宋体" w:hint="eastAsia"/>
                <w:color w:val="000000"/>
                <w:kern w:val="0"/>
                <w:sz w:val="16"/>
                <w:szCs w:val="16"/>
              </w:rPr>
              <w:br/>
              <w:t>2. 初步构建1个奶牛生理指标、生长规律的大数据模型；建立植物精油提取体系一套</w:t>
            </w:r>
            <w:r w:rsidRPr="005F7697">
              <w:rPr>
                <w:rFonts w:ascii="宋体" w:eastAsia="宋体" w:hAnsi="宋体" w:cs="宋体" w:hint="eastAsia"/>
                <w:color w:val="000000"/>
                <w:kern w:val="0"/>
                <w:sz w:val="16"/>
                <w:szCs w:val="16"/>
              </w:rPr>
              <w:br/>
              <w:t xml:space="preserve">3. 植物多糖、植物精油奶牛（犊牛）饲料添加剂的推广与示范；                                                              </w:t>
            </w:r>
            <w:r w:rsidRPr="005F7697">
              <w:rPr>
                <w:rFonts w:ascii="宋体" w:eastAsia="宋体" w:hAnsi="宋体" w:cs="宋体" w:hint="eastAsia"/>
                <w:color w:val="000000"/>
                <w:kern w:val="0"/>
                <w:sz w:val="16"/>
                <w:szCs w:val="16"/>
              </w:rPr>
              <w:br/>
              <w:t>4. 开展饲养试验2项，发表论文3篇，培养研究生4人。                                                                                刘芳：                                                                                                                        1、更新北京奶业经济宏观运行数据库至2021年</w:t>
            </w:r>
            <w:r w:rsidRPr="005F7697">
              <w:rPr>
                <w:rFonts w:ascii="宋体" w:eastAsia="宋体" w:hAnsi="宋体" w:cs="宋体" w:hint="eastAsia"/>
                <w:color w:val="000000"/>
                <w:kern w:val="0"/>
                <w:sz w:val="16"/>
                <w:szCs w:val="16"/>
              </w:rPr>
              <w:br/>
              <w:t>2、升级维护北京奶牛产业基础预警信息平台</w:t>
            </w:r>
            <w:r w:rsidRPr="005F7697">
              <w:rPr>
                <w:rFonts w:ascii="宋体" w:eastAsia="宋体" w:hAnsi="宋体" w:cs="宋体" w:hint="eastAsia"/>
                <w:color w:val="000000"/>
                <w:kern w:val="0"/>
                <w:sz w:val="16"/>
                <w:szCs w:val="16"/>
              </w:rPr>
              <w:br/>
              <w:t>3、持续开展北京奶牛产业发展水平动态评价</w:t>
            </w:r>
            <w:r w:rsidRPr="005F7697">
              <w:rPr>
                <w:rFonts w:ascii="宋体" w:eastAsia="宋体" w:hAnsi="宋体" w:cs="宋体" w:hint="eastAsia"/>
                <w:color w:val="000000"/>
                <w:kern w:val="0"/>
                <w:sz w:val="16"/>
                <w:szCs w:val="16"/>
              </w:rPr>
              <w:br/>
              <w:t>4、持续开展产业热点问题研究                                                                                                         鲁琳：                                                                                                                      1、利用好氧发酵鲜牛粪生产生物有机肥或园艺基质关键集成技术处理鲜牛粪约2万吨，生产有机肥和园艺基质约8000吨。</w:t>
            </w:r>
            <w:r w:rsidRPr="005F7697">
              <w:rPr>
                <w:rFonts w:ascii="宋体" w:eastAsia="宋体" w:hAnsi="宋体" w:cs="宋体" w:hint="eastAsia"/>
                <w:color w:val="000000"/>
                <w:kern w:val="0"/>
                <w:sz w:val="16"/>
                <w:szCs w:val="16"/>
              </w:rPr>
              <w:br/>
              <w:t>2、发表牛粪厌氧发酵牛粪生产园艺基质技术等研究论文2篇，申请专利2项。</w:t>
            </w:r>
            <w:r w:rsidRPr="005F7697">
              <w:rPr>
                <w:rFonts w:ascii="宋体" w:eastAsia="宋体" w:hAnsi="宋体" w:cs="宋体" w:hint="eastAsia"/>
                <w:color w:val="000000"/>
                <w:kern w:val="0"/>
                <w:sz w:val="16"/>
                <w:szCs w:val="16"/>
              </w:rPr>
              <w:br/>
            </w:r>
            <w:r w:rsidRPr="005F7697">
              <w:rPr>
                <w:rFonts w:ascii="宋体" w:eastAsia="宋体" w:hAnsi="宋体" w:cs="宋体" w:hint="eastAsia"/>
                <w:color w:val="000000"/>
                <w:kern w:val="0"/>
                <w:sz w:val="16"/>
                <w:szCs w:val="16"/>
              </w:rPr>
              <w:lastRenderedPageBreak/>
              <w:t xml:space="preserve">3、针对京津冀奶牛场（养殖小区）和中学生健康营养的需求，开展奶牛保姆行动和普及中学生科学饮用牛奶等相关知识培训2次，培训人数约100人。                                                                                                                     </w:t>
            </w:r>
            <w:r w:rsidRPr="005F7697">
              <w:rPr>
                <w:rFonts w:ascii="宋体" w:eastAsia="宋体" w:hAnsi="宋体" w:cs="宋体" w:hint="eastAsia"/>
                <w:color w:val="000000"/>
                <w:kern w:val="0"/>
                <w:sz w:val="16"/>
                <w:szCs w:val="16"/>
              </w:rPr>
              <w:br/>
              <w:t>倪和民：                                                                                                                           1、建立LPS刺激模式动物（小鼠）子宫内膜炎模型1个，用作各种药物的治疗平台；建立外泌体靶向载药平台1个，用于递送治疗奶牛子宫内膜炎的药物；解析雌激素膜受体GPER在奶牛子宫内膜炎中的抗炎机制，建立褪黑素治疗奶牛子宫内膜炎引起上皮细胞纤维化的方法1个；                                                                                                                               2、推广京津冀地区奶牛子宫内膜炎治疗的抗生素方剂和剂型2-3个；申请国家发明专利2件；发表奶牛子宫疾病方面的文章3-4篇，其中SCI论文至少1-2篇；培养毕业硕士研究生4名；7. 进行现场技术指导3-4次，参与奶牛疾病预防与治疗相关技术培训1-2次；参与国内外重要奶牛养殖、疫病防疫研讨会3-5次。</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ED15798"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奶牛生产全产业链标准记录指导下个体评价体系1套；牧场智能管理和个体评价系统1套；培训牧场骨干技术力量130人；牧场数据分析和优化管理方案10份；牧场优化试验数据3套；申请专利5项；发表文章9篇；培养学生13人；建立植物精油提取体系1套；完成奶牛饲养试验1项；更新北京奶业经济宏观运行数据库5个；开展北京奶牛产业发展水平动态评价12期；撰写京津冀奶业空间布局优化报告1份；提交政策建议报告3份；建立LPS刺激模式动物（小鼠）子宫内膜炎模型1个；外泌体靶向载药平台1个；构建褪黑素治疗奶牛子宫内膜炎引起上皮细胞纤维化的方法1个；抗生素精准治疗方剂2个；奶牛疾病技术指导4次；学术交流会议6次；新增有机肥或园艺基质8000吨；新增处理鲜牛粪20.5万吨；举办培训的班次3次；培训学员的人次127人。</w:t>
            </w:r>
          </w:p>
        </w:tc>
      </w:tr>
      <w:tr w:rsidR="005F7697" w:rsidRPr="005F7697" w14:paraId="646295B7" w14:textId="77777777" w:rsidTr="00B32413">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5066ADB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绩效指标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23EA2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DAA06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47644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DEFD1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A03A8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F1A7A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B9995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B3D93F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偏差原因分析及改进</w:t>
            </w:r>
            <w:r w:rsidRPr="005F7697">
              <w:rPr>
                <w:rFonts w:ascii="宋体" w:eastAsia="宋体" w:hAnsi="宋体" w:cs="宋体" w:hint="eastAsia"/>
                <w:color w:val="000000"/>
                <w:kern w:val="0"/>
                <w:sz w:val="20"/>
                <w:szCs w:val="20"/>
              </w:rPr>
              <w:br/>
              <w:t>措施</w:t>
            </w:r>
          </w:p>
        </w:tc>
      </w:tr>
      <w:tr w:rsidR="005F7697" w:rsidRPr="005F7697" w14:paraId="2937F443" w14:textId="77777777" w:rsidTr="00B32413">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167AA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C251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产</w:t>
            </w:r>
            <w:r w:rsidRPr="005F7697">
              <w:rPr>
                <w:rFonts w:ascii="宋体" w:eastAsia="宋体" w:hAnsi="宋体" w:cs="宋体" w:hint="eastAsia"/>
                <w:color w:val="000000"/>
                <w:kern w:val="0"/>
                <w:sz w:val="20"/>
                <w:szCs w:val="20"/>
              </w:rPr>
              <w:br/>
              <w:t>出</w:t>
            </w:r>
            <w:r w:rsidRPr="005F7697">
              <w:rPr>
                <w:rFonts w:ascii="宋体" w:eastAsia="宋体" w:hAnsi="宋体" w:cs="宋体" w:hint="eastAsia"/>
                <w:color w:val="000000"/>
                <w:kern w:val="0"/>
                <w:sz w:val="20"/>
                <w:szCs w:val="20"/>
              </w:rPr>
              <w:br/>
              <w:t>指</w:t>
            </w:r>
            <w:r w:rsidRPr="005F7697">
              <w:rPr>
                <w:rFonts w:ascii="宋体" w:eastAsia="宋体" w:hAnsi="宋体" w:cs="宋体" w:hint="eastAsia"/>
                <w:color w:val="000000"/>
                <w:kern w:val="0"/>
                <w:sz w:val="20"/>
                <w:szCs w:val="20"/>
              </w:rPr>
              <w:br/>
            </w:r>
            <w:r w:rsidRPr="005F7697">
              <w:rPr>
                <w:rFonts w:ascii="宋体" w:eastAsia="宋体" w:hAnsi="宋体" w:cs="宋体" w:hint="eastAsia"/>
                <w:color w:val="000000"/>
                <w:kern w:val="0"/>
                <w:sz w:val="20"/>
                <w:szCs w:val="20"/>
              </w:rPr>
              <w:lastRenderedPageBreak/>
              <w:t>标</w:t>
            </w:r>
            <w:r w:rsidRPr="005F7697">
              <w:rPr>
                <w:rFonts w:ascii="宋体" w:eastAsia="宋体" w:hAnsi="宋体" w:cs="宋体" w:hint="eastAsia"/>
                <w:color w:val="000000"/>
                <w:kern w:val="0"/>
                <w:sz w:val="20"/>
                <w:szCs w:val="20"/>
              </w:rPr>
              <w:br/>
              <w:t>（50分）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7EE0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D42484"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奶牛生产全产业链标准记录指导下</w:t>
            </w:r>
            <w:r w:rsidRPr="005F7697">
              <w:rPr>
                <w:rFonts w:ascii="宋体" w:eastAsia="宋体" w:hAnsi="宋体" w:cs="宋体" w:hint="eastAsia"/>
                <w:color w:val="000000"/>
                <w:kern w:val="0"/>
                <w:sz w:val="20"/>
                <w:szCs w:val="20"/>
              </w:rPr>
              <w:lastRenderedPageBreak/>
              <w:t>个体评价体系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89B3D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C541C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79671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753B5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F7366B5"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64BFFF3E"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2854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F036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34D4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079C98"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牧场智能管理和个体评价系统</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0F2EE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887E1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5AD89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34836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3A10EC2"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024265A0"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AFD46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435F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6B6D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E24BB3"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培训牧场骨干技术力量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7EDEF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100左右</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3D0B9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F17EF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A1641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F887D7A" w14:textId="66745996"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E07793">
              <w:rPr>
                <w:rFonts w:ascii="宋体" w:eastAsia="宋体" w:hAnsi="宋体" w:cs="宋体" w:hint="eastAsia"/>
                <w:color w:val="000000"/>
                <w:kern w:val="0"/>
                <w:sz w:val="18"/>
                <w:szCs w:val="18"/>
              </w:rPr>
              <w:t>实际完成</w:t>
            </w:r>
            <w:proofErr w:type="gramStart"/>
            <w:r w:rsidR="00E07793">
              <w:rPr>
                <w:rFonts w:ascii="宋体" w:eastAsia="宋体" w:hAnsi="宋体" w:cs="宋体" w:hint="eastAsia"/>
                <w:color w:val="000000"/>
                <w:kern w:val="0"/>
                <w:sz w:val="18"/>
                <w:szCs w:val="18"/>
              </w:rPr>
              <w:t>比目标</w:t>
            </w:r>
            <w:proofErr w:type="gramEnd"/>
            <w:r w:rsidR="00E07793">
              <w:rPr>
                <w:rFonts w:ascii="宋体" w:eastAsia="宋体" w:hAnsi="宋体" w:cs="宋体" w:hint="eastAsia"/>
                <w:color w:val="000000"/>
                <w:kern w:val="0"/>
                <w:sz w:val="18"/>
                <w:szCs w:val="18"/>
              </w:rPr>
              <w:t>较多，偏离较大</w:t>
            </w:r>
          </w:p>
        </w:tc>
      </w:tr>
      <w:tr w:rsidR="005F7697" w:rsidRPr="005F7697" w14:paraId="331FF157"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41565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AD9D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A41CD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F2669A"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牧场数据分析和优化管理方案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56F24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8-10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99101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0C1A9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6464C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27AFBF0"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084A1AD6"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7A778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9AAC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A4C1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B520F6"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牧场优化试验数据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BE4FB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04EAD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B2C99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EBC31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CA886DA"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7812778B"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F43BB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3A94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1114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20DBDD"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申请专利</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9F658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07E23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7EF5F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AF846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3769A84"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4B7AB9FC"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80F52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4A858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F27A1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41C414"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发表文章</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0C0E4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8D946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83647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B2581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FEB286E"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7D69A9FB"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3DD0F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6541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4F7A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AEBBAF"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培养学生</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62EA8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研究生8人、本科生5人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CB777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研究生8人、本科生5人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B1C0F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4526F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EF58E88"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60E9D735"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B0A5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8140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43BE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DA3EEC"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提取试验1项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AC93D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建立植物精油提取体系一套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B06A1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E3873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C6468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F8CA02E"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07DF5712"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F1E59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0D94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D087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5B48A7"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饲养试验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FEECB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完成奶牛饲养试验一项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CBC4E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4CBF8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5BBAE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11E70F0"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340186A0" w14:textId="77777777" w:rsidTr="00B32413">
        <w:trPr>
          <w:trHeight w:val="1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C03A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46F1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7035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77D5FD"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更新北京奶业经济宏观运行数据库至2021年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594801" w14:textId="77777777" w:rsidR="005F7697" w:rsidRPr="005F7697" w:rsidRDefault="005F7697" w:rsidP="005F7697">
            <w:pPr>
              <w:widowControl/>
              <w:jc w:val="center"/>
              <w:rPr>
                <w:rFonts w:ascii="宋体" w:eastAsia="宋体" w:hAnsi="宋体" w:cs="宋体"/>
                <w:color w:val="000000"/>
                <w:kern w:val="0"/>
                <w:sz w:val="16"/>
                <w:szCs w:val="16"/>
              </w:rPr>
            </w:pPr>
            <w:r w:rsidRPr="005F7697">
              <w:rPr>
                <w:rFonts w:ascii="宋体" w:eastAsia="宋体" w:hAnsi="宋体" w:cs="宋体" w:hint="eastAsia"/>
                <w:color w:val="000000"/>
                <w:kern w:val="0"/>
                <w:sz w:val="16"/>
                <w:szCs w:val="16"/>
              </w:rPr>
              <w:t>1) 北京及各区县奶牛养殖生产数据库（45个）</w:t>
            </w:r>
            <w:r w:rsidRPr="005F7697">
              <w:rPr>
                <w:rFonts w:ascii="宋体" w:eastAsia="宋体" w:hAnsi="宋体" w:cs="宋体" w:hint="eastAsia"/>
                <w:color w:val="000000"/>
                <w:kern w:val="0"/>
                <w:sz w:val="16"/>
                <w:szCs w:val="16"/>
              </w:rPr>
              <w:br/>
              <w:t>2) 北京市乳品加工企业数据库（27个）</w:t>
            </w:r>
            <w:r w:rsidRPr="005F7697">
              <w:rPr>
                <w:rFonts w:ascii="宋体" w:eastAsia="宋体" w:hAnsi="宋体" w:cs="宋体" w:hint="eastAsia"/>
                <w:color w:val="000000"/>
                <w:kern w:val="0"/>
                <w:sz w:val="16"/>
                <w:szCs w:val="16"/>
              </w:rPr>
              <w:br/>
              <w:t>3) 全国及北京牛奶及乳制品价格数据库</w:t>
            </w:r>
            <w:r w:rsidRPr="005F7697">
              <w:rPr>
                <w:rFonts w:ascii="宋体" w:eastAsia="宋体" w:hAnsi="宋体" w:cs="宋体" w:hint="eastAsia"/>
                <w:color w:val="000000"/>
                <w:kern w:val="0"/>
                <w:sz w:val="16"/>
                <w:szCs w:val="16"/>
              </w:rPr>
              <w:br/>
              <w:t>4) 京津冀消费者需求调研问卷数据库</w:t>
            </w:r>
            <w:r w:rsidRPr="005F7697">
              <w:rPr>
                <w:rFonts w:ascii="宋体" w:eastAsia="宋体" w:hAnsi="宋体" w:cs="宋体" w:hint="eastAsia"/>
                <w:color w:val="000000"/>
                <w:kern w:val="0"/>
                <w:sz w:val="16"/>
                <w:szCs w:val="16"/>
              </w:rPr>
              <w:br/>
              <w:t>5) 中国奶业统计年鉴电子数据库（2005-2020）</w:t>
            </w:r>
            <w:r w:rsidRPr="005F7697">
              <w:rPr>
                <w:rFonts w:ascii="宋体" w:eastAsia="宋体" w:hAnsi="宋体" w:cs="宋体" w:hint="eastAsia"/>
                <w:color w:val="000000"/>
                <w:kern w:val="0"/>
                <w:sz w:val="16"/>
                <w:szCs w:val="16"/>
              </w:rPr>
              <w:br/>
              <w:t>6) 中国海关统计年鉴电子数据库及乳制品进出口贸易数据库（2005.1-2021.12）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2C1E8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5个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9C553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7F25C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9DA3A76" w14:textId="25725A64"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091317" w:rsidRPr="008846A4">
              <w:rPr>
                <w:rFonts w:ascii="宋体" w:eastAsia="宋体" w:hAnsi="宋体" w:hint="eastAsia"/>
                <w:color w:val="000000"/>
                <w:sz w:val="20"/>
                <w:szCs w:val="20"/>
              </w:rPr>
              <w:t>完成数量指标，但仍有提升与改进空间</w:t>
            </w:r>
          </w:p>
        </w:tc>
      </w:tr>
      <w:tr w:rsidR="005F7697" w:rsidRPr="005F7697" w14:paraId="61335870"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96861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2CB4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5DB2C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A0F893"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开展北京奶牛产业发展水平动态评价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6D0FA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撰写12期北京奶业监测月报；撰写2020年北京奶业发展报告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FE0AA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12期</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EC719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CF15B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F7FB443"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60060209" w14:textId="77777777" w:rsidTr="00B32413">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D4A25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3F14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B9080"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534D54"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京津冀奶业空间布局优化研究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CA464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撰写京津冀奶业空间布局优化报告一份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7564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B4DF7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EEC37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6CE364C"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73A41D1E" w14:textId="77777777" w:rsidTr="00B32413">
        <w:trPr>
          <w:trHeight w:val="9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8F9F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B869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7890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71A006"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开展产业热点问题追踪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14DA0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开展北京乳品企业品牌价值评估研究；北京畜牧业比较优势测度及产业升级研究等，提交政策建议报告2-3份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FCFBD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560A8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DF737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E5DE842" w14:textId="50033A5F"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091317" w:rsidRPr="008846A4">
              <w:rPr>
                <w:rFonts w:ascii="宋体" w:eastAsia="宋体" w:hAnsi="宋体" w:hint="eastAsia"/>
                <w:color w:val="000000"/>
                <w:sz w:val="20"/>
                <w:szCs w:val="20"/>
              </w:rPr>
              <w:t>完成数量指标，但仍有提升与改进空间</w:t>
            </w:r>
          </w:p>
        </w:tc>
      </w:tr>
      <w:tr w:rsidR="005F7697" w:rsidRPr="005F7697" w14:paraId="1052C709" w14:textId="77777777" w:rsidTr="00B32413">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DEC8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7CEC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4C37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7BB340"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LPS刺激模式动物（小鼠）子宫内膜炎模型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98843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15871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EBD43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394CF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54AC420"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1755CCD6" w14:textId="77777777" w:rsidTr="00B32413">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A5BB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D653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0610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47C53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外泌体靶向载药平台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6620E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0A22C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E5F23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8AA0A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A4294DD"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75C1D693" w14:textId="77777777" w:rsidTr="00B32413">
        <w:trPr>
          <w:trHeight w:val="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FEC7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F1F9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CC57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1F6030"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褪黑素治疗奶牛子宫内膜炎引起上皮细胞纤维化的方法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B9C6A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0633B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FA6E2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60F8C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B34DAFC"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5E5239B8"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51CE3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12E4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873B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BD0AB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抗生素精准治疗方剂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515F1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B9767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031C0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57468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639B143"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1B35C368"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7D34A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9478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9D89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97DF52"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奶牛疾病技术指导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5F0FE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F2C75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D6696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96D74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ECEB655"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23D4E46F"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62F2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C5BE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EEB0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0AA51C"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学术交流会议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6D06E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AE9CB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BE04C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CADF6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FEA1FDC"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56F32CAB"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4C41E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A058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1E89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4615E5"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新增有机肥或园艺基质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C2CF0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8D1B6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8000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6132C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E5FFD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795BFFD" w14:textId="30B5C840"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091317" w:rsidRPr="008846A4">
              <w:rPr>
                <w:rFonts w:ascii="宋体" w:eastAsia="宋体" w:hAnsi="宋体" w:hint="eastAsia"/>
                <w:color w:val="000000"/>
                <w:sz w:val="20"/>
                <w:szCs w:val="20"/>
              </w:rPr>
              <w:t>完成数量指标，但仍有提升与改进空间</w:t>
            </w:r>
          </w:p>
        </w:tc>
      </w:tr>
      <w:tr w:rsidR="005F7697" w:rsidRPr="005F7697" w14:paraId="3FCB6CE3"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057B3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466F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FBD5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10A79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新增处理鲜牛粪</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FA7A8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20000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3ADCF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20.5万吨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3ACBD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ABAD9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A3008B9" w14:textId="1018E72E"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091317" w:rsidRPr="008846A4">
              <w:rPr>
                <w:rFonts w:ascii="宋体" w:eastAsia="宋体" w:hAnsi="宋体" w:hint="eastAsia"/>
                <w:color w:val="000000"/>
                <w:sz w:val="20"/>
                <w:szCs w:val="20"/>
              </w:rPr>
              <w:t>完成数量指标，但仍有提升与改进空间</w:t>
            </w:r>
          </w:p>
        </w:tc>
      </w:tr>
      <w:tr w:rsidR="005F7697" w:rsidRPr="005F7697" w14:paraId="5F1C70AC"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D057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7D7F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4CC8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B696C1"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举办培训的班次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C249C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95EF3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074EE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6B9F2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AC693AE"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135183A6" w14:textId="77777777" w:rsidTr="00B32413">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B571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8062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21F3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B3D78B"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培训学员的人次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60DE8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46355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127人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782E7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9B03A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EE85D56"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p>
        </w:tc>
      </w:tr>
      <w:tr w:rsidR="005F7697" w:rsidRPr="005F7697" w14:paraId="6B2094E4" w14:textId="77777777" w:rsidTr="00B32413">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34398B"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052D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7485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300973"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培训合格程度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E76FB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能够按照要求分析数据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B6CC9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合格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D3FE1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C7C9D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99819BF" w14:textId="75058545"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217E412D" w14:textId="77777777" w:rsidTr="00B32413">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CED3B"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5DAC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614A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930BC8"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牧场管理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37CBA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得到优化</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8C90E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得到优化</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9F891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5C1B4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C8EE89A" w14:textId="3D0F2695"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4B49FE5C" w14:textId="77777777" w:rsidTr="00B32413">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971E0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80C1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3EF5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21F6E3"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申请专利／发表文章</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0915D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申请或发表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98B05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发表2篇，接收1篇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B24A3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D5A11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925816" w14:textId="77777777"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p>
        </w:tc>
      </w:tr>
      <w:tr w:rsidR="005F7697" w:rsidRPr="005F7697" w14:paraId="2BDB6AD4" w14:textId="77777777" w:rsidTr="00B32413">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AFFC5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1800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9A3A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18E57D"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奶牛精准饲喂技术研究报告；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28A46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完成报告一份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37116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完成报告1份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A27E8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DD8AB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01EE246" w14:textId="756AC1A1"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0EE1589D" w14:textId="77777777" w:rsidTr="00B32413">
        <w:trPr>
          <w:trHeight w:val="13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9E00D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93DA7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30688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26314C"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有机肥</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3E03E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有效活菌数（</w:t>
            </w:r>
            <w:proofErr w:type="spellStart"/>
            <w:r w:rsidRPr="005F7697">
              <w:rPr>
                <w:rFonts w:ascii="宋体" w:eastAsia="宋体" w:hAnsi="宋体" w:cs="宋体" w:hint="eastAsia"/>
                <w:color w:val="000000"/>
                <w:kern w:val="0"/>
                <w:sz w:val="20"/>
                <w:szCs w:val="20"/>
              </w:rPr>
              <w:t>cfu</w:t>
            </w:r>
            <w:proofErr w:type="spellEnd"/>
            <w:r w:rsidRPr="005F7697">
              <w:rPr>
                <w:rFonts w:ascii="宋体" w:eastAsia="宋体" w:hAnsi="宋体" w:cs="宋体" w:hint="eastAsia"/>
                <w:color w:val="000000"/>
                <w:kern w:val="0"/>
                <w:sz w:val="20"/>
                <w:szCs w:val="20"/>
              </w:rPr>
              <w:t>)≧0.20亿/克，有机质(以干基计）≧</w:t>
            </w:r>
            <w:r w:rsidRPr="005F7697">
              <w:rPr>
                <w:rFonts w:ascii="宋体" w:eastAsia="宋体" w:hAnsi="宋体" w:cs="宋体" w:hint="eastAsia"/>
                <w:color w:val="000000"/>
                <w:kern w:val="0"/>
                <w:sz w:val="20"/>
                <w:szCs w:val="20"/>
              </w:rPr>
              <w:lastRenderedPageBreak/>
              <w:t>40.0%，水分≦30.0%，pH：5.5～8.5，粪大肠菌数≦100个/g，蛔虫卵死亡率≧95%,有效期≧6月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299AB3"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lastRenderedPageBreak/>
              <w:t>有效活菌数（</w:t>
            </w:r>
            <w:proofErr w:type="spellStart"/>
            <w:r w:rsidRPr="005F7697">
              <w:rPr>
                <w:rFonts w:ascii="宋体" w:eastAsia="宋体" w:hAnsi="宋体" w:cs="宋体" w:hint="eastAsia"/>
                <w:color w:val="000000"/>
                <w:kern w:val="0"/>
                <w:sz w:val="18"/>
                <w:szCs w:val="18"/>
              </w:rPr>
              <w:t>cfu</w:t>
            </w:r>
            <w:proofErr w:type="spellEnd"/>
            <w:r w:rsidRPr="005F7697">
              <w:rPr>
                <w:rFonts w:ascii="宋体" w:eastAsia="宋体" w:hAnsi="宋体" w:cs="宋体" w:hint="eastAsia"/>
                <w:color w:val="000000"/>
                <w:kern w:val="0"/>
                <w:sz w:val="18"/>
                <w:szCs w:val="18"/>
              </w:rPr>
              <w:t>)≧0.30亿/克，有机质(以干基计）≧45.0%，水分≦</w:t>
            </w:r>
            <w:r w:rsidRPr="005F7697">
              <w:rPr>
                <w:rFonts w:ascii="宋体" w:eastAsia="宋体" w:hAnsi="宋体" w:cs="宋体" w:hint="eastAsia"/>
                <w:color w:val="000000"/>
                <w:kern w:val="0"/>
                <w:sz w:val="18"/>
                <w:szCs w:val="18"/>
              </w:rPr>
              <w:lastRenderedPageBreak/>
              <w:t>27.0%，pH：6，粪大肠菌数≦50个/g，蛔虫卵死亡率≧98%,有效期≧8月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20ABA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67063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665EA7C" w14:textId="49235FE5"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75C0CF1D" w14:textId="77777777" w:rsidTr="00B32413">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1300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CC18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9466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1F1956"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学生培养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1BE75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答辩通过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879CA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通过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91592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17217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86C81E9" w14:textId="77777777"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p>
        </w:tc>
      </w:tr>
      <w:tr w:rsidR="005F7697" w:rsidRPr="005F7697" w14:paraId="7078B4DD" w14:textId="77777777" w:rsidTr="00B32413">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D674F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1CAB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AEE60"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F7D602"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数据库更新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D9CB3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奶业宏观和微观数据库更新及时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56CC1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奶业宏观和微观数据库更新及时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DF40A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C115E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471E55C" w14:textId="3A3596FE"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0BC82B8C" w14:textId="77777777" w:rsidTr="00B32413">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BF763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265C5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253D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4678AE"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产业动态追踪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90797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深入细致，及时全面的追踪产业发展动态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8F897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深入细致，及时全面的追踪产业发展动态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98800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746D6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D96C31E" w14:textId="0187FBB0"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4DB87ACF" w14:textId="77777777" w:rsidTr="00B32413">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3B3E9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C676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746E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E93655"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产业热点专题研究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D6504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及时反映产业前沿与热点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D318E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及时反映产业前沿与热点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70011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E74DE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9A3D893" w14:textId="4FC3D5BE" w:rsidR="005F7697" w:rsidRPr="005F7697" w:rsidRDefault="005F7697" w:rsidP="005F7697">
            <w:pPr>
              <w:widowControl/>
              <w:jc w:val="center"/>
              <w:rPr>
                <w:rFonts w:ascii="宋体" w:eastAsia="宋体" w:hAnsi="宋体" w:cs="宋体"/>
                <w:color w:val="FF0000"/>
                <w:kern w:val="0"/>
                <w:sz w:val="20"/>
                <w:szCs w:val="20"/>
              </w:rPr>
            </w:pPr>
            <w:r w:rsidRPr="005F7697">
              <w:rPr>
                <w:rFonts w:ascii="宋体" w:eastAsia="宋体" w:hAnsi="宋体" w:cs="宋体" w:hint="eastAsia"/>
                <w:color w:val="FF0000"/>
                <w:kern w:val="0"/>
                <w:sz w:val="20"/>
                <w:szCs w:val="20"/>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2FE330C2" w14:textId="77777777" w:rsidTr="00B32413">
        <w:trPr>
          <w:trHeight w:val="13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4C374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F0B39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25C4A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F6019F"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按时完成疫病防治岗位专家年度计划制定和任务书编制，确保在任务书和年度计</w:t>
            </w:r>
            <w:r w:rsidRPr="005F7697">
              <w:rPr>
                <w:rFonts w:ascii="宋体" w:eastAsia="宋体" w:hAnsi="宋体" w:cs="宋体" w:hint="eastAsia"/>
                <w:color w:val="000000"/>
                <w:kern w:val="0"/>
                <w:sz w:val="20"/>
                <w:szCs w:val="20"/>
              </w:rPr>
              <w:lastRenderedPageBreak/>
              <w:t>划制定工作中无失误。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A9317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工作书任务过程中无失误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DC64A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无失误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0DFEC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F42DA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872D56" w14:textId="426A15FC"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0B4BAACE" w14:textId="77777777" w:rsidTr="00B32413">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D2475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7854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2041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B3986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完成疫病防治岗位专家的既定考核任务目标。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EAB48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保质保量完成考核目标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1BBA3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C2B0E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09B39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E3B12C4" w14:textId="60861098"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 xml:space="preserve">　</w:t>
            </w:r>
            <w:r w:rsidR="00091317" w:rsidRPr="008846A4">
              <w:rPr>
                <w:rFonts w:ascii="宋体" w:eastAsia="宋体" w:hAnsi="宋体" w:hint="eastAsia"/>
                <w:color w:val="000000"/>
                <w:sz w:val="20"/>
                <w:szCs w:val="20"/>
              </w:rPr>
              <w:t>完成质量指标，但仍有提升与改进空间</w:t>
            </w:r>
          </w:p>
        </w:tc>
      </w:tr>
      <w:tr w:rsidR="005F7697" w:rsidRPr="005F7697" w14:paraId="70869865" w14:textId="77777777" w:rsidTr="00B32413">
        <w:trPr>
          <w:trHeight w:val="7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4688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9FFE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2A494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493FBE"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节俭高效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1F42E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2021年底完成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565A7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2021年底完成</w:t>
            </w:r>
          </w:p>
        </w:tc>
        <w:tc>
          <w:tcPr>
            <w:tcW w:w="0" w:type="auto"/>
            <w:tcBorders>
              <w:top w:val="single" w:sz="4" w:space="0" w:color="auto"/>
              <w:left w:val="nil"/>
              <w:bottom w:val="single" w:sz="4" w:space="0" w:color="auto"/>
              <w:right w:val="nil"/>
            </w:tcBorders>
            <w:shd w:val="clear" w:color="auto" w:fill="auto"/>
            <w:vAlign w:val="center"/>
            <w:hideMark/>
          </w:tcPr>
          <w:p w14:paraId="59D8F95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E3743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7ED9553" w14:textId="47A01BFD"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r w:rsidR="00091317" w:rsidRPr="008846A4">
              <w:rPr>
                <w:rFonts w:ascii="宋体" w:eastAsia="宋体" w:hAnsi="宋体" w:hint="eastAsia"/>
                <w:color w:val="000000"/>
                <w:sz w:val="20"/>
                <w:szCs w:val="20"/>
              </w:rPr>
              <w:t>完成</w:t>
            </w:r>
            <w:r w:rsidR="00091317">
              <w:rPr>
                <w:rFonts w:ascii="宋体" w:eastAsia="宋体" w:hAnsi="宋体" w:hint="eastAsia"/>
                <w:color w:val="000000"/>
                <w:sz w:val="20"/>
                <w:szCs w:val="20"/>
              </w:rPr>
              <w:t>时效</w:t>
            </w:r>
            <w:r w:rsidR="00091317" w:rsidRPr="008846A4">
              <w:rPr>
                <w:rFonts w:ascii="宋体" w:eastAsia="宋体" w:hAnsi="宋体" w:hint="eastAsia"/>
                <w:color w:val="000000"/>
                <w:sz w:val="20"/>
                <w:szCs w:val="20"/>
              </w:rPr>
              <w:t>指标，但仍有提升与改进空间</w:t>
            </w:r>
          </w:p>
        </w:tc>
      </w:tr>
      <w:tr w:rsidR="005F7697" w:rsidRPr="005F7697" w14:paraId="06F957F0" w14:textId="77777777" w:rsidTr="00B32413">
        <w:trPr>
          <w:trHeight w:val="6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155A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F9DF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ACE74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3145A3"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按任务书进度执行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497CE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150万元内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A232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147.993637万元</w:t>
            </w:r>
          </w:p>
        </w:tc>
        <w:tc>
          <w:tcPr>
            <w:tcW w:w="0" w:type="auto"/>
            <w:tcBorders>
              <w:top w:val="single" w:sz="4" w:space="0" w:color="auto"/>
              <w:left w:val="nil"/>
              <w:bottom w:val="single" w:sz="4" w:space="0" w:color="auto"/>
              <w:right w:val="nil"/>
            </w:tcBorders>
            <w:shd w:val="clear" w:color="auto" w:fill="auto"/>
            <w:vAlign w:val="center"/>
            <w:hideMark/>
          </w:tcPr>
          <w:p w14:paraId="3632881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9B07A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580BDAD" w14:textId="34EF5C11"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r w:rsidR="00091317">
              <w:rPr>
                <w:rFonts w:ascii="宋体" w:eastAsia="宋体" w:hAnsi="宋体" w:cs="宋体" w:hint="eastAsia"/>
                <w:color w:val="000000"/>
                <w:kern w:val="0"/>
                <w:sz w:val="20"/>
                <w:szCs w:val="20"/>
              </w:rPr>
              <w:t>资金有结余，今后加强控制</w:t>
            </w:r>
          </w:p>
        </w:tc>
      </w:tr>
      <w:tr w:rsidR="005F7697" w:rsidRPr="005F7697" w14:paraId="13E6B2D2" w14:textId="77777777" w:rsidTr="00B32413">
        <w:trPr>
          <w:trHeight w:val="2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F4D9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10EB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效</w:t>
            </w:r>
            <w:r w:rsidRPr="005F7697">
              <w:rPr>
                <w:rFonts w:ascii="宋体" w:eastAsia="宋体" w:hAnsi="宋体" w:cs="宋体" w:hint="eastAsia"/>
                <w:color w:val="000000"/>
                <w:kern w:val="0"/>
                <w:sz w:val="20"/>
                <w:szCs w:val="20"/>
              </w:rPr>
              <w:br w:type="page"/>
              <w:t>益</w:t>
            </w:r>
            <w:r w:rsidRPr="005F7697">
              <w:rPr>
                <w:rFonts w:ascii="宋体" w:eastAsia="宋体" w:hAnsi="宋体" w:cs="宋体" w:hint="eastAsia"/>
                <w:color w:val="000000"/>
                <w:kern w:val="0"/>
                <w:sz w:val="20"/>
                <w:szCs w:val="20"/>
              </w:rPr>
              <w:br w:type="page"/>
              <w:t>指</w:t>
            </w:r>
            <w:r w:rsidRPr="005F7697">
              <w:rPr>
                <w:rFonts w:ascii="宋体" w:eastAsia="宋体" w:hAnsi="宋体" w:cs="宋体" w:hint="eastAsia"/>
                <w:color w:val="000000"/>
                <w:kern w:val="0"/>
                <w:sz w:val="20"/>
                <w:szCs w:val="20"/>
              </w:rPr>
              <w:br w:type="page"/>
              <w:t>标</w:t>
            </w:r>
            <w:r w:rsidRPr="005F7697">
              <w:rPr>
                <w:rFonts w:ascii="宋体" w:eastAsia="宋体" w:hAnsi="宋体" w:cs="宋体" w:hint="eastAsia"/>
                <w:color w:val="000000"/>
                <w:kern w:val="0"/>
                <w:sz w:val="20"/>
                <w:szCs w:val="20"/>
              </w:rPr>
              <w:br w:type="page"/>
              <w:t>（30分）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E99C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BD9D6A"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产业经营管理水平提升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4CC19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产业经济岗位对奶业宏微观信息的追踪和月报及相关研究报告的撰写，有利于奶农和乳品加工企业等号的了解奶业的国内外产业环境，优化自身产业经营管理决策，提高经营</w:t>
            </w:r>
            <w:r w:rsidRPr="005F7697">
              <w:rPr>
                <w:rFonts w:ascii="宋体" w:eastAsia="宋体" w:hAnsi="宋体" w:cs="宋体" w:hint="eastAsia"/>
                <w:color w:val="000000"/>
                <w:kern w:val="0"/>
                <w:sz w:val="20"/>
                <w:szCs w:val="20"/>
              </w:rPr>
              <w:lastRenderedPageBreak/>
              <w:t>管理效益，从而提升产业的经济效益；同时为奶业政府主管部门制定政策提供实证支撑，推进奶业的可持续与健康发展，其经济效益难计量。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ABFF78"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lastRenderedPageBreak/>
              <w:t>产业经济岗位对奶业宏微观信息的追踪和月报及相关研究报告的撰写，有利于奶农和乳品加工企业等号的了解奶业的国内外产业环境，优化自身产业经营管理决策，提高经营管理效益，从而提升产业的经济效</w:t>
            </w:r>
            <w:r w:rsidRPr="005F7697">
              <w:rPr>
                <w:rFonts w:ascii="宋体" w:eastAsia="宋体" w:hAnsi="宋体" w:cs="宋体" w:hint="eastAsia"/>
                <w:color w:val="000000"/>
                <w:kern w:val="0"/>
                <w:sz w:val="18"/>
                <w:szCs w:val="18"/>
              </w:rPr>
              <w:lastRenderedPageBreak/>
              <w:t>益；同时为奶业政府主管部门制定政策提供实证支撑，推进奶业的可持续与健康发展，其经济效益难计量。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74863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lastRenderedPageBreak/>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4DF43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99E2B10" w14:textId="5086A93A"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r w:rsidR="00091317" w:rsidRPr="008846A4">
              <w:rPr>
                <w:rFonts w:ascii="宋体" w:eastAsia="宋体" w:hAnsi="宋体" w:hint="eastAsia"/>
                <w:color w:val="000000"/>
                <w:sz w:val="20"/>
                <w:szCs w:val="20"/>
              </w:rPr>
              <w:t>基本完成效益指标</w:t>
            </w:r>
            <w:r w:rsidR="005E04B1" w:rsidRPr="00A016D0">
              <w:rPr>
                <w:rFonts w:ascii="宋体" w:eastAsia="宋体" w:hAnsi="宋体" w:cs="宋体" w:hint="eastAsia"/>
                <w:color w:val="000000"/>
                <w:kern w:val="0"/>
                <w:sz w:val="20"/>
                <w:szCs w:val="20"/>
              </w:rPr>
              <w:t>，效益发挥有待更进一步提升</w:t>
            </w:r>
            <w:r w:rsidR="005E04B1" w:rsidRPr="005A2DEB">
              <w:rPr>
                <w:rFonts w:ascii="宋体" w:eastAsia="宋体" w:hAnsi="宋体" w:cs="宋体" w:hint="eastAsia"/>
                <w:color w:val="000000"/>
                <w:kern w:val="0"/>
                <w:sz w:val="20"/>
                <w:szCs w:val="20"/>
              </w:rPr>
              <w:t xml:space="preserve">　</w:t>
            </w:r>
          </w:p>
        </w:tc>
      </w:tr>
      <w:tr w:rsidR="005F7697" w:rsidRPr="005F7697" w14:paraId="321F951C" w14:textId="77777777" w:rsidTr="00B32413">
        <w:trPr>
          <w:trHeight w:val="6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6EA00"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BAEF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3C63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391F2C"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政府决策支撑</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6DD55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为农业农村局、农业农村部奶业主管部门提供政策建议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9E5C46" w14:textId="77777777" w:rsidR="005F7697" w:rsidRPr="005F7697" w:rsidRDefault="005F7697" w:rsidP="005F7697">
            <w:pPr>
              <w:widowControl/>
              <w:jc w:val="center"/>
              <w:rPr>
                <w:rFonts w:ascii="宋体" w:eastAsia="宋体" w:hAnsi="宋体" w:cs="宋体"/>
                <w:color w:val="000000"/>
                <w:kern w:val="0"/>
                <w:sz w:val="18"/>
                <w:szCs w:val="18"/>
              </w:rPr>
            </w:pPr>
            <w:r w:rsidRPr="005F7697">
              <w:rPr>
                <w:rFonts w:ascii="宋体" w:eastAsia="宋体" w:hAnsi="宋体" w:cs="宋体" w:hint="eastAsia"/>
                <w:color w:val="000000"/>
                <w:kern w:val="0"/>
                <w:sz w:val="18"/>
                <w:szCs w:val="18"/>
              </w:rPr>
              <w:t>为农业农村局、农业农村部奶业主管部门提供政策建议</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46B1F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25FD9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97F424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267AA351" w14:textId="77777777" w:rsidTr="00B32413">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A826C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5087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3C64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5B7F4A"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经济效益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2F3BB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牧场经济效益提高5-10%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136CD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牧场经济效益提高5%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427FB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2B727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FD416C7" w14:textId="7E510703"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r w:rsidR="00091317" w:rsidRPr="008846A4">
              <w:rPr>
                <w:rFonts w:ascii="宋体" w:eastAsia="宋体" w:hAnsi="宋体" w:hint="eastAsia"/>
                <w:color w:val="000000"/>
                <w:sz w:val="20"/>
                <w:szCs w:val="20"/>
              </w:rPr>
              <w:t>基本完成效益指标</w:t>
            </w:r>
            <w:r w:rsidR="005E04B1" w:rsidRPr="00A016D0">
              <w:rPr>
                <w:rFonts w:ascii="宋体" w:eastAsia="宋体" w:hAnsi="宋体" w:cs="宋体" w:hint="eastAsia"/>
                <w:color w:val="000000"/>
                <w:kern w:val="0"/>
                <w:sz w:val="20"/>
                <w:szCs w:val="20"/>
              </w:rPr>
              <w:t>，效益发挥有待更进一步提升</w:t>
            </w:r>
            <w:r w:rsidR="005E04B1" w:rsidRPr="005A2DEB">
              <w:rPr>
                <w:rFonts w:ascii="宋体" w:eastAsia="宋体" w:hAnsi="宋体" w:cs="宋体" w:hint="eastAsia"/>
                <w:color w:val="000000"/>
                <w:kern w:val="0"/>
                <w:sz w:val="20"/>
                <w:szCs w:val="20"/>
              </w:rPr>
              <w:t xml:space="preserve">　</w:t>
            </w:r>
          </w:p>
        </w:tc>
      </w:tr>
      <w:tr w:rsidR="005F7697" w:rsidRPr="005F7697" w14:paraId="4A05D15F" w14:textId="77777777" w:rsidTr="00B32413">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D817CB"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15978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29BD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0053E2"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社会效益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9EBD0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产品质量和安全得到消费者的认可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C56FC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认可</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5F24A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0CF27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BBE2E5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6F956E1C" w14:textId="77777777" w:rsidTr="00B32413">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3E01D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9E7F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45ABA"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39584D"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生态效益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FD6DC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农业废弃物资源化利用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69ED3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资源化利用</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BD78F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D5B75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CE6DC1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2E93FAB6" w14:textId="77777777" w:rsidTr="00B32413">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E24C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5C2D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D0255F"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3665C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提高奶牛子宫内膜炎治愈率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EB934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5~10%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7EF58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1个疗程治愈率95%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9DD58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151FD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374455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2EBA77F0" w14:textId="77777777" w:rsidTr="00B3241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05DA20"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DFEC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4DE0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75BCE8"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降低抗生素使用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DCE38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1~2疗程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11845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1个疗程治愈率95%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0DDBD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B7745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6F7E28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718366BC" w14:textId="77777777" w:rsidTr="00B3241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807AE"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6B81B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C2BB7"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05C3F9"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减少奶牛淘汰率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3C260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3~5%左右</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8B216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0.03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8C230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27FA5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BBA3B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3C3A41EA" w14:textId="77777777" w:rsidTr="00B3241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0933A9"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FC61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E54B0"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73CDF6"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平均节约规模化奶牛养殖成本</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B1310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60~80元/头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B2D18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2000头牛累计节约成本13万元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1C144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4306D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B6B3E1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4DB24B34" w14:textId="77777777" w:rsidTr="00B32413">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790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23B1C"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284E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2162B1"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提高隐性子宫内膜炎治愈率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D3F2F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1C152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1个疗程治愈率95%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64D1A3"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CB2AE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13A1E8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56FC6E1D" w14:textId="77777777" w:rsidTr="00B32413">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FBF723"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4CD1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D8B6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58EAC4"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提高饲料利用率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335BF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提高利用率5%以上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5ACDE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提高利用率5%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999D8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3C83D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69A42A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2D1D3AB1" w14:textId="77777777" w:rsidTr="00B32413">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94021"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BDF38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353F9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D555C1"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提高牛奶质量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47950C"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提高牛奶活性成分3%以上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2DAF3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提高牛奶活性成分3%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A7EA9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DF54E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CC92F02"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3B71B11B" w14:textId="77777777" w:rsidTr="00B32413">
        <w:trPr>
          <w:trHeight w:val="10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15F6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60116"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4567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66439D"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促进示范基地增收额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3CA7F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经济效益方面：采用好氧发酵牛粪生产园艺基质或有机肥技术可以给示范基地带来的实际收入增收240万元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05797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采用好氧发酵牛粪生产园艺基质或有机肥技术可以给示范基地带来的实际收入增收290万元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119AED"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71680F"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5B2123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17B59BF7" w14:textId="77777777" w:rsidTr="00B32413">
        <w:trPr>
          <w:trHeight w:val="6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42C95"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F067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75E12"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A0886A"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带动就业人数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9E4D55"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社会效益方面：带动当地50名农民就业</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09956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带动当地118名农民就业</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B5CDB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0AC09"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9F4999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2AF78C58" w14:textId="77777777" w:rsidTr="00B32413">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CFF3D"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489CF4"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A15A8"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DD9FC7"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奶牛场臭味降低率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4775A7"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生态效益方面：本项目的实施可以给延庆区和密云区当地奶牛场去除恶臭气体80%以上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7951C6"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本项目的实施可以给延庆区和密云区当地奶牛场去除恶臭气体90%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42E50E"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5A38E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E45E890"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p>
        </w:tc>
      </w:tr>
      <w:tr w:rsidR="005F7697" w:rsidRPr="005F7697" w14:paraId="16DFEE62" w14:textId="77777777" w:rsidTr="00B32413">
        <w:trPr>
          <w:trHeight w:val="8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FD000" w14:textId="77777777" w:rsidR="005F7697" w:rsidRPr="005F7697" w:rsidRDefault="005F7697" w:rsidP="005F7697">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6B8D81"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20714A"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A72582" w14:textId="77777777" w:rsidR="005F7697" w:rsidRPr="005F7697" w:rsidRDefault="005F7697" w:rsidP="005F7697">
            <w:pPr>
              <w:widowControl/>
              <w:jc w:val="left"/>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指标1：奶农、乳品加工企业</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56CF5B"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效果满意度95%以上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5DBBE4"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FDC78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DCA4F8" w14:textId="77777777"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FB17B9C" w14:textId="78B96772" w:rsidR="005F7697" w:rsidRPr="005F7697" w:rsidRDefault="005F7697" w:rsidP="005F7697">
            <w:pPr>
              <w:widowControl/>
              <w:jc w:val="center"/>
              <w:rPr>
                <w:rFonts w:ascii="宋体" w:eastAsia="宋体" w:hAnsi="宋体" w:cs="宋体"/>
                <w:color w:val="000000"/>
                <w:kern w:val="0"/>
                <w:sz w:val="20"/>
                <w:szCs w:val="20"/>
              </w:rPr>
            </w:pPr>
            <w:r w:rsidRPr="005F7697">
              <w:rPr>
                <w:rFonts w:ascii="宋体" w:eastAsia="宋体" w:hAnsi="宋体" w:cs="宋体" w:hint="eastAsia"/>
                <w:color w:val="000000"/>
                <w:kern w:val="0"/>
                <w:sz w:val="20"/>
                <w:szCs w:val="20"/>
              </w:rPr>
              <w:t xml:space="preserve">　</w:t>
            </w:r>
            <w:r w:rsidR="00091317" w:rsidRPr="008846A4">
              <w:rPr>
                <w:rFonts w:ascii="宋体" w:eastAsia="宋体" w:hAnsi="宋体" w:hint="eastAsia"/>
                <w:color w:val="000000"/>
                <w:sz w:val="20"/>
                <w:szCs w:val="20"/>
              </w:rPr>
              <w:t>基本完成满意度指标</w:t>
            </w:r>
            <w:r w:rsidR="005E04B1" w:rsidRPr="00A016D0">
              <w:rPr>
                <w:rFonts w:ascii="宋体" w:eastAsia="宋体" w:hAnsi="宋体" w:cs="宋体" w:hint="eastAsia"/>
                <w:color w:val="000000"/>
                <w:kern w:val="0"/>
                <w:sz w:val="20"/>
                <w:szCs w:val="20"/>
              </w:rPr>
              <w:t>，但满意度调查资料有待进一步</w:t>
            </w:r>
            <w:proofErr w:type="gramStart"/>
            <w:r w:rsidR="005E04B1" w:rsidRPr="00A016D0">
              <w:rPr>
                <w:rFonts w:ascii="宋体" w:eastAsia="宋体" w:hAnsi="宋体" w:cs="宋体" w:hint="eastAsia"/>
                <w:color w:val="000000"/>
                <w:kern w:val="0"/>
                <w:sz w:val="20"/>
                <w:szCs w:val="20"/>
              </w:rPr>
              <w:t>完善</w:t>
            </w:r>
            <w:r w:rsidR="005E04B1" w:rsidRPr="005A2DEB">
              <w:rPr>
                <w:rFonts w:ascii="宋体" w:eastAsia="宋体" w:hAnsi="宋体" w:cs="宋体" w:hint="eastAsia"/>
                <w:color w:val="000000"/>
                <w:kern w:val="0"/>
                <w:sz w:val="20"/>
                <w:szCs w:val="20"/>
              </w:rPr>
              <w:t xml:space="preserve">　</w:t>
            </w:r>
            <w:proofErr w:type="gramEnd"/>
          </w:p>
        </w:tc>
      </w:tr>
      <w:tr w:rsidR="005F7697" w:rsidRPr="005F7697" w14:paraId="56245433" w14:textId="77777777" w:rsidTr="00B32413">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8EFDB" w14:textId="77777777" w:rsidR="005F7697" w:rsidRPr="005F7697" w:rsidRDefault="005F7697" w:rsidP="005F7697">
            <w:pPr>
              <w:widowControl/>
              <w:jc w:val="center"/>
              <w:rPr>
                <w:rFonts w:ascii="宋体" w:eastAsia="宋体" w:hAnsi="宋体" w:cs="宋体"/>
                <w:b/>
                <w:bCs/>
                <w:color w:val="000000"/>
                <w:kern w:val="0"/>
                <w:sz w:val="20"/>
                <w:szCs w:val="20"/>
              </w:rPr>
            </w:pPr>
            <w:r w:rsidRPr="005F7697">
              <w:rPr>
                <w:rFonts w:ascii="宋体" w:eastAsia="宋体" w:hAnsi="宋体" w:cs="宋体" w:hint="eastAsia"/>
                <w:b/>
                <w:bCs/>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A67E9F" w14:textId="77777777" w:rsidR="005F7697" w:rsidRPr="005F7697" w:rsidRDefault="005F7697" w:rsidP="005F7697">
            <w:pPr>
              <w:widowControl/>
              <w:jc w:val="center"/>
              <w:rPr>
                <w:rFonts w:ascii="宋体" w:eastAsia="宋体" w:hAnsi="宋体" w:cs="宋体"/>
                <w:b/>
                <w:bCs/>
                <w:color w:val="000000"/>
                <w:kern w:val="0"/>
                <w:sz w:val="20"/>
                <w:szCs w:val="20"/>
              </w:rPr>
            </w:pPr>
            <w:r w:rsidRPr="005F7697">
              <w:rPr>
                <w:rFonts w:ascii="宋体" w:eastAsia="宋体" w:hAnsi="宋体" w:cs="宋体" w:hint="eastAsia"/>
                <w:b/>
                <w:bCs/>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548057" w14:textId="77777777" w:rsidR="005F7697" w:rsidRPr="005F7697" w:rsidRDefault="005F7697" w:rsidP="005F7697">
            <w:pPr>
              <w:widowControl/>
              <w:jc w:val="center"/>
              <w:rPr>
                <w:rFonts w:ascii="宋体" w:eastAsia="宋体" w:hAnsi="宋体" w:cs="宋体"/>
                <w:b/>
                <w:bCs/>
                <w:color w:val="000000"/>
                <w:kern w:val="0"/>
                <w:sz w:val="20"/>
                <w:szCs w:val="20"/>
              </w:rPr>
            </w:pPr>
            <w:r w:rsidRPr="005F7697">
              <w:rPr>
                <w:rFonts w:ascii="宋体" w:eastAsia="宋体" w:hAnsi="宋体" w:cs="宋体" w:hint="eastAsia"/>
                <w:b/>
                <w:bCs/>
                <w:color w:val="000000"/>
                <w:kern w:val="0"/>
                <w:sz w:val="20"/>
                <w:szCs w:val="20"/>
              </w:rPr>
              <w:t>90</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CCC56A2" w14:textId="77777777" w:rsidR="005F7697" w:rsidRPr="005F7697" w:rsidRDefault="005F7697" w:rsidP="005F7697">
            <w:pPr>
              <w:widowControl/>
              <w:jc w:val="center"/>
              <w:rPr>
                <w:rFonts w:ascii="宋体" w:eastAsia="宋体" w:hAnsi="宋体" w:cs="宋体"/>
                <w:b/>
                <w:bCs/>
                <w:color w:val="000000"/>
                <w:kern w:val="0"/>
                <w:sz w:val="20"/>
                <w:szCs w:val="20"/>
              </w:rPr>
            </w:pPr>
            <w:r w:rsidRPr="005F7697">
              <w:rPr>
                <w:rFonts w:ascii="宋体" w:eastAsia="宋体" w:hAnsi="宋体" w:cs="宋体" w:hint="eastAsia"/>
                <w:b/>
                <w:bCs/>
                <w:color w:val="000000"/>
                <w:kern w:val="0"/>
                <w:sz w:val="20"/>
                <w:szCs w:val="20"/>
              </w:rPr>
              <w:t xml:space="preserve">　</w:t>
            </w:r>
          </w:p>
        </w:tc>
      </w:tr>
    </w:tbl>
    <w:p w14:paraId="457E6EE1" w14:textId="77777777" w:rsidR="00762F94" w:rsidRPr="00B57761" w:rsidRDefault="00762F94" w:rsidP="00B57761"/>
    <w:sectPr w:rsidR="00762F94" w:rsidRPr="00B57761"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95558" w14:textId="77777777" w:rsidR="002270CA" w:rsidRDefault="002270CA" w:rsidP="00976343">
      <w:r>
        <w:separator/>
      </w:r>
    </w:p>
  </w:endnote>
  <w:endnote w:type="continuationSeparator" w:id="0">
    <w:p w14:paraId="1D999CA4" w14:textId="77777777" w:rsidR="002270CA" w:rsidRDefault="002270CA"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3C853" w14:textId="77777777" w:rsidR="002270CA" w:rsidRDefault="002270CA" w:rsidP="00976343">
      <w:r>
        <w:separator/>
      </w:r>
    </w:p>
  </w:footnote>
  <w:footnote w:type="continuationSeparator" w:id="0">
    <w:p w14:paraId="59E2794A" w14:textId="77777777" w:rsidR="002270CA" w:rsidRDefault="002270CA"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4796"/>
    <w:rsid w:val="000154F6"/>
    <w:rsid w:val="00091317"/>
    <w:rsid w:val="000E678F"/>
    <w:rsid w:val="00166C74"/>
    <w:rsid w:val="002270CA"/>
    <w:rsid w:val="00291647"/>
    <w:rsid w:val="002F5A17"/>
    <w:rsid w:val="003533F2"/>
    <w:rsid w:val="004338FA"/>
    <w:rsid w:val="00442A3B"/>
    <w:rsid w:val="0046097F"/>
    <w:rsid w:val="004D0032"/>
    <w:rsid w:val="005755D6"/>
    <w:rsid w:val="005E04B1"/>
    <w:rsid w:val="005F7697"/>
    <w:rsid w:val="00655F29"/>
    <w:rsid w:val="006C6794"/>
    <w:rsid w:val="0076149A"/>
    <w:rsid w:val="00762F94"/>
    <w:rsid w:val="007B5553"/>
    <w:rsid w:val="00886923"/>
    <w:rsid w:val="00897137"/>
    <w:rsid w:val="008A0BF2"/>
    <w:rsid w:val="008A6719"/>
    <w:rsid w:val="008C5EFA"/>
    <w:rsid w:val="00976343"/>
    <w:rsid w:val="009C7533"/>
    <w:rsid w:val="009E5A42"/>
    <w:rsid w:val="009F74AA"/>
    <w:rsid w:val="00A01F57"/>
    <w:rsid w:val="00A3066B"/>
    <w:rsid w:val="00B052AE"/>
    <w:rsid w:val="00B060B6"/>
    <w:rsid w:val="00B32413"/>
    <w:rsid w:val="00B57761"/>
    <w:rsid w:val="00BD5CC8"/>
    <w:rsid w:val="00C7338B"/>
    <w:rsid w:val="00D539E1"/>
    <w:rsid w:val="00D56E37"/>
    <w:rsid w:val="00D6297D"/>
    <w:rsid w:val="00D81713"/>
    <w:rsid w:val="00DB52EC"/>
    <w:rsid w:val="00DD4C8A"/>
    <w:rsid w:val="00E07793"/>
    <w:rsid w:val="00E24268"/>
    <w:rsid w:val="00E53A78"/>
    <w:rsid w:val="00E94DB2"/>
    <w:rsid w:val="00EB5CBF"/>
    <w:rsid w:val="00F0348E"/>
    <w:rsid w:val="00F32BB9"/>
    <w:rsid w:val="00F70400"/>
    <w:rsid w:val="00FD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59872">
      <w:bodyDiv w:val="1"/>
      <w:marLeft w:val="0"/>
      <w:marRight w:val="0"/>
      <w:marTop w:val="0"/>
      <w:marBottom w:val="0"/>
      <w:divBdr>
        <w:top w:val="none" w:sz="0" w:space="0" w:color="auto"/>
        <w:left w:val="none" w:sz="0" w:space="0" w:color="auto"/>
        <w:bottom w:val="none" w:sz="0" w:space="0" w:color="auto"/>
        <w:right w:val="none" w:sz="0" w:space="0" w:color="auto"/>
      </w:divBdr>
    </w:div>
    <w:div w:id="406535515">
      <w:bodyDiv w:val="1"/>
      <w:marLeft w:val="0"/>
      <w:marRight w:val="0"/>
      <w:marTop w:val="0"/>
      <w:marBottom w:val="0"/>
      <w:divBdr>
        <w:top w:val="none" w:sz="0" w:space="0" w:color="auto"/>
        <w:left w:val="none" w:sz="0" w:space="0" w:color="auto"/>
        <w:bottom w:val="none" w:sz="0" w:space="0" w:color="auto"/>
        <w:right w:val="none" w:sz="0" w:space="0" w:color="auto"/>
      </w:divBdr>
    </w:div>
    <w:div w:id="434522784">
      <w:bodyDiv w:val="1"/>
      <w:marLeft w:val="0"/>
      <w:marRight w:val="0"/>
      <w:marTop w:val="0"/>
      <w:marBottom w:val="0"/>
      <w:divBdr>
        <w:top w:val="none" w:sz="0" w:space="0" w:color="auto"/>
        <w:left w:val="none" w:sz="0" w:space="0" w:color="auto"/>
        <w:bottom w:val="none" w:sz="0" w:space="0" w:color="auto"/>
        <w:right w:val="none" w:sz="0" w:space="0" w:color="auto"/>
      </w:divBdr>
    </w:div>
    <w:div w:id="536939992">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36769098">
      <w:bodyDiv w:val="1"/>
      <w:marLeft w:val="0"/>
      <w:marRight w:val="0"/>
      <w:marTop w:val="0"/>
      <w:marBottom w:val="0"/>
      <w:divBdr>
        <w:top w:val="none" w:sz="0" w:space="0" w:color="auto"/>
        <w:left w:val="none" w:sz="0" w:space="0" w:color="auto"/>
        <w:bottom w:val="none" w:sz="0" w:space="0" w:color="auto"/>
        <w:right w:val="none" w:sz="0" w:space="0" w:color="auto"/>
      </w:divBdr>
    </w:div>
    <w:div w:id="887034966">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2979537">
      <w:bodyDiv w:val="1"/>
      <w:marLeft w:val="0"/>
      <w:marRight w:val="0"/>
      <w:marTop w:val="0"/>
      <w:marBottom w:val="0"/>
      <w:divBdr>
        <w:top w:val="none" w:sz="0" w:space="0" w:color="auto"/>
        <w:left w:val="none" w:sz="0" w:space="0" w:color="auto"/>
        <w:bottom w:val="none" w:sz="0" w:space="0" w:color="auto"/>
        <w:right w:val="none" w:sz="0" w:space="0" w:color="auto"/>
      </w:divBdr>
    </w:div>
    <w:div w:id="933437006">
      <w:bodyDiv w:val="1"/>
      <w:marLeft w:val="0"/>
      <w:marRight w:val="0"/>
      <w:marTop w:val="0"/>
      <w:marBottom w:val="0"/>
      <w:divBdr>
        <w:top w:val="none" w:sz="0" w:space="0" w:color="auto"/>
        <w:left w:val="none" w:sz="0" w:space="0" w:color="auto"/>
        <w:bottom w:val="none" w:sz="0" w:space="0" w:color="auto"/>
        <w:right w:val="none" w:sz="0" w:space="0" w:color="auto"/>
      </w:divBdr>
    </w:div>
    <w:div w:id="940919279">
      <w:bodyDiv w:val="1"/>
      <w:marLeft w:val="0"/>
      <w:marRight w:val="0"/>
      <w:marTop w:val="0"/>
      <w:marBottom w:val="0"/>
      <w:divBdr>
        <w:top w:val="none" w:sz="0" w:space="0" w:color="auto"/>
        <w:left w:val="none" w:sz="0" w:space="0" w:color="auto"/>
        <w:bottom w:val="none" w:sz="0" w:space="0" w:color="auto"/>
        <w:right w:val="none" w:sz="0" w:space="0" w:color="auto"/>
      </w:divBdr>
    </w:div>
    <w:div w:id="1112243270">
      <w:bodyDiv w:val="1"/>
      <w:marLeft w:val="0"/>
      <w:marRight w:val="0"/>
      <w:marTop w:val="0"/>
      <w:marBottom w:val="0"/>
      <w:divBdr>
        <w:top w:val="none" w:sz="0" w:space="0" w:color="auto"/>
        <w:left w:val="none" w:sz="0" w:space="0" w:color="auto"/>
        <w:bottom w:val="none" w:sz="0" w:space="0" w:color="auto"/>
        <w:right w:val="none" w:sz="0" w:space="0" w:color="auto"/>
      </w:divBdr>
    </w:div>
    <w:div w:id="1257399837">
      <w:bodyDiv w:val="1"/>
      <w:marLeft w:val="0"/>
      <w:marRight w:val="0"/>
      <w:marTop w:val="0"/>
      <w:marBottom w:val="0"/>
      <w:divBdr>
        <w:top w:val="none" w:sz="0" w:space="0" w:color="auto"/>
        <w:left w:val="none" w:sz="0" w:space="0" w:color="auto"/>
        <w:bottom w:val="none" w:sz="0" w:space="0" w:color="auto"/>
        <w:right w:val="none" w:sz="0" w:space="0" w:color="auto"/>
      </w:divBdr>
    </w:div>
    <w:div w:id="1307006626">
      <w:bodyDiv w:val="1"/>
      <w:marLeft w:val="0"/>
      <w:marRight w:val="0"/>
      <w:marTop w:val="0"/>
      <w:marBottom w:val="0"/>
      <w:divBdr>
        <w:top w:val="none" w:sz="0" w:space="0" w:color="auto"/>
        <w:left w:val="none" w:sz="0" w:space="0" w:color="auto"/>
        <w:bottom w:val="none" w:sz="0" w:space="0" w:color="auto"/>
        <w:right w:val="none" w:sz="0" w:space="0" w:color="auto"/>
      </w:divBdr>
    </w:div>
    <w:div w:id="1373731285">
      <w:bodyDiv w:val="1"/>
      <w:marLeft w:val="0"/>
      <w:marRight w:val="0"/>
      <w:marTop w:val="0"/>
      <w:marBottom w:val="0"/>
      <w:divBdr>
        <w:top w:val="none" w:sz="0" w:space="0" w:color="auto"/>
        <w:left w:val="none" w:sz="0" w:space="0" w:color="auto"/>
        <w:bottom w:val="none" w:sz="0" w:space="0" w:color="auto"/>
        <w:right w:val="none" w:sz="0" w:space="0" w:color="auto"/>
      </w:divBdr>
    </w:div>
    <w:div w:id="1445273854">
      <w:bodyDiv w:val="1"/>
      <w:marLeft w:val="0"/>
      <w:marRight w:val="0"/>
      <w:marTop w:val="0"/>
      <w:marBottom w:val="0"/>
      <w:divBdr>
        <w:top w:val="none" w:sz="0" w:space="0" w:color="auto"/>
        <w:left w:val="none" w:sz="0" w:space="0" w:color="auto"/>
        <w:bottom w:val="none" w:sz="0" w:space="0" w:color="auto"/>
        <w:right w:val="none" w:sz="0" w:space="0" w:color="auto"/>
      </w:divBdr>
    </w:div>
    <w:div w:id="1461221661">
      <w:bodyDiv w:val="1"/>
      <w:marLeft w:val="0"/>
      <w:marRight w:val="0"/>
      <w:marTop w:val="0"/>
      <w:marBottom w:val="0"/>
      <w:divBdr>
        <w:top w:val="none" w:sz="0" w:space="0" w:color="auto"/>
        <w:left w:val="none" w:sz="0" w:space="0" w:color="auto"/>
        <w:bottom w:val="none" w:sz="0" w:space="0" w:color="auto"/>
        <w:right w:val="none" w:sz="0" w:space="0" w:color="auto"/>
      </w:divBdr>
    </w:div>
    <w:div w:id="1667398700">
      <w:bodyDiv w:val="1"/>
      <w:marLeft w:val="0"/>
      <w:marRight w:val="0"/>
      <w:marTop w:val="0"/>
      <w:marBottom w:val="0"/>
      <w:divBdr>
        <w:top w:val="none" w:sz="0" w:space="0" w:color="auto"/>
        <w:left w:val="none" w:sz="0" w:space="0" w:color="auto"/>
        <w:bottom w:val="none" w:sz="0" w:space="0" w:color="auto"/>
        <w:right w:val="none" w:sz="0" w:space="0" w:color="auto"/>
      </w:divBdr>
    </w:div>
    <w:div w:id="1668441203">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29050736">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23974162">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920</Words>
  <Characters>5245</Characters>
  <Application>Microsoft Office Word</Application>
  <DocSecurity>0</DocSecurity>
  <Lines>43</Lines>
  <Paragraphs>12</Paragraphs>
  <ScaleCrop>false</ScaleCrop>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32</cp:revision>
  <dcterms:created xsi:type="dcterms:W3CDTF">2021-05-21T04:35:00Z</dcterms:created>
  <dcterms:modified xsi:type="dcterms:W3CDTF">2022-05-15T05:44:00Z</dcterms:modified>
</cp:coreProperties>
</file>