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4"/>
        <w:tblW w:w="5000" w:type="pct"/>
        <w:tblInd w:w="0" w:type="dxa"/>
        <w:tblLayout w:type="autofit"/>
        <w:tblCellMar>
          <w:top w:w="0" w:type="dxa"/>
          <w:left w:w="108" w:type="dxa"/>
          <w:bottom w:w="0" w:type="dxa"/>
          <w:right w:w="108" w:type="dxa"/>
        </w:tblCellMar>
      </w:tblPr>
      <w:tblGrid>
        <w:gridCol w:w="464"/>
        <w:gridCol w:w="534"/>
        <w:gridCol w:w="852"/>
        <w:gridCol w:w="852"/>
        <w:gridCol w:w="943"/>
        <w:gridCol w:w="1011"/>
        <w:gridCol w:w="1011"/>
        <w:gridCol w:w="1011"/>
        <w:gridCol w:w="615"/>
        <w:gridCol w:w="694"/>
        <w:gridCol w:w="535"/>
      </w:tblGrid>
      <w:tr>
        <w:tblPrEx>
          <w:tblCellMar>
            <w:top w:w="0" w:type="dxa"/>
            <w:left w:w="108" w:type="dxa"/>
            <w:bottom w:w="0" w:type="dxa"/>
            <w:right w:w="108" w:type="dxa"/>
          </w:tblCellMar>
        </w:tblPrEx>
        <w:trPr>
          <w:trHeight w:val="20" w:hRule="atLeast"/>
        </w:trPr>
        <w:tc>
          <w:tcPr>
            <w:tcW w:w="5000" w:type="pct"/>
            <w:gridSpan w:val="11"/>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项目支出绩效自评表</w:t>
            </w:r>
          </w:p>
        </w:tc>
      </w:tr>
      <w:tr>
        <w:tblPrEx>
          <w:tblCellMar>
            <w:top w:w="0" w:type="dxa"/>
            <w:left w:w="108" w:type="dxa"/>
            <w:bottom w:w="0" w:type="dxa"/>
            <w:right w:w="108" w:type="dxa"/>
          </w:tblCellMar>
        </w:tblPrEx>
        <w:trPr>
          <w:trHeight w:val="20" w:hRule="atLeast"/>
        </w:trPr>
        <w:tc>
          <w:tcPr>
            <w:tcW w:w="5000" w:type="pct"/>
            <w:gridSpan w:val="11"/>
            <w:tcBorders>
              <w:top w:val="nil"/>
              <w:left w:val="nil"/>
              <w:bottom w:val="nil"/>
              <w:right w:val="nil"/>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（2021年度）</w:t>
            </w:r>
          </w:p>
        </w:tc>
      </w:tr>
      <w:tr>
        <w:tblPrEx>
          <w:tblCellMar>
            <w:top w:w="0" w:type="dxa"/>
            <w:left w:w="108" w:type="dxa"/>
            <w:bottom w:w="0" w:type="dxa"/>
            <w:right w:w="108" w:type="dxa"/>
          </w:tblCellMar>
        </w:tblPrEx>
        <w:trPr>
          <w:trHeight w:val="20" w:hRule="atLeast"/>
        </w:trPr>
        <w:tc>
          <w:tcPr>
            <w:tcW w:w="273" w:type="pct"/>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2"/>
              </w:rPr>
            </w:pPr>
          </w:p>
        </w:tc>
        <w:tc>
          <w:tcPr>
            <w:tcW w:w="311" w:type="pct"/>
            <w:tcBorders>
              <w:top w:val="nil"/>
              <w:left w:val="nil"/>
              <w:bottom w:val="single" w:color="auto" w:sz="4" w:space="0"/>
              <w:right w:val="nil"/>
            </w:tcBorders>
            <w:shd w:val="clear" w:color="auto" w:fill="auto"/>
            <w:vAlign w:val="center"/>
          </w:tcPr>
          <w:p>
            <w:pPr>
              <w:widowControl/>
              <w:jc w:val="left"/>
              <w:rPr>
                <w:rFonts w:ascii="宋体" w:hAnsi="宋体" w:eastAsia="宋体" w:cs="Times New Roman"/>
                <w:kern w:val="0"/>
                <w:sz w:val="20"/>
                <w:szCs w:val="20"/>
              </w:rPr>
            </w:pPr>
          </w:p>
        </w:tc>
        <w:tc>
          <w:tcPr>
            <w:tcW w:w="491" w:type="pct"/>
            <w:tcBorders>
              <w:top w:val="nil"/>
              <w:left w:val="nil"/>
              <w:bottom w:val="single" w:color="auto" w:sz="4" w:space="0"/>
              <w:right w:val="nil"/>
            </w:tcBorders>
            <w:shd w:val="clear" w:color="auto" w:fill="auto"/>
            <w:vAlign w:val="center"/>
          </w:tcPr>
          <w:p>
            <w:pPr>
              <w:widowControl/>
              <w:jc w:val="center"/>
              <w:rPr>
                <w:rFonts w:ascii="宋体" w:hAnsi="宋体" w:eastAsia="宋体" w:cs="Times New Roman"/>
                <w:kern w:val="0"/>
                <w:sz w:val="20"/>
                <w:szCs w:val="20"/>
              </w:rPr>
            </w:pPr>
          </w:p>
        </w:tc>
        <w:tc>
          <w:tcPr>
            <w:tcW w:w="491" w:type="pct"/>
            <w:tcBorders>
              <w:top w:val="nil"/>
              <w:left w:val="nil"/>
              <w:bottom w:val="single" w:color="auto" w:sz="4" w:space="0"/>
              <w:right w:val="nil"/>
            </w:tcBorders>
            <w:shd w:val="clear" w:color="auto" w:fill="auto"/>
            <w:vAlign w:val="center"/>
          </w:tcPr>
          <w:p>
            <w:pPr>
              <w:widowControl/>
              <w:jc w:val="left"/>
              <w:rPr>
                <w:rFonts w:ascii="宋体" w:hAnsi="宋体" w:eastAsia="宋体" w:cs="Times New Roman"/>
                <w:kern w:val="0"/>
                <w:sz w:val="20"/>
                <w:szCs w:val="20"/>
              </w:rPr>
            </w:pPr>
          </w:p>
        </w:tc>
        <w:tc>
          <w:tcPr>
            <w:tcW w:w="626" w:type="pct"/>
            <w:tcBorders>
              <w:top w:val="nil"/>
              <w:left w:val="nil"/>
              <w:bottom w:val="single" w:color="auto" w:sz="4" w:space="0"/>
              <w:right w:val="nil"/>
            </w:tcBorders>
            <w:shd w:val="clear" w:color="auto" w:fill="auto"/>
            <w:vAlign w:val="center"/>
          </w:tcPr>
          <w:p>
            <w:pPr>
              <w:widowControl/>
              <w:jc w:val="left"/>
              <w:rPr>
                <w:rFonts w:ascii="宋体" w:hAnsi="宋体" w:eastAsia="宋体" w:cs="Times New Roman"/>
                <w:kern w:val="0"/>
                <w:sz w:val="20"/>
                <w:szCs w:val="20"/>
              </w:rPr>
            </w:pPr>
          </w:p>
        </w:tc>
        <w:tc>
          <w:tcPr>
            <w:tcW w:w="581" w:type="pct"/>
            <w:tcBorders>
              <w:top w:val="nil"/>
              <w:left w:val="nil"/>
              <w:bottom w:val="single" w:color="auto" w:sz="4" w:space="0"/>
              <w:right w:val="nil"/>
            </w:tcBorders>
            <w:shd w:val="clear" w:color="auto" w:fill="auto"/>
            <w:vAlign w:val="center"/>
          </w:tcPr>
          <w:p>
            <w:pPr>
              <w:widowControl/>
              <w:jc w:val="left"/>
              <w:rPr>
                <w:rFonts w:ascii="宋体" w:hAnsi="宋体" w:eastAsia="宋体" w:cs="Times New Roman"/>
                <w:kern w:val="0"/>
                <w:sz w:val="20"/>
                <w:szCs w:val="20"/>
              </w:rPr>
            </w:pPr>
          </w:p>
        </w:tc>
        <w:tc>
          <w:tcPr>
            <w:tcW w:w="581" w:type="pct"/>
            <w:tcBorders>
              <w:top w:val="nil"/>
              <w:left w:val="nil"/>
              <w:bottom w:val="single" w:color="auto" w:sz="4" w:space="0"/>
              <w:right w:val="nil"/>
            </w:tcBorders>
            <w:shd w:val="clear" w:color="auto" w:fill="auto"/>
            <w:vAlign w:val="center"/>
          </w:tcPr>
          <w:p>
            <w:pPr>
              <w:widowControl/>
              <w:jc w:val="left"/>
              <w:rPr>
                <w:rFonts w:ascii="宋体" w:hAnsi="宋体" w:eastAsia="宋体" w:cs="Times New Roman"/>
                <w:kern w:val="0"/>
                <w:sz w:val="20"/>
                <w:szCs w:val="20"/>
              </w:rPr>
            </w:pPr>
          </w:p>
        </w:tc>
        <w:tc>
          <w:tcPr>
            <w:tcW w:w="581" w:type="pct"/>
            <w:tcBorders>
              <w:top w:val="nil"/>
              <w:left w:val="nil"/>
              <w:bottom w:val="single" w:color="auto" w:sz="4" w:space="0"/>
              <w:right w:val="nil"/>
            </w:tcBorders>
            <w:shd w:val="clear" w:color="auto" w:fill="auto"/>
            <w:vAlign w:val="center"/>
          </w:tcPr>
          <w:p>
            <w:pPr>
              <w:widowControl/>
              <w:jc w:val="left"/>
              <w:rPr>
                <w:rFonts w:ascii="宋体" w:hAnsi="宋体" w:eastAsia="宋体" w:cs="Times New Roman"/>
                <w:kern w:val="0"/>
                <w:sz w:val="20"/>
                <w:szCs w:val="20"/>
              </w:rPr>
            </w:pPr>
          </w:p>
        </w:tc>
        <w:tc>
          <w:tcPr>
            <w:tcW w:w="355" w:type="pct"/>
            <w:tcBorders>
              <w:top w:val="nil"/>
              <w:left w:val="nil"/>
              <w:bottom w:val="single" w:color="auto" w:sz="4" w:space="0"/>
              <w:right w:val="nil"/>
            </w:tcBorders>
            <w:shd w:val="clear" w:color="auto" w:fill="auto"/>
            <w:vAlign w:val="center"/>
          </w:tcPr>
          <w:p>
            <w:pPr>
              <w:widowControl/>
              <w:jc w:val="left"/>
              <w:rPr>
                <w:rFonts w:ascii="宋体" w:hAnsi="宋体" w:eastAsia="宋体" w:cs="Times New Roman"/>
                <w:kern w:val="0"/>
                <w:sz w:val="20"/>
                <w:szCs w:val="20"/>
              </w:rPr>
            </w:pPr>
          </w:p>
        </w:tc>
        <w:tc>
          <w:tcPr>
            <w:tcW w:w="400" w:type="pct"/>
            <w:tcBorders>
              <w:top w:val="nil"/>
              <w:left w:val="nil"/>
              <w:bottom w:val="single" w:color="auto" w:sz="4" w:space="0"/>
              <w:right w:val="nil"/>
            </w:tcBorders>
            <w:shd w:val="clear" w:color="auto" w:fill="auto"/>
            <w:vAlign w:val="center"/>
          </w:tcPr>
          <w:p>
            <w:pPr>
              <w:widowControl/>
              <w:jc w:val="left"/>
              <w:rPr>
                <w:rFonts w:ascii="宋体" w:hAnsi="宋体" w:eastAsia="宋体" w:cs="Times New Roman"/>
                <w:kern w:val="0"/>
                <w:sz w:val="20"/>
                <w:szCs w:val="20"/>
              </w:rPr>
            </w:pPr>
          </w:p>
        </w:tc>
        <w:tc>
          <w:tcPr>
            <w:tcW w:w="311" w:type="pct"/>
            <w:tcBorders>
              <w:top w:val="nil"/>
              <w:left w:val="nil"/>
              <w:bottom w:val="single" w:color="auto" w:sz="4" w:space="0"/>
              <w:right w:val="nil"/>
            </w:tcBorders>
            <w:shd w:val="clear" w:color="auto" w:fill="auto"/>
            <w:vAlign w:val="center"/>
          </w:tcPr>
          <w:p>
            <w:pPr>
              <w:widowControl/>
              <w:jc w:val="left"/>
              <w:rPr>
                <w:rFonts w:ascii="宋体" w:hAnsi="宋体" w:eastAsia="宋体" w:cs="Times New Roman"/>
                <w:kern w:val="0"/>
                <w:sz w:val="20"/>
                <w:szCs w:val="20"/>
              </w:rPr>
            </w:pPr>
          </w:p>
        </w:tc>
      </w:tr>
      <w:tr>
        <w:tblPrEx>
          <w:tblCellMar>
            <w:top w:w="0" w:type="dxa"/>
            <w:left w:w="108" w:type="dxa"/>
            <w:bottom w:w="0" w:type="dxa"/>
            <w:right w:w="108" w:type="dxa"/>
          </w:tblCellMar>
        </w:tblPrEx>
        <w:trPr>
          <w:trHeight w:val="20" w:hRule="atLeast"/>
        </w:trPr>
        <w:tc>
          <w:tcPr>
            <w:tcW w:w="107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项目名称</w:t>
            </w:r>
          </w:p>
        </w:tc>
        <w:tc>
          <w:tcPr>
            <w:tcW w:w="3926" w:type="pct"/>
            <w:gridSpan w:val="8"/>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特高建设-骨干专业-城市运行智能设备应用技术专业群-教学资源建设</w:t>
            </w:r>
          </w:p>
        </w:tc>
      </w:tr>
      <w:tr>
        <w:tblPrEx>
          <w:tblCellMar>
            <w:top w:w="0" w:type="dxa"/>
            <w:left w:w="108" w:type="dxa"/>
            <w:bottom w:w="0" w:type="dxa"/>
            <w:right w:w="108" w:type="dxa"/>
          </w:tblCellMar>
        </w:tblPrEx>
        <w:trPr>
          <w:trHeight w:val="20" w:hRule="atLeast"/>
        </w:trPr>
        <w:tc>
          <w:tcPr>
            <w:tcW w:w="107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主管部门</w:t>
            </w:r>
          </w:p>
        </w:tc>
        <w:tc>
          <w:tcPr>
            <w:tcW w:w="169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北京市教育委员会</w:t>
            </w:r>
          </w:p>
        </w:tc>
        <w:tc>
          <w:tcPr>
            <w:tcW w:w="58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实施单位</w:t>
            </w:r>
          </w:p>
        </w:tc>
        <w:tc>
          <w:tcPr>
            <w:tcW w:w="1647"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北京工业职业技术学院</w:t>
            </w:r>
          </w:p>
        </w:tc>
      </w:tr>
      <w:tr>
        <w:tblPrEx>
          <w:tblCellMar>
            <w:top w:w="0" w:type="dxa"/>
            <w:left w:w="108" w:type="dxa"/>
            <w:bottom w:w="0" w:type="dxa"/>
            <w:right w:w="108" w:type="dxa"/>
          </w:tblCellMar>
        </w:tblPrEx>
        <w:trPr>
          <w:trHeight w:val="20" w:hRule="atLeast"/>
        </w:trPr>
        <w:tc>
          <w:tcPr>
            <w:tcW w:w="107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项目负责人</w:t>
            </w:r>
          </w:p>
        </w:tc>
        <w:tc>
          <w:tcPr>
            <w:tcW w:w="169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张普庆</w:t>
            </w:r>
          </w:p>
        </w:tc>
        <w:tc>
          <w:tcPr>
            <w:tcW w:w="58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联系电话</w:t>
            </w:r>
          </w:p>
        </w:tc>
        <w:tc>
          <w:tcPr>
            <w:tcW w:w="1647"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6180</w:t>
            </w:r>
            <w:r>
              <w:rPr>
                <w:rFonts w:hint="eastAsia" w:ascii="宋体" w:hAnsi="宋体" w:eastAsia="宋体" w:cs="宋体"/>
                <w:color w:val="000000"/>
                <w:kern w:val="0"/>
                <w:sz w:val="20"/>
                <w:szCs w:val="20"/>
              </w:rPr>
              <w:t>1505</w:t>
            </w:r>
          </w:p>
        </w:tc>
      </w:tr>
      <w:tr>
        <w:tblPrEx>
          <w:tblCellMar>
            <w:top w:w="0" w:type="dxa"/>
            <w:left w:w="108" w:type="dxa"/>
            <w:bottom w:w="0" w:type="dxa"/>
            <w:right w:w="108" w:type="dxa"/>
          </w:tblCellMar>
        </w:tblPrEx>
        <w:trPr>
          <w:trHeight w:val="20" w:hRule="atLeast"/>
        </w:trPr>
        <w:tc>
          <w:tcPr>
            <w:tcW w:w="1074"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项目资金</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(万元）</w:t>
            </w:r>
          </w:p>
        </w:tc>
        <w:tc>
          <w:tcPr>
            <w:tcW w:w="1117"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年初预算数</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全年预算数</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全年执行数</w:t>
            </w:r>
          </w:p>
        </w:tc>
        <w:tc>
          <w:tcPr>
            <w:tcW w:w="35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分值</w:t>
            </w:r>
          </w:p>
        </w:tc>
        <w:tc>
          <w:tcPr>
            <w:tcW w:w="40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w:t>
            </w:r>
          </w:p>
        </w:tc>
        <w:tc>
          <w:tcPr>
            <w:tcW w:w="31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得分</w:t>
            </w:r>
          </w:p>
        </w:tc>
      </w:tr>
      <w:tr>
        <w:tblPrEx>
          <w:tblCellMar>
            <w:top w:w="0" w:type="dxa"/>
            <w:left w:w="108" w:type="dxa"/>
            <w:bottom w:w="0" w:type="dxa"/>
            <w:right w:w="108" w:type="dxa"/>
          </w:tblCellMar>
        </w:tblPrEx>
        <w:trPr>
          <w:trHeight w:val="20" w:hRule="atLeast"/>
        </w:trPr>
        <w:tc>
          <w:tcPr>
            <w:tcW w:w="1074"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7"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年度资金总额：</w:t>
            </w:r>
          </w:p>
        </w:tc>
        <w:tc>
          <w:tcPr>
            <w:tcW w:w="58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206.180000</w:t>
            </w:r>
          </w:p>
        </w:tc>
        <w:tc>
          <w:tcPr>
            <w:tcW w:w="58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206.180000</w:t>
            </w:r>
          </w:p>
        </w:tc>
        <w:tc>
          <w:tcPr>
            <w:tcW w:w="58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165.800000</w:t>
            </w:r>
          </w:p>
        </w:tc>
        <w:tc>
          <w:tcPr>
            <w:tcW w:w="35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10.00</w:t>
            </w:r>
          </w:p>
        </w:tc>
        <w:tc>
          <w:tcPr>
            <w:tcW w:w="40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80.42%</w:t>
            </w:r>
          </w:p>
        </w:tc>
        <w:tc>
          <w:tcPr>
            <w:tcW w:w="31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8.04</w:t>
            </w:r>
          </w:p>
        </w:tc>
      </w:tr>
      <w:tr>
        <w:tblPrEx>
          <w:tblCellMar>
            <w:top w:w="0" w:type="dxa"/>
            <w:left w:w="108" w:type="dxa"/>
            <w:bottom w:w="0" w:type="dxa"/>
            <w:right w:w="108" w:type="dxa"/>
          </w:tblCellMar>
        </w:tblPrEx>
        <w:trPr>
          <w:trHeight w:val="20" w:hRule="atLeast"/>
        </w:trPr>
        <w:tc>
          <w:tcPr>
            <w:tcW w:w="1074"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7"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其中：当年财政拨款</w:t>
            </w:r>
          </w:p>
        </w:tc>
        <w:tc>
          <w:tcPr>
            <w:tcW w:w="58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206.180000</w:t>
            </w:r>
          </w:p>
        </w:tc>
        <w:tc>
          <w:tcPr>
            <w:tcW w:w="58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206.180000</w:t>
            </w:r>
          </w:p>
        </w:tc>
        <w:tc>
          <w:tcPr>
            <w:tcW w:w="58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165.800000</w:t>
            </w:r>
          </w:p>
        </w:tc>
        <w:tc>
          <w:tcPr>
            <w:tcW w:w="355" w:type="pct"/>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40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11"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0" w:hRule="atLeast"/>
        </w:trPr>
        <w:tc>
          <w:tcPr>
            <w:tcW w:w="1074"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上年结转资金</w:t>
            </w:r>
          </w:p>
        </w:tc>
        <w:tc>
          <w:tcPr>
            <w:tcW w:w="58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58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58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5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40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0" w:hRule="atLeast"/>
        </w:trPr>
        <w:tc>
          <w:tcPr>
            <w:tcW w:w="1074"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其他资金</w:t>
            </w:r>
          </w:p>
        </w:tc>
        <w:tc>
          <w:tcPr>
            <w:tcW w:w="58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58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58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5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40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0" w:hRule="atLeast"/>
        </w:trPr>
        <w:tc>
          <w:tcPr>
            <w:tcW w:w="273" w:type="pct"/>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年度总体目标</w:t>
            </w:r>
          </w:p>
        </w:tc>
        <w:tc>
          <w:tcPr>
            <w:tcW w:w="249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预期目标</w:t>
            </w:r>
          </w:p>
        </w:tc>
        <w:tc>
          <w:tcPr>
            <w:tcW w:w="2228"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实际完成情况</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2499" w:type="pct"/>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以国家职业教育精品在</w:t>
            </w:r>
            <w:r>
              <w:rPr>
                <w:rFonts w:hint="eastAsia" w:ascii="宋体" w:hAnsi="宋体" w:eastAsia="宋体" w:cs="宋体"/>
                <w:color w:val="000000"/>
                <w:kern w:val="0"/>
                <w:sz w:val="18"/>
                <w:szCs w:val="18"/>
                <w:lang w:val="en-US" w:eastAsia="zh-CN"/>
              </w:rPr>
              <w:t>线</w:t>
            </w:r>
            <w:r>
              <w:rPr>
                <w:rFonts w:hint="eastAsia" w:ascii="宋体" w:hAnsi="宋体" w:eastAsia="宋体" w:cs="宋体"/>
                <w:color w:val="000000"/>
                <w:kern w:val="0"/>
                <w:sz w:val="18"/>
                <w:szCs w:val="18"/>
              </w:rPr>
              <w:t>课程标准要求，针对具有普适性的专业群平台课程，建成机械技术、电机控制与PLC、传感与检测技术、单片机控制技术等4门O2O平台课程，针对具有专用性的专业群方向课程，建成无人机组装与调试、无人机应用技术、智能机器人组装与调试、智能机器人导航与运动控制等4门SPOC专业方向课程，推动信息化教学模式改革，建设课堂教学配套信息化资源，建成智能飞行器导论、智能飞行器控制技术、无人机数据采集与处理、智能机器人</w:t>
            </w:r>
            <w:bookmarkStart w:id="0" w:name="_GoBack"/>
            <w:bookmarkEnd w:id="0"/>
            <w:r>
              <w:rPr>
                <w:rFonts w:hint="eastAsia" w:ascii="宋体" w:hAnsi="宋体" w:eastAsia="宋体" w:cs="宋体"/>
                <w:color w:val="000000"/>
                <w:kern w:val="0"/>
                <w:sz w:val="18"/>
                <w:szCs w:val="18"/>
              </w:rPr>
              <w:t>技术与应用、机器人操作系统ROS原理与应用等5门专业方向课程教学资源，建设视觉系统与图像识别、智能机器人创新设计等2门专业拓展课程教学资源，师生满意度达95%；服务终身学习需求，开展社区教育，满足个性化学习需求和继续教育要求，开发智能飞行器方向技能培训包、青少年智能设备技术认知培训包、强军育才职业技能培训包和智能机器人方向技能培训包，累计开展各类技能培训3000人天，培训学员满意度达95%。</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2020年度目标：以国家职业教育精品</w:t>
            </w:r>
            <w:r>
              <w:rPr>
                <w:rFonts w:hint="eastAsia" w:ascii="宋体" w:hAnsi="宋体" w:eastAsia="宋体" w:cs="宋体"/>
                <w:color w:val="000000"/>
                <w:kern w:val="0"/>
                <w:sz w:val="18"/>
                <w:szCs w:val="18"/>
                <w:lang w:val="en-US" w:eastAsia="zh-CN"/>
              </w:rPr>
              <w:t>在线</w:t>
            </w:r>
            <w:r>
              <w:rPr>
                <w:rFonts w:hint="eastAsia" w:ascii="宋体" w:hAnsi="宋体" w:eastAsia="宋体" w:cs="宋体"/>
                <w:color w:val="000000"/>
                <w:kern w:val="0"/>
                <w:sz w:val="18"/>
                <w:szCs w:val="18"/>
              </w:rPr>
              <w:t>课程标准要求，针对具有普适性的专业群平台课程，建成机械技术、电机控制与PLC、传感与检测技术、单片机控制技术等4门O2O课程，师生满意度达95%；服务终身学习需求，开展社区教育，满足个性化学习需求和继续教育要求，开发智能飞行器方向技能培训包、青少年智能设备技术认知培训包，开展各类技能培训800人天，培训学员满意度达95%。</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2021年度目标：以国家职业教育精品</w:t>
            </w:r>
            <w:r>
              <w:rPr>
                <w:rFonts w:hint="eastAsia" w:ascii="宋体" w:hAnsi="宋体" w:eastAsia="宋体" w:cs="宋体"/>
                <w:color w:val="000000"/>
                <w:kern w:val="0"/>
                <w:sz w:val="18"/>
                <w:szCs w:val="18"/>
                <w:lang w:val="en-US" w:eastAsia="zh-CN"/>
              </w:rPr>
              <w:t>在线</w:t>
            </w:r>
            <w:r>
              <w:rPr>
                <w:rFonts w:hint="eastAsia" w:ascii="宋体" w:hAnsi="宋体" w:eastAsia="宋体" w:cs="宋体"/>
                <w:color w:val="000000"/>
                <w:kern w:val="0"/>
                <w:sz w:val="18"/>
                <w:szCs w:val="18"/>
              </w:rPr>
              <w:t>课程标准要求，针对具有专用性的专业群方向课程，建成无人机组装与调试、无人机应用技术、智能机器人组装与调试、智能机器人导航与运动控制等4门SPOC专业方向课程；推动信息化教学模式改革，建成课堂教学配套信息化资源，建设智能飞行器导论、智能飞行器控制技术、无人机数据采集与处理、智能机器人技术与应用、机器人操作系统ROS原理与应用等5门专业方向课程教学资源，师生满意度达95%；服务终身学习需求，开展社区教育，满足个性化学习需求和继续教育要求，开发强军育才职业技能培训包，开展各类技能培训1000人天，培训学员满意度达95%。</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2022年度目标：推动信息化教学模式改革，建设课堂教学配套信息化资源，建成视觉系统与图像识别、智能机器人创新设计等2门专业拓展课程教学资源，师生满意度达95%；服务终身学习需求，开展社区教育，满足个性化学习需求和继续教育要求，开发智能机器人方向技能培训包，开展各类技能培训1200人天，培训学员满意度达95%。</w:t>
            </w:r>
          </w:p>
        </w:tc>
        <w:tc>
          <w:tcPr>
            <w:tcW w:w="2228" w:type="pct"/>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以国家职业教育精品</w:t>
            </w:r>
            <w:r>
              <w:rPr>
                <w:rFonts w:hint="eastAsia" w:ascii="宋体" w:hAnsi="宋体" w:eastAsia="宋体" w:cs="宋体"/>
                <w:color w:val="000000"/>
                <w:kern w:val="0"/>
                <w:sz w:val="20"/>
                <w:szCs w:val="20"/>
                <w:lang w:val="en-US" w:eastAsia="zh-CN"/>
              </w:rPr>
              <w:t>在线</w:t>
            </w:r>
            <w:r>
              <w:rPr>
                <w:rFonts w:hint="eastAsia" w:ascii="宋体" w:hAnsi="宋体" w:eastAsia="宋体" w:cs="宋体"/>
                <w:color w:val="000000"/>
                <w:kern w:val="0"/>
                <w:sz w:val="20"/>
                <w:szCs w:val="20"/>
              </w:rPr>
              <w:t>课程标准要求，针对具有普适性的专业群平台课程，建成机械技术、电机控制与PLC、传感与检测技术、单片机控制技术等4门O2O课程，师生满意度达95%；服务终身学习需求，开展社区教育，满足个性化学习需求和继续教育要求，开发智能飞行器方向技能培训包、青少年智能设备技术认知培训包，开展各类技能培训3150人天，培训学员满意度达95%。</w:t>
            </w:r>
          </w:p>
        </w:tc>
      </w:tr>
      <w:tr>
        <w:tblPrEx>
          <w:tblCellMar>
            <w:top w:w="0" w:type="dxa"/>
            <w:left w:w="108" w:type="dxa"/>
            <w:bottom w:w="0" w:type="dxa"/>
            <w:right w:w="108" w:type="dxa"/>
          </w:tblCellMar>
        </w:tblPrEx>
        <w:trPr>
          <w:trHeight w:val="20" w:hRule="atLeast"/>
        </w:trPr>
        <w:tc>
          <w:tcPr>
            <w:tcW w:w="273" w:type="pct"/>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绩效指标</w:t>
            </w:r>
          </w:p>
        </w:tc>
        <w:tc>
          <w:tcPr>
            <w:tcW w:w="31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一级指标</w:t>
            </w:r>
          </w:p>
        </w:tc>
        <w:tc>
          <w:tcPr>
            <w:tcW w:w="49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二级指标</w:t>
            </w:r>
          </w:p>
        </w:tc>
        <w:tc>
          <w:tcPr>
            <w:tcW w:w="49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三级指标</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年度指标值</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实际完成值</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分值</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得分</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偏差原因分析及改进</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措施</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产出指标（50分）</w:t>
            </w:r>
          </w:p>
        </w:tc>
        <w:tc>
          <w:tcPr>
            <w:tcW w:w="49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数量指标</w:t>
            </w: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O2O课程建设</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建成4门</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Times New Roman"/>
                <w:color w:val="000000"/>
                <w:kern w:val="0"/>
                <w:sz w:val="20"/>
                <w:szCs w:val="20"/>
              </w:rPr>
            </w:pPr>
            <w:r>
              <w:rPr>
                <w:rFonts w:ascii="宋体" w:hAnsi="宋体" w:eastAsia="宋体" w:cs="Times New Roman"/>
                <w:color w:val="000000"/>
                <w:kern w:val="0"/>
                <w:sz w:val="20"/>
                <w:szCs w:val="20"/>
              </w:rPr>
              <w:t>4</w:t>
            </w:r>
            <w:r>
              <w:rPr>
                <w:rFonts w:hint="eastAsia" w:ascii="宋体" w:hAnsi="宋体" w:eastAsia="宋体" w:cs="Times New Roman"/>
                <w:color w:val="000000"/>
                <w:kern w:val="0"/>
                <w:sz w:val="20"/>
                <w:szCs w:val="20"/>
              </w:rPr>
              <w:t>门</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SPOC课程建设</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建成4门</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Times New Roman"/>
                <w:color w:val="000000"/>
                <w:kern w:val="0"/>
                <w:sz w:val="20"/>
                <w:szCs w:val="20"/>
              </w:rPr>
            </w:pPr>
            <w:r>
              <w:rPr>
                <w:rFonts w:ascii="宋体" w:hAnsi="宋体" w:eastAsia="宋体" w:cs="Times New Roman"/>
                <w:color w:val="000000"/>
                <w:kern w:val="0"/>
                <w:sz w:val="20"/>
                <w:szCs w:val="20"/>
              </w:rPr>
              <w:t>2</w:t>
            </w:r>
            <w:r>
              <w:rPr>
                <w:rFonts w:hint="eastAsia" w:ascii="宋体" w:hAnsi="宋体" w:eastAsia="宋体" w:cs="Times New Roman"/>
                <w:color w:val="000000"/>
                <w:kern w:val="0"/>
                <w:sz w:val="20"/>
                <w:szCs w:val="20"/>
              </w:rPr>
              <w:t>个</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课堂教学信息化资源建设</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建成7门</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建成7门</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技能培训包开发</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建成4个</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建成4个</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质量指标</w:t>
            </w: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O2O课程</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符合国家职业教育精品</w:t>
            </w:r>
            <w:r>
              <w:rPr>
                <w:rFonts w:hint="eastAsia" w:ascii="宋体" w:hAnsi="宋体" w:eastAsia="宋体" w:cs="宋体"/>
                <w:color w:val="000000"/>
                <w:kern w:val="0"/>
                <w:sz w:val="20"/>
                <w:szCs w:val="20"/>
                <w:lang w:val="en-US" w:eastAsia="zh-CN"/>
              </w:rPr>
              <w:t>在线</w:t>
            </w:r>
            <w:r>
              <w:rPr>
                <w:rFonts w:hint="eastAsia" w:ascii="宋体" w:hAnsi="宋体" w:eastAsia="宋体" w:cs="宋体"/>
                <w:color w:val="000000"/>
                <w:kern w:val="0"/>
                <w:sz w:val="20"/>
                <w:szCs w:val="20"/>
              </w:rPr>
              <w:t>课程标准，满足教学需要。</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符合国家职业教育精品</w:t>
            </w:r>
            <w:r>
              <w:rPr>
                <w:rFonts w:hint="eastAsia" w:ascii="宋体" w:hAnsi="宋体" w:eastAsia="宋体" w:cs="宋体"/>
                <w:color w:val="000000"/>
                <w:kern w:val="0"/>
                <w:sz w:val="20"/>
                <w:szCs w:val="20"/>
                <w:lang w:val="en-US" w:eastAsia="zh-CN"/>
              </w:rPr>
              <w:t>在线</w:t>
            </w:r>
            <w:r>
              <w:rPr>
                <w:rFonts w:hint="eastAsia" w:ascii="宋体" w:hAnsi="宋体" w:eastAsia="宋体" w:cs="宋体"/>
                <w:color w:val="000000"/>
                <w:kern w:val="0"/>
                <w:sz w:val="20"/>
                <w:szCs w:val="20"/>
              </w:rPr>
              <w:t>课程标准，满足教学需要。</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SPOC课程</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符合国家职业教育精品</w:t>
            </w:r>
            <w:r>
              <w:rPr>
                <w:rFonts w:hint="eastAsia" w:ascii="宋体" w:hAnsi="宋体" w:eastAsia="宋体" w:cs="宋体"/>
                <w:color w:val="000000"/>
                <w:kern w:val="0"/>
                <w:sz w:val="20"/>
                <w:szCs w:val="20"/>
                <w:lang w:val="en-US" w:eastAsia="zh-CN"/>
              </w:rPr>
              <w:t>在线</w:t>
            </w:r>
            <w:r>
              <w:rPr>
                <w:rFonts w:hint="eastAsia" w:ascii="宋体" w:hAnsi="宋体" w:eastAsia="宋体" w:cs="宋体"/>
                <w:color w:val="000000"/>
                <w:kern w:val="0"/>
                <w:sz w:val="20"/>
                <w:szCs w:val="20"/>
              </w:rPr>
              <w:t>课程标准，满足教学需要。</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符合国家职业教育精品</w:t>
            </w:r>
            <w:r>
              <w:rPr>
                <w:rFonts w:hint="eastAsia" w:ascii="宋体" w:hAnsi="宋体" w:eastAsia="宋体" w:cs="宋体"/>
                <w:color w:val="000000"/>
                <w:kern w:val="0"/>
                <w:sz w:val="20"/>
                <w:szCs w:val="20"/>
                <w:lang w:val="en-US" w:eastAsia="zh-CN"/>
              </w:rPr>
              <w:t>在线</w:t>
            </w:r>
            <w:r>
              <w:rPr>
                <w:rFonts w:hint="eastAsia" w:ascii="宋体" w:hAnsi="宋体" w:eastAsia="宋体" w:cs="宋体"/>
                <w:color w:val="000000"/>
                <w:kern w:val="0"/>
                <w:sz w:val="20"/>
                <w:szCs w:val="20"/>
              </w:rPr>
              <w:t>课程标准，满足教学需要。</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课堂教学信息化资源</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满足课堂信息化教学需要。</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满足课堂信息化教学需要。</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技能培训包</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满足个性化学习需求和继续教育需求，满足社会培训要求。</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满足个性化学习需求和继续教育需求，满足社会培训要求。</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时效指标</w:t>
            </w: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建设进度</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1.2020年：完成机械技术、电机控制与PLC、传感与检测技术、单片机控制技术等4门O2O平台课程建设，完成智能飞行器方向技能培训包和开发青少年智能设备技术认知培训包开发；</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2.2021年：完成无人机组装与调试、无人机应用技术、智能机器人组装与调试、智能机器人导航与运动控制等4门SPOC专业方向课程建设，完成智能飞行器导论、智能飞行器控制技术、无人机数据采集与处理、智能机器人技术与应用、机器人操作系统ROS原理与应用等5门专业方向课程教学资源建设，完成强军育才职业技能培训包开发；</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3.2022年：完成视觉系统与图像识别、智能机器人创新设计等2门专业拓展课程教学资源建设，完成智能机器人方向技能培训包开发。</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2019年12月北京市完成财政评审，2020年上半年爆发新冠肺炎疫情，因此招投标推迟到2020年11月。</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2021年4月完成项目建设和验收</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受疫情影响，部分时间有延期。</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成本指标</w:t>
            </w: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建设成本</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成本控制在预算范围内。</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实际支出165.8万元</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58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效益指标（30分）</w:t>
            </w: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社会效益</w:t>
            </w: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社会效益</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1.预计每年为专业群每届5个班级教学服务。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2.3年累计开课15门。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3.提供各类技能培训3000人天。</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1.预计每年为专业群每届5个班级教学服务。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2.3年累计开课15门。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3.提供各类技能培训3000人天。</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58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满意度指标（10分）</w:t>
            </w:r>
          </w:p>
        </w:tc>
        <w:tc>
          <w:tcPr>
            <w:tcW w:w="49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服务对象满意度指标</w:t>
            </w: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教师满意度</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教师满意度达95%。</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58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066" w:type="pct"/>
            <w:gridSpan w:val="3"/>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eastAsia="宋体" w:cs="宋体"/>
                <w:color w:val="000000"/>
                <w:kern w:val="0"/>
                <w:sz w:val="18"/>
                <w:szCs w:val="18"/>
              </w:rPr>
            </w:pPr>
            <w:r>
              <w:rPr>
                <w:rFonts w:hint="eastAsia"/>
                <w:color w:val="000000"/>
                <w:sz w:val="18"/>
                <w:szCs w:val="18"/>
              </w:rPr>
              <w:t>基本完成满意度指标</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学生满意度</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学生满意度达95%。</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58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066" w:type="pct"/>
            <w:gridSpan w:val="3"/>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eastAsia="宋体" w:cs="宋体"/>
                <w:color w:val="000000"/>
                <w:kern w:val="0"/>
                <w:sz w:val="18"/>
                <w:szCs w:val="18"/>
              </w:rPr>
            </w:pPr>
            <w:r>
              <w:rPr>
                <w:rFonts w:hint="eastAsia"/>
                <w:color w:val="000000"/>
                <w:sz w:val="18"/>
                <w:szCs w:val="18"/>
              </w:rPr>
              <w:t>基本完成满意度指标</w:t>
            </w:r>
          </w:p>
        </w:tc>
      </w:tr>
      <w:tr>
        <w:tblPrEx>
          <w:tblCellMar>
            <w:top w:w="0" w:type="dxa"/>
            <w:left w:w="108" w:type="dxa"/>
            <w:bottom w:w="0" w:type="dxa"/>
            <w:right w:w="108" w:type="dxa"/>
          </w:tblCellMar>
        </w:tblPrEx>
        <w:trPr>
          <w:trHeight w:val="20" w:hRule="atLeast"/>
        </w:trPr>
        <w:tc>
          <w:tcPr>
            <w:tcW w:w="2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9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培训学员满意度</w:t>
            </w:r>
          </w:p>
        </w:tc>
        <w:tc>
          <w:tcPr>
            <w:tcW w:w="62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培训学员满意度达95%。</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58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066" w:type="pct"/>
            <w:gridSpan w:val="3"/>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eastAsia="宋体" w:cs="宋体"/>
                <w:color w:val="000000"/>
                <w:kern w:val="0"/>
                <w:sz w:val="18"/>
                <w:szCs w:val="18"/>
              </w:rPr>
            </w:pPr>
            <w:r>
              <w:rPr>
                <w:rFonts w:hint="eastAsia"/>
                <w:color w:val="000000"/>
                <w:sz w:val="18"/>
                <w:szCs w:val="18"/>
              </w:rPr>
              <w:t>基本完成满意度指标</w:t>
            </w:r>
          </w:p>
        </w:tc>
      </w:tr>
      <w:tr>
        <w:tblPrEx>
          <w:tblCellMar>
            <w:top w:w="0" w:type="dxa"/>
            <w:left w:w="108" w:type="dxa"/>
            <w:bottom w:w="0" w:type="dxa"/>
            <w:right w:w="108" w:type="dxa"/>
          </w:tblCellMar>
        </w:tblPrEx>
        <w:trPr>
          <w:trHeight w:val="20" w:hRule="atLeast"/>
        </w:trPr>
        <w:tc>
          <w:tcPr>
            <w:tcW w:w="2772" w:type="pct"/>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总分</w:t>
            </w:r>
          </w:p>
        </w:tc>
        <w:tc>
          <w:tcPr>
            <w:tcW w:w="58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100</w:t>
            </w:r>
          </w:p>
        </w:tc>
        <w:tc>
          <w:tcPr>
            <w:tcW w:w="58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91.04</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xNTI2ODdmZDk1MGRlNWRkODU3ZmNjMzUxZDhmM2YifQ=="/>
  </w:docVars>
  <w:rsids>
    <w:rsidRoot w:val="0014315C"/>
    <w:rsid w:val="0014315C"/>
    <w:rsid w:val="003F1FF8"/>
    <w:rsid w:val="00431ECA"/>
    <w:rsid w:val="00AB5D04"/>
    <w:rsid w:val="00DF1365"/>
    <w:rsid w:val="00E9678F"/>
    <w:rsid w:val="00FB7059"/>
    <w:rsid w:val="3F6C5114"/>
    <w:rsid w:val="7B1C3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kern w:val="2"/>
      <w:sz w:val="18"/>
      <w:szCs w:val="18"/>
    </w:rPr>
  </w:style>
  <w:style w:type="character" w:customStyle="1" w:styleId="7">
    <w:name w:val="页脚 字符"/>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2212</Words>
  <Characters>2447</Characters>
  <Lines>19</Lines>
  <Paragraphs>5</Paragraphs>
  <TotalTime>4</TotalTime>
  <ScaleCrop>false</ScaleCrop>
  <LinksUpToDate>false</LinksUpToDate>
  <CharactersWithSpaces>2474</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2022-04-25T14:44:00Z</dcterms:created>
  <dc:creator>雪</dc:creator>
  <cp:lastModifiedBy>a</cp:lastModifiedBy>
  <cp:lastPrinted>2022-04-28T08:20:00Z</cp:lastPrinted>
  <dcterms:modified xsi:type="dcterms:W3CDTF">2022-08-23T04:22:31Z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08931E53E8DC4A5A9AFEEA495603FB6C</vt:lpwstr>
  </property>
</Properties>
</file>