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2021</w:t>
      </w:r>
      <w:r>
        <w:rPr>
          <w:rFonts w:hint="eastAsia" w:ascii="仿宋_GB2312" w:hAnsi="宋体" w:eastAsia="仿宋_GB2312"/>
          <w:sz w:val="28"/>
          <w:szCs w:val="28"/>
        </w:rPr>
        <w:t xml:space="preserve"> 年度）</w:t>
      </w:r>
    </w:p>
    <w:p>
      <w:pPr>
        <w:spacing w:line="240" w:lineRule="exact"/>
        <w:rPr>
          <w:rFonts w:ascii="仿宋_GB2312" w:hAnsi="宋体" w:eastAsia="仿宋_GB2312"/>
          <w:sz w:val="30"/>
          <w:szCs w:val="30"/>
        </w:rPr>
      </w:pPr>
    </w:p>
    <w:tbl>
      <w:tblPr>
        <w:tblStyle w:val="4"/>
        <w:tblpPr w:leftFromText="180" w:rightFromText="180" w:vertAnchor="text" w:tblpXSpec="center" w:tblpY="1"/>
        <w:tblOverlap w:val="never"/>
        <w:tblW w:w="5000" w:type="pct"/>
        <w:tblInd w:w="0" w:type="dxa"/>
        <w:tblLayout w:type="autofit"/>
        <w:tblCellMar>
          <w:top w:w="0" w:type="dxa"/>
          <w:left w:w="108" w:type="dxa"/>
          <w:bottom w:w="0" w:type="dxa"/>
          <w:right w:w="108" w:type="dxa"/>
        </w:tblCellMar>
      </w:tblPr>
      <w:tblGrid>
        <w:gridCol w:w="437"/>
        <w:gridCol w:w="669"/>
        <w:gridCol w:w="1169"/>
        <w:gridCol w:w="1686"/>
        <w:gridCol w:w="718"/>
        <w:gridCol w:w="781"/>
        <w:gridCol w:w="670"/>
        <w:gridCol w:w="747"/>
        <w:gridCol w:w="382"/>
        <w:gridCol w:w="406"/>
        <w:gridCol w:w="857"/>
      </w:tblGrid>
      <w:tr>
        <w:tblPrEx>
          <w:tblCellMar>
            <w:top w:w="0" w:type="dxa"/>
            <w:left w:w="108" w:type="dxa"/>
            <w:bottom w:w="0" w:type="dxa"/>
            <w:right w:w="108" w:type="dxa"/>
          </w:tblCellMar>
        </w:tblPrEx>
        <w:trPr>
          <w:trHeight w:val="306" w:hRule="exact"/>
        </w:trPr>
        <w:tc>
          <w:tcPr>
            <w:tcW w:w="650"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349" w:type="pct"/>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人才培养质量建设-一流专业-生物制药实验实践平台建设</w:t>
            </w:r>
          </w:p>
        </w:tc>
      </w:tr>
      <w:tr>
        <w:tblPrEx>
          <w:tblCellMar>
            <w:top w:w="0" w:type="dxa"/>
            <w:left w:w="108" w:type="dxa"/>
            <w:bottom w:w="0" w:type="dxa"/>
            <w:right w:w="108" w:type="dxa"/>
          </w:tblCellMar>
        </w:tblPrEx>
        <w:trPr>
          <w:trHeight w:val="306" w:hRule="exact"/>
        </w:trPr>
        <w:tc>
          <w:tcPr>
            <w:tcW w:w="650"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2096"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85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402"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北京石油化工学院</w:t>
            </w:r>
          </w:p>
        </w:tc>
      </w:tr>
      <w:tr>
        <w:tblPrEx>
          <w:tblCellMar>
            <w:top w:w="0" w:type="dxa"/>
            <w:left w:w="108" w:type="dxa"/>
            <w:bottom w:w="0" w:type="dxa"/>
            <w:right w:w="108" w:type="dxa"/>
          </w:tblCellMar>
        </w:tblPrEx>
        <w:trPr>
          <w:trHeight w:val="306" w:hRule="exact"/>
        </w:trPr>
        <w:tc>
          <w:tcPr>
            <w:tcW w:w="650"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2096"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何广湘</w:t>
            </w:r>
          </w:p>
        </w:tc>
        <w:tc>
          <w:tcPr>
            <w:tcW w:w="85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402"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81292074-11</w:t>
            </w:r>
          </w:p>
        </w:tc>
      </w:tr>
      <w:tr>
        <w:tblPrEx>
          <w:tblCellMar>
            <w:top w:w="0" w:type="dxa"/>
            <w:left w:w="108" w:type="dxa"/>
            <w:bottom w:w="0" w:type="dxa"/>
            <w:right w:w="108" w:type="dxa"/>
          </w:tblCellMar>
        </w:tblPrEx>
        <w:trPr>
          <w:trHeight w:val="567" w:hRule="exact"/>
        </w:trPr>
        <w:tc>
          <w:tcPr>
            <w:tcW w:w="650"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68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42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5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4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50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trPr>
        <w:tc>
          <w:tcPr>
            <w:tcW w:w="65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8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00</w:t>
            </w:r>
          </w:p>
        </w:tc>
        <w:tc>
          <w:tcPr>
            <w:tcW w:w="42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00</w:t>
            </w:r>
          </w:p>
        </w:tc>
        <w:tc>
          <w:tcPr>
            <w:tcW w:w="85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290.839</w:t>
            </w:r>
            <w:r>
              <w:rPr>
                <w:rFonts w:hint="eastAsia" w:ascii="仿宋_GB2312" w:hAnsi="宋体" w:eastAsia="仿宋_GB2312" w:cs="宋体"/>
                <w:kern w:val="0"/>
                <w:szCs w:val="21"/>
              </w:rPr>
              <w:t>8</w:t>
            </w:r>
            <w:r>
              <w:rPr>
                <w:rFonts w:ascii="仿宋_GB2312" w:hAnsi="宋体" w:eastAsia="仿宋_GB2312" w:cs="宋体"/>
                <w:kern w:val="0"/>
                <w:szCs w:val="21"/>
              </w:rPr>
              <w:t>5</w:t>
            </w:r>
            <w:r>
              <w:rPr>
                <w:rFonts w:hint="eastAsia" w:ascii="仿宋_GB2312" w:hAnsi="宋体" w:eastAsia="仿宋_GB2312" w:cs="宋体"/>
                <w:kern w:val="0"/>
                <w:szCs w:val="21"/>
              </w:rPr>
              <w:t>*</w:t>
            </w:r>
          </w:p>
        </w:tc>
        <w:tc>
          <w:tcPr>
            <w:tcW w:w="4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50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r>
      <w:tr>
        <w:tblPrEx>
          <w:tblCellMar>
            <w:top w:w="0" w:type="dxa"/>
            <w:left w:w="108" w:type="dxa"/>
            <w:bottom w:w="0" w:type="dxa"/>
            <w:right w:w="108" w:type="dxa"/>
          </w:tblCellMar>
        </w:tblPrEx>
        <w:trPr>
          <w:trHeight w:val="601" w:hRule="exact"/>
        </w:trPr>
        <w:tc>
          <w:tcPr>
            <w:tcW w:w="65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98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00</w:t>
            </w:r>
          </w:p>
        </w:tc>
        <w:tc>
          <w:tcPr>
            <w:tcW w:w="42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00</w:t>
            </w:r>
          </w:p>
        </w:tc>
        <w:tc>
          <w:tcPr>
            <w:tcW w:w="85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290.839</w:t>
            </w:r>
            <w:r>
              <w:rPr>
                <w:rFonts w:hint="eastAsia" w:ascii="仿宋_GB2312" w:hAnsi="宋体" w:eastAsia="仿宋_GB2312" w:cs="宋体"/>
                <w:kern w:val="0"/>
                <w:szCs w:val="21"/>
              </w:rPr>
              <w:t>8</w:t>
            </w:r>
            <w:r>
              <w:rPr>
                <w:rFonts w:ascii="仿宋_GB2312" w:hAnsi="宋体" w:eastAsia="仿宋_GB2312" w:cs="宋体"/>
                <w:kern w:val="0"/>
                <w:szCs w:val="21"/>
              </w:rPr>
              <w:t>5</w:t>
            </w:r>
          </w:p>
        </w:tc>
        <w:tc>
          <w:tcPr>
            <w:tcW w:w="4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50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trPr>
        <w:tc>
          <w:tcPr>
            <w:tcW w:w="65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8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trPr>
        <w:tc>
          <w:tcPr>
            <w:tcW w:w="65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8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5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trPr>
        <w:tc>
          <w:tcPr>
            <w:tcW w:w="500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ind w:left="360"/>
              <w:jc w:val="center"/>
              <w:rPr>
                <w:rFonts w:ascii="仿宋_GB2312" w:hAnsi="宋体" w:eastAsia="仿宋_GB2312" w:cs="宋体"/>
                <w:kern w:val="0"/>
                <w:szCs w:val="21"/>
              </w:rPr>
            </w:pPr>
            <w:r>
              <w:rPr>
                <w:rFonts w:hint="eastAsia" w:ascii="仿宋_GB2312" w:hAnsi="宋体" w:eastAsia="仿宋_GB2312" w:cs="宋体"/>
                <w:kern w:val="0"/>
                <w:szCs w:val="21"/>
              </w:rPr>
              <w:t>* 预算差额部分主要因设备招标净结余所致</w:t>
            </w:r>
          </w:p>
        </w:tc>
      </w:tr>
      <w:tr>
        <w:tblPrEx>
          <w:tblCellMar>
            <w:top w:w="0" w:type="dxa"/>
            <w:left w:w="108" w:type="dxa"/>
            <w:bottom w:w="0" w:type="dxa"/>
            <w:right w:w="108" w:type="dxa"/>
          </w:tblCellMar>
        </w:tblPrEx>
        <w:trPr>
          <w:trHeight w:val="548" w:hRule="exact"/>
        </w:trPr>
        <w:tc>
          <w:tcPr>
            <w:tcW w:w="257"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2489"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2252"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971" w:hRule="exact"/>
        </w:trPr>
        <w:tc>
          <w:tcPr>
            <w:tcW w:w="257"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489" w:type="pct"/>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本项目拟采购生物制药实验实践教学所需实验设备，建设生物制药实验实践教学平台，加强生物制药方向学科建设，全面强化制药工程专业的实验实践教学能力。生物制药实验实践教学平台建成后将承载制药工程专业学生的生物制药专业实验课程，科研实践培训，培养学生熟练掌握生物制药专业技能，为教师拓展教学方向提供实验条件，提高学校一流专业的建设水平。</w:t>
            </w:r>
          </w:p>
        </w:tc>
        <w:tc>
          <w:tcPr>
            <w:tcW w:w="2252" w:type="pct"/>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项目采购设备已到位。实验室已承载生物化学实验、生物制药专业实验（I）、生物制药专业实验（I</w:t>
            </w:r>
            <w:r>
              <w:rPr>
                <w:rFonts w:ascii="仿宋_GB2312" w:hAnsi="宋体" w:eastAsia="仿宋_GB2312" w:cs="宋体"/>
                <w:kern w:val="0"/>
                <w:szCs w:val="21"/>
              </w:rPr>
              <w:t>I</w:t>
            </w:r>
            <w:r>
              <w:rPr>
                <w:rFonts w:hint="eastAsia" w:ascii="仿宋_GB2312" w:hAnsi="宋体" w:eastAsia="仿宋_GB2312" w:cs="宋体"/>
                <w:kern w:val="0"/>
                <w:szCs w:val="21"/>
              </w:rPr>
              <w:t>）、学校和市级及国家级</w:t>
            </w:r>
            <w:r>
              <w:rPr>
                <w:rFonts w:ascii="仿宋_GB2312" w:hAnsi="宋体" w:eastAsia="仿宋_GB2312" w:cs="宋体"/>
                <w:kern w:val="0"/>
                <w:szCs w:val="21"/>
              </w:rPr>
              <w:t>URT</w:t>
            </w:r>
            <w:r>
              <w:rPr>
                <w:rFonts w:hint="eastAsia" w:ascii="仿宋_GB2312" w:hAnsi="宋体" w:eastAsia="仿宋_GB2312" w:cs="宋体"/>
                <w:kern w:val="0"/>
                <w:szCs w:val="21"/>
              </w:rPr>
              <w:t>项目共5项，大学生生命科学竞赛项目3项。相关设备服务于</w:t>
            </w:r>
            <w:bookmarkStart w:id="0" w:name="_Hlk100261989"/>
            <w:r>
              <w:rPr>
                <w:rFonts w:hint="eastAsia" w:ascii="仿宋_GB2312" w:hAnsi="宋体" w:eastAsia="仿宋_GB2312" w:cs="宋体"/>
                <w:kern w:val="0"/>
                <w:szCs w:val="21"/>
              </w:rPr>
              <w:t>北京市教委-市基金委联合基金项目1项</w:t>
            </w:r>
            <w:bookmarkEnd w:id="0"/>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1114" w:hRule="exact"/>
        </w:trPr>
        <w:tc>
          <w:tcPr>
            <w:tcW w:w="25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39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686"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723"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68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指标1：开出《生物制药专业实验》课程，32学时，200人/年</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133</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指标设置的为三年长期指标，本年度</w:t>
            </w:r>
            <w:r>
              <w:rPr>
                <w:rFonts w:hint="eastAsia" w:ascii="仿宋_GB2312" w:hAnsi="宋体" w:eastAsia="仿宋_GB2312" w:cs="宋体"/>
                <w:color w:val="000000"/>
                <w:kern w:val="0"/>
                <w:szCs w:val="21"/>
              </w:rPr>
              <w:t>生物制药专业实验为4</w:t>
            </w:r>
            <w:r>
              <w:rPr>
                <w:rFonts w:ascii="仿宋_GB2312" w:hAnsi="宋体" w:eastAsia="仿宋_GB2312" w:cs="宋体"/>
                <w:color w:val="000000"/>
                <w:kern w:val="0"/>
                <w:szCs w:val="21"/>
              </w:rPr>
              <w:t>8</w:t>
            </w:r>
            <w:r>
              <w:rPr>
                <w:rFonts w:hint="eastAsia" w:ascii="仿宋_GB2312" w:hAnsi="宋体" w:eastAsia="仿宋_GB2312" w:cs="宋体"/>
                <w:color w:val="000000"/>
                <w:kern w:val="0"/>
                <w:szCs w:val="21"/>
              </w:rPr>
              <w:t>学时，共服务三个班178人次；预计明后年达200人次以上。</w:t>
            </w:r>
          </w:p>
        </w:tc>
      </w:tr>
      <w:tr>
        <w:tblPrEx>
          <w:tblCellMar>
            <w:top w:w="0" w:type="dxa"/>
            <w:left w:w="108" w:type="dxa"/>
            <w:bottom w:w="0" w:type="dxa"/>
            <w:right w:w="108" w:type="dxa"/>
          </w:tblCellMar>
        </w:tblPrEx>
        <w:trPr>
          <w:trHeight w:val="1003"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指标2：服务《生物化学实验》课程，32学时，200人/年</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89</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4.5</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本年度服务三个班，3</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2学时，共178人次</w:t>
            </w:r>
          </w:p>
        </w:tc>
      </w:tr>
      <w:tr>
        <w:tblPrEx>
          <w:tblCellMar>
            <w:top w:w="0" w:type="dxa"/>
            <w:left w:w="108" w:type="dxa"/>
            <w:bottom w:w="0" w:type="dxa"/>
            <w:right w:w="108" w:type="dxa"/>
          </w:tblCellMar>
        </w:tblPrEx>
        <w:trPr>
          <w:trHeight w:val="2974"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w:t>
            </w:r>
            <w:r>
              <w:rPr>
                <w:rFonts w:ascii="仿宋_GB2312" w:hAnsi="宋体" w:eastAsia="仿宋_GB2312" w:cs="宋体"/>
                <w:color w:val="000000"/>
                <w:kern w:val="0"/>
                <w:szCs w:val="21"/>
              </w:rPr>
              <w:t>:</w:t>
            </w:r>
            <w:r>
              <w:rPr>
                <w:rFonts w:hint="eastAsia"/>
              </w:rPr>
              <w:t xml:space="preserve"> 开出</w:t>
            </w:r>
            <w:r>
              <w:rPr>
                <w:rFonts w:hint="eastAsia" w:ascii="仿宋_GB2312" w:hAnsi="宋体" w:eastAsia="仿宋_GB2312" w:cs="宋体"/>
                <w:color w:val="000000"/>
                <w:kern w:val="0"/>
                <w:szCs w:val="21"/>
              </w:rPr>
              <w:t>《新型冠状病毒中和抗体药物研发》综合设计实践，48学时，200人/年</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89</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4.5</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指标设置的为三年长期指标，本年度</w:t>
            </w:r>
            <w:r>
              <w:rPr>
                <w:rFonts w:hint="eastAsia" w:ascii="仿宋_GB2312" w:hAnsi="宋体" w:eastAsia="仿宋_GB2312" w:cs="宋体"/>
                <w:color w:val="000000"/>
                <w:kern w:val="0"/>
                <w:szCs w:val="21"/>
              </w:rPr>
              <w:t>生物制药专业实验为4</w:t>
            </w:r>
            <w:r>
              <w:rPr>
                <w:rFonts w:ascii="仿宋_GB2312" w:hAnsi="宋体" w:eastAsia="仿宋_GB2312" w:cs="宋体"/>
                <w:color w:val="000000"/>
                <w:kern w:val="0"/>
                <w:szCs w:val="21"/>
              </w:rPr>
              <w:t>8</w:t>
            </w:r>
            <w:r>
              <w:rPr>
                <w:rFonts w:hint="eastAsia" w:ascii="仿宋_GB2312" w:hAnsi="宋体" w:eastAsia="仿宋_GB2312" w:cs="宋体"/>
                <w:color w:val="000000"/>
                <w:kern w:val="0"/>
                <w:szCs w:val="21"/>
              </w:rPr>
              <w:t>学时，共服务三个班178人次；预计明后年达200人次以上。</w:t>
            </w:r>
          </w:p>
        </w:tc>
      </w:tr>
      <w:tr>
        <w:tblPrEx>
          <w:tblCellMar>
            <w:top w:w="0" w:type="dxa"/>
            <w:left w:w="108" w:type="dxa"/>
            <w:bottom w:w="0" w:type="dxa"/>
            <w:right w:w="108" w:type="dxa"/>
          </w:tblCellMar>
        </w:tblPrEx>
        <w:trPr>
          <w:trHeight w:val="709"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指标1：承担本科实验课程</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46"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指标2：承担本科生实验实践项目</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986"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指标1：2021.3-2021.5 生物制药实验实践教学设备招标与采购</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严格按照学校相关规范执行</w:t>
            </w:r>
          </w:p>
        </w:tc>
      </w:tr>
      <w:tr>
        <w:tblPrEx>
          <w:tblCellMar>
            <w:top w:w="0" w:type="dxa"/>
            <w:left w:w="108" w:type="dxa"/>
            <w:bottom w:w="0" w:type="dxa"/>
            <w:right w:w="108" w:type="dxa"/>
          </w:tblCellMar>
        </w:tblPrEx>
        <w:trPr>
          <w:trHeight w:val="2667"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指标2：2021.5-2021.10 生物制药实验实践教学设备交付学校</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受疫情及进口设备采购政策影响，其中进口设备超速离心机2021年12月底到校，2022年初完成装机还未调试</w:t>
            </w:r>
            <w:r>
              <w:rPr>
                <w:rFonts w:ascii="仿宋_GB2312" w:hAnsi="宋体" w:eastAsia="仿宋_GB2312" w:cs="宋体"/>
                <w:kern w:val="0"/>
                <w:szCs w:val="21"/>
              </w:rPr>
              <w:t xml:space="preserve"> </w:t>
            </w:r>
          </w:p>
        </w:tc>
      </w:tr>
      <w:tr>
        <w:tblPrEx>
          <w:tblCellMar>
            <w:top w:w="0" w:type="dxa"/>
            <w:left w:w="108" w:type="dxa"/>
            <w:bottom w:w="0" w:type="dxa"/>
            <w:right w:w="108" w:type="dxa"/>
          </w:tblCellMar>
        </w:tblPrEx>
        <w:trPr>
          <w:trHeight w:val="2655"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w:t>
            </w:r>
            <w:r>
              <w:rPr>
                <w:rFonts w:ascii="仿宋_GB2312" w:hAnsi="宋体" w:eastAsia="仿宋_GB2312" w:cs="宋体"/>
                <w:color w:val="000000"/>
                <w:kern w:val="0"/>
                <w:szCs w:val="21"/>
              </w:rPr>
              <w:t>:</w:t>
            </w:r>
            <w:r>
              <w:rPr>
                <w:rFonts w:hint="eastAsia"/>
              </w:rPr>
              <w:t xml:space="preserve"> </w:t>
            </w:r>
            <w:r>
              <w:rPr>
                <w:rFonts w:hint="eastAsia" w:ascii="仿宋_GB2312" w:hAnsi="宋体" w:eastAsia="仿宋_GB2312" w:cs="宋体"/>
                <w:color w:val="000000"/>
                <w:kern w:val="0"/>
                <w:szCs w:val="21"/>
              </w:rPr>
              <w:t>2021.5-2021.12 生物制药实验实践教学设备安装调试培训，交付使用</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受疫情及进口设备采购政策影响，其中进口设备超速离心机2021年12月底到校，2022年初完成装机还未调试</w:t>
            </w:r>
          </w:p>
        </w:tc>
      </w:tr>
      <w:tr>
        <w:tblPrEx>
          <w:tblCellMar>
            <w:top w:w="0" w:type="dxa"/>
            <w:left w:w="108" w:type="dxa"/>
            <w:bottom w:w="0" w:type="dxa"/>
            <w:right w:w="108" w:type="dxa"/>
          </w:tblCellMar>
        </w:tblPrEx>
        <w:trPr>
          <w:trHeight w:val="1055"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指标1：项目总成本3</w:t>
            </w:r>
            <w:r>
              <w:rPr>
                <w:rFonts w:ascii="仿宋_GB2312" w:hAnsi="宋体" w:eastAsia="仿宋_GB2312" w:cs="宋体"/>
                <w:color w:val="000000"/>
                <w:kern w:val="0"/>
                <w:szCs w:val="21"/>
              </w:rPr>
              <w:t>00</w:t>
            </w:r>
            <w:r>
              <w:rPr>
                <w:rFonts w:hint="eastAsia" w:ascii="仿宋_GB2312" w:hAnsi="宋体" w:eastAsia="仿宋_GB2312" w:cs="宋体"/>
                <w:color w:val="000000"/>
                <w:kern w:val="0"/>
                <w:szCs w:val="21"/>
              </w:rPr>
              <w:t>万</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项目严格控制成本，产生招标结余9万余元</w:t>
            </w:r>
          </w:p>
        </w:tc>
      </w:tr>
      <w:tr>
        <w:tblPrEx>
          <w:tblCellMar>
            <w:top w:w="0" w:type="dxa"/>
            <w:left w:w="108" w:type="dxa"/>
            <w:bottom w:w="0" w:type="dxa"/>
            <w:right w:w="108" w:type="dxa"/>
          </w:tblCellMar>
        </w:tblPrEx>
        <w:trPr>
          <w:trHeight w:val="942"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指标1：承担本科实验课程</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支撑本科生物化学和生物制药专业实验课程</w:t>
            </w:r>
          </w:p>
        </w:tc>
      </w:tr>
      <w:tr>
        <w:tblPrEx>
          <w:tblCellMar>
            <w:top w:w="0" w:type="dxa"/>
            <w:left w:w="108" w:type="dxa"/>
            <w:bottom w:w="0" w:type="dxa"/>
            <w:right w:w="108" w:type="dxa"/>
          </w:tblCellMar>
        </w:tblPrEx>
        <w:trPr>
          <w:trHeight w:val="1221"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指标2：承担本科生实验实践项目</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支撑URT项目5项</w:t>
            </w:r>
          </w:p>
        </w:tc>
      </w:tr>
      <w:tr>
        <w:tblPrEx>
          <w:tblCellMar>
            <w:top w:w="0" w:type="dxa"/>
            <w:left w:w="108" w:type="dxa"/>
            <w:bottom w:w="0" w:type="dxa"/>
            <w:right w:w="108" w:type="dxa"/>
          </w:tblCellMar>
        </w:tblPrEx>
        <w:trPr>
          <w:trHeight w:val="1611"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68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指标1：课程评价成果学生满意率9</w:t>
            </w:r>
            <w:r>
              <w:rPr>
                <w:rFonts w:ascii="仿宋_GB2312" w:hAnsi="宋体" w:eastAsia="仿宋_GB2312" w:cs="宋体"/>
                <w:color w:val="000000"/>
                <w:kern w:val="0"/>
                <w:szCs w:val="21"/>
              </w:rPr>
              <w:t>0%</w:t>
            </w:r>
            <w:r>
              <w:rPr>
                <w:rFonts w:hint="eastAsia" w:ascii="仿宋_GB2312" w:hAnsi="宋体" w:eastAsia="仿宋_GB2312" w:cs="宋体"/>
                <w:color w:val="000000"/>
                <w:kern w:val="0"/>
                <w:szCs w:val="21"/>
              </w:rPr>
              <w:t>以上</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学生满意率大于95%</w:t>
            </w:r>
          </w:p>
        </w:tc>
      </w:tr>
      <w:tr>
        <w:tblPrEx>
          <w:tblCellMar>
            <w:top w:w="0" w:type="dxa"/>
            <w:left w:w="108" w:type="dxa"/>
            <w:bottom w:w="0" w:type="dxa"/>
            <w:right w:w="108" w:type="dxa"/>
          </w:tblCellMar>
        </w:tblPrEx>
        <w:trPr>
          <w:trHeight w:val="2413" w:hRule="exact"/>
        </w:trPr>
        <w:tc>
          <w:tcPr>
            <w:tcW w:w="2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8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9" w:type="pct"/>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指标2：毕业生在相关企业就业增加5</w:t>
            </w:r>
            <w:r>
              <w:rPr>
                <w:rFonts w:ascii="仿宋_GB2312" w:hAnsi="宋体" w:eastAsia="仿宋_GB2312" w:cs="宋体"/>
                <w:color w:val="000000"/>
                <w:kern w:val="0"/>
                <w:szCs w:val="21"/>
              </w:rPr>
              <w:t>%</w:t>
            </w:r>
          </w:p>
        </w:tc>
        <w:tc>
          <w:tcPr>
            <w:tcW w:w="42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4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100</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生物制药专业2019年招生，还没有毕业班，故该数据在2021年度暂缺</w:t>
            </w:r>
          </w:p>
        </w:tc>
      </w:tr>
      <w:tr>
        <w:tblPrEx>
          <w:tblCellMar>
            <w:top w:w="0" w:type="dxa"/>
            <w:left w:w="108" w:type="dxa"/>
            <w:bottom w:w="0" w:type="dxa"/>
            <w:right w:w="108" w:type="dxa"/>
          </w:tblCellMar>
        </w:tblPrEx>
        <w:trPr>
          <w:trHeight w:val="477" w:hRule="exact"/>
        </w:trPr>
        <w:tc>
          <w:tcPr>
            <w:tcW w:w="3204" w:type="pct"/>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39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62"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97</w:t>
            </w:r>
          </w:p>
        </w:tc>
        <w:tc>
          <w:tcPr>
            <w:tcW w:w="74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bookmarkStart w:id="1" w:name="_GoBack"/>
      <w:bookmarkEnd w:id="1"/>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r>
        <w:rPr>
          <w:rFonts w:hint="eastAsia" w:ascii="仿宋_GB2312" w:hAnsi="宋体" w:eastAsia="仿宋_GB2312" w:cs="宋体"/>
          <w:color w:val="000000"/>
          <w:kern w:val="0"/>
          <w:sz w:val="32"/>
          <w:szCs w:val="32"/>
        </w:rPr>
        <w:t>4.90（含）-100分为优、80（含）-90分为良、60（含）-80分为中、60分以下为差。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57B"/>
    <w:rsid w:val="0000042F"/>
    <w:rsid w:val="000B1D8F"/>
    <w:rsid w:val="001A13AC"/>
    <w:rsid w:val="002407AA"/>
    <w:rsid w:val="00340244"/>
    <w:rsid w:val="00352D97"/>
    <w:rsid w:val="00395AE5"/>
    <w:rsid w:val="003E1DB9"/>
    <w:rsid w:val="00441F19"/>
    <w:rsid w:val="004B757B"/>
    <w:rsid w:val="004E4CDC"/>
    <w:rsid w:val="00516BF1"/>
    <w:rsid w:val="006A609B"/>
    <w:rsid w:val="00732A0B"/>
    <w:rsid w:val="0074732E"/>
    <w:rsid w:val="007750D6"/>
    <w:rsid w:val="00786C83"/>
    <w:rsid w:val="00796C2E"/>
    <w:rsid w:val="00816111"/>
    <w:rsid w:val="00817588"/>
    <w:rsid w:val="008743F7"/>
    <w:rsid w:val="00882A10"/>
    <w:rsid w:val="008C2F88"/>
    <w:rsid w:val="009E0501"/>
    <w:rsid w:val="00A51630"/>
    <w:rsid w:val="00B844ED"/>
    <w:rsid w:val="00B954E2"/>
    <w:rsid w:val="00C138E8"/>
    <w:rsid w:val="00C35B18"/>
    <w:rsid w:val="00C86C0C"/>
    <w:rsid w:val="00CC0EAD"/>
    <w:rsid w:val="00D035AE"/>
    <w:rsid w:val="00DB02A1"/>
    <w:rsid w:val="00E214AA"/>
    <w:rsid w:val="00E411BF"/>
    <w:rsid w:val="00E95D85"/>
    <w:rsid w:val="00EF3C37"/>
    <w:rsid w:val="00F07A96"/>
    <w:rsid w:val="00F379B9"/>
    <w:rsid w:val="00FB6FF9"/>
    <w:rsid w:val="243A7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328</Words>
  <Characters>1872</Characters>
  <Lines>15</Lines>
  <Paragraphs>4</Paragraphs>
  <TotalTime>66</TotalTime>
  <ScaleCrop>false</ScaleCrop>
  <LinksUpToDate>false</LinksUpToDate>
  <CharactersWithSpaces>2196</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2022-03-31T05:39:00Z</dcterms:created>
  <dc:creator>Jranger</dc:creator>
  <cp:lastModifiedBy>Administrator</cp:lastModifiedBy>
  <dcterms:modified xsi:type="dcterms:W3CDTF">2022-04-15T03:13:57Z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