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D19" w:rsidRDefault="00DC0870">
      <w:pPr>
        <w:spacing w:line="480" w:lineRule="exact"/>
        <w:rPr>
          <w:rFonts w:ascii="方正小标宋简体" w:eastAsia="方正小标宋简体" w:hAnsi="黑体"/>
          <w:sz w:val="36"/>
          <w:szCs w:val="36"/>
        </w:rPr>
      </w:pPr>
      <w:r>
        <w:rPr>
          <w:rFonts w:ascii="方正小标宋简体" w:eastAsia="方正小标宋简体" w:hint="eastAsia"/>
          <w:sz w:val="36"/>
          <w:szCs w:val="36"/>
        </w:rPr>
        <w:t xml:space="preserve">                </w:t>
      </w:r>
      <w:r>
        <w:rPr>
          <w:rFonts w:ascii="方正小标宋简体" w:eastAsia="方正小标宋简体" w:hAnsi="黑体" w:hint="eastAsia"/>
          <w:sz w:val="36"/>
          <w:szCs w:val="36"/>
        </w:rPr>
        <w:t>项目支出绩效自评表</w:t>
      </w:r>
    </w:p>
    <w:p w:rsidR="00785D19" w:rsidRDefault="00DC0870">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（2021年度）</w:t>
      </w:r>
    </w:p>
    <w:p w:rsidR="00785D19" w:rsidRDefault="00785D19">
      <w:pPr>
        <w:rPr>
          <w:rFonts w:ascii="仿宋_GB2312" w:eastAsia="仿宋_GB2312" w:hAnsi="宋体" w:cs="宋体"/>
          <w:kern w:val="0"/>
          <w:szCs w:val="21"/>
        </w:rPr>
      </w:pPr>
    </w:p>
    <w:tbl>
      <w:tblPr>
        <w:tblW w:w="0" w:type="auto"/>
        <w:tblInd w:w="118" w:type="dxa"/>
        <w:tblLook w:val="04A0" w:firstRow="1" w:lastRow="0" w:firstColumn="1" w:lastColumn="0" w:noHBand="0" w:noVBand="1"/>
      </w:tblPr>
      <w:tblGrid>
        <w:gridCol w:w="468"/>
        <w:gridCol w:w="451"/>
        <w:gridCol w:w="903"/>
        <w:gridCol w:w="1626"/>
        <w:gridCol w:w="1334"/>
        <w:gridCol w:w="1013"/>
        <w:gridCol w:w="565"/>
        <w:gridCol w:w="886"/>
        <w:gridCol w:w="922"/>
      </w:tblGrid>
      <w:tr w:rsidR="009B5DC4" w:rsidRPr="009B5DC4" w:rsidTr="009B5DC4">
        <w:trPr>
          <w:cantSplit/>
          <w:trHeight w:val="345"/>
        </w:trPr>
        <w:tc>
          <w:tcPr>
            <w:tcW w:w="0" w:type="auto"/>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项目名称</w:t>
            </w:r>
          </w:p>
        </w:tc>
        <w:tc>
          <w:tcPr>
            <w:tcW w:w="0" w:type="auto"/>
            <w:gridSpan w:val="7"/>
            <w:tcBorders>
              <w:top w:val="single" w:sz="8" w:space="0" w:color="auto"/>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市教委立项项目-北京市民办高校招生简章和广告及招生活动监测</w:t>
            </w:r>
          </w:p>
        </w:tc>
      </w:tr>
      <w:tr w:rsidR="009B5DC4" w:rsidRPr="009B5DC4" w:rsidTr="009B5DC4">
        <w:trPr>
          <w:cantSplit/>
          <w:trHeight w:val="345"/>
        </w:trPr>
        <w:tc>
          <w:tcPr>
            <w:tcW w:w="0" w:type="auto"/>
            <w:gridSpan w:val="2"/>
            <w:tcBorders>
              <w:top w:val="nil"/>
              <w:left w:val="single" w:sz="8" w:space="0" w:color="auto"/>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主管部门</w:t>
            </w:r>
          </w:p>
        </w:tc>
        <w:tc>
          <w:tcPr>
            <w:tcW w:w="0" w:type="auto"/>
            <w:gridSpan w:val="3"/>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北京市教育委员会</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实施单位</w:t>
            </w:r>
          </w:p>
        </w:tc>
        <w:tc>
          <w:tcPr>
            <w:tcW w:w="0" w:type="auto"/>
            <w:gridSpan w:val="3"/>
            <w:tcBorders>
              <w:top w:val="single" w:sz="8" w:space="0" w:color="auto"/>
              <w:left w:val="nil"/>
              <w:bottom w:val="single" w:sz="8" w:space="0" w:color="auto"/>
              <w:right w:val="single" w:sz="8" w:space="0" w:color="auto"/>
            </w:tcBorders>
            <w:shd w:val="clear" w:color="auto" w:fill="auto"/>
            <w:vAlign w:val="center"/>
            <w:hideMark/>
          </w:tcPr>
          <w:p w:rsidR="009B5DC4" w:rsidRPr="009B5DC4" w:rsidRDefault="000C39C8" w:rsidP="009B5DC4">
            <w:pPr>
              <w:widowControl/>
              <w:jc w:val="center"/>
              <w:rPr>
                <w:rFonts w:ascii="仿宋_GB2312" w:eastAsia="仿宋_GB2312" w:hAnsi="宋体" w:cs="宋体"/>
                <w:kern w:val="0"/>
                <w:szCs w:val="21"/>
              </w:rPr>
            </w:pPr>
            <w:r>
              <w:rPr>
                <w:rFonts w:ascii="仿宋_GB2312" w:eastAsia="仿宋_GB2312" w:hAnsi="宋体" w:cs="宋体" w:hint="eastAsia"/>
                <w:kern w:val="0"/>
                <w:szCs w:val="21"/>
              </w:rPr>
              <w:t>北京市教委本级事业</w:t>
            </w:r>
            <w:bookmarkStart w:id="0" w:name="_GoBack"/>
            <w:bookmarkEnd w:id="0"/>
          </w:p>
        </w:tc>
      </w:tr>
      <w:tr w:rsidR="009B5DC4" w:rsidRPr="009B5DC4" w:rsidTr="009B5DC4">
        <w:trPr>
          <w:cantSplit/>
          <w:trHeight w:val="345"/>
        </w:trPr>
        <w:tc>
          <w:tcPr>
            <w:tcW w:w="0" w:type="auto"/>
            <w:gridSpan w:val="2"/>
            <w:tcBorders>
              <w:top w:val="nil"/>
              <w:left w:val="single" w:sz="8" w:space="0" w:color="auto"/>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项目负责人</w:t>
            </w:r>
          </w:p>
        </w:tc>
        <w:tc>
          <w:tcPr>
            <w:tcW w:w="0" w:type="auto"/>
            <w:gridSpan w:val="3"/>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王力志</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联系电话</w:t>
            </w:r>
          </w:p>
        </w:tc>
        <w:tc>
          <w:tcPr>
            <w:tcW w:w="0" w:type="auto"/>
            <w:gridSpan w:val="3"/>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51994821</w:t>
            </w:r>
          </w:p>
        </w:tc>
      </w:tr>
      <w:tr w:rsidR="009B5DC4" w:rsidRPr="009B5DC4" w:rsidTr="009B5DC4">
        <w:trPr>
          <w:cantSplit/>
          <w:trHeight w:val="345"/>
        </w:trPr>
        <w:tc>
          <w:tcPr>
            <w:tcW w:w="0" w:type="auto"/>
            <w:gridSpan w:val="2"/>
            <w:vMerge w:val="restart"/>
            <w:tcBorders>
              <w:top w:val="nil"/>
              <w:left w:val="single" w:sz="8" w:space="0" w:color="auto"/>
              <w:right w:val="single" w:sz="8" w:space="0" w:color="000000"/>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项目资金</w:t>
            </w:r>
          </w:p>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（万元）</w:t>
            </w:r>
          </w:p>
          <w:p w:rsidR="009B5DC4" w:rsidRPr="009B5DC4" w:rsidRDefault="009B5DC4" w:rsidP="009B5DC4">
            <w:pPr>
              <w:widowControl/>
              <w:jc w:val="left"/>
              <w:rPr>
                <w:rFonts w:ascii="宋体" w:hAnsi="宋体" w:cs="宋体"/>
                <w:kern w:val="0"/>
                <w:sz w:val="24"/>
              </w:rPr>
            </w:pPr>
            <w:r w:rsidRPr="009B5DC4">
              <w:rPr>
                <w:rFonts w:ascii="宋体" w:hAnsi="宋体" w:cs="宋体" w:hint="eastAsia"/>
                <w:kern w:val="0"/>
                <w:sz w:val="24"/>
              </w:rPr>
              <w:t xml:space="preserve">　</w:t>
            </w:r>
          </w:p>
          <w:p w:rsidR="009B5DC4" w:rsidRPr="009B5DC4" w:rsidRDefault="009B5DC4" w:rsidP="009B5DC4">
            <w:pPr>
              <w:widowControl/>
              <w:jc w:val="left"/>
              <w:rPr>
                <w:rFonts w:ascii="宋体" w:hAnsi="宋体" w:cs="宋体"/>
                <w:kern w:val="0"/>
                <w:sz w:val="24"/>
              </w:rPr>
            </w:pPr>
            <w:r w:rsidRPr="009B5DC4">
              <w:rPr>
                <w:rFonts w:ascii="宋体" w:hAnsi="宋体" w:cs="宋体" w:hint="eastAsia"/>
                <w:kern w:val="0"/>
                <w:sz w:val="24"/>
              </w:rPr>
              <w:t xml:space="preserve">　</w:t>
            </w:r>
          </w:p>
          <w:p w:rsidR="009B5DC4" w:rsidRPr="009B5DC4" w:rsidRDefault="009B5DC4" w:rsidP="009B5DC4">
            <w:pPr>
              <w:widowControl/>
              <w:jc w:val="left"/>
              <w:rPr>
                <w:rFonts w:ascii="宋体" w:hAnsi="宋体" w:cs="宋体"/>
                <w:kern w:val="0"/>
                <w:sz w:val="24"/>
              </w:rPr>
            </w:pPr>
            <w:r w:rsidRPr="009B5DC4">
              <w:rPr>
                <w:rFonts w:ascii="宋体" w:hAnsi="宋体" w:cs="宋体" w:hint="eastAsia"/>
                <w:kern w:val="0"/>
                <w:sz w:val="24"/>
              </w:rPr>
              <w:t xml:space="preserve">　</w:t>
            </w:r>
          </w:p>
          <w:p w:rsidR="009B5DC4" w:rsidRPr="009B5DC4" w:rsidRDefault="009B5DC4" w:rsidP="009B5DC4">
            <w:pPr>
              <w:widowControl/>
              <w:jc w:val="left"/>
              <w:rPr>
                <w:rFonts w:ascii="宋体" w:hAnsi="宋体" w:cs="宋体"/>
                <w:kern w:val="0"/>
                <w:sz w:val="24"/>
              </w:rPr>
            </w:pPr>
            <w:r w:rsidRPr="009B5DC4">
              <w:rPr>
                <w:rFonts w:ascii="宋体" w:hAnsi="宋体" w:cs="宋体" w:hint="eastAsia"/>
                <w:kern w:val="0"/>
                <w:sz w:val="24"/>
              </w:rPr>
              <w:t xml:space="preserve">　</w:t>
            </w:r>
          </w:p>
          <w:p w:rsidR="009B5DC4" w:rsidRPr="009B5DC4" w:rsidRDefault="009B5DC4" w:rsidP="009B5DC4">
            <w:pPr>
              <w:jc w:val="left"/>
              <w:rPr>
                <w:rFonts w:ascii="仿宋_GB2312" w:eastAsia="仿宋_GB2312" w:hAnsi="宋体" w:cs="宋体"/>
                <w:kern w:val="0"/>
                <w:szCs w:val="21"/>
              </w:rPr>
            </w:pPr>
            <w:r w:rsidRPr="009B5DC4">
              <w:rPr>
                <w:rFonts w:ascii="宋体" w:hAnsi="宋体" w:cs="宋体" w:hint="eastAsia"/>
                <w:kern w:val="0"/>
                <w:sz w:val="24"/>
              </w:rPr>
              <w:t xml:space="preserve">　</w:t>
            </w:r>
          </w:p>
        </w:tc>
        <w:tc>
          <w:tcPr>
            <w:tcW w:w="903" w:type="dxa"/>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c>
          <w:tcPr>
            <w:tcW w:w="1626" w:type="dxa"/>
            <w:tcBorders>
              <w:top w:val="nil"/>
              <w:left w:val="nil"/>
              <w:bottom w:val="nil"/>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年初预</w:t>
            </w:r>
          </w:p>
        </w:tc>
        <w:tc>
          <w:tcPr>
            <w:tcW w:w="0" w:type="auto"/>
            <w:tcBorders>
              <w:top w:val="nil"/>
              <w:left w:val="nil"/>
              <w:bottom w:val="nil"/>
              <w:right w:val="single" w:sz="8" w:space="0" w:color="000000"/>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全年预</w:t>
            </w:r>
          </w:p>
        </w:tc>
        <w:tc>
          <w:tcPr>
            <w:tcW w:w="0" w:type="auto"/>
            <w:tcBorders>
              <w:top w:val="nil"/>
              <w:left w:val="nil"/>
              <w:bottom w:val="nil"/>
              <w:right w:val="single" w:sz="8" w:space="0" w:color="000000"/>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全年</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分值</w:t>
            </w:r>
          </w:p>
        </w:tc>
        <w:tc>
          <w:tcPr>
            <w:tcW w:w="0" w:type="auto"/>
            <w:vMerge w:val="restart"/>
            <w:tcBorders>
              <w:top w:val="single" w:sz="8" w:space="0" w:color="auto"/>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执行率</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得分</w:t>
            </w:r>
          </w:p>
        </w:tc>
      </w:tr>
      <w:tr w:rsidR="009B5DC4" w:rsidRPr="009B5DC4" w:rsidTr="009B5DC4">
        <w:trPr>
          <w:cantSplit/>
          <w:trHeight w:val="345"/>
        </w:trPr>
        <w:tc>
          <w:tcPr>
            <w:tcW w:w="0" w:type="auto"/>
            <w:gridSpan w:val="2"/>
            <w:vMerge/>
            <w:tcBorders>
              <w:left w:val="single" w:sz="8" w:space="0" w:color="auto"/>
              <w:right w:val="single" w:sz="8" w:space="0" w:color="000000"/>
            </w:tcBorders>
            <w:shd w:val="clear" w:color="auto" w:fill="auto"/>
            <w:vAlign w:val="center"/>
            <w:hideMark/>
          </w:tcPr>
          <w:p w:rsidR="009B5DC4" w:rsidRPr="009B5DC4" w:rsidRDefault="009B5DC4" w:rsidP="009B5DC4">
            <w:pPr>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算数</w:t>
            </w:r>
          </w:p>
        </w:tc>
        <w:tc>
          <w:tcPr>
            <w:tcW w:w="0" w:type="auto"/>
            <w:tcBorders>
              <w:top w:val="nil"/>
              <w:left w:val="nil"/>
              <w:bottom w:val="single" w:sz="8" w:space="0" w:color="auto"/>
              <w:right w:val="single" w:sz="8" w:space="0" w:color="000000"/>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算数</w:t>
            </w:r>
          </w:p>
        </w:tc>
        <w:tc>
          <w:tcPr>
            <w:tcW w:w="0" w:type="auto"/>
            <w:tcBorders>
              <w:top w:val="nil"/>
              <w:left w:val="nil"/>
              <w:bottom w:val="single" w:sz="8" w:space="0" w:color="auto"/>
              <w:right w:val="single" w:sz="8" w:space="0" w:color="000000"/>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执行数</w:t>
            </w: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single" w:sz="8" w:space="0" w:color="auto"/>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r>
      <w:tr w:rsidR="009B5DC4" w:rsidRPr="009B5DC4" w:rsidTr="009B5DC4">
        <w:trPr>
          <w:cantSplit/>
          <w:trHeight w:val="345"/>
        </w:trPr>
        <w:tc>
          <w:tcPr>
            <w:tcW w:w="0" w:type="auto"/>
            <w:gridSpan w:val="2"/>
            <w:vMerge/>
            <w:tcBorders>
              <w:left w:val="single" w:sz="8" w:space="0" w:color="auto"/>
              <w:right w:val="single" w:sz="8" w:space="0" w:color="000000"/>
            </w:tcBorders>
            <w:shd w:val="clear" w:color="auto" w:fill="auto"/>
            <w:noWrap/>
            <w:vAlign w:val="center"/>
            <w:hideMark/>
          </w:tcPr>
          <w:p w:rsidR="009B5DC4" w:rsidRPr="009B5DC4" w:rsidRDefault="009B5DC4" w:rsidP="009B5DC4">
            <w:pPr>
              <w:jc w:val="left"/>
              <w:rPr>
                <w:rFonts w:ascii="宋体" w:hAnsi="宋体" w:cs="宋体"/>
                <w:kern w:val="0"/>
                <w:sz w:val="24"/>
              </w:rPr>
            </w:pPr>
          </w:p>
        </w:tc>
        <w:tc>
          <w:tcPr>
            <w:tcW w:w="903"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rPr>
                <w:rFonts w:ascii="仿宋_GB2312" w:eastAsia="仿宋_GB2312" w:hAnsi="宋体" w:cs="宋体"/>
                <w:kern w:val="0"/>
                <w:szCs w:val="21"/>
              </w:rPr>
            </w:pPr>
            <w:r w:rsidRPr="009B5DC4">
              <w:rPr>
                <w:rFonts w:ascii="仿宋_GB2312" w:eastAsia="仿宋_GB2312" w:hAnsi="宋体" w:cs="宋体" w:hint="eastAsia"/>
                <w:kern w:val="0"/>
                <w:szCs w:val="21"/>
              </w:rPr>
              <w:t>年度资金总额</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61.4132</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61.4132</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50</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10</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81.42%</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9</w:t>
            </w:r>
          </w:p>
        </w:tc>
      </w:tr>
      <w:tr w:rsidR="009B5DC4" w:rsidRPr="009B5DC4" w:rsidTr="009B5DC4">
        <w:trPr>
          <w:cantSplit/>
          <w:trHeight w:val="345"/>
        </w:trPr>
        <w:tc>
          <w:tcPr>
            <w:tcW w:w="0" w:type="auto"/>
            <w:gridSpan w:val="2"/>
            <w:vMerge/>
            <w:tcBorders>
              <w:left w:val="single" w:sz="8" w:space="0" w:color="auto"/>
              <w:right w:val="single" w:sz="8" w:space="0" w:color="000000"/>
            </w:tcBorders>
            <w:shd w:val="clear" w:color="auto" w:fill="auto"/>
            <w:noWrap/>
            <w:vAlign w:val="center"/>
            <w:hideMark/>
          </w:tcPr>
          <w:p w:rsidR="009B5DC4" w:rsidRPr="009B5DC4" w:rsidRDefault="009B5DC4" w:rsidP="009B5DC4">
            <w:pPr>
              <w:jc w:val="left"/>
              <w:rPr>
                <w:rFonts w:ascii="宋体" w:hAnsi="宋体" w:cs="宋体"/>
                <w:kern w:val="0"/>
                <w:sz w:val="24"/>
              </w:rPr>
            </w:pPr>
          </w:p>
        </w:tc>
        <w:tc>
          <w:tcPr>
            <w:tcW w:w="903" w:type="dxa"/>
            <w:tcBorders>
              <w:top w:val="nil"/>
              <w:left w:val="nil"/>
              <w:bottom w:val="nil"/>
              <w:right w:val="single" w:sz="8" w:space="0" w:color="000000"/>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其中：当年财政</w:t>
            </w:r>
          </w:p>
        </w:tc>
        <w:tc>
          <w:tcPr>
            <w:tcW w:w="1626" w:type="dxa"/>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61.4132</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61.4132</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50</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81.42%</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w:t>
            </w:r>
          </w:p>
        </w:tc>
      </w:tr>
      <w:tr w:rsidR="009B5DC4" w:rsidRPr="009B5DC4" w:rsidTr="009B5DC4">
        <w:trPr>
          <w:cantSplit/>
          <w:trHeight w:val="345"/>
        </w:trPr>
        <w:tc>
          <w:tcPr>
            <w:tcW w:w="0" w:type="auto"/>
            <w:gridSpan w:val="2"/>
            <w:vMerge/>
            <w:tcBorders>
              <w:left w:val="single" w:sz="8" w:space="0" w:color="auto"/>
              <w:right w:val="single" w:sz="8" w:space="0" w:color="000000"/>
            </w:tcBorders>
            <w:shd w:val="clear" w:color="auto" w:fill="auto"/>
            <w:noWrap/>
            <w:vAlign w:val="center"/>
            <w:hideMark/>
          </w:tcPr>
          <w:p w:rsidR="009B5DC4" w:rsidRPr="009B5DC4" w:rsidRDefault="009B5DC4" w:rsidP="009B5DC4">
            <w:pPr>
              <w:jc w:val="left"/>
              <w:rPr>
                <w:rFonts w:ascii="宋体" w:hAnsi="宋体" w:cs="宋体"/>
                <w:kern w:val="0"/>
                <w:sz w:val="24"/>
              </w:rPr>
            </w:pPr>
          </w:p>
        </w:tc>
        <w:tc>
          <w:tcPr>
            <w:tcW w:w="903" w:type="dxa"/>
            <w:tcBorders>
              <w:top w:val="nil"/>
              <w:left w:val="nil"/>
              <w:bottom w:val="single" w:sz="8" w:space="0" w:color="auto"/>
              <w:right w:val="single" w:sz="8" w:space="0" w:color="000000"/>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拨款</w:t>
            </w:r>
          </w:p>
        </w:tc>
        <w:tc>
          <w:tcPr>
            <w:tcW w:w="1626"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r>
      <w:tr w:rsidR="009B5DC4" w:rsidRPr="009B5DC4" w:rsidTr="009B5DC4">
        <w:trPr>
          <w:cantSplit/>
          <w:trHeight w:val="525"/>
        </w:trPr>
        <w:tc>
          <w:tcPr>
            <w:tcW w:w="0" w:type="auto"/>
            <w:gridSpan w:val="2"/>
            <w:vMerge/>
            <w:tcBorders>
              <w:left w:val="single" w:sz="8" w:space="0" w:color="auto"/>
              <w:right w:val="single" w:sz="8" w:space="0" w:color="000000"/>
            </w:tcBorders>
            <w:shd w:val="clear" w:color="auto" w:fill="auto"/>
            <w:noWrap/>
            <w:vAlign w:val="center"/>
            <w:hideMark/>
          </w:tcPr>
          <w:p w:rsidR="009B5DC4" w:rsidRPr="009B5DC4" w:rsidRDefault="009B5DC4" w:rsidP="009B5DC4">
            <w:pPr>
              <w:jc w:val="left"/>
              <w:rPr>
                <w:rFonts w:ascii="宋体" w:hAnsi="宋体" w:cs="宋体"/>
                <w:kern w:val="0"/>
                <w:sz w:val="24"/>
              </w:rPr>
            </w:pPr>
          </w:p>
        </w:tc>
        <w:tc>
          <w:tcPr>
            <w:tcW w:w="903"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上年结转资金</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w:t>
            </w:r>
          </w:p>
        </w:tc>
      </w:tr>
      <w:tr w:rsidR="009B5DC4" w:rsidRPr="009B5DC4" w:rsidTr="009B5DC4">
        <w:trPr>
          <w:cantSplit/>
          <w:trHeight w:val="345"/>
        </w:trPr>
        <w:tc>
          <w:tcPr>
            <w:tcW w:w="0" w:type="auto"/>
            <w:gridSpan w:val="2"/>
            <w:vMerge/>
            <w:tcBorders>
              <w:left w:val="single" w:sz="8" w:space="0" w:color="auto"/>
              <w:bottom w:val="single" w:sz="8" w:space="0" w:color="auto"/>
              <w:right w:val="single" w:sz="8" w:space="0" w:color="000000"/>
            </w:tcBorders>
            <w:shd w:val="clear" w:color="auto" w:fill="auto"/>
            <w:noWrap/>
            <w:vAlign w:val="center"/>
            <w:hideMark/>
          </w:tcPr>
          <w:p w:rsidR="009B5DC4" w:rsidRPr="009B5DC4" w:rsidRDefault="009B5DC4" w:rsidP="009B5DC4">
            <w:pPr>
              <w:widowControl/>
              <w:jc w:val="left"/>
              <w:rPr>
                <w:rFonts w:ascii="宋体" w:hAnsi="宋体" w:cs="宋体"/>
                <w:kern w:val="0"/>
                <w:sz w:val="24"/>
              </w:rPr>
            </w:pPr>
          </w:p>
        </w:tc>
        <w:tc>
          <w:tcPr>
            <w:tcW w:w="903"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其他资金</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w:t>
            </w:r>
          </w:p>
        </w:tc>
      </w:tr>
      <w:tr w:rsidR="009B5DC4" w:rsidRPr="009B5DC4" w:rsidTr="009B5DC4">
        <w:trPr>
          <w:cantSplit/>
          <w:trHeight w:val="345"/>
        </w:trPr>
        <w:tc>
          <w:tcPr>
            <w:tcW w:w="0" w:type="auto"/>
            <w:vMerge w:val="restart"/>
            <w:tcBorders>
              <w:top w:val="nil"/>
              <w:left w:val="single" w:sz="8" w:space="0" w:color="auto"/>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年度总体目标</w:t>
            </w:r>
          </w:p>
        </w:tc>
        <w:tc>
          <w:tcPr>
            <w:tcW w:w="0" w:type="auto"/>
            <w:gridSpan w:val="4"/>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预期目标</w:t>
            </w:r>
          </w:p>
        </w:tc>
        <w:tc>
          <w:tcPr>
            <w:tcW w:w="0" w:type="auto"/>
            <w:gridSpan w:val="4"/>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实际完成情况</w:t>
            </w:r>
          </w:p>
        </w:tc>
      </w:tr>
      <w:tr w:rsidR="009B5DC4" w:rsidRPr="009B5DC4" w:rsidTr="009B5DC4">
        <w:trPr>
          <w:cantSplit/>
          <w:trHeight w:val="345"/>
        </w:trPr>
        <w:tc>
          <w:tcPr>
            <w:tcW w:w="0" w:type="auto"/>
            <w:vMerge/>
            <w:tcBorders>
              <w:top w:val="nil"/>
              <w:left w:val="single" w:sz="8" w:space="0" w:color="auto"/>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gridSpan w:val="4"/>
            <w:tcBorders>
              <w:top w:val="nil"/>
              <w:left w:val="nil"/>
              <w:bottom w:val="nil"/>
              <w:right w:val="single" w:sz="8" w:space="0" w:color="000000"/>
            </w:tcBorders>
            <w:shd w:val="clear" w:color="auto" w:fill="auto"/>
            <w:vAlign w:val="center"/>
            <w:hideMark/>
          </w:tcPr>
          <w:p w:rsidR="009B5DC4" w:rsidRPr="009B5DC4" w:rsidRDefault="009B5DC4" w:rsidP="009B5DC4">
            <w:pPr>
              <w:widowControl/>
              <w:jc w:val="left"/>
              <w:rPr>
                <w:rFonts w:ascii="仿宋_GB2312" w:eastAsia="仿宋_GB2312" w:hAnsi="宋体" w:cs="宋体"/>
                <w:kern w:val="0"/>
                <w:szCs w:val="21"/>
              </w:rPr>
            </w:pPr>
            <w:r w:rsidRPr="009B5DC4">
              <w:rPr>
                <w:rFonts w:ascii="仿宋_GB2312" w:eastAsia="仿宋_GB2312" w:hAnsi="宋体" w:cs="宋体" w:hint="eastAsia"/>
                <w:kern w:val="0"/>
                <w:szCs w:val="21"/>
              </w:rPr>
              <w:t xml:space="preserve">2021年5月至10月 监测民办高校招生宣传活动  </w:t>
            </w:r>
          </w:p>
        </w:tc>
        <w:tc>
          <w:tcPr>
            <w:tcW w:w="0" w:type="auto"/>
            <w:gridSpan w:val="4"/>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kern w:val="0"/>
                <w:szCs w:val="21"/>
              </w:rPr>
            </w:pPr>
            <w:r w:rsidRPr="009B5DC4">
              <w:rPr>
                <w:rFonts w:ascii="仿宋_GB2312" w:eastAsia="仿宋_GB2312" w:hAnsi="宋体" w:cs="宋体" w:hint="eastAsia"/>
                <w:kern w:val="0"/>
                <w:szCs w:val="21"/>
              </w:rPr>
              <w:t>北京千龙新闻网络传播有限责任公司按照合同完成了对北京民办高校招生简章和广告备案及招生活动监测；完成民办高校常态敏感信息监测；制作10期招生监测分析报告，制作10期舆情监测分析报告，已达到预期目标要求。</w:t>
            </w:r>
          </w:p>
        </w:tc>
      </w:tr>
      <w:tr w:rsidR="009B5DC4" w:rsidRPr="009B5DC4" w:rsidTr="009B5DC4">
        <w:trPr>
          <w:cantSplit/>
          <w:trHeight w:val="345"/>
        </w:trPr>
        <w:tc>
          <w:tcPr>
            <w:tcW w:w="0" w:type="auto"/>
            <w:vMerge/>
            <w:tcBorders>
              <w:top w:val="nil"/>
              <w:left w:val="single" w:sz="8" w:space="0" w:color="auto"/>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gridSpan w:val="4"/>
            <w:tcBorders>
              <w:top w:val="nil"/>
              <w:left w:val="nil"/>
              <w:bottom w:val="nil"/>
              <w:right w:val="single" w:sz="8" w:space="0" w:color="000000"/>
            </w:tcBorders>
            <w:shd w:val="clear" w:color="auto" w:fill="auto"/>
            <w:vAlign w:val="center"/>
            <w:hideMark/>
          </w:tcPr>
          <w:p w:rsidR="009B5DC4" w:rsidRPr="009B5DC4" w:rsidRDefault="009B5DC4" w:rsidP="009B5DC4">
            <w:pPr>
              <w:widowControl/>
              <w:jc w:val="left"/>
              <w:rPr>
                <w:rFonts w:ascii="仿宋_GB2312" w:eastAsia="仿宋_GB2312" w:hAnsi="宋体" w:cs="宋体"/>
                <w:kern w:val="0"/>
                <w:szCs w:val="21"/>
              </w:rPr>
            </w:pPr>
            <w:r w:rsidRPr="009B5DC4">
              <w:rPr>
                <w:rFonts w:ascii="仿宋_GB2312" w:eastAsia="仿宋_GB2312" w:hAnsi="宋体" w:cs="宋体" w:hint="eastAsia"/>
                <w:kern w:val="0"/>
                <w:szCs w:val="21"/>
              </w:rPr>
              <w:t xml:space="preserve">2021年5月至10月 监测民办高校常态敏感信息   </w:t>
            </w:r>
          </w:p>
        </w:tc>
        <w:tc>
          <w:tcPr>
            <w:tcW w:w="0" w:type="auto"/>
            <w:gridSpan w:val="4"/>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r>
      <w:tr w:rsidR="009B5DC4" w:rsidRPr="009B5DC4" w:rsidTr="009B5DC4">
        <w:trPr>
          <w:cantSplit/>
          <w:trHeight w:val="345"/>
        </w:trPr>
        <w:tc>
          <w:tcPr>
            <w:tcW w:w="0" w:type="auto"/>
            <w:vMerge/>
            <w:tcBorders>
              <w:top w:val="nil"/>
              <w:left w:val="single" w:sz="8" w:space="0" w:color="auto"/>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gridSpan w:val="4"/>
            <w:tcBorders>
              <w:top w:val="nil"/>
              <w:left w:val="nil"/>
              <w:bottom w:val="nil"/>
              <w:right w:val="single" w:sz="8" w:space="0" w:color="000000"/>
            </w:tcBorders>
            <w:shd w:val="clear" w:color="auto" w:fill="auto"/>
            <w:vAlign w:val="center"/>
            <w:hideMark/>
          </w:tcPr>
          <w:p w:rsidR="009B5DC4" w:rsidRPr="009B5DC4" w:rsidRDefault="009B5DC4" w:rsidP="009B5DC4">
            <w:pPr>
              <w:widowControl/>
              <w:jc w:val="left"/>
              <w:rPr>
                <w:rFonts w:ascii="仿宋_GB2312" w:eastAsia="仿宋_GB2312" w:hAnsi="宋体" w:cs="宋体"/>
                <w:kern w:val="0"/>
                <w:szCs w:val="21"/>
              </w:rPr>
            </w:pPr>
            <w:r w:rsidRPr="009B5DC4">
              <w:rPr>
                <w:rFonts w:ascii="仿宋_GB2312" w:eastAsia="仿宋_GB2312" w:hAnsi="宋体" w:cs="宋体" w:hint="eastAsia"/>
                <w:kern w:val="0"/>
                <w:szCs w:val="21"/>
              </w:rPr>
              <w:t>2021年5月至10月 制作8-10期招生监测分析报告</w:t>
            </w:r>
          </w:p>
        </w:tc>
        <w:tc>
          <w:tcPr>
            <w:tcW w:w="0" w:type="auto"/>
            <w:gridSpan w:val="4"/>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r>
      <w:tr w:rsidR="009B5DC4" w:rsidRPr="009B5DC4" w:rsidTr="009B5DC4">
        <w:trPr>
          <w:cantSplit/>
          <w:trHeight w:val="345"/>
        </w:trPr>
        <w:tc>
          <w:tcPr>
            <w:tcW w:w="0" w:type="auto"/>
            <w:vMerge/>
            <w:tcBorders>
              <w:top w:val="nil"/>
              <w:left w:val="single" w:sz="8" w:space="0" w:color="auto"/>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gridSpan w:val="4"/>
            <w:tcBorders>
              <w:top w:val="nil"/>
              <w:left w:val="nil"/>
              <w:bottom w:val="nil"/>
              <w:right w:val="single" w:sz="8" w:space="0" w:color="000000"/>
            </w:tcBorders>
            <w:shd w:val="clear" w:color="auto" w:fill="auto"/>
            <w:vAlign w:val="center"/>
            <w:hideMark/>
          </w:tcPr>
          <w:p w:rsidR="009B5DC4" w:rsidRPr="009B5DC4" w:rsidRDefault="009B5DC4" w:rsidP="009B5DC4">
            <w:pPr>
              <w:widowControl/>
              <w:jc w:val="left"/>
              <w:rPr>
                <w:rFonts w:ascii="仿宋_GB2312" w:eastAsia="仿宋_GB2312" w:hAnsi="宋体" w:cs="宋体"/>
                <w:kern w:val="0"/>
                <w:szCs w:val="21"/>
              </w:rPr>
            </w:pPr>
            <w:r w:rsidRPr="009B5DC4">
              <w:rPr>
                <w:rFonts w:ascii="仿宋_GB2312" w:eastAsia="仿宋_GB2312" w:hAnsi="宋体" w:cs="宋体" w:hint="eastAsia"/>
                <w:kern w:val="0"/>
                <w:szCs w:val="21"/>
              </w:rPr>
              <w:t xml:space="preserve">2021年5月至10月 制作8-10期舆情监测分析报告  </w:t>
            </w:r>
          </w:p>
        </w:tc>
        <w:tc>
          <w:tcPr>
            <w:tcW w:w="0" w:type="auto"/>
            <w:gridSpan w:val="4"/>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r>
      <w:tr w:rsidR="009B5DC4" w:rsidRPr="009B5DC4" w:rsidTr="009B5DC4">
        <w:trPr>
          <w:cantSplit/>
          <w:trHeight w:val="525"/>
        </w:trPr>
        <w:tc>
          <w:tcPr>
            <w:tcW w:w="0" w:type="auto"/>
            <w:vMerge/>
            <w:tcBorders>
              <w:top w:val="nil"/>
              <w:left w:val="single" w:sz="8" w:space="0" w:color="auto"/>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gridSpan w:val="4"/>
            <w:tcBorders>
              <w:top w:val="nil"/>
              <w:left w:val="nil"/>
              <w:bottom w:val="single" w:sz="8" w:space="0" w:color="auto"/>
              <w:right w:val="single" w:sz="8" w:space="0" w:color="000000"/>
            </w:tcBorders>
            <w:shd w:val="clear" w:color="auto" w:fill="auto"/>
            <w:vAlign w:val="center"/>
            <w:hideMark/>
          </w:tcPr>
          <w:p w:rsidR="009B5DC4" w:rsidRPr="009B5DC4" w:rsidRDefault="009B5DC4" w:rsidP="009B5DC4">
            <w:pPr>
              <w:widowControl/>
              <w:jc w:val="left"/>
              <w:rPr>
                <w:rFonts w:ascii="仿宋_GB2312" w:eastAsia="仿宋_GB2312" w:hAnsi="宋体" w:cs="宋体"/>
                <w:kern w:val="0"/>
                <w:szCs w:val="21"/>
              </w:rPr>
            </w:pPr>
            <w:r w:rsidRPr="009B5DC4">
              <w:rPr>
                <w:rFonts w:ascii="仿宋_GB2312" w:eastAsia="仿宋_GB2312" w:hAnsi="宋体" w:cs="宋体" w:hint="eastAsia"/>
                <w:kern w:val="0"/>
                <w:szCs w:val="21"/>
              </w:rPr>
              <w:t>2021年3月至11月 结合招生监测和舆情分析，组织民办高校负责招生宣传人员进行业务培训。</w:t>
            </w:r>
          </w:p>
        </w:tc>
        <w:tc>
          <w:tcPr>
            <w:tcW w:w="0" w:type="auto"/>
            <w:gridSpan w:val="4"/>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r>
      <w:tr w:rsidR="009B5DC4" w:rsidRPr="009B5DC4" w:rsidTr="009B5DC4">
        <w:trPr>
          <w:cantSplit/>
          <w:trHeight w:val="52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绩效指标</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一级指标</w:t>
            </w:r>
          </w:p>
        </w:tc>
        <w:tc>
          <w:tcPr>
            <w:tcW w:w="903" w:type="dxa"/>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二级指标</w:t>
            </w:r>
          </w:p>
        </w:tc>
        <w:tc>
          <w:tcPr>
            <w:tcW w:w="1626" w:type="dxa"/>
            <w:vMerge w:val="restart"/>
            <w:tcBorders>
              <w:top w:val="single" w:sz="8" w:space="0" w:color="auto"/>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三级指标</w:t>
            </w:r>
          </w:p>
        </w:tc>
        <w:tc>
          <w:tcPr>
            <w:tcW w:w="0" w:type="auto"/>
            <w:tcBorders>
              <w:top w:val="nil"/>
              <w:left w:val="nil"/>
              <w:bottom w:val="nil"/>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年度</w:t>
            </w:r>
          </w:p>
        </w:tc>
        <w:tc>
          <w:tcPr>
            <w:tcW w:w="0" w:type="auto"/>
            <w:tcBorders>
              <w:top w:val="nil"/>
              <w:left w:val="nil"/>
              <w:bottom w:val="nil"/>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实际</w:t>
            </w:r>
          </w:p>
        </w:tc>
        <w:tc>
          <w:tcPr>
            <w:tcW w:w="0" w:type="auto"/>
            <w:vMerge w:val="restart"/>
            <w:tcBorders>
              <w:top w:val="single" w:sz="8" w:space="0" w:color="auto"/>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分值</w:t>
            </w:r>
          </w:p>
        </w:tc>
        <w:tc>
          <w:tcPr>
            <w:tcW w:w="0" w:type="auto"/>
            <w:vMerge w:val="restart"/>
            <w:tcBorders>
              <w:top w:val="single" w:sz="8" w:space="0" w:color="auto"/>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得分</w:t>
            </w:r>
          </w:p>
        </w:tc>
        <w:tc>
          <w:tcPr>
            <w:tcW w:w="0" w:type="auto"/>
            <w:tcBorders>
              <w:top w:val="single" w:sz="8" w:space="0" w:color="auto"/>
              <w:left w:val="nil"/>
              <w:bottom w:val="nil"/>
              <w:right w:val="single" w:sz="8" w:space="0" w:color="000000"/>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偏差原因分析及改进</w:t>
            </w:r>
          </w:p>
        </w:tc>
      </w:tr>
      <w:tr w:rsidR="009B5DC4" w:rsidRPr="009B5DC4" w:rsidTr="009B5DC4">
        <w:trPr>
          <w:cantSplit/>
          <w:trHeight w:val="34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vMerge/>
            <w:tcBorders>
              <w:top w:val="single" w:sz="8" w:space="0" w:color="auto"/>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指标值</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完成值</w:t>
            </w: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tcBorders>
              <w:top w:val="nil"/>
              <w:left w:val="nil"/>
              <w:bottom w:val="single" w:sz="8" w:space="0" w:color="auto"/>
              <w:right w:val="single" w:sz="8" w:space="0" w:color="000000"/>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措施</w:t>
            </w:r>
          </w:p>
        </w:tc>
      </w:tr>
      <w:tr w:rsidR="009B5DC4" w:rsidRPr="009B5DC4" w:rsidTr="009B5DC4">
        <w:trPr>
          <w:cantSplit/>
          <w:trHeight w:val="130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产出指标</w:t>
            </w:r>
          </w:p>
        </w:tc>
        <w:tc>
          <w:tcPr>
            <w:tcW w:w="903" w:type="dxa"/>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数量指标</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指标1：学校招生活动监测量</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对105所民办高校招生宣传活动进行监测</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已完成对105所民办高校招生宣传</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8</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8</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334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指标2：招生简章和广告备案完成量</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对具有招生资格、符合备案要求的学校进行民办高校招生简章和广告备案的完成量（数量以当年年检公布为准）</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已完成对具有招生资格、符合备案</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8</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8</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130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指标3：民办高校参加培训的数量</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对85所学校相关管理人员进行培训。</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因新冠肺炎疫情原因未能组织相关培训</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2.5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培训内容已准备就绪，因疫情未完成</w:t>
            </w:r>
          </w:p>
        </w:tc>
      </w:tr>
      <w:tr w:rsidR="009B5DC4" w:rsidRPr="009B5DC4" w:rsidTr="009B5DC4">
        <w:trPr>
          <w:cantSplit/>
          <w:trHeight w:val="232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质量指标</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指标1：学校招生活动监测</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第一时间发现学校的违规招生活动，上报市教委，为处置违规学校提供事实依据。</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已完成学校招生活动监测</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1050"/>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指标2：招生简章和广告备案的完成率</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完成应备必备案学校95%以上。</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招生简章和广告备案完成</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1560"/>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指标3：学校工作人员业务能力</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学校提交的备案材料是否符合法律和文件要求。</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学校提交的备案材料是否符合法律和文件要求。</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130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时效指标</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指标1：学校招生活动监测</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2021年5月1日至10月30日进行全时监测</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完成规定时段监测</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79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指标2：招生简章和广告备案进度安排</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2021年5月至9月</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按照进度安排进行监测</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130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指标3：相关培训进度安排</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2021年3月至11月</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因新冠肺炎疫情原因未能组织相关培训</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2.5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培训内容已准备就绪，因疫情未完成</w:t>
            </w:r>
          </w:p>
        </w:tc>
      </w:tr>
      <w:tr w:rsidR="009B5DC4" w:rsidRPr="009B5DC4" w:rsidTr="009B5DC4">
        <w:trPr>
          <w:cantSplit/>
          <w:trHeight w:val="2580"/>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成本指标</w:t>
            </w:r>
          </w:p>
        </w:tc>
        <w:tc>
          <w:tcPr>
            <w:tcW w:w="1626" w:type="dxa"/>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指标1：专家咨询费</w:t>
            </w:r>
          </w:p>
        </w:tc>
        <w:tc>
          <w:tcPr>
            <w:tcW w:w="0" w:type="auto"/>
            <w:tcBorders>
              <w:top w:val="nil"/>
              <w:left w:val="nil"/>
              <w:bottom w:val="nil"/>
              <w:right w:val="single" w:sz="8" w:space="0" w:color="auto"/>
            </w:tcBorders>
            <w:shd w:val="clear" w:color="auto" w:fill="auto"/>
            <w:vAlign w:val="center"/>
            <w:hideMark/>
          </w:tcPr>
          <w:p w:rsidR="009B5DC4" w:rsidRPr="009B5DC4" w:rsidRDefault="009B5DC4" w:rsidP="009B5DC4">
            <w:pPr>
              <w:widowControl/>
              <w:rPr>
                <w:rFonts w:ascii="仿宋_GB2312" w:eastAsia="仿宋_GB2312" w:hAnsi="宋体" w:cs="宋体"/>
                <w:kern w:val="0"/>
                <w:szCs w:val="21"/>
              </w:rPr>
            </w:pPr>
            <w:r w:rsidRPr="009B5DC4">
              <w:rPr>
                <w:rFonts w:ascii="仿宋_GB2312" w:eastAsia="仿宋_GB2312" w:hAnsi="宋体" w:cs="宋体" w:hint="eastAsia"/>
                <w:kern w:val="0"/>
                <w:szCs w:val="21"/>
              </w:rPr>
              <w:t>专家咨询费标准：800元/天？人（两天以内），400元/天？人（两天以后）。</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按要求咨询付费</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2040"/>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color w:val="000000"/>
                <w:kern w:val="0"/>
                <w:szCs w:val="21"/>
              </w:rPr>
            </w:pP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专家讲课费标准：正高职称4,000元/天？人，副高职称2,000元/天？人。</w:t>
            </w: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r>
      <w:tr w:rsidR="009B5DC4" w:rsidRPr="009B5DC4" w:rsidTr="009B5DC4">
        <w:trPr>
          <w:cantSplit/>
          <w:trHeight w:val="540"/>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指标2：外聘人员监测费</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每人每天150元。</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按要求外聘人员</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79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指标3：舆情软件费用</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按实际业务需求和功能核算</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按实际需求和功能核算</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1560"/>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效益指标</w:t>
            </w:r>
          </w:p>
        </w:tc>
        <w:tc>
          <w:tcPr>
            <w:tcW w:w="903" w:type="dxa"/>
            <w:tcBorders>
              <w:top w:val="nil"/>
              <w:left w:val="nil"/>
              <w:bottom w:val="nil"/>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经济效益</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指标1：学校备案规范度</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规范学校的招生行为，备案材料100%审核和备案。</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学校备案规范度98%</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130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指标</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指标2：维护学生权益</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维护学生合法权益，维护首都的安全稳定。</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维护学生合法权益</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540"/>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tcBorders>
              <w:top w:val="nil"/>
              <w:left w:val="nil"/>
              <w:bottom w:val="nil"/>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社会效益</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指标1：监测和防范不良社会舆情</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规范学校招生宣传</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规范学校招生宣传</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79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903"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指标</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指标2：形成规范招生宣传</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学校按备案内容招生宣传</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学校按备案内容招生宣</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1305"/>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tcBorders>
              <w:top w:val="nil"/>
              <w:left w:val="nil"/>
              <w:bottom w:val="nil"/>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满意度</w:t>
            </w:r>
          </w:p>
        </w:tc>
        <w:tc>
          <w:tcPr>
            <w:tcW w:w="903" w:type="dxa"/>
            <w:vMerge w:val="restart"/>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服务对象满意度标</w:t>
            </w: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指标1：民办高校的满意度</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民办学校对备案工作的满意程度≥95%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民办学校对备案工作的满意度达到98%</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1560"/>
        </w:trPr>
        <w:tc>
          <w:tcPr>
            <w:tcW w:w="0" w:type="auto"/>
            <w:vMerge/>
            <w:tcBorders>
              <w:top w:val="nil"/>
              <w:left w:val="single" w:sz="8" w:space="0" w:color="auto"/>
              <w:bottom w:val="single" w:sz="8" w:space="0" w:color="000000"/>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指标</w:t>
            </w:r>
          </w:p>
        </w:tc>
        <w:tc>
          <w:tcPr>
            <w:tcW w:w="903" w:type="dxa"/>
            <w:vMerge/>
            <w:tcBorders>
              <w:top w:val="nil"/>
              <w:left w:val="nil"/>
              <w:bottom w:val="single" w:sz="8" w:space="0" w:color="auto"/>
              <w:right w:val="single" w:sz="8" w:space="0" w:color="auto"/>
            </w:tcBorders>
            <w:vAlign w:val="center"/>
            <w:hideMark/>
          </w:tcPr>
          <w:p w:rsidR="009B5DC4" w:rsidRPr="009B5DC4" w:rsidRDefault="009B5DC4" w:rsidP="009B5DC4">
            <w:pPr>
              <w:widowControl/>
              <w:jc w:val="left"/>
              <w:rPr>
                <w:rFonts w:ascii="仿宋_GB2312" w:eastAsia="仿宋_GB2312" w:hAnsi="宋体" w:cs="宋体"/>
                <w:kern w:val="0"/>
                <w:szCs w:val="21"/>
              </w:rPr>
            </w:pPr>
          </w:p>
        </w:tc>
        <w:tc>
          <w:tcPr>
            <w:tcW w:w="1626" w:type="dxa"/>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left"/>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指标2：学生和家长的满意程度</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随机抽查民办高校学生对招生活动的满意度≥95%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随机抽查民办高校学生满意度达到96%</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6</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5.5</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kern w:val="0"/>
                <w:szCs w:val="21"/>
              </w:rPr>
            </w:pPr>
            <w:r w:rsidRPr="009B5DC4">
              <w:rPr>
                <w:rFonts w:ascii="仿宋_GB2312" w:eastAsia="仿宋_GB2312" w:hAnsi="宋体" w:cs="宋体" w:hint="eastAsia"/>
                <w:kern w:val="0"/>
                <w:szCs w:val="21"/>
              </w:rPr>
              <w:t xml:space="preserve">　</w:t>
            </w:r>
          </w:p>
        </w:tc>
      </w:tr>
      <w:tr w:rsidR="009B5DC4" w:rsidRPr="009B5DC4" w:rsidTr="009B5DC4">
        <w:trPr>
          <w:cantSplit/>
          <w:trHeight w:val="345"/>
        </w:trPr>
        <w:tc>
          <w:tcPr>
            <w:tcW w:w="0" w:type="auto"/>
            <w:gridSpan w:val="6"/>
            <w:tcBorders>
              <w:top w:val="nil"/>
              <w:left w:val="single" w:sz="8" w:space="0" w:color="auto"/>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总分</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100</w:t>
            </w:r>
          </w:p>
        </w:tc>
        <w:tc>
          <w:tcPr>
            <w:tcW w:w="0" w:type="auto"/>
            <w:tcBorders>
              <w:top w:val="nil"/>
              <w:left w:val="nil"/>
              <w:bottom w:val="single" w:sz="8" w:space="0" w:color="auto"/>
              <w:right w:val="single" w:sz="8" w:space="0" w:color="auto"/>
            </w:tcBorders>
            <w:shd w:val="clear" w:color="auto" w:fill="auto"/>
            <w:vAlign w:val="center"/>
            <w:hideMark/>
          </w:tcPr>
          <w:p w:rsidR="009B5DC4" w:rsidRPr="009B5DC4" w:rsidRDefault="009B5DC4" w:rsidP="009B5DC4">
            <w:pPr>
              <w:widowControl/>
              <w:jc w:val="center"/>
              <w:rPr>
                <w:rFonts w:ascii="仿宋_GB2312" w:eastAsia="仿宋_GB2312" w:hAnsi="宋体" w:cs="宋体"/>
                <w:color w:val="000000"/>
                <w:kern w:val="0"/>
                <w:szCs w:val="21"/>
              </w:rPr>
            </w:pPr>
            <w:r w:rsidRPr="009B5DC4">
              <w:rPr>
                <w:rFonts w:ascii="仿宋_GB2312" w:eastAsia="仿宋_GB2312" w:hAnsi="宋体" w:cs="宋体" w:hint="eastAsia"/>
                <w:color w:val="000000"/>
                <w:kern w:val="0"/>
                <w:szCs w:val="21"/>
              </w:rPr>
              <w:t>94.5</w:t>
            </w:r>
          </w:p>
        </w:tc>
        <w:tc>
          <w:tcPr>
            <w:tcW w:w="0" w:type="auto"/>
            <w:tcBorders>
              <w:top w:val="nil"/>
              <w:left w:val="nil"/>
              <w:bottom w:val="single" w:sz="8" w:space="0" w:color="auto"/>
              <w:right w:val="single" w:sz="8" w:space="0" w:color="auto"/>
            </w:tcBorders>
            <w:shd w:val="clear" w:color="auto" w:fill="auto"/>
            <w:noWrap/>
            <w:vAlign w:val="center"/>
            <w:hideMark/>
          </w:tcPr>
          <w:p w:rsidR="009B5DC4" w:rsidRPr="009B5DC4" w:rsidRDefault="009B5DC4" w:rsidP="009B5DC4">
            <w:pPr>
              <w:widowControl/>
              <w:jc w:val="left"/>
              <w:rPr>
                <w:rFonts w:ascii="宋体" w:hAnsi="宋体" w:cs="宋体"/>
                <w:kern w:val="0"/>
                <w:sz w:val="24"/>
              </w:rPr>
            </w:pPr>
            <w:r w:rsidRPr="009B5DC4">
              <w:rPr>
                <w:rFonts w:ascii="宋体" w:hAnsi="宋体" w:cs="宋体" w:hint="eastAsia"/>
                <w:kern w:val="0"/>
                <w:sz w:val="24"/>
              </w:rPr>
              <w:t xml:space="preserve">　</w:t>
            </w:r>
          </w:p>
        </w:tc>
      </w:tr>
    </w:tbl>
    <w:p w:rsidR="009B5DC4" w:rsidRDefault="009B5DC4"/>
    <w:sectPr w:rsidR="009B5DC4">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9E7" w:rsidRDefault="009129E7" w:rsidP="009B5DC4">
      <w:r>
        <w:separator/>
      </w:r>
    </w:p>
  </w:endnote>
  <w:endnote w:type="continuationSeparator" w:id="0">
    <w:p w:rsidR="009129E7" w:rsidRDefault="009129E7" w:rsidP="009B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9E7" w:rsidRDefault="009129E7" w:rsidP="009B5DC4">
      <w:r>
        <w:separator/>
      </w:r>
    </w:p>
  </w:footnote>
  <w:footnote w:type="continuationSeparator" w:id="0">
    <w:p w:rsidR="009129E7" w:rsidRDefault="009129E7" w:rsidP="009B5D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FjZGI5NmRlZjJmZjA2MWY5ZjQyODg5NTZmNzRjMDUifQ=="/>
  </w:docVars>
  <w:rsids>
    <w:rsidRoot w:val="00512C82"/>
    <w:rsid w:val="000C39C8"/>
    <w:rsid w:val="00254F38"/>
    <w:rsid w:val="002735E0"/>
    <w:rsid w:val="0029078D"/>
    <w:rsid w:val="003435ED"/>
    <w:rsid w:val="004365C3"/>
    <w:rsid w:val="0045516B"/>
    <w:rsid w:val="0045622B"/>
    <w:rsid w:val="00463D0C"/>
    <w:rsid w:val="00512C82"/>
    <w:rsid w:val="00525E06"/>
    <w:rsid w:val="00562454"/>
    <w:rsid w:val="00564291"/>
    <w:rsid w:val="00564DD2"/>
    <w:rsid w:val="00662B18"/>
    <w:rsid w:val="006A3C1D"/>
    <w:rsid w:val="006C78C7"/>
    <w:rsid w:val="0077753F"/>
    <w:rsid w:val="00785D19"/>
    <w:rsid w:val="008A3EEA"/>
    <w:rsid w:val="008F336B"/>
    <w:rsid w:val="009129E7"/>
    <w:rsid w:val="009B5DC4"/>
    <w:rsid w:val="00A72075"/>
    <w:rsid w:val="00A815E2"/>
    <w:rsid w:val="00B13363"/>
    <w:rsid w:val="00B47A57"/>
    <w:rsid w:val="00B54632"/>
    <w:rsid w:val="00B677D4"/>
    <w:rsid w:val="00CE49C2"/>
    <w:rsid w:val="00D61032"/>
    <w:rsid w:val="00DA3062"/>
    <w:rsid w:val="00DC0870"/>
    <w:rsid w:val="00E017CD"/>
    <w:rsid w:val="00EA7D5F"/>
    <w:rsid w:val="00F561EB"/>
    <w:rsid w:val="00FA067B"/>
    <w:rsid w:val="34CD0D00"/>
    <w:rsid w:val="36F851B0"/>
    <w:rsid w:val="6B7A4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A1A70A"/>
  <w15:docId w15:val="{73AB4193-67E0-4655-875B-2B0F6FA9A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Calibri" w:hAnsi="Calibri"/>
      <w:kern w:val="0"/>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a6">
    <w:name w:val="页眉 字符"/>
    <w:link w:val="a5"/>
    <w:uiPriority w:val="99"/>
    <w:rPr>
      <w:sz w:val="18"/>
      <w:szCs w:val="18"/>
    </w:rPr>
  </w:style>
  <w:style w:type="character" w:customStyle="1" w:styleId="a4">
    <w:name w:val="页脚 字符"/>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654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204AC-3067-4882-B455-B573BD5C6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284</Words>
  <Characters>1621</Characters>
  <Application>Microsoft Office Word</Application>
  <DocSecurity>0</DocSecurity>
  <Lines>13</Lines>
  <Paragraphs>3</Paragraphs>
  <ScaleCrop>false</ScaleCrop>
  <Company>Microsoft</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斌斌璐璐</cp:lastModifiedBy>
  <cp:revision>3</cp:revision>
  <dcterms:created xsi:type="dcterms:W3CDTF">2022-06-03T09:31:00Z</dcterms:created>
  <dcterms:modified xsi:type="dcterms:W3CDTF">2022-06-03T15:06:00Z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7D06BF7DAD984F26A6F343E7BE8CFF56</vt:lpwstr>
  </property>
</Properties>
</file>