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35"/>
        <w:gridCol w:w="1096"/>
        <w:gridCol w:w="1902"/>
        <w:gridCol w:w="1902"/>
        <w:gridCol w:w="1237"/>
        <w:gridCol w:w="1169"/>
        <w:gridCol w:w="1169"/>
        <w:gridCol w:w="1169"/>
        <w:gridCol w:w="1169"/>
        <w:gridCol w:w="1898"/>
      </w:tblGrid>
      <w:tr>
        <w:trPr>
          <w:trHeight w:val="408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rPr>
          <w:trHeight w:val="288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rPr>
          <w:trHeight w:val="288" w:hRule="atLeast"/>
          <w:jc w:val="center"/>
        </w:trPr>
        <w:tc>
          <w:tcPr>
            <w:tcW w:w="1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2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教师队伍建设-青年拔尖</w:t>
            </w: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7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9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北京第二外国语学院</w:t>
            </w: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朱光好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9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65778417</w:t>
            </w:r>
          </w:p>
        </w:tc>
      </w:tr>
      <w:tr>
        <w:trPr>
          <w:trHeight w:val="564" w:hRule="atLeast"/>
          <w:jc w:val="center"/>
        </w:trPr>
        <w:tc>
          <w:tcPr>
            <w:tcW w:w="873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(万元）</w:t>
            </w: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得分</w:t>
            </w: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12.157800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10.538000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86.68%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8.67 </w:t>
            </w: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12.157800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10.538000 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86.68%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288" w:hRule="atLeast"/>
          <w:jc w:val="center"/>
        </w:trPr>
        <w:tc>
          <w:tcPr>
            <w:tcW w:w="87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324" w:hRule="atLeast"/>
          <w:jc w:val="center"/>
        </w:trPr>
        <w:tc>
          <w:tcPr>
            <w:tcW w:w="873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64" w:hRule="atLeast"/>
          <w:jc w:val="center"/>
        </w:trPr>
        <w:tc>
          <w:tcPr>
            <w:tcW w:w="1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4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33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实际完成情况</w:t>
            </w:r>
          </w:p>
        </w:tc>
      </w:tr>
      <w:tr>
        <w:trPr>
          <w:trHeight w:val="3377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项目期目标（2021年）：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该项目的总目标是为我校的发展注入强大的活力，一定程度上解决了我校在师资队伍建设上的资金缺口问题，使中青年骨干教师的发展有所保障，提升其学术水平，进而带动教师队伍整体素质的提升，提高教育教学质量和科研水平。2021年阶段性目标是出版专著2部，发表论文8篇，开展人才交流、培训、访学活动27次，参加学术会议、调研17次，通过这一系列举措，进一步提高青年教师的能力和水平。</w:t>
            </w:r>
          </w:p>
        </w:tc>
        <w:tc>
          <w:tcPr>
            <w:tcW w:w="233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2021年该项目实际出版专著3部，编著1部，教材1部，发表资政报告2篇，论文8篇。开展人才交流、培训等活动次数2次。通过一系列举措，进一步提高了该项目青年教师的能力和水平。</w:t>
            </w:r>
          </w:p>
        </w:tc>
      </w:tr>
      <w:tr>
        <w:trPr>
          <w:trHeight w:val="576" w:hRule="atLeast"/>
          <w:jc w:val="center"/>
        </w:trPr>
        <w:tc>
          <w:tcPr>
            <w:tcW w:w="1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3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措施</w:t>
            </w:r>
          </w:p>
        </w:tc>
      </w:tr>
      <w:tr>
        <w:trPr>
          <w:trHeight w:val="612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（50分）</w:t>
            </w: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出版专著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编著1部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专著3部                  编著1部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612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发表论文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论文3篇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论文8篇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612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视频制作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视频6段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视频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段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612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资政报告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报告2篇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报告2篇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612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开展人才交流、培训、访学活动次数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6次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受疫情影响，开展相关交流培训未能如期完成，2022年将加强风险预判，增强人才交流、培训与访学活动。</w:t>
            </w:r>
          </w:p>
        </w:tc>
      </w:tr>
      <w:tr>
        <w:trPr>
          <w:trHeight w:val="801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项目通过学校、市教委审查的比例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100%通过检查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100%通过检查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1116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各类项目完成进度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严格按半年和两个月分别授课讲学，准时结项。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各类项目完成进度严格按照计划执行，准时结项。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完成时效指标，但仍有进步空间。</w:t>
            </w:r>
          </w:p>
        </w:tc>
      </w:tr>
      <w:tr>
        <w:trPr>
          <w:trHeight w:val="1200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项目预算控制数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12.5万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10.538万元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由于受新冠疫情影响，前往外地参会、实地调研和搜集数据等工作受到限制，使得部分差旅费未能按照原计划执行，产生结余经费。今后将充分考虑疫情因素，更科学合理地制定项目实施方案，提高项目资金的使用效益。</w:t>
            </w:r>
          </w:p>
        </w:tc>
      </w:tr>
      <w:tr>
        <w:trPr>
          <w:trHeight w:val="1704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     （30分）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直接效益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带动教师队伍整体素质的提升，提高教育教学质量和科研水平。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项目的实施带动了教师队伍整体素质的提升，提高了教育教学质量和科研水平。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效益指标基本实现，但仍有提升空间。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今后应继续带动对教师教育教学、综合素质的提升。</w:t>
            </w:r>
          </w:p>
        </w:tc>
      </w:tr>
      <w:tr>
        <w:trPr>
          <w:trHeight w:val="840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教师对支持的满意度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91%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满意度指标基本完成，但仍有进步空间。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今后将继续跟踪反馈、多面了解，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提高教师对支持满意度</w:t>
            </w:r>
          </w:p>
        </w:tc>
      </w:tr>
      <w:tr>
        <w:trPr>
          <w:trHeight w:val="864" w:hRule="atLeast"/>
          <w:jc w:val="center"/>
        </w:trPr>
        <w:tc>
          <w:tcPr>
            <w:tcW w:w="1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院系对所培养教师的满意度</w:t>
            </w:r>
          </w:p>
        </w:tc>
        <w:tc>
          <w:tcPr>
            <w:tcW w:w="6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满意度指标基本完成，但仍有进步空间。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今后将继续跟踪反馈、多面了解，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提高学院对支持满意度</w:t>
            </w:r>
          </w:p>
        </w:tc>
      </w:tr>
      <w:tr>
        <w:trPr>
          <w:trHeight w:val="501" w:hRule="atLeast"/>
          <w:jc w:val="center"/>
        </w:trPr>
        <w:tc>
          <w:tcPr>
            <w:tcW w:w="266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90.67</w:t>
            </w:r>
          </w:p>
        </w:tc>
        <w:tc>
          <w:tcPr>
            <w:tcW w:w="150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9D"/>
    <w:rsid w:val="000C2BA9"/>
    <w:rsid w:val="00670735"/>
    <w:rsid w:val="006D5D9D"/>
    <w:rsid w:val="00AA56D3"/>
    <w:rsid w:val="00AC57B8"/>
    <w:rsid w:val="9DCA1B69"/>
    <w:rsid w:val="E9DF3606"/>
    <w:rsid w:val="F75EE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211</Words>
  <Characters>1205</Characters>
  <Lines>10</Lines>
  <Paragraphs>2</Paragraphs>
  <TotalTime>0</TotalTime>
  <ScaleCrop>false</ScaleCrop>
  <LinksUpToDate>false</LinksUpToDate>
  <CharactersWithSpaces>1414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2022-04-27T02:35:00Z</dcterms:created>
  <dc:creator>HP</dc:creator>
  <cp:lastModifiedBy>전호원</cp:lastModifiedBy>
  <dcterms:modified xsi:type="dcterms:W3CDTF">2022-05-16T11:39:09Z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73A715100FE05CE17AC68162610C1271</vt:lpwstr>
  </property>
</Properties>
</file>