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ayout w:type="fixed"/>
        <w:tblLook w:val="04A0"/>
      </w:tblPr>
      <w:tblGrid>
        <w:gridCol w:w="534"/>
        <w:gridCol w:w="839"/>
        <w:gridCol w:w="1100"/>
        <w:gridCol w:w="1760"/>
        <w:gridCol w:w="1548"/>
        <w:gridCol w:w="213"/>
        <w:gridCol w:w="1318"/>
        <w:gridCol w:w="31"/>
        <w:gridCol w:w="1284"/>
        <w:gridCol w:w="133"/>
        <w:gridCol w:w="1182"/>
        <w:gridCol w:w="235"/>
        <w:gridCol w:w="819"/>
        <w:gridCol w:w="1055"/>
        <w:gridCol w:w="2123"/>
      </w:tblGrid>
      <w:tr w:rsidR="005D2E13" w:rsidRPr="005D2E13" w:rsidTr="005D2E13">
        <w:trPr>
          <w:trHeight w:val="408"/>
          <w:jc w:val="center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5D2E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5D2E13" w:rsidRPr="005D2E13" w:rsidTr="005D2E13">
        <w:trPr>
          <w:trHeight w:val="288"/>
          <w:jc w:val="center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D2E13" w:rsidRPr="005D2E13" w:rsidTr="00223E8A">
        <w:trPr>
          <w:trHeight w:val="288"/>
          <w:jc w:val="center"/>
        </w:trPr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2E13" w:rsidRPr="005D2E13" w:rsidTr="002D0411">
        <w:trPr>
          <w:trHeight w:val="288"/>
          <w:jc w:val="center"/>
        </w:trPr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2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人才培养质量建设—一流专业建设（分类发展）</w:t>
            </w:r>
          </w:p>
        </w:tc>
      </w:tr>
      <w:tr w:rsidR="005D2E13" w:rsidRPr="005D2E13" w:rsidTr="002D0411">
        <w:trPr>
          <w:trHeight w:val="288"/>
          <w:jc w:val="center"/>
        </w:trPr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7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5D2E13" w:rsidRPr="005D2E13" w:rsidTr="002D0411">
        <w:trPr>
          <w:trHeight w:val="288"/>
          <w:jc w:val="center"/>
        </w:trPr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7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司显柱</w:t>
            </w:r>
            <w:proofErr w:type="gramEnd"/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65778719</w:t>
            </w:r>
          </w:p>
        </w:tc>
      </w:tr>
      <w:tr w:rsidR="005D2E13" w:rsidRPr="005D2E13" w:rsidTr="002D0411">
        <w:trPr>
          <w:trHeight w:val="564"/>
          <w:jc w:val="center"/>
        </w:trPr>
        <w:tc>
          <w:tcPr>
            <w:tcW w:w="87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2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5D2E13" w:rsidRPr="005D2E13" w:rsidTr="002D0411">
        <w:trPr>
          <w:trHeight w:val="288"/>
          <w:jc w:val="center"/>
        </w:trPr>
        <w:tc>
          <w:tcPr>
            <w:tcW w:w="8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150.000000 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101.958023 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67.97%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6.80 </w:t>
            </w:r>
          </w:p>
        </w:tc>
      </w:tr>
      <w:tr w:rsidR="005D2E13" w:rsidRPr="005D2E13" w:rsidTr="002D0411">
        <w:trPr>
          <w:trHeight w:val="288"/>
          <w:jc w:val="center"/>
        </w:trPr>
        <w:tc>
          <w:tcPr>
            <w:tcW w:w="8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150.000000 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101.958023 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67.97%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D2E13" w:rsidRPr="005D2E13" w:rsidTr="002D0411">
        <w:trPr>
          <w:trHeight w:val="288"/>
          <w:jc w:val="center"/>
        </w:trPr>
        <w:tc>
          <w:tcPr>
            <w:tcW w:w="8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D2E13" w:rsidRPr="005D2E13" w:rsidTr="002D0411">
        <w:trPr>
          <w:trHeight w:val="324"/>
          <w:jc w:val="center"/>
        </w:trPr>
        <w:tc>
          <w:tcPr>
            <w:tcW w:w="8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D2E13" w:rsidRPr="005D2E13" w:rsidTr="002D0411">
        <w:trPr>
          <w:trHeight w:val="1597"/>
          <w:jc w:val="center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4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5D2E13" w:rsidRPr="005D2E13" w:rsidTr="002D0411">
        <w:trPr>
          <w:trHeight w:val="4104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相关的绩效目标包括：集中骨干教师力量在原有10门在线课程的基础上，再建设1门在线课程；召开以语言服务研究与公共政策翻译为主题的会议；邀请国内外专家到校开展系列讲座、沙龙、师资培训活动；按照疫情防控要求，参加必要的学术会议、研讨和培训，到兄弟高校开展相关调研活动；购买用于教学的计算机辅助翻译软件与语料库；出版1-2本与翻译专业建设相关的学术专著或会议论文集等。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其中，公共政策翻译研究院的绩效目标包括：完成习近平新时代中国特色社会主义思想外译在线课程建设；完成北京市委托重要文件翻译，</w:t>
            </w:r>
            <w:proofErr w:type="gramStart"/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服务市</w:t>
            </w:r>
            <w:proofErr w:type="gramEnd"/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领导决策；召开全国性会议和专题研讨会、专家委员会会议1-2次、专家咨询、日常运转；学生参与公共政策翻译的机制化安排，提升学生翻译能力；开展公共政策翻译师资和人才培养方面的培训。</w:t>
            </w:r>
          </w:p>
        </w:tc>
        <w:tc>
          <w:tcPr>
            <w:tcW w:w="24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学院相关的绩效目标：在2021年度，一流专业建设取得了较大突破。2021年度，翻译专业被评为“国家级一流专业建设点”。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在教师能力发展方面，本年度一流专业经费支持了翻译专业</w:t>
            </w:r>
            <w:proofErr w:type="gramStart"/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教师赴广外</w:t>
            </w:r>
            <w:proofErr w:type="gramEnd"/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、川外、西外开展工作调研，并支持了翻译专业教师参加10余次学术会议，参加10余场高层次培训，进一步提升教师的课堂教学能力。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在教学改革与创新方面，利用一流专业经费召开了翻译专业建设高层论坛，邀请国内翻译学界、业界专家10余人就翻译专业建设、课程设置等方面做主旨报告，来自国内外各高校的70余名代表参加了会议。利用一流专业经费建设了《习近平新时代中国特色社会主义思想外译》在线课程。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在人才培养方面，利用一流专业经费购置了在线语料库平台，实现了SDL </w:t>
            </w:r>
            <w:proofErr w:type="spellStart"/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Trados</w:t>
            </w:r>
            <w:proofErr w:type="spellEnd"/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计算机辅助翻译软件的升级。经费同时还支持了本科生第二课堂高端讲座的开设、本科课程建设。本年度中国翻译协会和北二外联合主办、中国翻译编辑部和高级翻译学院联合承办第三十三届韩素</w:t>
            </w:r>
            <w:proofErr w:type="gramStart"/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音国际</w:t>
            </w:r>
            <w:proofErr w:type="gramEnd"/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翻译大赛，一流专业经费也给予了大力支持。                                                    公共政策翻译研究院的绩效目标：《习近平新时代中国特色社会主义思想外译》在线课程建设完成；首批《首都关键词》正式发布，获北京市外办采用；面向二外及全国英语专业师生和翻译实践工作者，线上线下相结合举办“公共政策翻译大师工作坊”系列高端公益讲座十余场。    </w:t>
            </w:r>
          </w:p>
        </w:tc>
      </w:tr>
      <w:tr w:rsidR="005D2E13" w:rsidRPr="005D2E13" w:rsidTr="002D0411">
        <w:trPr>
          <w:trHeight w:val="576"/>
          <w:jc w:val="center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5D2E13" w:rsidRPr="005D2E13" w:rsidTr="002D0411">
        <w:trPr>
          <w:trHeight w:val="612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分）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数量指标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升级课程2门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2门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5D2E13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  <w:r w:rsidRPr="005D2E13">
              <w:rPr>
                <w:rFonts w:ascii="Times New Roman" w:eastAsia="宋体" w:hAnsi="Times New Roman" w:cs="Times New Roman"/>
                <w:kern w:val="0"/>
                <w:sz w:val="22"/>
              </w:rPr>
              <w:t>门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D2E13" w:rsidRPr="005D2E13" w:rsidTr="002D0411">
        <w:trPr>
          <w:trHeight w:val="1068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出版学术书籍1－2部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1-2部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学院原计划出版三本书籍，批复经费12万元，但由于出版社提高了出版成本，12万元经费支持不了原定的出版计划，因此原定目标未能完成。2022年将继续执行项目的出版计划，完成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出版目标。</w:t>
            </w:r>
          </w:p>
        </w:tc>
      </w:tr>
      <w:tr w:rsidR="005D2E13" w:rsidRPr="005D2E13" w:rsidTr="002D0411">
        <w:trPr>
          <w:trHeight w:val="612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在线课程建设1门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1门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5D2E13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2E13" w:rsidRPr="005D2E13" w:rsidTr="002D0411">
        <w:trPr>
          <w:trHeight w:val="801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开设和升级课程开课率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≥100%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D2E13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100%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2E13" w:rsidRPr="005D2E13" w:rsidTr="002D0411">
        <w:trPr>
          <w:trHeight w:val="801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在线课程建设验收率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D2E13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100%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D2E13" w:rsidRPr="005D2E13" w:rsidTr="002D0411">
        <w:trPr>
          <w:trHeight w:val="1044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学术专著/会议论文集出版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达到出版标准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学院原计划出版三本书籍，批复经费12万元，但由于出版社提高了出版成本，12万元经费支持不了原定的出版计划，因此原定目标未能完成。2022年将继续执行项目的出版计划，完成出版目标。</w:t>
            </w:r>
          </w:p>
        </w:tc>
      </w:tr>
      <w:tr w:rsidR="005D2E13" w:rsidRPr="005D2E13" w:rsidTr="002D0411">
        <w:trPr>
          <w:trHeight w:val="1212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课程建设、课程录制、书稿完成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2021.12.31日前完成书稿的相关工作和课程升级与课程升级与录制等相关工作。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5D2E13">
              <w:rPr>
                <w:rFonts w:ascii="Times New Roman" w:eastAsia="宋体" w:hAnsi="Times New Roman" w:cs="Times New Roman"/>
                <w:kern w:val="0"/>
                <w:sz w:val="22"/>
              </w:rPr>
              <w:t>课程建设、课程升级和课程录制已经完成，书稿正在写作。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由于出版社提高了出版补贴经费要求，超出了项目预算，合同尚未签署。2022年将继续执行项目的出版计划，完成出版目标。</w:t>
            </w:r>
          </w:p>
        </w:tc>
      </w:tr>
      <w:tr w:rsidR="005D2E13" w:rsidRPr="005D2E13" w:rsidTr="002D0411">
        <w:trPr>
          <w:trHeight w:val="1224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总目标完成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150万元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5D2E13">
              <w:rPr>
                <w:rFonts w:ascii="Times New Roman" w:eastAsia="宋体" w:hAnsi="Times New Roman" w:cs="Times New Roman"/>
                <w:kern w:val="0"/>
                <w:sz w:val="22"/>
              </w:rPr>
              <w:t>101.958023</w:t>
            </w:r>
            <w:r w:rsidRPr="005D2E13">
              <w:rPr>
                <w:rFonts w:ascii="宋体" w:eastAsia="宋体" w:hAnsi="宋体" w:cs="Times New Roman" w:hint="eastAsia"/>
                <w:kern w:val="0"/>
                <w:sz w:val="22"/>
              </w:rPr>
              <w:t>万元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因疫情影响，国外专家到校开展相关培训未能如期实现。国内相关的调研活动及学术会议也因疫情减少或推迟。原定的出版计划因出版成本提高未能实现。今后将加强项目的相关论证，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并做好相关的预案准备，提高项目资金的使用效益。</w:t>
            </w:r>
          </w:p>
        </w:tc>
      </w:tr>
      <w:tr w:rsidR="005D2E13" w:rsidRPr="005D2E13" w:rsidTr="002D0411">
        <w:trPr>
          <w:trHeight w:val="138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人才培养经济性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 xml:space="preserve">得到提升    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方正书宋_GBK" w:eastAsia="方正书宋_GBK" w:hAnsi="宋体" w:cs="宋体"/>
                <w:kern w:val="0"/>
                <w:sz w:val="22"/>
              </w:rPr>
            </w:pPr>
            <w:r w:rsidRPr="005D2E13">
              <w:rPr>
                <w:rFonts w:ascii="方正书宋_GBK" w:eastAsia="方正书宋_GBK" w:hAnsi="宋体" w:cs="宋体" w:hint="eastAsia"/>
                <w:kern w:val="0"/>
                <w:sz w:val="22"/>
              </w:rPr>
              <w:t>人才培养和专业建设成效明显，获得全国一流专业建设点。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经济效益指标基本完成，但仍有进步与提升空间。</w:t>
            </w:r>
          </w:p>
        </w:tc>
      </w:tr>
      <w:tr w:rsidR="005D2E13" w:rsidRPr="005D2E13" w:rsidTr="002D0411">
        <w:trPr>
          <w:trHeight w:val="1560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人才培养社会影响力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不断提升，在线课程影响力不断提升。  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方正书宋_GBK" w:eastAsia="方正书宋_GBK" w:hAnsi="宋体" w:cs="宋体"/>
                <w:kern w:val="0"/>
                <w:sz w:val="22"/>
              </w:rPr>
            </w:pPr>
            <w:r w:rsidRPr="005D2E13">
              <w:rPr>
                <w:rFonts w:ascii="方正书宋_GBK" w:eastAsia="方正书宋_GBK" w:hAnsi="宋体" w:cs="宋体" w:hint="eastAsia"/>
                <w:kern w:val="0"/>
                <w:sz w:val="22"/>
              </w:rPr>
              <w:t>社会认可度高，本专业考生的第一志愿率和录取分数线居于全校前列。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社会效益指标基本完成，但仍有进步与提升空间。</w:t>
            </w:r>
          </w:p>
        </w:tc>
      </w:tr>
      <w:tr w:rsidR="005D2E13" w:rsidRPr="005D2E13" w:rsidTr="002D0411">
        <w:trPr>
          <w:trHeight w:val="2184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项目实施和影响持久度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 xml:space="preserve">得到提升    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方正书宋_GBK" w:eastAsia="方正书宋_GBK" w:hAnsi="宋体" w:cs="宋体"/>
                <w:kern w:val="0"/>
                <w:sz w:val="22"/>
              </w:rPr>
            </w:pPr>
            <w:r w:rsidRPr="005D2E13">
              <w:rPr>
                <w:rFonts w:ascii="方正书宋_GBK" w:eastAsia="方正书宋_GBK" w:hAnsi="宋体" w:cs="宋体" w:hint="eastAsia"/>
                <w:kern w:val="0"/>
                <w:sz w:val="22"/>
              </w:rPr>
              <w:t>使用项目资金有效提高了教学硬件和软件，改善了教学环境，提高了教学成效，获得了校级教学成果一等奖。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可持续影响指标基本完成，但仍有进步与提升空间。</w:t>
            </w:r>
          </w:p>
        </w:tc>
      </w:tr>
      <w:tr w:rsidR="005D2E13" w:rsidRPr="005D2E13" w:rsidTr="002D0411">
        <w:trPr>
          <w:trHeight w:val="984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kern w:val="0"/>
                <w:sz w:val="22"/>
              </w:rPr>
              <w:t>参与项目师生满意度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95%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D2E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满意度指标基本完成，但仍有进步与提升空间。</w:t>
            </w:r>
          </w:p>
        </w:tc>
      </w:tr>
      <w:tr w:rsidR="005D2E13" w:rsidRPr="005D2E13" w:rsidTr="002D0411">
        <w:trPr>
          <w:trHeight w:val="501"/>
          <w:jc w:val="center"/>
        </w:trPr>
        <w:tc>
          <w:tcPr>
            <w:tcW w:w="25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85.3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3" w:rsidRPr="005D2E13" w:rsidRDefault="005D2E13" w:rsidP="005D2E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D2E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7941F7" w:rsidRDefault="007941F7"/>
    <w:sectPr w:rsidR="007941F7" w:rsidSect="00C03C1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C10" w:rsidRDefault="00C03C10" w:rsidP="00C03C10">
      <w:r>
        <w:separator/>
      </w:r>
    </w:p>
  </w:endnote>
  <w:endnote w:type="continuationSeparator" w:id="1">
    <w:p w:rsidR="00C03C10" w:rsidRDefault="00C03C10" w:rsidP="00C03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C10" w:rsidRDefault="00C03C10" w:rsidP="00C03C10">
      <w:r>
        <w:separator/>
      </w:r>
    </w:p>
  </w:footnote>
  <w:footnote w:type="continuationSeparator" w:id="1">
    <w:p w:rsidR="00C03C10" w:rsidRDefault="00C03C10" w:rsidP="00C03C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3C10"/>
    <w:rsid w:val="00223E8A"/>
    <w:rsid w:val="002D0411"/>
    <w:rsid w:val="003A53DC"/>
    <w:rsid w:val="005D2E13"/>
    <w:rsid w:val="007941F7"/>
    <w:rsid w:val="00C0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3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3C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3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3C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361</Words>
  <Characters>2059</Characters>
  <Application>Microsoft Office Word</Application>
  <DocSecurity>0</DocSecurity>
  <Lines>17</Lines>
  <Paragraphs>4</Paragraphs>
  <ScaleCrop>false</ScaleCrop>
  <Company>HP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2022-04-26T11:59:00Z</dcterms:created>
  <dcterms:modified xsi:type="dcterms:W3CDTF">2022-05-15T00:38:00Z</dcterms:modified>
</cp:coreProperties>
</file>