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536"/>
        <w:gridCol w:w="857"/>
        <w:gridCol w:w="2296"/>
        <w:gridCol w:w="1016"/>
        <w:gridCol w:w="1016"/>
        <w:gridCol w:w="1310"/>
        <w:gridCol w:w="456"/>
        <w:gridCol w:w="697"/>
        <w:gridCol w:w="12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 xml:space="preserve"> </w:t>
            </w:r>
            <w:r>
              <w:rPr>
                <w:rFonts w:hint="default" w:ascii="仿宋_GB2312" w:hAnsi="宋体" w:eastAsia="仿宋_GB2312" w:cs="仿宋_GB2312"/>
                <w:b/>
                <w:bCs/>
                <w:i w:val="0"/>
                <w:iCs w:val="0"/>
                <w:color w:val="000000"/>
                <w:kern w:val="0"/>
                <w:sz w:val="24"/>
                <w:szCs w:val="24"/>
                <w:u w:val="none"/>
                <w:lang w:val="en-US" w:eastAsia="zh-CN" w:bidi="ar"/>
              </w:rPr>
              <w:t>项目支出绩效自评表</w:t>
            </w:r>
            <w:r>
              <w:rPr>
                <w:rStyle w:val="11"/>
                <w:rFonts w:ascii="宋体" w:hAnsi="宋体" w:eastAsia="宋体" w:cs="宋体"/>
                <w:sz w:val="24"/>
                <w:szCs w:val="24"/>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2021</w:t>
            </w:r>
            <w:r>
              <w:rPr>
                <w:rFonts w:hint="default" w:ascii="仿宋_GB2312" w:hAnsi="宋体" w:eastAsia="仿宋_GB2312" w:cs="仿宋_GB2312"/>
                <w:i w:val="0"/>
                <w:iCs w:val="0"/>
                <w:color w:val="000000"/>
                <w:kern w:val="0"/>
                <w:sz w:val="22"/>
                <w:szCs w:val="22"/>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10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大学生就业创业——2021年学籍学历电子注册及就业手续办理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219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北京市教育委员会</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24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97"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219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王东</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24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11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全年预算数</w:t>
            </w:r>
            <w:r>
              <w:rPr>
                <w:rFonts w:hint="eastAsia" w:ascii="宋体" w:hAnsi="宋体" w:eastAsia="宋体" w:cs="宋体"/>
                <w:i w:val="0"/>
                <w:iCs w:val="0"/>
                <w:color w:val="000000"/>
                <w:kern w:val="0"/>
                <w:sz w:val="16"/>
                <w:szCs w:val="16"/>
                <w:u w:val="none"/>
                <w:lang w:val="en-US" w:eastAsia="zh-CN" w:bidi="ar"/>
              </w:rPr>
              <w:t xml:space="preserve">    </w:t>
            </w: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r>
              <w:rPr>
                <w:rFonts w:hint="eastAsia" w:ascii="宋体" w:hAnsi="宋体" w:eastAsia="宋体" w:cs="宋体"/>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45.030000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45.030000 </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42.003000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93.28%</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45.030000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45.030000 </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42.003000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93.28%</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60"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90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1906"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0"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90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年度目标：</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（1）完成2021年毕业生学历电子注册和就业手续办理工作；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（2）完成毕业生就业报到证、就业推荐表、毕业生登记表、三方协议书、二分政策汇编的印制发放；</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（3）完成2021年毕业生就业情况核查；</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（4）完成报到证专用打印机和硒鼓的采购；</w:t>
            </w:r>
          </w:p>
        </w:tc>
        <w:tc>
          <w:tcPr>
            <w:tcW w:w="190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（1）完成2021年毕业生学历电子注册和就业手续办理工作；</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（2）完成毕业生就业报到证、就业推荐表、毕业生登记表、三方协议书、二分政策汇编的印制发放；</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（3）完成2021年毕业生就业情况核查；</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（4）完成报到证专用打印机和硒鼓的采购；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11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数量指标</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2021年毕业学历电子注册数据</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完成2021年毕业生学历电子注册数约24万条</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完成2021年毕业生学历电子注册数约26.2万条</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2021年高校毕业生就业数据审核及报到证打印工作</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完成2021年高校毕业生就业数据审核约24万人次，打印就业报到证约23万张</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完成2021年高校毕业生就业数据审核约25万人次，打印就业报到证约22万张</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9.78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偏差原因：受疫情和毕业生两年户档留校政策影响</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改进措施：以利于毕业生更加充分更高质量就业为目标，更好地服务毕业生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印制毕业生就业报到证、就业推荐表、毕业生登记表、三方协议书、二分政策汇编等</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印制毕业生就业报到证约23万张，就业推荐表约30万份，毕业生登记表约30万份，三方协议书约28万份，二分政策汇编约1000本</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印制毕业生就业报到证23万张，就业推荐表30万份，毕业生登记表30万份，三方协议书28万份，二分政策汇编1000本</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就业情况核查</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按照上级要求，核查2021年毕业生就业数据约5000条</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共核查2021年毕业生就业数据6000条</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11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贯彻落实教育部、市教委关于学籍学历电子注册及就业手续办理工作的相关精神</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按照教育部、市教委的要求，高质量、高效率完成2021年普通本专科毕业生、毕业研究生学历电子注册和就业手续办理等相关工作。</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按照教育部、市教委的要求，高质量、高效率完成2021年普通本专科毕业生、毕业研究生学历电子注册和就业手续办理等相关工作，确保毕业生顺利毕业、尽早就业。</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116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项目进度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2021年4月-5月，完成报到证专用打印机和硒鼓的采购、毕业生就业报到证的印制；</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2021年6月-7月，完成2021年毕业生学历电子注册和就业手续集中办理、毕业生就业情况核查；</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2021年9月-11月，完成毕业生登记表、就业推荐表、就业协议书的印制发放；</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2021年5月，完成报到证专用打印机和硒鼓的采购、毕业生就业报到证的印制；</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2021年6月-7月，完成2021年毕业生学历电子注册和就业手续集中办理、毕业生就业情况核查；</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2021年9月，完成毕业生登记表、就业推荐表、就业协议书的印制；</w:t>
            </w:r>
            <w:r>
              <w:rPr>
                <w:rFonts w:hint="default" w:ascii="仿宋_GB2312" w:hAnsi="宋体" w:eastAsia="仿宋_GB2312" w:cs="仿宋_GB2312"/>
                <w:i w:val="0"/>
                <w:iCs w:val="0"/>
                <w:color w:val="000000"/>
                <w:kern w:val="0"/>
                <w:sz w:val="16"/>
                <w:szCs w:val="16"/>
                <w:u w:val="none"/>
                <w:lang w:val="en-US" w:eastAsia="zh-CN" w:bidi="ar"/>
              </w:rPr>
              <w:br w:type="textWrapping"/>
            </w:r>
            <w:r>
              <w:rPr>
                <w:rFonts w:hint="default" w:ascii="仿宋_GB2312" w:hAnsi="宋体" w:eastAsia="仿宋_GB2312" w:cs="仿宋_GB2312"/>
                <w:i w:val="0"/>
                <w:iCs w:val="0"/>
                <w:color w:val="000000"/>
                <w:kern w:val="0"/>
                <w:sz w:val="16"/>
                <w:szCs w:val="16"/>
                <w:u w:val="none"/>
                <w:lang w:val="en-US" w:eastAsia="zh-CN" w:bidi="ar"/>
              </w:rPr>
              <w:t>2021年11月前，完成毕业生登记表、就业推荐表、就业协议书的发放；</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支出进度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预计6月份前支出40%，9月份前支出60%，11月份前支出90%，12月底前支出100%</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6月份前支出40%，9月份前支出60%，11月份前支出90%，11月底前支出100%</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5.00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11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“送表到校”车辆租赁费</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0.600000 </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0.580000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偏差原因：按实际发生支出后结余</w:t>
            </w:r>
            <w:r>
              <w:rPr>
                <w:rFonts w:hint="eastAsia" w:ascii="仿宋_GB2312" w:hAnsi="宋体" w:eastAsia="仿宋_GB2312" w:cs="仿宋_GB2312"/>
                <w:i w:val="0"/>
                <w:iCs w:val="0"/>
                <w:color w:val="000000"/>
                <w:kern w:val="0"/>
                <w:sz w:val="16"/>
                <w:szCs w:val="16"/>
                <w:u w:val="none"/>
                <w:lang w:val="en-US" w:eastAsia="zh-CN" w:bidi="ar"/>
              </w:rPr>
              <w:br w:type="textWrapping"/>
            </w:r>
            <w:r>
              <w:rPr>
                <w:rFonts w:hint="eastAsia" w:ascii="仿宋_GB2312" w:hAnsi="宋体" w:eastAsia="仿宋_GB2312" w:cs="仿宋_GB2312"/>
                <w:i w:val="0"/>
                <w:iCs w:val="0"/>
                <w:color w:val="000000"/>
                <w:kern w:val="0"/>
                <w:sz w:val="16"/>
                <w:szCs w:val="16"/>
                <w:u w:val="none"/>
                <w:lang w:val="en-US" w:eastAsia="zh-CN" w:bidi="ar"/>
              </w:rPr>
              <w:t>改进措施：提高预算精准度，及时核减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毕业生就业报到证、就业推荐表、毕业生登记表、三方协议书、二分政策汇编印刷费</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31.630000 </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31.513000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偏差原因：项目综合评定后结余</w:t>
            </w:r>
            <w:r>
              <w:rPr>
                <w:rFonts w:hint="eastAsia" w:ascii="仿宋_GB2312" w:hAnsi="宋体" w:eastAsia="仿宋_GB2312" w:cs="仿宋_GB2312"/>
                <w:i w:val="0"/>
                <w:iCs w:val="0"/>
                <w:color w:val="000000"/>
                <w:kern w:val="0"/>
                <w:sz w:val="16"/>
                <w:szCs w:val="16"/>
                <w:u w:val="none"/>
                <w:lang w:val="en-US" w:eastAsia="zh-CN" w:bidi="ar"/>
              </w:rPr>
              <w:br w:type="textWrapping"/>
            </w:r>
            <w:r>
              <w:rPr>
                <w:rFonts w:hint="eastAsia" w:ascii="仿宋_GB2312" w:hAnsi="宋体" w:eastAsia="仿宋_GB2312" w:cs="仿宋_GB2312"/>
                <w:i w:val="0"/>
                <w:iCs w:val="0"/>
                <w:color w:val="000000"/>
                <w:kern w:val="0"/>
                <w:sz w:val="16"/>
                <w:szCs w:val="16"/>
                <w:u w:val="none"/>
                <w:lang w:val="en-US" w:eastAsia="zh-CN" w:bidi="ar"/>
              </w:rPr>
              <w:t>改进措施：及时核减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办理学籍学历电子注册、毕业生就业手续和就业情况核查临时人员劳务费</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6.400000 </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3.520000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偏差原因：受疫情影响， 临时人员无法进入现场完成相关工作</w:t>
            </w:r>
            <w:r>
              <w:rPr>
                <w:rFonts w:hint="eastAsia" w:ascii="仿宋_GB2312" w:hAnsi="宋体" w:eastAsia="仿宋_GB2312" w:cs="仿宋_GB2312"/>
                <w:i w:val="0"/>
                <w:iCs w:val="0"/>
                <w:color w:val="000000"/>
                <w:kern w:val="0"/>
                <w:sz w:val="16"/>
                <w:szCs w:val="16"/>
                <w:u w:val="none"/>
                <w:lang w:val="en-US" w:eastAsia="zh-CN" w:bidi="ar"/>
              </w:rPr>
              <w:br w:type="textWrapping"/>
            </w:r>
            <w:r>
              <w:rPr>
                <w:rFonts w:hint="eastAsia" w:ascii="仿宋_GB2312" w:hAnsi="宋体" w:eastAsia="仿宋_GB2312" w:cs="仿宋_GB2312"/>
                <w:i w:val="0"/>
                <w:iCs w:val="0"/>
                <w:color w:val="000000"/>
                <w:kern w:val="0"/>
                <w:sz w:val="16"/>
                <w:szCs w:val="16"/>
                <w:u w:val="none"/>
                <w:lang w:val="en-US" w:eastAsia="zh-CN" w:bidi="ar"/>
              </w:rPr>
              <w:t>改进措施：及时核减项目经费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购置三台打印机，参考型号HPLaserJetEnterpriseM608dn</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3.600000 </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3.600000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11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购置20个惠普hp原装37a硒鼓</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2.800000 </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2.790000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2.00 </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仿宋_GB2312" w:hAnsi="宋体" w:eastAsia="仿宋_GB2312" w:cs="仿宋_GB2312"/>
                <w:i w:val="0"/>
                <w:iCs w:val="0"/>
                <w:color w:val="000000"/>
                <w:kern w:val="0"/>
                <w:sz w:val="16"/>
                <w:szCs w:val="16"/>
                <w:u w:val="none"/>
                <w:lang w:val="en-US" w:eastAsia="zh-CN" w:bidi="ar"/>
              </w:rPr>
              <w:t>偏差原因：项目综合评定后结余</w:t>
            </w:r>
            <w:r>
              <w:rPr>
                <w:rFonts w:hint="eastAsia" w:ascii="仿宋_GB2312" w:hAnsi="宋体" w:eastAsia="仿宋_GB2312" w:cs="仿宋_GB2312"/>
                <w:i w:val="0"/>
                <w:iCs w:val="0"/>
                <w:color w:val="000000"/>
                <w:kern w:val="0"/>
                <w:sz w:val="16"/>
                <w:szCs w:val="16"/>
                <w:u w:val="none"/>
                <w:lang w:val="en-US" w:eastAsia="zh-CN" w:bidi="ar"/>
              </w:rPr>
              <w:br w:type="textWrapping"/>
            </w:r>
            <w:r>
              <w:rPr>
                <w:rFonts w:hint="eastAsia" w:ascii="仿宋_GB2312" w:hAnsi="宋体" w:eastAsia="仿宋_GB2312" w:cs="仿宋_GB2312"/>
                <w:i w:val="0"/>
                <w:iCs w:val="0"/>
                <w:color w:val="000000"/>
                <w:kern w:val="0"/>
                <w:sz w:val="16"/>
                <w:szCs w:val="16"/>
                <w:u w:val="none"/>
                <w:lang w:val="en-US" w:eastAsia="zh-CN" w:bidi="ar"/>
              </w:rPr>
              <w:t>改进措施：及时核减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经济效益指标</w:t>
            </w:r>
          </w:p>
        </w:tc>
        <w:tc>
          <w:tcPr>
            <w:tcW w:w="116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经济性</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项目单位以公益服务为主要工作任务，紧紧围绕服务首都高校大学生、提高高校就业工作者服务水平为工作内容，协助完成2021年普通本专科毕业生、毕业研究生学历电子注册和就业手续办理等相关工作。</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通过完成2021年普通本专科毕业生、毕业研究生学历电子注册和就业手续办理等相关工作，保证了毕业生顺利离校，维护了校园稳定和首都社会稳定。</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5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116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社会影响力</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通过高质量、高效率地完成2021年普通本专科毕业生、毕业研究生学历电子注册和就业手续办理等相关工作，不断提升北京地区高校学籍学历管理工作水平，积极促进毕业生就业工作的长远发展。</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高质量、高效率地完成2021年普通本专科毕业生、毕业研究生学历电子注册和就业手续办理等相关工作，不断提升北京地区高校学籍学历管理工作水平，积极促进毕业生就业工作的长远发展，推动毕业生更加充分更高质量就业。</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5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可持续影响指标</w:t>
            </w:r>
          </w:p>
        </w:tc>
        <w:tc>
          <w:tcPr>
            <w:tcW w:w="116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持久度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北京地区高校学籍学历管理工作水平和首都高校大学生就业创业水平得到提升，促进就业创业工作开展。</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北京地区高校学籍学历管理工作水平和首都高校大学生就业创业水平得到提升，促进就业创业工作开展。</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5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116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相应满意度指标</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≥85%</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≥85%</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65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3758"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99.11 </w:t>
            </w:r>
          </w:p>
        </w:tc>
        <w:tc>
          <w:tcPr>
            <w:tcW w:w="656" w:type="pct"/>
            <w:tcBorders>
              <w:top w:val="single" w:color="000000" w:sz="4" w:space="0"/>
              <w:left w:val="nil"/>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sz w:val="16"/>
                <w:szCs w:val="16"/>
                <w:u w:val="none"/>
              </w:rPr>
            </w:pPr>
          </w:p>
        </w:tc>
      </w:tr>
    </w:tbl>
    <w:p>
      <w:bookmarkStart w:id="0" w:name="_GoBack"/>
      <w:bookmarkEnd w:id="0"/>
    </w:p>
    <w:sectPr>
      <w:pgSz w:w="11906" w:h="16838"/>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28A37BAD"/>
    <w:rsid w:val="28A37BAD"/>
    <w:rsid w:val="54E354AD"/>
    <w:rsid w:val="78C1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41"/>
    <w:basedOn w:val="3"/>
    <w:qFormat/>
    <w:uiPriority w:val="0"/>
    <w:rPr>
      <w:rFonts w:hint="default" w:ascii="仿宋_GB2312" w:eastAsia="仿宋_GB2312" w:cs="仿宋_GB2312"/>
      <w:color w:val="000000"/>
      <w:sz w:val="24"/>
      <w:szCs w:val="24"/>
      <w:u w:val="none"/>
    </w:rPr>
  </w:style>
  <w:style w:type="character" w:customStyle="1" w:styleId="5">
    <w:name w:val="font161"/>
    <w:basedOn w:val="3"/>
    <w:qFormat/>
    <w:uiPriority w:val="0"/>
    <w:rPr>
      <w:rFonts w:hint="default" w:ascii="仿宋_GB2312" w:eastAsia="仿宋_GB2312" w:cs="仿宋_GB2312"/>
      <w:b/>
      <w:bCs/>
      <w:color w:val="000000"/>
      <w:sz w:val="24"/>
      <w:szCs w:val="24"/>
      <w:u w:val="none"/>
    </w:rPr>
  </w:style>
  <w:style w:type="character" w:customStyle="1" w:styleId="6">
    <w:name w:val="font141"/>
    <w:basedOn w:val="3"/>
    <w:qFormat/>
    <w:uiPriority w:val="0"/>
    <w:rPr>
      <w:rFonts w:hint="default" w:ascii="仿宋_GB2312" w:eastAsia="仿宋_GB2312" w:cs="仿宋_GB2312"/>
      <w:color w:val="000000"/>
      <w:sz w:val="24"/>
      <w:szCs w:val="24"/>
      <w:u w:val="none"/>
    </w:rPr>
  </w:style>
  <w:style w:type="character" w:customStyle="1" w:styleId="7">
    <w:name w:val="font81"/>
    <w:basedOn w:val="3"/>
    <w:qFormat/>
    <w:uiPriority w:val="0"/>
    <w:rPr>
      <w:rFonts w:hint="default" w:ascii="仿宋_GB2312" w:eastAsia="仿宋_GB2312" w:cs="仿宋_GB2312"/>
      <w:color w:val="000000"/>
      <w:sz w:val="22"/>
      <w:szCs w:val="22"/>
      <w:u w:val="none"/>
    </w:rPr>
  </w:style>
  <w:style w:type="character" w:customStyle="1" w:styleId="8">
    <w:name w:val="font61"/>
    <w:basedOn w:val="3"/>
    <w:uiPriority w:val="0"/>
    <w:rPr>
      <w:rFonts w:hint="eastAsia" w:ascii="宋体" w:hAnsi="宋体" w:eastAsia="宋体" w:cs="宋体"/>
      <w:color w:val="000000"/>
      <w:sz w:val="22"/>
      <w:szCs w:val="22"/>
      <w:u w:val="none"/>
    </w:rPr>
  </w:style>
  <w:style w:type="character" w:customStyle="1" w:styleId="9">
    <w:name w:val="font71"/>
    <w:basedOn w:val="3"/>
    <w:uiPriority w:val="0"/>
    <w:rPr>
      <w:rFonts w:hint="default" w:ascii="仿宋_GB2312" w:eastAsia="仿宋_GB2312" w:cs="仿宋_GB2312"/>
      <w:color w:val="000000"/>
      <w:sz w:val="16"/>
      <w:szCs w:val="16"/>
      <w:u w:val="none"/>
    </w:rPr>
  </w:style>
  <w:style w:type="character" w:customStyle="1" w:styleId="10">
    <w:name w:val="font91"/>
    <w:basedOn w:val="3"/>
    <w:uiPriority w:val="0"/>
    <w:rPr>
      <w:rFonts w:hint="eastAsia" w:ascii="宋体" w:hAnsi="宋体" w:eastAsia="宋体" w:cs="宋体"/>
      <w:color w:val="000000"/>
      <w:sz w:val="16"/>
      <w:szCs w:val="16"/>
      <w:u w:val="none"/>
    </w:rPr>
  </w:style>
  <w:style w:type="character" w:customStyle="1" w:styleId="11">
    <w:name w:val="font142"/>
    <w:basedOn w:val="3"/>
    <w:uiPriority w:val="0"/>
    <w:rPr>
      <w:rFonts w:hint="default"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2404</Words>
  <Characters>2841</Characters>
  <Lines>0</Lines>
  <Paragraphs>0</Paragraphs>
  <TotalTime>88</TotalTime>
  <ScaleCrop>false</ScaleCrop>
  <LinksUpToDate>false</LinksUpToDate>
  <CharactersWithSpaces>2897</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2022-04-27T03:23:00Z</dcterms:created>
  <dc:creator>侯文磊</dc:creator>
  <cp:lastModifiedBy>天氣晴</cp:lastModifiedBy>
  <dcterms:modified xsi:type="dcterms:W3CDTF">2022-05-12T11:00:23Z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BF3D38E88D114032ADCD52460B9446F9</vt:lpwstr>
  </property>
</Properties>
</file>