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6"/>
        <w:gridCol w:w="536"/>
        <w:gridCol w:w="857"/>
        <w:gridCol w:w="1656"/>
        <w:gridCol w:w="1016"/>
        <w:gridCol w:w="1016"/>
        <w:gridCol w:w="1999"/>
        <w:gridCol w:w="456"/>
        <w:gridCol w:w="697"/>
        <w:gridCol w:w="12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000" w:type="pct"/>
            <w:gridSpan w:val="10"/>
            <w:tcBorders>
              <w:top w:val="nil"/>
              <w:left w:val="nil"/>
              <w:bottom w:val="nil"/>
              <w:right w:val="nil"/>
            </w:tcBorders>
            <w:shd w:val="clear" w:color="auto" w:fill="auto"/>
            <w:vAlign w:val="center"/>
          </w:tcPr>
          <w:p>
            <w:pPr>
              <w:keepNext w:val="0"/>
              <w:keepLines w:val="0"/>
              <w:widowControl/>
              <w:suppressLineNumbers w:val="0"/>
              <w:jc w:val="both"/>
              <w:textAlignment w:val="center"/>
              <w:rPr>
                <w:rFonts w:ascii="仿宋_GB2312" w:hAnsi="宋体" w:eastAsia="仿宋_GB2312" w:cs="仿宋_GB2312"/>
                <w:i w:val="0"/>
                <w:iCs w:val="0"/>
                <w:color w:val="000000"/>
                <w:sz w:val="24"/>
                <w:szCs w:val="24"/>
                <w:u w:val="none"/>
              </w:rPr>
            </w:pPr>
            <w:r>
              <w:rPr>
                <w:rFonts w:hint="default" w:ascii="仿宋_GB2312" w:hAnsi="宋体" w:eastAsia="仿宋_GB2312" w:cs="仿宋_GB2312"/>
                <w:i w:val="0"/>
                <w:iCs w:val="0"/>
                <w:color w:val="000000"/>
                <w:kern w:val="0"/>
                <w:sz w:val="24"/>
                <w:szCs w:val="24"/>
                <w:u w:val="none"/>
                <w:lang w:val="en-US" w:eastAsia="zh-CN" w:bidi="ar"/>
              </w:rPr>
              <w:t>附件3：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000" w:type="pct"/>
            <w:gridSpan w:val="1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4"/>
                <w:szCs w:val="24"/>
                <w:u w:val="none"/>
              </w:rPr>
            </w:pPr>
            <w:r>
              <w:rPr>
                <w:rStyle w:val="4"/>
                <w:rFonts w:hAnsi="宋体"/>
                <w:lang w:val="en-US" w:eastAsia="zh-CN" w:bidi="ar"/>
              </w:rPr>
              <w:t xml:space="preserve"> </w:t>
            </w:r>
            <w:r>
              <w:rPr>
                <w:rStyle w:val="5"/>
                <w:rFonts w:hAnsi="宋体"/>
                <w:lang w:val="en-US" w:eastAsia="zh-CN" w:bidi="ar"/>
              </w:rPr>
              <w:t>项目支出绩效自评表</w:t>
            </w:r>
            <w:r>
              <w:rPr>
                <w:rStyle w:val="6"/>
                <w:rFonts w:hAnsi="宋体"/>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5000" w:type="pct"/>
            <w:gridSpan w:val="1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Style w:val="7"/>
                <w:rFonts w:hAnsi="宋体"/>
                <w:lang w:val="en-US" w:eastAsia="zh-CN" w:bidi="ar"/>
              </w:rPr>
              <w:t>（</w:t>
            </w:r>
            <w:r>
              <w:rPr>
                <w:rStyle w:val="8"/>
                <w:lang w:val="en-US" w:eastAsia="zh-CN" w:bidi="ar"/>
              </w:rPr>
              <w:t>2021</w:t>
            </w:r>
            <w:r>
              <w:rPr>
                <w:rStyle w:val="7"/>
                <w:rFonts w:hAnsi="宋体"/>
                <w:lang w:val="en-US" w:eastAsia="zh-CN" w:bidi="ar"/>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 w:hRule="atLeast"/>
        </w:trPr>
        <w:tc>
          <w:tcPr>
            <w:tcW w:w="190"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271"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434" w:type="pct"/>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40"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515"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1530" w:type="pct"/>
            <w:gridSpan w:val="2"/>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231"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353" w:type="pct"/>
            <w:tcBorders>
              <w:top w:val="nil"/>
              <w:left w:val="nil"/>
              <w:bottom w:val="nil"/>
              <w:right w:val="nil"/>
            </w:tcBorders>
            <w:shd w:val="clear" w:color="auto" w:fill="auto"/>
            <w:vAlign w:val="center"/>
          </w:tcPr>
          <w:p>
            <w:pPr>
              <w:jc w:val="center"/>
              <w:rPr>
                <w:rFonts w:hint="default" w:ascii="仿宋_GB2312" w:hAnsi="宋体" w:eastAsia="仿宋_GB2312" w:cs="仿宋_GB2312"/>
                <w:i w:val="0"/>
                <w:iCs w:val="0"/>
                <w:color w:val="000000"/>
                <w:sz w:val="22"/>
                <w:szCs w:val="22"/>
                <w:u w:val="none"/>
              </w:rPr>
            </w:pPr>
          </w:p>
        </w:tc>
        <w:tc>
          <w:tcPr>
            <w:tcW w:w="632"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9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项目名称</w:t>
            </w:r>
          </w:p>
        </w:tc>
        <w:tc>
          <w:tcPr>
            <w:tcW w:w="4102"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大学生就业创业——2020年北京高校毕业生就业平台及资源管理系统升级改造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9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主管部门</w:t>
            </w:r>
          </w:p>
        </w:tc>
        <w:tc>
          <w:tcPr>
            <w:tcW w:w="187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北京市教育委员会</w:t>
            </w:r>
          </w:p>
        </w:tc>
        <w:tc>
          <w:tcPr>
            <w:tcW w:w="10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实施单位</w:t>
            </w:r>
          </w:p>
        </w:tc>
        <w:tc>
          <w:tcPr>
            <w:tcW w:w="121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北京市教育系统人才交流服务中心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897" w:type="pct"/>
            <w:gridSpan w:val="3"/>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项目负责人</w:t>
            </w:r>
          </w:p>
        </w:tc>
        <w:tc>
          <w:tcPr>
            <w:tcW w:w="187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王东</w:t>
            </w:r>
          </w:p>
        </w:tc>
        <w:tc>
          <w:tcPr>
            <w:tcW w:w="10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联系电话</w:t>
            </w:r>
          </w:p>
        </w:tc>
        <w:tc>
          <w:tcPr>
            <w:tcW w:w="121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60910260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897"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项目资金（万元）</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年初预算数</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Style w:val="9"/>
                <w:rFonts w:hAnsi="宋体"/>
                <w:lang w:val="en-US" w:eastAsia="zh-CN" w:bidi="ar"/>
              </w:rPr>
              <w:t>全年预算数</w:t>
            </w:r>
            <w:r>
              <w:rPr>
                <w:rStyle w:val="10"/>
                <w:lang w:val="en-US" w:eastAsia="zh-CN" w:bidi="ar"/>
              </w:rPr>
              <w:t xml:space="preserve">    </w:t>
            </w:r>
          </w:p>
        </w:tc>
        <w:tc>
          <w:tcPr>
            <w:tcW w:w="10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全年执行数</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Style w:val="9"/>
                <w:rFonts w:hAnsi="宋体"/>
                <w:lang w:val="en-US" w:eastAsia="zh-CN" w:bidi="ar"/>
              </w:rPr>
              <w:t>分值</w:t>
            </w:r>
            <w:r>
              <w:rPr>
                <w:rStyle w:val="10"/>
                <w:lang w:val="en-US" w:eastAsia="zh-CN" w:bidi="ar"/>
              </w:rPr>
              <w:t xml:space="preserve">       </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执行率</w:t>
            </w:r>
          </w:p>
        </w:tc>
        <w:tc>
          <w:tcPr>
            <w:tcW w:w="6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9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年度资金总额</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0.000000 </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255.150000 </w:t>
            </w:r>
          </w:p>
        </w:tc>
        <w:tc>
          <w:tcPr>
            <w:tcW w:w="10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254.070000 </w:t>
            </w: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99.58%</w:t>
            </w:r>
          </w:p>
        </w:tc>
        <w:tc>
          <w:tcPr>
            <w:tcW w:w="6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9.96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9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其中：当年财政拨款</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0.000000 </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255.150000 </w:t>
            </w:r>
          </w:p>
        </w:tc>
        <w:tc>
          <w:tcPr>
            <w:tcW w:w="10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254.070000 </w:t>
            </w: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99.58%</w:t>
            </w:r>
          </w:p>
        </w:tc>
        <w:tc>
          <w:tcPr>
            <w:tcW w:w="6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89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上年结转资金</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default" w:ascii="仿宋_GB2312" w:hAnsi="宋体" w:eastAsia="仿宋_GB2312" w:cs="仿宋_GB2312"/>
                <w:i w:val="0"/>
                <w:iCs w:val="0"/>
                <w:color w:val="000000"/>
                <w:sz w:val="16"/>
                <w:szCs w:val="16"/>
                <w:u w:val="none"/>
              </w:rPr>
            </w:pP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default" w:ascii="仿宋_GB2312" w:hAnsi="宋体" w:eastAsia="仿宋_GB2312" w:cs="仿宋_GB2312"/>
                <w:i w:val="0"/>
                <w:iCs w:val="0"/>
                <w:color w:val="000000"/>
                <w:sz w:val="16"/>
                <w:szCs w:val="16"/>
                <w:u w:val="none"/>
              </w:rPr>
            </w:pPr>
          </w:p>
        </w:tc>
        <w:tc>
          <w:tcPr>
            <w:tcW w:w="10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default" w:ascii="仿宋_GB2312" w:hAnsi="宋体" w:eastAsia="仿宋_GB2312" w:cs="仿宋_GB2312"/>
                <w:i w:val="0"/>
                <w:iCs w:val="0"/>
                <w:color w:val="000000"/>
                <w:sz w:val="16"/>
                <w:szCs w:val="16"/>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sz w:val="16"/>
                <w:szCs w:val="16"/>
                <w:u w:val="none"/>
              </w:rPr>
            </w:pPr>
          </w:p>
        </w:tc>
        <w:tc>
          <w:tcPr>
            <w:tcW w:w="6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89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其他资金</w:t>
            </w:r>
          </w:p>
        </w:tc>
        <w:tc>
          <w:tcPr>
            <w:tcW w:w="515" w:type="pct"/>
            <w:tcBorders>
              <w:top w:val="single" w:color="000000" w:sz="4" w:space="0"/>
              <w:left w:val="single" w:color="000000" w:sz="4" w:space="0"/>
              <w:bottom w:val="nil"/>
              <w:right w:val="single" w:color="000000" w:sz="4" w:space="0"/>
            </w:tcBorders>
            <w:shd w:val="clear" w:color="auto" w:fill="auto"/>
            <w:noWrap/>
            <w:vAlign w:val="center"/>
          </w:tcPr>
          <w:p>
            <w:pPr>
              <w:jc w:val="left"/>
              <w:rPr>
                <w:rFonts w:hint="default" w:ascii="仿宋_GB2312" w:hAnsi="宋体" w:eastAsia="仿宋_GB2312" w:cs="仿宋_GB2312"/>
                <w:i w:val="0"/>
                <w:iCs w:val="0"/>
                <w:color w:val="000000"/>
                <w:sz w:val="16"/>
                <w:szCs w:val="16"/>
                <w:u w:val="none"/>
              </w:rPr>
            </w:pPr>
          </w:p>
        </w:tc>
        <w:tc>
          <w:tcPr>
            <w:tcW w:w="515" w:type="pct"/>
            <w:tcBorders>
              <w:top w:val="single" w:color="000000" w:sz="4" w:space="0"/>
              <w:left w:val="single" w:color="000000" w:sz="4" w:space="0"/>
              <w:bottom w:val="nil"/>
              <w:right w:val="single" w:color="000000" w:sz="4" w:space="0"/>
            </w:tcBorders>
            <w:shd w:val="clear" w:color="auto" w:fill="auto"/>
            <w:noWrap/>
            <w:vAlign w:val="center"/>
          </w:tcPr>
          <w:p>
            <w:pPr>
              <w:jc w:val="left"/>
              <w:rPr>
                <w:rFonts w:hint="default" w:ascii="仿宋_GB2312" w:hAnsi="宋体" w:eastAsia="仿宋_GB2312" w:cs="仿宋_GB2312"/>
                <w:i w:val="0"/>
                <w:iCs w:val="0"/>
                <w:color w:val="FF0000"/>
                <w:sz w:val="16"/>
                <w:szCs w:val="16"/>
                <w:u w:val="none"/>
              </w:rPr>
            </w:pPr>
          </w:p>
        </w:tc>
        <w:tc>
          <w:tcPr>
            <w:tcW w:w="10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default" w:ascii="仿宋_GB2312" w:hAnsi="宋体" w:eastAsia="仿宋_GB2312" w:cs="仿宋_GB2312"/>
                <w:i w:val="0"/>
                <w:iCs w:val="0"/>
                <w:color w:val="000000"/>
                <w:sz w:val="16"/>
                <w:szCs w:val="16"/>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c>
          <w:tcPr>
            <w:tcW w:w="6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90" w:type="pct"/>
            <w:vMerge w:val="restart"/>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年度总体目标</w:t>
            </w:r>
          </w:p>
        </w:tc>
        <w:tc>
          <w:tcPr>
            <w:tcW w:w="2577"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预期目标</w:t>
            </w:r>
          </w:p>
        </w:tc>
        <w:tc>
          <w:tcPr>
            <w:tcW w:w="223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0" w:hRule="atLeast"/>
        </w:trPr>
        <w:tc>
          <w:tcPr>
            <w:tcW w:w="190" w:type="pct"/>
            <w:vMerge w:val="continue"/>
            <w:tcBorders>
              <w:top w:val="nil"/>
              <w:left w:val="single" w:color="000000" w:sz="4" w:space="0"/>
              <w:bottom w:val="single" w:color="000000" w:sz="4" w:space="0"/>
              <w:right w:val="nil"/>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577"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完成北京高校毕业生就业平台及资源管理系统的升级改造，进一步优化网上办事流程，提升工作效率，规范毕业生就业手续办理工作。</w:t>
            </w:r>
          </w:p>
        </w:tc>
        <w:tc>
          <w:tcPr>
            <w:tcW w:w="2231"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截止2021年12月底，本项目已全部完成，包括：对“北京高校毕业生就业平台及资源管理系统”进行升级改造，再造流程规范系统中的业务操作，优化代码提高系统的兼容性，引入第三方CA提升系统的安全性，构建统一用户认证体系，采用加密处理，提升数据安全性,构建“PC+移动端”系统平台提升资源获取的及时性、便利性，提高办公效率，引入BI技术让系统数据价值最大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90"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绩效指标</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一级指标</w:t>
            </w: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二级指标</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三级指标</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年度指标值</w:t>
            </w:r>
          </w:p>
        </w:tc>
        <w:tc>
          <w:tcPr>
            <w:tcW w:w="10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实际完成值</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分值</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得分</w:t>
            </w:r>
          </w:p>
        </w:tc>
        <w:tc>
          <w:tcPr>
            <w:tcW w:w="6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产出指标（50分）</w:t>
            </w:r>
          </w:p>
        </w:tc>
        <w:tc>
          <w:tcPr>
            <w:tcW w:w="434"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数量指标</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1．每年上报毕业生数据</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每年通过平台上报毕业生数据不低于20万条。</w:t>
            </w:r>
          </w:p>
        </w:tc>
        <w:tc>
          <w:tcPr>
            <w:tcW w:w="10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2021年通过平台上报毕业生数据25.02万条。</w:t>
            </w: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 </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5.00 </w:t>
            </w:r>
          </w:p>
        </w:tc>
        <w:tc>
          <w:tcPr>
            <w:tcW w:w="63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仿宋_GB2312" w:hAnsi="宋体" w:eastAsia="仿宋_GB2312" w:cs="仿宋_GB2312"/>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2．管理已有历史数据</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管理已有历史数据不低于200万条。</w:t>
            </w:r>
          </w:p>
        </w:tc>
        <w:tc>
          <w:tcPr>
            <w:tcW w:w="10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管理已有历史数据380万条。</w:t>
            </w: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 </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5.00 </w:t>
            </w:r>
          </w:p>
        </w:tc>
        <w:tc>
          <w:tcPr>
            <w:tcW w:w="63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仿宋_GB2312" w:hAnsi="宋体" w:eastAsia="仿宋_GB2312" w:cs="仿宋_GB2312"/>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3．服务北京地区高校及科研院所</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每年服务北京地区高校及科研院所数不低于150所。</w:t>
            </w:r>
          </w:p>
        </w:tc>
        <w:tc>
          <w:tcPr>
            <w:tcW w:w="10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2021年服务北京地区高校及科研院所数179所。</w:t>
            </w: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 </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5.00 </w:t>
            </w:r>
          </w:p>
        </w:tc>
        <w:tc>
          <w:tcPr>
            <w:tcW w:w="632"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6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质量指标</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1．贯彻落实国家、教育部、市教委文件精神，推进政务事项网上办理、移动办理</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通过系统升级改造，进一步优化网上办事流程，提升工作效率，规范毕业生就业手续办理工作，积极促进毕业生就业工作的长远发展。</w:t>
            </w:r>
          </w:p>
        </w:tc>
        <w:tc>
          <w:tcPr>
            <w:tcW w:w="10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通过系统升级改造，再造了业务流程，规范了业务操作，进一步优化了网上办事流程，规范了毕业生就业手续办理工作，构建“PC+移动端”系统平台，提高了办公效率，积极有效的促进了毕业生就业工作的长远发展。</w:t>
            </w: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 </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5.00 </w:t>
            </w:r>
          </w:p>
        </w:tc>
        <w:tc>
          <w:tcPr>
            <w:tcW w:w="632"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2．为北京地区高校、科研院所、市教委及教育部等教育主管部门提供毕业生就业统计数据，为决策提供数据支撑</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通过数据统计分析及展示功能的升级，更好地为各级管理用户提供基于毕业生就业数据的统计分析，为毕业生就业政策的制定出台和各类决策提供数据支撑。</w:t>
            </w:r>
          </w:p>
        </w:tc>
        <w:tc>
          <w:tcPr>
            <w:tcW w:w="10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通过数据统计分析及展示功能的升级，提供了海量、多维、全视角的数据统计分析功能，并为各级管理用户提供基于自身需要的统计分析，为领导决策提供强有力的数据支撑，挖掘就业大数据的潜在价值。</w:t>
            </w: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 </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5.00 </w:t>
            </w:r>
          </w:p>
        </w:tc>
        <w:tc>
          <w:tcPr>
            <w:tcW w:w="632"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8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时效指标</w:t>
            </w: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项目完成进度</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1.2020年财政资金到位后进行项目招标（预计2020年4月）；2.与中标单位签订合同后进入项目建设周期，为期一年（预计2020年5月-2021年5月）；3.项目建设完成后投入试运行(预计2021年5月)。</w:t>
            </w:r>
          </w:p>
        </w:tc>
        <w:tc>
          <w:tcPr>
            <w:tcW w:w="101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1.2020年9月财政资金到位后进行项目招标；</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2.与中标单位签订合同后进入项目建设周期，为期半年（2020年10月-2021年3月）,2021年3月12日通过初步验收；</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3.项目建设完成后投入试运行，2021年4月15日通过竣工验收。</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5</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4.00 </w:t>
            </w:r>
          </w:p>
        </w:tc>
        <w:tc>
          <w:tcPr>
            <w:tcW w:w="632" w:type="pc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偏差原因：受疫情影响，专项资金拨付晚，导致未能按计划时间进行项目招标</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改进措施：编制预算时，充分考虑疫情等不确定因素影响，项目后期赶工，做好风险把控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成本指标</w:t>
            </w: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开发费</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166.8万元</w:t>
            </w:r>
          </w:p>
        </w:tc>
        <w:tc>
          <w:tcPr>
            <w:tcW w:w="10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166.8万元</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5</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5.00 </w:t>
            </w:r>
          </w:p>
        </w:tc>
        <w:tc>
          <w:tcPr>
            <w:tcW w:w="632" w:type="pct"/>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default" w:ascii="仿宋_GB2312" w:hAnsi="宋体" w:eastAsia="仿宋_GB2312" w:cs="仿宋_GB2312"/>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设备、软件购置费</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72万元</w:t>
            </w:r>
          </w:p>
        </w:tc>
        <w:tc>
          <w:tcPr>
            <w:tcW w:w="10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71.19万元</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5</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5.00 </w:t>
            </w:r>
          </w:p>
        </w:tc>
        <w:tc>
          <w:tcPr>
            <w:tcW w:w="63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偏差原因：根据招投标和综合评定结果确定最终成本</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改进措施：及时核减项目经费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安全测评</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9万元</w:t>
            </w:r>
          </w:p>
        </w:tc>
        <w:tc>
          <w:tcPr>
            <w:tcW w:w="10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8.9万元</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5</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5.00 </w:t>
            </w:r>
          </w:p>
        </w:tc>
        <w:tc>
          <w:tcPr>
            <w:tcW w:w="63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仿宋_GB2312" w:hAnsi="宋体" w:eastAsia="仿宋_GB2312" w:cs="仿宋_GB2312"/>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监理</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7.35万元</w:t>
            </w:r>
          </w:p>
        </w:tc>
        <w:tc>
          <w:tcPr>
            <w:tcW w:w="10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7.18万元</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5</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5.00 </w:t>
            </w:r>
          </w:p>
        </w:tc>
        <w:tc>
          <w:tcPr>
            <w:tcW w:w="63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仿宋_GB2312" w:hAnsi="宋体" w:eastAsia="仿宋_GB2312" w:cs="仿宋_GB2312"/>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4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效益指标（30分）</w:t>
            </w: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经济效益指标</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经济性</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项目单位以公益服务为主要工作任务，本项目主要是通过对北京高校毕业生就业平台及资源管理系统进行升级改造，进一步优化网上办事流程，提升工作效率，规范毕业生就业手续办理工作。</w:t>
            </w:r>
          </w:p>
        </w:tc>
        <w:tc>
          <w:tcPr>
            <w:tcW w:w="10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单位以公益服务为主要工作任务，本项目主要通过系统升级改造，再造了业务流程，规范了业务操作，进一步优化了网上办事流程，规范了毕业生就业手续办理工作，构建“PC+移动端”系统平台，提高了办公效率。</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10.00 </w:t>
            </w:r>
          </w:p>
        </w:tc>
        <w:tc>
          <w:tcPr>
            <w:tcW w:w="632" w:type="pct"/>
            <w:tcBorders>
              <w:top w:val="single" w:color="000000" w:sz="4" w:space="0"/>
              <w:left w:val="single" w:color="000000" w:sz="4" w:space="0"/>
              <w:bottom w:val="nil"/>
              <w:right w:val="single" w:color="000000" w:sz="4" w:space="0"/>
            </w:tcBorders>
            <w:shd w:val="clear" w:color="auto" w:fill="FFFFFF"/>
            <w:vAlign w:val="center"/>
          </w:tcPr>
          <w:p>
            <w:pPr>
              <w:jc w:val="left"/>
              <w:rPr>
                <w:rFonts w:hint="eastAsia" w:ascii="Arial" w:hAnsi="Arial" w:eastAsia="宋体" w:cs="Arial"/>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nil"/>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社会效益指标</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社会影响力</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通过进一步优化网上办事流程，提升工作效率，规范毕业生就业手续办理工作，不断提升北京地区高校毕业生就业创业工作的社会影响力。</w:t>
            </w:r>
          </w:p>
        </w:tc>
        <w:tc>
          <w:tcPr>
            <w:tcW w:w="10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本项目通过系统升级改造，再造了业务流程，规范了业务操作，进一步优化了网上办事流程，规范了毕业生就业手续办理工作，构建“PC+移动端”系统平台，提高了办公效率，不断提升了北京地区高校毕业生就业创业工作的社会影响力。</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10.00 </w:t>
            </w:r>
          </w:p>
        </w:tc>
        <w:tc>
          <w:tcPr>
            <w:tcW w:w="632" w:type="pct"/>
            <w:tcBorders>
              <w:top w:val="single" w:color="000000" w:sz="4" w:space="0"/>
              <w:left w:val="single" w:color="000000" w:sz="4" w:space="0"/>
              <w:bottom w:val="nil"/>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6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nil"/>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可持续影响指标</w:t>
            </w:r>
          </w:p>
        </w:tc>
        <w:tc>
          <w:tcPr>
            <w:tcW w:w="840"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持久度</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推动北京地区高校大学生就业创业工作水平得到提升，促进就业创业工作的开展。</w:t>
            </w:r>
          </w:p>
        </w:tc>
        <w:tc>
          <w:tcPr>
            <w:tcW w:w="10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通过系统升级改造，进一步优化了网上办事流程，规范了毕业生就业手续办理工作，构建“PC+移动端”系统平台，提高了办公效率，增强了系统生命力，延长了系统的生命周期，积极有效的促进了毕业生就业创业工作的长远发展。</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10.00 </w:t>
            </w:r>
          </w:p>
        </w:tc>
        <w:tc>
          <w:tcPr>
            <w:tcW w:w="63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满意度指标（10分）</w:t>
            </w: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服务对象满意度指标</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相应满意度指标</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≥85%</w:t>
            </w:r>
          </w:p>
        </w:tc>
        <w:tc>
          <w:tcPr>
            <w:tcW w:w="10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≥90%</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10.00 </w:t>
            </w:r>
          </w:p>
        </w:tc>
        <w:tc>
          <w:tcPr>
            <w:tcW w:w="63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783"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总分</w:t>
            </w: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100</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98.96 </w:t>
            </w:r>
          </w:p>
        </w:tc>
        <w:tc>
          <w:tcPr>
            <w:tcW w:w="632" w:type="pct"/>
            <w:tcBorders>
              <w:top w:val="single" w:color="000000" w:sz="4" w:space="0"/>
              <w:left w:val="nil"/>
              <w:bottom w:val="single" w:color="000000" w:sz="4" w:space="0"/>
              <w:right w:val="single" w:color="000000" w:sz="4" w:space="0"/>
            </w:tcBorders>
            <w:shd w:val="clear" w:color="auto" w:fill="auto"/>
            <w:noWrap/>
            <w:vAlign w:val="center"/>
          </w:tcPr>
          <w:p>
            <w:pPr>
              <w:jc w:val="left"/>
              <w:rPr>
                <w:rFonts w:hint="default" w:ascii="仿宋_GB2312" w:hAnsi="宋体" w:eastAsia="仿宋_GB2312" w:cs="仿宋_GB2312"/>
                <w:i w:val="0"/>
                <w:iCs w:val="0"/>
                <w:color w:val="000000"/>
                <w:sz w:val="16"/>
                <w:szCs w:val="16"/>
                <w:u w:val="none"/>
              </w:rPr>
            </w:pPr>
          </w:p>
        </w:tc>
      </w:tr>
    </w:tbl>
    <w:p>
      <w:bookmarkStart w:id="0" w:name="_GoBack"/>
      <w:bookmarkEnd w:id="0"/>
    </w:p>
    <w:sectPr>
      <w:pgSz w:w="11906" w:h="16838"/>
      <w:pgMar w:top="567" w:right="1134" w:bottom="283"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3YzUxOTc2MTAyNGNjZTU1YWUwNTU5OGI2YTZkODUifQ=="/>
  </w:docVars>
  <w:rsids>
    <w:rsidRoot w:val="35B21439"/>
    <w:rsid w:val="2B6747D3"/>
    <w:rsid w:val="35B21439"/>
    <w:rsid w:val="6F6973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41"/>
    <w:basedOn w:val="3"/>
    <w:qFormat/>
    <w:uiPriority w:val="0"/>
    <w:rPr>
      <w:rFonts w:hint="default" w:ascii="仿宋_GB2312" w:eastAsia="仿宋_GB2312" w:cs="仿宋_GB2312"/>
      <w:color w:val="000000"/>
      <w:sz w:val="24"/>
      <w:szCs w:val="24"/>
      <w:u w:val="none"/>
    </w:rPr>
  </w:style>
  <w:style w:type="character" w:customStyle="1" w:styleId="5">
    <w:name w:val="font121"/>
    <w:basedOn w:val="3"/>
    <w:qFormat/>
    <w:uiPriority w:val="0"/>
    <w:rPr>
      <w:rFonts w:hint="default" w:ascii="仿宋_GB2312" w:eastAsia="仿宋_GB2312" w:cs="仿宋_GB2312"/>
      <w:b/>
      <w:bCs/>
      <w:color w:val="000000"/>
      <w:sz w:val="24"/>
      <w:szCs w:val="24"/>
      <w:u w:val="none"/>
    </w:rPr>
  </w:style>
  <w:style w:type="character" w:customStyle="1" w:styleId="6">
    <w:name w:val="font151"/>
    <w:basedOn w:val="3"/>
    <w:qFormat/>
    <w:uiPriority w:val="0"/>
    <w:rPr>
      <w:rFonts w:hint="default" w:ascii="仿宋_GB2312" w:eastAsia="仿宋_GB2312" w:cs="仿宋_GB2312"/>
      <w:color w:val="000000"/>
      <w:sz w:val="24"/>
      <w:szCs w:val="24"/>
      <w:u w:val="none"/>
    </w:rPr>
  </w:style>
  <w:style w:type="character" w:customStyle="1" w:styleId="7">
    <w:name w:val="font61"/>
    <w:basedOn w:val="3"/>
    <w:qFormat/>
    <w:uiPriority w:val="0"/>
    <w:rPr>
      <w:rFonts w:hint="default" w:ascii="仿宋_GB2312" w:eastAsia="仿宋_GB2312" w:cs="仿宋_GB2312"/>
      <w:color w:val="000000"/>
      <w:sz w:val="22"/>
      <w:szCs w:val="22"/>
      <w:u w:val="none"/>
    </w:rPr>
  </w:style>
  <w:style w:type="character" w:customStyle="1" w:styleId="8">
    <w:name w:val="font51"/>
    <w:basedOn w:val="3"/>
    <w:qFormat/>
    <w:uiPriority w:val="0"/>
    <w:rPr>
      <w:rFonts w:hint="eastAsia" w:ascii="宋体" w:hAnsi="宋体" w:eastAsia="宋体" w:cs="宋体"/>
      <w:color w:val="000000"/>
      <w:sz w:val="22"/>
      <w:szCs w:val="22"/>
      <w:u w:val="none"/>
    </w:rPr>
  </w:style>
  <w:style w:type="character" w:customStyle="1" w:styleId="9">
    <w:name w:val="font81"/>
    <w:basedOn w:val="3"/>
    <w:qFormat/>
    <w:uiPriority w:val="0"/>
    <w:rPr>
      <w:rFonts w:hint="default" w:ascii="仿宋_GB2312" w:eastAsia="仿宋_GB2312" w:cs="仿宋_GB2312"/>
      <w:color w:val="000000"/>
      <w:sz w:val="16"/>
      <w:szCs w:val="16"/>
      <w:u w:val="none"/>
    </w:rPr>
  </w:style>
  <w:style w:type="character" w:customStyle="1" w:styleId="10">
    <w:name w:val="font91"/>
    <w:basedOn w:val="3"/>
    <w:qFormat/>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2246</Words>
  <Characters>2540</Characters>
  <Lines>0</Lines>
  <Paragraphs>0</Paragraphs>
  <TotalTime>1</TotalTime>
  <ScaleCrop>false</ScaleCrop>
  <LinksUpToDate>false</LinksUpToDate>
  <CharactersWithSpaces>2587</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2022-04-27T07:38:00Z</dcterms:created>
  <dc:creator>侯文磊</dc:creator>
  <cp:lastModifiedBy>天氣晴</cp:lastModifiedBy>
  <dcterms:modified xsi:type="dcterms:W3CDTF">2022-05-12T11:01:03Z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C22BBC3BAE564735B425B4226FDDE2BB</vt:lpwstr>
  </property>
</Properties>
</file>