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551"/>
        <w:gridCol w:w="888"/>
        <w:gridCol w:w="886"/>
        <w:gridCol w:w="897"/>
        <w:gridCol w:w="973"/>
        <w:gridCol w:w="970"/>
        <w:gridCol w:w="970"/>
        <w:gridCol w:w="636"/>
        <w:gridCol w:w="718"/>
        <w:gridCol w:w="5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875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职业院校素质提高工程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16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68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16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徐文广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68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61801058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(万元）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3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16.593500</w:t>
            </w:r>
          </w:p>
        </w:tc>
        <w:tc>
          <w:tcPr>
            <w:tcW w:w="3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4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55.31%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16.593500</w:t>
            </w:r>
          </w:p>
        </w:tc>
        <w:tc>
          <w:tcPr>
            <w:tcW w:w="3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246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225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6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完成由我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承担的职业院校素质提高工程项目培训任务，提升各职业院校教师的专业素质与职业修养，并按照相关文件规定保证培养质量。</w:t>
            </w:r>
          </w:p>
        </w:tc>
        <w:tc>
          <w:tcPr>
            <w:tcW w:w="225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结合疫情防控要求，灵活开展教师培训工作，良好完成了项目培训任务，提升各职业院校教师的专业素质与职业修养，并按照相关文件规定保证培养质量。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1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偏差原因分析及改进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培训人天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建筑信息模型（BIM）完成40名教师5天共计200人天的培训工作；机电专业双师型教师培训完成10名教师20天共计200人天的培训工作；中高职教师素质协同研修完成50人3天共计150人天的培训工作。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建筑信息模型（BIM）完成50人5天共计250人天的培训工作；机电专业双师型教师培训完成20人5天100人天的培训工作；中高职教师素质协同研修完成54人3天共计162人天的培训工作。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11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完成数量指标，但仍有提升与改进空间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培训质量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有效提升职业院校各类教师职业教育理念、教学水平、操作水平与学生管理水平，增强教师的职业素养。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通过培训项目的开展，有效提升职业院校教师的职业教育理念、教学水平与实践能力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1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执行进度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严格按照项目计划执行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结合疫情防控要求，灵活开展教师培训活动，圆满完成培训计划。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11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项目成本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严格按照预算经费30万元额度内执行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实际支出16.59万元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1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坚持节俭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高效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原则，严格遵守相关财务制度，不超标，完成项目的绩效目标。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项目执行坚持节俭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高效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的原则，严格遵守相关财务制度，不超标。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1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加强职业院校师资队伍建设，促进双师型教师队伍发展，提升教师理论能力、教学能力与基本职业素养，促进教师专业成长与职业院校的内涵发展。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教师理论能力、教学能力与基本职业素养得到提升，有效促进了教师专业成长与职业院校的内涵发展。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1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教师满意度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确保参加培训教师满意度达90%以上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参加培训教师满意度达95%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1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基本完成满意度指标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74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80.53</w:t>
            </w:r>
          </w:p>
        </w:tc>
        <w:tc>
          <w:tcPr>
            <w:tcW w:w="111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14315C"/>
    <w:rsid w:val="0014315C"/>
    <w:rsid w:val="002802CD"/>
    <w:rsid w:val="003F1FF8"/>
    <w:rsid w:val="00524C89"/>
    <w:rsid w:val="008B0C7C"/>
    <w:rsid w:val="00E360FA"/>
    <w:rsid w:val="00FB7059"/>
    <w:rsid w:val="18E2080F"/>
    <w:rsid w:val="444C73C4"/>
    <w:rsid w:val="5971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1024</Words>
  <Characters>1146</Characters>
  <Lines>9</Lines>
  <Paragraphs>2</Paragraphs>
  <TotalTime>12</TotalTime>
  <ScaleCrop>false</ScaleCrop>
  <LinksUpToDate>false</LinksUpToDate>
  <CharactersWithSpaces>1169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2022-04-25T14:44:00Z</dcterms:created>
  <dc:creator>雪</dc:creator>
  <cp:lastModifiedBy>a</cp:lastModifiedBy>
  <cp:lastPrinted>2022-04-28T08:20:00Z</cp:lastPrinted>
  <dcterms:modified xsi:type="dcterms:W3CDTF">2022-08-23T02:25:55Z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C461BCB12B0F4764A7E7A4F15E68C42E</vt:lpwstr>
  </property>
</Properties>
</file>