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t xml:space="preserve">　　 </w:t>
      </w:r>
    </w:p>
    <w:tbl>
      <w:tblPr>
        <w:tblStyle w:val="4"/>
        <w:tblW w:w="0" w:type="auto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04"/>
        <w:gridCol w:w="456"/>
        <w:gridCol w:w="848"/>
        <w:gridCol w:w="932"/>
        <w:gridCol w:w="1860"/>
        <w:gridCol w:w="1583"/>
        <w:gridCol w:w="1100"/>
        <w:gridCol w:w="1106"/>
        <w:gridCol w:w="673"/>
        <w:gridCol w:w="780"/>
        <w:gridCol w:w="59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  <w:jc w:val="center"/>
        </w:trPr>
        <w:tc>
          <w:tcPr>
            <w:tcW w:w="0" w:type="auto"/>
            <w:gridSpan w:val="4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/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0" w:type="auto"/>
            <w:gridSpan w:val="11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/>
                <w:b/>
                <w:bCs/>
                <w:color w:val="000000"/>
                <w:sz w:val="32"/>
                <w:szCs w:val="32"/>
              </w:rPr>
              <w:t>项目支出绩效自评表</w:t>
            </w:r>
            <w:r>
              <w:rPr>
                <w:rFonts w:hint="eastAsia"/>
                <w:color w:val="000000"/>
                <w:sz w:val="32"/>
                <w:szCs w:val="32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11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（2021年度）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双高建设-工程测量技术专业群-燕通装配式建筑工程师学院条件建设（央财）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北京工业职业技术学院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王博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13466770875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0" w:type="auto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项目资金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>(万元）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得分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166.725000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166.720000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10.00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10.00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166.725000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166.720000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jc w:val="center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0" w:type="auto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实际完成情况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5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燕通装配式建筑工程师学院条件建设1个，满足规程测量技术专业群理实教学需要和创新研发、“1+X"装配式建筑构件制作与安装技能考核、生产服务及国内外培训的需求。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按照项目预期，完成各项指标，包括燕通装配式建筑工程师学院条件建设1个，满足规程测量技术专业群理实教学需要和创新研发、“1+X"装配式建筑构件制作与安装技能考核、生产服务及国内外培训的需求，资金支出率99.99%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  <w:jc w:val="center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偏差原因分析及改进</w:t>
            </w:r>
            <w:r>
              <w:rPr>
                <w:rFonts w:hint="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sz w:val="20"/>
                <w:szCs w:val="20"/>
              </w:rPr>
              <w:t>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产出指标（50分）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桌面工作站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23台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hint="eastAsia" w:cs="Times New Roman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装配式构造识图教学平台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一套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hint="eastAsia" w:cs="Times New Roman"/>
                <w:color w:val="000000"/>
                <w:sz w:val="20"/>
                <w:szCs w:val="20"/>
              </w:rPr>
              <w:t>套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装配式建筑设计软件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一套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hint="eastAsia" w:cs="Times New Roman"/>
                <w:color w:val="000000"/>
                <w:sz w:val="20"/>
                <w:szCs w:val="20"/>
              </w:rPr>
              <w:t>套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完成数量指标，但仍有提升与改进空间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教育教学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满足工程测量技术专业群学生“软技能、硬技能、高技术”的多层次实践能力培养需求，满足装配式建筑教学、提高学生综合素质和就业能力。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满足工程测量技术专业群学生“软技能、硬技能、高技术”的多层次实践能力培养需求，满足装配式建筑教学、提高学生综合素质和就业能力。 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完成质量指标，但仍有提升与改进空间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技术服务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服务产业高端化发展，装配式建筑图纸深化设计、施工管理领域，取得具有行业影响的科技成果。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服务产业高端化发展，装配式建筑图纸深化设计、施工管理领域，取得具有行业影响的科技成果。 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完成质量指标，但仍有提升与改进空间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时间节点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按照实施计划进度进行，2020.12月底交付，2021年开始使用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按照实施计划进度进行，2021.12月底交付，2022年开始使用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完成时效指标，但仍有提升与改进空间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总经费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设备采购履行成本节约原则，总经费不超过200万元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设备采购履行成本节约原则，支出166.72万元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预算有调整，</w:t>
            </w:r>
            <w:r>
              <w:rPr>
                <w:rFonts w:hint="eastAsia"/>
                <w:color w:val="000000"/>
                <w:sz w:val="18"/>
                <w:szCs w:val="18"/>
              </w:rPr>
              <w:t>已按调整金额执行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效益指标（30分）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经济效益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经济效益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每年为高校教师、企业开展技术服务和培训，带来收益5万元。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未达到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未达到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6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社会效益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社会效益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1.提高工程测量技术专业群实践教学能力水平，促进教学模式改革，满足每年500个学生提升智能建造专业能力等方面的需求；                                            2.保障建筑施工技术、工程造价专业认识实习等教学工作正常运转；                                    3.为学</w:t>
            </w: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院</w:t>
            </w:r>
            <w:r>
              <w:rPr>
                <w:rFonts w:hint="eastAsia"/>
                <w:color w:val="000000"/>
                <w:sz w:val="20"/>
                <w:szCs w:val="20"/>
              </w:rPr>
              <w:t>进行装配式建筑、教学、日常工作提供强有力的硬件条件保障；                  4.每年为高校、行业企业开展相关培训100人次，推动北京装配式建筑技术发展。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1.提高工程测量技术专业群实践教学能力水平，促进教学模式改革，满足每年500个学生提升智能建造专业能力等方面的需求；2.保障建筑施工技术、工程造价专业认识实习等教学工作正常运转；3.为学</w:t>
            </w: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院</w:t>
            </w:r>
            <w:bookmarkStart w:id="0" w:name="_GoBack"/>
            <w:bookmarkEnd w:id="0"/>
            <w:r>
              <w:rPr>
                <w:rFonts w:hint="eastAsia"/>
                <w:color w:val="000000"/>
                <w:sz w:val="20"/>
                <w:szCs w:val="20"/>
              </w:rPr>
              <w:t>进行装配式建筑、教学、日常工作提供强有力的硬件条件保障；4.每年为高校、行业企业开展相关培训100人次，推动北京装配式建筑技术发展。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可持续影响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可持续影响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建立了可持续发展机制，项目建设内容在未来十年保持全国领先水平，具有很强的持久性。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建立了可持续发展机制，项目建设内容在未来十年保持全国领先水平，具有很强的持久性。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学生服务满意度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95%以上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95%以上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社会服务满意度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95%以上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95%以上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 xml:space="preserve">     85.50 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</w:tbl>
    <w:p/>
    <w:sectPr>
      <w:pgSz w:w="11906" w:h="16838"/>
      <w:pgMar w:top="1440" w:right="851" w:bottom="1440" w:left="851" w:header="851" w:footer="992" w:gutter="0"/>
      <w:cols w:space="425" w:num="1"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noPunctuationKerning w:val="1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UxNTI2ODdmZDk1MGRlNWRkODU3ZmNjMzUxZDhmM2YifQ=="/>
  </w:docVars>
  <w:rsids>
    <w:rsidRoot w:val="001C5DFE"/>
    <w:rsid w:val="001C5DFE"/>
    <w:rsid w:val="00464D58"/>
    <w:rsid w:val="00640A64"/>
    <w:rsid w:val="00C269DF"/>
    <w:rsid w:val="00FF6470"/>
    <w:rsid w:val="17874C05"/>
    <w:rsid w:val="3ABB24D0"/>
    <w:rsid w:val="79BA6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msonormal"/>
    <w:basedOn w:val="1"/>
    <w:qFormat/>
    <w:uiPriority w:val="0"/>
    <w:pPr>
      <w:spacing w:before="100" w:beforeAutospacing="1" w:after="100" w:afterAutospacing="1"/>
    </w:pPr>
  </w:style>
  <w:style w:type="paragraph" w:customStyle="1" w:styleId="7">
    <w:name w:val="font52673"/>
    <w:basedOn w:val="1"/>
    <w:uiPriority w:val="0"/>
    <w:pPr>
      <w:spacing w:before="100" w:beforeAutospacing="1" w:after="100" w:afterAutospacing="1"/>
    </w:pPr>
    <w:rPr>
      <w:b/>
      <w:bCs/>
      <w:color w:val="000000"/>
      <w:sz w:val="32"/>
      <w:szCs w:val="32"/>
    </w:rPr>
  </w:style>
  <w:style w:type="paragraph" w:customStyle="1" w:styleId="8">
    <w:name w:val="font62673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9">
    <w:name w:val="font72673"/>
    <w:basedOn w:val="1"/>
    <w:qFormat/>
    <w:uiPriority w:val="0"/>
    <w:pPr>
      <w:spacing w:before="100" w:beforeAutospacing="1" w:after="100" w:afterAutospacing="1"/>
    </w:pPr>
    <w:rPr>
      <w:color w:val="000000"/>
      <w:sz w:val="32"/>
      <w:szCs w:val="32"/>
    </w:rPr>
  </w:style>
  <w:style w:type="paragraph" w:customStyle="1" w:styleId="10">
    <w:name w:val="font82673"/>
    <w:basedOn w:val="1"/>
    <w:qFormat/>
    <w:uiPriority w:val="0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11">
    <w:name w:val="xl152673"/>
    <w:basedOn w:val="1"/>
    <w:qFormat/>
    <w:uiPriority w:val="0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12">
    <w:name w:val="xl672673"/>
    <w:basedOn w:val="1"/>
    <w:qFormat/>
    <w:uiPriority w:val="0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13">
    <w:name w:val="xl682673"/>
    <w:basedOn w:val="1"/>
    <w:qFormat/>
    <w:uiPriority w:val="0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14">
    <w:name w:val="xl692673"/>
    <w:basedOn w:val="1"/>
    <w:qFormat/>
    <w:uiPriority w:val="0"/>
    <w:pP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15">
    <w:name w:val="xl70267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6">
    <w:name w:val="xl71267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7">
    <w:name w:val="xl72267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8">
    <w:name w:val="xl732673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19">
    <w:name w:val="xl74267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0">
    <w:name w:val="xl75267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21">
    <w:name w:val="xl76267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22">
    <w:name w:val="xl77267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23">
    <w:name w:val="xl78267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4">
    <w:name w:val="xl79267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5">
    <w:name w:val="xl80267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6">
    <w:name w:val="xl812673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7">
    <w:name w:val="xl82267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28">
    <w:name w:val="xl83267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29">
    <w:name w:val="xl84267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30">
    <w:name w:val="xl85267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1">
    <w:name w:val="xl86267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2">
    <w:name w:val="xl87267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3">
    <w:name w:val="xl88267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34">
    <w:name w:val="xl89267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35">
    <w:name w:val="xl90267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36">
    <w:name w:val="xl912673"/>
    <w:basedOn w:val="1"/>
    <w:qFormat/>
    <w:uiPriority w:val="0"/>
    <w:pPr>
      <w:pBdr>
        <w:top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37">
    <w:name w:val="xl922673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38">
    <w:name w:val="xl93267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39">
    <w:name w:val="xl942673"/>
    <w:basedOn w:val="1"/>
    <w:qFormat/>
    <w:uiPriority w:val="0"/>
    <w:pPr>
      <w:pBdr>
        <w:top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0">
    <w:name w:val="xl952673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1">
    <w:name w:val="xl962673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2">
    <w:name w:val="xl972673"/>
    <w:basedOn w:val="1"/>
    <w:qFormat/>
    <w:uiPriority w:val="0"/>
    <w:pPr>
      <w:pBdr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3">
    <w:name w:val="xl982673"/>
    <w:basedOn w:val="1"/>
    <w:qFormat/>
    <w:uiPriority w:val="0"/>
    <w:pPr>
      <w:pBdr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4">
    <w:name w:val="xl992673"/>
    <w:basedOn w:val="1"/>
    <w:qFormat/>
    <w:uiPriority w:val="0"/>
    <w:pPr>
      <w:pBdr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5">
    <w:name w:val="xl1002673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6">
    <w:name w:val="xl1012673"/>
    <w:basedOn w:val="1"/>
    <w:qFormat/>
    <w:uiPriority w:val="0"/>
    <w:pPr>
      <w:pBdr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7">
    <w:name w:val="xl102267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8">
    <w:name w:val="xl103267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49">
    <w:name w:val="xl1042673"/>
    <w:basedOn w:val="1"/>
    <w:qFormat/>
    <w:uiPriority w:val="0"/>
    <w:pPr>
      <w:pBdr>
        <w:top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50">
    <w:name w:val="xl1052673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51">
    <w:name w:val="xl106267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52">
    <w:name w:val="xl107267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53">
    <w:name w:val="xl1082673"/>
    <w:basedOn w:val="1"/>
    <w:qFormat/>
    <w:uiPriority w:val="0"/>
    <w:pPr>
      <w:pBdr>
        <w:top w:val="single" w:color="auto" w:sz="4" w:space="1"/>
        <w:bottom w:val="single" w:color="auto" w:sz="4" w:space="0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54">
    <w:name w:val="xl1092673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55">
    <w:name w:val="xl110267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56">
    <w:name w:val="xl111267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57">
    <w:name w:val="xl1122673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58">
    <w:name w:val="xl1132673"/>
    <w:basedOn w:val="1"/>
    <w:qFormat/>
    <w:uiPriority w:val="0"/>
    <w:pPr>
      <w:spacing w:before="100" w:beforeAutospacing="1" w:after="100" w:afterAutospacing="1"/>
      <w:textAlignment w:val="center"/>
    </w:pPr>
    <w:rPr>
      <w:rFonts w:ascii="黑体" w:hAnsi="黑体" w:eastAsia="黑体"/>
      <w:color w:val="000000"/>
    </w:rPr>
  </w:style>
  <w:style w:type="paragraph" w:customStyle="1" w:styleId="59">
    <w:name w:val="xl1142673"/>
    <w:basedOn w:val="1"/>
    <w:uiPriority w:val="0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32"/>
      <w:szCs w:val="32"/>
    </w:rPr>
  </w:style>
  <w:style w:type="character" w:customStyle="1" w:styleId="60">
    <w:name w:val="页眉 字符"/>
    <w:basedOn w:val="5"/>
    <w:link w:val="3"/>
    <w:qFormat/>
    <w:uiPriority w:val="99"/>
    <w:rPr>
      <w:rFonts w:ascii="宋体" w:hAnsi="宋体" w:eastAsia="宋体" w:cs="宋体"/>
      <w:sz w:val="18"/>
      <w:szCs w:val="18"/>
    </w:rPr>
  </w:style>
  <w:style w:type="character" w:customStyle="1" w:styleId="61">
    <w:name w:val="页脚 字符"/>
    <w:basedOn w:val="5"/>
    <w:link w:val="2"/>
    <w:uiPriority w:val="99"/>
    <w:rPr>
      <w:rFonts w:ascii="宋体" w:hAnsi="宋体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1365</Words>
  <Characters>1522</Characters>
  <Lines>13</Lines>
  <Paragraphs>3</Paragraphs>
  <TotalTime>6</TotalTime>
  <ScaleCrop>false</ScaleCrop>
  <LinksUpToDate>false</LinksUpToDate>
  <CharactersWithSpaces>1675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2022-04-25T14:10:00Z</dcterms:created>
  <dc:creator>杜 贞</dc:creator>
  <cp:lastModifiedBy>a</cp:lastModifiedBy>
  <cp:lastPrinted>2022-04-28T07:07:00Z</cp:lastPrinted>
  <dcterms:modified xsi:type="dcterms:W3CDTF">2022-08-23T02:50:52Z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ADCC0ABD49044B88B5F38620C9EFFB9E</vt:lpwstr>
  </property>
</Properties>
</file>