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5C7" w:rsidRDefault="00C05F0E">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p>
    <w:p w:rsidR="00B535C7" w:rsidRDefault="00C05F0E">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B535C7" w:rsidRDefault="00C05F0E">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2021</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年度）</w:t>
      </w:r>
    </w:p>
    <w:p w:rsidR="00B535C7" w:rsidRDefault="00B535C7">
      <w:pPr>
        <w:widowControl/>
        <w:spacing w:line="240" w:lineRule="exact"/>
        <w:jc w:val="center"/>
        <w:rPr>
          <w:rFonts w:ascii="仿宋_GB2312" w:eastAsia="仿宋_GB2312" w:hAnsi="宋体" w:cs="宋体"/>
          <w:kern w:val="0"/>
          <w:szCs w:val="21"/>
        </w:rPr>
      </w:pPr>
    </w:p>
    <w:tbl>
      <w:tblPr>
        <w:tblW w:w="9875" w:type="dxa"/>
        <w:jc w:val="center"/>
        <w:tblLayout w:type="fixed"/>
        <w:tblLook w:val="04A0"/>
      </w:tblPr>
      <w:tblGrid>
        <w:gridCol w:w="585"/>
        <w:gridCol w:w="860"/>
        <w:gridCol w:w="1220"/>
        <w:gridCol w:w="727"/>
        <w:gridCol w:w="1079"/>
        <w:gridCol w:w="48"/>
        <w:gridCol w:w="944"/>
        <w:gridCol w:w="1036"/>
        <w:gridCol w:w="279"/>
        <w:gridCol w:w="352"/>
        <w:gridCol w:w="352"/>
        <w:gridCol w:w="428"/>
        <w:gridCol w:w="418"/>
        <w:gridCol w:w="1547"/>
      </w:tblGrid>
      <w:tr w:rsidR="00B535C7">
        <w:trPr>
          <w:trHeight w:hRule="exact" w:val="306"/>
          <w:jc w:val="center"/>
        </w:trPr>
        <w:tc>
          <w:tcPr>
            <w:tcW w:w="1445" w:type="dxa"/>
            <w:gridSpan w:val="2"/>
            <w:tcBorders>
              <w:top w:val="single" w:sz="4" w:space="0" w:color="auto"/>
              <w:left w:val="single" w:sz="4" w:space="0" w:color="auto"/>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项目名称</w:t>
            </w:r>
          </w:p>
        </w:tc>
        <w:tc>
          <w:tcPr>
            <w:tcW w:w="8430" w:type="dxa"/>
            <w:gridSpan w:val="1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科技创新服务能力建设</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高精尖学科建设</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戏剧与影视学（分类发展）</w:t>
            </w:r>
            <w:r>
              <w:rPr>
                <w:rFonts w:ascii="仿宋_GB2312" w:eastAsia="仿宋_GB2312" w:hAnsi="宋体" w:cs="宋体" w:hint="eastAsia"/>
                <w:kern w:val="0"/>
                <w:sz w:val="24"/>
                <w:szCs w:val="24"/>
              </w:rPr>
              <w:t xml:space="preserve"> </w:t>
            </w:r>
          </w:p>
          <w:p w:rsidR="00B535C7" w:rsidRDefault="00B535C7">
            <w:pPr>
              <w:widowControl/>
              <w:spacing w:line="240" w:lineRule="exact"/>
              <w:jc w:val="left"/>
              <w:rPr>
                <w:rFonts w:ascii="仿宋_GB2312" w:eastAsia="仿宋_GB2312" w:hAnsi="宋体" w:cs="宋体"/>
                <w:kern w:val="0"/>
                <w:sz w:val="24"/>
                <w:szCs w:val="24"/>
              </w:rPr>
            </w:pPr>
          </w:p>
        </w:tc>
      </w:tr>
      <w:tr w:rsidR="00B535C7" w:rsidTr="00CD38A8">
        <w:trPr>
          <w:trHeight w:hRule="exact" w:val="306"/>
          <w:jc w:val="center"/>
        </w:trPr>
        <w:tc>
          <w:tcPr>
            <w:tcW w:w="1445" w:type="dxa"/>
            <w:gridSpan w:val="2"/>
            <w:tcBorders>
              <w:top w:val="single" w:sz="4" w:space="0" w:color="auto"/>
              <w:left w:val="single" w:sz="4" w:space="0" w:color="auto"/>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主管部门</w:t>
            </w:r>
          </w:p>
        </w:tc>
        <w:tc>
          <w:tcPr>
            <w:tcW w:w="4018" w:type="dxa"/>
            <w:gridSpan w:val="5"/>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北京市教育委员会</w:t>
            </w:r>
          </w:p>
        </w:tc>
        <w:tc>
          <w:tcPr>
            <w:tcW w:w="1315"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实施单位</w:t>
            </w:r>
          </w:p>
        </w:tc>
        <w:tc>
          <w:tcPr>
            <w:tcW w:w="3097" w:type="dxa"/>
            <w:gridSpan w:val="5"/>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北京电影学院</w:t>
            </w:r>
          </w:p>
        </w:tc>
      </w:tr>
      <w:tr w:rsidR="00B535C7" w:rsidTr="00CD38A8">
        <w:trPr>
          <w:trHeight w:hRule="exact" w:val="306"/>
          <w:jc w:val="center"/>
        </w:trPr>
        <w:tc>
          <w:tcPr>
            <w:tcW w:w="1445" w:type="dxa"/>
            <w:gridSpan w:val="2"/>
            <w:tcBorders>
              <w:top w:val="single" w:sz="4" w:space="0" w:color="auto"/>
              <w:left w:val="single" w:sz="4" w:space="0" w:color="auto"/>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项目负责人</w:t>
            </w:r>
          </w:p>
        </w:tc>
        <w:tc>
          <w:tcPr>
            <w:tcW w:w="4018" w:type="dxa"/>
            <w:gridSpan w:val="5"/>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王</w:t>
            </w:r>
            <w:proofErr w:type="gramStart"/>
            <w:r>
              <w:rPr>
                <w:rFonts w:ascii="仿宋_GB2312" w:eastAsia="仿宋_GB2312" w:hAnsi="宋体" w:cs="宋体" w:hint="eastAsia"/>
                <w:kern w:val="0"/>
                <w:sz w:val="24"/>
                <w:szCs w:val="24"/>
              </w:rPr>
              <w:t>海洲</w:t>
            </w:r>
            <w:proofErr w:type="gramEnd"/>
          </w:p>
        </w:tc>
        <w:tc>
          <w:tcPr>
            <w:tcW w:w="1315"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联系电话</w:t>
            </w:r>
          </w:p>
        </w:tc>
        <w:tc>
          <w:tcPr>
            <w:tcW w:w="3097" w:type="dxa"/>
            <w:gridSpan w:val="5"/>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82283308</w:t>
            </w:r>
          </w:p>
        </w:tc>
      </w:tr>
      <w:tr w:rsidR="00B535C7" w:rsidTr="00CD38A8">
        <w:trPr>
          <w:trHeight w:hRule="exact" w:val="567"/>
          <w:jc w:val="center"/>
        </w:trPr>
        <w:tc>
          <w:tcPr>
            <w:tcW w:w="1445" w:type="dxa"/>
            <w:gridSpan w:val="2"/>
            <w:vMerge w:val="restart"/>
            <w:tcBorders>
              <w:top w:val="single" w:sz="4" w:space="0" w:color="auto"/>
              <w:left w:val="single" w:sz="4" w:space="0" w:color="auto"/>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项目资金</w:t>
            </w:r>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（万元）</w:t>
            </w:r>
          </w:p>
        </w:tc>
        <w:tc>
          <w:tcPr>
            <w:tcW w:w="1947" w:type="dxa"/>
            <w:gridSpan w:val="2"/>
            <w:tcBorders>
              <w:top w:val="single" w:sz="4" w:space="0" w:color="auto"/>
              <w:left w:val="nil"/>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127"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年初预</w:t>
            </w:r>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算数</w:t>
            </w:r>
          </w:p>
        </w:tc>
        <w:tc>
          <w:tcPr>
            <w:tcW w:w="944" w:type="dxa"/>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全年预</w:t>
            </w:r>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算数</w:t>
            </w:r>
          </w:p>
        </w:tc>
        <w:tc>
          <w:tcPr>
            <w:tcW w:w="1315"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全年</w:t>
            </w:r>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执行数</w:t>
            </w:r>
          </w:p>
        </w:tc>
        <w:tc>
          <w:tcPr>
            <w:tcW w:w="704"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分值</w:t>
            </w:r>
          </w:p>
        </w:tc>
        <w:tc>
          <w:tcPr>
            <w:tcW w:w="84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执行率</w:t>
            </w:r>
          </w:p>
        </w:tc>
        <w:tc>
          <w:tcPr>
            <w:tcW w:w="1547" w:type="dxa"/>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得分</w:t>
            </w:r>
          </w:p>
        </w:tc>
      </w:tr>
      <w:tr w:rsidR="00B535C7" w:rsidTr="00CD38A8">
        <w:trPr>
          <w:trHeight w:hRule="exact" w:val="306"/>
          <w:jc w:val="center"/>
        </w:trPr>
        <w:tc>
          <w:tcPr>
            <w:tcW w:w="1445" w:type="dxa"/>
            <w:gridSpan w:val="2"/>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947"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年度资金总额</w:t>
            </w:r>
          </w:p>
        </w:tc>
        <w:tc>
          <w:tcPr>
            <w:tcW w:w="1127"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300</w:t>
            </w:r>
          </w:p>
        </w:tc>
        <w:tc>
          <w:tcPr>
            <w:tcW w:w="944" w:type="dxa"/>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300</w:t>
            </w:r>
          </w:p>
        </w:tc>
        <w:tc>
          <w:tcPr>
            <w:tcW w:w="1315"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240.0352</w:t>
            </w:r>
          </w:p>
        </w:tc>
        <w:tc>
          <w:tcPr>
            <w:tcW w:w="704"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w:t>
            </w:r>
          </w:p>
        </w:tc>
        <w:tc>
          <w:tcPr>
            <w:tcW w:w="84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80%</w:t>
            </w:r>
          </w:p>
        </w:tc>
        <w:tc>
          <w:tcPr>
            <w:tcW w:w="1547" w:type="dxa"/>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8</w:t>
            </w:r>
          </w:p>
        </w:tc>
      </w:tr>
      <w:tr w:rsidR="00B535C7" w:rsidTr="00CD38A8">
        <w:trPr>
          <w:trHeight w:hRule="exact" w:val="601"/>
          <w:jc w:val="center"/>
        </w:trPr>
        <w:tc>
          <w:tcPr>
            <w:tcW w:w="1445" w:type="dxa"/>
            <w:gridSpan w:val="2"/>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947"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其中：当年财政</w:t>
            </w:r>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拨款</w:t>
            </w:r>
          </w:p>
        </w:tc>
        <w:tc>
          <w:tcPr>
            <w:tcW w:w="1127"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300</w:t>
            </w:r>
          </w:p>
        </w:tc>
        <w:tc>
          <w:tcPr>
            <w:tcW w:w="944" w:type="dxa"/>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300</w:t>
            </w:r>
          </w:p>
        </w:tc>
        <w:tc>
          <w:tcPr>
            <w:tcW w:w="1315"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240.0352</w:t>
            </w:r>
          </w:p>
        </w:tc>
        <w:tc>
          <w:tcPr>
            <w:tcW w:w="704"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84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80%</w:t>
            </w:r>
          </w:p>
        </w:tc>
        <w:tc>
          <w:tcPr>
            <w:tcW w:w="1547" w:type="dxa"/>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r>
      <w:tr w:rsidR="00B535C7" w:rsidTr="00CD38A8">
        <w:trPr>
          <w:trHeight w:hRule="exact" w:val="567"/>
          <w:jc w:val="center"/>
        </w:trPr>
        <w:tc>
          <w:tcPr>
            <w:tcW w:w="1445" w:type="dxa"/>
            <w:gridSpan w:val="2"/>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947"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r>
              <w:rPr>
                <w:rFonts w:ascii="仿宋_GB2312" w:eastAsia="仿宋_GB2312" w:hAnsi="宋体" w:cs="宋体" w:hint="eastAsia"/>
                <w:kern w:val="0"/>
                <w:sz w:val="24"/>
                <w:szCs w:val="24"/>
              </w:rPr>
              <w:t>上年结转资金</w:t>
            </w:r>
          </w:p>
        </w:tc>
        <w:tc>
          <w:tcPr>
            <w:tcW w:w="1127"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944" w:type="dxa"/>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1315"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704"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84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1547" w:type="dxa"/>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r>
      <w:tr w:rsidR="00B535C7" w:rsidTr="00CD38A8">
        <w:trPr>
          <w:trHeight w:hRule="exact" w:val="281"/>
          <w:jc w:val="center"/>
        </w:trPr>
        <w:tc>
          <w:tcPr>
            <w:tcW w:w="1445" w:type="dxa"/>
            <w:gridSpan w:val="2"/>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947"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r>
              <w:rPr>
                <w:rFonts w:ascii="仿宋_GB2312" w:eastAsia="仿宋_GB2312" w:hAnsi="宋体" w:cs="宋体" w:hint="eastAsia"/>
                <w:kern w:val="0"/>
                <w:sz w:val="24"/>
                <w:szCs w:val="24"/>
              </w:rPr>
              <w:t>其他资金</w:t>
            </w:r>
          </w:p>
        </w:tc>
        <w:tc>
          <w:tcPr>
            <w:tcW w:w="1127"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944" w:type="dxa"/>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1315"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704" w:type="dxa"/>
            <w:gridSpan w:val="2"/>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84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0</w:t>
            </w:r>
          </w:p>
        </w:tc>
        <w:tc>
          <w:tcPr>
            <w:tcW w:w="1547" w:type="dxa"/>
            <w:tcBorders>
              <w:top w:val="nil"/>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r>
      <w:tr w:rsidR="00B535C7" w:rsidTr="00CD38A8">
        <w:trPr>
          <w:trHeight w:hRule="exact" w:val="548"/>
          <w:jc w:val="center"/>
        </w:trPr>
        <w:tc>
          <w:tcPr>
            <w:tcW w:w="585" w:type="dxa"/>
            <w:vMerge w:val="restart"/>
            <w:tcBorders>
              <w:top w:val="nil"/>
              <w:left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年度总体目标</w:t>
            </w:r>
          </w:p>
        </w:tc>
        <w:tc>
          <w:tcPr>
            <w:tcW w:w="4878" w:type="dxa"/>
            <w:gridSpan w:val="6"/>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预期目标</w:t>
            </w:r>
          </w:p>
        </w:tc>
        <w:tc>
          <w:tcPr>
            <w:tcW w:w="4412" w:type="dxa"/>
            <w:gridSpan w:val="7"/>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实际完成情况</w:t>
            </w:r>
          </w:p>
        </w:tc>
      </w:tr>
      <w:tr w:rsidR="00B535C7" w:rsidTr="00CD38A8">
        <w:trPr>
          <w:trHeight w:hRule="exact" w:val="8433"/>
          <w:jc w:val="center"/>
        </w:trPr>
        <w:tc>
          <w:tcPr>
            <w:tcW w:w="585" w:type="dxa"/>
            <w:vMerge/>
            <w:tcBorders>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4878" w:type="dxa"/>
            <w:gridSpan w:val="6"/>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该项目将直接促进学院师资队伍的建设、科研环境的改善，将对提高人</w:t>
            </w:r>
            <w:r>
              <w:rPr>
                <w:rFonts w:ascii="仿宋_GB2312" w:eastAsia="仿宋_GB2312" w:hAnsi="宋体" w:cs="宋体"/>
                <w:kern w:val="0"/>
                <w:sz w:val="24"/>
                <w:szCs w:val="24"/>
              </w:rPr>
              <w:t>才培养质量、加强学科建设、支撑产业发展起到积极的促进作用。既符合当前行业发展的前沿趋势，更符合北京电影学院</w:t>
            </w:r>
            <w:r>
              <w:rPr>
                <w:rFonts w:ascii="仿宋_GB2312" w:eastAsia="仿宋_GB2312" w:hAnsi="宋体" w:cs="宋体"/>
                <w:kern w:val="0"/>
                <w:sz w:val="24"/>
                <w:szCs w:val="24"/>
              </w:rPr>
              <w:t>“</w:t>
            </w:r>
            <w:r>
              <w:rPr>
                <w:rFonts w:ascii="仿宋_GB2312" w:eastAsia="仿宋_GB2312" w:hAnsi="宋体" w:cs="宋体"/>
                <w:kern w:val="0"/>
                <w:sz w:val="24"/>
                <w:szCs w:val="24"/>
              </w:rPr>
              <w:t>建设世界一流的电影学院</w:t>
            </w:r>
            <w:r>
              <w:rPr>
                <w:rFonts w:ascii="仿宋_GB2312" w:eastAsia="仿宋_GB2312" w:hAnsi="宋体" w:cs="宋体"/>
                <w:kern w:val="0"/>
                <w:sz w:val="24"/>
                <w:szCs w:val="24"/>
              </w:rPr>
              <w:t>”</w:t>
            </w:r>
            <w:r>
              <w:rPr>
                <w:rFonts w:ascii="仿宋_GB2312" w:eastAsia="仿宋_GB2312" w:hAnsi="宋体" w:cs="宋体"/>
                <w:kern w:val="0"/>
                <w:sz w:val="24"/>
                <w:szCs w:val="24"/>
              </w:rPr>
              <w:t>的战略目标。</w:t>
            </w:r>
            <w:r>
              <w:rPr>
                <w:rFonts w:ascii="仿宋_GB2312" w:eastAsia="仿宋_GB2312" w:hAnsi="宋体" w:cs="宋体"/>
                <w:kern w:val="0"/>
                <w:sz w:val="24"/>
                <w:szCs w:val="24"/>
              </w:rPr>
              <w:t xml:space="preserve"> </w:t>
            </w:r>
            <w:r>
              <w:rPr>
                <w:rFonts w:ascii="仿宋_GB2312" w:eastAsia="仿宋_GB2312" w:hAnsi="宋体" w:cs="宋体"/>
                <w:kern w:val="0"/>
                <w:sz w:val="24"/>
                <w:szCs w:val="24"/>
              </w:rPr>
              <w:t>项目主要围绕培育开发精品课程、出版专著、举办重要学术会议等方向开展。</w:t>
            </w:r>
            <w:r>
              <w:rPr>
                <w:rFonts w:ascii="仿宋_GB2312" w:eastAsia="仿宋_GB2312" w:hAnsi="宋体" w:cs="宋体"/>
                <w:kern w:val="0"/>
                <w:sz w:val="24"/>
                <w:szCs w:val="24"/>
              </w:rPr>
              <w:t xml:space="preserve"> </w:t>
            </w:r>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kern w:val="0"/>
                <w:sz w:val="24"/>
                <w:szCs w:val="24"/>
              </w:rPr>
              <w:t xml:space="preserve"> </w:t>
            </w:r>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kern w:val="0"/>
                <w:sz w:val="24"/>
                <w:szCs w:val="24"/>
              </w:rPr>
              <w:t>第一，培育开发精品课程。研发《世界电影产业概论》</w:t>
            </w:r>
            <w:r>
              <w:rPr>
                <w:rFonts w:ascii="仿宋_GB2312" w:eastAsia="仿宋_GB2312" w:hAnsi="宋体" w:cs="宋体" w:hint="eastAsia"/>
                <w:kern w:val="0"/>
                <w:sz w:val="24"/>
                <w:szCs w:val="24"/>
              </w:rPr>
              <w:t>等</w:t>
            </w:r>
            <w:r>
              <w:rPr>
                <w:rFonts w:ascii="仿宋_GB2312" w:eastAsia="仿宋_GB2312" w:hAnsi="宋体" w:cs="宋体" w:hint="eastAsia"/>
                <w:kern w:val="0"/>
                <w:sz w:val="24"/>
                <w:szCs w:val="24"/>
              </w:rPr>
              <w:t>6</w:t>
            </w:r>
            <w:r>
              <w:rPr>
                <w:rFonts w:ascii="仿宋_GB2312" w:eastAsia="仿宋_GB2312" w:hAnsi="宋体" w:cs="宋体" w:hint="eastAsia"/>
                <w:kern w:val="0"/>
                <w:sz w:val="24"/>
                <w:szCs w:val="24"/>
              </w:rPr>
              <w:t>门精品课程</w:t>
            </w:r>
            <w:r>
              <w:rPr>
                <w:rFonts w:ascii="仿宋_GB2312" w:eastAsia="仿宋_GB2312" w:hAnsi="宋体" w:cs="宋体"/>
                <w:kern w:val="0"/>
                <w:sz w:val="24"/>
                <w:szCs w:val="24"/>
              </w:rPr>
              <w:t>，探索新的课程结构与教学格局；建设虚拟仿真教学中心线上课程，更好地开展相关的教学、实践和研究工作，</w:t>
            </w:r>
            <w:proofErr w:type="gramStart"/>
            <w:r>
              <w:rPr>
                <w:rFonts w:ascii="仿宋_GB2312" w:eastAsia="仿宋_GB2312" w:hAnsi="宋体" w:cs="宋体"/>
                <w:kern w:val="0"/>
                <w:sz w:val="24"/>
                <w:szCs w:val="24"/>
              </w:rPr>
              <w:t>为领域</w:t>
            </w:r>
            <w:proofErr w:type="gramEnd"/>
            <w:r>
              <w:rPr>
                <w:rFonts w:ascii="仿宋_GB2312" w:eastAsia="仿宋_GB2312" w:hAnsi="宋体" w:cs="宋体"/>
                <w:kern w:val="0"/>
                <w:sz w:val="24"/>
                <w:szCs w:val="24"/>
              </w:rPr>
              <w:t>内持续培养相关人才。</w:t>
            </w:r>
            <w:r>
              <w:rPr>
                <w:rFonts w:ascii="仿宋_GB2312" w:eastAsia="仿宋_GB2312" w:hAnsi="宋体" w:cs="宋体"/>
                <w:kern w:val="0"/>
                <w:sz w:val="24"/>
                <w:szCs w:val="24"/>
              </w:rPr>
              <w:t xml:space="preserve"> </w:t>
            </w:r>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kern w:val="0"/>
                <w:sz w:val="24"/>
                <w:szCs w:val="24"/>
              </w:rPr>
              <w:t>第二，出版专著。出版《博导自选集》丛书，总结名师丰富的学术成果；出版专著与论文集《电影历史与</w:t>
            </w:r>
            <w:r>
              <w:rPr>
                <w:rFonts w:ascii="仿宋_GB2312" w:eastAsia="仿宋_GB2312" w:hAnsi="宋体" w:cs="宋体"/>
                <w:kern w:val="0"/>
                <w:sz w:val="24"/>
                <w:szCs w:val="24"/>
              </w:rPr>
              <w:t xml:space="preserve"> </w:t>
            </w:r>
            <w:r>
              <w:rPr>
                <w:rFonts w:ascii="仿宋_GB2312" w:eastAsia="仿宋_GB2312" w:hAnsi="宋体" w:cs="宋体"/>
                <w:kern w:val="0"/>
                <w:sz w:val="24"/>
                <w:szCs w:val="24"/>
              </w:rPr>
              <w:t>理论论文集》、《电影教育论文集》、《新疆民族电影研究》等共九本，充分展现我校教师的学术水平和学科能力，有效增强学科在全国及国际相关领域的影响力。</w:t>
            </w:r>
            <w:r>
              <w:rPr>
                <w:rFonts w:ascii="仿宋_GB2312" w:eastAsia="仿宋_GB2312" w:hAnsi="宋体" w:cs="宋体"/>
                <w:kern w:val="0"/>
                <w:sz w:val="24"/>
                <w:szCs w:val="24"/>
              </w:rPr>
              <w:t xml:space="preserve"> </w:t>
            </w:r>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kern w:val="0"/>
                <w:sz w:val="24"/>
                <w:szCs w:val="24"/>
              </w:rPr>
              <w:t>第三，举办重要学术会议。召开学术会议或论坛</w:t>
            </w:r>
            <w:r>
              <w:rPr>
                <w:rFonts w:ascii="仿宋_GB2312" w:eastAsia="仿宋_GB2312" w:hAnsi="宋体" w:cs="宋体" w:hint="eastAsia"/>
                <w:kern w:val="0"/>
                <w:sz w:val="24"/>
                <w:szCs w:val="24"/>
              </w:rPr>
              <w:t>五</w:t>
            </w:r>
            <w:r>
              <w:rPr>
                <w:rFonts w:ascii="仿宋_GB2312" w:eastAsia="仿宋_GB2312" w:hAnsi="宋体" w:cs="宋体"/>
                <w:kern w:val="0"/>
                <w:sz w:val="24"/>
                <w:szCs w:val="24"/>
              </w:rPr>
              <w:t>次、举办讲座八场，邀请行业专家参会，发表相关论文，通过加强学科建设支撑行业发展，提升艺术学科人才的</w:t>
            </w:r>
            <w:r>
              <w:rPr>
                <w:rFonts w:ascii="仿宋_GB2312" w:eastAsia="仿宋_GB2312" w:hAnsi="宋体" w:cs="宋体"/>
                <w:kern w:val="0"/>
                <w:sz w:val="24"/>
                <w:szCs w:val="24"/>
              </w:rPr>
              <w:t>科学研究水平，营造活跃的学术氛围。</w:t>
            </w:r>
            <w:r>
              <w:rPr>
                <w:rFonts w:ascii="仿宋_GB2312" w:eastAsia="仿宋_GB2312" w:hAnsi="宋体" w:cs="宋体"/>
                <w:kern w:val="0"/>
                <w:sz w:val="24"/>
                <w:szCs w:val="24"/>
              </w:rPr>
              <w:t xml:space="preserve"> </w:t>
            </w:r>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kern w:val="0"/>
                <w:sz w:val="24"/>
                <w:szCs w:val="24"/>
              </w:rPr>
              <w:t xml:space="preserve"> </w:t>
            </w:r>
          </w:p>
          <w:p w:rsidR="00B535C7" w:rsidRDefault="00B535C7">
            <w:pPr>
              <w:widowControl/>
              <w:spacing w:line="240" w:lineRule="exact"/>
              <w:jc w:val="left"/>
              <w:rPr>
                <w:rFonts w:ascii="仿宋_GB2312" w:eastAsia="仿宋_GB2312" w:hAnsi="宋体" w:cs="宋体"/>
                <w:kern w:val="0"/>
                <w:sz w:val="24"/>
                <w:szCs w:val="24"/>
              </w:rPr>
            </w:pPr>
          </w:p>
        </w:tc>
        <w:tc>
          <w:tcPr>
            <w:tcW w:w="4412" w:type="dxa"/>
            <w:gridSpan w:val="7"/>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通过加大对学科的支持，出版戏剧与影视学著作，举办一系列学术研讨与学术交流活动，，研发精品课程；促进戏剧与影视学学科的可持续性建设和发展，提升高层次电影人才的培养质量，</w:t>
            </w:r>
            <w:r>
              <w:rPr>
                <w:rFonts w:ascii="仿宋_GB2312" w:eastAsia="仿宋_GB2312" w:hAnsi="宋体" w:cs="宋体"/>
                <w:kern w:val="0"/>
                <w:sz w:val="24"/>
                <w:szCs w:val="24"/>
              </w:rPr>
              <w:t>切实增强学科实力，支撑行业发展，稳步推进</w:t>
            </w:r>
            <w:r>
              <w:rPr>
                <w:rFonts w:ascii="仿宋_GB2312" w:eastAsia="仿宋_GB2312" w:hAnsi="宋体" w:cs="宋体" w:hint="eastAsia"/>
                <w:kern w:val="0"/>
                <w:sz w:val="24"/>
                <w:szCs w:val="24"/>
              </w:rPr>
              <w:t>学校</w:t>
            </w:r>
            <w:r>
              <w:rPr>
                <w:rFonts w:ascii="仿宋_GB2312" w:eastAsia="仿宋_GB2312" w:hAnsi="宋体" w:cs="宋体"/>
                <w:kern w:val="0"/>
                <w:sz w:val="24"/>
                <w:szCs w:val="24"/>
              </w:rPr>
              <w:t>“</w:t>
            </w:r>
            <w:r>
              <w:rPr>
                <w:rFonts w:ascii="仿宋_GB2312" w:eastAsia="仿宋_GB2312" w:hAnsi="宋体" w:cs="宋体"/>
                <w:kern w:val="0"/>
                <w:sz w:val="24"/>
                <w:szCs w:val="24"/>
              </w:rPr>
              <w:t>世界一流电影学院</w:t>
            </w:r>
            <w:r>
              <w:rPr>
                <w:rFonts w:ascii="仿宋_GB2312" w:eastAsia="仿宋_GB2312" w:hAnsi="宋体" w:cs="宋体"/>
                <w:kern w:val="0"/>
                <w:sz w:val="24"/>
                <w:szCs w:val="24"/>
              </w:rPr>
              <w:t>”</w:t>
            </w:r>
            <w:r>
              <w:rPr>
                <w:rFonts w:ascii="仿宋_GB2312" w:eastAsia="仿宋_GB2312" w:hAnsi="宋体" w:cs="宋体"/>
                <w:kern w:val="0"/>
                <w:sz w:val="24"/>
                <w:szCs w:val="24"/>
              </w:rPr>
              <w:t>建设</w:t>
            </w:r>
            <w:r>
              <w:rPr>
                <w:rFonts w:ascii="仿宋_GB2312" w:eastAsia="仿宋_GB2312" w:hAnsi="宋体" w:cs="宋体" w:hint="eastAsia"/>
                <w:kern w:val="0"/>
                <w:sz w:val="24"/>
                <w:szCs w:val="24"/>
              </w:rPr>
              <w:t>。</w:t>
            </w:r>
          </w:p>
          <w:p w:rsidR="00B535C7" w:rsidRDefault="00C05F0E">
            <w:pPr>
              <w:widowControl/>
              <w:numPr>
                <w:ilvl w:val="0"/>
                <w:numId w:val="1"/>
              </w:numPr>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研发了</w:t>
            </w:r>
            <w:r>
              <w:rPr>
                <w:rFonts w:ascii="仿宋_GB2312" w:eastAsia="仿宋_GB2312" w:hAnsi="宋体" w:cs="宋体"/>
                <w:kern w:val="0"/>
                <w:sz w:val="24"/>
                <w:szCs w:val="24"/>
              </w:rPr>
              <w:t>《世界电影产业概论》</w:t>
            </w:r>
            <w:proofErr w:type="gramStart"/>
            <w:r>
              <w:rPr>
                <w:rFonts w:ascii="仿宋_GB2312" w:eastAsia="仿宋_GB2312" w:hAnsi="宋体" w:cs="宋体" w:hint="eastAsia"/>
                <w:kern w:val="0"/>
                <w:sz w:val="24"/>
                <w:szCs w:val="24"/>
              </w:rPr>
              <w:t>精品慕课课程</w:t>
            </w:r>
            <w:proofErr w:type="gramEnd"/>
            <w:r>
              <w:rPr>
                <w:rFonts w:ascii="仿宋_GB2312" w:eastAsia="仿宋_GB2312" w:hAnsi="宋体" w:cs="宋体" w:hint="eastAsia"/>
                <w:kern w:val="0"/>
                <w:sz w:val="24"/>
                <w:szCs w:val="24"/>
              </w:rPr>
              <w:t>们已经制作完成，目前已经在校内共享，经测试结束后将对外发布。另《电影虚拟化制作》课程实况项目成果在北京电影学院影视技术系远程影视摄影的半实物教学系统中上线为所有影视相关学生提供在线学习电影虚拟</w:t>
            </w:r>
            <w:proofErr w:type="gramStart"/>
            <w:r>
              <w:rPr>
                <w:rFonts w:ascii="仿宋_GB2312" w:eastAsia="仿宋_GB2312" w:hAnsi="宋体" w:cs="宋体" w:hint="eastAsia"/>
                <w:kern w:val="0"/>
                <w:sz w:val="24"/>
                <w:szCs w:val="24"/>
              </w:rPr>
              <w:t>化制作</w:t>
            </w:r>
            <w:proofErr w:type="gramEnd"/>
            <w:r>
              <w:rPr>
                <w:rFonts w:ascii="仿宋_GB2312" w:eastAsia="仿宋_GB2312" w:hAnsi="宋体" w:cs="宋体" w:hint="eastAsia"/>
                <w:kern w:val="0"/>
                <w:sz w:val="24"/>
                <w:szCs w:val="24"/>
              </w:rPr>
              <w:t>的服务，服务网址为</w:t>
            </w:r>
            <w:r>
              <w:rPr>
                <w:rFonts w:ascii="仿宋_GB2312" w:eastAsia="仿宋_GB2312" w:hAnsi="宋体" w:cs="宋体" w:hint="eastAsia"/>
                <w:kern w:val="0"/>
                <w:sz w:val="24"/>
                <w:szCs w:val="24"/>
              </w:rPr>
              <w:t>hilsimulation.bfa.edu.cn</w:t>
            </w:r>
            <w:r>
              <w:rPr>
                <w:rFonts w:ascii="仿宋_GB2312" w:eastAsia="仿宋_GB2312" w:hAnsi="宋体" w:cs="宋体" w:hint="eastAsia"/>
                <w:kern w:val="0"/>
                <w:sz w:val="24"/>
                <w:szCs w:val="24"/>
              </w:rPr>
              <w:t>。该内容向全社会提供服务，提高了人才培养效益。其他四门课程也圆满完成。</w:t>
            </w:r>
          </w:p>
          <w:p w:rsidR="00B535C7" w:rsidRDefault="00C05F0E">
            <w:pPr>
              <w:widowControl/>
              <w:numPr>
                <w:ilvl w:val="0"/>
                <w:numId w:val="1"/>
              </w:numPr>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目前在出版社已备案完成《博导自选集》</w:t>
            </w:r>
            <w:r>
              <w:rPr>
                <w:rFonts w:ascii="仿宋_GB2312" w:eastAsia="仿宋_GB2312" w:hAnsi="宋体" w:cs="宋体" w:hint="eastAsia"/>
                <w:kern w:val="0"/>
                <w:sz w:val="24"/>
                <w:szCs w:val="24"/>
              </w:rPr>
              <w:t>10</w:t>
            </w:r>
            <w:r>
              <w:rPr>
                <w:rFonts w:ascii="仿宋_GB2312" w:eastAsia="仿宋_GB2312" w:hAnsi="宋体" w:cs="宋体" w:hint="eastAsia"/>
                <w:kern w:val="0"/>
                <w:sz w:val="24"/>
                <w:szCs w:val="24"/>
              </w:rPr>
              <w:t>本和另外</w:t>
            </w:r>
            <w:r>
              <w:rPr>
                <w:rFonts w:ascii="仿宋_GB2312" w:eastAsia="仿宋_GB2312" w:hAnsi="宋体" w:cs="宋体" w:hint="eastAsia"/>
                <w:kern w:val="0"/>
                <w:sz w:val="24"/>
                <w:szCs w:val="24"/>
              </w:rPr>
              <w:t>9</w:t>
            </w:r>
            <w:r>
              <w:rPr>
                <w:rFonts w:ascii="仿宋_GB2312" w:eastAsia="仿宋_GB2312" w:hAnsi="宋体" w:cs="宋体" w:hint="eastAsia"/>
                <w:kern w:val="0"/>
                <w:sz w:val="24"/>
                <w:szCs w:val="24"/>
              </w:rPr>
              <w:t>本专著的出版工作，书稿都已经完成，正在进行审读校对流程。其中</w:t>
            </w:r>
            <w:r>
              <w:rPr>
                <w:rFonts w:ascii="仿宋_GB2312" w:eastAsia="仿宋_GB2312" w:hAnsi="宋体" w:cs="宋体" w:hint="eastAsia"/>
                <w:kern w:val="0"/>
                <w:sz w:val="24"/>
                <w:szCs w:val="24"/>
              </w:rPr>
              <w:t>16</w:t>
            </w:r>
            <w:r>
              <w:rPr>
                <w:rFonts w:ascii="仿宋_GB2312" w:eastAsia="仿宋_GB2312" w:hAnsi="宋体" w:cs="宋体" w:hint="eastAsia"/>
                <w:kern w:val="0"/>
                <w:sz w:val="24"/>
                <w:szCs w:val="24"/>
              </w:rPr>
              <w:t>本已经有样书，其余</w:t>
            </w:r>
            <w:r>
              <w:rPr>
                <w:rFonts w:ascii="仿宋_GB2312" w:eastAsia="仿宋_GB2312" w:hAnsi="宋体" w:cs="宋体" w:hint="eastAsia"/>
                <w:kern w:val="0"/>
                <w:sz w:val="24"/>
                <w:szCs w:val="24"/>
              </w:rPr>
              <w:t>3</w:t>
            </w:r>
            <w:r>
              <w:rPr>
                <w:rFonts w:ascii="仿宋_GB2312" w:eastAsia="仿宋_GB2312" w:hAnsi="宋体" w:cs="宋体" w:hint="eastAsia"/>
                <w:kern w:val="0"/>
                <w:sz w:val="24"/>
                <w:szCs w:val="24"/>
              </w:rPr>
              <w:t>本也即将出版。这些专著进一步扩大了本学科在全国范围内的影响力，有效提高学科教学水平、科研水平。</w:t>
            </w:r>
          </w:p>
          <w:p w:rsidR="00B535C7" w:rsidRDefault="00C05F0E">
            <w:pPr>
              <w:widowControl/>
              <w:numPr>
                <w:ilvl w:val="0"/>
                <w:numId w:val="1"/>
              </w:numPr>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举办了学术讲座、会议</w:t>
            </w:r>
            <w:r>
              <w:rPr>
                <w:rFonts w:ascii="仿宋_GB2312" w:eastAsia="仿宋_GB2312" w:hAnsi="宋体" w:cs="宋体" w:hint="eastAsia"/>
                <w:kern w:val="0"/>
                <w:sz w:val="24"/>
                <w:szCs w:val="24"/>
              </w:rPr>
              <w:t>15</w:t>
            </w:r>
            <w:r>
              <w:rPr>
                <w:rFonts w:ascii="仿宋_GB2312" w:eastAsia="仿宋_GB2312" w:hAnsi="宋体" w:cs="宋体" w:hint="eastAsia"/>
                <w:kern w:val="0"/>
                <w:sz w:val="24"/>
                <w:szCs w:val="24"/>
              </w:rPr>
              <w:t>次，尽管受到疫情影响，有些大型学术论坛无法正常召开，</w:t>
            </w:r>
            <w:proofErr w:type="gramStart"/>
            <w:r>
              <w:rPr>
                <w:rFonts w:ascii="仿宋_GB2312" w:eastAsia="仿宋_GB2312" w:hAnsi="宋体" w:cs="宋体" w:hint="eastAsia"/>
                <w:kern w:val="0"/>
                <w:sz w:val="24"/>
                <w:szCs w:val="24"/>
              </w:rPr>
              <w:t>仍邀请</w:t>
            </w:r>
            <w:proofErr w:type="gramEnd"/>
            <w:r>
              <w:rPr>
                <w:rFonts w:ascii="仿宋_GB2312" w:eastAsia="仿宋_GB2312" w:hAnsi="宋体" w:cs="宋体" w:hint="eastAsia"/>
                <w:kern w:val="0"/>
                <w:sz w:val="24"/>
                <w:szCs w:val="24"/>
              </w:rPr>
              <w:t>著名导演贾樟柯、知名制片人黄建新，</w:t>
            </w:r>
            <w:r>
              <w:rPr>
                <w:rFonts w:ascii="仿宋_GB2312" w:eastAsia="仿宋_GB2312" w:hAnsi="宋体" w:cs="宋体" w:hint="eastAsia"/>
                <w:kern w:val="0"/>
                <w:sz w:val="24"/>
                <w:szCs w:val="24"/>
                <w:lang/>
              </w:rPr>
              <w:t>阿里文娱</w:t>
            </w:r>
            <w:r>
              <w:rPr>
                <w:rFonts w:ascii="仿宋_GB2312" w:eastAsia="仿宋_GB2312" w:hAnsi="宋体" w:cs="宋体" w:hint="eastAsia"/>
                <w:kern w:val="0"/>
                <w:sz w:val="24"/>
                <w:szCs w:val="24"/>
              </w:rPr>
              <w:t>等行业内顶级制</w:t>
            </w:r>
            <w:r>
              <w:rPr>
                <w:rFonts w:ascii="仿宋_GB2312" w:eastAsia="仿宋_GB2312" w:hAnsi="宋体" w:cs="宋体" w:hint="eastAsia"/>
                <w:kern w:val="0"/>
                <w:sz w:val="24"/>
                <w:szCs w:val="24"/>
              </w:rPr>
              <w:t>作人才给师生讲座，取得良好效益。</w:t>
            </w:r>
          </w:p>
          <w:p w:rsidR="00B535C7" w:rsidRDefault="00B535C7">
            <w:pPr>
              <w:widowControl/>
              <w:spacing w:line="240" w:lineRule="exact"/>
              <w:jc w:val="left"/>
              <w:rPr>
                <w:rFonts w:ascii="仿宋_GB2312" w:eastAsia="仿宋_GB2312" w:hAnsi="宋体" w:cs="宋体"/>
                <w:kern w:val="0"/>
                <w:sz w:val="24"/>
                <w:szCs w:val="24"/>
              </w:rPr>
            </w:pPr>
          </w:p>
        </w:tc>
      </w:tr>
      <w:tr w:rsidR="00B535C7" w:rsidTr="00CD38A8">
        <w:trPr>
          <w:trHeight w:hRule="exact" w:val="830"/>
          <w:jc w:val="center"/>
        </w:trPr>
        <w:tc>
          <w:tcPr>
            <w:tcW w:w="585" w:type="dxa"/>
            <w:vMerge w:val="restart"/>
            <w:tcBorders>
              <w:top w:val="single" w:sz="4" w:space="0" w:color="auto"/>
              <w:left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proofErr w:type="gramStart"/>
            <w:r>
              <w:rPr>
                <w:rFonts w:ascii="仿宋_GB2312" w:eastAsia="仿宋_GB2312" w:hAnsi="宋体" w:cs="宋体" w:hint="eastAsia"/>
                <w:kern w:val="0"/>
                <w:sz w:val="24"/>
                <w:szCs w:val="24"/>
              </w:rPr>
              <w:lastRenderedPageBreak/>
              <w:t>绩</w:t>
            </w:r>
            <w:proofErr w:type="gramEnd"/>
          </w:p>
          <w:p w:rsidR="00B535C7" w:rsidRDefault="00C05F0E">
            <w:pPr>
              <w:widowControl/>
              <w:spacing w:line="240" w:lineRule="exact"/>
              <w:jc w:val="left"/>
              <w:rPr>
                <w:rFonts w:ascii="仿宋_GB2312" w:eastAsia="仿宋_GB2312" w:hAnsi="宋体" w:cs="宋体"/>
                <w:kern w:val="0"/>
                <w:sz w:val="24"/>
                <w:szCs w:val="24"/>
              </w:rPr>
            </w:pPr>
            <w:proofErr w:type="gramStart"/>
            <w:r>
              <w:rPr>
                <w:rFonts w:ascii="仿宋_GB2312" w:eastAsia="仿宋_GB2312" w:hAnsi="宋体" w:cs="宋体" w:hint="eastAsia"/>
                <w:kern w:val="0"/>
                <w:sz w:val="24"/>
                <w:szCs w:val="24"/>
              </w:rPr>
              <w:t>效</w:t>
            </w:r>
            <w:proofErr w:type="gramEnd"/>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指</w:t>
            </w:r>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标</w:t>
            </w:r>
          </w:p>
        </w:tc>
        <w:tc>
          <w:tcPr>
            <w:tcW w:w="860"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一级指标</w:t>
            </w:r>
          </w:p>
        </w:tc>
        <w:tc>
          <w:tcPr>
            <w:tcW w:w="1220"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二级指标</w:t>
            </w: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三级指标</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年度</w:t>
            </w:r>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指标值</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实际</w:t>
            </w:r>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完成值</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分值</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得分</w:t>
            </w:r>
          </w:p>
        </w:tc>
        <w:tc>
          <w:tcPr>
            <w:tcW w:w="1965"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偏差原因分析及改进措施</w:t>
            </w:r>
          </w:p>
        </w:tc>
      </w:tr>
      <w:tr w:rsidR="00B535C7" w:rsidTr="00CD38A8">
        <w:trPr>
          <w:trHeight w:hRule="exact" w:val="766"/>
          <w:jc w:val="center"/>
        </w:trPr>
        <w:tc>
          <w:tcPr>
            <w:tcW w:w="585"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val="restart"/>
            <w:tcBorders>
              <w:top w:val="single" w:sz="4" w:space="0" w:color="auto"/>
              <w:left w:val="single" w:sz="4" w:space="0" w:color="auto"/>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产出指标</w:t>
            </w:r>
          </w:p>
        </w:tc>
        <w:tc>
          <w:tcPr>
            <w:tcW w:w="1220" w:type="dxa"/>
            <w:vMerge w:val="restart"/>
            <w:tcBorders>
              <w:top w:val="single" w:sz="4" w:space="0" w:color="auto"/>
              <w:left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数量指标</w:t>
            </w: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召开学术会议或论坛</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r>
              <w:rPr>
                <w:rFonts w:ascii="仿宋_GB2312" w:eastAsia="仿宋_GB2312" w:hAnsi="宋体" w:cs="宋体" w:hint="eastAsia"/>
                <w:kern w:val="0"/>
                <w:sz w:val="24"/>
                <w:szCs w:val="24"/>
              </w:rPr>
              <w:t>次</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r>
              <w:rPr>
                <w:rFonts w:ascii="仿宋_GB2312" w:eastAsia="仿宋_GB2312" w:hAnsi="宋体" w:cs="宋体" w:hint="eastAsia"/>
                <w:kern w:val="0"/>
                <w:sz w:val="24"/>
                <w:szCs w:val="24"/>
              </w:rPr>
              <w:t>次</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1965" w:type="dxa"/>
            <w:gridSpan w:val="2"/>
            <w:tcBorders>
              <w:top w:val="single" w:sz="4" w:space="0" w:color="auto"/>
              <w:left w:val="nil"/>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r>
      <w:tr w:rsidR="00B535C7" w:rsidTr="00CD38A8">
        <w:trPr>
          <w:trHeight w:hRule="exact" w:val="1001"/>
          <w:jc w:val="center"/>
        </w:trPr>
        <w:tc>
          <w:tcPr>
            <w:tcW w:w="585"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220"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出版专著（本数）</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9</w:t>
            </w:r>
            <w:r>
              <w:rPr>
                <w:rFonts w:ascii="仿宋_GB2312" w:eastAsia="仿宋_GB2312" w:hAnsi="宋体" w:cs="宋体" w:hint="eastAsia"/>
                <w:kern w:val="0"/>
                <w:sz w:val="24"/>
                <w:szCs w:val="24"/>
              </w:rPr>
              <w:t>本</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w:t>
            </w:r>
            <w:r>
              <w:rPr>
                <w:rFonts w:ascii="仿宋_GB2312" w:eastAsia="仿宋_GB2312" w:hAnsi="宋体" w:cs="宋体" w:hint="eastAsia"/>
                <w:kern w:val="0"/>
                <w:sz w:val="24"/>
                <w:szCs w:val="24"/>
              </w:rPr>
              <w:t>本</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1965"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出版博导自选集丛书</w:t>
            </w:r>
            <w:r>
              <w:rPr>
                <w:rFonts w:ascii="仿宋_GB2312" w:eastAsia="仿宋_GB2312" w:hAnsi="宋体" w:cs="宋体" w:hint="eastAsia"/>
                <w:kern w:val="0"/>
                <w:szCs w:val="21"/>
              </w:rPr>
              <w:t>10</w:t>
            </w:r>
            <w:r>
              <w:rPr>
                <w:rFonts w:ascii="仿宋_GB2312" w:eastAsia="仿宋_GB2312" w:hAnsi="宋体" w:cs="宋体" w:hint="eastAsia"/>
                <w:kern w:val="0"/>
                <w:szCs w:val="21"/>
              </w:rPr>
              <w:t>本，其余专著</w:t>
            </w:r>
            <w:r>
              <w:rPr>
                <w:rFonts w:ascii="仿宋_GB2312" w:eastAsia="仿宋_GB2312" w:hAnsi="宋体" w:cs="宋体" w:hint="eastAsia"/>
                <w:kern w:val="0"/>
                <w:szCs w:val="21"/>
              </w:rPr>
              <w:t>6</w:t>
            </w:r>
            <w:r>
              <w:rPr>
                <w:rFonts w:ascii="仿宋_GB2312" w:eastAsia="仿宋_GB2312" w:hAnsi="宋体" w:cs="宋体" w:hint="eastAsia"/>
                <w:kern w:val="0"/>
                <w:szCs w:val="21"/>
              </w:rPr>
              <w:t>本，另</w:t>
            </w:r>
            <w:r>
              <w:rPr>
                <w:rFonts w:ascii="仿宋_GB2312" w:eastAsia="仿宋_GB2312" w:hAnsi="宋体" w:cs="宋体" w:hint="eastAsia"/>
                <w:kern w:val="0"/>
                <w:szCs w:val="21"/>
              </w:rPr>
              <w:t>3</w:t>
            </w:r>
            <w:r>
              <w:rPr>
                <w:rFonts w:ascii="仿宋_GB2312" w:eastAsia="仿宋_GB2312" w:hAnsi="宋体" w:cs="宋体" w:hint="eastAsia"/>
                <w:kern w:val="0"/>
                <w:szCs w:val="21"/>
              </w:rPr>
              <w:t>本在出版流程，即将出版。</w:t>
            </w:r>
          </w:p>
        </w:tc>
      </w:tr>
      <w:tr w:rsidR="00B535C7" w:rsidTr="00CD38A8">
        <w:trPr>
          <w:trHeight w:hRule="exact" w:val="586"/>
          <w:jc w:val="center"/>
        </w:trPr>
        <w:tc>
          <w:tcPr>
            <w:tcW w:w="585"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220"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课程研发</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6</w:t>
            </w:r>
            <w:r>
              <w:rPr>
                <w:rFonts w:ascii="仿宋_GB2312" w:eastAsia="仿宋_GB2312" w:hAnsi="宋体" w:cs="宋体" w:hint="eastAsia"/>
                <w:kern w:val="0"/>
                <w:sz w:val="24"/>
                <w:szCs w:val="24"/>
              </w:rPr>
              <w:t>门</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6</w:t>
            </w:r>
            <w:r>
              <w:rPr>
                <w:rFonts w:ascii="仿宋_GB2312" w:eastAsia="仿宋_GB2312" w:hAnsi="宋体" w:cs="宋体" w:hint="eastAsia"/>
                <w:kern w:val="0"/>
                <w:sz w:val="24"/>
                <w:szCs w:val="24"/>
              </w:rPr>
              <w:t>门</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1965" w:type="dxa"/>
            <w:gridSpan w:val="2"/>
            <w:tcBorders>
              <w:top w:val="single" w:sz="4" w:space="0" w:color="auto"/>
              <w:left w:val="nil"/>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Cs w:val="21"/>
              </w:rPr>
            </w:pPr>
          </w:p>
        </w:tc>
      </w:tr>
      <w:tr w:rsidR="00B535C7" w:rsidTr="00CD38A8">
        <w:trPr>
          <w:trHeight w:hRule="exact" w:val="451"/>
          <w:jc w:val="center"/>
        </w:trPr>
        <w:tc>
          <w:tcPr>
            <w:tcW w:w="585"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220"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支持学科带头人和团队</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2</w:t>
            </w:r>
            <w:r>
              <w:rPr>
                <w:rFonts w:ascii="仿宋_GB2312" w:eastAsia="仿宋_GB2312" w:hAnsi="宋体" w:cs="宋体" w:hint="eastAsia"/>
                <w:kern w:val="0"/>
                <w:sz w:val="24"/>
                <w:szCs w:val="24"/>
              </w:rPr>
              <w:t>个</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2</w:t>
            </w:r>
            <w:r>
              <w:rPr>
                <w:rFonts w:ascii="仿宋_GB2312" w:eastAsia="仿宋_GB2312" w:hAnsi="宋体" w:cs="宋体" w:hint="eastAsia"/>
                <w:kern w:val="0"/>
                <w:sz w:val="24"/>
                <w:szCs w:val="24"/>
              </w:rPr>
              <w:t>个</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1965" w:type="dxa"/>
            <w:gridSpan w:val="2"/>
            <w:tcBorders>
              <w:top w:val="single" w:sz="4" w:space="0" w:color="auto"/>
              <w:left w:val="nil"/>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r>
      <w:tr w:rsidR="00B535C7" w:rsidTr="00CD38A8">
        <w:trPr>
          <w:trHeight w:hRule="exact" w:val="451"/>
          <w:jc w:val="center"/>
        </w:trPr>
        <w:tc>
          <w:tcPr>
            <w:tcW w:w="585"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220"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完成科研论文</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2</w:t>
            </w:r>
            <w:r>
              <w:rPr>
                <w:rFonts w:ascii="仿宋_GB2312" w:eastAsia="仿宋_GB2312" w:hAnsi="宋体" w:cs="宋体" w:hint="eastAsia"/>
                <w:kern w:val="0"/>
                <w:sz w:val="24"/>
                <w:szCs w:val="24"/>
              </w:rPr>
              <w:t>篇</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7</w:t>
            </w:r>
            <w:r>
              <w:rPr>
                <w:rFonts w:ascii="仿宋_GB2312" w:eastAsia="仿宋_GB2312" w:hAnsi="宋体" w:cs="宋体" w:hint="eastAsia"/>
                <w:kern w:val="0"/>
                <w:sz w:val="24"/>
                <w:szCs w:val="24"/>
              </w:rPr>
              <w:t>篇</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1965" w:type="dxa"/>
            <w:gridSpan w:val="2"/>
            <w:tcBorders>
              <w:top w:val="single" w:sz="4" w:space="0" w:color="auto"/>
              <w:left w:val="nil"/>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r>
      <w:tr w:rsidR="00B535C7" w:rsidTr="00CD38A8">
        <w:trPr>
          <w:trHeight w:hRule="exact" w:val="816"/>
          <w:jc w:val="center"/>
        </w:trPr>
        <w:tc>
          <w:tcPr>
            <w:tcW w:w="585"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220"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艺术学科重点实验室，购置研发设备</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w:t>
            </w:r>
            <w:r>
              <w:rPr>
                <w:rFonts w:ascii="仿宋_GB2312" w:eastAsia="仿宋_GB2312" w:hAnsi="宋体" w:cs="宋体" w:hint="eastAsia"/>
                <w:kern w:val="0"/>
                <w:sz w:val="24"/>
                <w:szCs w:val="24"/>
              </w:rPr>
              <w:t>套</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w:t>
            </w:r>
            <w:r>
              <w:rPr>
                <w:rFonts w:ascii="仿宋_GB2312" w:eastAsia="仿宋_GB2312" w:hAnsi="宋体" w:cs="宋体" w:hint="eastAsia"/>
                <w:kern w:val="0"/>
                <w:sz w:val="24"/>
                <w:szCs w:val="24"/>
              </w:rPr>
              <w:t>套</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1965" w:type="dxa"/>
            <w:gridSpan w:val="2"/>
            <w:tcBorders>
              <w:top w:val="single" w:sz="4" w:space="0" w:color="auto"/>
              <w:left w:val="nil"/>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r>
      <w:tr w:rsidR="00B535C7" w:rsidTr="00CD38A8">
        <w:trPr>
          <w:trHeight w:hRule="exact" w:val="451"/>
          <w:jc w:val="center"/>
        </w:trPr>
        <w:tc>
          <w:tcPr>
            <w:tcW w:w="585"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220" w:type="dxa"/>
            <w:vMerge/>
            <w:tcBorders>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举办讲座</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8</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1965" w:type="dxa"/>
            <w:gridSpan w:val="2"/>
            <w:tcBorders>
              <w:top w:val="single" w:sz="4" w:space="0" w:color="auto"/>
              <w:left w:val="nil"/>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r>
      <w:tr w:rsidR="00B535C7" w:rsidTr="00CD38A8">
        <w:trPr>
          <w:trHeight w:hRule="exact" w:val="521"/>
          <w:jc w:val="center"/>
        </w:trPr>
        <w:tc>
          <w:tcPr>
            <w:tcW w:w="585"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220" w:type="dxa"/>
            <w:vMerge w:val="restart"/>
            <w:tcBorders>
              <w:top w:val="single" w:sz="4" w:space="0" w:color="auto"/>
              <w:left w:val="single" w:sz="4" w:space="0" w:color="auto"/>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质量指标</w:t>
            </w: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论文发表在核心期刊的比例</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1965" w:type="dxa"/>
            <w:gridSpan w:val="2"/>
            <w:tcBorders>
              <w:top w:val="single" w:sz="4" w:space="0" w:color="auto"/>
              <w:left w:val="nil"/>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r>
      <w:tr w:rsidR="00B535C7" w:rsidTr="00CD38A8">
        <w:trPr>
          <w:trHeight w:hRule="exact" w:val="596"/>
          <w:jc w:val="center"/>
        </w:trPr>
        <w:tc>
          <w:tcPr>
            <w:tcW w:w="585"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220" w:type="dxa"/>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设备通过专家验收率</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1965" w:type="dxa"/>
            <w:gridSpan w:val="2"/>
            <w:tcBorders>
              <w:top w:val="single" w:sz="4" w:space="0" w:color="auto"/>
              <w:left w:val="nil"/>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r>
      <w:tr w:rsidR="00B535C7" w:rsidTr="00CD38A8">
        <w:trPr>
          <w:trHeight w:hRule="exact" w:val="941"/>
          <w:jc w:val="center"/>
        </w:trPr>
        <w:tc>
          <w:tcPr>
            <w:tcW w:w="585"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220" w:type="dxa"/>
            <w:tcBorders>
              <w:top w:val="single" w:sz="4" w:space="0" w:color="auto"/>
              <w:left w:val="single" w:sz="4" w:space="0" w:color="auto"/>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时效指标</w:t>
            </w: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各类项目完成进度</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2021</w:t>
            </w:r>
            <w:r>
              <w:rPr>
                <w:rFonts w:ascii="仿宋_GB2312" w:eastAsia="仿宋_GB2312" w:hAnsi="宋体" w:cs="宋体" w:hint="eastAsia"/>
                <w:kern w:val="0"/>
                <w:sz w:val="24"/>
                <w:szCs w:val="24"/>
              </w:rPr>
              <w:t>年</w:t>
            </w:r>
            <w:r>
              <w:rPr>
                <w:rFonts w:ascii="仿宋_GB2312" w:eastAsia="仿宋_GB2312" w:hAnsi="宋体" w:cs="宋体" w:hint="eastAsia"/>
                <w:kern w:val="0"/>
                <w:sz w:val="24"/>
                <w:szCs w:val="24"/>
              </w:rPr>
              <w:t>12</w:t>
            </w:r>
            <w:r>
              <w:rPr>
                <w:rFonts w:ascii="仿宋_GB2312" w:eastAsia="仿宋_GB2312" w:hAnsi="宋体" w:cs="宋体" w:hint="eastAsia"/>
                <w:kern w:val="0"/>
                <w:sz w:val="24"/>
                <w:szCs w:val="24"/>
              </w:rPr>
              <w:t>月完成</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除了</w:t>
            </w:r>
            <w:r>
              <w:rPr>
                <w:rFonts w:ascii="仿宋_GB2312" w:eastAsia="仿宋_GB2312" w:hAnsi="宋体" w:cs="宋体" w:hint="eastAsia"/>
                <w:kern w:val="0"/>
                <w:sz w:val="24"/>
                <w:szCs w:val="24"/>
              </w:rPr>
              <w:t>3</w:t>
            </w:r>
            <w:r>
              <w:rPr>
                <w:rFonts w:ascii="仿宋_GB2312" w:eastAsia="仿宋_GB2312" w:hAnsi="宋体" w:cs="宋体" w:hint="eastAsia"/>
                <w:kern w:val="0"/>
                <w:sz w:val="24"/>
                <w:szCs w:val="24"/>
              </w:rPr>
              <w:t>本书都已完成</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4</w:t>
            </w:r>
          </w:p>
        </w:tc>
        <w:tc>
          <w:tcPr>
            <w:tcW w:w="1965"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Cs w:val="21"/>
              </w:rPr>
              <w:t>因著作出版周期较长，有</w:t>
            </w:r>
            <w:r>
              <w:rPr>
                <w:rFonts w:ascii="仿宋_GB2312" w:eastAsia="仿宋_GB2312" w:hAnsi="宋体" w:cs="宋体" w:hint="eastAsia"/>
                <w:kern w:val="0"/>
                <w:szCs w:val="21"/>
              </w:rPr>
              <w:t>3</w:t>
            </w:r>
            <w:r>
              <w:rPr>
                <w:rFonts w:ascii="仿宋_GB2312" w:eastAsia="仿宋_GB2312" w:hAnsi="宋体" w:cs="宋体" w:hint="eastAsia"/>
                <w:kern w:val="0"/>
                <w:szCs w:val="21"/>
              </w:rPr>
              <w:t>本书已经在出版流程中，今年即将出版。</w:t>
            </w:r>
          </w:p>
        </w:tc>
      </w:tr>
      <w:tr w:rsidR="00B535C7" w:rsidTr="00CD38A8">
        <w:trPr>
          <w:trHeight w:hRule="exact" w:val="826"/>
          <w:jc w:val="center"/>
        </w:trPr>
        <w:tc>
          <w:tcPr>
            <w:tcW w:w="585"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220" w:type="dxa"/>
            <w:tcBorders>
              <w:top w:val="single" w:sz="4" w:space="0" w:color="auto"/>
              <w:left w:val="single" w:sz="4" w:space="0" w:color="auto"/>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成本指标</w:t>
            </w: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项目预算控制数</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300</w:t>
            </w:r>
            <w:r>
              <w:rPr>
                <w:rFonts w:ascii="仿宋_GB2312" w:eastAsia="仿宋_GB2312" w:hAnsi="宋体" w:cs="宋体" w:hint="eastAsia"/>
                <w:kern w:val="0"/>
                <w:sz w:val="24"/>
                <w:szCs w:val="24"/>
              </w:rPr>
              <w:t>万</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240</w:t>
            </w:r>
            <w:r>
              <w:rPr>
                <w:rFonts w:ascii="仿宋_GB2312" w:eastAsia="仿宋_GB2312" w:hAnsi="宋体" w:cs="宋体" w:hint="eastAsia"/>
                <w:kern w:val="0"/>
                <w:sz w:val="24"/>
                <w:szCs w:val="24"/>
              </w:rPr>
              <w:t>万</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8</w:t>
            </w:r>
            <w:bookmarkStart w:id="0" w:name="_GoBack"/>
            <w:bookmarkEnd w:id="0"/>
          </w:p>
        </w:tc>
        <w:tc>
          <w:tcPr>
            <w:tcW w:w="1965"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Cs w:val="21"/>
              </w:rPr>
              <w:t>因疫情大型会议无法召开，会议费差旅费等无法执行。</w:t>
            </w:r>
          </w:p>
        </w:tc>
      </w:tr>
      <w:tr w:rsidR="00B535C7" w:rsidTr="00CD38A8">
        <w:trPr>
          <w:trHeight w:hRule="exact" w:val="1546"/>
          <w:jc w:val="center"/>
        </w:trPr>
        <w:tc>
          <w:tcPr>
            <w:tcW w:w="585"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val="restart"/>
            <w:tcBorders>
              <w:top w:val="single" w:sz="4" w:space="0" w:color="auto"/>
              <w:left w:val="single" w:sz="4" w:space="0" w:color="auto"/>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效益指标</w:t>
            </w:r>
          </w:p>
        </w:tc>
        <w:tc>
          <w:tcPr>
            <w:tcW w:w="1220" w:type="dxa"/>
            <w:tcBorders>
              <w:top w:val="single" w:sz="4" w:space="0" w:color="auto"/>
              <w:left w:val="single" w:sz="4" w:space="0" w:color="auto"/>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经济效益指标</w:t>
            </w: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学科在全国、世界的影响力</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推进世界一流电影学院建设</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推进世界一流电影学院建设</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1965" w:type="dxa"/>
            <w:gridSpan w:val="2"/>
            <w:tcBorders>
              <w:top w:val="single" w:sz="4" w:space="0" w:color="auto"/>
              <w:left w:val="nil"/>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r>
      <w:tr w:rsidR="00B535C7" w:rsidTr="00CD38A8">
        <w:trPr>
          <w:trHeight w:hRule="exact" w:val="1516"/>
          <w:jc w:val="center"/>
        </w:trPr>
        <w:tc>
          <w:tcPr>
            <w:tcW w:w="585"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220" w:type="dxa"/>
            <w:tcBorders>
              <w:top w:val="single" w:sz="4" w:space="0" w:color="auto"/>
              <w:left w:val="single" w:sz="4" w:space="0" w:color="auto"/>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社会效益指标</w:t>
            </w: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培养学生专业水平综合素质</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提升高层次电影人才培养质量</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提升高层次电影人才培养质量</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5</w:t>
            </w:r>
          </w:p>
        </w:tc>
        <w:tc>
          <w:tcPr>
            <w:tcW w:w="1965" w:type="dxa"/>
            <w:gridSpan w:val="2"/>
            <w:tcBorders>
              <w:top w:val="single" w:sz="4" w:space="0" w:color="auto"/>
              <w:left w:val="nil"/>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r>
      <w:tr w:rsidR="00B535C7" w:rsidTr="00CD38A8">
        <w:trPr>
          <w:trHeight w:hRule="exact" w:val="781"/>
          <w:jc w:val="center"/>
        </w:trPr>
        <w:tc>
          <w:tcPr>
            <w:tcW w:w="585" w:type="dxa"/>
            <w:vMerge/>
            <w:tcBorders>
              <w:left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val="restart"/>
            <w:tcBorders>
              <w:top w:val="single" w:sz="4" w:space="0" w:color="auto"/>
              <w:left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满意度</w:t>
            </w:r>
          </w:p>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指标</w:t>
            </w:r>
          </w:p>
        </w:tc>
        <w:tc>
          <w:tcPr>
            <w:tcW w:w="1220" w:type="dxa"/>
            <w:vMerge w:val="restart"/>
            <w:tcBorders>
              <w:top w:val="single" w:sz="4" w:space="0" w:color="auto"/>
              <w:left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服务对象</w:t>
            </w:r>
            <w:proofErr w:type="gramStart"/>
            <w:r>
              <w:rPr>
                <w:rFonts w:ascii="仿宋_GB2312" w:eastAsia="仿宋_GB2312" w:hAnsi="宋体" w:cs="宋体" w:hint="eastAsia"/>
                <w:kern w:val="0"/>
                <w:sz w:val="24"/>
                <w:szCs w:val="24"/>
              </w:rPr>
              <w:t>满意度标</w:t>
            </w:r>
            <w:proofErr w:type="gramEnd"/>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受益教师满意度</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85%</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85%</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w:t>
            </w:r>
          </w:p>
        </w:tc>
        <w:tc>
          <w:tcPr>
            <w:tcW w:w="1965" w:type="dxa"/>
            <w:gridSpan w:val="2"/>
            <w:tcBorders>
              <w:top w:val="single" w:sz="4" w:space="0" w:color="auto"/>
              <w:left w:val="nil"/>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r>
      <w:tr w:rsidR="00B535C7" w:rsidTr="00CD38A8">
        <w:trPr>
          <w:trHeight w:hRule="exact" w:val="781"/>
          <w:jc w:val="center"/>
        </w:trPr>
        <w:tc>
          <w:tcPr>
            <w:tcW w:w="585" w:type="dxa"/>
            <w:vMerge/>
            <w:tcBorders>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860" w:type="dxa"/>
            <w:vMerge/>
            <w:tcBorders>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220" w:type="dxa"/>
            <w:vMerge/>
            <w:tcBorders>
              <w:left w:val="single" w:sz="4" w:space="0" w:color="auto"/>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c>
          <w:tcPr>
            <w:tcW w:w="1806"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学生满意度</w:t>
            </w:r>
          </w:p>
        </w:tc>
        <w:tc>
          <w:tcPr>
            <w:tcW w:w="992"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85%</w:t>
            </w:r>
          </w:p>
        </w:tc>
        <w:tc>
          <w:tcPr>
            <w:tcW w:w="1036" w:type="dxa"/>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85%</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w:t>
            </w:r>
          </w:p>
        </w:tc>
        <w:tc>
          <w:tcPr>
            <w:tcW w:w="1965" w:type="dxa"/>
            <w:gridSpan w:val="2"/>
            <w:tcBorders>
              <w:top w:val="single" w:sz="4" w:space="0" w:color="auto"/>
              <w:left w:val="nil"/>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r>
      <w:tr w:rsidR="00B535C7">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总分</w:t>
            </w:r>
          </w:p>
        </w:tc>
        <w:tc>
          <w:tcPr>
            <w:tcW w:w="631"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780" w:type="dxa"/>
            <w:gridSpan w:val="2"/>
            <w:tcBorders>
              <w:top w:val="single" w:sz="4" w:space="0" w:color="auto"/>
              <w:left w:val="nil"/>
              <w:bottom w:val="single" w:sz="4" w:space="0" w:color="auto"/>
              <w:right w:val="single" w:sz="4" w:space="0" w:color="auto"/>
            </w:tcBorders>
            <w:vAlign w:val="center"/>
          </w:tcPr>
          <w:p w:rsidR="00B535C7" w:rsidRDefault="00C05F0E">
            <w:pPr>
              <w:widowControl/>
              <w:spacing w:line="24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95</w:t>
            </w:r>
          </w:p>
        </w:tc>
        <w:tc>
          <w:tcPr>
            <w:tcW w:w="1965" w:type="dxa"/>
            <w:gridSpan w:val="2"/>
            <w:tcBorders>
              <w:top w:val="single" w:sz="4" w:space="0" w:color="auto"/>
              <w:left w:val="nil"/>
              <w:bottom w:val="single" w:sz="4" w:space="0" w:color="auto"/>
              <w:right w:val="single" w:sz="4" w:space="0" w:color="auto"/>
            </w:tcBorders>
            <w:vAlign w:val="center"/>
          </w:tcPr>
          <w:p w:rsidR="00B535C7" w:rsidRDefault="00B535C7">
            <w:pPr>
              <w:widowControl/>
              <w:spacing w:line="240" w:lineRule="exact"/>
              <w:jc w:val="left"/>
              <w:rPr>
                <w:rFonts w:ascii="仿宋_GB2312" w:eastAsia="仿宋_GB2312" w:hAnsi="宋体" w:cs="宋体"/>
                <w:kern w:val="0"/>
                <w:sz w:val="24"/>
                <w:szCs w:val="24"/>
              </w:rPr>
            </w:pPr>
          </w:p>
        </w:tc>
      </w:tr>
    </w:tbl>
    <w:p w:rsidR="00B535C7" w:rsidRDefault="00B535C7">
      <w:pPr>
        <w:widowControl/>
        <w:spacing w:line="240" w:lineRule="exact"/>
        <w:jc w:val="left"/>
        <w:rPr>
          <w:rFonts w:ascii="仿宋_GB2312" w:eastAsia="仿宋_GB2312" w:hAnsi="宋体" w:cs="宋体"/>
          <w:kern w:val="0"/>
          <w:sz w:val="24"/>
          <w:szCs w:val="24"/>
        </w:rPr>
      </w:pPr>
    </w:p>
    <w:sectPr w:rsidR="00B535C7" w:rsidSect="00B535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F0E" w:rsidRDefault="00C05F0E" w:rsidP="009F4B21">
      <w:r>
        <w:separator/>
      </w:r>
    </w:p>
  </w:endnote>
  <w:endnote w:type="continuationSeparator" w:id="0">
    <w:p w:rsidR="00C05F0E" w:rsidRDefault="00C05F0E" w:rsidP="009F4B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0000000" w:usb2="00000012"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F0E" w:rsidRDefault="00C05F0E" w:rsidP="009F4B21">
      <w:r>
        <w:separator/>
      </w:r>
    </w:p>
  </w:footnote>
  <w:footnote w:type="continuationSeparator" w:id="0">
    <w:p w:rsidR="00C05F0E" w:rsidRDefault="00C05F0E" w:rsidP="009F4B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E5A2E2E"/>
    <w:multiLevelType w:val="singleLevel"/>
    <w:tmpl w:val="CE5A2E2E"/>
    <w:lvl w:ilvl="0">
      <w:start w:val="1"/>
      <w:numFmt w:val="chineseCounting"/>
      <w:suff w:val="nothing"/>
      <w:lvlText w:val="第%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6FF55895"/>
    <w:rsid w:val="009F4B21"/>
    <w:rsid w:val="00B535C7"/>
    <w:rsid w:val="00B80474"/>
    <w:rsid w:val="00C05F0E"/>
    <w:rsid w:val="00CD38A8"/>
    <w:rsid w:val="032D4760"/>
    <w:rsid w:val="0C8159E8"/>
    <w:rsid w:val="194F52F5"/>
    <w:rsid w:val="287A1946"/>
    <w:rsid w:val="2AB34BB1"/>
    <w:rsid w:val="37D90FB6"/>
    <w:rsid w:val="39011EB1"/>
    <w:rsid w:val="3C97266F"/>
    <w:rsid w:val="4B2F438B"/>
    <w:rsid w:val="57155868"/>
    <w:rsid w:val="6E0162F9"/>
    <w:rsid w:val="6E9F0D8B"/>
    <w:rsid w:val="6FF55895"/>
    <w:rsid w:val="75F90E7C"/>
    <w:rsid w:val="7A7B26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35C7"/>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F4B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F4B21"/>
    <w:rPr>
      <w:rFonts w:ascii="Calibri" w:hAnsi="Calibri"/>
      <w:kern w:val="2"/>
      <w:sz w:val="18"/>
      <w:szCs w:val="18"/>
    </w:rPr>
  </w:style>
  <w:style w:type="paragraph" w:styleId="a4">
    <w:name w:val="footer"/>
    <w:basedOn w:val="a"/>
    <w:link w:val="Char0"/>
    <w:rsid w:val="009F4B21"/>
    <w:pPr>
      <w:tabs>
        <w:tab w:val="center" w:pos="4153"/>
        <w:tab w:val="right" w:pos="8306"/>
      </w:tabs>
      <w:snapToGrid w:val="0"/>
      <w:jc w:val="left"/>
    </w:pPr>
    <w:rPr>
      <w:sz w:val="18"/>
      <w:szCs w:val="18"/>
    </w:rPr>
  </w:style>
  <w:style w:type="character" w:customStyle="1" w:styleId="Char0">
    <w:name w:val="页脚 Char"/>
    <w:basedOn w:val="a0"/>
    <w:link w:val="a4"/>
    <w:rsid w:val="009F4B21"/>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290</Words>
  <Characters>1658</Characters>
  <Application>Microsoft Office Word</Application>
  <DocSecurity>0</DocSecurity>
  <Lines>13</Lines>
  <Paragraphs>3</Paragraphs>
  <ScaleCrop>false</ScaleCrop>
  <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LHY</dc:creator>
  <cp:lastModifiedBy>Administrator</cp:lastModifiedBy>
  <cp:revision>5</cp:revision>
  <cp:lastPrinted>2022-04-08T01:12:00Z</cp:lastPrinted>
  <dcterms:created xsi:type="dcterms:W3CDTF">2022-04-06T07:21:00Z</dcterms:created>
  <dcterms:modified xsi:type="dcterms:W3CDTF">2022-04-19T03:17:00Z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73F50E182B864208B0F2F49CEED46148</vt:lpwstr>
  </property>
</Properties>
</file>