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888"/>
        <w:gridCol w:w="1096"/>
        <w:gridCol w:w="1801"/>
        <w:gridCol w:w="1803"/>
        <w:gridCol w:w="1806"/>
        <w:gridCol w:w="1151"/>
        <w:gridCol w:w="1100"/>
        <w:gridCol w:w="1101"/>
        <w:gridCol w:w="1101"/>
        <w:gridCol w:w="1799"/>
      </w:tblGrid>
      <w:tr>
        <w:trPr>
          <w:trHeight w:val="408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rPr>
          <w:trHeight w:val="288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（2021年度）</w:t>
            </w:r>
          </w:p>
        </w:tc>
      </w:tr>
      <w:tr>
        <w:trPr>
          <w:trHeight w:val="288" w:hRule="atLeast"/>
          <w:jc w:val="center"/>
        </w:trPr>
        <w:tc>
          <w:tcPr>
            <w:tcW w:w="17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rPr>
          <w:trHeight w:val="288" w:hRule="atLeast"/>
          <w:jc w:val="center"/>
        </w:trPr>
        <w:tc>
          <w:tcPr>
            <w:tcW w:w="8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66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教师队伍建设-长城学者</w:t>
            </w:r>
          </w:p>
        </w:tc>
      </w:tr>
      <w:tr>
        <w:trPr>
          <w:trHeight w:val="288" w:hRule="atLeast"/>
          <w:jc w:val="center"/>
        </w:trPr>
        <w:tc>
          <w:tcPr>
            <w:tcW w:w="8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9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3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北京第二外国语学院</w:t>
            </w:r>
          </w:p>
        </w:tc>
      </w:tr>
      <w:tr>
        <w:trPr>
          <w:trHeight w:val="288" w:hRule="atLeast"/>
          <w:jc w:val="center"/>
        </w:trPr>
        <w:tc>
          <w:tcPr>
            <w:tcW w:w="8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9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朱光好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3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65778417</w:t>
            </w:r>
          </w:p>
        </w:tc>
      </w:tr>
      <w:tr>
        <w:trPr>
          <w:trHeight w:val="564" w:hRule="atLeast"/>
          <w:jc w:val="center"/>
        </w:trPr>
        <w:tc>
          <w:tcPr>
            <w:tcW w:w="83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(万元）</w:t>
            </w:r>
          </w:p>
        </w:tc>
        <w:tc>
          <w:tcPr>
            <w:tcW w:w="128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得分</w:t>
            </w:r>
          </w:p>
        </w:tc>
      </w:tr>
      <w:tr>
        <w:trPr>
          <w:trHeight w:val="288" w:hRule="atLeast"/>
          <w:jc w:val="center"/>
        </w:trPr>
        <w:tc>
          <w:tcPr>
            <w:tcW w:w="83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14.861000 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4.265000 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28.70%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2.87 </w:t>
            </w:r>
          </w:p>
        </w:tc>
      </w:tr>
      <w:tr>
        <w:trPr>
          <w:trHeight w:val="288" w:hRule="atLeast"/>
          <w:jc w:val="center"/>
        </w:trPr>
        <w:tc>
          <w:tcPr>
            <w:tcW w:w="83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14.861000 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4.265000 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28.70%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288" w:hRule="atLeast"/>
          <w:jc w:val="center"/>
        </w:trPr>
        <w:tc>
          <w:tcPr>
            <w:tcW w:w="83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324" w:hRule="atLeast"/>
          <w:jc w:val="center"/>
        </w:trPr>
        <w:tc>
          <w:tcPr>
            <w:tcW w:w="834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564" w:hRule="atLeast"/>
          <w:jc w:val="center"/>
        </w:trPr>
        <w:tc>
          <w:tcPr>
            <w:tcW w:w="1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3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实际完成情况</w:t>
            </w:r>
          </w:p>
        </w:tc>
      </w:tr>
      <w:tr>
        <w:trPr>
          <w:trHeight w:val="3377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项目期目标（2021年）：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年度目标：对比研究北京市和国际大都市在城市建设、城市治理过程中的政策措施，发掘与北京市“四个中心”建设相关的成功经验，从而为北京市的城市建设建言献策,专著一部或者专业报告一份。</w:t>
            </w:r>
          </w:p>
        </w:tc>
        <w:tc>
          <w:tcPr>
            <w:tcW w:w="223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本项目选取首都的政治功能、文化形象建构、国际交往中心建设、科技创新中心建设、都市治理为研究主题，选取纽约市作为研究对象并以相同主题展开两市的对比研究。完成专著1部，论文2篇。</w:t>
            </w:r>
          </w:p>
        </w:tc>
      </w:tr>
      <w:tr>
        <w:trPr>
          <w:trHeight w:val="576" w:hRule="atLeast"/>
          <w:jc w:val="center"/>
        </w:trPr>
        <w:tc>
          <w:tcPr>
            <w:tcW w:w="1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3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措施</w:t>
            </w:r>
          </w:p>
        </w:tc>
      </w:tr>
      <w:tr>
        <w:trPr>
          <w:trHeight w:val="612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（50分）</w:t>
            </w:r>
          </w:p>
        </w:tc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支持创新团队、学科带头人数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支持长城学者1名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612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发表论文和申请专利数量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专著一部或者专业报告一份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专著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部、论文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7.5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801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项目通过学校、市教委审查的比例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100%通过检查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100%通过检查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1560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各类项目完成进度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严格按照工作推进，1-6月完成收集资料、调研任务，7-12月完成数据整理、形成报告等任务，准时结项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各类项目完成进度严格按照计划执行，准时结项。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1680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项目预算控制数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专家咨询费支出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2.945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万元，劳务费支出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1.32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万元，项目共计支出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4.265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万元。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8.13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由于受新冠疫情影响，前往外地参会、实地调研和搜集数据等工作受到限制，使得部分差旅费未能按照原计划执行，产生结余经费。今后将充分考虑疫情因素，更科学合理地制定项目实施方案，提高项目资金的使用效益。</w:t>
            </w:r>
          </w:p>
        </w:tc>
      </w:tr>
      <w:tr>
        <w:trPr>
          <w:trHeight w:val="1764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标     （30分）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经济效益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对比研究北京市和国际大都市在城市建设、城市治理过程中的政策措施，发掘与北京市“四个中心”建设相关的成功经验，从而为北京市的城市建设建言献策。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对比研究北京市和国际大都市在城市建设、城市治理过程中的政策措施，发掘与北京市“四个中心”建设相关的成功经验，从而为北京市的城市建设建言献策。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1920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社会效益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从首都的政治功能、文化形象建构、国际交往中心建设、科技创新建设、都市治理五个方面进行对比研究，从而提出城市建设的可行性建议。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从首都的政治功能、文化形象建构、国际交往中心建设、科技创新建设、都市治理五个方面进行了对比研究，提出了城市建设的可行性建议。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1977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可持续性影响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为推动北京文化中心、国际交往中心功能建设添砖加瓦。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该项目的实施，推动了北京文化中心、国际交往中心功能的建设。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基本完成效益指标，但仍有提升空间。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Hans"/>
              </w:rPr>
              <w:t>今后继续加强对首都文虎中心、国际交往中心建设的相关研究。</w:t>
            </w:r>
            <w:bookmarkStart w:id="0" w:name="_GoBack"/>
            <w:bookmarkEnd w:id="0"/>
          </w:p>
        </w:tc>
      </w:tr>
      <w:tr>
        <w:trPr>
          <w:trHeight w:val="840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院系对所培养教师的满意度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92%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864" w:hRule="atLeast"/>
          <w:jc w:val="center"/>
        </w:trPr>
        <w:tc>
          <w:tcPr>
            <w:tcW w:w="1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教师对支持的满意度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93%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rPr>
          <w:trHeight w:val="501" w:hRule="atLeast"/>
          <w:jc w:val="center"/>
        </w:trPr>
        <w:tc>
          <w:tcPr>
            <w:tcW w:w="276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3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90</w:t>
            </w:r>
          </w:p>
        </w:tc>
        <w:tc>
          <w:tcPr>
            <w:tcW w:w="14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8A"/>
    <w:rsid w:val="00084DA8"/>
    <w:rsid w:val="001722FB"/>
    <w:rsid w:val="004338E9"/>
    <w:rsid w:val="00C01A8A"/>
    <w:rsid w:val="00CD2DD9"/>
    <w:rsid w:val="00D82571"/>
    <w:rsid w:val="00E74C14"/>
    <w:rsid w:val="6EFFE5E2"/>
    <w:rsid w:val="AFAA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226</Words>
  <Characters>1294</Characters>
  <Lines>10</Lines>
  <Paragraphs>3</Paragraphs>
  <TotalTime>5</TotalTime>
  <ScaleCrop>false</ScaleCrop>
  <LinksUpToDate>false</LinksUpToDate>
  <CharactersWithSpaces>1517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2022-04-26T18:27:00Z</dcterms:created>
  <dc:creator>HP</dc:creator>
  <cp:lastModifiedBy>전호원</cp:lastModifiedBy>
  <dcterms:modified xsi:type="dcterms:W3CDTF">2022-05-16T11:34:18Z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55506D0C88323BB23AC68162C3B8BECF</vt:lpwstr>
  </property>
</Properties>
</file>