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5"/>
        <w:gridCol w:w="1018"/>
        <w:gridCol w:w="1117"/>
        <w:gridCol w:w="1096"/>
        <w:gridCol w:w="1174"/>
        <w:gridCol w:w="1162"/>
        <w:gridCol w:w="1162"/>
        <w:gridCol w:w="439"/>
        <w:gridCol w:w="850"/>
        <w:gridCol w:w="639"/>
      </w:tblGrid>
      <w:tr w:rsidR="00D552B0" w:rsidRPr="00D552B0" w:rsidTr="00D552B0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552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向基础教育倾斜-北京市中小学校</w:t>
            </w:r>
            <w:proofErr w:type="gramStart"/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</w:t>
            </w:r>
            <w:proofErr w:type="gramEnd"/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与保健教师能力提升项目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首都医科大学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管仲军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13901285852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16.596000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16.596000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11.909500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71.76%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 xml:space="preserve">7.18 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16.596000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16.596000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11.909500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71.76%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</w:rPr>
              <w:t>—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D552B0" w:rsidRPr="00D552B0" w:rsidTr="00D552B0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D552B0" w:rsidRPr="00D552B0" w:rsidTr="00D552B0">
        <w:trPr>
          <w:trHeight w:val="15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2"/>
              </w:rPr>
              <w:t>提升北京市中小学校</w:t>
            </w:r>
            <w:proofErr w:type="gramStart"/>
            <w:r w:rsidRPr="00D552B0">
              <w:rPr>
                <w:rFonts w:ascii="宋体" w:eastAsia="宋体" w:hAnsi="宋体" w:cs="宋体" w:hint="eastAsia"/>
                <w:kern w:val="0"/>
                <w:sz w:val="22"/>
              </w:rPr>
              <w:t>医</w:t>
            </w:r>
            <w:proofErr w:type="gramEnd"/>
            <w:r w:rsidRPr="00D552B0">
              <w:rPr>
                <w:rFonts w:ascii="宋体" w:eastAsia="宋体" w:hAnsi="宋体" w:cs="宋体" w:hint="eastAsia"/>
                <w:kern w:val="0"/>
                <w:sz w:val="22"/>
              </w:rPr>
              <w:t>与保健教师岗位胜任力。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2"/>
              </w:rPr>
              <w:t>提升北京市中小学校</w:t>
            </w:r>
            <w:proofErr w:type="gramStart"/>
            <w:r w:rsidRPr="00D552B0">
              <w:rPr>
                <w:rFonts w:ascii="宋体" w:eastAsia="宋体" w:hAnsi="宋体" w:cs="宋体" w:hint="eastAsia"/>
                <w:kern w:val="0"/>
                <w:sz w:val="22"/>
              </w:rPr>
              <w:t>医</w:t>
            </w:r>
            <w:proofErr w:type="gramEnd"/>
            <w:r w:rsidRPr="00D552B0">
              <w:rPr>
                <w:rFonts w:ascii="宋体" w:eastAsia="宋体" w:hAnsi="宋体" w:cs="宋体" w:hint="eastAsia"/>
                <w:kern w:val="0"/>
                <w:sz w:val="22"/>
              </w:rPr>
              <w:t>与保健教师学校卫生基础知识与基本工作能力。</w:t>
            </w:r>
          </w:p>
        </w:tc>
      </w:tr>
      <w:tr w:rsidR="00D552B0" w:rsidRPr="00D552B0" w:rsidTr="00D552B0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D552B0" w:rsidRPr="00D552B0" w:rsidTr="00D552B0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培训学员的人次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参与培训的校医与保健教师因个人原因请假或未完成全部培训</w:t>
            </w:r>
          </w:p>
        </w:tc>
      </w:tr>
      <w:tr w:rsidR="00D552B0" w:rsidRPr="00D552B0" w:rsidTr="00D552B0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举办培训的班次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7104F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</w:t>
            </w:r>
            <w:r w:rsidRPr="007104F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性有待进一步提升</w:t>
            </w:r>
          </w:p>
        </w:tc>
      </w:tr>
      <w:tr w:rsidR="00D552B0" w:rsidRPr="00D552B0" w:rsidTr="00D552B0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培训合格率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有一位校医培训考核得分不超过60分</w:t>
            </w:r>
          </w:p>
        </w:tc>
      </w:tr>
      <w:tr w:rsidR="00D552B0" w:rsidRPr="00D552B0" w:rsidTr="00D552B0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培训完成时间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52B0" w:rsidRPr="00D552B0" w:rsidTr="00D552B0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人均培训成本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1659.6元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1190.95元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D552B0" w:rsidP="007104F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培训酒店住宿价格适宜</w:t>
            </w:r>
            <w:r w:rsidR="007104F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，预算有结余</w:t>
            </w:r>
          </w:p>
        </w:tc>
      </w:tr>
      <w:tr w:rsidR="00D552B0" w:rsidRPr="00D552B0" w:rsidTr="00D552B0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通过培训，使校医与保健教师能够掌握健康知识和基本医疗操作技能；</w:t>
            </w: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学校卫生安全事故率下降。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培训过后校医与保健教师能够掌握健康知识和基本医疗操作技能；学校</w:t>
            </w: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安全事件发生明显降低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7104F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4F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D552B0"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52B0" w:rsidRPr="00D552B0" w:rsidTr="00D552B0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校医与保健教师通过开展健康教育活动，使中小学生能够掌握健康知识，形成良好的健康习惯，树立健康意识。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培训过后校医与保健教师在学校开展健康教育活动，培养学生健康意识，树立学生良好的健康习惯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7104F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4F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D552B0"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52B0" w:rsidRPr="00D552B0" w:rsidTr="00D552B0">
        <w:trPr>
          <w:trHeight w:val="8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受训学员满意度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52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有两位校医对培训时间分配不满意，希望下次培训开展安排在假期，有较多休息时间</w:t>
            </w:r>
          </w:p>
        </w:tc>
      </w:tr>
      <w:tr w:rsidR="00D552B0" w:rsidRPr="00D552B0" w:rsidTr="00D552B0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88.68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2B0" w:rsidRPr="00D552B0" w:rsidRDefault="00D552B0" w:rsidP="00D552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552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D552B0" w:rsidRDefault="007104F0" w:rsidP="00D552B0"/>
    <w:sectPr w:rsidR="00523907" w:rsidRPr="00D552B0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57552C"/>
    <w:rsid w:val="007104F0"/>
    <w:rsid w:val="00D552B0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2022-05-13T13:07:00Z</dcterms:modified>
</cp:coreProperties>
</file>